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right="0"/>
        <w:jc w:val="center"/>
      </w:pPr>
      <w:r w:rsidRPr="007D066E">
        <w:t>BEFORE THE WASHINGTON UTILITIES AND TRANSPORTATION COMMISSION</w:t>
      </w: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r w:rsidRPr="007D066E">
        <w:t xml:space="preserve">DOCKET NO. </w:t>
      </w:r>
      <w:r w:rsidR="00103216" w:rsidRPr="007D066E">
        <w:t>UE-</w:t>
      </w:r>
      <w:r w:rsidR="006D5F72" w:rsidRPr="007D066E">
        <w:t>1</w:t>
      </w:r>
      <w:r w:rsidR="008E0D85" w:rsidRPr="007D066E">
        <w:t>2</w:t>
      </w:r>
      <w:r w:rsidRPr="007D066E">
        <w:t>________</w:t>
      </w:r>
    </w:p>
    <w:p w:rsidR="00591B87" w:rsidRPr="007D066E" w:rsidRDefault="007C67C5" w:rsidP="007D066E">
      <w:pPr>
        <w:tabs>
          <w:tab w:val="left" w:pos="1260"/>
        </w:tabs>
        <w:spacing w:line="480" w:lineRule="auto"/>
        <w:ind w:left="0"/>
        <w:jc w:val="center"/>
      </w:pPr>
      <w:r w:rsidRPr="007D066E">
        <w:t>DOCKET NO. U</w:t>
      </w:r>
      <w:r w:rsidR="0001114C" w:rsidRPr="007D066E">
        <w:t>G</w:t>
      </w:r>
      <w:r w:rsidR="00103216" w:rsidRPr="007D066E">
        <w:t>-</w:t>
      </w:r>
      <w:r w:rsidR="006D5F72" w:rsidRPr="007D066E">
        <w:t>1</w:t>
      </w:r>
      <w:r w:rsidR="008E0D85" w:rsidRPr="007D066E">
        <w:t>2</w:t>
      </w:r>
      <w:r w:rsidRPr="007D066E">
        <w:t>________</w:t>
      </w:r>
    </w:p>
    <w:p w:rsidR="007C67C5" w:rsidRPr="007D066E" w:rsidRDefault="007C67C5"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r w:rsidRPr="007D066E">
        <w:t xml:space="preserve">DIRECT TESTIMONY OF </w:t>
      </w:r>
    </w:p>
    <w:p w:rsidR="00591B87" w:rsidRPr="007D066E" w:rsidRDefault="00103216" w:rsidP="007D066E">
      <w:pPr>
        <w:tabs>
          <w:tab w:val="left" w:pos="1260"/>
        </w:tabs>
        <w:spacing w:line="480" w:lineRule="auto"/>
        <w:ind w:left="0"/>
        <w:jc w:val="center"/>
      </w:pPr>
      <w:r w:rsidRPr="007D066E">
        <w:t>MARK T. THIES</w:t>
      </w:r>
    </w:p>
    <w:p w:rsidR="00591B87" w:rsidRPr="007D066E" w:rsidRDefault="00591B87" w:rsidP="007D066E">
      <w:pPr>
        <w:tabs>
          <w:tab w:val="left" w:pos="1260"/>
        </w:tabs>
        <w:spacing w:line="480" w:lineRule="auto"/>
        <w:ind w:left="0"/>
        <w:jc w:val="center"/>
      </w:pPr>
      <w:r w:rsidRPr="007D066E">
        <w:t>REPRESENTING AVISTA CORPORATION</w:t>
      </w:r>
    </w:p>
    <w:p w:rsidR="00591B87" w:rsidRPr="0001114C" w:rsidRDefault="00591B87" w:rsidP="007D066E">
      <w:pPr>
        <w:tabs>
          <w:tab w:val="left" w:pos="1260"/>
        </w:tabs>
        <w:spacing w:line="480" w:lineRule="auto"/>
        <w:ind w:left="0" w:firstLine="720"/>
        <w:jc w:val="center"/>
      </w:pPr>
    </w:p>
    <w:p w:rsidR="00591B87" w:rsidRPr="0001114C" w:rsidRDefault="00591B87" w:rsidP="007D066E">
      <w:pPr>
        <w:tabs>
          <w:tab w:val="left" w:pos="1260"/>
        </w:tabs>
        <w:spacing w:line="480" w:lineRule="auto"/>
        <w:ind w:left="0" w:firstLine="720"/>
      </w:pPr>
    </w:p>
    <w:p w:rsidR="00591B87" w:rsidRPr="0001114C" w:rsidRDefault="00591B87" w:rsidP="007D066E">
      <w:pPr>
        <w:tabs>
          <w:tab w:val="left" w:pos="1260"/>
        </w:tabs>
        <w:spacing w:line="480" w:lineRule="auto"/>
        <w:ind w:left="0" w:firstLine="720"/>
        <w:sectPr w:rsidR="00591B87" w:rsidRPr="0001114C" w:rsidSect="007D066E">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2D646B" w:rsidRDefault="00C50C02" w:rsidP="0051339F">
      <w:pPr>
        <w:pStyle w:val="Heading1"/>
        <w:spacing w:before="0" w:after="0"/>
        <w:ind w:left="0" w:right="14"/>
        <w:jc w:val="center"/>
        <w:rPr>
          <w:rStyle w:val="PageNumber"/>
          <w:u w:val="single"/>
        </w:rPr>
      </w:pPr>
      <w:bookmarkStart w:id="0" w:name="_Toc289931768"/>
      <w:r w:rsidRPr="0065165D">
        <w:rPr>
          <w:rStyle w:val="PageNumber"/>
          <w:u w:val="single"/>
        </w:rPr>
        <w:lastRenderedPageBreak/>
        <w:t>I. INTRODUCTION</w:t>
      </w:r>
      <w:bookmarkEnd w:id="0"/>
    </w:p>
    <w:p w:rsidR="00C50C02" w:rsidRPr="00C50C02" w:rsidRDefault="00C50C02" w:rsidP="0051339F">
      <w:pPr>
        <w:pStyle w:val="BodyText2"/>
        <w:tabs>
          <w:tab w:val="clear" w:pos="720"/>
          <w:tab w:val="left" w:pos="126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Please state your name, business address, and present position with Avista Corp.</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My name is Mark Thies.  My business address is 1411 East Mission Avenue, Spokane, Washington.  I am employed by Avista Corporation as Senior Vice President and Chief Financial Officer.</w:t>
      </w:r>
    </w:p>
    <w:p w:rsidR="00C50C02" w:rsidRPr="00C50C02" w:rsidRDefault="00C50C02" w:rsidP="0051339F">
      <w:pPr>
        <w:pStyle w:val="Heading5"/>
        <w:widowControl w:val="0"/>
        <w:spacing w:before="0" w:after="0"/>
        <w:ind w:left="0" w:right="14" w:firstLine="720"/>
        <w:jc w:val="both"/>
      </w:pPr>
      <w:r w:rsidRPr="00C50C02">
        <w:t>Q.</w:t>
      </w:r>
      <w:r w:rsidRPr="00C50C02">
        <w:tab/>
        <w:t>Would you please describe your education and business experience?</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Certified Public Accountant in 1987.  I have extensive experience in finance, risk management, accounting and administration within the utility sector.</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 xml:space="preserve">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I joined Black Hills Corporation in 1997 upon leaving </w:t>
      </w:r>
      <w:proofErr w:type="spellStart"/>
      <w:r w:rsidRPr="00C50C02">
        <w:rPr>
          <w:rFonts w:ascii="Times New Roman" w:hAnsi="Times New Roman" w:cs="Times New Roman"/>
        </w:rPr>
        <w:t>InterCoast</w:t>
      </w:r>
      <w:proofErr w:type="spellEnd"/>
      <w:r w:rsidRPr="00C50C02">
        <w:rPr>
          <w:rFonts w:ascii="Times New Roman" w:hAnsi="Times New Roman" w:cs="Times New Roman"/>
        </w:rPr>
        <w:t xml:space="preserve"> Energy Company in Des Moines, Iowa, where I was the manager of accounting.  Previous to that I was a senior auditor for Arthur Anderson &amp; Co. in Chicago, Illinois.</w:t>
      </w:r>
    </w:p>
    <w:p w:rsidR="00C50C02" w:rsidRPr="00C50C02" w:rsidRDefault="00C50C02" w:rsidP="0051339F">
      <w:pPr>
        <w:pStyle w:val="BodyText2"/>
        <w:tabs>
          <w:tab w:val="clear" w:pos="720"/>
        </w:tabs>
        <w:spacing w:before="0" w:after="0"/>
        <w:ind w:left="0" w:right="18"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is the scope of your testimony in this proceeding?</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will provide a financial overview of the Company and will explain the overall rate of return proposed by the Company in this filing for its electric and natural gas operations.  The proposed rate of return is derived from Avista’s </w:t>
      </w:r>
      <w:r>
        <w:rPr>
          <w:rFonts w:ascii="Times New Roman" w:hAnsi="Times New Roman" w:cs="Times New Roman"/>
        </w:rPr>
        <w:t>total cost</w:t>
      </w:r>
      <w:r w:rsidR="0078665D">
        <w:rPr>
          <w:rFonts w:ascii="Times New Roman" w:hAnsi="Times New Roman" w:cs="Times New Roman"/>
        </w:rPr>
        <w:t xml:space="preserve"> of debt</w:t>
      </w:r>
      <w:r>
        <w:rPr>
          <w:rFonts w:ascii="Times New Roman" w:hAnsi="Times New Roman" w:cs="Times New Roman"/>
        </w:rPr>
        <w:t xml:space="preserve"> including </w:t>
      </w:r>
      <w:r>
        <w:rPr>
          <w:rFonts w:ascii="Times New Roman" w:hAnsi="Times New Roman" w:cs="Times New Roman"/>
        </w:rPr>
        <w:lastRenderedPageBreak/>
        <w:t>long-term and short-term debt,</w:t>
      </w:r>
      <w:r w:rsidRPr="00C50C02">
        <w:rPr>
          <w:rFonts w:ascii="Times New Roman" w:hAnsi="Times New Roman" w:cs="Times New Roman"/>
        </w:rPr>
        <w:t xml:space="preserve"> and common equity, weighted in proportion to the proposed capital structure. </w:t>
      </w:r>
    </w:p>
    <w:p w:rsidR="00FB3936" w:rsidRDefault="00C50C02" w:rsidP="0051339F">
      <w:pPr>
        <w:pStyle w:val="BodyText2"/>
        <w:tabs>
          <w:tab w:val="clear" w:pos="720"/>
        </w:tabs>
        <w:spacing w:before="0" w:after="0"/>
        <w:ind w:left="0" w:right="14" w:firstLine="720"/>
      </w:pPr>
      <w:r w:rsidRPr="00C50C02">
        <w:rPr>
          <w:rFonts w:ascii="Times New Roman" w:hAnsi="Times New Roman" w:cs="Times New Roman"/>
        </w:rPr>
        <w:t xml:space="preserve">I will address the proposed capital structure, as well as the proposed cost of </w:t>
      </w:r>
      <w:r>
        <w:rPr>
          <w:rFonts w:ascii="Times New Roman" w:hAnsi="Times New Roman" w:cs="Times New Roman"/>
        </w:rPr>
        <w:t xml:space="preserve">total </w:t>
      </w:r>
      <w:r w:rsidRPr="00C50C02">
        <w:rPr>
          <w:rFonts w:ascii="Times New Roman" w:hAnsi="Times New Roman" w:cs="Times New Roman"/>
        </w:rPr>
        <w:t>debt and equity in this filing.  Dr. Avera</w:t>
      </w:r>
      <w:r w:rsidR="004514E6">
        <w:rPr>
          <w:rFonts w:ascii="Times New Roman" w:hAnsi="Times New Roman" w:cs="Times New Roman"/>
        </w:rPr>
        <w:t>, on behalf of the Company,</w:t>
      </w:r>
      <w:r w:rsidRPr="00C50C02">
        <w:rPr>
          <w:rFonts w:ascii="Times New Roman" w:hAnsi="Times New Roman" w:cs="Times New Roman"/>
        </w:rPr>
        <w:t xml:space="preserve"> will provide additional testimony related to the appropriate return on equity for Avista, based on the specific circumstances of the Company, together with the current state of the financial markets.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 xml:space="preserve">In brief, I will provide information that shows: </w:t>
      </w:r>
    </w:p>
    <w:p w:rsidR="00C50C02" w:rsidRPr="00A95F97" w:rsidRDefault="009F56AA" w:rsidP="007D066E">
      <w:pPr>
        <w:numPr>
          <w:ilvl w:val="0"/>
          <w:numId w:val="4"/>
        </w:numPr>
        <w:ind w:left="0" w:right="18"/>
      </w:pPr>
      <w:r w:rsidRPr="00A95F97">
        <w:t>Avista’s plans call for significant capital expenditure requirements for the utility over the next two years to assure reliability in serving our customers and meeting customer growth.  Capital expenditures of approximately $500 million are planned for 2012-2013 for customer growth, investment in generation upgrades</w:t>
      </w:r>
      <w:r w:rsidR="005A764F">
        <w:t>,</w:t>
      </w:r>
      <w:r w:rsidR="005A764F" w:rsidRPr="00A95F97">
        <w:t xml:space="preserve"> transmission</w:t>
      </w:r>
      <w:r w:rsidRPr="00A95F97">
        <w:t xml:space="preserve"> and distribution facilities, </w:t>
      </w:r>
      <w:r w:rsidR="00A95F97">
        <w:t xml:space="preserve">and information technology systems </w:t>
      </w:r>
      <w:r w:rsidRPr="00A95F97">
        <w:t>as well as necessary maintenance and replacements of our natural gas utility systems.  Capital expenditures of approximately $1.</w:t>
      </w:r>
      <w:r w:rsidR="008762FE">
        <w:t>2</w:t>
      </w:r>
      <w:r w:rsidRPr="00A95F97">
        <w:t xml:space="preserve"> billion are planned for the </w:t>
      </w:r>
      <w:r w:rsidR="008762FE">
        <w:t>five</w:t>
      </w:r>
      <w:r w:rsidRPr="00A95F97">
        <w:t>-year period ending December 31, 201</w:t>
      </w:r>
      <w:r w:rsidR="008762FE">
        <w:t>6</w:t>
      </w:r>
      <w:r w:rsidRPr="00A95F97">
        <w:t xml:space="preserve">.  Avista needs adequate cash flow from operations to fund these requirements, together with access to capital from external sources under reasonable terms. </w:t>
      </w:r>
    </w:p>
    <w:p w:rsidR="00C50C02" w:rsidRPr="00C50C02" w:rsidRDefault="00C50C02" w:rsidP="007D066E">
      <w:pPr>
        <w:tabs>
          <w:tab w:val="num" w:pos="720"/>
        </w:tabs>
        <w:ind w:left="0" w:right="18" w:hanging="360"/>
      </w:pPr>
    </w:p>
    <w:p w:rsidR="00C50C02" w:rsidRPr="00C50C02" w:rsidRDefault="00C50C02" w:rsidP="007D066E">
      <w:pPr>
        <w:numPr>
          <w:ilvl w:val="0"/>
          <w:numId w:val="5"/>
        </w:numPr>
        <w:ind w:left="0" w:right="18"/>
      </w:pPr>
      <w:r w:rsidRPr="00C50C02" w:rsidDel="004F218E">
        <w:t>Avista’s corporate credit rating from Standard &amp; Poor’s</w:t>
      </w:r>
      <w:r w:rsidR="00F00F55" w:rsidDel="004F218E">
        <w:t xml:space="preserve"> (S&amp;P)</w:t>
      </w:r>
      <w:r w:rsidRPr="00C50C02" w:rsidDel="004F218E">
        <w:t xml:space="preserve"> is currently BBB and Baa</w:t>
      </w:r>
      <w:r w:rsidR="0058097E" w:rsidDel="004F218E">
        <w:t>2</w:t>
      </w:r>
      <w:r w:rsidRPr="00C50C02" w:rsidDel="004F218E">
        <w:t xml:space="preserve"> from Moody’s</w:t>
      </w:r>
      <w:r w:rsidR="00F00F55" w:rsidDel="004F218E">
        <w:t xml:space="preserve"> Investors Service (Moody’s)</w:t>
      </w:r>
      <w:r w:rsidRPr="00C50C02" w:rsidDel="004F218E">
        <w:t xml:space="preserve">. </w:t>
      </w:r>
      <w:r w:rsidRPr="00C50C02">
        <w:t xml:space="preserve">Avista </w:t>
      </w:r>
      <w:r w:rsidR="0024540E">
        <w:t>must</w:t>
      </w:r>
      <w:r w:rsidRPr="00C50C02">
        <w:t xml:space="preserve"> operate at a level that will support a </w:t>
      </w:r>
      <w:r w:rsidR="00E31B41">
        <w:t>solid</w:t>
      </w:r>
      <w:r w:rsidRPr="00C50C02">
        <w:t xml:space="preserve"> investment grade corporate credit rating in order to access capital markets at reasonable </w:t>
      </w:r>
      <w:proofErr w:type="gramStart"/>
      <w:r w:rsidRPr="00C50C02">
        <w:t xml:space="preserve">rates, </w:t>
      </w:r>
      <w:r w:rsidR="00AD17D9">
        <w:t>that</w:t>
      </w:r>
      <w:proofErr w:type="gramEnd"/>
      <w:r w:rsidR="00AD17D9">
        <w:t xml:space="preserve"> will positively affect long-term cost</w:t>
      </w:r>
      <w:r w:rsidR="00E955FA">
        <w:t>s</w:t>
      </w:r>
      <w:r w:rsidR="00AD17D9">
        <w:t xml:space="preserve"> to customers</w:t>
      </w:r>
      <w:r w:rsidRPr="00C50C02">
        <w:t xml:space="preserve">. </w:t>
      </w:r>
      <w:r w:rsidR="007147E8">
        <w:t xml:space="preserve">A supportive regulatory environment </w:t>
      </w:r>
      <w:r w:rsidR="00690E67">
        <w:t>is an important</w:t>
      </w:r>
      <w:r w:rsidR="00293AD5">
        <w:t xml:space="preserve"> consideration by the rating agencies when reviewing </w:t>
      </w:r>
      <w:r w:rsidR="00235B52">
        <w:t>Avista</w:t>
      </w:r>
      <w:r w:rsidR="007147E8">
        <w:t xml:space="preserve">. </w:t>
      </w:r>
      <w:r w:rsidRPr="00C50C02">
        <w:t>Maintaining solid credit metrics and credit ratings will also help support a stock price necessary to issue equity</w:t>
      </w:r>
      <w:r w:rsidR="00690E67">
        <w:t xml:space="preserve"> under reasonable terms</w:t>
      </w:r>
      <w:r w:rsidRPr="00C50C02">
        <w:t xml:space="preserve"> to fund capital requirements.</w:t>
      </w:r>
    </w:p>
    <w:p w:rsidR="00C50C02" w:rsidRPr="00355F58" w:rsidRDefault="00C50C02" w:rsidP="007D066E">
      <w:pPr>
        <w:numPr>
          <w:ilvl w:val="0"/>
          <w:numId w:val="4"/>
        </w:numPr>
        <w:ind w:left="0" w:right="18"/>
      </w:pPr>
      <w:r w:rsidRPr="00355F58">
        <w:t xml:space="preserve">The Company </w:t>
      </w:r>
      <w:r w:rsidR="00235B52">
        <w:t>is</w:t>
      </w:r>
      <w:r w:rsidR="00235B52" w:rsidRPr="00355F58">
        <w:t xml:space="preserve"> </w:t>
      </w:r>
      <w:r w:rsidRPr="00355F58">
        <w:t>propos</w:t>
      </w:r>
      <w:r w:rsidR="00235B52">
        <w:t>ing</w:t>
      </w:r>
      <w:r w:rsidRPr="00355F58">
        <w:t xml:space="preserve"> an overall rate of return of </w:t>
      </w:r>
      <w:r w:rsidR="00B410EE">
        <w:t>8.25</w:t>
      </w:r>
      <w:r w:rsidR="00355F58" w:rsidRPr="00355F58">
        <w:t xml:space="preserve">%, </w:t>
      </w:r>
      <w:r w:rsidRPr="00355F58">
        <w:t xml:space="preserve">including a </w:t>
      </w:r>
      <w:r w:rsidR="00B410EE">
        <w:t>48.4</w:t>
      </w:r>
      <w:r w:rsidR="00355F58" w:rsidRPr="00355F58">
        <w:t xml:space="preserve">% </w:t>
      </w:r>
      <w:r w:rsidRPr="00355F58">
        <w:t xml:space="preserve">equity ratio and a </w:t>
      </w:r>
      <w:r w:rsidR="00B410EE">
        <w:t>10.90</w:t>
      </w:r>
      <w:r w:rsidR="00355F58" w:rsidRPr="00355F58">
        <w:t xml:space="preserve">% </w:t>
      </w:r>
      <w:r w:rsidRPr="00355F58">
        <w:t xml:space="preserve">return on equity.  </w:t>
      </w:r>
      <w:r w:rsidR="00D8712E">
        <w:t xml:space="preserve">Our </w:t>
      </w:r>
      <w:r w:rsidR="00690E67">
        <w:t>pro</w:t>
      </w:r>
      <w:r w:rsidR="004137C4">
        <w:t xml:space="preserve"> </w:t>
      </w:r>
      <w:r w:rsidR="00690E67">
        <w:t>forma</w:t>
      </w:r>
      <w:r w:rsidR="00235B52">
        <w:t xml:space="preserve"> </w:t>
      </w:r>
      <w:r w:rsidR="00355F58" w:rsidRPr="00355F58">
        <w:t xml:space="preserve">cost of debt is </w:t>
      </w:r>
      <w:r w:rsidR="00B410EE">
        <w:t>5.76</w:t>
      </w:r>
      <w:r w:rsidR="00690E67">
        <w:t>%.</w:t>
      </w:r>
    </w:p>
    <w:p w:rsidR="00C50C02" w:rsidRPr="00C50C02" w:rsidRDefault="00C50C02" w:rsidP="007D066E">
      <w:pPr>
        <w:tabs>
          <w:tab w:val="num" w:pos="1440"/>
        </w:tabs>
        <w:ind w:left="0" w:right="18"/>
      </w:pPr>
    </w:p>
    <w:p w:rsidR="00C50C02" w:rsidRDefault="00C50C02" w:rsidP="0051339F">
      <w:pPr>
        <w:pStyle w:val="BodyText2"/>
        <w:spacing w:before="0" w:after="0"/>
        <w:ind w:left="0" w:right="14" w:firstLine="720"/>
        <w:rPr>
          <w:rFonts w:ascii="Times New Roman" w:hAnsi="Times New Roman" w:cs="Times New Roman"/>
        </w:rPr>
      </w:pPr>
      <w:r w:rsidRPr="00C50C02">
        <w:rPr>
          <w:rFonts w:ascii="Times New Roman" w:hAnsi="Times New Roman" w:cs="Times New Roman"/>
        </w:rPr>
        <w:t xml:space="preserve">The Company’s initiatives to carefully manage its operating costs and capital expenditures are an important part of </w:t>
      </w:r>
      <w:r w:rsidR="00F36F06">
        <w:rPr>
          <w:rFonts w:ascii="Times New Roman" w:hAnsi="Times New Roman" w:cs="Times New Roman"/>
        </w:rPr>
        <w:t>our</w:t>
      </w:r>
      <w:r w:rsidR="00F36F06" w:rsidRPr="00C50C02">
        <w:rPr>
          <w:rFonts w:ascii="Times New Roman" w:hAnsi="Times New Roman" w:cs="Times New Roman"/>
        </w:rPr>
        <w:t xml:space="preserve"> </w:t>
      </w:r>
      <w:r w:rsidRPr="00C50C02">
        <w:rPr>
          <w:rFonts w:ascii="Times New Roman" w:hAnsi="Times New Roman" w:cs="Times New Roman"/>
        </w:rPr>
        <w:t>performance, but are not sufficient without revenues from the general rate request for our electric and natural gas businesses in these cases.</w:t>
      </w:r>
      <w:r w:rsidR="00235B52">
        <w:rPr>
          <w:rFonts w:ascii="Times New Roman" w:hAnsi="Times New Roman" w:cs="Times New Roman"/>
        </w:rPr>
        <w:t xml:space="preserve"> </w:t>
      </w:r>
      <w:r w:rsidR="008E4E5D">
        <w:rPr>
          <w:rFonts w:ascii="Times New Roman" w:hAnsi="Times New Roman" w:cs="Times New Roman"/>
        </w:rPr>
        <w:t xml:space="preserve"> </w:t>
      </w:r>
      <w:r w:rsidR="005E1029">
        <w:rPr>
          <w:rFonts w:ascii="Times New Roman" w:hAnsi="Times New Roman" w:cs="Times New Roman"/>
        </w:rPr>
        <w:t>Sufficient</w:t>
      </w:r>
      <w:r w:rsidRPr="00C50C02">
        <w:rPr>
          <w:rFonts w:ascii="Times New Roman" w:hAnsi="Times New Roman" w:cs="Times New Roman"/>
        </w:rPr>
        <w:t xml:space="preserve"> cash flows from operations can only be achieved with the support of </w:t>
      </w:r>
      <w:r w:rsidRPr="00C50C02">
        <w:rPr>
          <w:rFonts w:ascii="Times New Roman" w:hAnsi="Times New Roman" w:cs="Times New Roman"/>
        </w:rPr>
        <w:lastRenderedPageBreak/>
        <w:t xml:space="preserve">regulators in allowing the timely recovery of costs and the ability to earn a </w:t>
      </w:r>
      <w:r w:rsidR="00690E67">
        <w:rPr>
          <w:rFonts w:ascii="Times New Roman" w:hAnsi="Times New Roman" w:cs="Times New Roman"/>
        </w:rPr>
        <w:t>reasonable</w:t>
      </w:r>
      <w:r w:rsidRPr="00C50C02">
        <w:rPr>
          <w:rFonts w:ascii="Times New Roman" w:hAnsi="Times New Roman" w:cs="Times New Roman"/>
        </w:rPr>
        <w:t xml:space="preserve"> return on</w:t>
      </w:r>
      <w:r w:rsidR="005B3F97">
        <w:rPr>
          <w:rFonts w:ascii="Times New Roman" w:hAnsi="Times New Roman" w:cs="Times New Roman"/>
        </w:rPr>
        <w:t xml:space="preserve"> our rate base assets</w:t>
      </w:r>
      <w:r w:rsidRPr="00C50C02">
        <w:rPr>
          <w:rFonts w:ascii="Times New Roman" w:hAnsi="Times New Roman" w:cs="Times New Roman"/>
        </w:rPr>
        <w:t xml:space="preserve">.  </w:t>
      </w:r>
    </w:p>
    <w:p w:rsidR="000F0CFC" w:rsidRDefault="0016032D" w:rsidP="003F3F12">
      <w:pPr>
        <w:pStyle w:val="TestBody"/>
        <w:spacing w:before="0" w:after="0" w:line="480" w:lineRule="auto"/>
        <w:ind w:left="0" w:right="14" w:firstLine="720"/>
        <w:rPr>
          <w:rFonts w:ascii="Times New Roman" w:hAnsi="Times New Roman" w:cs="Times New Roman"/>
        </w:rPr>
      </w:pPr>
      <w:r w:rsidRPr="00345A0E">
        <w:rPr>
          <w:rFonts w:ascii="Times New Roman" w:hAnsi="Times New Roman" w:cs="Times New Roman"/>
        </w:rPr>
        <w:t>A table of contents for my testimony is as follows:</w:t>
      </w:r>
    </w:p>
    <w:p w:rsidR="0016032D" w:rsidRPr="00345A0E" w:rsidRDefault="0016032D" w:rsidP="003F3F12">
      <w:pPr>
        <w:pStyle w:val="TestBody"/>
        <w:tabs>
          <w:tab w:val="left" w:pos="7920"/>
        </w:tabs>
        <w:spacing w:before="0" w:after="0" w:line="480" w:lineRule="auto"/>
        <w:ind w:left="0" w:right="18" w:firstLine="720"/>
        <w:rPr>
          <w:rFonts w:ascii="Times New Roman" w:hAnsi="Times New Roman" w:cs="Times New Roman"/>
          <w:u w:val="single"/>
        </w:rPr>
      </w:pPr>
      <w:r w:rsidRPr="00345A0E">
        <w:rPr>
          <w:rFonts w:ascii="Times New Roman" w:hAnsi="Times New Roman" w:cs="Times New Roman"/>
          <w:u w:val="single"/>
        </w:rPr>
        <w:t>Description</w:t>
      </w:r>
      <w:r w:rsidRPr="00345A0E">
        <w:rPr>
          <w:rFonts w:ascii="Times New Roman" w:hAnsi="Times New Roman" w:cs="Times New Roman"/>
          <w:u w:val="single"/>
        </w:rPr>
        <w:tab/>
        <w:t>Page</w:t>
      </w:r>
    </w:p>
    <w:p w:rsidR="0016032D" w:rsidRPr="00345A0E" w:rsidRDefault="0016032D" w:rsidP="00616A7E">
      <w:pPr>
        <w:tabs>
          <w:tab w:val="left" w:pos="7920"/>
        </w:tabs>
        <w:spacing w:line="360" w:lineRule="auto"/>
        <w:ind w:left="1440" w:right="18" w:hanging="720"/>
      </w:pPr>
      <w:r w:rsidRPr="00345A0E">
        <w:t>I.</w:t>
      </w:r>
      <w:r w:rsidRPr="00345A0E">
        <w:tab/>
        <w:t>Introduction</w:t>
      </w:r>
      <w:r w:rsidRPr="00345A0E">
        <w:tab/>
        <w:t>1</w:t>
      </w:r>
    </w:p>
    <w:p w:rsidR="0016032D" w:rsidRPr="00345A0E" w:rsidRDefault="0016032D" w:rsidP="00616A7E">
      <w:pPr>
        <w:tabs>
          <w:tab w:val="left" w:pos="7920"/>
        </w:tabs>
        <w:spacing w:line="360" w:lineRule="auto"/>
        <w:ind w:left="1440" w:right="18" w:hanging="720"/>
      </w:pPr>
      <w:r w:rsidRPr="00345A0E">
        <w:t>II.</w:t>
      </w:r>
      <w:r w:rsidRPr="00345A0E">
        <w:tab/>
      </w:r>
      <w:r>
        <w:t>Financial Overview</w:t>
      </w:r>
      <w:r w:rsidRPr="00345A0E">
        <w:tab/>
      </w:r>
      <w:r w:rsidR="00EC5FB0">
        <w:t>3</w:t>
      </w:r>
    </w:p>
    <w:p w:rsidR="00645B40" w:rsidRDefault="0016032D" w:rsidP="00616A7E">
      <w:pPr>
        <w:tabs>
          <w:tab w:val="left" w:pos="7920"/>
        </w:tabs>
        <w:spacing w:line="360" w:lineRule="auto"/>
        <w:ind w:left="1440" w:right="18" w:hanging="720"/>
      </w:pPr>
      <w:r w:rsidRPr="00345A0E">
        <w:t>III.</w:t>
      </w:r>
      <w:r w:rsidRPr="00345A0E">
        <w:tab/>
      </w:r>
      <w:r>
        <w:t>Credit Ratings</w:t>
      </w:r>
      <w:r>
        <w:tab/>
      </w:r>
      <w:r w:rsidR="00EC5FB0">
        <w:t>9</w:t>
      </w:r>
    </w:p>
    <w:p w:rsidR="0016032D" w:rsidRPr="00345A0E" w:rsidRDefault="0016032D" w:rsidP="00616A7E">
      <w:pPr>
        <w:tabs>
          <w:tab w:val="left" w:pos="7920"/>
        </w:tabs>
        <w:spacing w:line="360" w:lineRule="auto"/>
        <w:ind w:left="1440" w:right="18" w:hanging="720"/>
      </w:pPr>
      <w:r w:rsidRPr="00345A0E">
        <w:t>IV.</w:t>
      </w:r>
      <w:r w:rsidRPr="00345A0E">
        <w:tab/>
      </w:r>
      <w:r>
        <w:t>Cash Flow</w:t>
      </w:r>
      <w:r w:rsidRPr="00345A0E">
        <w:tab/>
      </w:r>
      <w:r w:rsidR="00645B40">
        <w:t>1</w:t>
      </w:r>
      <w:r w:rsidR="00EC5FB0">
        <w:t>6</w:t>
      </w:r>
    </w:p>
    <w:p w:rsidR="0016032D" w:rsidRPr="00345A0E" w:rsidRDefault="0016032D" w:rsidP="00616A7E">
      <w:pPr>
        <w:tabs>
          <w:tab w:val="left" w:pos="7920"/>
        </w:tabs>
        <w:spacing w:line="360" w:lineRule="auto"/>
        <w:ind w:left="1440" w:right="18" w:hanging="720"/>
      </w:pPr>
      <w:r w:rsidRPr="00345A0E">
        <w:t>V.</w:t>
      </w:r>
      <w:r w:rsidRPr="00345A0E">
        <w:tab/>
      </w:r>
      <w:r>
        <w:t>Capital Structure</w:t>
      </w:r>
      <w:r w:rsidRPr="00345A0E">
        <w:tab/>
      </w:r>
      <w:r w:rsidR="00645B40">
        <w:t>2</w:t>
      </w:r>
      <w:r w:rsidR="00EC5FB0">
        <w:t>2</w:t>
      </w:r>
    </w:p>
    <w:p w:rsidR="0016032D" w:rsidRPr="00345A0E" w:rsidRDefault="0016032D" w:rsidP="00616A7E">
      <w:pPr>
        <w:tabs>
          <w:tab w:val="left" w:pos="7920"/>
        </w:tabs>
        <w:spacing w:line="360" w:lineRule="auto"/>
        <w:ind w:left="1440" w:right="18" w:hanging="720"/>
      </w:pPr>
      <w:r w:rsidRPr="00345A0E">
        <w:t>VI.</w:t>
      </w:r>
      <w:r w:rsidRPr="00345A0E">
        <w:tab/>
      </w:r>
      <w:r>
        <w:t>Cost of Debt</w:t>
      </w:r>
      <w:r>
        <w:tab/>
      </w:r>
      <w:r w:rsidR="00645B40">
        <w:t>2</w:t>
      </w:r>
      <w:r w:rsidR="00EC5FB0">
        <w:t>3</w:t>
      </w:r>
    </w:p>
    <w:p w:rsidR="0016032D" w:rsidRPr="00345A0E" w:rsidRDefault="0016032D" w:rsidP="00616A7E">
      <w:pPr>
        <w:tabs>
          <w:tab w:val="left" w:pos="7920"/>
        </w:tabs>
        <w:spacing w:line="360" w:lineRule="auto"/>
        <w:ind w:left="1440" w:right="18" w:hanging="720"/>
      </w:pPr>
      <w:r w:rsidRPr="00345A0E">
        <w:t>VII.</w:t>
      </w:r>
      <w:r w:rsidRPr="00345A0E">
        <w:tab/>
      </w:r>
      <w:r>
        <w:t>Cost of Common Equity</w:t>
      </w:r>
      <w:r>
        <w:tab/>
      </w:r>
      <w:r w:rsidR="00645B40">
        <w:t>2</w:t>
      </w:r>
      <w:r w:rsidR="00EC5FB0">
        <w:t>3</w:t>
      </w:r>
    </w:p>
    <w:p w:rsidR="0016032D" w:rsidRDefault="0016032D" w:rsidP="00616A7E">
      <w:pPr>
        <w:pStyle w:val="BodyText2"/>
        <w:spacing w:before="0" w:after="0"/>
        <w:ind w:left="0" w:right="18" w:firstLine="720"/>
        <w:rPr>
          <w:rFonts w:ascii="Times New Roman" w:hAnsi="Times New Roman" w:cs="Times New Roman"/>
          <w:b/>
          <w:bCs/>
        </w:rPr>
      </w:pPr>
    </w:p>
    <w:p w:rsidR="00C50C02" w:rsidRPr="00C50C02" w:rsidRDefault="00C50C02" w:rsidP="00616A7E">
      <w:pPr>
        <w:pStyle w:val="BodyText2"/>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Are you sponsoring any exhibits with your direct testimony?</w:t>
      </w:r>
    </w:p>
    <w:p w:rsidR="008C1CD6"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Yes.  I am sponsoring Exhibit</w:t>
      </w:r>
      <w:r w:rsidR="006D18D1" w:rsidRPr="001A3306">
        <w:rPr>
          <w:rFonts w:ascii="Times New Roman" w:hAnsi="Times New Roman" w:cs="Times New Roman"/>
        </w:rPr>
        <w:t xml:space="preserve"> No.__</w:t>
      </w:r>
      <w:r w:rsidR="00043707" w:rsidRPr="001A3306">
        <w:rPr>
          <w:rFonts w:ascii="Times New Roman" w:hAnsi="Times New Roman" w:cs="Times New Roman"/>
        </w:rPr>
        <w:t>_ (</w:t>
      </w:r>
      <w:r w:rsidR="00355F58" w:rsidRPr="001A3306">
        <w:rPr>
          <w:rFonts w:ascii="Times New Roman" w:hAnsi="Times New Roman" w:cs="Times New Roman"/>
        </w:rPr>
        <w:t>MTT</w:t>
      </w:r>
      <w:r w:rsidR="006D18D1" w:rsidRPr="001A3306">
        <w:rPr>
          <w:rFonts w:ascii="Times New Roman" w:hAnsi="Times New Roman" w:cs="Times New Roman"/>
        </w:rPr>
        <w:t xml:space="preserve">-2) pages 1 through </w:t>
      </w:r>
      <w:r w:rsidR="00B410EE">
        <w:rPr>
          <w:rFonts w:ascii="Times New Roman" w:hAnsi="Times New Roman" w:cs="Times New Roman"/>
        </w:rPr>
        <w:t>6</w:t>
      </w:r>
      <w:r w:rsidRPr="001A3306">
        <w:rPr>
          <w:rFonts w:ascii="Times New Roman" w:hAnsi="Times New Roman" w:cs="Times New Roman"/>
        </w:rPr>
        <w:t xml:space="preserve">, which were prepared under my direction.  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9A2BBC">
        <w:rPr>
          <w:rFonts w:ascii="Times New Roman" w:hAnsi="Times New Roman" w:cs="Times New Roman"/>
        </w:rPr>
        <w:t>a</w:t>
      </w:r>
      <w:r w:rsidR="00E31B41">
        <w:rPr>
          <w:rFonts w:ascii="Times New Roman" w:hAnsi="Times New Roman" w:cs="Times New Roman"/>
        </w:rPr>
        <w:t>re</w:t>
      </w:r>
      <w:r w:rsidR="009A2BBC" w:rsidRPr="001A3306">
        <w:rPr>
          <w:rFonts w:ascii="Times New Roman" w:hAnsi="Times New Roman" w:cs="Times New Roman"/>
        </w:rPr>
        <w:t xml:space="preserve"> </w:t>
      </w:r>
      <w:r w:rsidRPr="001A3306">
        <w:rPr>
          <w:rFonts w:ascii="Times New Roman" w:hAnsi="Times New Roman" w:cs="Times New Roman"/>
        </w:rPr>
        <w:t xml:space="preserve">summarized on page </w:t>
      </w:r>
      <w:r w:rsidR="00B410EE">
        <w:rPr>
          <w:rFonts w:ascii="Times New Roman" w:hAnsi="Times New Roman" w:cs="Times New Roman"/>
        </w:rPr>
        <w:t>1</w:t>
      </w:r>
      <w:r w:rsidRPr="001A3306">
        <w:rPr>
          <w:rFonts w:ascii="Times New Roman" w:hAnsi="Times New Roman" w:cs="Times New Roman"/>
        </w:rPr>
        <w:t xml:space="preserve">, and Avista’s actual capital structure at </w:t>
      </w:r>
      <w:r w:rsidR="00F27370" w:rsidRPr="001A3306">
        <w:rPr>
          <w:rFonts w:ascii="Times New Roman" w:hAnsi="Times New Roman" w:cs="Times New Roman"/>
        </w:rPr>
        <w:t>December 31</w:t>
      </w:r>
      <w:r w:rsidRPr="001A3306">
        <w:rPr>
          <w:rFonts w:ascii="Times New Roman" w:hAnsi="Times New Roman" w:cs="Times New Roman"/>
        </w:rPr>
        <w:t>, 20</w:t>
      </w:r>
      <w:r w:rsidR="00066B5D">
        <w:rPr>
          <w:rFonts w:ascii="Times New Roman" w:hAnsi="Times New Roman" w:cs="Times New Roman"/>
        </w:rPr>
        <w:t>1</w:t>
      </w:r>
      <w:r w:rsidR="0051499A">
        <w:rPr>
          <w:rFonts w:ascii="Times New Roman" w:hAnsi="Times New Roman" w:cs="Times New Roman"/>
        </w:rPr>
        <w:t>1</w:t>
      </w:r>
      <w:r w:rsidRPr="001A3306">
        <w:rPr>
          <w:rFonts w:ascii="Times New Roman" w:hAnsi="Times New Roman" w:cs="Times New Roman"/>
        </w:rPr>
        <w:t xml:space="preserve"> and pro</w:t>
      </w:r>
      <w:r w:rsidR="00235B52">
        <w:rPr>
          <w:rFonts w:ascii="Times New Roman" w:hAnsi="Times New Roman" w:cs="Times New Roman"/>
        </w:rPr>
        <w:t xml:space="preserve"> </w:t>
      </w:r>
      <w:r w:rsidRPr="001A3306">
        <w:rPr>
          <w:rFonts w:ascii="Times New Roman" w:hAnsi="Times New Roman" w:cs="Times New Roman"/>
        </w:rPr>
        <w:t xml:space="preserve">forma capital structure at </w:t>
      </w:r>
      <w:r w:rsidR="00231E0B" w:rsidRPr="001A3306">
        <w:rPr>
          <w:rFonts w:ascii="Times New Roman" w:hAnsi="Times New Roman" w:cs="Times New Roman"/>
        </w:rPr>
        <w:t>December 31, 20</w:t>
      </w:r>
      <w:r w:rsidR="003912A6" w:rsidRPr="001A3306">
        <w:rPr>
          <w:rFonts w:ascii="Times New Roman" w:hAnsi="Times New Roman" w:cs="Times New Roman"/>
        </w:rPr>
        <w:t>1</w:t>
      </w:r>
      <w:r w:rsidR="0051499A">
        <w:rPr>
          <w:rFonts w:ascii="Times New Roman" w:hAnsi="Times New Roman" w:cs="Times New Roman"/>
        </w:rPr>
        <w:t>2</w:t>
      </w:r>
      <w:r w:rsidRPr="001A3306">
        <w:rPr>
          <w:rFonts w:ascii="Times New Roman" w:hAnsi="Times New Roman" w:cs="Times New Roman"/>
        </w:rPr>
        <w:t xml:space="preserve"> are included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008D76C0">
        <w:rPr>
          <w:rFonts w:ascii="Times New Roman" w:hAnsi="Times New Roman" w:cs="Times New Roman"/>
        </w:rPr>
        <w:t xml:space="preserve"> </w:t>
      </w:r>
      <w:r w:rsidR="00690E67">
        <w:rPr>
          <w:rFonts w:ascii="Times New Roman" w:hAnsi="Times New Roman" w:cs="Times New Roman"/>
        </w:rPr>
        <w:t>of the E</w:t>
      </w:r>
      <w:r w:rsidR="00231E0B" w:rsidRPr="001A3306">
        <w:rPr>
          <w:rFonts w:ascii="Times New Roman" w:hAnsi="Times New Roman" w:cs="Times New Roman"/>
        </w:rPr>
        <w:t>xhibit</w:t>
      </w:r>
      <w:r w:rsidRPr="001A3306">
        <w:rPr>
          <w:rFonts w:ascii="Times New Roman" w:hAnsi="Times New Roman" w:cs="Times New Roman"/>
        </w:rPr>
        <w:t>.</w:t>
      </w:r>
    </w:p>
    <w:p w:rsidR="00E56ED5" w:rsidRDefault="00E56ED5" w:rsidP="0051339F">
      <w:pPr>
        <w:pStyle w:val="BodyText2"/>
        <w:tabs>
          <w:tab w:val="clear" w:pos="720"/>
        </w:tabs>
        <w:spacing w:before="0" w:after="0"/>
        <w:ind w:left="0" w:right="14" w:firstLine="720"/>
        <w:rPr>
          <w:rFonts w:ascii="Times New Roman" w:hAnsi="Times New Roman" w:cs="Times New Roman"/>
        </w:rPr>
      </w:pPr>
    </w:p>
    <w:p w:rsidR="00C50C02" w:rsidRPr="0016032D" w:rsidRDefault="00C50C02" w:rsidP="00E56ED5">
      <w:pPr>
        <w:pStyle w:val="BodyText2"/>
        <w:tabs>
          <w:tab w:val="clear" w:pos="720"/>
        </w:tabs>
        <w:spacing w:before="0" w:after="0"/>
        <w:ind w:left="0" w:right="14"/>
        <w:jc w:val="center"/>
        <w:rPr>
          <w:rFonts w:ascii="Times New Roman" w:hAnsi="Times New Roman" w:cs="Times New Roman"/>
          <w:b/>
          <w:bCs/>
          <w:u w:val="single"/>
        </w:rPr>
      </w:pPr>
      <w:bookmarkStart w:id="1" w:name="_Toc289931769"/>
      <w:r w:rsidRPr="0016032D">
        <w:rPr>
          <w:rFonts w:ascii="Times New Roman" w:hAnsi="Times New Roman" w:cs="Times New Roman"/>
          <w:b/>
          <w:bCs/>
          <w:u w:val="single"/>
        </w:rPr>
        <w:t>II. FINANCIAL OVERVIEW</w:t>
      </w:r>
      <w:bookmarkEnd w:id="1"/>
    </w:p>
    <w:p w:rsidR="00C50C02" w:rsidRPr="0016032D" w:rsidRDefault="00C50C02" w:rsidP="0051339F">
      <w:pPr>
        <w:pStyle w:val="BodyText2"/>
        <w:tabs>
          <w:tab w:val="clear" w:pos="720"/>
        </w:tabs>
        <w:spacing w:before="0" w:after="0"/>
        <w:ind w:left="0" w:right="14" w:firstLine="720"/>
        <w:rPr>
          <w:rFonts w:ascii="Times New Roman" w:hAnsi="Times New Roman" w:cs="Times New Roman"/>
          <w:b/>
          <w:bCs/>
        </w:rPr>
      </w:pPr>
      <w:r w:rsidRPr="0016032D">
        <w:rPr>
          <w:rFonts w:ascii="Times New Roman" w:hAnsi="Times New Roman" w:cs="Times New Roman"/>
          <w:b/>
          <w:bCs/>
        </w:rPr>
        <w:t>Q.</w:t>
      </w:r>
      <w:r w:rsidRPr="0016032D">
        <w:rPr>
          <w:rFonts w:ascii="Times New Roman" w:hAnsi="Times New Roman" w:cs="Times New Roman"/>
          <w:b/>
          <w:bCs/>
        </w:rPr>
        <w:tab/>
        <w:t>Please provide an overview of Avista's financial situation.</w:t>
      </w:r>
    </w:p>
    <w:p w:rsidR="000F0CFC" w:rsidRDefault="00C50C02" w:rsidP="00E56ED5">
      <w:pPr>
        <w:pStyle w:val="BodyText2"/>
        <w:spacing w:before="0" w:after="0"/>
        <w:ind w:left="0" w:right="14" w:firstLine="720"/>
        <w:rPr>
          <w:rFonts w:ascii="Times New Roman" w:hAnsi="Times New Roman" w:cs="Times New Roman"/>
        </w:rPr>
      </w:pPr>
      <w:r w:rsidRPr="0016032D">
        <w:rPr>
          <w:rFonts w:ascii="Times New Roman" w:hAnsi="Times New Roman" w:cs="Times New Roman"/>
        </w:rPr>
        <w:t>A.</w:t>
      </w:r>
      <w:r w:rsidRPr="0016032D">
        <w:rPr>
          <w:rFonts w:ascii="Times New Roman" w:hAnsi="Times New Roman" w:cs="Times New Roman"/>
        </w:rPr>
        <w:tab/>
        <w:t xml:space="preserve">The Company </w:t>
      </w:r>
      <w:r w:rsidR="0051499A">
        <w:rPr>
          <w:rFonts w:ascii="Times New Roman" w:hAnsi="Times New Roman" w:cs="Times New Roman"/>
        </w:rPr>
        <w:t xml:space="preserve">continues to </w:t>
      </w:r>
      <w:r w:rsidR="008D76C0">
        <w:rPr>
          <w:rFonts w:ascii="Times New Roman" w:hAnsi="Times New Roman" w:cs="Times New Roman"/>
        </w:rPr>
        <w:t xml:space="preserve">make </w:t>
      </w:r>
      <w:r w:rsidR="008D76C0" w:rsidRPr="0016032D">
        <w:rPr>
          <w:rFonts w:ascii="Times New Roman" w:hAnsi="Times New Roman" w:cs="Times New Roman"/>
        </w:rPr>
        <w:t>solid</w:t>
      </w:r>
      <w:r w:rsidRPr="0016032D">
        <w:rPr>
          <w:rFonts w:ascii="Times New Roman" w:hAnsi="Times New Roman" w:cs="Times New Roman"/>
        </w:rPr>
        <w:t xml:space="preserve"> progress in improving its financial health in recent years, as demonstrated by improved financial ratios</w:t>
      </w:r>
      <w:r w:rsidR="00D17B40" w:rsidRPr="0016032D">
        <w:rPr>
          <w:rFonts w:ascii="Times New Roman" w:hAnsi="Times New Roman" w:cs="Times New Roman"/>
        </w:rPr>
        <w:t xml:space="preserve"> and recent credit rating </w:t>
      </w:r>
      <w:r w:rsidR="00D17B40" w:rsidRPr="0016032D">
        <w:rPr>
          <w:rFonts w:ascii="Times New Roman" w:hAnsi="Times New Roman" w:cs="Times New Roman"/>
        </w:rPr>
        <w:lastRenderedPageBreak/>
        <w:t>upgrades</w:t>
      </w:r>
      <w:r w:rsidRPr="0016032D">
        <w:rPr>
          <w:rFonts w:ascii="Times New Roman" w:hAnsi="Times New Roman" w:cs="Times New Roman"/>
        </w:rPr>
        <w:t>.  The Company has been able to improve</w:t>
      </w:r>
      <w:r w:rsidR="003912A6" w:rsidRPr="0016032D">
        <w:rPr>
          <w:rFonts w:ascii="Times New Roman" w:hAnsi="Times New Roman" w:cs="Times New Roman"/>
        </w:rPr>
        <w:t xml:space="preserve"> and balance</w:t>
      </w:r>
      <w:r w:rsidRPr="0016032D">
        <w:rPr>
          <w:rFonts w:ascii="Times New Roman" w:hAnsi="Times New Roman" w:cs="Times New Roman"/>
        </w:rPr>
        <w:t xml:space="preserve"> its debt </w:t>
      </w:r>
      <w:r w:rsidR="003912A6" w:rsidRPr="0016032D">
        <w:rPr>
          <w:rFonts w:ascii="Times New Roman" w:hAnsi="Times New Roman" w:cs="Times New Roman"/>
        </w:rPr>
        <w:t xml:space="preserve">and equity </w:t>
      </w:r>
      <w:r w:rsidRPr="0016032D">
        <w:rPr>
          <w:rFonts w:ascii="Times New Roman" w:hAnsi="Times New Roman" w:cs="Times New Roman"/>
        </w:rPr>
        <w:t>ratio</w:t>
      </w:r>
      <w:r w:rsidR="003912A6" w:rsidRPr="0016032D">
        <w:rPr>
          <w:rFonts w:ascii="Times New Roman" w:hAnsi="Times New Roman" w:cs="Times New Roman"/>
        </w:rPr>
        <w:t>s</w:t>
      </w:r>
      <w:r w:rsidR="00177575">
        <w:rPr>
          <w:rFonts w:ascii="Times New Roman" w:hAnsi="Times New Roman" w:cs="Times New Roman"/>
        </w:rPr>
        <w:t xml:space="preserve"> </w:t>
      </w:r>
      <w:r w:rsidR="008D76C0">
        <w:rPr>
          <w:rFonts w:ascii="Times New Roman" w:hAnsi="Times New Roman" w:cs="Times New Roman"/>
        </w:rPr>
        <w:t>through</w:t>
      </w:r>
      <w:r w:rsidR="008D76C0" w:rsidRPr="0016032D">
        <w:rPr>
          <w:rFonts w:ascii="Times New Roman" w:hAnsi="Times New Roman" w:cs="Times New Roman"/>
        </w:rPr>
        <w:t xml:space="preserve"> issuances</w:t>
      </w:r>
      <w:r w:rsidR="00A61F73">
        <w:rPr>
          <w:rFonts w:ascii="Times New Roman" w:hAnsi="Times New Roman" w:cs="Times New Roman"/>
        </w:rPr>
        <w:t xml:space="preserve"> of </w:t>
      </w:r>
      <w:r w:rsidR="00177575">
        <w:rPr>
          <w:rFonts w:ascii="Times New Roman" w:hAnsi="Times New Roman" w:cs="Times New Roman"/>
        </w:rPr>
        <w:t xml:space="preserve">debt and </w:t>
      </w:r>
      <w:r w:rsidRPr="0016032D">
        <w:rPr>
          <w:rFonts w:ascii="Times New Roman" w:hAnsi="Times New Roman" w:cs="Times New Roman"/>
        </w:rPr>
        <w:t>common stock</w:t>
      </w:r>
      <w:r w:rsidR="00A61F73">
        <w:rPr>
          <w:rFonts w:ascii="Times New Roman" w:hAnsi="Times New Roman" w:cs="Times New Roman"/>
        </w:rPr>
        <w:t>, and through additional retained earnings</w:t>
      </w:r>
      <w:r w:rsidR="00261931" w:rsidRPr="00261931">
        <w:rPr>
          <w:rFonts w:ascii="Times New Roman" w:hAnsi="Times New Roman" w:cs="Times New Roman"/>
        </w:rPr>
        <w:t>.</w:t>
      </w:r>
    </w:p>
    <w:p w:rsidR="00C50C02" w:rsidRPr="0016032D" w:rsidRDefault="00C50C02" w:rsidP="00E56ED5">
      <w:pPr>
        <w:pStyle w:val="BodyText2"/>
        <w:tabs>
          <w:tab w:val="clear" w:pos="720"/>
        </w:tabs>
        <w:spacing w:before="0" w:after="0"/>
        <w:ind w:left="0" w:right="18" w:firstLine="720"/>
        <w:rPr>
          <w:rFonts w:ascii="Times New Roman" w:hAnsi="Times New Roman" w:cs="Times New Roman"/>
        </w:rPr>
      </w:pPr>
      <w:r w:rsidRPr="0016032D">
        <w:rPr>
          <w:rFonts w:ascii="Times New Roman" w:hAnsi="Times New Roman" w:cs="Times New Roman"/>
        </w:rPr>
        <w:t xml:space="preserve">Avista’s goal is to operate at a level that will support a </w:t>
      </w:r>
      <w:r w:rsidR="00E31B41" w:rsidRPr="0016032D">
        <w:rPr>
          <w:rFonts w:ascii="Times New Roman" w:hAnsi="Times New Roman" w:cs="Times New Roman"/>
        </w:rPr>
        <w:t>solid</w:t>
      </w:r>
      <w:r w:rsidRPr="0016032D">
        <w:rPr>
          <w:rFonts w:ascii="Times New Roman" w:hAnsi="Times New Roman" w:cs="Times New Roman"/>
        </w:rPr>
        <w:t xml:space="preserve"> corporate credit rating of </w:t>
      </w:r>
      <w:r w:rsidR="00D1223F">
        <w:rPr>
          <w:rFonts w:ascii="Times New Roman" w:hAnsi="Times New Roman" w:cs="Times New Roman"/>
        </w:rPr>
        <w:t>at least BBB</w:t>
      </w:r>
      <w:r w:rsidR="008E0D85">
        <w:rPr>
          <w:rFonts w:ascii="Times New Roman" w:hAnsi="Times New Roman" w:cs="Times New Roman"/>
        </w:rPr>
        <w:t xml:space="preserve"> with a long-term goal of operating at a </w:t>
      </w:r>
      <w:r w:rsidR="00B9005A">
        <w:rPr>
          <w:rFonts w:ascii="Times New Roman" w:hAnsi="Times New Roman" w:cs="Times New Roman"/>
        </w:rPr>
        <w:t xml:space="preserve">corporate credit rating of </w:t>
      </w:r>
      <w:r w:rsidR="008E0D85">
        <w:rPr>
          <w:rFonts w:ascii="Times New Roman" w:hAnsi="Times New Roman" w:cs="Times New Roman"/>
        </w:rPr>
        <w:t>BBB+.</w:t>
      </w:r>
      <w:r w:rsidR="003D6484">
        <w:rPr>
          <w:rFonts w:ascii="Times New Roman" w:hAnsi="Times New Roman" w:cs="Times New Roman"/>
        </w:rPr>
        <w:t xml:space="preserve"> </w:t>
      </w:r>
      <w:r w:rsidRPr="0016032D">
        <w:rPr>
          <w:rFonts w:ascii="Times New Roman" w:hAnsi="Times New Roman" w:cs="Times New Roman"/>
        </w:rPr>
        <w:t xml:space="preserve">Operating at </w:t>
      </w:r>
      <w:r w:rsidR="005C56D2" w:rsidRPr="0016032D">
        <w:rPr>
          <w:rFonts w:ascii="Times New Roman" w:hAnsi="Times New Roman" w:cs="Times New Roman"/>
        </w:rPr>
        <w:t>th</w:t>
      </w:r>
      <w:r w:rsidR="008E0D85">
        <w:rPr>
          <w:rFonts w:ascii="Times New Roman" w:hAnsi="Times New Roman" w:cs="Times New Roman"/>
        </w:rPr>
        <w:t>e</w:t>
      </w:r>
      <w:r w:rsidR="005C56D2" w:rsidRPr="0016032D">
        <w:rPr>
          <w:rFonts w:ascii="Times New Roman" w:hAnsi="Times New Roman" w:cs="Times New Roman"/>
        </w:rPr>
        <w:t>s</w:t>
      </w:r>
      <w:r w:rsidR="008E0D85">
        <w:rPr>
          <w:rFonts w:ascii="Times New Roman" w:hAnsi="Times New Roman" w:cs="Times New Roman"/>
        </w:rPr>
        <w:t>e</w:t>
      </w:r>
      <w:r w:rsidRPr="0016032D">
        <w:rPr>
          <w:rFonts w:ascii="Times New Roman" w:hAnsi="Times New Roman" w:cs="Times New Roman"/>
        </w:rPr>
        <w:t xml:space="preserve"> rating </w:t>
      </w:r>
      <w:r w:rsidR="005C56D2" w:rsidRPr="0016032D">
        <w:rPr>
          <w:rFonts w:ascii="Times New Roman" w:hAnsi="Times New Roman" w:cs="Times New Roman"/>
        </w:rPr>
        <w:t>level</w:t>
      </w:r>
      <w:r w:rsidR="008E0D85">
        <w:rPr>
          <w:rFonts w:ascii="Times New Roman" w:hAnsi="Times New Roman" w:cs="Times New Roman"/>
        </w:rPr>
        <w:t>s</w:t>
      </w:r>
      <w:r w:rsidR="005C56D2" w:rsidRPr="0016032D">
        <w:rPr>
          <w:rFonts w:ascii="Times New Roman" w:hAnsi="Times New Roman" w:cs="Times New Roman"/>
        </w:rPr>
        <w:t xml:space="preserve"> </w:t>
      </w:r>
      <w:r w:rsidRPr="0016032D">
        <w:rPr>
          <w:rFonts w:ascii="Times New Roman" w:hAnsi="Times New Roman" w:cs="Times New Roman"/>
        </w:rPr>
        <w:t xml:space="preserve">will </w:t>
      </w:r>
      <w:r w:rsidR="0006700A">
        <w:rPr>
          <w:rFonts w:ascii="Times New Roman" w:hAnsi="Times New Roman" w:cs="Times New Roman"/>
        </w:rPr>
        <w:t>positively affect</w:t>
      </w:r>
      <w:r w:rsidRPr="0016032D">
        <w:rPr>
          <w:rFonts w:ascii="Times New Roman" w:hAnsi="Times New Roman" w:cs="Times New Roman"/>
        </w:rPr>
        <w:t xml:space="preserve"> long-term costs to customers. We expect that a continued focus on the regulated utility, conservative financing strategies (including the issuance of common </w:t>
      </w:r>
      <w:r w:rsidR="0058097E" w:rsidRPr="0016032D">
        <w:rPr>
          <w:rFonts w:ascii="Times New Roman" w:hAnsi="Times New Roman" w:cs="Times New Roman"/>
        </w:rPr>
        <w:t>stock</w:t>
      </w:r>
      <w:r w:rsidRPr="0016032D">
        <w:rPr>
          <w:rFonts w:ascii="Times New Roman" w:hAnsi="Times New Roman" w:cs="Times New Roman"/>
        </w:rPr>
        <w:t>) and a supportive regulatory environment will contribute to</w:t>
      </w:r>
      <w:r w:rsidR="002F6A79" w:rsidRPr="0016032D">
        <w:rPr>
          <w:rFonts w:ascii="Times New Roman" w:hAnsi="Times New Roman" w:cs="Times New Roman"/>
        </w:rPr>
        <w:t xml:space="preserve"> </w:t>
      </w:r>
      <w:r w:rsidR="005E1029" w:rsidRPr="0016032D">
        <w:rPr>
          <w:rFonts w:ascii="Times New Roman" w:hAnsi="Times New Roman" w:cs="Times New Roman"/>
        </w:rPr>
        <w:t>operating at this rating level.</w:t>
      </w:r>
    </w:p>
    <w:p w:rsidR="005E1029" w:rsidRPr="0016032D" w:rsidRDefault="005E1029" w:rsidP="0051339F">
      <w:pPr>
        <w:pStyle w:val="BodyText2"/>
        <w:tabs>
          <w:tab w:val="clear" w:pos="720"/>
        </w:tabs>
        <w:spacing w:before="0" w:after="0"/>
        <w:ind w:left="0" w:right="14" w:firstLine="720"/>
        <w:rPr>
          <w:rFonts w:ascii="Times New Roman" w:hAnsi="Times New Roman" w:cs="Times New Roman"/>
        </w:rPr>
      </w:pPr>
      <w:r w:rsidRPr="0016032D">
        <w:rPr>
          <w:rFonts w:ascii="Times New Roman" w:hAnsi="Times New Roman" w:cs="Times New Roman"/>
        </w:rPr>
        <w:t>We are operating the business efficiently to keep costs as low as practicable for our customers, while at the same time ensuring that our energy service is reliable, and customers are satisfied.  An efficient, well-run business is not only important to our customers, but also to investors.  Additionally, the Company is working through regulatory processes so that earned returns are closer to those allowed by regulators in each of the states we serve.  This is one of the key determinants from the rating agencies’ standpoint when they are reviewing our overall credit ratings.</w:t>
      </w:r>
    </w:p>
    <w:p w:rsidR="00C50C02" w:rsidRPr="0016032D" w:rsidRDefault="00C50C02" w:rsidP="0051339F">
      <w:pPr>
        <w:pStyle w:val="BodyText2"/>
        <w:tabs>
          <w:tab w:val="clear" w:pos="720"/>
        </w:tabs>
        <w:spacing w:before="0" w:after="0"/>
        <w:ind w:left="0" w:right="14" w:firstLine="720"/>
        <w:rPr>
          <w:rFonts w:ascii="Times New Roman" w:hAnsi="Times New Roman" w:cs="Times New Roman"/>
          <w:b/>
          <w:bCs/>
        </w:rPr>
      </w:pPr>
      <w:proofErr w:type="gramStart"/>
      <w:r w:rsidRPr="0016032D">
        <w:rPr>
          <w:rFonts w:ascii="Times New Roman" w:hAnsi="Times New Roman" w:cs="Times New Roman"/>
          <w:b/>
          <w:bCs/>
        </w:rPr>
        <w:t>Q.</w:t>
      </w:r>
      <w:r w:rsidRPr="0016032D">
        <w:rPr>
          <w:rFonts w:ascii="Times New Roman" w:hAnsi="Times New Roman" w:cs="Times New Roman"/>
          <w:b/>
          <w:bCs/>
        </w:rPr>
        <w:tab/>
        <w:t xml:space="preserve">What additional steps </w:t>
      </w:r>
      <w:r w:rsidR="0058097E" w:rsidRPr="0016032D">
        <w:rPr>
          <w:rFonts w:ascii="Times New Roman" w:hAnsi="Times New Roman" w:cs="Times New Roman"/>
          <w:b/>
          <w:bCs/>
        </w:rPr>
        <w:t>has</w:t>
      </w:r>
      <w:r w:rsidRPr="0016032D">
        <w:rPr>
          <w:rFonts w:ascii="Times New Roman" w:hAnsi="Times New Roman" w:cs="Times New Roman"/>
          <w:b/>
          <w:bCs/>
        </w:rPr>
        <w:t xml:space="preserve"> the Company tak</w:t>
      </w:r>
      <w:r w:rsidR="0058097E" w:rsidRPr="0016032D">
        <w:rPr>
          <w:rFonts w:ascii="Times New Roman" w:hAnsi="Times New Roman" w:cs="Times New Roman"/>
          <w:b/>
          <w:bCs/>
        </w:rPr>
        <w:t>en</w:t>
      </w:r>
      <w:r w:rsidRPr="0016032D">
        <w:rPr>
          <w:rFonts w:ascii="Times New Roman" w:hAnsi="Times New Roman" w:cs="Times New Roman"/>
          <w:b/>
          <w:bCs/>
        </w:rPr>
        <w:t xml:space="preserve"> to improve its financial health?</w:t>
      </w:r>
      <w:proofErr w:type="gramEnd"/>
    </w:p>
    <w:p w:rsidR="005A4F17" w:rsidRDefault="00C50C02" w:rsidP="0051339F">
      <w:pPr>
        <w:pStyle w:val="BodyText2"/>
        <w:spacing w:before="0" w:after="0"/>
        <w:ind w:left="0" w:right="14" w:firstLine="720"/>
        <w:rPr>
          <w:rFonts w:ascii="Times New Roman" w:hAnsi="Times New Roman" w:cs="Times New Roman"/>
        </w:rPr>
      </w:pPr>
      <w:r w:rsidRPr="0016032D">
        <w:rPr>
          <w:rFonts w:ascii="Times New Roman" w:hAnsi="Times New Roman" w:cs="Times New Roman"/>
        </w:rPr>
        <w:t>A.</w:t>
      </w:r>
      <w:r w:rsidRPr="0016032D">
        <w:rPr>
          <w:rFonts w:ascii="Times New Roman" w:hAnsi="Times New Roman" w:cs="Times New Roman"/>
        </w:rPr>
        <w:tab/>
        <w:t xml:space="preserve">We are working to assure </w:t>
      </w:r>
      <w:r w:rsidR="002F6A79" w:rsidRPr="0016032D">
        <w:rPr>
          <w:rFonts w:ascii="Times New Roman" w:hAnsi="Times New Roman" w:cs="Times New Roman"/>
        </w:rPr>
        <w:t>there are</w:t>
      </w:r>
      <w:r w:rsidRPr="0016032D">
        <w:rPr>
          <w:rFonts w:ascii="Times New Roman" w:hAnsi="Times New Roman" w:cs="Times New Roman"/>
        </w:rPr>
        <w:t xml:space="preserve"> adequate funds for operations, capital expenditures and debt maturities.</w:t>
      </w:r>
      <w:r w:rsidR="00442274">
        <w:rPr>
          <w:rFonts w:ascii="Times New Roman" w:hAnsi="Times New Roman" w:cs="Times New Roman"/>
        </w:rPr>
        <w:t xml:space="preserve">  </w:t>
      </w:r>
      <w:r w:rsidR="00442274" w:rsidRPr="0016032D">
        <w:rPr>
          <w:rFonts w:ascii="Times New Roman" w:hAnsi="Times New Roman" w:cs="Times New Roman"/>
        </w:rPr>
        <w:t>We have</w:t>
      </w:r>
      <w:r w:rsidR="00187400" w:rsidRPr="00187400">
        <w:rPr>
          <w:rFonts w:ascii="Times New Roman" w:hAnsi="Times New Roman" w:cs="Times New Roman"/>
        </w:rPr>
        <w:t xml:space="preserve"> </w:t>
      </w:r>
      <w:r w:rsidR="00187400">
        <w:rPr>
          <w:rFonts w:ascii="Times New Roman" w:hAnsi="Times New Roman" w:cs="Times New Roman"/>
        </w:rPr>
        <w:t>extended the average weighted maturity of long-term debt</w:t>
      </w:r>
      <w:r w:rsidR="008762FE">
        <w:rPr>
          <w:rFonts w:ascii="Times New Roman" w:hAnsi="Times New Roman" w:cs="Times New Roman"/>
        </w:rPr>
        <w:t xml:space="preserve"> and the</w:t>
      </w:r>
      <w:r w:rsidR="00B410EE">
        <w:rPr>
          <w:rFonts w:ascii="Times New Roman" w:hAnsi="Times New Roman" w:cs="Times New Roman"/>
        </w:rPr>
        <w:t xml:space="preserve"> </w:t>
      </w:r>
      <w:r w:rsidR="00442274" w:rsidRPr="0016032D">
        <w:rPr>
          <w:rFonts w:ascii="Times New Roman" w:hAnsi="Times New Roman" w:cs="Times New Roman"/>
        </w:rPr>
        <w:t>overall cost of</w:t>
      </w:r>
      <w:r w:rsidR="008E0D85">
        <w:rPr>
          <w:rFonts w:ascii="Times New Roman" w:hAnsi="Times New Roman" w:cs="Times New Roman"/>
        </w:rPr>
        <w:t xml:space="preserve"> </w:t>
      </w:r>
      <w:r w:rsidR="00442274" w:rsidRPr="0016032D">
        <w:rPr>
          <w:rFonts w:ascii="Times New Roman" w:hAnsi="Times New Roman" w:cs="Times New Roman"/>
        </w:rPr>
        <w:t xml:space="preserve">debt </w:t>
      </w:r>
      <w:r w:rsidR="00AD17D9">
        <w:rPr>
          <w:rFonts w:ascii="Times New Roman" w:hAnsi="Times New Roman" w:cs="Times New Roman"/>
        </w:rPr>
        <w:t xml:space="preserve">was </w:t>
      </w:r>
      <w:r w:rsidR="0077363D">
        <w:rPr>
          <w:rFonts w:ascii="Times New Roman" w:hAnsi="Times New Roman" w:cs="Times New Roman"/>
        </w:rPr>
        <w:t>5.7</w:t>
      </w:r>
      <w:r w:rsidR="008762FE">
        <w:rPr>
          <w:rFonts w:ascii="Times New Roman" w:hAnsi="Times New Roman" w:cs="Times New Roman"/>
        </w:rPr>
        <w:t>2</w:t>
      </w:r>
      <w:r w:rsidR="00442274" w:rsidRPr="0016032D">
        <w:rPr>
          <w:rFonts w:ascii="Times New Roman" w:hAnsi="Times New Roman" w:cs="Times New Roman"/>
        </w:rPr>
        <w:t>% a</w:t>
      </w:r>
      <w:r w:rsidR="00187400">
        <w:rPr>
          <w:rFonts w:ascii="Times New Roman" w:hAnsi="Times New Roman" w:cs="Times New Roman"/>
        </w:rPr>
        <w:t>s</w:t>
      </w:r>
      <w:r w:rsidR="00442274" w:rsidRPr="0016032D">
        <w:rPr>
          <w:rFonts w:ascii="Times New Roman" w:hAnsi="Times New Roman" w:cs="Times New Roman"/>
        </w:rPr>
        <w:t xml:space="preserve"> </w:t>
      </w:r>
      <w:r w:rsidR="00187400">
        <w:rPr>
          <w:rFonts w:ascii="Times New Roman" w:hAnsi="Times New Roman" w:cs="Times New Roman"/>
        </w:rPr>
        <w:t xml:space="preserve">of </w:t>
      </w:r>
      <w:r w:rsidR="00442274" w:rsidRPr="0016032D">
        <w:rPr>
          <w:rFonts w:ascii="Times New Roman" w:hAnsi="Times New Roman" w:cs="Times New Roman"/>
        </w:rPr>
        <w:t>December 31, 201</w:t>
      </w:r>
      <w:r w:rsidR="00442274">
        <w:rPr>
          <w:rFonts w:ascii="Times New Roman" w:hAnsi="Times New Roman" w:cs="Times New Roman"/>
        </w:rPr>
        <w:t>1</w:t>
      </w:r>
      <w:r w:rsidR="00C708FF">
        <w:rPr>
          <w:rFonts w:ascii="Times New Roman" w:hAnsi="Times New Roman" w:cs="Times New Roman"/>
        </w:rPr>
        <w:t>.</w:t>
      </w:r>
    </w:p>
    <w:p w:rsidR="000F0CFC" w:rsidRDefault="00616B5F" w:rsidP="00E56ED5">
      <w:pPr>
        <w:pStyle w:val="BodyText2"/>
        <w:spacing w:before="0" w:after="0"/>
        <w:ind w:left="0" w:right="14" w:firstLine="720"/>
        <w:rPr>
          <w:rFonts w:ascii="Times New Roman" w:hAnsi="Times New Roman" w:cs="Times New Roman"/>
        </w:rPr>
      </w:pPr>
      <w:r>
        <w:rPr>
          <w:rFonts w:ascii="Times New Roman" w:hAnsi="Times New Roman" w:cs="Times New Roman"/>
        </w:rPr>
        <w:t>During 2010 and 2011, the Company issue</w:t>
      </w:r>
      <w:r w:rsidR="00C708FF">
        <w:rPr>
          <w:rFonts w:ascii="Times New Roman" w:hAnsi="Times New Roman" w:cs="Times New Roman"/>
        </w:rPr>
        <w:t>d</w:t>
      </w:r>
      <w:r>
        <w:rPr>
          <w:rFonts w:ascii="Times New Roman" w:hAnsi="Times New Roman" w:cs="Times New Roman"/>
        </w:rPr>
        <w:t xml:space="preserve"> </w:t>
      </w:r>
      <w:r w:rsidR="00112576">
        <w:rPr>
          <w:rFonts w:ascii="Times New Roman" w:hAnsi="Times New Roman" w:cs="Times New Roman"/>
        </w:rPr>
        <w:t xml:space="preserve">long-term </w:t>
      </w:r>
      <w:r>
        <w:rPr>
          <w:rFonts w:ascii="Times New Roman" w:hAnsi="Times New Roman" w:cs="Times New Roman"/>
        </w:rPr>
        <w:t>debt at histor</w:t>
      </w:r>
      <w:r w:rsidR="000B04CD">
        <w:rPr>
          <w:rFonts w:ascii="Times New Roman" w:hAnsi="Times New Roman" w:cs="Times New Roman"/>
        </w:rPr>
        <w:t xml:space="preserve">ically low </w:t>
      </w:r>
      <w:r w:rsidR="008D76C0">
        <w:rPr>
          <w:rFonts w:ascii="Times New Roman" w:hAnsi="Times New Roman" w:cs="Times New Roman"/>
        </w:rPr>
        <w:t>rates that</w:t>
      </w:r>
      <w:r w:rsidR="000B04CD">
        <w:rPr>
          <w:rFonts w:ascii="Times New Roman" w:hAnsi="Times New Roman" w:cs="Times New Roman"/>
        </w:rPr>
        <w:t xml:space="preserve"> included </w:t>
      </w:r>
      <w:r w:rsidR="009F3AD4">
        <w:rPr>
          <w:rFonts w:ascii="Times New Roman" w:hAnsi="Times New Roman" w:cs="Times New Roman"/>
        </w:rPr>
        <w:t>two</w:t>
      </w:r>
      <w:r w:rsidR="000B04CD">
        <w:rPr>
          <w:rFonts w:ascii="Times New Roman" w:hAnsi="Times New Roman" w:cs="Times New Roman"/>
        </w:rPr>
        <w:t xml:space="preserve"> thirty year </w:t>
      </w:r>
      <w:r w:rsidR="009F3AD4">
        <w:rPr>
          <w:rFonts w:ascii="Times New Roman" w:hAnsi="Times New Roman" w:cs="Times New Roman"/>
        </w:rPr>
        <w:t xml:space="preserve">bond issuances, a ten year bond issuance, and a three year bond </w:t>
      </w:r>
      <w:r w:rsidR="009F3AD4">
        <w:rPr>
          <w:rFonts w:ascii="Times New Roman" w:hAnsi="Times New Roman" w:cs="Times New Roman"/>
        </w:rPr>
        <w:lastRenderedPageBreak/>
        <w:t>issuance</w:t>
      </w:r>
      <w:r w:rsidR="002B63A9">
        <w:rPr>
          <w:rFonts w:ascii="Times New Roman" w:hAnsi="Times New Roman" w:cs="Times New Roman"/>
        </w:rPr>
        <w:t>.</w:t>
      </w:r>
      <w:r w:rsidR="000B04CD">
        <w:rPr>
          <w:rFonts w:ascii="Times New Roman" w:hAnsi="Times New Roman" w:cs="Times New Roman"/>
        </w:rPr>
        <w:t xml:space="preserve"> </w:t>
      </w:r>
      <w:r w:rsidR="002B63A9">
        <w:rPr>
          <w:rFonts w:ascii="Times New Roman" w:hAnsi="Times New Roman" w:cs="Times New Roman"/>
        </w:rPr>
        <w:t>C</w:t>
      </w:r>
      <w:r w:rsidR="009F3AD4">
        <w:rPr>
          <w:rFonts w:ascii="Times New Roman" w:hAnsi="Times New Roman" w:cs="Times New Roman"/>
        </w:rPr>
        <w:t>umulatively</w:t>
      </w:r>
      <w:r w:rsidR="002B63A9">
        <w:rPr>
          <w:rFonts w:ascii="Times New Roman" w:hAnsi="Times New Roman" w:cs="Times New Roman"/>
        </w:rPr>
        <w:t>,</w:t>
      </w:r>
      <w:r w:rsidR="009F3AD4">
        <w:rPr>
          <w:rFonts w:ascii="Times New Roman" w:hAnsi="Times New Roman" w:cs="Times New Roman"/>
        </w:rPr>
        <w:t xml:space="preserve"> these issuances </w:t>
      </w:r>
      <w:r w:rsidR="000B04CD">
        <w:rPr>
          <w:rFonts w:ascii="Times New Roman" w:hAnsi="Times New Roman" w:cs="Times New Roman"/>
        </w:rPr>
        <w:t xml:space="preserve">extended the weighted average maturity of outstanding debt.  </w:t>
      </w:r>
      <w:r w:rsidR="009F3AD4">
        <w:rPr>
          <w:rFonts w:ascii="Times New Roman" w:hAnsi="Times New Roman" w:cs="Times New Roman"/>
        </w:rPr>
        <w:t>The following are details of these issuances:</w:t>
      </w:r>
    </w:p>
    <w:p w:rsidR="0066447F" w:rsidRDefault="005A4F17" w:rsidP="00E56ED5">
      <w:pPr>
        <w:pStyle w:val="BodyText2"/>
        <w:spacing w:before="0" w:after="0"/>
        <w:ind w:left="0" w:right="14" w:firstLine="720"/>
        <w:rPr>
          <w:rFonts w:ascii="Times New Roman" w:hAnsi="Times New Roman" w:cs="Times New Roman"/>
        </w:rPr>
      </w:pPr>
      <w:r>
        <w:rPr>
          <w:rFonts w:ascii="Times New Roman" w:hAnsi="Times New Roman" w:cs="Times New Roman"/>
        </w:rPr>
        <w:t>December 2011</w:t>
      </w:r>
      <w:r w:rsidR="000B04CD">
        <w:rPr>
          <w:rFonts w:ascii="Times New Roman" w:hAnsi="Times New Roman" w:cs="Times New Roman"/>
        </w:rPr>
        <w:t>:</w:t>
      </w:r>
      <w:r>
        <w:rPr>
          <w:rFonts w:ascii="Times New Roman" w:hAnsi="Times New Roman" w:cs="Times New Roman"/>
        </w:rPr>
        <w:t xml:space="preserve"> </w:t>
      </w:r>
    </w:p>
    <w:p w:rsidR="0066447F" w:rsidRDefault="005A4F17" w:rsidP="00E56ED5">
      <w:pPr>
        <w:pStyle w:val="BodyText2"/>
        <w:numPr>
          <w:ilvl w:val="0"/>
          <w:numId w:val="21"/>
        </w:numPr>
        <w:spacing w:before="0" w:after="0" w:line="360" w:lineRule="auto"/>
        <w:ind w:left="720" w:right="14" w:firstLine="360"/>
        <w:rPr>
          <w:rFonts w:ascii="Times New Roman" w:hAnsi="Times New Roman" w:cs="Times New Roman"/>
        </w:rPr>
      </w:pPr>
      <w:r w:rsidRPr="005A4F17">
        <w:rPr>
          <w:rFonts w:ascii="Times New Roman" w:hAnsi="Times New Roman" w:cs="Times New Roman"/>
        </w:rPr>
        <w:t xml:space="preserve">$85.0 million </w:t>
      </w:r>
      <w:r w:rsidR="00616B5F">
        <w:rPr>
          <w:rFonts w:ascii="Times New Roman" w:hAnsi="Times New Roman" w:cs="Times New Roman"/>
        </w:rPr>
        <w:t>of secured debt at a coupon of</w:t>
      </w:r>
      <w:r w:rsidRPr="005A4F17">
        <w:rPr>
          <w:rFonts w:ascii="Times New Roman" w:hAnsi="Times New Roman" w:cs="Times New Roman"/>
        </w:rPr>
        <w:t xml:space="preserve"> 4.45 percent due in 2041</w:t>
      </w:r>
      <w:r>
        <w:rPr>
          <w:rFonts w:ascii="Times New Roman" w:hAnsi="Times New Roman" w:cs="Times New Roman"/>
        </w:rPr>
        <w:t>.</w:t>
      </w:r>
      <w:r w:rsidR="00616B5F">
        <w:rPr>
          <w:rFonts w:ascii="Times New Roman" w:hAnsi="Times New Roman" w:cs="Times New Roman"/>
        </w:rPr>
        <w:t xml:space="preserve">  </w:t>
      </w:r>
    </w:p>
    <w:p w:rsidR="0066447F" w:rsidRDefault="00616B5F" w:rsidP="007D066E">
      <w:pPr>
        <w:pStyle w:val="BodyText2"/>
        <w:spacing w:line="360" w:lineRule="auto"/>
        <w:ind w:left="0" w:right="18" w:firstLine="720"/>
        <w:rPr>
          <w:rFonts w:ascii="Times New Roman" w:hAnsi="Times New Roman" w:cs="Times New Roman"/>
        </w:rPr>
      </w:pPr>
      <w:r>
        <w:rPr>
          <w:rFonts w:ascii="Times New Roman" w:hAnsi="Times New Roman" w:cs="Times New Roman"/>
        </w:rPr>
        <w:t>December 2010</w:t>
      </w:r>
      <w:r w:rsidR="008D76C0">
        <w:rPr>
          <w:rFonts w:ascii="Times New Roman" w:hAnsi="Times New Roman" w:cs="Times New Roman"/>
        </w:rPr>
        <w:t>:</w:t>
      </w:r>
    </w:p>
    <w:p w:rsidR="0066447F" w:rsidRDefault="00616B5F" w:rsidP="0051339F">
      <w:pPr>
        <w:pStyle w:val="BodyText2"/>
        <w:numPr>
          <w:ilvl w:val="0"/>
          <w:numId w:val="21"/>
        </w:numPr>
        <w:spacing w:line="360" w:lineRule="auto"/>
        <w:ind w:left="720" w:right="18" w:firstLine="360"/>
        <w:rPr>
          <w:rFonts w:ascii="Times New Roman" w:hAnsi="Times New Roman" w:cs="Times New Roman"/>
        </w:rPr>
      </w:pPr>
      <w:r w:rsidRPr="0016032D">
        <w:rPr>
          <w:rFonts w:ascii="Times New Roman" w:hAnsi="Times New Roman" w:cs="Times New Roman"/>
        </w:rPr>
        <w:t>$52 million of secured debt at a coupon of 3.89% due in 2020</w:t>
      </w:r>
      <w:r>
        <w:rPr>
          <w:rFonts w:ascii="Times New Roman" w:hAnsi="Times New Roman" w:cs="Times New Roman"/>
        </w:rPr>
        <w:t xml:space="preserve">, </w:t>
      </w:r>
    </w:p>
    <w:p w:rsidR="0066447F" w:rsidRDefault="00616B5F" w:rsidP="0051339F">
      <w:pPr>
        <w:pStyle w:val="BodyText2"/>
        <w:numPr>
          <w:ilvl w:val="0"/>
          <w:numId w:val="21"/>
        </w:numPr>
        <w:spacing w:line="360" w:lineRule="auto"/>
        <w:ind w:left="720" w:right="18" w:firstLine="360"/>
        <w:rPr>
          <w:rFonts w:ascii="Times New Roman" w:hAnsi="Times New Roman" w:cs="Times New Roman"/>
        </w:rPr>
      </w:pPr>
      <w:r>
        <w:rPr>
          <w:rFonts w:ascii="Times New Roman" w:hAnsi="Times New Roman" w:cs="Times New Roman"/>
        </w:rPr>
        <w:t>$35 million of s</w:t>
      </w:r>
      <w:r w:rsidRPr="0016032D">
        <w:rPr>
          <w:rFonts w:ascii="Times New Roman" w:hAnsi="Times New Roman" w:cs="Times New Roman"/>
        </w:rPr>
        <w:t>ecured</w:t>
      </w:r>
      <w:r w:rsidRPr="008D541E">
        <w:rPr>
          <w:rFonts w:ascii="Times New Roman" w:hAnsi="Times New Roman" w:cs="Times New Roman"/>
        </w:rPr>
        <w:t xml:space="preserve"> debt at a coupon of 5.55%</w:t>
      </w:r>
      <w:r>
        <w:rPr>
          <w:rFonts w:ascii="Times New Roman" w:hAnsi="Times New Roman" w:cs="Times New Roman"/>
        </w:rPr>
        <w:t xml:space="preserve"> </w:t>
      </w:r>
      <w:r w:rsidRPr="008D541E">
        <w:rPr>
          <w:rFonts w:ascii="Times New Roman" w:hAnsi="Times New Roman" w:cs="Times New Roman"/>
        </w:rPr>
        <w:t>due in 2040</w:t>
      </w:r>
      <w:r>
        <w:rPr>
          <w:rFonts w:ascii="Times New Roman" w:hAnsi="Times New Roman" w:cs="Times New Roman"/>
        </w:rPr>
        <w:t xml:space="preserve">, and </w:t>
      </w:r>
    </w:p>
    <w:p w:rsidR="000F0CFC" w:rsidRDefault="00616B5F" w:rsidP="0051339F">
      <w:pPr>
        <w:pStyle w:val="BodyText2"/>
        <w:numPr>
          <w:ilvl w:val="0"/>
          <w:numId w:val="21"/>
        </w:numPr>
        <w:spacing w:line="360" w:lineRule="auto"/>
        <w:ind w:left="720" w:right="18" w:firstLine="360"/>
        <w:rPr>
          <w:rFonts w:ascii="Times New Roman" w:hAnsi="Times New Roman" w:cs="Times New Roman"/>
        </w:rPr>
      </w:pPr>
      <w:r>
        <w:rPr>
          <w:rFonts w:ascii="Times New Roman" w:hAnsi="Times New Roman" w:cs="Times New Roman"/>
        </w:rPr>
        <w:t>$</w:t>
      </w:r>
      <w:r w:rsidRPr="00480706">
        <w:rPr>
          <w:rFonts w:ascii="Times New Roman" w:hAnsi="Times New Roman" w:cs="Times New Roman"/>
        </w:rPr>
        <w:t>50 million of</w:t>
      </w:r>
      <w:r>
        <w:rPr>
          <w:rFonts w:ascii="Times New Roman" w:hAnsi="Times New Roman" w:cs="Times New Roman"/>
        </w:rPr>
        <w:t xml:space="preserve"> secured debt at a coupon of </w:t>
      </w:r>
      <w:r w:rsidRPr="00480706">
        <w:rPr>
          <w:rFonts w:ascii="Times New Roman" w:hAnsi="Times New Roman" w:cs="Times New Roman"/>
        </w:rPr>
        <w:t>1.68</w:t>
      </w:r>
      <w:r>
        <w:rPr>
          <w:rFonts w:ascii="Times New Roman" w:hAnsi="Times New Roman" w:cs="Times New Roman"/>
        </w:rPr>
        <w:t>%</w:t>
      </w:r>
      <w:r w:rsidRPr="00480706">
        <w:rPr>
          <w:rFonts w:ascii="Times New Roman" w:hAnsi="Times New Roman" w:cs="Times New Roman"/>
        </w:rPr>
        <w:t xml:space="preserve"> due in 2013</w:t>
      </w:r>
      <w:r w:rsidR="00653FD5">
        <w:rPr>
          <w:rFonts w:ascii="Times New Roman" w:hAnsi="Times New Roman" w:cs="Times New Roman"/>
        </w:rPr>
        <w:t>.</w:t>
      </w:r>
    </w:p>
    <w:p w:rsidR="0051499A" w:rsidRDefault="005C56D2" w:rsidP="0051339F">
      <w:pPr>
        <w:pStyle w:val="BodyText2"/>
        <w:spacing w:before="0" w:after="0"/>
        <w:ind w:left="0" w:right="14" w:firstLine="720"/>
        <w:rPr>
          <w:rFonts w:ascii="Times New Roman" w:hAnsi="Times New Roman" w:cs="Times New Roman"/>
        </w:rPr>
      </w:pPr>
      <w:r w:rsidRPr="0016032D">
        <w:rPr>
          <w:rFonts w:ascii="Times New Roman" w:hAnsi="Times New Roman" w:cs="Times New Roman"/>
        </w:rPr>
        <w:t>I</w:t>
      </w:r>
      <w:r w:rsidR="002C7C2A" w:rsidRPr="0016032D">
        <w:rPr>
          <w:rFonts w:ascii="Times New Roman" w:hAnsi="Times New Roman" w:cs="Times New Roman"/>
        </w:rPr>
        <w:t>n February 2011</w:t>
      </w:r>
      <w:r w:rsidR="003A3258" w:rsidRPr="0016032D">
        <w:rPr>
          <w:rFonts w:ascii="Times New Roman" w:hAnsi="Times New Roman" w:cs="Times New Roman"/>
        </w:rPr>
        <w:t>,</w:t>
      </w:r>
      <w:r w:rsidR="005E1029" w:rsidRPr="0016032D">
        <w:rPr>
          <w:rFonts w:ascii="Times New Roman" w:hAnsi="Times New Roman" w:cs="Times New Roman"/>
        </w:rPr>
        <w:t xml:space="preserve"> Avista entered into a </w:t>
      </w:r>
      <w:r w:rsidR="00127B93">
        <w:rPr>
          <w:rFonts w:ascii="Times New Roman" w:hAnsi="Times New Roman" w:cs="Times New Roman"/>
        </w:rPr>
        <w:t>new</w:t>
      </w:r>
      <w:r w:rsidR="002C7C2A" w:rsidRPr="0016032D">
        <w:rPr>
          <w:rFonts w:ascii="Times New Roman" w:hAnsi="Times New Roman" w:cs="Times New Roman"/>
        </w:rPr>
        <w:t xml:space="preserve"> committed line of credit in the amount of </w:t>
      </w:r>
      <w:r w:rsidR="00C50C02" w:rsidRPr="0016032D">
        <w:rPr>
          <w:rFonts w:ascii="Times New Roman" w:hAnsi="Times New Roman" w:cs="Times New Roman"/>
        </w:rPr>
        <w:t>$</w:t>
      </w:r>
      <w:r w:rsidR="002C7C2A" w:rsidRPr="0016032D">
        <w:rPr>
          <w:rFonts w:ascii="Times New Roman" w:hAnsi="Times New Roman" w:cs="Times New Roman"/>
        </w:rPr>
        <w:t>400</w:t>
      </w:r>
      <w:r w:rsidR="00C50C02" w:rsidRPr="0016032D">
        <w:rPr>
          <w:rFonts w:ascii="Times New Roman" w:hAnsi="Times New Roman" w:cs="Times New Roman"/>
        </w:rPr>
        <w:t xml:space="preserve"> million</w:t>
      </w:r>
      <w:r w:rsidR="00127B93">
        <w:rPr>
          <w:rFonts w:ascii="Times New Roman" w:hAnsi="Times New Roman" w:cs="Times New Roman"/>
        </w:rPr>
        <w:t xml:space="preserve"> with an expiration date of February 2015</w:t>
      </w:r>
      <w:r w:rsidR="00A036B0">
        <w:rPr>
          <w:rFonts w:ascii="Times New Roman" w:hAnsi="Times New Roman" w:cs="Times New Roman"/>
        </w:rPr>
        <w:t xml:space="preserve"> to replace two </w:t>
      </w:r>
      <w:r w:rsidR="00112576" w:rsidRPr="0016032D">
        <w:rPr>
          <w:rFonts w:ascii="Times New Roman" w:hAnsi="Times New Roman" w:cs="Times New Roman"/>
        </w:rPr>
        <w:t>committed line</w:t>
      </w:r>
      <w:r w:rsidR="00112576">
        <w:rPr>
          <w:rFonts w:ascii="Times New Roman" w:hAnsi="Times New Roman" w:cs="Times New Roman"/>
        </w:rPr>
        <w:t>s</w:t>
      </w:r>
      <w:r w:rsidR="00112576" w:rsidRPr="0016032D">
        <w:rPr>
          <w:rFonts w:ascii="Times New Roman" w:hAnsi="Times New Roman" w:cs="Times New Roman"/>
        </w:rPr>
        <w:t xml:space="preserve"> of credit </w:t>
      </w:r>
      <w:r w:rsidR="00A036B0">
        <w:rPr>
          <w:rFonts w:ascii="Times New Roman" w:hAnsi="Times New Roman" w:cs="Times New Roman"/>
        </w:rPr>
        <w:t>that were expiring</w:t>
      </w:r>
      <w:r w:rsidR="00E144FF" w:rsidRPr="0016032D">
        <w:rPr>
          <w:rFonts w:ascii="Times New Roman" w:hAnsi="Times New Roman" w:cs="Times New Roman"/>
        </w:rPr>
        <w:t>.</w:t>
      </w:r>
      <w:r w:rsidR="0051499A" w:rsidRPr="0051499A">
        <w:rPr>
          <w:rFonts w:ascii="Times New Roman" w:hAnsi="Times New Roman" w:cs="Times New Roman"/>
        </w:rPr>
        <w:t xml:space="preserve"> </w:t>
      </w:r>
    </w:p>
    <w:p w:rsidR="00112576" w:rsidRDefault="00112576" w:rsidP="0051339F">
      <w:pPr>
        <w:spacing w:before="0" w:after="0" w:line="480" w:lineRule="auto"/>
        <w:ind w:left="0" w:right="14" w:firstLine="720"/>
      </w:pPr>
      <w:r>
        <w:t xml:space="preserve">The Company continued to monitor this market and in December 2011, amended the $400 million committed line of credit. This executed amendment extended the expiration date to February 10, 2017 from February 11, 2015 and improved the pricing terms as shown in the following illustration.  </w:t>
      </w:r>
    </w:p>
    <w:p w:rsidR="0066447F" w:rsidRDefault="00112576" w:rsidP="00E56ED5">
      <w:pPr>
        <w:autoSpaceDE/>
        <w:autoSpaceDN/>
        <w:spacing w:before="0" w:after="0"/>
        <w:ind w:left="0" w:right="14"/>
        <w:rPr>
          <w:b/>
          <w:bCs/>
          <w:u w:val="single"/>
        </w:rPr>
      </w:pPr>
      <w:r w:rsidRPr="00C50C02">
        <w:rPr>
          <w:b/>
          <w:bCs/>
          <w:u w:val="single"/>
        </w:rPr>
        <w:t xml:space="preserve">Illustration No. </w:t>
      </w:r>
      <w:r>
        <w:rPr>
          <w:b/>
          <w:bCs/>
          <w:u w:val="single"/>
        </w:rPr>
        <w:t>1</w:t>
      </w:r>
      <w:r w:rsidRPr="00C50C02">
        <w:rPr>
          <w:b/>
          <w:bCs/>
          <w:u w:val="single"/>
        </w:rPr>
        <w:t>:</w:t>
      </w:r>
    </w:p>
    <w:p w:rsidR="00112576" w:rsidRDefault="00B410EE" w:rsidP="007D066E">
      <w:pPr>
        <w:spacing w:line="480" w:lineRule="auto"/>
        <w:ind w:left="0" w:right="18" w:firstLine="720"/>
        <w:jc w:val="center"/>
      </w:pPr>
      <w:r>
        <w:rPr>
          <w:noProof/>
        </w:rPr>
        <w:drawing>
          <wp:inline distT="0" distB="0" distL="0" distR="0">
            <wp:extent cx="3170555" cy="11163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170555" cy="1116330"/>
                    </a:xfrm>
                    <a:prstGeom prst="rect">
                      <a:avLst/>
                    </a:prstGeom>
                    <a:noFill/>
                    <a:ln w="9525">
                      <a:noFill/>
                      <a:miter lim="800000"/>
                      <a:headEnd/>
                      <a:tailEnd/>
                    </a:ln>
                  </pic:spPr>
                </pic:pic>
              </a:graphicData>
            </a:graphic>
          </wp:inline>
        </w:drawing>
      </w:r>
    </w:p>
    <w:p w:rsidR="0027652A" w:rsidRDefault="0027652A" w:rsidP="007D066E">
      <w:pPr>
        <w:autoSpaceDE/>
        <w:autoSpaceDN/>
        <w:ind w:left="0" w:right="18"/>
      </w:pPr>
      <w:r>
        <w:br w:type="page"/>
      </w:r>
    </w:p>
    <w:p w:rsidR="00C50C02" w:rsidRDefault="000464A8" w:rsidP="0051339F">
      <w:pPr>
        <w:pStyle w:val="BodyText2"/>
        <w:tabs>
          <w:tab w:val="clear" w:pos="720"/>
        </w:tabs>
        <w:spacing w:before="0" w:after="0"/>
        <w:ind w:left="0" w:right="14" w:firstLine="720"/>
        <w:rPr>
          <w:rFonts w:ascii="Times New Roman" w:hAnsi="Times New Roman" w:cs="Times New Roman"/>
        </w:rPr>
      </w:pPr>
      <w:bookmarkStart w:id="2" w:name="OLE_LINK1"/>
      <w:r>
        <w:rPr>
          <w:rFonts w:ascii="Times New Roman" w:hAnsi="Times New Roman" w:cs="Times New Roman"/>
        </w:rPr>
        <w:lastRenderedPageBreak/>
        <w:t>The</w:t>
      </w:r>
      <w:r w:rsidR="00E5698C" w:rsidRPr="00C50C02">
        <w:rPr>
          <w:rFonts w:ascii="Times New Roman" w:hAnsi="Times New Roman" w:cs="Times New Roman"/>
        </w:rPr>
        <w:t xml:space="preserve"> Company </w:t>
      </w:r>
      <w:r w:rsidR="008D76C0">
        <w:rPr>
          <w:rFonts w:ascii="Times New Roman" w:hAnsi="Times New Roman" w:cs="Times New Roman"/>
        </w:rPr>
        <w:t xml:space="preserve">has </w:t>
      </w:r>
      <w:r w:rsidR="00E5698C" w:rsidRPr="00C50C02">
        <w:rPr>
          <w:rFonts w:ascii="Times New Roman" w:hAnsi="Times New Roman" w:cs="Times New Roman"/>
        </w:rPr>
        <w:t xml:space="preserve">entered </w:t>
      </w:r>
      <w:r w:rsidR="00252541">
        <w:rPr>
          <w:rFonts w:ascii="Times New Roman" w:hAnsi="Times New Roman" w:cs="Times New Roman"/>
        </w:rPr>
        <w:t xml:space="preserve">into </w:t>
      </w:r>
      <w:r w:rsidR="00E5698C" w:rsidRPr="00C50C02">
        <w:rPr>
          <w:rFonts w:ascii="Times New Roman" w:hAnsi="Times New Roman" w:cs="Times New Roman"/>
        </w:rPr>
        <w:t>forward</w:t>
      </w:r>
      <w:r w:rsidR="008D76C0">
        <w:rPr>
          <w:rFonts w:ascii="Times New Roman" w:hAnsi="Times New Roman" w:cs="Times New Roman"/>
        </w:rPr>
        <w:t xml:space="preserve"> </w:t>
      </w:r>
      <w:r w:rsidR="00E5698C" w:rsidRPr="00C50C02">
        <w:rPr>
          <w:rFonts w:ascii="Times New Roman" w:hAnsi="Times New Roman" w:cs="Times New Roman"/>
        </w:rPr>
        <w:t xml:space="preserve">starting </w:t>
      </w:r>
      <w:r w:rsidR="00243EC7" w:rsidRPr="00243EC7">
        <w:rPr>
          <w:rFonts w:ascii="Times New Roman" w:hAnsi="Times New Roman" w:cs="Times New Roman"/>
        </w:rPr>
        <w:t xml:space="preserve">interest rate swap </w:t>
      </w:r>
      <w:r w:rsidR="00EA193D" w:rsidRPr="00243EC7">
        <w:rPr>
          <w:rFonts w:ascii="Times New Roman" w:hAnsi="Times New Roman" w:cs="Times New Roman"/>
        </w:rPr>
        <w:t xml:space="preserve">agreements </w:t>
      </w:r>
      <w:r w:rsidR="00EA193D" w:rsidRPr="00C50C02">
        <w:rPr>
          <w:rFonts w:ascii="Times New Roman" w:hAnsi="Times New Roman" w:cs="Times New Roman"/>
        </w:rPr>
        <w:t>(</w:t>
      </w:r>
      <w:r w:rsidR="00C07E4E">
        <w:rPr>
          <w:rFonts w:ascii="Times New Roman" w:hAnsi="Times New Roman" w:cs="Times New Roman"/>
        </w:rPr>
        <w:t xml:space="preserve">with </w:t>
      </w:r>
      <w:r w:rsidR="005F23E8">
        <w:rPr>
          <w:rFonts w:ascii="Times New Roman" w:hAnsi="Times New Roman" w:cs="Times New Roman"/>
        </w:rPr>
        <w:t xml:space="preserve">cumulative </w:t>
      </w:r>
      <w:r w:rsidR="00C07E4E">
        <w:rPr>
          <w:rFonts w:ascii="Times New Roman" w:hAnsi="Times New Roman" w:cs="Times New Roman"/>
        </w:rPr>
        <w:t>notional amount</w:t>
      </w:r>
      <w:r w:rsidR="005F23E8">
        <w:rPr>
          <w:rFonts w:ascii="Times New Roman" w:hAnsi="Times New Roman" w:cs="Times New Roman"/>
        </w:rPr>
        <w:t>s</w:t>
      </w:r>
      <w:r w:rsidR="00C07E4E">
        <w:rPr>
          <w:rFonts w:ascii="Times New Roman" w:hAnsi="Times New Roman" w:cs="Times New Roman"/>
        </w:rPr>
        <w:t xml:space="preserve"> of $75 million for 2012 and $85 million for 2013) </w:t>
      </w:r>
      <w:r w:rsidR="00E5698C" w:rsidRPr="00C50C02">
        <w:rPr>
          <w:rFonts w:ascii="Times New Roman" w:hAnsi="Times New Roman" w:cs="Times New Roman"/>
        </w:rPr>
        <w:t>as a hedge on a portion of the interest payments on the long-term debt we are planning to issue in 20</w:t>
      </w:r>
      <w:r w:rsidR="00E5698C">
        <w:rPr>
          <w:rFonts w:ascii="Times New Roman" w:hAnsi="Times New Roman" w:cs="Times New Roman"/>
        </w:rPr>
        <w:t>12</w:t>
      </w:r>
      <w:r w:rsidR="00243EC7">
        <w:rPr>
          <w:rFonts w:ascii="Times New Roman" w:hAnsi="Times New Roman" w:cs="Times New Roman"/>
        </w:rPr>
        <w:t xml:space="preserve"> and 2013</w:t>
      </w:r>
      <w:r w:rsidR="00E5698C" w:rsidRPr="00C50C02">
        <w:rPr>
          <w:rFonts w:ascii="Times New Roman" w:hAnsi="Times New Roman" w:cs="Times New Roman"/>
        </w:rPr>
        <w:t>.</w:t>
      </w:r>
      <w:r w:rsidR="005A4F17">
        <w:rPr>
          <w:rFonts w:ascii="Times New Roman" w:hAnsi="Times New Roman" w:cs="Times New Roman"/>
        </w:rPr>
        <w:t xml:space="preserve"> The Company </w:t>
      </w:r>
      <w:r w:rsidR="005B3F97">
        <w:rPr>
          <w:rFonts w:ascii="Times New Roman" w:hAnsi="Times New Roman" w:cs="Times New Roman"/>
        </w:rPr>
        <w:t>has entered</w:t>
      </w:r>
      <w:r w:rsidR="005A4F17">
        <w:rPr>
          <w:rFonts w:ascii="Times New Roman" w:hAnsi="Times New Roman" w:cs="Times New Roman"/>
        </w:rPr>
        <w:t xml:space="preserve"> into </w:t>
      </w:r>
      <w:r w:rsidR="00254D2E">
        <w:rPr>
          <w:rFonts w:ascii="Times New Roman" w:hAnsi="Times New Roman" w:cs="Times New Roman"/>
        </w:rPr>
        <w:t>forward</w:t>
      </w:r>
      <w:r w:rsidR="008D76C0">
        <w:rPr>
          <w:rFonts w:ascii="Times New Roman" w:hAnsi="Times New Roman" w:cs="Times New Roman"/>
        </w:rPr>
        <w:t xml:space="preserve"> </w:t>
      </w:r>
      <w:r w:rsidR="00254D2E">
        <w:rPr>
          <w:rFonts w:ascii="Times New Roman" w:hAnsi="Times New Roman" w:cs="Times New Roman"/>
        </w:rPr>
        <w:t xml:space="preserve">starting </w:t>
      </w:r>
      <w:r w:rsidR="005A4F17" w:rsidRPr="005A4F17">
        <w:rPr>
          <w:rFonts w:ascii="Times New Roman" w:hAnsi="Times New Roman" w:cs="Times New Roman"/>
        </w:rPr>
        <w:t>interest rate swap</w:t>
      </w:r>
      <w:r w:rsidR="005A4F17">
        <w:rPr>
          <w:rFonts w:ascii="Times New Roman" w:hAnsi="Times New Roman" w:cs="Times New Roman"/>
        </w:rPr>
        <w:t>s</w:t>
      </w:r>
      <w:r w:rsidR="005A4F17" w:rsidRPr="005A4F17">
        <w:rPr>
          <w:rFonts w:ascii="Times New Roman" w:hAnsi="Times New Roman" w:cs="Times New Roman"/>
        </w:rPr>
        <w:t xml:space="preserve"> </w:t>
      </w:r>
      <w:r w:rsidR="005A4F17">
        <w:rPr>
          <w:rFonts w:ascii="Times New Roman" w:hAnsi="Times New Roman" w:cs="Times New Roman"/>
        </w:rPr>
        <w:t xml:space="preserve">to </w:t>
      </w:r>
      <w:r w:rsidR="005A4F17" w:rsidRPr="005A4F17">
        <w:rPr>
          <w:rFonts w:ascii="Times New Roman" w:hAnsi="Times New Roman" w:cs="Times New Roman"/>
        </w:rPr>
        <w:t>reduc</w:t>
      </w:r>
      <w:r w:rsidR="005A4F17">
        <w:rPr>
          <w:rFonts w:ascii="Times New Roman" w:hAnsi="Times New Roman" w:cs="Times New Roman"/>
        </w:rPr>
        <w:t>e</w:t>
      </w:r>
      <w:r w:rsidR="005A4F17" w:rsidRPr="005A4F17">
        <w:rPr>
          <w:rFonts w:ascii="Times New Roman" w:hAnsi="Times New Roman" w:cs="Times New Roman"/>
        </w:rPr>
        <w:t xml:space="preserve"> </w:t>
      </w:r>
      <w:r w:rsidR="00254D2E">
        <w:rPr>
          <w:rFonts w:ascii="Times New Roman" w:hAnsi="Times New Roman" w:cs="Times New Roman"/>
        </w:rPr>
        <w:t>its</w:t>
      </w:r>
      <w:r w:rsidR="005A4F17" w:rsidRPr="005A4F17">
        <w:rPr>
          <w:rFonts w:ascii="Times New Roman" w:hAnsi="Times New Roman" w:cs="Times New Roman"/>
        </w:rPr>
        <w:t xml:space="preserve"> interest rate risk associated with forecasted issuance</w:t>
      </w:r>
      <w:r w:rsidR="005A4F17">
        <w:rPr>
          <w:rFonts w:ascii="Times New Roman" w:hAnsi="Times New Roman" w:cs="Times New Roman"/>
        </w:rPr>
        <w:t xml:space="preserve">s of </w:t>
      </w:r>
      <w:r w:rsidR="00112576">
        <w:rPr>
          <w:rFonts w:ascii="Times New Roman" w:hAnsi="Times New Roman" w:cs="Times New Roman"/>
        </w:rPr>
        <w:t xml:space="preserve">long-term </w:t>
      </w:r>
      <w:r w:rsidR="005A4F17">
        <w:rPr>
          <w:rFonts w:ascii="Times New Roman" w:hAnsi="Times New Roman" w:cs="Times New Roman"/>
        </w:rPr>
        <w:t xml:space="preserve">debt. </w:t>
      </w:r>
      <w:r w:rsidR="00E5698C" w:rsidRPr="00C50C02">
        <w:rPr>
          <w:rFonts w:ascii="Times New Roman" w:hAnsi="Times New Roman" w:cs="Times New Roman"/>
        </w:rPr>
        <w:t xml:space="preserve">The Company is continuing to analyze the possibility of entering into additional transactions in order to </w:t>
      </w:r>
      <w:r w:rsidR="00243EC7">
        <w:rPr>
          <w:rFonts w:ascii="Times New Roman" w:hAnsi="Times New Roman" w:cs="Times New Roman"/>
        </w:rPr>
        <w:t>hedge the interest rate risk on future long-term debt issuances</w:t>
      </w:r>
      <w:r w:rsidR="00E5698C" w:rsidRPr="00C50C02">
        <w:rPr>
          <w:rFonts w:ascii="Times New Roman" w:hAnsi="Times New Roman" w:cs="Times New Roman"/>
        </w:rPr>
        <w:t>.</w:t>
      </w:r>
      <w:bookmarkEnd w:id="2"/>
    </w:p>
    <w:p w:rsidR="00D44C83" w:rsidRPr="0016032D" w:rsidRDefault="00D44C83" w:rsidP="0051339F">
      <w:pPr>
        <w:pStyle w:val="BodyText2"/>
        <w:tabs>
          <w:tab w:val="clear" w:pos="720"/>
        </w:tabs>
        <w:spacing w:before="0" w:after="0"/>
        <w:ind w:left="0" w:right="14" w:firstLine="720"/>
        <w:rPr>
          <w:rFonts w:ascii="Times New Roman" w:hAnsi="Times New Roman" w:cs="Times New Roman"/>
        </w:rPr>
      </w:pPr>
      <w:r w:rsidRPr="0016032D">
        <w:rPr>
          <w:rFonts w:ascii="Times New Roman" w:hAnsi="Times New Roman" w:cs="Times New Roman"/>
        </w:rPr>
        <w:t>We obtain a portion of our capital requirements through issuing common equity.</w:t>
      </w:r>
      <w:r w:rsidR="005B3F97">
        <w:rPr>
          <w:rFonts w:ascii="Times New Roman" w:hAnsi="Times New Roman" w:cs="Times New Roman"/>
        </w:rPr>
        <w:t xml:space="preserve">  </w:t>
      </w:r>
      <w:r w:rsidR="005B3F97" w:rsidRPr="006E0A9A">
        <w:rPr>
          <w:rFonts w:ascii="Times New Roman" w:hAnsi="Times New Roman" w:cs="Times New Roman"/>
        </w:rPr>
        <w:t>In 201</w:t>
      </w:r>
      <w:r w:rsidR="005B3F97">
        <w:rPr>
          <w:rFonts w:ascii="Times New Roman" w:hAnsi="Times New Roman" w:cs="Times New Roman"/>
        </w:rPr>
        <w:t>1</w:t>
      </w:r>
      <w:r w:rsidR="005B3F97" w:rsidRPr="006E0A9A">
        <w:rPr>
          <w:rFonts w:ascii="Times New Roman" w:hAnsi="Times New Roman" w:cs="Times New Roman"/>
        </w:rPr>
        <w:t xml:space="preserve">, we </w:t>
      </w:r>
      <w:r w:rsidR="005B3F97">
        <w:rPr>
          <w:rFonts w:ascii="Times New Roman" w:hAnsi="Times New Roman" w:cs="Times New Roman"/>
        </w:rPr>
        <w:t xml:space="preserve">issued </w:t>
      </w:r>
      <w:r w:rsidR="005B3F97" w:rsidRPr="006E0A9A">
        <w:rPr>
          <w:rFonts w:ascii="Times New Roman" w:hAnsi="Times New Roman" w:cs="Times New Roman"/>
        </w:rPr>
        <w:t>$</w:t>
      </w:r>
      <w:r w:rsidR="005B3F97">
        <w:rPr>
          <w:rFonts w:ascii="Times New Roman" w:hAnsi="Times New Roman" w:cs="Times New Roman"/>
        </w:rPr>
        <w:t>26.5</w:t>
      </w:r>
      <w:r w:rsidR="005B3F97" w:rsidRPr="006E0A9A">
        <w:rPr>
          <w:rFonts w:ascii="Times New Roman" w:hAnsi="Times New Roman" w:cs="Times New Roman"/>
        </w:rPr>
        <w:t xml:space="preserve"> million</w:t>
      </w:r>
      <w:r w:rsidR="005B3F97">
        <w:rPr>
          <w:rFonts w:ascii="Times New Roman" w:hAnsi="Times New Roman" w:cs="Times New Roman"/>
        </w:rPr>
        <w:t xml:space="preserve">, </w:t>
      </w:r>
      <w:r w:rsidR="00EF40C2">
        <w:rPr>
          <w:rFonts w:ascii="Times New Roman" w:hAnsi="Times New Roman" w:cs="Times New Roman"/>
        </w:rPr>
        <w:t xml:space="preserve">and </w:t>
      </w:r>
      <w:r w:rsidR="005B3F97">
        <w:rPr>
          <w:rFonts w:ascii="Times New Roman" w:hAnsi="Times New Roman" w:cs="Times New Roman"/>
        </w:rPr>
        <w:t>in 2010,</w:t>
      </w:r>
      <w:r w:rsidR="004E6ED3">
        <w:rPr>
          <w:rFonts w:ascii="Times New Roman" w:hAnsi="Times New Roman" w:cs="Times New Roman"/>
        </w:rPr>
        <w:t xml:space="preserve"> </w:t>
      </w:r>
      <w:r w:rsidR="005B3F97">
        <w:rPr>
          <w:rFonts w:ascii="Times New Roman" w:hAnsi="Times New Roman" w:cs="Times New Roman"/>
        </w:rPr>
        <w:t xml:space="preserve">we issued </w:t>
      </w:r>
      <w:r w:rsidR="005B3F97" w:rsidRPr="0017091B">
        <w:rPr>
          <w:rFonts w:ascii="Times New Roman" w:hAnsi="Times New Roman" w:cs="Times New Roman"/>
        </w:rPr>
        <w:t>$</w:t>
      </w:r>
      <w:r w:rsidR="005B3F97">
        <w:rPr>
          <w:rFonts w:ascii="Times New Roman" w:hAnsi="Times New Roman" w:cs="Times New Roman"/>
        </w:rPr>
        <w:t xml:space="preserve">46.2 million </w:t>
      </w:r>
      <w:r w:rsidR="005B3F97" w:rsidRPr="0017091B">
        <w:rPr>
          <w:rFonts w:ascii="Times New Roman" w:hAnsi="Times New Roman" w:cs="Times New Roman"/>
        </w:rPr>
        <w:t>of common stock</w:t>
      </w:r>
      <w:r w:rsidR="005B3F97">
        <w:rPr>
          <w:rFonts w:ascii="Times New Roman" w:hAnsi="Times New Roman" w:cs="Times New Roman"/>
        </w:rPr>
        <w:t>.</w:t>
      </w:r>
      <w:r w:rsidR="00767137">
        <w:rPr>
          <w:rFonts w:ascii="Times New Roman" w:hAnsi="Times New Roman" w:cs="Times New Roman"/>
        </w:rPr>
        <w:t xml:space="preserve"> </w:t>
      </w:r>
      <w:r w:rsidR="00254D2E">
        <w:rPr>
          <w:rFonts w:ascii="Times New Roman" w:hAnsi="Times New Roman" w:cs="Times New Roman"/>
        </w:rPr>
        <w:t xml:space="preserve"> We are planning to issue up to $45 million </w:t>
      </w:r>
      <w:r w:rsidR="0031500B">
        <w:rPr>
          <w:rFonts w:ascii="Times New Roman" w:hAnsi="Times New Roman" w:cs="Times New Roman"/>
        </w:rPr>
        <w:t>of common stock i</w:t>
      </w:r>
      <w:r w:rsidR="00767137">
        <w:rPr>
          <w:rFonts w:ascii="Times New Roman" w:hAnsi="Times New Roman" w:cs="Times New Roman"/>
        </w:rPr>
        <w:t>n 2012</w:t>
      </w:r>
      <w:r w:rsidR="00767137" w:rsidRPr="0017091B">
        <w:rPr>
          <w:rFonts w:ascii="Times New Roman" w:hAnsi="Times New Roman" w:cs="Times New Roman"/>
        </w:rPr>
        <w:t xml:space="preserve"> in order to maintain our capital structure at an appropriate level for our business</w:t>
      </w:r>
      <w:r w:rsidR="0031500B">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rPr>
      </w:pPr>
      <w:r w:rsidRPr="00C50C02">
        <w:rPr>
          <w:rFonts w:ascii="Times New Roman" w:hAnsi="Times New Roman" w:cs="Times New Roman"/>
          <w:b/>
        </w:rPr>
        <w:t>Q.</w:t>
      </w:r>
      <w:r w:rsidRPr="00C50C02">
        <w:rPr>
          <w:rFonts w:ascii="Times New Roman" w:hAnsi="Times New Roman" w:cs="Times New Roman"/>
          <w:b/>
        </w:rPr>
        <w:tab/>
        <w:t>In addition to having credit ratings that will allow Avista to attract debt capital under reasonable terms, is it also necessary to attract capital from equity investors?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It is absolutely essential.  Avista has two primary sources of external capital – debt and equity investors.  A</w:t>
      </w:r>
      <w:r w:rsidR="00786B3D">
        <w:rPr>
          <w:rFonts w:ascii="Times New Roman" w:hAnsi="Times New Roman" w:cs="Times New Roman"/>
        </w:rPr>
        <w:t>s of December 31, 201</w:t>
      </w:r>
      <w:r w:rsidR="00466EA6">
        <w:rPr>
          <w:rFonts w:ascii="Times New Roman" w:hAnsi="Times New Roman" w:cs="Times New Roman"/>
        </w:rPr>
        <w:t>1</w:t>
      </w:r>
      <w:r w:rsidR="0000581B">
        <w:rPr>
          <w:rFonts w:ascii="Times New Roman" w:hAnsi="Times New Roman" w:cs="Times New Roman"/>
        </w:rPr>
        <w:t>,</w:t>
      </w:r>
      <w:r w:rsidR="00786B3D" w:rsidRPr="00C50C02">
        <w:rPr>
          <w:rFonts w:ascii="Times New Roman" w:hAnsi="Times New Roman" w:cs="Times New Roman"/>
        </w:rPr>
        <w:t xml:space="preserve"> </w:t>
      </w:r>
      <w:r w:rsidR="005B489B">
        <w:rPr>
          <w:rFonts w:ascii="Times New Roman" w:hAnsi="Times New Roman" w:cs="Times New Roman"/>
        </w:rPr>
        <w:t xml:space="preserve">Avista </w:t>
      </w:r>
      <w:r w:rsidR="00382BD7" w:rsidRPr="00C50C02">
        <w:rPr>
          <w:rFonts w:ascii="Times New Roman" w:hAnsi="Times New Roman" w:cs="Times New Roman"/>
        </w:rPr>
        <w:t>ha</w:t>
      </w:r>
      <w:r w:rsidR="00382BD7">
        <w:rPr>
          <w:rFonts w:ascii="Times New Roman" w:hAnsi="Times New Roman" w:cs="Times New Roman"/>
        </w:rPr>
        <w:t>d</w:t>
      </w:r>
      <w:r w:rsidR="00382BD7" w:rsidRPr="00C50C02">
        <w:rPr>
          <w:rFonts w:ascii="Times New Roman" w:hAnsi="Times New Roman" w:cs="Times New Roman"/>
        </w:rPr>
        <w:t xml:space="preserve"> </w:t>
      </w:r>
      <w:r w:rsidRPr="00C50C02">
        <w:rPr>
          <w:rFonts w:ascii="Times New Roman" w:hAnsi="Times New Roman" w:cs="Times New Roman"/>
        </w:rPr>
        <w:t>approximately $</w:t>
      </w:r>
      <w:r w:rsidR="000F0CFC">
        <w:rPr>
          <w:rFonts w:ascii="Times New Roman" w:hAnsi="Times New Roman" w:cs="Times New Roman"/>
        </w:rPr>
        <w:t>2.6</w:t>
      </w:r>
      <w:r w:rsidRPr="00C50C02">
        <w:rPr>
          <w:rFonts w:ascii="Times New Roman" w:hAnsi="Times New Roman" w:cs="Times New Roman"/>
        </w:rPr>
        <w:t xml:space="preserve"> billion of </w:t>
      </w:r>
      <w:r w:rsidR="009A2BBC">
        <w:rPr>
          <w:rFonts w:ascii="Times New Roman" w:hAnsi="Times New Roman" w:cs="Times New Roman"/>
        </w:rPr>
        <w:t>debt and equity</w:t>
      </w:r>
      <w:r w:rsidRPr="00C50C02">
        <w:rPr>
          <w:rFonts w:ascii="Times New Roman" w:hAnsi="Times New Roman" w:cs="Times New Roman"/>
        </w:rPr>
        <w:t xml:space="preserve">.  Approximately half of that investment is funded by debt holders, and </w:t>
      </w:r>
      <w:r w:rsidR="0000581B">
        <w:rPr>
          <w:rFonts w:ascii="Times New Roman" w:hAnsi="Times New Roman" w:cs="Times New Roman"/>
        </w:rPr>
        <w:t xml:space="preserve">the other </w:t>
      </w:r>
      <w:r w:rsidRPr="00C50C02">
        <w:rPr>
          <w:rFonts w:ascii="Times New Roman" w:hAnsi="Times New Roman" w:cs="Times New Roman"/>
        </w:rPr>
        <w:t>half is funded by equity investors</w:t>
      </w:r>
      <w:r w:rsidR="005B489B">
        <w:rPr>
          <w:rFonts w:ascii="Times New Roman" w:hAnsi="Times New Roman" w:cs="Times New Roman"/>
        </w:rPr>
        <w:t xml:space="preserve"> and retained earnings</w:t>
      </w:r>
      <w:r w:rsidRPr="00C50C02">
        <w:rPr>
          <w:rFonts w:ascii="Times New Roman" w:hAnsi="Times New Roman" w:cs="Times New Roman"/>
        </w:rPr>
        <w:t xml:space="preserve">.  </w:t>
      </w:r>
      <w:r w:rsidR="003F4DF5">
        <w:rPr>
          <w:rFonts w:ascii="Times New Roman" w:hAnsi="Times New Roman" w:cs="Times New Roman"/>
        </w:rPr>
        <w:t>T</w:t>
      </w:r>
      <w:r w:rsidRPr="00C50C02">
        <w:rPr>
          <w:rFonts w:ascii="Times New Roman" w:hAnsi="Times New Roman" w:cs="Times New Roman"/>
        </w:rPr>
        <w:t>here tends to be a lot of emphasis on maintaining credit metrics and credit ratings that will provide access to debt</w:t>
      </w:r>
      <w:r w:rsidR="003F4DF5">
        <w:rPr>
          <w:rFonts w:ascii="Times New Roman" w:hAnsi="Times New Roman" w:cs="Times New Roman"/>
        </w:rPr>
        <w:t xml:space="preserve"> capital under reasonable terms, however,</w:t>
      </w:r>
      <w:r w:rsidRPr="00C50C02">
        <w:rPr>
          <w:rFonts w:ascii="Times New Roman" w:hAnsi="Times New Roman" w:cs="Times New Roman"/>
        </w:rPr>
        <w:t xml:space="preserve"> access to equity capital is equally important.</w:t>
      </w:r>
      <w:r w:rsidR="005B4D04">
        <w:rPr>
          <w:rFonts w:ascii="Times New Roman" w:hAnsi="Times New Roman" w:cs="Times New Roman"/>
        </w:rPr>
        <w:t xml:space="preserve"> In fact, equity investors also focus on cash flows, capital structure and liquidity, </w:t>
      </w:r>
      <w:r w:rsidR="00534E76">
        <w:rPr>
          <w:rFonts w:ascii="Times New Roman" w:hAnsi="Times New Roman" w:cs="Times New Roman"/>
        </w:rPr>
        <w:t>as do</w:t>
      </w:r>
      <w:r w:rsidR="005B4D04">
        <w:rPr>
          <w:rFonts w:ascii="Times New Roman" w:hAnsi="Times New Roman" w:cs="Times New Roman"/>
        </w:rPr>
        <w:t xml:space="preserve"> debt investors. </w:t>
      </w:r>
      <w:r w:rsidR="00B9005A">
        <w:rPr>
          <w:rFonts w:ascii="Times New Roman" w:hAnsi="Times New Roman" w:cs="Times New Roman"/>
        </w:rPr>
        <w:t>In fact, the level of common equity in the Company’s capital structure can have a direct impact on its’ credit rating.</w:t>
      </w:r>
      <w:r w:rsidR="005B4D04">
        <w:rPr>
          <w:rFonts w:ascii="Times New Roman" w:hAnsi="Times New Roman" w:cs="Times New Roman"/>
        </w:rPr>
        <w:t xml:space="preserve">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lastRenderedPageBreak/>
        <w:t>Additional equity capital generally comes in two forms</w:t>
      </w:r>
      <w:r w:rsidR="0000581B">
        <w:rPr>
          <w:rFonts w:ascii="Times New Roman" w:hAnsi="Times New Roman" w:cs="Times New Roman"/>
        </w:rPr>
        <w:t>:</w:t>
      </w:r>
      <w:r w:rsidRPr="00C50C02">
        <w:rPr>
          <w:rFonts w:ascii="Times New Roman" w:hAnsi="Times New Roman" w:cs="Times New Roman"/>
        </w:rPr>
        <w:t xml:space="preserve"> retained earnings and new equity issuances. Retained earnings represent the annual earnings of the Company that is not paid out to investors in dividends.  The retained earnings are reinvested by the Company in utility plant, and other capital requirements, to serve customers, which avoids the need to issue new debt</w:t>
      </w:r>
      <w:r w:rsidR="005E1029">
        <w:rPr>
          <w:rFonts w:ascii="Times New Roman" w:hAnsi="Times New Roman" w:cs="Times New Roman"/>
        </w:rPr>
        <w:t xml:space="preserve"> or new equity</w:t>
      </w:r>
      <w:r w:rsidRPr="00C50C02">
        <w:rPr>
          <w:rFonts w:ascii="Times New Roman" w:hAnsi="Times New Roman" w:cs="Times New Roman"/>
        </w:rPr>
        <w:t>.  Occasionally</w:t>
      </w:r>
      <w:r w:rsidR="0000581B">
        <w:rPr>
          <w:rFonts w:ascii="Times New Roman" w:hAnsi="Times New Roman" w:cs="Times New Roman"/>
        </w:rPr>
        <w:t>,</w:t>
      </w:r>
      <w:r w:rsidRPr="00C50C02">
        <w:rPr>
          <w:rFonts w:ascii="Times New Roman" w:hAnsi="Times New Roman" w:cs="Times New Roman"/>
        </w:rPr>
        <w:t xml:space="preserve"> it</w:t>
      </w:r>
      <w:r w:rsidR="0000581B">
        <w:rPr>
          <w:rFonts w:ascii="Times New Roman" w:hAnsi="Times New Roman" w:cs="Times New Roman"/>
        </w:rPr>
        <w:t>’</w:t>
      </w:r>
      <w:r w:rsidRPr="00C50C02">
        <w:rPr>
          <w:rFonts w:ascii="Times New Roman" w:hAnsi="Times New Roman" w:cs="Times New Roman"/>
        </w:rPr>
        <w:t xml:space="preserve">s necessary to issue </w:t>
      </w:r>
      <w:r w:rsidR="003F4DF5">
        <w:rPr>
          <w:rFonts w:ascii="Times New Roman" w:hAnsi="Times New Roman" w:cs="Times New Roman"/>
        </w:rPr>
        <w:t xml:space="preserve">common </w:t>
      </w:r>
      <w:r w:rsidR="00706F34">
        <w:rPr>
          <w:rFonts w:ascii="Times New Roman" w:hAnsi="Times New Roman" w:cs="Times New Roman"/>
        </w:rPr>
        <w:t xml:space="preserve">equity in order </w:t>
      </w:r>
      <w:r w:rsidR="003F4DF5">
        <w:rPr>
          <w:rFonts w:ascii="Times New Roman" w:hAnsi="Times New Roman" w:cs="Times New Roman"/>
        </w:rPr>
        <w:t xml:space="preserve">to maintain a </w:t>
      </w:r>
      <w:r w:rsidRPr="00C50C02">
        <w:rPr>
          <w:rFonts w:ascii="Times New Roman" w:hAnsi="Times New Roman" w:cs="Times New Roman"/>
        </w:rPr>
        <w:t>balance</w:t>
      </w:r>
      <w:r w:rsidR="003F4DF5">
        <w:rPr>
          <w:rFonts w:ascii="Times New Roman" w:hAnsi="Times New Roman" w:cs="Times New Roman"/>
        </w:rPr>
        <w:t>d</w:t>
      </w:r>
      <w:r w:rsidRPr="00C50C02">
        <w:rPr>
          <w:rFonts w:ascii="Times New Roman" w:hAnsi="Times New Roman" w:cs="Times New Roman"/>
        </w:rPr>
        <w:t xml:space="preserve"> debt and equity capital structure, which allows Avista access to both debt and equity markets under reasonable terms, on a sustainable basis.  Because of the large capital requirements at Avista, it is imperative that Avista have ready-access to both the debt and equity markets at reasonable costs.</w:t>
      </w:r>
      <w:r w:rsidR="00690E67">
        <w:rPr>
          <w:rFonts w:ascii="Times New Roman" w:hAnsi="Times New Roman" w:cs="Times New Roman"/>
        </w:rPr>
        <w:t xml:space="preserve">  </w:t>
      </w:r>
      <w:r w:rsidR="008D76C0">
        <w:rPr>
          <w:rFonts w:ascii="Times New Roman" w:hAnsi="Times New Roman" w:cs="Times New Roman"/>
        </w:rPr>
        <w:t>As previously noted,</w:t>
      </w:r>
      <w:r w:rsidR="00690E67">
        <w:rPr>
          <w:rFonts w:ascii="Times New Roman" w:hAnsi="Times New Roman" w:cs="Times New Roman"/>
        </w:rPr>
        <w:t xml:space="preserve"> our capital requirements for the next </w:t>
      </w:r>
      <w:r w:rsidR="008762FE">
        <w:rPr>
          <w:rFonts w:ascii="Times New Roman" w:hAnsi="Times New Roman" w:cs="Times New Roman"/>
        </w:rPr>
        <w:t xml:space="preserve">five </w:t>
      </w:r>
      <w:r w:rsidR="00690E67">
        <w:rPr>
          <w:rFonts w:ascii="Times New Roman" w:hAnsi="Times New Roman" w:cs="Times New Roman"/>
        </w:rPr>
        <w:t>years are sizable at approximately $</w:t>
      </w:r>
      <w:r w:rsidR="004D0E86">
        <w:rPr>
          <w:rFonts w:ascii="Times New Roman" w:hAnsi="Times New Roman" w:cs="Times New Roman"/>
        </w:rPr>
        <w:t>1.</w:t>
      </w:r>
      <w:r w:rsidR="008762FE">
        <w:rPr>
          <w:rFonts w:ascii="Times New Roman" w:hAnsi="Times New Roman" w:cs="Times New Roman"/>
        </w:rPr>
        <w:t>2</w:t>
      </w:r>
      <w:r w:rsidR="00690E67">
        <w:rPr>
          <w:rFonts w:ascii="Times New Roman" w:hAnsi="Times New Roman" w:cs="Times New Roman"/>
        </w:rPr>
        <w:t xml:space="preserve"> billion, as compared to our current rate base of $</w:t>
      </w:r>
      <w:r w:rsidR="00D531B4">
        <w:rPr>
          <w:rFonts w:ascii="Times New Roman" w:hAnsi="Times New Roman" w:cs="Times New Roman"/>
        </w:rPr>
        <w:t>2.2</w:t>
      </w:r>
      <w:r w:rsidR="00690E67">
        <w:rPr>
          <w:rFonts w:ascii="Times New Roman" w:hAnsi="Times New Roman" w:cs="Times New Roman"/>
        </w:rPr>
        <w:t xml:space="preserve"> billion.</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rPr>
      </w:pPr>
      <w:r w:rsidRPr="00C50C02">
        <w:rPr>
          <w:rFonts w:ascii="Times New Roman" w:hAnsi="Times New Roman" w:cs="Times New Roman"/>
          <w:b/>
        </w:rPr>
        <w:t>Q.</w:t>
      </w:r>
      <w:r w:rsidRPr="00C50C02">
        <w:rPr>
          <w:rFonts w:ascii="Times New Roman" w:hAnsi="Times New Roman" w:cs="Times New Roman"/>
          <w:b/>
        </w:rPr>
        <w:tab/>
        <w:t>Are the debt and equity capital markets a competitive market?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Yes. Our ability to attract new capital, especially equity capital, under reasonable terms is dependent on our ability to offer a risk/reward opportunity that is </w:t>
      </w:r>
      <w:r w:rsidR="006A15F1">
        <w:rPr>
          <w:rFonts w:ascii="Times New Roman" w:hAnsi="Times New Roman" w:cs="Times New Roman"/>
        </w:rPr>
        <w:t xml:space="preserve">at least commensurate with </w:t>
      </w:r>
      <w:r w:rsidRPr="00C50C02">
        <w:rPr>
          <w:rFonts w:ascii="Times New Roman" w:hAnsi="Times New Roman" w:cs="Times New Roman"/>
        </w:rPr>
        <w:t xml:space="preserve">equity investors’ other alternatives.  We are competing with not only </w:t>
      </w:r>
      <w:r w:rsidR="004D0E86">
        <w:rPr>
          <w:rFonts w:ascii="Times New Roman" w:hAnsi="Times New Roman" w:cs="Times New Roman"/>
        </w:rPr>
        <w:t xml:space="preserve">all </w:t>
      </w:r>
      <w:r w:rsidRPr="00C50C02">
        <w:rPr>
          <w:rFonts w:ascii="Times New Roman" w:hAnsi="Times New Roman" w:cs="Times New Roman"/>
        </w:rPr>
        <w:t xml:space="preserve">other </w:t>
      </w:r>
      <w:r w:rsidR="004D0E86">
        <w:rPr>
          <w:rFonts w:ascii="Times New Roman" w:hAnsi="Times New Roman" w:cs="Times New Roman"/>
        </w:rPr>
        <w:t xml:space="preserve">investor owned public </w:t>
      </w:r>
      <w:r w:rsidRPr="00C50C02">
        <w:rPr>
          <w:rFonts w:ascii="Times New Roman" w:hAnsi="Times New Roman" w:cs="Times New Roman"/>
        </w:rPr>
        <w:t>utilities, but businesses in other sectors of the economy.  Demand for the stock supports the stock price, which provides the opportunity to issue additional stock under reasonable terms to fund capital investment requirements.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rPr>
      </w:pPr>
      <w:r w:rsidRPr="00C50C02">
        <w:rPr>
          <w:rFonts w:ascii="Times New Roman" w:hAnsi="Times New Roman" w:cs="Times New Roman"/>
          <w:b/>
        </w:rPr>
        <w:t>Q.</w:t>
      </w:r>
      <w:r w:rsidRPr="00C50C02">
        <w:rPr>
          <w:rFonts w:ascii="Times New Roman" w:hAnsi="Times New Roman" w:cs="Times New Roman"/>
          <w:b/>
        </w:rPr>
        <w:tab/>
        <w:t>What is Avista doing to attract equity investment?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Avista is carrying a capital structure that provides the opportunity to have financial metrics that offer a risk/reward proposition that is competitive and/or attractive for equity holders.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lastRenderedPageBreak/>
        <w:t xml:space="preserve">We have </w:t>
      </w:r>
      <w:r w:rsidR="0054368F">
        <w:rPr>
          <w:rFonts w:ascii="Times New Roman" w:hAnsi="Times New Roman" w:cs="Times New Roman"/>
        </w:rPr>
        <w:t xml:space="preserve">steadily </w:t>
      </w:r>
      <w:r w:rsidRPr="00C50C02">
        <w:rPr>
          <w:rFonts w:ascii="Times New Roman" w:hAnsi="Times New Roman" w:cs="Times New Roman"/>
        </w:rPr>
        <w:t>increased our dividend for common shareholders</w:t>
      </w:r>
      <w:r w:rsidR="0054368F">
        <w:rPr>
          <w:rFonts w:ascii="Times New Roman" w:hAnsi="Times New Roman" w:cs="Times New Roman"/>
        </w:rPr>
        <w:t xml:space="preserve"> over the past several years</w:t>
      </w:r>
      <w:r w:rsidRPr="00C50C02">
        <w:rPr>
          <w:rFonts w:ascii="Times New Roman" w:hAnsi="Times New Roman" w:cs="Times New Roman"/>
        </w:rPr>
        <w:t>, to work toward a dividend payout ratio that is comparable to other utilities in the industry. This is an essential element in providing a competitive risk/reward opportunity for equity investors.</w:t>
      </w:r>
      <w:r w:rsidR="004D0E86">
        <w:rPr>
          <w:rFonts w:ascii="Times New Roman" w:hAnsi="Times New Roman" w:cs="Times New Roman"/>
        </w:rPr>
        <w:t xml:space="preserve"> </w:t>
      </w:r>
    </w:p>
    <w:p w:rsidR="00C50C02" w:rsidRPr="00C50C02" w:rsidRDefault="00391F26" w:rsidP="0051339F">
      <w:pPr>
        <w:pStyle w:val="BodyText2"/>
        <w:tabs>
          <w:tab w:val="clear" w:pos="720"/>
        </w:tabs>
        <w:spacing w:before="0" w:after="0"/>
        <w:ind w:left="0" w:right="14" w:firstLine="720"/>
        <w:rPr>
          <w:rFonts w:ascii="Times New Roman" w:hAnsi="Times New Roman" w:cs="Times New Roman"/>
        </w:rPr>
      </w:pPr>
      <w:r w:rsidRPr="00F86198">
        <w:rPr>
          <w:rFonts w:ascii="Times New Roman" w:hAnsi="Times New Roman" w:cs="Times New Roman"/>
        </w:rPr>
        <w:t>We are employing tracking mechanisms such as the Energy Recovery Mechanism (ERM) and Purchased Gas Adjustment (PGA), approved by the Washington Utilities and Transportation Commission (</w:t>
      </w:r>
      <w:r w:rsidR="00475AF6">
        <w:rPr>
          <w:rFonts w:ascii="Times New Roman" w:hAnsi="Times New Roman" w:cs="Times New Roman"/>
        </w:rPr>
        <w:t>Commission), to balance the risk of owning and operating the business in a manner that places us in a position to offer a risk/reward opportunity that is competitive with not only other utilities, but with businesses in other sectors of the economy.</w:t>
      </w:r>
    </w:p>
    <w:p w:rsidR="00C50C02" w:rsidRPr="00C50C02" w:rsidRDefault="00FE5D8F" w:rsidP="0051339F">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rPr>
        <w:t>Certain e</w:t>
      </w:r>
      <w:r w:rsidR="00FD3B93">
        <w:rPr>
          <w:rFonts w:ascii="Times New Roman" w:hAnsi="Times New Roman" w:cs="Times New Roman"/>
        </w:rPr>
        <w:t xml:space="preserve">quity </w:t>
      </w:r>
      <w:r w:rsidR="004D0E86">
        <w:rPr>
          <w:rFonts w:ascii="Times New Roman" w:hAnsi="Times New Roman" w:cs="Times New Roman"/>
        </w:rPr>
        <w:t>investors</w:t>
      </w:r>
      <w:r w:rsidR="00FD3B93">
        <w:rPr>
          <w:rFonts w:ascii="Times New Roman" w:hAnsi="Times New Roman" w:cs="Times New Roman"/>
        </w:rPr>
        <w:t xml:space="preserve"> look for investments that provide a competitive dividend payout and the opportunity for appreciation in stock price through earnings growth. </w:t>
      </w:r>
      <w:r w:rsidR="00C50C02" w:rsidRPr="00C50C02">
        <w:rPr>
          <w:rFonts w:ascii="Times New Roman" w:hAnsi="Times New Roman" w:cs="Times New Roman"/>
        </w:rPr>
        <w:t xml:space="preserve">If we are not able to achieve a reasonable </w:t>
      </w:r>
      <w:r w:rsidR="00475AF6" w:rsidRPr="00475AF6">
        <w:rPr>
          <w:rFonts w:ascii="Times New Roman" w:hAnsi="Times New Roman" w:cs="Times New Roman"/>
        </w:rPr>
        <w:t>actual</w:t>
      </w:r>
      <w:r w:rsidR="00C50C02" w:rsidRPr="004671B1">
        <w:rPr>
          <w:rFonts w:ascii="Times New Roman" w:hAnsi="Times New Roman" w:cs="Times New Roman"/>
        </w:rPr>
        <w:t xml:space="preserve"> </w:t>
      </w:r>
      <w:r w:rsidR="00C50C02" w:rsidRPr="00C50C02">
        <w:rPr>
          <w:rFonts w:ascii="Times New Roman" w:hAnsi="Times New Roman" w:cs="Times New Roman"/>
        </w:rPr>
        <w:t xml:space="preserve">earned return on our equity investment, </w:t>
      </w:r>
      <w:r w:rsidR="00FD3B93">
        <w:rPr>
          <w:rFonts w:ascii="Times New Roman" w:hAnsi="Times New Roman" w:cs="Times New Roman"/>
        </w:rPr>
        <w:t>our earnings growth will be limited</w:t>
      </w:r>
      <w:r w:rsidR="00AB6E3C">
        <w:rPr>
          <w:rFonts w:ascii="Times New Roman" w:hAnsi="Times New Roman" w:cs="Times New Roman"/>
        </w:rPr>
        <w:t xml:space="preserve">. This limitation could </w:t>
      </w:r>
      <w:r w:rsidR="00FD3B93">
        <w:rPr>
          <w:rFonts w:ascii="Times New Roman" w:hAnsi="Times New Roman" w:cs="Times New Roman"/>
        </w:rPr>
        <w:t>affect</w:t>
      </w:r>
      <w:r w:rsidR="00AB6E3C">
        <w:rPr>
          <w:rFonts w:ascii="Times New Roman" w:hAnsi="Times New Roman" w:cs="Times New Roman"/>
        </w:rPr>
        <w:t xml:space="preserve"> </w:t>
      </w:r>
      <w:r w:rsidR="00FD3B93">
        <w:rPr>
          <w:rFonts w:ascii="Times New Roman" w:hAnsi="Times New Roman" w:cs="Times New Roman"/>
        </w:rPr>
        <w:t>the appreciation in our stock price</w:t>
      </w:r>
      <w:r w:rsidR="00AB6E3C">
        <w:rPr>
          <w:rFonts w:ascii="Times New Roman" w:hAnsi="Times New Roman" w:cs="Times New Roman"/>
        </w:rPr>
        <w:t xml:space="preserve">. If appreciation is not realized it would </w:t>
      </w:r>
      <w:r w:rsidR="00FD3B93">
        <w:rPr>
          <w:rFonts w:ascii="Times New Roman" w:hAnsi="Times New Roman" w:cs="Times New Roman"/>
        </w:rPr>
        <w:t>reduc</w:t>
      </w:r>
      <w:r w:rsidR="00AB6E3C">
        <w:rPr>
          <w:rFonts w:ascii="Times New Roman" w:hAnsi="Times New Roman" w:cs="Times New Roman"/>
        </w:rPr>
        <w:t>e</w:t>
      </w:r>
      <w:r w:rsidR="00FD3B93">
        <w:rPr>
          <w:rFonts w:ascii="Times New Roman" w:hAnsi="Times New Roman" w:cs="Times New Roman"/>
        </w:rPr>
        <w:t xml:space="preserve"> the overall total return to investors</w:t>
      </w:r>
      <w:r w:rsidR="00AB6E3C">
        <w:rPr>
          <w:rFonts w:ascii="Times New Roman" w:hAnsi="Times New Roman" w:cs="Times New Roman"/>
        </w:rPr>
        <w:t xml:space="preserve">. A reduction in total return would </w:t>
      </w:r>
      <w:r w:rsidR="00FD3B93">
        <w:rPr>
          <w:rFonts w:ascii="Times New Roman" w:hAnsi="Times New Roman" w:cs="Times New Roman"/>
        </w:rPr>
        <w:t>mak</w:t>
      </w:r>
      <w:r w:rsidR="00AB6E3C">
        <w:rPr>
          <w:rFonts w:ascii="Times New Roman" w:hAnsi="Times New Roman" w:cs="Times New Roman"/>
        </w:rPr>
        <w:t>e</w:t>
      </w:r>
      <w:r w:rsidR="00FD3B93">
        <w:rPr>
          <w:rFonts w:ascii="Times New Roman" w:hAnsi="Times New Roman" w:cs="Times New Roman"/>
        </w:rPr>
        <w:t xml:space="preserve"> it difficult</w:t>
      </w:r>
      <w:r w:rsidR="00C50C02" w:rsidRPr="00C50C02">
        <w:rPr>
          <w:rFonts w:ascii="Times New Roman" w:hAnsi="Times New Roman" w:cs="Times New Roman"/>
        </w:rPr>
        <w:t xml:space="preserve"> </w:t>
      </w:r>
      <w:r w:rsidR="00FD3B93">
        <w:rPr>
          <w:rFonts w:ascii="Times New Roman" w:hAnsi="Times New Roman" w:cs="Times New Roman"/>
        </w:rPr>
        <w:t xml:space="preserve">to </w:t>
      </w:r>
      <w:r w:rsidR="00C50C02" w:rsidRPr="00C50C02">
        <w:rPr>
          <w:rFonts w:ascii="Times New Roman" w:hAnsi="Times New Roman" w:cs="Times New Roman"/>
        </w:rPr>
        <w:t>attract</w:t>
      </w:r>
      <w:r w:rsidR="00AD17D9">
        <w:rPr>
          <w:rFonts w:ascii="Times New Roman" w:hAnsi="Times New Roman" w:cs="Times New Roman"/>
        </w:rPr>
        <w:t>, under reasonable terms,</w:t>
      </w:r>
      <w:r w:rsidR="00C50C02" w:rsidRPr="00C50C02">
        <w:rPr>
          <w:rFonts w:ascii="Times New Roman" w:hAnsi="Times New Roman" w:cs="Times New Roman"/>
        </w:rPr>
        <w:t xml:space="preserve"> equity dollars that are absolutely necessary to support this business going forward.</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Dr. Avera provides additional testimony related to the appropriate return on equity for Avista</w:t>
      </w:r>
      <w:r w:rsidR="005D2A1A">
        <w:rPr>
          <w:rFonts w:ascii="Times New Roman" w:hAnsi="Times New Roman" w:cs="Times New Roman"/>
        </w:rPr>
        <w:t xml:space="preserve"> t</w:t>
      </w:r>
      <w:r w:rsidRPr="00C50C02">
        <w:rPr>
          <w:rFonts w:ascii="Times New Roman" w:hAnsi="Times New Roman" w:cs="Times New Roman"/>
        </w:rPr>
        <w:t xml:space="preserve">hat would allow the Company access to equity capital under reasonable terms, and on a sustainable basis. </w:t>
      </w:r>
    </w:p>
    <w:p w:rsidR="00C50C02" w:rsidRPr="00E2605C" w:rsidRDefault="003E6FEB" w:rsidP="0051339F">
      <w:pPr>
        <w:pStyle w:val="BodyText2"/>
        <w:tabs>
          <w:tab w:val="clear" w:pos="720"/>
        </w:tabs>
        <w:spacing w:before="0" w:after="0"/>
        <w:ind w:left="0" w:right="14" w:firstLine="720"/>
        <w:rPr>
          <w:rFonts w:ascii="Times New Roman" w:hAnsi="Times New Roman" w:cs="Times New Roman"/>
          <w:b/>
        </w:rPr>
      </w:pPr>
      <w:r w:rsidRPr="00575F28">
        <w:rPr>
          <w:rFonts w:ascii="Times New Roman" w:hAnsi="Times New Roman" w:cs="Times New Roman"/>
          <w:b/>
        </w:rPr>
        <w:t>Q.</w:t>
      </w:r>
      <w:r w:rsidRPr="00575F28">
        <w:rPr>
          <w:rFonts w:ascii="Times New Roman" w:hAnsi="Times New Roman" w:cs="Times New Roman"/>
          <w:b/>
        </w:rPr>
        <w:tab/>
      </w:r>
      <w:r w:rsidR="0066447F" w:rsidRPr="0066447F">
        <w:rPr>
          <w:rFonts w:ascii="Times New Roman" w:hAnsi="Times New Roman" w:cs="Times New Roman"/>
          <w:b/>
        </w:rPr>
        <w:t>Has regulatory lag reduced the actual return earned by the Company?</w:t>
      </w:r>
    </w:p>
    <w:p w:rsidR="00C50C02" w:rsidRPr="00E2605C" w:rsidRDefault="0066447F" w:rsidP="0051339F">
      <w:pPr>
        <w:pStyle w:val="BodyText2"/>
        <w:tabs>
          <w:tab w:val="clear" w:pos="720"/>
        </w:tabs>
        <w:spacing w:before="0" w:after="0"/>
        <w:ind w:left="0" w:right="14" w:firstLine="720"/>
        <w:rPr>
          <w:rFonts w:ascii="Times New Roman" w:hAnsi="Times New Roman" w:cs="Times New Roman"/>
        </w:rPr>
      </w:pPr>
      <w:r w:rsidRPr="0066447F">
        <w:rPr>
          <w:rFonts w:ascii="Times New Roman" w:hAnsi="Times New Roman" w:cs="Times New Roman"/>
        </w:rPr>
        <w:t>A.</w:t>
      </w:r>
      <w:r w:rsidRPr="0066447F">
        <w:rPr>
          <w:rFonts w:ascii="Times New Roman" w:hAnsi="Times New Roman" w:cs="Times New Roman"/>
        </w:rPr>
        <w:tab/>
        <w:t xml:space="preserve">Yes.  Although we have received rate increases in recent years, we are continuing to experience increases in costs, and increased capital investment requirements </w:t>
      </w:r>
      <w:r w:rsidRPr="0066447F">
        <w:rPr>
          <w:rFonts w:ascii="Times New Roman" w:hAnsi="Times New Roman" w:cs="Times New Roman"/>
        </w:rPr>
        <w:lastRenderedPageBreak/>
        <w:t>that are not reflected in retail rates.  What that means is we are not recovering the costs associated with significant new capital investment that is already in place providing service to customers.</w:t>
      </w:r>
    </w:p>
    <w:p w:rsidR="0085421D" w:rsidRDefault="0066447F" w:rsidP="0051339F">
      <w:pPr>
        <w:pStyle w:val="BodyText2"/>
        <w:tabs>
          <w:tab w:val="clear" w:pos="720"/>
        </w:tabs>
        <w:spacing w:before="0" w:after="0"/>
        <w:ind w:left="0" w:right="18" w:firstLine="720"/>
        <w:rPr>
          <w:rFonts w:ascii="Times New Roman" w:hAnsi="Times New Roman" w:cs="Times New Roman"/>
        </w:rPr>
      </w:pPr>
      <w:r w:rsidRPr="0066447F">
        <w:rPr>
          <w:rFonts w:ascii="Times New Roman" w:hAnsi="Times New Roman" w:cs="Times New Roman"/>
        </w:rPr>
        <w:t>It is important that we work toward more timely recovery of the costs to provide service to customers, and a meaningful opportunity to earn a return closer to the allowed return, so that we can have access to debt and equity capital under reasonable terms.</w:t>
      </w:r>
    </w:p>
    <w:p w:rsidR="00E6358B" w:rsidRDefault="0066447F" w:rsidP="0051339F">
      <w:pPr>
        <w:pStyle w:val="BodyText2"/>
        <w:tabs>
          <w:tab w:val="clear" w:pos="720"/>
        </w:tabs>
        <w:spacing w:before="0" w:after="0"/>
        <w:ind w:left="0" w:right="18" w:firstLine="720"/>
        <w:rPr>
          <w:rFonts w:ascii="Times New Roman" w:hAnsi="Times New Roman" w:cs="Times New Roman"/>
        </w:rPr>
      </w:pPr>
      <w:r w:rsidRPr="0066447F">
        <w:rPr>
          <w:rFonts w:ascii="Times New Roman" w:hAnsi="Times New Roman" w:cs="Times New Roman"/>
        </w:rPr>
        <w:t xml:space="preserve">The retail rates authorized by the Commission at the conclusion of this proceeding should provide a reasonable opportunity for Avista to actually earn a return on equity more closely in line with that authorized by the Commission.  </w:t>
      </w:r>
      <w:r w:rsidR="00AD17D9">
        <w:rPr>
          <w:rFonts w:ascii="Times New Roman" w:hAnsi="Times New Roman" w:cs="Times New Roman"/>
        </w:rPr>
        <w:t>Company witness Norwood addresses this issue in greater deta</w:t>
      </w:r>
      <w:r w:rsidR="00E56ED5">
        <w:rPr>
          <w:rFonts w:ascii="Times New Roman" w:hAnsi="Times New Roman" w:cs="Times New Roman"/>
        </w:rPr>
        <w:t xml:space="preserve">il. </w:t>
      </w:r>
      <w:proofErr w:type="gramStart"/>
      <w:r w:rsidR="00E56ED5">
        <w:rPr>
          <w:rFonts w:ascii="Times New Roman" w:hAnsi="Times New Roman" w:cs="Times New Roman"/>
        </w:rPr>
        <w:t>(See E</w:t>
      </w:r>
      <w:r w:rsidR="00AD17D9">
        <w:rPr>
          <w:rFonts w:ascii="Times New Roman" w:hAnsi="Times New Roman" w:cs="Times New Roman"/>
        </w:rPr>
        <w:t>xhibit</w:t>
      </w:r>
      <w:r w:rsidR="00E56ED5">
        <w:rPr>
          <w:rFonts w:ascii="Times New Roman" w:hAnsi="Times New Roman" w:cs="Times New Roman"/>
        </w:rPr>
        <w:t xml:space="preserve"> No.</w:t>
      </w:r>
      <w:proofErr w:type="gramEnd"/>
      <w:r w:rsidR="00AD17D9">
        <w:rPr>
          <w:rFonts w:ascii="Times New Roman" w:hAnsi="Times New Roman" w:cs="Times New Roman"/>
        </w:rPr>
        <w:t xml:space="preserve"> ___ KON-1T)</w:t>
      </w:r>
    </w:p>
    <w:p w:rsidR="00E56ED5" w:rsidRDefault="00E56ED5" w:rsidP="0051339F">
      <w:pPr>
        <w:pStyle w:val="BodyText2"/>
        <w:tabs>
          <w:tab w:val="clear" w:pos="720"/>
        </w:tabs>
        <w:spacing w:before="0" w:after="0"/>
        <w:ind w:left="0" w:right="18" w:firstLine="720"/>
        <w:rPr>
          <w:rFonts w:ascii="Times New Roman" w:hAnsi="Times New Roman" w:cs="Times New Roman"/>
        </w:rPr>
      </w:pPr>
    </w:p>
    <w:p w:rsidR="00C50C02" w:rsidRPr="009E6559" w:rsidRDefault="00CA11C6" w:rsidP="00E56ED5">
      <w:pPr>
        <w:pStyle w:val="Heading3"/>
        <w:spacing w:before="0" w:after="0"/>
        <w:ind w:left="0" w:right="14"/>
        <w:rPr>
          <w:u w:val="single"/>
        </w:rPr>
      </w:pPr>
      <w:bookmarkStart w:id="3" w:name="_Toc289931770"/>
      <w:r w:rsidRPr="00CA11C6">
        <w:rPr>
          <w:u w:val="single"/>
        </w:rPr>
        <w:t>III. CREDIT RATINGS</w:t>
      </w:r>
      <w:bookmarkEnd w:id="3"/>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How important are credit ratings for Avista?</w:t>
      </w:r>
    </w:p>
    <w:p w:rsidR="00C50C02" w:rsidRPr="00C50C02" w:rsidRDefault="00E56ED5" w:rsidP="0051339F">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rPr>
        <w:t>A.</w:t>
      </w:r>
      <w:r w:rsidR="00607F1B">
        <w:rPr>
          <w:rFonts w:ascii="Times New Roman" w:hAnsi="Times New Roman" w:cs="Times New Roman"/>
        </w:rPr>
        <w:tab/>
      </w:r>
      <w:r w:rsidR="00653FD5">
        <w:rPr>
          <w:rFonts w:ascii="Times New Roman" w:hAnsi="Times New Roman" w:cs="Times New Roman"/>
        </w:rPr>
        <w:t>Avista</w:t>
      </w:r>
      <w:r w:rsidR="00653FD5" w:rsidRPr="00C50C02">
        <w:rPr>
          <w:rFonts w:ascii="Times New Roman" w:hAnsi="Times New Roman" w:cs="Times New Roman"/>
        </w:rPr>
        <w:t xml:space="preserve"> </w:t>
      </w:r>
      <w:r w:rsidR="00C50C02" w:rsidRPr="00C50C02">
        <w:rPr>
          <w:rFonts w:ascii="Times New Roman" w:hAnsi="Times New Roman" w:cs="Times New Roman"/>
        </w:rPr>
        <w:t>need</w:t>
      </w:r>
      <w:r w:rsidR="00653FD5">
        <w:rPr>
          <w:rFonts w:ascii="Times New Roman" w:hAnsi="Times New Roman" w:cs="Times New Roman"/>
        </w:rPr>
        <w:t>s</w:t>
      </w:r>
      <w:r w:rsidR="00C50C02" w:rsidRPr="00C50C02">
        <w:rPr>
          <w:rFonts w:ascii="Times New Roman" w:hAnsi="Times New Roman" w:cs="Times New Roman"/>
        </w:rPr>
        <w:t xml:space="preserve"> ready access to capital markets in all types of economic environments.  The nature of our business with long-term capital projects, our obligation to serve, and the potential for high volatility in fuel and purchased power markets, necessitates the </w:t>
      </w:r>
      <w:r w:rsidR="00736C4C">
        <w:rPr>
          <w:rFonts w:ascii="Times New Roman" w:hAnsi="Times New Roman" w:cs="Times New Roman"/>
        </w:rPr>
        <w:t xml:space="preserve">need to have the </w:t>
      </w:r>
      <w:r w:rsidR="00C50C02" w:rsidRPr="00C50C02">
        <w:rPr>
          <w:rFonts w:ascii="Times New Roman" w:hAnsi="Times New Roman" w:cs="Times New Roman"/>
        </w:rPr>
        <w:t xml:space="preserve">ability to </w:t>
      </w:r>
      <w:r w:rsidR="00DE3078">
        <w:rPr>
          <w:rFonts w:ascii="Times New Roman" w:hAnsi="Times New Roman" w:cs="Times New Roman"/>
        </w:rPr>
        <w:t xml:space="preserve">go to </w:t>
      </w:r>
      <w:r w:rsidR="00C50C02" w:rsidRPr="00C50C02">
        <w:rPr>
          <w:rFonts w:ascii="Times New Roman" w:hAnsi="Times New Roman" w:cs="Times New Roman"/>
        </w:rPr>
        <w:t>the financial markets under reasonable terms on a regular basis.</w:t>
      </w:r>
      <w:r w:rsidR="00C66471">
        <w:rPr>
          <w:rFonts w:ascii="Times New Roman" w:hAnsi="Times New Roman" w:cs="Times New Roman"/>
        </w:rPr>
        <w:t xml:space="preserve"> In order to have this ability</w:t>
      </w:r>
      <w:r w:rsidR="0016032D">
        <w:rPr>
          <w:rFonts w:ascii="Times New Roman" w:hAnsi="Times New Roman" w:cs="Times New Roman"/>
        </w:rPr>
        <w:t>,</w:t>
      </w:r>
      <w:r w:rsidR="00C66471">
        <w:rPr>
          <w:rFonts w:ascii="Times New Roman" w:hAnsi="Times New Roman" w:cs="Times New Roman"/>
        </w:rPr>
        <w:t xml:space="preserve"> investors need to understand the risks related to any of their investments. In order to help investors </w:t>
      </w:r>
      <w:r w:rsidR="00C66471" w:rsidRPr="00C66471">
        <w:rPr>
          <w:rFonts w:ascii="Times New Roman" w:hAnsi="Times New Roman" w:cs="Times New Roman"/>
        </w:rPr>
        <w:t xml:space="preserve">assess the creditworthiness of </w:t>
      </w:r>
      <w:r w:rsidR="00C66471">
        <w:rPr>
          <w:rFonts w:ascii="Times New Roman" w:hAnsi="Times New Roman" w:cs="Times New Roman"/>
        </w:rPr>
        <w:t>Avista</w:t>
      </w:r>
      <w:r w:rsidR="00C66471" w:rsidRPr="00C66471">
        <w:rPr>
          <w:rFonts w:ascii="Times New Roman" w:hAnsi="Times New Roman" w:cs="Times New Roman"/>
        </w:rPr>
        <w:t xml:space="preserve">, </w:t>
      </w:r>
      <w:r w:rsidR="00A21108" w:rsidRPr="00A21108">
        <w:rPr>
          <w:rFonts w:ascii="Times New Roman" w:hAnsi="Times New Roman" w:cs="Times New Roman"/>
        </w:rPr>
        <w:t>Nationally Recognized Statistical Rating Organization</w:t>
      </w:r>
      <w:r w:rsidR="00A21108">
        <w:rPr>
          <w:rFonts w:ascii="Times New Roman" w:hAnsi="Times New Roman" w:cs="Times New Roman"/>
        </w:rPr>
        <w:t>s</w:t>
      </w:r>
      <w:r w:rsidR="00D423C4">
        <w:rPr>
          <w:rFonts w:ascii="Times New Roman" w:hAnsi="Times New Roman" w:cs="Times New Roman"/>
        </w:rPr>
        <w:t xml:space="preserve"> (rating agencies)</w:t>
      </w:r>
      <w:r w:rsidR="00A21108">
        <w:rPr>
          <w:rFonts w:ascii="Times New Roman" w:hAnsi="Times New Roman" w:cs="Times New Roman"/>
        </w:rPr>
        <w:t xml:space="preserve"> developed their own standardized ratings scale, otherwise known as credit ratings. </w:t>
      </w:r>
      <w:r w:rsidR="00043707">
        <w:rPr>
          <w:rFonts w:ascii="Times New Roman" w:hAnsi="Times New Roman" w:cs="Times New Roman"/>
        </w:rPr>
        <w:t>These credit ratings indicate</w:t>
      </w:r>
      <w:r w:rsidR="00A21108">
        <w:rPr>
          <w:rFonts w:ascii="Times New Roman" w:hAnsi="Times New Roman" w:cs="Times New Roman"/>
        </w:rPr>
        <w:t xml:space="preserve"> the</w:t>
      </w:r>
      <w:r w:rsidR="00C66471" w:rsidRPr="00C66471">
        <w:rPr>
          <w:rFonts w:ascii="Times New Roman" w:hAnsi="Times New Roman" w:cs="Times New Roman"/>
        </w:rPr>
        <w:t xml:space="preserve"> financial strength of </w:t>
      </w:r>
      <w:r w:rsidR="00A21108">
        <w:rPr>
          <w:rFonts w:ascii="Times New Roman" w:hAnsi="Times New Roman" w:cs="Times New Roman"/>
        </w:rPr>
        <w:t>a company</w:t>
      </w:r>
      <w:r w:rsidR="00C66471" w:rsidRPr="00C66471">
        <w:rPr>
          <w:rFonts w:ascii="Times New Roman" w:hAnsi="Times New Roman" w:cs="Times New Roman"/>
        </w:rPr>
        <w:t xml:space="preserve">. These </w:t>
      </w:r>
      <w:r w:rsidR="00D423C4">
        <w:rPr>
          <w:rFonts w:ascii="Times New Roman" w:hAnsi="Times New Roman" w:cs="Times New Roman"/>
        </w:rPr>
        <w:t>rating agencies</w:t>
      </w:r>
      <w:r w:rsidR="00C66471" w:rsidRPr="00C66471">
        <w:rPr>
          <w:rFonts w:ascii="Times New Roman" w:hAnsi="Times New Roman" w:cs="Times New Roman"/>
        </w:rPr>
        <w:t xml:space="preserve"> assign ratings to </w:t>
      </w:r>
      <w:r w:rsidR="00A21108">
        <w:rPr>
          <w:rFonts w:ascii="Times New Roman" w:hAnsi="Times New Roman" w:cs="Times New Roman"/>
        </w:rPr>
        <w:t xml:space="preserve">most of our </w:t>
      </w:r>
      <w:r w:rsidR="00C66471" w:rsidRPr="00C66471">
        <w:rPr>
          <w:rFonts w:ascii="Times New Roman" w:hAnsi="Times New Roman" w:cs="Times New Roman"/>
        </w:rPr>
        <w:t xml:space="preserve">bond issues </w:t>
      </w:r>
      <w:r w:rsidR="004F30A6">
        <w:rPr>
          <w:rFonts w:ascii="Times New Roman" w:hAnsi="Times New Roman" w:cs="Times New Roman"/>
        </w:rPr>
        <w:t xml:space="preserve">to </w:t>
      </w:r>
      <w:r w:rsidR="00FD7D2E">
        <w:rPr>
          <w:rFonts w:ascii="Times New Roman" w:hAnsi="Times New Roman" w:cs="Times New Roman"/>
        </w:rPr>
        <w:t xml:space="preserve">assist </w:t>
      </w:r>
      <w:r w:rsidR="00FD7D2E" w:rsidRPr="00C66471">
        <w:rPr>
          <w:rFonts w:ascii="Times New Roman" w:hAnsi="Times New Roman" w:cs="Times New Roman"/>
        </w:rPr>
        <w:t>investors</w:t>
      </w:r>
      <w:r w:rsidR="00C66471" w:rsidRPr="00C66471">
        <w:rPr>
          <w:rFonts w:ascii="Times New Roman" w:hAnsi="Times New Roman" w:cs="Times New Roman"/>
        </w:rPr>
        <w:t xml:space="preserve"> </w:t>
      </w:r>
      <w:r w:rsidR="004F30A6">
        <w:rPr>
          <w:rFonts w:ascii="Times New Roman" w:hAnsi="Times New Roman" w:cs="Times New Roman"/>
        </w:rPr>
        <w:t>in</w:t>
      </w:r>
      <w:r w:rsidR="004F30A6" w:rsidRPr="00C66471">
        <w:rPr>
          <w:rFonts w:ascii="Times New Roman" w:hAnsi="Times New Roman" w:cs="Times New Roman"/>
        </w:rPr>
        <w:t xml:space="preserve"> </w:t>
      </w:r>
      <w:r w:rsidR="00C66471" w:rsidRPr="00C66471">
        <w:rPr>
          <w:rFonts w:ascii="Times New Roman" w:hAnsi="Times New Roman" w:cs="Times New Roman"/>
        </w:rPr>
        <w:t>determin</w:t>
      </w:r>
      <w:r w:rsidR="004F30A6">
        <w:rPr>
          <w:rFonts w:ascii="Times New Roman" w:hAnsi="Times New Roman" w:cs="Times New Roman"/>
        </w:rPr>
        <w:t>ing</w:t>
      </w:r>
      <w:r w:rsidR="00C66471" w:rsidRPr="00C66471">
        <w:rPr>
          <w:rFonts w:ascii="Times New Roman" w:hAnsi="Times New Roman" w:cs="Times New Roman"/>
        </w:rPr>
        <w:t xml:space="preserve"> the credit </w:t>
      </w:r>
      <w:r w:rsidR="009319B6">
        <w:rPr>
          <w:rFonts w:ascii="Times New Roman" w:hAnsi="Times New Roman" w:cs="Times New Roman"/>
        </w:rPr>
        <w:t>risk of debt issuers</w:t>
      </w:r>
      <w:r w:rsidR="00C66471" w:rsidRPr="00C66471">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lastRenderedPageBreak/>
        <w:t>Q.</w:t>
      </w:r>
      <w:r w:rsidRPr="00C50C02">
        <w:rPr>
          <w:rFonts w:ascii="Times New Roman" w:hAnsi="Times New Roman" w:cs="Times New Roman"/>
          <w:b/>
          <w:bCs/>
        </w:rPr>
        <w:tab/>
        <w:t>Please explain the credit ratings for Avista’s debt securities.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5038E7">
        <w:rPr>
          <w:rFonts w:ascii="Times New Roman" w:hAnsi="Times New Roman" w:cs="Times New Roman"/>
        </w:rPr>
        <w:t>Two of the</w:t>
      </w:r>
      <w:r w:rsidRPr="00C50C02">
        <w:rPr>
          <w:rFonts w:ascii="Times New Roman" w:hAnsi="Times New Roman" w:cs="Times New Roman"/>
        </w:rPr>
        <w:t xml:space="preserve"> most widely recognized rating agencies are S&amp;P</w:t>
      </w:r>
      <w:r w:rsidR="005038E7">
        <w:rPr>
          <w:rFonts w:ascii="Times New Roman" w:hAnsi="Times New Roman" w:cs="Times New Roman"/>
        </w:rPr>
        <w:t xml:space="preserve"> and</w:t>
      </w:r>
      <w:r w:rsidRPr="00C50C02">
        <w:rPr>
          <w:rFonts w:ascii="Times New Roman" w:hAnsi="Times New Roman" w:cs="Times New Roman"/>
        </w:rPr>
        <w:t xml:space="preserve"> Moody’s. These rating agencies assign a credit rating to companies and their securities so investors can more easily understand the risks associated with investing in their debt and preferred stock</w:t>
      </w:r>
      <w:r w:rsidR="00FF3EEA">
        <w:rPr>
          <w:rStyle w:val="FootnoteReference"/>
          <w:rFonts w:ascii="Times New Roman" w:hAnsi="Times New Roman"/>
        </w:rPr>
        <w:footnoteReference w:id="1"/>
      </w:r>
      <w:r w:rsidRPr="00C50C02">
        <w:rPr>
          <w:rFonts w:ascii="Times New Roman" w:hAnsi="Times New Roman" w:cs="Times New Roman"/>
        </w:rPr>
        <w:t xml:space="preserve">. </w:t>
      </w:r>
      <w:r w:rsidR="007178ED">
        <w:rPr>
          <w:rFonts w:ascii="Times New Roman" w:hAnsi="Times New Roman" w:cs="Times New Roman"/>
        </w:rPr>
        <w:t xml:space="preserve"> Credit ratings have a direct impact on the cost of debt to customers to finance utility infrastructure, and</w:t>
      </w:r>
      <w:r w:rsidR="00D423C4">
        <w:rPr>
          <w:rFonts w:ascii="Times New Roman" w:hAnsi="Times New Roman" w:cs="Times New Roman"/>
        </w:rPr>
        <w:t xml:space="preserve"> have a direct correlation with the </w:t>
      </w:r>
      <w:r w:rsidR="00B9005A">
        <w:rPr>
          <w:rFonts w:ascii="Times New Roman" w:hAnsi="Times New Roman" w:cs="Times New Roman"/>
        </w:rPr>
        <w:t xml:space="preserve">interest </w:t>
      </w:r>
      <w:r w:rsidR="00D423C4">
        <w:rPr>
          <w:rFonts w:ascii="Times New Roman" w:hAnsi="Times New Roman" w:cs="Times New Roman"/>
        </w:rPr>
        <w:t xml:space="preserve">rate the Company </w:t>
      </w:r>
      <w:r w:rsidR="00C65F91">
        <w:rPr>
          <w:rFonts w:ascii="Times New Roman" w:hAnsi="Times New Roman" w:cs="Times New Roman"/>
        </w:rPr>
        <w:t>must pay in order to attract investors</w:t>
      </w:r>
      <w:r w:rsidR="00D423C4">
        <w:rPr>
          <w:rFonts w:ascii="Times New Roman" w:hAnsi="Times New Roman" w:cs="Times New Roman"/>
        </w:rPr>
        <w:t xml:space="preserve">. </w:t>
      </w:r>
      <w:r w:rsidRPr="00C50C02">
        <w:rPr>
          <w:rFonts w:ascii="Times New Roman" w:hAnsi="Times New Roman" w:cs="Times New Roman"/>
        </w:rPr>
        <w:t xml:space="preserve">Avista’s credit ratings are </w:t>
      </w:r>
      <w:r w:rsidRPr="00E130EB">
        <w:rPr>
          <w:rFonts w:ascii="Times New Roman" w:hAnsi="Times New Roman" w:cs="Times New Roman"/>
        </w:rPr>
        <w:t>summarized on page 1 of Exhibit No.</w:t>
      </w:r>
      <w:r w:rsidR="00832C45" w:rsidRPr="00E130EB">
        <w:rPr>
          <w:rFonts w:ascii="Times New Roman" w:hAnsi="Times New Roman" w:cs="Times New Roman"/>
        </w:rPr>
        <w:t>__</w:t>
      </w:r>
      <w:r w:rsidR="00043707" w:rsidRPr="00E130EB">
        <w:rPr>
          <w:rFonts w:ascii="Times New Roman" w:hAnsi="Times New Roman" w:cs="Times New Roman"/>
        </w:rPr>
        <w:t>_ (</w:t>
      </w:r>
      <w:r w:rsidR="00355F58" w:rsidRPr="00E130EB">
        <w:rPr>
          <w:rFonts w:ascii="Times New Roman" w:hAnsi="Times New Roman" w:cs="Times New Roman"/>
        </w:rPr>
        <w:t>MTT</w:t>
      </w:r>
      <w:r w:rsidR="00832C45" w:rsidRPr="00E130EB">
        <w:rPr>
          <w:rFonts w:ascii="Times New Roman" w:hAnsi="Times New Roman" w:cs="Times New Roman"/>
        </w:rPr>
        <w:t>-2)</w:t>
      </w:r>
      <w:r w:rsidRPr="00E130EB">
        <w:rPr>
          <w:rFonts w:ascii="Times New Roman" w:hAnsi="Times New Roman" w:cs="Times New Roman"/>
        </w:rPr>
        <w:t>.</w:t>
      </w:r>
    </w:p>
    <w:p w:rsidR="00C50C02" w:rsidRPr="00C50C02" w:rsidRDefault="005142AA" w:rsidP="0051339F">
      <w:pPr>
        <w:pStyle w:val="BodyText2"/>
        <w:tabs>
          <w:tab w:val="clear" w:pos="720"/>
        </w:tabs>
        <w:spacing w:before="0" w:after="0"/>
        <w:ind w:left="0" w:right="14" w:firstLine="720"/>
        <w:rPr>
          <w:rFonts w:ascii="Times New Roman" w:hAnsi="Times New Roman" w:cs="Times New Roman"/>
          <w:b/>
          <w:bCs/>
        </w:rPr>
      </w:pPr>
      <w:proofErr w:type="gramStart"/>
      <w:r>
        <w:rPr>
          <w:rFonts w:ascii="Times New Roman" w:hAnsi="Times New Roman" w:cs="Times New Roman"/>
          <w:b/>
          <w:bCs/>
        </w:rPr>
        <w:t>Q.</w:t>
      </w:r>
      <w:r>
        <w:rPr>
          <w:rFonts w:ascii="Times New Roman" w:hAnsi="Times New Roman" w:cs="Times New Roman"/>
          <w:b/>
          <w:bCs/>
        </w:rPr>
        <w:tab/>
      </w:r>
      <w:r w:rsidR="001F30BD">
        <w:rPr>
          <w:rFonts w:ascii="Times New Roman" w:hAnsi="Times New Roman" w:cs="Times New Roman"/>
          <w:b/>
          <w:bCs/>
        </w:rPr>
        <w:t>P</w:t>
      </w:r>
      <w:r w:rsidR="00C50C02" w:rsidRPr="00C50C02">
        <w:rPr>
          <w:rFonts w:ascii="Times New Roman" w:hAnsi="Times New Roman" w:cs="Times New Roman"/>
          <w:b/>
          <w:bCs/>
        </w:rPr>
        <w:t>lease explain the implications of the credit ratings in terms of the Company’s ability to access financial markets.</w:t>
      </w:r>
      <w:proofErr w:type="gramEnd"/>
    </w:p>
    <w:p w:rsidR="003B10BE"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Credit ratings </w:t>
      </w:r>
      <w:r w:rsidR="00653FD5">
        <w:rPr>
          <w:rFonts w:ascii="Times New Roman" w:hAnsi="Times New Roman" w:cs="Times New Roman"/>
        </w:rPr>
        <w:t xml:space="preserve">can </w:t>
      </w:r>
      <w:r w:rsidRPr="00C50C02">
        <w:rPr>
          <w:rFonts w:ascii="Times New Roman" w:hAnsi="Times New Roman" w:cs="Times New Roman"/>
        </w:rPr>
        <w:t>impact investor demand and expected retur</w:t>
      </w:r>
      <w:r w:rsidR="00FF5F27">
        <w:rPr>
          <w:rFonts w:ascii="Times New Roman" w:hAnsi="Times New Roman" w:cs="Times New Roman"/>
        </w:rPr>
        <w:t>n. More specifically, when the C</w:t>
      </w:r>
      <w:r w:rsidRPr="00C50C02">
        <w:rPr>
          <w:rFonts w:ascii="Times New Roman" w:hAnsi="Times New Roman" w:cs="Times New Roman"/>
        </w:rPr>
        <w:t xml:space="preserve">ompany issues debt, the credit rating </w:t>
      </w:r>
      <w:r w:rsidR="00B03FFF">
        <w:rPr>
          <w:rFonts w:ascii="Times New Roman" w:hAnsi="Times New Roman" w:cs="Times New Roman"/>
        </w:rPr>
        <w:t xml:space="preserve">is one factor that </w:t>
      </w:r>
      <w:r w:rsidRPr="00C50C02">
        <w:rPr>
          <w:rFonts w:ascii="Times New Roman" w:hAnsi="Times New Roman" w:cs="Times New Roman"/>
        </w:rPr>
        <w:t xml:space="preserve">helps determine the interest rate at which the debt will be issued. The credit rating also </w:t>
      </w:r>
      <w:r w:rsidR="00653FD5">
        <w:rPr>
          <w:rFonts w:ascii="Times New Roman" w:hAnsi="Times New Roman" w:cs="Times New Roman"/>
        </w:rPr>
        <w:t xml:space="preserve">can </w:t>
      </w:r>
      <w:r w:rsidRPr="00C50C02">
        <w:rPr>
          <w:rFonts w:ascii="Times New Roman" w:hAnsi="Times New Roman" w:cs="Times New Roman"/>
        </w:rPr>
        <w:t xml:space="preserve">determine the type of investor who will be interested in purchasing the debt. For each type of investment a potential investor could make, the investor looks at the quality of that investment in terms of the risk they are taking and the priority they would have in the event that the organization experiences severe financial stress.  Investment risks include the likelihood that a company will not meet all of its debt obligations in terms of timeliness and amounts owed for principal and interest.  Secured debt </w:t>
      </w:r>
      <w:r w:rsidR="00653FD5">
        <w:rPr>
          <w:rFonts w:ascii="Times New Roman" w:hAnsi="Times New Roman" w:cs="Times New Roman"/>
        </w:rPr>
        <w:t xml:space="preserve">can </w:t>
      </w:r>
      <w:r w:rsidRPr="00C50C02">
        <w:rPr>
          <w:rFonts w:ascii="Times New Roman" w:hAnsi="Times New Roman" w:cs="Times New Roman"/>
        </w:rPr>
        <w:t xml:space="preserve">receive </w:t>
      </w:r>
      <w:r w:rsidR="00653FD5">
        <w:rPr>
          <w:rFonts w:ascii="Times New Roman" w:hAnsi="Times New Roman" w:cs="Times New Roman"/>
        </w:rPr>
        <w:t xml:space="preserve">a </w:t>
      </w:r>
      <w:r w:rsidRPr="00C50C02">
        <w:rPr>
          <w:rFonts w:ascii="Times New Roman" w:hAnsi="Times New Roman" w:cs="Times New Roman"/>
        </w:rPr>
        <w:t>highe</w:t>
      </w:r>
      <w:r w:rsidR="00653FD5">
        <w:rPr>
          <w:rFonts w:ascii="Times New Roman" w:hAnsi="Times New Roman" w:cs="Times New Roman"/>
        </w:rPr>
        <w:t>r</w:t>
      </w:r>
      <w:r w:rsidRPr="00C50C02">
        <w:rPr>
          <w:rFonts w:ascii="Times New Roman" w:hAnsi="Times New Roman" w:cs="Times New Roman"/>
        </w:rPr>
        <w:t xml:space="preserve"> rating </w:t>
      </w:r>
      <w:r w:rsidR="00653FD5">
        <w:rPr>
          <w:rFonts w:ascii="Times New Roman" w:hAnsi="Times New Roman" w:cs="Times New Roman"/>
        </w:rPr>
        <w:t xml:space="preserve">because </w:t>
      </w:r>
      <w:r w:rsidR="00653FD5">
        <w:rPr>
          <w:rFonts w:ascii="Times New Roman" w:hAnsi="Times New Roman" w:cs="Times New Roman"/>
        </w:rPr>
        <w:lastRenderedPageBreak/>
        <w:t xml:space="preserve">of its </w:t>
      </w:r>
      <w:r w:rsidRPr="00C50C02">
        <w:rPr>
          <w:rFonts w:ascii="Times New Roman" w:hAnsi="Times New Roman" w:cs="Times New Roman"/>
        </w:rPr>
        <w:t>priority for repayment and, hence, has the lowest relative risk.  In challenging credit markets, where investors are less likely to buy corporate bonds</w:t>
      </w:r>
      <w:r w:rsidR="003A264E">
        <w:rPr>
          <w:rFonts w:ascii="Times New Roman" w:hAnsi="Times New Roman" w:cs="Times New Roman"/>
        </w:rPr>
        <w:t xml:space="preserve"> (as opposed to U.S. Government bonds)</w:t>
      </w:r>
      <w:r w:rsidRPr="00C50C02">
        <w:rPr>
          <w:rFonts w:ascii="Times New Roman" w:hAnsi="Times New Roman" w:cs="Times New Roman"/>
        </w:rPr>
        <w:t xml:space="preserve">, a higher credit rating </w:t>
      </w:r>
      <w:r w:rsidR="00653FD5">
        <w:rPr>
          <w:rFonts w:ascii="Times New Roman" w:hAnsi="Times New Roman" w:cs="Times New Roman"/>
        </w:rPr>
        <w:t>could</w:t>
      </w:r>
      <w:r w:rsidRPr="00C50C02">
        <w:rPr>
          <w:rFonts w:ascii="Times New Roman" w:hAnsi="Times New Roman" w:cs="Times New Roman"/>
        </w:rPr>
        <w:t xml:space="preserve"> attract more investors, and a lower credit rating could </w:t>
      </w:r>
      <w:r w:rsidR="00524C51">
        <w:rPr>
          <w:rFonts w:ascii="Times New Roman" w:hAnsi="Times New Roman" w:cs="Times New Roman"/>
        </w:rPr>
        <w:t>reduce</w:t>
      </w:r>
      <w:r w:rsidRPr="00C50C02">
        <w:rPr>
          <w:rFonts w:ascii="Times New Roman" w:hAnsi="Times New Roman" w:cs="Times New Roman"/>
        </w:rPr>
        <w:t xml:space="preserve"> the number of potential investors.  Thus, lower credit ratings may result in </w:t>
      </w:r>
      <w:r w:rsidR="0080188B">
        <w:rPr>
          <w:rFonts w:ascii="Times New Roman" w:hAnsi="Times New Roman" w:cs="Times New Roman"/>
        </w:rPr>
        <w:t>the Company</w:t>
      </w:r>
      <w:r w:rsidRPr="00C50C02">
        <w:rPr>
          <w:rFonts w:ascii="Times New Roman" w:hAnsi="Times New Roman" w:cs="Times New Roman"/>
        </w:rPr>
        <w:t xml:space="preserve"> having more difficulty accessing financial markets and/or incur significant</w:t>
      </w:r>
      <w:r w:rsidR="00A81E1D">
        <w:rPr>
          <w:rFonts w:ascii="Times New Roman" w:hAnsi="Times New Roman" w:cs="Times New Roman"/>
        </w:rPr>
        <w:t xml:space="preserve">ly higher financing costs. </w:t>
      </w:r>
    </w:p>
    <w:p w:rsidR="00C50C02" w:rsidRPr="00C50C02" w:rsidRDefault="00C50C02" w:rsidP="0051339F">
      <w:pPr>
        <w:pStyle w:val="BodyText2"/>
        <w:tabs>
          <w:tab w:val="clear" w:pos="720"/>
        </w:tabs>
        <w:spacing w:before="0" w:after="0"/>
        <w:ind w:left="0" w:right="18"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What credit rating does Avista Corporation </w:t>
      </w:r>
      <w:proofErr w:type="gramStart"/>
      <w:r w:rsidRPr="00C50C02">
        <w:rPr>
          <w:rFonts w:ascii="Times New Roman" w:hAnsi="Times New Roman" w:cs="Times New Roman"/>
          <w:b/>
          <w:bCs/>
        </w:rPr>
        <w:t>believe</w:t>
      </w:r>
      <w:proofErr w:type="gramEnd"/>
      <w:r w:rsidRPr="00C50C02">
        <w:rPr>
          <w:rFonts w:ascii="Times New Roman" w:hAnsi="Times New Roman" w:cs="Times New Roman"/>
          <w:b/>
          <w:bCs/>
        </w:rPr>
        <w:t xml:space="preserve"> is appropriate?</w:t>
      </w:r>
    </w:p>
    <w:p w:rsidR="004429C7" w:rsidRDefault="00C50C02" w:rsidP="0051339F">
      <w:pPr>
        <w:pStyle w:val="BodyText2"/>
        <w:tabs>
          <w:tab w:val="clear" w:pos="720"/>
        </w:tabs>
        <w:spacing w:before="0" w:after="0"/>
        <w:ind w:left="0" w:right="18"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The move to investment grade for Avista Corp was a significant step in improving the </w:t>
      </w:r>
      <w:r w:rsidR="00044B35">
        <w:rPr>
          <w:rFonts w:ascii="Times New Roman" w:hAnsi="Times New Roman" w:cs="Times New Roman"/>
        </w:rPr>
        <w:t xml:space="preserve">Company’s </w:t>
      </w:r>
      <w:r w:rsidRPr="00C50C02">
        <w:rPr>
          <w:rFonts w:ascii="Times New Roman" w:hAnsi="Times New Roman" w:cs="Times New Roman"/>
        </w:rPr>
        <w:t xml:space="preserve">ability to access capital at a reasonable cost. As Avista experienced, it took approximately six years for the Company to regain its investment grade rating from </w:t>
      </w:r>
      <w:r w:rsidR="00BC7E1F">
        <w:rPr>
          <w:rFonts w:ascii="Times New Roman" w:hAnsi="Times New Roman" w:cs="Times New Roman"/>
        </w:rPr>
        <w:t xml:space="preserve">S&amp;P and Moody’s </w:t>
      </w:r>
      <w:r w:rsidRPr="00C50C02">
        <w:rPr>
          <w:rFonts w:ascii="Times New Roman" w:hAnsi="Times New Roman" w:cs="Times New Roman"/>
        </w:rPr>
        <w:t>after it was downgraded during the energy crisis</w:t>
      </w:r>
      <w:r w:rsidRPr="0096479F">
        <w:rPr>
          <w:rFonts w:ascii="Times New Roman" w:hAnsi="Times New Roman" w:cs="Times New Roman"/>
        </w:rPr>
        <w:t xml:space="preserve">. The difference between investment grade and non-investment grade is not only a matter of debt pricing, </w:t>
      </w:r>
      <w:r w:rsidR="00165096">
        <w:rPr>
          <w:rFonts w:ascii="Times New Roman" w:hAnsi="Times New Roman" w:cs="Times New Roman"/>
        </w:rPr>
        <w:t xml:space="preserve">but also </w:t>
      </w:r>
      <w:r w:rsidR="0096479F" w:rsidRPr="0096479F">
        <w:rPr>
          <w:rFonts w:ascii="Times New Roman" w:hAnsi="Times New Roman" w:cs="Times New Roman"/>
        </w:rPr>
        <w:t>the ability to</w:t>
      </w:r>
      <w:r w:rsidRPr="0096479F">
        <w:rPr>
          <w:rFonts w:ascii="Times New Roman" w:hAnsi="Times New Roman" w:cs="Times New Roman"/>
        </w:rPr>
        <w:t xml:space="preserve"> access </w:t>
      </w:r>
      <w:r w:rsidR="0096479F" w:rsidRPr="0096479F">
        <w:rPr>
          <w:rFonts w:ascii="Times New Roman" w:hAnsi="Times New Roman" w:cs="Times New Roman"/>
        </w:rPr>
        <w:t>markets</w:t>
      </w:r>
      <w:r w:rsidRPr="0096479F">
        <w:rPr>
          <w:rFonts w:ascii="Times New Roman" w:hAnsi="Times New Roman" w:cs="Times New Roman"/>
        </w:rPr>
        <w:t xml:space="preserve">. </w:t>
      </w:r>
      <w:r w:rsidR="00524C51" w:rsidRPr="0096479F">
        <w:rPr>
          <w:rFonts w:ascii="Times New Roman" w:hAnsi="Times New Roman" w:cs="Times New Roman"/>
        </w:rPr>
        <w:t>To avoid adverse circumstances,</w:t>
      </w:r>
      <w:r w:rsidR="00524C51">
        <w:rPr>
          <w:rFonts w:ascii="Times New Roman" w:hAnsi="Times New Roman" w:cs="Times New Roman"/>
        </w:rPr>
        <w:t xml:space="preserve"> </w:t>
      </w:r>
      <w:r w:rsidRPr="00C50C02">
        <w:rPr>
          <w:rFonts w:ascii="Times New Roman" w:hAnsi="Times New Roman" w:cs="Times New Roman"/>
        </w:rPr>
        <w:t xml:space="preserve">Avista should operate at a </w:t>
      </w:r>
      <w:r w:rsidR="001F30BD">
        <w:rPr>
          <w:rFonts w:ascii="Times New Roman" w:hAnsi="Times New Roman" w:cs="Times New Roman"/>
        </w:rPr>
        <w:t xml:space="preserve">level that will </w:t>
      </w:r>
      <w:r w:rsidR="00645B40">
        <w:rPr>
          <w:rFonts w:ascii="Times New Roman" w:hAnsi="Times New Roman" w:cs="Times New Roman"/>
        </w:rPr>
        <w:t>support our</w:t>
      </w:r>
      <w:r w:rsidR="00D1223F">
        <w:rPr>
          <w:rFonts w:ascii="Times New Roman" w:hAnsi="Times New Roman" w:cs="Times New Roman"/>
        </w:rPr>
        <w:t xml:space="preserve"> current </w:t>
      </w:r>
      <w:r w:rsidRPr="00C50C02">
        <w:rPr>
          <w:rFonts w:ascii="Times New Roman" w:hAnsi="Times New Roman" w:cs="Times New Roman"/>
        </w:rPr>
        <w:t xml:space="preserve">corporate investment grade credit rating, </w:t>
      </w:r>
      <w:r w:rsidR="00D1223F">
        <w:rPr>
          <w:rFonts w:ascii="Times New Roman" w:hAnsi="Times New Roman" w:cs="Times New Roman"/>
        </w:rPr>
        <w:t xml:space="preserve">while having a long-term goal of </w:t>
      </w:r>
      <w:r w:rsidR="009C0D5F">
        <w:rPr>
          <w:rFonts w:ascii="Times New Roman" w:hAnsi="Times New Roman" w:cs="Times New Roman"/>
        </w:rPr>
        <w:t xml:space="preserve">operating at a </w:t>
      </w:r>
      <w:r w:rsidR="00FB0831" w:rsidRPr="00C50C02">
        <w:rPr>
          <w:rFonts w:ascii="Times New Roman" w:hAnsi="Times New Roman" w:cs="Times New Roman"/>
        </w:rPr>
        <w:t>“</w:t>
      </w:r>
      <w:r w:rsidRPr="00C50C02">
        <w:rPr>
          <w:rFonts w:ascii="Times New Roman" w:hAnsi="Times New Roman" w:cs="Times New Roman"/>
        </w:rPr>
        <w:t xml:space="preserve">BBB+” </w:t>
      </w:r>
      <w:r w:rsidR="00C65F91">
        <w:rPr>
          <w:rFonts w:ascii="Times New Roman" w:hAnsi="Times New Roman" w:cs="Times New Roman"/>
        </w:rPr>
        <w:t xml:space="preserve">corporate credit rating </w:t>
      </w:r>
      <w:r w:rsidRPr="00C50C02">
        <w:rPr>
          <w:rFonts w:ascii="Times New Roman" w:hAnsi="Times New Roman" w:cs="Times New Roman"/>
        </w:rPr>
        <w:t>using S&amp;P’s rating scale.</w:t>
      </w:r>
      <w:r w:rsidR="00790009">
        <w:rPr>
          <w:rFonts w:ascii="Times New Roman" w:hAnsi="Times New Roman" w:cs="Times New Roman"/>
        </w:rPr>
        <w:t xml:space="preserve"> </w:t>
      </w:r>
    </w:p>
    <w:p w:rsidR="00E56ED5" w:rsidRDefault="00803D72" w:rsidP="0051339F">
      <w:pPr>
        <w:pStyle w:val="BodyText2"/>
        <w:spacing w:before="0" w:after="0"/>
        <w:ind w:left="0" w:right="14" w:firstLine="720"/>
        <w:rPr>
          <w:rFonts w:ascii="Times New Roman" w:hAnsi="Times New Roman" w:cs="Times New Roman"/>
          <w:bCs/>
        </w:rPr>
      </w:pPr>
      <w:r w:rsidRPr="00165096">
        <w:rPr>
          <w:rFonts w:ascii="Times New Roman" w:hAnsi="Times New Roman" w:cs="Times New Roman"/>
          <w:bCs/>
        </w:rPr>
        <w:t xml:space="preserve">As shown in Illustration No. </w:t>
      </w:r>
      <w:r>
        <w:rPr>
          <w:rFonts w:ascii="Times New Roman" w:hAnsi="Times New Roman" w:cs="Times New Roman"/>
          <w:bCs/>
        </w:rPr>
        <w:t>2</w:t>
      </w:r>
      <w:r w:rsidRPr="00165096">
        <w:rPr>
          <w:rFonts w:ascii="Times New Roman" w:hAnsi="Times New Roman" w:cs="Times New Roman"/>
          <w:bCs/>
        </w:rPr>
        <w:t>,</w:t>
      </w:r>
      <w:r w:rsidR="00841376">
        <w:rPr>
          <w:rFonts w:ascii="Times New Roman" w:hAnsi="Times New Roman" w:cs="Times New Roman"/>
          <w:bCs/>
        </w:rPr>
        <w:t xml:space="preserve"> below</w:t>
      </w:r>
      <w:r w:rsidRPr="00165096">
        <w:rPr>
          <w:rFonts w:ascii="Times New Roman" w:hAnsi="Times New Roman" w:cs="Times New Roman"/>
          <w:bCs/>
        </w:rPr>
        <w:t xml:space="preserve"> Avista</w:t>
      </w:r>
      <w:r>
        <w:rPr>
          <w:rFonts w:ascii="Times New Roman" w:hAnsi="Times New Roman" w:cs="Times New Roman"/>
          <w:bCs/>
        </w:rPr>
        <w:t>’s</w:t>
      </w:r>
      <w:r w:rsidRPr="00165096">
        <w:rPr>
          <w:rFonts w:ascii="Times New Roman" w:hAnsi="Times New Roman" w:cs="Times New Roman"/>
          <w:bCs/>
        </w:rPr>
        <w:t xml:space="preserve"> </w:t>
      </w:r>
      <w:r>
        <w:rPr>
          <w:rFonts w:ascii="Times New Roman" w:hAnsi="Times New Roman" w:cs="Times New Roman"/>
          <w:bCs/>
        </w:rPr>
        <w:t xml:space="preserve">current S&amp;P </w:t>
      </w:r>
      <w:r w:rsidR="0080188B">
        <w:rPr>
          <w:rFonts w:ascii="Times New Roman" w:hAnsi="Times New Roman" w:cs="Times New Roman"/>
          <w:bCs/>
        </w:rPr>
        <w:t>c</w:t>
      </w:r>
      <w:r w:rsidR="00DA18AA">
        <w:rPr>
          <w:rFonts w:ascii="Times New Roman" w:hAnsi="Times New Roman" w:cs="Times New Roman"/>
          <w:bCs/>
        </w:rPr>
        <w:t xml:space="preserve">orporate </w:t>
      </w:r>
      <w:r w:rsidR="0080188B">
        <w:rPr>
          <w:rFonts w:ascii="Times New Roman" w:hAnsi="Times New Roman" w:cs="Times New Roman"/>
          <w:bCs/>
        </w:rPr>
        <w:t>c</w:t>
      </w:r>
      <w:r w:rsidR="00DA18AA">
        <w:rPr>
          <w:rFonts w:ascii="Times New Roman" w:hAnsi="Times New Roman" w:cs="Times New Roman"/>
          <w:bCs/>
        </w:rPr>
        <w:t xml:space="preserve">redit </w:t>
      </w:r>
      <w:r w:rsidR="0080188B">
        <w:rPr>
          <w:rFonts w:ascii="Times New Roman" w:hAnsi="Times New Roman" w:cs="Times New Roman"/>
          <w:bCs/>
        </w:rPr>
        <w:t>r</w:t>
      </w:r>
      <w:r w:rsidRPr="00165096">
        <w:rPr>
          <w:rFonts w:ascii="Times New Roman" w:hAnsi="Times New Roman" w:cs="Times New Roman"/>
          <w:bCs/>
        </w:rPr>
        <w:t xml:space="preserve">ating </w:t>
      </w:r>
      <w:r w:rsidR="00DA18AA">
        <w:rPr>
          <w:rFonts w:ascii="Times New Roman" w:hAnsi="Times New Roman" w:cs="Times New Roman"/>
          <w:bCs/>
        </w:rPr>
        <w:t xml:space="preserve">of BBB </w:t>
      </w:r>
      <w:r w:rsidR="009319B6">
        <w:rPr>
          <w:rFonts w:ascii="Times New Roman" w:hAnsi="Times New Roman" w:cs="Times New Roman"/>
          <w:bCs/>
        </w:rPr>
        <w:t>is</w:t>
      </w:r>
      <w:r w:rsidR="00271953">
        <w:rPr>
          <w:rFonts w:ascii="Times New Roman" w:hAnsi="Times New Roman" w:cs="Times New Roman"/>
          <w:bCs/>
        </w:rPr>
        <w:t xml:space="preserve"> below</w:t>
      </w:r>
      <w:r>
        <w:rPr>
          <w:rFonts w:ascii="Times New Roman" w:hAnsi="Times New Roman" w:cs="Times New Roman"/>
          <w:bCs/>
        </w:rPr>
        <w:t xml:space="preserve"> the average </w:t>
      </w:r>
      <w:r w:rsidR="00271953">
        <w:rPr>
          <w:rFonts w:ascii="Times New Roman" w:hAnsi="Times New Roman" w:cs="Times New Roman"/>
          <w:bCs/>
        </w:rPr>
        <w:t xml:space="preserve">credit </w:t>
      </w:r>
      <w:r>
        <w:rPr>
          <w:rFonts w:ascii="Times New Roman" w:hAnsi="Times New Roman" w:cs="Times New Roman"/>
          <w:bCs/>
        </w:rPr>
        <w:t xml:space="preserve">rating </w:t>
      </w:r>
      <w:r w:rsidRPr="00187400">
        <w:rPr>
          <w:rFonts w:ascii="Times New Roman" w:hAnsi="Times New Roman" w:cs="Times New Roman"/>
          <w:bCs/>
        </w:rPr>
        <w:t xml:space="preserve">for </w:t>
      </w:r>
      <w:r w:rsidR="00475AF6" w:rsidRPr="00475AF6">
        <w:rPr>
          <w:rFonts w:ascii="Times New Roman" w:hAnsi="Times New Roman" w:cs="Times New Roman"/>
          <w:bCs/>
        </w:rPr>
        <w:t xml:space="preserve">U.S. Regulated </w:t>
      </w:r>
      <w:r w:rsidR="0080188B">
        <w:rPr>
          <w:rFonts w:ascii="Times New Roman" w:hAnsi="Times New Roman" w:cs="Times New Roman"/>
          <w:bCs/>
        </w:rPr>
        <w:t>Combined Gas and Electric</w:t>
      </w:r>
      <w:r w:rsidR="00475AF6" w:rsidRPr="00475AF6">
        <w:rPr>
          <w:rFonts w:ascii="Times New Roman" w:hAnsi="Times New Roman" w:cs="Times New Roman"/>
          <w:bCs/>
        </w:rPr>
        <w:t xml:space="preserve"> Utilities</w:t>
      </w:r>
      <w:r w:rsidRPr="00187400">
        <w:rPr>
          <w:rFonts w:ascii="Times New Roman" w:hAnsi="Times New Roman" w:cs="Times New Roman"/>
          <w:bCs/>
        </w:rPr>
        <w:t>.</w:t>
      </w:r>
      <w:r>
        <w:rPr>
          <w:rFonts w:ascii="Times New Roman" w:hAnsi="Times New Roman" w:cs="Times New Roman"/>
          <w:bCs/>
        </w:rPr>
        <w:t xml:space="preserve"> </w:t>
      </w:r>
      <w:r w:rsidRPr="00165096">
        <w:rPr>
          <w:rFonts w:ascii="Times New Roman" w:hAnsi="Times New Roman" w:cs="Times New Roman"/>
          <w:bCs/>
        </w:rPr>
        <w:t xml:space="preserve"> </w:t>
      </w:r>
      <w:r w:rsidR="00606BB9">
        <w:rPr>
          <w:rFonts w:ascii="Times New Roman" w:hAnsi="Times New Roman" w:cs="Times New Roman"/>
        </w:rPr>
        <w:t xml:space="preserve">The </w:t>
      </w:r>
      <w:r w:rsidR="00606BB9" w:rsidRPr="00D423C4">
        <w:rPr>
          <w:rFonts w:ascii="Times New Roman" w:hAnsi="Times New Roman" w:cs="Times New Roman"/>
        </w:rPr>
        <w:t xml:space="preserve">Company’s </w:t>
      </w:r>
      <w:r w:rsidR="00D1223F">
        <w:rPr>
          <w:rFonts w:ascii="Times New Roman" w:hAnsi="Times New Roman" w:cs="Times New Roman"/>
        </w:rPr>
        <w:t xml:space="preserve">long-term </w:t>
      </w:r>
      <w:r w:rsidR="00606BB9" w:rsidRPr="00D423C4">
        <w:rPr>
          <w:rFonts w:ascii="Times New Roman" w:hAnsi="Times New Roman" w:cs="Times New Roman"/>
        </w:rPr>
        <w:t xml:space="preserve">goal is to </w:t>
      </w:r>
      <w:r w:rsidR="00606BB9">
        <w:rPr>
          <w:rFonts w:ascii="Times New Roman" w:hAnsi="Times New Roman" w:cs="Times New Roman"/>
        </w:rPr>
        <w:t xml:space="preserve">operate at a </w:t>
      </w:r>
      <w:r w:rsidR="00606BB9" w:rsidRPr="00D423C4">
        <w:rPr>
          <w:rFonts w:ascii="Times New Roman" w:hAnsi="Times New Roman" w:cs="Times New Roman"/>
        </w:rPr>
        <w:t>credit rating of at least the utility average</w:t>
      </w:r>
      <w:r w:rsidR="00606BB9">
        <w:rPr>
          <w:rFonts w:ascii="Times New Roman" w:hAnsi="Times New Roman" w:cs="Times New Roman"/>
        </w:rPr>
        <w:t xml:space="preserve"> (BBB+)</w:t>
      </w:r>
      <w:r w:rsidR="00606BB9" w:rsidRPr="00D423C4">
        <w:rPr>
          <w:rFonts w:ascii="Times New Roman" w:hAnsi="Times New Roman" w:cs="Times New Roman"/>
        </w:rPr>
        <w:t xml:space="preserve">. </w:t>
      </w:r>
      <w:r w:rsidR="004137C4">
        <w:rPr>
          <w:rFonts w:ascii="Times New Roman" w:hAnsi="Times New Roman" w:cs="Times New Roman"/>
        </w:rPr>
        <w:t xml:space="preserve">Operating at a </w:t>
      </w:r>
      <w:r w:rsidR="00606BB9" w:rsidRPr="00D423C4">
        <w:rPr>
          <w:rFonts w:ascii="Times New Roman" w:hAnsi="Times New Roman" w:cs="Times New Roman"/>
        </w:rPr>
        <w:t xml:space="preserve">BBB+ </w:t>
      </w:r>
      <w:r w:rsidR="004137C4">
        <w:rPr>
          <w:rFonts w:ascii="Times New Roman" w:hAnsi="Times New Roman" w:cs="Times New Roman"/>
        </w:rPr>
        <w:t>could</w:t>
      </w:r>
      <w:r w:rsidR="0080188B">
        <w:rPr>
          <w:rFonts w:ascii="Times New Roman" w:hAnsi="Times New Roman" w:cs="Times New Roman"/>
        </w:rPr>
        <w:t xml:space="preserve"> </w:t>
      </w:r>
      <w:r w:rsidR="00606BB9" w:rsidRPr="00D423C4">
        <w:rPr>
          <w:rFonts w:ascii="Times New Roman" w:hAnsi="Times New Roman" w:cs="Times New Roman"/>
        </w:rPr>
        <w:t>lower</w:t>
      </w:r>
      <w:r w:rsidR="0080188B">
        <w:rPr>
          <w:rFonts w:ascii="Times New Roman" w:hAnsi="Times New Roman" w:cs="Times New Roman"/>
        </w:rPr>
        <w:t xml:space="preserve"> the Company’s</w:t>
      </w:r>
      <w:r w:rsidR="00606BB9" w:rsidRPr="00D423C4">
        <w:rPr>
          <w:rFonts w:ascii="Times New Roman" w:hAnsi="Times New Roman" w:cs="Times New Roman"/>
        </w:rPr>
        <w:t xml:space="preserve"> debt pricing </w:t>
      </w:r>
      <w:r w:rsidR="00606BB9">
        <w:rPr>
          <w:rFonts w:ascii="Times New Roman" w:hAnsi="Times New Roman" w:cs="Times New Roman"/>
        </w:rPr>
        <w:t>and attract</w:t>
      </w:r>
      <w:r w:rsidR="00606BB9" w:rsidRPr="00D423C4">
        <w:rPr>
          <w:rFonts w:ascii="Times New Roman" w:hAnsi="Times New Roman" w:cs="Times New Roman"/>
        </w:rPr>
        <w:t xml:space="preserve"> additional </w:t>
      </w:r>
      <w:r w:rsidR="00606BB9">
        <w:rPr>
          <w:rFonts w:ascii="Times New Roman" w:hAnsi="Times New Roman" w:cs="Times New Roman"/>
        </w:rPr>
        <w:t>investors</w:t>
      </w:r>
      <w:r w:rsidR="00606BB9" w:rsidRPr="00D423C4">
        <w:rPr>
          <w:rFonts w:ascii="Times New Roman" w:hAnsi="Times New Roman" w:cs="Times New Roman"/>
        </w:rPr>
        <w:t>.</w:t>
      </w:r>
      <w:r w:rsidR="00DA18AA">
        <w:rPr>
          <w:rFonts w:ascii="Times New Roman" w:hAnsi="Times New Roman" w:cs="Times New Roman"/>
          <w:bCs/>
        </w:rPr>
        <w:t xml:space="preserve"> </w:t>
      </w:r>
      <w:r w:rsidR="00D1223F">
        <w:rPr>
          <w:rFonts w:ascii="Times New Roman" w:hAnsi="Times New Roman" w:cs="Times New Roman"/>
          <w:bCs/>
        </w:rPr>
        <w:t xml:space="preserve">To </w:t>
      </w:r>
      <w:r w:rsidR="002C0337">
        <w:rPr>
          <w:rFonts w:ascii="Times New Roman" w:hAnsi="Times New Roman" w:cs="Times New Roman"/>
          <w:bCs/>
        </w:rPr>
        <w:t>achieve</w:t>
      </w:r>
      <w:r w:rsidR="00D1223F">
        <w:rPr>
          <w:rFonts w:ascii="Times New Roman" w:hAnsi="Times New Roman" w:cs="Times New Roman"/>
          <w:bCs/>
        </w:rPr>
        <w:t xml:space="preserve"> this goal</w:t>
      </w:r>
      <w:r w:rsidR="002C0337">
        <w:rPr>
          <w:rFonts w:ascii="Times New Roman" w:hAnsi="Times New Roman" w:cs="Times New Roman"/>
          <w:bCs/>
        </w:rPr>
        <w:t>,</w:t>
      </w:r>
      <w:r w:rsidR="00D1223F">
        <w:rPr>
          <w:rFonts w:ascii="Times New Roman" w:hAnsi="Times New Roman" w:cs="Times New Roman"/>
          <w:bCs/>
        </w:rPr>
        <w:t xml:space="preserve"> regulatory support</w:t>
      </w:r>
      <w:r w:rsidR="002C0337">
        <w:rPr>
          <w:rFonts w:ascii="Times New Roman" w:hAnsi="Times New Roman" w:cs="Times New Roman"/>
          <w:bCs/>
        </w:rPr>
        <w:t xml:space="preserve"> is necessary</w:t>
      </w:r>
      <w:r w:rsidR="00D1223F">
        <w:rPr>
          <w:rFonts w:ascii="Times New Roman" w:hAnsi="Times New Roman" w:cs="Times New Roman"/>
          <w:bCs/>
        </w:rPr>
        <w:t xml:space="preserve"> </w:t>
      </w:r>
      <w:r w:rsidR="004137C4">
        <w:rPr>
          <w:rFonts w:ascii="Times New Roman" w:hAnsi="Times New Roman" w:cs="Times New Roman"/>
          <w:bCs/>
        </w:rPr>
        <w:t>in order to</w:t>
      </w:r>
      <w:r w:rsidR="00D1223F">
        <w:rPr>
          <w:rFonts w:ascii="Times New Roman" w:hAnsi="Times New Roman" w:cs="Times New Roman"/>
          <w:bCs/>
        </w:rPr>
        <w:t xml:space="preserve"> reduce </w:t>
      </w:r>
      <w:r w:rsidR="002C0337">
        <w:rPr>
          <w:rFonts w:ascii="Times New Roman" w:hAnsi="Times New Roman" w:cs="Times New Roman"/>
          <w:bCs/>
        </w:rPr>
        <w:t xml:space="preserve">the </w:t>
      </w:r>
      <w:r w:rsidR="00645B40">
        <w:rPr>
          <w:rFonts w:ascii="Times New Roman" w:hAnsi="Times New Roman" w:cs="Times New Roman"/>
          <w:bCs/>
        </w:rPr>
        <w:t>lag the</w:t>
      </w:r>
      <w:r w:rsidR="002C0337">
        <w:rPr>
          <w:rFonts w:ascii="Times New Roman" w:hAnsi="Times New Roman" w:cs="Times New Roman"/>
          <w:bCs/>
        </w:rPr>
        <w:t xml:space="preserve"> Company is currently experiencing</w:t>
      </w:r>
      <w:r w:rsidR="004137C4">
        <w:rPr>
          <w:rFonts w:ascii="Times New Roman" w:hAnsi="Times New Roman" w:cs="Times New Roman"/>
          <w:bCs/>
        </w:rPr>
        <w:t xml:space="preserve"> related to the timely recovery of costs</w:t>
      </w:r>
      <w:r w:rsidR="00E2605C">
        <w:rPr>
          <w:rFonts w:ascii="Times New Roman" w:hAnsi="Times New Roman" w:cs="Times New Roman"/>
          <w:bCs/>
        </w:rPr>
        <w:t>,</w:t>
      </w:r>
      <w:r w:rsidR="00B9005A">
        <w:rPr>
          <w:rFonts w:ascii="Times New Roman" w:hAnsi="Times New Roman" w:cs="Times New Roman"/>
          <w:bCs/>
        </w:rPr>
        <w:t xml:space="preserve"> which </w:t>
      </w:r>
      <w:r w:rsidR="00B9005A">
        <w:rPr>
          <w:rFonts w:ascii="Times New Roman" w:hAnsi="Times New Roman" w:cs="Times New Roman"/>
          <w:bCs/>
        </w:rPr>
        <w:lastRenderedPageBreak/>
        <w:t>should improve the Company’s cash flow metrics</w:t>
      </w:r>
      <w:r w:rsidR="006F3CE6">
        <w:rPr>
          <w:rFonts w:ascii="Times New Roman" w:hAnsi="Times New Roman" w:cs="Times New Roman"/>
          <w:bCs/>
        </w:rPr>
        <w:t>,</w:t>
      </w:r>
      <w:r w:rsidR="00E2605C">
        <w:rPr>
          <w:rFonts w:ascii="Times New Roman" w:hAnsi="Times New Roman" w:cs="Times New Roman"/>
          <w:bCs/>
        </w:rPr>
        <w:t xml:space="preserve"> along with the opportunity to earn a reasonable return</w:t>
      </w:r>
      <w:r w:rsidR="002C0337">
        <w:rPr>
          <w:rFonts w:ascii="Times New Roman" w:hAnsi="Times New Roman" w:cs="Times New Roman"/>
          <w:bCs/>
        </w:rPr>
        <w:t>.</w:t>
      </w:r>
      <w:r w:rsidR="00D1223F">
        <w:rPr>
          <w:rFonts w:ascii="Times New Roman" w:hAnsi="Times New Roman" w:cs="Times New Roman"/>
          <w:bCs/>
        </w:rPr>
        <w:t xml:space="preserve"> </w:t>
      </w:r>
    </w:p>
    <w:p w:rsidR="00803D72" w:rsidRDefault="00D1223F" w:rsidP="0051339F">
      <w:pPr>
        <w:pStyle w:val="BodyText2"/>
        <w:spacing w:before="0" w:after="0"/>
        <w:ind w:left="0" w:right="14" w:firstLine="720"/>
        <w:rPr>
          <w:rFonts w:ascii="Times New Roman" w:hAnsi="Times New Roman" w:cs="Times New Roman"/>
          <w:bCs/>
        </w:rPr>
      </w:pPr>
      <w:r>
        <w:rPr>
          <w:rFonts w:ascii="Times New Roman" w:hAnsi="Times New Roman" w:cs="Times New Roman"/>
          <w:bCs/>
        </w:rPr>
        <w:t xml:space="preserve"> </w:t>
      </w:r>
    </w:p>
    <w:p w:rsidR="000F0CFC" w:rsidRDefault="00803D72" w:rsidP="000150A0">
      <w:pPr>
        <w:pStyle w:val="BodyText2"/>
        <w:spacing w:before="0" w:after="0"/>
        <w:ind w:left="0" w:right="14"/>
        <w:jc w:val="left"/>
        <w:rPr>
          <w:rFonts w:ascii="Times New Roman" w:hAnsi="Times New Roman" w:cs="Times New Roman"/>
          <w:noProof/>
        </w:rPr>
      </w:pPr>
      <w:r w:rsidRPr="00330C05">
        <w:rPr>
          <w:rFonts w:ascii="Times New Roman" w:hAnsi="Times New Roman" w:cs="Times New Roman"/>
          <w:b/>
          <w:bCs/>
          <w:u w:val="single"/>
        </w:rPr>
        <w:t xml:space="preserve">Illustration No. </w:t>
      </w:r>
      <w:r w:rsidR="0006700A">
        <w:rPr>
          <w:rFonts w:ascii="Times New Roman" w:hAnsi="Times New Roman" w:cs="Times New Roman"/>
          <w:b/>
          <w:bCs/>
          <w:u w:val="single"/>
        </w:rPr>
        <w:t>2</w:t>
      </w:r>
      <w:r w:rsidRPr="00330C05">
        <w:rPr>
          <w:rFonts w:ascii="Times New Roman" w:hAnsi="Times New Roman" w:cs="Times New Roman"/>
          <w:b/>
          <w:bCs/>
          <w:u w:val="single"/>
        </w:rPr>
        <w:t>:</w:t>
      </w:r>
      <w:r w:rsidR="00706389" w:rsidRPr="00706389">
        <w:rPr>
          <w:rFonts w:ascii="Times New Roman" w:hAnsi="Times New Roman" w:cs="Times New Roman"/>
          <w:noProof/>
        </w:rPr>
        <w:t xml:space="preserve"> </w:t>
      </w:r>
    </w:p>
    <w:p w:rsidR="000F0CFC" w:rsidRDefault="00347B89" w:rsidP="007D066E">
      <w:pPr>
        <w:pStyle w:val="BodyText2"/>
        <w:ind w:left="0" w:right="18"/>
        <w:jc w:val="left"/>
        <w:rPr>
          <w:rFonts w:ascii="Times New Roman" w:hAnsi="Times New Roman" w:cs="Times New Roman"/>
          <w:noProof/>
        </w:rPr>
      </w:pPr>
      <w:r>
        <w:rPr>
          <w:noProof/>
        </w:rPr>
        <w:drawing>
          <wp:inline distT="0" distB="0" distL="0" distR="0">
            <wp:extent cx="5415592" cy="4258356"/>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17230" cy="4259644"/>
                    </a:xfrm>
                    <a:prstGeom prst="rect">
                      <a:avLst/>
                    </a:prstGeom>
                    <a:noFill/>
                    <a:ln w="9525">
                      <a:noFill/>
                      <a:miter lim="800000"/>
                      <a:headEnd/>
                      <a:tailEnd/>
                    </a:ln>
                  </pic:spPr>
                </pic:pic>
              </a:graphicData>
            </a:graphic>
          </wp:inline>
        </w:drawing>
      </w:r>
    </w:p>
    <w:p w:rsidR="00FB0831"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Financially healthy utilities have lower financing costs which, in turn, benefit customers.  In addition, financially healthy utilities are better able to invest in the needed infrastructure over time to serve their customers, and to withstand the challenges and risks facing the industry.</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What financial metrics are used by the rating agencies to establish credit ratings? </w:t>
      </w:r>
    </w:p>
    <w:p w:rsid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lastRenderedPageBreak/>
        <w:t>A.</w:t>
      </w:r>
      <w:r w:rsidRPr="00C50C02">
        <w:rPr>
          <w:rFonts w:ascii="Times New Roman" w:hAnsi="Times New Roman" w:cs="Times New Roman"/>
        </w:rPr>
        <w:tab/>
        <w:t xml:space="preserve">S&amp;P’s financial ratio benchmarks used to rate companies such as Avista are set forth in Illustration No. </w:t>
      </w:r>
      <w:r w:rsidR="004117F5">
        <w:rPr>
          <w:rFonts w:ascii="Times New Roman" w:hAnsi="Times New Roman" w:cs="Times New Roman"/>
        </w:rPr>
        <w:t>3</w:t>
      </w:r>
      <w:r w:rsidRPr="00C50C02">
        <w:rPr>
          <w:rFonts w:ascii="Times New Roman" w:hAnsi="Times New Roman" w:cs="Times New Roman"/>
        </w:rPr>
        <w:t xml:space="preserve"> below.</w:t>
      </w:r>
    </w:p>
    <w:p w:rsidR="0051339F" w:rsidRDefault="0051339F" w:rsidP="0051339F">
      <w:pPr>
        <w:pStyle w:val="BodyText2"/>
        <w:tabs>
          <w:tab w:val="clear" w:pos="720"/>
        </w:tabs>
        <w:spacing w:before="0" w:after="0"/>
        <w:ind w:left="0" w:right="14" w:firstLine="720"/>
        <w:rPr>
          <w:rFonts w:ascii="Times New Roman" w:hAnsi="Times New Roman" w:cs="Times New Roman"/>
        </w:rPr>
      </w:pPr>
    </w:p>
    <w:p w:rsidR="00F26FE2" w:rsidRDefault="00C50C02" w:rsidP="002D4EFA">
      <w:pPr>
        <w:pStyle w:val="BodyText2"/>
        <w:tabs>
          <w:tab w:val="clear" w:pos="720"/>
        </w:tabs>
        <w:spacing w:before="0" w:after="0"/>
        <w:ind w:left="0" w:right="14"/>
        <w:rPr>
          <w:rFonts w:ascii="Times New Roman" w:hAnsi="Times New Roman" w:cs="Times New Roman"/>
          <w:b/>
          <w:bCs/>
          <w:u w:val="single"/>
        </w:rPr>
      </w:pPr>
      <w:r w:rsidRPr="00C50C02">
        <w:rPr>
          <w:rFonts w:ascii="Times New Roman" w:hAnsi="Times New Roman" w:cs="Times New Roman"/>
          <w:b/>
          <w:bCs/>
          <w:u w:val="single"/>
        </w:rPr>
        <w:t xml:space="preserve">Illustration No. </w:t>
      </w:r>
      <w:r w:rsidR="0006700A">
        <w:rPr>
          <w:rFonts w:ascii="Times New Roman" w:hAnsi="Times New Roman" w:cs="Times New Roman"/>
          <w:b/>
          <w:bCs/>
          <w:u w:val="single"/>
        </w:rPr>
        <w:t>3</w:t>
      </w:r>
      <w:r w:rsidRPr="00C50C02">
        <w:rPr>
          <w:rFonts w:ascii="Times New Roman" w:hAnsi="Times New Roman" w:cs="Times New Roman"/>
          <w:b/>
          <w:bCs/>
          <w:u w:val="single"/>
        </w:rPr>
        <w:t xml:space="preserve">: </w:t>
      </w:r>
    </w:p>
    <w:tbl>
      <w:tblPr>
        <w:tblW w:w="7832" w:type="dxa"/>
        <w:tblInd w:w="783" w:type="dxa"/>
        <w:tblLook w:val="04A0"/>
      </w:tblPr>
      <w:tblGrid>
        <w:gridCol w:w="2908"/>
        <w:gridCol w:w="2329"/>
        <w:gridCol w:w="2329"/>
        <w:gridCol w:w="284"/>
      </w:tblGrid>
      <w:tr w:rsidR="00E2605C" w:rsidRPr="00E2605C" w:rsidTr="00D50D70">
        <w:trPr>
          <w:trHeight w:val="315"/>
        </w:trPr>
        <w:tc>
          <w:tcPr>
            <w:tcW w:w="7832" w:type="dxa"/>
            <w:gridSpan w:val="4"/>
            <w:tcBorders>
              <w:top w:val="single" w:sz="8" w:space="0" w:color="auto"/>
              <w:left w:val="single" w:sz="8" w:space="0" w:color="auto"/>
              <w:bottom w:val="single" w:sz="4" w:space="0" w:color="FFFFFF"/>
              <w:right w:val="single" w:sz="8" w:space="0" w:color="000000"/>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Standard &amp; Poor's Financial Risk Indicative Ratios</w:t>
            </w:r>
          </w:p>
        </w:tc>
      </w:tr>
      <w:tr w:rsidR="00E2605C" w:rsidRPr="00E2605C" w:rsidTr="00D50D70">
        <w:trPr>
          <w:trHeight w:val="315"/>
        </w:trPr>
        <w:tc>
          <w:tcPr>
            <w:tcW w:w="7832" w:type="dxa"/>
            <w:gridSpan w:val="4"/>
            <w:tcBorders>
              <w:top w:val="single" w:sz="4" w:space="0" w:color="FFFFFF"/>
              <w:left w:val="single" w:sz="8" w:space="0" w:color="auto"/>
              <w:bottom w:val="single" w:sz="4" w:space="0" w:color="FFFFFF"/>
              <w:right w:val="single" w:sz="8" w:space="0" w:color="000000"/>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(Corporate)</w:t>
            </w:r>
          </w:p>
        </w:tc>
      </w:tr>
      <w:tr w:rsidR="00E2605C" w:rsidRPr="00E2605C" w:rsidTr="00D50D70">
        <w:trPr>
          <w:trHeight w:val="135"/>
        </w:trPr>
        <w:tc>
          <w:tcPr>
            <w:tcW w:w="7566" w:type="dxa"/>
            <w:gridSpan w:val="3"/>
            <w:tcBorders>
              <w:top w:val="single" w:sz="4" w:space="0" w:color="FFFFFF"/>
              <w:left w:val="single" w:sz="8" w:space="0" w:color="auto"/>
              <w:bottom w:val="single" w:sz="4" w:space="0" w:color="FFFFFF"/>
              <w:right w:val="nil"/>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 </w:t>
            </w:r>
          </w:p>
        </w:tc>
      </w:tr>
      <w:tr w:rsidR="00E2605C" w:rsidRPr="00E2605C" w:rsidTr="00D50D70">
        <w:trPr>
          <w:trHeight w:val="25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FFO/Debt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Debt/Capital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Minimal</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Greater than 60</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Less than 25</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Modest</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45 -  60</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25  -  35</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Intermediate</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30 -  45</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35  -  45</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3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Significant</w:t>
            </w:r>
          </w:p>
        </w:tc>
        <w:tc>
          <w:tcPr>
            <w:tcW w:w="2329" w:type="dxa"/>
            <w:tcBorders>
              <w:top w:val="nil"/>
              <w:left w:val="nil"/>
              <w:bottom w:val="nil"/>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20 -  30</w:t>
            </w:r>
          </w:p>
        </w:tc>
        <w:tc>
          <w:tcPr>
            <w:tcW w:w="2329" w:type="dxa"/>
            <w:tcBorders>
              <w:top w:val="nil"/>
              <w:left w:val="nil"/>
              <w:bottom w:val="nil"/>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45  -  50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30"/>
        </w:trPr>
        <w:tc>
          <w:tcPr>
            <w:tcW w:w="2908" w:type="dxa"/>
            <w:tcBorders>
              <w:top w:val="nil"/>
              <w:left w:val="single" w:sz="8" w:space="0" w:color="auto"/>
              <w:bottom w:val="single" w:sz="4" w:space="0" w:color="FFFFFF"/>
              <w:right w:val="nil"/>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Aggressive</w:t>
            </w:r>
          </w:p>
        </w:tc>
        <w:tc>
          <w:tcPr>
            <w:tcW w:w="2329" w:type="dxa"/>
            <w:tcBorders>
              <w:top w:val="single" w:sz="8" w:space="0" w:color="auto"/>
              <w:left w:val="single" w:sz="8" w:space="0" w:color="auto"/>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12 - 20</w:t>
            </w:r>
          </w:p>
        </w:tc>
        <w:tc>
          <w:tcPr>
            <w:tcW w:w="2329" w:type="dxa"/>
            <w:tcBorders>
              <w:top w:val="single" w:sz="8" w:space="0" w:color="auto"/>
              <w:left w:val="nil"/>
              <w:bottom w:val="single" w:sz="8" w:space="0" w:color="auto"/>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50  -  60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Highly leveraged</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Less than 12</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Greater than 60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15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5237" w:type="dxa"/>
            <w:gridSpan w:val="2"/>
            <w:tcBorders>
              <w:top w:val="single" w:sz="4" w:space="0" w:color="FFFFFF"/>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12 Months Ended 12/31/11 Ratios:</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left"/>
              <w:rPr>
                <w:b/>
                <w:bCs/>
                <w:color w:val="000000"/>
              </w:rPr>
            </w:pPr>
            <w:r w:rsidRPr="00E2605C">
              <w:rPr>
                <w:b/>
                <w:bCs/>
                <w:color w:val="00000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18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left"/>
              <w:rPr>
                <w:b/>
                <w:bCs/>
                <w:color w:val="000000"/>
              </w:rPr>
            </w:pPr>
            <w:r w:rsidRPr="00E2605C">
              <w:rPr>
                <w:b/>
                <w:bCs/>
                <w:color w:val="00000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3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rPr>
            </w:pPr>
            <w:r w:rsidRPr="00E2605C">
              <w:rPr>
                <w:b/>
                <w:bCs/>
                <w:color w:val="000000"/>
              </w:rPr>
              <w:t>Avista Adjusted</w:t>
            </w:r>
            <w:r w:rsidRPr="00E2605C">
              <w:rPr>
                <w:b/>
                <w:bCs/>
                <w:color w:val="808080"/>
                <w:sz w:val="16"/>
                <w:szCs w:val="16"/>
              </w:rPr>
              <w:t xml:space="preserve"> (a)</w:t>
            </w:r>
          </w:p>
        </w:tc>
        <w:tc>
          <w:tcPr>
            <w:tcW w:w="2329" w:type="dxa"/>
            <w:tcBorders>
              <w:top w:val="nil"/>
              <w:left w:val="nil"/>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18.50%</w:t>
            </w:r>
          </w:p>
        </w:tc>
        <w:tc>
          <w:tcPr>
            <w:tcW w:w="2329" w:type="dxa"/>
            <w:tcBorders>
              <w:top w:val="nil"/>
              <w:left w:val="nil"/>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54.90%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270"/>
        </w:trPr>
        <w:tc>
          <w:tcPr>
            <w:tcW w:w="7566" w:type="dxa"/>
            <w:gridSpan w:val="3"/>
            <w:tcBorders>
              <w:top w:val="single" w:sz="4" w:space="0" w:color="FFFFFF"/>
              <w:left w:val="single" w:sz="8" w:space="0" w:color="auto"/>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sz w:val="20"/>
                <w:szCs w:val="20"/>
              </w:rPr>
            </w:pPr>
            <w:r w:rsidRPr="00E2605C">
              <w:rPr>
                <w:b/>
                <w:bCs/>
                <w:sz w:val="20"/>
                <w:szCs w:val="20"/>
              </w:rPr>
              <w:t>(a) Calculated as of 12/31/11 based on last known S&amp;P methodology</w:t>
            </w:r>
          </w:p>
        </w:tc>
        <w:tc>
          <w:tcPr>
            <w:tcW w:w="266" w:type="dxa"/>
            <w:tcBorders>
              <w:top w:val="nil"/>
              <w:left w:val="nil"/>
              <w:bottom w:val="single" w:sz="8" w:space="0" w:color="auto"/>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bl>
    <w:p w:rsidR="00D53707" w:rsidRDefault="00D53707" w:rsidP="007D066E">
      <w:pPr>
        <w:pStyle w:val="BodyText2"/>
        <w:tabs>
          <w:tab w:val="clear" w:pos="720"/>
        </w:tabs>
        <w:spacing w:line="240" w:lineRule="auto"/>
        <w:ind w:left="0" w:right="18"/>
        <w:rPr>
          <w:rFonts w:ascii="Times New Roman" w:hAnsi="Times New Roman" w:cs="Times New Roman"/>
          <w:b/>
          <w:bCs/>
          <w:u w:val="single"/>
        </w:rPr>
      </w:pPr>
    </w:p>
    <w:p w:rsidR="002D4EFA" w:rsidRDefault="00C50C02" w:rsidP="000150A0">
      <w:pPr>
        <w:pStyle w:val="BodyText2"/>
        <w:tabs>
          <w:tab w:val="clear" w:pos="720"/>
        </w:tabs>
        <w:ind w:left="0" w:right="18" w:firstLine="720"/>
        <w:rPr>
          <w:rFonts w:ascii="Times New Roman" w:hAnsi="Times New Roman" w:cs="Times New Roman"/>
        </w:rPr>
      </w:pPr>
      <w:r w:rsidRPr="00C50C02">
        <w:rPr>
          <w:rFonts w:ascii="Times New Roman" w:hAnsi="Times New Roman" w:cs="Times New Roman"/>
        </w:rPr>
        <w:t xml:space="preserve">The ratios above are utilized to determine the financial risk profile.  Currently, Avista </w:t>
      </w:r>
      <w:r w:rsidR="00FF5F27">
        <w:rPr>
          <w:rFonts w:ascii="Times New Roman" w:hAnsi="Times New Roman" w:cs="Times New Roman"/>
        </w:rPr>
        <w:t>is in the “Aggressive” category</w:t>
      </w:r>
      <w:r w:rsidR="00FF3EEA">
        <w:rPr>
          <w:rFonts w:ascii="Times New Roman" w:hAnsi="Times New Roman" w:cs="Times New Roman"/>
        </w:rPr>
        <w:t>.</w:t>
      </w:r>
      <w:r w:rsidRPr="00C50C02">
        <w:rPr>
          <w:rFonts w:ascii="Times New Roman" w:hAnsi="Times New Roman" w:cs="Times New Roman"/>
        </w:rPr>
        <w:t xml:space="preserve">  The financial risk category along with the business risk profile (Avista is in the </w:t>
      </w:r>
      <w:proofErr w:type="gramStart"/>
      <w:r w:rsidR="006E648B">
        <w:rPr>
          <w:rFonts w:ascii="Times New Roman" w:hAnsi="Times New Roman" w:cs="Times New Roman"/>
        </w:rPr>
        <w:t>Excellent</w:t>
      </w:r>
      <w:proofErr w:type="gramEnd"/>
      <w:r w:rsidRPr="00C50C02">
        <w:rPr>
          <w:rFonts w:ascii="Times New Roman" w:hAnsi="Times New Roman" w:cs="Times New Roman"/>
        </w:rPr>
        <w:t xml:space="preserve"> category) is then utilized in Illustration No. </w:t>
      </w:r>
      <w:r w:rsidR="004117F5">
        <w:rPr>
          <w:rFonts w:ascii="Times New Roman" w:hAnsi="Times New Roman" w:cs="Times New Roman"/>
        </w:rPr>
        <w:t>4</w:t>
      </w:r>
      <w:r w:rsidRPr="00C50C02">
        <w:rPr>
          <w:rFonts w:ascii="Times New Roman" w:hAnsi="Times New Roman" w:cs="Times New Roman"/>
        </w:rPr>
        <w:t xml:space="preserve"> below to determine a company’s rating.  S&amp;P currently has Avista’s corporate credit rating as a BBB</w:t>
      </w:r>
      <w:r w:rsidR="005C4F84">
        <w:rPr>
          <w:rFonts w:ascii="Times New Roman" w:hAnsi="Times New Roman" w:cs="Times New Roman"/>
        </w:rPr>
        <w:t>, b</w:t>
      </w:r>
      <w:r w:rsidR="004C0CE5">
        <w:rPr>
          <w:rFonts w:ascii="Times New Roman" w:hAnsi="Times New Roman" w:cs="Times New Roman"/>
        </w:rPr>
        <w:t xml:space="preserve">ased upon an </w:t>
      </w:r>
      <w:r w:rsidR="0017091B">
        <w:rPr>
          <w:rFonts w:ascii="Times New Roman" w:hAnsi="Times New Roman" w:cs="Times New Roman"/>
        </w:rPr>
        <w:t>“A</w:t>
      </w:r>
      <w:r w:rsidR="004C0CE5">
        <w:rPr>
          <w:rFonts w:ascii="Times New Roman" w:hAnsi="Times New Roman" w:cs="Times New Roman"/>
        </w:rPr>
        <w:t>ggressive</w:t>
      </w:r>
      <w:r w:rsidR="0017091B">
        <w:rPr>
          <w:rFonts w:ascii="Times New Roman" w:hAnsi="Times New Roman" w:cs="Times New Roman"/>
        </w:rPr>
        <w:t>”</w:t>
      </w:r>
      <w:r w:rsidR="004C0CE5">
        <w:rPr>
          <w:rFonts w:ascii="Times New Roman" w:hAnsi="Times New Roman" w:cs="Times New Roman"/>
        </w:rPr>
        <w:t xml:space="preserve"> financial risk profile and </w:t>
      </w:r>
      <w:r w:rsidR="0017091B">
        <w:rPr>
          <w:rFonts w:ascii="Times New Roman" w:hAnsi="Times New Roman" w:cs="Times New Roman"/>
        </w:rPr>
        <w:t>“E</w:t>
      </w:r>
      <w:r w:rsidR="004C0CE5">
        <w:rPr>
          <w:rFonts w:ascii="Times New Roman" w:hAnsi="Times New Roman" w:cs="Times New Roman"/>
        </w:rPr>
        <w:t>xcellent</w:t>
      </w:r>
      <w:r w:rsidR="0017091B">
        <w:rPr>
          <w:rFonts w:ascii="Times New Roman" w:hAnsi="Times New Roman" w:cs="Times New Roman"/>
        </w:rPr>
        <w:t>”</w:t>
      </w:r>
      <w:r w:rsidR="004C0CE5">
        <w:rPr>
          <w:rFonts w:ascii="Times New Roman" w:hAnsi="Times New Roman" w:cs="Times New Roman"/>
        </w:rPr>
        <w:t xml:space="preserve"> business risk profile. </w:t>
      </w:r>
    </w:p>
    <w:p w:rsidR="00091463" w:rsidRDefault="002D4EFA" w:rsidP="002D4EFA">
      <w:pPr>
        <w:autoSpaceDE/>
        <w:autoSpaceDN/>
      </w:pPr>
      <w:r>
        <w:br w:type="page"/>
      </w:r>
    </w:p>
    <w:p w:rsidR="00C50C02" w:rsidRDefault="00C50C02" w:rsidP="007D066E">
      <w:pPr>
        <w:pStyle w:val="BodyText2"/>
        <w:tabs>
          <w:tab w:val="clear" w:pos="720"/>
        </w:tabs>
        <w:ind w:left="0" w:right="18"/>
        <w:rPr>
          <w:rFonts w:ascii="Times New Roman" w:hAnsi="Times New Roman" w:cs="Times New Roman"/>
          <w:b/>
          <w:bCs/>
          <w:u w:val="single"/>
        </w:rPr>
      </w:pPr>
      <w:r w:rsidRPr="00C50C02">
        <w:rPr>
          <w:rFonts w:ascii="Times New Roman" w:hAnsi="Times New Roman" w:cs="Times New Roman"/>
          <w:b/>
          <w:bCs/>
          <w:u w:val="single"/>
        </w:rPr>
        <w:lastRenderedPageBreak/>
        <w:t xml:space="preserve">Illustration No. </w:t>
      </w:r>
      <w:r w:rsidR="0091743C">
        <w:rPr>
          <w:rFonts w:ascii="Times New Roman" w:hAnsi="Times New Roman" w:cs="Times New Roman"/>
          <w:b/>
          <w:bCs/>
          <w:u w:val="single"/>
        </w:rPr>
        <w:t>4</w:t>
      </w:r>
      <w:r w:rsidRPr="00C50C02">
        <w:rPr>
          <w:rFonts w:ascii="Times New Roman" w:hAnsi="Times New Roman" w:cs="Times New Roman"/>
          <w:b/>
          <w:bCs/>
          <w:u w:val="single"/>
        </w:rPr>
        <w:t>:</w:t>
      </w:r>
    </w:p>
    <w:p w:rsidR="00706389" w:rsidRDefault="006E5CC3" w:rsidP="002D4EFA">
      <w:pPr>
        <w:pStyle w:val="BodyText2"/>
        <w:ind w:left="270" w:right="18"/>
        <w:rPr>
          <w:rFonts w:ascii="Times New Roman" w:hAnsi="Times New Roman" w:cs="Times New Roman"/>
        </w:rPr>
      </w:pPr>
      <w:r>
        <w:rPr>
          <w:noProof/>
        </w:rPr>
        <w:drawing>
          <wp:inline distT="0" distB="0" distL="0" distR="0">
            <wp:extent cx="5286596" cy="1967023"/>
            <wp:effectExtent l="19050" t="0" r="9304"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286596" cy="1967023"/>
                    </a:xfrm>
                    <a:prstGeom prst="rect">
                      <a:avLst/>
                    </a:prstGeom>
                    <a:noFill/>
                    <a:ln w="9525">
                      <a:noFill/>
                      <a:miter lim="800000"/>
                      <a:headEnd/>
                      <a:tailEnd/>
                    </a:ln>
                  </pic:spPr>
                </pic:pic>
              </a:graphicData>
            </a:graphic>
          </wp:inline>
        </w:drawing>
      </w:r>
    </w:p>
    <w:p w:rsidR="00C50F6F" w:rsidRDefault="00C50F6F" w:rsidP="0051339F">
      <w:pPr>
        <w:pStyle w:val="BodyText2"/>
        <w:spacing w:before="0" w:after="0"/>
        <w:ind w:left="0" w:right="14" w:firstLine="720"/>
        <w:rPr>
          <w:rFonts w:ascii="Times New Roman" w:hAnsi="Times New Roman" w:cs="Times New Roman"/>
        </w:rPr>
      </w:pPr>
      <w:r>
        <w:rPr>
          <w:rFonts w:ascii="Times New Roman" w:hAnsi="Times New Roman" w:cs="Times New Roman"/>
        </w:rPr>
        <w:t xml:space="preserve">The Company’s </w:t>
      </w:r>
      <w:r w:rsidR="006514E9" w:rsidRPr="006514E9">
        <w:rPr>
          <w:rFonts w:ascii="Times New Roman" w:hAnsi="Times New Roman" w:cs="Times New Roman"/>
        </w:rPr>
        <w:t>aggressive financial risk profile reflects higher leverage than that of other corporate industrial issuers and</w:t>
      </w:r>
      <w:r w:rsidR="006514E9">
        <w:rPr>
          <w:rFonts w:ascii="Times New Roman" w:hAnsi="Times New Roman" w:cs="Times New Roman"/>
        </w:rPr>
        <w:t xml:space="preserve"> </w:t>
      </w:r>
      <w:r w:rsidR="006514E9" w:rsidRPr="006514E9">
        <w:rPr>
          <w:rFonts w:ascii="Times New Roman" w:hAnsi="Times New Roman" w:cs="Times New Roman"/>
        </w:rPr>
        <w:t>cash flow coverage in the high teens</w:t>
      </w:r>
      <w:r w:rsidR="0066447F" w:rsidRPr="0066447F">
        <w:rPr>
          <w:rStyle w:val="FootnoteReference"/>
          <w:rFonts w:ascii="Times New Roman" w:hAnsi="Times New Roman"/>
        </w:rPr>
        <w:footnoteReference w:id="2"/>
      </w:r>
      <w:r w:rsidRPr="00227CAC">
        <w:rPr>
          <w:rFonts w:ascii="Times New Roman" w:hAnsi="Times New Roman" w:cs="Times New Roman"/>
        </w:rPr>
        <w:t xml:space="preserve">. </w:t>
      </w:r>
    </w:p>
    <w:p w:rsidR="00C50C02" w:rsidRPr="00C50C02" w:rsidRDefault="00C50C02" w:rsidP="0051339F">
      <w:pPr>
        <w:pStyle w:val="BodyText2"/>
        <w:spacing w:before="0" w:after="0"/>
        <w:ind w:left="0" w:right="14" w:firstLine="720"/>
        <w:rPr>
          <w:rFonts w:ascii="Times New Roman" w:hAnsi="Times New Roman" w:cs="Times New Roman"/>
        </w:rPr>
      </w:pPr>
      <w:r w:rsidRPr="00C50C02">
        <w:rPr>
          <w:rFonts w:ascii="Times New Roman" w:hAnsi="Times New Roman" w:cs="Times New Roman"/>
        </w:rPr>
        <w:t>Moody’s use</w:t>
      </w:r>
      <w:r w:rsidR="009850E6">
        <w:rPr>
          <w:rFonts w:ascii="Times New Roman" w:hAnsi="Times New Roman" w:cs="Times New Roman"/>
        </w:rPr>
        <w:t>s</w:t>
      </w:r>
      <w:r w:rsidRPr="00C50C02">
        <w:rPr>
          <w:rFonts w:ascii="Times New Roman" w:hAnsi="Times New Roman" w:cs="Times New Roman"/>
        </w:rPr>
        <w:t xml:space="preserve"> a similar methodology to analyze and dete</w:t>
      </w:r>
      <w:r w:rsidR="00CD36BB">
        <w:rPr>
          <w:rFonts w:ascii="Times New Roman" w:hAnsi="Times New Roman" w:cs="Times New Roman"/>
        </w:rPr>
        <w:t xml:space="preserve">rmine utility credit ratings.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Please describe how </w:t>
      </w:r>
      <w:r w:rsidR="00384C58">
        <w:rPr>
          <w:rFonts w:ascii="Times New Roman" w:hAnsi="Times New Roman" w:cs="Times New Roman"/>
          <w:b/>
          <w:bCs/>
        </w:rPr>
        <w:t>S&amp;P’s Financial Risk</w:t>
      </w:r>
      <w:r w:rsidR="00384C58" w:rsidRPr="00C50C02">
        <w:rPr>
          <w:rFonts w:ascii="Times New Roman" w:hAnsi="Times New Roman" w:cs="Times New Roman"/>
          <w:b/>
          <w:bCs/>
        </w:rPr>
        <w:t xml:space="preserve"> </w:t>
      </w:r>
      <w:r w:rsidRPr="00C50C02">
        <w:rPr>
          <w:rFonts w:ascii="Times New Roman" w:hAnsi="Times New Roman" w:cs="Times New Roman"/>
          <w:b/>
          <w:bCs/>
        </w:rPr>
        <w:t>ratios are calculated and what they mean?</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The first ratio, “Funds from operations/total debt (%)”, calculates the amount of cash </w:t>
      </w:r>
      <w:r w:rsidR="00C518BE">
        <w:rPr>
          <w:rFonts w:ascii="Times New Roman" w:hAnsi="Times New Roman" w:cs="Times New Roman"/>
        </w:rPr>
        <w:t xml:space="preserve">flow </w:t>
      </w:r>
      <w:r w:rsidRPr="00C50C02">
        <w:rPr>
          <w:rFonts w:ascii="Times New Roman" w:hAnsi="Times New Roman" w:cs="Times New Roman"/>
        </w:rPr>
        <w:t xml:space="preserve">from operations as a percent of total debt.  The ratio indicates the company’s ability to fund debt obligations.  The </w:t>
      </w:r>
      <w:r w:rsidR="00FA6B51">
        <w:rPr>
          <w:rFonts w:ascii="Times New Roman" w:hAnsi="Times New Roman" w:cs="Times New Roman"/>
        </w:rPr>
        <w:t xml:space="preserve">second </w:t>
      </w:r>
      <w:r w:rsidR="00FA6B51" w:rsidRPr="00C50C02">
        <w:rPr>
          <w:rFonts w:ascii="Times New Roman" w:hAnsi="Times New Roman" w:cs="Times New Roman"/>
        </w:rPr>
        <w:t>ratio</w:t>
      </w:r>
      <w:r w:rsidRPr="00C50C02">
        <w:rPr>
          <w:rFonts w:ascii="Times New Roman" w:hAnsi="Times New Roman" w:cs="Times New Roman"/>
        </w:rPr>
        <w:t xml:space="preserve">, “Total debt/total capital (%)”, is the amount of debt in our total capital structure.  The ratio is an indication of the extent to which the company is using debt to finance its operations.  S&amp;P looks at many other financial ratios; however, these are </w:t>
      </w:r>
      <w:r w:rsidR="00FA6B51" w:rsidRPr="00C50C02">
        <w:rPr>
          <w:rFonts w:ascii="Times New Roman" w:hAnsi="Times New Roman" w:cs="Times New Roman"/>
        </w:rPr>
        <w:t>t</w:t>
      </w:r>
      <w:r w:rsidR="00FA6B51">
        <w:rPr>
          <w:rFonts w:ascii="Times New Roman" w:hAnsi="Times New Roman" w:cs="Times New Roman"/>
        </w:rPr>
        <w:t>wo</w:t>
      </w:r>
      <w:r w:rsidR="00FA6B51" w:rsidRPr="00C50C02">
        <w:rPr>
          <w:rFonts w:ascii="Times New Roman" w:hAnsi="Times New Roman" w:cs="Times New Roman"/>
        </w:rPr>
        <w:t xml:space="preserve"> </w:t>
      </w:r>
      <w:r w:rsidRPr="00C50C02">
        <w:rPr>
          <w:rFonts w:ascii="Times New Roman" w:hAnsi="Times New Roman" w:cs="Times New Roman"/>
        </w:rPr>
        <w:t xml:space="preserve">important ratios they use when analyzing our financial profile.  </w:t>
      </w:r>
    </w:p>
    <w:p w:rsidR="00C50C02" w:rsidRPr="009B42A8" w:rsidRDefault="00C50C02" w:rsidP="0051339F">
      <w:pPr>
        <w:pStyle w:val="BodyText2"/>
        <w:tabs>
          <w:tab w:val="clear" w:pos="720"/>
        </w:tabs>
        <w:spacing w:before="0" w:after="0"/>
        <w:ind w:left="0" w:right="14" w:firstLine="720"/>
        <w:rPr>
          <w:rFonts w:ascii="Times New Roman" w:hAnsi="Times New Roman" w:cs="Times New Roman"/>
          <w:b/>
          <w:bCs/>
        </w:rPr>
      </w:pPr>
      <w:r w:rsidRPr="009B42A8">
        <w:rPr>
          <w:rFonts w:ascii="Times New Roman" w:hAnsi="Times New Roman" w:cs="Times New Roman"/>
          <w:b/>
          <w:bCs/>
        </w:rPr>
        <w:t>Q.</w:t>
      </w:r>
      <w:r w:rsidRPr="009B42A8">
        <w:rPr>
          <w:rFonts w:ascii="Times New Roman" w:hAnsi="Times New Roman" w:cs="Times New Roman"/>
          <w:b/>
          <w:bCs/>
        </w:rPr>
        <w:tab/>
        <w:t>Do rating agencies make adjustments to the financial ratios that are calculated directly from the financial statements of the Company?</w:t>
      </w:r>
    </w:p>
    <w:p w:rsidR="00C50C02" w:rsidRPr="009B42A8" w:rsidRDefault="00C50C02" w:rsidP="0051339F">
      <w:pPr>
        <w:pStyle w:val="BodyText2"/>
        <w:tabs>
          <w:tab w:val="clear" w:pos="720"/>
        </w:tabs>
        <w:spacing w:before="0" w:after="0"/>
        <w:ind w:left="0" w:right="14" w:firstLine="720"/>
        <w:rPr>
          <w:rFonts w:ascii="Times New Roman" w:hAnsi="Times New Roman" w:cs="Times New Roman"/>
        </w:rPr>
      </w:pPr>
      <w:r w:rsidRPr="009B42A8">
        <w:rPr>
          <w:rFonts w:ascii="Times New Roman" w:hAnsi="Times New Roman" w:cs="Times New Roman"/>
        </w:rPr>
        <w:lastRenderedPageBreak/>
        <w:t>A.</w:t>
      </w:r>
      <w:r w:rsidRPr="009B42A8">
        <w:rPr>
          <w:rFonts w:ascii="Times New Roman" w:hAnsi="Times New Roman" w:cs="Times New Roman"/>
        </w:rPr>
        <w:tab/>
      </w:r>
      <w:r w:rsidRPr="00466B9B">
        <w:rPr>
          <w:rFonts w:ascii="Times New Roman" w:hAnsi="Times New Roman" w:cs="Times New Roman"/>
        </w:rPr>
        <w:t>Yes.  Rating agencies make adjustments to debt to factor in off-balance sheet commitments (</w:t>
      </w:r>
      <w:r w:rsidR="00FF3EEA">
        <w:rPr>
          <w:rFonts w:ascii="Times New Roman" w:hAnsi="Times New Roman" w:cs="Times New Roman"/>
        </w:rPr>
        <w:t>e.g.,</w:t>
      </w:r>
      <w:r w:rsidR="00FB0831" w:rsidRPr="00466B9B">
        <w:rPr>
          <w:rFonts w:ascii="Times New Roman" w:hAnsi="Times New Roman" w:cs="Times New Roman"/>
        </w:rPr>
        <w:t xml:space="preserve"> purchased</w:t>
      </w:r>
      <w:r w:rsidRPr="00466B9B">
        <w:rPr>
          <w:rFonts w:ascii="Times New Roman" w:hAnsi="Times New Roman" w:cs="Times New Roman"/>
        </w:rPr>
        <w:t xml:space="preserve"> power agreements and the unfunded status of pension and other post-retirement benefits) that negatively impact the ratios. </w:t>
      </w:r>
      <w:r w:rsidR="00BB4220" w:rsidRPr="00466B9B">
        <w:rPr>
          <w:rFonts w:ascii="Times New Roman" w:hAnsi="Times New Roman" w:cs="Times New Roman"/>
        </w:rPr>
        <w:t xml:space="preserve">For </w:t>
      </w:r>
      <w:r w:rsidR="00466B9B" w:rsidRPr="00466B9B">
        <w:rPr>
          <w:rFonts w:ascii="Times New Roman" w:hAnsi="Times New Roman" w:cs="Times New Roman"/>
        </w:rPr>
        <w:t>example</w:t>
      </w:r>
      <w:r w:rsidR="00FF3EEA">
        <w:rPr>
          <w:rFonts w:ascii="Times New Roman" w:hAnsi="Times New Roman" w:cs="Times New Roman"/>
        </w:rPr>
        <w:t>,</w:t>
      </w:r>
      <w:r w:rsidR="00466B9B" w:rsidRPr="00466B9B">
        <w:rPr>
          <w:rFonts w:ascii="Times New Roman" w:hAnsi="Times New Roman" w:cs="Times New Roman"/>
        </w:rPr>
        <w:t xml:space="preserve"> in </w:t>
      </w:r>
      <w:r w:rsidR="00D5174F" w:rsidRPr="00466B9B">
        <w:rPr>
          <w:rFonts w:ascii="Times New Roman" w:hAnsi="Times New Roman" w:cs="Times New Roman"/>
        </w:rPr>
        <w:t>20</w:t>
      </w:r>
      <w:r w:rsidR="00B85EEA" w:rsidRPr="00466B9B">
        <w:rPr>
          <w:rFonts w:ascii="Times New Roman" w:hAnsi="Times New Roman" w:cs="Times New Roman"/>
        </w:rPr>
        <w:t>1</w:t>
      </w:r>
      <w:r w:rsidR="00FA6B51">
        <w:rPr>
          <w:rFonts w:ascii="Times New Roman" w:hAnsi="Times New Roman" w:cs="Times New Roman"/>
        </w:rPr>
        <w:t>1</w:t>
      </w:r>
      <w:r w:rsidR="00D5174F" w:rsidRPr="00466B9B">
        <w:rPr>
          <w:rFonts w:ascii="Times New Roman" w:hAnsi="Times New Roman" w:cs="Times New Roman"/>
        </w:rPr>
        <w:t xml:space="preserve"> </w:t>
      </w:r>
      <w:r w:rsidRPr="00466B9B">
        <w:rPr>
          <w:rFonts w:ascii="Times New Roman" w:hAnsi="Times New Roman" w:cs="Times New Roman"/>
        </w:rPr>
        <w:t xml:space="preserve">S&amp;P made adjustments to Avista’s </w:t>
      </w:r>
      <w:r w:rsidR="00C614DD" w:rsidRPr="00466B9B">
        <w:rPr>
          <w:rFonts w:ascii="Times New Roman" w:hAnsi="Times New Roman" w:cs="Times New Roman"/>
        </w:rPr>
        <w:t>debt totaling approximately $</w:t>
      </w:r>
      <w:r w:rsidR="00FA6B51">
        <w:rPr>
          <w:rFonts w:ascii="Times New Roman" w:hAnsi="Times New Roman" w:cs="Times New Roman"/>
        </w:rPr>
        <w:t xml:space="preserve">148 </w:t>
      </w:r>
      <w:r w:rsidRPr="00466B9B">
        <w:rPr>
          <w:rFonts w:ascii="Times New Roman" w:hAnsi="Times New Roman" w:cs="Times New Roman"/>
        </w:rPr>
        <w:t xml:space="preserve">million </w:t>
      </w:r>
      <w:r w:rsidR="00AB4DEA">
        <w:rPr>
          <w:rFonts w:ascii="Times New Roman" w:hAnsi="Times New Roman" w:cs="Times New Roman"/>
        </w:rPr>
        <w:t xml:space="preserve">primarily </w:t>
      </w:r>
      <w:r w:rsidRPr="00466B9B">
        <w:rPr>
          <w:rFonts w:ascii="Times New Roman" w:hAnsi="Times New Roman" w:cs="Times New Roman"/>
        </w:rPr>
        <w:t>related to purchased power</w:t>
      </w:r>
      <w:r w:rsidR="007A3CE7">
        <w:rPr>
          <w:rFonts w:ascii="Times New Roman" w:hAnsi="Times New Roman" w:cs="Times New Roman"/>
        </w:rPr>
        <w:t>,</w:t>
      </w:r>
      <w:r w:rsidRPr="00466B9B">
        <w:rPr>
          <w:rFonts w:ascii="Times New Roman" w:hAnsi="Times New Roman" w:cs="Times New Roman"/>
        </w:rPr>
        <w:t xml:space="preserve"> post-retirement </w:t>
      </w:r>
      <w:r w:rsidRPr="007E7537">
        <w:rPr>
          <w:rFonts w:ascii="Times New Roman" w:hAnsi="Times New Roman" w:cs="Times New Roman"/>
        </w:rPr>
        <w:t>benefits</w:t>
      </w:r>
      <w:r w:rsidR="00475AF6" w:rsidRPr="00475AF6">
        <w:rPr>
          <w:rFonts w:ascii="Times New Roman" w:hAnsi="Times New Roman" w:cs="Times New Roman"/>
        </w:rPr>
        <w:t>,</w:t>
      </w:r>
      <w:r w:rsidR="007D6038">
        <w:rPr>
          <w:rFonts w:ascii="Times New Roman" w:hAnsi="Times New Roman" w:cs="Times New Roman"/>
        </w:rPr>
        <w:t xml:space="preserve"> </w:t>
      </w:r>
      <w:r w:rsidR="007A3CE7">
        <w:rPr>
          <w:rFonts w:ascii="Times New Roman" w:hAnsi="Times New Roman" w:cs="Times New Roman"/>
        </w:rPr>
        <w:t>and non-recourse debt</w:t>
      </w:r>
      <w:r w:rsidRPr="00466B9B">
        <w:rPr>
          <w:rFonts w:ascii="Times New Roman" w:hAnsi="Times New Roman" w:cs="Times New Roman"/>
        </w:rPr>
        <w:t xml:space="preserve">.  The adjusted financial ratios for Avista are included in Illustration No. </w:t>
      </w:r>
      <w:r w:rsidR="00FF3EEA">
        <w:rPr>
          <w:rFonts w:ascii="Times New Roman" w:hAnsi="Times New Roman" w:cs="Times New Roman"/>
        </w:rPr>
        <w:t>3</w:t>
      </w:r>
      <w:r w:rsidRPr="00466B9B">
        <w:rPr>
          <w:rFonts w:ascii="Times New Roman" w:hAnsi="Times New Roman" w:cs="Times New Roman"/>
        </w:rPr>
        <w:t xml:space="preserve"> above</w:t>
      </w:r>
      <w:r w:rsidR="005A7871" w:rsidRPr="00466B9B">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What </w:t>
      </w:r>
      <w:r w:rsidR="00250404">
        <w:rPr>
          <w:rFonts w:ascii="Times New Roman" w:hAnsi="Times New Roman" w:cs="Times New Roman"/>
          <w:b/>
          <w:bCs/>
        </w:rPr>
        <w:t xml:space="preserve">other </w:t>
      </w:r>
      <w:r w:rsidRPr="00C50C02">
        <w:rPr>
          <w:rFonts w:ascii="Times New Roman" w:hAnsi="Times New Roman" w:cs="Times New Roman"/>
          <w:b/>
          <w:bCs/>
        </w:rPr>
        <w:t>risks are Avista and the utility sector facing that may impact credit ratings?</w:t>
      </w:r>
    </w:p>
    <w:p w:rsidR="00C50C02" w:rsidRPr="00B3794B" w:rsidRDefault="00C50C02" w:rsidP="0051339F">
      <w:pPr>
        <w:pStyle w:val="BodyText2"/>
        <w:tabs>
          <w:tab w:val="clear" w:pos="720"/>
        </w:tabs>
        <w:spacing w:before="0" w:after="0"/>
        <w:ind w:left="0" w:right="14" w:firstLine="720"/>
        <w:rPr>
          <w:rFonts w:ascii="Times New Roman" w:hAnsi="Times New Roman" w:cs="Times New Roman"/>
        </w:rPr>
      </w:pPr>
      <w:r w:rsidRPr="00B3794B">
        <w:rPr>
          <w:rFonts w:ascii="Times New Roman" w:hAnsi="Times New Roman" w:cs="Times New Roman"/>
        </w:rPr>
        <w:t>A.</w:t>
      </w:r>
      <w:r w:rsidRPr="00B3794B">
        <w:rPr>
          <w:rFonts w:ascii="Times New Roman" w:hAnsi="Times New Roman" w:cs="Times New Roman"/>
        </w:rPr>
        <w:tab/>
        <w:t xml:space="preserve">Avista’s credit ratings are impacted by risks that could negatively affect the </w:t>
      </w:r>
      <w:r w:rsidR="000341F2" w:rsidRPr="00B3794B">
        <w:rPr>
          <w:rFonts w:ascii="Times New Roman" w:hAnsi="Times New Roman" w:cs="Times New Roman"/>
        </w:rPr>
        <w:t>C</w:t>
      </w:r>
      <w:r w:rsidRPr="00B3794B">
        <w:rPr>
          <w:rFonts w:ascii="Times New Roman" w:hAnsi="Times New Roman" w:cs="Times New Roman"/>
        </w:rPr>
        <w:t xml:space="preserve">ompany’s cash flows. These risks include, but are not limited to, the level and volatility of wholesale electric market prices and natural gas prices for fuel costs, liquidity in the wholesale market (fewer counterparties and tighter credit restrictions), recoverability of natural gas and power costs, </w:t>
      </w:r>
      <w:proofErr w:type="spellStart"/>
      <w:r w:rsidRPr="00B3794B">
        <w:rPr>
          <w:rFonts w:ascii="Times New Roman" w:hAnsi="Times New Roman" w:cs="Times New Roman"/>
        </w:rPr>
        <w:t>streamflow</w:t>
      </w:r>
      <w:proofErr w:type="spellEnd"/>
      <w:r w:rsidRPr="00B3794B">
        <w:rPr>
          <w:rFonts w:ascii="Times New Roman" w:hAnsi="Times New Roman" w:cs="Times New Roman"/>
        </w:rPr>
        <w:t xml:space="preserve"> and weather conditions, changes in legislative and governmental regulations, rising construction and raw material costs, customers’ ability to timely pay their bills, and access to capital markets at a reasonable cost. </w:t>
      </w:r>
    </w:p>
    <w:p w:rsidR="006B08F9" w:rsidRPr="00C50C02" w:rsidRDefault="00C50C02" w:rsidP="0051339F">
      <w:pPr>
        <w:tabs>
          <w:tab w:val="left" w:pos="1260"/>
          <w:tab w:val="left" w:pos="1440"/>
        </w:tabs>
        <w:spacing w:before="0" w:after="0" w:line="480" w:lineRule="auto"/>
        <w:ind w:left="0" w:right="14" w:firstLine="720"/>
      </w:pPr>
      <w:r w:rsidRPr="00C50C02">
        <w:t xml:space="preserve">Credit ratings for the utility sector are also adversely impacted by large capital expenditures </w:t>
      </w:r>
      <w:r w:rsidR="005B489B" w:rsidRPr="00C50C02">
        <w:t>for new generation</w:t>
      </w:r>
      <w:r w:rsidR="005B489B">
        <w:t>,</w:t>
      </w:r>
      <w:r w:rsidR="005B489B" w:rsidRPr="00C50C02">
        <w:t xml:space="preserve"> transmission and distribution facilities</w:t>
      </w:r>
      <w:r w:rsidR="005B489B">
        <w:t>,</w:t>
      </w:r>
      <w:r w:rsidR="005B489B" w:rsidRPr="00C50C02">
        <w:t xml:space="preserve"> </w:t>
      </w:r>
      <w:r w:rsidR="005B489B">
        <w:t xml:space="preserve">and </w:t>
      </w:r>
      <w:r w:rsidRPr="00C50C02">
        <w:t xml:space="preserve">environmental compliance. The utility sector is in a cycle of significant capital spending, which will likely be funded by </w:t>
      </w:r>
      <w:r w:rsidR="00177B29">
        <w:t>significant</w:t>
      </w:r>
      <w:r w:rsidRPr="00C50C02">
        <w:t xml:space="preserve"> issuances of debt and equity.  This increases the competition for financial capital</w:t>
      </w:r>
      <w:r w:rsidR="005142AA">
        <w:t>.</w:t>
      </w:r>
      <w:r w:rsidR="0051753D">
        <w:t xml:space="preserve">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177B29">
        <w:rPr>
          <w:rFonts w:ascii="Times New Roman" w:hAnsi="Times New Roman" w:cs="Times New Roman"/>
        </w:rPr>
        <w:t xml:space="preserve">The increased capital spending needs and resulting increased </w:t>
      </w:r>
      <w:r w:rsidRPr="00791C1D">
        <w:rPr>
          <w:rFonts w:ascii="Times New Roman" w:hAnsi="Times New Roman" w:cs="Times New Roman"/>
        </w:rPr>
        <w:t xml:space="preserve">debt </w:t>
      </w:r>
      <w:r w:rsidR="00177B29" w:rsidRPr="00791C1D">
        <w:rPr>
          <w:rFonts w:ascii="Times New Roman" w:hAnsi="Times New Roman" w:cs="Times New Roman"/>
        </w:rPr>
        <w:t xml:space="preserve">and equity </w:t>
      </w:r>
      <w:r w:rsidRPr="00791C1D">
        <w:rPr>
          <w:rFonts w:ascii="Times New Roman" w:hAnsi="Times New Roman" w:cs="Times New Roman"/>
        </w:rPr>
        <w:t>issuances</w:t>
      </w:r>
      <w:r w:rsidRPr="00177B29">
        <w:rPr>
          <w:rFonts w:ascii="Times New Roman" w:hAnsi="Times New Roman" w:cs="Times New Roman"/>
        </w:rPr>
        <w:t xml:space="preserve"> make regulation supporting the full and timely recovery of prudently incurred </w:t>
      </w:r>
      <w:r w:rsidRPr="00177B29">
        <w:rPr>
          <w:rFonts w:ascii="Times New Roman" w:hAnsi="Times New Roman" w:cs="Times New Roman"/>
        </w:rPr>
        <w:lastRenderedPageBreak/>
        <w:t>costs</w:t>
      </w:r>
      <w:r w:rsidR="00FA6B51">
        <w:rPr>
          <w:rFonts w:ascii="Times New Roman" w:hAnsi="Times New Roman" w:cs="Times New Roman"/>
        </w:rPr>
        <w:t>, including the cost of capital,</w:t>
      </w:r>
      <w:r w:rsidRPr="00177B29">
        <w:rPr>
          <w:rFonts w:ascii="Times New Roman" w:hAnsi="Times New Roman" w:cs="Times New Roman"/>
        </w:rPr>
        <w:t xml:space="preserve"> even more critical to the utility sector than in previous years.</w:t>
      </w:r>
      <w:r w:rsidRPr="00C50C02">
        <w:rPr>
          <w:rFonts w:ascii="Times New Roman" w:hAnsi="Times New Roman" w:cs="Times New Roman"/>
        </w:rPr>
        <w:t xml:space="preserve">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How important is the regulatory environment in which </w:t>
      </w:r>
      <w:proofErr w:type="gramStart"/>
      <w:r w:rsidRPr="00C50C02">
        <w:rPr>
          <w:rFonts w:ascii="Times New Roman" w:hAnsi="Times New Roman" w:cs="Times New Roman"/>
          <w:b/>
          <w:bCs/>
        </w:rPr>
        <w:t>a</w:t>
      </w:r>
      <w:proofErr w:type="gramEnd"/>
      <w:r w:rsidRPr="00C50C02">
        <w:rPr>
          <w:rFonts w:ascii="Times New Roman" w:hAnsi="Times New Roman" w:cs="Times New Roman"/>
          <w:b/>
          <w:bCs/>
        </w:rPr>
        <w:t xml:space="preserve"> Company operates?</w:t>
      </w:r>
    </w:p>
    <w:p w:rsidR="0066447F" w:rsidRDefault="00C50C02" w:rsidP="00E56ED5">
      <w:pPr>
        <w:pStyle w:val="Answer"/>
        <w:spacing w:before="0" w:after="0"/>
        <w:ind w:left="0" w:right="14"/>
      </w:pPr>
      <w:r w:rsidRPr="00C50C02">
        <w:rPr>
          <w:rFonts w:ascii="Times New Roman" w:hAnsi="Times New Roman" w:cs="Times New Roman"/>
        </w:rPr>
        <w:t>A.</w:t>
      </w:r>
      <w:r w:rsidRPr="00C50C02">
        <w:rPr>
          <w:rFonts w:ascii="Times New Roman" w:hAnsi="Times New Roman" w:cs="Times New Roman"/>
        </w:rPr>
        <w:tab/>
      </w:r>
      <w:bookmarkStart w:id="4" w:name="OLE_LINK2"/>
      <w:bookmarkStart w:id="5" w:name="OLE_LINK9"/>
      <w:r w:rsidRPr="00C50C02">
        <w:rPr>
          <w:rFonts w:ascii="Times New Roman" w:hAnsi="Times New Roman" w:cs="Times New Roman"/>
        </w:rPr>
        <w:t xml:space="preserve">The regulatory environment in which a company operates is a major qualitative factor in determining a company’s creditworthiness.  </w:t>
      </w:r>
      <w:bookmarkEnd w:id="4"/>
      <w:bookmarkEnd w:id="5"/>
    </w:p>
    <w:p w:rsidR="00254C27" w:rsidRDefault="00254C27" w:rsidP="00E56ED5">
      <w:pPr>
        <w:pStyle w:val="BodyText2"/>
        <w:tabs>
          <w:tab w:val="clear" w:pos="720"/>
        </w:tabs>
        <w:spacing w:before="0" w:after="0"/>
        <w:ind w:left="0" w:right="18"/>
        <w:rPr>
          <w:rFonts w:ascii="Times New Roman" w:hAnsi="Times New Roman" w:cs="Times New Roman"/>
          <w:kern w:val="16"/>
        </w:rPr>
      </w:pPr>
      <w:r>
        <w:rPr>
          <w:rFonts w:ascii="Times New Roman" w:hAnsi="Times New Roman" w:cs="Times New Roman"/>
          <w:kern w:val="16"/>
        </w:rPr>
        <w:t xml:space="preserve">S&amp;P stated the following:  </w:t>
      </w:r>
    </w:p>
    <w:p w:rsidR="000F0CFC" w:rsidRDefault="003D078B" w:rsidP="00E56ED5">
      <w:pPr>
        <w:pStyle w:val="BodyText2"/>
        <w:tabs>
          <w:tab w:val="clear" w:pos="720"/>
        </w:tabs>
        <w:spacing w:before="0" w:after="360" w:line="240" w:lineRule="auto"/>
        <w:ind w:left="0" w:right="14"/>
        <w:rPr>
          <w:rFonts w:ascii="Times New Roman" w:hAnsi="Times New Roman" w:cs="Times New Roman"/>
        </w:rPr>
      </w:pPr>
      <w:r w:rsidRPr="003D078B">
        <w:rPr>
          <w:rFonts w:ascii="Times New Roman" w:hAnsi="Times New Roman" w:cs="Times New Roman"/>
        </w:rPr>
        <w:t>Regulation is the most critical aspect that underlies regulated integrated utilities’ creditworthiness.</w:t>
      </w:r>
      <w:r w:rsidR="0048585F">
        <w:rPr>
          <w:rFonts w:ascii="Times New Roman" w:hAnsi="Times New Roman" w:cs="Times New Roman"/>
        </w:rPr>
        <w:t xml:space="preserve"> </w:t>
      </w:r>
      <w:r w:rsidRPr="003D078B">
        <w:rPr>
          <w:rFonts w:ascii="Times New Roman" w:hAnsi="Times New Roman" w:cs="Times New Roman"/>
        </w:rPr>
        <w:t>Regulatory decisions can profoundly affect financial performance.  Our assessment of the regulatory environments in which a utility operates is guided by certain principles, most prominently consistency and predictability, as well as efficiency and timeliness.  For a regulatory process to be considered supportive of credit quality, it must limit uncertainty in the recovery of a utility’s investment</w:t>
      </w:r>
      <w:r w:rsidRPr="00DA18AA">
        <w:rPr>
          <w:rFonts w:ascii="Times New Roman" w:hAnsi="Times New Roman" w:cs="Times New Roman"/>
        </w:rPr>
        <w:t xml:space="preserve">.  </w:t>
      </w:r>
      <w:r w:rsidR="00475AF6" w:rsidRPr="00475AF6">
        <w:rPr>
          <w:rFonts w:ascii="Times New Roman" w:hAnsi="Times New Roman" w:cs="Times New Roman"/>
        </w:rPr>
        <w:t>They must also eliminate, or at least greatly reduce, the issue of rate-case lag, especially when a utility engages in a sizable capital expenditure program</w:t>
      </w:r>
      <w:r w:rsidRPr="00DA18AA">
        <w:rPr>
          <w:rFonts w:ascii="Times New Roman" w:hAnsi="Times New Roman" w:cs="Times New Roman"/>
        </w:rPr>
        <w:t>.</w:t>
      </w:r>
      <w:r w:rsidRPr="00DA18AA">
        <w:rPr>
          <w:rFonts w:ascii="Times New Roman" w:hAnsi="Times New Roman"/>
          <w:vertAlign w:val="superscript"/>
        </w:rPr>
        <w:footnoteReference w:id="3"/>
      </w:r>
      <w:r w:rsidR="00FF3EEA">
        <w:rPr>
          <w:rFonts w:ascii="Times New Roman" w:hAnsi="Times New Roman" w:cs="Times New Roman"/>
        </w:rPr>
        <w:t xml:space="preserve"> </w:t>
      </w:r>
    </w:p>
    <w:p w:rsidR="000F0CFC" w:rsidRDefault="00C50C02" w:rsidP="00E56ED5">
      <w:pPr>
        <w:pStyle w:val="BodyText2"/>
        <w:spacing w:after="0"/>
        <w:ind w:left="0" w:right="14"/>
        <w:rPr>
          <w:rFonts w:ascii="Times New Roman" w:hAnsi="Times New Roman" w:cs="Times New Roman"/>
          <w:kern w:val="16"/>
        </w:rPr>
      </w:pPr>
      <w:r w:rsidRPr="00C50C02">
        <w:rPr>
          <w:rFonts w:ascii="Times New Roman" w:hAnsi="Times New Roman" w:cs="Times New Roman"/>
          <w:kern w:val="16"/>
        </w:rPr>
        <w:t xml:space="preserve">Due to the major capital expenditures planned by Avista, </w:t>
      </w:r>
      <w:r w:rsidR="00904B8C">
        <w:rPr>
          <w:rFonts w:ascii="Times New Roman" w:hAnsi="Times New Roman" w:cs="Times New Roman"/>
          <w:kern w:val="16"/>
        </w:rPr>
        <w:t>a</w:t>
      </w:r>
      <w:r w:rsidRPr="00C50C02">
        <w:rPr>
          <w:rFonts w:ascii="Times New Roman" w:hAnsi="Times New Roman" w:cs="Times New Roman"/>
          <w:kern w:val="16"/>
        </w:rPr>
        <w:t xml:space="preserve"> supportive regulatory environment </w:t>
      </w:r>
      <w:r w:rsidR="000B0E1C">
        <w:rPr>
          <w:rFonts w:ascii="Times New Roman" w:hAnsi="Times New Roman" w:cs="Times New Roman"/>
          <w:kern w:val="16"/>
        </w:rPr>
        <w:t xml:space="preserve">will be essential in minimizing </w:t>
      </w:r>
      <w:r w:rsidR="009D197F">
        <w:rPr>
          <w:rFonts w:ascii="Times New Roman" w:hAnsi="Times New Roman" w:cs="Times New Roman"/>
          <w:kern w:val="16"/>
        </w:rPr>
        <w:t xml:space="preserve">or eliminating the </w:t>
      </w:r>
      <w:r w:rsidR="000B0E1C">
        <w:rPr>
          <w:rFonts w:ascii="Times New Roman" w:hAnsi="Times New Roman" w:cs="Times New Roman"/>
          <w:kern w:val="16"/>
        </w:rPr>
        <w:t xml:space="preserve">regulatory lag </w:t>
      </w:r>
      <w:r w:rsidR="009D197F">
        <w:rPr>
          <w:rFonts w:ascii="Times New Roman" w:hAnsi="Times New Roman" w:cs="Times New Roman"/>
          <w:kern w:val="16"/>
        </w:rPr>
        <w:t>we are currently experiencing</w:t>
      </w:r>
      <w:r w:rsidR="000B0E1C">
        <w:rPr>
          <w:rFonts w:ascii="Times New Roman" w:hAnsi="Times New Roman" w:cs="Times New Roman"/>
          <w:kern w:val="16"/>
        </w:rPr>
        <w:t xml:space="preserve">. Our financial health is a major factor in maintaining our current rating and equally important in achieving </w:t>
      </w:r>
      <w:r w:rsidR="00D1223F">
        <w:rPr>
          <w:rFonts w:ascii="Times New Roman" w:hAnsi="Times New Roman" w:cs="Times New Roman"/>
          <w:kern w:val="16"/>
        </w:rPr>
        <w:t>our long-term goal of</w:t>
      </w:r>
      <w:r w:rsidR="000B0E1C">
        <w:rPr>
          <w:rFonts w:ascii="Times New Roman" w:hAnsi="Times New Roman" w:cs="Times New Roman"/>
          <w:kern w:val="16"/>
        </w:rPr>
        <w:t xml:space="preserve"> BBB+</w:t>
      </w:r>
      <w:r w:rsidR="00634976">
        <w:rPr>
          <w:rFonts w:ascii="Times New Roman" w:hAnsi="Times New Roman" w:cs="Times New Roman"/>
          <w:kern w:val="16"/>
        </w:rPr>
        <w:t xml:space="preserve">, which is the </w:t>
      </w:r>
      <w:r w:rsidR="000B0E1C">
        <w:rPr>
          <w:rFonts w:ascii="Times New Roman" w:hAnsi="Times New Roman" w:cs="Times New Roman"/>
          <w:kern w:val="16"/>
        </w:rPr>
        <w:t xml:space="preserve">average rating for U.S. Regulated </w:t>
      </w:r>
      <w:r w:rsidR="00D721F4">
        <w:rPr>
          <w:rFonts w:ascii="Times New Roman" w:hAnsi="Times New Roman" w:cs="Times New Roman"/>
          <w:kern w:val="16"/>
        </w:rPr>
        <w:t xml:space="preserve">Combined </w:t>
      </w:r>
      <w:r w:rsidR="00513ABB">
        <w:rPr>
          <w:rFonts w:ascii="Times New Roman" w:hAnsi="Times New Roman" w:cs="Times New Roman"/>
          <w:kern w:val="16"/>
        </w:rPr>
        <w:t xml:space="preserve">Gas and </w:t>
      </w:r>
      <w:r w:rsidR="005A764F">
        <w:rPr>
          <w:rFonts w:ascii="Times New Roman" w:hAnsi="Times New Roman" w:cs="Times New Roman"/>
          <w:kern w:val="16"/>
        </w:rPr>
        <w:t>Electric Utilities</w:t>
      </w:r>
      <w:r w:rsidRPr="00C50C02">
        <w:rPr>
          <w:rFonts w:ascii="Times New Roman" w:hAnsi="Times New Roman" w:cs="Times New Roman"/>
          <w:kern w:val="16"/>
        </w:rPr>
        <w:t>.</w:t>
      </w:r>
      <w:r w:rsidR="00DA18AA">
        <w:rPr>
          <w:rFonts w:ascii="Times New Roman" w:hAnsi="Times New Roman" w:cs="Times New Roman"/>
          <w:kern w:val="16"/>
        </w:rPr>
        <w:t xml:space="preserve"> </w:t>
      </w:r>
      <w:bookmarkStart w:id="6" w:name="_Toc289931771"/>
    </w:p>
    <w:p w:rsidR="00E56ED5" w:rsidRDefault="00E56ED5" w:rsidP="000150A0">
      <w:pPr>
        <w:pStyle w:val="BodyText2"/>
        <w:spacing w:before="0" w:after="0"/>
        <w:ind w:left="0" w:right="14"/>
        <w:rPr>
          <w:rFonts w:ascii="Times New Roman" w:hAnsi="Times New Roman" w:cs="Times New Roman"/>
          <w:kern w:val="16"/>
        </w:rPr>
      </w:pPr>
    </w:p>
    <w:p w:rsidR="00C50C02" w:rsidRPr="004C362D" w:rsidRDefault="00C50C02" w:rsidP="000150A0">
      <w:pPr>
        <w:pStyle w:val="Heading3"/>
        <w:spacing w:before="0" w:after="0"/>
        <w:ind w:left="0" w:right="14"/>
        <w:rPr>
          <w:u w:val="single"/>
        </w:rPr>
      </w:pPr>
      <w:r w:rsidRPr="004C362D">
        <w:rPr>
          <w:u w:val="single"/>
        </w:rPr>
        <w:t>IV. CASH FLOW</w:t>
      </w:r>
      <w:bookmarkEnd w:id="6"/>
    </w:p>
    <w:p w:rsidR="00C50C02" w:rsidRPr="00C50C02" w:rsidRDefault="00C50C02" w:rsidP="0051339F">
      <w:pPr>
        <w:tabs>
          <w:tab w:val="left" w:pos="1260"/>
        </w:tabs>
        <w:spacing w:before="0" w:after="0" w:line="480" w:lineRule="auto"/>
        <w:ind w:left="0" w:right="14" w:firstLine="720"/>
        <w:rPr>
          <w:b/>
          <w:bCs/>
        </w:rPr>
      </w:pPr>
      <w:proofErr w:type="gramStart"/>
      <w:r w:rsidRPr="00C50C02">
        <w:rPr>
          <w:b/>
          <w:bCs/>
        </w:rPr>
        <w:t>Q.</w:t>
      </w:r>
      <w:r w:rsidRPr="00C50C02">
        <w:rPr>
          <w:b/>
          <w:bCs/>
        </w:rPr>
        <w:tab/>
      </w:r>
      <w:r w:rsidRPr="00C50C02">
        <w:rPr>
          <w:b/>
          <w:bCs/>
        </w:rPr>
        <w:tab/>
        <w:t>What are the Company’s sources to fund capital requirements?</w:t>
      </w:r>
      <w:proofErr w:type="gramEnd"/>
    </w:p>
    <w:p w:rsidR="00CB4AAA" w:rsidRDefault="00C50C02" w:rsidP="0051339F">
      <w:pPr>
        <w:pStyle w:val="BodyText2"/>
        <w:tabs>
          <w:tab w:val="clear" w:pos="720"/>
        </w:tabs>
        <w:spacing w:before="0" w:after="0"/>
        <w:ind w:left="0" w:right="14" w:firstLine="720"/>
        <w:rPr>
          <w:b/>
          <w:bCs/>
        </w:rPr>
      </w:pPr>
      <w:r w:rsidRPr="00C50C02">
        <w:rPr>
          <w:rFonts w:ascii="Times New Roman" w:hAnsi="Times New Roman" w:cs="Times New Roman"/>
        </w:rPr>
        <w:t>A.</w:t>
      </w:r>
      <w:r w:rsidRPr="00C50C02">
        <w:rPr>
          <w:rFonts w:ascii="Times New Roman" w:hAnsi="Times New Roman" w:cs="Times New Roman"/>
        </w:rPr>
        <w:tab/>
        <w:t xml:space="preserve">The Company utilizes cash flow from operations, long-term debt and common stock issuances to fund its capital expenditures.  Additionally, on an interim basis, </w:t>
      </w:r>
      <w:r w:rsidRPr="00C50C02">
        <w:rPr>
          <w:rFonts w:ascii="Times New Roman" w:hAnsi="Times New Roman" w:cs="Times New Roman"/>
        </w:rPr>
        <w:lastRenderedPageBreak/>
        <w:t xml:space="preserve">the Company utilizes its credit </w:t>
      </w:r>
      <w:r w:rsidR="0017091B" w:rsidRPr="00C50C02">
        <w:rPr>
          <w:rFonts w:ascii="Times New Roman" w:hAnsi="Times New Roman" w:cs="Times New Roman"/>
        </w:rPr>
        <w:t>facilit</w:t>
      </w:r>
      <w:r w:rsidR="0017091B">
        <w:rPr>
          <w:rFonts w:ascii="Times New Roman" w:hAnsi="Times New Roman" w:cs="Times New Roman"/>
        </w:rPr>
        <w:t>y</w:t>
      </w:r>
      <w:r w:rsidR="0017091B" w:rsidRPr="00C50C02">
        <w:rPr>
          <w:rFonts w:ascii="Times New Roman" w:hAnsi="Times New Roman" w:cs="Times New Roman"/>
        </w:rPr>
        <w:t xml:space="preserve"> </w:t>
      </w:r>
      <w:r w:rsidRPr="00C50C02">
        <w:rPr>
          <w:rFonts w:ascii="Times New Roman" w:hAnsi="Times New Roman" w:cs="Times New Roman"/>
        </w:rPr>
        <w:t xml:space="preserve">to fund capital needs until longer-term financing can be obtained. </w:t>
      </w:r>
      <w:bookmarkStart w:id="7" w:name="OLE_LINK10"/>
      <w:bookmarkStart w:id="8" w:name="OLE_LINK11"/>
    </w:p>
    <w:p w:rsidR="00C50C02" w:rsidRPr="00C50C02" w:rsidRDefault="00C50C02" w:rsidP="00E56ED5">
      <w:pPr>
        <w:spacing w:before="0" w:after="0" w:line="480" w:lineRule="auto"/>
        <w:ind w:left="0" w:right="14" w:firstLine="720"/>
        <w:rPr>
          <w:b/>
          <w:bCs/>
        </w:rPr>
      </w:pPr>
      <w:proofErr w:type="gramStart"/>
      <w:r w:rsidRPr="00C50C02">
        <w:rPr>
          <w:b/>
          <w:bCs/>
        </w:rPr>
        <w:t>Q.</w:t>
      </w:r>
      <w:r w:rsidRPr="00C50C02">
        <w:rPr>
          <w:b/>
          <w:bCs/>
        </w:rPr>
        <w:tab/>
        <w:t>What are the Company’s near-term capital requirements?</w:t>
      </w:r>
      <w:proofErr w:type="gramEnd"/>
    </w:p>
    <w:bookmarkEnd w:id="7"/>
    <w:bookmarkEnd w:id="8"/>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As a combination electric and natural gas utility, over the next few years, capital will be requ</w:t>
      </w:r>
      <w:r w:rsidR="000341F2">
        <w:rPr>
          <w:rFonts w:ascii="Times New Roman" w:hAnsi="Times New Roman" w:cs="Times New Roman"/>
        </w:rPr>
        <w:t>ired for</w:t>
      </w:r>
      <w:r w:rsidRPr="00C50C02">
        <w:rPr>
          <w:rFonts w:ascii="Times New Roman" w:hAnsi="Times New Roman" w:cs="Times New Roman"/>
        </w:rPr>
        <w:t xml:space="preserve"> investment in generation</w:t>
      </w:r>
      <w:r w:rsidR="00A53447">
        <w:rPr>
          <w:rFonts w:ascii="Times New Roman" w:hAnsi="Times New Roman" w:cs="Times New Roman"/>
        </w:rPr>
        <w:t xml:space="preserve"> upgrades</w:t>
      </w:r>
      <w:r w:rsidRPr="00C50C02">
        <w:rPr>
          <w:rFonts w:ascii="Times New Roman" w:hAnsi="Times New Roman" w:cs="Times New Roman"/>
        </w:rPr>
        <w:t xml:space="preserve">, </w:t>
      </w:r>
      <w:r w:rsidR="00FF3EEA">
        <w:rPr>
          <w:rFonts w:ascii="Times New Roman" w:hAnsi="Times New Roman" w:cs="Times New Roman"/>
        </w:rPr>
        <w:t xml:space="preserve">expansion and replacement of </w:t>
      </w:r>
      <w:r w:rsidRPr="00C50C02">
        <w:rPr>
          <w:rFonts w:ascii="Times New Roman" w:hAnsi="Times New Roman" w:cs="Times New Roman"/>
        </w:rPr>
        <w:t>transmission and distribution facilities</w:t>
      </w:r>
      <w:r w:rsidRPr="009767F5">
        <w:rPr>
          <w:rFonts w:ascii="Times New Roman" w:hAnsi="Times New Roman" w:cs="Times New Roman"/>
        </w:rPr>
        <w:t>,</w:t>
      </w:r>
      <w:r w:rsidR="009767F5" w:rsidRPr="009767F5">
        <w:rPr>
          <w:rFonts w:ascii="Times New Roman" w:hAnsi="Times New Roman" w:cs="Times New Roman"/>
        </w:rPr>
        <w:t xml:space="preserve"> customer growth</w:t>
      </w:r>
      <w:r w:rsidRPr="00C50C02">
        <w:rPr>
          <w:rFonts w:ascii="Times New Roman" w:hAnsi="Times New Roman" w:cs="Times New Roman"/>
        </w:rPr>
        <w:t xml:space="preserve"> as well as necessary </w:t>
      </w:r>
      <w:r w:rsidR="005142AA">
        <w:rPr>
          <w:rFonts w:ascii="Times New Roman" w:hAnsi="Times New Roman" w:cs="Times New Roman"/>
        </w:rPr>
        <w:t>upgrade</w:t>
      </w:r>
      <w:r w:rsidRPr="00C50C02">
        <w:rPr>
          <w:rFonts w:ascii="Times New Roman" w:hAnsi="Times New Roman" w:cs="Times New Roman"/>
        </w:rPr>
        <w:t xml:space="preserve"> and replacements of our natural gas systems.</w:t>
      </w:r>
    </w:p>
    <w:p w:rsidR="004D38B9" w:rsidRDefault="00457682" w:rsidP="0051339F">
      <w:pPr>
        <w:pStyle w:val="BodyText2"/>
        <w:spacing w:before="0" w:after="0"/>
        <w:ind w:left="0" w:right="14" w:firstLine="720"/>
        <w:rPr>
          <w:rFonts w:ascii="Times New Roman" w:hAnsi="Times New Roman" w:cs="Times New Roman"/>
        </w:rPr>
      </w:pPr>
      <w:r w:rsidRPr="00457682">
        <w:rPr>
          <w:rFonts w:ascii="Times New Roman" w:hAnsi="Times New Roman" w:cs="Times New Roman"/>
        </w:rPr>
        <w:t xml:space="preserve">We </w:t>
      </w:r>
      <w:r w:rsidR="004D38B9">
        <w:rPr>
          <w:rFonts w:ascii="Times New Roman" w:hAnsi="Times New Roman" w:cs="Times New Roman"/>
        </w:rPr>
        <w:t xml:space="preserve">have been making </w:t>
      </w:r>
      <w:r w:rsidRPr="00457682">
        <w:rPr>
          <w:rFonts w:ascii="Times New Roman" w:hAnsi="Times New Roman" w:cs="Times New Roman"/>
        </w:rPr>
        <w:t>significant capital investments in generation, transmission and distribution systems to preserve and enhance service reliability for</w:t>
      </w:r>
      <w:r>
        <w:rPr>
          <w:rFonts w:ascii="Times New Roman" w:hAnsi="Times New Roman" w:cs="Times New Roman"/>
        </w:rPr>
        <w:t xml:space="preserve"> </w:t>
      </w:r>
      <w:r w:rsidRPr="00457682">
        <w:rPr>
          <w:rFonts w:ascii="Times New Roman" w:hAnsi="Times New Roman" w:cs="Times New Roman"/>
        </w:rPr>
        <w:t>our customers and replace aging infrastructure. Utility capital expenditures were $</w:t>
      </w:r>
      <w:r w:rsidR="00C72BC2">
        <w:rPr>
          <w:rFonts w:ascii="Times New Roman" w:hAnsi="Times New Roman" w:cs="Times New Roman"/>
        </w:rPr>
        <w:t>247.0</w:t>
      </w:r>
      <w:r w:rsidRPr="00457682">
        <w:rPr>
          <w:rFonts w:ascii="Times New Roman" w:hAnsi="Times New Roman" w:cs="Times New Roman"/>
        </w:rPr>
        <w:t xml:space="preserve"> million for 2011.</w:t>
      </w:r>
    </w:p>
    <w:p w:rsidR="00645B40" w:rsidRDefault="00FB11C5" w:rsidP="000150A0">
      <w:pPr>
        <w:pStyle w:val="BodyText2"/>
        <w:spacing w:before="0" w:after="0"/>
        <w:ind w:left="0" w:right="14" w:firstLine="720"/>
      </w:pPr>
      <w:r>
        <w:rPr>
          <w:rFonts w:ascii="Times New Roman" w:hAnsi="Times New Roman" w:cs="Times New Roman"/>
        </w:rPr>
        <w:t>Avista’s plans call for significant capital expenditure requirements for the utility over the next two years to assure reliability in serving our customers and meeting customer growth.  Capital expenditures of approximately $</w:t>
      </w:r>
      <w:r w:rsidR="004D38B9">
        <w:rPr>
          <w:rFonts w:ascii="Times New Roman" w:hAnsi="Times New Roman" w:cs="Times New Roman"/>
        </w:rPr>
        <w:t>257</w:t>
      </w:r>
      <w:r>
        <w:rPr>
          <w:rFonts w:ascii="Times New Roman" w:hAnsi="Times New Roman" w:cs="Times New Roman"/>
        </w:rPr>
        <w:t xml:space="preserve"> million are planned for 2012 for customer growth, investment in generation upgrades, transmission and distribution facilities, and information technology systems as well as necessary maintenance and replacements of our natural gas utility systems.  </w:t>
      </w:r>
    </w:p>
    <w:p w:rsidR="00CA11C6" w:rsidRDefault="004D38B9" w:rsidP="00E56ED5">
      <w:pPr>
        <w:pStyle w:val="BodyText2"/>
        <w:spacing w:before="0" w:after="0"/>
        <w:ind w:left="0" w:right="18"/>
        <w:rPr>
          <w:rFonts w:ascii="Times New Roman" w:hAnsi="Times New Roman" w:cs="Times New Roman"/>
        </w:rPr>
      </w:pPr>
      <w:r>
        <w:rPr>
          <w:rFonts w:ascii="Times New Roman" w:hAnsi="Times New Roman" w:cs="Times New Roman"/>
        </w:rPr>
        <w:t>The</w:t>
      </w:r>
      <w:r w:rsidR="00656678" w:rsidRPr="00656678">
        <w:rPr>
          <w:rFonts w:ascii="Times New Roman" w:hAnsi="Times New Roman" w:cs="Times New Roman"/>
        </w:rPr>
        <w:t xml:space="preserve"> capital budget for 2012 includes the following (dollars in millions):</w:t>
      </w:r>
    </w:p>
    <w:p w:rsidR="0091743C" w:rsidRDefault="0091743C" w:rsidP="00E56ED5">
      <w:pPr>
        <w:pStyle w:val="BodyText2"/>
        <w:spacing w:before="0" w:after="0"/>
        <w:ind w:left="0" w:right="14"/>
        <w:rPr>
          <w:rFonts w:ascii="Times New Roman" w:hAnsi="Times New Roman" w:cs="Times New Roman"/>
        </w:rPr>
      </w:pPr>
      <w:r w:rsidRPr="00C50C02">
        <w:rPr>
          <w:b/>
          <w:u w:val="single"/>
        </w:rPr>
        <w:t xml:space="preserve">Illustration No. </w:t>
      </w:r>
      <w:r>
        <w:rPr>
          <w:b/>
          <w:u w:val="single"/>
        </w:rPr>
        <w:t>5</w:t>
      </w:r>
      <w:r w:rsidRPr="00C50C02">
        <w:rPr>
          <w:b/>
          <w:u w:val="single"/>
        </w:rPr>
        <w:t>:</w:t>
      </w:r>
    </w:p>
    <w:p w:rsidR="00656678" w:rsidRDefault="00EA193D" w:rsidP="002D4EFA">
      <w:pPr>
        <w:pStyle w:val="BodyText2"/>
        <w:tabs>
          <w:tab w:val="clear" w:pos="720"/>
        </w:tabs>
        <w:spacing w:before="0" w:after="0"/>
        <w:ind w:left="0" w:right="14" w:firstLine="720"/>
        <w:rPr>
          <w:rFonts w:ascii="Times New Roman" w:hAnsi="Times New Roman" w:cs="Times New Roman"/>
        </w:rPr>
      </w:pPr>
      <w:r>
        <w:rPr>
          <w:noProof/>
        </w:rPr>
        <w:drawing>
          <wp:inline distT="0" distB="0" distL="0" distR="0">
            <wp:extent cx="4196691" cy="147508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189519" cy="1472565"/>
                    </a:xfrm>
                    <a:prstGeom prst="rect">
                      <a:avLst/>
                    </a:prstGeom>
                    <a:noFill/>
                    <a:ln w="9525">
                      <a:noFill/>
                      <a:miter lim="800000"/>
                      <a:headEnd/>
                      <a:tailEnd/>
                    </a:ln>
                  </pic:spPr>
                </pic:pic>
              </a:graphicData>
            </a:graphic>
          </wp:inline>
        </w:drawing>
      </w:r>
      <w:r w:rsidR="00D721F4" w:rsidRPr="00D721F4" w:rsidDel="00D721F4">
        <w:t xml:space="preserve"> </w:t>
      </w:r>
    </w:p>
    <w:p w:rsidR="004D38B9" w:rsidRDefault="004D38B9" w:rsidP="0051339F">
      <w:pPr>
        <w:pStyle w:val="BodyText2"/>
        <w:tabs>
          <w:tab w:val="clear" w:pos="720"/>
        </w:tabs>
        <w:spacing w:before="0" w:after="0"/>
        <w:ind w:left="0" w:right="14" w:firstLine="720"/>
        <w:rPr>
          <w:rFonts w:ascii="Times New Roman" w:hAnsi="Times New Roman" w:cs="Times New Roman"/>
        </w:rPr>
      </w:pPr>
      <w:r w:rsidRPr="004D38B9">
        <w:rPr>
          <w:rFonts w:ascii="Times New Roman" w:hAnsi="Times New Roman" w:cs="Times New Roman"/>
        </w:rPr>
        <w:lastRenderedPageBreak/>
        <w:t>Capital expenditures of approximately $1.</w:t>
      </w:r>
      <w:r w:rsidR="00FC58C3">
        <w:rPr>
          <w:rFonts w:ascii="Times New Roman" w:hAnsi="Times New Roman" w:cs="Times New Roman"/>
        </w:rPr>
        <w:t>2</w:t>
      </w:r>
      <w:r w:rsidRPr="004D38B9">
        <w:rPr>
          <w:rFonts w:ascii="Times New Roman" w:hAnsi="Times New Roman" w:cs="Times New Roman"/>
        </w:rPr>
        <w:t xml:space="preserve"> billion are planned for the f</w:t>
      </w:r>
      <w:r w:rsidR="00FC58C3">
        <w:rPr>
          <w:rFonts w:ascii="Times New Roman" w:hAnsi="Times New Roman" w:cs="Times New Roman"/>
        </w:rPr>
        <w:t>ive</w:t>
      </w:r>
      <w:r w:rsidRPr="004D38B9">
        <w:rPr>
          <w:rFonts w:ascii="Times New Roman" w:hAnsi="Times New Roman" w:cs="Times New Roman"/>
        </w:rPr>
        <w:t>-year period ending December 31, 201</w:t>
      </w:r>
      <w:r w:rsidR="00FC58C3">
        <w:rPr>
          <w:rFonts w:ascii="Times New Roman" w:hAnsi="Times New Roman" w:cs="Times New Roman"/>
        </w:rPr>
        <w:t>6</w:t>
      </w:r>
      <w:r w:rsidRPr="004D38B9">
        <w:rPr>
          <w:rFonts w:ascii="Times New Roman" w:hAnsi="Times New Roman" w:cs="Times New Roman"/>
        </w:rPr>
        <w:t>.  Avista needs adequate cash flow from operations to fund these requirements, together with access to capital from external sources under reasonable terms.</w:t>
      </w:r>
    </w:p>
    <w:p w:rsidR="00CD311A" w:rsidRDefault="00C50C02" w:rsidP="0051339F">
      <w:pPr>
        <w:pStyle w:val="BodyText2"/>
        <w:tabs>
          <w:tab w:val="clear" w:pos="720"/>
        </w:tabs>
        <w:spacing w:before="0" w:after="0"/>
        <w:ind w:left="0" w:right="14" w:firstLine="720"/>
        <w:rPr>
          <w:rFonts w:ascii="Times New Roman" w:hAnsi="Times New Roman" w:cs="Times New Roman"/>
        </w:rPr>
      </w:pPr>
      <w:r w:rsidRPr="004E2197">
        <w:rPr>
          <w:rFonts w:ascii="Times New Roman" w:hAnsi="Times New Roman" w:cs="Times New Roman"/>
        </w:rPr>
        <w:t xml:space="preserve">Total </w:t>
      </w:r>
      <w:r w:rsidR="000312B5">
        <w:rPr>
          <w:rFonts w:ascii="Times New Roman" w:hAnsi="Times New Roman" w:cs="Times New Roman"/>
        </w:rPr>
        <w:t>C</w:t>
      </w:r>
      <w:r w:rsidR="005B03EE" w:rsidRPr="0065165D">
        <w:rPr>
          <w:rFonts w:ascii="Times New Roman" w:hAnsi="Times New Roman" w:cs="Times New Roman"/>
        </w:rPr>
        <w:t xml:space="preserve">ompany </w:t>
      </w:r>
      <w:r w:rsidR="0065165D" w:rsidRPr="0065165D">
        <w:rPr>
          <w:rFonts w:ascii="Times New Roman" w:hAnsi="Times New Roman" w:cs="Times New Roman"/>
        </w:rPr>
        <w:t>rate base</w:t>
      </w:r>
      <w:r w:rsidRPr="0065165D">
        <w:rPr>
          <w:rFonts w:ascii="Times New Roman" w:hAnsi="Times New Roman" w:cs="Times New Roman"/>
        </w:rPr>
        <w:t xml:space="preserve"> </w:t>
      </w:r>
      <w:r w:rsidR="005B7801" w:rsidRPr="004150D5">
        <w:rPr>
          <w:rFonts w:ascii="Times New Roman" w:hAnsi="Times New Roman" w:cs="Times New Roman"/>
        </w:rPr>
        <w:t>as of</w:t>
      </w:r>
      <w:r w:rsidR="00047455">
        <w:rPr>
          <w:rFonts w:ascii="Times New Roman" w:hAnsi="Times New Roman" w:cs="Times New Roman"/>
        </w:rPr>
        <w:t xml:space="preserve"> </w:t>
      </w:r>
      <w:r w:rsidR="008D7C77" w:rsidRPr="008D7C77">
        <w:rPr>
          <w:rFonts w:ascii="Times New Roman" w:hAnsi="Times New Roman" w:cs="Times New Roman"/>
        </w:rPr>
        <w:t>December 31, 2011, was $2.2 billion</w:t>
      </w:r>
      <w:r w:rsidRPr="004150D5">
        <w:rPr>
          <w:rFonts w:ascii="Times New Roman" w:hAnsi="Times New Roman" w:cs="Times New Roman"/>
        </w:rPr>
        <w:t>;</w:t>
      </w:r>
      <w:r w:rsidRPr="004E2197">
        <w:rPr>
          <w:rFonts w:ascii="Times New Roman" w:hAnsi="Times New Roman" w:cs="Times New Roman"/>
        </w:rPr>
        <w:t xml:space="preserve"> </w:t>
      </w:r>
      <w:r w:rsidRPr="006429C8">
        <w:rPr>
          <w:rFonts w:ascii="Times New Roman" w:hAnsi="Times New Roman" w:cs="Times New Roman"/>
        </w:rPr>
        <w:t>therefore, these planned capital additions represent substantial new investments given the</w:t>
      </w:r>
      <w:r w:rsidR="00B3794B">
        <w:rPr>
          <w:rFonts w:ascii="Times New Roman" w:hAnsi="Times New Roman" w:cs="Times New Roman"/>
        </w:rPr>
        <w:t xml:space="preserve"> relative size of the Company</w:t>
      </w:r>
      <w:r w:rsidR="00FA6B51">
        <w:rPr>
          <w:rFonts w:ascii="Times New Roman" w:hAnsi="Times New Roman" w:cs="Times New Roman"/>
        </w:rPr>
        <w:t>. Failure to timely recover these costs will</w:t>
      </w:r>
      <w:r w:rsidR="00457682">
        <w:rPr>
          <w:rFonts w:ascii="Times New Roman" w:hAnsi="Times New Roman" w:cs="Times New Roman"/>
        </w:rPr>
        <w:t xml:space="preserve"> create r</w:t>
      </w:r>
      <w:r w:rsidR="0023706B">
        <w:rPr>
          <w:rFonts w:ascii="Times New Roman" w:hAnsi="Times New Roman" w:cs="Times New Roman"/>
        </w:rPr>
        <w:t>egulatory</w:t>
      </w:r>
      <w:r w:rsidR="00457682">
        <w:rPr>
          <w:rFonts w:ascii="Times New Roman" w:hAnsi="Times New Roman" w:cs="Times New Roman"/>
        </w:rPr>
        <w:t xml:space="preserve"> lag for the Company’s investors</w:t>
      </w:r>
      <w:r w:rsidR="000312B5">
        <w:rPr>
          <w:rFonts w:ascii="Times New Roman" w:hAnsi="Times New Roman" w:cs="Times New Roman"/>
        </w:rPr>
        <w:t>,</w:t>
      </w:r>
      <w:r w:rsidR="00457682">
        <w:rPr>
          <w:rFonts w:ascii="Times New Roman" w:hAnsi="Times New Roman" w:cs="Times New Roman"/>
        </w:rPr>
        <w:t xml:space="preserve"> </w:t>
      </w:r>
      <w:r w:rsidR="00AD17D9">
        <w:rPr>
          <w:rFonts w:ascii="Times New Roman" w:hAnsi="Times New Roman" w:cs="Times New Roman"/>
        </w:rPr>
        <w:t xml:space="preserve">and </w:t>
      </w:r>
      <w:r w:rsidR="00457682">
        <w:rPr>
          <w:rFonts w:ascii="Times New Roman" w:hAnsi="Times New Roman" w:cs="Times New Roman"/>
        </w:rPr>
        <w:t xml:space="preserve">weaken the Company’s credit </w:t>
      </w:r>
      <w:r w:rsidR="00D531B4">
        <w:rPr>
          <w:rFonts w:ascii="Times New Roman" w:hAnsi="Times New Roman" w:cs="Times New Roman"/>
        </w:rPr>
        <w:t>metrics with rating agencies</w:t>
      </w:r>
      <w:r w:rsidR="00457682">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r>
      <w:r w:rsidR="00FA6B51">
        <w:rPr>
          <w:rFonts w:ascii="Times New Roman" w:hAnsi="Times New Roman" w:cs="Times New Roman"/>
          <w:b/>
          <w:bCs/>
        </w:rPr>
        <w:t>W</w:t>
      </w:r>
      <w:r w:rsidRPr="00C50C02">
        <w:rPr>
          <w:rFonts w:ascii="Times New Roman" w:hAnsi="Times New Roman" w:cs="Times New Roman"/>
          <w:b/>
          <w:bCs/>
        </w:rPr>
        <w:t>hat are the Company’s near-term plans related to its debt?</w:t>
      </w:r>
    </w:p>
    <w:p w:rsidR="00457682" w:rsidRPr="00457682" w:rsidRDefault="00C50C02" w:rsidP="0051339F">
      <w:pPr>
        <w:pStyle w:val="BodyText2"/>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172F49">
        <w:rPr>
          <w:rFonts w:ascii="Times New Roman" w:hAnsi="Times New Roman" w:cs="Times New Roman"/>
        </w:rPr>
        <w:t>The Company finances it</w:t>
      </w:r>
      <w:r w:rsidR="00AD17D9">
        <w:rPr>
          <w:rFonts w:ascii="Times New Roman" w:hAnsi="Times New Roman" w:cs="Times New Roman"/>
        </w:rPr>
        <w:t>s</w:t>
      </w:r>
      <w:r w:rsidR="00172F49">
        <w:rPr>
          <w:rFonts w:ascii="Times New Roman" w:hAnsi="Times New Roman" w:cs="Times New Roman"/>
        </w:rPr>
        <w:t xml:space="preserve"> rate base assets with long term debt and equity</w:t>
      </w:r>
      <w:r w:rsidR="00457682" w:rsidRPr="00457682">
        <w:rPr>
          <w:rFonts w:ascii="Times New Roman" w:hAnsi="Times New Roman" w:cs="Times New Roman"/>
        </w:rPr>
        <w:t>. As such, from</w:t>
      </w:r>
      <w:r w:rsidR="00457682">
        <w:rPr>
          <w:rFonts w:ascii="Times New Roman" w:hAnsi="Times New Roman" w:cs="Times New Roman"/>
        </w:rPr>
        <w:t xml:space="preserve"> </w:t>
      </w:r>
      <w:r w:rsidR="00457682" w:rsidRPr="00457682">
        <w:rPr>
          <w:rFonts w:ascii="Times New Roman" w:hAnsi="Times New Roman" w:cs="Times New Roman"/>
        </w:rPr>
        <w:t xml:space="preserve">time to time, we </w:t>
      </w:r>
      <w:r w:rsidR="00AD17D9">
        <w:rPr>
          <w:rFonts w:ascii="Times New Roman" w:hAnsi="Times New Roman" w:cs="Times New Roman"/>
        </w:rPr>
        <w:t xml:space="preserve">need </w:t>
      </w:r>
      <w:r w:rsidR="00457682" w:rsidRPr="00457682">
        <w:rPr>
          <w:rFonts w:ascii="Times New Roman" w:hAnsi="Times New Roman" w:cs="Times New Roman"/>
        </w:rPr>
        <w:t xml:space="preserve">to access long-term capital markets in order to </w:t>
      </w:r>
      <w:r w:rsidR="00172F49">
        <w:rPr>
          <w:rFonts w:ascii="Times New Roman" w:hAnsi="Times New Roman" w:cs="Times New Roman"/>
        </w:rPr>
        <w:t xml:space="preserve">finance these long-term assets </w:t>
      </w:r>
      <w:r w:rsidR="00457682" w:rsidRPr="00457682">
        <w:rPr>
          <w:rFonts w:ascii="Times New Roman" w:hAnsi="Times New Roman" w:cs="Times New Roman"/>
        </w:rPr>
        <w:t>as well</w:t>
      </w:r>
      <w:r w:rsidR="00457682">
        <w:rPr>
          <w:rFonts w:ascii="Times New Roman" w:hAnsi="Times New Roman" w:cs="Times New Roman"/>
        </w:rPr>
        <w:t xml:space="preserve"> as fund maturing debt.</w:t>
      </w:r>
    </w:p>
    <w:p w:rsidR="002D4EFA" w:rsidRDefault="007D59DE" w:rsidP="0051339F">
      <w:pPr>
        <w:pStyle w:val="BodyText2"/>
        <w:tabs>
          <w:tab w:val="clear" w:pos="720"/>
        </w:tabs>
        <w:spacing w:before="0" w:after="0"/>
        <w:ind w:left="0" w:right="14" w:firstLine="720"/>
        <w:rPr>
          <w:rFonts w:ascii="Times New Roman" w:hAnsi="Times New Roman" w:cs="Times New Roman"/>
        </w:rPr>
      </w:pPr>
      <w:r w:rsidRPr="00B665F6">
        <w:rPr>
          <w:rFonts w:ascii="Times New Roman" w:hAnsi="Times New Roman" w:cs="Times New Roman"/>
        </w:rPr>
        <w:t>In 201</w:t>
      </w:r>
      <w:r w:rsidR="00172F49">
        <w:rPr>
          <w:rFonts w:ascii="Times New Roman" w:hAnsi="Times New Roman" w:cs="Times New Roman"/>
        </w:rPr>
        <w:t>2,</w:t>
      </w:r>
      <w:r w:rsidRPr="00B665F6">
        <w:rPr>
          <w:rFonts w:ascii="Times New Roman" w:hAnsi="Times New Roman" w:cs="Times New Roman"/>
        </w:rPr>
        <w:t xml:space="preserve"> t</w:t>
      </w:r>
      <w:r w:rsidR="00FC72DF" w:rsidRPr="00B665F6">
        <w:rPr>
          <w:rFonts w:ascii="Times New Roman" w:hAnsi="Times New Roman" w:cs="Times New Roman"/>
        </w:rPr>
        <w:t>he Company plan</w:t>
      </w:r>
      <w:r w:rsidRPr="00B665F6">
        <w:rPr>
          <w:rFonts w:ascii="Times New Roman" w:hAnsi="Times New Roman" w:cs="Times New Roman"/>
        </w:rPr>
        <w:t>s</w:t>
      </w:r>
      <w:r w:rsidR="001B6D92" w:rsidRPr="00B665F6">
        <w:rPr>
          <w:rFonts w:ascii="Times New Roman" w:hAnsi="Times New Roman" w:cs="Times New Roman"/>
        </w:rPr>
        <w:t xml:space="preserve"> </w:t>
      </w:r>
      <w:r w:rsidR="009A2A58">
        <w:rPr>
          <w:rFonts w:ascii="Times New Roman" w:hAnsi="Times New Roman" w:cs="Times New Roman"/>
        </w:rPr>
        <w:t>on</w:t>
      </w:r>
      <w:r w:rsidR="001B6D92" w:rsidRPr="00B665F6">
        <w:rPr>
          <w:rFonts w:ascii="Times New Roman" w:hAnsi="Times New Roman" w:cs="Times New Roman"/>
        </w:rPr>
        <w:t xml:space="preserve"> </w:t>
      </w:r>
      <w:r w:rsidR="00172F49">
        <w:rPr>
          <w:rFonts w:ascii="Times New Roman" w:hAnsi="Times New Roman" w:cs="Times New Roman"/>
        </w:rPr>
        <w:t>issuing $75</w:t>
      </w:r>
      <w:r w:rsidR="001B6D92" w:rsidRPr="00B665F6">
        <w:rPr>
          <w:rFonts w:ascii="Times New Roman" w:hAnsi="Times New Roman" w:cs="Times New Roman"/>
        </w:rPr>
        <w:t xml:space="preserve"> million</w:t>
      </w:r>
      <w:r w:rsidR="00AD17D9">
        <w:rPr>
          <w:rFonts w:ascii="Times New Roman" w:hAnsi="Times New Roman" w:cs="Times New Roman"/>
        </w:rPr>
        <w:t xml:space="preserve"> of</w:t>
      </w:r>
      <w:r w:rsidR="001B6D92" w:rsidRPr="00B665F6">
        <w:rPr>
          <w:rFonts w:ascii="Times New Roman" w:hAnsi="Times New Roman" w:cs="Times New Roman"/>
        </w:rPr>
        <w:t xml:space="preserve"> </w:t>
      </w:r>
      <w:r w:rsidR="00172F49">
        <w:rPr>
          <w:rFonts w:ascii="Times New Roman" w:hAnsi="Times New Roman" w:cs="Times New Roman"/>
        </w:rPr>
        <w:t xml:space="preserve">First Mortgage Bonds with </w:t>
      </w:r>
      <w:proofErr w:type="gramStart"/>
      <w:r w:rsidR="00AD17D9">
        <w:rPr>
          <w:rFonts w:ascii="Times New Roman" w:hAnsi="Times New Roman" w:cs="Times New Roman"/>
        </w:rPr>
        <w:t xml:space="preserve">a </w:t>
      </w:r>
      <w:r w:rsidR="00EA193D">
        <w:rPr>
          <w:rFonts w:ascii="Times New Roman" w:hAnsi="Times New Roman" w:cs="Times New Roman"/>
        </w:rPr>
        <w:t>tenure</w:t>
      </w:r>
      <w:proofErr w:type="gramEnd"/>
      <w:r w:rsidR="00172F49">
        <w:rPr>
          <w:rFonts w:ascii="Times New Roman" w:hAnsi="Times New Roman" w:cs="Times New Roman"/>
        </w:rPr>
        <w:t xml:space="preserve"> of 30 years</w:t>
      </w:r>
      <w:r w:rsidR="005D5546">
        <w:rPr>
          <w:rFonts w:ascii="Times New Roman" w:hAnsi="Times New Roman" w:cs="Times New Roman"/>
        </w:rPr>
        <w:t>.</w:t>
      </w:r>
      <w:r w:rsidR="00C50C02" w:rsidRPr="00C50C02">
        <w:rPr>
          <w:rFonts w:ascii="Times New Roman" w:hAnsi="Times New Roman" w:cs="Times New Roman"/>
        </w:rPr>
        <w:t xml:space="preserve">  Illustration No. </w:t>
      </w:r>
      <w:r w:rsidR="0091743C">
        <w:rPr>
          <w:rFonts w:ascii="Times New Roman" w:hAnsi="Times New Roman" w:cs="Times New Roman"/>
        </w:rPr>
        <w:t>6</w:t>
      </w:r>
      <w:r w:rsidR="00C50C02" w:rsidRPr="00C50C02">
        <w:rPr>
          <w:rFonts w:ascii="Times New Roman" w:hAnsi="Times New Roman" w:cs="Times New Roman"/>
        </w:rPr>
        <w:t xml:space="preserve"> below shows the amount of debt maturities for Avista each ye</w:t>
      </w:r>
      <w:r w:rsidR="000F6302">
        <w:rPr>
          <w:rFonts w:ascii="Times New Roman" w:hAnsi="Times New Roman" w:cs="Times New Roman"/>
        </w:rPr>
        <w:t>ar</w:t>
      </w:r>
      <w:r w:rsidR="00CC77D1">
        <w:rPr>
          <w:rFonts w:ascii="Times New Roman" w:hAnsi="Times New Roman" w:cs="Times New Roman"/>
        </w:rPr>
        <w:t xml:space="preserve"> including the maturity date </w:t>
      </w:r>
      <w:r w:rsidR="005C68A5">
        <w:rPr>
          <w:rFonts w:ascii="Times New Roman" w:hAnsi="Times New Roman" w:cs="Times New Roman"/>
        </w:rPr>
        <w:t xml:space="preserve">of forecasted </w:t>
      </w:r>
      <w:r w:rsidR="0023706B">
        <w:rPr>
          <w:rFonts w:ascii="Times New Roman" w:hAnsi="Times New Roman" w:cs="Times New Roman"/>
        </w:rPr>
        <w:t>l</w:t>
      </w:r>
      <w:r w:rsidR="005C68A5">
        <w:rPr>
          <w:rFonts w:ascii="Times New Roman" w:hAnsi="Times New Roman" w:cs="Times New Roman"/>
        </w:rPr>
        <w:t>ong-</w:t>
      </w:r>
      <w:r w:rsidR="0023706B">
        <w:rPr>
          <w:rFonts w:ascii="Times New Roman" w:hAnsi="Times New Roman" w:cs="Times New Roman"/>
        </w:rPr>
        <w:t xml:space="preserve">term debt </w:t>
      </w:r>
      <w:r w:rsidR="005C68A5">
        <w:rPr>
          <w:rFonts w:ascii="Times New Roman" w:hAnsi="Times New Roman" w:cs="Times New Roman"/>
        </w:rPr>
        <w:t>issuances</w:t>
      </w:r>
      <w:r w:rsidR="000F6302">
        <w:rPr>
          <w:rFonts w:ascii="Times New Roman" w:hAnsi="Times New Roman" w:cs="Times New Roman"/>
        </w:rPr>
        <w:t>:</w:t>
      </w:r>
    </w:p>
    <w:p w:rsidR="00B9069B" w:rsidRDefault="002D4EFA" w:rsidP="002D4EFA">
      <w:pPr>
        <w:autoSpaceDE/>
        <w:autoSpaceDN/>
      </w:pPr>
      <w:r>
        <w:br w:type="page"/>
      </w:r>
    </w:p>
    <w:p w:rsidR="00CA11C6" w:rsidRDefault="00D721F4" w:rsidP="007D066E">
      <w:pPr>
        <w:autoSpaceDE/>
        <w:autoSpaceDN/>
        <w:ind w:left="0" w:right="18"/>
      </w:pPr>
      <w:r w:rsidRPr="00C50C02">
        <w:rPr>
          <w:b/>
          <w:u w:val="single"/>
        </w:rPr>
        <w:lastRenderedPageBreak/>
        <w:t xml:space="preserve">Illustration No. </w:t>
      </w:r>
      <w:r w:rsidR="0091743C">
        <w:rPr>
          <w:b/>
          <w:u w:val="single"/>
        </w:rPr>
        <w:t>6</w:t>
      </w:r>
      <w:r w:rsidRPr="00C50C02">
        <w:rPr>
          <w:b/>
          <w:u w:val="single"/>
        </w:rPr>
        <w:t>:</w:t>
      </w:r>
    </w:p>
    <w:p w:rsidR="00D721F4" w:rsidRDefault="00EA193D" w:rsidP="002D4EFA">
      <w:pPr>
        <w:pStyle w:val="BodyText2"/>
        <w:tabs>
          <w:tab w:val="clear" w:pos="720"/>
        </w:tabs>
        <w:ind w:left="270" w:right="18"/>
        <w:rPr>
          <w:rFonts w:ascii="Times New Roman" w:hAnsi="Times New Roman" w:cs="Times New Roman"/>
          <w:b/>
          <w:u w:val="single"/>
        </w:rPr>
      </w:pPr>
      <w:r>
        <w:rPr>
          <w:noProof/>
        </w:rPr>
        <w:drawing>
          <wp:inline distT="0" distB="0" distL="0" distR="0">
            <wp:extent cx="5127108" cy="3123393"/>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130113" cy="3125224"/>
                    </a:xfrm>
                    <a:prstGeom prst="rect">
                      <a:avLst/>
                    </a:prstGeom>
                    <a:noFill/>
                    <a:ln w="9525">
                      <a:noFill/>
                      <a:miter lim="800000"/>
                      <a:headEnd/>
                      <a:tailEnd/>
                    </a:ln>
                  </pic:spPr>
                </pic:pic>
              </a:graphicData>
            </a:graphic>
          </wp:inline>
        </w:drawing>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proofErr w:type="gramStart"/>
      <w:r w:rsidRPr="00C50C02">
        <w:rPr>
          <w:rFonts w:ascii="Times New Roman" w:hAnsi="Times New Roman" w:cs="Times New Roman"/>
          <w:b/>
          <w:bCs/>
        </w:rPr>
        <w:t>Q.</w:t>
      </w:r>
      <w:r w:rsidRPr="00C50C02">
        <w:rPr>
          <w:rFonts w:ascii="Times New Roman" w:hAnsi="Times New Roman" w:cs="Times New Roman"/>
          <w:b/>
          <w:bCs/>
        </w:rPr>
        <w:tab/>
        <w:t xml:space="preserve">What is the status of the Company’s </w:t>
      </w:r>
      <w:r w:rsidR="00AA2A42">
        <w:rPr>
          <w:rFonts w:ascii="Times New Roman" w:hAnsi="Times New Roman" w:cs="Times New Roman"/>
          <w:b/>
          <w:bCs/>
        </w:rPr>
        <w:t xml:space="preserve">committed </w:t>
      </w:r>
      <w:r w:rsidRPr="00C50C02">
        <w:rPr>
          <w:rFonts w:ascii="Times New Roman" w:hAnsi="Times New Roman" w:cs="Times New Roman"/>
          <w:b/>
          <w:bCs/>
        </w:rPr>
        <w:t xml:space="preserve">line of credit </w:t>
      </w:r>
      <w:r w:rsidR="005D5546">
        <w:rPr>
          <w:rFonts w:ascii="Times New Roman" w:hAnsi="Times New Roman" w:cs="Times New Roman"/>
          <w:b/>
          <w:bCs/>
        </w:rPr>
        <w:t xml:space="preserve">agreement </w:t>
      </w:r>
      <w:r w:rsidRPr="00C50C02">
        <w:rPr>
          <w:rFonts w:ascii="Times New Roman" w:hAnsi="Times New Roman" w:cs="Times New Roman"/>
          <w:b/>
          <w:bCs/>
        </w:rPr>
        <w:t>secured by first mortgage bonds?</w:t>
      </w:r>
      <w:proofErr w:type="gramEnd"/>
    </w:p>
    <w:p w:rsidR="00112576" w:rsidRDefault="00C50C02" w:rsidP="0051339F">
      <w:pPr>
        <w:spacing w:before="0" w:after="0" w:line="480" w:lineRule="auto"/>
        <w:ind w:left="0" w:right="14"/>
      </w:pPr>
      <w:r w:rsidRPr="00C50C02">
        <w:t>A.</w:t>
      </w:r>
      <w:r w:rsidRPr="00C50C02">
        <w:tab/>
      </w:r>
      <w:r w:rsidR="00C90EE1">
        <w:t>I</w:t>
      </w:r>
      <w:r w:rsidR="00B876BC">
        <w:t>n February 2011</w:t>
      </w:r>
      <w:r w:rsidR="00250404">
        <w:t>,</w:t>
      </w:r>
      <w:r w:rsidR="002006C4" w:rsidRPr="002006C4">
        <w:t xml:space="preserve"> Avista entered into a four</w:t>
      </w:r>
      <w:r w:rsidR="002006C4">
        <w:t>-year committed line of credit</w:t>
      </w:r>
      <w:r w:rsidR="002006C4" w:rsidRPr="002006C4">
        <w:t xml:space="preserve"> in the amount of $400 million with an expiration date of February 2015. This committed line of credit replaced the $320 million and $75 million committed line of credit agreements that had an expiration date of April 2011.</w:t>
      </w:r>
      <w:r w:rsidR="002006C4">
        <w:t xml:space="preserve"> </w:t>
      </w:r>
      <w:r w:rsidR="002006C4" w:rsidRPr="002006C4">
        <w:t xml:space="preserve">The </w:t>
      </w:r>
      <w:r w:rsidR="005D5546">
        <w:t xml:space="preserve">new </w:t>
      </w:r>
      <w:r w:rsidR="002006C4" w:rsidRPr="002006C4">
        <w:t>committed line of credit is secured by $400 million of non-transferable First Mortgage Bonds of the Company</w:t>
      </w:r>
      <w:r w:rsidR="002006C4">
        <w:t>.</w:t>
      </w:r>
      <w:r w:rsidR="00112576">
        <w:t xml:space="preserve"> As noted above, </w:t>
      </w:r>
      <w:r w:rsidR="00AD17D9">
        <w:t xml:space="preserve">in </w:t>
      </w:r>
      <w:r w:rsidR="00902F0A">
        <w:t>December 2011, the Company a</w:t>
      </w:r>
      <w:r w:rsidR="00AA2A42">
        <w:t xml:space="preserve">mended the $400 million committed line of credit to extend the expiration date to February 10, 2017 from February 11, 2015 and </w:t>
      </w:r>
      <w:r w:rsidR="009404BC">
        <w:t xml:space="preserve">improved </w:t>
      </w:r>
      <w:r w:rsidR="00902F0A">
        <w:t xml:space="preserve">the </w:t>
      </w:r>
      <w:r w:rsidR="00AA2A42">
        <w:t xml:space="preserve">pricing terms. </w:t>
      </w:r>
    </w:p>
    <w:p w:rsidR="00F518A2" w:rsidRDefault="00C50C02" w:rsidP="0051339F">
      <w:pPr>
        <w:spacing w:before="0" w:after="0" w:line="480" w:lineRule="auto"/>
        <w:ind w:left="0" w:right="14" w:firstLine="720"/>
      </w:pPr>
      <w:r w:rsidRPr="00F14325">
        <w:t>The facilit</w:t>
      </w:r>
      <w:r w:rsidR="008C7B78">
        <w:t>y</w:t>
      </w:r>
      <w:r w:rsidRPr="00F14325">
        <w:t xml:space="preserve"> </w:t>
      </w:r>
      <w:r w:rsidR="00C90EE1" w:rsidRPr="00F14325">
        <w:t>ha</w:t>
      </w:r>
      <w:r w:rsidR="00C90EE1">
        <w:t>s</w:t>
      </w:r>
      <w:r w:rsidR="00C90EE1" w:rsidRPr="00F14325">
        <w:t xml:space="preserve"> </w:t>
      </w:r>
      <w:r w:rsidRPr="00F14325">
        <w:t>been sized to allow the Company to maintain a</w:t>
      </w:r>
      <w:r w:rsidR="00905EB8" w:rsidRPr="00F14325">
        <w:t>dequate</w:t>
      </w:r>
      <w:r w:rsidR="00F670D1" w:rsidRPr="00F14325">
        <w:t xml:space="preserve"> </w:t>
      </w:r>
      <w:r w:rsidRPr="00F14325">
        <w:t>liquidity to cover</w:t>
      </w:r>
      <w:r w:rsidR="00F670D1" w:rsidRPr="00F14325">
        <w:t xml:space="preserve"> </w:t>
      </w:r>
      <w:r w:rsidR="00B876BC">
        <w:t>daily cash needs</w:t>
      </w:r>
      <w:r w:rsidRPr="00F14325">
        <w:t xml:space="preserve">, </w:t>
      </w:r>
      <w:r w:rsidR="00143945">
        <w:t xml:space="preserve">manage </w:t>
      </w:r>
      <w:r w:rsidRPr="00F14325">
        <w:t xml:space="preserve">counterparty collateral requirements, and avoid issuing </w:t>
      </w:r>
      <w:r w:rsidR="00905EB8" w:rsidRPr="00F14325">
        <w:t>securities</w:t>
      </w:r>
      <w:r w:rsidRPr="00F14325">
        <w:t xml:space="preserve"> in unfavorable market</w:t>
      </w:r>
      <w:r w:rsidR="00905EB8" w:rsidRPr="00F14325">
        <w:t>s</w:t>
      </w:r>
      <w:r w:rsidRPr="00F14325">
        <w:t xml:space="preserve">. </w:t>
      </w:r>
      <w:r w:rsidR="001D32BA" w:rsidRPr="00F14325">
        <w:t>We believe</w:t>
      </w:r>
      <w:r w:rsidR="001D32BA">
        <w:t xml:space="preserve"> o</w:t>
      </w:r>
      <w:r w:rsidRPr="00C50C02">
        <w:t xml:space="preserve">ur </w:t>
      </w:r>
      <w:r w:rsidR="001D32BA">
        <w:t>current</w:t>
      </w:r>
      <w:r w:rsidR="00400564">
        <w:t xml:space="preserve"> agreement provide</w:t>
      </w:r>
      <w:r w:rsidR="00C90EE1">
        <w:t>s</w:t>
      </w:r>
      <w:r w:rsidR="00400564">
        <w:t xml:space="preserve"> us adequate</w:t>
      </w:r>
      <w:r w:rsidR="001D32BA">
        <w:t xml:space="preserve"> </w:t>
      </w:r>
      <w:r w:rsidRPr="00C50C02">
        <w:lastRenderedPageBreak/>
        <w:t xml:space="preserve">liquidity </w:t>
      </w:r>
      <w:r w:rsidR="00D17388">
        <w:t xml:space="preserve">to manage our daily cash flow needs </w:t>
      </w:r>
      <w:r w:rsidR="00400564">
        <w:t>and</w:t>
      </w:r>
      <w:r w:rsidR="00D17388">
        <w:t xml:space="preserve"> provides the Company </w:t>
      </w:r>
      <w:r w:rsidRPr="00C50C02">
        <w:t xml:space="preserve">flexibility </w:t>
      </w:r>
      <w:r w:rsidR="001D32BA">
        <w:t>to</w:t>
      </w:r>
      <w:r w:rsidRPr="00C50C02">
        <w:t xml:space="preserve"> fac</w:t>
      </w:r>
      <w:r w:rsidR="001D32BA">
        <w:t>e</w:t>
      </w:r>
      <w:r w:rsidRPr="00C50C02">
        <w:t xml:space="preserve"> volatile financial markets and volatile energy commodity prices.  </w:t>
      </w:r>
    </w:p>
    <w:p w:rsidR="00860F07" w:rsidRPr="00860F07" w:rsidRDefault="00860F07" w:rsidP="0051339F">
      <w:pPr>
        <w:pStyle w:val="BodyText2"/>
        <w:tabs>
          <w:tab w:val="clear" w:pos="720"/>
        </w:tabs>
        <w:spacing w:before="0" w:after="0"/>
        <w:ind w:left="0" w:right="18" w:firstLine="720"/>
        <w:rPr>
          <w:rFonts w:ascii="Times New Roman" w:hAnsi="Times New Roman" w:cs="Times New Roman"/>
          <w:b/>
          <w:bCs/>
        </w:rPr>
      </w:pPr>
      <w:bookmarkStart w:id="9" w:name="OLE_LINK5"/>
      <w:bookmarkStart w:id="10" w:name="OLE_LINK6"/>
      <w:proofErr w:type="gramStart"/>
      <w:r w:rsidRPr="00860F07">
        <w:rPr>
          <w:rFonts w:ascii="Times New Roman" w:hAnsi="Times New Roman" w:cs="Times New Roman"/>
          <w:b/>
          <w:bCs/>
        </w:rPr>
        <w:t>Q.</w:t>
      </w:r>
      <w:r w:rsidR="00B876BC">
        <w:rPr>
          <w:rFonts w:ascii="Times New Roman" w:hAnsi="Times New Roman" w:cs="Times New Roman"/>
          <w:b/>
          <w:bCs/>
        </w:rPr>
        <w:tab/>
      </w:r>
      <w:r w:rsidRPr="00860F07">
        <w:rPr>
          <w:rFonts w:ascii="Times New Roman" w:hAnsi="Times New Roman" w:cs="Times New Roman"/>
          <w:b/>
          <w:bCs/>
        </w:rPr>
        <w:t>Is there pending legislation that may impact the Company’s collateral requirements?</w:t>
      </w:r>
      <w:proofErr w:type="gramEnd"/>
    </w:p>
    <w:p w:rsidR="00AA2A42" w:rsidRPr="00AA2A42" w:rsidRDefault="00860F07" w:rsidP="0051339F">
      <w:pPr>
        <w:pStyle w:val="BodyText2"/>
        <w:spacing w:before="0" w:after="0"/>
        <w:ind w:left="0" w:right="18" w:firstLine="720"/>
        <w:rPr>
          <w:rFonts w:ascii="Times New Roman" w:hAnsi="Times New Roman" w:cs="Times New Roman"/>
          <w:bCs/>
        </w:rPr>
      </w:pPr>
      <w:r w:rsidRPr="00860F07">
        <w:rPr>
          <w:rFonts w:ascii="Times New Roman" w:hAnsi="Times New Roman" w:cs="Times New Roman"/>
          <w:bCs/>
        </w:rPr>
        <w:t>A.</w:t>
      </w:r>
      <w:r w:rsidR="00B876BC">
        <w:rPr>
          <w:rFonts w:ascii="Times New Roman" w:hAnsi="Times New Roman" w:cs="Times New Roman"/>
          <w:bCs/>
        </w:rPr>
        <w:tab/>
      </w:r>
      <w:r w:rsidRPr="00860F07">
        <w:rPr>
          <w:rFonts w:ascii="Times New Roman" w:hAnsi="Times New Roman" w:cs="Times New Roman"/>
          <w:bCs/>
        </w:rPr>
        <w:t xml:space="preserve">Yes.  </w:t>
      </w:r>
      <w:r w:rsidR="00AA2A42" w:rsidRPr="00AA2A42">
        <w:rPr>
          <w:rFonts w:ascii="Times New Roman" w:hAnsi="Times New Roman" w:cs="Times New Roman"/>
          <w:bCs/>
        </w:rPr>
        <w:t>The Dodd-Frank Wall Street Reform and Consumer Protection Act (Dodd-Frank Act) was enacted into law in July 2010. The Dodd-Frank Act establishes regulatory jurisdiction by the Commodity Futures Trading Commission (CFTC) and the Securities and</w:t>
      </w:r>
      <w:r w:rsidR="00AA2A42">
        <w:rPr>
          <w:rFonts w:ascii="Times New Roman" w:hAnsi="Times New Roman" w:cs="Times New Roman"/>
          <w:bCs/>
        </w:rPr>
        <w:t xml:space="preserve"> </w:t>
      </w:r>
      <w:r w:rsidR="00AA2A42" w:rsidRPr="00AA2A42">
        <w:rPr>
          <w:rFonts w:ascii="Times New Roman" w:hAnsi="Times New Roman" w:cs="Times New Roman"/>
          <w:bCs/>
        </w:rPr>
        <w:t xml:space="preserve">Exchange Commission (SEC) for certain swaps (which include a variety of derivative instruments) and the users of such </w:t>
      </w:r>
      <w:r w:rsidR="00EA193D" w:rsidRPr="00AA2A42">
        <w:rPr>
          <w:rFonts w:ascii="Times New Roman" w:hAnsi="Times New Roman" w:cs="Times New Roman"/>
          <w:bCs/>
        </w:rPr>
        <w:t>swaps that</w:t>
      </w:r>
      <w:r w:rsidR="00AA2A42">
        <w:rPr>
          <w:rFonts w:ascii="Times New Roman" w:hAnsi="Times New Roman" w:cs="Times New Roman"/>
          <w:bCs/>
        </w:rPr>
        <w:t xml:space="preserve"> </w:t>
      </w:r>
      <w:r w:rsidR="00AA2A42" w:rsidRPr="00AA2A42">
        <w:rPr>
          <w:rFonts w:ascii="Times New Roman" w:hAnsi="Times New Roman" w:cs="Times New Roman"/>
          <w:bCs/>
        </w:rPr>
        <w:t>previously had been largely exempted from regulation.</w:t>
      </w:r>
    </w:p>
    <w:p w:rsidR="00AA2A42" w:rsidRDefault="00AA2A42" w:rsidP="0051339F">
      <w:pPr>
        <w:pStyle w:val="BodyText2"/>
        <w:spacing w:before="0" w:after="0"/>
        <w:ind w:left="0" w:right="18" w:firstLine="720"/>
        <w:rPr>
          <w:rFonts w:ascii="Times New Roman" w:hAnsi="Times New Roman" w:cs="Times New Roman"/>
          <w:bCs/>
        </w:rPr>
      </w:pPr>
      <w:r w:rsidRPr="00AA2A42">
        <w:rPr>
          <w:rFonts w:ascii="Times New Roman" w:hAnsi="Times New Roman" w:cs="Times New Roman"/>
          <w:bCs/>
        </w:rPr>
        <w:t>A variety of rules must be adopted by federal agencies (including the CFTC, SEC and the FERC) to implement the Dodd-Frank Act.</w:t>
      </w:r>
      <w:r>
        <w:rPr>
          <w:rFonts w:ascii="Times New Roman" w:hAnsi="Times New Roman" w:cs="Times New Roman"/>
          <w:bCs/>
        </w:rPr>
        <w:t xml:space="preserve"> </w:t>
      </w:r>
      <w:r w:rsidRPr="00AA2A42">
        <w:rPr>
          <w:rFonts w:ascii="Times New Roman" w:hAnsi="Times New Roman" w:cs="Times New Roman"/>
          <w:bCs/>
        </w:rPr>
        <w:t>These rules being developed and implemented will clarify the impact of the Dodd-Frank Act on Avista Corp., which may be</w:t>
      </w:r>
      <w:r>
        <w:rPr>
          <w:rFonts w:ascii="Times New Roman" w:hAnsi="Times New Roman" w:cs="Times New Roman"/>
          <w:bCs/>
        </w:rPr>
        <w:t xml:space="preserve"> </w:t>
      </w:r>
      <w:r w:rsidRPr="00AA2A42">
        <w:rPr>
          <w:rFonts w:ascii="Times New Roman" w:hAnsi="Times New Roman" w:cs="Times New Roman"/>
          <w:bCs/>
        </w:rPr>
        <w:t>significant.</w:t>
      </w:r>
    </w:p>
    <w:p w:rsidR="00AA2A42" w:rsidRPr="00AA2A42" w:rsidRDefault="00AA2A42" w:rsidP="0051339F">
      <w:pPr>
        <w:pStyle w:val="BodyText2"/>
        <w:spacing w:before="0" w:after="0"/>
        <w:ind w:left="0" w:right="14" w:firstLine="720"/>
        <w:rPr>
          <w:rFonts w:ascii="Times New Roman" w:hAnsi="Times New Roman" w:cs="Times New Roman"/>
          <w:bCs/>
        </w:rPr>
      </w:pPr>
      <w:r w:rsidRPr="00AA2A42">
        <w:rPr>
          <w:rFonts w:ascii="Times New Roman" w:hAnsi="Times New Roman" w:cs="Times New Roman"/>
          <w:bCs/>
        </w:rPr>
        <w:t>Under the Dodd-Frank Act, “Swap Dealers” and “Major Swap Participants” generally will be required to collect minimum initial and variation</w:t>
      </w:r>
      <w:r w:rsidR="001E147E">
        <w:rPr>
          <w:rFonts w:ascii="Times New Roman" w:hAnsi="Times New Roman" w:cs="Times New Roman"/>
          <w:bCs/>
        </w:rPr>
        <w:t xml:space="preserve"> </w:t>
      </w:r>
      <w:r w:rsidRPr="00AA2A42">
        <w:rPr>
          <w:rFonts w:ascii="Times New Roman" w:hAnsi="Times New Roman" w:cs="Times New Roman"/>
          <w:bCs/>
        </w:rPr>
        <w:t>margin from their counterparties for non-cleared swaps. However the requirement varies with the type of counterparty and the regulator of the</w:t>
      </w:r>
      <w:r w:rsidR="001E147E">
        <w:rPr>
          <w:rFonts w:ascii="Times New Roman" w:hAnsi="Times New Roman" w:cs="Times New Roman"/>
          <w:bCs/>
        </w:rPr>
        <w:t xml:space="preserve"> </w:t>
      </w:r>
      <w:r w:rsidRPr="00AA2A42">
        <w:rPr>
          <w:rFonts w:ascii="Times New Roman" w:hAnsi="Times New Roman" w:cs="Times New Roman"/>
          <w:bCs/>
        </w:rPr>
        <w:t>“Major Swap Participant” or “Swap Dealer.” Avista Corp. should be categorized as a counterparty that is a non-financial end user for the purposes</w:t>
      </w:r>
      <w:r w:rsidR="001E147E">
        <w:rPr>
          <w:rFonts w:ascii="Times New Roman" w:hAnsi="Times New Roman" w:cs="Times New Roman"/>
          <w:bCs/>
        </w:rPr>
        <w:t xml:space="preserve"> </w:t>
      </w:r>
      <w:r w:rsidRPr="00AA2A42">
        <w:rPr>
          <w:rFonts w:ascii="Times New Roman" w:hAnsi="Times New Roman" w:cs="Times New Roman"/>
          <w:bCs/>
        </w:rPr>
        <w:t>of Dodd-Frank, i.e., as a non-financial entity that engages in derivatives to hedge commercial risk. Under a proposed rule issued by the CFTC,</w:t>
      </w:r>
      <w:r w:rsidR="001E147E">
        <w:rPr>
          <w:rFonts w:ascii="Times New Roman" w:hAnsi="Times New Roman" w:cs="Times New Roman"/>
          <w:bCs/>
        </w:rPr>
        <w:t xml:space="preserve"> </w:t>
      </w:r>
      <w:r w:rsidRPr="00AA2A42">
        <w:rPr>
          <w:rFonts w:ascii="Times New Roman" w:hAnsi="Times New Roman" w:cs="Times New Roman"/>
          <w:bCs/>
        </w:rPr>
        <w:t>swap dealers and major swap participants subject to regulation by the CFTC would not be required to collect initial or variation margin from</w:t>
      </w:r>
      <w:r w:rsidR="001E147E">
        <w:rPr>
          <w:rFonts w:ascii="Times New Roman" w:hAnsi="Times New Roman" w:cs="Times New Roman"/>
          <w:bCs/>
        </w:rPr>
        <w:t xml:space="preserve"> </w:t>
      </w:r>
      <w:r w:rsidRPr="00AA2A42">
        <w:rPr>
          <w:rFonts w:ascii="Times New Roman" w:hAnsi="Times New Roman" w:cs="Times New Roman"/>
          <w:bCs/>
        </w:rPr>
        <w:t xml:space="preserve">counterparties that are non-financial end users. The SEC has not yet </w:t>
      </w:r>
      <w:r w:rsidRPr="00AA2A42">
        <w:rPr>
          <w:rFonts w:ascii="Times New Roman" w:hAnsi="Times New Roman" w:cs="Times New Roman"/>
          <w:bCs/>
        </w:rPr>
        <w:lastRenderedPageBreak/>
        <w:t>issued a proposed rule with respect to security-based swap dealers or security</w:t>
      </w:r>
      <w:r w:rsidR="001E147E">
        <w:rPr>
          <w:rFonts w:ascii="Times New Roman" w:hAnsi="Times New Roman" w:cs="Times New Roman"/>
          <w:bCs/>
        </w:rPr>
        <w:t xml:space="preserve"> </w:t>
      </w:r>
      <w:r w:rsidRPr="00AA2A42">
        <w:rPr>
          <w:rFonts w:ascii="Times New Roman" w:hAnsi="Times New Roman" w:cs="Times New Roman"/>
          <w:bCs/>
        </w:rPr>
        <w:t>based</w:t>
      </w:r>
      <w:r w:rsidR="001E147E">
        <w:rPr>
          <w:rFonts w:ascii="Times New Roman" w:hAnsi="Times New Roman" w:cs="Times New Roman"/>
          <w:bCs/>
        </w:rPr>
        <w:t xml:space="preserve"> </w:t>
      </w:r>
      <w:r w:rsidRPr="00AA2A42">
        <w:rPr>
          <w:rFonts w:ascii="Times New Roman" w:hAnsi="Times New Roman" w:cs="Times New Roman"/>
          <w:bCs/>
        </w:rPr>
        <w:t>major swap participants. However, notwithstanding levels of margin required by regulation (or the lack thereof), concern remains that swap</w:t>
      </w:r>
      <w:r w:rsidR="001E147E">
        <w:rPr>
          <w:rFonts w:ascii="Times New Roman" w:hAnsi="Times New Roman" w:cs="Times New Roman"/>
          <w:bCs/>
        </w:rPr>
        <w:t xml:space="preserve"> </w:t>
      </w:r>
      <w:r w:rsidRPr="00AA2A42">
        <w:rPr>
          <w:rFonts w:ascii="Times New Roman" w:hAnsi="Times New Roman" w:cs="Times New Roman"/>
          <w:bCs/>
        </w:rPr>
        <w:t>dealer and major swap participant counterparties will pass along their increased capital and interdealer margin costs through higher prices and</w:t>
      </w:r>
      <w:r w:rsidR="001E147E">
        <w:rPr>
          <w:rFonts w:ascii="Times New Roman" w:hAnsi="Times New Roman" w:cs="Times New Roman"/>
          <w:bCs/>
        </w:rPr>
        <w:t xml:space="preserve"> </w:t>
      </w:r>
      <w:r w:rsidRPr="00AA2A42">
        <w:rPr>
          <w:rFonts w:ascii="Times New Roman" w:hAnsi="Times New Roman" w:cs="Times New Roman"/>
          <w:bCs/>
        </w:rPr>
        <w:t>reductions in thresholds for posting.</w:t>
      </w:r>
    </w:p>
    <w:p w:rsidR="00AA2A42" w:rsidRPr="00AA2A42" w:rsidRDefault="00AA2A42" w:rsidP="0051339F">
      <w:pPr>
        <w:pStyle w:val="BodyText2"/>
        <w:spacing w:before="0" w:after="0"/>
        <w:ind w:left="0" w:right="14" w:firstLine="720"/>
        <w:rPr>
          <w:rFonts w:ascii="Times New Roman" w:hAnsi="Times New Roman" w:cs="Times New Roman"/>
          <w:bCs/>
        </w:rPr>
      </w:pPr>
      <w:r w:rsidRPr="00AA2A42">
        <w:rPr>
          <w:rFonts w:ascii="Times New Roman" w:hAnsi="Times New Roman" w:cs="Times New Roman"/>
          <w:bCs/>
        </w:rPr>
        <w:t>The Dodd-Frank Act also requires swaps to be cleared and traded on exchanges or swap execution facilities. Such clearing requirements would</w:t>
      </w:r>
      <w:r>
        <w:rPr>
          <w:rFonts w:ascii="Times New Roman" w:hAnsi="Times New Roman" w:cs="Times New Roman"/>
          <w:bCs/>
        </w:rPr>
        <w:t xml:space="preserve"> </w:t>
      </w:r>
      <w:r w:rsidRPr="00AA2A42">
        <w:rPr>
          <w:rFonts w:ascii="Times New Roman" w:hAnsi="Times New Roman" w:cs="Times New Roman"/>
          <w:bCs/>
        </w:rPr>
        <w:t>result in a significant change from our current practice of bilaterally negotiated credit terms. An exemption to mandatory clearing is available under</w:t>
      </w:r>
      <w:r>
        <w:rPr>
          <w:rFonts w:ascii="Times New Roman" w:hAnsi="Times New Roman" w:cs="Times New Roman"/>
          <w:bCs/>
        </w:rPr>
        <w:t xml:space="preserve"> </w:t>
      </w:r>
      <w:r w:rsidRPr="00AA2A42">
        <w:rPr>
          <w:rFonts w:ascii="Times New Roman" w:hAnsi="Times New Roman" w:cs="Times New Roman"/>
          <w:bCs/>
        </w:rPr>
        <w:t>Dodd-Frank for counterparties that are non-financial end users; however, the cost of entering into a non-cleared swap that is available as a cleared</w:t>
      </w:r>
      <w:r>
        <w:rPr>
          <w:rFonts w:ascii="Times New Roman" w:hAnsi="Times New Roman" w:cs="Times New Roman"/>
          <w:bCs/>
        </w:rPr>
        <w:t xml:space="preserve"> </w:t>
      </w:r>
      <w:r w:rsidRPr="00AA2A42">
        <w:rPr>
          <w:rFonts w:ascii="Times New Roman" w:hAnsi="Times New Roman" w:cs="Times New Roman"/>
          <w:bCs/>
        </w:rPr>
        <w:t>swap may be greater.</w:t>
      </w:r>
    </w:p>
    <w:p w:rsidR="00AA2A42" w:rsidRDefault="00AA2A42" w:rsidP="0051339F">
      <w:pPr>
        <w:pStyle w:val="BodyText2"/>
        <w:spacing w:before="0" w:after="0"/>
        <w:ind w:left="0" w:right="14" w:firstLine="720"/>
        <w:rPr>
          <w:rFonts w:ascii="Times New Roman" w:hAnsi="Times New Roman" w:cs="Times New Roman"/>
          <w:bCs/>
        </w:rPr>
      </w:pPr>
      <w:r w:rsidRPr="00AA2A42">
        <w:rPr>
          <w:rFonts w:ascii="Times New Roman" w:hAnsi="Times New Roman" w:cs="Times New Roman"/>
          <w:bCs/>
        </w:rPr>
        <w:t>We will continue to monitor developments including certain proposals to delay various implementation steps defined in the Act. We cannot predict</w:t>
      </w:r>
      <w:r>
        <w:rPr>
          <w:rFonts w:ascii="Times New Roman" w:hAnsi="Times New Roman" w:cs="Times New Roman"/>
          <w:bCs/>
        </w:rPr>
        <w:t xml:space="preserve"> </w:t>
      </w:r>
      <w:r w:rsidRPr="00AA2A42">
        <w:rPr>
          <w:rFonts w:ascii="Times New Roman" w:hAnsi="Times New Roman" w:cs="Times New Roman"/>
          <w:bCs/>
        </w:rPr>
        <w:t>the impact the Dodd-Frank Act may ultimately have on our operations.</w:t>
      </w:r>
    </w:p>
    <w:p w:rsidR="000F0CFC" w:rsidRDefault="00C50C02" w:rsidP="00E56ED5">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are Avista’s plans regarding common equity and why is this important?</w:t>
      </w:r>
    </w:p>
    <w:p w:rsidR="00CB4AAA" w:rsidRDefault="00C50C02" w:rsidP="00E56ED5">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Avista </w:t>
      </w:r>
      <w:r w:rsidR="00623052" w:rsidRPr="00C50C02">
        <w:rPr>
          <w:rFonts w:ascii="Times New Roman" w:hAnsi="Times New Roman" w:cs="Times New Roman"/>
        </w:rPr>
        <w:t>continu</w:t>
      </w:r>
      <w:r w:rsidR="00623052">
        <w:rPr>
          <w:rFonts w:ascii="Times New Roman" w:hAnsi="Times New Roman" w:cs="Times New Roman"/>
        </w:rPr>
        <w:t>ously</w:t>
      </w:r>
      <w:r w:rsidRPr="00C50C02">
        <w:rPr>
          <w:rFonts w:ascii="Times New Roman" w:hAnsi="Times New Roman" w:cs="Times New Roman"/>
        </w:rPr>
        <w:t xml:space="preserve"> monitor</w:t>
      </w:r>
      <w:r w:rsidR="00623052">
        <w:rPr>
          <w:rFonts w:ascii="Times New Roman" w:hAnsi="Times New Roman" w:cs="Times New Roman"/>
        </w:rPr>
        <w:t>s</w:t>
      </w:r>
      <w:r w:rsidRPr="00C50C02">
        <w:rPr>
          <w:rFonts w:ascii="Times New Roman" w:hAnsi="Times New Roman" w:cs="Times New Roman"/>
        </w:rPr>
        <w:t xml:space="preserve"> the common equity ratio of its capital </w:t>
      </w:r>
      <w:bookmarkEnd w:id="9"/>
      <w:bookmarkEnd w:id="10"/>
      <w:r w:rsidRPr="00C50C02">
        <w:rPr>
          <w:rFonts w:ascii="Times New Roman" w:hAnsi="Times New Roman" w:cs="Times New Roman"/>
        </w:rPr>
        <w:t xml:space="preserve">structure, and </w:t>
      </w:r>
      <w:r w:rsidR="00FF428A" w:rsidRPr="00C50C02">
        <w:rPr>
          <w:rFonts w:ascii="Times New Roman" w:hAnsi="Times New Roman" w:cs="Times New Roman"/>
        </w:rPr>
        <w:t>assesses</w:t>
      </w:r>
      <w:r w:rsidRPr="00C50C02">
        <w:rPr>
          <w:rFonts w:ascii="Times New Roman" w:hAnsi="Times New Roman" w:cs="Times New Roman"/>
        </w:rPr>
        <w:t xml:space="preserve"> the need to issue additional common</w:t>
      </w:r>
      <w:r w:rsidR="00246A6F">
        <w:rPr>
          <w:rFonts w:ascii="Times New Roman" w:hAnsi="Times New Roman" w:cs="Times New Roman"/>
        </w:rPr>
        <w:t xml:space="preserve"> equity.  </w:t>
      </w:r>
      <w:r w:rsidR="006E0A9A" w:rsidRPr="006E0A9A">
        <w:rPr>
          <w:rFonts w:ascii="Times New Roman" w:hAnsi="Times New Roman" w:cs="Times New Roman"/>
        </w:rPr>
        <w:t>In 201</w:t>
      </w:r>
      <w:r w:rsidR="005B3F97">
        <w:rPr>
          <w:rFonts w:ascii="Times New Roman" w:hAnsi="Times New Roman" w:cs="Times New Roman"/>
        </w:rPr>
        <w:t>1</w:t>
      </w:r>
      <w:r w:rsidR="006E0A9A" w:rsidRPr="006E0A9A">
        <w:rPr>
          <w:rFonts w:ascii="Times New Roman" w:hAnsi="Times New Roman" w:cs="Times New Roman"/>
        </w:rPr>
        <w:t xml:space="preserve">, we </w:t>
      </w:r>
      <w:r w:rsidR="0017091B">
        <w:rPr>
          <w:rFonts w:ascii="Times New Roman" w:hAnsi="Times New Roman" w:cs="Times New Roman"/>
        </w:rPr>
        <w:t xml:space="preserve">issued </w:t>
      </w:r>
      <w:r w:rsidR="006E0A9A" w:rsidRPr="006E0A9A">
        <w:rPr>
          <w:rFonts w:ascii="Times New Roman" w:hAnsi="Times New Roman" w:cs="Times New Roman"/>
        </w:rPr>
        <w:t>$</w:t>
      </w:r>
      <w:r w:rsidR="005B3F97">
        <w:rPr>
          <w:rFonts w:ascii="Times New Roman" w:hAnsi="Times New Roman" w:cs="Times New Roman"/>
        </w:rPr>
        <w:t>26.5</w:t>
      </w:r>
      <w:r w:rsidR="006E0A9A" w:rsidRPr="006E0A9A">
        <w:rPr>
          <w:rFonts w:ascii="Times New Roman" w:hAnsi="Times New Roman" w:cs="Times New Roman"/>
        </w:rPr>
        <w:t xml:space="preserve"> million</w:t>
      </w:r>
      <w:r w:rsidR="00902F0A">
        <w:rPr>
          <w:rFonts w:ascii="Times New Roman" w:hAnsi="Times New Roman" w:cs="Times New Roman"/>
        </w:rPr>
        <w:t xml:space="preserve">, </w:t>
      </w:r>
      <w:r w:rsidR="00AD17D9">
        <w:rPr>
          <w:rFonts w:ascii="Times New Roman" w:hAnsi="Times New Roman" w:cs="Times New Roman"/>
        </w:rPr>
        <w:t xml:space="preserve">and </w:t>
      </w:r>
      <w:r w:rsidR="00902F0A">
        <w:rPr>
          <w:rFonts w:ascii="Times New Roman" w:hAnsi="Times New Roman" w:cs="Times New Roman"/>
        </w:rPr>
        <w:t>i</w:t>
      </w:r>
      <w:r w:rsidR="00511089">
        <w:rPr>
          <w:rFonts w:ascii="Times New Roman" w:hAnsi="Times New Roman" w:cs="Times New Roman"/>
        </w:rPr>
        <w:t>n 201</w:t>
      </w:r>
      <w:r w:rsidR="005B3F97">
        <w:rPr>
          <w:rFonts w:ascii="Times New Roman" w:hAnsi="Times New Roman" w:cs="Times New Roman"/>
        </w:rPr>
        <w:t>0</w:t>
      </w:r>
      <w:r w:rsidR="00511089">
        <w:rPr>
          <w:rFonts w:ascii="Times New Roman" w:hAnsi="Times New Roman" w:cs="Times New Roman"/>
        </w:rPr>
        <w:t xml:space="preserve">, we issued </w:t>
      </w:r>
      <w:r w:rsidR="0017091B" w:rsidRPr="0017091B">
        <w:rPr>
          <w:rFonts w:ascii="Times New Roman" w:hAnsi="Times New Roman" w:cs="Times New Roman"/>
        </w:rPr>
        <w:t>$</w:t>
      </w:r>
      <w:r w:rsidR="005B3F97">
        <w:rPr>
          <w:rFonts w:ascii="Times New Roman" w:hAnsi="Times New Roman" w:cs="Times New Roman"/>
        </w:rPr>
        <w:t>46.2</w:t>
      </w:r>
      <w:r w:rsidR="00F21C06">
        <w:rPr>
          <w:rFonts w:ascii="Times New Roman" w:hAnsi="Times New Roman" w:cs="Times New Roman"/>
        </w:rPr>
        <w:t xml:space="preserve"> million </w:t>
      </w:r>
      <w:r w:rsidR="0017091B" w:rsidRPr="0017091B">
        <w:rPr>
          <w:rFonts w:ascii="Times New Roman" w:hAnsi="Times New Roman" w:cs="Times New Roman"/>
        </w:rPr>
        <w:t>of common stock</w:t>
      </w:r>
      <w:r w:rsidR="00F21C06">
        <w:rPr>
          <w:rFonts w:ascii="Times New Roman" w:hAnsi="Times New Roman" w:cs="Times New Roman"/>
        </w:rPr>
        <w:t>.</w:t>
      </w:r>
      <w:r w:rsidR="007E4E75">
        <w:rPr>
          <w:rFonts w:ascii="Times New Roman" w:hAnsi="Times New Roman" w:cs="Times New Roman"/>
        </w:rPr>
        <w:t xml:space="preserve"> </w:t>
      </w:r>
      <w:r w:rsidR="00F21C06">
        <w:rPr>
          <w:rFonts w:ascii="Times New Roman" w:hAnsi="Times New Roman" w:cs="Times New Roman"/>
        </w:rPr>
        <w:t>In 2012</w:t>
      </w:r>
      <w:r w:rsidR="007E4E75">
        <w:rPr>
          <w:rFonts w:ascii="Times New Roman" w:hAnsi="Times New Roman" w:cs="Times New Roman"/>
        </w:rPr>
        <w:t>,</w:t>
      </w:r>
      <w:r w:rsidR="0017091B" w:rsidRPr="0017091B">
        <w:rPr>
          <w:rFonts w:ascii="Times New Roman" w:hAnsi="Times New Roman" w:cs="Times New Roman"/>
        </w:rPr>
        <w:t xml:space="preserve"> in order to maintain our capital structure at an appropriate level for our business</w:t>
      </w:r>
      <w:r w:rsidR="00902F0A">
        <w:rPr>
          <w:rFonts w:ascii="Times New Roman" w:hAnsi="Times New Roman" w:cs="Times New Roman"/>
        </w:rPr>
        <w:t>,</w:t>
      </w:r>
      <w:r w:rsidR="00F21C06">
        <w:rPr>
          <w:rFonts w:ascii="Times New Roman" w:hAnsi="Times New Roman" w:cs="Times New Roman"/>
        </w:rPr>
        <w:t xml:space="preserve"> we plan on issuing </w:t>
      </w:r>
      <w:r w:rsidR="00172F49">
        <w:rPr>
          <w:rFonts w:ascii="Times New Roman" w:hAnsi="Times New Roman" w:cs="Times New Roman"/>
        </w:rPr>
        <w:t>approximately</w:t>
      </w:r>
      <w:r w:rsidR="00F21C06">
        <w:rPr>
          <w:rFonts w:ascii="Times New Roman" w:hAnsi="Times New Roman" w:cs="Times New Roman"/>
        </w:rPr>
        <w:t xml:space="preserve"> $45 million of common stock</w:t>
      </w:r>
      <w:r w:rsidR="006E0A9A" w:rsidRPr="006E0A9A">
        <w:rPr>
          <w:rFonts w:ascii="Times New Roman" w:hAnsi="Times New Roman" w:cs="Times New Roman"/>
        </w:rPr>
        <w:t>.</w:t>
      </w:r>
      <w:r w:rsidRPr="00C50C02">
        <w:rPr>
          <w:rFonts w:ascii="Times New Roman" w:hAnsi="Times New Roman" w:cs="Times New Roman"/>
        </w:rPr>
        <w:t xml:space="preserve">  It is important to the rating agencies </w:t>
      </w:r>
      <w:r w:rsidR="00C3777B">
        <w:rPr>
          <w:rFonts w:ascii="Times New Roman" w:hAnsi="Times New Roman" w:cs="Times New Roman"/>
        </w:rPr>
        <w:t xml:space="preserve">and investors </w:t>
      </w:r>
      <w:r w:rsidRPr="00C50C02">
        <w:rPr>
          <w:rFonts w:ascii="Times New Roman" w:hAnsi="Times New Roman" w:cs="Times New Roman"/>
        </w:rPr>
        <w:t xml:space="preserve">for Avista to maintain a balanced </w:t>
      </w:r>
      <w:r w:rsidRPr="007E4E75">
        <w:rPr>
          <w:rFonts w:ascii="Times New Roman" w:hAnsi="Times New Roman" w:cs="Times New Roman"/>
        </w:rPr>
        <w:t>debt/equity ratio in order to minimize the risk of default on required debt interest payments.</w:t>
      </w:r>
      <w:r w:rsidR="00BC341D">
        <w:rPr>
          <w:rFonts w:ascii="Times New Roman" w:hAnsi="Times New Roman" w:cs="Times New Roman"/>
        </w:rPr>
        <w:t xml:space="preserve"> </w:t>
      </w:r>
      <w:r w:rsidR="0066447F" w:rsidRPr="0066447F">
        <w:rPr>
          <w:rFonts w:ascii="Times New Roman" w:hAnsi="Times New Roman" w:cs="Times New Roman"/>
        </w:rPr>
        <w:t>Dr. Avera notes that</w:t>
      </w:r>
      <w:r w:rsidR="00BC341D">
        <w:rPr>
          <w:rFonts w:ascii="Times New Roman" w:hAnsi="Times New Roman" w:cs="Times New Roman"/>
        </w:rPr>
        <w:t>:</w:t>
      </w:r>
    </w:p>
    <w:p w:rsidR="004827D5" w:rsidRPr="00750B10" w:rsidRDefault="00BC341D" w:rsidP="007D066E">
      <w:pPr>
        <w:pStyle w:val="BodyText2"/>
        <w:tabs>
          <w:tab w:val="clear" w:pos="720"/>
        </w:tabs>
        <w:spacing w:line="240" w:lineRule="auto"/>
        <w:ind w:left="0" w:right="18"/>
        <w:rPr>
          <w:rFonts w:ascii="Times New Roman" w:hAnsi="Times New Roman" w:cs="Times New Roman"/>
        </w:rPr>
      </w:pPr>
      <w:r>
        <w:rPr>
          <w:rFonts w:ascii="Times New Roman" w:hAnsi="Times New Roman" w:cs="Times New Roman"/>
        </w:rPr>
        <w:lastRenderedPageBreak/>
        <w:t>U</w:t>
      </w:r>
      <w:r w:rsidR="0066447F" w:rsidRPr="0066447F">
        <w:rPr>
          <w:rFonts w:ascii="Times New Roman" w:hAnsi="Times New Roman" w:cs="Times New Roman"/>
        </w:rPr>
        <w:t xml:space="preserve">tilities </w:t>
      </w:r>
      <w:r w:rsidR="0052413B" w:rsidRPr="0052413B">
        <w:rPr>
          <w:rFonts w:ascii="Times New Roman" w:hAnsi="Times New Roman" w:cs="Times New Roman"/>
        </w:rPr>
        <w:t>are facing energy market volatility, rising cost structures, the need to finance significant capital investment plans, uncertainties over accommodating economic and financial market uncertainties, and ongoing regulatory risks.  Coupled with the potential for turmoil in capital markets, these considerations warrant a stronger balance sheet to deal with an increasingly uncertain environment.  A more conservative financial prof</w:t>
      </w:r>
      <w:r w:rsidR="0066447F" w:rsidRPr="0066447F">
        <w:rPr>
          <w:rFonts w:ascii="Times New Roman" w:hAnsi="Times New Roman" w:cs="Times New Roman"/>
        </w:rPr>
        <w:t>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w:t>
      </w:r>
      <w:r w:rsidR="004827D5" w:rsidRPr="004827D5">
        <w:rPr>
          <w:rFonts w:ascii="Times New Roman" w:hAnsi="Times New Roman" w:cs="Times New Roman"/>
        </w:rPr>
        <w:t xml:space="preserve"> </w:t>
      </w:r>
      <w:r w:rsidR="004827D5" w:rsidRPr="0066447F">
        <w:rPr>
          <w:rFonts w:ascii="Times New Roman" w:hAnsi="Times New Roman" w:cs="Times New Roman"/>
        </w:rPr>
        <w:t xml:space="preserve">(Exhibit No. </w:t>
      </w:r>
      <w:proofErr w:type="gramStart"/>
      <w:r w:rsidR="004827D5" w:rsidRPr="0066447F">
        <w:rPr>
          <w:rFonts w:ascii="Times New Roman" w:hAnsi="Times New Roman" w:cs="Times New Roman"/>
        </w:rPr>
        <w:t xml:space="preserve">___ (WEA-1T), P. </w:t>
      </w:r>
      <w:r w:rsidR="004827D5">
        <w:rPr>
          <w:rFonts w:ascii="Times New Roman" w:hAnsi="Times New Roman" w:cs="Times New Roman"/>
        </w:rPr>
        <w:t>31</w:t>
      </w:r>
      <w:r w:rsidR="004827D5" w:rsidRPr="0066447F">
        <w:rPr>
          <w:rFonts w:ascii="Times New Roman" w:hAnsi="Times New Roman" w:cs="Times New Roman"/>
        </w:rPr>
        <w:t xml:space="preserve">, ll. </w:t>
      </w:r>
      <w:r w:rsidR="004827D5">
        <w:rPr>
          <w:rFonts w:ascii="Times New Roman" w:hAnsi="Times New Roman" w:cs="Times New Roman"/>
        </w:rPr>
        <w:t>1</w:t>
      </w:r>
      <w:r w:rsidR="00C72BC2">
        <w:rPr>
          <w:rFonts w:ascii="Times New Roman" w:hAnsi="Times New Roman" w:cs="Times New Roman"/>
        </w:rPr>
        <w:t>0-19</w:t>
      </w:r>
      <w:r w:rsidR="004827D5" w:rsidRPr="0066447F">
        <w:rPr>
          <w:rFonts w:ascii="Times New Roman" w:hAnsi="Times New Roman" w:cs="Times New Roman"/>
        </w:rPr>
        <w:t>).</w:t>
      </w:r>
      <w:proofErr w:type="gramEnd"/>
      <w:r w:rsidR="004827D5" w:rsidRPr="00750B10">
        <w:rPr>
          <w:rFonts w:ascii="Times New Roman" w:hAnsi="Times New Roman" w:cs="Times New Roman"/>
        </w:rPr>
        <w:t xml:space="preserve"> </w:t>
      </w:r>
    </w:p>
    <w:p w:rsidR="00C50C02" w:rsidRPr="0052413B" w:rsidRDefault="00BC341D" w:rsidP="007D066E">
      <w:pPr>
        <w:pStyle w:val="Answer"/>
        <w:ind w:left="0" w:right="18"/>
        <w:rPr>
          <w:rFonts w:ascii="Times New Roman" w:hAnsi="Times New Roman" w:cs="Times New Roman"/>
        </w:rPr>
      </w:pPr>
      <w:r>
        <w:rPr>
          <w:rFonts w:ascii="Times New Roman" w:hAnsi="Times New Roman" w:cs="Times New Roman"/>
        </w:rPr>
        <w:t xml:space="preserve">Additionally, </w:t>
      </w:r>
      <w:r w:rsidR="0066447F" w:rsidRPr="0066447F">
        <w:rPr>
          <w:rFonts w:ascii="Times New Roman" w:hAnsi="Times New Roman" w:cs="Times New Roman"/>
        </w:rPr>
        <w:t xml:space="preserve">Dr. Avera concludes that the 48.4 percent common equity ratio is reasonable based on the following:  </w:t>
      </w:r>
    </w:p>
    <w:p w:rsidR="008C1CD6" w:rsidRPr="0091743C" w:rsidRDefault="0066447F" w:rsidP="007D066E">
      <w:pPr>
        <w:pStyle w:val="BodyText2"/>
        <w:spacing w:line="240" w:lineRule="auto"/>
        <w:ind w:left="0" w:right="18"/>
        <w:rPr>
          <w:rFonts w:ascii="Times New Roman" w:hAnsi="Times New Roman" w:cs="Times New Roman"/>
        </w:rPr>
      </w:pPr>
      <w:r w:rsidRPr="0066447F">
        <w:rPr>
          <w:rFonts w:ascii="Times New Roman" w:hAnsi="Times New Roman" w:cs="Times New Roman"/>
        </w:rPr>
        <w:t>•</w:t>
      </w:r>
      <w:r w:rsidRPr="0066447F">
        <w:rPr>
          <w:rFonts w:ascii="Times New Roman" w:hAnsi="Times New Roman" w:cs="Times New Roman"/>
        </w:rPr>
        <w:tab/>
        <w:t>Avista’s requested capitalization is consistent with the Company’s need to maintain its credit standing and financial flexibility as it seeks to raise additional capital to fund significant system investments and meet the requirements of its service territory;</w:t>
      </w:r>
    </w:p>
    <w:p w:rsidR="008C1CD6" w:rsidRPr="0034491A" w:rsidRDefault="008C1CD6" w:rsidP="007D066E">
      <w:pPr>
        <w:pStyle w:val="BodyText2"/>
        <w:spacing w:line="240" w:lineRule="auto"/>
        <w:ind w:left="0" w:right="18"/>
        <w:rPr>
          <w:rFonts w:ascii="Times New Roman" w:hAnsi="Times New Roman" w:cs="Times New Roman"/>
          <w:highlight w:val="yellow"/>
        </w:rPr>
      </w:pPr>
    </w:p>
    <w:p w:rsidR="008C1CD6" w:rsidRPr="0091743C" w:rsidRDefault="0066447F" w:rsidP="007D066E">
      <w:pPr>
        <w:pStyle w:val="BodyText2"/>
        <w:spacing w:line="240" w:lineRule="auto"/>
        <w:ind w:left="0" w:right="18"/>
        <w:rPr>
          <w:rFonts w:ascii="Times New Roman" w:hAnsi="Times New Roman" w:cs="Times New Roman"/>
        </w:rPr>
      </w:pPr>
      <w:r w:rsidRPr="0066447F">
        <w:rPr>
          <w:rFonts w:ascii="Times New Roman" w:hAnsi="Times New Roman" w:cs="Times New Roman"/>
        </w:rPr>
        <w:t>•</w:t>
      </w:r>
      <w:r w:rsidRPr="0066447F">
        <w:rPr>
          <w:rFonts w:ascii="Times New Roman" w:hAnsi="Times New Roman" w:cs="Times New Roman"/>
        </w:rPr>
        <w:tab/>
        <w:t xml:space="preserve">Avista’s proposed common equity ratio is entirely consistent with the </w:t>
      </w:r>
      <w:r w:rsidR="00C72BC2">
        <w:rPr>
          <w:rFonts w:ascii="Times New Roman" w:hAnsi="Times New Roman" w:cs="Times New Roman"/>
        </w:rPr>
        <w:t>49.5</w:t>
      </w:r>
      <w:r w:rsidR="00C72BC2" w:rsidRPr="0066447F">
        <w:rPr>
          <w:rFonts w:ascii="Times New Roman" w:hAnsi="Times New Roman" w:cs="Times New Roman"/>
        </w:rPr>
        <w:t xml:space="preserve"> </w:t>
      </w:r>
      <w:r w:rsidRPr="0066447F">
        <w:rPr>
          <w:rFonts w:ascii="Times New Roman" w:hAnsi="Times New Roman" w:cs="Times New Roman"/>
        </w:rPr>
        <w:t>percent and 5</w:t>
      </w:r>
      <w:r w:rsidR="0091743C">
        <w:rPr>
          <w:rFonts w:ascii="Times New Roman" w:hAnsi="Times New Roman" w:cs="Times New Roman"/>
        </w:rPr>
        <w:t>0.3</w:t>
      </w:r>
      <w:r w:rsidRPr="0066447F">
        <w:rPr>
          <w:rFonts w:ascii="Times New Roman" w:hAnsi="Times New Roman" w:cs="Times New Roman"/>
        </w:rPr>
        <w:t xml:space="preserve"> percent average common equity ratios for the proxy utilities, based on year-end 201</w:t>
      </w:r>
      <w:r w:rsidR="0091743C">
        <w:rPr>
          <w:rFonts w:ascii="Times New Roman" w:hAnsi="Times New Roman" w:cs="Times New Roman"/>
        </w:rPr>
        <w:t>1</w:t>
      </w:r>
      <w:r w:rsidRPr="0066447F">
        <w:rPr>
          <w:rFonts w:ascii="Times New Roman" w:hAnsi="Times New Roman" w:cs="Times New Roman"/>
        </w:rPr>
        <w:t xml:space="preserve"> data and near-term expectations, respectively; and, </w:t>
      </w:r>
    </w:p>
    <w:p w:rsidR="001F30BD" w:rsidRPr="0034491A" w:rsidRDefault="001F30BD" w:rsidP="007D066E">
      <w:pPr>
        <w:pStyle w:val="BodyText2"/>
        <w:spacing w:line="240" w:lineRule="auto"/>
        <w:ind w:left="0" w:right="18"/>
        <w:rPr>
          <w:rFonts w:ascii="Times New Roman" w:hAnsi="Times New Roman" w:cs="Times New Roman"/>
          <w:highlight w:val="yellow"/>
        </w:rPr>
      </w:pPr>
    </w:p>
    <w:p w:rsidR="00DB2A7D" w:rsidRPr="00750B10" w:rsidRDefault="0066447F" w:rsidP="007D066E">
      <w:pPr>
        <w:pStyle w:val="BodyText2"/>
        <w:tabs>
          <w:tab w:val="clear" w:pos="720"/>
        </w:tabs>
        <w:spacing w:line="240" w:lineRule="auto"/>
        <w:ind w:left="0" w:right="18"/>
        <w:rPr>
          <w:rFonts w:ascii="Times New Roman" w:hAnsi="Times New Roman" w:cs="Times New Roman"/>
        </w:rPr>
      </w:pPr>
      <w:r w:rsidRPr="0066447F">
        <w:rPr>
          <w:rFonts w:ascii="Times New Roman" w:hAnsi="Times New Roman" w:cs="Times New Roman"/>
        </w:rPr>
        <w:t>•</w:t>
      </w:r>
      <w:r w:rsidRPr="0066447F">
        <w:rPr>
          <w:rFonts w:ascii="Times New Roman" w:hAnsi="Times New Roman" w:cs="Times New Roman"/>
        </w:rPr>
        <w:tab/>
        <w:t xml:space="preserve">The requested capitalization reflects the importance of an adequate equity layer to accommodate Avista’s operating risks and the pressures of funding significant capital investments.  This is reinforced by the need to consider the impact of uncertain capital markets conditions, as well as off-balance sheet commitments such as purchased power agreements, which carry with them some level of imputed debt. (Exhibit No. </w:t>
      </w:r>
      <w:proofErr w:type="gramStart"/>
      <w:r w:rsidRPr="0066447F">
        <w:rPr>
          <w:rFonts w:ascii="Times New Roman" w:hAnsi="Times New Roman" w:cs="Times New Roman"/>
        </w:rPr>
        <w:t xml:space="preserve">___ </w:t>
      </w:r>
      <w:r w:rsidR="00F804B1">
        <w:rPr>
          <w:rFonts w:ascii="Times New Roman" w:hAnsi="Times New Roman" w:cs="Times New Roman"/>
        </w:rPr>
        <w:t>(WEA-1T), P. 6, l. 17 – P. 7, l. 2</w:t>
      </w:r>
      <w:r w:rsidRPr="0066447F">
        <w:rPr>
          <w:rFonts w:ascii="Times New Roman" w:hAnsi="Times New Roman" w:cs="Times New Roman"/>
        </w:rPr>
        <w:t>).</w:t>
      </w:r>
      <w:proofErr w:type="gramEnd"/>
      <w:r w:rsidR="008C1CD6" w:rsidRPr="00750B10">
        <w:rPr>
          <w:rFonts w:ascii="Times New Roman" w:hAnsi="Times New Roman" w:cs="Times New Roman"/>
        </w:rPr>
        <w:t xml:space="preserve"> </w:t>
      </w:r>
    </w:p>
    <w:p w:rsidR="00C50C02" w:rsidRPr="00C50C02" w:rsidRDefault="00C50C02" w:rsidP="007D066E">
      <w:pPr>
        <w:pStyle w:val="Quote1"/>
        <w:ind w:left="0" w:right="18"/>
        <w:rPr>
          <w:rFonts w:ascii="Times New Roman" w:hAnsi="Times New Roman"/>
          <w:szCs w:val="24"/>
        </w:rPr>
      </w:pPr>
    </w:p>
    <w:p w:rsidR="00C50C02" w:rsidRPr="004C362D" w:rsidRDefault="00C50C02" w:rsidP="00E56ED5">
      <w:pPr>
        <w:pStyle w:val="Heading3"/>
        <w:spacing w:before="0" w:after="0"/>
        <w:ind w:left="0" w:right="14"/>
        <w:rPr>
          <w:u w:val="single"/>
        </w:rPr>
      </w:pPr>
      <w:bookmarkStart w:id="11" w:name="_Toc289931772"/>
      <w:r w:rsidRPr="004C362D">
        <w:rPr>
          <w:u w:val="single"/>
        </w:rPr>
        <w:t>V. CAPITAL STRUCTURE</w:t>
      </w:r>
      <w:bookmarkEnd w:id="11"/>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bookmarkStart w:id="12" w:name="OLE_LINK3"/>
      <w:bookmarkStart w:id="13" w:name="OLE_LINK4"/>
      <w:r w:rsidRPr="00C50C02">
        <w:rPr>
          <w:rFonts w:ascii="Times New Roman" w:hAnsi="Times New Roman" w:cs="Times New Roman"/>
          <w:b/>
          <w:bCs/>
        </w:rPr>
        <w:t>Q.</w:t>
      </w:r>
      <w:r w:rsidRPr="00C50C02">
        <w:rPr>
          <w:rFonts w:ascii="Times New Roman" w:hAnsi="Times New Roman" w:cs="Times New Roman"/>
          <w:b/>
          <w:bCs/>
        </w:rPr>
        <w:tab/>
        <w:t>Please explain the capital structure proposed by Avista in this case.</w:t>
      </w:r>
    </w:p>
    <w:p w:rsidR="00D525EE"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Avis</w:t>
      </w:r>
      <w:bookmarkEnd w:id="12"/>
      <w:bookmarkEnd w:id="13"/>
      <w:r w:rsidRPr="00C50C02">
        <w:rPr>
          <w:rFonts w:ascii="Times New Roman" w:hAnsi="Times New Roman" w:cs="Times New Roman"/>
        </w:rPr>
        <w:t xml:space="preserve">ta’s current capital structure consists of a blend </w:t>
      </w:r>
      <w:r w:rsidR="005A764F" w:rsidRPr="00C50C02">
        <w:rPr>
          <w:rFonts w:ascii="Times New Roman" w:hAnsi="Times New Roman" w:cs="Times New Roman"/>
        </w:rPr>
        <w:t xml:space="preserve">of </w:t>
      </w:r>
      <w:r w:rsidR="005A764F">
        <w:rPr>
          <w:rFonts w:ascii="Times New Roman" w:hAnsi="Times New Roman" w:cs="Times New Roman"/>
        </w:rPr>
        <w:t>long</w:t>
      </w:r>
      <w:r w:rsidR="000F6302">
        <w:rPr>
          <w:rFonts w:ascii="Times New Roman" w:hAnsi="Times New Roman" w:cs="Times New Roman"/>
        </w:rPr>
        <w:t>-term</w:t>
      </w:r>
      <w:r w:rsidR="00902F0A">
        <w:rPr>
          <w:rFonts w:ascii="Times New Roman" w:hAnsi="Times New Roman" w:cs="Times New Roman"/>
        </w:rPr>
        <w:t xml:space="preserve"> debt,</w:t>
      </w:r>
      <w:r w:rsidR="000F6302">
        <w:rPr>
          <w:rFonts w:ascii="Times New Roman" w:hAnsi="Times New Roman" w:cs="Times New Roman"/>
        </w:rPr>
        <w:t xml:space="preserve"> </w:t>
      </w:r>
      <w:r w:rsidRPr="00C50C02">
        <w:rPr>
          <w:rFonts w:ascii="Times New Roman" w:hAnsi="Times New Roman" w:cs="Times New Roman"/>
        </w:rPr>
        <w:t xml:space="preserve">and common equity necessary to support the assets and operating capital of the Company. </w:t>
      </w:r>
      <w:r w:rsidR="009319B6">
        <w:rPr>
          <w:rFonts w:ascii="Times New Roman" w:hAnsi="Times New Roman" w:cs="Times New Roman"/>
        </w:rPr>
        <w:t xml:space="preserve"> </w:t>
      </w:r>
      <w:r w:rsidR="008762FE">
        <w:rPr>
          <w:rFonts w:ascii="Times New Roman" w:hAnsi="Times New Roman" w:cs="Times New Roman"/>
        </w:rPr>
        <w:t>S</w:t>
      </w:r>
      <w:r w:rsidR="009319B6">
        <w:rPr>
          <w:rFonts w:ascii="Times New Roman" w:hAnsi="Times New Roman" w:cs="Times New Roman"/>
        </w:rPr>
        <w:t>hort-term debt</w:t>
      </w:r>
      <w:r w:rsidR="008762FE">
        <w:rPr>
          <w:rFonts w:ascii="Times New Roman" w:hAnsi="Times New Roman" w:cs="Times New Roman"/>
        </w:rPr>
        <w:t xml:space="preserve"> is also included. Short-term debt </w:t>
      </w:r>
      <w:r w:rsidR="009319B6">
        <w:rPr>
          <w:rFonts w:ascii="Times New Roman" w:hAnsi="Times New Roman" w:cs="Times New Roman"/>
        </w:rPr>
        <w:t xml:space="preserve">provides </w:t>
      </w:r>
      <w:r w:rsidR="009319B6" w:rsidRPr="009319B6">
        <w:rPr>
          <w:rFonts w:ascii="Times New Roman" w:hAnsi="Times New Roman" w:cs="Times New Roman"/>
        </w:rPr>
        <w:t>liquidity to cover daily cash needs, manage counterparty collateral requirements, and avoid issuing securities in unfavorable markets</w:t>
      </w:r>
      <w:r w:rsidR="008762FE">
        <w:rPr>
          <w:rFonts w:ascii="Times New Roman" w:hAnsi="Times New Roman" w:cs="Times New Roman"/>
        </w:rPr>
        <w:t>.</w:t>
      </w:r>
      <w:r w:rsidRPr="00C50C02">
        <w:rPr>
          <w:rFonts w:ascii="Times New Roman" w:hAnsi="Times New Roman" w:cs="Times New Roman"/>
        </w:rPr>
        <w:t xml:space="preserve"> </w:t>
      </w:r>
      <w:r w:rsidRPr="00BD4291">
        <w:rPr>
          <w:rFonts w:ascii="Times New Roman" w:hAnsi="Times New Roman" w:cs="Times New Roman"/>
        </w:rPr>
        <w:t xml:space="preserve">The proportionate </w:t>
      </w:r>
      <w:r w:rsidR="008762FE">
        <w:rPr>
          <w:rFonts w:ascii="Times New Roman" w:hAnsi="Times New Roman" w:cs="Times New Roman"/>
        </w:rPr>
        <w:t>percentages</w:t>
      </w:r>
      <w:r w:rsidR="008762FE" w:rsidRPr="00BD4291">
        <w:rPr>
          <w:rFonts w:ascii="Times New Roman" w:hAnsi="Times New Roman" w:cs="Times New Roman"/>
        </w:rPr>
        <w:t xml:space="preserve"> of Avista Corp.’s </w:t>
      </w:r>
      <w:r w:rsidR="008762FE">
        <w:rPr>
          <w:rFonts w:ascii="Times New Roman" w:hAnsi="Times New Roman" w:cs="Times New Roman"/>
        </w:rPr>
        <w:t>pro forma</w:t>
      </w:r>
      <w:r w:rsidR="008762FE" w:rsidRPr="00BD4291">
        <w:rPr>
          <w:rFonts w:ascii="Times New Roman" w:hAnsi="Times New Roman" w:cs="Times New Roman"/>
        </w:rPr>
        <w:t xml:space="preserve"> capital </w:t>
      </w:r>
      <w:r w:rsidR="008762FE" w:rsidRPr="00BD4291">
        <w:rPr>
          <w:rFonts w:ascii="Times New Roman" w:hAnsi="Times New Roman" w:cs="Times New Roman"/>
        </w:rPr>
        <w:lastRenderedPageBreak/>
        <w:t xml:space="preserve">structure </w:t>
      </w:r>
      <w:r w:rsidR="008762FE">
        <w:rPr>
          <w:rFonts w:ascii="Times New Roman" w:hAnsi="Times New Roman" w:cs="Times New Roman"/>
        </w:rPr>
        <w:t>are</w:t>
      </w:r>
      <w:r w:rsidR="007E7CE6">
        <w:rPr>
          <w:rFonts w:ascii="Times New Roman" w:hAnsi="Times New Roman" w:cs="Times New Roman"/>
        </w:rPr>
        <w:t xml:space="preserve"> </w:t>
      </w:r>
      <w:r w:rsidR="00B410EE">
        <w:rPr>
          <w:rFonts w:ascii="Times New Roman" w:hAnsi="Times New Roman" w:cs="Times New Roman"/>
        </w:rPr>
        <w:t>48.4</w:t>
      </w:r>
      <w:r w:rsidR="007E7CE6">
        <w:rPr>
          <w:rFonts w:ascii="Times New Roman" w:hAnsi="Times New Roman" w:cs="Times New Roman"/>
        </w:rPr>
        <w:t xml:space="preserve">% common equity, and </w:t>
      </w:r>
      <w:r w:rsidR="00B410EE">
        <w:rPr>
          <w:rFonts w:ascii="Times New Roman" w:hAnsi="Times New Roman" w:cs="Times New Roman"/>
        </w:rPr>
        <w:t>51.6</w:t>
      </w:r>
      <w:r w:rsidR="007E7CE6">
        <w:rPr>
          <w:rFonts w:ascii="Times New Roman" w:hAnsi="Times New Roman" w:cs="Times New Roman"/>
        </w:rPr>
        <w:t xml:space="preserve">% </w:t>
      </w:r>
      <w:r w:rsidR="0017091B">
        <w:rPr>
          <w:rFonts w:ascii="Times New Roman" w:hAnsi="Times New Roman" w:cs="Times New Roman"/>
        </w:rPr>
        <w:t xml:space="preserve">total debt </w:t>
      </w:r>
      <w:r w:rsidR="007E7CE6">
        <w:rPr>
          <w:rFonts w:ascii="Times New Roman" w:hAnsi="Times New Roman" w:cs="Times New Roman"/>
        </w:rPr>
        <w:t>as</w:t>
      </w:r>
      <w:r w:rsidR="000F6302" w:rsidRPr="00BD4291">
        <w:rPr>
          <w:rFonts w:ascii="Times New Roman" w:hAnsi="Times New Roman" w:cs="Times New Roman"/>
        </w:rPr>
        <w:t xml:space="preserve"> shown on page </w:t>
      </w:r>
      <w:r w:rsidR="00B410EE">
        <w:rPr>
          <w:rFonts w:ascii="Times New Roman" w:hAnsi="Times New Roman" w:cs="Times New Roman"/>
        </w:rPr>
        <w:t>2</w:t>
      </w:r>
      <w:r w:rsidR="00902F0A" w:rsidRPr="00BD4291">
        <w:rPr>
          <w:rFonts w:ascii="Times New Roman" w:hAnsi="Times New Roman" w:cs="Times New Roman"/>
        </w:rPr>
        <w:t xml:space="preserve"> </w:t>
      </w:r>
      <w:r w:rsidRPr="00BD4291">
        <w:rPr>
          <w:rFonts w:ascii="Times New Roman" w:hAnsi="Times New Roman" w:cs="Times New Roman"/>
        </w:rPr>
        <w:t>of Exhibit No.</w:t>
      </w:r>
      <w:r w:rsidR="000F6302" w:rsidRPr="00BD4291">
        <w:rPr>
          <w:rFonts w:ascii="Times New Roman" w:hAnsi="Times New Roman" w:cs="Times New Roman"/>
        </w:rPr>
        <w:t>__</w:t>
      </w:r>
      <w:r w:rsidR="00043707" w:rsidRPr="00BD4291">
        <w:rPr>
          <w:rFonts w:ascii="Times New Roman" w:hAnsi="Times New Roman" w:cs="Times New Roman"/>
        </w:rPr>
        <w:t>_ (</w:t>
      </w:r>
      <w:r w:rsidR="000F6302" w:rsidRPr="00BD4291">
        <w:rPr>
          <w:rFonts w:ascii="Times New Roman" w:hAnsi="Times New Roman" w:cs="Times New Roman"/>
        </w:rPr>
        <w:t>MTT-2)</w:t>
      </w:r>
      <w:r w:rsidR="00362E5B">
        <w:rPr>
          <w:rFonts w:ascii="Times New Roman" w:hAnsi="Times New Roman" w:cs="Times New Roman"/>
        </w:rPr>
        <w:t>.</w:t>
      </w:r>
      <w:r w:rsidR="007E7CE6">
        <w:rPr>
          <w:rFonts w:ascii="Times New Roman" w:hAnsi="Times New Roman" w:cs="Times New Roman"/>
        </w:rPr>
        <w:t xml:space="preserve"> </w:t>
      </w:r>
    </w:p>
    <w:p w:rsidR="001E147E" w:rsidRDefault="001E147E" w:rsidP="0051339F">
      <w:pPr>
        <w:pStyle w:val="BodyText2"/>
        <w:tabs>
          <w:tab w:val="clear" w:pos="720"/>
        </w:tabs>
        <w:spacing w:before="0" w:after="0"/>
        <w:ind w:left="0" w:right="14"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E555DD">
        <w:rPr>
          <w:rFonts w:ascii="Times New Roman" w:hAnsi="Times New Roman" w:cs="Times New Roman"/>
          <w:b/>
          <w:bCs/>
        </w:rPr>
        <w:t xml:space="preserve">Does Avista make adjustments </w:t>
      </w:r>
      <w:r w:rsidR="00902F0A">
        <w:rPr>
          <w:rFonts w:ascii="Times New Roman" w:hAnsi="Times New Roman" w:cs="Times New Roman"/>
          <w:b/>
          <w:bCs/>
        </w:rPr>
        <w:t>to</w:t>
      </w:r>
      <w:r w:rsidR="00E555DD">
        <w:rPr>
          <w:rFonts w:ascii="Times New Roman" w:hAnsi="Times New Roman" w:cs="Times New Roman"/>
          <w:b/>
          <w:bCs/>
        </w:rPr>
        <w:t xml:space="preserve"> debt and equity </w:t>
      </w:r>
      <w:r w:rsidR="00902F0A">
        <w:rPr>
          <w:rFonts w:ascii="Times New Roman" w:hAnsi="Times New Roman" w:cs="Times New Roman"/>
          <w:b/>
          <w:bCs/>
        </w:rPr>
        <w:t xml:space="preserve">balances reported in its </w:t>
      </w:r>
      <w:r w:rsidR="00E555DD">
        <w:rPr>
          <w:rFonts w:ascii="Times New Roman" w:hAnsi="Times New Roman" w:cs="Times New Roman"/>
          <w:b/>
          <w:bCs/>
        </w:rPr>
        <w:t>Form 10-K</w:t>
      </w:r>
      <w:r w:rsidR="00902F0A">
        <w:rPr>
          <w:rFonts w:ascii="Times New Roman" w:hAnsi="Times New Roman" w:cs="Times New Roman"/>
          <w:b/>
          <w:bCs/>
        </w:rPr>
        <w:t xml:space="preserve"> to calculate the regulatory capital structure?</w:t>
      </w:r>
    </w:p>
    <w:p w:rsidR="00E555DD" w:rsidRDefault="00E555DD" w:rsidP="0051339F">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bCs/>
        </w:rPr>
        <w:t xml:space="preserve">Yes. The company provides a reconciliation of these adjustments </w:t>
      </w:r>
      <w:r w:rsidR="00902F0A">
        <w:rPr>
          <w:rFonts w:ascii="Times New Roman" w:hAnsi="Times New Roman" w:cs="Times New Roman"/>
          <w:bCs/>
        </w:rPr>
        <w:t>on</w:t>
      </w:r>
      <w:r>
        <w:rPr>
          <w:rFonts w:ascii="Times New Roman" w:hAnsi="Times New Roman" w:cs="Times New Roman"/>
          <w:bCs/>
        </w:rPr>
        <w:t xml:space="preserve"> </w:t>
      </w:r>
      <w:r>
        <w:rPr>
          <w:rFonts w:ascii="Times New Roman" w:hAnsi="Times New Roman" w:cs="Times New Roman"/>
        </w:rPr>
        <w:t xml:space="preserve">page </w:t>
      </w:r>
      <w:r w:rsidR="00B410EE">
        <w:rPr>
          <w:rFonts w:ascii="Times New Roman" w:hAnsi="Times New Roman" w:cs="Times New Roman"/>
        </w:rPr>
        <w:t>6</w:t>
      </w:r>
      <w:r w:rsidRPr="00C50C02">
        <w:rPr>
          <w:rFonts w:ascii="Times New Roman" w:hAnsi="Times New Roman" w:cs="Times New Roman"/>
        </w:rPr>
        <w:t xml:space="preserve"> of Exhibit No.</w:t>
      </w:r>
      <w:r>
        <w:rPr>
          <w:rFonts w:ascii="Times New Roman" w:hAnsi="Times New Roman" w:cs="Times New Roman"/>
        </w:rPr>
        <w:t xml:space="preserve">___ (MTT-2). </w:t>
      </w:r>
    </w:p>
    <w:p w:rsidR="00E56ED5" w:rsidRPr="00E555DD" w:rsidRDefault="00E56ED5" w:rsidP="0051339F">
      <w:pPr>
        <w:pStyle w:val="BodyText2"/>
        <w:tabs>
          <w:tab w:val="clear" w:pos="720"/>
        </w:tabs>
        <w:spacing w:before="0" w:after="0"/>
        <w:ind w:left="0" w:right="14" w:firstLine="720"/>
        <w:rPr>
          <w:rFonts w:ascii="Times New Roman" w:hAnsi="Times New Roman" w:cs="Times New Roman"/>
          <w:bCs/>
        </w:rPr>
      </w:pPr>
    </w:p>
    <w:p w:rsidR="00C50C02" w:rsidRPr="004C362D" w:rsidRDefault="00C50C02" w:rsidP="00E56ED5">
      <w:pPr>
        <w:pStyle w:val="BodyText2"/>
        <w:tabs>
          <w:tab w:val="clear" w:pos="720"/>
        </w:tabs>
        <w:spacing w:before="0" w:after="0"/>
        <w:ind w:left="0" w:right="14" w:firstLine="720"/>
        <w:jc w:val="center"/>
        <w:rPr>
          <w:b/>
          <w:bCs/>
          <w:u w:val="single"/>
        </w:rPr>
      </w:pPr>
      <w:bookmarkStart w:id="14" w:name="_Toc289931773"/>
      <w:r w:rsidRPr="004C362D">
        <w:rPr>
          <w:b/>
          <w:bCs/>
          <w:u w:val="single"/>
        </w:rPr>
        <w:t>VI. COST OF DEBT</w:t>
      </w:r>
      <w:bookmarkEnd w:id="14"/>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How have you determined the cost of debt?</w:t>
      </w:r>
    </w:p>
    <w:p w:rsid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Cost of </w:t>
      </w:r>
      <w:r w:rsidR="00703160">
        <w:rPr>
          <w:rFonts w:ascii="Times New Roman" w:hAnsi="Times New Roman" w:cs="Times New Roman"/>
        </w:rPr>
        <w:t xml:space="preserve">total </w:t>
      </w:r>
      <w:r w:rsidRPr="00C50C02">
        <w:rPr>
          <w:rFonts w:ascii="Times New Roman" w:hAnsi="Times New Roman" w:cs="Times New Roman"/>
        </w:rPr>
        <w:t>debt in the Company’s proposed capital structure includes lon</w:t>
      </w:r>
      <w:r w:rsidR="00703160">
        <w:rPr>
          <w:rFonts w:ascii="Times New Roman" w:hAnsi="Times New Roman" w:cs="Times New Roman"/>
        </w:rPr>
        <w:t>g-term debt</w:t>
      </w:r>
      <w:r w:rsidR="00CB7B16">
        <w:rPr>
          <w:rFonts w:ascii="Times New Roman" w:hAnsi="Times New Roman" w:cs="Times New Roman"/>
        </w:rPr>
        <w:t xml:space="preserve"> and the </w:t>
      </w:r>
      <w:r w:rsidR="00623052">
        <w:rPr>
          <w:rFonts w:ascii="Times New Roman" w:hAnsi="Times New Roman" w:cs="Times New Roman"/>
        </w:rPr>
        <w:t xml:space="preserve">forecasted </w:t>
      </w:r>
      <w:r w:rsidR="00CB7B16">
        <w:rPr>
          <w:rFonts w:ascii="Times New Roman" w:hAnsi="Times New Roman" w:cs="Times New Roman"/>
        </w:rPr>
        <w:t xml:space="preserve">monthly average of short-term </w:t>
      </w:r>
      <w:r w:rsidR="00CB7B16" w:rsidRPr="006B10CC">
        <w:rPr>
          <w:rFonts w:ascii="Times New Roman" w:hAnsi="Times New Roman" w:cs="Times New Roman"/>
        </w:rPr>
        <w:t>debt (for the period December 31, 20</w:t>
      </w:r>
      <w:r w:rsidR="0014410C">
        <w:rPr>
          <w:rFonts w:ascii="Times New Roman" w:hAnsi="Times New Roman" w:cs="Times New Roman"/>
        </w:rPr>
        <w:t>1</w:t>
      </w:r>
      <w:r w:rsidR="0040097F">
        <w:rPr>
          <w:rFonts w:ascii="Times New Roman" w:hAnsi="Times New Roman" w:cs="Times New Roman"/>
        </w:rPr>
        <w:t>1</w:t>
      </w:r>
      <w:r w:rsidR="00CB7B16" w:rsidRPr="006B10CC">
        <w:rPr>
          <w:rFonts w:ascii="Times New Roman" w:hAnsi="Times New Roman" w:cs="Times New Roman"/>
        </w:rPr>
        <w:t xml:space="preserve"> through December 31, 20</w:t>
      </w:r>
      <w:r w:rsidR="00807909" w:rsidRPr="006B10CC">
        <w:rPr>
          <w:rFonts w:ascii="Times New Roman" w:hAnsi="Times New Roman" w:cs="Times New Roman"/>
        </w:rPr>
        <w:t>1</w:t>
      </w:r>
      <w:r w:rsidR="0040097F">
        <w:rPr>
          <w:rFonts w:ascii="Times New Roman" w:hAnsi="Times New Roman" w:cs="Times New Roman"/>
        </w:rPr>
        <w:t>2</w:t>
      </w:r>
      <w:r w:rsidR="0078665D" w:rsidRPr="006B10CC">
        <w:rPr>
          <w:rFonts w:ascii="Times New Roman" w:hAnsi="Times New Roman" w:cs="Times New Roman"/>
        </w:rPr>
        <w:t>).</w:t>
      </w:r>
      <w:r w:rsidR="00703160">
        <w:rPr>
          <w:rFonts w:ascii="Times New Roman" w:hAnsi="Times New Roman" w:cs="Times New Roman"/>
        </w:rPr>
        <w:t xml:space="preserve">  As shown on page 2</w:t>
      </w:r>
      <w:r w:rsidRPr="00C50C02">
        <w:rPr>
          <w:rFonts w:ascii="Times New Roman" w:hAnsi="Times New Roman" w:cs="Times New Roman"/>
        </w:rPr>
        <w:t xml:space="preserve"> of </w:t>
      </w:r>
      <w:r w:rsidR="00703160" w:rsidRPr="00C50C02">
        <w:rPr>
          <w:rFonts w:ascii="Times New Roman" w:hAnsi="Times New Roman" w:cs="Times New Roman"/>
        </w:rPr>
        <w:t>Exhibit No.</w:t>
      </w:r>
      <w:r w:rsidR="00703160">
        <w:rPr>
          <w:rFonts w:ascii="Times New Roman" w:hAnsi="Times New Roman" w:cs="Times New Roman"/>
        </w:rPr>
        <w:t>__</w:t>
      </w:r>
      <w:r w:rsidR="00FB0831">
        <w:rPr>
          <w:rFonts w:ascii="Times New Roman" w:hAnsi="Times New Roman" w:cs="Times New Roman"/>
        </w:rPr>
        <w:t>_ (</w:t>
      </w:r>
      <w:r w:rsidR="00703160">
        <w:rPr>
          <w:rFonts w:ascii="Times New Roman" w:hAnsi="Times New Roman" w:cs="Times New Roman"/>
        </w:rPr>
        <w:t>MTT-2)</w:t>
      </w:r>
      <w:r w:rsidRPr="00C50C02">
        <w:rPr>
          <w:rFonts w:ascii="Times New Roman" w:hAnsi="Times New Roman" w:cs="Times New Roman"/>
        </w:rPr>
        <w:t xml:space="preserve">, the </w:t>
      </w:r>
      <w:r w:rsidR="00FC58C3">
        <w:rPr>
          <w:rFonts w:ascii="Times New Roman" w:hAnsi="Times New Roman" w:cs="Times New Roman"/>
        </w:rPr>
        <w:t xml:space="preserve">forecasted </w:t>
      </w:r>
      <w:r w:rsidRPr="00C50C02">
        <w:rPr>
          <w:rFonts w:ascii="Times New Roman" w:hAnsi="Times New Roman" w:cs="Times New Roman"/>
        </w:rPr>
        <w:t>weighted average cost of debt outstandi</w:t>
      </w:r>
      <w:r w:rsidR="00703160">
        <w:rPr>
          <w:rFonts w:ascii="Times New Roman" w:hAnsi="Times New Roman" w:cs="Times New Roman"/>
        </w:rPr>
        <w:t xml:space="preserve">ng </w:t>
      </w:r>
      <w:r w:rsidR="00703160" w:rsidRPr="00BD4291">
        <w:rPr>
          <w:rFonts w:ascii="Times New Roman" w:hAnsi="Times New Roman" w:cs="Times New Roman"/>
        </w:rPr>
        <w:t xml:space="preserve">on </w:t>
      </w:r>
      <w:r w:rsidR="00807909" w:rsidRPr="00BD4291">
        <w:rPr>
          <w:rFonts w:ascii="Times New Roman" w:hAnsi="Times New Roman" w:cs="Times New Roman"/>
        </w:rPr>
        <w:t>December 31</w:t>
      </w:r>
      <w:r w:rsidR="00703160" w:rsidRPr="00BD4291">
        <w:rPr>
          <w:rFonts w:ascii="Times New Roman" w:hAnsi="Times New Roman" w:cs="Times New Roman"/>
        </w:rPr>
        <w:t>, 20</w:t>
      </w:r>
      <w:r w:rsidR="0014410C">
        <w:rPr>
          <w:rFonts w:ascii="Times New Roman" w:hAnsi="Times New Roman" w:cs="Times New Roman"/>
        </w:rPr>
        <w:t>1</w:t>
      </w:r>
      <w:r w:rsidR="008012B9">
        <w:rPr>
          <w:rFonts w:ascii="Times New Roman" w:hAnsi="Times New Roman" w:cs="Times New Roman"/>
        </w:rPr>
        <w:t>2</w:t>
      </w:r>
      <w:r w:rsidR="00703160" w:rsidRPr="00BD4291">
        <w:rPr>
          <w:rFonts w:ascii="Times New Roman" w:hAnsi="Times New Roman" w:cs="Times New Roman"/>
        </w:rPr>
        <w:t xml:space="preserve"> </w:t>
      </w:r>
      <w:r w:rsidR="00FC58C3">
        <w:rPr>
          <w:rFonts w:ascii="Times New Roman" w:hAnsi="Times New Roman" w:cs="Times New Roman"/>
        </w:rPr>
        <w:t>is</w:t>
      </w:r>
      <w:r w:rsidR="00703160" w:rsidRPr="00BD4291">
        <w:rPr>
          <w:rFonts w:ascii="Times New Roman" w:hAnsi="Times New Roman" w:cs="Times New Roman"/>
        </w:rPr>
        <w:t xml:space="preserve"> </w:t>
      </w:r>
      <w:r w:rsidR="00B410EE">
        <w:rPr>
          <w:rFonts w:ascii="Times New Roman" w:hAnsi="Times New Roman" w:cs="Times New Roman"/>
        </w:rPr>
        <w:t>5.</w:t>
      </w:r>
      <w:r w:rsidR="008012B9">
        <w:rPr>
          <w:rFonts w:ascii="Times New Roman" w:hAnsi="Times New Roman" w:cs="Times New Roman"/>
        </w:rPr>
        <w:t>76</w:t>
      </w:r>
      <w:r w:rsidRPr="00BD4291">
        <w:rPr>
          <w:rFonts w:ascii="Times New Roman" w:hAnsi="Times New Roman" w:cs="Times New Roman"/>
        </w:rPr>
        <w:t xml:space="preserve">%.  The size and mix of debt changes over time based upon the actual financing completed.  We have made certain pro forma adjustments to update the debt cost through </w:t>
      </w:r>
      <w:r w:rsidR="00CB7B16" w:rsidRPr="00BD4291">
        <w:rPr>
          <w:rFonts w:ascii="Times New Roman" w:hAnsi="Times New Roman" w:cs="Times New Roman"/>
        </w:rPr>
        <w:t>December 31, 20</w:t>
      </w:r>
      <w:r w:rsidR="00807909" w:rsidRPr="00BD4291">
        <w:rPr>
          <w:rFonts w:ascii="Times New Roman" w:hAnsi="Times New Roman" w:cs="Times New Roman"/>
        </w:rPr>
        <w:t>1</w:t>
      </w:r>
      <w:r w:rsidR="00F21C06">
        <w:rPr>
          <w:rFonts w:ascii="Times New Roman" w:hAnsi="Times New Roman" w:cs="Times New Roman"/>
        </w:rPr>
        <w:t>2</w:t>
      </w:r>
      <w:r w:rsidRPr="00BD4291">
        <w:rPr>
          <w:rFonts w:ascii="Times New Roman" w:hAnsi="Times New Roman" w:cs="Times New Roman"/>
        </w:rPr>
        <w:t>.  Pro</w:t>
      </w:r>
      <w:r w:rsidRPr="00C50C02">
        <w:rPr>
          <w:rFonts w:ascii="Times New Roman" w:hAnsi="Times New Roman" w:cs="Times New Roman"/>
        </w:rPr>
        <w:t xml:space="preserve"> forma adjustments to </w:t>
      </w:r>
      <w:r w:rsidR="00CB7B16">
        <w:rPr>
          <w:rFonts w:ascii="Times New Roman" w:hAnsi="Times New Roman" w:cs="Times New Roman"/>
        </w:rPr>
        <w:t>total</w:t>
      </w:r>
      <w:r w:rsidRPr="00C50C02">
        <w:rPr>
          <w:rFonts w:ascii="Times New Roman" w:hAnsi="Times New Roman" w:cs="Times New Roman"/>
        </w:rPr>
        <w:t xml:space="preserve"> debt reflect </w:t>
      </w:r>
      <w:r w:rsidR="00FB1EF4">
        <w:rPr>
          <w:rFonts w:ascii="Times New Roman" w:hAnsi="Times New Roman" w:cs="Times New Roman"/>
        </w:rPr>
        <w:t xml:space="preserve">the </w:t>
      </w:r>
      <w:r w:rsidRPr="00C50C02">
        <w:rPr>
          <w:rFonts w:ascii="Times New Roman" w:hAnsi="Times New Roman" w:cs="Times New Roman"/>
        </w:rPr>
        <w:t>issuance of new debt</w:t>
      </w:r>
      <w:r w:rsidR="00FB1EF4">
        <w:rPr>
          <w:rFonts w:ascii="Times New Roman" w:hAnsi="Times New Roman" w:cs="Times New Roman"/>
        </w:rPr>
        <w:t xml:space="preserve"> </w:t>
      </w:r>
      <w:r w:rsidR="008D7C77" w:rsidRPr="008D7C77">
        <w:rPr>
          <w:rFonts w:ascii="Times New Roman" w:hAnsi="Times New Roman" w:cs="Times New Roman"/>
        </w:rPr>
        <w:t>and the forecasted monthly average of short-term debt</w:t>
      </w:r>
      <w:r w:rsidR="00CB7B16" w:rsidRPr="00172F49">
        <w:rPr>
          <w:rFonts w:ascii="Times New Roman" w:hAnsi="Times New Roman" w:cs="Times New Roman"/>
        </w:rPr>
        <w:t xml:space="preserve"> </w:t>
      </w:r>
      <w:r w:rsidR="00CB7B16">
        <w:rPr>
          <w:rFonts w:ascii="Times New Roman" w:hAnsi="Times New Roman" w:cs="Times New Roman"/>
        </w:rPr>
        <w:t>for the pro forma period</w:t>
      </w:r>
      <w:r w:rsidR="00D525EE">
        <w:rPr>
          <w:rFonts w:ascii="Times New Roman" w:hAnsi="Times New Roman" w:cs="Times New Roman"/>
        </w:rPr>
        <w:t>.</w:t>
      </w:r>
    </w:p>
    <w:p w:rsidR="00E56ED5" w:rsidRDefault="00E56ED5" w:rsidP="0051339F">
      <w:pPr>
        <w:pStyle w:val="BodyText2"/>
        <w:tabs>
          <w:tab w:val="clear" w:pos="720"/>
        </w:tabs>
        <w:spacing w:before="0" w:after="0"/>
        <w:ind w:left="0" w:right="14" w:firstLine="720"/>
        <w:rPr>
          <w:rFonts w:ascii="Times New Roman" w:hAnsi="Times New Roman" w:cs="Times New Roman"/>
        </w:rPr>
      </w:pPr>
    </w:p>
    <w:p w:rsidR="00C50C02" w:rsidRPr="004C362D" w:rsidRDefault="00C50C02" w:rsidP="00E56ED5">
      <w:pPr>
        <w:pStyle w:val="Heading3"/>
        <w:spacing w:before="0" w:after="0"/>
        <w:ind w:left="0" w:right="14"/>
        <w:rPr>
          <w:u w:val="single"/>
        </w:rPr>
      </w:pPr>
      <w:bookmarkStart w:id="15" w:name="_Toc289931774"/>
      <w:r w:rsidRPr="004C362D">
        <w:rPr>
          <w:u w:val="single"/>
        </w:rPr>
        <w:t>VII. COST OF COMMON EQUITY</w:t>
      </w:r>
      <w:bookmarkEnd w:id="15"/>
    </w:p>
    <w:p w:rsidR="00C50C02" w:rsidRPr="00132823" w:rsidRDefault="00C50C02" w:rsidP="0051339F">
      <w:pPr>
        <w:pStyle w:val="BodyText2"/>
        <w:tabs>
          <w:tab w:val="clear" w:pos="720"/>
        </w:tabs>
        <w:spacing w:before="0" w:after="0"/>
        <w:ind w:left="0" w:right="14" w:firstLine="720"/>
        <w:rPr>
          <w:rFonts w:ascii="Times New Roman" w:hAnsi="Times New Roman" w:cs="Times New Roman"/>
          <w:b/>
          <w:bCs/>
        </w:rPr>
      </w:pPr>
      <w:proofErr w:type="gramStart"/>
      <w:r w:rsidRPr="00132823">
        <w:rPr>
          <w:rFonts w:ascii="Times New Roman" w:hAnsi="Times New Roman" w:cs="Times New Roman"/>
          <w:b/>
          <w:bCs/>
        </w:rPr>
        <w:t>Q.</w:t>
      </w:r>
      <w:r w:rsidRPr="00132823">
        <w:rPr>
          <w:rFonts w:ascii="Times New Roman" w:hAnsi="Times New Roman" w:cs="Times New Roman"/>
          <w:b/>
          <w:bCs/>
        </w:rPr>
        <w:tab/>
        <w:t>What rate of return on common equity is the Company proposing in this proceeding?</w:t>
      </w:r>
      <w:proofErr w:type="gramEnd"/>
    </w:p>
    <w:p w:rsidR="00F919A3" w:rsidRPr="0034491A" w:rsidRDefault="0066447F" w:rsidP="0051339F">
      <w:pPr>
        <w:pStyle w:val="BodyText2"/>
        <w:tabs>
          <w:tab w:val="clear" w:pos="720"/>
        </w:tabs>
        <w:spacing w:before="0" w:after="0"/>
        <w:ind w:left="0" w:right="14" w:firstLine="720"/>
        <w:rPr>
          <w:rFonts w:ascii="Times New Roman" w:hAnsi="Times New Roman" w:cs="Times New Roman"/>
          <w:highlight w:val="yellow"/>
        </w:rPr>
      </w:pPr>
      <w:r w:rsidRPr="0066447F">
        <w:rPr>
          <w:rFonts w:ascii="Times New Roman" w:hAnsi="Times New Roman" w:cs="Times New Roman"/>
          <w:bCs/>
        </w:rPr>
        <w:t>A.</w:t>
      </w:r>
      <w:r w:rsidRPr="0066447F">
        <w:rPr>
          <w:rFonts w:ascii="Times New Roman" w:hAnsi="Times New Roman" w:cs="Times New Roman"/>
          <w:bCs/>
        </w:rPr>
        <w:tab/>
      </w:r>
      <w:r w:rsidRPr="0066447F">
        <w:rPr>
          <w:rFonts w:ascii="Times New Roman" w:hAnsi="Times New Roman" w:cs="Times New Roman"/>
        </w:rPr>
        <w:t xml:space="preserve">The Company is proposing a 10.9% return on common equity (ROE), which falls essentially at the midpoint of Dr. </w:t>
      </w:r>
      <w:proofErr w:type="spellStart"/>
      <w:r w:rsidRPr="0066447F">
        <w:rPr>
          <w:rFonts w:ascii="Times New Roman" w:hAnsi="Times New Roman" w:cs="Times New Roman"/>
        </w:rPr>
        <w:t>Avera’s</w:t>
      </w:r>
      <w:proofErr w:type="spellEnd"/>
      <w:r w:rsidRPr="0066447F">
        <w:rPr>
          <w:rFonts w:ascii="Times New Roman" w:hAnsi="Times New Roman" w:cs="Times New Roman"/>
        </w:rPr>
        <w:t xml:space="preserve"> recommended range of required return on </w:t>
      </w:r>
      <w:r w:rsidRPr="0066447F">
        <w:rPr>
          <w:rFonts w:ascii="Times New Roman" w:hAnsi="Times New Roman" w:cs="Times New Roman"/>
        </w:rPr>
        <w:lastRenderedPageBreak/>
        <w:t xml:space="preserve">equity.  Dr. Avera testifies to analyses related to the cost of common equity with an ROE range of </w:t>
      </w:r>
      <w:r w:rsidR="008012B9" w:rsidRPr="008012B9">
        <w:rPr>
          <w:rFonts w:ascii="Times New Roman" w:hAnsi="Times New Roman" w:cs="Times New Roman"/>
        </w:rPr>
        <w:t>10.0 percent to 11.4 percent range, or 10.2 percent to 11.6 percent after incorporating an adjustment to account for the impact of common equity flotation costs</w:t>
      </w:r>
      <w:r w:rsidRPr="0066447F">
        <w:rPr>
          <w:rFonts w:ascii="Times New Roman" w:hAnsi="Times New Roman" w:cs="Times New Roman"/>
        </w:rPr>
        <w:t xml:space="preserve">.  In his testimony Dr. Avera states that: </w:t>
      </w:r>
    </w:p>
    <w:p w:rsidR="0066447F" w:rsidRPr="0066447F" w:rsidRDefault="0066447F" w:rsidP="000150A0">
      <w:pPr>
        <w:pStyle w:val="BodyText2"/>
        <w:numPr>
          <w:ilvl w:val="1"/>
          <w:numId w:val="4"/>
        </w:numPr>
        <w:tabs>
          <w:tab w:val="clear" w:pos="720"/>
        </w:tabs>
        <w:spacing w:line="240" w:lineRule="auto"/>
        <w:ind w:left="720" w:right="18"/>
        <w:rPr>
          <w:rFonts w:ascii="Times New Roman" w:hAnsi="Times New Roman" w:cs="Times New Roman"/>
        </w:rPr>
      </w:pPr>
      <w:r w:rsidRPr="0066447F">
        <w:rPr>
          <w:rFonts w:ascii="Times New Roman" w:hAnsi="Times New Roman" w:cs="Times New Roman"/>
        </w:rPr>
        <w:t xml:space="preserve">My conclusion that a </w:t>
      </w:r>
      <w:r w:rsidR="0027652A">
        <w:rPr>
          <w:rFonts w:ascii="Times New Roman" w:hAnsi="Times New Roman" w:cs="Times New Roman"/>
        </w:rPr>
        <w:t>10.9</w:t>
      </w:r>
      <w:r w:rsidRPr="0066447F">
        <w:rPr>
          <w:rFonts w:ascii="Times New Roman" w:hAnsi="Times New Roman" w:cs="Times New Roman"/>
        </w:rPr>
        <w:t xml:space="preserve"> percent ROE for Avista is a reasonable estimate of investors’ required return is also reinforced by the greater uncertainties associated with Avista’s relatively small size, the economic reality that Avista’s actual returns have fallen consistently short of the allowed ROE, and the fact that current cost of capital estimates are likely to understate investors’ requirements at the time the outcome of this proceeding becomes effective and beyond. (Exhibit No.___(WEA-1T), at P.5, ll. 2</w:t>
      </w:r>
      <w:r w:rsidR="00C72BC2">
        <w:rPr>
          <w:rFonts w:ascii="Times New Roman" w:hAnsi="Times New Roman" w:cs="Times New Roman"/>
        </w:rPr>
        <w:t>5</w:t>
      </w:r>
      <w:r w:rsidRPr="0066447F">
        <w:rPr>
          <w:rFonts w:ascii="Times New Roman" w:hAnsi="Times New Roman" w:cs="Times New Roman"/>
        </w:rPr>
        <w:t>-</w:t>
      </w:r>
      <w:r w:rsidR="00C72BC2">
        <w:rPr>
          <w:rFonts w:ascii="Times New Roman" w:hAnsi="Times New Roman" w:cs="Times New Roman"/>
        </w:rPr>
        <w:t>30</w:t>
      </w:r>
      <w:r w:rsidRPr="0066447F">
        <w:rPr>
          <w:rFonts w:ascii="Times New Roman" w:hAnsi="Times New Roman" w:cs="Times New Roman"/>
        </w:rPr>
        <w:t>)</w:t>
      </w:r>
    </w:p>
    <w:p w:rsidR="00C50C02" w:rsidRPr="00712063" w:rsidRDefault="00C50C02" w:rsidP="007D066E">
      <w:pPr>
        <w:pStyle w:val="BodyText2"/>
        <w:tabs>
          <w:tab w:val="clear" w:pos="720"/>
        </w:tabs>
        <w:spacing w:line="240" w:lineRule="auto"/>
        <w:ind w:left="0" w:right="18"/>
        <w:rPr>
          <w:rFonts w:ascii="Times New Roman" w:hAnsi="Times New Roman" w:cs="Times New Roman"/>
        </w:rPr>
      </w:pPr>
    </w:p>
    <w:p w:rsidR="000150A0" w:rsidRDefault="0066447F" w:rsidP="00FD55D6">
      <w:pPr>
        <w:pStyle w:val="BodyText2"/>
        <w:tabs>
          <w:tab w:val="clear" w:pos="720"/>
        </w:tabs>
        <w:spacing w:before="0" w:after="0"/>
        <w:ind w:left="0" w:right="14" w:firstLine="720"/>
        <w:rPr>
          <w:rFonts w:ascii="Times New Roman" w:hAnsi="Times New Roman" w:cs="Times New Roman"/>
        </w:rPr>
      </w:pPr>
      <w:r w:rsidRPr="0066447F">
        <w:rPr>
          <w:rFonts w:ascii="Times New Roman" w:hAnsi="Times New Roman" w:cs="Times New Roman"/>
        </w:rPr>
        <w:t xml:space="preserve">With regard to the Weighted Cost of Equity (ROE x equity layer), the following graph shows the weighted cost of equity (WCOE) authorized by state commissions for the most recent rate cases of the Utility Proxy Group in Dr. </w:t>
      </w:r>
      <w:proofErr w:type="spellStart"/>
      <w:r w:rsidRPr="0066447F">
        <w:rPr>
          <w:rFonts w:ascii="Times New Roman" w:hAnsi="Times New Roman" w:cs="Times New Roman"/>
        </w:rPr>
        <w:t>Avera’s</w:t>
      </w:r>
      <w:proofErr w:type="spellEnd"/>
      <w:r w:rsidRPr="0066447F">
        <w:rPr>
          <w:rFonts w:ascii="Times New Roman" w:hAnsi="Times New Roman" w:cs="Times New Roman"/>
        </w:rPr>
        <w:t xml:space="preserve"> testimony.  The Illustration below shows that the majority of WCOEs</w:t>
      </w:r>
      <w:r w:rsidR="00070A53">
        <w:rPr>
          <w:rFonts w:ascii="Times New Roman" w:hAnsi="Times New Roman" w:cs="Times New Roman"/>
        </w:rPr>
        <w:t xml:space="preserve"> </w:t>
      </w:r>
      <w:r w:rsidR="00B9005A">
        <w:rPr>
          <w:rFonts w:ascii="Times New Roman" w:hAnsi="Times New Roman" w:cs="Times New Roman"/>
        </w:rPr>
        <w:t>are</w:t>
      </w:r>
      <w:r w:rsidRPr="0066447F">
        <w:rPr>
          <w:rFonts w:ascii="Times New Roman" w:hAnsi="Times New Roman" w:cs="Times New Roman"/>
        </w:rPr>
        <w:t xml:space="preserve"> above 5</w:t>
      </w:r>
      <w:r w:rsidR="00712063">
        <w:rPr>
          <w:rFonts w:ascii="Times New Roman" w:hAnsi="Times New Roman" w:cs="Times New Roman"/>
        </w:rPr>
        <w:t>.0</w:t>
      </w:r>
      <w:r w:rsidRPr="0066447F">
        <w:rPr>
          <w:rFonts w:ascii="Times New Roman" w:hAnsi="Times New Roman" w:cs="Times New Roman"/>
        </w:rPr>
        <w:t>%.</w:t>
      </w:r>
    </w:p>
    <w:p w:rsidR="007518F0" w:rsidRPr="00712063" w:rsidRDefault="000150A0" w:rsidP="000150A0">
      <w:pPr>
        <w:autoSpaceDE/>
        <w:autoSpaceDN/>
      </w:pPr>
      <w:r>
        <w:br w:type="page"/>
      </w:r>
    </w:p>
    <w:p w:rsidR="004117F5" w:rsidRPr="00712063" w:rsidRDefault="0066447F" w:rsidP="007D066E">
      <w:pPr>
        <w:pStyle w:val="BodyText2"/>
        <w:tabs>
          <w:tab w:val="clear" w:pos="720"/>
        </w:tabs>
        <w:ind w:left="0" w:right="18"/>
        <w:rPr>
          <w:rFonts w:ascii="Times New Roman" w:hAnsi="Times New Roman" w:cs="Times New Roman"/>
          <w:b/>
          <w:u w:val="single"/>
        </w:rPr>
      </w:pPr>
      <w:r w:rsidRPr="0066447F">
        <w:rPr>
          <w:rFonts w:ascii="Times New Roman" w:hAnsi="Times New Roman" w:cs="Times New Roman"/>
          <w:b/>
          <w:u w:val="single"/>
        </w:rPr>
        <w:lastRenderedPageBreak/>
        <w:t>Illustration No. 7:</w:t>
      </w:r>
    </w:p>
    <w:p w:rsidR="00221226" w:rsidRDefault="006E5CC3" w:rsidP="007D066E">
      <w:pPr>
        <w:ind w:left="0" w:right="18"/>
      </w:pPr>
      <w:r>
        <w:rPr>
          <w:noProof/>
        </w:rPr>
        <w:drawing>
          <wp:inline distT="0" distB="0" distL="0" distR="0">
            <wp:extent cx="5467350" cy="425013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468719" cy="4251199"/>
                    </a:xfrm>
                    <a:prstGeom prst="rect">
                      <a:avLst/>
                    </a:prstGeom>
                    <a:noFill/>
                    <a:ln w="9525">
                      <a:noFill/>
                      <a:miter lim="800000"/>
                      <a:headEnd/>
                      <a:tailEnd/>
                    </a:ln>
                  </pic:spPr>
                </pic:pic>
              </a:graphicData>
            </a:graphic>
          </wp:inline>
        </w:drawing>
      </w:r>
    </w:p>
    <w:p w:rsidR="006E5CC3" w:rsidRPr="0066447F" w:rsidRDefault="006E5CC3" w:rsidP="00FD55D6">
      <w:pPr>
        <w:pStyle w:val="BodyText2"/>
        <w:tabs>
          <w:tab w:val="clear" w:pos="720"/>
        </w:tabs>
        <w:spacing w:before="0" w:after="0"/>
        <w:ind w:left="0" w:right="14" w:firstLine="720"/>
        <w:rPr>
          <w:rFonts w:ascii="Times New Roman" w:hAnsi="Times New Roman" w:cs="Times New Roman"/>
        </w:rPr>
      </w:pPr>
      <w:r w:rsidRPr="0066447F">
        <w:t>I believe this weighted cost of equity</w:t>
      </w:r>
      <w:r w:rsidRPr="00712063">
        <w:rPr>
          <w:rFonts w:ascii="Times New Roman" w:hAnsi="Times New Roman" w:cs="Times New Roman"/>
        </w:rPr>
        <w:t xml:space="preserve"> </w:t>
      </w:r>
      <w:r w:rsidR="00070A53" w:rsidRPr="00712063">
        <w:rPr>
          <w:rFonts w:ascii="Times New Roman" w:hAnsi="Times New Roman" w:cs="Times New Roman"/>
        </w:rPr>
        <w:t xml:space="preserve">of 5.27% (10.9% ROE x 48.4% equity layer) </w:t>
      </w:r>
      <w:r w:rsidRPr="0066447F">
        <w:t xml:space="preserve">would allow Avista to successfully compete for investors in equity markets. </w:t>
      </w:r>
    </w:p>
    <w:p w:rsidR="0066447F" w:rsidRDefault="00C50C02" w:rsidP="00FD55D6">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Please summarize the proposed capital structure and the cost components for debt and common equity.</w:t>
      </w:r>
    </w:p>
    <w:p w:rsidR="000150A0" w:rsidRDefault="0078665D" w:rsidP="00FD55D6">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As also shown on page </w:t>
      </w:r>
      <w:r w:rsidR="00B410EE">
        <w:rPr>
          <w:rFonts w:ascii="Times New Roman" w:hAnsi="Times New Roman" w:cs="Times New Roman"/>
        </w:rPr>
        <w:t>2</w:t>
      </w:r>
      <w:r w:rsidR="0040097F" w:rsidRPr="00C50C02">
        <w:rPr>
          <w:rFonts w:ascii="Times New Roman" w:hAnsi="Times New Roman" w:cs="Times New Roman"/>
        </w:rPr>
        <w:t xml:space="preserve"> </w:t>
      </w:r>
      <w:r w:rsidR="00C50C02" w:rsidRPr="00C50C02">
        <w:rPr>
          <w:rFonts w:ascii="Times New Roman" w:hAnsi="Times New Roman" w:cs="Times New Roman"/>
        </w:rPr>
        <w:t>of Exhibit No.</w:t>
      </w:r>
      <w:r w:rsidR="00CB7B16">
        <w:rPr>
          <w:rFonts w:ascii="Times New Roman" w:hAnsi="Times New Roman" w:cs="Times New Roman"/>
        </w:rPr>
        <w:t>__</w:t>
      </w:r>
      <w:r w:rsidR="00043707">
        <w:rPr>
          <w:rFonts w:ascii="Times New Roman" w:hAnsi="Times New Roman" w:cs="Times New Roman"/>
        </w:rPr>
        <w:t>_ (</w:t>
      </w:r>
      <w:r w:rsidR="00CB7B16">
        <w:rPr>
          <w:rFonts w:ascii="Times New Roman" w:hAnsi="Times New Roman" w:cs="Times New Roman"/>
        </w:rPr>
        <w:t>MTT-2)</w:t>
      </w:r>
      <w:r w:rsidR="00C50C02" w:rsidRPr="00C50C02">
        <w:rPr>
          <w:rFonts w:ascii="Times New Roman" w:hAnsi="Times New Roman" w:cs="Times New Roman"/>
        </w:rPr>
        <w:t xml:space="preserve">, the following illustration shows the capital structure and cost components proposed by the Company. </w:t>
      </w:r>
    </w:p>
    <w:p w:rsidR="007518F0" w:rsidRDefault="000150A0" w:rsidP="000150A0">
      <w:pPr>
        <w:autoSpaceDE/>
        <w:autoSpaceDN/>
      </w:pPr>
      <w:r>
        <w:br w:type="page"/>
      </w:r>
    </w:p>
    <w:p w:rsidR="00C50C02" w:rsidRDefault="00C50C02" w:rsidP="007D066E">
      <w:pPr>
        <w:pStyle w:val="BodyText2"/>
        <w:tabs>
          <w:tab w:val="clear" w:pos="720"/>
        </w:tabs>
        <w:ind w:left="0" w:right="18"/>
        <w:rPr>
          <w:rFonts w:ascii="Times New Roman" w:hAnsi="Times New Roman" w:cs="Times New Roman"/>
          <w:b/>
          <w:bCs/>
          <w:u w:val="single"/>
        </w:rPr>
      </w:pPr>
      <w:r w:rsidRPr="00C50C02">
        <w:rPr>
          <w:rFonts w:ascii="Times New Roman" w:hAnsi="Times New Roman" w:cs="Times New Roman"/>
          <w:b/>
          <w:bCs/>
          <w:u w:val="single"/>
        </w:rPr>
        <w:lastRenderedPageBreak/>
        <w:t xml:space="preserve">Illustration No. </w:t>
      </w:r>
      <w:r w:rsidR="00B410EE">
        <w:rPr>
          <w:rFonts w:ascii="Times New Roman" w:hAnsi="Times New Roman" w:cs="Times New Roman"/>
          <w:b/>
          <w:bCs/>
          <w:u w:val="single"/>
        </w:rPr>
        <w:t>8</w:t>
      </w:r>
      <w:r w:rsidRPr="00C50C02">
        <w:rPr>
          <w:rFonts w:ascii="Times New Roman" w:hAnsi="Times New Roman" w:cs="Times New Roman"/>
          <w:b/>
          <w:bCs/>
          <w:u w:val="single"/>
        </w:rPr>
        <w:t>:</w:t>
      </w:r>
    </w:p>
    <w:p w:rsidR="0066447F" w:rsidRDefault="00347B89" w:rsidP="002D4EFA">
      <w:pPr>
        <w:pStyle w:val="BodyText2"/>
        <w:tabs>
          <w:tab w:val="clear" w:pos="720"/>
        </w:tabs>
        <w:spacing w:before="0" w:after="0"/>
        <w:ind w:left="274" w:right="14"/>
      </w:pPr>
      <w:r>
        <w:rPr>
          <w:noProof/>
        </w:rPr>
        <w:drawing>
          <wp:inline distT="0" distB="0" distL="0" distR="0">
            <wp:extent cx="5087788" cy="1984076"/>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094023" cy="1986507"/>
                    </a:xfrm>
                    <a:prstGeom prst="rect">
                      <a:avLst/>
                    </a:prstGeom>
                    <a:noFill/>
                    <a:ln w="9525">
                      <a:noFill/>
                      <a:miter lim="800000"/>
                      <a:headEnd/>
                      <a:tailEnd/>
                    </a:ln>
                  </pic:spPr>
                </pic:pic>
              </a:graphicData>
            </a:graphic>
          </wp:inline>
        </w:drawing>
      </w:r>
    </w:p>
    <w:p w:rsidR="0066447F" w:rsidRDefault="00C50C02" w:rsidP="002D4EFA">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Does that conclude your pre-filed direct testimony?</w:t>
      </w:r>
    </w:p>
    <w:p w:rsidR="00591B87" w:rsidRPr="00CB7B16" w:rsidRDefault="00C50C02" w:rsidP="002D4EFA">
      <w:pPr>
        <w:pStyle w:val="Heading5"/>
        <w:spacing w:before="0" w:after="0"/>
        <w:ind w:left="0" w:right="14" w:firstLine="720"/>
        <w:jc w:val="left"/>
        <w:rPr>
          <w:rStyle w:val="LineNumber"/>
          <w:b w:val="0"/>
        </w:rPr>
      </w:pPr>
      <w:r w:rsidRPr="00CB7B16">
        <w:rPr>
          <w:b w:val="0"/>
        </w:rPr>
        <w:t>A.</w:t>
      </w:r>
      <w:r w:rsidRPr="00CB7B16">
        <w:rPr>
          <w:b w:val="0"/>
        </w:rPr>
        <w:tab/>
        <w:t>Yes.</w:t>
      </w:r>
    </w:p>
    <w:sectPr w:rsidR="00591B87" w:rsidRPr="00CB7B16" w:rsidSect="007D066E">
      <w:headerReference w:type="default" r:id="rId19"/>
      <w:footerReference w:type="default" r:id="rId20"/>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D5" w:rsidRDefault="00E56ED5">
      <w:r>
        <w:separator/>
      </w:r>
    </w:p>
  </w:endnote>
  <w:endnote w:type="continuationSeparator" w:id="0">
    <w:p w:rsidR="00E56ED5" w:rsidRDefault="00E56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pPr>
      <w:pStyle w:val="Footer"/>
      <w:tabs>
        <w:tab w:val="clear" w:pos="4320"/>
        <w:tab w:val="clear" w:pos="8640"/>
        <w:tab w:val="right" w:pos="936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Pr="0086703C" w:rsidRDefault="00E56ED5" w:rsidP="007D066E">
    <w:pPr>
      <w:pStyle w:val="Footer"/>
      <w:tabs>
        <w:tab w:val="clear" w:pos="4320"/>
        <w:tab w:val="clear" w:pos="8640"/>
        <w:tab w:val="left" w:pos="180"/>
        <w:tab w:val="right" w:pos="9360"/>
      </w:tabs>
      <w:spacing w:before="0" w:after="0"/>
      <w:ind w:left="0"/>
      <w:rPr>
        <w:szCs w:val="20"/>
      </w:rPr>
    </w:pPr>
    <w:r w:rsidRPr="0086703C">
      <w:rPr>
        <w:szCs w:val="20"/>
      </w:rPr>
      <w:t>Direct Testimony of Mark T. Thies</w:t>
    </w:r>
  </w:p>
  <w:p w:rsidR="00E56ED5" w:rsidRPr="0086703C" w:rsidRDefault="00E56ED5" w:rsidP="007D066E">
    <w:pPr>
      <w:pStyle w:val="Footer"/>
      <w:tabs>
        <w:tab w:val="clear" w:pos="4320"/>
        <w:tab w:val="clear" w:pos="8640"/>
        <w:tab w:val="left" w:pos="180"/>
        <w:tab w:val="right" w:pos="9360"/>
      </w:tabs>
      <w:spacing w:before="0" w:after="0"/>
      <w:ind w:left="0"/>
      <w:rPr>
        <w:szCs w:val="20"/>
        <w:lang w:val="fr-FR"/>
      </w:rPr>
    </w:pPr>
    <w:r w:rsidRPr="0086703C">
      <w:rPr>
        <w:szCs w:val="20"/>
        <w:lang w:val="fr-FR"/>
      </w:rPr>
      <w:t>Avista Corporation</w:t>
    </w:r>
  </w:p>
  <w:p w:rsidR="00E56ED5" w:rsidRPr="0086703C" w:rsidRDefault="00E56ED5" w:rsidP="007D066E">
    <w:pPr>
      <w:pStyle w:val="Footer"/>
      <w:tabs>
        <w:tab w:val="clear" w:pos="4320"/>
        <w:tab w:val="clear" w:pos="8640"/>
        <w:tab w:val="left" w:pos="180"/>
        <w:tab w:val="right" w:pos="9360"/>
      </w:tabs>
      <w:spacing w:before="0" w:after="0"/>
      <w:ind w:left="0"/>
      <w:rPr>
        <w:rStyle w:val="PageNumber"/>
        <w:szCs w:val="20"/>
      </w:rPr>
    </w:pPr>
    <w:proofErr w:type="spellStart"/>
    <w:r w:rsidRPr="0086703C">
      <w:rPr>
        <w:szCs w:val="20"/>
        <w:lang w:val="fr-FR"/>
      </w:rPr>
      <w:t>Docket</w:t>
    </w:r>
    <w:proofErr w:type="spellEnd"/>
    <w:r w:rsidRPr="0086703C">
      <w:rPr>
        <w:szCs w:val="20"/>
        <w:lang w:val="fr-FR"/>
      </w:rPr>
      <w:t xml:space="preserve"> Nos. UE-12____ &amp; UG-12____</w:t>
    </w:r>
    <w:r w:rsidRPr="0086703C">
      <w:rPr>
        <w:szCs w:val="20"/>
        <w:lang w:val="fr-FR"/>
      </w:rPr>
      <w:tab/>
      <w:t xml:space="preserve">Page </w:t>
    </w:r>
    <w:r w:rsidR="006D52DD" w:rsidRPr="0086703C">
      <w:rPr>
        <w:rStyle w:val="PageNumber"/>
        <w:szCs w:val="20"/>
      </w:rPr>
      <w:fldChar w:fldCharType="begin"/>
    </w:r>
    <w:r w:rsidRPr="0086703C">
      <w:rPr>
        <w:rStyle w:val="PageNumber"/>
        <w:szCs w:val="20"/>
        <w:lang w:val="fr-FR"/>
      </w:rPr>
      <w:instrText xml:space="preserve"> PAGE </w:instrText>
    </w:r>
    <w:r w:rsidR="006D52DD" w:rsidRPr="0086703C">
      <w:rPr>
        <w:rStyle w:val="PageNumber"/>
        <w:szCs w:val="20"/>
      </w:rPr>
      <w:fldChar w:fldCharType="separate"/>
    </w:r>
    <w:r w:rsidR="00FA2382">
      <w:rPr>
        <w:rStyle w:val="PageNumber"/>
        <w:noProof/>
        <w:szCs w:val="20"/>
        <w:lang w:val="fr-FR"/>
      </w:rPr>
      <w:t>26</w:t>
    </w:r>
    <w:r w:rsidR="006D52DD" w:rsidRPr="0086703C">
      <w:rPr>
        <w:rStyle w:val="PageNumber"/>
        <w:szCs w:val="20"/>
      </w:rPr>
      <w:fldChar w:fldCharType="end"/>
    </w:r>
  </w:p>
  <w:p w:rsidR="00E56ED5" w:rsidRPr="007D066E" w:rsidRDefault="00E56ED5" w:rsidP="007D066E">
    <w:pPr>
      <w:pStyle w:val="Footer"/>
      <w:tabs>
        <w:tab w:val="clear" w:pos="4320"/>
        <w:tab w:val="clear" w:pos="8640"/>
        <w:tab w:val="left" w:pos="180"/>
        <w:tab w:val="right" w:pos="9360"/>
      </w:tabs>
      <w:spacing w:before="0" w:after="0"/>
      <w:ind w:left="0" w:right="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D5" w:rsidRDefault="00E56ED5">
      <w:r>
        <w:separator/>
      </w:r>
    </w:p>
  </w:footnote>
  <w:footnote w:type="continuationSeparator" w:id="0">
    <w:p w:rsidR="00E56ED5" w:rsidRDefault="00E56ED5">
      <w:r>
        <w:continuationSeparator/>
      </w:r>
    </w:p>
  </w:footnote>
  <w:footnote w:id="1">
    <w:p w:rsidR="00E56ED5" w:rsidRDefault="00E56ED5">
      <w:pPr>
        <w:pStyle w:val="FootnoteText"/>
      </w:pPr>
      <w:r w:rsidRPr="0066447F">
        <w:rPr>
          <w:rStyle w:val="FootnoteReference"/>
        </w:rPr>
        <w:footnoteRef/>
      </w:r>
      <w:r w:rsidRPr="0066447F">
        <w:t>As Dr. Avera notes in his testimony</w:t>
      </w:r>
      <w:r>
        <w:t>,</w:t>
      </w:r>
      <w:r w:rsidRPr="0066447F">
        <w:t xml:space="preserve"> “</w:t>
      </w:r>
      <w:r w:rsidRPr="0033127C">
        <w:t>Although the credit rating agencies are not immune to criticism, their rankings and analyses are widely cited in the investment community and referenced by investors.  Investment restrictions tied to credit ratings continue to influence capital flows, and credit ratings are also frequently used as a primary risk indicator in establishing proxy groups to estimate the cost of common equity.”</w:t>
      </w:r>
      <w:r w:rsidRPr="0066447F">
        <w:t xml:space="preserve">  </w:t>
      </w:r>
      <w:r>
        <w:t>(</w:t>
      </w:r>
      <w:r w:rsidRPr="0066447F">
        <w:t>Exhibit No.___(WEA-3)</w:t>
      </w:r>
      <w:r>
        <w:t>, at P. 6. ll. 4-9)</w:t>
      </w:r>
    </w:p>
  </w:footnote>
  <w:footnote w:id="2">
    <w:p w:rsidR="00E56ED5" w:rsidRDefault="00E56ED5">
      <w:pPr>
        <w:pStyle w:val="FootnoteText"/>
      </w:pPr>
      <w:r>
        <w:rPr>
          <w:rStyle w:val="FootnoteReference"/>
        </w:rPr>
        <w:footnoteRef/>
      </w:r>
      <w:r>
        <w:t xml:space="preserve"> Standard and Poor’s, </w:t>
      </w:r>
      <w:r w:rsidRPr="00BE1F66">
        <w:rPr>
          <w:i/>
        </w:rPr>
        <w:t>Rating</w:t>
      </w:r>
      <w:r>
        <w:rPr>
          <w:i/>
        </w:rPr>
        <w:t>s</w:t>
      </w:r>
      <w:r w:rsidRPr="00BE1F66">
        <w:rPr>
          <w:i/>
        </w:rPr>
        <w:t xml:space="preserve"> </w:t>
      </w:r>
      <w:r>
        <w:rPr>
          <w:i/>
        </w:rPr>
        <w:t>Summary</w:t>
      </w:r>
      <w:r w:rsidRPr="00BE1F66">
        <w:rPr>
          <w:i/>
        </w:rPr>
        <w:t xml:space="preserve">: </w:t>
      </w:r>
      <w:r>
        <w:rPr>
          <w:i/>
        </w:rPr>
        <w:t>Avista Corp., July 2011</w:t>
      </w:r>
    </w:p>
  </w:footnote>
  <w:footnote w:id="3">
    <w:p w:rsidR="00E56ED5" w:rsidRPr="00832C45" w:rsidRDefault="00E56ED5" w:rsidP="003D078B">
      <w:pPr>
        <w:pStyle w:val="FootnoteText"/>
      </w:pPr>
      <w:r w:rsidRPr="00832C45">
        <w:rPr>
          <w:rStyle w:val="FootnoteReference"/>
        </w:rPr>
        <w:footnoteRef/>
      </w:r>
      <w:r w:rsidRPr="00832C45">
        <w:t xml:space="preserve"> </w:t>
      </w:r>
      <w:r>
        <w:t>Standard and Poor’s, Key Credit Factors: Business and Financial Risks in the Investor-owned Utilities Industry</w:t>
      </w:r>
      <w:r>
        <w:rPr>
          <w:i/>
          <w:iCs/>
        </w:rPr>
        <w:t xml:space="preserve">, </w:t>
      </w:r>
      <w:r>
        <w:rPr>
          <w:iCs/>
        </w:rPr>
        <w:t>November 2008.</w:t>
      </w:r>
      <w:r w:rsidRPr="00473D56">
        <w:rPr>
          <w:iC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rsidP="007D066E">
    <w:pPr>
      <w:pStyle w:val="Header"/>
      <w:tabs>
        <w:tab w:val="clear" w:pos="8640"/>
      </w:tabs>
      <w:spacing w:before="0" w:after="0"/>
      <w:ind w:left="0" w:right="14"/>
      <w:jc w:val="right"/>
    </w:pPr>
    <w:r>
      <w:t>Exhibit No. ____ (MTT-1T)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Pr="0086703C" w:rsidRDefault="00E56ED5" w:rsidP="007D066E">
    <w:pPr>
      <w:pStyle w:val="Header"/>
      <w:tabs>
        <w:tab w:val="left" w:pos="8910"/>
      </w:tabs>
      <w:ind w:right="18"/>
      <w:jc w:val="right"/>
    </w:pPr>
    <w:r w:rsidRPr="0086703C">
      <w:t>Exhibit No. ___ (MTT-1T)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nsid w:val="08141808"/>
    <w:multiLevelType w:val="hybridMultilevel"/>
    <w:tmpl w:val="9A9CE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0">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4">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2"/>
  </w:num>
  <w:num w:numId="5">
    <w:abstractNumId w:val="4"/>
  </w:num>
  <w:num w:numId="6">
    <w:abstractNumId w:val="16"/>
  </w:num>
  <w:num w:numId="7">
    <w:abstractNumId w:val="1"/>
  </w:num>
  <w:num w:numId="8">
    <w:abstractNumId w:val="0"/>
  </w:num>
  <w:num w:numId="9">
    <w:abstractNumId w:val="13"/>
  </w:num>
  <w:num w:numId="10">
    <w:abstractNumId w:val="19"/>
  </w:num>
  <w:num w:numId="11">
    <w:abstractNumId w:val="11"/>
  </w:num>
  <w:num w:numId="12">
    <w:abstractNumId w:val="10"/>
  </w:num>
  <w:num w:numId="13">
    <w:abstractNumId w:val="14"/>
  </w:num>
  <w:num w:numId="14">
    <w:abstractNumId w:val="18"/>
  </w:num>
  <w:num w:numId="15">
    <w:abstractNumId w:val="5"/>
  </w:num>
  <w:num w:numId="16">
    <w:abstractNumId w:val="6"/>
  </w:num>
  <w:num w:numId="17">
    <w:abstractNumId w:val="20"/>
  </w:num>
  <w:num w:numId="18">
    <w:abstractNumId w:val="8"/>
  </w:num>
  <w:num w:numId="19">
    <w:abstractNumId w:val="12"/>
  </w:num>
  <w:num w:numId="20">
    <w:abstractNumId w:val="1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rsids>
    <w:rsidRoot w:val="00987CC1"/>
    <w:rsid w:val="00004F85"/>
    <w:rsid w:val="0000581B"/>
    <w:rsid w:val="00006DCF"/>
    <w:rsid w:val="0001114C"/>
    <w:rsid w:val="00011C94"/>
    <w:rsid w:val="00012C33"/>
    <w:rsid w:val="00014588"/>
    <w:rsid w:val="0001470E"/>
    <w:rsid w:val="000150A0"/>
    <w:rsid w:val="00015589"/>
    <w:rsid w:val="00020FB9"/>
    <w:rsid w:val="000223AB"/>
    <w:rsid w:val="00022C47"/>
    <w:rsid w:val="000232A9"/>
    <w:rsid w:val="000245C9"/>
    <w:rsid w:val="00025091"/>
    <w:rsid w:val="00025AF8"/>
    <w:rsid w:val="000264C2"/>
    <w:rsid w:val="00030D9C"/>
    <w:rsid w:val="000312B5"/>
    <w:rsid w:val="00033B32"/>
    <w:rsid w:val="000341F2"/>
    <w:rsid w:val="00036183"/>
    <w:rsid w:val="000416F0"/>
    <w:rsid w:val="000417B4"/>
    <w:rsid w:val="00043707"/>
    <w:rsid w:val="00044B35"/>
    <w:rsid w:val="00045FC3"/>
    <w:rsid w:val="000461F2"/>
    <w:rsid w:val="000464A8"/>
    <w:rsid w:val="00047455"/>
    <w:rsid w:val="00050CC5"/>
    <w:rsid w:val="0005368C"/>
    <w:rsid w:val="00055E0C"/>
    <w:rsid w:val="00055F76"/>
    <w:rsid w:val="00057223"/>
    <w:rsid w:val="00057375"/>
    <w:rsid w:val="00060877"/>
    <w:rsid w:val="00061258"/>
    <w:rsid w:val="00061E67"/>
    <w:rsid w:val="00066766"/>
    <w:rsid w:val="00066B5D"/>
    <w:rsid w:val="0006700A"/>
    <w:rsid w:val="00070A53"/>
    <w:rsid w:val="00070FF4"/>
    <w:rsid w:val="00071096"/>
    <w:rsid w:val="0007118A"/>
    <w:rsid w:val="000719DE"/>
    <w:rsid w:val="00073C88"/>
    <w:rsid w:val="000745A2"/>
    <w:rsid w:val="000751D2"/>
    <w:rsid w:val="00076012"/>
    <w:rsid w:val="0007750B"/>
    <w:rsid w:val="00077B7B"/>
    <w:rsid w:val="00077F28"/>
    <w:rsid w:val="00084068"/>
    <w:rsid w:val="00087D6A"/>
    <w:rsid w:val="00090726"/>
    <w:rsid w:val="00090986"/>
    <w:rsid w:val="00091463"/>
    <w:rsid w:val="000929E6"/>
    <w:rsid w:val="00095711"/>
    <w:rsid w:val="00097780"/>
    <w:rsid w:val="000A2B5F"/>
    <w:rsid w:val="000A6014"/>
    <w:rsid w:val="000A68B5"/>
    <w:rsid w:val="000B04CD"/>
    <w:rsid w:val="000B0E1C"/>
    <w:rsid w:val="000B19C4"/>
    <w:rsid w:val="000B1D57"/>
    <w:rsid w:val="000B1DB7"/>
    <w:rsid w:val="000B2178"/>
    <w:rsid w:val="000B2805"/>
    <w:rsid w:val="000B34CE"/>
    <w:rsid w:val="000B6300"/>
    <w:rsid w:val="000C05AA"/>
    <w:rsid w:val="000C0D10"/>
    <w:rsid w:val="000C27FA"/>
    <w:rsid w:val="000C35DA"/>
    <w:rsid w:val="000C40B9"/>
    <w:rsid w:val="000C4FAE"/>
    <w:rsid w:val="000C7497"/>
    <w:rsid w:val="000D4BCC"/>
    <w:rsid w:val="000D4BD6"/>
    <w:rsid w:val="000D5BB5"/>
    <w:rsid w:val="000D7775"/>
    <w:rsid w:val="000E0687"/>
    <w:rsid w:val="000E2B6B"/>
    <w:rsid w:val="000E4F26"/>
    <w:rsid w:val="000E5057"/>
    <w:rsid w:val="000E6E8B"/>
    <w:rsid w:val="000F0CFC"/>
    <w:rsid w:val="000F30DD"/>
    <w:rsid w:val="000F45C5"/>
    <w:rsid w:val="000F465D"/>
    <w:rsid w:val="000F6302"/>
    <w:rsid w:val="000F6C39"/>
    <w:rsid w:val="000F7272"/>
    <w:rsid w:val="00100C00"/>
    <w:rsid w:val="0010132F"/>
    <w:rsid w:val="001028C5"/>
    <w:rsid w:val="00102B10"/>
    <w:rsid w:val="00102F1B"/>
    <w:rsid w:val="00103216"/>
    <w:rsid w:val="001037E0"/>
    <w:rsid w:val="0010565F"/>
    <w:rsid w:val="00105D08"/>
    <w:rsid w:val="00112576"/>
    <w:rsid w:val="001138D8"/>
    <w:rsid w:val="00113C57"/>
    <w:rsid w:val="0011416A"/>
    <w:rsid w:val="00114C5C"/>
    <w:rsid w:val="001179A0"/>
    <w:rsid w:val="0012006E"/>
    <w:rsid w:val="00123648"/>
    <w:rsid w:val="0012431E"/>
    <w:rsid w:val="0012488A"/>
    <w:rsid w:val="0012582D"/>
    <w:rsid w:val="00125CDB"/>
    <w:rsid w:val="001278D6"/>
    <w:rsid w:val="00127B93"/>
    <w:rsid w:val="001307F2"/>
    <w:rsid w:val="00130FFE"/>
    <w:rsid w:val="00131C9B"/>
    <w:rsid w:val="001326C5"/>
    <w:rsid w:val="00132823"/>
    <w:rsid w:val="0013538A"/>
    <w:rsid w:val="001362A7"/>
    <w:rsid w:val="00136396"/>
    <w:rsid w:val="00142F3E"/>
    <w:rsid w:val="00143945"/>
    <w:rsid w:val="0014410C"/>
    <w:rsid w:val="0014437B"/>
    <w:rsid w:val="00144FC5"/>
    <w:rsid w:val="00146E04"/>
    <w:rsid w:val="00147E1C"/>
    <w:rsid w:val="00150674"/>
    <w:rsid w:val="00152BF8"/>
    <w:rsid w:val="00152BFD"/>
    <w:rsid w:val="00152DFB"/>
    <w:rsid w:val="00154D34"/>
    <w:rsid w:val="00155EE8"/>
    <w:rsid w:val="0016032D"/>
    <w:rsid w:val="00162E7E"/>
    <w:rsid w:val="00165096"/>
    <w:rsid w:val="00165C2E"/>
    <w:rsid w:val="0016794F"/>
    <w:rsid w:val="0017091B"/>
    <w:rsid w:val="00172F49"/>
    <w:rsid w:val="00173447"/>
    <w:rsid w:val="00173A41"/>
    <w:rsid w:val="001746E5"/>
    <w:rsid w:val="001756F5"/>
    <w:rsid w:val="00175A68"/>
    <w:rsid w:val="00177575"/>
    <w:rsid w:val="00177B29"/>
    <w:rsid w:val="00177F25"/>
    <w:rsid w:val="00181553"/>
    <w:rsid w:val="00182AE7"/>
    <w:rsid w:val="0018435B"/>
    <w:rsid w:val="00184494"/>
    <w:rsid w:val="00184930"/>
    <w:rsid w:val="00184C68"/>
    <w:rsid w:val="00186871"/>
    <w:rsid w:val="00187400"/>
    <w:rsid w:val="00187A19"/>
    <w:rsid w:val="00190CC7"/>
    <w:rsid w:val="00195AB4"/>
    <w:rsid w:val="001A11A1"/>
    <w:rsid w:val="001A11FA"/>
    <w:rsid w:val="001A3306"/>
    <w:rsid w:val="001A620F"/>
    <w:rsid w:val="001A6A4F"/>
    <w:rsid w:val="001A7543"/>
    <w:rsid w:val="001B2421"/>
    <w:rsid w:val="001B32F3"/>
    <w:rsid w:val="001B6D92"/>
    <w:rsid w:val="001C1E2C"/>
    <w:rsid w:val="001C265F"/>
    <w:rsid w:val="001C5C81"/>
    <w:rsid w:val="001C7667"/>
    <w:rsid w:val="001D080F"/>
    <w:rsid w:val="001D1146"/>
    <w:rsid w:val="001D32BA"/>
    <w:rsid w:val="001D3A6E"/>
    <w:rsid w:val="001D53E2"/>
    <w:rsid w:val="001D54BF"/>
    <w:rsid w:val="001E044E"/>
    <w:rsid w:val="001E147E"/>
    <w:rsid w:val="001E1B89"/>
    <w:rsid w:val="001E277B"/>
    <w:rsid w:val="001E3E9B"/>
    <w:rsid w:val="001E43E4"/>
    <w:rsid w:val="001E49C3"/>
    <w:rsid w:val="001E4BB1"/>
    <w:rsid w:val="001E7177"/>
    <w:rsid w:val="001F30BD"/>
    <w:rsid w:val="001F73E8"/>
    <w:rsid w:val="001F7896"/>
    <w:rsid w:val="002006C4"/>
    <w:rsid w:val="00200725"/>
    <w:rsid w:val="00201400"/>
    <w:rsid w:val="00201627"/>
    <w:rsid w:val="0020214C"/>
    <w:rsid w:val="002053B5"/>
    <w:rsid w:val="00207E54"/>
    <w:rsid w:val="00210674"/>
    <w:rsid w:val="00211187"/>
    <w:rsid w:val="002111B2"/>
    <w:rsid w:val="002142C2"/>
    <w:rsid w:val="00214A72"/>
    <w:rsid w:val="00216601"/>
    <w:rsid w:val="00217764"/>
    <w:rsid w:val="002205A5"/>
    <w:rsid w:val="00221067"/>
    <w:rsid w:val="00221226"/>
    <w:rsid w:val="00222F8C"/>
    <w:rsid w:val="002235BB"/>
    <w:rsid w:val="00224AC7"/>
    <w:rsid w:val="00225325"/>
    <w:rsid w:val="00226087"/>
    <w:rsid w:val="00227060"/>
    <w:rsid w:val="00227763"/>
    <w:rsid w:val="00227CAC"/>
    <w:rsid w:val="00230E94"/>
    <w:rsid w:val="00231015"/>
    <w:rsid w:val="0023161C"/>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789"/>
    <w:rsid w:val="0024114F"/>
    <w:rsid w:val="00243EC7"/>
    <w:rsid w:val="0024540E"/>
    <w:rsid w:val="002454C9"/>
    <w:rsid w:val="00245501"/>
    <w:rsid w:val="002469CA"/>
    <w:rsid w:val="00246A6F"/>
    <w:rsid w:val="00250404"/>
    <w:rsid w:val="00250A2D"/>
    <w:rsid w:val="00250C43"/>
    <w:rsid w:val="0025204E"/>
    <w:rsid w:val="00252541"/>
    <w:rsid w:val="002529CF"/>
    <w:rsid w:val="0025343B"/>
    <w:rsid w:val="00254C27"/>
    <w:rsid w:val="00254D2E"/>
    <w:rsid w:val="00254F65"/>
    <w:rsid w:val="00261931"/>
    <w:rsid w:val="00262AB9"/>
    <w:rsid w:val="0026462B"/>
    <w:rsid w:val="00265314"/>
    <w:rsid w:val="00265F63"/>
    <w:rsid w:val="00267C72"/>
    <w:rsid w:val="002702EC"/>
    <w:rsid w:val="00271953"/>
    <w:rsid w:val="0027652A"/>
    <w:rsid w:val="00280407"/>
    <w:rsid w:val="00283F59"/>
    <w:rsid w:val="002845D8"/>
    <w:rsid w:val="00287F8D"/>
    <w:rsid w:val="002917C3"/>
    <w:rsid w:val="00292817"/>
    <w:rsid w:val="00292CDD"/>
    <w:rsid w:val="00292E03"/>
    <w:rsid w:val="00293AD5"/>
    <w:rsid w:val="00297AC1"/>
    <w:rsid w:val="002A0307"/>
    <w:rsid w:val="002A132B"/>
    <w:rsid w:val="002A1A1C"/>
    <w:rsid w:val="002A1C71"/>
    <w:rsid w:val="002A2507"/>
    <w:rsid w:val="002A4345"/>
    <w:rsid w:val="002A6875"/>
    <w:rsid w:val="002A7B05"/>
    <w:rsid w:val="002B0900"/>
    <w:rsid w:val="002B0A42"/>
    <w:rsid w:val="002B0D6F"/>
    <w:rsid w:val="002B268C"/>
    <w:rsid w:val="002B2DF7"/>
    <w:rsid w:val="002B3365"/>
    <w:rsid w:val="002B63A9"/>
    <w:rsid w:val="002C0337"/>
    <w:rsid w:val="002C3567"/>
    <w:rsid w:val="002C3D05"/>
    <w:rsid w:val="002C6094"/>
    <w:rsid w:val="002C629B"/>
    <w:rsid w:val="002C6DC9"/>
    <w:rsid w:val="002C7C2A"/>
    <w:rsid w:val="002D034F"/>
    <w:rsid w:val="002D0BFF"/>
    <w:rsid w:val="002D13C6"/>
    <w:rsid w:val="002D4333"/>
    <w:rsid w:val="002D4EFA"/>
    <w:rsid w:val="002D52EE"/>
    <w:rsid w:val="002D646B"/>
    <w:rsid w:val="002D6738"/>
    <w:rsid w:val="002D6996"/>
    <w:rsid w:val="002D78BB"/>
    <w:rsid w:val="002E0218"/>
    <w:rsid w:val="002E1BA5"/>
    <w:rsid w:val="002E43AA"/>
    <w:rsid w:val="002F0097"/>
    <w:rsid w:val="002F0E3F"/>
    <w:rsid w:val="002F323B"/>
    <w:rsid w:val="002F49A8"/>
    <w:rsid w:val="002F5B48"/>
    <w:rsid w:val="002F6A79"/>
    <w:rsid w:val="002F700B"/>
    <w:rsid w:val="002F7069"/>
    <w:rsid w:val="00301172"/>
    <w:rsid w:val="00301426"/>
    <w:rsid w:val="00302A73"/>
    <w:rsid w:val="00302E77"/>
    <w:rsid w:val="00305117"/>
    <w:rsid w:val="0030588A"/>
    <w:rsid w:val="0030726C"/>
    <w:rsid w:val="0030748A"/>
    <w:rsid w:val="00307FEF"/>
    <w:rsid w:val="00311D43"/>
    <w:rsid w:val="00312245"/>
    <w:rsid w:val="0031500B"/>
    <w:rsid w:val="0031572C"/>
    <w:rsid w:val="00316784"/>
    <w:rsid w:val="0031797E"/>
    <w:rsid w:val="00320347"/>
    <w:rsid w:val="0032091F"/>
    <w:rsid w:val="00323B13"/>
    <w:rsid w:val="00330C05"/>
    <w:rsid w:val="0033104E"/>
    <w:rsid w:val="0033127C"/>
    <w:rsid w:val="00331D5E"/>
    <w:rsid w:val="00332F50"/>
    <w:rsid w:val="00333291"/>
    <w:rsid w:val="003358A8"/>
    <w:rsid w:val="00341EF7"/>
    <w:rsid w:val="00343748"/>
    <w:rsid w:val="0034491A"/>
    <w:rsid w:val="00345EBF"/>
    <w:rsid w:val="00347B89"/>
    <w:rsid w:val="00350670"/>
    <w:rsid w:val="00350CF8"/>
    <w:rsid w:val="0035104E"/>
    <w:rsid w:val="00351232"/>
    <w:rsid w:val="00353DB0"/>
    <w:rsid w:val="003548D7"/>
    <w:rsid w:val="00355013"/>
    <w:rsid w:val="0035558E"/>
    <w:rsid w:val="00355F58"/>
    <w:rsid w:val="00356D9E"/>
    <w:rsid w:val="00362E5B"/>
    <w:rsid w:val="00364D06"/>
    <w:rsid w:val="00370C53"/>
    <w:rsid w:val="00371683"/>
    <w:rsid w:val="00374857"/>
    <w:rsid w:val="0037488F"/>
    <w:rsid w:val="003753DE"/>
    <w:rsid w:val="0037579E"/>
    <w:rsid w:val="00375AE1"/>
    <w:rsid w:val="003769D6"/>
    <w:rsid w:val="003801E7"/>
    <w:rsid w:val="003812E6"/>
    <w:rsid w:val="00382BD7"/>
    <w:rsid w:val="00382F8C"/>
    <w:rsid w:val="00384654"/>
    <w:rsid w:val="00384C58"/>
    <w:rsid w:val="0038783C"/>
    <w:rsid w:val="003912A6"/>
    <w:rsid w:val="00391704"/>
    <w:rsid w:val="00391F26"/>
    <w:rsid w:val="00392049"/>
    <w:rsid w:val="00395332"/>
    <w:rsid w:val="00395B95"/>
    <w:rsid w:val="003961D3"/>
    <w:rsid w:val="003A12A0"/>
    <w:rsid w:val="003A15C3"/>
    <w:rsid w:val="003A264E"/>
    <w:rsid w:val="003A3258"/>
    <w:rsid w:val="003A35AE"/>
    <w:rsid w:val="003A3A12"/>
    <w:rsid w:val="003A3C48"/>
    <w:rsid w:val="003B01DF"/>
    <w:rsid w:val="003B065A"/>
    <w:rsid w:val="003B0F94"/>
    <w:rsid w:val="003B10BE"/>
    <w:rsid w:val="003B27DF"/>
    <w:rsid w:val="003B4244"/>
    <w:rsid w:val="003B4388"/>
    <w:rsid w:val="003B598D"/>
    <w:rsid w:val="003B5E9C"/>
    <w:rsid w:val="003B614A"/>
    <w:rsid w:val="003C17F9"/>
    <w:rsid w:val="003C2026"/>
    <w:rsid w:val="003C323B"/>
    <w:rsid w:val="003C4534"/>
    <w:rsid w:val="003C481B"/>
    <w:rsid w:val="003C716E"/>
    <w:rsid w:val="003D078B"/>
    <w:rsid w:val="003D1384"/>
    <w:rsid w:val="003D386B"/>
    <w:rsid w:val="003D48E9"/>
    <w:rsid w:val="003D6054"/>
    <w:rsid w:val="003D6484"/>
    <w:rsid w:val="003E02CE"/>
    <w:rsid w:val="003E07C8"/>
    <w:rsid w:val="003E2513"/>
    <w:rsid w:val="003E35EB"/>
    <w:rsid w:val="003E40EB"/>
    <w:rsid w:val="003E53EA"/>
    <w:rsid w:val="003E6FEB"/>
    <w:rsid w:val="003E7DC5"/>
    <w:rsid w:val="003F1478"/>
    <w:rsid w:val="003F3185"/>
    <w:rsid w:val="003F3F12"/>
    <w:rsid w:val="003F4DF5"/>
    <w:rsid w:val="003F56F5"/>
    <w:rsid w:val="003F6962"/>
    <w:rsid w:val="004002DC"/>
    <w:rsid w:val="00400564"/>
    <w:rsid w:val="0040097F"/>
    <w:rsid w:val="00400C01"/>
    <w:rsid w:val="004025C7"/>
    <w:rsid w:val="004034F2"/>
    <w:rsid w:val="00403B0B"/>
    <w:rsid w:val="004047FB"/>
    <w:rsid w:val="00410088"/>
    <w:rsid w:val="004102FF"/>
    <w:rsid w:val="004117F5"/>
    <w:rsid w:val="0041322D"/>
    <w:rsid w:val="004137C4"/>
    <w:rsid w:val="004150D5"/>
    <w:rsid w:val="004154BE"/>
    <w:rsid w:val="00415F12"/>
    <w:rsid w:val="0041728A"/>
    <w:rsid w:val="004201E3"/>
    <w:rsid w:val="0042140D"/>
    <w:rsid w:val="00421EA2"/>
    <w:rsid w:val="00422359"/>
    <w:rsid w:val="0042374A"/>
    <w:rsid w:val="00426B9F"/>
    <w:rsid w:val="00427208"/>
    <w:rsid w:val="00431DDC"/>
    <w:rsid w:val="00432776"/>
    <w:rsid w:val="004328DA"/>
    <w:rsid w:val="00432C13"/>
    <w:rsid w:val="00435DEA"/>
    <w:rsid w:val="00435F48"/>
    <w:rsid w:val="00442274"/>
    <w:rsid w:val="0044249A"/>
    <w:rsid w:val="004429C7"/>
    <w:rsid w:val="00442C6F"/>
    <w:rsid w:val="00442FDA"/>
    <w:rsid w:val="00447C65"/>
    <w:rsid w:val="00447C83"/>
    <w:rsid w:val="00450178"/>
    <w:rsid w:val="004514E6"/>
    <w:rsid w:val="00456423"/>
    <w:rsid w:val="00457682"/>
    <w:rsid w:val="00460D36"/>
    <w:rsid w:val="00460F38"/>
    <w:rsid w:val="00461936"/>
    <w:rsid w:val="00464543"/>
    <w:rsid w:val="004649D9"/>
    <w:rsid w:val="00464D3D"/>
    <w:rsid w:val="00465606"/>
    <w:rsid w:val="00466B9B"/>
    <w:rsid w:val="00466C8D"/>
    <w:rsid w:val="00466EA6"/>
    <w:rsid w:val="004671B1"/>
    <w:rsid w:val="004708F5"/>
    <w:rsid w:val="0047136D"/>
    <w:rsid w:val="004713C7"/>
    <w:rsid w:val="0047423D"/>
    <w:rsid w:val="00475AF6"/>
    <w:rsid w:val="0047616C"/>
    <w:rsid w:val="00476540"/>
    <w:rsid w:val="00476F1F"/>
    <w:rsid w:val="00477FC4"/>
    <w:rsid w:val="00480706"/>
    <w:rsid w:val="004822F4"/>
    <w:rsid w:val="004827D5"/>
    <w:rsid w:val="004829BF"/>
    <w:rsid w:val="00484CFC"/>
    <w:rsid w:val="0048555A"/>
    <w:rsid w:val="0048584B"/>
    <w:rsid w:val="0048585F"/>
    <w:rsid w:val="00485CCD"/>
    <w:rsid w:val="00487516"/>
    <w:rsid w:val="00490B5B"/>
    <w:rsid w:val="00492F9F"/>
    <w:rsid w:val="004941E4"/>
    <w:rsid w:val="004A023E"/>
    <w:rsid w:val="004A2A30"/>
    <w:rsid w:val="004A32C2"/>
    <w:rsid w:val="004A473F"/>
    <w:rsid w:val="004A76DE"/>
    <w:rsid w:val="004B6BDF"/>
    <w:rsid w:val="004B6FC1"/>
    <w:rsid w:val="004B7FB2"/>
    <w:rsid w:val="004C0CE5"/>
    <w:rsid w:val="004C1CD7"/>
    <w:rsid w:val="004C362D"/>
    <w:rsid w:val="004C39A0"/>
    <w:rsid w:val="004C6835"/>
    <w:rsid w:val="004C7B58"/>
    <w:rsid w:val="004D0E86"/>
    <w:rsid w:val="004D1BE8"/>
    <w:rsid w:val="004D38B9"/>
    <w:rsid w:val="004D5545"/>
    <w:rsid w:val="004D757F"/>
    <w:rsid w:val="004D7F0E"/>
    <w:rsid w:val="004E2197"/>
    <w:rsid w:val="004E2E31"/>
    <w:rsid w:val="004E2F61"/>
    <w:rsid w:val="004E4F3B"/>
    <w:rsid w:val="004E6E8D"/>
    <w:rsid w:val="004E6ED3"/>
    <w:rsid w:val="004E75EE"/>
    <w:rsid w:val="004F1181"/>
    <w:rsid w:val="004F1BBA"/>
    <w:rsid w:val="004F218E"/>
    <w:rsid w:val="004F2904"/>
    <w:rsid w:val="004F3041"/>
    <w:rsid w:val="004F30A6"/>
    <w:rsid w:val="004F6983"/>
    <w:rsid w:val="005012B3"/>
    <w:rsid w:val="005013F2"/>
    <w:rsid w:val="00502DFF"/>
    <w:rsid w:val="00502FE3"/>
    <w:rsid w:val="005038E7"/>
    <w:rsid w:val="0050579E"/>
    <w:rsid w:val="00510B33"/>
    <w:rsid w:val="00511089"/>
    <w:rsid w:val="00511D67"/>
    <w:rsid w:val="005124B6"/>
    <w:rsid w:val="0051339F"/>
    <w:rsid w:val="00513ABB"/>
    <w:rsid w:val="005142AA"/>
    <w:rsid w:val="0051499A"/>
    <w:rsid w:val="005149AA"/>
    <w:rsid w:val="00516298"/>
    <w:rsid w:val="0051753D"/>
    <w:rsid w:val="00521DCC"/>
    <w:rsid w:val="00522426"/>
    <w:rsid w:val="00522FC5"/>
    <w:rsid w:val="005233E2"/>
    <w:rsid w:val="0052413B"/>
    <w:rsid w:val="00524C51"/>
    <w:rsid w:val="00525647"/>
    <w:rsid w:val="00525EAF"/>
    <w:rsid w:val="00525EFA"/>
    <w:rsid w:val="005265D5"/>
    <w:rsid w:val="00526F48"/>
    <w:rsid w:val="00530EE8"/>
    <w:rsid w:val="005343C8"/>
    <w:rsid w:val="00534E76"/>
    <w:rsid w:val="0053667B"/>
    <w:rsid w:val="00536B24"/>
    <w:rsid w:val="00542149"/>
    <w:rsid w:val="0054350E"/>
    <w:rsid w:val="0054368F"/>
    <w:rsid w:val="00550BE6"/>
    <w:rsid w:val="0055118E"/>
    <w:rsid w:val="005513CE"/>
    <w:rsid w:val="00553CF6"/>
    <w:rsid w:val="005555EF"/>
    <w:rsid w:val="00556135"/>
    <w:rsid w:val="00556494"/>
    <w:rsid w:val="00557C31"/>
    <w:rsid w:val="00557CFD"/>
    <w:rsid w:val="00562085"/>
    <w:rsid w:val="00562131"/>
    <w:rsid w:val="00564BE7"/>
    <w:rsid w:val="00567570"/>
    <w:rsid w:val="00570250"/>
    <w:rsid w:val="00570AC7"/>
    <w:rsid w:val="00570B12"/>
    <w:rsid w:val="00575601"/>
    <w:rsid w:val="00575F28"/>
    <w:rsid w:val="005762B1"/>
    <w:rsid w:val="00576BCE"/>
    <w:rsid w:val="00577299"/>
    <w:rsid w:val="0058097B"/>
    <w:rsid w:val="0058097E"/>
    <w:rsid w:val="00581B2D"/>
    <w:rsid w:val="00581B3A"/>
    <w:rsid w:val="00582CB4"/>
    <w:rsid w:val="00583D5E"/>
    <w:rsid w:val="00584DFB"/>
    <w:rsid w:val="00591142"/>
    <w:rsid w:val="0059135F"/>
    <w:rsid w:val="00591B70"/>
    <w:rsid w:val="00591B87"/>
    <w:rsid w:val="00593052"/>
    <w:rsid w:val="005968AD"/>
    <w:rsid w:val="0059767E"/>
    <w:rsid w:val="005A0614"/>
    <w:rsid w:val="005A0875"/>
    <w:rsid w:val="005A1253"/>
    <w:rsid w:val="005A1519"/>
    <w:rsid w:val="005A4699"/>
    <w:rsid w:val="005A4D05"/>
    <w:rsid w:val="005A4F17"/>
    <w:rsid w:val="005A5CFB"/>
    <w:rsid w:val="005A74AB"/>
    <w:rsid w:val="005A764F"/>
    <w:rsid w:val="005A7871"/>
    <w:rsid w:val="005A78E7"/>
    <w:rsid w:val="005B03EE"/>
    <w:rsid w:val="005B0993"/>
    <w:rsid w:val="005B1395"/>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2A1A"/>
    <w:rsid w:val="005D3041"/>
    <w:rsid w:val="005D3190"/>
    <w:rsid w:val="005D3398"/>
    <w:rsid w:val="005D4FCF"/>
    <w:rsid w:val="005D5546"/>
    <w:rsid w:val="005D7659"/>
    <w:rsid w:val="005E1029"/>
    <w:rsid w:val="005E4205"/>
    <w:rsid w:val="005F1139"/>
    <w:rsid w:val="005F1DEA"/>
    <w:rsid w:val="005F23E8"/>
    <w:rsid w:val="005F274C"/>
    <w:rsid w:val="005F7255"/>
    <w:rsid w:val="00600CF9"/>
    <w:rsid w:val="00601E84"/>
    <w:rsid w:val="00601FE8"/>
    <w:rsid w:val="00603498"/>
    <w:rsid w:val="006037A5"/>
    <w:rsid w:val="00604301"/>
    <w:rsid w:val="00606BB9"/>
    <w:rsid w:val="00607F1B"/>
    <w:rsid w:val="006107B0"/>
    <w:rsid w:val="006110B1"/>
    <w:rsid w:val="00612C03"/>
    <w:rsid w:val="0061402C"/>
    <w:rsid w:val="00615C61"/>
    <w:rsid w:val="006163AA"/>
    <w:rsid w:val="00616A7E"/>
    <w:rsid w:val="00616B5F"/>
    <w:rsid w:val="006170C9"/>
    <w:rsid w:val="006202B8"/>
    <w:rsid w:val="00621A94"/>
    <w:rsid w:val="00622788"/>
    <w:rsid w:val="00622EDE"/>
    <w:rsid w:val="00623052"/>
    <w:rsid w:val="00623410"/>
    <w:rsid w:val="006234C5"/>
    <w:rsid w:val="0062585E"/>
    <w:rsid w:val="0062708B"/>
    <w:rsid w:val="00631733"/>
    <w:rsid w:val="0063178C"/>
    <w:rsid w:val="0063430C"/>
    <w:rsid w:val="006346CE"/>
    <w:rsid w:val="00634976"/>
    <w:rsid w:val="00636D8F"/>
    <w:rsid w:val="00640795"/>
    <w:rsid w:val="00642330"/>
    <w:rsid w:val="0064291A"/>
    <w:rsid w:val="006429C8"/>
    <w:rsid w:val="00645B40"/>
    <w:rsid w:val="00647845"/>
    <w:rsid w:val="006514E9"/>
    <w:rsid w:val="0065165D"/>
    <w:rsid w:val="00653D82"/>
    <w:rsid w:val="00653F7E"/>
    <w:rsid w:val="00653FD5"/>
    <w:rsid w:val="0065405B"/>
    <w:rsid w:val="00654FF3"/>
    <w:rsid w:val="006560EB"/>
    <w:rsid w:val="0065658A"/>
    <w:rsid w:val="00656678"/>
    <w:rsid w:val="006607E1"/>
    <w:rsid w:val="00664337"/>
    <w:rsid w:val="0066447F"/>
    <w:rsid w:val="00665F79"/>
    <w:rsid w:val="00667365"/>
    <w:rsid w:val="00670B28"/>
    <w:rsid w:val="00670C0B"/>
    <w:rsid w:val="006716C9"/>
    <w:rsid w:val="00676661"/>
    <w:rsid w:val="006831AB"/>
    <w:rsid w:val="0068519D"/>
    <w:rsid w:val="006851F1"/>
    <w:rsid w:val="006867B7"/>
    <w:rsid w:val="00690CD7"/>
    <w:rsid w:val="00690E67"/>
    <w:rsid w:val="00696B8B"/>
    <w:rsid w:val="006A15F1"/>
    <w:rsid w:val="006A22D2"/>
    <w:rsid w:val="006A5E8E"/>
    <w:rsid w:val="006A7EF8"/>
    <w:rsid w:val="006B08F9"/>
    <w:rsid w:val="006B10CC"/>
    <w:rsid w:val="006B380C"/>
    <w:rsid w:val="006B56BA"/>
    <w:rsid w:val="006B6177"/>
    <w:rsid w:val="006C0B74"/>
    <w:rsid w:val="006C57B2"/>
    <w:rsid w:val="006C68EA"/>
    <w:rsid w:val="006C730E"/>
    <w:rsid w:val="006C73F1"/>
    <w:rsid w:val="006D062E"/>
    <w:rsid w:val="006D18D1"/>
    <w:rsid w:val="006D1EBB"/>
    <w:rsid w:val="006D50FF"/>
    <w:rsid w:val="006D52DD"/>
    <w:rsid w:val="006D5F72"/>
    <w:rsid w:val="006D634C"/>
    <w:rsid w:val="006D6E4C"/>
    <w:rsid w:val="006E027B"/>
    <w:rsid w:val="006E087B"/>
    <w:rsid w:val="006E0A9A"/>
    <w:rsid w:val="006E0B7F"/>
    <w:rsid w:val="006E1FCE"/>
    <w:rsid w:val="006E48B0"/>
    <w:rsid w:val="006E5CC3"/>
    <w:rsid w:val="006E648B"/>
    <w:rsid w:val="006E6536"/>
    <w:rsid w:val="006E7BC3"/>
    <w:rsid w:val="006F3088"/>
    <w:rsid w:val="006F3CE6"/>
    <w:rsid w:val="006F48C2"/>
    <w:rsid w:val="006F697E"/>
    <w:rsid w:val="00700F50"/>
    <w:rsid w:val="00702442"/>
    <w:rsid w:val="00703160"/>
    <w:rsid w:val="007037F3"/>
    <w:rsid w:val="00705363"/>
    <w:rsid w:val="00706389"/>
    <w:rsid w:val="00706D12"/>
    <w:rsid w:val="00706F34"/>
    <w:rsid w:val="007104F9"/>
    <w:rsid w:val="00710647"/>
    <w:rsid w:val="00711A60"/>
    <w:rsid w:val="00711C34"/>
    <w:rsid w:val="00712063"/>
    <w:rsid w:val="007147E8"/>
    <w:rsid w:val="00715B3B"/>
    <w:rsid w:val="007178A7"/>
    <w:rsid w:val="007178ED"/>
    <w:rsid w:val="00727A73"/>
    <w:rsid w:val="00731041"/>
    <w:rsid w:val="0073108F"/>
    <w:rsid w:val="0073189D"/>
    <w:rsid w:val="00731EE8"/>
    <w:rsid w:val="00732523"/>
    <w:rsid w:val="00733213"/>
    <w:rsid w:val="007332ED"/>
    <w:rsid w:val="00735ED5"/>
    <w:rsid w:val="00736C4C"/>
    <w:rsid w:val="007444FB"/>
    <w:rsid w:val="007457C3"/>
    <w:rsid w:val="00745BDB"/>
    <w:rsid w:val="00745F07"/>
    <w:rsid w:val="00750A09"/>
    <w:rsid w:val="00750B10"/>
    <w:rsid w:val="00750E08"/>
    <w:rsid w:val="007518E7"/>
    <w:rsid w:val="007518F0"/>
    <w:rsid w:val="0075753D"/>
    <w:rsid w:val="00760DFC"/>
    <w:rsid w:val="00761B09"/>
    <w:rsid w:val="00761C41"/>
    <w:rsid w:val="00762407"/>
    <w:rsid w:val="0076686F"/>
    <w:rsid w:val="00767137"/>
    <w:rsid w:val="0077163C"/>
    <w:rsid w:val="00771CEA"/>
    <w:rsid w:val="00771F01"/>
    <w:rsid w:val="007727FE"/>
    <w:rsid w:val="0077363D"/>
    <w:rsid w:val="00775052"/>
    <w:rsid w:val="0077710A"/>
    <w:rsid w:val="00777CDE"/>
    <w:rsid w:val="007804D5"/>
    <w:rsid w:val="0078076C"/>
    <w:rsid w:val="00780B03"/>
    <w:rsid w:val="00781CEE"/>
    <w:rsid w:val="00783110"/>
    <w:rsid w:val="00784002"/>
    <w:rsid w:val="007853EA"/>
    <w:rsid w:val="0078665D"/>
    <w:rsid w:val="00786B3D"/>
    <w:rsid w:val="00790009"/>
    <w:rsid w:val="00791738"/>
    <w:rsid w:val="00791C1D"/>
    <w:rsid w:val="00793FFB"/>
    <w:rsid w:val="00796E3C"/>
    <w:rsid w:val="007A077F"/>
    <w:rsid w:val="007A2F8B"/>
    <w:rsid w:val="007A3CE7"/>
    <w:rsid w:val="007A4398"/>
    <w:rsid w:val="007A5259"/>
    <w:rsid w:val="007A52CC"/>
    <w:rsid w:val="007A55F9"/>
    <w:rsid w:val="007A6472"/>
    <w:rsid w:val="007A6B92"/>
    <w:rsid w:val="007A757C"/>
    <w:rsid w:val="007B058E"/>
    <w:rsid w:val="007B1527"/>
    <w:rsid w:val="007B2A73"/>
    <w:rsid w:val="007B5968"/>
    <w:rsid w:val="007B7211"/>
    <w:rsid w:val="007B7CA8"/>
    <w:rsid w:val="007B7EB6"/>
    <w:rsid w:val="007C083C"/>
    <w:rsid w:val="007C212E"/>
    <w:rsid w:val="007C3462"/>
    <w:rsid w:val="007C4539"/>
    <w:rsid w:val="007C6789"/>
    <w:rsid w:val="007C67C5"/>
    <w:rsid w:val="007C7D0A"/>
    <w:rsid w:val="007D066E"/>
    <w:rsid w:val="007D07AD"/>
    <w:rsid w:val="007D43EE"/>
    <w:rsid w:val="007D4A87"/>
    <w:rsid w:val="007D59DE"/>
    <w:rsid w:val="007D6038"/>
    <w:rsid w:val="007D6635"/>
    <w:rsid w:val="007D7989"/>
    <w:rsid w:val="007E386B"/>
    <w:rsid w:val="007E3E8E"/>
    <w:rsid w:val="007E4E75"/>
    <w:rsid w:val="007E69CE"/>
    <w:rsid w:val="007E7537"/>
    <w:rsid w:val="007E7CE6"/>
    <w:rsid w:val="007F1E49"/>
    <w:rsid w:val="007F2EB0"/>
    <w:rsid w:val="007F6A8C"/>
    <w:rsid w:val="007F6B9F"/>
    <w:rsid w:val="007F7D62"/>
    <w:rsid w:val="00800AE7"/>
    <w:rsid w:val="008012B9"/>
    <w:rsid w:val="0080188B"/>
    <w:rsid w:val="008033A9"/>
    <w:rsid w:val="00803D72"/>
    <w:rsid w:val="008047EC"/>
    <w:rsid w:val="00805AE0"/>
    <w:rsid w:val="00806131"/>
    <w:rsid w:val="00806D94"/>
    <w:rsid w:val="00807909"/>
    <w:rsid w:val="00813499"/>
    <w:rsid w:val="0081387E"/>
    <w:rsid w:val="00813C17"/>
    <w:rsid w:val="00816AA1"/>
    <w:rsid w:val="00817890"/>
    <w:rsid w:val="008228C0"/>
    <w:rsid w:val="00823C96"/>
    <w:rsid w:val="00826622"/>
    <w:rsid w:val="0083008E"/>
    <w:rsid w:val="00832535"/>
    <w:rsid w:val="00832C45"/>
    <w:rsid w:val="0083485E"/>
    <w:rsid w:val="00834B4B"/>
    <w:rsid w:val="00840B9E"/>
    <w:rsid w:val="00841376"/>
    <w:rsid w:val="008428BE"/>
    <w:rsid w:val="00843414"/>
    <w:rsid w:val="008453ED"/>
    <w:rsid w:val="00845E89"/>
    <w:rsid w:val="00847AD4"/>
    <w:rsid w:val="00850C5A"/>
    <w:rsid w:val="0085243D"/>
    <w:rsid w:val="0085312B"/>
    <w:rsid w:val="0085421D"/>
    <w:rsid w:val="00855A89"/>
    <w:rsid w:val="0085730C"/>
    <w:rsid w:val="0085732F"/>
    <w:rsid w:val="00857BEE"/>
    <w:rsid w:val="00860F07"/>
    <w:rsid w:val="00860F31"/>
    <w:rsid w:val="008613F2"/>
    <w:rsid w:val="00862FC1"/>
    <w:rsid w:val="00863406"/>
    <w:rsid w:val="00864AF8"/>
    <w:rsid w:val="008656BB"/>
    <w:rsid w:val="00866A4C"/>
    <w:rsid w:val="0086703C"/>
    <w:rsid w:val="00867BFF"/>
    <w:rsid w:val="008710F5"/>
    <w:rsid w:val="00873D4D"/>
    <w:rsid w:val="0087589F"/>
    <w:rsid w:val="008762FE"/>
    <w:rsid w:val="00876375"/>
    <w:rsid w:val="00876494"/>
    <w:rsid w:val="0087749A"/>
    <w:rsid w:val="00877830"/>
    <w:rsid w:val="00877F7C"/>
    <w:rsid w:val="00882016"/>
    <w:rsid w:val="00882B93"/>
    <w:rsid w:val="008830F7"/>
    <w:rsid w:val="008850C6"/>
    <w:rsid w:val="00885A30"/>
    <w:rsid w:val="008862DC"/>
    <w:rsid w:val="008877F9"/>
    <w:rsid w:val="00891505"/>
    <w:rsid w:val="008924CF"/>
    <w:rsid w:val="00892ED6"/>
    <w:rsid w:val="0089398E"/>
    <w:rsid w:val="00893D51"/>
    <w:rsid w:val="00893ECD"/>
    <w:rsid w:val="00895D21"/>
    <w:rsid w:val="008968A9"/>
    <w:rsid w:val="00896AF0"/>
    <w:rsid w:val="00896B0F"/>
    <w:rsid w:val="0089711A"/>
    <w:rsid w:val="008A0EF9"/>
    <w:rsid w:val="008A15A1"/>
    <w:rsid w:val="008A317A"/>
    <w:rsid w:val="008A4E4D"/>
    <w:rsid w:val="008B116C"/>
    <w:rsid w:val="008B1952"/>
    <w:rsid w:val="008B4309"/>
    <w:rsid w:val="008B4F6A"/>
    <w:rsid w:val="008C1CD6"/>
    <w:rsid w:val="008C2EF1"/>
    <w:rsid w:val="008C3078"/>
    <w:rsid w:val="008C3268"/>
    <w:rsid w:val="008C486D"/>
    <w:rsid w:val="008C4D28"/>
    <w:rsid w:val="008C54A0"/>
    <w:rsid w:val="008C67FB"/>
    <w:rsid w:val="008C7B78"/>
    <w:rsid w:val="008D1A91"/>
    <w:rsid w:val="008D541E"/>
    <w:rsid w:val="008D6AA7"/>
    <w:rsid w:val="008D76C0"/>
    <w:rsid w:val="008D7C77"/>
    <w:rsid w:val="008E0D85"/>
    <w:rsid w:val="008E0E1B"/>
    <w:rsid w:val="008E2E4A"/>
    <w:rsid w:val="008E4462"/>
    <w:rsid w:val="008E4E5D"/>
    <w:rsid w:val="008E55EE"/>
    <w:rsid w:val="008E5D40"/>
    <w:rsid w:val="008E7210"/>
    <w:rsid w:val="008F1705"/>
    <w:rsid w:val="008F2671"/>
    <w:rsid w:val="008F2F8A"/>
    <w:rsid w:val="008F4820"/>
    <w:rsid w:val="008F6ADA"/>
    <w:rsid w:val="008F6D4C"/>
    <w:rsid w:val="008F746C"/>
    <w:rsid w:val="00902F0A"/>
    <w:rsid w:val="00903768"/>
    <w:rsid w:val="00903F2A"/>
    <w:rsid w:val="00904280"/>
    <w:rsid w:val="00904B8C"/>
    <w:rsid w:val="009057DB"/>
    <w:rsid w:val="00905EB8"/>
    <w:rsid w:val="00905F9B"/>
    <w:rsid w:val="00906048"/>
    <w:rsid w:val="0090632E"/>
    <w:rsid w:val="00906429"/>
    <w:rsid w:val="0090743F"/>
    <w:rsid w:val="00907508"/>
    <w:rsid w:val="00912255"/>
    <w:rsid w:val="00913808"/>
    <w:rsid w:val="0091743C"/>
    <w:rsid w:val="0092213B"/>
    <w:rsid w:val="00924A0E"/>
    <w:rsid w:val="0092593C"/>
    <w:rsid w:val="009319B6"/>
    <w:rsid w:val="00932D90"/>
    <w:rsid w:val="00934A49"/>
    <w:rsid w:val="009372E4"/>
    <w:rsid w:val="00937D9C"/>
    <w:rsid w:val="009404BC"/>
    <w:rsid w:val="00942065"/>
    <w:rsid w:val="00943119"/>
    <w:rsid w:val="009435C3"/>
    <w:rsid w:val="00943802"/>
    <w:rsid w:val="00944180"/>
    <w:rsid w:val="009442B3"/>
    <w:rsid w:val="00944A08"/>
    <w:rsid w:val="00950432"/>
    <w:rsid w:val="00952AC0"/>
    <w:rsid w:val="00953D4E"/>
    <w:rsid w:val="009579F9"/>
    <w:rsid w:val="00957A56"/>
    <w:rsid w:val="009618C1"/>
    <w:rsid w:val="0096369E"/>
    <w:rsid w:val="0096479F"/>
    <w:rsid w:val="00966F67"/>
    <w:rsid w:val="00970B2F"/>
    <w:rsid w:val="00971E9E"/>
    <w:rsid w:val="009721DB"/>
    <w:rsid w:val="0097224D"/>
    <w:rsid w:val="0097348F"/>
    <w:rsid w:val="0097379F"/>
    <w:rsid w:val="00974C60"/>
    <w:rsid w:val="009757ED"/>
    <w:rsid w:val="00976549"/>
    <w:rsid w:val="009767F5"/>
    <w:rsid w:val="0097793B"/>
    <w:rsid w:val="00982593"/>
    <w:rsid w:val="009835CC"/>
    <w:rsid w:val="00983BF0"/>
    <w:rsid w:val="009850E6"/>
    <w:rsid w:val="00986323"/>
    <w:rsid w:val="00987CC1"/>
    <w:rsid w:val="0099073B"/>
    <w:rsid w:val="009908C9"/>
    <w:rsid w:val="00991DFF"/>
    <w:rsid w:val="00993ACF"/>
    <w:rsid w:val="009A1696"/>
    <w:rsid w:val="009A2430"/>
    <w:rsid w:val="009A2A58"/>
    <w:rsid w:val="009A2BBC"/>
    <w:rsid w:val="009A2CCE"/>
    <w:rsid w:val="009A6158"/>
    <w:rsid w:val="009A71AB"/>
    <w:rsid w:val="009B1F49"/>
    <w:rsid w:val="009B42A8"/>
    <w:rsid w:val="009B43FA"/>
    <w:rsid w:val="009B53B8"/>
    <w:rsid w:val="009B5CC4"/>
    <w:rsid w:val="009B70CE"/>
    <w:rsid w:val="009C0347"/>
    <w:rsid w:val="009C0D5F"/>
    <w:rsid w:val="009C312E"/>
    <w:rsid w:val="009C4D50"/>
    <w:rsid w:val="009C5F82"/>
    <w:rsid w:val="009D0524"/>
    <w:rsid w:val="009D197F"/>
    <w:rsid w:val="009D3025"/>
    <w:rsid w:val="009D448B"/>
    <w:rsid w:val="009D5330"/>
    <w:rsid w:val="009D65CF"/>
    <w:rsid w:val="009D692D"/>
    <w:rsid w:val="009D70E5"/>
    <w:rsid w:val="009D71CF"/>
    <w:rsid w:val="009D71F6"/>
    <w:rsid w:val="009D794B"/>
    <w:rsid w:val="009E1084"/>
    <w:rsid w:val="009E1C2F"/>
    <w:rsid w:val="009E604A"/>
    <w:rsid w:val="009E6559"/>
    <w:rsid w:val="009E6D2E"/>
    <w:rsid w:val="009E77EB"/>
    <w:rsid w:val="009F06AD"/>
    <w:rsid w:val="009F0763"/>
    <w:rsid w:val="009F08ED"/>
    <w:rsid w:val="009F1C95"/>
    <w:rsid w:val="009F2392"/>
    <w:rsid w:val="009F2A9A"/>
    <w:rsid w:val="009F3AD4"/>
    <w:rsid w:val="009F5554"/>
    <w:rsid w:val="009F56AA"/>
    <w:rsid w:val="009F5AE5"/>
    <w:rsid w:val="009F5B79"/>
    <w:rsid w:val="009F72DE"/>
    <w:rsid w:val="00A02365"/>
    <w:rsid w:val="00A036B0"/>
    <w:rsid w:val="00A03736"/>
    <w:rsid w:val="00A03D6E"/>
    <w:rsid w:val="00A04803"/>
    <w:rsid w:val="00A10635"/>
    <w:rsid w:val="00A10EA2"/>
    <w:rsid w:val="00A121A3"/>
    <w:rsid w:val="00A12373"/>
    <w:rsid w:val="00A125F7"/>
    <w:rsid w:val="00A13FE1"/>
    <w:rsid w:val="00A15AE6"/>
    <w:rsid w:val="00A20193"/>
    <w:rsid w:val="00A21108"/>
    <w:rsid w:val="00A228C2"/>
    <w:rsid w:val="00A2385B"/>
    <w:rsid w:val="00A253B3"/>
    <w:rsid w:val="00A255D4"/>
    <w:rsid w:val="00A260A6"/>
    <w:rsid w:val="00A26BCD"/>
    <w:rsid w:val="00A27038"/>
    <w:rsid w:val="00A2719C"/>
    <w:rsid w:val="00A3124E"/>
    <w:rsid w:val="00A3202F"/>
    <w:rsid w:val="00A32DAB"/>
    <w:rsid w:val="00A333E9"/>
    <w:rsid w:val="00A36BF0"/>
    <w:rsid w:val="00A370D6"/>
    <w:rsid w:val="00A3736F"/>
    <w:rsid w:val="00A45FDC"/>
    <w:rsid w:val="00A46AB3"/>
    <w:rsid w:val="00A471A1"/>
    <w:rsid w:val="00A50D2E"/>
    <w:rsid w:val="00A51930"/>
    <w:rsid w:val="00A51E88"/>
    <w:rsid w:val="00A5302C"/>
    <w:rsid w:val="00A53447"/>
    <w:rsid w:val="00A55E5B"/>
    <w:rsid w:val="00A565C6"/>
    <w:rsid w:val="00A6044A"/>
    <w:rsid w:val="00A605C2"/>
    <w:rsid w:val="00A6119D"/>
    <w:rsid w:val="00A61F73"/>
    <w:rsid w:val="00A63A19"/>
    <w:rsid w:val="00A64BA1"/>
    <w:rsid w:val="00A65734"/>
    <w:rsid w:val="00A670C8"/>
    <w:rsid w:val="00A72A7F"/>
    <w:rsid w:val="00A75815"/>
    <w:rsid w:val="00A772D1"/>
    <w:rsid w:val="00A77BD6"/>
    <w:rsid w:val="00A77C77"/>
    <w:rsid w:val="00A80DD0"/>
    <w:rsid w:val="00A816A0"/>
    <w:rsid w:val="00A81E1D"/>
    <w:rsid w:val="00A829C5"/>
    <w:rsid w:val="00A82A17"/>
    <w:rsid w:val="00A83216"/>
    <w:rsid w:val="00A85167"/>
    <w:rsid w:val="00A8567F"/>
    <w:rsid w:val="00A92256"/>
    <w:rsid w:val="00A9268F"/>
    <w:rsid w:val="00A94547"/>
    <w:rsid w:val="00A95F97"/>
    <w:rsid w:val="00A97860"/>
    <w:rsid w:val="00AA090A"/>
    <w:rsid w:val="00AA1D24"/>
    <w:rsid w:val="00AA2A42"/>
    <w:rsid w:val="00AA3799"/>
    <w:rsid w:val="00AA3D6E"/>
    <w:rsid w:val="00AA455F"/>
    <w:rsid w:val="00AA4F41"/>
    <w:rsid w:val="00AA50B3"/>
    <w:rsid w:val="00AA56FB"/>
    <w:rsid w:val="00AA7C5F"/>
    <w:rsid w:val="00AB05B5"/>
    <w:rsid w:val="00AB1E82"/>
    <w:rsid w:val="00AB2176"/>
    <w:rsid w:val="00AB3027"/>
    <w:rsid w:val="00AB4DEA"/>
    <w:rsid w:val="00AB6E3C"/>
    <w:rsid w:val="00AB772D"/>
    <w:rsid w:val="00AB77C9"/>
    <w:rsid w:val="00AC04C3"/>
    <w:rsid w:val="00AC2451"/>
    <w:rsid w:val="00AC3EE7"/>
    <w:rsid w:val="00AC4BF0"/>
    <w:rsid w:val="00AD005F"/>
    <w:rsid w:val="00AD17D9"/>
    <w:rsid w:val="00AD2A44"/>
    <w:rsid w:val="00AD3782"/>
    <w:rsid w:val="00AD3FDD"/>
    <w:rsid w:val="00AE1E49"/>
    <w:rsid w:val="00AE2320"/>
    <w:rsid w:val="00AE3D70"/>
    <w:rsid w:val="00AE4CE0"/>
    <w:rsid w:val="00AE5874"/>
    <w:rsid w:val="00AE6CC8"/>
    <w:rsid w:val="00AE7B6A"/>
    <w:rsid w:val="00AF01C7"/>
    <w:rsid w:val="00AF03A4"/>
    <w:rsid w:val="00AF27C4"/>
    <w:rsid w:val="00AF5E71"/>
    <w:rsid w:val="00B0043A"/>
    <w:rsid w:val="00B007C5"/>
    <w:rsid w:val="00B01687"/>
    <w:rsid w:val="00B033D6"/>
    <w:rsid w:val="00B03634"/>
    <w:rsid w:val="00B03B25"/>
    <w:rsid w:val="00B03FFF"/>
    <w:rsid w:val="00B069E6"/>
    <w:rsid w:val="00B14C7C"/>
    <w:rsid w:val="00B1653B"/>
    <w:rsid w:val="00B16685"/>
    <w:rsid w:val="00B17260"/>
    <w:rsid w:val="00B20B68"/>
    <w:rsid w:val="00B236A9"/>
    <w:rsid w:val="00B25002"/>
    <w:rsid w:val="00B2671F"/>
    <w:rsid w:val="00B26F34"/>
    <w:rsid w:val="00B27D89"/>
    <w:rsid w:val="00B305AD"/>
    <w:rsid w:val="00B30BA0"/>
    <w:rsid w:val="00B31396"/>
    <w:rsid w:val="00B330A2"/>
    <w:rsid w:val="00B33F88"/>
    <w:rsid w:val="00B34086"/>
    <w:rsid w:val="00B3695D"/>
    <w:rsid w:val="00B3794B"/>
    <w:rsid w:val="00B410EE"/>
    <w:rsid w:val="00B416FC"/>
    <w:rsid w:val="00B426E0"/>
    <w:rsid w:val="00B444FF"/>
    <w:rsid w:val="00B45047"/>
    <w:rsid w:val="00B453F0"/>
    <w:rsid w:val="00B4728F"/>
    <w:rsid w:val="00B4754A"/>
    <w:rsid w:val="00B50503"/>
    <w:rsid w:val="00B50DD5"/>
    <w:rsid w:val="00B50EA2"/>
    <w:rsid w:val="00B52BAC"/>
    <w:rsid w:val="00B60840"/>
    <w:rsid w:val="00B623D1"/>
    <w:rsid w:val="00B62621"/>
    <w:rsid w:val="00B62A99"/>
    <w:rsid w:val="00B665F6"/>
    <w:rsid w:val="00B673EE"/>
    <w:rsid w:val="00B71204"/>
    <w:rsid w:val="00B716C7"/>
    <w:rsid w:val="00B71E9B"/>
    <w:rsid w:val="00B72D92"/>
    <w:rsid w:val="00B73944"/>
    <w:rsid w:val="00B747E8"/>
    <w:rsid w:val="00B74DC9"/>
    <w:rsid w:val="00B7566F"/>
    <w:rsid w:val="00B765E0"/>
    <w:rsid w:val="00B80301"/>
    <w:rsid w:val="00B821C4"/>
    <w:rsid w:val="00B828F7"/>
    <w:rsid w:val="00B82C23"/>
    <w:rsid w:val="00B83BED"/>
    <w:rsid w:val="00B84683"/>
    <w:rsid w:val="00B84F41"/>
    <w:rsid w:val="00B85D59"/>
    <w:rsid w:val="00B85EEA"/>
    <w:rsid w:val="00B876BC"/>
    <w:rsid w:val="00B9005A"/>
    <w:rsid w:val="00B9069B"/>
    <w:rsid w:val="00B90E17"/>
    <w:rsid w:val="00B92097"/>
    <w:rsid w:val="00B9278B"/>
    <w:rsid w:val="00B92B1C"/>
    <w:rsid w:val="00B93FC9"/>
    <w:rsid w:val="00B95153"/>
    <w:rsid w:val="00BA2442"/>
    <w:rsid w:val="00BA2849"/>
    <w:rsid w:val="00BA500C"/>
    <w:rsid w:val="00BA54A4"/>
    <w:rsid w:val="00BA5EBE"/>
    <w:rsid w:val="00BA7777"/>
    <w:rsid w:val="00BB120F"/>
    <w:rsid w:val="00BB141C"/>
    <w:rsid w:val="00BB185B"/>
    <w:rsid w:val="00BB35ED"/>
    <w:rsid w:val="00BB38E9"/>
    <w:rsid w:val="00BB4220"/>
    <w:rsid w:val="00BB5686"/>
    <w:rsid w:val="00BB698A"/>
    <w:rsid w:val="00BB6A39"/>
    <w:rsid w:val="00BB72E0"/>
    <w:rsid w:val="00BB7627"/>
    <w:rsid w:val="00BC05A5"/>
    <w:rsid w:val="00BC0FEB"/>
    <w:rsid w:val="00BC2BBB"/>
    <w:rsid w:val="00BC341D"/>
    <w:rsid w:val="00BC7E1F"/>
    <w:rsid w:val="00BD232F"/>
    <w:rsid w:val="00BD4291"/>
    <w:rsid w:val="00BD4816"/>
    <w:rsid w:val="00BD50E1"/>
    <w:rsid w:val="00BD51A6"/>
    <w:rsid w:val="00BD5B3D"/>
    <w:rsid w:val="00BE0EE6"/>
    <w:rsid w:val="00BE1F66"/>
    <w:rsid w:val="00BE24D4"/>
    <w:rsid w:val="00BE4ADA"/>
    <w:rsid w:val="00BE69EA"/>
    <w:rsid w:val="00BE6DEC"/>
    <w:rsid w:val="00BF175B"/>
    <w:rsid w:val="00BF295B"/>
    <w:rsid w:val="00BF2F12"/>
    <w:rsid w:val="00BF6639"/>
    <w:rsid w:val="00C01FAD"/>
    <w:rsid w:val="00C023B4"/>
    <w:rsid w:val="00C02925"/>
    <w:rsid w:val="00C02D14"/>
    <w:rsid w:val="00C03E37"/>
    <w:rsid w:val="00C04676"/>
    <w:rsid w:val="00C04828"/>
    <w:rsid w:val="00C05F59"/>
    <w:rsid w:val="00C071A8"/>
    <w:rsid w:val="00C07E4E"/>
    <w:rsid w:val="00C102F1"/>
    <w:rsid w:val="00C11D22"/>
    <w:rsid w:val="00C141DB"/>
    <w:rsid w:val="00C15E84"/>
    <w:rsid w:val="00C1720B"/>
    <w:rsid w:val="00C17B51"/>
    <w:rsid w:val="00C17E88"/>
    <w:rsid w:val="00C21192"/>
    <w:rsid w:val="00C22E17"/>
    <w:rsid w:val="00C2525A"/>
    <w:rsid w:val="00C25545"/>
    <w:rsid w:val="00C2650D"/>
    <w:rsid w:val="00C2688A"/>
    <w:rsid w:val="00C2789D"/>
    <w:rsid w:val="00C3777B"/>
    <w:rsid w:val="00C40BA5"/>
    <w:rsid w:val="00C42629"/>
    <w:rsid w:val="00C45103"/>
    <w:rsid w:val="00C457BE"/>
    <w:rsid w:val="00C466B8"/>
    <w:rsid w:val="00C468FD"/>
    <w:rsid w:val="00C472C6"/>
    <w:rsid w:val="00C50C02"/>
    <w:rsid w:val="00C50F6F"/>
    <w:rsid w:val="00C518BE"/>
    <w:rsid w:val="00C5282C"/>
    <w:rsid w:val="00C5290F"/>
    <w:rsid w:val="00C575AF"/>
    <w:rsid w:val="00C57A77"/>
    <w:rsid w:val="00C614DD"/>
    <w:rsid w:val="00C63E92"/>
    <w:rsid w:val="00C649EE"/>
    <w:rsid w:val="00C656E7"/>
    <w:rsid w:val="00C65F91"/>
    <w:rsid w:val="00C66471"/>
    <w:rsid w:val="00C6661B"/>
    <w:rsid w:val="00C7038E"/>
    <w:rsid w:val="00C708FF"/>
    <w:rsid w:val="00C71656"/>
    <w:rsid w:val="00C72BC2"/>
    <w:rsid w:val="00C7776A"/>
    <w:rsid w:val="00C804A8"/>
    <w:rsid w:val="00C80AA7"/>
    <w:rsid w:val="00C8157A"/>
    <w:rsid w:val="00C82550"/>
    <w:rsid w:val="00C833C4"/>
    <w:rsid w:val="00C85155"/>
    <w:rsid w:val="00C90EE1"/>
    <w:rsid w:val="00C913C6"/>
    <w:rsid w:val="00C92E83"/>
    <w:rsid w:val="00C954B8"/>
    <w:rsid w:val="00C97F6C"/>
    <w:rsid w:val="00CA00EB"/>
    <w:rsid w:val="00CA070B"/>
    <w:rsid w:val="00CA11C6"/>
    <w:rsid w:val="00CA295F"/>
    <w:rsid w:val="00CA297F"/>
    <w:rsid w:val="00CA480E"/>
    <w:rsid w:val="00CA4DB1"/>
    <w:rsid w:val="00CA5D64"/>
    <w:rsid w:val="00CA656F"/>
    <w:rsid w:val="00CB404D"/>
    <w:rsid w:val="00CB4AAA"/>
    <w:rsid w:val="00CB5561"/>
    <w:rsid w:val="00CB636A"/>
    <w:rsid w:val="00CB7B16"/>
    <w:rsid w:val="00CC156E"/>
    <w:rsid w:val="00CC1BFE"/>
    <w:rsid w:val="00CC2CAC"/>
    <w:rsid w:val="00CC4A3D"/>
    <w:rsid w:val="00CC77D1"/>
    <w:rsid w:val="00CD2844"/>
    <w:rsid w:val="00CD311A"/>
    <w:rsid w:val="00CD36BB"/>
    <w:rsid w:val="00CD7DCD"/>
    <w:rsid w:val="00CE0B00"/>
    <w:rsid w:val="00CE10F0"/>
    <w:rsid w:val="00CE179F"/>
    <w:rsid w:val="00CE2702"/>
    <w:rsid w:val="00CE2C4D"/>
    <w:rsid w:val="00CE3051"/>
    <w:rsid w:val="00CE6F01"/>
    <w:rsid w:val="00CE7355"/>
    <w:rsid w:val="00CF0B35"/>
    <w:rsid w:val="00CF20AF"/>
    <w:rsid w:val="00CF3ED3"/>
    <w:rsid w:val="00CF4F0D"/>
    <w:rsid w:val="00D0455C"/>
    <w:rsid w:val="00D0478C"/>
    <w:rsid w:val="00D063D6"/>
    <w:rsid w:val="00D0728D"/>
    <w:rsid w:val="00D1223F"/>
    <w:rsid w:val="00D12879"/>
    <w:rsid w:val="00D12FBE"/>
    <w:rsid w:val="00D14067"/>
    <w:rsid w:val="00D15AE7"/>
    <w:rsid w:val="00D15B0E"/>
    <w:rsid w:val="00D1644E"/>
    <w:rsid w:val="00D170EC"/>
    <w:rsid w:val="00D172CB"/>
    <w:rsid w:val="00D17388"/>
    <w:rsid w:val="00D17B40"/>
    <w:rsid w:val="00D236F1"/>
    <w:rsid w:val="00D2730A"/>
    <w:rsid w:val="00D3063F"/>
    <w:rsid w:val="00D306FB"/>
    <w:rsid w:val="00D30A6E"/>
    <w:rsid w:val="00D333AC"/>
    <w:rsid w:val="00D34EE4"/>
    <w:rsid w:val="00D365AE"/>
    <w:rsid w:val="00D4152C"/>
    <w:rsid w:val="00D416CF"/>
    <w:rsid w:val="00D41EE8"/>
    <w:rsid w:val="00D423C4"/>
    <w:rsid w:val="00D44C83"/>
    <w:rsid w:val="00D454AD"/>
    <w:rsid w:val="00D50D70"/>
    <w:rsid w:val="00D50DA7"/>
    <w:rsid w:val="00D51482"/>
    <w:rsid w:val="00D5150F"/>
    <w:rsid w:val="00D5174F"/>
    <w:rsid w:val="00D51868"/>
    <w:rsid w:val="00D51D1E"/>
    <w:rsid w:val="00D521FB"/>
    <w:rsid w:val="00D525EE"/>
    <w:rsid w:val="00D52942"/>
    <w:rsid w:val="00D53113"/>
    <w:rsid w:val="00D531B4"/>
    <w:rsid w:val="00D53707"/>
    <w:rsid w:val="00D5398A"/>
    <w:rsid w:val="00D60660"/>
    <w:rsid w:val="00D60DF5"/>
    <w:rsid w:val="00D64123"/>
    <w:rsid w:val="00D64BF4"/>
    <w:rsid w:val="00D66A05"/>
    <w:rsid w:val="00D66D53"/>
    <w:rsid w:val="00D66D6D"/>
    <w:rsid w:val="00D70786"/>
    <w:rsid w:val="00D721F4"/>
    <w:rsid w:val="00D73BB1"/>
    <w:rsid w:val="00D774F7"/>
    <w:rsid w:val="00D7788E"/>
    <w:rsid w:val="00D801AD"/>
    <w:rsid w:val="00D81147"/>
    <w:rsid w:val="00D82B3C"/>
    <w:rsid w:val="00D82DB9"/>
    <w:rsid w:val="00D832AD"/>
    <w:rsid w:val="00D84CE6"/>
    <w:rsid w:val="00D84EEA"/>
    <w:rsid w:val="00D86456"/>
    <w:rsid w:val="00D8712E"/>
    <w:rsid w:val="00D872CB"/>
    <w:rsid w:val="00D91B7B"/>
    <w:rsid w:val="00D91C5B"/>
    <w:rsid w:val="00D93927"/>
    <w:rsid w:val="00D9450E"/>
    <w:rsid w:val="00D94850"/>
    <w:rsid w:val="00D9563D"/>
    <w:rsid w:val="00D95E1D"/>
    <w:rsid w:val="00DA1151"/>
    <w:rsid w:val="00DA18AA"/>
    <w:rsid w:val="00DA57B7"/>
    <w:rsid w:val="00DA6F21"/>
    <w:rsid w:val="00DB0BBE"/>
    <w:rsid w:val="00DB2A7D"/>
    <w:rsid w:val="00DB2AFE"/>
    <w:rsid w:val="00DB617A"/>
    <w:rsid w:val="00DB6684"/>
    <w:rsid w:val="00DC083A"/>
    <w:rsid w:val="00DC15B7"/>
    <w:rsid w:val="00DC3846"/>
    <w:rsid w:val="00DC4C1E"/>
    <w:rsid w:val="00DC62B2"/>
    <w:rsid w:val="00DC76EA"/>
    <w:rsid w:val="00DD2DC1"/>
    <w:rsid w:val="00DD5052"/>
    <w:rsid w:val="00DD68B4"/>
    <w:rsid w:val="00DD6A15"/>
    <w:rsid w:val="00DD6F40"/>
    <w:rsid w:val="00DE1889"/>
    <w:rsid w:val="00DE3078"/>
    <w:rsid w:val="00DE3395"/>
    <w:rsid w:val="00DE3FF0"/>
    <w:rsid w:val="00DE7198"/>
    <w:rsid w:val="00DF1BCA"/>
    <w:rsid w:val="00DF1D21"/>
    <w:rsid w:val="00DF263D"/>
    <w:rsid w:val="00DF3D15"/>
    <w:rsid w:val="00DF4354"/>
    <w:rsid w:val="00E0057E"/>
    <w:rsid w:val="00E008D0"/>
    <w:rsid w:val="00E02FFC"/>
    <w:rsid w:val="00E0411F"/>
    <w:rsid w:val="00E0525A"/>
    <w:rsid w:val="00E10573"/>
    <w:rsid w:val="00E11404"/>
    <w:rsid w:val="00E130EB"/>
    <w:rsid w:val="00E144FF"/>
    <w:rsid w:val="00E14D92"/>
    <w:rsid w:val="00E15E29"/>
    <w:rsid w:val="00E16D74"/>
    <w:rsid w:val="00E17C6F"/>
    <w:rsid w:val="00E21342"/>
    <w:rsid w:val="00E22B11"/>
    <w:rsid w:val="00E24526"/>
    <w:rsid w:val="00E2605C"/>
    <w:rsid w:val="00E26C4D"/>
    <w:rsid w:val="00E31B41"/>
    <w:rsid w:val="00E32F21"/>
    <w:rsid w:val="00E35DA2"/>
    <w:rsid w:val="00E37526"/>
    <w:rsid w:val="00E414A4"/>
    <w:rsid w:val="00E41B6B"/>
    <w:rsid w:val="00E41D22"/>
    <w:rsid w:val="00E44270"/>
    <w:rsid w:val="00E46555"/>
    <w:rsid w:val="00E47026"/>
    <w:rsid w:val="00E47273"/>
    <w:rsid w:val="00E47526"/>
    <w:rsid w:val="00E5083C"/>
    <w:rsid w:val="00E526CF"/>
    <w:rsid w:val="00E52DAB"/>
    <w:rsid w:val="00E542B9"/>
    <w:rsid w:val="00E555DD"/>
    <w:rsid w:val="00E5638F"/>
    <w:rsid w:val="00E5698C"/>
    <w:rsid w:val="00E56ED5"/>
    <w:rsid w:val="00E57DBC"/>
    <w:rsid w:val="00E618ED"/>
    <w:rsid w:val="00E61E63"/>
    <w:rsid w:val="00E633C7"/>
    <w:rsid w:val="00E6358B"/>
    <w:rsid w:val="00E63957"/>
    <w:rsid w:val="00E64BDB"/>
    <w:rsid w:val="00E6561B"/>
    <w:rsid w:val="00E66AF8"/>
    <w:rsid w:val="00E6706E"/>
    <w:rsid w:val="00E704D7"/>
    <w:rsid w:val="00E71520"/>
    <w:rsid w:val="00E7631E"/>
    <w:rsid w:val="00E8067B"/>
    <w:rsid w:val="00E82E31"/>
    <w:rsid w:val="00E86739"/>
    <w:rsid w:val="00E87A09"/>
    <w:rsid w:val="00E87A6A"/>
    <w:rsid w:val="00E90F5C"/>
    <w:rsid w:val="00E92179"/>
    <w:rsid w:val="00E92786"/>
    <w:rsid w:val="00E955FA"/>
    <w:rsid w:val="00E97195"/>
    <w:rsid w:val="00E97872"/>
    <w:rsid w:val="00EA193D"/>
    <w:rsid w:val="00EA2752"/>
    <w:rsid w:val="00EA311D"/>
    <w:rsid w:val="00EA33B9"/>
    <w:rsid w:val="00EA4262"/>
    <w:rsid w:val="00EA496D"/>
    <w:rsid w:val="00EA7988"/>
    <w:rsid w:val="00EB05DB"/>
    <w:rsid w:val="00EB0FC9"/>
    <w:rsid w:val="00EB314D"/>
    <w:rsid w:val="00EC0EC5"/>
    <w:rsid w:val="00EC43C8"/>
    <w:rsid w:val="00EC4B04"/>
    <w:rsid w:val="00EC5FB0"/>
    <w:rsid w:val="00EC7EAD"/>
    <w:rsid w:val="00ED0022"/>
    <w:rsid w:val="00ED27E2"/>
    <w:rsid w:val="00ED2960"/>
    <w:rsid w:val="00ED6202"/>
    <w:rsid w:val="00ED6696"/>
    <w:rsid w:val="00ED6A36"/>
    <w:rsid w:val="00ED7970"/>
    <w:rsid w:val="00EE00A1"/>
    <w:rsid w:val="00EE07C9"/>
    <w:rsid w:val="00EE319A"/>
    <w:rsid w:val="00EE35ED"/>
    <w:rsid w:val="00EE3F64"/>
    <w:rsid w:val="00EE700C"/>
    <w:rsid w:val="00EE7159"/>
    <w:rsid w:val="00EE7E46"/>
    <w:rsid w:val="00EF083C"/>
    <w:rsid w:val="00EF10EA"/>
    <w:rsid w:val="00EF1B3F"/>
    <w:rsid w:val="00EF40C2"/>
    <w:rsid w:val="00EF45FB"/>
    <w:rsid w:val="00EF6961"/>
    <w:rsid w:val="00EF6C61"/>
    <w:rsid w:val="00EF760A"/>
    <w:rsid w:val="00F00F55"/>
    <w:rsid w:val="00F01460"/>
    <w:rsid w:val="00F0154A"/>
    <w:rsid w:val="00F01C08"/>
    <w:rsid w:val="00F01E5D"/>
    <w:rsid w:val="00F03E79"/>
    <w:rsid w:val="00F0693F"/>
    <w:rsid w:val="00F06B97"/>
    <w:rsid w:val="00F10A8C"/>
    <w:rsid w:val="00F10F4B"/>
    <w:rsid w:val="00F11BC1"/>
    <w:rsid w:val="00F14325"/>
    <w:rsid w:val="00F15251"/>
    <w:rsid w:val="00F15266"/>
    <w:rsid w:val="00F15984"/>
    <w:rsid w:val="00F17688"/>
    <w:rsid w:val="00F20E37"/>
    <w:rsid w:val="00F21C06"/>
    <w:rsid w:val="00F21C2B"/>
    <w:rsid w:val="00F226B9"/>
    <w:rsid w:val="00F23A17"/>
    <w:rsid w:val="00F245C7"/>
    <w:rsid w:val="00F246F0"/>
    <w:rsid w:val="00F26809"/>
    <w:rsid w:val="00F26FE2"/>
    <w:rsid w:val="00F2728B"/>
    <w:rsid w:val="00F27370"/>
    <w:rsid w:val="00F27F4E"/>
    <w:rsid w:val="00F32276"/>
    <w:rsid w:val="00F33044"/>
    <w:rsid w:val="00F35046"/>
    <w:rsid w:val="00F361C1"/>
    <w:rsid w:val="00F36F06"/>
    <w:rsid w:val="00F37D48"/>
    <w:rsid w:val="00F42CD7"/>
    <w:rsid w:val="00F4317C"/>
    <w:rsid w:val="00F431AE"/>
    <w:rsid w:val="00F4334A"/>
    <w:rsid w:val="00F443FF"/>
    <w:rsid w:val="00F454B5"/>
    <w:rsid w:val="00F460FF"/>
    <w:rsid w:val="00F464D3"/>
    <w:rsid w:val="00F51312"/>
    <w:rsid w:val="00F518A2"/>
    <w:rsid w:val="00F5483D"/>
    <w:rsid w:val="00F555AA"/>
    <w:rsid w:val="00F55CF3"/>
    <w:rsid w:val="00F569D4"/>
    <w:rsid w:val="00F57302"/>
    <w:rsid w:val="00F5785C"/>
    <w:rsid w:val="00F57A10"/>
    <w:rsid w:val="00F6330C"/>
    <w:rsid w:val="00F645EF"/>
    <w:rsid w:val="00F64D12"/>
    <w:rsid w:val="00F66422"/>
    <w:rsid w:val="00F670D1"/>
    <w:rsid w:val="00F70F78"/>
    <w:rsid w:val="00F710CF"/>
    <w:rsid w:val="00F71934"/>
    <w:rsid w:val="00F72911"/>
    <w:rsid w:val="00F73429"/>
    <w:rsid w:val="00F75CF7"/>
    <w:rsid w:val="00F765E8"/>
    <w:rsid w:val="00F77AB8"/>
    <w:rsid w:val="00F77F11"/>
    <w:rsid w:val="00F8000D"/>
    <w:rsid w:val="00F804B1"/>
    <w:rsid w:val="00F80807"/>
    <w:rsid w:val="00F81381"/>
    <w:rsid w:val="00F817F1"/>
    <w:rsid w:val="00F82287"/>
    <w:rsid w:val="00F82658"/>
    <w:rsid w:val="00F82F09"/>
    <w:rsid w:val="00F83FDF"/>
    <w:rsid w:val="00F8419A"/>
    <w:rsid w:val="00F84F26"/>
    <w:rsid w:val="00F85347"/>
    <w:rsid w:val="00F85349"/>
    <w:rsid w:val="00F85E8C"/>
    <w:rsid w:val="00F86198"/>
    <w:rsid w:val="00F91476"/>
    <w:rsid w:val="00F919A3"/>
    <w:rsid w:val="00F920AB"/>
    <w:rsid w:val="00F93E1E"/>
    <w:rsid w:val="00F97B87"/>
    <w:rsid w:val="00FA14F8"/>
    <w:rsid w:val="00FA2382"/>
    <w:rsid w:val="00FA2986"/>
    <w:rsid w:val="00FA4321"/>
    <w:rsid w:val="00FA4837"/>
    <w:rsid w:val="00FA6B51"/>
    <w:rsid w:val="00FA6B6E"/>
    <w:rsid w:val="00FB0831"/>
    <w:rsid w:val="00FB102C"/>
    <w:rsid w:val="00FB11C5"/>
    <w:rsid w:val="00FB18C3"/>
    <w:rsid w:val="00FB1EF4"/>
    <w:rsid w:val="00FB27AE"/>
    <w:rsid w:val="00FB3936"/>
    <w:rsid w:val="00FB6CAB"/>
    <w:rsid w:val="00FB709D"/>
    <w:rsid w:val="00FC3727"/>
    <w:rsid w:val="00FC388D"/>
    <w:rsid w:val="00FC58C3"/>
    <w:rsid w:val="00FC6445"/>
    <w:rsid w:val="00FC645C"/>
    <w:rsid w:val="00FC72DF"/>
    <w:rsid w:val="00FC7DD0"/>
    <w:rsid w:val="00FD1412"/>
    <w:rsid w:val="00FD2C08"/>
    <w:rsid w:val="00FD3B93"/>
    <w:rsid w:val="00FD4664"/>
    <w:rsid w:val="00FD55D6"/>
    <w:rsid w:val="00FD5CBA"/>
    <w:rsid w:val="00FD6078"/>
    <w:rsid w:val="00FD60E7"/>
    <w:rsid w:val="00FD6AA5"/>
    <w:rsid w:val="00FD7D2E"/>
    <w:rsid w:val="00FE11A2"/>
    <w:rsid w:val="00FE1418"/>
    <w:rsid w:val="00FE1554"/>
    <w:rsid w:val="00FE2316"/>
    <w:rsid w:val="00FE2A40"/>
    <w:rsid w:val="00FE2B21"/>
    <w:rsid w:val="00FE3224"/>
    <w:rsid w:val="00FE32EA"/>
    <w:rsid w:val="00FE4467"/>
    <w:rsid w:val="00FE5D8F"/>
    <w:rsid w:val="00FF0744"/>
    <w:rsid w:val="00FF3EEA"/>
    <w:rsid w:val="00FF428A"/>
    <w:rsid w:val="00FF5F27"/>
    <w:rsid w:val="00FF6C06"/>
    <w:rsid w:val="00FF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88A"/>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semiHidden/>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semiHidden/>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semiHidden/>
    <w:rsid w:val="00C457BE"/>
    <w:rPr>
      <w:rFonts w:cs="Times New Roman"/>
      <w:sz w:val="16"/>
      <w:szCs w:val="16"/>
    </w:rPr>
  </w:style>
  <w:style w:type="paragraph" w:styleId="CommentText">
    <w:name w:val="annotation text"/>
    <w:basedOn w:val="Normal"/>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semiHidden/>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BAB15D-D6FC-494B-BBAE-54554672DAFA}"/>
</file>

<file path=customXml/itemProps2.xml><?xml version="1.0" encoding="utf-8"?>
<ds:datastoreItem xmlns:ds="http://schemas.openxmlformats.org/officeDocument/2006/customXml" ds:itemID="{6C549E4F-2E1E-4FCA-AAB3-0B37CC24B77C}"/>
</file>

<file path=customXml/itemProps3.xml><?xml version="1.0" encoding="utf-8"?>
<ds:datastoreItem xmlns:ds="http://schemas.openxmlformats.org/officeDocument/2006/customXml" ds:itemID="{9EFB0F19-3D6A-4069-A568-3EAE57150274}"/>
</file>

<file path=customXml/itemProps4.xml><?xml version="1.0" encoding="utf-8"?>
<ds:datastoreItem xmlns:ds="http://schemas.openxmlformats.org/officeDocument/2006/customXml" ds:itemID="{FAB9CB4B-1804-4308-8F3E-5384386C9B47}"/>
</file>

<file path=customXml/itemProps5.xml><?xml version="1.0" encoding="utf-8"?>
<ds:datastoreItem xmlns:ds="http://schemas.openxmlformats.org/officeDocument/2006/customXml" ds:itemID="{4887CB9C-A659-40BD-99BF-A60499662CD0}"/>
</file>

<file path=docProps/app.xml><?xml version="1.0" encoding="utf-8"?>
<Properties xmlns="http://schemas.openxmlformats.org/officeDocument/2006/extended-properties" xmlns:vt="http://schemas.openxmlformats.org/officeDocument/2006/docPropsVTypes">
  <Template>Normal.dotm</Template>
  <TotalTime>1</TotalTime>
  <Pages>27</Pages>
  <Words>5718</Words>
  <Characters>31059</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Paul W. Kimball</cp:lastModifiedBy>
  <cp:revision>2</cp:revision>
  <cp:lastPrinted>2012-03-26T20:10:00Z</cp:lastPrinted>
  <dcterms:created xsi:type="dcterms:W3CDTF">2012-03-26T20:11:00Z</dcterms:created>
  <dcterms:modified xsi:type="dcterms:W3CDTF">2012-03-26T20:11:00Z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