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93774" w14:textId="298CDFAE" w:rsidR="00424692" w:rsidRDefault="00424692" w:rsidP="00424692">
      <w:pPr>
        <w:spacing w:after="120" w:line="240" w:lineRule="auto"/>
        <w:jc w:val="center"/>
        <w:rPr>
          <w:b/>
          <w:sz w:val="32"/>
          <w:szCs w:val="32"/>
        </w:rPr>
      </w:pPr>
      <w:r>
        <w:rPr>
          <w:b/>
          <w:sz w:val="32"/>
          <w:szCs w:val="32"/>
        </w:rPr>
        <w:t>Avista’s Washington Advanced Metering Project</w:t>
      </w:r>
    </w:p>
    <w:p w14:paraId="427C9153" w14:textId="47419232" w:rsidR="00196978" w:rsidRPr="0008746F" w:rsidRDefault="00424692" w:rsidP="00424692">
      <w:pPr>
        <w:spacing w:after="120" w:line="240" w:lineRule="auto"/>
        <w:jc w:val="center"/>
        <w:rPr>
          <w:b/>
          <w:sz w:val="32"/>
          <w:szCs w:val="32"/>
        </w:rPr>
      </w:pPr>
      <w:r>
        <w:rPr>
          <w:b/>
          <w:sz w:val="32"/>
          <w:szCs w:val="32"/>
        </w:rPr>
        <w:t>Description of Quantified Customer Benefits</w:t>
      </w:r>
    </w:p>
    <w:p w14:paraId="427C9157" w14:textId="77777777" w:rsidR="00532ABC" w:rsidRDefault="00532ABC" w:rsidP="00532ABC">
      <w:pPr>
        <w:spacing w:after="0" w:line="240" w:lineRule="auto"/>
        <w:rPr>
          <w:b/>
        </w:rPr>
      </w:pPr>
    </w:p>
    <w:tbl>
      <w:tblPr>
        <w:tblStyle w:val="TableGrid"/>
        <w:tblW w:w="11016" w:type="dxa"/>
        <w:tblLayout w:type="fixed"/>
        <w:tblLook w:val="04A0" w:firstRow="1" w:lastRow="0" w:firstColumn="1" w:lastColumn="0" w:noHBand="0" w:noVBand="1"/>
      </w:tblPr>
      <w:tblGrid>
        <w:gridCol w:w="11016"/>
      </w:tblGrid>
      <w:tr w:rsidR="00532ABC" w14:paraId="427C9159" w14:textId="77777777" w:rsidTr="00424692">
        <w:tc>
          <w:tcPr>
            <w:tcW w:w="11016" w:type="dxa"/>
            <w:shd w:val="clear" w:color="auto" w:fill="548DD4" w:themeFill="text2" w:themeFillTint="99"/>
          </w:tcPr>
          <w:p w14:paraId="427C9158" w14:textId="06336846" w:rsidR="00532ABC" w:rsidRPr="0008746F" w:rsidRDefault="00226844" w:rsidP="00532ABC">
            <w:pPr>
              <w:rPr>
                <w:b/>
                <w:color w:val="FFFFFF" w:themeColor="background1"/>
              </w:rPr>
            </w:pPr>
            <w:r>
              <w:rPr>
                <w:b/>
                <w:color w:val="FFFFFF" w:themeColor="background1"/>
              </w:rPr>
              <w:t>Area of Benefit</w:t>
            </w:r>
          </w:p>
        </w:tc>
      </w:tr>
      <w:tr w:rsidR="00532ABC" w14:paraId="427C915D" w14:textId="77777777" w:rsidTr="00424692">
        <w:tc>
          <w:tcPr>
            <w:tcW w:w="11016" w:type="dxa"/>
            <w:tcBorders>
              <w:bottom w:val="single" w:sz="4" w:space="0" w:color="auto"/>
            </w:tcBorders>
          </w:tcPr>
          <w:p w14:paraId="694EE868" w14:textId="77777777" w:rsidR="00226844" w:rsidRPr="00226844" w:rsidRDefault="00226844" w:rsidP="00532ABC">
            <w:pPr>
              <w:rPr>
                <w:b/>
                <w:sz w:val="12"/>
              </w:rPr>
            </w:pPr>
          </w:p>
          <w:p w14:paraId="3295AFB2" w14:textId="003B98C8" w:rsidR="00226844" w:rsidRDefault="00027AF0" w:rsidP="00274B5B">
            <w:pPr>
              <w:ind w:left="157"/>
              <w:rPr>
                <w:sz w:val="28"/>
              </w:rPr>
            </w:pPr>
            <w:r>
              <w:rPr>
                <w:sz w:val="28"/>
              </w:rPr>
              <w:t xml:space="preserve">Outage Management – </w:t>
            </w:r>
            <w:r w:rsidR="00596E6F">
              <w:rPr>
                <w:sz w:val="28"/>
              </w:rPr>
              <w:t>Outage Restoration Efficiencies</w:t>
            </w:r>
          </w:p>
          <w:p w14:paraId="427C915C" w14:textId="4BDE4486" w:rsidR="00027AF0" w:rsidRPr="00226844" w:rsidRDefault="00027AF0" w:rsidP="00AD36F2">
            <w:pPr>
              <w:ind w:left="157"/>
              <w:rPr>
                <w:b/>
                <w:sz w:val="14"/>
              </w:rPr>
            </w:pPr>
          </w:p>
        </w:tc>
      </w:tr>
      <w:tr w:rsidR="001A5069" w14:paraId="0920EC06" w14:textId="77777777" w:rsidTr="00424692">
        <w:tc>
          <w:tcPr>
            <w:tcW w:w="11016" w:type="dxa"/>
            <w:shd w:val="clear" w:color="auto" w:fill="548DD4" w:themeFill="text2" w:themeFillTint="99"/>
          </w:tcPr>
          <w:p w14:paraId="0E7066B5" w14:textId="66DC7E70" w:rsidR="001A5069" w:rsidRPr="0008746F" w:rsidRDefault="00FF450F" w:rsidP="00532ABC">
            <w:pPr>
              <w:rPr>
                <w:b/>
                <w:color w:val="FFFFFF" w:themeColor="background1"/>
              </w:rPr>
            </w:pPr>
            <w:r>
              <w:rPr>
                <w:b/>
                <w:color w:val="FFFFFF" w:themeColor="background1"/>
              </w:rPr>
              <w:t>Customer Value</w:t>
            </w:r>
          </w:p>
        </w:tc>
      </w:tr>
      <w:tr w:rsidR="001A5069" w:rsidRPr="001A5069" w14:paraId="008E8375" w14:textId="77777777" w:rsidTr="00424692">
        <w:tc>
          <w:tcPr>
            <w:tcW w:w="11016" w:type="dxa"/>
            <w:tcBorders>
              <w:bottom w:val="single" w:sz="4" w:space="0" w:color="auto"/>
            </w:tcBorders>
            <w:shd w:val="clear" w:color="auto" w:fill="auto"/>
          </w:tcPr>
          <w:p w14:paraId="0F2FBA7E" w14:textId="6C27EF20" w:rsidR="00901B8B" w:rsidRDefault="00901B8B" w:rsidP="00226844">
            <w:pPr>
              <w:tabs>
                <w:tab w:val="left" w:pos="9660"/>
              </w:tabs>
              <w:rPr>
                <w:color w:val="000000" w:themeColor="text1"/>
                <w:sz w:val="10"/>
              </w:rPr>
            </w:pPr>
          </w:p>
          <w:p w14:paraId="4D845B8B" w14:textId="278451EA" w:rsidR="007F5234" w:rsidRDefault="00B44538" w:rsidP="00511C97">
            <w:pPr>
              <w:tabs>
                <w:tab w:val="left" w:pos="9660"/>
              </w:tabs>
              <w:ind w:left="157"/>
              <w:jc w:val="both"/>
              <w:rPr>
                <w:color w:val="000000" w:themeColor="text1"/>
                <w:sz w:val="24"/>
              </w:rPr>
            </w:pPr>
            <w:r>
              <w:rPr>
                <w:color w:val="000000" w:themeColor="text1"/>
                <w:sz w:val="24"/>
              </w:rPr>
              <w:t>Advanced metering will provide customer benefits by providing the Company better visibility of overall customer outages during large</w:t>
            </w:r>
            <w:r w:rsidR="000A0C79">
              <w:rPr>
                <w:rStyle w:val="FootnoteReference"/>
                <w:color w:val="000000" w:themeColor="text1"/>
                <w:sz w:val="24"/>
              </w:rPr>
              <w:footnoteReference w:id="1"/>
            </w:r>
            <w:r>
              <w:rPr>
                <w:color w:val="000000" w:themeColor="text1"/>
                <w:sz w:val="24"/>
              </w:rPr>
              <w:t xml:space="preserve"> outage events, which will make outage restoration more efficient and reduce the cost of providing service</w:t>
            </w:r>
            <w:r w:rsidR="007F5234">
              <w:rPr>
                <w:color w:val="000000" w:themeColor="text1"/>
                <w:sz w:val="24"/>
              </w:rPr>
              <w:t>.</w:t>
            </w:r>
          </w:p>
          <w:p w14:paraId="4F0B537B" w14:textId="0CDE2C60" w:rsidR="006E0E8E" w:rsidRPr="00901B8B" w:rsidRDefault="006E0E8E" w:rsidP="002B733B">
            <w:pPr>
              <w:tabs>
                <w:tab w:val="left" w:pos="9660"/>
              </w:tabs>
              <w:jc w:val="both"/>
              <w:rPr>
                <w:color w:val="FFFFFF" w:themeColor="background1"/>
                <w:sz w:val="10"/>
              </w:rPr>
            </w:pPr>
          </w:p>
        </w:tc>
      </w:tr>
      <w:tr w:rsidR="00532ABC" w14:paraId="427C915F" w14:textId="77777777" w:rsidTr="00424692">
        <w:tc>
          <w:tcPr>
            <w:tcW w:w="11016" w:type="dxa"/>
            <w:shd w:val="clear" w:color="auto" w:fill="548DD4" w:themeFill="text2" w:themeFillTint="99"/>
          </w:tcPr>
          <w:p w14:paraId="427C915E" w14:textId="0796F8A8" w:rsidR="00532ABC" w:rsidRPr="0008746F" w:rsidRDefault="00532ABC" w:rsidP="00532ABC">
            <w:pPr>
              <w:rPr>
                <w:b/>
                <w:color w:val="FFFFFF" w:themeColor="background1"/>
              </w:rPr>
            </w:pPr>
            <w:r w:rsidRPr="0008746F">
              <w:rPr>
                <w:b/>
                <w:color w:val="FFFFFF" w:themeColor="background1"/>
              </w:rPr>
              <w:t>Backg</w:t>
            </w:r>
            <w:r w:rsidR="00E33A5C">
              <w:rPr>
                <w:b/>
                <w:color w:val="FFFFFF" w:themeColor="background1"/>
              </w:rPr>
              <w:t>round</w:t>
            </w:r>
          </w:p>
        </w:tc>
      </w:tr>
      <w:tr w:rsidR="00532ABC" w14:paraId="427C916C" w14:textId="77777777" w:rsidTr="00424692">
        <w:tc>
          <w:tcPr>
            <w:tcW w:w="11016" w:type="dxa"/>
            <w:tcBorders>
              <w:bottom w:val="single" w:sz="4" w:space="0" w:color="auto"/>
            </w:tcBorders>
          </w:tcPr>
          <w:p w14:paraId="15530A19" w14:textId="6581232F" w:rsidR="00901B8B" w:rsidRPr="00901B8B" w:rsidRDefault="00901B8B" w:rsidP="00D40BD6">
            <w:pPr>
              <w:ind w:left="157"/>
              <w:rPr>
                <w:sz w:val="10"/>
              </w:rPr>
            </w:pPr>
          </w:p>
          <w:p w14:paraId="03619C5F" w14:textId="00A568E2" w:rsidR="008565E2" w:rsidRPr="00130F86" w:rsidRDefault="00B44538" w:rsidP="008565E2">
            <w:pPr>
              <w:ind w:left="157"/>
              <w:jc w:val="both"/>
              <w:rPr>
                <w:sz w:val="24"/>
                <w:szCs w:val="24"/>
              </w:rPr>
            </w:pPr>
            <w:r w:rsidRPr="00B43D3A">
              <w:rPr>
                <w:sz w:val="24"/>
              </w:rPr>
              <w:t>For the five-year period</w:t>
            </w:r>
            <w:r w:rsidR="002B733B" w:rsidRPr="00B43D3A">
              <w:rPr>
                <w:sz w:val="24"/>
              </w:rPr>
              <w:t xml:space="preserve"> 2010 </w:t>
            </w:r>
            <w:r w:rsidRPr="00B43D3A">
              <w:rPr>
                <w:sz w:val="24"/>
              </w:rPr>
              <w:t>through</w:t>
            </w:r>
            <w:r w:rsidR="002B733B" w:rsidRPr="00B43D3A">
              <w:rPr>
                <w:sz w:val="24"/>
              </w:rPr>
              <w:t xml:space="preserve"> 2104</w:t>
            </w:r>
            <w:r w:rsidRPr="00B43D3A">
              <w:rPr>
                <w:sz w:val="24"/>
              </w:rPr>
              <w:t>, Avista’s average annual cost</w:t>
            </w:r>
            <w:r w:rsidR="002B733B" w:rsidRPr="00B43D3A">
              <w:rPr>
                <w:sz w:val="24"/>
              </w:rPr>
              <w:t xml:space="preserve"> </w:t>
            </w:r>
            <w:r w:rsidRPr="00B43D3A">
              <w:rPr>
                <w:sz w:val="24"/>
              </w:rPr>
              <w:t xml:space="preserve">for storm damage restoration </w:t>
            </w:r>
            <w:r w:rsidR="002B733B" w:rsidRPr="00B43D3A">
              <w:rPr>
                <w:sz w:val="24"/>
              </w:rPr>
              <w:t xml:space="preserve">was </w:t>
            </w:r>
            <w:r w:rsidRPr="00B43D3A">
              <w:rPr>
                <w:sz w:val="24"/>
              </w:rPr>
              <w:t>$4.17 million.</w:t>
            </w:r>
            <w:r w:rsidR="00B43D3A" w:rsidRPr="00B43D3A">
              <w:rPr>
                <w:sz w:val="24"/>
              </w:rPr>
              <w:t xml:space="preserve">  Annual costs for this period are shown in the figure below.</w:t>
            </w:r>
            <w:r w:rsidRPr="00B43D3A">
              <w:rPr>
                <w:sz w:val="24"/>
              </w:rPr>
              <w:t xml:space="preserve">  </w:t>
            </w:r>
            <w:r w:rsidR="008565E2">
              <w:rPr>
                <w:sz w:val="24"/>
              </w:rPr>
              <w:t xml:space="preserve">In 2014, Avista experienced two windstorm events that caused significant customer outages, which substantially boosted restoration costs for that year compared with the prior period.  </w:t>
            </w:r>
            <w:r w:rsidR="00387C08">
              <w:rPr>
                <w:sz w:val="24"/>
              </w:rPr>
              <w:t>T</w:t>
            </w:r>
            <w:r w:rsidRPr="00B43D3A">
              <w:rPr>
                <w:sz w:val="24"/>
              </w:rPr>
              <w:t>he Company experienced a</w:t>
            </w:r>
            <w:r w:rsidR="00387C08">
              <w:rPr>
                <w:sz w:val="24"/>
              </w:rPr>
              <w:t>nother</w:t>
            </w:r>
            <w:r w:rsidRPr="00B43D3A">
              <w:rPr>
                <w:sz w:val="24"/>
              </w:rPr>
              <w:t xml:space="preserve"> major storm in November of</w:t>
            </w:r>
            <w:r w:rsidR="002B733B" w:rsidRPr="00B43D3A">
              <w:rPr>
                <w:sz w:val="24"/>
              </w:rPr>
              <w:t xml:space="preserve"> 2015</w:t>
            </w:r>
            <w:r w:rsidR="00387C08">
              <w:rPr>
                <w:sz w:val="24"/>
              </w:rPr>
              <w:t>,</w:t>
            </w:r>
            <w:r w:rsidRPr="00B43D3A">
              <w:rPr>
                <w:sz w:val="24"/>
              </w:rPr>
              <w:t xml:space="preserve"> </w:t>
            </w:r>
            <w:r w:rsidR="00AE230C">
              <w:rPr>
                <w:sz w:val="24"/>
              </w:rPr>
              <w:t>which</w:t>
            </w:r>
            <w:r w:rsidR="00387C08">
              <w:rPr>
                <w:sz w:val="24"/>
              </w:rPr>
              <w:t xml:space="preserve"> by itself</w:t>
            </w:r>
            <w:r w:rsidR="002B733B" w:rsidRPr="00B43D3A">
              <w:rPr>
                <w:sz w:val="24"/>
              </w:rPr>
              <w:t xml:space="preserve"> </w:t>
            </w:r>
            <w:r w:rsidRPr="00B43D3A">
              <w:rPr>
                <w:sz w:val="24"/>
              </w:rPr>
              <w:t xml:space="preserve">caused </w:t>
            </w:r>
            <w:r w:rsidR="00387C08">
              <w:rPr>
                <w:sz w:val="24"/>
              </w:rPr>
              <w:t>more</w:t>
            </w:r>
            <w:r w:rsidRPr="00B43D3A">
              <w:rPr>
                <w:sz w:val="24"/>
              </w:rPr>
              <w:t xml:space="preserve"> damage</w:t>
            </w:r>
            <w:r w:rsidR="00387C08">
              <w:rPr>
                <w:sz w:val="24"/>
              </w:rPr>
              <w:t xml:space="preserve"> than</w:t>
            </w:r>
            <w:r w:rsidRPr="00B43D3A">
              <w:rPr>
                <w:sz w:val="24"/>
              </w:rPr>
              <w:t xml:space="preserve"> </w:t>
            </w:r>
            <w:r w:rsidR="00387C08" w:rsidRPr="00387C08">
              <w:rPr>
                <w:sz w:val="24"/>
                <w:u w:val="single"/>
              </w:rPr>
              <w:t>all</w:t>
            </w:r>
            <w:r w:rsidRPr="00387C08">
              <w:rPr>
                <w:sz w:val="24"/>
                <w:u w:val="single"/>
              </w:rPr>
              <w:t xml:space="preserve"> of the storms </w:t>
            </w:r>
            <w:r w:rsidR="00387C08" w:rsidRPr="00387C08">
              <w:rPr>
                <w:sz w:val="24"/>
                <w:u w:val="single"/>
              </w:rPr>
              <w:t xml:space="preserve">combined </w:t>
            </w:r>
            <w:r w:rsidR="00387C08">
              <w:rPr>
                <w:sz w:val="24"/>
              </w:rPr>
              <w:t>from the</w:t>
            </w:r>
            <w:r w:rsidRPr="00B43D3A">
              <w:rPr>
                <w:sz w:val="24"/>
              </w:rPr>
              <w:t xml:space="preserve"> </w:t>
            </w:r>
            <w:r w:rsidR="00387C08">
              <w:rPr>
                <w:sz w:val="24"/>
              </w:rPr>
              <w:t xml:space="preserve">five-year </w:t>
            </w:r>
            <w:r w:rsidR="00B43D3A" w:rsidRPr="00B43D3A">
              <w:rPr>
                <w:sz w:val="24"/>
              </w:rPr>
              <w:t xml:space="preserve">period </w:t>
            </w:r>
            <w:r w:rsidR="00387C08">
              <w:rPr>
                <w:sz w:val="24"/>
              </w:rPr>
              <w:t>shown in the figure,</w:t>
            </w:r>
            <w:r w:rsidRPr="00B43D3A">
              <w:rPr>
                <w:sz w:val="24"/>
              </w:rPr>
              <w:t xml:space="preserve"> and </w:t>
            </w:r>
            <w:r w:rsidR="00B43D3A" w:rsidRPr="00B43D3A">
              <w:rPr>
                <w:sz w:val="24"/>
              </w:rPr>
              <w:t>resulted in more customer outages than</w:t>
            </w:r>
            <w:r w:rsidRPr="00B43D3A">
              <w:rPr>
                <w:sz w:val="24"/>
              </w:rPr>
              <w:t xml:space="preserve"> </w:t>
            </w:r>
            <w:r w:rsidR="00B43D3A" w:rsidRPr="00B43D3A">
              <w:rPr>
                <w:sz w:val="24"/>
              </w:rPr>
              <w:t xml:space="preserve">even </w:t>
            </w:r>
            <w:r w:rsidRPr="00B43D3A">
              <w:rPr>
                <w:sz w:val="24"/>
              </w:rPr>
              <w:t>the ice storm of 1996</w:t>
            </w:r>
            <w:r w:rsidR="00B43D3A" w:rsidRPr="00B43D3A">
              <w:rPr>
                <w:sz w:val="24"/>
              </w:rPr>
              <w:t xml:space="preserve">, which had been the largest event in the Company’s 126-year history. </w:t>
            </w:r>
            <w:r w:rsidR="008565E2">
              <w:rPr>
                <w:sz w:val="24"/>
              </w:rPr>
              <w:t xml:space="preserve"> </w:t>
            </w:r>
            <w:r w:rsidR="00387C08">
              <w:rPr>
                <w:sz w:val="24"/>
              </w:rPr>
              <w:t xml:space="preserve">This trend toward increasing weather-related major outage events is not unique to Avista.  </w:t>
            </w:r>
            <w:r w:rsidR="008565E2" w:rsidRPr="00130F86">
              <w:rPr>
                <w:sz w:val="24"/>
                <w:szCs w:val="24"/>
              </w:rPr>
              <w:t>A report</w:t>
            </w:r>
            <w:r w:rsidR="008565E2">
              <w:rPr>
                <w:rStyle w:val="FootnoteReference"/>
                <w:sz w:val="24"/>
                <w:szCs w:val="24"/>
              </w:rPr>
              <w:footnoteReference w:id="2"/>
            </w:r>
            <w:r w:rsidR="008565E2" w:rsidRPr="00130F86">
              <w:rPr>
                <w:sz w:val="24"/>
                <w:szCs w:val="24"/>
              </w:rPr>
              <w:t xml:space="preserve"> from </w:t>
            </w:r>
            <w:r w:rsidR="008565E2">
              <w:rPr>
                <w:sz w:val="24"/>
                <w:szCs w:val="24"/>
              </w:rPr>
              <w:t xml:space="preserve">the </w:t>
            </w:r>
            <w:r w:rsidR="008565E2" w:rsidRPr="00130F86">
              <w:rPr>
                <w:sz w:val="24"/>
                <w:szCs w:val="24"/>
              </w:rPr>
              <w:t xml:space="preserve">Lawrence Berkeley National Laboratory </w:t>
            </w:r>
            <w:r w:rsidR="00182462">
              <w:rPr>
                <w:sz w:val="24"/>
                <w:szCs w:val="24"/>
              </w:rPr>
              <w:t>documents the increase in</w:t>
            </w:r>
            <w:r w:rsidR="008565E2" w:rsidRPr="00130F86">
              <w:rPr>
                <w:sz w:val="24"/>
                <w:szCs w:val="24"/>
              </w:rPr>
              <w:t xml:space="preserve"> electric grid disturbances </w:t>
            </w:r>
            <w:r w:rsidR="00182462">
              <w:rPr>
                <w:sz w:val="24"/>
                <w:szCs w:val="24"/>
              </w:rPr>
              <w:t>across the United States,</w:t>
            </w:r>
            <w:r w:rsidR="008565E2" w:rsidRPr="00130F86">
              <w:rPr>
                <w:sz w:val="24"/>
                <w:szCs w:val="24"/>
              </w:rPr>
              <w:t xml:space="preserve"> represen</w:t>
            </w:r>
            <w:r w:rsidR="00182462">
              <w:rPr>
                <w:sz w:val="24"/>
                <w:szCs w:val="24"/>
              </w:rPr>
              <w:t>ting</w:t>
            </w:r>
            <w:r w:rsidR="008565E2" w:rsidRPr="00130F86">
              <w:rPr>
                <w:sz w:val="24"/>
                <w:szCs w:val="24"/>
              </w:rPr>
              <w:t xml:space="preserve"> a</w:t>
            </w:r>
            <w:r w:rsidR="00182462">
              <w:rPr>
                <w:sz w:val="24"/>
                <w:szCs w:val="24"/>
              </w:rPr>
              <w:t>n estimated annual economic impact of</w:t>
            </w:r>
            <w:r w:rsidR="008565E2" w:rsidRPr="00130F86">
              <w:rPr>
                <w:sz w:val="24"/>
                <w:szCs w:val="24"/>
              </w:rPr>
              <w:t xml:space="preserve"> $104-$164 bi</w:t>
            </w:r>
            <w:r w:rsidR="00182462">
              <w:rPr>
                <w:sz w:val="24"/>
                <w:szCs w:val="24"/>
              </w:rPr>
              <w:t>llion</w:t>
            </w:r>
            <w:r w:rsidR="00AE230C">
              <w:rPr>
                <w:sz w:val="24"/>
                <w:szCs w:val="24"/>
              </w:rPr>
              <w:t>.</w:t>
            </w:r>
          </w:p>
          <w:p w14:paraId="70265F47" w14:textId="77777777" w:rsidR="00511C97" w:rsidRDefault="00511C97" w:rsidP="00182462">
            <w:pPr>
              <w:jc w:val="both"/>
            </w:pPr>
          </w:p>
          <w:p w14:paraId="0B222799" w14:textId="020832B0" w:rsidR="00511C97" w:rsidRDefault="00274B5B" w:rsidP="001C2E70">
            <w:pPr>
              <w:ind w:left="157"/>
              <w:jc w:val="both"/>
            </w:pPr>
            <w:r>
              <w:rPr>
                <w:noProof/>
              </w:rPr>
              <w:drawing>
                <wp:inline distT="0" distB="0" distL="0" distR="0" wp14:anchorId="0F8D4E0D" wp14:editId="3AF80079">
                  <wp:extent cx="6648450" cy="2466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55D55A" w14:textId="77777777" w:rsidR="00511C97" w:rsidRDefault="00511C97" w:rsidP="001C2E70">
            <w:pPr>
              <w:ind w:left="157"/>
              <w:jc w:val="both"/>
              <w:rPr>
                <w:sz w:val="24"/>
                <w:szCs w:val="24"/>
              </w:rPr>
            </w:pPr>
          </w:p>
          <w:p w14:paraId="71C015F6" w14:textId="71AFBDEB" w:rsidR="00D90C9F" w:rsidRDefault="00B43D3A" w:rsidP="00D90C9F">
            <w:pPr>
              <w:ind w:left="157"/>
              <w:jc w:val="both"/>
              <w:rPr>
                <w:sz w:val="24"/>
                <w:szCs w:val="24"/>
              </w:rPr>
            </w:pPr>
            <w:r>
              <w:rPr>
                <w:sz w:val="24"/>
                <w:szCs w:val="24"/>
              </w:rPr>
              <w:t>Avista’s restoration of customer outages from s</w:t>
            </w:r>
            <w:r w:rsidR="00130F86" w:rsidRPr="00130F86">
              <w:rPr>
                <w:sz w:val="24"/>
                <w:szCs w:val="24"/>
              </w:rPr>
              <w:t xml:space="preserve">torm </w:t>
            </w:r>
            <w:r>
              <w:rPr>
                <w:sz w:val="24"/>
                <w:szCs w:val="24"/>
              </w:rPr>
              <w:t>damage will benefit from advanced metering</w:t>
            </w:r>
            <w:r w:rsidR="00130F86" w:rsidRPr="00130F86">
              <w:rPr>
                <w:sz w:val="24"/>
                <w:szCs w:val="24"/>
              </w:rPr>
              <w:t xml:space="preserve"> </w:t>
            </w:r>
            <w:r w:rsidR="00C1161D">
              <w:rPr>
                <w:sz w:val="24"/>
                <w:szCs w:val="24"/>
              </w:rPr>
              <w:t>by integrating</w:t>
            </w:r>
            <w:r>
              <w:rPr>
                <w:sz w:val="24"/>
                <w:szCs w:val="24"/>
              </w:rPr>
              <w:t xml:space="preserve"> t</w:t>
            </w:r>
            <w:r w:rsidR="00C1161D">
              <w:rPr>
                <w:sz w:val="24"/>
                <w:szCs w:val="24"/>
              </w:rPr>
              <w:t>he AMI system</w:t>
            </w:r>
            <w:r>
              <w:rPr>
                <w:sz w:val="24"/>
                <w:szCs w:val="24"/>
              </w:rPr>
              <w:t xml:space="preserve"> with the Company’s outage management system.  In short, when </w:t>
            </w:r>
            <w:r w:rsidR="00AE230C">
              <w:rPr>
                <w:sz w:val="24"/>
                <w:szCs w:val="24"/>
              </w:rPr>
              <w:t xml:space="preserve">the </w:t>
            </w:r>
            <w:r>
              <w:rPr>
                <w:sz w:val="24"/>
                <w:szCs w:val="24"/>
              </w:rPr>
              <w:t xml:space="preserve">new system is installed, any loss of service to a customer </w:t>
            </w:r>
            <w:r w:rsidR="00203C1C">
              <w:rPr>
                <w:sz w:val="24"/>
                <w:szCs w:val="24"/>
              </w:rPr>
              <w:t xml:space="preserve">will be instantly posted on the geographic mapping </w:t>
            </w:r>
            <w:r w:rsidR="00C1161D">
              <w:rPr>
                <w:sz w:val="24"/>
                <w:szCs w:val="24"/>
              </w:rPr>
              <w:t xml:space="preserve">system (GIS) </w:t>
            </w:r>
            <w:r w:rsidR="00AE230C">
              <w:rPr>
                <w:sz w:val="24"/>
                <w:szCs w:val="24"/>
              </w:rPr>
              <w:t>that is integrated with</w:t>
            </w:r>
            <w:r w:rsidR="00203C1C">
              <w:rPr>
                <w:sz w:val="24"/>
                <w:szCs w:val="24"/>
              </w:rPr>
              <w:t xml:space="preserve"> the outage management </w:t>
            </w:r>
            <w:r w:rsidR="00C1161D">
              <w:rPr>
                <w:sz w:val="24"/>
                <w:szCs w:val="24"/>
              </w:rPr>
              <w:t>application</w:t>
            </w:r>
            <w:r w:rsidR="00203C1C">
              <w:rPr>
                <w:sz w:val="24"/>
                <w:szCs w:val="24"/>
              </w:rPr>
              <w:t xml:space="preserve"> showing the exact location of the outage.  Having this capability will benefit our customers </w:t>
            </w:r>
            <w:r w:rsidR="00C1161D">
              <w:rPr>
                <w:sz w:val="24"/>
                <w:szCs w:val="24"/>
              </w:rPr>
              <w:t xml:space="preserve">in a number of ways </w:t>
            </w:r>
            <w:r w:rsidR="00130F86" w:rsidRPr="00130F86">
              <w:rPr>
                <w:sz w:val="24"/>
                <w:szCs w:val="24"/>
              </w:rPr>
              <w:t xml:space="preserve">as </w:t>
            </w:r>
            <w:r w:rsidR="00C1161D">
              <w:rPr>
                <w:sz w:val="24"/>
                <w:szCs w:val="24"/>
              </w:rPr>
              <w:t>described</w:t>
            </w:r>
            <w:r w:rsidR="00130F86" w:rsidRPr="00130F86">
              <w:rPr>
                <w:sz w:val="24"/>
                <w:szCs w:val="24"/>
              </w:rPr>
              <w:t xml:space="preserve"> in a report </w:t>
            </w:r>
            <w:r w:rsidR="00203C1C">
              <w:rPr>
                <w:sz w:val="24"/>
                <w:szCs w:val="24"/>
              </w:rPr>
              <w:t>by</w:t>
            </w:r>
            <w:r w:rsidR="00130F86" w:rsidRPr="00130F86">
              <w:rPr>
                <w:sz w:val="24"/>
                <w:szCs w:val="24"/>
              </w:rPr>
              <w:t xml:space="preserve"> the U</w:t>
            </w:r>
            <w:r w:rsidR="00203C1C">
              <w:rPr>
                <w:sz w:val="24"/>
                <w:szCs w:val="24"/>
              </w:rPr>
              <w:t>.</w:t>
            </w:r>
            <w:r w:rsidR="00130F86" w:rsidRPr="00130F86">
              <w:rPr>
                <w:sz w:val="24"/>
                <w:szCs w:val="24"/>
              </w:rPr>
              <w:t>S</w:t>
            </w:r>
            <w:r w:rsidR="00203C1C">
              <w:rPr>
                <w:sz w:val="24"/>
                <w:szCs w:val="24"/>
              </w:rPr>
              <w:t>. Department of Energy titled</w:t>
            </w:r>
            <w:r w:rsidR="00130F86" w:rsidRPr="00130F86">
              <w:rPr>
                <w:sz w:val="24"/>
                <w:szCs w:val="24"/>
              </w:rPr>
              <w:t xml:space="preserve"> “Smart Grid Investments Improve Grid Reliability, Resilience, and Storm Responses</w:t>
            </w:r>
            <w:r w:rsidR="00203C1C">
              <w:rPr>
                <w:sz w:val="24"/>
                <w:szCs w:val="24"/>
              </w:rPr>
              <w:t>.</w:t>
            </w:r>
            <w:r w:rsidR="00130F86" w:rsidRPr="00130F86">
              <w:rPr>
                <w:sz w:val="24"/>
                <w:szCs w:val="24"/>
              </w:rPr>
              <w:t>”</w:t>
            </w:r>
            <w:r w:rsidR="008565E2">
              <w:rPr>
                <w:sz w:val="24"/>
                <w:szCs w:val="24"/>
              </w:rPr>
              <w:t xml:space="preserve">  Several </w:t>
            </w:r>
            <w:r w:rsidR="008565E2">
              <w:rPr>
                <w:sz w:val="24"/>
                <w:szCs w:val="24"/>
              </w:rPr>
              <w:lastRenderedPageBreak/>
              <w:t>utilities cited in that</w:t>
            </w:r>
            <w:r w:rsidR="00130F86" w:rsidRPr="00130F86">
              <w:rPr>
                <w:sz w:val="24"/>
                <w:szCs w:val="24"/>
              </w:rPr>
              <w:t xml:space="preserve"> report</w:t>
            </w:r>
            <w:r w:rsidR="008565E2">
              <w:rPr>
                <w:rStyle w:val="FootnoteReference"/>
                <w:sz w:val="24"/>
                <w:szCs w:val="24"/>
              </w:rPr>
              <w:footnoteReference w:id="3"/>
            </w:r>
            <w:r w:rsidR="00130F86" w:rsidRPr="00130F86">
              <w:rPr>
                <w:sz w:val="24"/>
                <w:szCs w:val="24"/>
              </w:rPr>
              <w:t xml:space="preserve"> were able to demonstrate </w:t>
            </w:r>
            <w:r w:rsidR="00C1161D">
              <w:rPr>
                <w:sz w:val="24"/>
                <w:szCs w:val="24"/>
              </w:rPr>
              <w:t>that having advanced metering enabled</w:t>
            </w:r>
            <w:r w:rsidR="00130F86" w:rsidRPr="00130F86">
              <w:rPr>
                <w:sz w:val="24"/>
                <w:szCs w:val="24"/>
              </w:rPr>
              <w:t xml:space="preserve"> the</w:t>
            </w:r>
            <w:r w:rsidR="00C1161D">
              <w:rPr>
                <w:sz w:val="24"/>
                <w:szCs w:val="24"/>
              </w:rPr>
              <w:t>m to reduce the</w:t>
            </w:r>
            <w:r w:rsidR="00130F86" w:rsidRPr="00130F86">
              <w:rPr>
                <w:sz w:val="24"/>
                <w:szCs w:val="24"/>
              </w:rPr>
              <w:t xml:space="preserve"> </w:t>
            </w:r>
            <w:r w:rsidR="008565E2">
              <w:rPr>
                <w:sz w:val="24"/>
                <w:szCs w:val="24"/>
              </w:rPr>
              <w:t>time required to restore customers’ service</w:t>
            </w:r>
            <w:r w:rsidR="00130F86" w:rsidRPr="00130F86">
              <w:rPr>
                <w:sz w:val="24"/>
                <w:szCs w:val="24"/>
              </w:rPr>
              <w:t xml:space="preserve"> after a storm</w:t>
            </w:r>
            <w:r w:rsidR="008565E2">
              <w:rPr>
                <w:sz w:val="24"/>
                <w:szCs w:val="24"/>
              </w:rPr>
              <w:t xml:space="preserve"> event, </w:t>
            </w:r>
            <w:r w:rsidR="00C1161D">
              <w:rPr>
                <w:sz w:val="24"/>
                <w:szCs w:val="24"/>
              </w:rPr>
              <w:t xml:space="preserve">thus </w:t>
            </w:r>
            <w:r w:rsidR="008565E2">
              <w:rPr>
                <w:sz w:val="24"/>
                <w:szCs w:val="24"/>
              </w:rPr>
              <w:t>reducing the overall duration of the outages</w:t>
            </w:r>
            <w:r w:rsidR="00AE230C">
              <w:rPr>
                <w:sz w:val="24"/>
                <w:szCs w:val="24"/>
              </w:rPr>
              <w:t>.</w:t>
            </w:r>
            <w:r w:rsidR="00130F86" w:rsidRPr="00130F86">
              <w:rPr>
                <w:sz w:val="24"/>
                <w:szCs w:val="24"/>
              </w:rPr>
              <w:t xml:space="preserve"> </w:t>
            </w:r>
            <w:r w:rsidR="00D90C9F">
              <w:rPr>
                <w:sz w:val="24"/>
                <w:szCs w:val="24"/>
              </w:rPr>
              <w:t xml:space="preserve"> Two utility examples include the Electric Power Board of</w:t>
            </w:r>
            <w:r w:rsidR="00130F86" w:rsidRPr="00130F86">
              <w:rPr>
                <w:sz w:val="24"/>
                <w:szCs w:val="24"/>
              </w:rPr>
              <w:t xml:space="preserve"> Chattanooga, Tennessee</w:t>
            </w:r>
            <w:r w:rsidR="00D90C9F">
              <w:rPr>
                <w:sz w:val="24"/>
                <w:szCs w:val="24"/>
              </w:rPr>
              <w:t>, which</w:t>
            </w:r>
            <w:r w:rsidR="00130F86" w:rsidRPr="00130F86">
              <w:rPr>
                <w:sz w:val="24"/>
                <w:szCs w:val="24"/>
              </w:rPr>
              <w:t xml:space="preserve"> showed a 40% improvement in </w:t>
            </w:r>
            <w:r w:rsidR="00D90C9F">
              <w:rPr>
                <w:sz w:val="24"/>
                <w:szCs w:val="24"/>
              </w:rPr>
              <w:t>their system average incident duration index (</w:t>
            </w:r>
            <w:proofErr w:type="spellStart"/>
            <w:r w:rsidR="00130F86" w:rsidRPr="00130F86">
              <w:rPr>
                <w:sz w:val="24"/>
                <w:szCs w:val="24"/>
              </w:rPr>
              <w:t>SAIDI</w:t>
            </w:r>
            <w:proofErr w:type="spellEnd"/>
            <w:r w:rsidR="00D90C9F">
              <w:rPr>
                <w:sz w:val="24"/>
                <w:szCs w:val="24"/>
              </w:rPr>
              <w:t>),</w:t>
            </w:r>
            <w:r w:rsidR="00130F86" w:rsidRPr="00130F86">
              <w:rPr>
                <w:sz w:val="24"/>
                <w:szCs w:val="24"/>
              </w:rPr>
              <w:t xml:space="preserve"> and Flori</w:t>
            </w:r>
            <w:r w:rsidR="00D90C9F">
              <w:rPr>
                <w:sz w:val="24"/>
                <w:szCs w:val="24"/>
              </w:rPr>
              <w:t>da Power and Light Company, which</w:t>
            </w:r>
            <w:r w:rsidR="00130F86" w:rsidRPr="00130F86">
              <w:rPr>
                <w:sz w:val="24"/>
                <w:szCs w:val="24"/>
              </w:rPr>
              <w:t xml:space="preserve"> showed a 21% improvement</w:t>
            </w:r>
            <w:r w:rsidR="00D90C9F">
              <w:rPr>
                <w:sz w:val="24"/>
                <w:szCs w:val="24"/>
              </w:rPr>
              <w:t xml:space="preserve"> in the same reliability statistic.</w:t>
            </w:r>
          </w:p>
          <w:p w14:paraId="2D367A81" w14:textId="33FC8E11" w:rsidR="00130F86" w:rsidRPr="00AE230C" w:rsidRDefault="00130F86" w:rsidP="003F2364">
            <w:pPr>
              <w:jc w:val="both"/>
              <w:rPr>
                <w:sz w:val="6"/>
                <w:szCs w:val="24"/>
              </w:rPr>
            </w:pPr>
          </w:p>
          <w:p w14:paraId="2B6782E2" w14:textId="24A66392" w:rsidR="00D93075" w:rsidRDefault="00130F86" w:rsidP="00130F86">
            <w:pPr>
              <w:ind w:left="157"/>
              <w:jc w:val="both"/>
              <w:rPr>
                <w:sz w:val="24"/>
                <w:szCs w:val="24"/>
              </w:rPr>
            </w:pPr>
            <w:r w:rsidRPr="00130F86">
              <w:rPr>
                <w:sz w:val="24"/>
                <w:szCs w:val="24"/>
              </w:rPr>
              <w:t>Restoratio</w:t>
            </w:r>
            <w:r w:rsidR="001F485D">
              <w:rPr>
                <w:sz w:val="24"/>
                <w:szCs w:val="24"/>
              </w:rPr>
              <w:t>n efficiencies are enabled by advanced metering through</w:t>
            </w:r>
            <w:r w:rsidRPr="00130F86">
              <w:rPr>
                <w:sz w:val="24"/>
                <w:szCs w:val="24"/>
              </w:rPr>
              <w:t xml:space="preserve"> improved </w:t>
            </w:r>
            <w:r w:rsidR="00D93075" w:rsidRPr="00130F86">
              <w:rPr>
                <w:sz w:val="24"/>
                <w:szCs w:val="24"/>
              </w:rPr>
              <w:t xml:space="preserve">situational awareness </w:t>
            </w:r>
            <w:r w:rsidR="00D93075">
              <w:rPr>
                <w:sz w:val="24"/>
                <w:szCs w:val="24"/>
              </w:rPr>
              <w:t xml:space="preserve">of the overall outage event, enabling more efficient work processes that </w:t>
            </w:r>
            <w:r w:rsidR="00AE230C">
              <w:rPr>
                <w:sz w:val="24"/>
                <w:szCs w:val="24"/>
              </w:rPr>
              <w:t>result</w:t>
            </w:r>
            <w:r w:rsidRPr="00130F86">
              <w:rPr>
                <w:sz w:val="24"/>
                <w:szCs w:val="24"/>
              </w:rPr>
              <w:t xml:space="preserve"> in a reduction in </w:t>
            </w:r>
            <w:r w:rsidR="00D93075">
              <w:rPr>
                <w:sz w:val="24"/>
                <w:szCs w:val="24"/>
              </w:rPr>
              <w:t xml:space="preserve">the </w:t>
            </w:r>
            <w:r w:rsidRPr="00130F86">
              <w:rPr>
                <w:sz w:val="24"/>
                <w:szCs w:val="24"/>
              </w:rPr>
              <w:t xml:space="preserve">time </w:t>
            </w:r>
            <w:r w:rsidR="00D93075">
              <w:rPr>
                <w:sz w:val="24"/>
                <w:szCs w:val="24"/>
              </w:rPr>
              <w:t>required to fully restore grid integrity and customer service</w:t>
            </w:r>
            <w:r w:rsidRPr="00130F86">
              <w:rPr>
                <w:sz w:val="24"/>
                <w:szCs w:val="24"/>
              </w:rPr>
              <w:t xml:space="preserve">.  Efficiencies </w:t>
            </w:r>
            <w:r w:rsidR="00D93075">
              <w:rPr>
                <w:sz w:val="24"/>
                <w:szCs w:val="24"/>
              </w:rPr>
              <w:t>are</w:t>
            </w:r>
            <w:r w:rsidRPr="00130F86">
              <w:rPr>
                <w:sz w:val="24"/>
                <w:szCs w:val="24"/>
              </w:rPr>
              <w:t xml:space="preserve"> achieved </w:t>
            </w:r>
            <w:r w:rsidR="00D93075">
              <w:rPr>
                <w:sz w:val="24"/>
                <w:szCs w:val="24"/>
              </w:rPr>
              <w:t>in a variety of ways, some of which are noted in the following examples:</w:t>
            </w:r>
          </w:p>
          <w:p w14:paraId="0FBA47CC" w14:textId="0A584A11" w:rsidR="007C4D02" w:rsidRPr="007C4D02" w:rsidRDefault="007C4D02" w:rsidP="007C4D02">
            <w:pPr>
              <w:pStyle w:val="ListParagraph"/>
              <w:numPr>
                <w:ilvl w:val="0"/>
                <w:numId w:val="13"/>
              </w:numPr>
              <w:ind w:left="607" w:hanging="180"/>
              <w:jc w:val="both"/>
              <w:rPr>
                <w:sz w:val="24"/>
                <w:szCs w:val="24"/>
              </w:rPr>
            </w:pPr>
            <w:r>
              <w:rPr>
                <w:sz w:val="24"/>
              </w:rPr>
              <w:t>More accurate and rapid identification of the exact locations of</w:t>
            </w:r>
            <w:r w:rsidRPr="002A3802">
              <w:rPr>
                <w:sz w:val="24"/>
              </w:rPr>
              <w:t xml:space="preserve"> fault</w:t>
            </w:r>
            <w:r>
              <w:rPr>
                <w:sz w:val="24"/>
              </w:rPr>
              <w:t>s.</w:t>
            </w:r>
          </w:p>
          <w:p w14:paraId="50AD8832" w14:textId="1CC58E26" w:rsidR="00D93075" w:rsidRDefault="00D93075" w:rsidP="00D93075">
            <w:pPr>
              <w:pStyle w:val="ListParagraph"/>
              <w:numPr>
                <w:ilvl w:val="0"/>
                <w:numId w:val="13"/>
              </w:numPr>
              <w:ind w:left="607" w:hanging="180"/>
              <w:jc w:val="both"/>
              <w:rPr>
                <w:sz w:val="24"/>
                <w:szCs w:val="24"/>
              </w:rPr>
            </w:pPr>
            <w:r>
              <w:rPr>
                <w:sz w:val="24"/>
                <w:szCs w:val="24"/>
              </w:rPr>
              <w:t>R</w:t>
            </w:r>
            <w:r w:rsidR="00130F86" w:rsidRPr="00D93075">
              <w:rPr>
                <w:sz w:val="24"/>
                <w:szCs w:val="24"/>
              </w:rPr>
              <w:t xml:space="preserve">eduction </w:t>
            </w:r>
            <w:r>
              <w:rPr>
                <w:sz w:val="24"/>
                <w:szCs w:val="24"/>
              </w:rPr>
              <w:t>in</w:t>
            </w:r>
            <w:r w:rsidR="00130F86" w:rsidRPr="00D93075">
              <w:rPr>
                <w:sz w:val="24"/>
                <w:szCs w:val="24"/>
              </w:rPr>
              <w:t xml:space="preserve"> the </w:t>
            </w:r>
            <w:r>
              <w:rPr>
                <w:sz w:val="24"/>
                <w:szCs w:val="24"/>
              </w:rPr>
              <w:t>time required to provide real-time</w:t>
            </w:r>
            <w:r w:rsidR="00130F86" w:rsidRPr="00D93075">
              <w:rPr>
                <w:sz w:val="24"/>
                <w:szCs w:val="24"/>
              </w:rPr>
              <w:t xml:space="preserve"> update</w:t>
            </w:r>
            <w:r>
              <w:rPr>
                <w:sz w:val="24"/>
                <w:szCs w:val="24"/>
              </w:rPr>
              <w:t xml:space="preserve">s of system status resulting from </w:t>
            </w:r>
            <w:r w:rsidR="00130F86" w:rsidRPr="00D93075">
              <w:rPr>
                <w:sz w:val="24"/>
                <w:szCs w:val="24"/>
              </w:rPr>
              <w:t xml:space="preserve">resolved, new, </w:t>
            </w:r>
            <w:r>
              <w:rPr>
                <w:sz w:val="24"/>
                <w:szCs w:val="24"/>
              </w:rPr>
              <w:t>delayed</w:t>
            </w:r>
            <w:r w:rsidR="00C046A3">
              <w:rPr>
                <w:sz w:val="24"/>
                <w:szCs w:val="24"/>
              </w:rPr>
              <w:t>,</w:t>
            </w:r>
            <w:r>
              <w:rPr>
                <w:sz w:val="24"/>
                <w:szCs w:val="24"/>
              </w:rPr>
              <w:t xml:space="preserve"> </w:t>
            </w:r>
            <w:r w:rsidR="00130F86" w:rsidRPr="00D93075">
              <w:rPr>
                <w:sz w:val="24"/>
                <w:szCs w:val="24"/>
              </w:rPr>
              <w:t>or cancelled incidents</w:t>
            </w:r>
            <w:r>
              <w:rPr>
                <w:sz w:val="24"/>
                <w:szCs w:val="24"/>
              </w:rPr>
              <w:t>.</w:t>
            </w:r>
          </w:p>
          <w:p w14:paraId="5AE7460F" w14:textId="77777777" w:rsidR="0083316C" w:rsidRDefault="00C046A3" w:rsidP="00D93075">
            <w:pPr>
              <w:pStyle w:val="ListParagraph"/>
              <w:numPr>
                <w:ilvl w:val="0"/>
                <w:numId w:val="13"/>
              </w:numPr>
              <w:ind w:left="607" w:hanging="180"/>
              <w:jc w:val="both"/>
              <w:rPr>
                <w:sz w:val="24"/>
                <w:szCs w:val="24"/>
              </w:rPr>
            </w:pPr>
            <w:r>
              <w:rPr>
                <w:sz w:val="24"/>
                <w:szCs w:val="24"/>
              </w:rPr>
              <w:t xml:space="preserve">Greater visibility provides detailed graphical </w:t>
            </w:r>
            <w:r w:rsidR="00130F86" w:rsidRPr="00D93075">
              <w:rPr>
                <w:sz w:val="24"/>
                <w:szCs w:val="24"/>
              </w:rPr>
              <w:t>information that can be u</w:t>
            </w:r>
            <w:r>
              <w:rPr>
                <w:sz w:val="24"/>
                <w:szCs w:val="24"/>
              </w:rPr>
              <w:t>sed to prioritize and optimally-</w:t>
            </w:r>
            <w:r w:rsidR="0083316C">
              <w:rPr>
                <w:sz w:val="24"/>
                <w:szCs w:val="24"/>
              </w:rPr>
              <w:t>deploy resources.</w:t>
            </w:r>
          </w:p>
          <w:p w14:paraId="30D7E820" w14:textId="77777777" w:rsidR="00B03F51" w:rsidRDefault="0083316C" w:rsidP="00D93075">
            <w:pPr>
              <w:pStyle w:val="ListParagraph"/>
              <w:numPr>
                <w:ilvl w:val="0"/>
                <w:numId w:val="13"/>
              </w:numPr>
              <w:ind w:left="607" w:hanging="180"/>
              <w:jc w:val="both"/>
              <w:rPr>
                <w:sz w:val="24"/>
                <w:szCs w:val="24"/>
              </w:rPr>
            </w:pPr>
            <w:r>
              <w:rPr>
                <w:sz w:val="24"/>
                <w:szCs w:val="24"/>
              </w:rPr>
              <w:t>Reduction in administrative</w:t>
            </w:r>
            <w:r w:rsidR="00130F86" w:rsidRPr="00D93075">
              <w:rPr>
                <w:sz w:val="24"/>
                <w:szCs w:val="24"/>
              </w:rPr>
              <w:t xml:space="preserve"> </w:t>
            </w:r>
            <w:r>
              <w:rPr>
                <w:sz w:val="24"/>
                <w:szCs w:val="24"/>
              </w:rPr>
              <w:t xml:space="preserve">work processes </w:t>
            </w:r>
            <w:r w:rsidR="00130F86" w:rsidRPr="00D93075">
              <w:rPr>
                <w:sz w:val="24"/>
                <w:szCs w:val="24"/>
              </w:rPr>
              <w:t xml:space="preserve">required to update the outage management system and </w:t>
            </w:r>
            <w:r>
              <w:rPr>
                <w:sz w:val="24"/>
                <w:szCs w:val="24"/>
              </w:rPr>
              <w:t>to aggregate</w:t>
            </w:r>
            <w:r w:rsidR="00130F86" w:rsidRPr="00D93075">
              <w:rPr>
                <w:sz w:val="24"/>
                <w:szCs w:val="24"/>
              </w:rPr>
              <w:t xml:space="preserve"> </w:t>
            </w:r>
            <w:r>
              <w:rPr>
                <w:sz w:val="24"/>
                <w:szCs w:val="24"/>
              </w:rPr>
              <w:t>sub-incidents</w:t>
            </w:r>
            <w:r>
              <w:rPr>
                <w:rStyle w:val="FootnoteReference"/>
                <w:sz w:val="24"/>
                <w:szCs w:val="24"/>
              </w:rPr>
              <w:footnoteReference w:id="4"/>
            </w:r>
            <w:r>
              <w:rPr>
                <w:sz w:val="24"/>
                <w:szCs w:val="24"/>
              </w:rPr>
              <w:t xml:space="preserve"> into</w:t>
            </w:r>
            <w:r w:rsidR="00130F86" w:rsidRPr="00D93075">
              <w:rPr>
                <w:sz w:val="24"/>
                <w:szCs w:val="24"/>
              </w:rPr>
              <w:t xml:space="preserve"> larger</w:t>
            </w:r>
            <w:r>
              <w:rPr>
                <w:sz w:val="24"/>
                <w:szCs w:val="24"/>
              </w:rPr>
              <w:t xml:space="preserve">, more efficiently managed </w:t>
            </w:r>
            <w:r w:rsidR="00130F86" w:rsidRPr="00D93075">
              <w:rPr>
                <w:sz w:val="24"/>
                <w:szCs w:val="24"/>
              </w:rPr>
              <w:t>incident</w:t>
            </w:r>
            <w:r>
              <w:rPr>
                <w:sz w:val="24"/>
                <w:szCs w:val="24"/>
              </w:rPr>
              <w:t>s</w:t>
            </w:r>
            <w:r w:rsidR="00B03F51">
              <w:rPr>
                <w:sz w:val="24"/>
                <w:szCs w:val="24"/>
              </w:rPr>
              <w:t>.</w:t>
            </w:r>
          </w:p>
          <w:p w14:paraId="004A0C8B" w14:textId="77777777" w:rsidR="00D427A4" w:rsidRDefault="00B03F51" w:rsidP="00D93075">
            <w:pPr>
              <w:pStyle w:val="ListParagraph"/>
              <w:numPr>
                <w:ilvl w:val="0"/>
                <w:numId w:val="13"/>
              </w:numPr>
              <w:ind w:left="607" w:hanging="180"/>
              <w:jc w:val="both"/>
              <w:rPr>
                <w:sz w:val="24"/>
                <w:szCs w:val="24"/>
              </w:rPr>
            </w:pPr>
            <w:r>
              <w:rPr>
                <w:sz w:val="24"/>
                <w:szCs w:val="24"/>
              </w:rPr>
              <w:t>Improved</w:t>
            </w:r>
            <w:r w:rsidR="00130F86" w:rsidRPr="00D93075">
              <w:rPr>
                <w:sz w:val="24"/>
                <w:szCs w:val="24"/>
              </w:rPr>
              <w:t xml:space="preserve"> predictive analysis </w:t>
            </w:r>
            <w:r>
              <w:rPr>
                <w:sz w:val="24"/>
                <w:szCs w:val="24"/>
              </w:rPr>
              <w:t>will</w:t>
            </w:r>
            <w:r w:rsidR="00130F86" w:rsidRPr="00D93075">
              <w:rPr>
                <w:sz w:val="24"/>
                <w:szCs w:val="24"/>
              </w:rPr>
              <w:t xml:space="preserve"> </w:t>
            </w:r>
            <w:r>
              <w:rPr>
                <w:sz w:val="24"/>
                <w:szCs w:val="24"/>
              </w:rPr>
              <w:t>enable more accurate</w:t>
            </w:r>
            <w:r w:rsidR="00130F86" w:rsidRPr="00D93075">
              <w:rPr>
                <w:sz w:val="24"/>
                <w:szCs w:val="24"/>
              </w:rPr>
              <w:t xml:space="preserve"> planning </w:t>
            </w:r>
            <w:r>
              <w:rPr>
                <w:sz w:val="24"/>
                <w:szCs w:val="24"/>
              </w:rPr>
              <w:t xml:space="preserve">and dispatch of restoration </w:t>
            </w:r>
            <w:r w:rsidR="00D427A4">
              <w:rPr>
                <w:sz w:val="24"/>
                <w:szCs w:val="24"/>
              </w:rPr>
              <w:t>crews</w:t>
            </w:r>
            <w:r>
              <w:rPr>
                <w:sz w:val="24"/>
                <w:szCs w:val="24"/>
              </w:rPr>
              <w:t xml:space="preserve"> helping to</w:t>
            </w:r>
            <w:r w:rsidR="00130F86" w:rsidRPr="00D93075">
              <w:rPr>
                <w:sz w:val="24"/>
                <w:szCs w:val="24"/>
              </w:rPr>
              <w:t xml:space="preserve"> av</w:t>
            </w:r>
            <w:r w:rsidR="00D427A4">
              <w:rPr>
                <w:sz w:val="24"/>
                <w:szCs w:val="24"/>
              </w:rPr>
              <w:t>oid rework and improve safety.</w:t>
            </w:r>
          </w:p>
          <w:p w14:paraId="4238A879" w14:textId="77777777" w:rsidR="00A5494A" w:rsidRDefault="00A5494A" w:rsidP="00D93075">
            <w:pPr>
              <w:pStyle w:val="ListParagraph"/>
              <w:numPr>
                <w:ilvl w:val="0"/>
                <w:numId w:val="13"/>
              </w:numPr>
              <w:ind w:left="607" w:hanging="180"/>
              <w:jc w:val="both"/>
              <w:rPr>
                <w:sz w:val="24"/>
                <w:szCs w:val="24"/>
              </w:rPr>
            </w:pPr>
            <w:r>
              <w:rPr>
                <w:sz w:val="24"/>
                <w:szCs w:val="24"/>
              </w:rPr>
              <w:t>More accurate</w:t>
            </w:r>
            <w:r w:rsidR="00130F86" w:rsidRPr="00D93075">
              <w:rPr>
                <w:sz w:val="24"/>
                <w:szCs w:val="24"/>
              </w:rPr>
              <w:t xml:space="preserve"> predict</w:t>
            </w:r>
            <w:r>
              <w:rPr>
                <w:sz w:val="24"/>
                <w:szCs w:val="24"/>
              </w:rPr>
              <w:t xml:space="preserve">ion of outage causes at each incident </w:t>
            </w:r>
            <w:r w:rsidR="00130F86" w:rsidRPr="00D93075">
              <w:rPr>
                <w:sz w:val="24"/>
                <w:szCs w:val="24"/>
              </w:rPr>
              <w:t xml:space="preserve">ensuring that the right equipment </w:t>
            </w:r>
            <w:r>
              <w:rPr>
                <w:sz w:val="24"/>
                <w:szCs w:val="24"/>
              </w:rPr>
              <w:t>and materials accompany the restoration crews and help avoid the need</w:t>
            </w:r>
            <w:r w:rsidR="00130F86" w:rsidRPr="00D93075">
              <w:rPr>
                <w:sz w:val="24"/>
                <w:szCs w:val="24"/>
              </w:rPr>
              <w:t xml:space="preserve"> to make multiple </w:t>
            </w:r>
            <w:r>
              <w:rPr>
                <w:sz w:val="24"/>
                <w:szCs w:val="24"/>
              </w:rPr>
              <w:t>supply trips.</w:t>
            </w:r>
          </w:p>
          <w:p w14:paraId="2770C3D5" w14:textId="15B8FDBA" w:rsidR="00600154" w:rsidRDefault="00A5494A" w:rsidP="00D93075">
            <w:pPr>
              <w:pStyle w:val="ListParagraph"/>
              <w:numPr>
                <w:ilvl w:val="0"/>
                <w:numId w:val="13"/>
              </w:numPr>
              <w:ind w:left="607" w:hanging="180"/>
              <w:jc w:val="both"/>
              <w:rPr>
                <w:sz w:val="24"/>
                <w:szCs w:val="24"/>
              </w:rPr>
            </w:pPr>
            <w:r>
              <w:rPr>
                <w:sz w:val="24"/>
                <w:szCs w:val="24"/>
              </w:rPr>
              <w:t>Greater situational</w:t>
            </w:r>
            <w:r w:rsidR="00130F86" w:rsidRPr="00D93075">
              <w:rPr>
                <w:sz w:val="24"/>
                <w:szCs w:val="24"/>
              </w:rPr>
              <w:t xml:space="preserve"> awareness of </w:t>
            </w:r>
            <w:r w:rsidR="00DB20A1">
              <w:rPr>
                <w:sz w:val="24"/>
                <w:szCs w:val="24"/>
              </w:rPr>
              <w:t xml:space="preserve">the outage incidents will enable more efficient dispatching of </w:t>
            </w:r>
            <w:r w:rsidR="00130F86" w:rsidRPr="00D93075">
              <w:rPr>
                <w:sz w:val="24"/>
                <w:szCs w:val="24"/>
              </w:rPr>
              <w:t>restoration crews</w:t>
            </w:r>
            <w:r w:rsidR="00DB20A1">
              <w:rPr>
                <w:sz w:val="24"/>
                <w:szCs w:val="24"/>
              </w:rPr>
              <w:t>: crews will be more-efficiently dispatched to crew-</w:t>
            </w:r>
            <w:r w:rsidR="00130F86" w:rsidRPr="00D93075">
              <w:rPr>
                <w:sz w:val="24"/>
                <w:szCs w:val="24"/>
              </w:rPr>
              <w:t>related work</w:t>
            </w:r>
            <w:r w:rsidR="00DB20A1">
              <w:rPr>
                <w:sz w:val="24"/>
                <w:szCs w:val="24"/>
              </w:rPr>
              <w:t>, allowing</w:t>
            </w:r>
            <w:r w:rsidR="00130F86" w:rsidRPr="00D93075">
              <w:rPr>
                <w:sz w:val="24"/>
                <w:szCs w:val="24"/>
              </w:rPr>
              <w:t xml:space="preserve"> servicemen to </w:t>
            </w:r>
            <w:r w:rsidR="00DB20A1">
              <w:rPr>
                <w:sz w:val="24"/>
                <w:szCs w:val="24"/>
              </w:rPr>
              <w:t>focus on</w:t>
            </w:r>
            <w:r w:rsidR="00130F86" w:rsidRPr="00D93075">
              <w:rPr>
                <w:sz w:val="24"/>
                <w:szCs w:val="24"/>
              </w:rPr>
              <w:t xml:space="preserve"> </w:t>
            </w:r>
            <w:r w:rsidR="00DB20A1">
              <w:rPr>
                <w:sz w:val="24"/>
                <w:szCs w:val="24"/>
              </w:rPr>
              <w:t xml:space="preserve">areas of </w:t>
            </w:r>
            <w:r w:rsidR="00AE230C">
              <w:rPr>
                <w:sz w:val="24"/>
                <w:szCs w:val="24"/>
              </w:rPr>
              <w:t>finish-</w:t>
            </w:r>
            <w:r w:rsidR="00130F86" w:rsidRPr="00D93075">
              <w:rPr>
                <w:sz w:val="24"/>
                <w:szCs w:val="24"/>
              </w:rPr>
              <w:t>up work</w:t>
            </w:r>
            <w:r w:rsidR="00DB20A1">
              <w:rPr>
                <w:sz w:val="24"/>
                <w:szCs w:val="24"/>
              </w:rPr>
              <w:t xml:space="preserve"> that can be performed without a full crew</w:t>
            </w:r>
            <w:r w:rsidR="00600154">
              <w:rPr>
                <w:sz w:val="24"/>
                <w:szCs w:val="24"/>
              </w:rPr>
              <w:t>.</w:t>
            </w:r>
          </w:p>
          <w:p w14:paraId="7684D896" w14:textId="2F3D4E37" w:rsidR="00274B5B" w:rsidRPr="00D93075" w:rsidRDefault="00600154" w:rsidP="00D93075">
            <w:pPr>
              <w:pStyle w:val="ListParagraph"/>
              <w:numPr>
                <w:ilvl w:val="0"/>
                <w:numId w:val="13"/>
              </w:numPr>
              <w:ind w:left="607" w:hanging="180"/>
              <w:jc w:val="both"/>
              <w:rPr>
                <w:sz w:val="24"/>
                <w:szCs w:val="24"/>
              </w:rPr>
            </w:pPr>
            <w:r>
              <w:rPr>
                <w:sz w:val="24"/>
                <w:szCs w:val="24"/>
              </w:rPr>
              <w:t>Knowing the exact locations of individual service outages will</w:t>
            </w:r>
            <w:r w:rsidR="00130F86" w:rsidRPr="00D93075">
              <w:rPr>
                <w:sz w:val="24"/>
                <w:szCs w:val="24"/>
              </w:rPr>
              <w:t xml:space="preserve"> reduce the </w:t>
            </w:r>
            <w:r>
              <w:rPr>
                <w:sz w:val="24"/>
                <w:szCs w:val="24"/>
              </w:rPr>
              <w:t>requirement</w:t>
            </w:r>
            <w:r w:rsidR="00AE230C">
              <w:rPr>
                <w:sz w:val="24"/>
                <w:szCs w:val="24"/>
              </w:rPr>
              <w:t xml:space="preserve"> to </w:t>
            </w:r>
            <w:r>
              <w:rPr>
                <w:sz w:val="24"/>
                <w:szCs w:val="24"/>
              </w:rPr>
              <w:t>survey incident</w:t>
            </w:r>
            <w:r w:rsidR="00130F86" w:rsidRPr="00D93075">
              <w:rPr>
                <w:sz w:val="24"/>
                <w:szCs w:val="24"/>
              </w:rPr>
              <w:t xml:space="preserve"> areas </w:t>
            </w:r>
            <w:r w:rsidR="00AE230C">
              <w:rPr>
                <w:sz w:val="24"/>
                <w:szCs w:val="24"/>
              </w:rPr>
              <w:t xml:space="preserve">in the field </w:t>
            </w:r>
            <w:r w:rsidR="00130F86" w:rsidRPr="00D93075">
              <w:rPr>
                <w:sz w:val="24"/>
                <w:szCs w:val="24"/>
              </w:rPr>
              <w:t xml:space="preserve">to validate </w:t>
            </w:r>
            <w:r>
              <w:rPr>
                <w:sz w:val="24"/>
                <w:szCs w:val="24"/>
              </w:rPr>
              <w:t xml:space="preserve">full </w:t>
            </w:r>
            <w:r w:rsidR="00130F86" w:rsidRPr="00D93075">
              <w:rPr>
                <w:sz w:val="24"/>
                <w:szCs w:val="24"/>
              </w:rPr>
              <w:t>restoration.</w:t>
            </w:r>
          </w:p>
          <w:p w14:paraId="427C916B" w14:textId="34CC149C" w:rsidR="00532ABC" w:rsidRPr="00E33A5C" w:rsidRDefault="00532ABC" w:rsidP="001C2E70">
            <w:pPr>
              <w:ind w:left="157"/>
              <w:jc w:val="both"/>
              <w:rPr>
                <w:b/>
                <w:sz w:val="10"/>
              </w:rPr>
            </w:pPr>
          </w:p>
        </w:tc>
      </w:tr>
      <w:tr w:rsidR="00532ABC" w14:paraId="427C916E" w14:textId="77777777" w:rsidTr="00424692">
        <w:tc>
          <w:tcPr>
            <w:tcW w:w="11016" w:type="dxa"/>
            <w:shd w:val="clear" w:color="auto" w:fill="548DD4" w:themeFill="text2" w:themeFillTint="99"/>
          </w:tcPr>
          <w:p w14:paraId="427C916D" w14:textId="7CFE1D8B" w:rsidR="00532ABC" w:rsidRPr="00532ABC" w:rsidRDefault="00EC4E6F" w:rsidP="00532ABC">
            <w:pPr>
              <w:rPr>
                <w:b/>
                <w:color w:val="FFFFFF" w:themeColor="background1"/>
              </w:rPr>
            </w:pPr>
            <w:r>
              <w:rPr>
                <w:b/>
                <w:color w:val="FFFFFF" w:themeColor="background1"/>
              </w:rPr>
              <w:lastRenderedPageBreak/>
              <w:t>Calculating</w:t>
            </w:r>
            <w:r w:rsidR="00E50386">
              <w:rPr>
                <w:b/>
                <w:color w:val="FFFFFF" w:themeColor="background1"/>
              </w:rPr>
              <w:t xml:space="preserve"> the Benefit Value</w:t>
            </w:r>
          </w:p>
        </w:tc>
      </w:tr>
      <w:tr w:rsidR="00532ABC" w14:paraId="427C9173" w14:textId="77777777" w:rsidTr="00424692">
        <w:tc>
          <w:tcPr>
            <w:tcW w:w="11016" w:type="dxa"/>
            <w:tcBorders>
              <w:bottom w:val="single" w:sz="4" w:space="0" w:color="auto"/>
            </w:tcBorders>
          </w:tcPr>
          <w:p w14:paraId="5836EE5C" w14:textId="0619CB69" w:rsidR="00E91A1E" w:rsidRPr="003459A1" w:rsidRDefault="00E91A1E" w:rsidP="00964ECD">
            <w:pPr>
              <w:ind w:left="157"/>
              <w:rPr>
                <w:sz w:val="10"/>
              </w:rPr>
            </w:pPr>
          </w:p>
          <w:p w14:paraId="7AE2E828" w14:textId="2F640550" w:rsidR="003F2364" w:rsidRDefault="003F2364" w:rsidP="003F2364">
            <w:pPr>
              <w:ind w:left="157"/>
              <w:jc w:val="both"/>
              <w:rPr>
                <w:sz w:val="24"/>
              </w:rPr>
            </w:pPr>
            <w:r>
              <w:rPr>
                <w:sz w:val="24"/>
              </w:rPr>
              <w:t>Though utilities have reported restoration efficienc</w:t>
            </w:r>
            <w:r w:rsidR="0082467E">
              <w:rPr>
                <w:sz w:val="24"/>
              </w:rPr>
              <w:t>ies</w:t>
            </w:r>
            <w:r w:rsidR="00867C88">
              <w:rPr>
                <w:sz w:val="24"/>
              </w:rPr>
              <w:t xml:space="preserve"> such as those cited above</w:t>
            </w:r>
            <w:r w:rsidR="0082467E">
              <w:rPr>
                <w:sz w:val="24"/>
              </w:rPr>
              <w:t>,</w:t>
            </w:r>
            <w:r>
              <w:rPr>
                <w:sz w:val="24"/>
              </w:rPr>
              <w:t xml:space="preserve"> ranging </w:t>
            </w:r>
            <w:r w:rsidR="00867C88">
              <w:rPr>
                <w:sz w:val="24"/>
              </w:rPr>
              <w:t>at and above</w:t>
            </w:r>
            <w:r>
              <w:rPr>
                <w:sz w:val="24"/>
              </w:rPr>
              <w:t xml:space="preserve"> 20%, Avista believes </w:t>
            </w:r>
            <w:r>
              <w:rPr>
                <w:sz w:val="24"/>
                <w:szCs w:val="24"/>
              </w:rPr>
              <w:t>that for our practices and system an estimate</w:t>
            </w:r>
            <w:r w:rsidRPr="00130F86">
              <w:rPr>
                <w:sz w:val="24"/>
                <w:szCs w:val="24"/>
              </w:rPr>
              <w:t xml:space="preserve"> </w:t>
            </w:r>
            <w:r>
              <w:rPr>
                <w:sz w:val="24"/>
                <w:szCs w:val="24"/>
              </w:rPr>
              <w:t xml:space="preserve">of </w:t>
            </w:r>
            <w:r w:rsidRPr="00130F86">
              <w:rPr>
                <w:sz w:val="24"/>
                <w:szCs w:val="24"/>
              </w:rPr>
              <w:t xml:space="preserve">10% improvement </w:t>
            </w:r>
            <w:r w:rsidR="00867C88">
              <w:rPr>
                <w:sz w:val="24"/>
                <w:szCs w:val="24"/>
              </w:rPr>
              <w:t xml:space="preserve">in storm restoration </w:t>
            </w:r>
            <w:r w:rsidR="00252EDE">
              <w:rPr>
                <w:sz w:val="24"/>
                <w:szCs w:val="24"/>
              </w:rPr>
              <w:t>time</w:t>
            </w:r>
            <w:r w:rsidR="00867C88">
              <w:rPr>
                <w:sz w:val="24"/>
                <w:szCs w:val="24"/>
              </w:rPr>
              <w:t xml:space="preserve"> </w:t>
            </w:r>
            <w:r>
              <w:rPr>
                <w:sz w:val="24"/>
                <w:szCs w:val="24"/>
              </w:rPr>
              <w:t>is reasonable.</w:t>
            </w:r>
            <w:r w:rsidR="00867C88">
              <w:rPr>
                <w:sz w:val="24"/>
                <w:szCs w:val="24"/>
              </w:rPr>
              <w:t xml:space="preserve">  </w:t>
            </w:r>
            <w:r w:rsidR="00252EDE">
              <w:rPr>
                <w:sz w:val="24"/>
                <w:szCs w:val="24"/>
              </w:rPr>
              <w:t>Shorter storm restoration time will result</w:t>
            </w:r>
            <w:r w:rsidR="006B25A2" w:rsidRPr="002A3802">
              <w:rPr>
                <w:sz w:val="24"/>
              </w:rPr>
              <w:t xml:space="preserve"> </w:t>
            </w:r>
            <w:r w:rsidR="006B25A2">
              <w:rPr>
                <w:sz w:val="24"/>
              </w:rPr>
              <w:t xml:space="preserve">cost </w:t>
            </w:r>
            <w:r w:rsidR="006B25A2" w:rsidRPr="002A3802">
              <w:rPr>
                <w:sz w:val="24"/>
              </w:rPr>
              <w:t xml:space="preserve">savings </w:t>
            </w:r>
            <w:r w:rsidR="00252EDE">
              <w:rPr>
                <w:sz w:val="24"/>
              </w:rPr>
              <w:t xml:space="preserve">that </w:t>
            </w:r>
            <w:r w:rsidR="006B25A2" w:rsidRPr="002A3802">
              <w:rPr>
                <w:sz w:val="24"/>
              </w:rPr>
              <w:t xml:space="preserve">will be achieved through </w:t>
            </w:r>
            <w:r w:rsidR="00252EDE">
              <w:rPr>
                <w:sz w:val="24"/>
              </w:rPr>
              <w:t>a</w:t>
            </w:r>
            <w:r w:rsidR="006B25A2" w:rsidRPr="002A3802">
              <w:rPr>
                <w:sz w:val="24"/>
              </w:rPr>
              <w:t xml:space="preserve"> reduction </w:t>
            </w:r>
            <w:r w:rsidR="00252EDE">
              <w:rPr>
                <w:sz w:val="24"/>
              </w:rPr>
              <w:t>in</w:t>
            </w:r>
            <w:r w:rsidR="006B25A2" w:rsidRPr="002A3802">
              <w:rPr>
                <w:sz w:val="24"/>
              </w:rPr>
              <w:t xml:space="preserve"> </w:t>
            </w:r>
            <w:r w:rsidR="006B25A2">
              <w:rPr>
                <w:sz w:val="24"/>
              </w:rPr>
              <w:t xml:space="preserve">employee and contractor </w:t>
            </w:r>
            <w:r w:rsidR="006B25A2" w:rsidRPr="002A3802">
              <w:rPr>
                <w:sz w:val="24"/>
              </w:rPr>
              <w:t xml:space="preserve">labor hours, </w:t>
            </w:r>
            <w:r w:rsidR="006B25A2">
              <w:rPr>
                <w:sz w:val="24"/>
              </w:rPr>
              <w:t xml:space="preserve">crew </w:t>
            </w:r>
            <w:r w:rsidR="006B25A2" w:rsidRPr="002A3802">
              <w:rPr>
                <w:sz w:val="24"/>
              </w:rPr>
              <w:t>lodging</w:t>
            </w:r>
            <w:r w:rsidR="006B25A2">
              <w:rPr>
                <w:sz w:val="24"/>
              </w:rPr>
              <w:t xml:space="preserve">, </w:t>
            </w:r>
            <w:r w:rsidR="006B25A2" w:rsidRPr="002A3802">
              <w:rPr>
                <w:sz w:val="24"/>
              </w:rPr>
              <w:t xml:space="preserve">meals, and </w:t>
            </w:r>
            <w:r w:rsidR="006B25A2">
              <w:rPr>
                <w:sz w:val="24"/>
              </w:rPr>
              <w:t>transportation and</w:t>
            </w:r>
            <w:r w:rsidR="006B25A2" w:rsidRPr="002A3802">
              <w:rPr>
                <w:sz w:val="24"/>
              </w:rPr>
              <w:t xml:space="preserve"> </w:t>
            </w:r>
            <w:r w:rsidR="006B25A2">
              <w:rPr>
                <w:sz w:val="24"/>
              </w:rPr>
              <w:t xml:space="preserve">equipment </w:t>
            </w:r>
            <w:r w:rsidR="006B25A2" w:rsidRPr="002A3802">
              <w:rPr>
                <w:sz w:val="24"/>
              </w:rPr>
              <w:t>costs</w:t>
            </w:r>
            <w:r w:rsidR="006B25A2">
              <w:rPr>
                <w:sz w:val="24"/>
              </w:rPr>
              <w:t>.</w:t>
            </w:r>
          </w:p>
          <w:p w14:paraId="4C200902" w14:textId="77777777" w:rsidR="007C4D02" w:rsidRPr="0082467E" w:rsidRDefault="007C4D02" w:rsidP="00252EDE">
            <w:pPr>
              <w:jc w:val="both"/>
              <w:rPr>
                <w:sz w:val="12"/>
              </w:rPr>
            </w:pPr>
          </w:p>
          <w:p w14:paraId="0156E1FE" w14:textId="34D419F9" w:rsidR="008D1294" w:rsidRPr="008D1294" w:rsidRDefault="003F42C3" w:rsidP="008D1294">
            <w:pPr>
              <w:ind w:left="157"/>
              <w:rPr>
                <w:sz w:val="24"/>
              </w:rPr>
            </w:pPr>
            <w:r>
              <w:rPr>
                <w:sz w:val="24"/>
              </w:rPr>
              <w:t xml:space="preserve">Avista has estimated that a 10% </w:t>
            </w:r>
            <w:r w:rsidR="008D1294" w:rsidRPr="008D1294">
              <w:rPr>
                <w:sz w:val="24"/>
              </w:rPr>
              <w:t xml:space="preserve">reduction </w:t>
            </w:r>
            <w:r>
              <w:rPr>
                <w:sz w:val="24"/>
              </w:rPr>
              <w:t>in restoration time will provide a corresponding</w:t>
            </w:r>
            <w:r w:rsidR="008D1294" w:rsidRPr="008D1294">
              <w:rPr>
                <w:sz w:val="24"/>
              </w:rPr>
              <w:t xml:space="preserve"> reducti</w:t>
            </w:r>
            <w:r>
              <w:rPr>
                <w:sz w:val="24"/>
              </w:rPr>
              <w:t>on in storm related costs.  The direct financial benefit to customers is included in the customer savings benefit</w:t>
            </w:r>
            <w:r w:rsidR="008D1294" w:rsidRPr="008D1294">
              <w:rPr>
                <w:sz w:val="24"/>
              </w:rPr>
              <w:t xml:space="preserve"> </w:t>
            </w:r>
            <w:r>
              <w:rPr>
                <w:sz w:val="24"/>
              </w:rPr>
              <w:t xml:space="preserve">“Customer Avoided Costs.” </w:t>
            </w:r>
            <w:r w:rsidRPr="008D1294">
              <w:rPr>
                <w:sz w:val="24"/>
              </w:rPr>
              <w:t xml:space="preserve"> A</w:t>
            </w:r>
            <w:r>
              <w:rPr>
                <w:sz w:val="24"/>
              </w:rPr>
              <w:t xml:space="preserve"> review of Avista’s storm related costs shows that 59.5% </w:t>
            </w:r>
            <w:r w:rsidRPr="008D1294">
              <w:rPr>
                <w:sz w:val="24"/>
              </w:rPr>
              <w:t xml:space="preserve">of the costs </w:t>
            </w:r>
            <w:r>
              <w:rPr>
                <w:sz w:val="24"/>
              </w:rPr>
              <w:t>are for</w:t>
            </w:r>
            <w:r w:rsidRPr="008D1294">
              <w:rPr>
                <w:sz w:val="24"/>
              </w:rPr>
              <w:t xml:space="preserve"> </w:t>
            </w:r>
            <w:r>
              <w:rPr>
                <w:sz w:val="24"/>
              </w:rPr>
              <w:t xml:space="preserve">employee and contractor </w:t>
            </w:r>
            <w:r w:rsidRPr="008D1294">
              <w:rPr>
                <w:sz w:val="24"/>
              </w:rPr>
              <w:t xml:space="preserve">labor, meals, lodging, </w:t>
            </w:r>
            <w:r>
              <w:rPr>
                <w:sz w:val="24"/>
              </w:rPr>
              <w:t>and transportation and equipment</w:t>
            </w:r>
            <w:r w:rsidRPr="008D1294">
              <w:rPr>
                <w:sz w:val="24"/>
              </w:rPr>
              <w:t xml:space="preserve"> costs.  </w:t>
            </w:r>
            <w:r w:rsidR="009C3744">
              <w:rPr>
                <w:sz w:val="24"/>
              </w:rPr>
              <w:t xml:space="preserve">These costs will be directly reduced in proportion to the reduction in restoration time.  </w:t>
            </w:r>
            <w:r w:rsidR="009334BB">
              <w:rPr>
                <w:sz w:val="24"/>
              </w:rPr>
              <w:t xml:space="preserve">Applying this cost percentage to </w:t>
            </w:r>
            <w:r w:rsidR="0082467E">
              <w:rPr>
                <w:sz w:val="24"/>
              </w:rPr>
              <w:t>a</w:t>
            </w:r>
            <w:r w:rsidR="009334BB">
              <w:rPr>
                <w:sz w:val="24"/>
              </w:rPr>
              <w:t xml:space="preserve"> 10% reduction in restoration time (10% x .59) yields a reduction factor for overall storm restoration costs of 5.95 percent.  App</w:t>
            </w:r>
            <w:r w:rsidR="00CF0E22">
              <w:rPr>
                <w:sz w:val="24"/>
              </w:rPr>
              <w:t xml:space="preserve">lying this cost </w:t>
            </w:r>
            <w:r w:rsidR="009334BB">
              <w:rPr>
                <w:sz w:val="24"/>
              </w:rPr>
              <w:t>reduction</w:t>
            </w:r>
            <w:r w:rsidRPr="008D1294">
              <w:rPr>
                <w:sz w:val="24"/>
              </w:rPr>
              <w:t xml:space="preserve"> </w:t>
            </w:r>
            <w:r w:rsidR="009334BB">
              <w:rPr>
                <w:sz w:val="24"/>
              </w:rPr>
              <w:t>to the five-year average</w:t>
            </w:r>
            <w:r w:rsidRPr="008D1294">
              <w:rPr>
                <w:sz w:val="24"/>
              </w:rPr>
              <w:t xml:space="preserve"> storm restoration </w:t>
            </w:r>
            <w:r w:rsidR="009334BB">
              <w:rPr>
                <w:sz w:val="24"/>
              </w:rPr>
              <w:t>cost of $4.17 million</w:t>
            </w:r>
            <w:r w:rsidR="00CF0E22">
              <w:rPr>
                <w:sz w:val="24"/>
              </w:rPr>
              <w:t>, noted above,</w:t>
            </w:r>
            <w:r w:rsidR="009334BB">
              <w:rPr>
                <w:sz w:val="24"/>
              </w:rPr>
              <w:t xml:space="preserve"> </w:t>
            </w:r>
            <w:r w:rsidR="00CF0E22">
              <w:rPr>
                <w:sz w:val="24"/>
              </w:rPr>
              <w:t>results in an estimated average annual savings of</w:t>
            </w:r>
            <w:r w:rsidRPr="008D1294">
              <w:rPr>
                <w:sz w:val="24"/>
              </w:rPr>
              <w:t xml:space="preserve"> approximately $248,000</w:t>
            </w:r>
            <w:r w:rsidR="00CF4083">
              <w:rPr>
                <w:sz w:val="24"/>
              </w:rPr>
              <w:t xml:space="preserve">.  Applying this percentage to the one storm event of 2015, which would be a very conservative savings factor for an event </w:t>
            </w:r>
            <w:r w:rsidR="0082467E">
              <w:rPr>
                <w:sz w:val="24"/>
              </w:rPr>
              <w:t>of that</w:t>
            </w:r>
            <w:r w:rsidR="00CF4083">
              <w:rPr>
                <w:sz w:val="24"/>
              </w:rPr>
              <w:t xml:space="preserve"> size, would result in a savings of approximately $1.25 million.</w:t>
            </w:r>
          </w:p>
          <w:p w14:paraId="427C9172" w14:textId="77777777" w:rsidR="00EC4E6F" w:rsidRPr="00EC4E6F" w:rsidRDefault="00EC4E6F" w:rsidP="002A3802">
            <w:pPr>
              <w:ind w:left="157"/>
              <w:jc w:val="both"/>
              <w:rPr>
                <w:b/>
                <w:sz w:val="16"/>
              </w:rPr>
            </w:pPr>
          </w:p>
        </w:tc>
      </w:tr>
      <w:tr w:rsidR="00EC4E6F" w14:paraId="419AC1DC" w14:textId="77777777" w:rsidTr="007F2D95">
        <w:tc>
          <w:tcPr>
            <w:tcW w:w="11016" w:type="dxa"/>
            <w:shd w:val="clear" w:color="auto" w:fill="548DD4" w:themeFill="text2" w:themeFillTint="99"/>
          </w:tcPr>
          <w:p w14:paraId="4B16B7EC" w14:textId="1A13BF35" w:rsidR="00EC4E6F" w:rsidRPr="00532ABC" w:rsidRDefault="00F5684C" w:rsidP="007F2D95">
            <w:pPr>
              <w:rPr>
                <w:b/>
                <w:color w:val="FFFFFF" w:themeColor="background1"/>
              </w:rPr>
            </w:pPr>
            <w:r>
              <w:rPr>
                <w:b/>
                <w:color w:val="FFFFFF" w:themeColor="background1"/>
              </w:rPr>
              <w:t>Supporting Information</w:t>
            </w:r>
          </w:p>
        </w:tc>
      </w:tr>
      <w:tr w:rsidR="00EC4E6F" w14:paraId="75CAFF62" w14:textId="77777777" w:rsidTr="007F2D95">
        <w:tc>
          <w:tcPr>
            <w:tcW w:w="11016" w:type="dxa"/>
          </w:tcPr>
          <w:p w14:paraId="690BE8B1" w14:textId="77777777" w:rsidR="00EC4E6F" w:rsidRPr="00B3088F" w:rsidRDefault="00EC4E6F" w:rsidP="007F2D95">
            <w:pPr>
              <w:ind w:left="157"/>
              <w:jc w:val="both"/>
              <w:rPr>
                <w:sz w:val="14"/>
              </w:rPr>
            </w:pPr>
          </w:p>
          <w:p w14:paraId="1001C673" w14:textId="515324D2" w:rsidR="005F420B" w:rsidRPr="005F420B" w:rsidRDefault="005F420B" w:rsidP="005F420B">
            <w:pPr>
              <w:ind w:left="157"/>
              <w:jc w:val="both"/>
              <w:rPr>
                <w:sz w:val="24"/>
              </w:rPr>
            </w:pPr>
            <w:r>
              <w:rPr>
                <w:sz w:val="24"/>
              </w:rPr>
              <w:lastRenderedPageBreak/>
              <w:t>Information showing the ramp up in the level of this</w:t>
            </w:r>
            <w:r w:rsidRPr="005F420B">
              <w:rPr>
                <w:sz w:val="24"/>
              </w:rPr>
              <w:t xml:space="preserve"> customer benefit</w:t>
            </w:r>
            <w:r>
              <w:rPr>
                <w:sz w:val="24"/>
              </w:rPr>
              <w:t xml:space="preserve">, as well as its estimated annual value </w:t>
            </w:r>
            <w:r w:rsidR="00223840">
              <w:rPr>
                <w:sz w:val="24"/>
              </w:rPr>
              <w:t>in each year of</w:t>
            </w:r>
            <w:r>
              <w:rPr>
                <w:sz w:val="24"/>
              </w:rPr>
              <w:t xml:space="preserve"> the Project lifecycle</w:t>
            </w:r>
            <w:r w:rsidRPr="005F420B">
              <w:rPr>
                <w:sz w:val="24"/>
              </w:rPr>
              <w:t xml:space="preserve"> is provided in the attached electronic workbook titled “</w:t>
            </w:r>
            <w:r w:rsidRPr="005F420B">
              <w:rPr>
                <w:sz w:val="24"/>
                <w:u w:val="single"/>
              </w:rPr>
              <w:t>Avista AMI Customer Benefits</w:t>
            </w:r>
            <w:r w:rsidR="0082467E">
              <w:rPr>
                <w:sz w:val="24"/>
                <w:u w:val="single"/>
              </w:rPr>
              <w:t>”</w:t>
            </w:r>
            <w:r w:rsidRPr="005F420B">
              <w:rPr>
                <w:sz w:val="24"/>
              </w:rPr>
              <w:t xml:space="preserve"> included on the Compact Disc provided at the end of Attachment B, Project </w:t>
            </w:r>
            <w:r w:rsidR="0082467E">
              <w:rPr>
                <w:sz w:val="24"/>
              </w:rPr>
              <w:t>Benefits</w:t>
            </w:r>
            <w:r w:rsidRPr="005F420B">
              <w:rPr>
                <w:sz w:val="24"/>
              </w:rPr>
              <w:t>.</w:t>
            </w:r>
          </w:p>
          <w:p w14:paraId="2F26F17C" w14:textId="77777777" w:rsidR="005F420B" w:rsidRPr="005F420B" w:rsidRDefault="005F420B" w:rsidP="005F420B">
            <w:pPr>
              <w:ind w:left="157"/>
              <w:jc w:val="both"/>
              <w:rPr>
                <w:sz w:val="10"/>
              </w:rPr>
            </w:pPr>
          </w:p>
          <w:p w14:paraId="040AF55F" w14:textId="77777777" w:rsidR="005F420B" w:rsidRPr="005F420B" w:rsidRDefault="005F420B" w:rsidP="005F420B">
            <w:pPr>
              <w:numPr>
                <w:ilvl w:val="0"/>
                <w:numId w:val="12"/>
              </w:numPr>
              <w:jc w:val="both"/>
              <w:rPr>
                <w:sz w:val="24"/>
              </w:rPr>
            </w:pPr>
            <w:r w:rsidRPr="005F420B">
              <w:rPr>
                <w:sz w:val="24"/>
              </w:rPr>
              <w:t>Open the Benefits Workbook and select the tab “Summary Detail.”</w:t>
            </w:r>
          </w:p>
          <w:p w14:paraId="3373F064" w14:textId="331AF349" w:rsidR="005F420B" w:rsidRPr="005F420B" w:rsidRDefault="005F420B" w:rsidP="005F420B">
            <w:pPr>
              <w:numPr>
                <w:ilvl w:val="0"/>
                <w:numId w:val="12"/>
              </w:numPr>
              <w:jc w:val="both"/>
              <w:rPr>
                <w:sz w:val="24"/>
              </w:rPr>
            </w:pPr>
            <w:r w:rsidRPr="005F420B">
              <w:rPr>
                <w:sz w:val="24"/>
              </w:rPr>
              <w:t>Select “</w:t>
            </w:r>
            <w:r w:rsidR="00223840">
              <w:rPr>
                <w:sz w:val="24"/>
              </w:rPr>
              <w:t>Restoration Efficiencies</w:t>
            </w:r>
            <w:r w:rsidRPr="005F420B">
              <w:rPr>
                <w:sz w:val="24"/>
              </w:rPr>
              <w:t>” under the “</w:t>
            </w:r>
            <w:r>
              <w:rPr>
                <w:sz w:val="24"/>
              </w:rPr>
              <w:t>Outage Management</w:t>
            </w:r>
            <w:r w:rsidRPr="005F420B">
              <w:rPr>
                <w:sz w:val="24"/>
              </w:rPr>
              <w:t>” area of benefit.</w:t>
            </w:r>
          </w:p>
          <w:p w14:paraId="01D9EC9F" w14:textId="4A325F90" w:rsidR="005F420B" w:rsidRDefault="005F420B" w:rsidP="005F420B">
            <w:pPr>
              <w:numPr>
                <w:ilvl w:val="0"/>
                <w:numId w:val="12"/>
              </w:numPr>
              <w:jc w:val="both"/>
              <w:rPr>
                <w:sz w:val="24"/>
              </w:rPr>
            </w:pPr>
            <w:r w:rsidRPr="005F420B">
              <w:rPr>
                <w:sz w:val="24"/>
              </w:rPr>
              <w:t xml:space="preserve">This tab contains the </w:t>
            </w:r>
            <w:r>
              <w:rPr>
                <w:sz w:val="24"/>
              </w:rPr>
              <w:t>expected value for this customer benefit over the course of advanced metering Project lifecycle.</w:t>
            </w:r>
          </w:p>
          <w:p w14:paraId="7966BF6F" w14:textId="24BE30A7" w:rsidR="009B6D8A" w:rsidRPr="00C6623C" w:rsidRDefault="009B6D8A" w:rsidP="00223840">
            <w:pPr>
              <w:jc w:val="both"/>
              <w:rPr>
                <w:b/>
                <w:sz w:val="10"/>
              </w:rPr>
            </w:pPr>
          </w:p>
        </w:tc>
      </w:tr>
      <w:tr w:rsidR="008B6481" w14:paraId="7E203944" w14:textId="77777777" w:rsidTr="00845477">
        <w:tc>
          <w:tcPr>
            <w:tcW w:w="11016" w:type="dxa"/>
            <w:shd w:val="clear" w:color="auto" w:fill="548DD4" w:themeFill="text2" w:themeFillTint="99"/>
          </w:tcPr>
          <w:p w14:paraId="7CBD1D76" w14:textId="22233757" w:rsidR="008B6481" w:rsidRPr="00532ABC" w:rsidRDefault="008B6481" w:rsidP="00845477">
            <w:pPr>
              <w:rPr>
                <w:b/>
                <w:color w:val="FFFFFF" w:themeColor="background1"/>
              </w:rPr>
            </w:pPr>
            <w:r w:rsidRPr="00532ABC">
              <w:rPr>
                <w:b/>
                <w:color w:val="FFFFFF" w:themeColor="background1"/>
              </w:rPr>
              <w:lastRenderedPageBreak/>
              <w:t>Functional</w:t>
            </w:r>
            <w:r>
              <w:rPr>
                <w:b/>
                <w:color w:val="FFFFFF" w:themeColor="background1"/>
              </w:rPr>
              <w:t xml:space="preserve"> Requirements</w:t>
            </w:r>
            <w:r w:rsidR="00415A4B">
              <w:rPr>
                <w:b/>
                <w:color w:val="FFFFFF" w:themeColor="background1"/>
              </w:rPr>
              <w:t xml:space="preserve"> </w:t>
            </w:r>
          </w:p>
        </w:tc>
      </w:tr>
      <w:tr w:rsidR="008B6481" w14:paraId="26118364" w14:textId="77777777" w:rsidTr="00845477">
        <w:tc>
          <w:tcPr>
            <w:tcW w:w="11016" w:type="dxa"/>
            <w:tcBorders>
              <w:bottom w:val="single" w:sz="4" w:space="0" w:color="auto"/>
            </w:tcBorders>
          </w:tcPr>
          <w:p w14:paraId="3541DA38" w14:textId="77777777" w:rsidR="008B6481" w:rsidRPr="00D40BD6" w:rsidRDefault="008B6481" w:rsidP="00845477">
            <w:pPr>
              <w:rPr>
                <w:b/>
                <w:sz w:val="12"/>
              </w:rPr>
            </w:pPr>
          </w:p>
          <w:p w14:paraId="37F52E8D" w14:textId="3AB1A1FD" w:rsidR="008B6481" w:rsidRDefault="002540CD" w:rsidP="00AD36F2">
            <w:pPr>
              <w:ind w:left="157"/>
              <w:jc w:val="both"/>
              <w:rPr>
                <w:sz w:val="24"/>
              </w:rPr>
            </w:pPr>
            <w:r>
              <w:rPr>
                <w:sz w:val="24"/>
              </w:rPr>
              <w:t>The advanced metering outage alarm data has to be effectively integrated with the Company’s outage management system.</w:t>
            </w:r>
          </w:p>
          <w:p w14:paraId="2A80B0F5" w14:textId="3A163416" w:rsidR="002540CD" w:rsidRPr="00D40BD6" w:rsidRDefault="002540CD" w:rsidP="00AD36F2">
            <w:pPr>
              <w:ind w:left="157"/>
              <w:jc w:val="both"/>
              <w:rPr>
                <w:b/>
                <w:sz w:val="12"/>
              </w:rPr>
            </w:pPr>
          </w:p>
        </w:tc>
      </w:tr>
      <w:tr w:rsidR="008B6481" w14:paraId="64769CBF" w14:textId="77777777" w:rsidTr="00845477">
        <w:tc>
          <w:tcPr>
            <w:tcW w:w="11016" w:type="dxa"/>
            <w:shd w:val="clear" w:color="auto" w:fill="548DD4" w:themeFill="text2" w:themeFillTint="99"/>
          </w:tcPr>
          <w:p w14:paraId="4631181B" w14:textId="73F84906" w:rsidR="008B6481" w:rsidRPr="00532ABC" w:rsidRDefault="008B6481" w:rsidP="00845477">
            <w:pPr>
              <w:rPr>
                <w:b/>
                <w:color w:val="FFFFFF" w:themeColor="background1"/>
              </w:rPr>
            </w:pPr>
            <w:r>
              <w:rPr>
                <w:b/>
                <w:color w:val="FFFFFF" w:themeColor="background1"/>
              </w:rPr>
              <w:t>Additional Requirements</w:t>
            </w:r>
          </w:p>
        </w:tc>
      </w:tr>
      <w:tr w:rsidR="008B6481" w14:paraId="26CEB4CC" w14:textId="77777777" w:rsidTr="00845477">
        <w:tc>
          <w:tcPr>
            <w:tcW w:w="11016" w:type="dxa"/>
            <w:tcBorders>
              <w:bottom w:val="single" w:sz="4" w:space="0" w:color="auto"/>
            </w:tcBorders>
          </w:tcPr>
          <w:p w14:paraId="35683C88" w14:textId="5E3A4CF3" w:rsidR="008B6481" w:rsidRPr="00C031D1" w:rsidRDefault="008B6481" w:rsidP="00845477">
            <w:pPr>
              <w:rPr>
                <w:b/>
                <w:sz w:val="8"/>
              </w:rPr>
            </w:pPr>
          </w:p>
          <w:p w14:paraId="7AE6EB85" w14:textId="4155841F" w:rsidR="008B6481" w:rsidRDefault="002540CD" w:rsidP="00845477">
            <w:pPr>
              <w:ind w:left="157"/>
              <w:jc w:val="both"/>
              <w:rPr>
                <w:sz w:val="24"/>
              </w:rPr>
            </w:pPr>
            <w:r>
              <w:rPr>
                <w:b/>
                <w:sz w:val="24"/>
              </w:rPr>
              <w:t xml:space="preserve">Costs </w:t>
            </w:r>
            <w:r w:rsidRPr="002540CD">
              <w:rPr>
                <w:sz w:val="24"/>
              </w:rPr>
              <w:t>- There are no additional cost requirements beyond those identified in the estimated Project cost</w:t>
            </w:r>
            <w:r>
              <w:rPr>
                <w:b/>
                <w:sz w:val="24"/>
              </w:rPr>
              <w:t>s.</w:t>
            </w:r>
          </w:p>
          <w:p w14:paraId="10DF367E" w14:textId="77777777" w:rsidR="008B6481" w:rsidRPr="00697A0C" w:rsidRDefault="008B6481" w:rsidP="00845477">
            <w:pPr>
              <w:ind w:left="157"/>
              <w:jc w:val="both"/>
              <w:rPr>
                <w:sz w:val="10"/>
              </w:rPr>
            </w:pPr>
          </w:p>
          <w:p w14:paraId="2E365225" w14:textId="0AA7DBF7" w:rsidR="008B6481" w:rsidRPr="008B6481" w:rsidRDefault="008B6481" w:rsidP="008B6481">
            <w:pPr>
              <w:ind w:left="157"/>
              <w:jc w:val="both"/>
              <w:rPr>
                <w:sz w:val="24"/>
              </w:rPr>
            </w:pPr>
            <w:r w:rsidRPr="008B6481">
              <w:rPr>
                <w:b/>
                <w:sz w:val="24"/>
              </w:rPr>
              <w:t>Business Process</w:t>
            </w:r>
            <w:r>
              <w:rPr>
                <w:sz w:val="24"/>
              </w:rPr>
              <w:t xml:space="preserve"> </w:t>
            </w:r>
            <w:r w:rsidR="002540CD">
              <w:rPr>
                <w:sz w:val="24"/>
              </w:rPr>
              <w:t>–</w:t>
            </w:r>
            <w:r>
              <w:rPr>
                <w:sz w:val="24"/>
              </w:rPr>
              <w:t xml:space="preserve"> </w:t>
            </w:r>
            <w:r w:rsidR="002540CD">
              <w:rPr>
                <w:sz w:val="24"/>
              </w:rPr>
              <w:t>T</w:t>
            </w:r>
            <w:r w:rsidR="00054E5A">
              <w:rPr>
                <w:sz w:val="24"/>
              </w:rPr>
              <w:t>hough many work practices will be more effective and efficient as a result, t</w:t>
            </w:r>
            <w:r w:rsidR="002540CD">
              <w:rPr>
                <w:sz w:val="24"/>
              </w:rPr>
              <w:t xml:space="preserve">here are no business process changes </w:t>
            </w:r>
            <w:r w:rsidR="00054E5A">
              <w:rPr>
                <w:sz w:val="24"/>
              </w:rPr>
              <w:t>required to achieve</w:t>
            </w:r>
            <w:r w:rsidR="002540CD">
              <w:rPr>
                <w:sz w:val="24"/>
              </w:rPr>
              <w:t xml:space="preserve"> this benefit.</w:t>
            </w:r>
          </w:p>
          <w:p w14:paraId="07E63D6A" w14:textId="77777777" w:rsidR="008B6481" w:rsidRPr="00C031D1" w:rsidRDefault="008B6481" w:rsidP="00845477">
            <w:pPr>
              <w:rPr>
                <w:b/>
                <w:sz w:val="14"/>
              </w:rPr>
            </w:pPr>
          </w:p>
        </w:tc>
      </w:tr>
      <w:tr w:rsidR="00E50386" w:rsidRPr="00164FFD" w14:paraId="4D64452D" w14:textId="77777777" w:rsidTr="007F2D95">
        <w:tc>
          <w:tcPr>
            <w:tcW w:w="11016" w:type="dxa"/>
            <w:shd w:val="clear" w:color="auto" w:fill="548DD4" w:themeFill="text2" w:themeFillTint="99"/>
          </w:tcPr>
          <w:p w14:paraId="7B1AC77F" w14:textId="18305E35" w:rsidR="00E50386" w:rsidRPr="00532ABC" w:rsidRDefault="00697A0C" w:rsidP="00E50386">
            <w:pPr>
              <w:rPr>
                <w:b/>
                <w:color w:val="FFFFFF" w:themeColor="background1"/>
              </w:rPr>
            </w:pPr>
            <w:r>
              <w:rPr>
                <w:b/>
                <w:color w:val="FFFFFF" w:themeColor="background1"/>
              </w:rPr>
              <w:t>Key Metrics</w:t>
            </w:r>
          </w:p>
        </w:tc>
      </w:tr>
      <w:tr w:rsidR="00E50386" w14:paraId="1103845E" w14:textId="77777777" w:rsidTr="007F2D95">
        <w:tc>
          <w:tcPr>
            <w:tcW w:w="11016" w:type="dxa"/>
            <w:tcBorders>
              <w:bottom w:val="single" w:sz="4" w:space="0" w:color="auto"/>
            </w:tcBorders>
          </w:tcPr>
          <w:p w14:paraId="031E5BBE" w14:textId="77777777" w:rsidR="00472F07" w:rsidRPr="00472F07" w:rsidRDefault="00472F07" w:rsidP="00022AD2">
            <w:pPr>
              <w:jc w:val="both"/>
              <w:rPr>
                <w:sz w:val="10"/>
              </w:rPr>
            </w:pPr>
          </w:p>
          <w:p w14:paraId="0CFDF965" w14:textId="07489477" w:rsidR="00E50386" w:rsidRPr="00E62E75" w:rsidRDefault="00022AD2" w:rsidP="007F2D95">
            <w:pPr>
              <w:ind w:left="157"/>
              <w:jc w:val="both"/>
              <w:rPr>
                <w:sz w:val="24"/>
              </w:rPr>
            </w:pPr>
            <w:r>
              <w:rPr>
                <w:sz w:val="24"/>
              </w:rPr>
              <w:t xml:space="preserve">Measuring and tracking this benefit represents a challenge because after the system has been installed it will require a thoughtful methodology to objectively measure what the outage duration results </w:t>
            </w:r>
            <w:r w:rsidRPr="00472F07">
              <w:rPr>
                <w:i/>
                <w:sz w:val="24"/>
                <w:u w:val="single"/>
              </w:rPr>
              <w:t>would have been</w:t>
            </w:r>
            <w:r>
              <w:rPr>
                <w:i/>
                <w:sz w:val="24"/>
              </w:rPr>
              <w:t xml:space="preserve"> </w:t>
            </w:r>
            <w:r w:rsidR="008260A7">
              <w:rPr>
                <w:sz w:val="24"/>
              </w:rPr>
              <w:t xml:space="preserve">had the AMI system </w:t>
            </w:r>
            <w:r>
              <w:rPr>
                <w:sz w:val="24"/>
              </w:rPr>
              <w:t>not been placed into operation.  Avista is continuing to research the methods used by other utilities, as well as to develop its own methodologies to measure and track the value of this benefit.</w:t>
            </w:r>
          </w:p>
          <w:p w14:paraId="065549F9" w14:textId="5831A1F0" w:rsidR="00E50386" w:rsidRPr="00964ECD" w:rsidRDefault="00E62E75" w:rsidP="007F2D95">
            <w:pPr>
              <w:rPr>
                <w:b/>
                <w:sz w:val="12"/>
              </w:rPr>
            </w:pPr>
            <w:r>
              <w:rPr>
                <w:b/>
                <w:sz w:val="12"/>
              </w:rPr>
              <w:t xml:space="preserve"> </w:t>
            </w:r>
          </w:p>
        </w:tc>
      </w:tr>
      <w:tr w:rsidR="00E50386" w:rsidRPr="00164FFD" w14:paraId="2D151893" w14:textId="77777777" w:rsidTr="007F2D95">
        <w:tc>
          <w:tcPr>
            <w:tcW w:w="11016" w:type="dxa"/>
            <w:shd w:val="clear" w:color="auto" w:fill="548DD4" w:themeFill="text2" w:themeFillTint="99"/>
          </w:tcPr>
          <w:p w14:paraId="7900C1BB" w14:textId="77777777" w:rsidR="00E50386" w:rsidRPr="00532ABC" w:rsidRDefault="00E50386" w:rsidP="007F2D95">
            <w:pPr>
              <w:rPr>
                <w:b/>
                <w:color w:val="FFFFFF" w:themeColor="background1"/>
              </w:rPr>
            </w:pPr>
            <w:r w:rsidRPr="00532ABC">
              <w:rPr>
                <w:b/>
                <w:color w:val="FFFFFF" w:themeColor="background1"/>
              </w:rPr>
              <w:t>Benefit Realization Schedule</w:t>
            </w:r>
          </w:p>
        </w:tc>
      </w:tr>
      <w:tr w:rsidR="00E50386" w14:paraId="19440097" w14:textId="77777777" w:rsidTr="007F2D95">
        <w:tc>
          <w:tcPr>
            <w:tcW w:w="11016" w:type="dxa"/>
            <w:tcBorders>
              <w:bottom w:val="single" w:sz="4" w:space="0" w:color="auto"/>
            </w:tcBorders>
          </w:tcPr>
          <w:p w14:paraId="1D5C79C6" w14:textId="77777777" w:rsidR="00E50386" w:rsidRPr="000A69AF" w:rsidRDefault="00E50386" w:rsidP="007F2D95">
            <w:pPr>
              <w:rPr>
                <w:b/>
                <w:sz w:val="8"/>
              </w:rPr>
            </w:pPr>
          </w:p>
          <w:p w14:paraId="035F228C" w14:textId="129BE134" w:rsidR="00E50386" w:rsidRDefault="00E62E75" w:rsidP="00AD36F2">
            <w:pPr>
              <w:ind w:left="157"/>
              <w:jc w:val="both"/>
              <w:rPr>
                <w:sz w:val="24"/>
              </w:rPr>
            </w:pPr>
            <w:r>
              <w:rPr>
                <w:sz w:val="24"/>
              </w:rPr>
              <w:t>The anticipated ramp up of this benefit is shown in the electronic workbook as described above.</w:t>
            </w:r>
          </w:p>
          <w:p w14:paraId="1176E536" w14:textId="53E725E7" w:rsidR="00E62E75" w:rsidRPr="00964ECD" w:rsidRDefault="00E62E75" w:rsidP="00AD36F2">
            <w:pPr>
              <w:ind w:left="157"/>
              <w:jc w:val="both"/>
              <w:rPr>
                <w:b/>
                <w:sz w:val="12"/>
              </w:rPr>
            </w:pPr>
          </w:p>
        </w:tc>
      </w:tr>
    </w:tbl>
    <w:p w14:paraId="427C91D7" w14:textId="77777777" w:rsidR="00532ABC" w:rsidRPr="00532ABC" w:rsidRDefault="00532ABC" w:rsidP="001A5069">
      <w:pPr>
        <w:spacing w:after="0" w:line="240" w:lineRule="auto"/>
        <w:rPr>
          <w:b/>
        </w:rPr>
      </w:pPr>
    </w:p>
    <w:sectPr w:rsidR="00532ABC" w:rsidRPr="00532ABC" w:rsidSect="001A506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ADD4E" w14:textId="77777777" w:rsidR="00BC1777" w:rsidRDefault="00BC1777" w:rsidP="008565E2">
      <w:pPr>
        <w:spacing w:after="0" w:line="240" w:lineRule="auto"/>
      </w:pPr>
      <w:r>
        <w:separator/>
      </w:r>
    </w:p>
  </w:endnote>
  <w:endnote w:type="continuationSeparator" w:id="0">
    <w:p w14:paraId="2500BB82" w14:textId="77777777" w:rsidR="00BC1777" w:rsidRDefault="00BC1777" w:rsidP="0085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55D27" w14:textId="77777777" w:rsidR="00BC1777" w:rsidRDefault="00BC1777" w:rsidP="008565E2">
      <w:pPr>
        <w:spacing w:after="0" w:line="240" w:lineRule="auto"/>
      </w:pPr>
      <w:r>
        <w:separator/>
      </w:r>
    </w:p>
  </w:footnote>
  <w:footnote w:type="continuationSeparator" w:id="0">
    <w:p w14:paraId="6B57D4D8" w14:textId="77777777" w:rsidR="00BC1777" w:rsidRDefault="00BC1777" w:rsidP="008565E2">
      <w:pPr>
        <w:spacing w:after="0" w:line="240" w:lineRule="auto"/>
      </w:pPr>
      <w:r>
        <w:continuationSeparator/>
      </w:r>
    </w:p>
  </w:footnote>
  <w:footnote w:id="1">
    <w:p w14:paraId="1A474C03" w14:textId="492A30BC" w:rsidR="000A0C79" w:rsidRDefault="000A0C79">
      <w:pPr>
        <w:pStyle w:val="FootnoteText"/>
      </w:pPr>
      <w:r>
        <w:rPr>
          <w:rStyle w:val="FootnoteReference"/>
        </w:rPr>
        <w:footnoteRef/>
      </w:r>
      <w:r>
        <w:t xml:space="preserve"> For this classification of events, Avista included costs for outages caused by weather-related events (Storms), but which also includes those caused by wildland fires.</w:t>
      </w:r>
    </w:p>
  </w:footnote>
  <w:footnote w:id="2">
    <w:p w14:paraId="52B88A3B" w14:textId="6D78066B" w:rsidR="008565E2" w:rsidRDefault="008565E2" w:rsidP="008565E2">
      <w:pPr>
        <w:pStyle w:val="FootnoteText"/>
      </w:pPr>
      <w:r>
        <w:rPr>
          <w:rStyle w:val="FootnoteReference"/>
        </w:rPr>
        <w:footnoteRef/>
      </w:r>
      <w:r w:rsidR="00A245D1">
        <w:t xml:space="preserve"> Electric Grid Disruptions and Extreme Weather. Lawrence Berkeley National Laboratory. U.S. Disaster Reanalysis Workshop, May 2012</w:t>
      </w:r>
      <w:r>
        <w:t>.</w:t>
      </w:r>
    </w:p>
  </w:footnote>
  <w:footnote w:id="3">
    <w:p w14:paraId="153FCD51" w14:textId="6EE948F0" w:rsidR="008565E2" w:rsidRDefault="008565E2">
      <w:pPr>
        <w:pStyle w:val="FootnoteText"/>
      </w:pPr>
      <w:r>
        <w:rPr>
          <w:rStyle w:val="FootnoteReference"/>
        </w:rPr>
        <w:footnoteRef/>
      </w:r>
      <w:r w:rsidR="00A245D1">
        <w:t xml:space="preserve"> Smart Grid Investments Improve Grid Reliability, Resilience, and Storm Responses. U.S. Department of Energy, Smart Grid Investment Grant Program. </w:t>
      </w:r>
      <w:r w:rsidR="00A245D1">
        <w:t xml:space="preserve">November </w:t>
      </w:r>
      <w:r w:rsidR="00A245D1">
        <w:t>2014</w:t>
      </w:r>
      <w:bookmarkStart w:id="0" w:name="_GoBack"/>
      <w:bookmarkEnd w:id="0"/>
      <w:r>
        <w:t>.</w:t>
      </w:r>
    </w:p>
  </w:footnote>
  <w:footnote w:id="4">
    <w:p w14:paraId="5A02BA64" w14:textId="241EB9A8" w:rsidR="0083316C" w:rsidRDefault="0083316C">
      <w:pPr>
        <w:pStyle w:val="FootnoteText"/>
      </w:pPr>
      <w:r>
        <w:rPr>
          <w:rStyle w:val="FootnoteReference"/>
        </w:rPr>
        <w:footnoteRef/>
      </w:r>
      <w:r>
        <w:t xml:space="preserve"> </w:t>
      </w:r>
      <w:proofErr w:type="gramStart"/>
      <w:r>
        <w:t>An</w:t>
      </w:r>
      <w:proofErr w:type="gramEnd"/>
      <w:r>
        <w:t xml:space="preserve"> storm or outage event is composed of outages that result from many individual points of damage on the system, which are referred to as “incidents.”  These incident points of damage are aggregated during the management of a storm into units of work that are prioritized and optimized in order to minimize the overall cost and duration of the event.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F70"/>
    <w:multiLevelType w:val="hybridMultilevel"/>
    <w:tmpl w:val="EA043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7F88"/>
    <w:multiLevelType w:val="hybridMultilevel"/>
    <w:tmpl w:val="BA88A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2759A"/>
    <w:multiLevelType w:val="hybridMultilevel"/>
    <w:tmpl w:val="D34C9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356CC"/>
    <w:multiLevelType w:val="hybridMultilevel"/>
    <w:tmpl w:val="3B92B1E2"/>
    <w:lvl w:ilvl="0" w:tplc="0409000F">
      <w:start w:val="1"/>
      <w:numFmt w:val="decimal"/>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4" w15:restartNumberingAfterBreak="0">
    <w:nsid w:val="2BF03EAF"/>
    <w:multiLevelType w:val="hybridMultilevel"/>
    <w:tmpl w:val="032867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37059"/>
    <w:multiLevelType w:val="hybridMultilevel"/>
    <w:tmpl w:val="950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E1503"/>
    <w:multiLevelType w:val="hybridMultilevel"/>
    <w:tmpl w:val="B6D8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E0009"/>
    <w:multiLevelType w:val="hybridMultilevel"/>
    <w:tmpl w:val="F2D44C8C"/>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8" w15:restartNumberingAfterBreak="0">
    <w:nsid w:val="67556DEC"/>
    <w:multiLevelType w:val="hybridMultilevel"/>
    <w:tmpl w:val="A9F25E66"/>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9" w15:restartNumberingAfterBreak="0">
    <w:nsid w:val="6FFF6854"/>
    <w:multiLevelType w:val="hybridMultilevel"/>
    <w:tmpl w:val="5024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424DF"/>
    <w:multiLevelType w:val="hybridMultilevel"/>
    <w:tmpl w:val="901ADAFC"/>
    <w:lvl w:ilvl="0" w:tplc="04090001">
      <w:start w:val="1"/>
      <w:numFmt w:val="bullet"/>
      <w:lvlText w:val=""/>
      <w:lvlJc w:val="left"/>
      <w:pPr>
        <w:ind w:left="877" w:hanging="360"/>
      </w:pPr>
      <w:rPr>
        <w:rFonts w:ascii="Symbol" w:hAnsi="Symbol" w:hint="default"/>
      </w:rPr>
    </w:lvl>
    <w:lvl w:ilvl="1" w:tplc="04090003">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1" w15:restartNumberingAfterBreak="0">
    <w:nsid w:val="73D4524B"/>
    <w:multiLevelType w:val="hybridMultilevel"/>
    <w:tmpl w:val="E738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4621E1"/>
    <w:multiLevelType w:val="hybridMultilevel"/>
    <w:tmpl w:val="BF7ED7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1"/>
  </w:num>
  <w:num w:numId="5">
    <w:abstractNumId w:val="10"/>
  </w:num>
  <w:num w:numId="6">
    <w:abstractNumId w:val="9"/>
  </w:num>
  <w:num w:numId="7">
    <w:abstractNumId w:val="7"/>
  </w:num>
  <w:num w:numId="8">
    <w:abstractNumId w:val="12"/>
  </w:num>
  <w:num w:numId="9">
    <w:abstractNumId w:val="1"/>
  </w:num>
  <w:num w:numId="10">
    <w:abstractNumId w:val="4"/>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BC"/>
    <w:rsid w:val="00010F98"/>
    <w:rsid w:val="00022AD2"/>
    <w:rsid w:val="000254E6"/>
    <w:rsid w:val="00027AF0"/>
    <w:rsid w:val="0003272A"/>
    <w:rsid w:val="00054E5A"/>
    <w:rsid w:val="0008746F"/>
    <w:rsid w:val="000A0C79"/>
    <w:rsid w:val="000A211D"/>
    <w:rsid w:val="000A3FA9"/>
    <w:rsid w:val="000A69AF"/>
    <w:rsid w:val="000B3189"/>
    <w:rsid w:val="000F334C"/>
    <w:rsid w:val="00106200"/>
    <w:rsid w:val="00117064"/>
    <w:rsid w:val="00130F86"/>
    <w:rsid w:val="001317B9"/>
    <w:rsid w:val="001330EF"/>
    <w:rsid w:val="0014386F"/>
    <w:rsid w:val="00154A4F"/>
    <w:rsid w:val="00156743"/>
    <w:rsid w:val="00164FFD"/>
    <w:rsid w:val="00170F41"/>
    <w:rsid w:val="00172169"/>
    <w:rsid w:val="0018137B"/>
    <w:rsid w:val="00182462"/>
    <w:rsid w:val="00185878"/>
    <w:rsid w:val="00196978"/>
    <w:rsid w:val="001A5069"/>
    <w:rsid w:val="001B4007"/>
    <w:rsid w:val="001C2E70"/>
    <w:rsid w:val="001F485D"/>
    <w:rsid w:val="00203C1C"/>
    <w:rsid w:val="00223840"/>
    <w:rsid w:val="00226844"/>
    <w:rsid w:val="00234069"/>
    <w:rsid w:val="00236119"/>
    <w:rsid w:val="00237BA7"/>
    <w:rsid w:val="00240749"/>
    <w:rsid w:val="00252EDE"/>
    <w:rsid w:val="002540CD"/>
    <w:rsid w:val="00267806"/>
    <w:rsid w:val="0027059B"/>
    <w:rsid w:val="00271A61"/>
    <w:rsid w:val="00274B5B"/>
    <w:rsid w:val="002A3802"/>
    <w:rsid w:val="002B5E52"/>
    <w:rsid w:val="002B733B"/>
    <w:rsid w:val="002C304D"/>
    <w:rsid w:val="00300BB7"/>
    <w:rsid w:val="003065FD"/>
    <w:rsid w:val="003109C6"/>
    <w:rsid w:val="0031104C"/>
    <w:rsid w:val="0032635A"/>
    <w:rsid w:val="00333915"/>
    <w:rsid w:val="00341540"/>
    <w:rsid w:val="003459A1"/>
    <w:rsid w:val="00355274"/>
    <w:rsid w:val="003837DB"/>
    <w:rsid w:val="00387C08"/>
    <w:rsid w:val="003A71CD"/>
    <w:rsid w:val="003C4FD7"/>
    <w:rsid w:val="003D068D"/>
    <w:rsid w:val="003E6B90"/>
    <w:rsid w:val="003F2364"/>
    <w:rsid w:val="003F42C3"/>
    <w:rsid w:val="003F6737"/>
    <w:rsid w:val="00404505"/>
    <w:rsid w:val="00415A4B"/>
    <w:rsid w:val="00420AFB"/>
    <w:rsid w:val="00424692"/>
    <w:rsid w:val="004378AB"/>
    <w:rsid w:val="00444395"/>
    <w:rsid w:val="00461646"/>
    <w:rsid w:val="00465DE4"/>
    <w:rsid w:val="00472F07"/>
    <w:rsid w:val="00474325"/>
    <w:rsid w:val="004A2A46"/>
    <w:rsid w:val="004A5A0F"/>
    <w:rsid w:val="004C7D89"/>
    <w:rsid w:val="004E01CE"/>
    <w:rsid w:val="004E7EF1"/>
    <w:rsid w:val="00511C25"/>
    <w:rsid w:val="00511C97"/>
    <w:rsid w:val="00513D8C"/>
    <w:rsid w:val="00532ABC"/>
    <w:rsid w:val="005523B8"/>
    <w:rsid w:val="00561682"/>
    <w:rsid w:val="005668E1"/>
    <w:rsid w:val="00571055"/>
    <w:rsid w:val="00596E6F"/>
    <w:rsid w:val="005A0870"/>
    <w:rsid w:val="005A167D"/>
    <w:rsid w:val="005A754F"/>
    <w:rsid w:val="005B38C6"/>
    <w:rsid w:val="005C21D4"/>
    <w:rsid w:val="005D59E6"/>
    <w:rsid w:val="005D5EC8"/>
    <w:rsid w:val="005E1076"/>
    <w:rsid w:val="005E4696"/>
    <w:rsid w:val="005F420B"/>
    <w:rsid w:val="005F7F6B"/>
    <w:rsid w:val="00600154"/>
    <w:rsid w:val="00606487"/>
    <w:rsid w:val="00623A71"/>
    <w:rsid w:val="006351BA"/>
    <w:rsid w:val="00654780"/>
    <w:rsid w:val="00697A0C"/>
    <w:rsid w:val="006B095B"/>
    <w:rsid w:val="006B25A2"/>
    <w:rsid w:val="006C0365"/>
    <w:rsid w:val="006D3208"/>
    <w:rsid w:val="006E0E8E"/>
    <w:rsid w:val="006E4951"/>
    <w:rsid w:val="006F489C"/>
    <w:rsid w:val="006F4FBD"/>
    <w:rsid w:val="007038E3"/>
    <w:rsid w:val="00723468"/>
    <w:rsid w:val="00737C39"/>
    <w:rsid w:val="0074263A"/>
    <w:rsid w:val="007455B4"/>
    <w:rsid w:val="00767D80"/>
    <w:rsid w:val="00793D87"/>
    <w:rsid w:val="007A588D"/>
    <w:rsid w:val="007B494E"/>
    <w:rsid w:val="007C49FD"/>
    <w:rsid w:val="007C4D02"/>
    <w:rsid w:val="007E1FAC"/>
    <w:rsid w:val="007E5F7A"/>
    <w:rsid w:val="007F5234"/>
    <w:rsid w:val="0081661F"/>
    <w:rsid w:val="0082467E"/>
    <w:rsid w:val="008260A7"/>
    <w:rsid w:val="0083263D"/>
    <w:rsid w:val="0083316C"/>
    <w:rsid w:val="00855B37"/>
    <w:rsid w:val="008565E2"/>
    <w:rsid w:val="00867C88"/>
    <w:rsid w:val="00886014"/>
    <w:rsid w:val="00893B10"/>
    <w:rsid w:val="008A3322"/>
    <w:rsid w:val="008B6481"/>
    <w:rsid w:val="008C3310"/>
    <w:rsid w:val="008D1294"/>
    <w:rsid w:val="008F2510"/>
    <w:rsid w:val="00901B8B"/>
    <w:rsid w:val="0091294A"/>
    <w:rsid w:val="009236EA"/>
    <w:rsid w:val="009334BB"/>
    <w:rsid w:val="00964BC4"/>
    <w:rsid w:val="00964ECD"/>
    <w:rsid w:val="009A0ADC"/>
    <w:rsid w:val="009B6D8A"/>
    <w:rsid w:val="009C3744"/>
    <w:rsid w:val="009E1E7F"/>
    <w:rsid w:val="009E7CCD"/>
    <w:rsid w:val="009F3085"/>
    <w:rsid w:val="00A165C4"/>
    <w:rsid w:val="00A245D1"/>
    <w:rsid w:val="00A3332D"/>
    <w:rsid w:val="00A3709D"/>
    <w:rsid w:val="00A3728F"/>
    <w:rsid w:val="00A4272E"/>
    <w:rsid w:val="00A506FE"/>
    <w:rsid w:val="00A52E5A"/>
    <w:rsid w:val="00A5494A"/>
    <w:rsid w:val="00A6018C"/>
    <w:rsid w:val="00A61DBA"/>
    <w:rsid w:val="00A8280E"/>
    <w:rsid w:val="00A95D03"/>
    <w:rsid w:val="00AA2FF2"/>
    <w:rsid w:val="00AB5833"/>
    <w:rsid w:val="00AC60C6"/>
    <w:rsid w:val="00AD24FB"/>
    <w:rsid w:val="00AD36F2"/>
    <w:rsid w:val="00AE230C"/>
    <w:rsid w:val="00B03F51"/>
    <w:rsid w:val="00B066B7"/>
    <w:rsid w:val="00B24F69"/>
    <w:rsid w:val="00B3088F"/>
    <w:rsid w:val="00B43D3A"/>
    <w:rsid w:val="00B44538"/>
    <w:rsid w:val="00B57497"/>
    <w:rsid w:val="00B614C7"/>
    <w:rsid w:val="00B643BF"/>
    <w:rsid w:val="00B920B8"/>
    <w:rsid w:val="00BA4900"/>
    <w:rsid w:val="00BB269D"/>
    <w:rsid w:val="00BC1777"/>
    <w:rsid w:val="00BC362A"/>
    <w:rsid w:val="00BC7918"/>
    <w:rsid w:val="00BE1576"/>
    <w:rsid w:val="00BF60E1"/>
    <w:rsid w:val="00C001DD"/>
    <w:rsid w:val="00C031D1"/>
    <w:rsid w:val="00C046A3"/>
    <w:rsid w:val="00C055E7"/>
    <w:rsid w:val="00C07268"/>
    <w:rsid w:val="00C1161D"/>
    <w:rsid w:val="00C1599F"/>
    <w:rsid w:val="00C16583"/>
    <w:rsid w:val="00C6623C"/>
    <w:rsid w:val="00C83C4B"/>
    <w:rsid w:val="00CA6783"/>
    <w:rsid w:val="00CB5EED"/>
    <w:rsid w:val="00CC0FA3"/>
    <w:rsid w:val="00CE3946"/>
    <w:rsid w:val="00CF0975"/>
    <w:rsid w:val="00CF0A52"/>
    <w:rsid w:val="00CF0E22"/>
    <w:rsid w:val="00CF4083"/>
    <w:rsid w:val="00D06066"/>
    <w:rsid w:val="00D10742"/>
    <w:rsid w:val="00D21A4E"/>
    <w:rsid w:val="00D40BD6"/>
    <w:rsid w:val="00D427A4"/>
    <w:rsid w:val="00D566D7"/>
    <w:rsid w:val="00D65876"/>
    <w:rsid w:val="00D74560"/>
    <w:rsid w:val="00D90C9F"/>
    <w:rsid w:val="00D93075"/>
    <w:rsid w:val="00DB20A1"/>
    <w:rsid w:val="00DB2F2A"/>
    <w:rsid w:val="00DB2F46"/>
    <w:rsid w:val="00DC0E30"/>
    <w:rsid w:val="00E3003C"/>
    <w:rsid w:val="00E33A5C"/>
    <w:rsid w:val="00E50386"/>
    <w:rsid w:val="00E514AA"/>
    <w:rsid w:val="00E62E75"/>
    <w:rsid w:val="00E668F5"/>
    <w:rsid w:val="00E8416B"/>
    <w:rsid w:val="00E91A1E"/>
    <w:rsid w:val="00EA0D49"/>
    <w:rsid w:val="00EB7616"/>
    <w:rsid w:val="00EC4E6F"/>
    <w:rsid w:val="00F0750B"/>
    <w:rsid w:val="00F1789F"/>
    <w:rsid w:val="00F25D78"/>
    <w:rsid w:val="00F55582"/>
    <w:rsid w:val="00F5684C"/>
    <w:rsid w:val="00F755FF"/>
    <w:rsid w:val="00FA5E77"/>
    <w:rsid w:val="00FC4FC3"/>
    <w:rsid w:val="00FD6A60"/>
    <w:rsid w:val="00FE00BA"/>
    <w:rsid w:val="00FF450F"/>
    <w:rsid w:val="00FF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9153"/>
  <w15:docId w15:val="{EAD26D8E-F7CA-482D-97EB-AAA2BE13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ADC"/>
    <w:pPr>
      <w:ind w:left="720"/>
      <w:contextualSpacing/>
    </w:pPr>
  </w:style>
  <w:style w:type="table" w:styleId="ListTable3-Accent1">
    <w:name w:val="List Table 3 Accent 1"/>
    <w:basedOn w:val="TableNormal"/>
    <w:uiPriority w:val="48"/>
    <w:rsid w:val="00CF097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uiPriority w:val="99"/>
    <w:semiHidden/>
    <w:unhideWhenUsed/>
    <w:rsid w:val="00B92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0B8"/>
    <w:rPr>
      <w:rFonts w:ascii="Segoe UI" w:hAnsi="Segoe UI" w:cs="Segoe UI"/>
      <w:sz w:val="18"/>
      <w:szCs w:val="18"/>
    </w:rPr>
  </w:style>
  <w:style w:type="paragraph" w:styleId="FootnoteText">
    <w:name w:val="footnote text"/>
    <w:basedOn w:val="Normal"/>
    <w:link w:val="FootnoteTextChar"/>
    <w:uiPriority w:val="99"/>
    <w:semiHidden/>
    <w:unhideWhenUsed/>
    <w:rsid w:val="00856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5E2"/>
    <w:rPr>
      <w:sz w:val="20"/>
      <w:szCs w:val="20"/>
    </w:rPr>
  </w:style>
  <w:style w:type="character" w:styleId="FootnoteReference">
    <w:name w:val="footnote reference"/>
    <w:basedOn w:val="DefaultParagraphFont"/>
    <w:uiPriority w:val="99"/>
    <w:semiHidden/>
    <w:unhideWhenUsed/>
    <w:rsid w:val="00856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6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Storm Related Costs By Year</a:t>
            </a:r>
          </a:p>
        </c:rich>
      </c:tx>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Page1_1!$I$1:$M$1</c:f>
              <c:strCache>
                <c:ptCount val="5"/>
                <c:pt idx="0">
                  <c:v>2010</c:v>
                </c:pt>
                <c:pt idx="1">
                  <c:v>2011</c:v>
                </c:pt>
                <c:pt idx="2">
                  <c:v>2012</c:v>
                </c:pt>
                <c:pt idx="3">
                  <c:v>2013</c:v>
                </c:pt>
                <c:pt idx="4">
                  <c:v>2014</c:v>
                </c:pt>
              </c:strCache>
            </c:strRef>
          </c:cat>
          <c:val>
            <c:numRef>
              <c:f>Page1_1!$I$651:$M$651</c:f>
              <c:numCache>
                <c:formatCode>_(* #,##0_);_(* \(#,##0\);_(* "-"??_);_(@_)</c:formatCode>
                <c:ptCount val="5"/>
                <c:pt idx="0">
                  <c:v>4001074.9899999984</c:v>
                </c:pt>
                <c:pt idx="1">
                  <c:v>2055671.5900000012</c:v>
                </c:pt>
                <c:pt idx="2">
                  <c:v>2521823.9000000018</c:v>
                </c:pt>
                <c:pt idx="3">
                  <c:v>3802025.7899999982</c:v>
                </c:pt>
                <c:pt idx="4">
                  <c:v>8471555.7799999993</c:v>
                </c:pt>
              </c:numCache>
            </c:numRef>
          </c:val>
        </c:ser>
        <c:dLbls>
          <c:dLblPos val="inEnd"/>
          <c:showLegendKey val="0"/>
          <c:showVal val="1"/>
          <c:showCatName val="0"/>
          <c:showSerName val="0"/>
          <c:showPercent val="0"/>
          <c:showBubbleSize val="0"/>
        </c:dLbls>
        <c:gapWidth val="41"/>
        <c:axId val="150309208"/>
        <c:axId val="151080688"/>
      </c:barChart>
      <c:catAx>
        <c:axId val="150309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en-US"/>
          </a:p>
        </c:txPr>
        <c:crossAx val="151080688"/>
        <c:crosses val="autoZero"/>
        <c:auto val="1"/>
        <c:lblAlgn val="ctr"/>
        <c:lblOffset val="100"/>
        <c:noMultiLvlLbl val="0"/>
      </c:catAx>
      <c:valAx>
        <c:axId val="151080688"/>
        <c:scaling>
          <c:orientation val="minMax"/>
        </c:scaling>
        <c:delete val="1"/>
        <c:axPos val="l"/>
        <c:numFmt formatCode="&quot;$&quot;#,##0" sourceLinked="0"/>
        <c:majorTickMark val="none"/>
        <c:minorTickMark val="none"/>
        <c:tickLblPos val="nextTo"/>
        <c:crossAx val="15030920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2016-10-06T07:00:00+00:00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E0B055-82CF-43B8-9C74-889DB8218608}"/>
</file>

<file path=customXml/itemProps2.xml><?xml version="1.0" encoding="utf-8"?>
<ds:datastoreItem xmlns:ds="http://schemas.openxmlformats.org/officeDocument/2006/customXml" ds:itemID="{44D911F1-EAE0-4C8C-8173-50104944FDBE}">
  <ds:schemaRefs>
    <ds:schemaRef ds:uri="http://schemas.microsoft.com/sharepoint/v3/contenttype/forms"/>
  </ds:schemaRefs>
</ds:datastoreItem>
</file>

<file path=customXml/itemProps3.xml><?xml version="1.0" encoding="utf-8"?>
<ds:datastoreItem xmlns:ds="http://schemas.openxmlformats.org/officeDocument/2006/customXml" ds:itemID="{3884385E-20E6-46A0-A029-6909037F3D3E}">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5EC20CD-C963-48AE-AE96-3190D7226AA9}">
  <ds:schemaRefs>
    <ds:schemaRef ds:uri="http://schemas.openxmlformats.org/officeDocument/2006/bibliography"/>
  </ds:schemaRefs>
</ds:datastoreItem>
</file>

<file path=customXml/itemProps5.xml><?xml version="1.0" encoding="utf-8"?>
<ds:datastoreItem xmlns:ds="http://schemas.openxmlformats.org/officeDocument/2006/customXml" ds:itemID="{B12EA4C7-1230-4F01-919D-8EFDC7B3D7B0}"/>
</file>

<file path=docProps/app.xml><?xml version="1.0" encoding="utf-8"?>
<Properties xmlns="http://schemas.openxmlformats.org/officeDocument/2006/extended-properties" xmlns:vt="http://schemas.openxmlformats.org/officeDocument/2006/docPropsVTypes">
  <Template>Normal</Template>
  <TotalTime>193</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lss9907</dc:creator>
  <cp:lastModifiedBy>La Bolle, Larry</cp:lastModifiedBy>
  <cp:revision>45</cp:revision>
  <cp:lastPrinted>2016-02-11T17:32:00Z</cp:lastPrinted>
  <dcterms:created xsi:type="dcterms:W3CDTF">2016-02-14T02:53:00Z</dcterms:created>
  <dcterms:modified xsi:type="dcterms:W3CDTF">2016-02-16T18:54:00Z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