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E574B0">
        <w:t>5</w:t>
      </w:r>
      <w:r w:rsidRPr="00BA18B1">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 xml:space="preserve">My testimony and exhibits will cover the Company’s electric </w:t>
      </w:r>
      <w:r w:rsidR="00E87DF8">
        <w:rPr>
          <w:rStyle w:val="LineNumber"/>
        </w:rPr>
        <w:t xml:space="preserve">revenue normalization adjustments and the electric </w:t>
      </w:r>
      <w:r w:rsidR="0045522A" w:rsidRPr="00BA18B1">
        <w:rPr>
          <w:rStyle w:val="LineNumber"/>
        </w:rPr>
        <w:t>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w:t>
      </w:r>
      <w:r w:rsidR="002C2EBA">
        <w:rPr>
          <w:rStyle w:val="LineNumber"/>
        </w:rPr>
        <w:t>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lastRenderedPageBreak/>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2E4107">
        <w:rPr>
          <w:rStyle w:val="LineNumber"/>
        </w:rPr>
        <w:t>2</w:t>
      </w:r>
    </w:p>
    <w:p w:rsidR="009B4C8F" w:rsidRDefault="00A353B0" w:rsidP="00E87DF8">
      <w:pPr>
        <w:tabs>
          <w:tab w:val="left" w:pos="1440"/>
          <w:tab w:val="right" w:pos="8730"/>
        </w:tabs>
        <w:spacing w:line="360" w:lineRule="auto"/>
        <w:ind w:firstLine="720"/>
        <w:jc w:val="both"/>
        <w:rPr>
          <w:rStyle w:val="LineNumber"/>
        </w:rPr>
      </w:pPr>
      <w:r>
        <w:rPr>
          <w:rStyle w:val="LineNumber"/>
        </w:rPr>
        <w:t>I</w:t>
      </w:r>
      <w:r w:rsidR="00687F22">
        <w:rPr>
          <w:rStyle w:val="LineNumber"/>
        </w:rPr>
        <w:t>II</w:t>
      </w:r>
      <w:r>
        <w:rPr>
          <w:rStyle w:val="LineNumber"/>
        </w:rPr>
        <w:t>.</w:t>
      </w:r>
      <w:r>
        <w:rPr>
          <w:rStyle w:val="LineNumber"/>
        </w:rPr>
        <w:tab/>
      </w:r>
      <w:r w:rsidR="009B4C8F" w:rsidRPr="00BA18B1">
        <w:rPr>
          <w:rStyle w:val="LineNumber"/>
        </w:rPr>
        <w:t>Electric Cost of Service</w:t>
      </w:r>
      <w:r w:rsidR="009B4C8F" w:rsidRPr="00BA18B1">
        <w:rPr>
          <w:rStyle w:val="LineNumber"/>
        </w:rPr>
        <w:tab/>
      </w:r>
      <w:r w:rsidR="00DA59C2">
        <w:rPr>
          <w:rStyle w:val="LineNumber"/>
        </w:rPr>
        <w:t>7</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w:t>
      </w:r>
      <w:r w:rsidR="004E6B01">
        <w:rPr>
          <w:rStyle w:val="LineNumber"/>
        </w:rPr>
        <w:t xml:space="preserve"> No.</w:t>
      </w:r>
      <w:r>
        <w:rPr>
          <w:rStyle w:val="LineNumber"/>
        </w:rPr>
        <w:t xml:space="preserve"> </w:t>
      </w:r>
      <w:r w:rsidR="004D6200">
        <w:rPr>
          <w:rStyle w:val="LineNumber"/>
        </w:rPr>
        <w:t>1</w:t>
      </w:r>
      <w:r>
        <w:rPr>
          <w:rStyle w:val="LineNumber"/>
        </w:rPr>
        <w:t xml:space="preserve"> Base Case Results</w:t>
      </w:r>
      <w:r w:rsidR="009B4C8F" w:rsidRPr="00BA18B1">
        <w:rPr>
          <w:rStyle w:val="LineNumber"/>
        </w:rPr>
        <w:tab/>
      </w:r>
      <w:r w:rsidR="00224D77">
        <w:rPr>
          <w:rStyle w:val="LineNumber"/>
        </w:rPr>
        <w:t>1</w:t>
      </w:r>
      <w:r w:rsidR="00E574B0">
        <w:rPr>
          <w:rStyle w:val="LineNumber"/>
        </w:rPr>
        <w:t>4</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E87DF8">
        <w:rPr>
          <w:rStyle w:val="LineNumber"/>
        </w:rPr>
        <w:t xml:space="preserve"> which</w:t>
      </w:r>
      <w:r w:rsidR="00687F22">
        <w:rPr>
          <w:rStyle w:val="LineNumber"/>
        </w:rPr>
        <w:t xml:space="preserve"> </w:t>
      </w:r>
      <w:r w:rsidR="00D75064">
        <w:rPr>
          <w:rStyle w:val="LineNumber"/>
        </w:rPr>
        <w:t>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(TLK-</w:t>
      </w:r>
      <w:r w:rsidR="00687F22">
        <w:rPr>
          <w:rStyle w:val="LineNumber"/>
        </w:rPr>
        <w:t>3</w:t>
      </w:r>
      <w:r>
        <w:rPr>
          <w:rStyle w:val="LineNumber"/>
        </w:rPr>
        <w:t>)</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75064" w:rsidRDefault="00D75064" w:rsidP="00DE4DD1">
      <w:pPr>
        <w:tabs>
          <w:tab w:val="left" w:pos="1440"/>
          <w:tab w:val="right" w:pos="8730"/>
        </w:tabs>
        <w:spacing w:line="480" w:lineRule="auto"/>
        <w:ind w:firstLine="720"/>
        <w:jc w:val="both"/>
        <w:rPr>
          <w:rStyle w:val="LineNumber"/>
        </w:rPr>
      </w:pPr>
    </w:p>
    <w:p w:rsidR="00D75064" w:rsidRDefault="0045522A" w:rsidP="00D75064">
      <w:pPr>
        <w:pStyle w:val="Heading5"/>
        <w:rPr>
          <w:rStyle w:val="PageNumber"/>
          <w:u w:val="single"/>
        </w:rPr>
      </w:pPr>
      <w:r w:rsidRPr="00BA18B1">
        <w:rPr>
          <w:rStyle w:val="PageNumber"/>
          <w:u w:val="single"/>
        </w:rPr>
        <w:t xml:space="preserve">II.  </w:t>
      </w:r>
      <w:r w:rsidR="00E87DF8">
        <w:rPr>
          <w:rStyle w:val="PageNumber"/>
          <w:u w:val="single"/>
        </w:rPr>
        <w:t xml:space="preserve">ELECTRIC </w:t>
      </w:r>
      <w:r w:rsidR="00750EA9" w:rsidRPr="00BA18B1">
        <w:rPr>
          <w:rStyle w:val="PageNumber"/>
          <w:u w:val="single"/>
        </w:rPr>
        <w:t>REVENUE</w:t>
      </w:r>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w:t>
      </w:r>
      <w:r w:rsidR="00541A1B">
        <w:rPr>
          <w:rStyle w:val="LineNumber"/>
          <w:b/>
          <w:bCs/>
        </w:rPr>
        <w:t xml:space="preserve">normalization </w:t>
      </w:r>
      <w:r w:rsidRPr="00BA18B1">
        <w:rPr>
          <w:rStyle w:val="LineNumber"/>
          <w:b/>
          <w:bCs/>
        </w:rPr>
        <w:t>adjustment</w:t>
      </w:r>
      <w:r w:rsidR="00CC2CB8">
        <w:rPr>
          <w:rStyle w:val="LineNumber"/>
          <w:b/>
          <w:bCs/>
        </w:rPr>
        <w:t>s</w:t>
      </w:r>
      <w:r w:rsidR="00E12248">
        <w:rPr>
          <w:rStyle w:val="LineNumber"/>
          <w:b/>
          <w:bCs/>
        </w:rPr>
        <w:t xml:space="preserve"> included in </w:t>
      </w:r>
      <w:r w:rsidR="00E37C4B">
        <w:rPr>
          <w:rStyle w:val="LineNumber"/>
          <w:b/>
          <w:bCs/>
        </w:rPr>
        <w:t xml:space="preserve">Company witness </w:t>
      </w:r>
      <w:r w:rsidR="00815443" w:rsidRPr="00BA18B1">
        <w:rPr>
          <w:rStyle w:val="LineNumber"/>
          <w:b/>
          <w:bCs/>
        </w:rPr>
        <w:t xml:space="preserve">Ms. Andrews </w:t>
      </w:r>
      <w:r w:rsidR="00CC2CB8" w:rsidRPr="00AD3589">
        <w:rPr>
          <w:rStyle w:val="LineNumber"/>
          <w:b/>
          <w:bCs/>
        </w:rPr>
        <w:t>A</w:t>
      </w:r>
      <w:r w:rsidR="00F56BB5" w:rsidRPr="00AD3589">
        <w:rPr>
          <w:rStyle w:val="LineNumber"/>
          <w:b/>
          <w:bCs/>
        </w:rPr>
        <w:t xml:space="preserve">ttrition </w:t>
      </w:r>
      <w:r w:rsidR="00CC2CB8" w:rsidRPr="00AD3589">
        <w:rPr>
          <w:rStyle w:val="LineNumber"/>
          <w:b/>
          <w:bCs/>
        </w:rPr>
        <w:t>S</w:t>
      </w:r>
      <w:r w:rsidR="00F56BB5" w:rsidRPr="00AD3589">
        <w:rPr>
          <w:rStyle w:val="LineNumber"/>
          <w:b/>
          <w:bCs/>
        </w:rPr>
        <w:t>tudy</w:t>
      </w:r>
      <w:r w:rsidR="00815443" w:rsidRPr="00BA18B1">
        <w:rPr>
          <w:rStyle w:val="LineNumber"/>
          <w:b/>
          <w:bCs/>
        </w:rPr>
        <w:t>?</w:t>
      </w:r>
    </w:p>
    <w:p w:rsidR="00352530" w:rsidRDefault="00815443" w:rsidP="00352530">
      <w:pPr>
        <w:pStyle w:val="BodyText2"/>
        <w:tabs>
          <w:tab w:val="left" w:pos="1440"/>
        </w:tabs>
        <w:ind w:firstLine="720"/>
        <w:rPr>
          <w:rStyle w:val="LineNumber"/>
          <w:bCs/>
        </w:rPr>
      </w:pPr>
      <w:r w:rsidRPr="00BA18B1">
        <w:rPr>
          <w:rStyle w:val="LineNumber"/>
          <w:bCs/>
        </w:rPr>
        <w:t>A.</w:t>
      </w:r>
      <w:r w:rsidRPr="00BA18B1">
        <w:rPr>
          <w:rStyle w:val="LineNumber"/>
          <w:bCs/>
        </w:rPr>
        <w:tab/>
        <w:t xml:space="preserve">Yes.  </w:t>
      </w:r>
      <w:r w:rsidR="00352530">
        <w:rPr>
          <w:rStyle w:val="LineNumber"/>
          <w:bCs/>
        </w:rPr>
        <w:t xml:space="preserve">There are three separate </w:t>
      </w:r>
      <w:r w:rsidR="00DF046C">
        <w:rPr>
          <w:rStyle w:val="LineNumber"/>
          <w:bCs/>
        </w:rPr>
        <w:t xml:space="preserve">adjustments that normalize </w:t>
      </w:r>
      <w:r w:rsidR="00352530">
        <w:rPr>
          <w:rStyle w:val="LineNumber"/>
          <w:bCs/>
        </w:rPr>
        <w:t xml:space="preserve">revenue </w:t>
      </w:r>
      <w:r w:rsidR="00DF046C">
        <w:rPr>
          <w:rStyle w:val="LineNumber"/>
          <w:bCs/>
        </w:rPr>
        <w:t>as</w:t>
      </w:r>
      <w:r w:rsidR="00352530">
        <w:rPr>
          <w:rStyle w:val="LineNumber"/>
          <w:bCs/>
        </w:rPr>
        <w:t xml:space="preserve"> part of the electric Attrition Study.</w:t>
      </w:r>
    </w:p>
    <w:p w:rsidR="00352530" w:rsidRDefault="00352530" w:rsidP="00352530">
      <w:pPr>
        <w:pStyle w:val="BodyText2"/>
        <w:tabs>
          <w:tab w:val="left" w:pos="1440"/>
        </w:tabs>
        <w:ind w:firstLine="720"/>
        <w:rPr>
          <w:rStyle w:val="LineNumber"/>
          <w:bCs/>
        </w:rPr>
      </w:pPr>
      <w:r>
        <w:rPr>
          <w:rStyle w:val="LineNumber"/>
          <w:bCs/>
        </w:rPr>
        <w:t>1</w:t>
      </w:r>
      <w:r w:rsidR="00BE672F">
        <w:rPr>
          <w:rStyle w:val="LineNumber"/>
          <w:bCs/>
        </w:rPr>
        <w:t xml:space="preserve"> – </w:t>
      </w:r>
      <w:r>
        <w:rPr>
          <w:rStyle w:val="LineNumber"/>
          <w:bCs/>
        </w:rPr>
        <w:t>The Commission Basis Results of Operations in column [A] of Exhibit No. ___(EMA-2)</w:t>
      </w:r>
      <w:r w:rsidR="00057770">
        <w:rPr>
          <w:rStyle w:val="LineNumber"/>
          <w:bCs/>
        </w:rPr>
        <w:t>, page 4</w:t>
      </w:r>
      <w:r w:rsidR="001665D9">
        <w:rPr>
          <w:rStyle w:val="LineNumber"/>
          <w:bCs/>
        </w:rPr>
        <w:t>,</w:t>
      </w:r>
      <w:r>
        <w:rPr>
          <w:rStyle w:val="LineNumber"/>
          <w:bCs/>
        </w:rPr>
        <w:t xml:space="preserve"> includes a Commission Basis weather normalization adjustment.</w:t>
      </w:r>
      <w:r w:rsidR="00BE672F">
        <w:rPr>
          <w:rStyle w:val="LineNumber"/>
          <w:bCs/>
        </w:rPr>
        <w:t xml:space="preserve">  Revenues </w:t>
      </w:r>
      <w:r w:rsidR="00AD3589">
        <w:rPr>
          <w:rStyle w:val="LineNumber"/>
          <w:bCs/>
        </w:rPr>
        <w:t xml:space="preserve">for this adjustment </w:t>
      </w:r>
      <w:r w:rsidR="00BE672F">
        <w:rPr>
          <w:rStyle w:val="LineNumber"/>
          <w:bCs/>
        </w:rPr>
        <w:t xml:space="preserve">are based on rates that were in effect during the </w:t>
      </w:r>
      <w:r w:rsidR="00E87DF8">
        <w:rPr>
          <w:rStyle w:val="LineNumber"/>
          <w:bCs/>
        </w:rPr>
        <w:t>October</w:t>
      </w:r>
      <w:r w:rsidR="00BE672F" w:rsidRPr="00AD3589">
        <w:rPr>
          <w:rStyle w:val="LineNumber"/>
          <w:bCs/>
        </w:rPr>
        <w:t xml:space="preserve"> 201</w:t>
      </w:r>
      <w:r w:rsidR="00E87DF8">
        <w:rPr>
          <w:rStyle w:val="LineNumber"/>
          <w:bCs/>
        </w:rPr>
        <w:t>3</w:t>
      </w:r>
      <w:r w:rsidR="00BE672F" w:rsidRPr="00AD3589">
        <w:rPr>
          <w:rStyle w:val="LineNumber"/>
          <w:bCs/>
        </w:rPr>
        <w:t xml:space="preserve"> through </w:t>
      </w:r>
      <w:r w:rsidR="00E87DF8">
        <w:rPr>
          <w:rStyle w:val="LineNumber"/>
          <w:bCs/>
        </w:rPr>
        <w:t>September 2014</w:t>
      </w:r>
      <w:r w:rsidR="00BE672F">
        <w:rPr>
          <w:rStyle w:val="LineNumber"/>
          <w:bCs/>
        </w:rPr>
        <w:t xml:space="preserve"> test period.</w:t>
      </w:r>
    </w:p>
    <w:p w:rsidR="003A321C" w:rsidRDefault="00352530">
      <w:pPr>
        <w:pStyle w:val="BodyText2"/>
        <w:tabs>
          <w:tab w:val="left" w:pos="1440"/>
        </w:tabs>
        <w:ind w:firstLine="720"/>
        <w:rPr>
          <w:rStyle w:val="LineNumber"/>
          <w:bCs/>
        </w:rPr>
      </w:pPr>
      <w:r>
        <w:rPr>
          <w:rStyle w:val="LineNumber"/>
          <w:bCs/>
        </w:rPr>
        <w:t>2</w:t>
      </w:r>
      <w:r w:rsidR="00BE672F">
        <w:rPr>
          <w:rStyle w:val="LineNumber"/>
          <w:bCs/>
        </w:rPr>
        <w:t xml:space="preserve"> –</w:t>
      </w:r>
      <w:r>
        <w:rPr>
          <w:rStyle w:val="LineNumber"/>
          <w:bCs/>
        </w:rPr>
        <w:t xml:space="preserve"> </w:t>
      </w:r>
      <w:r w:rsidR="00E87DF8">
        <w:rPr>
          <w:rStyle w:val="LineNumber"/>
          <w:bCs/>
        </w:rPr>
        <w:t>In addition to the weather normalization adjustment, the Commission Basis Results of Operations in column [A] of Exhibit No.___(EMA-2), page 4</w:t>
      </w:r>
      <w:r w:rsidR="001665D9">
        <w:rPr>
          <w:rStyle w:val="LineNumber"/>
          <w:bCs/>
        </w:rPr>
        <w:t>,</w:t>
      </w:r>
      <w:r w:rsidR="00E87DF8">
        <w:rPr>
          <w:rStyle w:val="LineNumber"/>
          <w:bCs/>
        </w:rPr>
        <w:t xml:space="preserve"> also includes an </w:t>
      </w:r>
      <w:r w:rsidR="00E87DF8">
        <w:rPr>
          <w:rStyle w:val="LineNumber"/>
          <w:bCs/>
        </w:rPr>
        <w:lastRenderedPageBreak/>
        <w:t>Eliminate Adder Schedules adjustment which removes the impact of adder schedule revenues and related expenses during the October 2013 through September 2014 test period.</w:t>
      </w:r>
    </w:p>
    <w:p w:rsidR="00352530" w:rsidRDefault="003A321C">
      <w:pPr>
        <w:pStyle w:val="BodyText2"/>
        <w:tabs>
          <w:tab w:val="left" w:pos="1440"/>
        </w:tabs>
        <w:ind w:firstLine="720"/>
        <w:rPr>
          <w:rStyle w:val="LineNumber"/>
          <w:bCs/>
        </w:rPr>
      </w:pPr>
      <w:r>
        <w:rPr>
          <w:rStyle w:val="LineNumber"/>
          <w:bCs/>
        </w:rPr>
        <w:t xml:space="preserve">3 – The Pro Forma </w:t>
      </w:r>
      <w:r w:rsidR="00352530">
        <w:rPr>
          <w:rStyle w:val="LineNumber"/>
          <w:bCs/>
        </w:rPr>
        <w:t>Revenue Normalization Adjustment in column [D] of</w:t>
      </w:r>
      <w:r w:rsidR="00590442">
        <w:rPr>
          <w:rStyle w:val="LineNumber"/>
          <w:bCs/>
        </w:rPr>
        <w:t xml:space="preserve"> Exhibit No.___(EMA-2)</w:t>
      </w:r>
      <w:r w:rsidR="00057770">
        <w:rPr>
          <w:rStyle w:val="LineNumber"/>
          <w:bCs/>
        </w:rPr>
        <w:t>, page 4</w:t>
      </w:r>
      <w:r w:rsidR="001665D9">
        <w:rPr>
          <w:rStyle w:val="LineNumber"/>
          <w:bCs/>
        </w:rPr>
        <w:t>,</w:t>
      </w:r>
      <w:r w:rsidR="00590442">
        <w:rPr>
          <w:rStyle w:val="LineNumber"/>
          <w:bCs/>
        </w:rPr>
        <w:t xml:space="preserve"> adjusts </w:t>
      </w:r>
      <w:r>
        <w:rPr>
          <w:rStyle w:val="LineNumber"/>
          <w:bCs/>
        </w:rPr>
        <w:t xml:space="preserve">October </w:t>
      </w:r>
      <w:r w:rsidR="00AD3589">
        <w:rPr>
          <w:rStyle w:val="LineNumber"/>
          <w:bCs/>
        </w:rPr>
        <w:t>201</w:t>
      </w:r>
      <w:r>
        <w:rPr>
          <w:rStyle w:val="LineNumber"/>
          <w:bCs/>
        </w:rPr>
        <w:t>3</w:t>
      </w:r>
      <w:r w:rsidR="00AD3589">
        <w:rPr>
          <w:rStyle w:val="LineNumber"/>
          <w:bCs/>
        </w:rPr>
        <w:t xml:space="preserve"> through </w:t>
      </w:r>
      <w:r>
        <w:rPr>
          <w:rStyle w:val="LineNumber"/>
          <w:bCs/>
        </w:rPr>
        <w:t>September 2014</w:t>
      </w:r>
      <w:r w:rsidR="00AD3589">
        <w:rPr>
          <w:rStyle w:val="LineNumber"/>
          <w:bCs/>
        </w:rPr>
        <w:t xml:space="preserve"> </w:t>
      </w:r>
      <w:r w:rsidR="00590442">
        <w:rPr>
          <w:rStyle w:val="LineNumber"/>
          <w:bCs/>
        </w:rPr>
        <w:t>test period customer</w:t>
      </w:r>
      <w:r w:rsidR="00DF046C">
        <w:rPr>
          <w:rStyle w:val="LineNumber"/>
          <w:bCs/>
        </w:rPr>
        <w:t>s and</w:t>
      </w:r>
      <w:r w:rsidR="00590442">
        <w:rPr>
          <w:rStyle w:val="LineNumber"/>
          <w:bCs/>
        </w:rPr>
        <w:t xml:space="preserve"> usage for any known and measurable </w:t>
      </w:r>
      <w:r>
        <w:rPr>
          <w:rStyle w:val="LineNumber"/>
          <w:bCs/>
        </w:rPr>
        <w:t xml:space="preserve">(pro forma) </w:t>
      </w:r>
      <w:r w:rsidR="00590442">
        <w:rPr>
          <w:rStyle w:val="LineNumber"/>
          <w:bCs/>
        </w:rPr>
        <w:t>changes</w:t>
      </w:r>
      <w:r>
        <w:rPr>
          <w:rStyle w:val="LineNumber"/>
          <w:bCs/>
        </w:rPr>
        <w:t xml:space="preserve">. </w:t>
      </w:r>
      <w:r w:rsidR="00CE43E9">
        <w:rPr>
          <w:rStyle w:val="LineNumber"/>
          <w:bCs/>
        </w:rPr>
        <w:t xml:space="preserve"> </w:t>
      </w:r>
      <w:r>
        <w:rPr>
          <w:rStyle w:val="LineNumber"/>
          <w:bCs/>
        </w:rPr>
        <w:t xml:space="preserve">The adjustment </w:t>
      </w:r>
      <w:r w:rsidR="00CE43E9">
        <w:rPr>
          <w:rStyle w:val="LineNumber"/>
          <w:bCs/>
        </w:rPr>
        <w:t>then</w:t>
      </w:r>
      <w:r w:rsidR="00590442">
        <w:rPr>
          <w:rStyle w:val="LineNumber"/>
          <w:bCs/>
        </w:rPr>
        <w:t xml:space="preserve"> re-prices billed, unbilled, and weather adjust</w:t>
      </w:r>
      <w:r w:rsidR="00AD3589">
        <w:rPr>
          <w:rStyle w:val="LineNumber"/>
          <w:bCs/>
        </w:rPr>
        <w:t>ed</w:t>
      </w:r>
      <w:r w:rsidR="00590442">
        <w:rPr>
          <w:rStyle w:val="LineNumber"/>
          <w:bCs/>
        </w:rPr>
        <w:t xml:space="preserve"> usage at the </w:t>
      </w:r>
      <w:r w:rsidR="00590442" w:rsidRPr="00AD3589">
        <w:rPr>
          <w:rStyle w:val="LineNumber"/>
          <w:bCs/>
        </w:rPr>
        <w:t>base tariff rates approved for 201</w:t>
      </w:r>
      <w:r>
        <w:rPr>
          <w:rStyle w:val="LineNumber"/>
          <w:bCs/>
        </w:rPr>
        <w:t>5</w:t>
      </w:r>
      <w:r w:rsidR="00A006CA">
        <w:rPr>
          <w:rStyle w:val="LineNumber"/>
          <w:bCs/>
        </w:rPr>
        <w:t xml:space="preserve"> as if the January 1, 201</w:t>
      </w:r>
      <w:r>
        <w:rPr>
          <w:rStyle w:val="LineNumber"/>
          <w:bCs/>
        </w:rPr>
        <w:t>5</w:t>
      </w:r>
      <w:r w:rsidR="00A006CA">
        <w:rPr>
          <w:rStyle w:val="LineNumber"/>
          <w:bCs/>
        </w:rPr>
        <w:t xml:space="preserve"> increase had been in effect for the full twelve months of the </w:t>
      </w:r>
      <w:r>
        <w:rPr>
          <w:rStyle w:val="LineNumber"/>
          <w:bCs/>
        </w:rPr>
        <w:t>test year</w:t>
      </w:r>
      <w:r w:rsidR="00590442">
        <w:rPr>
          <w:rStyle w:val="LineNumber"/>
          <w:bCs/>
        </w:rPr>
        <w:t xml:space="preserve">. </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BE672F">
        <w:rPr>
          <w:rStyle w:val="LineNumber"/>
          <w:b/>
          <w:bCs/>
        </w:rPr>
        <w:t xml:space="preserve"> in the Attrition Study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Pr>
          <w:rStyle w:val="LineNumber"/>
        </w:rPr>
        <w:t xml:space="preserve">twelve months ended </w:t>
      </w:r>
      <w:r w:rsidR="003A321C">
        <w:rPr>
          <w:rStyle w:val="LineNumber"/>
        </w:rPr>
        <w:t>September</w:t>
      </w:r>
      <w:r>
        <w:rPr>
          <w:rStyle w:val="LineNumber"/>
        </w:rPr>
        <w:t xml:space="preserve"> 201</w:t>
      </w:r>
      <w:r w:rsidR="003A321C">
        <w:rPr>
          <w:rStyle w:val="LineNumber"/>
        </w:rPr>
        <w:t>4</w:t>
      </w:r>
      <w:r w:rsidRPr="00BA18B1">
        <w:rPr>
          <w:rStyle w:val="LineNumber"/>
        </w:rPr>
        <w:t xml:space="preserve"> test period to the amount expected if weather had been normal.  This adjustment incorporates the effect of both heating and cooling on weather-sensitive customer groups.  The weather adjustment is developed from regression analysis of ten years of billed usage per customer and billing period heating and cooling degree-day data.  The resulting seasonal weather sensitivity factors </w:t>
      </w:r>
      <w:r>
        <w:rPr>
          <w:rStyle w:val="LineNumber"/>
        </w:rPr>
        <w:t xml:space="preserve">(use-per-customer-per-heating-degree day and use-per-customer-per-cooling-degree day) </w:t>
      </w:r>
      <w:r w:rsidRPr="00BA18B1">
        <w:rPr>
          <w:rStyle w:val="LineNumber"/>
        </w:rPr>
        <w:t xml:space="preserve">are applied to monthly test period customers </w:t>
      </w:r>
      <w:r w:rsidRPr="00BA18B1">
        <w:rPr>
          <w:rStyle w:val="LineNumber"/>
        </w:rPr>
        <w:lastRenderedPageBreak/>
        <w:t>and the difference between normal heating/cooling degree-days and monthly test period observed heating/cooling degree-days.</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Yes.  The factors used in the weather adjustment are based on regression analysis of monthly billed usage per customer from January 200</w:t>
      </w:r>
      <w:r w:rsidR="003A321C">
        <w:rPr>
          <w:rStyle w:val="LineNumber"/>
        </w:rPr>
        <w:t>4</w:t>
      </w:r>
      <w:r>
        <w:rPr>
          <w:rStyle w:val="LineNumber"/>
        </w:rPr>
        <w:t xml:space="preserve"> through December 201</w:t>
      </w:r>
      <w:r w:rsidR="003A321C">
        <w:rPr>
          <w:rStyle w:val="LineNumber"/>
        </w:rPr>
        <w:t>3</w:t>
      </w:r>
      <w:r>
        <w:rPr>
          <w:rStyle w:val="LineNumber"/>
        </w:rPr>
        <w:t xml:space="preserve">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w:t>
      </w:r>
      <w:r w:rsidR="003A321C">
        <w:rPr>
          <w:rStyle w:val="LineNumber"/>
        </w:rPr>
        <w:t>5</w:t>
      </w:r>
      <w:r>
        <w:rPr>
          <w:rStyle w:val="LineNumber"/>
        </w:rPr>
        <w:t xml:space="preserve"> through 201</w:t>
      </w:r>
      <w:r w:rsidR="003A321C">
        <w:rPr>
          <w:rStyle w:val="LineNumber"/>
        </w:rPr>
        <w:t>4</w:t>
      </w:r>
      <w:r>
        <w:rPr>
          <w:rStyle w:val="LineNumber"/>
        </w:rPr>
        <w:t>.</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The process for determining the weather sensitivity factors and the monthly adjustment calculation are consistent with the methodology presented in Docket No. UE-1</w:t>
      </w:r>
      <w:r w:rsidR="007F709D">
        <w:rPr>
          <w:rStyle w:val="LineNumber"/>
        </w:rPr>
        <w:t>40188</w:t>
      </w:r>
      <w:r>
        <w:rPr>
          <w:rStyle w:val="LineNumber"/>
        </w:rPr>
        <w:t xml:space="preserve">.  This methodology has been used in every case </w:t>
      </w:r>
      <w:r w:rsidR="00C66D83">
        <w:rPr>
          <w:rStyle w:val="LineNumber"/>
        </w:rPr>
        <w:t xml:space="preserve">and Commission Basis Report </w:t>
      </w:r>
      <w:r>
        <w:rPr>
          <w:rStyle w:val="LineNumber"/>
        </w:rPr>
        <w:t>since it was introduced in Docket No. UE-070804.</w:t>
      </w:r>
    </w:p>
    <w:p w:rsidR="00744FF5" w:rsidRPr="00BA18B1" w:rsidRDefault="00744FF5" w:rsidP="00744FF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 xml:space="preserve">What was the </w:t>
      </w:r>
      <w:r>
        <w:rPr>
          <w:rStyle w:val="LineNumber"/>
          <w:b/>
          <w:bCs/>
        </w:rPr>
        <w:t>change in kWhs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Pr>
          <w:rStyle w:val="LineNumber"/>
          <w:b/>
          <w:bCs/>
        </w:rPr>
        <w:t xml:space="preserve">twelve months ended </w:t>
      </w:r>
      <w:r w:rsidR="007F709D">
        <w:rPr>
          <w:rStyle w:val="LineNumber"/>
          <w:b/>
          <w:bCs/>
        </w:rPr>
        <w:t>September 2014</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D34D9E">
        <w:rPr>
          <w:rStyle w:val="LineNumber"/>
        </w:rPr>
        <w:t xml:space="preserve">Weather was </w:t>
      </w:r>
      <w:r w:rsidR="007F709D">
        <w:rPr>
          <w:rStyle w:val="LineNumber"/>
        </w:rPr>
        <w:t>colder</w:t>
      </w:r>
      <w:r>
        <w:rPr>
          <w:rStyle w:val="LineNumber"/>
        </w:rPr>
        <w:t xml:space="preserve"> than normal</w:t>
      </w:r>
      <w:r w:rsidRPr="00D34D9E">
        <w:rPr>
          <w:rStyle w:val="LineNumber"/>
        </w:rPr>
        <w:t xml:space="preserve"> </w:t>
      </w:r>
      <w:r w:rsidR="007F709D">
        <w:rPr>
          <w:rStyle w:val="LineNumber"/>
        </w:rPr>
        <w:t>during the 4</w:t>
      </w:r>
      <w:r w:rsidR="007F709D" w:rsidRPr="007F709D">
        <w:rPr>
          <w:rStyle w:val="LineNumber"/>
          <w:vertAlign w:val="superscript"/>
        </w:rPr>
        <w:t>th</w:t>
      </w:r>
      <w:r w:rsidR="007F709D">
        <w:rPr>
          <w:rStyle w:val="LineNumber"/>
        </w:rPr>
        <w:t xml:space="preserve"> quarter of 2013</w:t>
      </w:r>
      <w:r w:rsidR="002E22C9">
        <w:rPr>
          <w:rStyle w:val="LineNumber"/>
        </w:rPr>
        <w:t>,</w:t>
      </w:r>
      <w:r w:rsidR="007F709D">
        <w:rPr>
          <w:rStyle w:val="LineNumber"/>
        </w:rPr>
        <w:t xml:space="preserve"> and February of 2014</w:t>
      </w:r>
      <w:r w:rsidR="00122940">
        <w:rPr>
          <w:rStyle w:val="LineNumber"/>
        </w:rPr>
        <w:t xml:space="preserve"> was extraordinarily cold</w:t>
      </w:r>
      <w:r>
        <w:rPr>
          <w:rStyle w:val="LineNumber"/>
        </w:rPr>
        <w:t xml:space="preserve">. </w:t>
      </w:r>
      <w:r w:rsidR="00122940">
        <w:rPr>
          <w:rStyle w:val="LineNumber"/>
        </w:rPr>
        <w:t>The spring and summer months were warmer than normal, especially July and August.</w:t>
      </w:r>
      <w:r>
        <w:rPr>
          <w:rStyle w:val="LineNumber"/>
        </w:rPr>
        <w:t xml:space="preserve"> </w:t>
      </w:r>
      <w:r w:rsidR="00122940">
        <w:rPr>
          <w:rStyle w:val="LineNumber"/>
        </w:rPr>
        <w:t xml:space="preserve"> </w:t>
      </w:r>
      <w:r>
        <w:rPr>
          <w:rStyle w:val="LineNumber"/>
        </w:rPr>
        <w:t xml:space="preserve">Since electric usage is impacted by both heating and cooling, weather normalization </w:t>
      </w:r>
      <w:r w:rsidR="00122940">
        <w:rPr>
          <w:rStyle w:val="LineNumber"/>
        </w:rPr>
        <w:t xml:space="preserve">required </w:t>
      </w:r>
      <w:r w:rsidR="00BF03C9">
        <w:rPr>
          <w:rStyle w:val="LineNumber"/>
        </w:rPr>
        <w:t xml:space="preserve">a </w:t>
      </w:r>
      <w:r w:rsidR="00122940">
        <w:rPr>
          <w:rStyle w:val="LineNumber"/>
        </w:rPr>
        <w:t xml:space="preserve">reduction to usage for cold weather during the winter (partially offset by the warm spring) and </w:t>
      </w:r>
      <w:r w:rsidR="00BF03C9">
        <w:rPr>
          <w:rStyle w:val="LineNumber"/>
        </w:rPr>
        <w:t xml:space="preserve">a </w:t>
      </w:r>
      <w:r w:rsidR="00122940">
        <w:rPr>
          <w:rStyle w:val="LineNumber"/>
        </w:rPr>
        <w:t>further reduction to usage for the hot summer</w:t>
      </w:r>
      <w:r>
        <w:rPr>
          <w:rStyle w:val="LineNumber"/>
        </w:rPr>
        <w:t xml:space="preserve">.  </w:t>
      </w:r>
      <w:r w:rsidRPr="00D34D9E">
        <w:rPr>
          <w:rStyle w:val="LineNumber"/>
        </w:rPr>
        <w:t xml:space="preserve">Overall, the adjustment to normal required the </w:t>
      </w:r>
      <w:r w:rsidR="00122940">
        <w:rPr>
          <w:rStyle w:val="LineNumber"/>
        </w:rPr>
        <w:t>deduction</w:t>
      </w:r>
      <w:r w:rsidRPr="00D34D9E">
        <w:rPr>
          <w:rStyle w:val="LineNumber"/>
        </w:rPr>
        <w:t xml:space="preserve"> of </w:t>
      </w:r>
      <w:r w:rsidR="00122940">
        <w:rPr>
          <w:rStyle w:val="LineNumber"/>
        </w:rPr>
        <w:t>107</w:t>
      </w:r>
      <w:r w:rsidRPr="00D34D9E">
        <w:rPr>
          <w:rStyle w:val="LineNumber"/>
        </w:rPr>
        <w:t xml:space="preserve"> heating degree-days d</w:t>
      </w:r>
      <w:r w:rsidRPr="00313777">
        <w:rPr>
          <w:rStyle w:val="LineNumber"/>
        </w:rPr>
        <w:t>uring the heating season</w:t>
      </w:r>
      <w:r w:rsidRPr="00313777">
        <w:rPr>
          <w:rStyle w:val="FootnoteReference"/>
        </w:rPr>
        <w:footnoteReference w:id="1"/>
      </w:r>
      <w:r w:rsidRPr="00313777">
        <w:rPr>
          <w:rStyle w:val="LineNumber"/>
        </w:rPr>
        <w:t xml:space="preserve"> and the </w:t>
      </w:r>
      <w:r>
        <w:rPr>
          <w:rStyle w:val="LineNumber"/>
        </w:rPr>
        <w:t>deducti</w:t>
      </w:r>
      <w:r w:rsidRPr="00313777">
        <w:rPr>
          <w:rStyle w:val="LineNumber"/>
        </w:rPr>
        <w:t xml:space="preserve">on of </w:t>
      </w:r>
      <w:r>
        <w:rPr>
          <w:rStyle w:val="LineNumber"/>
        </w:rPr>
        <w:t>1</w:t>
      </w:r>
      <w:r w:rsidR="00BF03C9">
        <w:rPr>
          <w:rStyle w:val="LineNumber"/>
        </w:rPr>
        <w:t>99</w:t>
      </w:r>
      <w:r w:rsidRPr="00313777">
        <w:rPr>
          <w:rStyle w:val="LineNumber"/>
        </w:rPr>
        <w:t xml:space="preserve"> cooling degree-days during the summer season</w:t>
      </w:r>
      <w:r w:rsidRPr="00313777">
        <w:rPr>
          <w:rStyle w:val="FootnoteReference"/>
        </w:rPr>
        <w:footnoteReference w:id="2"/>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 xml:space="preserve">sales volumes was a reduction of </w:t>
      </w:r>
      <w:r w:rsidR="00BF03C9">
        <w:rPr>
          <w:rStyle w:val="LineNumber"/>
        </w:rPr>
        <w:t>80</w:t>
      </w:r>
      <w:r w:rsidRPr="00313777">
        <w:rPr>
          <w:rStyle w:val="LineNumber"/>
        </w:rPr>
        <w:t>,</w:t>
      </w:r>
      <w:r w:rsidR="00BF03C9">
        <w:rPr>
          <w:rStyle w:val="LineNumber"/>
        </w:rPr>
        <w:t>043</w:t>
      </w:r>
      <w:r w:rsidRPr="00313777">
        <w:rPr>
          <w:rStyle w:val="LineNumber"/>
        </w:rPr>
        <w:t>,</w:t>
      </w:r>
      <w:r w:rsidR="00BF03C9">
        <w:rPr>
          <w:rStyle w:val="LineNumber"/>
        </w:rPr>
        <w:t>211</w:t>
      </w:r>
      <w:r w:rsidRPr="00313777">
        <w:rPr>
          <w:rStyle w:val="LineNumber"/>
        </w:rPr>
        <w:t xml:space="preserve"> kWhs</w:t>
      </w:r>
      <w:r w:rsidR="00CE43E9">
        <w:rPr>
          <w:rStyle w:val="LineNumber"/>
        </w:rPr>
        <w:t>,</w:t>
      </w:r>
      <w:r w:rsidRPr="00313777">
        <w:rPr>
          <w:rStyle w:val="LineNumber"/>
        </w:rPr>
        <w:t xml:space="preserve"> which is approximately </w:t>
      </w:r>
      <w:r w:rsidR="00BF03C9">
        <w:rPr>
          <w:rStyle w:val="LineNumber"/>
        </w:rPr>
        <w:t>1</w:t>
      </w:r>
      <w:r w:rsidRPr="00313777">
        <w:rPr>
          <w:rStyle w:val="LineNumber"/>
        </w:rPr>
        <w:t>.</w:t>
      </w:r>
      <w:r w:rsidR="00BF03C9">
        <w:rPr>
          <w:rStyle w:val="LineNumber"/>
        </w:rPr>
        <w:t>4</w:t>
      </w:r>
      <w:r w:rsidRPr="00313777">
        <w:rPr>
          <w:rStyle w:val="LineNumber"/>
        </w:rPr>
        <w:t>%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What was the impact of this adjustment on Commission Basis results of operations?</w:t>
      </w:r>
    </w:p>
    <w:p w:rsidR="00744FF5" w:rsidRDefault="00744FF5">
      <w:pPr>
        <w:pStyle w:val="BodyText2"/>
        <w:tabs>
          <w:tab w:val="left" w:pos="1440"/>
        </w:tabs>
        <w:ind w:firstLine="720"/>
        <w:rPr>
          <w:rStyle w:val="LineNumber"/>
          <w:bCs/>
        </w:rPr>
      </w:pPr>
      <w:r>
        <w:rPr>
          <w:rStyle w:val="LineNumber"/>
          <w:bCs/>
        </w:rPr>
        <w:t>A.</w:t>
      </w:r>
      <w:r>
        <w:rPr>
          <w:rStyle w:val="LineNumber"/>
          <w:bCs/>
        </w:rPr>
        <w:tab/>
        <w:t>The Commission Basis weather normalization adjustment reduced revenues by $</w:t>
      </w:r>
      <w:r w:rsidR="00BF03C9">
        <w:rPr>
          <w:rStyle w:val="LineNumber"/>
          <w:bCs/>
        </w:rPr>
        <w:t>7</w:t>
      </w:r>
      <w:r>
        <w:rPr>
          <w:rStyle w:val="LineNumber"/>
          <w:bCs/>
        </w:rPr>
        <w:t>,</w:t>
      </w:r>
      <w:r w:rsidR="00BF03C9">
        <w:rPr>
          <w:rStyle w:val="LineNumber"/>
          <w:bCs/>
        </w:rPr>
        <w:t>056,</w:t>
      </w:r>
      <w:r>
        <w:rPr>
          <w:rStyle w:val="LineNumber"/>
          <w:bCs/>
        </w:rPr>
        <w:t>000 and</w:t>
      </w:r>
      <w:r w:rsidR="00CE43E9">
        <w:rPr>
          <w:rStyle w:val="LineNumber"/>
          <w:bCs/>
        </w:rPr>
        <w:t>,</w:t>
      </w:r>
      <w:r>
        <w:rPr>
          <w:rStyle w:val="LineNumber"/>
          <w:bCs/>
        </w:rPr>
        <w:t xml:space="preserve"> after revenue</w:t>
      </w:r>
      <w:r w:rsidR="00CE43E9">
        <w:rPr>
          <w:rStyle w:val="LineNumber"/>
          <w:bCs/>
        </w:rPr>
        <w:t>-</w:t>
      </w:r>
      <w:r>
        <w:rPr>
          <w:rStyle w:val="LineNumber"/>
          <w:bCs/>
        </w:rPr>
        <w:t>related expenses and taxes</w:t>
      </w:r>
      <w:r w:rsidR="00CE43E9">
        <w:rPr>
          <w:rStyle w:val="LineNumber"/>
          <w:bCs/>
        </w:rPr>
        <w:t>,</w:t>
      </w:r>
      <w:r>
        <w:rPr>
          <w:rStyle w:val="LineNumber"/>
          <w:bCs/>
        </w:rPr>
        <w:t xml:space="preserve"> produced a </w:t>
      </w:r>
      <w:r w:rsidR="001A6E39">
        <w:rPr>
          <w:rStyle w:val="LineNumber"/>
          <w:bCs/>
        </w:rPr>
        <w:t>de</w:t>
      </w:r>
      <w:r>
        <w:rPr>
          <w:rStyle w:val="LineNumber"/>
          <w:bCs/>
        </w:rPr>
        <w:t>crease</w:t>
      </w:r>
      <w:r w:rsidR="001A6E39">
        <w:rPr>
          <w:rStyle w:val="LineNumber"/>
          <w:bCs/>
        </w:rPr>
        <w:t xml:space="preserve"> to net income of $</w:t>
      </w:r>
      <w:r w:rsidR="00BF03C9">
        <w:rPr>
          <w:rStyle w:val="LineNumber"/>
          <w:bCs/>
        </w:rPr>
        <w:t>4,375,</w:t>
      </w:r>
      <w:r w:rsidR="001A6E39">
        <w:rPr>
          <w:rStyle w:val="LineNumber"/>
          <w:bCs/>
        </w:rPr>
        <w:t xml:space="preserve">000.  The </w:t>
      </w:r>
      <w:r w:rsidR="00C66D83">
        <w:rPr>
          <w:rStyle w:val="LineNumber"/>
          <w:bCs/>
        </w:rPr>
        <w:t xml:space="preserve">electric system </w:t>
      </w:r>
      <w:r w:rsidR="001A6E39">
        <w:rPr>
          <w:rStyle w:val="LineNumber"/>
          <w:bCs/>
        </w:rPr>
        <w:t xml:space="preserve">monthly weather adjustment volumes were provided to </w:t>
      </w:r>
      <w:r w:rsidR="00C66D83">
        <w:rPr>
          <w:rStyle w:val="LineNumber"/>
          <w:bCs/>
        </w:rPr>
        <w:t xml:space="preserve">Company witness </w:t>
      </w:r>
      <w:r w:rsidR="001A6E39">
        <w:rPr>
          <w:rStyle w:val="LineNumber"/>
          <w:bCs/>
        </w:rPr>
        <w:t>Mr. Johnson as an input to the Commission Basis Power Supply analysis.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adjustment in the Attrition Study.  What is the purpose of th</w:t>
      </w:r>
      <w:r w:rsidR="00DF046C">
        <w:rPr>
          <w:rStyle w:val="LineNumber"/>
          <w:b/>
          <w:bCs/>
        </w:rPr>
        <w:t xml:space="preserve">e </w:t>
      </w:r>
      <w:r w:rsidR="00BF03C9">
        <w:rPr>
          <w:rStyle w:val="LineNumber"/>
          <w:b/>
          <w:bCs/>
        </w:rPr>
        <w:t>Eliminate Adder Schedules</w:t>
      </w:r>
      <w:r>
        <w:rPr>
          <w:rStyle w:val="LineNumber"/>
          <w:b/>
          <w:bCs/>
        </w:rPr>
        <w:t xml:space="preserve"> adjustment?</w:t>
      </w:r>
    </w:p>
    <w:p w:rsidR="00BF03C9" w:rsidRDefault="00DF046C">
      <w:pPr>
        <w:pStyle w:val="BodyText2"/>
        <w:tabs>
          <w:tab w:val="left" w:pos="1440"/>
        </w:tabs>
        <w:ind w:firstLine="720"/>
        <w:rPr>
          <w:rStyle w:val="LineNumber"/>
          <w:bCs/>
        </w:rPr>
      </w:pPr>
      <w:r>
        <w:rPr>
          <w:rStyle w:val="LineNumber"/>
          <w:bCs/>
        </w:rPr>
        <w:lastRenderedPageBreak/>
        <w:t>A.</w:t>
      </w:r>
      <w:r>
        <w:rPr>
          <w:rStyle w:val="LineNumber"/>
          <w:bCs/>
        </w:rPr>
        <w:tab/>
      </w:r>
      <w:r w:rsidR="00BB5EC7">
        <w:rPr>
          <w:rStyle w:val="LineNumber"/>
          <w:bCs/>
        </w:rPr>
        <w:t xml:space="preserve">The </w:t>
      </w:r>
      <w:r w:rsidR="00BF03C9">
        <w:rPr>
          <w:rStyle w:val="LineNumber"/>
          <w:bCs/>
        </w:rPr>
        <w:t>Eliminate Adder Schedules</w:t>
      </w:r>
      <w:r w:rsidR="00BB5EC7">
        <w:rPr>
          <w:rStyle w:val="LineNumber"/>
          <w:bCs/>
        </w:rPr>
        <w:t xml:space="preserve"> </w:t>
      </w:r>
      <w:r w:rsidR="00953713">
        <w:rPr>
          <w:rStyle w:val="LineNumber"/>
          <w:bCs/>
        </w:rPr>
        <w:t xml:space="preserve">adjustment removes both the revenues and expenses associated with all adder schedule rates not accounted for in other adjustments.  These items are recovered/rebated by separate tariffs and therefore are not part of base rates.  The items eliminated </w:t>
      </w:r>
      <w:r w:rsidR="002E22C9">
        <w:rPr>
          <w:rStyle w:val="LineNumber"/>
          <w:bCs/>
        </w:rPr>
        <w:t xml:space="preserve">from the test year </w:t>
      </w:r>
      <w:r w:rsidR="00953713">
        <w:rPr>
          <w:rStyle w:val="LineNumber"/>
          <w:bCs/>
        </w:rPr>
        <w:t xml:space="preserve">include:  </w:t>
      </w:r>
      <w:r w:rsidR="00505264">
        <w:rPr>
          <w:rStyle w:val="LineNumber"/>
          <w:bCs/>
        </w:rPr>
        <w:t xml:space="preserve">Schedule 59 Residential Exchange credit, Schedule 91 Demand Side Management rate adjustment, Schedule 92, Low Income Rate Assistance </w:t>
      </w:r>
      <w:r w:rsidR="001665D9">
        <w:rPr>
          <w:rStyle w:val="LineNumber"/>
          <w:bCs/>
        </w:rPr>
        <w:t xml:space="preserve">Program </w:t>
      </w:r>
      <w:r w:rsidR="00505264">
        <w:rPr>
          <w:rStyle w:val="LineNumber"/>
          <w:bCs/>
        </w:rPr>
        <w:t xml:space="preserve">rate adjustment, the unbilled portion of Schedule 93 Energy Recovery Mechanism rate adjustment, Schedule 94 BPA Capacity Support rebate, and Schedule 95 </w:t>
      </w:r>
      <w:r w:rsidR="006D61A3">
        <w:rPr>
          <w:rStyle w:val="LineNumber"/>
          <w:bCs/>
        </w:rPr>
        <w:t>Optional Renewable Power rate.</w:t>
      </w:r>
    </w:p>
    <w:p w:rsidR="006D61A3" w:rsidRPr="006D61A3" w:rsidRDefault="006D61A3">
      <w:pPr>
        <w:pStyle w:val="BodyText2"/>
        <w:tabs>
          <w:tab w:val="left" w:pos="1440"/>
        </w:tabs>
        <w:ind w:firstLine="720"/>
        <w:rPr>
          <w:rStyle w:val="LineNumber"/>
          <w:b/>
          <w:bCs/>
        </w:rPr>
      </w:pPr>
      <w:r w:rsidRPr="006D61A3">
        <w:rPr>
          <w:rStyle w:val="LineNumber"/>
          <w:b/>
          <w:bCs/>
        </w:rPr>
        <w:t>Q.</w:t>
      </w:r>
      <w:r w:rsidRPr="006D61A3">
        <w:rPr>
          <w:rStyle w:val="LineNumber"/>
          <w:b/>
          <w:bCs/>
        </w:rPr>
        <w:tab/>
        <w:t>What was the impact of the Eliminate Adder Schedule adjustment on Commission Basis results of operations?</w:t>
      </w:r>
    </w:p>
    <w:p w:rsidR="006D61A3" w:rsidRDefault="006D61A3" w:rsidP="006D61A3">
      <w:pPr>
        <w:pStyle w:val="BodyText2"/>
        <w:tabs>
          <w:tab w:val="left" w:pos="1440"/>
        </w:tabs>
        <w:ind w:firstLine="720"/>
        <w:rPr>
          <w:rStyle w:val="LineNumber"/>
          <w:bCs/>
        </w:rPr>
      </w:pPr>
      <w:r>
        <w:rPr>
          <w:rStyle w:val="LineNumber"/>
          <w:bCs/>
        </w:rPr>
        <w:t>A.</w:t>
      </w:r>
      <w:r>
        <w:rPr>
          <w:rStyle w:val="LineNumber"/>
          <w:bCs/>
        </w:rPr>
        <w:tab/>
        <w:t xml:space="preserve">The Commission Basis Eliminate Adder Schedule adjustment results in an equal and offsetting reduction to both revenue and expense and has no impact on net income.  The billed portion of Schedule 93 is eliminated in the Eliminate WA Power Cost Deferral adjustment 2.13 and Schedule 58 Municipal Tax Adjustment is eliminated in the Eliminate B&amp;O Taxes adjustment 2.01.  After these adjustments the Commission Basis Restated Total General Business revenue represents weather normalized </w:t>
      </w:r>
      <w:r w:rsidRPr="006D61A3">
        <w:rPr>
          <w:rStyle w:val="LineNumber"/>
          <w:bCs/>
          <w:u w:val="single"/>
        </w:rPr>
        <w:t>base</w:t>
      </w:r>
      <w:r>
        <w:rPr>
          <w:rStyle w:val="LineNumber"/>
          <w:bCs/>
        </w:rPr>
        <w:t xml:space="preserve"> rate revenue received during the 12 months ended September 30, 2014 test period.</w:t>
      </w:r>
    </w:p>
    <w:p w:rsidR="000D1E78" w:rsidRPr="00313777" w:rsidRDefault="000D1E78" w:rsidP="000D1E78">
      <w:pPr>
        <w:pStyle w:val="BodyText2"/>
        <w:tabs>
          <w:tab w:val="left" w:pos="1440"/>
        </w:tabs>
        <w:ind w:firstLine="720"/>
        <w:rPr>
          <w:rStyle w:val="LineNumber"/>
          <w:b/>
          <w:bCs/>
        </w:rPr>
      </w:pPr>
      <w:r w:rsidRPr="00313777">
        <w:rPr>
          <w:rStyle w:val="LineNumber"/>
          <w:b/>
          <w:bCs/>
        </w:rPr>
        <w:t>Q.</w:t>
      </w:r>
      <w:r w:rsidRPr="00313777">
        <w:rPr>
          <w:rStyle w:val="LineNumber"/>
          <w:b/>
          <w:bCs/>
        </w:rPr>
        <w:tab/>
      </w:r>
      <w:r>
        <w:rPr>
          <w:rStyle w:val="LineNumber"/>
          <w:b/>
          <w:bCs/>
        </w:rPr>
        <w:t>Please describe the</w:t>
      </w:r>
      <w:r w:rsidRPr="00313777">
        <w:rPr>
          <w:rStyle w:val="LineNumber"/>
          <w:b/>
          <w:bCs/>
        </w:rPr>
        <w:t xml:space="preserve"> </w:t>
      </w:r>
      <w:r w:rsidRPr="00BB3FC3">
        <w:rPr>
          <w:rStyle w:val="LineNumber"/>
          <w:b/>
          <w:bCs/>
          <w:u w:val="single"/>
        </w:rPr>
        <w:t>third revenue normalizing</w:t>
      </w:r>
      <w:r w:rsidRPr="00313777">
        <w:rPr>
          <w:rStyle w:val="LineNumber"/>
          <w:b/>
          <w:bCs/>
        </w:rPr>
        <w:t xml:space="preserve"> adjustment</w:t>
      </w:r>
      <w:r>
        <w:rPr>
          <w:rStyle w:val="LineNumber"/>
          <w:b/>
          <w:bCs/>
        </w:rPr>
        <w:t xml:space="preserve"> in the Attrition Study.  What is the purpose of the Pro Forma Revenue Normalization adjustment?</w:t>
      </w:r>
    </w:p>
    <w:p w:rsidR="00057770" w:rsidRDefault="001665D9">
      <w:pPr>
        <w:pStyle w:val="BodyText2"/>
        <w:tabs>
          <w:tab w:val="left" w:pos="1440"/>
        </w:tabs>
        <w:ind w:firstLine="720"/>
        <w:rPr>
          <w:rStyle w:val="LineNumber"/>
          <w:bCs/>
        </w:rPr>
      </w:pPr>
      <w:r>
        <w:rPr>
          <w:rStyle w:val="LineNumber"/>
          <w:bCs/>
        </w:rPr>
        <w:t>A.</w:t>
      </w:r>
      <w:r>
        <w:rPr>
          <w:rStyle w:val="LineNumber"/>
          <w:bCs/>
        </w:rPr>
        <w:tab/>
      </w:r>
      <w:r w:rsidR="000D1E78">
        <w:rPr>
          <w:rStyle w:val="LineNumber"/>
          <w:bCs/>
        </w:rPr>
        <w:t xml:space="preserve">The purpose of the </w:t>
      </w:r>
      <w:r w:rsidR="00E60CE1">
        <w:rPr>
          <w:rStyle w:val="LineNumber"/>
          <w:bCs/>
        </w:rPr>
        <w:t xml:space="preserve">Pro Forma Revenue Normalization </w:t>
      </w:r>
      <w:r w:rsidR="00BB5EC7">
        <w:rPr>
          <w:rStyle w:val="LineNumber"/>
          <w:bCs/>
        </w:rPr>
        <w:t>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w:t>
      </w:r>
      <w:r w:rsidR="000E1B5B">
        <w:rPr>
          <w:rStyle w:val="LineNumber"/>
          <w:bCs/>
        </w:rPr>
        <w:lastRenderedPageBreak/>
        <w:t>known and measurable changes to the test year loads and customers</w:t>
      </w:r>
      <w:r w:rsidR="00BB5EC7">
        <w:rPr>
          <w:rStyle w:val="LineNumber"/>
          <w:bCs/>
        </w:rPr>
        <w:t>)</w:t>
      </w:r>
      <w:r w:rsidR="00615CB1">
        <w:rPr>
          <w:rStyle w:val="LineNumber"/>
          <w:bCs/>
        </w:rPr>
        <w:t xml:space="preserve"> to reflect revenues for the </w:t>
      </w:r>
      <w:r w:rsidR="000D1E78">
        <w:rPr>
          <w:rStyle w:val="LineNumber"/>
          <w:bCs/>
        </w:rPr>
        <w:t>October</w:t>
      </w:r>
      <w:r w:rsidR="00615CB1">
        <w:rPr>
          <w:rStyle w:val="LineNumber"/>
          <w:bCs/>
        </w:rPr>
        <w:t xml:space="preserve"> 201</w:t>
      </w:r>
      <w:r w:rsidR="000D1E78">
        <w:rPr>
          <w:rStyle w:val="LineNumber"/>
          <w:bCs/>
        </w:rPr>
        <w:t>3</w:t>
      </w:r>
      <w:r w:rsidR="00615CB1">
        <w:rPr>
          <w:rStyle w:val="LineNumber"/>
          <w:bCs/>
        </w:rPr>
        <w:t xml:space="preserve"> through </w:t>
      </w:r>
      <w:r w:rsidR="000D1E78">
        <w:rPr>
          <w:rStyle w:val="LineNumber"/>
          <w:bCs/>
        </w:rPr>
        <w:t>September</w:t>
      </w:r>
      <w:r w:rsidR="00615CB1">
        <w:rPr>
          <w:rStyle w:val="LineNumber"/>
          <w:bCs/>
        </w:rPr>
        <w:t xml:space="preserve"> 201</w:t>
      </w:r>
      <w:r w:rsidR="000D1E78">
        <w:rPr>
          <w:rStyle w:val="LineNumber"/>
          <w:bCs/>
        </w:rPr>
        <w:t>4</w:t>
      </w:r>
      <w:r w:rsidR="00615CB1">
        <w:rPr>
          <w:rStyle w:val="LineNumber"/>
          <w:bCs/>
        </w:rPr>
        <w:t xml:space="preserve"> test period, as if the revenue increase</w:t>
      </w:r>
      <w:r w:rsidR="00DA59C2">
        <w:rPr>
          <w:rStyle w:val="LineNumber"/>
          <w:bCs/>
        </w:rPr>
        <w:t xml:space="preserve"> approved in Docket No. UE-140188</w:t>
      </w:r>
      <w:r w:rsidR="00615CB1">
        <w:rPr>
          <w:rStyle w:val="LineNumber"/>
          <w:bCs/>
        </w:rPr>
        <w:t xml:space="preserve"> effective January 1, 201</w:t>
      </w:r>
      <w:r w:rsidR="000D1E78">
        <w:rPr>
          <w:rStyle w:val="LineNumber"/>
          <w:bCs/>
        </w:rPr>
        <w:t>5</w:t>
      </w:r>
      <w:r w:rsidR="00615CB1">
        <w:rPr>
          <w:rStyle w:val="LineNumber"/>
          <w:bCs/>
        </w:rPr>
        <w:t xml:space="preserve"> had been in effect for the full twelve months of the test period</w:t>
      </w:r>
      <w:r w:rsidR="002538D0">
        <w:rPr>
          <w:rStyle w:val="LineNumber"/>
          <w:bCs/>
        </w:rPr>
        <w:t xml:space="preserve">.  </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 xml:space="preserve">What is the impact of the </w:t>
      </w:r>
      <w:r w:rsidR="000D1E78">
        <w:rPr>
          <w:rStyle w:val="LineNumber"/>
          <w:b/>
          <w:bCs/>
        </w:rPr>
        <w:t>Pro Forma</w:t>
      </w:r>
      <w:r w:rsidRPr="001B1AE3">
        <w:rPr>
          <w:rStyle w:val="LineNumber"/>
          <w:b/>
          <w:bCs/>
        </w:rPr>
        <w:t xml:space="preserve"> Revenue Normalization adjustment?</w:t>
      </w:r>
    </w:p>
    <w:p w:rsidR="006C0634" w:rsidRDefault="001B1AE3">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w:t>
      </w:r>
      <w:r w:rsidR="000D1E78">
        <w:rPr>
          <w:rStyle w:val="LineNumber"/>
          <w:bCs/>
        </w:rPr>
        <w:t xml:space="preserve">Pro Forma </w:t>
      </w:r>
      <w:r>
        <w:rPr>
          <w:rStyle w:val="LineNumber"/>
          <w:bCs/>
        </w:rPr>
        <w:t>Revenue N</w:t>
      </w:r>
      <w:r w:rsidR="00815443" w:rsidRPr="00BA18B1">
        <w:rPr>
          <w:rStyle w:val="LineNumber"/>
          <w:bCs/>
        </w:rPr>
        <w:t xml:space="preserve">ormalization adjustment </w:t>
      </w:r>
      <w:r w:rsidR="00E949C5">
        <w:rPr>
          <w:rStyle w:val="LineNumber"/>
          <w:bCs/>
        </w:rPr>
        <w:t>increase</w:t>
      </w:r>
      <w:r w:rsidR="007336D9">
        <w:rPr>
          <w:rStyle w:val="LineNumber"/>
          <w:bCs/>
        </w:rPr>
        <w:t>s</w:t>
      </w:r>
      <w:r w:rsidR="00E949C5">
        <w:rPr>
          <w:rStyle w:val="LineNumber"/>
          <w:bCs/>
        </w:rPr>
        <w:t xml:space="preserve"> revenue by $</w:t>
      </w:r>
      <w:r w:rsidR="000D1E78">
        <w:rPr>
          <w:rStyle w:val="LineNumber"/>
          <w:bCs/>
        </w:rPr>
        <w:t>16</w:t>
      </w:r>
      <w:r w:rsidR="00E949C5">
        <w:rPr>
          <w:rStyle w:val="LineNumber"/>
          <w:bCs/>
        </w:rPr>
        <w:t>,</w:t>
      </w:r>
      <w:r w:rsidR="000D1E78">
        <w:rPr>
          <w:rStyle w:val="LineNumber"/>
          <w:bCs/>
        </w:rPr>
        <w:t>361</w:t>
      </w:r>
      <w:r w:rsidR="00E949C5">
        <w:rPr>
          <w:rStyle w:val="LineNumber"/>
          <w:bCs/>
        </w:rPr>
        <w:t>,000 which</w:t>
      </w:r>
      <w:r w:rsidR="00CE43E9">
        <w:rPr>
          <w:rStyle w:val="LineNumber"/>
          <w:bCs/>
        </w:rPr>
        <w:t>,</w:t>
      </w:r>
      <w:r w:rsidR="00E949C5">
        <w:rPr>
          <w:rStyle w:val="LineNumber"/>
          <w:bCs/>
        </w:rPr>
        <w:t xml:space="preserve"> after 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increase</w:t>
      </w:r>
      <w:r w:rsidR="007336D9">
        <w:rPr>
          <w:rStyle w:val="LineNumber"/>
          <w:bCs/>
        </w:rPr>
        <w:t>s</w:t>
      </w:r>
      <w:r w:rsidR="00815443" w:rsidRPr="00BA18B1">
        <w:rPr>
          <w:rStyle w:val="LineNumber"/>
          <w:bCs/>
        </w:rPr>
        <w:t xml:space="preserve"> Washington net operating income</w:t>
      </w:r>
      <w:r w:rsidR="00CF7D9C">
        <w:rPr>
          <w:rStyle w:val="LineNumber"/>
          <w:bCs/>
        </w:rPr>
        <w:t xml:space="preserve"> </w:t>
      </w:r>
      <w:r w:rsidR="00815443" w:rsidRPr="00CF7D9C">
        <w:rPr>
          <w:rStyle w:val="LineNumber"/>
          <w:bCs/>
        </w:rPr>
        <w:t>$</w:t>
      </w:r>
      <w:r w:rsidR="000D1E78">
        <w:rPr>
          <w:rStyle w:val="LineNumber"/>
          <w:bCs/>
        </w:rPr>
        <w:t>10</w:t>
      </w:r>
      <w:r w:rsidR="00F562A8" w:rsidRPr="00CF7D9C">
        <w:rPr>
          <w:rStyle w:val="LineNumber"/>
          <w:bCs/>
        </w:rPr>
        <w:t>,</w:t>
      </w:r>
      <w:r w:rsidR="000D1E78">
        <w:rPr>
          <w:rStyle w:val="LineNumber"/>
          <w:bCs/>
        </w:rPr>
        <w:t>1</w:t>
      </w:r>
      <w:r w:rsidR="00CC0788">
        <w:rPr>
          <w:rStyle w:val="LineNumber"/>
          <w:bCs/>
        </w:rPr>
        <w:t>44</w:t>
      </w:r>
      <w:r w:rsidR="00815443" w:rsidRPr="00CF7D9C">
        <w:rPr>
          <w:rStyle w:val="LineNumber"/>
          <w:bCs/>
        </w:rPr>
        <w:t>,000</w:t>
      </w:r>
      <w:r w:rsidR="000F27F5" w:rsidRPr="00CF7D9C">
        <w:rPr>
          <w:rStyle w:val="LineNumber"/>
          <w:bCs/>
        </w:rPr>
        <w:t>,</w:t>
      </w:r>
      <w:r w:rsidR="00815443" w:rsidRPr="00BA18B1">
        <w:rPr>
          <w:rStyle w:val="LineNumber"/>
          <w:bCs/>
        </w:rPr>
        <w:t xml:space="preserve"> as shown in column </w:t>
      </w:r>
      <w:r w:rsidR="009862C0">
        <w:rPr>
          <w:rStyle w:val="LineNumber"/>
          <w:bCs/>
        </w:rPr>
        <w:t>[</w:t>
      </w:r>
      <w:r w:rsidR="00CF7D9C">
        <w:rPr>
          <w:rStyle w:val="LineNumber"/>
          <w:bCs/>
        </w:rPr>
        <w:t>D</w:t>
      </w:r>
      <w:r w:rsidR="009862C0">
        <w:rPr>
          <w:rStyle w:val="LineNumber"/>
          <w:bCs/>
        </w:rPr>
        <w:t>]</w:t>
      </w:r>
      <w:r w:rsidR="00815443" w:rsidRPr="00BA18B1">
        <w:rPr>
          <w:rStyle w:val="LineNumber"/>
          <w:bCs/>
        </w:rPr>
        <w:t xml:space="preserve"> on page</w:t>
      </w:r>
      <w:r w:rsidR="00CC0788">
        <w:rPr>
          <w:rStyle w:val="LineNumber"/>
          <w:bCs/>
        </w:rPr>
        <w:t xml:space="preserve">s </w:t>
      </w:r>
      <w:r w:rsidR="00494B5B">
        <w:rPr>
          <w:rStyle w:val="LineNumber"/>
          <w:bCs/>
        </w:rPr>
        <w:t>4</w:t>
      </w:r>
      <w:r w:rsidR="00CC0788">
        <w:rPr>
          <w:rStyle w:val="LineNumber"/>
          <w:bCs/>
        </w:rPr>
        <w:t xml:space="preserve"> and</w:t>
      </w:r>
      <w:r w:rsidR="00815443" w:rsidRPr="00BA18B1">
        <w:rPr>
          <w:rStyle w:val="LineNumber"/>
          <w:bCs/>
        </w:rPr>
        <w:t xml:space="preserve"> </w:t>
      </w:r>
      <w:r w:rsidR="00494B5B">
        <w:rPr>
          <w:rStyle w:val="LineNumber"/>
          <w:bCs/>
        </w:rPr>
        <w:t>5</w:t>
      </w:r>
      <w:r w:rsidR="00815443" w:rsidRPr="00BA18B1">
        <w:rPr>
          <w:rStyle w:val="LineNumber"/>
          <w:bCs/>
        </w:rPr>
        <w:t xml:space="preserve"> of Exhibit No.___(EMA-</w:t>
      </w:r>
      <w:r w:rsidR="00F56BB5">
        <w:rPr>
          <w:rStyle w:val="LineNumber"/>
          <w:bCs/>
        </w:rPr>
        <w:t>2</w:t>
      </w:r>
      <w:r w:rsidR="00815443" w:rsidRPr="00BA18B1">
        <w:rPr>
          <w:rStyle w:val="LineNumber"/>
          <w:bCs/>
        </w:rPr>
        <w:t xml:space="preserve">).  </w:t>
      </w:r>
    </w:p>
    <w:p w:rsidR="00F65F05" w:rsidRDefault="00F65F05" w:rsidP="00313777">
      <w:pPr>
        <w:pStyle w:val="BodyText2"/>
        <w:tabs>
          <w:tab w:val="left" w:pos="1440"/>
        </w:tabs>
        <w:ind w:firstLine="720"/>
        <w:rPr>
          <w:rStyle w:val="LineNumber"/>
          <w:b/>
          <w:bCs/>
        </w:rPr>
      </w:pPr>
      <w:r>
        <w:rPr>
          <w:rStyle w:val="LineNumber"/>
          <w:b/>
          <w:bCs/>
        </w:rPr>
        <w:t>Q.</w:t>
      </w:r>
      <w:r>
        <w:rPr>
          <w:rStyle w:val="LineNumber"/>
          <w:b/>
          <w:bCs/>
        </w:rPr>
        <w:tab/>
      </w:r>
      <w:r w:rsidR="001B1AE3">
        <w:rPr>
          <w:rStyle w:val="LineNumber"/>
          <w:b/>
          <w:bCs/>
        </w:rPr>
        <w:t xml:space="preserve">Are the same normalized restated revenues included in </w:t>
      </w:r>
      <w:r w:rsidR="000D1E78">
        <w:rPr>
          <w:rStyle w:val="LineNumber"/>
          <w:b/>
          <w:bCs/>
        </w:rPr>
        <w:t xml:space="preserve">Company witness </w:t>
      </w:r>
      <w:r w:rsidR="001B1AE3">
        <w:rPr>
          <w:rStyle w:val="LineNumber"/>
          <w:b/>
          <w:bCs/>
        </w:rPr>
        <w:t xml:space="preserve">Ms. </w:t>
      </w:r>
      <w:r w:rsidR="000D1E78">
        <w:rPr>
          <w:rStyle w:val="LineNumber"/>
          <w:b/>
          <w:bCs/>
        </w:rPr>
        <w:t>Smith</w:t>
      </w:r>
      <w:r w:rsidR="00667494">
        <w:rPr>
          <w:rStyle w:val="LineNumber"/>
          <w:b/>
          <w:bCs/>
        </w:rPr>
        <w:t>’</w:t>
      </w:r>
      <w:r w:rsidR="000D1E78">
        <w:rPr>
          <w:rStyle w:val="LineNumber"/>
          <w:b/>
          <w:bCs/>
        </w:rPr>
        <w:t>s</w:t>
      </w:r>
      <w:r w:rsidR="001B1AE3" w:rsidRPr="006175A9">
        <w:rPr>
          <w:rStyle w:val="LineNumber"/>
          <w:b/>
          <w:bCs/>
        </w:rPr>
        <w:t xml:space="preserve"> Pro Forma Cross Check Study</w:t>
      </w:r>
      <w:r w:rsidR="001265AA" w:rsidRPr="006175A9">
        <w:rPr>
          <w:rStyle w:val="LineNumber"/>
          <w:b/>
          <w:bCs/>
        </w:rPr>
        <w:t xml:space="preserve"> </w:t>
      </w:r>
      <w:r w:rsidR="001265AA">
        <w:rPr>
          <w:rStyle w:val="LineNumber"/>
          <w:b/>
          <w:bCs/>
        </w:rPr>
        <w:t>shown as Exhibit No.___(</w:t>
      </w:r>
      <w:r w:rsidR="000D1E78">
        <w:rPr>
          <w:rStyle w:val="LineNumber"/>
          <w:b/>
          <w:bCs/>
        </w:rPr>
        <w:t>JSS</w:t>
      </w:r>
      <w:r w:rsidR="001265AA">
        <w:rPr>
          <w:rStyle w:val="LineNumber"/>
          <w:b/>
          <w:bCs/>
        </w:rPr>
        <w:t>-</w:t>
      </w:r>
      <w:r w:rsidR="000D1E78">
        <w:rPr>
          <w:rStyle w:val="LineNumber"/>
          <w:b/>
          <w:bCs/>
        </w:rPr>
        <w:t>2</w:t>
      </w:r>
      <w:r w:rsidR="001265AA">
        <w:rPr>
          <w:rStyle w:val="LineNumber"/>
          <w:b/>
          <w:bCs/>
        </w:rPr>
        <w:t>)</w:t>
      </w:r>
      <w:r w:rsidRPr="00BA18B1">
        <w:rPr>
          <w:rStyle w:val="LineNumber"/>
          <w:b/>
          <w:bCs/>
        </w:rPr>
        <w:t>?</w:t>
      </w:r>
    </w:p>
    <w:p w:rsidR="00F65F05" w:rsidRDefault="00F65F05" w:rsidP="00313777">
      <w:pPr>
        <w:pStyle w:val="BodyText2"/>
        <w:tabs>
          <w:tab w:val="left" w:pos="1440"/>
        </w:tabs>
        <w:ind w:firstLine="720"/>
        <w:rPr>
          <w:rStyle w:val="LineNumber"/>
          <w:bCs/>
        </w:rPr>
      </w:pPr>
      <w:r>
        <w:rPr>
          <w:rStyle w:val="LineNumber"/>
          <w:bCs/>
        </w:rPr>
        <w:t>A.</w:t>
      </w:r>
      <w:r>
        <w:rPr>
          <w:rStyle w:val="LineNumber"/>
          <w:bCs/>
        </w:rPr>
        <w:tab/>
      </w:r>
      <w:r w:rsidRPr="00BA18B1">
        <w:rPr>
          <w:rStyle w:val="LineNumber"/>
          <w:bCs/>
        </w:rPr>
        <w:t xml:space="preserve">Yes.  </w:t>
      </w:r>
      <w:r w:rsidR="00E326DE">
        <w:rPr>
          <w:rStyle w:val="LineNumber"/>
          <w:bCs/>
        </w:rPr>
        <w:t xml:space="preserve">The Weather Normalization adjustment is shown as adjustment 2.10 and the Eliminate Adder Schedule adjustment is shown as adjustment 2.11 on page </w:t>
      </w:r>
      <w:r w:rsidR="00DA59C2">
        <w:rPr>
          <w:rStyle w:val="LineNumber"/>
          <w:bCs/>
        </w:rPr>
        <w:t>6 of Exhibit No.___(JSS-2).  The Pro Forma Revenue Normalization adjustment is shown as adjustment 3.06 on page 9 of Exhibit No.___(JSS-2).</w:t>
      </w:r>
    </w:p>
    <w:p w:rsidR="00E326DE" w:rsidRDefault="00E326DE" w:rsidP="00313777">
      <w:pPr>
        <w:pStyle w:val="BodyText2"/>
        <w:tabs>
          <w:tab w:val="left" w:pos="1440"/>
        </w:tabs>
        <w:ind w:firstLine="720"/>
        <w:rPr>
          <w:rStyle w:val="LineNumber"/>
          <w:b/>
          <w:bCs/>
        </w:rPr>
      </w:pPr>
    </w:p>
    <w:p w:rsidR="0045522A" w:rsidRPr="00BA18B1" w:rsidRDefault="0014724A">
      <w:pPr>
        <w:pStyle w:val="Heading5"/>
        <w:rPr>
          <w:rStyle w:val="PageNumber"/>
          <w:u w:val="single"/>
        </w:rPr>
      </w:pPr>
      <w:r w:rsidRPr="00BA18B1">
        <w:rPr>
          <w:rStyle w:val="PageNumber"/>
          <w:u w:val="single"/>
        </w:rPr>
        <w:t>I</w:t>
      </w:r>
      <w:r w:rsidR="00DA59C2">
        <w:rPr>
          <w:rStyle w:val="PageNumber"/>
          <w:u w:val="single"/>
        </w:rPr>
        <w:t>II</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Extra Large General Service Schedule 25</w:t>
      </w:r>
      <w:r w:rsidR="007E2589">
        <w:rPr>
          <w:rStyle w:val="LineNumber"/>
        </w:rPr>
        <w:t xml:space="preserve">, Pumping Service </w:t>
      </w:r>
      <w:r w:rsidR="007E2589">
        <w:rPr>
          <w:rStyle w:val="LineNumber"/>
        </w:rPr>
        <w:lastRenderedPageBreak/>
        <w:t>Schedule</w:t>
      </w:r>
      <w:r w:rsidR="002E22C9">
        <w:rPr>
          <w:rStyle w:val="LineNumber"/>
        </w:rPr>
        <w:t>s</w:t>
      </w:r>
      <w:r w:rsidR="007E2589">
        <w:rPr>
          <w:rStyle w:val="LineNumber"/>
        </w:rPr>
        <w:t xml:space="preserve"> </w:t>
      </w:r>
      <w:r w:rsidR="002E22C9">
        <w:rPr>
          <w:rStyle w:val="LineNumber"/>
        </w:rPr>
        <w:t>30/</w:t>
      </w:r>
      <w:r w:rsidR="007E2589">
        <w:rPr>
          <w:rStyle w:val="LineNumber"/>
        </w:rPr>
        <w:t>31</w:t>
      </w:r>
      <w:r w:rsidR="002E22C9">
        <w:rPr>
          <w:rStyle w:val="LineNumber"/>
        </w:rPr>
        <w:t>/32</w:t>
      </w:r>
      <w:r w:rsidRPr="00BA18B1">
        <w:rPr>
          <w:rStyle w:val="LineNumber"/>
        </w:rPr>
        <w:t xml:space="preserve"> </w:t>
      </w:r>
      <w:r w:rsidR="00004B79">
        <w:rPr>
          <w:rStyle w:val="LineNumber"/>
        </w:rPr>
        <w:t xml:space="preserve">and </w:t>
      </w:r>
      <w:r w:rsidR="007E2589">
        <w:rPr>
          <w:rStyle w:val="LineNumber"/>
        </w:rPr>
        <w:t>Street and Area Lighting Service Schedules 41 - 4</w:t>
      </w:r>
      <w:r w:rsidR="00294885">
        <w:rPr>
          <w:rStyle w:val="LineNumber"/>
        </w:rPr>
        <w:t>9</w:t>
      </w:r>
      <w:r w:rsidR="00004B79">
        <w:rPr>
          <w:rStyle w:val="LineNumber"/>
        </w:rPr>
        <w:t xml:space="preserve"> </w:t>
      </w:r>
      <w:r w:rsidR="00F1259E" w:rsidRPr="00BA18B1">
        <w:rPr>
          <w:rStyle w:val="LineNumber"/>
        </w:rPr>
        <w:t>provide</w:t>
      </w:r>
      <w:r w:rsidRPr="00BA18B1">
        <w:rPr>
          <w:rStyle w:val="LineNumber"/>
        </w:rPr>
        <w:t xml:space="preserve"> less than the overall rate of return under present rates.  </w:t>
      </w:r>
      <w:r w:rsidR="00004B79">
        <w:rPr>
          <w:rStyle w:val="LineNumber"/>
        </w:rPr>
        <w:t>General Service Schedule</w:t>
      </w:r>
      <w:r w:rsidR="002E22C9">
        <w:rPr>
          <w:rStyle w:val="LineNumber"/>
        </w:rPr>
        <w:t>s</w:t>
      </w:r>
      <w:r w:rsidR="00004B79">
        <w:rPr>
          <w:rStyle w:val="LineNumber"/>
        </w:rPr>
        <w:t xml:space="preserve"> 11</w:t>
      </w:r>
      <w:r w:rsidR="002E22C9">
        <w:rPr>
          <w:rStyle w:val="LineNumber"/>
        </w:rPr>
        <w:t>/12</w:t>
      </w:r>
      <w:r w:rsidR="008E7190">
        <w:rPr>
          <w:rStyle w:val="LineNumber"/>
        </w:rPr>
        <w:t xml:space="preserve"> and</w:t>
      </w:r>
      <w:r w:rsidR="00004B79">
        <w:rPr>
          <w:rStyle w:val="LineNumber"/>
        </w:rPr>
        <w:t xml:space="preserve"> </w:t>
      </w:r>
      <w:r w:rsidRPr="00BA18B1">
        <w:rPr>
          <w:rStyle w:val="LineNumber"/>
        </w:rPr>
        <w:t>La</w:t>
      </w:r>
      <w:r w:rsidR="008E7190">
        <w:rPr>
          <w:rStyle w:val="LineNumber"/>
        </w:rPr>
        <w:t>rge General Service Schedule</w:t>
      </w:r>
      <w:r w:rsidR="002E22C9">
        <w:rPr>
          <w:rStyle w:val="LineNumber"/>
        </w:rPr>
        <w:t>s</w:t>
      </w:r>
      <w:r w:rsidR="008E7190">
        <w:rPr>
          <w:rStyle w:val="LineNumber"/>
        </w:rPr>
        <w:t xml:space="preserve"> 21</w:t>
      </w:r>
      <w:r w:rsidR="002E22C9">
        <w:rPr>
          <w:rStyle w:val="LineNumber"/>
        </w:rPr>
        <w:t>/22</w:t>
      </w:r>
      <w:r w:rsidR="00A3051B" w:rsidRPr="00BA18B1">
        <w:rPr>
          <w:rStyle w:val="LineNumber"/>
        </w:rPr>
        <w:t xml:space="preserve"> </w:t>
      </w:r>
      <w:r w:rsidR="00F1259E" w:rsidRPr="00BA18B1">
        <w:rPr>
          <w:rStyle w:val="LineNumber"/>
        </w:rPr>
        <w:t>provide</w:t>
      </w:r>
      <w:r w:rsidRPr="00BA18B1">
        <w:rPr>
          <w:rStyle w:val="LineNumber"/>
        </w:rPr>
        <w:t xml:space="preserve"> more than the overall rate of return under present rates</w:t>
      </w:r>
      <w:r w:rsidR="008E7190">
        <w:rPr>
          <w:rStyle w:val="LineNumber"/>
        </w:rPr>
        <w:t xml:space="preserve">.  </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0F3FE6" w:rsidRPr="00BA18B1">
        <w:rPr>
          <w:rStyle w:val="LineNumber"/>
        </w:rPr>
        <w:t>Docket No</w:t>
      </w:r>
      <w:r w:rsidR="00C664FA">
        <w:rPr>
          <w:rStyle w:val="LineNumber"/>
        </w:rPr>
        <w:t>.</w:t>
      </w:r>
      <w:r w:rsidR="000F3FE6" w:rsidRPr="00BA18B1">
        <w:rPr>
          <w:rStyle w:val="LineNumber"/>
        </w:rPr>
        <w:t xml:space="preserve"> UE-0</w:t>
      </w:r>
      <w:r w:rsidR="00B51A31">
        <w:rPr>
          <w:rStyle w:val="LineNumber"/>
        </w:rPr>
        <w:t>90134</w:t>
      </w:r>
      <w:r w:rsidR="00D24662">
        <w:rPr>
          <w:rStyle w:val="LineNumber"/>
        </w:rPr>
        <w:t>, Docket No</w:t>
      </w:r>
      <w:r w:rsidR="00C664FA">
        <w:rPr>
          <w:rStyle w:val="LineNumber"/>
        </w:rPr>
        <w:t>.</w:t>
      </w:r>
      <w:r w:rsidR="00D24662">
        <w:rPr>
          <w:rStyle w:val="LineNumber"/>
        </w:rPr>
        <w:t xml:space="preserve"> UE-</w:t>
      </w:r>
      <w:r w:rsidR="00B51A31">
        <w:rPr>
          <w:rStyle w:val="LineNumber"/>
        </w:rPr>
        <w:t>100467</w:t>
      </w:r>
      <w:r w:rsidR="0011588B">
        <w:rPr>
          <w:rStyle w:val="LineNumber"/>
        </w:rPr>
        <w:t xml:space="preserve">, </w:t>
      </w:r>
      <w:r w:rsidR="008E7190">
        <w:rPr>
          <w:rStyle w:val="LineNumber"/>
        </w:rPr>
        <w:t>Docket No</w:t>
      </w:r>
      <w:r w:rsidR="00C664FA">
        <w:rPr>
          <w:rStyle w:val="LineNumber"/>
        </w:rPr>
        <w:t>.</w:t>
      </w:r>
      <w:r w:rsidR="008E7190">
        <w:rPr>
          <w:rStyle w:val="LineNumber"/>
        </w:rPr>
        <w:t xml:space="preserve"> UE-1</w:t>
      </w:r>
      <w:r w:rsidR="00B51A31">
        <w:rPr>
          <w:rStyle w:val="LineNumber"/>
        </w:rPr>
        <w:t>10876</w:t>
      </w:r>
      <w:r w:rsidR="007E2589">
        <w:rPr>
          <w:rStyle w:val="LineNumber"/>
        </w:rPr>
        <w:t xml:space="preserve">, </w:t>
      </w:r>
      <w:r w:rsidR="00B5488E">
        <w:rPr>
          <w:rStyle w:val="LineNumber"/>
        </w:rPr>
        <w:t xml:space="preserve">Docket No. </w:t>
      </w:r>
      <w:r w:rsidR="007E2589">
        <w:rPr>
          <w:rStyle w:val="LineNumber"/>
        </w:rPr>
        <w:t>UE-1</w:t>
      </w:r>
      <w:r w:rsidR="00B51A31">
        <w:rPr>
          <w:rStyle w:val="LineNumber"/>
        </w:rPr>
        <w:t>20436</w:t>
      </w:r>
      <w:r w:rsidR="008E7190">
        <w:rPr>
          <w:rStyle w:val="LineNumber"/>
        </w:rPr>
        <w:t xml:space="preserve"> </w:t>
      </w:r>
      <w:r w:rsidR="0011588B">
        <w:rPr>
          <w:rStyle w:val="LineNumber"/>
        </w:rPr>
        <w:t>and Docket No</w:t>
      </w:r>
      <w:r w:rsidR="00C664FA">
        <w:rPr>
          <w:rStyle w:val="LineNumber"/>
        </w:rPr>
        <w:t>.</w:t>
      </w:r>
      <w:r w:rsidR="0011588B">
        <w:rPr>
          <w:rStyle w:val="LineNumber"/>
        </w:rPr>
        <w:t xml:space="preserve"> UE-1</w:t>
      </w:r>
      <w:r w:rsidR="00B51A31">
        <w:rPr>
          <w:rStyle w:val="LineNumber"/>
        </w:rPr>
        <w:t>40188</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___(</w:t>
      </w:r>
      <w:smartTag w:uri="urn:schemas-microsoft-com:office:smarttags" w:element="stockticker">
        <w:r w:rsidRPr="00BA18B1">
          <w:rPr>
            <w:rStyle w:val="LineNumber"/>
          </w:rPr>
          <w:t>TLK</w:t>
        </w:r>
      </w:smartTag>
      <w:r w:rsidRPr="00BA18B1">
        <w:rPr>
          <w:rStyle w:val="LineNumber"/>
        </w:rPr>
        <w:t>-</w:t>
      </w:r>
      <w:r w:rsidR="00B51A31">
        <w:rPr>
          <w:rStyle w:val="LineNumber"/>
        </w:rPr>
        <w:t>2</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No.___(TLK-</w:t>
      </w:r>
      <w:r w:rsidR="00B51A31">
        <w:rPr>
          <w:rStyle w:val="LineNumber"/>
        </w:rPr>
        <w:t>3</w:t>
      </w:r>
      <w:r w:rsidRPr="00BA18B1">
        <w:rPr>
          <w:rStyle w:val="LineNumber"/>
        </w:rPr>
        <w:t>) is based on the</w:t>
      </w:r>
      <w:r w:rsidR="00923B86">
        <w:rPr>
          <w:rStyle w:val="LineNumber"/>
        </w:rPr>
        <w:t xml:space="preserve"> twelve months ended </w:t>
      </w:r>
      <w:r w:rsidR="00B51A31">
        <w:rPr>
          <w:rStyle w:val="LineNumber"/>
        </w:rPr>
        <w:t>September</w:t>
      </w:r>
      <w:r w:rsidR="007E2589">
        <w:rPr>
          <w:rStyle w:val="LineNumber"/>
        </w:rPr>
        <w:t xml:space="preserve"> 30, 201</w:t>
      </w:r>
      <w:r w:rsidR="00B51A31">
        <w:rPr>
          <w:rStyle w:val="LineNumber"/>
        </w:rPr>
        <w:t>4</w:t>
      </w:r>
      <w:r w:rsidR="00256A5E" w:rsidRPr="00BA18B1">
        <w:rPr>
          <w:rStyle w:val="LineNumber"/>
        </w:rPr>
        <w:t xml:space="preserve"> test year </w:t>
      </w:r>
      <w:r w:rsidR="00B37C52">
        <w:rPr>
          <w:rStyle w:val="LineNumber"/>
        </w:rPr>
        <w:t>P</w:t>
      </w:r>
      <w:r w:rsidR="00256A5E" w:rsidRPr="00BA18B1">
        <w:rPr>
          <w:rStyle w:val="LineNumber"/>
        </w:rPr>
        <w:t xml:space="preserve">ro </w:t>
      </w:r>
      <w:r w:rsidR="00B37C52">
        <w:rPr>
          <w:rStyle w:val="LineNumber"/>
        </w:rPr>
        <w:t>F</w:t>
      </w:r>
      <w:r w:rsidRPr="00BA18B1">
        <w:rPr>
          <w:rStyle w:val="LineNumber"/>
        </w:rPr>
        <w:t xml:space="preserve">orma </w:t>
      </w:r>
      <w:r w:rsidR="00B37C52">
        <w:rPr>
          <w:rStyle w:val="LineNumber"/>
        </w:rPr>
        <w:t>C</w:t>
      </w:r>
      <w:r w:rsidR="00E764B4">
        <w:rPr>
          <w:rStyle w:val="LineNumber"/>
        </w:rPr>
        <w:t>ross</w:t>
      </w:r>
      <w:r w:rsidR="00B37C52">
        <w:rPr>
          <w:rStyle w:val="LineNumber"/>
        </w:rPr>
        <w:t xml:space="preserve"> C</w:t>
      </w:r>
      <w:r w:rsidR="00E764B4">
        <w:rPr>
          <w:rStyle w:val="LineNumber"/>
        </w:rPr>
        <w:t xml:space="preserve">heck </w:t>
      </w:r>
      <w:r w:rsidR="00B37C52">
        <w:rPr>
          <w:rStyle w:val="LineNumber"/>
        </w:rPr>
        <w:t xml:space="preserve">Study </w:t>
      </w:r>
      <w:r w:rsidRPr="00BA18B1">
        <w:rPr>
          <w:rStyle w:val="LineNumber"/>
        </w:rPr>
        <w:t>results of operations presented by M</w:t>
      </w:r>
      <w:r w:rsidR="00A3051B" w:rsidRPr="00BA18B1">
        <w:rPr>
          <w:rStyle w:val="LineNumber"/>
        </w:rPr>
        <w:t>s</w:t>
      </w:r>
      <w:r w:rsidRPr="00BA18B1">
        <w:rPr>
          <w:rStyle w:val="LineNumber"/>
        </w:rPr>
        <w:t xml:space="preserve">. </w:t>
      </w:r>
      <w:r w:rsidR="00B51A31">
        <w:rPr>
          <w:rStyle w:val="LineNumber"/>
        </w:rPr>
        <w:t>Smith</w:t>
      </w:r>
      <w:r w:rsidRPr="00BA18B1">
        <w:rPr>
          <w:rStyle w:val="LineNumber"/>
        </w:rPr>
        <w:t xml:space="preserve"> in Exhibit No.___(</w:t>
      </w:r>
      <w:r w:rsidR="00B51A31">
        <w:rPr>
          <w:rStyle w:val="LineNumber"/>
        </w:rPr>
        <w:t>JSS</w:t>
      </w:r>
      <w:r w:rsidRPr="00BA18B1">
        <w:rPr>
          <w:rStyle w:val="LineNumber"/>
        </w:rPr>
        <w:t>-</w:t>
      </w:r>
      <w:r w:rsidR="00B51A31">
        <w:rPr>
          <w:rStyle w:val="LineNumber"/>
        </w:rPr>
        <w:t>2</w:t>
      </w:r>
      <w:r w:rsidRPr="00BA18B1">
        <w:rPr>
          <w:rStyle w:val="LineNumber"/>
        </w:rPr>
        <w:t>).</w:t>
      </w:r>
      <w:r w:rsidR="00E764B4">
        <w:rPr>
          <w:rStyle w:val="LineNumber"/>
        </w:rPr>
        <w:t xml:space="preserve">  The </w:t>
      </w:r>
      <w:r w:rsidR="00504ED4">
        <w:rPr>
          <w:rStyle w:val="LineNumber"/>
        </w:rPr>
        <w:t>P</w:t>
      </w:r>
      <w:r w:rsidR="00E764B4">
        <w:rPr>
          <w:rStyle w:val="LineNumber"/>
        </w:rPr>
        <w:t xml:space="preserve">ro </w:t>
      </w:r>
      <w:r w:rsidR="00504ED4">
        <w:rPr>
          <w:rStyle w:val="LineNumber"/>
        </w:rPr>
        <w:t>F</w:t>
      </w:r>
      <w:r w:rsidR="00E764B4">
        <w:rPr>
          <w:rStyle w:val="LineNumber"/>
        </w:rPr>
        <w:t xml:space="preserve">orma </w:t>
      </w:r>
      <w:r w:rsidR="00504ED4">
        <w:rPr>
          <w:rStyle w:val="LineNumber"/>
        </w:rPr>
        <w:t>Cross C</w:t>
      </w:r>
      <w:r w:rsidR="00E764B4">
        <w:rPr>
          <w:rStyle w:val="LineNumber"/>
        </w:rPr>
        <w:t xml:space="preserve">heck </w:t>
      </w:r>
      <w:r w:rsidR="00504ED4">
        <w:rPr>
          <w:rStyle w:val="LineNumber"/>
        </w:rPr>
        <w:t xml:space="preserve">Study </w:t>
      </w:r>
      <w:r w:rsidR="00E764B4">
        <w:rPr>
          <w:rStyle w:val="LineNumber"/>
        </w:rPr>
        <w:t xml:space="preserve">analysis was used for the cost of service study </w:t>
      </w:r>
      <w:r w:rsidR="00E660F2">
        <w:rPr>
          <w:rStyle w:val="LineNumber"/>
        </w:rPr>
        <w:t xml:space="preserve">to </w:t>
      </w:r>
      <w:r w:rsidR="00E764B4">
        <w:rPr>
          <w:rStyle w:val="LineNumber"/>
        </w:rPr>
        <w:t xml:space="preserve">provide </w:t>
      </w:r>
      <w:r w:rsidR="001446B7">
        <w:rPr>
          <w:rStyle w:val="LineNumber"/>
        </w:rPr>
        <w:t>results at the</w:t>
      </w:r>
      <w:r w:rsidR="00E764B4">
        <w:rPr>
          <w:rStyle w:val="LineNumber"/>
        </w:rPr>
        <w:t xml:space="preserve"> comprehensive level of detail required </w:t>
      </w:r>
      <w:r w:rsidR="00061EEC">
        <w:rPr>
          <w:rStyle w:val="LineNumber"/>
        </w:rPr>
        <w:t>by</w:t>
      </w:r>
      <w:r w:rsidR="00E660F2">
        <w:rPr>
          <w:rStyle w:val="LineNumber"/>
        </w:rPr>
        <w:t xml:space="preserve"> the cost of service model.  T</w:t>
      </w:r>
      <w:r w:rsidR="001446B7">
        <w:rPr>
          <w:rStyle w:val="LineNumber"/>
        </w:rPr>
        <w:t xml:space="preserve">he </w:t>
      </w:r>
      <w:r w:rsidR="00504ED4">
        <w:rPr>
          <w:rStyle w:val="LineNumber"/>
        </w:rPr>
        <w:t>Pro Forma Cross C</w:t>
      </w:r>
      <w:r w:rsidR="001446B7">
        <w:rPr>
          <w:rStyle w:val="LineNumber"/>
        </w:rPr>
        <w:t>heck</w:t>
      </w:r>
      <w:r w:rsidR="00504ED4">
        <w:rPr>
          <w:rStyle w:val="LineNumber"/>
        </w:rPr>
        <w:t xml:space="preserve"> Study</w:t>
      </w:r>
      <w:r w:rsidR="001446B7">
        <w:rPr>
          <w:rStyle w:val="LineNumber"/>
        </w:rPr>
        <w:t xml:space="preserve"> includes an adjustment that brings total expenses and rate base into agreement with the </w:t>
      </w:r>
      <w:r w:rsidR="00B37C52">
        <w:rPr>
          <w:rStyle w:val="LineNumber"/>
        </w:rPr>
        <w:t>A</w:t>
      </w:r>
      <w:r w:rsidR="001446B7">
        <w:rPr>
          <w:rStyle w:val="LineNumber"/>
        </w:rPr>
        <w:t xml:space="preserve">ttrition </w:t>
      </w:r>
      <w:r w:rsidR="00B37C52">
        <w:rPr>
          <w:rStyle w:val="LineNumber"/>
        </w:rPr>
        <w:t>S</w:t>
      </w:r>
      <w:r w:rsidR="001446B7">
        <w:rPr>
          <w:rStyle w:val="LineNumber"/>
        </w:rPr>
        <w:t>tudy</w:t>
      </w:r>
      <w:r w:rsidR="00061EEC">
        <w:rPr>
          <w:rStyle w:val="LineNumber"/>
        </w:rPr>
        <w:t xml:space="preserve">, </w:t>
      </w:r>
      <w:r w:rsidR="00E660F2">
        <w:rPr>
          <w:rStyle w:val="LineNumber"/>
        </w:rPr>
        <w:t xml:space="preserve">therefore </w:t>
      </w:r>
      <w:r w:rsidR="00061EEC">
        <w:rPr>
          <w:rStyle w:val="LineNumber"/>
        </w:rPr>
        <w:t xml:space="preserve">it provides the appropriate detailed cost basis for the </w:t>
      </w:r>
      <w:r w:rsidR="00EA5986">
        <w:rPr>
          <w:rStyle w:val="LineNumber"/>
        </w:rPr>
        <w:t>cost of service study</w:t>
      </w:r>
      <w:r w:rsidR="00061EEC">
        <w:rPr>
          <w:rStyle w:val="LineNumber"/>
        </w:rPr>
        <w:t xml:space="preserve"> in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___(TLK-</w:t>
      </w:r>
      <w:r w:rsidR="00B51A31">
        <w:rPr>
          <w:rStyle w:val="LineNumber"/>
          <w:b/>
          <w:bCs/>
        </w:rPr>
        <w:t>3</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___(TLK-</w:t>
      </w:r>
      <w:r w:rsidR="00B51A31">
        <w:rPr>
          <w:rStyle w:val="LineNumber"/>
        </w:rPr>
        <w:t>3</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t>
      </w:r>
      <w:r w:rsidR="00E764B4">
        <w:rPr>
          <w:rStyle w:val="LineNumber"/>
        </w:rPr>
        <w:t>consideration regarding</w:t>
      </w:r>
      <w:r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w:t>
      </w:r>
      <w:r w:rsidRPr="00BA18B1">
        <w:rPr>
          <w:rStyle w:val="LineNumber"/>
        </w:rPr>
        <w:lastRenderedPageBreak/>
        <w:t xml:space="preserve">production, transmission, distribution, and common functional categories.  </w:t>
      </w:r>
      <w:r w:rsidR="00DA051F">
        <w:rPr>
          <w:rStyle w:val="LineNumber"/>
        </w:rPr>
        <w:t xml:space="preserve">Line 44 on page 2 shows the target change in revenue which would produce unity in this cost study. </w:t>
      </w:r>
      <w:r w:rsidR="00B51A31">
        <w:rPr>
          <w:rStyle w:val="LineNumber"/>
        </w:rPr>
        <w:t xml:space="preserve">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Pr="00BA18B1">
        <w:rPr>
          <w:rStyle w:val="LineNumber"/>
          <w:b/>
          <w:bCs/>
        </w:rPr>
        <w:t>Exhibit No.___(TLK-</w:t>
      </w:r>
      <w:r w:rsidR="00B51A31">
        <w:rPr>
          <w:rStyle w:val="LineNumber"/>
          <w:b/>
          <w:bCs/>
        </w:rPr>
        <w:t>2</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w:t>
      </w:r>
      <w:r w:rsidR="00126A7B">
        <w:rPr>
          <w:rStyle w:val="LineNumber"/>
        </w:rPr>
        <w:t>in</w:t>
      </w:r>
      <w:r w:rsidRPr="00BA18B1">
        <w:rPr>
          <w:rStyle w:val="LineNumber"/>
        </w:rPr>
        <w:t>to energy</w:t>
      </w:r>
      <w:r w:rsidR="00126A7B">
        <w:rPr>
          <w:rStyle w:val="LineNumber"/>
        </w:rPr>
        <w:t>-related</w:t>
      </w:r>
      <w:r w:rsidRPr="00BA18B1">
        <w:rPr>
          <w:rStyle w:val="LineNumber"/>
        </w:rPr>
        <w:t xml:space="preserve"> </w:t>
      </w:r>
      <w:r w:rsidR="00126A7B">
        <w:rPr>
          <w:rStyle w:val="LineNumber"/>
        </w:rPr>
        <w:t>or</w:t>
      </w:r>
      <w:r w:rsidRPr="00BA18B1">
        <w:rPr>
          <w:rStyle w:val="LineNumber"/>
        </w:rPr>
        <w:t xml:space="preserve"> demand</w:t>
      </w:r>
      <w:r w:rsidR="00126A7B">
        <w:rPr>
          <w:rStyle w:val="LineNumber"/>
        </w:rPr>
        <w:t>-related</w:t>
      </w:r>
      <w:r w:rsidRPr="00BA18B1">
        <w:rPr>
          <w:rStyle w:val="LineNumber"/>
        </w:rPr>
        <w:t xml:space="preserve">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r w:rsidR="00D260A4" w:rsidRPr="00572461">
        <w:rPr>
          <w:rStyle w:val="LineNumber"/>
        </w:rPr>
        <w:t xml:space="preserve">As </w:t>
      </w:r>
      <w:r w:rsidR="00903355" w:rsidRPr="00572461">
        <w:rPr>
          <w:rStyle w:val="LineNumber"/>
        </w:rPr>
        <w:t xml:space="preserve">I will </w:t>
      </w:r>
      <w:r w:rsidR="00D260A4" w:rsidRPr="00572461">
        <w:rPr>
          <w:rStyle w:val="LineNumber"/>
        </w:rPr>
        <w:t>discuss later</w:t>
      </w:r>
      <w:r w:rsidR="00903355" w:rsidRPr="00572461">
        <w:rPr>
          <w:rStyle w:val="LineNumber"/>
        </w:rPr>
        <w:t xml:space="preserve"> in my testimony</w:t>
      </w:r>
      <w:r w:rsidR="00D260A4" w:rsidRPr="00572461">
        <w:rPr>
          <w:rStyle w:val="LineNumber"/>
        </w:rPr>
        <w:t>,</w:t>
      </w:r>
      <w:r w:rsidR="00903355" w:rsidRPr="00572461">
        <w:rPr>
          <w:rStyle w:val="LineNumber"/>
        </w:rPr>
        <w:t xml:space="preserve"> the electric cost of service </w:t>
      </w:r>
      <w:r w:rsidR="00D260A4" w:rsidRPr="00572461">
        <w:rPr>
          <w:rStyle w:val="LineNumber"/>
        </w:rPr>
        <w:t>study present</w:t>
      </w:r>
      <w:r w:rsidR="00903355" w:rsidRPr="00572461">
        <w:rPr>
          <w:rStyle w:val="LineNumber"/>
        </w:rPr>
        <w:t>ed in this case includes</w:t>
      </w:r>
      <w:r w:rsidR="00D260A4" w:rsidRPr="00572461">
        <w:rPr>
          <w:rStyle w:val="LineNumber"/>
        </w:rPr>
        <w:t xml:space="preserve"> a revision to the Avista</w:t>
      </w:r>
      <w:r w:rsidR="000C1BCD" w:rsidRPr="00572461">
        <w:rPr>
          <w:rStyle w:val="LineNumber"/>
        </w:rPr>
        <w:t>-</w:t>
      </w:r>
      <w:r w:rsidR="00D260A4" w:rsidRPr="00572461">
        <w:rPr>
          <w:rStyle w:val="LineNumber"/>
        </w:rPr>
        <w:t>specific peak credit analysis.</w:t>
      </w:r>
      <w:r w:rsidR="00D260A4">
        <w:rPr>
          <w:rStyle w:val="LineNumber"/>
        </w:rPr>
        <w:t xml:space="preserve">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3"/>
      </w:r>
      <w:r w:rsidRPr="00BA18B1">
        <w:rPr>
          <w:rStyle w:val="LineNumber"/>
        </w:rPr>
        <w:t xml:space="preserve"> that was derived directly from the methodology approved for Puget in Docket No. UE-920499.  Administrative and general costs are first directly assigned to production, transmission, distribution, or customer relations functions.  The Commission found this process acceptable in Avista’s Docket No. UE-991606.  The remaining administrative and general costs are </w:t>
      </w:r>
      <w:r w:rsidRPr="00BA18B1">
        <w:rPr>
          <w:rStyle w:val="LineNumber"/>
        </w:rPr>
        <w:lastRenderedPageBreak/>
        <w:t>categorized as common costs and have been allocated by a variety of factors as approved by this Commission for Puget in Docket No. UE-920499.  The specific factors and items they are applied to are described in detail in Exhibit No. ___(TLK-</w:t>
      </w:r>
      <w:r w:rsidR="00B51A31">
        <w:rPr>
          <w:rStyle w:val="LineNumber"/>
        </w:rPr>
        <w:t>2</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260A4">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r w:rsidR="00B51A31">
        <w:rPr>
          <w:rStyle w:val="LineNumber"/>
        </w:rPr>
        <w:t xml:space="preserve">UE-140188, </w:t>
      </w:r>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r w:rsidRPr="00CB130C">
        <w:rPr>
          <w:rStyle w:val="LineNumber"/>
        </w:rPr>
        <w:t xml:space="preserve">  </w:t>
      </w:r>
    </w:p>
    <w:p w:rsidR="0088097A" w:rsidRPr="00503047" w:rsidRDefault="0088097A" w:rsidP="00F26736">
      <w:pPr>
        <w:pStyle w:val="BodyText2"/>
        <w:tabs>
          <w:tab w:val="left" w:pos="1440"/>
        </w:tabs>
        <w:ind w:firstLine="720"/>
        <w:rPr>
          <w:rStyle w:val="LineNumber"/>
          <w:b/>
        </w:rPr>
      </w:pPr>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
    <w:p w:rsidR="000664A2" w:rsidRDefault="0088097A" w:rsidP="00F26736">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4"/>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This is the same method the Company proposed in its recent rate filings.</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70E" w:rsidRPr="00C6470E" w:rsidRDefault="00C6470E" w:rsidP="00F26736">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24465B">
        <w:rPr>
          <w:rStyle w:val="LineNumber"/>
        </w:rPr>
        <w:t xml:space="preserve">  1) It is simple and straightforward to </w:t>
      </w:r>
      <w:r w:rsidR="0024465B">
        <w:rPr>
          <w:rStyle w:val="LineNumber"/>
        </w:rPr>
        <w:lastRenderedPageBreak/>
        <w:t>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0606FE" w:rsidRPr="002E719E" w:rsidRDefault="000606FE" w:rsidP="000606FE">
      <w:pPr>
        <w:pStyle w:val="BodyText2"/>
        <w:tabs>
          <w:tab w:val="left" w:pos="1440"/>
        </w:tabs>
        <w:ind w:firstLine="720"/>
        <w:rPr>
          <w:rStyle w:val="LineNumber"/>
          <w:b/>
        </w:rPr>
      </w:pPr>
      <w:r w:rsidRPr="002E719E">
        <w:rPr>
          <w:rStyle w:val="LineNumber"/>
          <w:b/>
        </w:rPr>
        <w:t>Q.</w:t>
      </w:r>
      <w:r w:rsidRPr="002E719E">
        <w:rPr>
          <w:rStyle w:val="LineNumber"/>
          <w:b/>
        </w:rPr>
        <w:tab/>
        <w:t>How was the prior peak credit methodology determined and applied?</w:t>
      </w:r>
    </w:p>
    <w:p w:rsidR="000606FE" w:rsidRPr="002E719E" w:rsidRDefault="000606FE" w:rsidP="000606FE">
      <w:pPr>
        <w:pStyle w:val="BodyText2"/>
        <w:tabs>
          <w:tab w:val="left" w:pos="1440"/>
        </w:tabs>
        <w:ind w:firstLine="720"/>
        <w:rPr>
          <w:rStyle w:val="LineNumber"/>
        </w:rPr>
      </w:pPr>
      <w:r w:rsidRPr="002E719E">
        <w:rPr>
          <w:rStyle w:val="LineNumber"/>
        </w:rPr>
        <w:t>A.</w:t>
      </w:r>
      <w:r w:rsidRPr="002E719E">
        <w:rPr>
          <w:rStyle w:val="LineNumber"/>
        </w:rPr>
        <w:tab/>
        <w:t>In the Company’s cost of service studies</w:t>
      </w:r>
      <w:r>
        <w:rPr>
          <w:rStyle w:val="LineNumber"/>
        </w:rPr>
        <w:t xml:space="preserve"> prior to 2010</w:t>
      </w:r>
      <w:r w:rsidRPr="002E719E">
        <w:rPr>
          <w:rStyle w:val="LineNumber"/>
        </w:rPr>
        <w:t>, Avista’s electric system resource costs were classified to energy and demand using a comparison of the replacement cost per kW of the Company’s peaking units to the replacement cost per kW of the Company’s thermal and hydro plants (separately).  This analysis created separate peak credit ratios applied to thermal plant and hydro plant.  Transmission costs were assigned to energy and demand by a 50/50 weighting of the thermal and hydro peak credit ratios.  Fuel and load dispatching expenses were classified entirely to energy, and peaking plant related costs were classified entirely to demand.</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0737D7" w:rsidRDefault="007904A5" w:rsidP="000737D7">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A73674">
        <w:rPr>
          <w:rStyle w:val="LineNumber"/>
        </w:rPr>
        <w:t>in</w:t>
      </w:r>
      <w:r w:rsidR="00DB0503">
        <w:rPr>
          <w:rStyle w:val="LineNumber"/>
        </w:rPr>
        <w:t>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w:t>
      </w:r>
      <w:r w:rsidR="0025132C">
        <w:rPr>
          <w:rStyle w:val="LineNumber"/>
        </w:rPr>
        <w:t>2</w:t>
      </w:r>
      <w:r w:rsidR="00524A02">
        <w:rPr>
          <w:rStyle w:val="LineNumber"/>
        </w:rPr>
        <w:t>.</w:t>
      </w:r>
      <w:r w:rsidR="00A73674">
        <w:rPr>
          <w:rStyle w:val="LineNumber"/>
        </w:rPr>
        <w:t>16</w:t>
      </w:r>
      <w:r w:rsidR="00524A02">
        <w:rPr>
          <w:rStyle w:val="LineNumber"/>
        </w:rPr>
        <w:t>% of total production and transmission costs (</w:t>
      </w:r>
      <w:r w:rsidR="0025132C">
        <w:rPr>
          <w:rStyle w:val="LineNumber"/>
        </w:rPr>
        <w:t>3</w:t>
      </w:r>
      <w:r w:rsidR="00A73674">
        <w:rPr>
          <w:rStyle w:val="LineNumber"/>
        </w:rPr>
        <w:t>0</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w:t>
      </w:r>
      <w:r w:rsidR="00A73674">
        <w:rPr>
          <w:rStyle w:val="LineNumber"/>
        </w:rPr>
        <w:t>4</w:t>
      </w:r>
      <w:r w:rsidR="00F342ED">
        <w:rPr>
          <w:rStyle w:val="LineNumber"/>
        </w:rPr>
        <w:t>.</w:t>
      </w:r>
      <w:r w:rsidR="00A73674">
        <w:rPr>
          <w:rStyle w:val="LineNumber"/>
        </w:rPr>
        <w:t>83</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36404D">
        <w:rPr>
          <w:rStyle w:val="LineNumber"/>
        </w:rPr>
        <w:t xml:space="preserve">In this circumstance, costs </w:t>
      </w:r>
      <w:r w:rsidR="00877BFE">
        <w:rPr>
          <w:rStyle w:val="LineNumber"/>
        </w:rPr>
        <w:t>are</w:t>
      </w:r>
      <w:r w:rsidR="0036404D">
        <w:rPr>
          <w:rStyle w:val="LineNumber"/>
        </w:rPr>
        <w:t xml:space="preserve"> shifted </w:t>
      </w:r>
      <w:r w:rsidR="00A73674">
        <w:rPr>
          <w:rStyle w:val="LineNumber"/>
        </w:rPr>
        <w:t>toward</w:t>
      </w:r>
      <w:r w:rsidR="0036404D">
        <w:rPr>
          <w:rStyle w:val="LineNumber"/>
        </w:rPr>
        <w:t xml:space="preserve"> the</w:t>
      </w:r>
      <w:r w:rsidR="007576DF">
        <w:rPr>
          <w:rStyle w:val="LineNumber"/>
        </w:rPr>
        <w:t xml:space="preserve"> low load factor</w:t>
      </w:r>
      <w:r w:rsidR="0036404D">
        <w:rPr>
          <w:rStyle w:val="LineNumber"/>
        </w:rPr>
        <w:t xml:space="preserve"> residential </w:t>
      </w:r>
      <w:r w:rsidR="007576DF">
        <w:rPr>
          <w:rStyle w:val="LineNumber"/>
        </w:rPr>
        <w:t>class</w:t>
      </w:r>
      <w:r w:rsidR="00DF7D34">
        <w:rPr>
          <w:rStyle w:val="LineNumber"/>
        </w:rPr>
        <w:t>,</w:t>
      </w:r>
      <w:r w:rsidR="0036404D">
        <w:rPr>
          <w:rStyle w:val="LineNumber"/>
        </w:rPr>
        <w:t xml:space="preserve"> and </w:t>
      </w:r>
      <w:r w:rsidR="00A73674">
        <w:rPr>
          <w:rStyle w:val="LineNumber"/>
        </w:rPr>
        <w:t>away from</w:t>
      </w:r>
      <w:r w:rsidR="0036404D">
        <w:rPr>
          <w:rStyle w:val="LineNumber"/>
        </w:rPr>
        <w:t xml:space="preserve"> all the other classes, but the </w:t>
      </w:r>
      <w:r w:rsidR="002516D7">
        <w:rPr>
          <w:rStyle w:val="LineNumber"/>
        </w:rPr>
        <w:t>impact on the cost study results</w:t>
      </w:r>
      <w:r w:rsidR="0036404D">
        <w:rPr>
          <w:rStyle w:val="LineNumber"/>
        </w:rPr>
        <w:t xml:space="preserve"> </w:t>
      </w:r>
      <w:r w:rsidR="00877BFE">
        <w:rPr>
          <w:rStyle w:val="LineNumber"/>
        </w:rPr>
        <w:t>is</w:t>
      </w:r>
      <w:r w:rsidR="007576DF">
        <w:rPr>
          <w:rStyle w:val="LineNumber"/>
        </w:rPr>
        <w:t xml:space="preserve"> </w:t>
      </w:r>
      <w:r w:rsidR="00203D96">
        <w:rPr>
          <w:rStyle w:val="LineNumber"/>
        </w:rPr>
        <w:t>relatively</w:t>
      </w:r>
      <w:r w:rsidR="007576DF">
        <w:rPr>
          <w:rStyle w:val="LineNumber"/>
        </w:rPr>
        <w:t xml:space="preserve"> minor.</w:t>
      </w:r>
      <w:r w:rsidR="000737D7">
        <w:rPr>
          <w:rStyle w:val="LineNumber"/>
        </w:rPr>
        <w:br w:type="page"/>
      </w:r>
    </w:p>
    <w:p w:rsidR="007A6AB5" w:rsidRPr="001203E0" w:rsidRDefault="007A6AB5" w:rsidP="00F26736">
      <w:pPr>
        <w:pStyle w:val="BodyText2"/>
        <w:tabs>
          <w:tab w:val="left" w:pos="1440"/>
        </w:tabs>
        <w:ind w:firstLine="720"/>
        <w:rPr>
          <w:rStyle w:val="LineNumber"/>
          <w:b/>
        </w:rPr>
      </w:pPr>
      <w:r w:rsidRPr="001203E0">
        <w:rPr>
          <w:rStyle w:val="LineNumber"/>
          <w:b/>
        </w:rPr>
        <w:lastRenderedPageBreak/>
        <w:t>Q.</w:t>
      </w:r>
      <w:r w:rsidRPr="001203E0">
        <w:rPr>
          <w:rStyle w:val="LineNumber"/>
          <w:b/>
        </w:rPr>
        <w:tab/>
      </w:r>
      <w:r w:rsidR="00A648E9">
        <w:rPr>
          <w:rStyle w:val="LineNumber"/>
          <w:b/>
        </w:rPr>
        <w:t>D</w:t>
      </w:r>
      <w:r w:rsidR="00F7203A">
        <w:rPr>
          <w:rStyle w:val="LineNumber"/>
          <w:b/>
        </w:rPr>
        <w:t>id the Company</w:t>
      </w:r>
      <w:r w:rsidR="00A648E9">
        <w:rPr>
          <w:rStyle w:val="LineNumber"/>
          <w:b/>
        </w:rPr>
        <w:t xml:space="preserve"> </w:t>
      </w:r>
      <w:r w:rsidR="00922E66">
        <w:rPr>
          <w:rStyle w:val="LineNumber"/>
          <w:b/>
        </w:rPr>
        <w:t>use</w:t>
      </w:r>
      <w:r w:rsidR="00A648E9">
        <w:rPr>
          <w:rStyle w:val="LineNumber"/>
          <w:b/>
        </w:rPr>
        <w:t xml:space="preserve"> recent load research for demand-related cost allocations</w:t>
      </w:r>
      <w:r w:rsidR="00F7203A">
        <w:rPr>
          <w:rStyle w:val="LineNumber"/>
          <w:b/>
        </w:rPr>
        <w:t xml:space="preserve"> in the electric cost of service study in this case</w:t>
      </w:r>
      <w:r w:rsidR="00A648E9">
        <w:rPr>
          <w:rStyle w:val="LineNumber"/>
          <w:b/>
        </w:rPr>
        <w:t>?</w:t>
      </w:r>
    </w:p>
    <w:p w:rsidR="0055713C" w:rsidRDefault="007A6AB5" w:rsidP="00F26736">
      <w:pPr>
        <w:pStyle w:val="BodyText2"/>
        <w:tabs>
          <w:tab w:val="left" w:pos="1440"/>
        </w:tabs>
        <w:ind w:firstLine="720"/>
        <w:rPr>
          <w:rStyle w:val="LineNumber"/>
        </w:rPr>
      </w:pPr>
      <w:r w:rsidRPr="00A648E9">
        <w:rPr>
          <w:rStyle w:val="LineNumber"/>
        </w:rPr>
        <w:t>A.</w:t>
      </w:r>
      <w:r w:rsidRPr="00A648E9">
        <w:rPr>
          <w:rStyle w:val="LineNumber"/>
        </w:rPr>
        <w:tab/>
      </w:r>
      <w:r w:rsidR="0055713C">
        <w:rPr>
          <w:rStyle w:val="LineNumber"/>
        </w:rPr>
        <w:t xml:space="preserve">Yes.  The Company contracted with DNV-GL to develop hourly load estimates by rate class for cost of service demand allocation purposes.  </w:t>
      </w:r>
      <w:r w:rsidR="00B65196">
        <w:rPr>
          <w:rStyle w:val="LineNumber"/>
        </w:rPr>
        <w:t xml:space="preserve">The study was completed in December of 2014 with the final report provided in January 2015.  </w:t>
      </w:r>
      <w:r w:rsidR="00D11D8F">
        <w:rPr>
          <w:rStyle w:val="LineNumber"/>
        </w:rPr>
        <w:t xml:space="preserve">The new load </w:t>
      </w:r>
      <w:r w:rsidR="00F7203A">
        <w:rPr>
          <w:rStyle w:val="LineNumber"/>
        </w:rPr>
        <w:t xml:space="preserve">research </w:t>
      </w:r>
      <w:r w:rsidR="00D11D8F">
        <w:rPr>
          <w:rStyle w:val="LineNumber"/>
        </w:rPr>
        <w:t>study</w:t>
      </w:r>
      <w:r w:rsidR="00C92BD3">
        <w:rPr>
          <w:rStyle w:val="LineNumber"/>
        </w:rPr>
        <w:t xml:space="preserve">, included </w:t>
      </w:r>
      <w:r w:rsidR="00C95378">
        <w:rPr>
          <w:rStyle w:val="LineNumber"/>
        </w:rPr>
        <w:t>with</w:t>
      </w:r>
      <w:r w:rsidR="00C92BD3">
        <w:rPr>
          <w:rStyle w:val="LineNumber"/>
        </w:rPr>
        <w:t xml:space="preserve"> the Company’s workpapers</w:t>
      </w:r>
      <w:r w:rsidR="00B65196">
        <w:rPr>
          <w:rStyle w:val="LineNumber"/>
        </w:rPr>
        <w:t xml:space="preserve"> in this filing</w:t>
      </w:r>
      <w:r w:rsidR="00C92BD3">
        <w:rPr>
          <w:rStyle w:val="LineNumber"/>
        </w:rPr>
        <w:t>,</w:t>
      </w:r>
      <w:r w:rsidR="00D11D8F">
        <w:rPr>
          <w:rStyle w:val="LineNumber"/>
        </w:rPr>
        <w:t xml:space="preserve"> utilized sample metering in place from the </w:t>
      </w:r>
      <w:r w:rsidR="00D144B3">
        <w:rPr>
          <w:rStyle w:val="LineNumber"/>
        </w:rPr>
        <w:t>last</w:t>
      </w:r>
      <w:r w:rsidR="00D11D8F">
        <w:rPr>
          <w:rStyle w:val="LineNumber"/>
        </w:rPr>
        <w:t xml:space="preserve"> load study </w:t>
      </w:r>
      <w:r w:rsidR="00D144B3">
        <w:rPr>
          <w:rStyle w:val="LineNumber"/>
        </w:rPr>
        <w:t>(</w:t>
      </w:r>
      <w:r w:rsidR="00C92BD3">
        <w:rPr>
          <w:rStyle w:val="LineNumber"/>
        </w:rPr>
        <w:t xml:space="preserve">discussed in </w:t>
      </w:r>
      <w:r w:rsidR="00D144B3">
        <w:rPr>
          <w:rStyle w:val="LineNumber"/>
        </w:rPr>
        <w:t>Docket No. UE-100467</w:t>
      </w:r>
      <w:r w:rsidR="00C92BD3">
        <w:rPr>
          <w:rStyle w:val="LineNumber"/>
        </w:rPr>
        <w:t>, the Company’s 2010 general rate case</w:t>
      </w:r>
      <w:r w:rsidR="00D144B3">
        <w:rPr>
          <w:rStyle w:val="LineNumber"/>
        </w:rPr>
        <w:t xml:space="preserve">) </w:t>
      </w:r>
      <w:r w:rsidR="00D11D8F">
        <w:rPr>
          <w:rStyle w:val="LineNumber"/>
        </w:rPr>
        <w:t>augmented by additional sample sites added during the intervening years.  Th</w:t>
      </w:r>
      <w:r w:rsidR="00922E66">
        <w:rPr>
          <w:rStyle w:val="LineNumber"/>
        </w:rPr>
        <w:t>e</w:t>
      </w:r>
      <w:r w:rsidR="00D11D8F">
        <w:rPr>
          <w:rStyle w:val="LineNumber"/>
        </w:rPr>
        <w:t xml:space="preserve"> study </w:t>
      </w:r>
      <w:r w:rsidR="00922E66">
        <w:rPr>
          <w:rStyle w:val="LineNumber"/>
        </w:rPr>
        <w:t>is based on</w:t>
      </w:r>
      <w:r w:rsidR="00D11D8F">
        <w:rPr>
          <w:rStyle w:val="LineNumber"/>
        </w:rPr>
        <w:t xml:space="preserve"> data collected over the period July 1, 2013 through June 30, 2014.</w:t>
      </w:r>
      <w:r w:rsidR="00D144B3">
        <w:rPr>
          <w:rStyle w:val="LineNumber"/>
        </w:rPr>
        <w:t xml:space="preserve">  </w:t>
      </w:r>
    </w:p>
    <w:p w:rsidR="00B65196" w:rsidRPr="00B65196" w:rsidRDefault="00B65196" w:rsidP="00F26736">
      <w:pPr>
        <w:pStyle w:val="BodyText2"/>
        <w:tabs>
          <w:tab w:val="left" w:pos="1440"/>
        </w:tabs>
        <w:ind w:firstLine="720"/>
        <w:rPr>
          <w:rStyle w:val="LineNumber"/>
          <w:b/>
        </w:rPr>
      </w:pPr>
      <w:r w:rsidRPr="00B65196">
        <w:rPr>
          <w:rStyle w:val="LineNumber"/>
          <w:b/>
        </w:rPr>
        <w:t>Q.</w:t>
      </w:r>
      <w:r w:rsidRPr="00B65196">
        <w:rPr>
          <w:rStyle w:val="LineNumber"/>
          <w:b/>
        </w:rPr>
        <w:tab/>
        <w:t>Did the 2014 load study show any major changes in usage across the customer classes?</w:t>
      </w:r>
    </w:p>
    <w:p w:rsidR="00B65196" w:rsidRDefault="00B65196" w:rsidP="00F26736">
      <w:pPr>
        <w:pStyle w:val="BodyText2"/>
        <w:tabs>
          <w:tab w:val="left" w:pos="1440"/>
        </w:tabs>
        <w:ind w:firstLine="720"/>
        <w:rPr>
          <w:rStyle w:val="LineNumber"/>
        </w:rPr>
      </w:pPr>
      <w:r>
        <w:rPr>
          <w:rStyle w:val="LineNumber"/>
        </w:rPr>
        <w:t>A.</w:t>
      </w:r>
      <w:r>
        <w:rPr>
          <w:rStyle w:val="LineNumber"/>
        </w:rPr>
        <w:tab/>
        <w:t>No,</w:t>
      </w:r>
      <w:r w:rsidR="00054FEB">
        <w:rPr>
          <w:rStyle w:val="LineNumber"/>
        </w:rPr>
        <w:t xml:space="preserve"> there were no major changes.  The study did capture the impact of schedule shifting from Schedule 21 to Schedule 11 that occurred several years ago and the residential class shows a slightly lower contribution to the peaks than in the </w:t>
      </w:r>
      <w:r w:rsidR="00D565CC">
        <w:rPr>
          <w:rStyle w:val="LineNumber"/>
        </w:rPr>
        <w:t>2009</w:t>
      </w:r>
      <w:r w:rsidR="00054FEB">
        <w:rPr>
          <w:rStyle w:val="LineNumber"/>
        </w:rPr>
        <w:t xml:space="preserve"> study.</w:t>
      </w:r>
      <w:r w:rsidR="00571C64">
        <w:rPr>
          <w:rStyle w:val="LineNumber"/>
        </w:rPr>
        <w:t xml:space="preserve">  In general the results were consistent.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571C64" w:rsidRDefault="0045522A" w:rsidP="000737D7">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r w:rsidR="00571C64">
        <w:rPr>
          <w:rStyle w:val="LineNumber"/>
        </w:rPr>
        <w:br w:type="page"/>
      </w:r>
    </w:p>
    <w:p w:rsidR="0045522A" w:rsidRDefault="0045522A" w:rsidP="00B1462B">
      <w:pPr>
        <w:pStyle w:val="Caption"/>
        <w:keepNext/>
        <w:spacing w:before="0"/>
        <w:rPr>
          <w:sz w:val="24"/>
          <w:szCs w:val="24"/>
          <w:u w:val="single"/>
        </w:rPr>
      </w:pPr>
      <w:r w:rsidRPr="00C6470E">
        <w:rPr>
          <w:sz w:val="24"/>
          <w:szCs w:val="24"/>
          <w:u w:val="single"/>
        </w:rPr>
        <w:lastRenderedPageBreak/>
        <w:t>Table</w:t>
      </w:r>
      <w:r w:rsidR="004E6B01">
        <w:rPr>
          <w:sz w:val="24"/>
          <w:szCs w:val="24"/>
          <w:u w:val="single"/>
        </w:rPr>
        <w:t xml:space="preserve"> No.</w:t>
      </w:r>
      <w:r w:rsidRPr="00C6470E">
        <w:rPr>
          <w:sz w:val="24"/>
          <w:szCs w:val="24"/>
          <w:u w:val="single"/>
        </w:rPr>
        <w:t xml:space="preserve"> 1</w:t>
      </w:r>
    </w:p>
    <w:p w:rsidR="00B1462B" w:rsidRPr="00B1462B" w:rsidRDefault="001E13BB" w:rsidP="00B1462B">
      <w:pPr>
        <w:pStyle w:val="BodyText2"/>
        <w:tabs>
          <w:tab w:val="left" w:pos="1440"/>
        </w:tabs>
        <w:ind w:firstLine="720"/>
        <w:rPr>
          <w:rStyle w:val="LineNumber"/>
        </w:rPr>
      </w:pPr>
      <w:r w:rsidRPr="001E13BB">
        <w:rPr>
          <w:rStyle w:val="Lin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6.2pt;width:457pt;height:180.25pt;z-index:251660288;mso-position-horizontal-relative:text;mso-position-vertical-relative:text">
            <v:imagedata r:id="rId12" o:title=""/>
          </v:shape>
          <o:OLEObject Type="Embed" ProgID="Word.Document.12" ShapeID="_x0000_s1026" DrawAspect="Content" ObjectID="_1484474217" r:id="rId13">
            <o:FieldCodes>\s</o:FieldCodes>
          </o:OLEObject>
        </w:pi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126F50" w:rsidRDefault="0045522A" w:rsidP="00B1462B">
      <w:pPr>
        <w:pStyle w:val="BodyText2"/>
        <w:tabs>
          <w:tab w:val="left" w:pos="1440"/>
        </w:tabs>
        <w:ind w:firstLine="720"/>
        <w:rPr>
          <w:rStyle w:val="LineNumber"/>
        </w:rPr>
      </w:pPr>
      <w:r w:rsidRPr="00294885">
        <w:rPr>
          <w:rStyle w:val="LineNumber"/>
        </w:rPr>
        <w:t xml:space="preserve">As can be observed from the above table, </w:t>
      </w:r>
      <w:r w:rsidR="00DB1822" w:rsidRPr="00294885">
        <w:rPr>
          <w:rStyle w:val="LineNumber"/>
        </w:rPr>
        <w:t>R</w:t>
      </w:r>
      <w:r w:rsidRPr="00294885">
        <w:rPr>
          <w:rStyle w:val="LineNumber"/>
        </w:rPr>
        <w:t xml:space="preserve">esidential </w:t>
      </w:r>
      <w:r w:rsidR="004639E6" w:rsidRPr="00294885">
        <w:rPr>
          <w:rStyle w:val="LineNumber"/>
        </w:rPr>
        <w:t xml:space="preserve">service </w:t>
      </w:r>
      <w:r w:rsidR="00B34F1A">
        <w:rPr>
          <w:rStyle w:val="LineNumber"/>
        </w:rPr>
        <w:t>S</w:t>
      </w:r>
      <w:r w:rsidR="004639E6" w:rsidRPr="00294885">
        <w:rPr>
          <w:rStyle w:val="LineNumber"/>
        </w:rPr>
        <w:t xml:space="preserve">chedule 1 </w:t>
      </w:r>
      <w:r w:rsidRPr="00294885">
        <w:rPr>
          <w:rStyle w:val="LineNumber"/>
        </w:rPr>
        <w:t>show</w:t>
      </w:r>
      <w:r w:rsidR="004639E6" w:rsidRPr="00294885">
        <w:rPr>
          <w:rStyle w:val="LineNumber"/>
        </w:rPr>
        <w:t>s</w:t>
      </w:r>
      <w:r w:rsidRPr="00294885">
        <w:rPr>
          <w:rStyle w:val="LineNumber"/>
        </w:rPr>
        <w:t xml:space="preserve"> significant under-recov</w:t>
      </w:r>
      <w:r w:rsidR="00F66637" w:rsidRPr="00294885">
        <w:rPr>
          <w:rStyle w:val="LineNumber"/>
        </w:rPr>
        <w:t>ery of the costs to serve them</w:t>
      </w:r>
      <w:r w:rsidR="004639E6" w:rsidRPr="00294885">
        <w:rPr>
          <w:rStyle w:val="LineNumber"/>
        </w:rPr>
        <w:t xml:space="preserve">.  The Extra Large General service </w:t>
      </w:r>
      <w:r w:rsidR="00B34F1A">
        <w:rPr>
          <w:rStyle w:val="LineNumber"/>
        </w:rPr>
        <w:t>S</w:t>
      </w:r>
      <w:r w:rsidR="004639E6" w:rsidRPr="00294885">
        <w:rPr>
          <w:rStyle w:val="LineNumber"/>
        </w:rPr>
        <w:t xml:space="preserve">chedule 25, </w:t>
      </w:r>
      <w:r w:rsidR="00302DBC" w:rsidRPr="00294885">
        <w:rPr>
          <w:rStyle w:val="LineNumber"/>
        </w:rPr>
        <w:t xml:space="preserve">the </w:t>
      </w:r>
      <w:r w:rsidR="00DB1822" w:rsidRPr="00294885">
        <w:rPr>
          <w:rStyle w:val="LineNumber"/>
        </w:rPr>
        <w:t>P</w:t>
      </w:r>
      <w:r w:rsidR="00F66637" w:rsidRPr="00294885">
        <w:rPr>
          <w:rStyle w:val="LineNumber"/>
        </w:rPr>
        <w:t xml:space="preserve">umping service </w:t>
      </w:r>
      <w:r w:rsidR="002961F1" w:rsidRPr="00294885">
        <w:rPr>
          <w:rStyle w:val="LineNumber"/>
        </w:rPr>
        <w:t>schedule (31</w:t>
      </w:r>
      <w:r w:rsidR="00D957C1" w:rsidRPr="00294885">
        <w:rPr>
          <w:rStyle w:val="LineNumber"/>
        </w:rPr>
        <w:t>/32</w:t>
      </w:r>
      <w:r w:rsidR="002961F1" w:rsidRPr="00294885">
        <w:rPr>
          <w:rStyle w:val="LineNumber"/>
        </w:rPr>
        <w:t>)</w:t>
      </w:r>
      <w:r w:rsidR="004639E6" w:rsidRPr="00294885">
        <w:rPr>
          <w:rStyle w:val="LineNumber"/>
        </w:rPr>
        <w:t xml:space="preserve"> and the Lighting service schedules (41-49)</w:t>
      </w:r>
      <w:r w:rsidR="002961F1" w:rsidRPr="00294885">
        <w:rPr>
          <w:rStyle w:val="LineNumber"/>
        </w:rPr>
        <w:t xml:space="preserve"> </w:t>
      </w:r>
      <w:r w:rsidR="004639E6" w:rsidRPr="00294885">
        <w:rPr>
          <w:rStyle w:val="LineNumber"/>
        </w:rPr>
        <w:t xml:space="preserve">all </w:t>
      </w:r>
      <w:r w:rsidR="00F66637" w:rsidRPr="00294885">
        <w:rPr>
          <w:rStyle w:val="LineNumber"/>
        </w:rPr>
        <w:t>show moderate under-recovery</w:t>
      </w:r>
      <w:r w:rsidR="00302DBC" w:rsidRPr="00294885">
        <w:rPr>
          <w:rStyle w:val="LineNumber"/>
        </w:rPr>
        <w:t xml:space="preserve">. </w:t>
      </w:r>
      <w:r w:rsidR="002961F1" w:rsidRPr="00294885">
        <w:rPr>
          <w:rStyle w:val="LineNumber"/>
        </w:rPr>
        <w:t xml:space="preserve"> </w:t>
      </w:r>
      <w:r w:rsidR="00302DBC" w:rsidRPr="00294885">
        <w:rPr>
          <w:rStyle w:val="LineNumber"/>
        </w:rPr>
        <w:t>However,</w:t>
      </w:r>
      <w:r w:rsidRPr="00294885">
        <w:rPr>
          <w:rStyle w:val="LineNumber"/>
        </w:rPr>
        <w:t xml:space="preserve"> the </w:t>
      </w:r>
      <w:r w:rsidR="00DB1822" w:rsidRPr="00294885">
        <w:rPr>
          <w:rStyle w:val="LineNumber"/>
        </w:rPr>
        <w:t>G</w:t>
      </w:r>
      <w:r w:rsidRPr="00294885">
        <w:rPr>
          <w:rStyle w:val="LineNumber"/>
        </w:rPr>
        <w:t>eneral</w:t>
      </w:r>
      <w:r w:rsidR="00302DBC" w:rsidRPr="00294885">
        <w:rPr>
          <w:rStyle w:val="LineNumber"/>
        </w:rPr>
        <w:t xml:space="preserve"> and</w:t>
      </w:r>
      <w:r w:rsidRPr="00294885">
        <w:rPr>
          <w:rStyle w:val="LineNumber"/>
        </w:rPr>
        <w:t xml:space="preserve"> </w:t>
      </w:r>
      <w:r w:rsidR="00DB1822" w:rsidRPr="00294885">
        <w:rPr>
          <w:rStyle w:val="LineNumber"/>
        </w:rPr>
        <w:t>L</w:t>
      </w:r>
      <w:r w:rsidRPr="00294885">
        <w:rPr>
          <w:rStyle w:val="LineNumber"/>
        </w:rPr>
        <w:t xml:space="preserve">arge </w:t>
      </w:r>
      <w:r w:rsidR="00DB1822" w:rsidRPr="00294885">
        <w:rPr>
          <w:rStyle w:val="LineNumber"/>
        </w:rPr>
        <w:t>G</w:t>
      </w:r>
      <w:r w:rsidRPr="00294885">
        <w:rPr>
          <w:rStyle w:val="LineNumber"/>
        </w:rPr>
        <w:t xml:space="preserve">eneral </w:t>
      </w:r>
      <w:r w:rsidR="00302DBC" w:rsidRPr="00294885">
        <w:rPr>
          <w:rStyle w:val="LineNumber"/>
        </w:rPr>
        <w:t xml:space="preserve">service schedules </w:t>
      </w:r>
      <w:r w:rsidR="00F66637" w:rsidRPr="00294885">
        <w:rPr>
          <w:rStyle w:val="LineNumber"/>
        </w:rPr>
        <w:t>(11</w:t>
      </w:r>
      <w:r w:rsidR="00D957C1" w:rsidRPr="00294885">
        <w:rPr>
          <w:rStyle w:val="LineNumber"/>
        </w:rPr>
        <w:t>/12</w:t>
      </w:r>
      <w:r w:rsidR="00302DBC" w:rsidRPr="00294885">
        <w:rPr>
          <w:rStyle w:val="LineNumber"/>
        </w:rPr>
        <w:t xml:space="preserve"> and</w:t>
      </w:r>
      <w:r w:rsidR="00F66637" w:rsidRPr="00294885">
        <w:rPr>
          <w:rStyle w:val="LineNumber"/>
        </w:rPr>
        <w:t xml:space="preserve"> </w:t>
      </w:r>
      <w:r w:rsidRPr="00294885">
        <w:rPr>
          <w:rStyle w:val="LineNumber"/>
        </w:rPr>
        <w:t>21</w:t>
      </w:r>
      <w:r w:rsidR="00D957C1" w:rsidRPr="00294885">
        <w:rPr>
          <w:rStyle w:val="LineNumber"/>
        </w:rPr>
        <w:t>/22</w:t>
      </w:r>
      <w:r w:rsidRPr="00294885">
        <w:rPr>
          <w:rStyle w:val="LineNumber"/>
        </w:rPr>
        <w:t xml:space="preserve">) show </w:t>
      </w:r>
      <w:r w:rsidR="00302DBC" w:rsidRPr="00294885">
        <w:rPr>
          <w:rStyle w:val="LineNumber"/>
        </w:rPr>
        <w:t xml:space="preserve">significant </w:t>
      </w:r>
      <w:r w:rsidRPr="00294885">
        <w:rPr>
          <w:rStyle w:val="LineNumber"/>
        </w:rPr>
        <w:t>over-recovery of the costs to serve</w:t>
      </w:r>
      <w:r w:rsidR="00294885">
        <w:rPr>
          <w:rStyle w:val="LineNumber"/>
        </w:rPr>
        <w:t xml:space="preserve"> them</w:t>
      </w:r>
      <w:r w:rsidRPr="00294885">
        <w:rPr>
          <w:rStyle w:val="LineNumber"/>
        </w:rPr>
        <w:t>.</w:t>
      </w:r>
      <w:r w:rsidR="00F342ED" w:rsidRPr="00294885">
        <w:rPr>
          <w:rStyle w:val="LineNumber"/>
        </w:rPr>
        <w:t xml:space="preserve"> </w:t>
      </w:r>
      <w:r w:rsidRPr="00294885">
        <w:rPr>
          <w:rStyle w:val="LineNumber"/>
        </w:rPr>
        <w:t xml:space="preserve"> </w:t>
      </w:r>
      <w:r w:rsidR="009D5685" w:rsidRPr="00294885">
        <w:rPr>
          <w:rStyle w:val="LineNumber"/>
        </w:rPr>
        <w:t xml:space="preserve">The summary results of this study were provided to Mr. </w:t>
      </w:r>
      <w:r w:rsidR="00CB130C" w:rsidRPr="00294885">
        <w:rPr>
          <w:rStyle w:val="LineNumber"/>
        </w:rPr>
        <w:t>Ehrbar</w:t>
      </w:r>
      <w:r w:rsidR="009D5685" w:rsidRPr="00294885">
        <w:rPr>
          <w:rStyle w:val="LineNumber"/>
        </w:rPr>
        <w:t xml:space="preserve"> </w:t>
      </w:r>
      <w:r w:rsidR="00877BFE">
        <w:rPr>
          <w:rStyle w:val="LineNumber"/>
        </w:rPr>
        <w:t>for consideration in the</w:t>
      </w:r>
      <w:r w:rsidR="009D5685" w:rsidRPr="00294885">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6FE" w:rsidRDefault="000606FE">
      <w:r>
        <w:separator/>
      </w:r>
    </w:p>
  </w:endnote>
  <w:endnote w:type="continuationSeparator" w:id="0">
    <w:p w:rsidR="000606FE" w:rsidRDefault="00060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Pr="00494B5B" w:rsidRDefault="000606FE" w:rsidP="00CF4DCE">
    <w:pPr>
      <w:pStyle w:val="Footer"/>
      <w:tabs>
        <w:tab w:val="clear" w:pos="4320"/>
        <w:tab w:val="clear" w:pos="8640"/>
        <w:tab w:val="left" w:pos="180"/>
        <w:tab w:val="right" w:pos="9360"/>
      </w:tabs>
    </w:pPr>
    <w:r w:rsidRPr="00494B5B">
      <w:t>Direct Testimony of Tara L. Knox</w:t>
    </w:r>
  </w:p>
  <w:p w:rsidR="000606FE" w:rsidRPr="00494B5B" w:rsidRDefault="000606FE"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0606FE" w:rsidRPr="00494B5B" w:rsidRDefault="000606FE" w:rsidP="00052930">
    <w:pPr>
      <w:pStyle w:val="Footer"/>
      <w:tabs>
        <w:tab w:val="clear" w:pos="4320"/>
        <w:tab w:val="clear" w:pos="8640"/>
        <w:tab w:val="left" w:pos="180"/>
        <w:tab w:val="right" w:pos="8910"/>
      </w:tabs>
      <w:rPr>
        <w:lang w:val="fr-FR"/>
      </w:rPr>
    </w:pPr>
    <w:r w:rsidRPr="00494B5B">
      <w:rPr>
        <w:lang w:val="fr-FR"/>
      </w:rPr>
      <w:t xml:space="preserve">Docket No. </w:t>
    </w:r>
    <w:r w:rsidRPr="00494B5B">
      <w:t>UE-1</w:t>
    </w:r>
    <w:r>
      <w:t>5</w:t>
    </w:r>
    <w:r w:rsidRPr="00494B5B">
      <w:t xml:space="preserve">_____ </w:t>
    </w:r>
    <w:r>
      <w:tab/>
    </w:r>
    <w:r w:rsidRPr="00494B5B">
      <w:rPr>
        <w:lang w:val="fr-FR"/>
      </w:rPr>
      <w:t xml:space="preserve">Page </w:t>
    </w:r>
    <w:r w:rsidR="001E13BB" w:rsidRPr="00494B5B">
      <w:rPr>
        <w:rStyle w:val="PageNumber"/>
      </w:rPr>
      <w:fldChar w:fldCharType="begin"/>
    </w:r>
    <w:r w:rsidRPr="00494B5B">
      <w:rPr>
        <w:rStyle w:val="PageNumber"/>
        <w:lang w:val="fr-FR"/>
      </w:rPr>
      <w:instrText xml:space="preserve"> PAGE </w:instrText>
    </w:r>
    <w:r w:rsidR="001E13BB" w:rsidRPr="00494B5B">
      <w:rPr>
        <w:rStyle w:val="PageNumber"/>
      </w:rPr>
      <w:fldChar w:fldCharType="separate"/>
    </w:r>
    <w:r w:rsidR="000737D7">
      <w:rPr>
        <w:rStyle w:val="PageNumber"/>
        <w:noProof/>
        <w:lang w:val="fr-FR"/>
      </w:rPr>
      <w:t>14</w:t>
    </w:r>
    <w:r w:rsidR="001E13BB" w:rsidRPr="00494B5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Default="000606F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6FE" w:rsidRDefault="000606FE">
      <w:r>
        <w:separator/>
      </w:r>
    </w:p>
  </w:footnote>
  <w:footnote w:type="continuationSeparator" w:id="0">
    <w:p w:rsidR="000606FE" w:rsidRDefault="000606FE">
      <w:r>
        <w:continuationSeparator/>
      </w:r>
    </w:p>
  </w:footnote>
  <w:footnote w:id="1">
    <w:p w:rsidR="000606FE" w:rsidRDefault="000606FE" w:rsidP="00744FF5">
      <w:pPr>
        <w:pStyle w:val="FootnoteText"/>
        <w:jc w:val="both"/>
      </w:pPr>
      <w:r>
        <w:rPr>
          <w:rStyle w:val="FootnoteReference"/>
        </w:rPr>
        <w:footnoteRef/>
      </w:r>
      <w:r>
        <w:t xml:space="preserve">  The heating season includes the months of January through June and October through December.</w:t>
      </w:r>
    </w:p>
  </w:footnote>
  <w:footnote w:id="2">
    <w:p w:rsidR="000606FE" w:rsidRDefault="000606FE" w:rsidP="00F8402F">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3">
    <w:p w:rsidR="000606FE" w:rsidRPr="00224D77" w:rsidRDefault="000606FE"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4">
    <w:p w:rsidR="000606FE" w:rsidRDefault="000606FE">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Pr="00494B5B" w:rsidRDefault="000606FE" w:rsidP="00052930">
    <w:pPr>
      <w:pStyle w:val="Header"/>
      <w:tabs>
        <w:tab w:val="clear" w:pos="8640"/>
        <w:tab w:val="right" w:pos="8910"/>
      </w:tabs>
      <w:jc w:val="right"/>
    </w:pPr>
    <w:r w:rsidRPr="00494B5B">
      <w:t>Exhibit No. ___(TLK-1T)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Pr="00494B5B" w:rsidRDefault="000606FE" w:rsidP="00052930">
    <w:pPr>
      <w:pStyle w:val="Header"/>
      <w:tabs>
        <w:tab w:val="clear" w:pos="8640"/>
        <w:tab w:val="right" w:pos="9000"/>
      </w:tabs>
      <w:jc w:val="right"/>
    </w:pPr>
    <w:r w:rsidRPr="00494B5B">
      <w:t>Exhibit No. ___(TLK-1T)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rsids>
    <w:rsidRoot w:val="00A963D1"/>
    <w:rsid w:val="0000269E"/>
    <w:rsid w:val="00003608"/>
    <w:rsid w:val="00003D39"/>
    <w:rsid w:val="00004B79"/>
    <w:rsid w:val="00005260"/>
    <w:rsid w:val="000078A1"/>
    <w:rsid w:val="00007AC6"/>
    <w:rsid w:val="00016C3C"/>
    <w:rsid w:val="00021F26"/>
    <w:rsid w:val="00025C20"/>
    <w:rsid w:val="00030378"/>
    <w:rsid w:val="000363D3"/>
    <w:rsid w:val="00041899"/>
    <w:rsid w:val="0005169B"/>
    <w:rsid w:val="00052930"/>
    <w:rsid w:val="00054D31"/>
    <w:rsid w:val="00054EB7"/>
    <w:rsid w:val="00054FEB"/>
    <w:rsid w:val="000552DD"/>
    <w:rsid w:val="00057770"/>
    <w:rsid w:val="000602B7"/>
    <w:rsid w:val="000606FE"/>
    <w:rsid w:val="00061EEC"/>
    <w:rsid w:val="00064D24"/>
    <w:rsid w:val="00065A7E"/>
    <w:rsid w:val="000664A2"/>
    <w:rsid w:val="000737D7"/>
    <w:rsid w:val="00074EFB"/>
    <w:rsid w:val="000751D5"/>
    <w:rsid w:val="000873D1"/>
    <w:rsid w:val="000A285D"/>
    <w:rsid w:val="000A28CF"/>
    <w:rsid w:val="000A2E1F"/>
    <w:rsid w:val="000A3F07"/>
    <w:rsid w:val="000B12B7"/>
    <w:rsid w:val="000B4D33"/>
    <w:rsid w:val="000C0E1B"/>
    <w:rsid w:val="000C1BCD"/>
    <w:rsid w:val="000C5D20"/>
    <w:rsid w:val="000D1E78"/>
    <w:rsid w:val="000D5190"/>
    <w:rsid w:val="000E1B5B"/>
    <w:rsid w:val="000E5ECE"/>
    <w:rsid w:val="000E6848"/>
    <w:rsid w:val="000F27F5"/>
    <w:rsid w:val="000F35C0"/>
    <w:rsid w:val="000F3FE6"/>
    <w:rsid w:val="000F54DB"/>
    <w:rsid w:val="001012CB"/>
    <w:rsid w:val="00101864"/>
    <w:rsid w:val="00101957"/>
    <w:rsid w:val="00107FCC"/>
    <w:rsid w:val="00112408"/>
    <w:rsid w:val="001141E4"/>
    <w:rsid w:val="0011588B"/>
    <w:rsid w:val="001203E0"/>
    <w:rsid w:val="00122940"/>
    <w:rsid w:val="001265AA"/>
    <w:rsid w:val="00126A7B"/>
    <w:rsid w:val="00126F50"/>
    <w:rsid w:val="0013314C"/>
    <w:rsid w:val="00136718"/>
    <w:rsid w:val="00140BF5"/>
    <w:rsid w:val="001446B7"/>
    <w:rsid w:val="0014724A"/>
    <w:rsid w:val="001528FE"/>
    <w:rsid w:val="001626DA"/>
    <w:rsid w:val="00164039"/>
    <w:rsid w:val="00164821"/>
    <w:rsid w:val="00164E61"/>
    <w:rsid w:val="001654B1"/>
    <w:rsid w:val="001665D9"/>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E13BB"/>
    <w:rsid w:val="001F51F9"/>
    <w:rsid w:val="00201036"/>
    <w:rsid w:val="00203D96"/>
    <w:rsid w:val="00210EDE"/>
    <w:rsid w:val="00220383"/>
    <w:rsid w:val="00224D77"/>
    <w:rsid w:val="00230390"/>
    <w:rsid w:val="00230C94"/>
    <w:rsid w:val="0023153C"/>
    <w:rsid w:val="00231706"/>
    <w:rsid w:val="002348E1"/>
    <w:rsid w:val="0024465B"/>
    <w:rsid w:val="00246718"/>
    <w:rsid w:val="0025132C"/>
    <w:rsid w:val="002516D7"/>
    <w:rsid w:val="002538D0"/>
    <w:rsid w:val="00253D0F"/>
    <w:rsid w:val="00256585"/>
    <w:rsid w:val="00256A5E"/>
    <w:rsid w:val="00263663"/>
    <w:rsid w:val="00267E9E"/>
    <w:rsid w:val="002722A4"/>
    <w:rsid w:val="00273DAA"/>
    <w:rsid w:val="00290265"/>
    <w:rsid w:val="002911FC"/>
    <w:rsid w:val="00291EBD"/>
    <w:rsid w:val="00292997"/>
    <w:rsid w:val="00294885"/>
    <w:rsid w:val="002961F1"/>
    <w:rsid w:val="002A1FDC"/>
    <w:rsid w:val="002A2237"/>
    <w:rsid w:val="002A689E"/>
    <w:rsid w:val="002B0EE9"/>
    <w:rsid w:val="002B129F"/>
    <w:rsid w:val="002B3F93"/>
    <w:rsid w:val="002C2EBA"/>
    <w:rsid w:val="002D05D3"/>
    <w:rsid w:val="002D310E"/>
    <w:rsid w:val="002E22C9"/>
    <w:rsid w:val="002E4107"/>
    <w:rsid w:val="002E5714"/>
    <w:rsid w:val="002E6A52"/>
    <w:rsid w:val="002E719E"/>
    <w:rsid w:val="002E76C8"/>
    <w:rsid w:val="002F18AE"/>
    <w:rsid w:val="002F31B8"/>
    <w:rsid w:val="002F4CAE"/>
    <w:rsid w:val="002F5594"/>
    <w:rsid w:val="002F7FD2"/>
    <w:rsid w:val="003016CC"/>
    <w:rsid w:val="00301C95"/>
    <w:rsid w:val="00302DBC"/>
    <w:rsid w:val="00303F20"/>
    <w:rsid w:val="00313777"/>
    <w:rsid w:val="0031529C"/>
    <w:rsid w:val="00323C07"/>
    <w:rsid w:val="003256AE"/>
    <w:rsid w:val="00330168"/>
    <w:rsid w:val="003404F1"/>
    <w:rsid w:val="0034093F"/>
    <w:rsid w:val="00344EEC"/>
    <w:rsid w:val="00345A9F"/>
    <w:rsid w:val="00352530"/>
    <w:rsid w:val="00356F57"/>
    <w:rsid w:val="0036404D"/>
    <w:rsid w:val="00372320"/>
    <w:rsid w:val="0037503C"/>
    <w:rsid w:val="003844FD"/>
    <w:rsid w:val="0038461F"/>
    <w:rsid w:val="00386544"/>
    <w:rsid w:val="0039490D"/>
    <w:rsid w:val="003A321C"/>
    <w:rsid w:val="003A52AC"/>
    <w:rsid w:val="003A745F"/>
    <w:rsid w:val="003A7584"/>
    <w:rsid w:val="003B2611"/>
    <w:rsid w:val="003B7BFA"/>
    <w:rsid w:val="003C29E6"/>
    <w:rsid w:val="003D5F0F"/>
    <w:rsid w:val="003E4765"/>
    <w:rsid w:val="003F764A"/>
    <w:rsid w:val="004016FD"/>
    <w:rsid w:val="00402951"/>
    <w:rsid w:val="00414626"/>
    <w:rsid w:val="00414802"/>
    <w:rsid w:val="004164A8"/>
    <w:rsid w:val="00420C74"/>
    <w:rsid w:val="00423A78"/>
    <w:rsid w:val="00424118"/>
    <w:rsid w:val="00431EF0"/>
    <w:rsid w:val="00434658"/>
    <w:rsid w:val="00443BBA"/>
    <w:rsid w:val="0045077A"/>
    <w:rsid w:val="00450839"/>
    <w:rsid w:val="00451CF7"/>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922EC"/>
    <w:rsid w:val="00493337"/>
    <w:rsid w:val="00494B5B"/>
    <w:rsid w:val="004A715E"/>
    <w:rsid w:val="004A78C9"/>
    <w:rsid w:val="004B0924"/>
    <w:rsid w:val="004B1676"/>
    <w:rsid w:val="004B41C0"/>
    <w:rsid w:val="004B432F"/>
    <w:rsid w:val="004B468B"/>
    <w:rsid w:val="004B50FC"/>
    <w:rsid w:val="004B6A4F"/>
    <w:rsid w:val="004B78D3"/>
    <w:rsid w:val="004C5B40"/>
    <w:rsid w:val="004C7542"/>
    <w:rsid w:val="004D0D6F"/>
    <w:rsid w:val="004D4180"/>
    <w:rsid w:val="004D6200"/>
    <w:rsid w:val="004E2235"/>
    <w:rsid w:val="004E6B01"/>
    <w:rsid w:val="004F291C"/>
    <w:rsid w:val="004F51D7"/>
    <w:rsid w:val="00500B60"/>
    <w:rsid w:val="00503047"/>
    <w:rsid w:val="00504ED4"/>
    <w:rsid w:val="00505264"/>
    <w:rsid w:val="0050645E"/>
    <w:rsid w:val="00512BE7"/>
    <w:rsid w:val="005141C3"/>
    <w:rsid w:val="00515C2C"/>
    <w:rsid w:val="00515CAC"/>
    <w:rsid w:val="00517648"/>
    <w:rsid w:val="00524A02"/>
    <w:rsid w:val="00525078"/>
    <w:rsid w:val="00526DC1"/>
    <w:rsid w:val="00541A1B"/>
    <w:rsid w:val="00551FB7"/>
    <w:rsid w:val="00554F12"/>
    <w:rsid w:val="00556F36"/>
    <w:rsid w:val="0055713C"/>
    <w:rsid w:val="00562E32"/>
    <w:rsid w:val="0056302E"/>
    <w:rsid w:val="005652DF"/>
    <w:rsid w:val="00571C64"/>
    <w:rsid w:val="00572461"/>
    <w:rsid w:val="00576D0D"/>
    <w:rsid w:val="00581E5D"/>
    <w:rsid w:val="0058253D"/>
    <w:rsid w:val="005831AC"/>
    <w:rsid w:val="005876C0"/>
    <w:rsid w:val="00590442"/>
    <w:rsid w:val="00590DA3"/>
    <w:rsid w:val="00597CA7"/>
    <w:rsid w:val="005A61F0"/>
    <w:rsid w:val="005A6E1F"/>
    <w:rsid w:val="005B40AF"/>
    <w:rsid w:val="005C02CE"/>
    <w:rsid w:val="005C2E22"/>
    <w:rsid w:val="005D082B"/>
    <w:rsid w:val="005D2670"/>
    <w:rsid w:val="005D3A7F"/>
    <w:rsid w:val="005E0782"/>
    <w:rsid w:val="005E19CE"/>
    <w:rsid w:val="005E5E58"/>
    <w:rsid w:val="005E6D92"/>
    <w:rsid w:val="005F180C"/>
    <w:rsid w:val="005F713B"/>
    <w:rsid w:val="005F7777"/>
    <w:rsid w:val="006055D9"/>
    <w:rsid w:val="006065C0"/>
    <w:rsid w:val="006106D9"/>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804B0"/>
    <w:rsid w:val="00685F40"/>
    <w:rsid w:val="00687F22"/>
    <w:rsid w:val="0069231A"/>
    <w:rsid w:val="006941D8"/>
    <w:rsid w:val="00695E77"/>
    <w:rsid w:val="00697002"/>
    <w:rsid w:val="006A43E2"/>
    <w:rsid w:val="006C0634"/>
    <w:rsid w:val="006C1FC2"/>
    <w:rsid w:val="006C3764"/>
    <w:rsid w:val="006C43C5"/>
    <w:rsid w:val="006C4990"/>
    <w:rsid w:val="006C6F68"/>
    <w:rsid w:val="006D61A3"/>
    <w:rsid w:val="006F462C"/>
    <w:rsid w:val="006F5F69"/>
    <w:rsid w:val="006F6F78"/>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50257"/>
    <w:rsid w:val="007509D7"/>
    <w:rsid w:val="00750EA9"/>
    <w:rsid w:val="00751292"/>
    <w:rsid w:val="007576DF"/>
    <w:rsid w:val="00761476"/>
    <w:rsid w:val="007761F1"/>
    <w:rsid w:val="00777333"/>
    <w:rsid w:val="007826F1"/>
    <w:rsid w:val="007904A5"/>
    <w:rsid w:val="00790E2C"/>
    <w:rsid w:val="007941A2"/>
    <w:rsid w:val="007A5120"/>
    <w:rsid w:val="007A6AB5"/>
    <w:rsid w:val="007B02B3"/>
    <w:rsid w:val="007B1338"/>
    <w:rsid w:val="007B4178"/>
    <w:rsid w:val="007C05B4"/>
    <w:rsid w:val="007C1590"/>
    <w:rsid w:val="007C3C6F"/>
    <w:rsid w:val="007D3A3D"/>
    <w:rsid w:val="007D6918"/>
    <w:rsid w:val="007E2589"/>
    <w:rsid w:val="007E28E2"/>
    <w:rsid w:val="007F57E8"/>
    <w:rsid w:val="007F5D7C"/>
    <w:rsid w:val="007F709D"/>
    <w:rsid w:val="00811147"/>
    <w:rsid w:val="00814E3D"/>
    <w:rsid w:val="00815443"/>
    <w:rsid w:val="00817553"/>
    <w:rsid w:val="00821238"/>
    <w:rsid w:val="00825FB0"/>
    <w:rsid w:val="0083037A"/>
    <w:rsid w:val="00830B25"/>
    <w:rsid w:val="00831648"/>
    <w:rsid w:val="008351A3"/>
    <w:rsid w:val="00840152"/>
    <w:rsid w:val="00841673"/>
    <w:rsid w:val="00844D65"/>
    <w:rsid w:val="008512FC"/>
    <w:rsid w:val="00855C39"/>
    <w:rsid w:val="0085621F"/>
    <w:rsid w:val="008642E3"/>
    <w:rsid w:val="00875614"/>
    <w:rsid w:val="00877BFE"/>
    <w:rsid w:val="0088097A"/>
    <w:rsid w:val="00882F4B"/>
    <w:rsid w:val="00884955"/>
    <w:rsid w:val="008917BA"/>
    <w:rsid w:val="00893DAE"/>
    <w:rsid w:val="008A0335"/>
    <w:rsid w:val="008A2C58"/>
    <w:rsid w:val="008A36DF"/>
    <w:rsid w:val="008B3E6D"/>
    <w:rsid w:val="008B72B5"/>
    <w:rsid w:val="008C3FC5"/>
    <w:rsid w:val="008D14CA"/>
    <w:rsid w:val="008D1775"/>
    <w:rsid w:val="008D5DDD"/>
    <w:rsid w:val="008E7190"/>
    <w:rsid w:val="008F374B"/>
    <w:rsid w:val="008F50DA"/>
    <w:rsid w:val="00902CF1"/>
    <w:rsid w:val="00903355"/>
    <w:rsid w:val="009040C1"/>
    <w:rsid w:val="009071A4"/>
    <w:rsid w:val="0090737C"/>
    <w:rsid w:val="00913E17"/>
    <w:rsid w:val="00916BFB"/>
    <w:rsid w:val="00922E66"/>
    <w:rsid w:val="00923B86"/>
    <w:rsid w:val="009277E0"/>
    <w:rsid w:val="009315D3"/>
    <w:rsid w:val="009321DB"/>
    <w:rsid w:val="009361E6"/>
    <w:rsid w:val="00946713"/>
    <w:rsid w:val="00953713"/>
    <w:rsid w:val="009545F3"/>
    <w:rsid w:val="0096174A"/>
    <w:rsid w:val="00964FF3"/>
    <w:rsid w:val="009677C3"/>
    <w:rsid w:val="009707CB"/>
    <w:rsid w:val="009722A9"/>
    <w:rsid w:val="0097488A"/>
    <w:rsid w:val="00974C0B"/>
    <w:rsid w:val="00975CA8"/>
    <w:rsid w:val="00977492"/>
    <w:rsid w:val="00977FA5"/>
    <w:rsid w:val="0098111F"/>
    <w:rsid w:val="009862C0"/>
    <w:rsid w:val="00987DFE"/>
    <w:rsid w:val="00987F8B"/>
    <w:rsid w:val="009A3B54"/>
    <w:rsid w:val="009A3CEA"/>
    <w:rsid w:val="009A4E51"/>
    <w:rsid w:val="009B206B"/>
    <w:rsid w:val="009B4C8F"/>
    <w:rsid w:val="009C2C78"/>
    <w:rsid w:val="009C40E1"/>
    <w:rsid w:val="009C7AB0"/>
    <w:rsid w:val="009D3182"/>
    <w:rsid w:val="009D51C8"/>
    <w:rsid w:val="009D5685"/>
    <w:rsid w:val="009E559A"/>
    <w:rsid w:val="009E6DBD"/>
    <w:rsid w:val="009F7682"/>
    <w:rsid w:val="00A006CA"/>
    <w:rsid w:val="00A1797B"/>
    <w:rsid w:val="00A209B6"/>
    <w:rsid w:val="00A2299C"/>
    <w:rsid w:val="00A24AD7"/>
    <w:rsid w:val="00A26366"/>
    <w:rsid w:val="00A3051B"/>
    <w:rsid w:val="00A314D8"/>
    <w:rsid w:val="00A31C2B"/>
    <w:rsid w:val="00A353B0"/>
    <w:rsid w:val="00A43B86"/>
    <w:rsid w:val="00A44347"/>
    <w:rsid w:val="00A455AC"/>
    <w:rsid w:val="00A4672E"/>
    <w:rsid w:val="00A50051"/>
    <w:rsid w:val="00A56572"/>
    <w:rsid w:val="00A648E9"/>
    <w:rsid w:val="00A64E5D"/>
    <w:rsid w:val="00A7194D"/>
    <w:rsid w:val="00A73674"/>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65CE"/>
    <w:rsid w:val="00AE0314"/>
    <w:rsid w:val="00AE5AD6"/>
    <w:rsid w:val="00AE6B8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425E"/>
    <w:rsid w:val="00B44B6B"/>
    <w:rsid w:val="00B51A31"/>
    <w:rsid w:val="00B5488E"/>
    <w:rsid w:val="00B5613C"/>
    <w:rsid w:val="00B65196"/>
    <w:rsid w:val="00B706EF"/>
    <w:rsid w:val="00B71976"/>
    <w:rsid w:val="00B72008"/>
    <w:rsid w:val="00B7268A"/>
    <w:rsid w:val="00B72FC9"/>
    <w:rsid w:val="00B83B95"/>
    <w:rsid w:val="00B973B2"/>
    <w:rsid w:val="00BA18B1"/>
    <w:rsid w:val="00BA215B"/>
    <w:rsid w:val="00BA33B1"/>
    <w:rsid w:val="00BA4ABD"/>
    <w:rsid w:val="00BB1D94"/>
    <w:rsid w:val="00BB3FC3"/>
    <w:rsid w:val="00BB5EC7"/>
    <w:rsid w:val="00BB6D78"/>
    <w:rsid w:val="00BC157D"/>
    <w:rsid w:val="00BC6F27"/>
    <w:rsid w:val="00BD434A"/>
    <w:rsid w:val="00BE62B7"/>
    <w:rsid w:val="00BE672F"/>
    <w:rsid w:val="00BE7727"/>
    <w:rsid w:val="00BF03C9"/>
    <w:rsid w:val="00BF07C7"/>
    <w:rsid w:val="00BF74D4"/>
    <w:rsid w:val="00C007EE"/>
    <w:rsid w:val="00C05977"/>
    <w:rsid w:val="00C16B2E"/>
    <w:rsid w:val="00C17EA2"/>
    <w:rsid w:val="00C20E12"/>
    <w:rsid w:val="00C25209"/>
    <w:rsid w:val="00C31184"/>
    <w:rsid w:val="00C32372"/>
    <w:rsid w:val="00C35272"/>
    <w:rsid w:val="00C43489"/>
    <w:rsid w:val="00C43F61"/>
    <w:rsid w:val="00C450C9"/>
    <w:rsid w:val="00C53160"/>
    <w:rsid w:val="00C60D25"/>
    <w:rsid w:val="00C62A7C"/>
    <w:rsid w:val="00C6470E"/>
    <w:rsid w:val="00C64FD2"/>
    <w:rsid w:val="00C664FA"/>
    <w:rsid w:val="00C66D83"/>
    <w:rsid w:val="00C66FD9"/>
    <w:rsid w:val="00C70C02"/>
    <w:rsid w:val="00C836A6"/>
    <w:rsid w:val="00C8622D"/>
    <w:rsid w:val="00C92BD3"/>
    <w:rsid w:val="00C93020"/>
    <w:rsid w:val="00C95378"/>
    <w:rsid w:val="00CA0B34"/>
    <w:rsid w:val="00CA6D21"/>
    <w:rsid w:val="00CB130C"/>
    <w:rsid w:val="00CC0788"/>
    <w:rsid w:val="00CC2CB8"/>
    <w:rsid w:val="00CC5F19"/>
    <w:rsid w:val="00CC6847"/>
    <w:rsid w:val="00CC6E54"/>
    <w:rsid w:val="00CD5934"/>
    <w:rsid w:val="00CE3CF8"/>
    <w:rsid w:val="00CE43E9"/>
    <w:rsid w:val="00CE4B34"/>
    <w:rsid w:val="00CF4DCE"/>
    <w:rsid w:val="00CF548C"/>
    <w:rsid w:val="00CF5ECA"/>
    <w:rsid w:val="00CF69F1"/>
    <w:rsid w:val="00CF7ADA"/>
    <w:rsid w:val="00CF7D9C"/>
    <w:rsid w:val="00D006B1"/>
    <w:rsid w:val="00D01338"/>
    <w:rsid w:val="00D02E63"/>
    <w:rsid w:val="00D050B1"/>
    <w:rsid w:val="00D06102"/>
    <w:rsid w:val="00D0767D"/>
    <w:rsid w:val="00D1169F"/>
    <w:rsid w:val="00D11D8F"/>
    <w:rsid w:val="00D144B3"/>
    <w:rsid w:val="00D22322"/>
    <w:rsid w:val="00D24662"/>
    <w:rsid w:val="00D260A4"/>
    <w:rsid w:val="00D33147"/>
    <w:rsid w:val="00D34D9E"/>
    <w:rsid w:val="00D36E2E"/>
    <w:rsid w:val="00D40065"/>
    <w:rsid w:val="00D43ABB"/>
    <w:rsid w:val="00D44C7E"/>
    <w:rsid w:val="00D476D3"/>
    <w:rsid w:val="00D50AA4"/>
    <w:rsid w:val="00D539EE"/>
    <w:rsid w:val="00D55BC6"/>
    <w:rsid w:val="00D565CC"/>
    <w:rsid w:val="00D574CD"/>
    <w:rsid w:val="00D61285"/>
    <w:rsid w:val="00D70DB5"/>
    <w:rsid w:val="00D71325"/>
    <w:rsid w:val="00D73743"/>
    <w:rsid w:val="00D75064"/>
    <w:rsid w:val="00D81029"/>
    <w:rsid w:val="00D833C9"/>
    <w:rsid w:val="00D83680"/>
    <w:rsid w:val="00D91CAF"/>
    <w:rsid w:val="00D94E9A"/>
    <w:rsid w:val="00D957C1"/>
    <w:rsid w:val="00D95B86"/>
    <w:rsid w:val="00DA051F"/>
    <w:rsid w:val="00DA3EDE"/>
    <w:rsid w:val="00DA59C2"/>
    <w:rsid w:val="00DB0503"/>
    <w:rsid w:val="00DB1822"/>
    <w:rsid w:val="00DB40FA"/>
    <w:rsid w:val="00DD3031"/>
    <w:rsid w:val="00DD7CDB"/>
    <w:rsid w:val="00DE07EE"/>
    <w:rsid w:val="00DE27DB"/>
    <w:rsid w:val="00DE4DD1"/>
    <w:rsid w:val="00DE566D"/>
    <w:rsid w:val="00DE6EE7"/>
    <w:rsid w:val="00DE705C"/>
    <w:rsid w:val="00DF046C"/>
    <w:rsid w:val="00DF072B"/>
    <w:rsid w:val="00DF3814"/>
    <w:rsid w:val="00DF3D18"/>
    <w:rsid w:val="00DF640C"/>
    <w:rsid w:val="00DF67CC"/>
    <w:rsid w:val="00DF7D34"/>
    <w:rsid w:val="00DF7DFA"/>
    <w:rsid w:val="00E00031"/>
    <w:rsid w:val="00E00E19"/>
    <w:rsid w:val="00E05388"/>
    <w:rsid w:val="00E12248"/>
    <w:rsid w:val="00E13390"/>
    <w:rsid w:val="00E13F47"/>
    <w:rsid w:val="00E15604"/>
    <w:rsid w:val="00E15D1D"/>
    <w:rsid w:val="00E20C71"/>
    <w:rsid w:val="00E23D9C"/>
    <w:rsid w:val="00E326DE"/>
    <w:rsid w:val="00E327BB"/>
    <w:rsid w:val="00E33030"/>
    <w:rsid w:val="00E35467"/>
    <w:rsid w:val="00E37C4B"/>
    <w:rsid w:val="00E40626"/>
    <w:rsid w:val="00E46203"/>
    <w:rsid w:val="00E51012"/>
    <w:rsid w:val="00E53A60"/>
    <w:rsid w:val="00E54406"/>
    <w:rsid w:val="00E574B0"/>
    <w:rsid w:val="00E575D0"/>
    <w:rsid w:val="00E60CE1"/>
    <w:rsid w:val="00E6206B"/>
    <w:rsid w:val="00E660F2"/>
    <w:rsid w:val="00E66270"/>
    <w:rsid w:val="00E71E23"/>
    <w:rsid w:val="00E764B4"/>
    <w:rsid w:val="00E809DF"/>
    <w:rsid w:val="00E80FF3"/>
    <w:rsid w:val="00E8676D"/>
    <w:rsid w:val="00E87DF8"/>
    <w:rsid w:val="00E91800"/>
    <w:rsid w:val="00E920E2"/>
    <w:rsid w:val="00E949C5"/>
    <w:rsid w:val="00EA57EB"/>
    <w:rsid w:val="00EA5986"/>
    <w:rsid w:val="00EB20A3"/>
    <w:rsid w:val="00EC349D"/>
    <w:rsid w:val="00ED15AA"/>
    <w:rsid w:val="00ED3CA4"/>
    <w:rsid w:val="00ED7374"/>
    <w:rsid w:val="00ED7C1B"/>
    <w:rsid w:val="00EE773C"/>
    <w:rsid w:val="00EF6834"/>
    <w:rsid w:val="00EF7B81"/>
    <w:rsid w:val="00F0570C"/>
    <w:rsid w:val="00F1071D"/>
    <w:rsid w:val="00F1259E"/>
    <w:rsid w:val="00F17266"/>
    <w:rsid w:val="00F26736"/>
    <w:rsid w:val="00F26CBE"/>
    <w:rsid w:val="00F342ED"/>
    <w:rsid w:val="00F35203"/>
    <w:rsid w:val="00F40206"/>
    <w:rsid w:val="00F4261B"/>
    <w:rsid w:val="00F4307F"/>
    <w:rsid w:val="00F47CF2"/>
    <w:rsid w:val="00F55870"/>
    <w:rsid w:val="00F562A8"/>
    <w:rsid w:val="00F56BB5"/>
    <w:rsid w:val="00F62F08"/>
    <w:rsid w:val="00F65F05"/>
    <w:rsid w:val="00F66637"/>
    <w:rsid w:val="00F71B81"/>
    <w:rsid w:val="00F7203A"/>
    <w:rsid w:val="00F8402F"/>
    <w:rsid w:val="00F85B01"/>
    <w:rsid w:val="00F8682D"/>
    <w:rsid w:val="00F91DC4"/>
    <w:rsid w:val="00FA1961"/>
    <w:rsid w:val="00FA4068"/>
    <w:rsid w:val="00FB1355"/>
    <w:rsid w:val="00FB1467"/>
    <w:rsid w:val="00FB1926"/>
    <w:rsid w:val="00FB77A4"/>
    <w:rsid w:val="00FC6896"/>
    <w:rsid w:val="00FD09D4"/>
    <w:rsid w:val="00FD2B04"/>
    <w:rsid w:val="00FD2DA3"/>
    <w:rsid w:val="00FD6013"/>
    <w:rsid w:val="00FE0042"/>
    <w:rsid w:val="00FE0403"/>
    <w:rsid w:val="00FE4443"/>
    <w:rsid w:val="00FF091E"/>
    <w:rsid w:val="00FF1DC3"/>
    <w:rsid w:val="00FF5330"/>
    <w:rsid w:val="00FF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AC1022-BA97-49A9-9408-57C49723069D}"/>
</file>

<file path=customXml/itemProps2.xml><?xml version="1.0" encoding="utf-8"?>
<ds:datastoreItem xmlns:ds="http://schemas.openxmlformats.org/officeDocument/2006/customXml" ds:itemID="{94849027-D4DA-4E17-B126-F4431DC0333B}"/>
</file>

<file path=customXml/itemProps3.xml><?xml version="1.0" encoding="utf-8"?>
<ds:datastoreItem xmlns:ds="http://schemas.openxmlformats.org/officeDocument/2006/customXml" ds:itemID="{ADFDB52D-805F-4652-87ED-552C081BF678}"/>
</file>

<file path=customXml/itemProps4.xml><?xml version="1.0" encoding="utf-8"?>
<ds:datastoreItem xmlns:ds="http://schemas.openxmlformats.org/officeDocument/2006/customXml" ds:itemID="{3A4A0382-2CB2-4F58-88EC-17EA1941647A}"/>
</file>

<file path=customXml/itemProps5.xml><?xml version="1.0" encoding="utf-8"?>
<ds:datastoreItem xmlns:ds="http://schemas.openxmlformats.org/officeDocument/2006/customXml" ds:itemID="{2257B0DF-E9EF-4391-A688-F2084B29DBB6}"/>
</file>

<file path=docProps/app.xml><?xml version="1.0" encoding="utf-8"?>
<Properties xmlns="http://schemas.openxmlformats.org/officeDocument/2006/extended-properties" xmlns:vt="http://schemas.openxmlformats.org/officeDocument/2006/docPropsVTypes">
  <Template>Normal.dotm</Template>
  <TotalTime>1083</TotalTime>
  <Pages>15</Pages>
  <Words>3317</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Pat Ehrbar</cp:lastModifiedBy>
  <cp:revision>33</cp:revision>
  <cp:lastPrinted>2014-01-29T22:04:00Z</cp:lastPrinted>
  <dcterms:created xsi:type="dcterms:W3CDTF">2014-01-28T18:28:00Z</dcterms:created>
  <dcterms:modified xsi:type="dcterms:W3CDTF">2015-02-03T21:11:00Z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