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964EB" w14:textId="77777777" w:rsidR="00BD6A2B" w:rsidRPr="00074E2B" w:rsidRDefault="00BD6A2B" w:rsidP="005C74DA">
      <w:pPr>
        <w:spacing w:line="264" w:lineRule="auto"/>
        <w:jc w:val="center"/>
        <w:rPr>
          <w:b/>
          <w:bCs/>
          <w:sz w:val="25"/>
          <w:szCs w:val="25"/>
        </w:rPr>
      </w:pPr>
      <w:r w:rsidRPr="00074E2B">
        <w:rPr>
          <w:b/>
          <w:bCs/>
          <w:sz w:val="25"/>
          <w:szCs w:val="25"/>
        </w:rPr>
        <w:t>BEFORE THE WASHINGTON</w:t>
      </w:r>
    </w:p>
    <w:p w14:paraId="1B6139FB" w14:textId="77777777" w:rsidR="00BD6A2B" w:rsidRPr="00074E2B" w:rsidRDefault="00BD6A2B" w:rsidP="005C74DA">
      <w:pPr>
        <w:spacing w:line="264" w:lineRule="auto"/>
        <w:jc w:val="center"/>
        <w:rPr>
          <w:b/>
          <w:bCs/>
          <w:sz w:val="25"/>
          <w:szCs w:val="25"/>
        </w:rPr>
      </w:pPr>
      <w:r w:rsidRPr="00074E2B">
        <w:rPr>
          <w:b/>
          <w:bCs/>
          <w:sz w:val="25"/>
          <w:szCs w:val="25"/>
        </w:rPr>
        <w:t>UTILITIES AND TRANSPORTATION COMMISSION</w:t>
      </w:r>
    </w:p>
    <w:p w14:paraId="7BFA04E8" w14:textId="77777777" w:rsidR="00685203" w:rsidRDefault="00685203" w:rsidP="005C74DA">
      <w:pPr>
        <w:spacing w:line="264" w:lineRule="auto"/>
        <w:jc w:val="center"/>
        <w:rPr>
          <w:sz w:val="25"/>
          <w:szCs w:val="25"/>
        </w:rPr>
      </w:pPr>
    </w:p>
    <w:p w14:paraId="419B375C" w14:textId="77777777" w:rsidR="00665E49" w:rsidRPr="00074E2B" w:rsidRDefault="00665E49" w:rsidP="005C74DA">
      <w:pPr>
        <w:spacing w:line="264" w:lineRule="auto"/>
        <w:jc w:val="center"/>
        <w:rPr>
          <w:sz w:val="25"/>
          <w:szCs w:val="25"/>
        </w:rPr>
      </w:pPr>
    </w:p>
    <w:tbl>
      <w:tblPr>
        <w:tblW w:w="8646" w:type="dxa"/>
        <w:tblInd w:w="108" w:type="dxa"/>
        <w:tblLook w:val="01E0" w:firstRow="1" w:lastRow="1" w:firstColumn="1" w:lastColumn="1" w:noHBand="0" w:noVBand="0"/>
      </w:tblPr>
      <w:tblGrid>
        <w:gridCol w:w="4230"/>
        <w:gridCol w:w="360"/>
        <w:gridCol w:w="4056"/>
      </w:tblGrid>
      <w:tr w:rsidR="004A73E6" w:rsidRPr="00074E2B" w14:paraId="51D67D0C" w14:textId="77777777" w:rsidTr="00074E2B">
        <w:tc>
          <w:tcPr>
            <w:tcW w:w="4230" w:type="dxa"/>
          </w:tcPr>
          <w:p w14:paraId="7AA7A0A8" w14:textId="77777777" w:rsidR="004A73E6" w:rsidRDefault="00DC04FE" w:rsidP="005C74DA">
            <w:pPr>
              <w:spacing w:line="264" w:lineRule="auto"/>
              <w:rPr>
                <w:sz w:val="25"/>
                <w:szCs w:val="25"/>
              </w:rPr>
            </w:pPr>
            <w:r>
              <w:rPr>
                <w:sz w:val="25"/>
                <w:szCs w:val="25"/>
              </w:rPr>
              <w:t>In the Matter of the Petition of</w:t>
            </w:r>
            <w:r w:rsidR="004A73E6" w:rsidRPr="00074E2B">
              <w:rPr>
                <w:sz w:val="25"/>
                <w:szCs w:val="25"/>
              </w:rPr>
              <w:t xml:space="preserve"> </w:t>
            </w:r>
          </w:p>
          <w:p w14:paraId="0BCB3DE0" w14:textId="77777777" w:rsidR="00401161" w:rsidRPr="00074E2B" w:rsidRDefault="00401161" w:rsidP="005C74DA">
            <w:pPr>
              <w:spacing w:line="264" w:lineRule="auto"/>
              <w:rPr>
                <w:sz w:val="25"/>
                <w:szCs w:val="25"/>
              </w:rPr>
            </w:pPr>
          </w:p>
          <w:p w14:paraId="0F118322" w14:textId="77777777" w:rsidR="004A73E6" w:rsidRPr="00074E2B" w:rsidRDefault="004A73E6" w:rsidP="005C74DA">
            <w:pPr>
              <w:spacing w:line="264" w:lineRule="auto"/>
              <w:rPr>
                <w:sz w:val="25"/>
                <w:szCs w:val="25"/>
              </w:rPr>
            </w:pPr>
          </w:p>
          <w:p w14:paraId="2DE07124" w14:textId="77777777" w:rsidR="004A73E6" w:rsidRDefault="00DC04FE" w:rsidP="005C74DA">
            <w:pPr>
              <w:tabs>
                <w:tab w:val="left" w:pos="1782"/>
              </w:tabs>
              <w:spacing w:line="264" w:lineRule="auto"/>
              <w:rPr>
                <w:sz w:val="25"/>
                <w:szCs w:val="25"/>
              </w:rPr>
            </w:pPr>
            <w:r>
              <w:rPr>
                <w:sz w:val="25"/>
                <w:szCs w:val="25"/>
              </w:rPr>
              <w:t>PUGET SOUND ENERGY</w:t>
            </w:r>
            <w:r w:rsidR="00A223A1">
              <w:rPr>
                <w:sz w:val="25"/>
                <w:szCs w:val="25"/>
              </w:rPr>
              <w:t>,</w:t>
            </w:r>
          </w:p>
          <w:p w14:paraId="166137FD" w14:textId="77777777" w:rsidR="00A223A1" w:rsidRPr="00074E2B" w:rsidRDefault="00A223A1" w:rsidP="005C74DA">
            <w:pPr>
              <w:tabs>
                <w:tab w:val="left" w:pos="1782"/>
              </w:tabs>
              <w:spacing w:line="264" w:lineRule="auto"/>
              <w:rPr>
                <w:sz w:val="25"/>
                <w:szCs w:val="25"/>
              </w:rPr>
            </w:pPr>
          </w:p>
          <w:p w14:paraId="2AADAA72" w14:textId="77777777" w:rsidR="004A73E6" w:rsidRPr="00074E2B" w:rsidRDefault="00DC04FE" w:rsidP="005C74DA">
            <w:pPr>
              <w:spacing w:line="264" w:lineRule="auto"/>
              <w:rPr>
                <w:sz w:val="25"/>
                <w:szCs w:val="25"/>
              </w:rPr>
            </w:pPr>
            <w:r>
              <w:rPr>
                <w:sz w:val="25"/>
                <w:szCs w:val="25"/>
              </w:rPr>
              <w:t xml:space="preserve">To Update Methodology Used to Allocate Electric Cost of Service and </w:t>
            </w:r>
            <w:r w:rsidR="00401161">
              <w:rPr>
                <w:sz w:val="25"/>
                <w:szCs w:val="25"/>
              </w:rPr>
              <w:t>For Electric Rate Design Purposes</w:t>
            </w:r>
          </w:p>
          <w:p w14:paraId="6370A078" w14:textId="77777777" w:rsidR="004A73E6" w:rsidRPr="00074E2B" w:rsidRDefault="004A73E6" w:rsidP="005C74DA">
            <w:pPr>
              <w:spacing w:line="264" w:lineRule="auto"/>
              <w:jc w:val="center"/>
              <w:rPr>
                <w:sz w:val="25"/>
                <w:szCs w:val="25"/>
              </w:rPr>
            </w:pPr>
            <w:r w:rsidRPr="00074E2B">
              <w:rPr>
                <w:sz w:val="25"/>
                <w:szCs w:val="25"/>
              </w:rPr>
              <w:fldChar w:fldCharType="begin"/>
            </w:r>
            <w:r w:rsidRPr="00074E2B">
              <w:rPr>
                <w:sz w:val="25"/>
                <w:szCs w:val="25"/>
              </w:rPr>
              <w:instrText xml:space="preserve"> ASK acronym1 "Enter company 1's Short Name" \* MERGEFORMAT </w:instrText>
            </w:r>
            <w:r w:rsidRPr="00074E2B">
              <w:rPr>
                <w:sz w:val="25"/>
                <w:szCs w:val="25"/>
              </w:rPr>
              <w:fldChar w:fldCharType="separate"/>
            </w:r>
            <w:bookmarkStart w:id="0" w:name="acronym1"/>
            <w:r w:rsidRPr="00074E2B">
              <w:rPr>
                <w:sz w:val="25"/>
                <w:szCs w:val="25"/>
              </w:rPr>
              <w:t>PSE</w:t>
            </w:r>
            <w:bookmarkEnd w:id="0"/>
            <w:r w:rsidRPr="00074E2B">
              <w:rPr>
                <w:sz w:val="25"/>
                <w:szCs w:val="25"/>
              </w:rPr>
              <w:fldChar w:fldCharType="end"/>
            </w:r>
          </w:p>
          <w:p w14:paraId="72C8F940" w14:textId="77777777" w:rsidR="004A73E6" w:rsidRPr="00074E2B" w:rsidRDefault="004A73E6" w:rsidP="005C74DA">
            <w:pPr>
              <w:spacing w:line="264" w:lineRule="auto"/>
              <w:rPr>
                <w:sz w:val="25"/>
                <w:szCs w:val="25"/>
              </w:rPr>
            </w:pPr>
            <w:r w:rsidRPr="00074E2B">
              <w:rPr>
                <w:sz w:val="25"/>
                <w:szCs w:val="25"/>
              </w:rPr>
              <w:t xml:space="preserve">. . . . . . . . . . . . . . . . . . . . . . . . . . . . </w:t>
            </w:r>
            <w:r w:rsidR="00074E2B">
              <w:rPr>
                <w:sz w:val="25"/>
                <w:szCs w:val="25"/>
              </w:rPr>
              <w:t xml:space="preserve">. . . . </w:t>
            </w:r>
          </w:p>
        </w:tc>
        <w:tc>
          <w:tcPr>
            <w:tcW w:w="360" w:type="dxa"/>
          </w:tcPr>
          <w:p w14:paraId="230F0E67" w14:textId="77777777" w:rsidR="005C74DA" w:rsidRDefault="004A73E6" w:rsidP="005C74DA">
            <w:pPr>
              <w:pStyle w:val="BodyText"/>
              <w:spacing w:after="0" w:line="264" w:lineRule="auto"/>
              <w:rPr>
                <w:sz w:val="25"/>
                <w:szCs w:val="25"/>
              </w:rPr>
            </w:pPr>
            <w:r w:rsidRPr="00074E2B">
              <w:rPr>
                <w:sz w:val="25"/>
                <w:szCs w:val="25"/>
              </w:rPr>
              <w:t>)</w:t>
            </w:r>
            <w:r w:rsidRPr="00074E2B">
              <w:rPr>
                <w:sz w:val="25"/>
                <w:szCs w:val="25"/>
              </w:rPr>
              <w:br/>
              <w:t>)</w:t>
            </w:r>
            <w:r w:rsidRPr="00074E2B">
              <w:rPr>
                <w:sz w:val="25"/>
                <w:szCs w:val="25"/>
              </w:rPr>
              <w:br/>
              <w:t>)</w:t>
            </w:r>
            <w:r w:rsidRPr="00074E2B">
              <w:rPr>
                <w:sz w:val="25"/>
                <w:szCs w:val="25"/>
              </w:rPr>
              <w:br/>
              <w:t>)</w:t>
            </w:r>
            <w:r w:rsidRPr="00074E2B">
              <w:rPr>
                <w:sz w:val="25"/>
                <w:szCs w:val="25"/>
              </w:rPr>
              <w:br/>
              <w:t>)</w:t>
            </w:r>
            <w:r w:rsidRPr="00074E2B">
              <w:rPr>
                <w:sz w:val="25"/>
                <w:szCs w:val="25"/>
              </w:rPr>
              <w:br/>
              <w:t>)</w:t>
            </w:r>
            <w:r w:rsidR="00A223A1">
              <w:rPr>
                <w:sz w:val="25"/>
                <w:szCs w:val="25"/>
              </w:rPr>
              <w:br/>
              <w:t>)</w:t>
            </w:r>
            <w:r w:rsidR="00A223A1">
              <w:rPr>
                <w:sz w:val="25"/>
                <w:szCs w:val="25"/>
              </w:rPr>
              <w:br/>
              <w:t>)</w:t>
            </w:r>
            <w:r w:rsidR="00A223A1">
              <w:rPr>
                <w:sz w:val="25"/>
                <w:szCs w:val="25"/>
              </w:rPr>
              <w:br/>
            </w:r>
            <w:r w:rsidR="005C74DA">
              <w:rPr>
                <w:sz w:val="25"/>
                <w:szCs w:val="25"/>
              </w:rPr>
              <w:t>)</w:t>
            </w:r>
          </w:p>
          <w:p w14:paraId="13A84C87" w14:textId="77777777" w:rsidR="00685203" w:rsidRPr="00074E2B" w:rsidRDefault="00401161" w:rsidP="005C74DA">
            <w:pPr>
              <w:pStyle w:val="BodyText"/>
              <w:spacing w:after="0" w:line="264" w:lineRule="auto"/>
              <w:rPr>
                <w:sz w:val="25"/>
                <w:szCs w:val="25"/>
              </w:rPr>
            </w:pPr>
            <w:r>
              <w:rPr>
                <w:sz w:val="25"/>
                <w:szCs w:val="25"/>
              </w:rPr>
              <w:t>)</w:t>
            </w:r>
          </w:p>
        </w:tc>
        <w:tc>
          <w:tcPr>
            <w:tcW w:w="4056" w:type="dxa"/>
          </w:tcPr>
          <w:p w14:paraId="3A8C98FB" w14:textId="77777777" w:rsidR="004A73E6" w:rsidRPr="00074E2B" w:rsidRDefault="004A73E6" w:rsidP="005C74DA">
            <w:pPr>
              <w:spacing w:line="264" w:lineRule="auto"/>
              <w:rPr>
                <w:b/>
                <w:sz w:val="25"/>
                <w:szCs w:val="25"/>
              </w:rPr>
            </w:pPr>
            <w:r w:rsidRPr="00074E2B">
              <w:rPr>
                <w:sz w:val="25"/>
                <w:szCs w:val="25"/>
              </w:rPr>
              <w:t xml:space="preserve">DOCKET </w:t>
            </w:r>
            <w:r w:rsidRPr="00074E2B">
              <w:rPr>
                <w:sz w:val="25"/>
                <w:szCs w:val="25"/>
              </w:rPr>
              <w:fldChar w:fldCharType="begin"/>
            </w:r>
            <w:r w:rsidRPr="00074E2B">
              <w:rPr>
                <w:sz w:val="25"/>
                <w:szCs w:val="25"/>
              </w:rPr>
              <w:instrText xml:space="preserve"> ASK docket_no "Enter Docket Number using XX=XXXXXX Format</w:instrText>
            </w:r>
            <w:r w:rsidRPr="00074E2B">
              <w:rPr>
                <w:sz w:val="25"/>
                <w:szCs w:val="25"/>
              </w:rPr>
              <w:fldChar w:fldCharType="separate"/>
            </w:r>
            <w:bookmarkStart w:id="1" w:name="docket_no"/>
            <w:r w:rsidRPr="00074E2B">
              <w:rPr>
                <w:sz w:val="25"/>
                <w:szCs w:val="25"/>
              </w:rPr>
              <w:t>UE-130617</w:t>
            </w:r>
            <w:bookmarkEnd w:id="1"/>
            <w:r w:rsidRPr="00074E2B">
              <w:rPr>
                <w:sz w:val="25"/>
                <w:szCs w:val="25"/>
              </w:rPr>
              <w:fldChar w:fldCharType="end"/>
            </w:r>
            <w:r w:rsidR="00A223A1">
              <w:rPr>
                <w:sz w:val="25"/>
                <w:szCs w:val="25"/>
              </w:rPr>
              <w:t>UE-1</w:t>
            </w:r>
            <w:r w:rsidR="00691B85">
              <w:rPr>
                <w:sz w:val="25"/>
                <w:szCs w:val="25"/>
              </w:rPr>
              <w:t>41</w:t>
            </w:r>
            <w:r w:rsidR="00DC04FE">
              <w:rPr>
                <w:sz w:val="25"/>
                <w:szCs w:val="25"/>
              </w:rPr>
              <w:t>368</w:t>
            </w:r>
          </w:p>
          <w:p w14:paraId="3ED5A907" w14:textId="77777777" w:rsidR="00A223A1" w:rsidRDefault="00A223A1" w:rsidP="005C74DA">
            <w:pPr>
              <w:spacing w:line="264" w:lineRule="auto"/>
              <w:rPr>
                <w:sz w:val="25"/>
                <w:szCs w:val="25"/>
              </w:rPr>
            </w:pPr>
          </w:p>
          <w:p w14:paraId="25C25533" w14:textId="77777777" w:rsidR="004A73E6" w:rsidRPr="00074E2B" w:rsidRDefault="004A73E6" w:rsidP="005C74DA">
            <w:pPr>
              <w:spacing w:line="264" w:lineRule="auto"/>
              <w:rPr>
                <w:b/>
                <w:sz w:val="25"/>
                <w:szCs w:val="25"/>
              </w:rPr>
            </w:pPr>
            <w:r w:rsidRPr="00074E2B">
              <w:rPr>
                <w:sz w:val="25"/>
                <w:szCs w:val="25"/>
              </w:rPr>
              <w:fldChar w:fldCharType="begin"/>
            </w:r>
            <w:r w:rsidRPr="00074E2B">
              <w:rPr>
                <w:sz w:val="25"/>
                <w:szCs w:val="25"/>
              </w:rPr>
              <w:instrText xml:space="preserve"> ASK num_revisions "Does this filing change more than one tariff sheet? (yes/no)" \* MERGEFORMAT </w:instrText>
            </w:r>
            <w:r w:rsidRPr="00074E2B">
              <w:rPr>
                <w:sz w:val="25"/>
                <w:szCs w:val="25"/>
              </w:rPr>
              <w:fldChar w:fldCharType="separate"/>
            </w:r>
            <w:bookmarkStart w:id="2" w:name="num_revisions"/>
            <w:r w:rsidRPr="00074E2B">
              <w:rPr>
                <w:sz w:val="25"/>
                <w:szCs w:val="25"/>
              </w:rPr>
              <w:t>No</w:t>
            </w:r>
            <w:bookmarkEnd w:id="2"/>
            <w:r w:rsidRPr="00074E2B">
              <w:rPr>
                <w:sz w:val="25"/>
                <w:szCs w:val="25"/>
              </w:rPr>
              <w:fldChar w:fldCharType="end"/>
            </w:r>
          </w:p>
          <w:p w14:paraId="2B4B4F55" w14:textId="77777777" w:rsidR="004A73E6" w:rsidRPr="00074E2B" w:rsidRDefault="004A73E6" w:rsidP="005C74DA">
            <w:pPr>
              <w:spacing w:line="264" w:lineRule="auto"/>
              <w:rPr>
                <w:b/>
                <w:sz w:val="25"/>
                <w:szCs w:val="25"/>
              </w:rPr>
            </w:pPr>
            <w:r w:rsidRPr="00074E2B">
              <w:rPr>
                <w:sz w:val="25"/>
                <w:szCs w:val="25"/>
              </w:rPr>
              <w:t xml:space="preserve">ORDER </w:t>
            </w:r>
            <w:r w:rsidRPr="00074E2B">
              <w:rPr>
                <w:sz w:val="25"/>
                <w:szCs w:val="25"/>
              </w:rPr>
              <w:fldChar w:fldCharType="begin"/>
            </w:r>
            <w:r w:rsidRPr="00074E2B">
              <w:rPr>
                <w:sz w:val="25"/>
                <w:szCs w:val="25"/>
              </w:rPr>
              <w:instrText xml:space="preserve"> ASK order_no "Enter Order Number"</w:instrText>
            </w:r>
            <w:r w:rsidRPr="00074E2B">
              <w:rPr>
                <w:sz w:val="25"/>
                <w:szCs w:val="25"/>
              </w:rPr>
              <w:fldChar w:fldCharType="separate"/>
            </w:r>
            <w:bookmarkStart w:id="3" w:name="order_no"/>
            <w:r w:rsidRPr="00074E2B">
              <w:rPr>
                <w:sz w:val="25"/>
                <w:szCs w:val="25"/>
              </w:rPr>
              <w:t>01</w:t>
            </w:r>
            <w:bookmarkEnd w:id="3"/>
            <w:r w:rsidRPr="00074E2B">
              <w:rPr>
                <w:sz w:val="25"/>
                <w:szCs w:val="25"/>
              </w:rPr>
              <w:fldChar w:fldCharType="end"/>
            </w:r>
            <w:r w:rsidRPr="00074E2B">
              <w:rPr>
                <w:sz w:val="25"/>
                <w:szCs w:val="25"/>
              </w:rPr>
              <w:t>0</w:t>
            </w:r>
            <w:r w:rsidR="00DC04FE">
              <w:rPr>
                <w:sz w:val="25"/>
                <w:szCs w:val="25"/>
              </w:rPr>
              <w:t>3</w:t>
            </w:r>
          </w:p>
          <w:p w14:paraId="032F4680" w14:textId="77777777" w:rsidR="004A73E6" w:rsidRPr="00074E2B" w:rsidRDefault="006A26AC" w:rsidP="005C74DA">
            <w:pPr>
              <w:tabs>
                <w:tab w:val="left" w:pos="967"/>
              </w:tabs>
              <w:spacing w:line="264" w:lineRule="auto"/>
              <w:rPr>
                <w:b/>
                <w:sz w:val="25"/>
                <w:szCs w:val="25"/>
              </w:rPr>
            </w:pPr>
            <w:r>
              <w:rPr>
                <w:b/>
                <w:sz w:val="25"/>
                <w:szCs w:val="25"/>
              </w:rPr>
              <w:tab/>
            </w:r>
          </w:p>
          <w:p w14:paraId="47B04F14" w14:textId="77777777" w:rsidR="004A73E6" w:rsidRPr="00074E2B" w:rsidRDefault="00421F15" w:rsidP="005C74DA">
            <w:pPr>
              <w:spacing w:line="264" w:lineRule="auto"/>
              <w:rPr>
                <w:b/>
                <w:sz w:val="25"/>
                <w:szCs w:val="25"/>
              </w:rPr>
            </w:pPr>
            <w:r>
              <w:rPr>
                <w:sz w:val="25"/>
                <w:szCs w:val="25"/>
              </w:rPr>
              <w:t>FINAL</w:t>
            </w:r>
            <w:r w:rsidR="004A73E6" w:rsidRPr="00074E2B">
              <w:rPr>
                <w:sz w:val="25"/>
                <w:szCs w:val="25"/>
              </w:rPr>
              <w:t xml:space="preserve"> ORDER</w:t>
            </w:r>
            <w:r>
              <w:rPr>
                <w:sz w:val="25"/>
                <w:szCs w:val="25"/>
              </w:rPr>
              <w:t xml:space="preserve"> APPROVING AND ADOPTING SETTLEMENT AGREEMENT</w:t>
            </w:r>
          </w:p>
        </w:tc>
      </w:tr>
    </w:tbl>
    <w:p w14:paraId="2C880A7B" w14:textId="77777777" w:rsidR="00074E2B" w:rsidRDefault="00074E2B" w:rsidP="005C74DA">
      <w:pPr>
        <w:spacing w:line="264" w:lineRule="auto"/>
        <w:rPr>
          <w:bCs/>
          <w:sz w:val="25"/>
          <w:szCs w:val="25"/>
        </w:rPr>
      </w:pPr>
    </w:p>
    <w:p w14:paraId="7A06D158" w14:textId="77777777" w:rsidR="00685203" w:rsidRPr="00E518D6" w:rsidRDefault="00685203" w:rsidP="005C74DA">
      <w:pPr>
        <w:spacing w:line="264" w:lineRule="auto"/>
        <w:rPr>
          <w:bCs/>
          <w:sz w:val="25"/>
          <w:szCs w:val="25"/>
        </w:rPr>
      </w:pPr>
    </w:p>
    <w:p w14:paraId="729A13CD" w14:textId="77777777" w:rsidR="00AB558E" w:rsidRPr="00E627F3" w:rsidRDefault="00844D13" w:rsidP="005C74DA">
      <w:pPr>
        <w:numPr>
          <w:ilvl w:val="0"/>
          <w:numId w:val="14"/>
        </w:numPr>
        <w:spacing w:line="264" w:lineRule="auto"/>
        <w:ind w:hanging="720"/>
        <w:rPr>
          <w:sz w:val="25"/>
          <w:szCs w:val="25"/>
        </w:rPr>
      </w:pPr>
      <w:r w:rsidRPr="00054E65">
        <w:rPr>
          <w:b/>
          <w:sz w:val="25"/>
          <w:szCs w:val="25"/>
        </w:rPr>
        <w:t xml:space="preserve">PROCEEDING:  </w:t>
      </w:r>
      <w:r w:rsidR="009D1773">
        <w:rPr>
          <w:sz w:val="25"/>
          <w:szCs w:val="25"/>
        </w:rPr>
        <w:t>O</w:t>
      </w:r>
      <w:r w:rsidR="009D1773" w:rsidRPr="00CB7F45">
        <w:rPr>
          <w:sz w:val="25"/>
          <w:szCs w:val="25"/>
        </w:rPr>
        <w:t xml:space="preserve">n </w:t>
      </w:r>
      <w:r w:rsidR="009D1773">
        <w:rPr>
          <w:sz w:val="25"/>
          <w:szCs w:val="25"/>
        </w:rPr>
        <w:t>July 1, 2014, Puget Sound Energy (PSE or Company)</w:t>
      </w:r>
      <w:r w:rsidR="009D1773" w:rsidRPr="00CB7F45">
        <w:rPr>
          <w:sz w:val="25"/>
          <w:szCs w:val="25"/>
        </w:rPr>
        <w:t xml:space="preserve"> filed with the Washington Utilities and Transportation Commission (Commission)</w:t>
      </w:r>
      <w:r w:rsidR="009D1773">
        <w:rPr>
          <w:sz w:val="25"/>
          <w:szCs w:val="25"/>
        </w:rPr>
        <w:t xml:space="preserve"> a petition to update methodologies used to allocate electric cost of service and for electric rate design purposes.  PSE </w:t>
      </w:r>
      <w:r w:rsidR="002018E8">
        <w:rPr>
          <w:sz w:val="25"/>
          <w:szCs w:val="25"/>
        </w:rPr>
        <w:t xml:space="preserve">had agreed to initiate this docket if the collaborative established in </w:t>
      </w:r>
      <w:r w:rsidR="009D1773">
        <w:rPr>
          <w:sz w:val="25"/>
          <w:szCs w:val="25"/>
        </w:rPr>
        <w:t>Docket</w:t>
      </w:r>
      <w:r w:rsidR="002018E8">
        <w:rPr>
          <w:sz w:val="25"/>
          <w:szCs w:val="25"/>
        </w:rPr>
        <w:t>s</w:t>
      </w:r>
      <w:r w:rsidR="009D1773">
        <w:rPr>
          <w:sz w:val="25"/>
          <w:szCs w:val="25"/>
        </w:rPr>
        <w:t xml:space="preserve"> UE-130617 </w:t>
      </w:r>
      <w:r w:rsidR="009D1773" w:rsidRPr="002018E8">
        <w:rPr>
          <w:i/>
          <w:sz w:val="25"/>
          <w:szCs w:val="25"/>
        </w:rPr>
        <w:t>et al</w:t>
      </w:r>
      <w:r w:rsidR="009D1773">
        <w:rPr>
          <w:sz w:val="25"/>
          <w:szCs w:val="25"/>
        </w:rPr>
        <w:t>.</w:t>
      </w:r>
      <w:r w:rsidR="002018E8">
        <w:rPr>
          <w:sz w:val="25"/>
          <w:szCs w:val="25"/>
        </w:rPr>
        <w:t>, failed to reach consensus on these issues</w:t>
      </w:r>
      <w:r w:rsidR="009D1773">
        <w:rPr>
          <w:sz w:val="25"/>
          <w:szCs w:val="25"/>
        </w:rPr>
        <w:t>.</w:t>
      </w:r>
      <w:r w:rsidR="00691B85" w:rsidRPr="00E627F3">
        <w:rPr>
          <w:sz w:val="25"/>
          <w:szCs w:val="25"/>
        </w:rPr>
        <w:t xml:space="preserve">  </w:t>
      </w:r>
      <w:r w:rsidR="00AB558E" w:rsidRPr="00E627F3">
        <w:rPr>
          <w:sz w:val="25"/>
          <w:szCs w:val="25"/>
        </w:rPr>
        <w:t xml:space="preserve">  </w:t>
      </w:r>
    </w:p>
    <w:p w14:paraId="1BF6A2F9" w14:textId="77777777" w:rsidR="00844D13" w:rsidRPr="00CC5973" w:rsidRDefault="00844D13" w:rsidP="005C74DA">
      <w:pPr>
        <w:spacing w:line="264" w:lineRule="auto"/>
        <w:rPr>
          <w:sz w:val="25"/>
          <w:szCs w:val="25"/>
        </w:rPr>
      </w:pPr>
    </w:p>
    <w:p w14:paraId="5FD6FBE7" w14:textId="77777777" w:rsidR="00FE2619" w:rsidRDefault="00E55B1E" w:rsidP="005C74DA">
      <w:pPr>
        <w:numPr>
          <w:ilvl w:val="0"/>
          <w:numId w:val="14"/>
        </w:numPr>
        <w:spacing w:line="264" w:lineRule="auto"/>
        <w:ind w:hanging="720"/>
        <w:rPr>
          <w:sz w:val="25"/>
          <w:szCs w:val="25"/>
        </w:rPr>
      </w:pPr>
      <w:r>
        <w:rPr>
          <w:b/>
          <w:sz w:val="25"/>
          <w:szCs w:val="25"/>
        </w:rPr>
        <w:t>SUMMARY</w:t>
      </w:r>
      <w:r w:rsidR="00A7097E" w:rsidRPr="00266728">
        <w:rPr>
          <w:b/>
          <w:sz w:val="25"/>
          <w:szCs w:val="25"/>
        </w:rPr>
        <w:t>:</w:t>
      </w:r>
      <w:r w:rsidR="00A7097E" w:rsidRPr="00A7097E">
        <w:rPr>
          <w:b/>
          <w:sz w:val="25"/>
          <w:szCs w:val="25"/>
        </w:rPr>
        <w:t xml:space="preserve">  </w:t>
      </w:r>
      <w:r w:rsidR="00A7097E" w:rsidRPr="00A7097E">
        <w:rPr>
          <w:sz w:val="25"/>
          <w:szCs w:val="25"/>
        </w:rPr>
        <w:t>The Commission approves and</w:t>
      </w:r>
      <w:r w:rsidR="00A7097E" w:rsidRPr="00266728">
        <w:rPr>
          <w:sz w:val="25"/>
          <w:szCs w:val="25"/>
        </w:rPr>
        <w:t xml:space="preserve"> adopt</w:t>
      </w:r>
      <w:r w:rsidR="00A7097E">
        <w:rPr>
          <w:sz w:val="25"/>
          <w:szCs w:val="25"/>
        </w:rPr>
        <w:t>s the</w:t>
      </w:r>
      <w:r w:rsidR="002018E8">
        <w:rPr>
          <w:sz w:val="25"/>
          <w:szCs w:val="25"/>
        </w:rPr>
        <w:t xml:space="preserve"> s</w:t>
      </w:r>
      <w:r w:rsidR="00A7097E" w:rsidRPr="00266728">
        <w:rPr>
          <w:sz w:val="25"/>
          <w:szCs w:val="25"/>
        </w:rPr>
        <w:t xml:space="preserve">ettlement </w:t>
      </w:r>
      <w:r w:rsidR="002018E8">
        <w:rPr>
          <w:sz w:val="25"/>
          <w:szCs w:val="25"/>
        </w:rPr>
        <w:t>s</w:t>
      </w:r>
      <w:r w:rsidR="0030347E">
        <w:rPr>
          <w:sz w:val="25"/>
          <w:szCs w:val="25"/>
        </w:rPr>
        <w:t>tipulation</w:t>
      </w:r>
      <w:r w:rsidR="00A7097E" w:rsidRPr="00266728">
        <w:rPr>
          <w:sz w:val="25"/>
          <w:szCs w:val="25"/>
        </w:rPr>
        <w:t xml:space="preserve"> </w:t>
      </w:r>
      <w:r w:rsidR="0030347E">
        <w:rPr>
          <w:sz w:val="25"/>
          <w:szCs w:val="25"/>
        </w:rPr>
        <w:t xml:space="preserve">(Settlement) </w:t>
      </w:r>
      <w:r w:rsidR="00D96295">
        <w:rPr>
          <w:sz w:val="25"/>
          <w:szCs w:val="25"/>
        </w:rPr>
        <w:t>entered into by</w:t>
      </w:r>
      <w:r w:rsidR="00A7097E" w:rsidRPr="00266728">
        <w:rPr>
          <w:sz w:val="25"/>
          <w:szCs w:val="25"/>
        </w:rPr>
        <w:t xml:space="preserve"> PSE, </w:t>
      </w:r>
      <w:r w:rsidR="000032A3">
        <w:rPr>
          <w:sz w:val="25"/>
          <w:szCs w:val="25"/>
        </w:rPr>
        <w:t>the Commission’s regulatory staff (</w:t>
      </w:r>
      <w:r w:rsidR="00A7097E" w:rsidRPr="00266728">
        <w:rPr>
          <w:sz w:val="25"/>
          <w:szCs w:val="25"/>
        </w:rPr>
        <w:t>Staff</w:t>
      </w:r>
      <w:r w:rsidR="000032A3">
        <w:rPr>
          <w:sz w:val="25"/>
          <w:szCs w:val="25"/>
        </w:rPr>
        <w:t>)</w:t>
      </w:r>
      <w:r w:rsidR="00A7097E" w:rsidRPr="00266728">
        <w:rPr>
          <w:sz w:val="25"/>
          <w:szCs w:val="25"/>
        </w:rPr>
        <w:t>,</w:t>
      </w:r>
      <w:r w:rsidR="002018E8" w:rsidRPr="00DA5DBB">
        <w:rPr>
          <w:rStyle w:val="FootnoteReference"/>
          <w:bCs/>
          <w:sz w:val="25"/>
          <w:szCs w:val="25"/>
        </w:rPr>
        <w:footnoteReference w:id="1"/>
      </w:r>
      <w:r w:rsidR="00A7097E" w:rsidRPr="00266728">
        <w:rPr>
          <w:sz w:val="25"/>
          <w:szCs w:val="25"/>
        </w:rPr>
        <w:t xml:space="preserve"> </w:t>
      </w:r>
      <w:r w:rsidR="000032A3">
        <w:rPr>
          <w:sz w:val="25"/>
          <w:szCs w:val="25"/>
        </w:rPr>
        <w:t>the Public Counsel Division of the Washington State Attorney General’s Office (</w:t>
      </w:r>
      <w:r w:rsidR="00A7097E" w:rsidRPr="00266728">
        <w:rPr>
          <w:sz w:val="25"/>
          <w:szCs w:val="25"/>
        </w:rPr>
        <w:t>Public Counsel</w:t>
      </w:r>
      <w:r w:rsidR="000032A3">
        <w:rPr>
          <w:sz w:val="25"/>
          <w:szCs w:val="25"/>
        </w:rPr>
        <w:t>)</w:t>
      </w:r>
      <w:r w:rsidR="00A7097E">
        <w:rPr>
          <w:sz w:val="25"/>
          <w:szCs w:val="25"/>
        </w:rPr>
        <w:t>,</w:t>
      </w:r>
      <w:r w:rsidR="00A7097E" w:rsidRPr="00266728">
        <w:rPr>
          <w:sz w:val="25"/>
          <w:szCs w:val="25"/>
        </w:rPr>
        <w:t xml:space="preserve"> </w:t>
      </w:r>
      <w:r w:rsidR="000032A3">
        <w:rPr>
          <w:sz w:val="25"/>
          <w:szCs w:val="25"/>
        </w:rPr>
        <w:t xml:space="preserve">the </w:t>
      </w:r>
      <w:r w:rsidR="00A7097E" w:rsidRPr="00266728">
        <w:rPr>
          <w:sz w:val="25"/>
          <w:szCs w:val="25"/>
        </w:rPr>
        <w:t>I</w:t>
      </w:r>
      <w:r w:rsidR="000032A3">
        <w:rPr>
          <w:sz w:val="25"/>
          <w:szCs w:val="25"/>
        </w:rPr>
        <w:t xml:space="preserve">ndustrial </w:t>
      </w:r>
      <w:r w:rsidR="00A7097E" w:rsidRPr="00266728">
        <w:rPr>
          <w:sz w:val="25"/>
          <w:szCs w:val="25"/>
        </w:rPr>
        <w:t>C</w:t>
      </w:r>
      <w:r w:rsidR="000032A3">
        <w:rPr>
          <w:sz w:val="25"/>
          <w:szCs w:val="25"/>
        </w:rPr>
        <w:t xml:space="preserve">ustomers of </w:t>
      </w:r>
      <w:r w:rsidR="00A7097E" w:rsidRPr="00266728">
        <w:rPr>
          <w:sz w:val="25"/>
          <w:szCs w:val="25"/>
        </w:rPr>
        <w:t>N</w:t>
      </w:r>
      <w:r w:rsidR="000032A3">
        <w:rPr>
          <w:sz w:val="25"/>
          <w:szCs w:val="25"/>
        </w:rPr>
        <w:t xml:space="preserve">orthwest </w:t>
      </w:r>
      <w:r w:rsidR="00A7097E" w:rsidRPr="00266728">
        <w:rPr>
          <w:sz w:val="25"/>
          <w:szCs w:val="25"/>
        </w:rPr>
        <w:t>U</w:t>
      </w:r>
      <w:r w:rsidR="00543CF2">
        <w:rPr>
          <w:sz w:val="25"/>
          <w:szCs w:val="25"/>
        </w:rPr>
        <w:t>tilities (ICNU), t</w:t>
      </w:r>
      <w:r w:rsidR="000032A3">
        <w:rPr>
          <w:sz w:val="25"/>
          <w:szCs w:val="25"/>
        </w:rPr>
        <w:t>he Kroger Company (Kroger), Wal-Mart Stores, Inc. (Wal-Mart), the Federal Executive Agencies (</w:t>
      </w:r>
      <w:r w:rsidR="00217248">
        <w:rPr>
          <w:sz w:val="25"/>
          <w:szCs w:val="25"/>
        </w:rPr>
        <w:t xml:space="preserve">the </w:t>
      </w:r>
      <w:r w:rsidR="000032A3">
        <w:rPr>
          <w:sz w:val="25"/>
          <w:szCs w:val="25"/>
        </w:rPr>
        <w:t>FEA), and The Energy Project</w:t>
      </w:r>
      <w:r w:rsidR="00C579ED">
        <w:rPr>
          <w:sz w:val="25"/>
          <w:szCs w:val="25"/>
        </w:rPr>
        <w:t xml:space="preserve"> (collectively, Settling Parties)</w:t>
      </w:r>
      <w:r w:rsidR="00A7097E" w:rsidRPr="00266728">
        <w:rPr>
          <w:sz w:val="25"/>
          <w:szCs w:val="25"/>
        </w:rPr>
        <w:t>.</w:t>
      </w:r>
      <w:r w:rsidR="00C579ED">
        <w:rPr>
          <w:rStyle w:val="FootnoteReference"/>
          <w:sz w:val="25"/>
          <w:szCs w:val="25"/>
        </w:rPr>
        <w:footnoteReference w:id="2"/>
      </w:r>
      <w:r w:rsidR="00A7097E" w:rsidRPr="00266728">
        <w:rPr>
          <w:sz w:val="25"/>
          <w:szCs w:val="25"/>
        </w:rPr>
        <w:t xml:space="preserve">  </w:t>
      </w:r>
    </w:p>
    <w:p w14:paraId="558AB7C4" w14:textId="77777777" w:rsidR="009D1773" w:rsidRDefault="009D1773" w:rsidP="005C74DA">
      <w:pPr>
        <w:pStyle w:val="ListParagraph"/>
        <w:spacing w:line="264" w:lineRule="auto"/>
        <w:rPr>
          <w:sz w:val="25"/>
          <w:szCs w:val="25"/>
        </w:rPr>
      </w:pPr>
    </w:p>
    <w:p w14:paraId="45B8B4CB" w14:textId="77777777" w:rsidR="009D1773" w:rsidRDefault="009D1773" w:rsidP="005C74DA">
      <w:pPr>
        <w:numPr>
          <w:ilvl w:val="0"/>
          <w:numId w:val="14"/>
        </w:numPr>
        <w:spacing w:line="264" w:lineRule="auto"/>
        <w:ind w:hanging="720"/>
        <w:rPr>
          <w:sz w:val="25"/>
          <w:szCs w:val="25"/>
        </w:rPr>
      </w:pPr>
      <w:r w:rsidRPr="00665E49">
        <w:rPr>
          <w:b/>
          <w:sz w:val="25"/>
          <w:szCs w:val="25"/>
        </w:rPr>
        <w:t>PARTY</w:t>
      </w:r>
      <w:r w:rsidRPr="00665E49">
        <w:rPr>
          <w:b/>
          <w:bCs/>
          <w:sz w:val="25"/>
          <w:szCs w:val="25"/>
        </w:rPr>
        <w:t xml:space="preserve"> REPRESENTATIVES:</w:t>
      </w:r>
      <w:r w:rsidRPr="00665E49">
        <w:rPr>
          <w:sz w:val="25"/>
          <w:szCs w:val="25"/>
        </w:rPr>
        <w:t xml:space="preserve">  </w:t>
      </w:r>
      <w:r w:rsidR="00241099" w:rsidRPr="00DA5DBB">
        <w:rPr>
          <w:sz w:val="25"/>
          <w:szCs w:val="25"/>
        </w:rPr>
        <w:t>Sheree S</w:t>
      </w:r>
      <w:r w:rsidR="00241099">
        <w:rPr>
          <w:sz w:val="25"/>
          <w:szCs w:val="25"/>
        </w:rPr>
        <w:t>trom</w:t>
      </w:r>
      <w:r w:rsidR="00241099" w:rsidRPr="00DA5DBB">
        <w:rPr>
          <w:sz w:val="25"/>
          <w:szCs w:val="25"/>
        </w:rPr>
        <w:t xml:space="preserve"> Carson</w:t>
      </w:r>
      <w:r w:rsidR="00241099">
        <w:rPr>
          <w:sz w:val="25"/>
          <w:szCs w:val="25"/>
        </w:rPr>
        <w:t xml:space="preserve"> and Donna L. Barnett, </w:t>
      </w:r>
      <w:r w:rsidR="00241099" w:rsidRPr="00DA5DBB">
        <w:rPr>
          <w:sz w:val="25"/>
          <w:szCs w:val="25"/>
        </w:rPr>
        <w:t>Perkins Coie</w:t>
      </w:r>
      <w:r w:rsidR="00241099">
        <w:rPr>
          <w:sz w:val="25"/>
          <w:szCs w:val="25"/>
        </w:rPr>
        <w:t xml:space="preserve"> LLP</w:t>
      </w:r>
      <w:r w:rsidR="00241099" w:rsidRPr="00DA5DBB">
        <w:rPr>
          <w:sz w:val="25"/>
          <w:szCs w:val="25"/>
        </w:rPr>
        <w:t xml:space="preserve">, Bellevue, </w:t>
      </w:r>
      <w:r w:rsidR="00C212B4">
        <w:rPr>
          <w:sz w:val="25"/>
          <w:szCs w:val="25"/>
        </w:rPr>
        <w:t xml:space="preserve">Washington, </w:t>
      </w:r>
      <w:r w:rsidR="00241099" w:rsidRPr="00DA5DBB">
        <w:rPr>
          <w:sz w:val="25"/>
          <w:szCs w:val="25"/>
        </w:rPr>
        <w:t xml:space="preserve">represent </w:t>
      </w:r>
      <w:r w:rsidR="00241099">
        <w:rPr>
          <w:sz w:val="25"/>
          <w:szCs w:val="25"/>
        </w:rPr>
        <w:t>PSE</w:t>
      </w:r>
      <w:r w:rsidR="00241099" w:rsidRPr="00DA5DBB">
        <w:rPr>
          <w:sz w:val="25"/>
          <w:szCs w:val="25"/>
        </w:rPr>
        <w:t xml:space="preserve">.  </w:t>
      </w:r>
      <w:r w:rsidR="00241099">
        <w:rPr>
          <w:sz w:val="25"/>
          <w:szCs w:val="25"/>
        </w:rPr>
        <w:t>Simon J. ffitch</w:t>
      </w:r>
      <w:r w:rsidR="00241099" w:rsidRPr="00DA5DBB">
        <w:rPr>
          <w:sz w:val="25"/>
          <w:szCs w:val="25"/>
        </w:rPr>
        <w:t xml:space="preserve">, </w:t>
      </w:r>
      <w:r w:rsidR="00241099">
        <w:rPr>
          <w:sz w:val="25"/>
          <w:szCs w:val="25"/>
        </w:rPr>
        <w:t xml:space="preserve">Senior </w:t>
      </w:r>
      <w:r w:rsidR="00241099" w:rsidRPr="00DA5DBB">
        <w:rPr>
          <w:sz w:val="25"/>
          <w:szCs w:val="25"/>
        </w:rPr>
        <w:lastRenderedPageBreak/>
        <w:t xml:space="preserve">Assistant Attorney General, Seattle, </w:t>
      </w:r>
      <w:r w:rsidR="00C212B4">
        <w:rPr>
          <w:sz w:val="25"/>
          <w:szCs w:val="25"/>
        </w:rPr>
        <w:t xml:space="preserve">Washington, </w:t>
      </w:r>
      <w:r w:rsidR="00241099" w:rsidRPr="00DA5DBB">
        <w:rPr>
          <w:sz w:val="25"/>
          <w:szCs w:val="25"/>
        </w:rPr>
        <w:t>represent</w:t>
      </w:r>
      <w:r w:rsidR="00C212B4">
        <w:rPr>
          <w:sz w:val="25"/>
          <w:szCs w:val="25"/>
        </w:rPr>
        <w:t>s</w:t>
      </w:r>
      <w:r w:rsidR="00241099" w:rsidRPr="00DA5DBB">
        <w:rPr>
          <w:sz w:val="25"/>
          <w:szCs w:val="25"/>
        </w:rPr>
        <w:t xml:space="preserve"> Public Counsel.  </w:t>
      </w:r>
      <w:r w:rsidR="00241099">
        <w:rPr>
          <w:sz w:val="25"/>
          <w:szCs w:val="25"/>
        </w:rPr>
        <w:t>Sally Brown,</w:t>
      </w:r>
      <w:r w:rsidR="00241099" w:rsidRPr="00DA5DBB">
        <w:rPr>
          <w:sz w:val="25"/>
          <w:szCs w:val="25"/>
        </w:rPr>
        <w:t xml:space="preserve"> </w:t>
      </w:r>
      <w:r w:rsidR="00241099">
        <w:rPr>
          <w:sz w:val="25"/>
          <w:szCs w:val="25"/>
        </w:rPr>
        <w:t xml:space="preserve">Senior </w:t>
      </w:r>
      <w:r w:rsidR="00241099" w:rsidRPr="00DA5DBB">
        <w:rPr>
          <w:sz w:val="25"/>
          <w:szCs w:val="25"/>
        </w:rPr>
        <w:t>Assistant Attorney General</w:t>
      </w:r>
      <w:r w:rsidR="00241099">
        <w:rPr>
          <w:sz w:val="25"/>
          <w:szCs w:val="25"/>
        </w:rPr>
        <w:t>,</w:t>
      </w:r>
      <w:r w:rsidR="00241099" w:rsidRPr="00DA5DBB">
        <w:rPr>
          <w:sz w:val="25"/>
          <w:szCs w:val="25"/>
        </w:rPr>
        <w:t xml:space="preserve"> Olympia, represent</w:t>
      </w:r>
      <w:r w:rsidR="00241099">
        <w:rPr>
          <w:sz w:val="25"/>
          <w:szCs w:val="25"/>
        </w:rPr>
        <w:t>s</w:t>
      </w:r>
      <w:r w:rsidR="00241099" w:rsidRPr="00DA5DBB">
        <w:rPr>
          <w:sz w:val="25"/>
          <w:szCs w:val="25"/>
        </w:rPr>
        <w:t xml:space="preserve"> Staff.</w:t>
      </w:r>
      <w:r w:rsidRPr="00665E49">
        <w:rPr>
          <w:sz w:val="25"/>
          <w:szCs w:val="25"/>
        </w:rPr>
        <w:t xml:space="preserve">    </w:t>
      </w:r>
    </w:p>
    <w:p w14:paraId="59FC9A60" w14:textId="77777777" w:rsidR="00C212B4" w:rsidRDefault="00C212B4" w:rsidP="005C74DA">
      <w:pPr>
        <w:pStyle w:val="ListParagraph"/>
        <w:spacing w:line="264" w:lineRule="auto"/>
        <w:rPr>
          <w:sz w:val="25"/>
          <w:szCs w:val="25"/>
        </w:rPr>
      </w:pPr>
    </w:p>
    <w:p w14:paraId="4ABB2B6B" w14:textId="77777777" w:rsidR="00C212B4" w:rsidRDefault="00C212B4" w:rsidP="005C74DA">
      <w:pPr>
        <w:numPr>
          <w:ilvl w:val="0"/>
          <w:numId w:val="14"/>
        </w:numPr>
        <w:spacing w:line="264" w:lineRule="auto"/>
        <w:ind w:hanging="720"/>
        <w:rPr>
          <w:sz w:val="25"/>
          <w:szCs w:val="25"/>
        </w:rPr>
      </w:pPr>
      <w:r>
        <w:rPr>
          <w:sz w:val="25"/>
          <w:szCs w:val="25"/>
        </w:rPr>
        <w:t>Jesse E. Cowell, Davison Van Cleve, PC, Portland, Oregon, represents ICNU.</w:t>
      </w:r>
      <w:r w:rsidR="00217248">
        <w:rPr>
          <w:sz w:val="25"/>
          <w:szCs w:val="25"/>
        </w:rPr>
        <w:t xml:space="preserve">  Kurt J. Boehm and Jody Kyler Cohn, Boehm, Kurtz &amp;</w:t>
      </w:r>
      <w:r w:rsidR="00BC2B83">
        <w:rPr>
          <w:sz w:val="25"/>
          <w:szCs w:val="25"/>
        </w:rPr>
        <w:t xml:space="preserve"> Low</w:t>
      </w:r>
      <w:r w:rsidR="00217248">
        <w:rPr>
          <w:sz w:val="25"/>
          <w:szCs w:val="25"/>
        </w:rPr>
        <w:t>ry, Cincinnati, Ohio, represent Kroger.  Samuel L. Roberts, Hutchinson, Cox, Coons, Orr &amp; Sherlock, Eugene, Oregon, represents Wal-Mart.  Rita M. Liotta, Associate Counsel, Department of the Navy, San Francisco, California, represents the FEA.  Ronald Roseman, attorney, Seattle, Washington, represents The Energy Project.</w:t>
      </w:r>
      <w:r w:rsidR="00C579ED">
        <w:rPr>
          <w:sz w:val="25"/>
          <w:szCs w:val="25"/>
        </w:rPr>
        <w:t xml:space="preserve">  Amanda W. Goodin, Earthjustice, Seattle, Washington, represents NWEC.</w:t>
      </w:r>
    </w:p>
    <w:p w14:paraId="097D79D9" w14:textId="77777777" w:rsidR="00A7097E" w:rsidRDefault="00A7097E" w:rsidP="005C74DA">
      <w:pPr>
        <w:spacing w:line="264" w:lineRule="auto"/>
        <w:rPr>
          <w:sz w:val="25"/>
          <w:szCs w:val="25"/>
        </w:rPr>
      </w:pPr>
    </w:p>
    <w:p w14:paraId="2DB8225F" w14:textId="77777777" w:rsidR="00E55B1E" w:rsidRDefault="00E55B1E" w:rsidP="005C74DA">
      <w:pPr>
        <w:pStyle w:val="Heading1"/>
        <w:spacing w:before="0" w:after="0" w:line="264" w:lineRule="auto"/>
        <w:jc w:val="center"/>
        <w:rPr>
          <w:szCs w:val="25"/>
          <w:u w:val="single"/>
        </w:rPr>
      </w:pPr>
      <w:bookmarkStart w:id="4" w:name="_Toc155670887"/>
      <w:bookmarkStart w:id="5" w:name="_Toc168986355"/>
      <w:r w:rsidRPr="00E55B1E">
        <w:rPr>
          <w:szCs w:val="25"/>
          <w:u w:val="single"/>
        </w:rPr>
        <w:t>MEMORANDUM</w:t>
      </w:r>
      <w:bookmarkEnd w:id="4"/>
      <w:bookmarkEnd w:id="5"/>
    </w:p>
    <w:p w14:paraId="0C0B5442" w14:textId="77777777" w:rsidR="00E55B1E" w:rsidRDefault="00E55B1E" w:rsidP="005C74DA">
      <w:pPr>
        <w:spacing w:line="264" w:lineRule="auto"/>
      </w:pPr>
    </w:p>
    <w:p w14:paraId="29AC0EDE" w14:textId="77777777" w:rsidR="00FE2619" w:rsidRDefault="00E36B43" w:rsidP="005C74DA">
      <w:pPr>
        <w:numPr>
          <w:ilvl w:val="0"/>
          <w:numId w:val="14"/>
        </w:numPr>
        <w:spacing w:line="264" w:lineRule="auto"/>
        <w:ind w:hanging="720"/>
        <w:rPr>
          <w:sz w:val="25"/>
          <w:szCs w:val="25"/>
        </w:rPr>
      </w:pPr>
      <w:r>
        <w:rPr>
          <w:b/>
          <w:sz w:val="25"/>
          <w:szCs w:val="25"/>
        </w:rPr>
        <w:t>BACKGROUND</w:t>
      </w:r>
      <w:r w:rsidR="00FE2619" w:rsidRPr="00FB5406">
        <w:rPr>
          <w:b/>
          <w:bCs/>
          <w:sz w:val="25"/>
          <w:szCs w:val="25"/>
        </w:rPr>
        <w:t>.</w:t>
      </w:r>
      <w:r w:rsidR="00FE2619" w:rsidRPr="00FB5406">
        <w:rPr>
          <w:sz w:val="25"/>
          <w:szCs w:val="25"/>
        </w:rPr>
        <w:t xml:space="preserve">  </w:t>
      </w:r>
      <w:r w:rsidR="00EA4BA9">
        <w:rPr>
          <w:sz w:val="25"/>
          <w:szCs w:val="25"/>
        </w:rPr>
        <w:t xml:space="preserve">On </w:t>
      </w:r>
      <w:r w:rsidR="00BC2B83">
        <w:rPr>
          <w:sz w:val="25"/>
          <w:szCs w:val="25"/>
        </w:rPr>
        <w:t>October 23, 2013</w:t>
      </w:r>
      <w:r w:rsidR="00EA4BA9">
        <w:rPr>
          <w:sz w:val="25"/>
          <w:szCs w:val="25"/>
        </w:rPr>
        <w:t xml:space="preserve">, </w:t>
      </w:r>
      <w:r w:rsidR="003B79D4">
        <w:rPr>
          <w:sz w:val="25"/>
          <w:szCs w:val="25"/>
        </w:rPr>
        <w:t xml:space="preserve">the Commission approved </w:t>
      </w:r>
      <w:r w:rsidR="00E0245C">
        <w:rPr>
          <w:sz w:val="25"/>
          <w:szCs w:val="25"/>
        </w:rPr>
        <w:t xml:space="preserve">and adopted </w:t>
      </w:r>
      <w:r w:rsidR="003B79D4">
        <w:rPr>
          <w:sz w:val="25"/>
          <w:szCs w:val="25"/>
        </w:rPr>
        <w:t>a settlement stipulation in Dockets UE-130583, UE-130617, UE-131099, and UE-131230</w:t>
      </w:r>
      <w:r w:rsidR="00E0245C">
        <w:rPr>
          <w:sz w:val="25"/>
          <w:szCs w:val="25"/>
        </w:rPr>
        <w:t xml:space="preserve">, </w:t>
      </w:r>
      <w:r w:rsidR="00E5023C">
        <w:rPr>
          <w:sz w:val="25"/>
          <w:szCs w:val="25"/>
        </w:rPr>
        <w:t xml:space="preserve">under </w:t>
      </w:r>
      <w:r w:rsidR="00E0245C">
        <w:rPr>
          <w:sz w:val="25"/>
          <w:szCs w:val="25"/>
        </w:rPr>
        <w:t xml:space="preserve">which </w:t>
      </w:r>
      <w:r w:rsidR="00E5023C">
        <w:rPr>
          <w:sz w:val="25"/>
          <w:szCs w:val="25"/>
        </w:rPr>
        <w:t>the</w:t>
      </w:r>
      <w:r w:rsidR="00E5023C" w:rsidRPr="00E62046">
        <w:rPr>
          <w:sz w:val="25"/>
          <w:szCs w:val="25"/>
        </w:rPr>
        <w:t xml:space="preserve"> parties agree</w:t>
      </w:r>
      <w:r w:rsidR="00E5023C">
        <w:rPr>
          <w:sz w:val="25"/>
          <w:szCs w:val="25"/>
        </w:rPr>
        <w:t xml:space="preserve">d </w:t>
      </w:r>
      <w:r w:rsidR="00E5023C" w:rsidRPr="00E62046">
        <w:rPr>
          <w:sz w:val="25"/>
          <w:szCs w:val="25"/>
        </w:rPr>
        <w:t xml:space="preserve">to initiate </w:t>
      </w:r>
      <w:r w:rsidR="00E5023C">
        <w:rPr>
          <w:sz w:val="25"/>
          <w:szCs w:val="25"/>
        </w:rPr>
        <w:t xml:space="preserve">a </w:t>
      </w:r>
      <w:r w:rsidR="00E5023C" w:rsidRPr="00E62046">
        <w:rPr>
          <w:sz w:val="25"/>
          <w:szCs w:val="25"/>
        </w:rPr>
        <w:t>collaborative process to addr</w:t>
      </w:r>
      <w:r w:rsidR="00E5023C">
        <w:rPr>
          <w:sz w:val="25"/>
          <w:szCs w:val="25"/>
        </w:rPr>
        <w:t>ess issues surrounding the power cost adjustment</w:t>
      </w:r>
      <w:r w:rsidR="00E5023C" w:rsidRPr="00E62046">
        <w:rPr>
          <w:sz w:val="25"/>
          <w:szCs w:val="25"/>
        </w:rPr>
        <w:t xml:space="preserve"> and </w:t>
      </w:r>
      <w:r w:rsidR="00E5023C">
        <w:rPr>
          <w:sz w:val="25"/>
          <w:szCs w:val="25"/>
        </w:rPr>
        <w:t>power cost only rate case,</w:t>
      </w:r>
      <w:r w:rsidR="00E5023C" w:rsidRPr="00E62046">
        <w:rPr>
          <w:sz w:val="25"/>
          <w:szCs w:val="25"/>
        </w:rPr>
        <w:t xml:space="preserve"> including electric cost of service, rate spread, and rate design</w:t>
      </w:r>
      <w:r w:rsidR="00E0245C">
        <w:rPr>
          <w:sz w:val="25"/>
          <w:szCs w:val="25"/>
        </w:rPr>
        <w:t>.</w:t>
      </w:r>
      <w:r w:rsidR="00E0245C">
        <w:rPr>
          <w:rStyle w:val="FootnoteReference"/>
          <w:sz w:val="25"/>
          <w:szCs w:val="25"/>
        </w:rPr>
        <w:footnoteReference w:id="3"/>
      </w:r>
      <w:r w:rsidR="00E0245C">
        <w:rPr>
          <w:sz w:val="25"/>
          <w:szCs w:val="25"/>
        </w:rPr>
        <w:t xml:space="preserve">  If </w:t>
      </w:r>
      <w:r w:rsidR="008836EA">
        <w:rPr>
          <w:sz w:val="25"/>
          <w:szCs w:val="25"/>
        </w:rPr>
        <w:t xml:space="preserve">the parties reached agreement in the collaborative, </w:t>
      </w:r>
      <w:r w:rsidR="00356A01">
        <w:rPr>
          <w:sz w:val="25"/>
          <w:szCs w:val="25"/>
        </w:rPr>
        <w:t xml:space="preserve">the terms of </w:t>
      </w:r>
      <w:r w:rsidR="008836EA">
        <w:rPr>
          <w:sz w:val="25"/>
          <w:szCs w:val="25"/>
        </w:rPr>
        <w:t xml:space="preserve">that agreement would be implemented </w:t>
      </w:r>
      <w:r w:rsidR="00B96FF1">
        <w:rPr>
          <w:sz w:val="25"/>
          <w:szCs w:val="25"/>
        </w:rPr>
        <w:t>in PSE’s next power cost only rate case.</w:t>
      </w:r>
      <w:r w:rsidR="00B96FF1">
        <w:rPr>
          <w:rStyle w:val="FootnoteReference"/>
          <w:sz w:val="25"/>
          <w:szCs w:val="25"/>
        </w:rPr>
        <w:footnoteReference w:id="4"/>
      </w:r>
      <w:r w:rsidR="00B96FF1">
        <w:rPr>
          <w:sz w:val="25"/>
          <w:szCs w:val="25"/>
        </w:rPr>
        <w:t xml:space="preserve">  If the parties did not reach consensus, PSE agreed to initiate a docket no later than July 1, 2014, to address issues related to cost of service, rate spread, and rate design.</w:t>
      </w:r>
      <w:r w:rsidR="00B96FF1">
        <w:rPr>
          <w:rStyle w:val="FootnoteReference"/>
          <w:sz w:val="25"/>
          <w:szCs w:val="25"/>
        </w:rPr>
        <w:footnoteReference w:id="5"/>
      </w:r>
    </w:p>
    <w:p w14:paraId="48C3188A" w14:textId="77777777" w:rsidR="00106358" w:rsidRDefault="00106358" w:rsidP="005C74DA">
      <w:pPr>
        <w:spacing w:line="264" w:lineRule="auto"/>
        <w:rPr>
          <w:sz w:val="25"/>
          <w:szCs w:val="25"/>
        </w:rPr>
      </w:pPr>
    </w:p>
    <w:p w14:paraId="7F914151" w14:textId="77777777" w:rsidR="00106358" w:rsidRDefault="00B96FF1" w:rsidP="005C74DA">
      <w:pPr>
        <w:numPr>
          <w:ilvl w:val="0"/>
          <w:numId w:val="14"/>
        </w:numPr>
        <w:spacing w:line="264" w:lineRule="auto"/>
        <w:ind w:hanging="720"/>
        <w:rPr>
          <w:sz w:val="25"/>
          <w:szCs w:val="25"/>
        </w:rPr>
      </w:pPr>
      <w:r>
        <w:rPr>
          <w:sz w:val="25"/>
          <w:szCs w:val="25"/>
        </w:rPr>
        <w:t>The parties to the collab</w:t>
      </w:r>
      <w:r w:rsidR="00274F53">
        <w:rPr>
          <w:sz w:val="25"/>
          <w:szCs w:val="25"/>
        </w:rPr>
        <w:t xml:space="preserve">orative did not reach agreement, and on July 1, 2014, PSE filed testimony and exhibits “proposing to update the inputs and assumptions used to implement its ‘peak credit’ methodology for allocating electric production and </w:t>
      </w:r>
      <w:r w:rsidR="00274F53">
        <w:rPr>
          <w:sz w:val="25"/>
          <w:szCs w:val="25"/>
        </w:rPr>
        <w:lastRenderedPageBreak/>
        <w:t>transmission costs.”</w:t>
      </w:r>
      <w:r w:rsidR="00274F53">
        <w:rPr>
          <w:rStyle w:val="FootnoteReference"/>
          <w:sz w:val="25"/>
          <w:szCs w:val="25"/>
        </w:rPr>
        <w:footnoteReference w:id="6"/>
      </w:r>
      <w:r w:rsidR="006C299F">
        <w:rPr>
          <w:sz w:val="25"/>
          <w:szCs w:val="25"/>
        </w:rPr>
        <w:t xml:space="preserve">  The Commission convened a prehearing conference on August 18, 2014, and scheduled an evidentiary hearing for December 4, 2014.</w:t>
      </w:r>
    </w:p>
    <w:p w14:paraId="0283C2CE" w14:textId="77777777" w:rsidR="00C579ED" w:rsidRDefault="00C579ED" w:rsidP="005C74DA">
      <w:pPr>
        <w:pStyle w:val="ListParagraph"/>
        <w:spacing w:line="264" w:lineRule="auto"/>
        <w:rPr>
          <w:sz w:val="25"/>
          <w:szCs w:val="25"/>
        </w:rPr>
      </w:pPr>
    </w:p>
    <w:p w14:paraId="13D50E6A" w14:textId="77777777" w:rsidR="00C579ED" w:rsidRDefault="00C579ED" w:rsidP="005C74DA">
      <w:pPr>
        <w:numPr>
          <w:ilvl w:val="0"/>
          <w:numId w:val="14"/>
        </w:numPr>
        <w:spacing w:line="264" w:lineRule="auto"/>
        <w:ind w:hanging="720"/>
        <w:rPr>
          <w:sz w:val="25"/>
          <w:szCs w:val="25"/>
        </w:rPr>
      </w:pPr>
      <w:r>
        <w:rPr>
          <w:sz w:val="25"/>
          <w:szCs w:val="25"/>
        </w:rPr>
        <w:t xml:space="preserve">On October 21, 2014, </w:t>
      </w:r>
      <w:r w:rsidR="00211DFF">
        <w:rPr>
          <w:sz w:val="25"/>
          <w:szCs w:val="25"/>
        </w:rPr>
        <w:t xml:space="preserve">the Settling Parties filed the Settlement, </w:t>
      </w:r>
      <w:r w:rsidR="00CD05AE" w:rsidRPr="00266728">
        <w:rPr>
          <w:iCs/>
          <w:sz w:val="25"/>
          <w:szCs w:val="25"/>
        </w:rPr>
        <w:t>attached to this Order as Appendix A and incorporated by reference in this Order</w:t>
      </w:r>
      <w:r w:rsidR="00CD05AE">
        <w:rPr>
          <w:iCs/>
          <w:sz w:val="25"/>
          <w:szCs w:val="25"/>
        </w:rPr>
        <w:t>.</w:t>
      </w:r>
      <w:r w:rsidR="00F559CB">
        <w:rPr>
          <w:rStyle w:val="FootnoteReference"/>
          <w:iCs/>
          <w:sz w:val="25"/>
          <w:szCs w:val="25"/>
        </w:rPr>
        <w:footnoteReference w:id="7"/>
      </w:r>
      <w:r w:rsidR="00CD05AE">
        <w:rPr>
          <w:iCs/>
          <w:sz w:val="25"/>
          <w:szCs w:val="25"/>
        </w:rPr>
        <w:t xml:space="preserve">  </w:t>
      </w:r>
      <w:r w:rsidR="00CD05AE">
        <w:rPr>
          <w:sz w:val="25"/>
          <w:szCs w:val="25"/>
        </w:rPr>
        <w:t>On</w:t>
      </w:r>
      <w:r w:rsidR="00211DFF">
        <w:rPr>
          <w:sz w:val="25"/>
          <w:szCs w:val="25"/>
        </w:rPr>
        <w:t xml:space="preserve"> November 4, 2014, they filed supporting narratives and testimony.  The Settlement addresses three broad issues: cost of service and allocation, rate spread and rate design, and Schedule 40.</w:t>
      </w:r>
    </w:p>
    <w:p w14:paraId="6F96A71D" w14:textId="77777777" w:rsidR="00E23733" w:rsidRDefault="00E23733" w:rsidP="005C74DA">
      <w:pPr>
        <w:pStyle w:val="ListParagraph"/>
        <w:spacing w:line="264" w:lineRule="auto"/>
        <w:rPr>
          <w:sz w:val="25"/>
          <w:szCs w:val="25"/>
        </w:rPr>
      </w:pPr>
    </w:p>
    <w:p w14:paraId="0195F3A2" w14:textId="77777777" w:rsidR="00E23733" w:rsidRPr="00A223A1" w:rsidRDefault="00E23733" w:rsidP="005C74DA">
      <w:pPr>
        <w:spacing w:line="264" w:lineRule="auto"/>
        <w:jc w:val="center"/>
        <w:rPr>
          <w:sz w:val="25"/>
          <w:szCs w:val="25"/>
          <w:u w:val="single"/>
        </w:rPr>
      </w:pPr>
      <w:r w:rsidRPr="00A223A1">
        <w:rPr>
          <w:b/>
          <w:sz w:val="25"/>
          <w:szCs w:val="25"/>
          <w:u w:val="single"/>
        </w:rPr>
        <w:t>SETTLEMENT</w:t>
      </w:r>
    </w:p>
    <w:p w14:paraId="70B03722" w14:textId="77777777" w:rsidR="00211DFF" w:rsidRDefault="00211DFF" w:rsidP="005C74DA">
      <w:pPr>
        <w:pStyle w:val="ListParagraph"/>
        <w:spacing w:line="264" w:lineRule="auto"/>
        <w:rPr>
          <w:sz w:val="25"/>
          <w:szCs w:val="25"/>
        </w:rPr>
      </w:pPr>
    </w:p>
    <w:p w14:paraId="334016C7" w14:textId="77777777" w:rsidR="00E23733" w:rsidRPr="00E23733" w:rsidRDefault="00E23733" w:rsidP="005C74DA">
      <w:pPr>
        <w:pStyle w:val="ListParagraph"/>
        <w:numPr>
          <w:ilvl w:val="0"/>
          <w:numId w:val="18"/>
        </w:numPr>
        <w:spacing w:line="264" w:lineRule="auto"/>
        <w:rPr>
          <w:bCs/>
          <w:sz w:val="25"/>
          <w:szCs w:val="25"/>
        </w:rPr>
      </w:pPr>
      <w:r w:rsidRPr="00E23733">
        <w:rPr>
          <w:i/>
          <w:sz w:val="25"/>
          <w:szCs w:val="25"/>
        </w:rPr>
        <w:t>Cost of Service and Allocation</w:t>
      </w:r>
      <w:r w:rsidR="00700EC4" w:rsidRPr="00E23733">
        <w:rPr>
          <w:b/>
          <w:sz w:val="25"/>
          <w:szCs w:val="25"/>
        </w:rPr>
        <w:t>.</w:t>
      </w:r>
      <w:r w:rsidR="00700EC4" w:rsidRPr="00E23733">
        <w:rPr>
          <w:sz w:val="25"/>
          <w:szCs w:val="25"/>
        </w:rPr>
        <w:t xml:space="preserve">  </w:t>
      </w:r>
    </w:p>
    <w:p w14:paraId="3CB6A63C" w14:textId="77777777" w:rsidR="00E23733" w:rsidRDefault="00E23733" w:rsidP="005C74DA">
      <w:pPr>
        <w:spacing w:line="264" w:lineRule="auto"/>
        <w:rPr>
          <w:bCs/>
          <w:sz w:val="25"/>
          <w:szCs w:val="25"/>
        </w:rPr>
      </w:pPr>
    </w:p>
    <w:p w14:paraId="461432C0" w14:textId="77777777" w:rsidR="00A615EC" w:rsidRDefault="00E23733" w:rsidP="005C74DA">
      <w:pPr>
        <w:numPr>
          <w:ilvl w:val="0"/>
          <w:numId w:val="14"/>
        </w:numPr>
        <w:spacing w:line="264" w:lineRule="auto"/>
        <w:ind w:hanging="720"/>
        <w:rPr>
          <w:bCs/>
          <w:sz w:val="25"/>
          <w:szCs w:val="25"/>
        </w:rPr>
      </w:pPr>
      <w:r>
        <w:rPr>
          <w:bCs/>
          <w:sz w:val="25"/>
          <w:szCs w:val="25"/>
        </w:rPr>
        <w:t>The Settling Parties did not agree on a specific cost of service methodology</w:t>
      </w:r>
      <w:r w:rsidR="00CB4551">
        <w:rPr>
          <w:bCs/>
          <w:sz w:val="25"/>
          <w:szCs w:val="25"/>
        </w:rPr>
        <w:t xml:space="preserve"> for PSE to use on a long-term, going forward basis.  Instead</w:t>
      </w:r>
      <w:r>
        <w:rPr>
          <w:bCs/>
          <w:sz w:val="25"/>
          <w:szCs w:val="25"/>
        </w:rPr>
        <w:t xml:space="preserve">, </w:t>
      </w:r>
      <w:r w:rsidR="00CB4551">
        <w:rPr>
          <w:bCs/>
          <w:sz w:val="25"/>
          <w:szCs w:val="25"/>
        </w:rPr>
        <w:t>they</w:t>
      </w:r>
      <w:r>
        <w:rPr>
          <w:bCs/>
          <w:sz w:val="25"/>
          <w:szCs w:val="25"/>
        </w:rPr>
        <w:t xml:space="preserve"> </w:t>
      </w:r>
      <w:r w:rsidR="00412F12">
        <w:rPr>
          <w:bCs/>
          <w:sz w:val="25"/>
          <w:szCs w:val="25"/>
        </w:rPr>
        <w:t>commit</w:t>
      </w:r>
      <w:r>
        <w:rPr>
          <w:bCs/>
          <w:sz w:val="25"/>
          <w:szCs w:val="25"/>
        </w:rPr>
        <w:t xml:space="preserve"> to participate in a generic proceeding</w:t>
      </w:r>
      <w:r w:rsidR="00CB4551">
        <w:rPr>
          <w:bCs/>
          <w:sz w:val="25"/>
          <w:szCs w:val="25"/>
        </w:rPr>
        <w:t xml:space="preserve">, </w:t>
      </w:r>
      <w:r>
        <w:rPr>
          <w:bCs/>
          <w:sz w:val="25"/>
          <w:szCs w:val="25"/>
        </w:rPr>
        <w:t>initiated or allowed by the Commission</w:t>
      </w:r>
      <w:r w:rsidR="00CB4551">
        <w:rPr>
          <w:bCs/>
          <w:sz w:val="25"/>
          <w:szCs w:val="25"/>
        </w:rPr>
        <w:t>,</w:t>
      </w:r>
      <w:r>
        <w:rPr>
          <w:bCs/>
          <w:sz w:val="25"/>
          <w:szCs w:val="25"/>
        </w:rPr>
        <w:t xml:space="preserve"> to address cost of service allocation methodologies for all system costs </w:t>
      </w:r>
      <w:r w:rsidR="00CB4551">
        <w:rPr>
          <w:bCs/>
          <w:sz w:val="25"/>
          <w:szCs w:val="25"/>
        </w:rPr>
        <w:t>across all three electric investor-owned utilities.</w:t>
      </w:r>
      <w:r w:rsidR="00CB4551">
        <w:rPr>
          <w:rStyle w:val="FootnoteReference"/>
          <w:bCs/>
          <w:sz w:val="25"/>
          <w:szCs w:val="25"/>
        </w:rPr>
        <w:footnoteReference w:id="8"/>
      </w:r>
      <w:r w:rsidR="00CB4551">
        <w:rPr>
          <w:bCs/>
          <w:sz w:val="25"/>
          <w:szCs w:val="25"/>
        </w:rPr>
        <w:t xml:space="preserve">  The Settling Parties intend for th</w:t>
      </w:r>
      <w:r w:rsidR="00412F12">
        <w:rPr>
          <w:bCs/>
          <w:sz w:val="25"/>
          <w:szCs w:val="25"/>
        </w:rPr>
        <w:t>at</w:t>
      </w:r>
      <w:r w:rsidR="00CB4551">
        <w:rPr>
          <w:bCs/>
          <w:sz w:val="25"/>
          <w:szCs w:val="25"/>
        </w:rPr>
        <w:t xml:space="preserve"> proceeding to allow PSE and all interested interveners “to fully present their viewpoints on cost of service and allocation methodologies with the goal of receiving consistent policy direction from the Commission, and in that proceeding no party will be bound by any cost of service or allocation agreements in this [S]ettlement.”</w:t>
      </w:r>
      <w:r w:rsidR="00CB4551">
        <w:rPr>
          <w:rStyle w:val="FootnoteReference"/>
          <w:bCs/>
          <w:sz w:val="25"/>
          <w:szCs w:val="25"/>
        </w:rPr>
        <w:footnoteReference w:id="9"/>
      </w:r>
      <w:r w:rsidR="00CB4551">
        <w:rPr>
          <w:bCs/>
          <w:sz w:val="25"/>
          <w:szCs w:val="25"/>
        </w:rPr>
        <w:t xml:space="preserve">  </w:t>
      </w:r>
    </w:p>
    <w:p w14:paraId="0FEBB942" w14:textId="77777777" w:rsidR="00A615EC" w:rsidRDefault="00A615EC" w:rsidP="005C74DA">
      <w:pPr>
        <w:spacing w:line="264" w:lineRule="auto"/>
        <w:rPr>
          <w:bCs/>
          <w:sz w:val="25"/>
          <w:szCs w:val="25"/>
        </w:rPr>
      </w:pPr>
    </w:p>
    <w:p w14:paraId="612ED3B8" w14:textId="77777777" w:rsidR="00CB4C14" w:rsidRDefault="00700EC4" w:rsidP="005C74DA">
      <w:pPr>
        <w:numPr>
          <w:ilvl w:val="0"/>
          <w:numId w:val="14"/>
        </w:numPr>
        <w:spacing w:line="264" w:lineRule="auto"/>
        <w:ind w:hanging="720"/>
        <w:rPr>
          <w:bCs/>
          <w:sz w:val="25"/>
          <w:szCs w:val="25"/>
        </w:rPr>
      </w:pPr>
      <w:r w:rsidRPr="00E23733">
        <w:rPr>
          <w:bCs/>
          <w:sz w:val="25"/>
          <w:szCs w:val="25"/>
        </w:rPr>
        <w:t>In terms</w:t>
      </w:r>
      <w:r w:rsidR="00304860">
        <w:rPr>
          <w:bCs/>
          <w:sz w:val="25"/>
          <w:szCs w:val="25"/>
        </w:rPr>
        <w:t xml:space="preserve"> of allocation of demand-related production and transmission costs, the Settling Parties propose PSE use a four coincident peak (4-CP) allocator that would use just four hours, one hour of the highest coincidental peak from each of the four winter heating months.</w:t>
      </w:r>
      <w:r w:rsidR="00304860">
        <w:rPr>
          <w:rStyle w:val="FootnoteReference"/>
          <w:bCs/>
          <w:szCs w:val="25"/>
        </w:rPr>
        <w:footnoteReference w:id="10"/>
      </w:r>
      <w:r w:rsidR="00304860">
        <w:rPr>
          <w:bCs/>
          <w:sz w:val="25"/>
          <w:szCs w:val="25"/>
        </w:rPr>
        <w:t xml:space="preserve">  The Settlement only binds the Settling Parties to support the use of the 4-CP methodology in PSE’s next general rate case, and only if the generic proceeding, as discussed above, is not concluded before the end of the next rate case.  </w:t>
      </w:r>
      <w:r w:rsidRPr="00E23733">
        <w:rPr>
          <w:bCs/>
          <w:sz w:val="25"/>
          <w:szCs w:val="25"/>
        </w:rPr>
        <w:t xml:space="preserve"> </w:t>
      </w:r>
    </w:p>
    <w:p w14:paraId="5C7D2344" w14:textId="77777777" w:rsidR="00304860" w:rsidRDefault="00304860" w:rsidP="005C74DA">
      <w:pPr>
        <w:pStyle w:val="ListParagraph"/>
        <w:spacing w:line="264" w:lineRule="auto"/>
        <w:rPr>
          <w:bCs/>
          <w:sz w:val="25"/>
          <w:szCs w:val="25"/>
        </w:rPr>
      </w:pPr>
    </w:p>
    <w:p w14:paraId="47BED759" w14:textId="77777777" w:rsidR="00304860" w:rsidRDefault="00304860" w:rsidP="005C74DA">
      <w:pPr>
        <w:numPr>
          <w:ilvl w:val="0"/>
          <w:numId w:val="14"/>
        </w:numPr>
        <w:spacing w:line="264" w:lineRule="auto"/>
        <w:ind w:hanging="720"/>
        <w:rPr>
          <w:bCs/>
          <w:sz w:val="25"/>
          <w:szCs w:val="25"/>
        </w:rPr>
      </w:pPr>
      <w:r>
        <w:rPr>
          <w:bCs/>
          <w:sz w:val="25"/>
          <w:szCs w:val="25"/>
        </w:rPr>
        <w:t>The Company states that the previously-used 75 hour CP allocator was predicated on the number of hours its system experienced temperatures below 23 degrees.</w:t>
      </w:r>
      <w:r>
        <w:rPr>
          <w:rStyle w:val="FootnoteReference"/>
          <w:bCs/>
          <w:szCs w:val="25"/>
        </w:rPr>
        <w:footnoteReference w:id="11"/>
      </w:r>
      <w:r>
        <w:rPr>
          <w:bCs/>
          <w:sz w:val="25"/>
          <w:szCs w:val="25"/>
        </w:rPr>
        <w:t xml:space="preserve">  The </w:t>
      </w:r>
      <w:r w:rsidRPr="00D33B52">
        <w:rPr>
          <w:bCs/>
          <w:sz w:val="25"/>
          <w:szCs w:val="25"/>
        </w:rPr>
        <w:t xml:space="preserve">data for </w:t>
      </w:r>
      <w:r>
        <w:rPr>
          <w:bCs/>
          <w:sz w:val="25"/>
          <w:szCs w:val="25"/>
        </w:rPr>
        <w:t xml:space="preserve">years </w:t>
      </w:r>
      <w:r w:rsidRPr="00D33B52">
        <w:rPr>
          <w:bCs/>
          <w:sz w:val="25"/>
          <w:szCs w:val="25"/>
        </w:rPr>
        <w:t>2</w:t>
      </w:r>
      <w:r>
        <w:rPr>
          <w:bCs/>
          <w:sz w:val="25"/>
          <w:szCs w:val="25"/>
        </w:rPr>
        <w:t xml:space="preserve">011, 2012, and 2013 </w:t>
      </w:r>
      <w:r w:rsidRPr="00D33B52">
        <w:rPr>
          <w:bCs/>
          <w:sz w:val="25"/>
          <w:szCs w:val="25"/>
        </w:rPr>
        <w:t>show</w:t>
      </w:r>
      <w:r>
        <w:rPr>
          <w:bCs/>
          <w:sz w:val="25"/>
          <w:szCs w:val="25"/>
        </w:rPr>
        <w:t>s</w:t>
      </w:r>
      <w:r w:rsidRPr="00D33B52">
        <w:rPr>
          <w:bCs/>
          <w:sz w:val="25"/>
          <w:szCs w:val="25"/>
        </w:rPr>
        <w:t xml:space="preserve"> that less than 25 percent of the 75 highest hourly loads in each of these years occurred during the 75 coolest hours.</w:t>
      </w:r>
      <w:r>
        <w:rPr>
          <w:rStyle w:val="FootnoteReference"/>
          <w:bCs/>
          <w:szCs w:val="25"/>
        </w:rPr>
        <w:footnoteReference w:id="12"/>
      </w:r>
      <w:r w:rsidRPr="00D33B52">
        <w:rPr>
          <w:bCs/>
          <w:sz w:val="25"/>
          <w:szCs w:val="25"/>
        </w:rPr>
        <w:t xml:space="preserve">  </w:t>
      </w:r>
      <w:r>
        <w:rPr>
          <w:bCs/>
          <w:sz w:val="25"/>
          <w:szCs w:val="25"/>
        </w:rPr>
        <w:t>PSE argues that, “…</w:t>
      </w:r>
      <w:r w:rsidRPr="00D33B52">
        <w:rPr>
          <w:bCs/>
          <w:sz w:val="25"/>
          <w:szCs w:val="25"/>
        </w:rPr>
        <w:t>hourly temperature alone is a poor predictor of hourly load</w:t>
      </w:r>
      <w:r>
        <w:rPr>
          <w:bCs/>
          <w:sz w:val="25"/>
          <w:szCs w:val="25"/>
        </w:rPr>
        <w:t>.”</w:t>
      </w:r>
      <w:r>
        <w:rPr>
          <w:rStyle w:val="FootnoteReference"/>
          <w:bCs/>
          <w:szCs w:val="25"/>
        </w:rPr>
        <w:footnoteReference w:id="13"/>
      </w:r>
      <w:r>
        <w:rPr>
          <w:bCs/>
          <w:sz w:val="25"/>
          <w:szCs w:val="25"/>
        </w:rPr>
        <w:t xml:space="preserve">  The Company asserts that the 4-CP allocator is closer to the single-hour annual peak demand that is the cause of the resource need and is also the method used by the Federal Energy Regulatory Commission.</w:t>
      </w:r>
      <w:r>
        <w:rPr>
          <w:rStyle w:val="FootnoteReference"/>
          <w:bCs/>
          <w:szCs w:val="25"/>
        </w:rPr>
        <w:footnoteReference w:id="14"/>
      </w:r>
      <w:r>
        <w:rPr>
          <w:bCs/>
          <w:sz w:val="25"/>
          <w:szCs w:val="25"/>
        </w:rPr>
        <w:t xml:space="preserve">  PSE </w:t>
      </w:r>
      <w:r w:rsidR="009C4ADE">
        <w:rPr>
          <w:bCs/>
          <w:sz w:val="25"/>
          <w:szCs w:val="25"/>
        </w:rPr>
        <w:t>prefers</w:t>
      </w:r>
      <w:r>
        <w:rPr>
          <w:bCs/>
          <w:sz w:val="25"/>
          <w:szCs w:val="25"/>
        </w:rPr>
        <w:t xml:space="preserve"> a single-hour peak from a single year</w:t>
      </w:r>
      <w:r w:rsidR="009C4ADE">
        <w:rPr>
          <w:bCs/>
          <w:sz w:val="25"/>
          <w:szCs w:val="25"/>
        </w:rPr>
        <w:t>, arguing that it</w:t>
      </w:r>
      <w:r>
        <w:rPr>
          <w:bCs/>
          <w:sz w:val="25"/>
          <w:szCs w:val="25"/>
        </w:rPr>
        <w:t xml:space="preserve"> is, theoretically, a more pure representation of cost causation</w:t>
      </w:r>
      <w:r w:rsidR="006A26AC">
        <w:rPr>
          <w:bCs/>
          <w:sz w:val="25"/>
          <w:szCs w:val="25"/>
        </w:rPr>
        <w:t>.  T</w:t>
      </w:r>
      <w:r>
        <w:rPr>
          <w:bCs/>
          <w:sz w:val="25"/>
          <w:szCs w:val="25"/>
        </w:rPr>
        <w:t xml:space="preserve">he Company </w:t>
      </w:r>
      <w:r w:rsidR="006A26AC">
        <w:rPr>
          <w:bCs/>
          <w:sz w:val="25"/>
          <w:szCs w:val="25"/>
        </w:rPr>
        <w:t xml:space="preserve">accepts the use of </w:t>
      </w:r>
      <w:r>
        <w:rPr>
          <w:bCs/>
          <w:sz w:val="25"/>
          <w:szCs w:val="25"/>
        </w:rPr>
        <w:t xml:space="preserve">the 4-CP allocator </w:t>
      </w:r>
      <w:r w:rsidR="006A26AC">
        <w:rPr>
          <w:bCs/>
          <w:sz w:val="25"/>
          <w:szCs w:val="25"/>
        </w:rPr>
        <w:t xml:space="preserve">for settlement purposes because the 4-CP allocator </w:t>
      </w:r>
      <w:r>
        <w:rPr>
          <w:bCs/>
          <w:sz w:val="25"/>
          <w:szCs w:val="25"/>
        </w:rPr>
        <w:t xml:space="preserve">produces less </w:t>
      </w:r>
      <w:r w:rsidR="006A26AC">
        <w:rPr>
          <w:bCs/>
          <w:sz w:val="25"/>
          <w:szCs w:val="25"/>
        </w:rPr>
        <w:t xml:space="preserve">year-to-year </w:t>
      </w:r>
      <w:r>
        <w:rPr>
          <w:bCs/>
          <w:sz w:val="25"/>
          <w:szCs w:val="25"/>
        </w:rPr>
        <w:t>variation.</w:t>
      </w:r>
      <w:r>
        <w:rPr>
          <w:rStyle w:val="FootnoteReference"/>
          <w:bCs/>
          <w:szCs w:val="25"/>
        </w:rPr>
        <w:footnoteReference w:id="15"/>
      </w:r>
      <w:r w:rsidR="009C4ADE">
        <w:rPr>
          <w:bCs/>
          <w:sz w:val="25"/>
          <w:szCs w:val="25"/>
        </w:rPr>
        <w:t xml:space="preserve">  </w:t>
      </w:r>
      <w:r w:rsidR="00A05833" w:rsidRPr="00F914F4">
        <w:rPr>
          <w:bCs/>
          <w:sz w:val="25"/>
          <w:szCs w:val="25"/>
        </w:rPr>
        <w:t xml:space="preserve">Staff </w:t>
      </w:r>
      <w:r w:rsidR="00A05833">
        <w:rPr>
          <w:bCs/>
          <w:sz w:val="25"/>
          <w:szCs w:val="25"/>
        </w:rPr>
        <w:t xml:space="preserve">states that it </w:t>
      </w:r>
      <w:r w:rsidR="00A05833" w:rsidRPr="00F914F4">
        <w:rPr>
          <w:bCs/>
          <w:sz w:val="25"/>
          <w:szCs w:val="25"/>
        </w:rPr>
        <w:t>would</w:t>
      </w:r>
      <w:r w:rsidR="00A05833">
        <w:rPr>
          <w:bCs/>
          <w:sz w:val="25"/>
          <w:szCs w:val="25"/>
        </w:rPr>
        <w:t xml:space="preserve"> prefer no changes to PSE’s</w:t>
      </w:r>
      <w:r w:rsidR="00A05833" w:rsidRPr="00F914F4">
        <w:rPr>
          <w:bCs/>
          <w:sz w:val="25"/>
          <w:szCs w:val="25"/>
        </w:rPr>
        <w:t xml:space="preserve"> cost allocation methodology</w:t>
      </w:r>
      <w:r w:rsidR="006A26AC">
        <w:rPr>
          <w:bCs/>
          <w:sz w:val="25"/>
          <w:szCs w:val="25"/>
        </w:rPr>
        <w:t>.  L</w:t>
      </w:r>
      <w:r w:rsidR="00A05833">
        <w:rPr>
          <w:bCs/>
          <w:sz w:val="25"/>
          <w:szCs w:val="25"/>
        </w:rPr>
        <w:t xml:space="preserve">ike PSE, </w:t>
      </w:r>
      <w:r w:rsidR="006A26AC">
        <w:rPr>
          <w:bCs/>
          <w:sz w:val="25"/>
          <w:szCs w:val="25"/>
        </w:rPr>
        <w:t>Staff</w:t>
      </w:r>
      <w:r w:rsidR="00A05833">
        <w:rPr>
          <w:bCs/>
          <w:sz w:val="25"/>
          <w:szCs w:val="25"/>
        </w:rPr>
        <w:t xml:space="preserve"> </w:t>
      </w:r>
      <w:r w:rsidR="00A05833" w:rsidRPr="00F914F4">
        <w:rPr>
          <w:bCs/>
          <w:sz w:val="25"/>
          <w:szCs w:val="25"/>
        </w:rPr>
        <w:t xml:space="preserve">accepts the </w:t>
      </w:r>
      <w:r w:rsidR="00A05833">
        <w:rPr>
          <w:bCs/>
          <w:sz w:val="25"/>
          <w:szCs w:val="25"/>
        </w:rPr>
        <w:t xml:space="preserve">limited </w:t>
      </w:r>
      <w:r w:rsidR="00A05833" w:rsidRPr="00F914F4">
        <w:rPr>
          <w:bCs/>
          <w:sz w:val="25"/>
          <w:szCs w:val="25"/>
        </w:rPr>
        <w:t>use of a 4-CP allocator</w:t>
      </w:r>
      <w:r w:rsidR="00A05833">
        <w:rPr>
          <w:bCs/>
          <w:sz w:val="25"/>
          <w:szCs w:val="25"/>
        </w:rPr>
        <w:t xml:space="preserve"> for settlement purposes</w:t>
      </w:r>
      <w:r w:rsidR="006A26AC">
        <w:rPr>
          <w:bCs/>
          <w:sz w:val="25"/>
          <w:szCs w:val="25"/>
        </w:rPr>
        <w:t xml:space="preserve">, citing </w:t>
      </w:r>
      <w:r w:rsidR="00A05833">
        <w:rPr>
          <w:bCs/>
          <w:sz w:val="25"/>
          <w:szCs w:val="25"/>
        </w:rPr>
        <w:t xml:space="preserve">the Company’s </w:t>
      </w:r>
      <w:r w:rsidR="00412F12">
        <w:rPr>
          <w:bCs/>
          <w:sz w:val="25"/>
          <w:szCs w:val="25"/>
        </w:rPr>
        <w:t xml:space="preserve">analysis </w:t>
      </w:r>
      <w:r w:rsidR="006A26AC">
        <w:rPr>
          <w:bCs/>
          <w:sz w:val="25"/>
          <w:szCs w:val="25"/>
        </w:rPr>
        <w:t>showing that</w:t>
      </w:r>
      <w:r w:rsidR="00A05833">
        <w:rPr>
          <w:bCs/>
          <w:sz w:val="25"/>
          <w:szCs w:val="25"/>
        </w:rPr>
        <w:t xml:space="preserve"> the change </w:t>
      </w:r>
      <w:r w:rsidR="006A26AC">
        <w:rPr>
          <w:bCs/>
          <w:sz w:val="25"/>
          <w:szCs w:val="25"/>
        </w:rPr>
        <w:t>will have</w:t>
      </w:r>
      <w:r w:rsidR="00A05833">
        <w:rPr>
          <w:bCs/>
          <w:sz w:val="25"/>
          <w:szCs w:val="25"/>
        </w:rPr>
        <w:t xml:space="preserve"> a minor effect on </w:t>
      </w:r>
      <w:r w:rsidR="00A05833" w:rsidRPr="00F914F4">
        <w:rPr>
          <w:bCs/>
          <w:sz w:val="25"/>
          <w:szCs w:val="25"/>
        </w:rPr>
        <w:t>custome</w:t>
      </w:r>
      <w:r w:rsidR="00A05833">
        <w:rPr>
          <w:bCs/>
          <w:sz w:val="25"/>
          <w:szCs w:val="25"/>
        </w:rPr>
        <w:t>r rates.</w:t>
      </w:r>
      <w:r w:rsidR="00A05833">
        <w:rPr>
          <w:rStyle w:val="FootnoteReference"/>
          <w:bCs/>
          <w:szCs w:val="25"/>
        </w:rPr>
        <w:footnoteReference w:id="16"/>
      </w:r>
      <w:r w:rsidR="00A05833">
        <w:rPr>
          <w:bCs/>
          <w:sz w:val="25"/>
          <w:szCs w:val="25"/>
        </w:rPr>
        <w:t xml:space="preserve">   </w:t>
      </w:r>
    </w:p>
    <w:p w14:paraId="7F583D88" w14:textId="77777777" w:rsidR="00A05833" w:rsidRDefault="00A05833" w:rsidP="005C74DA">
      <w:pPr>
        <w:spacing w:line="264" w:lineRule="auto"/>
        <w:rPr>
          <w:bCs/>
          <w:sz w:val="25"/>
          <w:szCs w:val="25"/>
        </w:rPr>
      </w:pPr>
    </w:p>
    <w:p w14:paraId="773D8031" w14:textId="77777777" w:rsidR="00636CA7" w:rsidRDefault="00A05833" w:rsidP="005C74DA">
      <w:pPr>
        <w:numPr>
          <w:ilvl w:val="0"/>
          <w:numId w:val="14"/>
        </w:numPr>
        <w:spacing w:line="264" w:lineRule="auto"/>
        <w:ind w:hanging="720"/>
        <w:rPr>
          <w:bCs/>
          <w:sz w:val="25"/>
          <w:szCs w:val="25"/>
        </w:rPr>
      </w:pPr>
      <w:r w:rsidRPr="00636CA7">
        <w:rPr>
          <w:bCs/>
          <w:sz w:val="25"/>
          <w:szCs w:val="25"/>
        </w:rPr>
        <w:t xml:space="preserve">The Settling </w:t>
      </w:r>
      <w:r w:rsidR="00EA3261">
        <w:rPr>
          <w:bCs/>
          <w:sz w:val="25"/>
          <w:szCs w:val="25"/>
        </w:rPr>
        <w:t>P</w:t>
      </w:r>
      <w:r w:rsidRPr="00636CA7">
        <w:rPr>
          <w:bCs/>
          <w:sz w:val="25"/>
          <w:szCs w:val="25"/>
        </w:rPr>
        <w:t xml:space="preserve">arties also propose to update certain underlying assumptions and data used in </w:t>
      </w:r>
      <w:r w:rsidR="00412F12">
        <w:rPr>
          <w:bCs/>
          <w:sz w:val="25"/>
          <w:szCs w:val="25"/>
        </w:rPr>
        <w:t xml:space="preserve">the </w:t>
      </w:r>
      <w:r w:rsidRPr="00636CA7">
        <w:rPr>
          <w:bCs/>
          <w:sz w:val="25"/>
          <w:szCs w:val="25"/>
        </w:rPr>
        <w:t>“peak credit” analyses</w:t>
      </w:r>
      <w:r w:rsidR="00636CA7" w:rsidRPr="00636CA7">
        <w:rPr>
          <w:bCs/>
          <w:sz w:val="25"/>
          <w:szCs w:val="25"/>
        </w:rPr>
        <w:t xml:space="preserve"> including: </w:t>
      </w:r>
    </w:p>
    <w:p w14:paraId="0D6BC653" w14:textId="77777777" w:rsidR="00636CA7" w:rsidRDefault="00636CA7" w:rsidP="005C74DA">
      <w:pPr>
        <w:pStyle w:val="ListParagraph"/>
        <w:spacing w:line="264" w:lineRule="auto"/>
        <w:rPr>
          <w:bCs/>
          <w:sz w:val="25"/>
          <w:szCs w:val="25"/>
        </w:rPr>
      </w:pPr>
    </w:p>
    <w:p w14:paraId="7AA40EA1" w14:textId="77777777" w:rsidR="00636CA7" w:rsidRPr="00E836B3" w:rsidRDefault="00636CA7" w:rsidP="005C74DA">
      <w:pPr>
        <w:pStyle w:val="ListParagraph"/>
        <w:numPr>
          <w:ilvl w:val="0"/>
          <w:numId w:val="19"/>
        </w:numPr>
        <w:spacing w:line="264" w:lineRule="auto"/>
        <w:rPr>
          <w:bCs/>
          <w:sz w:val="25"/>
          <w:szCs w:val="25"/>
        </w:rPr>
      </w:pPr>
      <w:r>
        <w:rPr>
          <w:bCs/>
          <w:sz w:val="25"/>
          <w:szCs w:val="25"/>
        </w:rPr>
        <w:t>Capital costs, fixed and variable operations and maintenance costs, and the heat rates of proxy generating resources, consistent with the assumptions in the Company’s 2013 Integrated Resource Plan (IRP);</w:t>
      </w:r>
      <w:r w:rsidRPr="00636CA7">
        <w:rPr>
          <w:rStyle w:val="FootnoteReference"/>
          <w:bCs/>
          <w:szCs w:val="25"/>
        </w:rPr>
        <w:t xml:space="preserve"> </w:t>
      </w:r>
      <w:r>
        <w:rPr>
          <w:rStyle w:val="FootnoteReference"/>
          <w:bCs/>
          <w:szCs w:val="25"/>
        </w:rPr>
        <w:footnoteReference w:id="17"/>
      </w:r>
    </w:p>
    <w:p w14:paraId="697EB254" w14:textId="77777777" w:rsidR="00E836B3" w:rsidRDefault="00E836B3" w:rsidP="00E836B3">
      <w:pPr>
        <w:pStyle w:val="ListParagraph"/>
        <w:spacing w:line="264" w:lineRule="auto"/>
        <w:rPr>
          <w:bCs/>
          <w:sz w:val="25"/>
          <w:szCs w:val="25"/>
        </w:rPr>
      </w:pPr>
    </w:p>
    <w:p w14:paraId="52C8B5CE" w14:textId="06B5049D" w:rsidR="00EA3261" w:rsidRPr="00E836B3" w:rsidRDefault="00636CA7" w:rsidP="000E342E">
      <w:pPr>
        <w:pStyle w:val="ListParagraph"/>
        <w:numPr>
          <w:ilvl w:val="0"/>
          <w:numId w:val="19"/>
        </w:numPr>
        <w:spacing w:line="264" w:lineRule="auto"/>
        <w:rPr>
          <w:bCs/>
          <w:sz w:val="25"/>
          <w:szCs w:val="25"/>
        </w:rPr>
      </w:pPr>
      <w:r w:rsidRPr="00E836B3">
        <w:rPr>
          <w:bCs/>
          <w:sz w:val="25"/>
          <w:szCs w:val="25"/>
        </w:rPr>
        <w:t>Natural gas price forecasts consistent with the most recently available projections, consistent with PSE’s 2015 IRP;</w:t>
      </w:r>
      <w:r>
        <w:rPr>
          <w:rStyle w:val="FootnoteReference"/>
          <w:bCs/>
          <w:sz w:val="25"/>
          <w:szCs w:val="25"/>
        </w:rPr>
        <w:footnoteReference w:id="18"/>
      </w:r>
      <w:r w:rsidR="00EA3261" w:rsidRPr="00E836B3">
        <w:rPr>
          <w:bCs/>
          <w:sz w:val="25"/>
          <w:szCs w:val="25"/>
        </w:rPr>
        <w:t xml:space="preserve"> and</w:t>
      </w:r>
      <w:r w:rsidR="00E836B3">
        <w:rPr>
          <w:bCs/>
          <w:sz w:val="25"/>
          <w:szCs w:val="25"/>
        </w:rPr>
        <w:t xml:space="preserve"> </w:t>
      </w:r>
      <w:r w:rsidR="00EA3261" w:rsidRPr="00E836B3">
        <w:rPr>
          <w:bCs/>
          <w:sz w:val="25"/>
          <w:szCs w:val="25"/>
        </w:rPr>
        <w:t xml:space="preserve">carbon cost assumptions </w:t>
      </w:r>
      <w:r w:rsidR="00EA3261" w:rsidRPr="00E836B3">
        <w:rPr>
          <w:bCs/>
          <w:sz w:val="25"/>
          <w:szCs w:val="25"/>
        </w:rPr>
        <w:lastRenderedPageBreak/>
        <w:t>to reflect the equally weighted average of the high, medium, and low cost projections from its 2013 IRP.</w:t>
      </w:r>
      <w:r w:rsidR="00EA3261">
        <w:rPr>
          <w:rStyle w:val="FootnoteReference"/>
          <w:bCs/>
          <w:sz w:val="25"/>
          <w:szCs w:val="25"/>
        </w:rPr>
        <w:footnoteReference w:id="19"/>
      </w:r>
      <w:r w:rsidR="00EA3261" w:rsidRPr="00E836B3">
        <w:rPr>
          <w:bCs/>
          <w:sz w:val="25"/>
          <w:szCs w:val="25"/>
        </w:rPr>
        <w:t xml:space="preserve"> </w:t>
      </w:r>
    </w:p>
    <w:p w14:paraId="78F39360" w14:textId="77777777" w:rsidR="00EA3261" w:rsidRPr="00EA3261" w:rsidRDefault="00EA3261" w:rsidP="005C74DA">
      <w:pPr>
        <w:spacing w:line="264" w:lineRule="auto"/>
        <w:ind w:left="360"/>
        <w:rPr>
          <w:bCs/>
          <w:sz w:val="25"/>
          <w:szCs w:val="25"/>
        </w:rPr>
      </w:pPr>
    </w:p>
    <w:p w14:paraId="3369BE2A" w14:textId="48083539" w:rsidR="001060D7" w:rsidRDefault="001060D7" w:rsidP="005C74DA">
      <w:pPr>
        <w:numPr>
          <w:ilvl w:val="0"/>
          <w:numId w:val="14"/>
        </w:numPr>
        <w:spacing w:line="264" w:lineRule="auto"/>
        <w:ind w:hanging="720"/>
        <w:rPr>
          <w:bCs/>
          <w:sz w:val="25"/>
          <w:szCs w:val="25"/>
        </w:rPr>
      </w:pPr>
      <w:r>
        <w:rPr>
          <w:bCs/>
          <w:sz w:val="25"/>
          <w:szCs w:val="25"/>
        </w:rPr>
        <w:t>The Settlement reduces the capacity factor for proxy base load generator from 97 percent to 80 percent.</w:t>
      </w:r>
      <w:r>
        <w:rPr>
          <w:rStyle w:val="FootnoteReference"/>
          <w:bCs/>
          <w:szCs w:val="25"/>
        </w:rPr>
        <w:footnoteReference w:id="20"/>
      </w:r>
      <w:r>
        <w:rPr>
          <w:bCs/>
          <w:sz w:val="25"/>
          <w:szCs w:val="25"/>
        </w:rPr>
        <w:t xml:space="preserve">  In PSE’s 2011 general rate case, the Company used a 97 percent capacity factor, and in PSE’s 2014 power cost only case, the Company used an 84 percent capacity factor for base load resources.</w:t>
      </w:r>
      <w:r>
        <w:rPr>
          <w:rStyle w:val="FootnoteReference"/>
          <w:bCs/>
          <w:szCs w:val="25"/>
        </w:rPr>
        <w:footnoteReference w:id="21"/>
      </w:r>
      <w:r>
        <w:rPr>
          <w:bCs/>
          <w:sz w:val="25"/>
          <w:szCs w:val="25"/>
        </w:rPr>
        <w:t xml:space="preserve">  PSE testifies that base load resource</w:t>
      </w:r>
      <w:r w:rsidR="00F242D3">
        <w:rPr>
          <w:bCs/>
          <w:sz w:val="25"/>
          <w:szCs w:val="25"/>
        </w:rPr>
        <w:t>s</w:t>
      </w:r>
      <w:r>
        <w:rPr>
          <w:bCs/>
          <w:sz w:val="25"/>
          <w:szCs w:val="25"/>
        </w:rPr>
        <w:t xml:space="preserve"> have historically operated in the 70-80 percent capacity factor range, with recent capacity as high as 88 percent.</w:t>
      </w:r>
      <w:r>
        <w:rPr>
          <w:rStyle w:val="FootnoteReference"/>
          <w:bCs/>
          <w:szCs w:val="25"/>
        </w:rPr>
        <w:footnoteReference w:id="22"/>
      </w:r>
      <w:r>
        <w:rPr>
          <w:bCs/>
          <w:sz w:val="25"/>
          <w:szCs w:val="25"/>
        </w:rPr>
        <w:t xml:space="preserve">  The Settling Parties do not quantify the impact of this change.  </w:t>
      </w:r>
    </w:p>
    <w:p w14:paraId="7AB1277F" w14:textId="77777777" w:rsidR="001060D7" w:rsidRDefault="001060D7" w:rsidP="005C74DA">
      <w:pPr>
        <w:spacing w:line="264" w:lineRule="auto"/>
        <w:rPr>
          <w:bCs/>
          <w:sz w:val="25"/>
          <w:szCs w:val="25"/>
        </w:rPr>
      </w:pPr>
    </w:p>
    <w:p w14:paraId="794535F5" w14:textId="77777777" w:rsidR="00A05833" w:rsidRDefault="001060D7" w:rsidP="005C74DA">
      <w:pPr>
        <w:numPr>
          <w:ilvl w:val="0"/>
          <w:numId w:val="14"/>
        </w:numPr>
        <w:spacing w:line="264" w:lineRule="auto"/>
        <w:ind w:hanging="720"/>
        <w:rPr>
          <w:bCs/>
          <w:sz w:val="25"/>
          <w:szCs w:val="25"/>
        </w:rPr>
      </w:pPr>
      <w:r>
        <w:rPr>
          <w:bCs/>
          <w:sz w:val="25"/>
          <w:szCs w:val="25"/>
        </w:rPr>
        <w:t>T</w:t>
      </w:r>
      <w:r w:rsidR="00EA3261">
        <w:rPr>
          <w:bCs/>
          <w:sz w:val="25"/>
          <w:szCs w:val="25"/>
        </w:rPr>
        <w:t xml:space="preserve">he </w:t>
      </w:r>
      <w:r w:rsidR="001058F1">
        <w:rPr>
          <w:bCs/>
          <w:sz w:val="25"/>
          <w:szCs w:val="25"/>
        </w:rPr>
        <w:t>Settling Parties agree to use a 7.</w:t>
      </w:r>
      <w:r w:rsidR="00EA3261">
        <w:rPr>
          <w:bCs/>
          <w:sz w:val="25"/>
          <w:szCs w:val="25"/>
        </w:rPr>
        <w:t>77 percent</w:t>
      </w:r>
      <w:r w:rsidR="001058F1">
        <w:rPr>
          <w:bCs/>
          <w:sz w:val="25"/>
          <w:szCs w:val="25"/>
        </w:rPr>
        <w:t xml:space="preserve"> rate of return</w:t>
      </w:r>
      <w:r w:rsidR="00EA3261">
        <w:rPr>
          <w:bCs/>
          <w:sz w:val="25"/>
          <w:szCs w:val="25"/>
        </w:rPr>
        <w:t xml:space="preserve">, </w:t>
      </w:r>
      <w:r w:rsidR="001058F1">
        <w:rPr>
          <w:bCs/>
          <w:sz w:val="25"/>
          <w:szCs w:val="25"/>
        </w:rPr>
        <w:t>while they</w:t>
      </w:r>
      <w:r w:rsidR="00EA3261">
        <w:rPr>
          <w:bCs/>
          <w:sz w:val="25"/>
          <w:szCs w:val="25"/>
        </w:rPr>
        <w:t xml:space="preserve"> “acknowledge disagreement upon the appropriate return on equity component of cost of capital to be used, consistent with </w:t>
      </w:r>
      <w:r w:rsidR="001273F4">
        <w:rPr>
          <w:bCs/>
          <w:sz w:val="25"/>
          <w:szCs w:val="25"/>
        </w:rPr>
        <w:t xml:space="preserve">[the] </w:t>
      </w:r>
      <w:r w:rsidR="00EA3261">
        <w:rPr>
          <w:bCs/>
          <w:sz w:val="25"/>
          <w:szCs w:val="25"/>
        </w:rPr>
        <w:t xml:space="preserve">remand proceedings now before the Commission in Dockets UE-130137, UG-130138, </w:t>
      </w:r>
      <w:r w:rsidR="00D851E7">
        <w:rPr>
          <w:bCs/>
          <w:sz w:val="25"/>
          <w:szCs w:val="25"/>
        </w:rPr>
        <w:t>UE-121697, and UG-121705.</w:t>
      </w:r>
      <w:r w:rsidR="001273F4">
        <w:rPr>
          <w:bCs/>
          <w:sz w:val="25"/>
          <w:szCs w:val="25"/>
        </w:rPr>
        <w:t>”</w:t>
      </w:r>
      <w:r w:rsidR="00D851E7">
        <w:rPr>
          <w:rStyle w:val="FootnoteReference"/>
          <w:bCs/>
          <w:sz w:val="25"/>
          <w:szCs w:val="25"/>
        </w:rPr>
        <w:footnoteReference w:id="23"/>
      </w:r>
      <w:r w:rsidR="00D851E7">
        <w:rPr>
          <w:bCs/>
          <w:sz w:val="25"/>
          <w:szCs w:val="25"/>
        </w:rPr>
        <w:t xml:space="preserve">  PSE agrees to conform to the Commission’s decision in the above-referenced dockets in terms of whether an update to the cost of capital is required.</w:t>
      </w:r>
      <w:r w:rsidR="00D851E7">
        <w:rPr>
          <w:rStyle w:val="FootnoteReference"/>
          <w:bCs/>
          <w:sz w:val="25"/>
          <w:szCs w:val="25"/>
        </w:rPr>
        <w:footnoteReference w:id="24"/>
      </w:r>
    </w:p>
    <w:p w14:paraId="6F33FDE6" w14:textId="77777777" w:rsidR="00D851E7" w:rsidRDefault="00D851E7" w:rsidP="005C74DA">
      <w:pPr>
        <w:spacing w:line="264" w:lineRule="auto"/>
        <w:rPr>
          <w:bCs/>
          <w:sz w:val="25"/>
          <w:szCs w:val="25"/>
        </w:rPr>
      </w:pPr>
    </w:p>
    <w:p w14:paraId="38A0512C" w14:textId="77777777" w:rsidR="00D851E7" w:rsidRDefault="00D851E7" w:rsidP="005C74DA">
      <w:pPr>
        <w:pStyle w:val="ListParagraph"/>
        <w:numPr>
          <w:ilvl w:val="0"/>
          <w:numId w:val="18"/>
        </w:numPr>
        <w:spacing w:line="264" w:lineRule="auto"/>
        <w:rPr>
          <w:bCs/>
          <w:sz w:val="25"/>
          <w:szCs w:val="25"/>
        </w:rPr>
      </w:pPr>
      <w:r>
        <w:rPr>
          <w:bCs/>
          <w:i/>
          <w:sz w:val="25"/>
          <w:szCs w:val="25"/>
        </w:rPr>
        <w:t>Rate spread and rate design.</w:t>
      </w:r>
    </w:p>
    <w:p w14:paraId="7956DF1F" w14:textId="77777777" w:rsidR="00D851E7" w:rsidRDefault="00D851E7" w:rsidP="005C74DA">
      <w:pPr>
        <w:spacing w:line="264" w:lineRule="auto"/>
        <w:rPr>
          <w:bCs/>
          <w:sz w:val="25"/>
          <w:szCs w:val="25"/>
        </w:rPr>
      </w:pPr>
    </w:p>
    <w:p w14:paraId="14BA95CF" w14:textId="77777777" w:rsidR="00F852D9" w:rsidRDefault="00F852D9" w:rsidP="005C74DA">
      <w:pPr>
        <w:numPr>
          <w:ilvl w:val="0"/>
          <w:numId w:val="14"/>
        </w:numPr>
        <w:spacing w:line="264" w:lineRule="auto"/>
        <w:ind w:hanging="720"/>
        <w:rPr>
          <w:bCs/>
          <w:sz w:val="25"/>
          <w:szCs w:val="25"/>
        </w:rPr>
      </w:pPr>
      <w:r w:rsidRPr="00F852D9">
        <w:rPr>
          <w:bCs/>
          <w:sz w:val="25"/>
          <w:szCs w:val="25"/>
        </w:rPr>
        <w:t>The Settling Parties propose the creation of third rate tier for PSE’s residential customer class.</w:t>
      </w:r>
      <w:r>
        <w:rPr>
          <w:rStyle w:val="FootnoteReference"/>
          <w:bCs/>
          <w:szCs w:val="25"/>
        </w:rPr>
        <w:footnoteReference w:id="25"/>
      </w:r>
      <w:r w:rsidRPr="00F852D9">
        <w:rPr>
          <w:bCs/>
          <w:sz w:val="25"/>
          <w:szCs w:val="25"/>
        </w:rPr>
        <w:t xml:space="preserve">  The third tier would apply to customers using 1801 kilowatt-hours (kWh) and above per month.</w:t>
      </w:r>
      <w:r>
        <w:rPr>
          <w:rStyle w:val="FootnoteReference"/>
          <w:bCs/>
          <w:szCs w:val="25"/>
        </w:rPr>
        <w:footnoteReference w:id="26"/>
      </w:r>
      <w:r w:rsidRPr="00F852D9">
        <w:rPr>
          <w:bCs/>
          <w:sz w:val="25"/>
          <w:szCs w:val="25"/>
        </w:rPr>
        <w:t xml:space="preserve">  Based on Staff’s analysis, approximately 90 percent of residential customers and approximately 87 percent of low-income customers would be unaffected by the creation of a third block starting at 1801 kWh.</w:t>
      </w:r>
      <w:r>
        <w:rPr>
          <w:rStyle w:val="FootnoteReference"/>
          <w:bCs/>
          <w:szCs w:val="25"/>
        </w:rPr>
        <w:footnoteReference w:id="27"/>
      </w:r>
      <w:r w:rsidRPr="00F852D9">
        <w:rPr>
          <w:bCs/>
          <w:sz w:val="25"/>
          <w:szCs w:val="25"/>
        </w:rPr>
        <w:t xml:space="preserve">  The Energy Project agrees, stating that the start of the third tier is high enough to exclude </w:t>
      </w:r>
      <w:r w:rsidRPr="00F852D9">
        <w:rPr>
          <w:bCs/>
          <w:sz w:val="25"/>
          <w:szCs w:val="25"/>
        </w:rPr>
        <w:lastRenderedPageBreak/>
        <w:t>a sufficient number of low-income customers.</w:t>
      </w:r>
      <w:r>
        <w:rPr>
          <w:rStyle w:val="FootnoteReference"/>
          <w:bCs/>
          <w:szCs w:val="25"/>
        </w:rPr>
        <w:footnoteReference w:id="28"/>
      </w:r>
      <w:r w:rsidRPr="00F852D9">
        <w:rPr>
          <w:bCs/>
          <w:sz w:val="25"/>
          <w:szCs w:val="25"/>
        </w:rPr>
        <w:t xml:space="preserve">  The actual rate for the third tier is not specified in the Settlement.  PSE will propose a specific inverted rate for the third tier in its direct testimony in its next rate case.</w:t>
      </w:r>
      <w:r>
        <w:rPr>
          <w:rStyle w:val="FootnoteReference"/>
          <w:bCs/>
          <w:szCs w:val="25"/>
        </w:rPr>
        <w:footnoteReference w:id="29"/>
      </w:r>
      <w:r w:rsidRPr="00F852D9">
        <w:rPr>
          <w:bCs/>
          <w:sz w:val="25"/>
          <w:szCs w:val="25"/>
        </w:rPr>
        <w:t xml:space="preserve">    </w:t>
      </w:r>
    </w:p>
    <w:p w14:paraId="5511EF41" w14:textId="77777777" w:rsidR="00B57A8A" w:rsidRDefault="00B57A8A" w:rsidP="005C74DA">
      <w:pPr>
        <w:spacing w:line="264" w:lineRule="auto"/>
        <w:rPr>
          <w:bCs/>
          <w:sz w:val="25"/>
          <w:szCs w:val="25"/>
        </w:rPr>
      </w:pPr>
    </w:p>
    <w:p w14:paraId="2C146E46" w14:textId="77777777" w:rsidR="00B57A8A" w:rsidRPr="00B57A8A" w:rsidRDefault="00B57A8A" w:rsidP="005C74DA">
      <w:pPr>
        <w:pStyle w:val="ListParagraph"/>
        <w:numPr>
          <w:ilvl w:val="0"/>
          <w:numId w:val="18"/>
        </w:numPr>
        <w:spacing w:line="264" w:lineRule="auto"/>
        <w:rPr>
          <w:bCs/>
          <w:i/>
          <w:sz w:val="25"/>
          <w:szCs w:val="25"/>
        </w:rPr>
      </w:pPr>
      <w:r w:rsidRPr="00B57A8A">
        <w:rPr>
          <w:bCs/>
          <w:i/>
          <w:sz w:val="25"/>
          <w:szCs w:val="25"/>
        </w:rPr>
        <w:t>Schedule 40</w:t>
      </w:r>
      <w:r w:rsidR="002C7CDE">
        <w:rPr>
          <w:rStyle w:val="FootnoteReference"/>
          <w:sz w:val="25"/>
          <w:szCs w:val="25"/>
        </w:rPr>
        <w:footnoteReference w:id="30"/>
      </w:r>
    </w:p>
    <w:p w14:paraId="26D74F38" w14:textId="77777777" w:rsidR="00A05833" w:rsidRDefault="00A05833" w:rsidP="005C74DA">
      <w:pPr>
        <w:spacing w:line="264" w:lineRule="auto"/>
        <w:rPr>
          <w:bCs/>
          <w:sz w:val="25"/>
          <w:szCs w:val="25"/>
        </w:rPr>
      </w:pPr>
    </w:p>
    <w:p w14:paraId="2D06DE61" w14:textId="77777777" w:rsidR="00B57A8A" w:rsidRPr="0023004E" w:rsidRDefault="0023004E" w:rsidP="005C74DA">
      <w:pPr>
        <w:numPr>
          <w:ilvl w:val="0"/>
          <w:numId w:val="14"/>
        </w:numPr>
        <w:spacing w:line="264" w:lineRule="auto"/>
        <w:ind w:hanging="720"/>
        <w:rPr>
          <w:bCs/>
          <w:i/>
          <w:sz w:val="25"/>
          <w:szCs w:val="25"/>
        </w:rPr>
      </w:pPr>
      <w:r w:rsidRPr="0023004E">
        <w:rPr>
          <w:bCs/>
          <w:sz w:val="25"/>
          <w:szCs w:val="25"/>
        </w:rPr>
        <w:t xml:space="preserve">The Settlement commits </w:t>
      </w:r>
      <w:r>
        <w:rPr>
          <w:bCs/>
          <w:sz w:val="25"/>
          <w:szCs w:val="25"/>
        </w:rPr>
        <w:t>the Company</w:t>
      </w:r>
      <w:r w:rsidRPr="0023004E">
        <w:rPr>
          <w:bCs/>
          <w:sz w:val="25"/>
          <w:szCs w:val="25"/>
        </w:rPr>
        <w:t xml:space="preserve"> to use a demand study for Schedule 40 customers that is no older than five years and to present the results of that updated demand study </w:t>
      </w:r>
      <w:r w:rsidR="001058F1">
        <w:rPr>
          <w:bCs/>
          <w:sz w:val="25"/>
          <w:szCs w:val="25"/>
        </w:rPr>
        <w:t xml:space="preserve">for the cost of service study </w:t>
      </w:r>
      <w:r w:rsidRPr="0023004E">
        <w:rPr>
          <w:bCs/>
          <w:sz w:val="25"/>
          <w:szCs w:val="25"/>
        </w:rPr>
        <w:t xml:space="preserve">in its initial filing in its next </w:t>
      </w:r>
      <w:r>
        <w:rPr>
          <w:bCs/>
          <w:sz w:val="25"/>
          <w:szCs w:val="25"/>
        </w:rPr>
        <w:t>general rate case</w:t>
      </w:r>
      <w:r w:rsidRPr="0023004E">
        <w:rPr>
          <w:bCs/>
          <w:sz w:val="25"/>
          <w:szCs w:val="25"/>
        </w:rPr>
        <w:t xml:space="preserve">.  </w:t>
      </w:r>
      <w:r>
        <w:rPr>
          <w:bCs/>
          <w:sz w:val="25"/>
          <w:szCs w:val="25"/>
        </w:rPr>
        <w:t>PSE</w:t>
      </w:r>
      <w:r w:rsidRPr="0023004E">
        <w:rPr>
          <w:bCs/>
          <w:sz w:val="25"/>
          <w:szCs w:val="25"/>
        </w:rPr>
        <w:t xml:space="preserve"> will continue to update distribution cost studies for each Schedule 40 customer in future rate cases.</w:t>
      </w:r>
      <w:r>
        <w:rPr>
          <w:rStyle w:val="FootnoteReference"/>
          <w:bCs/>
          <w:szCs w:val="25"/>
        </w:rPr>
        <w:footnoteReference w:id="31"/>
      </w:r>
    </w:p>
    <w:p w14:paraId="7B8DEA34" w14:textId="77777777" w:rsidR="00B57A8A" w:rsidRDefault="00B57A8A" w:rsidP="005C74DA">
      <w:pPr>
        <w:pStyle w:val="ListParagraph"/>
        <w:spacing w:line="264" w:lineRule="auto"/>
        <w:rPr>
          <w:b/>
          <w:bCs/>
          <w:sz w:val="25"/>
          <w:szCs w:val="25"/>
        </w:rPr>
      </w:pPr>
    </w:p>
    <w:p w14:paraId="0E5ECB39" w14:textId="77777777" w:rsidR="008677CA" w:rsidRPr="00A223A1" w:rsidRDefault="008677CA" w:rsidP="005C74DA">
      <w:pPr>
        <w:spacing w:line="264" w:lineRule="auto"/>
        <w:jc w:val="center"/>
        <w:rPr>
          <w:bCs/>
          <w:sz w:val="25"/>
          <w:szCs w:val="25"/>
          <w:u w:val="single"/>
        </w:rPr>
      </w:pPr>
      <w:r w:rsidRPr="00A223A1">
        <w:rPr>
          <w:b/>
          <w:bCs/>
          <w:sz w:val="25"/>
          <w:szCs w:val="25"/>
          <w:u w:val="single"/>
        </w:rPr>
        <w:t>DISCUSSION/DECISION</w:t>
      </w:r>
    </w:p>
    <w:p w14:paraId="65A706C6" w14:textId="77777777" w:rsidR="008677CA" w:rsidRDefault="008677CA" w:rsidP="005C74DA">
      <w:pPr>
        <w:pStyle w:val="ListParagraph"/>
        <w:spacing w:line="264" w:lineRule="auto"/>
        <w:rPr>
          <w:bCs/>
          <w:sz w:val="25"/>
          <w:szCs w:val="25"/>
        </w:rPr>
      </w:pPr>
    </w:p>
    <w:p w14:paraId="53BBB531" w14:textId="77777777" w:rsidR="005A4436" w:rsidRPr="00862FEB" w:rsidRDefault="00214091" w:rsidP="005C74DA">
      <w:pPr>
        <w:numPr>
          <w:ilvl w:val="0"/>
          <w:numId w:val="14"/>
        </w:numPr>
        <w:spacing w:line="264" w:lineRule="auto"/>
        <w:ind w:hanging="720"/>
        <w:rPr>
          <w:bCs/>
          <w:sz w:val="25"/>
          <w:szCs w:val="25"/>
        </w:rPr>
      </w:pPr>
      <w:r>
        <w:rPr>
          <w:bCs/>
          <w:sz w:val="25"/>
          <w:szCs w:val="25"/>
        </w:rPr>
        <w:t>The Settling Parties have presented us with a full Settlement</w:t>
      </w:r>
      <w:r w:rsidR="00862FEB">
        <w:rPr>
          <w:bCs/>
          <w:sz w:val="25"/>
          <w:szCs w:val="25"/>
        </w:rPr>
        <w:t xml:space="preserve"> that would either resolve or defer all contested issues within this docket.</w:t>
      </w:r>
      <w:r w:rsidR="00A9119A">
        <w:rPr>
          <w:bCs/>
          <w:sz w:val="25"/>
          <w:szCs w:val="25"/>
        </w:rPr>
        <w:t xml:space="preserve"> </w:t>
      </w:r>
      <w:r>
        <w:rPr>
          <w:bCs/>
          <w:sz w:val="25"/>
          <w:szCs w:val="25"/>
        </w:rPr>
        <w:t xml:space="preserve"> </w:t>
      </w:r>
      <w:r w:rsidR="00862FEB">
        <w:rPr>
          <w:bCs/>
          <w:sz w:val="25"/>
          <w:szCs w:val="25"/>
        </w:rPr>
        <w:t>In its evaluation, t</w:t>
      </w:r>
      <w:r w:rsidR="00F76B99" w:rsidRPr="00A87A31">
        <w:rPr>
          <w:sz w:val="25"/>
          <w:szCs w:val="25"/>
        </w:rPr>
        <w:t>he Commission must “determine whether a proposed settlement meets all pertinent legal and policy standards.”</w:t>
      </w:r>
      <w:r w:rsidR="00F76B99" w:rsidRPr="0072662F">
        <w:rPr>
          <w:rStyle w:val="FootnoteReference"/>
          <w:sz w:val="25"/>
          <w:szCs w:val="25"/>
        </w:rPr>
        <w:footnoteReference w:id="32"/>
      </w:r>
      <w:r w:rsidR="00F76B99" w:rsidRPr="00A87A31">
        <w:rPr>
          <w:sz w:val="25"/>
          <w:szCs w:val="25"/>
        </w:rPr>
        <w:t xml:space="preserve">  </w:t>
      </w:r>
      <w:r w:rsidR="00F76B99">
        <w:rPr>
          <w:sz w:val="25"/>
          <w:szCs w:val="25"/>
        </w:rPr>
        <w:t>Settlements</w:t>
      </w:r>
      <w:r w:rsidR="00F76B99" w:rsidRPr="00A87A31">
        <w:rPr>
          <w:sz w:val="25"/>
          <w:szCs w:val="25"/>
        </w:rPr>
        <w:t xml:space="preserve"> may </w:t>
      </w:r>
      <w:r w:rsidR="00F76B99">
        <w:rPr>
          <w:sz w:val="25"/>
          <w:szCs w:val="25"/>
        </w:rPr>
        <w:t xml:space="preserve">be </w:t>
      </w:r>
      <w:r w:rsidR="00F76B99" w:rsidRPr="00A87A31">
        <w:rPr>
          <w:sz w:val="25"/>
          <w:szCs w:val="25"/>
        </w:rPr>
        <w:t>approve</w:t>
      </w:r>
      <w:r w:rsidR="00F76B99">
        <w:rPr>
          <w:sz w:val="25"/>
          <w:szCs w:val="25"/>
        </w:rPr>
        <w:t>d</w:t>
      </w:r>
      <w:r w:rsidR="00F76B99" w:rsidRPr="00A87A31">
        <w:rPr>
          <w:sz w:val="25"/>
          <w:szCs w:val="25"/>
        </w:rPr>
        <w:t xml:space="preserve"> “when doing so is lawful, when the settlement terms are supported by an appropriate record, and when the result is consistent with the public interest in light of all the information available to the </w:t>
      </w:r>
      <w:r w:rsidR="00862FEB">
        <w:rPr>
          <w:sz w:val="25"/>
          <w:szCs w:val="25"/>
        </w:rPr>
        <w:t>[C]</w:t>
      </w:r>
      <w:r w:rsidR="00F76B99" w:rsidRPr="00A87A31">
        <w:rPr>
          <w:sz w:val="25"/>
          <w:szCs w:val="25"/>
        </w:rPr>
        <w:t>ommission.”</w:t>
      </w:r>
      <w:r w:rsidR="00F76B99" w:rsidRPr="0072662F">
        <w:rPr>
          <w:rStyle w:val="FootnoteReference"/>
          <w:sz w:val="25"/>
          <w:szCs w:val="25"/>
        </w:rPr>
        <w:footnoteReference w:id="33"/>
      </w:r>
      <w:r>
        <w:rPr>
          <w:sz w:val="25"/>
          <w:szCs w:val="25"/>
        </w:rPr>
        <w:t xml:space="preserve">  </w:t>
      </w:r>
    </w:p>
    <w:p w14:paraId="6322FBC7" w14:textId="77777777" w:rsidR="00862FEB" w:rsidRDefault="00862FEB" w:rsidP="005C74DA">
      <w:pPr>
        <w:pStyle w:val="ListParagraph"/>
        <w:spacing w:line="264" w:lineRule="auto"/>
        <w:rPr>
          <w:bCs/>
          <w:sz w:val="25"/>
          <w:szCs w:val="25"/>
        </w:rPr>
      </w:pPr>
    </w:p>
    <w:p w14:paraId="5021FF79" w14:textId="0BE33E83" w:rsidR="00862FEB" w:rsidRPr="00C2061E" w:rsidRDefault="001058F1" w:rsidP="005C74DA">
      <w:pPr>
        <w:numPr>
          <w:ilvl w:val="0"/>
          <w:numId w:val="14"/>
        </w:numPr>
        <w:spacing w:line="264" w:lineRule="auto"/>
        <w:ind w:hanging="720"/>
        <w:rPr>
          <w:bCs/>
          <w:sz w:val="25"/>
          <w:szCs w:val="25"/>
        </w:rPr>
      </w:pPr>
      <w:r>
        <w:rPr>
          <w:bCs/>
          <w:sz w:val="25"/>
          <w:szCs w:val="25"/>
        </w:rPr>
        <w:t xml:space="preserve">The Settling Parties agree </w:t>
      </w:r>
      <w:r w:rsidR="006A26AC">
        <w:rPr>
          <w:bCs/>
          <w:sz w:val="25"/>
          <w:szCs w:val="25"/>
        </w:rPr>
        <w:t xml:space="preserve">that PSE will </w:t>
      </w:r>
      <w:r>
        <w:rPr>
          <w:bCs/>
          <w:sz w:val="25"/>
          <w:szCs w:val="25"/>
        </w:rPr>
        <w:t xml:space="preserve">continue to use a “peak credit” classification methodology in </w:t>
      </w:r>
      <w:r w:rsidR="00F15E81">
        <w:rPr>
          <w:bCs/>
          <w:sz w:val="25"/>
          <w:szCs w:val="25"/>
        </w:rPr>
        <w:t xml:space="preserve">its </w:t>
      </w:r>
      <w:r>
        <w:rPr>
          <w:bCs/>
          <w:sz w:val="25"/>
          <w:szCs w:val="25"/>
        </w:rPr>
        <w:t xml:space="preserve">electric </w:t>
      </w:r>
      <w:r w:rsidR="00F15E81">
        <w:rPr>
          <w:bCs/>
          <w:sz w:val="25"/>
          <w:szCs w:val="25"/>
        </w:rPr>
        <w:t>demand-related production and transmission cost allocation, though the</w:t>
      </w:r>
      <w:r>
        <w:rPr>
          <w:bCs/>
          <w:sz w:val="25"/>
          <w:szCs w:val="25"/>
        </w:rPr>
        <w:t xml:space="preserve"> Company </w:t>
      </w:r>
      <w:r w:rsidR="00F15E81">
        <w:rPr>
          <w:bCs/>
          <w:sz w:val="25"/>
          <w:szCs w:val="25"/>
        </w:rPr>
        <w:t xml:space="preserve">will </w:t>
      </w:r>
      <w:r>
        <w:rPr>
          <w:bCs/>
          <w:sz w:val="25"/>
          <w:szCs w:val="25"/>
        </w:rPr>
        <w:t xml:space="preserve">update certain underlying assumptions and data.  We find this reasonable considering the last update </w:t>
      </w:r>
      <w:r w:rsidR="00F15E81">
        <w:rPr>
          <w:bCs/>
          <w:sz w:val="25"/>
          <w:szCs w:val="25"/>
        </w:rPr>
        <w:t xml:space="preserve">of this information was in PSE’s </w:t>
      </w:r>
      <w:r>
        <w:rPr>
          <w:bCs/>
          <w:sz w:val="25"/>
          <w:szCs w:val="25"/>
        </w:rPr>
        <w:t xml:space="preserve">2011 general rate case.  </w:t>
      </w:r>
      <w:r w:rsidR="00F15E81">
        <w:rPr>
          <w:bCs/>
          <w:sz w:val="25"/>
          <w:szCs w:val="25"/>
        </w:rPr>
        <w:t>T</w:t>
      </w:r>
      <w:r w:rsidR="00862FEB">
        <w:rPr>
          <w:bCs/>
          <w:sz w:val="25"/>
          <w:szCs w:val="25"/>
        </w:rPr>
        <w:t xml:space="preserve">he Settling Parties proposed </w:t>
      </w:r>
      <w:r w:rsidR="00F15E81">
        <w:rPr>
          <w:bCs/>
          <w:sz w:val="25"/>
          <w:szCs w:val="25"/>
        </w:rPr>
        <w:t>to</w:t>
      </w:r>
      <w:r w:rsidR="00862FEB">
        <w:rPr>
          <w:bCs/>
          <w:sz w:val="25"/>
          <w:szCs w:val="25"/>
        </w:rPr>
        <w:t xml:space="preserve"> use </w:t>
      </w:r>
      <w:r w:rsidR="00C2061E">
        <w:rPr>
          <w:bCs/>
          <w:sz w:val="25"/>
          <w:szCs w:val="25"/>
        </w:rPr>
        <w:t xml:space="preserve">the 4-CP allocator </w:t>
      </w:r>
      <w:r w:rsidR="00F15E81">
        <w:rPr>
          <w:bCs/>
          <w:sz w:val="25"/>
          <w:szCs w:val="25"/>
        </w:rPr>
        <w:t xml:space="preserve">for </w:t>
      </w:r>
      <w:r w:rsidR="00F15E81">
        <w:rPr>
          <w:bCs/>
          <w:sz w:val="25"/>
          <w:szCs w:val="25"/>
        </w:rPr>
        <w:lastRenderedPageBreak/>
        <w:t>demand-related production and transmission costs</w:t>
      </w:r>
      <w:r w:rsidR="00A05B89">
        <w:rPr>
          <w:bCs/>
          <w:sz w:val="25"/>
          <w:szCs w:val="25"/>
        </w:rPr>
        <w:t xml:space="preserve"> only in PSE’s next general rate case, and emphasized the provisional nature of this agreement.  We accept the short-term use of the 4-CP allocator and acknowledge the expectation that this subject will be explored more </w:t>
      </w:r>
      <w:proofErr w:type="spellStart"/>
      <w:r w:rsidR="00F242D3">
        <w:rPr>
          <w:bCs/>
          <w:sz w:val="25"/>
          <w:szCs w:val="25"/>
        </w:rPr>
        <w:t>thouroughly</w:t>
      </w:r>
      <w:proofErr w:type="spellEnd"/>
      <w:r w:rsidR="00A05B89">
        <w:rPr>
          <w:bCs/>
          <w:sz w:val="25"/>
          <w:szCs w:val="25"/>
        </w:rPr>
        <w:t xml:space="preserve"> in the near future.  </w:t>
      </w:r>
      <w:r w:rsidR="00A05B89" w:rsidRPr="00C2061E">
        <w:rPr>
          <w:bCs/>
          <w:sz w:val="25"/>
          <w:szCs w:val="25"/>
        </w:rPr>
        <w:t xml:space="preserve"> </w:t>
      </w:r>
      <w:r w:rsidR="00C2061E">
        <w:rPr>
          <w:bCs/>
          <w:sz w:val="25"/>
          <w:szCs w:val="25"/>
        </w:rPr>
        <w:t xml:space="preserve">  </w:t>
      </w:r>
      <w:r w:rsidR="00862FEB" w:rsidRPr="00C2061E">
        <w:rPr>
          <w:bCs/>
          <w:sz w:val="25"/>
          <w:szCs w:val="25"/>
        </w:rPr>
        <w:t xml:space="preserve"> </w:t>
      </w:r>
    </w:p>
    <w:p w14:paraId="43529A4D" w14:textId="77777777" w:rsidR="005A4436" w:rsidRDefault="005A4436" w:rsidP="005C74DA">
      <w:pPr>
        <w:pStyle w:val="ListParagraph"/>
        <w:spacing w:line="264" w:lineRule="auto"/>
        <w:rPr>
          <w:bCs/>
          <w:sz w:val="25"/>
          <w:szCs w:val="25"/>
        </w:rPr>
      </w:pPr>
    </w:p>
    <w:p w14:paraId="52F6518A" w14:textId="77777777" w:rsidR="00282B9D" w:rsidRPr="00573959" w:rsidRDefault="00C2061E" w:rsidP="005C74DA">
      <w:pPr>
        <w:numPr>
          <w:ilvl w:val="0"/>
          <w:numId w:val="14"/>
        </w:numPr>
        <w:spacing w:line="264" w:lineRule="auto"/>
        <w:ind w:hanging="720"/>
        <w:rPr>
          <w:bCs/>
          <w:sz w:val="25"/>
          <w:szCs w:val="25"/>
        </w:rPr>
      </w:pPr>
      <w:r>
        <w:rPr>
          <w:rFonts w:cs="Arial"/>
          <w:sz w:val="25"/>
          <w:szCs w:val="25"/>
        </w:rPr>
        <w:t xml:space="preserve">As is typically the case with Settlements, the terms of the document before us are not perfect.  Yet, on an interim basis, the terms are adequate to satisfy the public interest.  </w:t>
      </w:r>
      <w:r w:rsidR="00DE62AC" w:rsidRPr="009D5B96">
        <w:rPr>
          <w:rFonts w:cs="Arial"/>
          <w:sz w:val="25"/>
          <w:szCs w:val="25"/>
        </w:rPr>
        <w:t>We find that the Settlement terms are supported by the available evidence in the record</w:t>
      </w:r>
      <w:r w:rsidR="00C235DC" w:rsidRPr="009D5B96">
        <w:rPr>
          <w:sz w:val="25"/>
          <w:szCs w:val="25"/>
        </w:rPr>
        <w:t xml:space="preserve">. </w:t>
      </w:r>
      <w:r>
        <w:rPr>
          <w:sz w:val="25"/>
          <w:szCs w:val="25"/>
        </w:rPr>
        <w:t xml:space="preserve"> </w:t>
      </w:r>
      <w:r w:rsidR="009D5B96" w:rsidRPr="009D5B96">
        <w:rPr>
          <w:rFonts w:cs="Arial"/>
          <w:sz w:val="25"/>
          <w:szCs w:val="25"/>
        </w:rPr>
        <w:t xml:space="preserve">We approve </w:t>
      </w:r>
      <w:r w:rsidR="009D5B96" w:rsidRPr="009D5B96">
        <w:rPr>
          <w:sz w:val="25"/>
          <w:szCs w:val="25"/>
        </w:rPr>
        <w:t xml:space="preserve">and adopt it as a full resolution of the issues presented.  </w:t>
      </w:r>
      <w:bookmarkStart w:id="6" w:name="OLE_LINK3"/>
      <w:bookmarkStart w:id="7" w:name="OLE_LINK4"/>
    </w:p>
    <w:p w14:paraId="4EA3059B" w14:textId="77777777" w:rsidR="000415F4" w:rsidRDefault="000415F4" w:rsidP="005C74DA">
      <w:pPr>
        <w:pStyle w:val="ListParagraph"/>
        <w:spacing w:line="264" w:lineRule="auto"/>
        <w:rPr>
          <w:color w:val="000000"/>
          <w:sz w:val="25"/>
          <w:szCs w:val="25"/>
        </w:rPr>
      </w:pPr>
    </w:p>
    <w:p w14:paraId="5F1AE96B" w14:textId="77777777" w:rsidR="000415F4" w:rsidRPr="00266728" w:rsidRDefault="000415F4" w:rsidP="005C74DA">
      <w:pPr>
        <w:spacing w:line="264" w:lineRule="auto"/>
        <w:jc w:val="center"/>
        <w:outlineLvl w:val="0"/>
        <w:rPr>
          <w:sz w:val="25"/>
          <w:szCs w:val="25"/>
        </w:rPr>
      </w:pPr>
      <w:bookmarkStart w:id="8" w:name="_Toc168986382"/>
      <w:r w:rsidRPr="00266728">
        <w:rPr>
          <w:b/>
          <w:sz w:val="25"/>
          <w:szCs w:val="25"/>
          <w:u w:val="single"/>
        </w:rPr>
        <w:t>FINDINGS OF FACT</w:t>
      </w:r>
      <w:bookmarkEnd w:id="8"/>
    </w:p>
    <w:p w14:paraId="26798D1B" w14:textId="77777777" w:rsidR="000415F4" w:rsidRPr="00266728" w:rsidRDefault="000415F4" w:rsidP="005C74DA">
      <w:pPr>
        <w:spacing w:line="264" w:lineRule="auto"/>
        <w:jc w:val="center"/>
        <w:rPr>
          <w:sz w:val="25"/>
          <w:szCs w:val="25"/>
        </w:rPr>
      </w:pPr>
    </w:p>
    <w:p w14:paraId="2027197B" w14:textId="77777777" w:rsidR="000415F4" w:rsidRPr="008144E8" w:rsidRDefault="000415F4" w:rsidP="005C74DA">
      <w:pPr>
        <w:numPr>
          <w:ilvl w:val="0"/>
          <w:numId w:val="14"/>
        </w:numPr>
        <w:spacing w:line="264" w:lineRule="auto"/>
        <w:ind w:hanging="720"/>
        <w:rPr>
          <w:sz w:val="25"/>
          <w:szCs w:val="25"/>
        </w:rPr>
      </w:pPr>
      <w:r w:rsidRPr="008144E8">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170940E7" w14:textId="77777777" w:rsidR="000415F4" w:rsidRPr="00266728" w:rsidRDefault="000415F4" w:rsidP="005C74DA">
      <w:pPr>
        <w:spacing w:line="264" w:lineRule="auto"/>
        <w:ind w:left="-720"/>
        <w:rPr>
          <w:sz w:val="25"/>
          <w:szCs w:val="25"/>
        </w:rPr>
      </w:pPr>
    </w:p>
    <w:p w14:paraId="590BA0C1" w14:textId="77777777" w:rsidR="000415F4" w:rsidRPr="00A223A1" w:rsidRDefault="000415F4" w:rsidP="005C74DA">
      <w:pPr>
        <w:numPr>
          <w:ilvl w:val="0"/>
          <w:numId w:val="14"/>
        </w:numPr>
        <w:spacing w:line="264" w:lineRule="auto"/>
        <w:ind w:left="720" w:hanging="1440"/>
        <w:rPr>
          <w:sz w:val="25"/>
          <w:szCs w:val="25"/>
        </w:rPr>
      </w:pPr>
      <w:r w:rsidRPr="00A223A1">
        <w:rPr>
          <w:sz w:val="25"/>
          <w:szCs w:val="25"/>
        </w:rPr>
        <w:t>(1)</w:t>
      </w:r>
      <w:r w:rsidRPr="00A223A1">
        <w:rPr>
          <w:sz w:val="25"/>
          <w:szCs w:val="25"/>
        </w:rPr>
        <w:tab/>
        <w:t xml:space="preserve">The Washington Utilities and Transportation Commission is an agency of the state of Washington, vested by statute with authority to regulate rates, rules, regulations, practices, and accounts of public service companies, including electrical </w:t>
      </w:r>
      <w:r w:rsidR="008D04C7" w:rsidRPr="00A223A1">
        <w:rPr>
          <w:sz w:val="25"/>
          <w:szCs w:val="25"/>
        </w:rPr>
        <w:t>companies</w:t>
      </w:r>
      <w:r w:rsidRPr="00A223A1">
        <w:rPr>
          <w:i/>
          <w:iCs/>
          <w:sz w:val="25"/>
          <w:szCs w:val="25"/>
        </w:rPr>
        <w:t>.</w:t>
      </w:r>
    </w:p>
    <w:p w14:paraId="2E22E6DA" w14:textId="77777777" w:rsidR="000415F4" w:rsidRPr="00266728" w:rsidRDefault="000415F4" w:rsidP="005C74DA">
      <w:pPr>
        <w:spacing w:line="264" w:lineRule="auto"/>
        <w:rPr>
          <w:sz w:val="25"/>
          <w:szCs w:val="25"/>
        </w:rPr>
      </w:pPr>
    </w:p>
    <w:p w14:paraId="0BFF11C4" w14:textId="77777777" w:rsidR="000415F4" w:rsidRPr="00A223A1" w:rsidRDefault="000415F4" w:rsidP="005C74DA">
      <w:pPr>
        <w:numPr>
          <w:ilvl w:val="0"/>
          <w:numId w:val="14"/>
        </w:numPr>
        <w:spacing w:line="264" w:lineRule="auto"/>
        <w:ind w:left="720" w:hanging="1440"/>
        <w:rPr>
          <w:sz w:val="25"/>
          <w:szCs w:val="25"/>
        </w:rPr>
      </w:pPr>
      <w:r w:rsidRPr="00A223A1">
        <w:rPr>
          <w:sz w:val="25"/>
          <w:szCs w:val="25"/>
        </w:rPr>
        <w:t>(2)</w:t>
      </w:r>
      <w:r w:rsidRPr="00A223A1">
        <w:rPr>
          <w:sz w:val="25"/>
          <w:szCs w:val="25"/>
        </w:rPr>
        <w:tab/>
        <w:t>P</w:t>
      </w:r>
      <w:r w:rsidR="00E5023C" w:rsidRPr="00A223A1">
        <w:rPr>
          <w:sz w:val="25"/>
          <w:szCs w:val="25"/>
        </w:rPr>
        <w:t xml:space="preserve">uget </w:t>
      </w:r>
      <w:r w:rsidRPr="00A223A1">
        <w:rPr>
          <w:sz w:val="25"/>
          <w:szCs w:val="25"/>
        </w:rPr>
        <w:t>S</w:t>
      </w:r>
      <w:r w:rsidR="00E5023C" w:rsidRPr="00A223A1">
        <w:rPr>
          <w:sz w:val="25"/>
          <w:szCs w:val="25"/>
        </w:rPr>
        <w:t xml:space="preserve">ound </w:t>
      </w:r>
      <w:r w:rsidRPr="00A223A1">
        <w:rPr>
          <w:sz w:val="25"/>
          <w:szCs w:val="25"/>
        </w:rPr>
        <w:t>E</w:t>
      </w:r>
      <w:r w:rsidR="00E5023C" w:rsidRPr="00A223A1">
        <w:rPr>
          <w:sz w:val="25"/>
          <w:szCs w:val="25"/>
        </w:rPr>
        <w:t>nergy</w:t>
      </w:r>
      <w:r w:rsidRPr="00A223A1">
        <w:rPr>
          <w:sz w:val="25"/>
          <w:szCs w:val="25"/>
        </w:rPr>
        <w:t xml:space="preserve"> is a “public service company” and an “electrical company” as those terms are defined in RCW 80.04.010 and used in Title 80 RCW.  PSE is engaged in </w:t>
      </w:r>
      <w:r w:rsidR="00E5023C" w:rsidRPr="00A223A1">
        <w:rPr>
          <w:sz w:val="25"/>
          <w:szCs w:val="25"/>
        </w:rPr>
        <w:t>W</w:t>
      </w:r>
      <w:r w:rsidRPr="00A223A1">
        <w:rPr>
          <w:sz w:val="25"/>
          <w:szCs w:val="25"/>
        </w:rPr>
        <w:t>ashington state in the business of supplying utility services and commodities to the public for compensation.</w:t>
      </w:r>
    </w:p>
    <w:p w14:paraId="53593424" w14:textId="77777777" w:rsidR="000415F4" w:rsidRPr="00266728" w:rsidRDefault="000415F4" w:rsidP="005C74DA">
      <w:pPr>
        <w:spacing w:line="264" w:lineRule="auto"/>
        <w:rPr>
          <w:sz w:val="25"/>
          <w:szCs w:val="25"/>
        </w:rPr>
      </w:pPr>
    </w:p>
    <w:p w14:paraId="20321BCD" w14:textId="77777777" w:rsidR="000415F4" w:rsidRPr="003C7E52" w:rsidRDefault="000415F4" w:rsidP="005C74DA">
      <w:pPr>
        <w:numPr>
          <w:ilvl w:val="0"/>
          <w:numId w:val="14"/>
        </w:numPr>
        <w:spacing w:line="264" w:lineRule="auto"/>
        <w:ind w:left="720" w:hanging="1440"/>
        <w:rPr>
          <w:sz w:val="25"/>
          <w:szCs w:val="25"/>
        </w:rPr>
      </w:pPr>
      <w:r w:rsidRPr="003C7E52">
        <w:rPr>
          <w:sz w:val="25"/>
          <w:szCs w:val="25"/>
        </w:rPr>
        <w:t>(3)</w:t>
      </w:r>
      <w:r w:rsidRPr="003C7E52">
        <w:rPr>
          <w:sz w:val="25"/>
          <w:szCs w:val="25"/>
        </w:rPr>
        <w:tab/>
      </w:r>
      <w:r w:rsidR="00D62281" w:rsidRPr="003C7E52">
        <w:rPr>
          <w:sz w:val="25"/>
          <w:szCs w:val="25"/>
        </w:rPr>
        <w:t xml:space="preserve">On </w:t>
      </w:r>
      <w:r w:rsidR="009D5B96" w:rsidRPr="003C7E52">
        <w:rPr>
          <w:sz w:val="25"/>
          <w:szCs w:val="25"/>
        </w:rPr>
        <w:t>October</w:t>
      </w:r>
      <w:r w:rsidR="00D62281" w:rsidRPr="003C7E52">
        <w:rPr>
          <w:sz w:val="25"/>
          <w:szCs w:val="25"/>
        </w:rPr>
        <w:t xml:space="preserve"> 23, 201</w:t>
      </w:r>
      <w:r w:rsidR="009D5B96" w:rsidRPr="003C7E52">
        <w:rPr>
          <w:sz w:val="25"/>
          <w:szCs w:val="25"/>
        </w:rPr>
        <w:t>3</w:t>
      </w:r>
      <w:r w:rsidR="00D62281" w:rsidRPr="003C7E52">
        <w:rPr>
          <w:sz w:val="25"/>
          <w:szCs w:val="25"/>
        </w:rPr>
        <w:t xml:space="preserve">, </w:t>
      </w:r>
      <w:r w:rsidR="009D5B96" w:rsidRPr="003C7E52">
        <w:rPr>
          <w:sz w:val="25"/>
          <w:szCs w:val="25"/>
        </w:rPr>
        <w:t xml:space="preserve">the Commission approved and adopted a settlement stipulation in the consolidated Dockets UE-130583, UE-130617, UE-131099, and UE-131230, </w:t>
      </w:r>
      <w:r w:rsidR="00E5023C" w:rsidRPr="003C7E52">
        <w:rPr>
          <w:sz w:val="25"/>
          <w:szCs w:val="25"/>
        </w:rPr>
        <w:t xml:space="preserve">under </w:t>
      </w:r>
      <w:r w:rsidR="009D5B96" w:rsidRPr="003C7E52">
        <w:rPr>
          <w:sz w:val="25"/>
          <w:szCs w:val="25"/>
        </w:rPr>
        <w:t xml:space="preserve">which </w:t>
      </w:r>
      <w:r w:rsidR="00E5023C" w:rsidRPr="003C7E52">
        <w:rPr>
          <w:sz w:val="25"/>
          <w:szCs w:val="25"/>
        </w:rPr>
        <w:t>the parties agreed to initiate a collaborative process to address issues surrounding the power cost adjustment and power cost only rate case, including electric cost of service, rate spread, and rate design</w:t>
      </w:r>
      <w:r w:rsidR="009D5B96" w:rsidRPr="003C7E52">
        <w:rPr>
          <w:sz w:val="25"/>
          <w:szCs w:val="25"/>
        </w:rPr>
        <w:t xml:space="preserve">.  </w:t>
      </w:r>
    </w:p>
    <w:p w14:paraId="3D614F54" w14:textId="77777777" w:rsidR="000415F4" w:rsidRPr="00266728" w:rsidRDefault="000415F4" w:rsidP="005C74DA">
      <w:pPr>
        <w:spacing w:line="264" w:lineRule="auto"/>
        <w:rPr>
          <w:sz w:val="25"/>
          <w:szCs w:val="25"/>
        </w:rPr>
      </w:pPr>
    </w:p>
    <w:p w14:paraId="592D2AC5" w14:textId="77777777" w:rsidR="000415F4" w:rsidRPr="003C7E52" w:rsidRDefault="000415F4" w:rsidP="005C74DA">
      <w:pPr>
        <w:numPr>
          <w:ilvl w:val="0"/>
          <w:numId w:val="14"/>
        </w:numPr>
        <w:spacing w:line="264" w:lineRule="auto"/>
        <w:ind w:left="720" w:hanging="1440"/>
        <w:rPr>
          <w:sz w:val="25"/>
          <w:szCs w:val="25"/>
        </w:rPr>
      </w:pPr>
      <w:r w:rsidRPr="003C7E52">
        <w:rPr>
          <w:sz w:val="25"/>
          <w:szCs w:val="25"/>
        </w:rPr>
        <w:t>(</w:t>
      </w:r>
      <w:r w:rsidR="003E657B" w:rsidRPr="003C7E52">
        <w:rPr>
          <w:sz w:val="25"/>
          <w:szCs w:val="25"/>
        </w:rPr>
        <w:t>4</w:t>
      </w:r>
      <w:r w:rsidR="00E5023C" w:rsidRPr="003C7E52">
        <w:rPr>
          <w:sz w:val="25"/>
          <w:szCs w:val="25"/>
        </w:rPr>
        <w:t>)</w:t>
      </w:r>
      <w:r w:rsidR="00E5023C" w:rsidRPr="003C7E52">
        <w:rPr>
          <w:sz w:val="25"/>
          <w:szCs w:val="25"/>
        </w:rPr>
        <w:tab/>
        <w:t>The parties did not reach consensus in the collaborative, and PSE initiated a</w:t>
      </w:r>
      <w:r w:rsidR="003C7E52" w:rsidRPr="003C7E52">
        <w:rPr>
          <w:sz w:val="25"/>
          <w:szCs w:val="25"/>
        </w:rPr>
        <w:t xml:space="preserve"> </w:t>
      </w:r>
      <w:r w:rsidR="00862FEB" w:rsidRPr="003C7E52">
        <w:rPr>
          <w:sz w:val="25"/>
          <w:szCs w:val="25"/>
        </w:rPr>
        <w:t>proceeding</w:t>
      </w:r>
      <w:r w:rsidR="00E5023C" w:rsidRPr="003C7E52">
        <w:rPr>
          <w:sz w:val="25"/>
          <w:szCs w:val="25"/>
        </w:rPr>
        <w:t xml:space="preserve"> on July 1, 2014, to address issues related to cost of service, rate spread, and rate design.</w:t>
      </w:r>
    </w:p>
    <w:p w14:paraId="34CEBEEE" w14:textId="77777777" w:rsidR="000415F4" w:rsidRDefault="000415F4" w:rsidP="005C74DA">
      <w:pPr>
        <w:pStyle w:val="ListParagraph"/>
        <w:spacing w:line="264" w:lineRule="auto"/>
        <w:rPr>
          <w:sz w:val="25"/>
          <w:szCs w:val="25"/>
        </w:rPr>
      </w:pPr>
    </w:p>
    <w:p w14:paraId="7A7F717F" w14:textId="77777777" w:rsidR="000415F4" w:rsidRPr="003C7E52" w:rsidRDefault="000415F4" w:rsidP="005C74DA">
      <w:pPr>
        <w:numPr>
          <w:ilvl w:val="0"/>
          <w:numId w:val="14"/>
        </w:numPr>
        <w:spacing w:line="264" w:lineRule="auto"/>
        <w:ind w:left="720" w:hanging="1440"/>
        <w:rPr>
          <w:sz w:val="25"/>
          <w:szCs w:val="25"/>
        </w:rPr>
      </w:pPr>
      <w:r w:rsidRPr="003C7E52">
        <w:rPr>
          <w:sz w:val="25"/>
          <w:szCs w:val="25"/>
        </w:rPr>
        <w:t>(</w:t>
      </w:r>
      <w:r w:rsidR="004B6A39" w:rsidRPr="003C7E52">
        <w:rPr>
          <w:sz w:val="25"/>
          <w:szCs w:val="25"/>
        </w:rPr>
        <w:t>5</w:t>
      </w:r>
      <w:r w:rsidRPr="003C7E52">
        <w:rPr>
          <w:sz w:val="25"/>
          <w:szCs w:val="25"/>
        </w:rPr>
        <w:t>)</w:t>
      </w:r>
      <w:r w:rsidRPr="003C7E52">
        <w:rPr>
          <w:sz w:val="25"/>
          <w:szCs w:val="25"/>
        </w:rPr>
        <w:tab/>
      </w:r>
      <w:r w:rsidR="00543CF2" w:rsidRPr="003C7E52">
        <w:rPr>
          <w:sz w:val="25"/>
          <w:szCs w:val="25"/>
        </w:rPr>
        <w:t>On October 21, 2014, PSE, the Commission’s regulatory staff</w:t>
      </w:r>
      <w:r w:rsidR="00862FEB" w:rsidRPr="003C7E52">
        <w:rPr>
          <w:sz w:val="25"/>
          <w:szCs w:val="25"/>
        </w:rPr>
        <w:t xml:space="preserve"> (Staff)</w:t>
      </w:r>
      <w:r w:rsidR="00543CF2" w:rsidRPr="003C7E52">
        <w:rPr>
          <w:sz w:val="25"/>
          <w:szCs w:val="25"/>
        </w:rPr>
        <w:t>, the</w:t>
      </w:r>
      <w:r w:rsidR="003C7E52" w:rsidRPr="003C7E52">
        <w:rPr>
          <w:sz w:val="25"/>
          <w:szCs w:val="25"/>
        </w:rPr>
        <w:t xml:space="preserve"> </w:t>
      </w:r>
      <w:r w:rsidR="00543CF2" w:rsidRPr="003C7E52">
        <w:rPr>
          <w:sz w:val="25"/>
          <w:szCs w:val="25"/>
        </w:rPr>
        <w:t>Public</w:t>
      </w:r>
      <w:r w:rsidR="00862FEB" w:rsidRPr="003C7E52">
        <w:rPr>
          <w:sz w:val="25"/>
          <w:szCs w:val="25"/>
        </w:rPr>
        <w:t xml:space="preserve"> </w:t>
      </w:r>
      <w:r w:rsidR="00543CF2" w:rsidRPr="003C7E52">
        <w:rPr>
          <w:sz w:val="25"/>
          <w:szCs w:val="25"/>
        </w:rPr>
        <w:t>Counsel Division of the Washington State Attorney General’s Office</w:t>
      </w:r>
      <w:r w:rsidR="003C7E52" w:rsidRPr="003C7E52">
        <w:rPr>
          <w:sz w:val="25"/>
          <w:szCs w:val="25"/>
        </w:rPr>
        <w:t xml:space="preserve"> </w:t>
      </w:r>
      <w:r w:rsidR="00862FEB" w:rsidRPr="003C7E52">
        <w:rPr>
          <w:sz w:val="25"/>
          <w:szCs w:val="25"/>
        </w:rPr>
        <w:t>(Public Counsel)</w:t>
      </w:r>
      <w:r w:rsidR="00543CF2" w:rsidRPr="003C7E52">
        <w:rPr>
          <w:sz w:val="25"/>
          <w:szCs w:val="25"/>
        </w:rPr>
        <w:t xml:space="preserve">, </w:t>
      </w:r>
      <w:r w:rsidR="00862FEB" w:rsidRPr="003C7E52">
        <w:rPr>
          <w:sz w:val="25"/>
          <w:szCs w:val="25"/>
        </w:rPr>
        <w:t xml:space="preserve">the </w:t>
      </w:r>
      <w:r w:rsidR="00543CF2" w:rsidRPr="003C7E52">
        <w:rPr>
          <w:sz w:val="25"/>
          <w:szCs w:val="25"/>
        </w:rPr>
        <w:t>Industrial Customers of Northwest Utilities</w:t>
      </w:r>
      <w:r w:rsidR="00862FEB" w:rsidRPr="003C7E52">
        <w:rPr>
          <w:sz w:val="25"/>
          <w:szCs w:val="25"/>
        </w:rPr>
        <w:t xml:space="preserve"> (ICNU)</w:t>
      </w:r>
      <w:r w:rsidR="00CD05AE" w:rsidRPr="003C7E52">
        <w:rPr>
          <w:sz w:val="25"/>
          <w:szCs w:val="25"/>
        </w:rPr>
        <w:t>, t</w:t>
      </w:r>
      <w:r w:rsidR="00543CF2" w:rsidRPr="003C7E52">
        <w:rPr>
          <w:sz w:val="25"/>
          <w:szCs w:val="25"/>
        </w:rPr>
        <w:t>he Kroger Company, Wal-Mart</w:t>
      </w:r>
      <w:r w:rsidR="00862FEB" w:rsidRPr="003C7E52">
        <w:rPr>
          <w:sz w:val="25"/>
          <w:szCs w:val="25"/>
        </w:rPr>
        <w:t xml:space="preserve"> </w:t>
      </w:r>
      <w:r w:rsidR="00543CF2" w:rsidRPr="003C7E52">
        <w:rPr>
          <w:sz w:val="25"/>
          <w:szCs w:val="25"/>
        </w:rPr>
        <w:t>Stores, Inc., the Federal Executive Agencies</w:t>
      </w:r>
      <w:r w:rsidR="00862FEB" w:rsidRPr="003C7E52">
        <w:rPr>
          <w:sz w:val="25"/>
          <w:szCs w:val="25"/>
        </w:rPr>
        <w:t xml:space="preserve"> (the FEA)</w:t>
      </w:r>
      <w:r w:rsidR="00543CF2" w:rsidRPr="003C7E52">
        <w:rPr>
          <w:sz w:val="25"/>
          <w:szCs w:val="25"/>
        </w:rPr>
        <w:t>, and The Energy</w:t>
      </w:r>
      <w:r w:rsidR="002E3949" w:rsidRPr="003C7E52">
        <w:rPr>
          <w:sz w:val="25"/>
          <w:szCs w:val="25"/>
        </w:rPr>
        <w:t xml:space="preserve"> </w:t>
      </w:r>
      <w:r w:rsidR="00543CF2" w:rsidRPr="003C7E52">
        <w:rPr>
          <w:sz w:val="25"/>
          <w:szCs w:val="25"/>
        </w:rPr>
        <w:t>Project filed a settlement stipulation (Settlement)</w:t>
      </w:r>
      <w:r w:rsidR="00CD05AE" w:rsidRPr="003C7E52">
        <w:rPr>
          <w:sz w:val="25"/>
          <w:szCs w:val="25"/>
        </w:rPr>
        <w:t xml:space="preserve">, </w:t>
      </w:r>
      <w:r w:rsidR="00CD05AE" w:rsidRPr="003C7E52">
        <w:rPr>
          <w:iCs/>
          <w:sz w:val="25"/>
          <w:szCs w:val="25"/>
        </w:rPr>
        <w:t>attached to this Order as</w:t>
      </w:r>
      <w:r w:rsidR="002E3949" w:rsidRPr="003C7E52">
        <w:rPr>
          <w:iCs/>
          <w:sz w:val="25"/>
          <w:szCs w:val="25"/>
        </w:rPr>
        <w:t xml:space="preserve"> </w:t>
      </w:r>
      <w:r w:rsidR="00CD05AE" w:rsidRPr="003C7E52">
        <w:rPr>
          <w:iCs/>
          <w:sz w:val="25"/>
          <w:szCs w:val="25"/>
        </w:rPr>
        <w:t>Appendix A and incorporated by reference</w:t>
      </w:r>
      <w:r w:rsidR="00543CF2" w:rsidRPr="003C7E52">
        <w:rPr>
          <w:sz w:val="25"/>
          <w:szCs w:val="25"/>
        </w:rPr>
        <w:t>.  The NW Energy</w:t>
      </w:r>
      <w:r w:rsidR="002E3949" w:rsidRPr="003C7E52">
        <w:rPr>
          <w:sz w:val="25"/>
          <w:szCs w:val="25"/>
        </w:rPr>
        <w:t xml:space="preserve"> </w:t>
      </w:r>
      <w:r w:rsidR="00543CF2" w:rsidRPr="003C7E52">
        <w:rPr>
          <w:sz w:val="25"/>
          <w:szCs w:val="25"/>
        </w:rPr>
        <w:t>Coalition</w:t>
      </w:r>
      <w:r w:rsidR="00CD05AE" w:rsidRPr="003C7E52">
        <w:rPr>
          <w:sz w:val="25"/>
          <w:szCs w:val="25"/>
        </w:rPr>
        <w:t xml:space="preserve"> </w:t>
      </w:r>
      <w:r w:rsidR="00543CF2" w:rsidRPr="003C7E52">
        <w:rPr>
          <w:sz w:val="25"/>
          <w:szCs w:val="25"/>
        </w:rPr>
        <w:t xml:space="preserve">did not join the Settlement but does not oppose it.  </w:t>
      </w:r>
      <w:r w:rsidRPr="003C7E52">
        <w:rPr>
          <w:sz w:val="25"/>
          <w:szCs w:val="25"/>
        </w:rPr>
        <w:t xml:space="preserve">  </w:t>
      </w:r>
    </w:p>
    <w:p w14:paraId="06320875" w14:textId="77777777" w:rsidR="000415F4" w:rsidRPr="00266728" w:rsidRDefault="000415F4" w:rsidP="005C74DA">
      <w:pPr>
        <w:spacing w:line="264" w:lineRule="auto"/>
        <w:rPr>
          <w:sz w:val="25"/>
          <w:szCs w:val="25"/>
        </w:rPr>
      </w:pPr>
    </w:p>
    <w:p w14:paraId="487B1299" w14:textId="77777777" w:rsidR="000415F4" w:rsidRPr="003C7E52" w:rsidRDefault="000415F4" w:rsidP="005C74DA">
      <w:pPr>
        <w:numPr>
          <w:ilvl w:val="0"/>
          <w:numId w:val="14"/>
        </w:numPr>
        <w:spacing w:line="264" w:lineRule="auto"/>
        <w:ind w:left="720" w:hanging="1440"/>
        <w:rPr>
          <w:sz w:val="25"/>
          <w:szCs w:val="25"/>
        </w:rPr>
      </w:pPr>
      <w:r w:rsidRPr="003C7E52">
        <w:rPr>
          <w:sz w:val="25"/>
          <w:szCs w:val="25"/>
        </w:rPr>
        <w:t>(</w:t>
      </w:r>
      <w:r w:rsidR="00A310AC" w:rsidRPr="003C7E52">
        <w:rPr>
          <w:sz w:val="25"/>
          <w:szCs w:val="25"/>
        </w:rPr>
        <w:t>6</w:t>
      </w:r>
      <w:r w:rsidRPr="003C7E52">
        <w:rPr>
          <w:sz w:val="25"/>
          <w:szCs w:val="25"/>
        </w:rPr>
        <w:t>)</w:t>
      </w:r>
      <w:r w:rsidRPr="003C7E52">
        <w:rPr>
          <w:sz w:val="25"/>
          <w:szCs w:val="25"/>
        </w:rPr>
        <w:tab/>
      </w:r>
      <w:r w:rsidR="00744F38" w:rsidRPr="003C7E52">
        <w:rPr>
          <w:sz w:val="25"/>
          <w:szCs w:val="25"/>
        </w:rPr>
        <w:t>The Settlement addresses three broad issues: cost of service and allocation,</w:t>
      </w:r>
      <w:r w:rsidR="003C7E52" w:rsidRPr="003C7E52">
        <w:rPr>
          <w:sz w:val="25"/>
          <w:szCs w:val="25"/>
        </w:rPr>
        <w:t xml:space="preserve"> </w:t>
      </w:r>
      <w:r w:rsidR="00744F38" w:rsidRPr="003C7E52">
        <w:rPr>
          <w:sz w:val="25"/>
          <w:szCs w:val="25"/>
        </w:rPr>
        <w:t>rate spread and rate design, and Schedule 40.</w:t>
      </w:r>
    </w:p>
    <w:p w14:paraId="348543DC" w14:textId="77777777" w:rsidR="000415F4" w:rsidRPr="00266728" w:rsidRDefault="000415F4" w:rsidP="005C74DA">
      <w:pPr>
        <w:spacing w:line="264" w:lineRule="auto"/>
        <w:ind w:left="-720"/>
        <w:rPr>
          <w:sz w:val="25"/>
          <w:szCs w:val="25"/>
        </w:rPr>
      </w:pPr>
    </w:p>
    <w:p w14:paraId="77892550" w14:textId="77777777" w:rsidR="000415F4" w:rsidRPr="00266728" w:rsidRDefault="000415F4" w:rsidP="005C74DA">
      <w:pPr>
        <w:spacing w:line="264" w:lineRule="auto"/>
        <w:jc w:val="center"/>
        <w:outlineLvl w:val="0"/>
        <w:rPr>
          <w:sz w:val="25"/>
          <w:szCs w:val="25"/>
        </w:rPr>
      </w:pPr>
      <w:bookmarkStart w:id="9" w:name="_Toc168986383"/>
      <w:r w:rsidRPr="00266728">
        <w:rPr>
          <w:b/>
          <w:sz w:val="25"/>
          <w:szCs w:val="25"/>
          <w:u w:val="single"/>
        </w:rPr>
        <w:t>CONCLUSIONS OF LAW</w:t>
      </w:r>
      <w:bookmarkEnd w:id="9"/>
    </w:p>
    <w:p w14:paraId="63695875" w14:textId="77777777" w:rsidR="000415F4" w:rsidRPr="00266728" w:rsidRDefault="000415F4" w:rsidP="005C74DA">
      <w:pPr>
        <w:spacing w:line="264" w:lineRule="auto"/>
        <w:jc w:val="center"/>
        <w:rPr>
          <w:sz w:val="25"/>
          <w:szCs w:val="25"/>
        </w:rPr>
      </w:pPr>
    </w:p>
    <w:p w14:paraId="5B737E02" w14:textId="77777777" w:rsidR="000415F4" w:rsidRPr="00B75B06" w:rsidRDefault="000415F4" w:rsidP="005C74DA">
      <w:pPr>
        <w:numPr>
          <w:ilvl w:val="0"/>
          <w:numId w:val="14"/>
        </w:numPr>
        <w:spacing w:line="264" w:lineRule="auto"/>
        <w:ind w:hanging="720"/>
        <w:rPr>
          <w:b/>
          <w:sz w:val="25"/>
          <w:szCs w:val="25"/>
        </w:rPr>
      </w:pPr>
      <w:r w:rsidRPr="00001CED">
        <w:rPr>
          <w:color w:val="000000"/>
          <w:sz w:val="25"/>
          <w:szCs w:val="25"/>
        </w:rPr>
        <w:t>Having</w:t>
      </w:r>
      <w:r w:rsidRPr="00001CED">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r w:rsidRPr="00B75B06">
        <w:rPr>
          <w:sz w:val="25"/>
          <w:szCs w:val="25"/>
        </w:rPr>
        <w:t>:</w:t>
      </w:r>
    </w:p>
    <w:p w14:paraId="78B5F614" w14:textId="77777777" w:rsidR="000415F4" w:rsidRPr="00266728" w:rsidRDefault="000415F4" w:rsidP="005C74DA">
      <w:pPr>
        <w:spacing w:line="264" w:lineRule="auto"/>
        <w:ind w:left="-720"/>
        <w:rPr>
          <w:b/>
          <w:sz w:val="25"/>
          <w:szCs w:val="25"/>
        </w:rPr>
      </w:pPr>
    </w:p>
    <w:p w14:paraId="77AE57EC" w14:textId="77777777" w:rsidR="000415F4" w:rsidRPr="003C7E52" w:rsidRDefault="000415F4" w:rsidP="005C74DA">
      <w:pPr>
        <w:numPr>
          <w:ilvl w:val="0"/>
          <w:numId w:val="14"/>
        </w:numPr>
        <w:spacing w:line="264" w:lineRule="auto"/>
        <w:ind w:left="720" w:hanging="1440"/>
        <w:rPr>
          <w:sz w:val="25"/>
          <w:szCs w:val="25"/>
        </w:rPr>
      </w:pPr>
      <w:r w:rsidRPr="003C7E52">
        <w:rPr>
          <w:sz w:val="25"/>
          <w:szCs w:val="25"/>
        </w:rPr>
        <w:t>(1)</w:t>
      </w:r>
      <w:r w:rsidRPr="003C7E52">
        <w:rPr>
          <w:sz w:val="25"/>
          <w:szCs w:val="25"/>
        </w:rPr>
        <w:tab/>
        <w:t xml:space="preserve">The Washington Utilities and Transportation Commission has jurisdiction over the </w:t>
      </w:r>
      <w:r w:rsidRPr="003C7E52">
        <w:rPr>
          <w:color w:val="000000"/>
          <w:sz w:val="25"/>
          <w:szCs w:val="25"/>
        </w:rPr>
        <w:t>subject</w:t>
      </w:r>
      <w:r w:rsidRPr="003C7E52">
        <w:rPr>
          <w:sz w:val="25"/>
          <w:szCs w:val="25"/>
        </w:rPr>
        <w:t xml:space="preserve"> matter of, and parties to, these proceedings.  </w:t>
      </w:r>
    </w:p>
    <w:p w14:paraId="766FDFE8" w14:textId="77777777" w:rsidR="000415F4" w:rsidRDefault="000415F4" w:rsidP="005C74DA">
      <w:pPr>
        <w:pStyle w:val="ListParagraph"/>
        <w:spacing w:line="264" w:lineRule="auto"/>
        <w:rPr>
          <w:sz w:val="25"/>
          <w:szCs w:val="25"/>
        </w:rPr>
      </w:pPr>
    </w:p>
    <w:p w14:paraId="3CEDCC21" w14:textId="77777777" w:rsidR="000415F4" w:rsidRPr="003C7E52" w:rsidRDefault="000415F4" w:rsidP="005C74DA">
      <w:pPr>
        <w:numPr>
          <w:ilvl w:val="0"/>
          <w:numId w:val="14"/>
        </w:numPr>
        <w:spacing w:line="264" w:lineRule="auto"/>
        <w:ind w:left="720" w:hanging="1440"/>
        <w:rPr>
          <w:sz w:val="25"/>
          <w:szCs w:val="25"/>
        </w:rPr>
      </w:pPr>
      <w:r w:rsidRPr="003C7E52">
        <w:rPr>
          <w:sz w:val="25"/>
          <w:szCs w:val="25"/>
        </w:rPr>
        <w:t>(2)</w:t>
      </w:r>
      <w:r w:rsidRPr="003C7E52">
        <w:rPr>
          <w:sz w:val="25"/>
          <w:szCs w:val="25"/>
        </w:rPr>
        <w:tab/>
      </w:r>
      <w:r w:rsidR="00744F38" w:rsidRPr="003C7E52">
        <w:rPr>
          <w:sz w:val="25"/>
          <w:szCs w:val="25"/>
        </w:rPr>
        <w:t>Pursuant to WAC 480-07-750, the Commission will approve settlements when</w:t>
      </w:r>
      <w:r w:rsidR="003C7E52" w:rsidRPr="003C7E52">
        <w:rPr>
          <w:sz w:val="25"/>
          <w:szCs w:val="25"/>
        </w:rPr>
        <w:t xml:space="preserve"> </w:t>
      </w:r>
      <w:r w:rsidR="00744F38" w:rsidRPr="003C7E52">
        <w:rPr>
          <w:sz w:val="25"/>
          <w:szCs w:val="25"/>
        </w:rPr>
        <w:t>doing so is lawful, when the settlement terms are supported by an appropriate</w:t>
      </w:r>
      <w:r w:rsidR="003C7E52" w:rsidRPr="003C7E52">
        <w:rPr>
          <w:sz w:val="25"/>
          <w:szCs w:val="25"/>
        </w:rPr>
        <w:t xml:space="preserve"> </w:t>
      </w:r>
      <w:r w:rsidR="00744F38" w:rsidRPr="003C7E52">
        <w:rPr>
          <w:sz w:val="25"/>
          <w:szCs w:val="25"/>
        </w:rPr>
        <w:t>record, and when the result is consistent with the public interest in light of all the information available to the Commission.</w:t>
      </w:r>
    </w:p>
    <w:p w14:paraId="09BCE9C7" w14:textId="77777777" w:rsidR="000415F4" w:rsidRDefault="000415F4" w:rsidP="005C74DA">
      <w:pPr>
        <w:pStyle w:val="ListParagraph"/>
        <w:spacing w:line="264" w:lineRule="auto"/>
        <w:rPr>
          <w:sz w:val="25"/>
          <w:szCs w:val="25"/>
        </w:rPr>
      </w:pPr>
    </w:p>
    <w:p w14:paraId="2F613E54" w14:textId="1E0E3351" w:rsidR="000415F4" w:rsidRPr="003C7E52" w:rsidRDefault="000415F4" w:rsidP="005C74DA">
      <w:pPr>
        <w:numPr>
          <w:ilvl w:val="0"/>
          <w:numId w:val="14"/>
        </w:numPr>
        <w:spacing w:line="264" w:lineRule="auto"/>
        <w:ind w:left="720" w:hanging="1440"/>
        <w:rPr>
          <w:sz w:val="25"/>
          <w:szCs w:val="25"/>
        </w:rPr>
      </w:pPr>
      <w:r w:rsidRPr="003C7E52">
        <w:rPr>
          <w:sz w:val="25"/>
          <w:szCs w:val="25"/>
        </w:rPr>
        <w:t>(3)</w:t>
      </w:r>
      <w:r w:rsidRPr="003C7E52">
        <w:rPr>
          <w:sz w:val="25"/>
          <w:szCs w:val="25"/>
        </w:rPr>
        <w:tab/>
        <w:t xml:space="preserve">The Settlement </w:t>
      </w:r>
      <w:r w:rsidR="00CD05AE" w:rsidRPr="003C7E52">
        <w:rPr>
          <w:sz w:val="25"/>
          <w:szCs w:val="25"/>
        </w:rPr>
        <w:t>is lawful, its terms are supported by an appropriate record, and</w:t>
      </w:r>
      <w:r w:rsidR="003C7E52" w:rsidRPr="003C7E52">
        <w:rPr>
          <w:sz w:val="25"/>
          <w:szCs w:val="25"/>
        </w:rPr>
        <w:t xml:space="preserve"> </w:t>
      </w:r>
      <w:r w:rsidR="00F242D3">
        <w:rPr>
          <w:sz w:val="25"/>
          <w:szCs w:val="25"/>
        </w:rPr>
        <w:t>the resul</w:t>
      </w:r>
      <w:bookmarkStart w:id="10" w:name="_GoBack"/>
      <w:bookmarkEnd w:id="10"/>
      <w:r w:rsidR="00CD05AE" w:rsidRPr="003C7E52">
        <w:rPr>
          <w:sz w:val="25"/>
          <w:szCs w:val="25"/>
        </w:rPr>
        <w:t>t is consistent with the public interest in light of all the information</w:t>
      </w:r>
      <w:r w:rsidR="003C7E52">
        <w:rPr>
          <w:sz w:val="25"/>
          <w:szCs w:val="25"/>
        </w:rPr>
        <w:t xml:space="preserve"> </w:t>
      </w:r>
      <w:r w:rsidR="00CD05AE" w:rsidRPr="003C7E52">
        <w:rPr>
          <w:sz w:val="25"/>
          <w:szCs w:val="25"/>
        </w:rPr>
        <w:t>available to the Commission</w:t>
      </w:r>
      <w:r w:rsidRPr="003C7E52">
        <w:rPr>
          <w:sz w:val="25"/>
          <w:szCs w:val="25"/>
        </w:rPr>
        <w:t>.</w:t>
      </w:r>
    </w:p>
    <w:p w14:paraId="40A0D77C" w14:textId="77777777" w:rsidR="000415F4" w:rsidRPr="00266728" w:rsidRDefault="000415F4" w:rsidP="005C74DA">
      <w:pPr>
        <w:spacing w:line="264" w:lineRule="auto"/>
        <w:rPr>
          <w:b/>
          <w:sz w:val="25"/>
          <w:szCs w:val="25"/>
        </w:rPr>
      </w:pPr>
    </w:p>
    <w:p w14:paraId="75778802" w14:textId="77777777" w:rsidR="000415F4" w:rsidRPr="00573959" w:rsidRDefault="000415F4" w:rsidP="005C74DA">
      <w:pPr>
        <w:numPr>
          <w:ilvl w:val="0"/>
          <w:numId w:val="14"/>
        </w:numPr>
        <w:spacing w:line="264" w:lineRule="auto"/>
        <w:ind w:left="720" w:hanging="1440"/>
        <w:rPr>
          <w:b/>
          <w:sz w:val="25"/>
          <w:szCs w:val="25"/>
        </w:rPr>
      </w:pPr>
      <w:r w:rsidRPr="00573959">
        <w:rPr>
          <w:iCs/>
          <w:sz w:val="25"/>
          <w:szCs w:val="25"/>
        </w:rPr>
        <w:t>(</w:t>
      </w:r>
      <w:r w:rsidR="00CD05AE" w:rsidRPr="00573959">
        <w:rPr>
          <w:iCs/>
          <w:sz w:val="25"/>
          <w:szCs w:val="25"/>
        </w:rPr>
        <w:t>4</w:t>
      </w:r>
      <w:r w:rsidRPr="00573959">
        <w:rPr>
          <w:iCs/>
          <w:sz w:val="25"/>
          <w:szCs w:val="25"/>
        </w:rPr>
        <w:t>)</w:t>
      </w:r>
      <w:r w:rsidRPr="00573959">
        <w:rPr>
          <w:iCs/>
          <w:sz w:val="25"/>
          <w:szCs w:val="25"/>
        </w:rPr>
        <w:tab/>
      </w:r>
      <w:r w:rsidRPr="00573959">
        <w:rPr>
          <w:sz w:val="25"/>
          <w:szCs w:val="25"/>
        </w:rPr>
        <w:t>The</w:t>
      </w:r>
      <w:r w:rsidRPr="00573959">
        <w:rPr>
          <w:iCs/>
          <w:sz w:val="25"/>
          <w:szCs w:val="25"/>
        </w:rPr>
        <w:t xml:space="preserve"> </w:t>
      </w:r>
      <w:r w:rsidRPr="00573959">
        <w:rPr>
          <w:sz w:val="25"/>
          <w:szCs w:val="25"/>
        </w:rPr>
        <w:t>Commission</w:t>
      </w:r>
      <w:r w:rsidRPr="00573959">
        <w:rPr>
          <w:iCs/>
          <w:sz w:val="25"/>
          <w:szCs w:val="25"/>
        </w:rPr>
        <w:t xml:space="preserve"> should approve and adopt the Settlement</w:t>
      </w:r>
      <w:r w:rsidR="00644967" w:rsidRPr="00573959">
        <w:rPr>
          <w:iCs/>
          <w:sz w:val="25"/>
          <w:szCs w:val="25"/>
        </w:rPr>
        <w:t>,</w:t>
      </w:r>
      <w:r w:rsidRPr="00573959">
        <w:rPr>
          <w:iCs/>
          <w:sz w:val="25"/>
          <w:szCs w:val="25"/>
        </w:rPr>
        <w:t xml:space="preserve"> attached to this</w:t>
      </w:r>
      <w:r w:rsidR="00573959" w:rsidRPr="00573959">
        <w:rPr>
          <w:iCs/>
          <w:sz w:val="25"/>
          <w:szCs w:val="25"/>
        </w:rPr>
        <w:t xml:space="preserve"> </w:t>
      </w:r>
      <w:r w:rsidRPr="00573959">
        <w:rPr>
          <w:iCs/>
          <w:sz w:val="25"/>
          <w:szCs w:val="25"/>
        </w:rPr>
        <w:t>Order as Appendix A and incorporated by reference in this Order</w:t>
      </w:r>
      <w:r w:rsidR="00644967" w:rsidRPr="00573959">
        <w:rPr>
          <w:iCs/>
          <w:sz w:val="25"/>
          <w:szCs w:val="25"/>
        </w:rPr>
        <w:t>,</w:t>
      </w:r>
      <w:r w:rsidRPr="00573959">
        <w:rPr>
          <w:iCs/>
          <w:sz w:val="25"/>
          <w:szCs w:val="25"/>
        </w:rPr>
        <w:t xml:space="preserve"> as a reasonable resolution of the issues presented.  </w:t>
      </w:r>
    </w:p>
    <w:p w14:paraId="05A9BE60" w14:textId="77777777" w:rsidR="000415F4" w:rsidRPr="00266728" w:rsidRDefault="000415F4" w:rsidP="005C74DA">
      <w:pPr>
        <w:spacing w:line="264" w:lineRule="auto"/>
        <w:rPr>
          <w:sz w:val="25"/>
          <w:szCs w:val="25"/>
        </w:rPr>
      </w:pPr>
    </w:p>
    <w:p w14:paraId="5BF90FE9" w14:textId="77777777" w:rsidR="000415F4" w:rsidRPr="00573959" w:rsidRDefault="000415F4" w:rsidP="005C74DA">
      <w:pPr>
        <w:numPr>
          <w:ilvl w:val="0"/>
          <w:numId w:val="14"/>
        </w:numPr>
        <w:spacing w:line="264" w:lineRule="auto"/>
        <w:ind w:left="720" w:hanging="1440"/>
        <w:rPr>
          <w:b/>
          <w:sz w:val="25"/>
          <w:szCs w:val="25"/>
          <w:u w:val="single"/>
        </w:rPr>
      </w:pPr>
      <w:r w:rsidRPr="00573959">
        <w:rPr>
          <w:sz w:val="25"/>
          <w:szCs w:val="25"/>
        </w:rPr>
        <w:t>(</w:t>
      </w:r>
      <w:r w:rsidR="00CD05AE" w:rsidRPr="00573959">
        <w:rPr>
          <w:sz w:val="25"/>
          <w:szCs w:val="25"/>
        </w:rPr>
        <w:t>5</w:t>
      </w:r>
      <w:r w:rsidRPr="00573959">
        <w:rPr>
          <w:sz w:val="25"/>
          <w:szCs w:val="25"/>
        </w:rPr>
        <w:t>)</w:t>
      </w:r>
      <w:r w:rsidRPr="00573959">
        <w:rPr>
          <w:sz w:val="25"/>
          <w:szCs w:val="25"/>
        </w:rPr>
        <w:tab/>
      </w:r>
      <w:r w:rsidRPr="00573959">
        <w:rPr>
          <w:bCs/>
          <w:sz w:val="25"/>
          <w:szCs w:val="25"/>
        </w:rPr>
        <w:t>The</w:t>
      </w:r>
      <w:r w:rsidRPr="00573959">
        <w:rPr>
          <w:sz w:val="25"/>
          <w:szCs w:val="25"/>
        </w:rPr>
        <w:t xml:space="preserve"> Commission should retain jurisdiction to effectuate the terms of this Order.  </w:t>
      </w:r>
    </w:p>
    <w:p w14:paraId="7CE44FD5" w14:textId="77777777" w:rsidR="000415F4" w:rsidRPr="00266728" w:rsidRDefault="000415F4" w:rsidP="005C74DA">
      <w:pPr>
        <w:spacing w:line="264" w:lineRule="auto"/>
        <w:jc w:val="center"/>
        <w:rPr>
          <w:b/>
          <w:sz w:val="25"/>
          <w:szCs w:val="25"/>
        </w:rPr>
      </w:pPr>
    </w:p>
    <w:p w14:paraId="5DD797B0" w14:textId="77777777" w:rsidR="000415F4" w:rsidRPr="00266728" w:rsidRDefault="000415F4" w:rsidP="005C74DA">
      <w:pPr>
        <w:spacing w:line="264" w:lineRule="auto"/>
        <w:ind w:left="-720"/>
        <w:jc w:val="center"/>
        <w:rPr>
          <w:b/>
          <w:sz w:val="25"/>
          <w:szCs w:val="25"/>
          <w:u w:val="single"/>
        </w:rPr>
      </w:pPr>
      <w:r w:rsidRPr="00266728">
        <w:rPr>
          <w:b/>
          <w:sz w:val="25"/>
          <w:szCs w:val="25"/>
          <w:u w:val="single"/>
        </w:rPr>
        <w:lastRenderedPageBreak/>
        <w:t>O R D E R</w:t>
      </w:r>
    </w:p>
    <w:p w14:paraId="32E317C6" w14:textId="77777777" w:rsidR="000415F4" w:rsidRPr="00266728" w:rsidRDefault="0094265A" w:rsidP="005C74DA">
      <w:pPr>
        <w:tabs>
          <w:tab w:val="left" w:pos="6048"/>
        </w:tabs>
        <w:spacing w:line="264" w:lineRule="auto"/>
        <w:rPr>
          <w:sz w:val="25"/>
          <w:szCs w:val="25"/>
        </w:rPr>
      </w:pPr>
      <w:r>
        <w:rPr>
          <w:sz w:val="25"/>
          <w:szCs w:val="25"/>
        </w:rPr>
        <w:tab/>
      </w:r>
    </w:p>
    <w:p w14:paraId="4D13E2CB" w14:textId="77777777" w:rsidR="000415F4" w:rsidRPr="00266728" w:rsidRDefault="000415F4" w:rsidP="005C74DA">
      <w:pPr>
        <w:spacing w:line="264" w:lineRule="auto"/>
        <w:rPr>
          <w:bCs/>
          <w:sz w:val="25"/>
          <w:szCs w:val="25"/>
        </w:rPr>
      </w:pPr>
      <w:r w:rsidRPr="00266728">
        <w:rPr>
          <w:bCs/>
          <w:sz w:val="25"/>
          <w:szCs w:val="25"/>
        </w:rPr>
        <w:t>THE COMMISSION ORDERS:</w:t>
      </w:r>
    </w:p>
    <w:p w14:paraId="0EF053C0" w14:textId="77777777" w:rsidR="000415F4" w:rsidRPr="00266728" w:rsidRDefault="000415F4" w:rsidP="005C74DA">
      <w:pPr>
        <w:spacing w:line="264" w:lineRule="auto"/>
        <w:jc w:val="center"/>
        <w:rPr>
          <w:sz w:val="25"/>
          <w:szCs w:val="25"/>
        </w:rPr>
      </w:pPr>
    </w:p>
    <w:p w14:paraId="34C9A399" w14:textId="77777777" w:rsidR="000415F4" w:rsidRPr="00573959" w:rsidRDefault="000415F4" w:rsidP="005C74DA">
      <w:pPr>
        <w:numPr>
          <w:ilvl w:val="0"/>
          <w:numId w:val="14"/>
        </w:numPr>
        <w:spacing w:line="264" w:lineRule="auto"/>
        <w:ind w:left="720" w:hanging="1440"/>
        <w:rPr>
          <w:sz w:val="25"/>
          <w:szCs w:val="25"/>
        </w:rPr>
      </w:pPr>
      <w:r w:rsidRPr="00573959">
        <w:rPr>
          <w:sz w:val="25"/>
          <w:szCs w:val="25"/>
        </w:rPr>
        <w:t>(1)</w:t>
      </w:r>
      <w:r w:rsidRPr="00573959">
        <w:rPr>
          <w:sz w:val="25"/>
          <w:szCs w:val="25"/>
        </w:rPr>
        <w:tab/>
        <w:t xml:space="preserve">The Settlement Stipulation filed by PSE, Commission Staff, Public Counsel, ICNU, </w:t>
      </w:r>
      <w:r w:rsidR="0052250A" w:rsidRPr="00573959">
        <w:rPr>
          <w:sz w:val="25"/>
          <w:szCs w:val="25"/>
        </w:rPr>
        <w:t>the Kroger Company, Wal-Mart Stores, Inc., the Federal</w:t>
      </w:r>
      <w:r w:rsidR="00573959" w:rsidRPr="00573959">
        <w:rPr>
          <w:sz w:val="25"/>
          <w:szCs w:val="25"/>
        </w:rPr>
        <w:t xml:space="preserve"> </w:t>
      </w:r>
      <w:r w:rsidR="0052250A" w:rsidRPr="00573959">
        <w:rPr>
          <w:sz w:val="25"/>
          <w:szCs w:val="25"/>
        </w:rPr>
        <w:t>Executive Agencies, and The Energy Project</w:t>
      </w:r>
      <w:r w:rsidR="00862FEB" w:rsidRPr="00573959">
        <w:rPr>
          <w:sz w:val="25"/>
          <w:szCs w:val="25"/>
        </w:rPr>
        <w:t>,</w:t>
      </w:r>
      <w:r w:rsidR="0052250A" w:rsidRPr="00573959">
        <w:rPr>
          <w:sz w:val="25"/>
          <w:szCs w:val="25"/>
        </w:rPr>
        <w:t xml:space="preserve"> </w:t>
      </w:r>
      <w:r w:rsidRPr="00573959">
        <w:rPr>
          <w:sz w:val="25"/>
          <w:szCs w:val="25"/>
        </w:rPr>
        <w:t xml:space="preserve">and </w:t>
      </w:r>
      <w:r w:rsidR="0052250A" w:rsidRPr="00573959">
        <w:rPr>
          <w:iCs/>
          <w:sz w:val="25"/>
          <w:szCs w:val="25"/>
        </w:rPr>
        <w:t>attached to this Order as</w:t>
      </w:r>
      <w:r w:rsidR="00573959">
        <w:rPr>
          <w:iCs/>
          <w:sz w:val="25"/>
          <w:szCs w:val="25"/>
        </w:rPr>
        <w:t xml:space="preserve"> </w:t>
      </w:r>
      <w:r w:rsidR="0052250A" w:rsidRPr="00573959">
        <w:rPr>
          <w:iCs/>
          <w:sz w:val="25"/>
          <w:szCs w:val="25"/>
        </w:rPr>
        <w:t>Appendix A and incorporated by reference</w:t>
      </w:r>
      <w:r w:rsidRPr="00573959">
        <w:rPr>
          <w:sz w:val="25"/>
          <w:szCs w:val="25"/>
        </w:rPr>
        <w:t>, is approved and adopted.</w:t>
      </w:r>
    </w:p>
    <w:p w14:paraId="3695FCEC" w14:textId="77777777" w:rsidR="000415F4" w:rsidRPr="00266728" w:rsidRDefault="000415F4" w:rsidP="005C74DA">
      <w:pPr>
        <w:spacing w:line="264" w:lineRule="auto"/>
        <w:ind w:left="-360"/>
        <w:rPr>
          <w:sz w:val="25"/>
          <w:szCs w:val="25"/>
        </w:rPr>
      </w:pPr>
    </w:p>
    <w:p w14:paraId="3314C97E" w14:textId="77777777" w:rsidR="002C2CB9" w:rsidRPr="00573959" w:rsidRDefault="000415F4" w:rsidP="005C74DA">
      <w:pPr>
        <w:numPr>
          <w:ilvl w:val="0"/>
          <w:numId w:val="14"/>
        </w:numPr>
        <w:spacing w:line="264" w:lineRule="auto"/>
        <w:ind w:left="720" w:hanging="1440"/>
        <w:rPr>
          <w:color w:val="000000"/>
          <w:sz w:val="25"/>
          <w:szCs w:val="25"/>
        </w:rPr>
      </w:pPr>
      <w:r w:rsidRPr="00573959">
        <w:rPr>
          <w:sz w:val="25"/>
          <w:szCs w:val="25"/>
        </w:rPr>
        <w:t>(</w:t>
      </w:r>
      <w:r w:rsidR="0052250A" w:rsidRPr="00573959">
        <w:rPr>
          <w:sz w:val="25"/>
          <w:szCs w:val="25"/>
        </w:rPr>
        <w:t>2</w:t>
      </w:r>
      <w:r w:rsidRPr="00573959">
        <w:rPr>
          <w:sz w:val="25"/>
          <w:szCs w:val="25"/>
        </w:rPr>
        <w:t>)</w:t>
      </w:r>
      <w:r w:rsidRPr="00573959">
        <w:rPr>
          <w:sz w:val="25"/>
          <w:szCs w:val="25"/>
        </w:rPr>
        <w:tab/>
        <w:t>The Commission retains jurisdiction over the subject matters and parties to</w:t>
      </w:r>
      <w:r w:rsidR="00573959">
        <w:rPr>
          <w:sz w:val="25"/>
          <w:szCs w:val="25"/>
        </w:rPr>
        <w:t xml:space="preserve"> </w:t>
      </w:r>
      <w:r w:rsidRPr="00573959">
        <w:rPr>
          <w:sz w:val="25"/>
          <w:szCs w:val="25"/>
        </w:rPr>
        <w:t>this proceeding to effectuate the terms of this Order.</w:t>
      </w:r>
    </w:p>
    <w:p w14:paraId="3F82C5DC" w14:textId="77777777" w:rsidR="00844D13" w:rsidRPr="00DA5DBB" w:rsidRDefault="00844D13" w:rsidP="005C7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p>
    <w:p w14:paraId="16ED4FA8" w14:textId="64E2648A" w:rsidR="00844D13" w:rsidRPr="00DA5DBB" w:rsidRDefault="00844D13" w:rsidP="005C74DA">
      <w:pPr>
        <w:spacing w:line="264" w:lineRule="auto"/>
        <w:rPr>
          <w:sz w:val="25"/>
          <w:szCs w:val="25"/>
        </w:rPr>
      </w:pPr>
      <w:r w:rsidRPr="00DA5DBB">
        <w:rPr>
          <w:sz w:val="25"/>
          <w:szCs w:val="25"/>
        </w:rPr>
        <w:t xml:space="preserve">Dated at Olympia, Washington, and effective </w:t>
      </w:r>
      <w:r w:rsidR="00E40F06">
        <w:rPr>
          <w:sz w:val="25"/>
          <w:szCs w:val="25"/>
        </w:rPr>
        <w:t>January</w:t>
      </w:r>
      <w:r w:rsidR="007323D5">
        <w:rPr>
          <w:sz w:val="25"/>
          <w:szCs w:val="25"/>
        </w:rPr>
        <w:t xml:space="preserve"> 2</w:t>
      </w:r>
      <w:r w:rsidR="00E836B3">
        <w:rPr>
          <w:sz w:val="25"/>
          <w:szCs w:val="25"/>
        </w:rPr>
        <w:t>9</w:t>
      </w:r>
      <w:r w:rsidR="00385E49">
        <w:rPr>
          <w:sz w:val="25"/>
          <w:szCs w:val="25"/>
        </w:rPr>
        <w:t>, 201</w:t>
      </w:r>
      <w:r w:rsidR="00E40F06">
        <w:rPr>
          <w:sz w:val="25"/>
          <w:szCs w:val="25"/>
        </w:rPr>
        <w:t>5</w:t>
      </w:r>
      <w:r w:rsidRPr="00DA5DBB">
        <w:rPr>
          <w:sz w:val="25"/>
          <w:szCs w:val="25"/>
        </w:rPr>
        <w:t>.</w:t>
      </w:r>
    </w:p>
    <w:p w14:paraId="2915A57E" w14:textId="77777777" w:rsidR="00844D13" w:rsidRPr="00DA5DBB" w:rsidRDefault="00844D13" w:rsidP="005C74DA">
      <w:pPr>
        <w:pStyle w:val="Header"/>
        <w:tabs>
          <w:tab w:val="clear" w:pos="4320"/>
          <w:tab w:val="clear" w:pos="8640"/>
        </w:tabs>
        <w:spacing w:line="264" w:lineRule="auto"/>
        <w:rPr>
          <w:sz w:val="25"/>
          <w:szCs w:val="25"/>
        </w:rPr>
      </w:pPr>
    </w:p>
    <w:p w14:paraId="3E7A94DC" w14:textId="77777777" w:rsidR="00AF6AC2" w:rsidRPr="00E557F2" w:rsidRDefault="00AF6AC2" w:rsidP="005C74DA">
      <w:pPr>
        <w:spacing w:line="264" w:lineRule="auto"/>
        <w:jc w:val="center"/>
        <w:rPr>
          <w:sz w:val="25"/>
          <w:szCs w:val="25"/>
        </w:rPr>
      </w:pPr>
      <w:r w:rsidRPr="00E557F2">
        <w:rPr>
          <w:sz w:val="25"/>
          <w:szCs w:val="25"/>
        </w:rPr>
        <w:t>WASHINGTON UTILITIES AND TRANSPORTATION COMMISSION</w:t>
      </w:r>
      <w:r w:rsidRPr="00E557F2">
        <w:rPr>
          <w:sz w:val="25"/>
          <w:szCs w:val="25"/>
        </w:rPr>
        <w:tab/>
      </w:r>
    </w:p>
    <w:p w14:paraId="7FAD9DB3" w14:textId="77777777" w:rsidR="00AF6AC2" w:rsidRPr="00E557F2" w:rsidRDefault="00AF6AC2" w:rsidP="005C74DA">
      <w:pPr>
        <w:spacing w:line="264" w:lineRule="auto"/>
        <w:ind w:firstLine="4320"/>
        <w:jc w:val="both"/>
        <w:rPr>
          <w:sz w:val="25"/>
          <w:szCs w:val="25"/>
        </w:rPr>
      </w:pPr>
    </w:p>
    <w:p w14:paraId="4287DDCE" w14:textId="77777777" w:rsidR="00AF6AC2" w:rsidRDefault="00AF6AC2" w:rsidP="005C74DA">
      <w:pPr>
        <w:spacing w:line="264" w:lineRule="auto"/>
        <w:ind w:firstLine="4320"/>
        <w:jc w:val="both"/>
        <w:rPr>
          <w:sz w:val="25"/>
          <w:szCs w:val="25"/>
        </w:rPr>
      </w:pPr>
    </w:p>
    <w:p w14:paraId="7154F263" w14:textId="77777777" w:rsidR="00AF6AC2" w:rsidRPr="00E557F2" w:rsidRDefault="00AF6AC2" w:rsidP="005C74DA">
      <w:pPr>
        <w:spacing w:line="264" w:lineRule="auto"/>
        <w:ind w:firstLine="4320"/>
        <w:jc w:val="both"/>
        <w:rPr>
          <w:sz w:val="25"/>
          <w:szCs w:val="25"/>
        </w:rPr>
      </w:pPr>
    </w:p>
    <w:p w14:paraId="62E3B5E6" w14:textId="77777777" w:rsidR="00AF6AC2" w:rsidRPr="00E557F2" w:rsidRDefault="00AF6AC2" w:rsidP="005C74DA">
      <w:pPr>
        <w:spacing w:line="264" w:lineRule="auto"/>
        <w:ind w:firstLine="4320"/>
        <w:jc w:val="both"/>
        <w:rPr>
          <w:sz w:val="25"/>
          <w:szCs w:val="25"/>
        </w:rPr>
      </w:pPr>
      <w:r w:rsidRPr="00E557F2">
        <w:rPr>
          <w:sz w:val="25"/>
          <w:szCs w:val="25"/>
        </w:rPr>
        <w:t>DAVID W. DANNER, Chairman</w:t>
      </w:r>
    </w:p>
    <w:p w14:paraId="54C63529" w14:textId="77777777" w:rsidR="00AF6AC2" w:rsidRPr="00E557F2" w:rsidRDefault="00AF6AC2" w:rsidP="005C74DA">
      <w:pPr>
        <w:spacing w:line="264" w:lineRule="auto"/>
        <w:jc w:val="center"/>
        <w:rPr>
          <w:sz w:val="25"/>
          <w:szCs w:val="25"/>
        </w:rPr>
      </w:pPr>
    </w:p>
    <w:p w14:paraId="52F2425B" w14:textId="77777777" w:rsidR="00AF6AC2" w:rsidRPr="00E557F2" w:rsidRDefault="00AF6AC2" w:rsidP="005C74DA">
      <w:pPr>
        <w:spacing w:line="264" w:lineRule="auto"/>
        <w:jc w:val="center"/>
        <w:rPr>
          <w:sz w:val="25"/>
          <w:szCs w:val="25"/>
        </w:rPr>
      </w:pPr>
    </w:p>
    <w:p w14:paraId="32E87C72" w14:textId="77777777" w:rsidR="00AF6AC2" w:rsidRPr="00E557F2" w:rsidRDefault="00AF6AC2" w:rsidP="005C74DA">
      <w:pPr>
        <w:spacing w:line="264" w:lineRule="auto"/>
        <w:jc w:val="center"/>
        <w:rPr>
          <w:sz w:val="25"/>
          <w:szCs w:val="25"/>
        </w:rPr>
      </w:pPr>
    </w:p>
    <w:p w14:paraId="1BFADDA9" w14:textId="77777777" w:rsidR="00AF6AC2" w:rsidRPr="00E557F2" w:rsidRDefault="00AF6AC2" w:rsidP="005C74DA">
      <w:pPr>
        <w:spacing w:line="264" w:lineRule="auto"/>
        <w:rPr>
          <w:sz w:val="25"/>
          <w:szCs w:val="25"/>
        </w:rPr>
      </w:pPr>
      <w:r w:rsidRPr="00E557F2">
        <w:rPr>
          <w:sz w:val="25"/>
          <w:szCs w:val="25"/>
        </w:rPr>
        <w:tab/>
      </w:r>
      <w:r w:rsidRPr="00E557F2">
        <w:rPr>
          <w:sz w:val="25"/>
          <w:szCs w:val="25"/>
        </w:rPr>
        <w:tab/>
      </w:r>
      <w:r w:rsidRPr="00E557F2">
        <w:rPr>
          <w:sz w:val="25"/>
          <w:szCs w:val="25"/>
        </w:rPr>
        <w:tab/>
      </w:r>
      <w:r w:rsidRPr="00E557F2">
        <w:rPr>
          <w:sz w:val="25"/>
          <w:szCs w:val="25"/>
        </w:rPr>
        <w:tab/>
      </w:r>
      <w:r w:rsidRPr="00E557F2">
        <w:rPr>
          <w:sz w:val="25"/>
          <w:szCs w:val="25"/>
        </w:rPr>
        <w:tab/>
      </w:r>
      <w:r w:rsidRPr="00E557F2">
        <w:rPr>
          <w:sz w:val="25"/>
          <w:szCs w:val="25"/>
        </w:rPr>
        <w:tab/>
        <w:t>PHILIP B. JONES, Commissioner</w:t>
      </w:r>
    </w:p>
    <w:p w14:paraId="0216515F" w14:textId="77777777" w:rsidR="00AF6AC2" w:rsidRPr="00E557F2" w:rsidRDefault="00AF6AC2" w:rsidP="005C74DA">
      <w:pPr>
        <w:spacing w:line="264" w:lineRule="auto"/>
        <w:jc w:val="center"/>
        <w:rPr>
          <w:sz w:val="25"/>
          <w:szCs w:val="25"/>
        </w:rPr>
      </w:pPr>
    </w:p>
    <w:p w14:paraId="2D3C6D19" w14:textId="77777777" w:rsidR="00AF6AC2" w:rsidRDefault="00AF6AC2" w:rsidP="005C74DA">
      <w:pPr>
        <w:spacing w:line="264" w:lineRule="auto"/>
        <w:jc w:val="center"/>
        <w:rPr>
          <w:sz w:val="25"/>
          <w:szCs w:val="25"/>
        </w:rPr>
      </w:pPr>
    </w:p>
    <w:p w14:paraId="02322BC9" w14:textId="77777777" w:rsidR="00AF6AC2" w:rsidRPr="00E557F2" w:rsidRDefault="00AF6AC2" w:rsidP="005C74DA">
      <w:pPr>
        <w:spacing w:line="264" w:lineRule="auto"/>
        <w:jc w:val="center"/>
        <w:rPr>
          <w:sz w:val="25"/>
          <w:szCs w:val="25"/>
        </w:rPr>
      </w:pPr>
    </w:p>
    <w:p w14:paraId="59C65E03" w14:textId="77777777" w:rsidR="00AF6AC2" w:rsidRPr="00E557F2" w:rsidRDefault="00AF6AC2" w:rsidP="005C74DA">
      <w:pPr>
        <w:spacing w:line="264" w:lineRule="auto"/>
        <w:rPr>
          <w:sz w:val="25"/>
          <w:szCs w:val="25"/>
        </w:rPr>
      </w:pPr>
      <w:r w:rsidRPr="00E557F2">
        <w:rPr>
          <w:sz w:val="25"/>
          <w:szCs w:val="25"/>
        </w:rPr>
        <w:tab/>
      </w:r>
      <w:r w:rsidRPr="00E557F2">
        <w:rPr>
          <w:sz w:val="25"/>
          <w:szCs w:val="25"/>
        </w:rPr>
        <w:tab/>
      </w:r>
      <w:r w:rsidRPr="00E557F2">
        <w:rPr>
          <w:sz w:val="25"/>
          <w:szCs w:val="25"/>
        </w:rPr>
        <w:tab/>
      </w:r>
      <w:r w:rsidRPr="00E557F2">
        <w:rPr>
          <w:sz w:val="25"/>
          <w:szCs w:val="25"/>
        </w:rPr>
        <w:tab/>
      </w:r>
      <w:r w:rsidRPr="00E557F2">
        <w:rPr>
          <w:sz w:val="25"/>
          <w:szCs w:val="25"/>
        </w:rPr>
        <w:tab/>
      </w:r>
      <w:r w:rsidRPr="00E557F2">
        <w:rPr>
          <w:sz w:val="25"/>
          <w:szCs w:val="25"/>
        </w:rPr>
        <w:tab/>
      </w:r>
      <w:r w:rsidR="00E40F06">
        <w:rPr>
          <w:sz w:val="25"/>
          <w:szCs w:val="25"/>
        </w:rPr>
        <w:t xml:space="preserve">ANN </w:t>
      </w:r>
      <w:r w:rsidR="00F559CB">
        <w:rPr>
          <w:sz w:val="25"/>
          <w:szCs w:val="25"/>
        </w:rPr>
        <w:t xml:space="preserve">E. </w:t>
      </w:r>
      <w:r w:rsidR="00E40F06">
        <w:rPr>
          <w:sz w:val="25"/>
          <w:szCs w:val="25"/>
        </w:rPr>
        <w:t>RENDAHL</w:t>
      </w:r>
      <w:r w:rsidRPr="00E557F2">
        <w:rPr>
          <w:sz w:val="25"/>
          <w:szCs w:val="25"/>
        </w:rPr>
        <w:t>, Commissioner</w:t>
      </w:r>
    </w:p>
    <w:p w14:paraId="2A118870" w14:textId="77777777" w:rsidR="00AF6AC2" w:rsidRPr="00E557F2" w:rsidRDefault="00AF6AC2" w:rsidP="005C74DA">
      <w:pPr>
        <w:spacing w:line="264" w:lineRule="auto"/>
        <w:rPr>
          <w:sz w:val="25"/>
          <w:szCs w:val="25"/>
        </w:rPr>
      </w:pPr>
    </w:p>
    <w:p w14:paraId="7DABF804" w14:textId="77777777" w:rsidR="00AF6AC2" w:rsidRDefault="00AF6AC2" w:rsidP="005C74DA">
      <w:pPr>
        <w:spacing w:line="264" w:lineRule="auto"/>
        <w:ind w:left="3600" w:firstLine="720"/>
        <w:rPr>
          <w:sz w:val="25"/>
          <w:szCs w:val="25"/>
        </w:rPr>
      </w:pPr>
    </w:p>
    <w:p w14:paraId="4956AEA8" w14:textId="77777777" w:rsidR="00AF6AC2" w:rsidRPr="003528DF" w:rsidRDefault="00AF6AC2" w:rsidP="005C74DA">
      <w:pPr>
        <w:spacing w:line="264" w:lineRule="auto"/>
        <w:ind w:left="3600" w:firstLine="720"/>
        <w:rPr>
          <w:sz w:val="25"/>
          <w:szCs w:val="25"/>
        </w:rPr>
      </w:pPr>
    </w:p>
    <w:p w14:paraId="1D7750F4" w14:textId="77777777" w:rsidR="00AF6AC2" w:rsidRDefault="00AF6AC2" w:rsidP="005C74DA">
      <w:pPr>
        <w:spacing w:line="264" w:lineRule="auto"/>
        <w:rPr>
          <w:b/>
          <w:sz w:val="25"/>
          <w:szCs w:val="25"/>
        </w:rPr>
      </w:pPr>
      <w:r w:rsidRPr="003528DF">
        <w:rPr>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r w:rsidRPr="003528DF" w:rsidDel="00781F91">
        <w:rPr>
          <w:b/>
          <w:sz w:val="25"/>
          <w:szCs w:val="25"/>
        </w:rPr>
        <w:t xml:space="preserve"> </w:t>
      </w:r>
    </w:p>
    <w:p w14:paraId="05696607" w14:textId="77777777" w:rsidR="00AF6AC2" w:rsidRDefault="00AF6AC2" w:rsidP="00AF6AC2">
      <w:pPr>
        <w:spacing w:line="264" w:lineRule="auto"/>
        <w:jc w:val="center"/>
        <w:rPr>
          <w:b/>
          <w:sz w:val="25"/>
          <w:szCs w:val="25"/>
        </w:rPr>
      </w:pPr>
    </w:p>
    <w:p w14:paraId="377BD5AA" w14:textId="77777777" w:rsidR="00AF6AC2" w:rsidRDefault="00AF6AC2" w:rsidP="00AF6AC2">
      <w:pPr>
        <w:spacing w:line="288" w:lineRule="auto"/>
        <w:jc w:val="center"/>
        <w:rPr>
          <w:b/>
          <w:sz w:val="25"/>
          <w:szCs w:val="25"/>
        </w:rPr>
      </w:pPr>
      <w:r>
        <w:rPr>
          <w:b/>
          <w:sz w:val="25"/>
          <w:szCs w:val="25"/>
        </w:rPr>
        <w:br w:type="page"/>
      </w:r>
    </w:p>
    <w:p w14:paraId="24C09A4D" w14:textId="77777777" w:rsidR="00AF6AC2" w:rsidRDefault="00AF6AC2" w:rsidP="00AF6AC2">
      <w:pPr>
        <w:spacing w:line="288" w:lineRule="auto"/>
        <w:jc w:val="center"/>
        <w:rPr>
          <w:b/>
          <w:sz w:val="25"/>
          <w:szCs w:val="25"/>
        </w:rPr>
      </w:pPr>
    </w:p>
    <w:p w14:paraId="0BEC30A7" w14:textId="77777777" w:rsidR="00AF6AC2" w:rsidRDefault="00AF6AC2" w:rsidP="00AF6AC2">
      <w:pPr>
        <w:spacing w:line="288" w:lineRule="auto"/>
        <w:jc w:val="center"/>
        <w:rPr>
          <w:b/>
          <w:sz w:val="25"/>
          <w:szCs w:val="25"/>
        </w:rPr>
      </w:pPr>
    </w:p>
    <w:p w14:paraId="7F131E60" w14:textId="77777777" w:rsidR="00AF6AC2" w:rsidRDefault="00AF6AC2" w:rsidP="00AF6AC2">
      <w:pPr>
        <w:spacing w:line="288" w:lineRule="auto"/>
        <w:jc w:val="center"/>
        <w:rPr>
          <w:b/>
          <w:sz w:val="25"/>
          <w:szCs w:val="25"/>
        </w:rPr>
      </w:pPr>
    </w:p>
    <w:p w14:paraId="1B81536C" w14:textId="77777777" w:rsidR="00AF6AC2" w:rsidRDefault="00AF6AC2" w:rsidP="00AF6AC2">
      <w:pPr>
        <w:spacing w:line="288" w:lineRule="auto"/>
        <w:jc w:val="center"/>
        <w:rPr>
          <w:b/>
          <w:sz w:val="25"/>
          <w:szCs w:val="25"/>
        </w:rPr>
      </w:pPr>
    </w:p>
    <w:p w14:paraId="4B6A042A" w14:textId="77777777" w:rsidR="00AF6AC2" w:rsidRDefault="00AF6AC2" w:rsidP="00AF6AC2">
      <w:pPr>
        <w:spacing w:line="288" w:lineRule="auto"/>
        <w:jc w:val="center"/>
        <w:rPr>
          <w:b/>
          <w:sz w:val="25"/>
          <w:szCs w:val="25"/>
        </w:rPr>
      </w:pPr>
    </w:p>
    <w:p w14:paraId="3D2EA65C" w14:textId="77777777" w:rsidR="00AF6AC2" w:rsidRDefault="00AF6AC2" w:rsidP="00AF6AC2">
      <w:pPr>
        <w:spacing w:line="288" w:lineRule="auto"/>
        <w:jc w:val="center"/>
        <w:rPr>
          <w:b/>
          <w:sz w:val="25"/>
          <w:szCs w:val="25"/>
        </w:rPr>
      </w:pPr>
    </w:p>
    <w:p w14:paraId="41B0EEDD" w14:textId="77777777" w:rsidR="00AF6AC2" w:rsidRDefault="00AF6AC2" w:rsidP="00AF6AC2">
      <w:pPr>
        <w:spacing w:line="288" w:lineRule="auto"/>
        <w:jc w:val="center"/>
        <w:rPr>
          <w:b/>
          <w:sz w:val="25"/>
          <w:szCs w:val="25"/>
        </w:rPr>
      </w:pPr>
    </w:p>
    <w:p w14:paraId="3BC86D27" w14:textId="77777777" w:rsidR="00AF6AC2" w:rsidRDefault="00AF6AC2" w:rsidP="00AF6AC2">
      <w:pPr>
        <w:spacing w:line="288" w:lineRule="auto"/>
        <w:jc w:val="center"/>
        <w:rPr>
          <w:b/>
          <w:sz w:val="25"/>
          <w:szCs w:val="25"/>
        </w:rPr>
      </w:pPr>
    </w:p>
    <w:p w14:paraId="131034FB" w14:textId="77777777" w:rsidR="00AF6AC2" w:rsidRDefault="00AF6AC2" w:rsidP="00AF6AC2">
      <w:pPr>
        <w:spacing w:line="288" w:lineRule="auto"/>
        <w:jc w:val="center"/>
        <w:rPr>
          <w:b/>
          <w:sz w:val="25"/>
          <w:szCs w:val="25"/>
        </w:rPr>
      </w:pPr>
    </w:p>
    <w:p w14:paraId="6FCD436B" w14:textId="77777777" w:rsidR="00AF6AC2" w:rsidRDefault="00AF6AC2" w:rsidP="00AF6AC2">
      <w:pPr>
        <w:spacing w:line="288" w:lineRule="auto"/>
        <w:jc w:val="center"/>
        <w:rPr>
          <w:b/>
          <w:sz w:val="25"/>
          <w:szCs w:val="25"/>
        </w:rPr>
      </w:pPr>
    </w:p>
    <w:p w14:paraId="30A04F97" w14:textId="77777777" w:rsidR="00AF6AC2" w:rsidRDefault="00AF6AC2" w:rsidP="00AF6AC2">
      <w:pPr>
        <w:spacing w:line="288" w:lineRule="auto"/>
        <w:jc w:val="center"/>
        <w:rPr>
          <w:b/>
          <w:sz w:val="25"/>
          <w:szCs w:val="25"/>
        </w:rPr>
      </w:pPr>
    </w:p>
    <w:p w14:paraId="111A271B" w14:textId="77777777" w:rsidR="00AF6AC2" w:rsidRPr="00A81F96" w:rsidRDefault="00AF6AC2" w:rsidP="00AF6AC2">
      <w:pPr>
        <w:spacing w:line="288" w:lineRule="auto"/>
        <w:jc w:val="center"/>
        <w:rPr>
          <w:sz w:val="48"/>
          <w:szCs w:val="48"/>
        </w:rPr>
      </w:pPr>
      <w:r w:rsidRPr="00A81F96">
        <w:rPr>
          <w:sz w:val="48"/>
          <w:szCs w:val="48"/>
        </w:rPr>
        <w:t>APPENDIX A</w:t>
      </w:r>
    </w:p>
    <w:p w14:paraId="335AE2B8" w14:textId="77777777" w:rsidR="00AF6AC2" w:rsidRPr="00A81F96" w:rsidRDefault="00AF6AC2" w:rsidP="00AF6AC2">
      <w:pPr>
        <w:spacing w:line="288" w:lineRule="auto"/>
        <w:jc w:val="center"/>
        <w:rPr>
          <w:sz w:val="48"/>
          <w:szCs w:val="48"/>
        </w:rPr>
      </w:pPr>
      <w:r w:rsidRPr="00A81F96">
        <w:rPr>
          <w:sz w:val="48"/>
          <w:szCs w:val="48"/>
        </w:rPr>
        <w:t xml:space="preserve">(Settlement </w:t>
      </w:r>
      <w:r>
        <w:rPr>
          <w:sz w:val="48"/>
          <w:szCs w:val="48"/>
        </w:rPr>
        <w:t>Stipulation</w:t>
      </w:r>
      <w:r w:rsidRPr="00A81F96">
        <w:rPr>
          <w:sz w:val="48"/>
          <w:szCs w:val="48"/>
        </w:rPr>
        <w:t>)</w:t>
      </w:r>
    </w:p>
    <w:bookmarkEnd w:id="6"/>
    <w:bookmarkEnd w:id="7"/>
    <w:p w14:paraId="40B87141" w14:textId="77777777" w:rsidR="00844D13" w:rsidRPr="00DA5DBB" w:rsidRDefault="00844D13" w:rsidP="00AF6AC2">
      <w:pPr>
        <w:spacing w:line="288" w:lineRule="auto"/>
        <w:jc w:val="center"/>
        <w:rPr>
          <w:sz w:val="25"/>
          <w:szCs w:val="25"/>
        </w:rPr>
      </w:pPr>
    </w:p>
    <w:sectPr w:rsidR="00844D13" w:rsidRPr="00DA5DBB" w:rsidSect="00A223A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25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6B1F6" w14:textId="77777777" w:rsidR="00AD667C" w:rsidRDefault="00AD667C">
      <w:r>
        <w:separator/>
      </w:r>
    </w:p>
  </w:endnote>
  <w:endnote w:type="continuationSeparator" w:id="0">
    <w:p w14:paraId="3E4A982E" w14:textId="77777777" w:rsidR="00AD667C" w:rsidRDefault="00AD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5CC1" w14:textId="77777777" w:rsidR="002879EE" w:rsidRDefault="00287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8451" w14:textId="77777777" w:rsidR="002879EE" w:rsidRDefault="002879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57699" w14:textId="77777777" w:rsidR="002879EE" w:rsidRDefault="00287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378F2" w14:textId="77777777" w:rsidR="00AD667C" w:rsidRDefault="00AD667C">
      <w:r>
        <w:separator/>
      </w:r>
    </w:p>
  </w:footnote>
  <w:footnote w:type="continuationSeparator" w:id="0">
    <w:p w14:paraId="6676EAAA" w14:textId="77777777" w:rsidR="00AD667C" w:rsidRDefault="00AD667C">
      <w:r>
        <w:continuationSeparator/>
      </w:r>
    </w:p>
  </w:footnote>
  <w:footnote w:id="1">
    <w:p w14:paraId="08420D66" w14:textId="77777777" w:rsidR="002018E8" w:rsidRPr="00F76E6F" w:rsidRDefault="002018E8" w:rsidP="002018E8">
      <w:pPr>
        <w:pStyle w:val="FootnoteText"/>
        <w:tabs>
          <w:tab w:val="left" w:pos="0"/>
        </w:tabs>
        <w:rPr>
          <w:szCs w:val="22"/>
        </w:rPr>
      </w:pPr>
      <w:r w:rsidRPr="00F76E6F">
        <w:rPr>
          <w:rStyle w:val="FootnoteReference"/>
          <w:szCs w:val="22"/>
        </w:rPr>
        <w:footnoteRef/>
      </w:r>
      <w:r>
        <w:rPr>
          <w:iCs/>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F042B">
        <w:rPr>
          <w:i/>
          <w:iCs/>
          <w:szCs w:val="22"/>
        </w:rPr>
        <w:t>See</w:t>
      </w:r>
      <w:r>
        <w:rPr>
          <w:iCs/>
          <w:szCs w:val="22"/>
        </w:rPr>
        <w:t xml:space="preserve"> RCW 34.05.455.</w:t>
      </w:r>
    </w:p>
  </w:footnote>
  <w:footnote w:id="2">
    <w:p w14:paraId="6908A711" w14:textId="77777777" w:rsidR="00C579ED" w:rsidRDefault="00C579ED">
      <w:pPr>
        <w:pStyle w:val="FootnoteText"/>
      </w:pPr>
      <w:r>
        <w:rPr>
          <w:rStyle w:val="FootnoteReference"/>
        </w:rPr>
        <w:footnoteRef/>
      </w:r>
      <w:r>
        <w:t xml:space="preserve"> The NW Energy Coalition (NWEC) is not a party to the Settlement but does not oppose it.</w:t>
      </w:r>
    </w:p>
  </w:footnote>
  <w:footnote w:id="3">
    <w:p w14:paraId="0BFE2D0B" w14:textId="77777777" w:rsidR="00E0245C" w:rsidRPr="00E0245C" w:rsidRDefault="00E0245C">
      <w:pPr>
        <w:pStyle w:val="FootnoteText"/>
      </w:pPr>
      <w:r>
        <w:rPr>
          <w:rStyle w:val="FootnoteReference"/>
        </w:rPr>
        <w:footnoteRef/>
      </w:r>
      <w:r>
        <w:t xml:space="preserve"> </w:t>
      </w:r>
      <w:r>
        <w:rPr>
          <w:i/>
        </w:rPr>
        <w:t>In the Matter of the Petition of Puget Sound Energy for an Accounting Order Authorizing Accounting Treatment Related to Payments for Major Maintenance Activities,</w:t>
      </w:r>
      <w:r>
        <w:t xml:space="preserve"> Docket UE-130583, </w:t>
      </w:r>
      <w:r>
        <w:rPr>
          <w:i/>
        </w:rPr>
        <w:t xml:space="preserve">WUTC, Complainant, v. Puget Sound Energy, Respondent, </w:t>
      </w:r>
      <w:r>
        <w:t xml:space="preserve">Docket UE-130617, </w:t>
      </w:r>
      <w:r>
        <w:rPr>
          <w:i/>
        </w:rPr>
        <w:t>In the Matter of the Petition of Puget Sound Energy for an Accounting Order Authorizing Accounting the Sale of the Water Rights and Associated Assets of the Electron Hydroelectric Project in Accordance with WAC 480-143 and RCW 80.12,</w:t>
      </w:r>
      <w:r>
        <w:t xml:space="preserve"> Docket UE-131099, and </w:t>
      </w:r>
      <w:r>
        <w:rPr>
          <w:i/>
        </w:rPr>
        <w:t xml:space="preserve">In the Matter of the Application of Puget Sound Energy for an Order Authorizing the Sale of Interests in the Development Assets Required for the Construction and Operation of Phase II of the Lower Snake River Wind Facility, </w:t>
      </w:r>
      <w:r>
        <w:t xml:space="preserve">Docket UE-131230, </w:t>
      </w:r>
      <w:r w:rsidR="008836EA">
        <w:t>Settlement Stipulation, ¶ 26 (September 13, 2013).</w:t>
      </w:r>
    </w:p>
  </w:footnote>
  <w:footnote w:id="4">
    <w:p w14:paraId="3112A7C2" w14:textId="77777777" w:rsidR="00B96FF1" w:rsidRDefault="00B96FF1">
      <w:pPr>
        <w:pStyle w:val="FootnoteText"/>
      </w:pPr>
      <w:r>
        <w:rPr>
          <w:rStyle w:val="FootnoteReference"/>
        </w:rPr>
        <w:footnoteRef/>
      </w:r>
      <w:r>
        <w:t xml:space="preserve"> </w:t>
      </w:r>
      <w:r w:rsidRPr="00A223A1">
        <w:rPr>
          <w:i/>
        </w:rPr>
        <w:t>Id</w:t>
      </w:r>
      <w:r>
        <w:t>.</w:t>
      </w:r>
    </w:p>
  </w:footnote>
  <w:footnote w:id="5">
    <w:p w14:paraId="33BA9020" w14:textId="77777777" w:rsidR="00B96FF1" w:rsidRDefault="00B96FF1">
      <w:pPr>
        <w:pStyle w:val="FootnoteText"/>
      </w:pPr>
      <w:r>
        <w:rPr>
          <w:rStyle w:val="FootnoteReference"/>
        </w:rPr>
        <w:footnoteRef/>
      </w:r>
      <w:r>
        <w:t xml:space="preserve"> </w:t>
      </w:r>
      <w:r w:rsidRPr="00A223A1">
        <w:rPr>
          <w:i/>
        </w:rPr>
        <w:t>Id.</w:t>
      </w:r>
    </w:p>
  </w:footnote>
  <w:footnote w:id="6">
    <w:p w14:paraId="1737DC84" w14:textId="77777777" w:rsidR="00274F53" w:rsidRPr="00274F53" w:rsidRDefault="00274F53">
      <w:pPr>
        <w:pStyle w:val="FootnoteText"/>
      </w:pPr>
      <w:r>
        <w:rPr>
          <w:rStyle w:val="FootnoteReference"/>
        </w:rPr>
        <w:footnoteRef/>
      </w:r>
      <w:r>
        <w:t xml:space="preserve"> </w:t>
      </w:r>
      <w:r>
        <w:rPr>
          <w:i/>
        </w:rPr>
        <w:t>In the Matter of the Petition of Puget Sound Energy to Update Methodologies Used to Allocate Electric Cost of Service and For Electric Design Purposes</w:t>
      </w:r>
      <w:r>
        <w:t>, Petition, ¶ 4.</w:t>
      </w:r>
    </w:p>
  </w:footnote>
  <w:footnote w:id="7">
    <w:p w14:paraId="551372F8" w14:textId="77777777" w:rsidR="00F559CB" w:rsidRDefault="00F559CB">
      <w:pPr>
        <w:pStyle w:val="FootnoteText"/>
      </w:pPr>
      <w:r>
        <w:rPr>
          <w:rStyle w:val="FootnoteReference"/>
        </w:rPr>
        <w:footnoteRef/>
      </w:r>
      <w:r>
        <w:t xml:space="preserve"> The Settling Parties have requested admission of all testimony and exhibits filed in this docket.  With no opposition to this request, the Commission will admit the testimony and exhibits into the evidentiary record. </w:t>
      </w:r>
    </w:p>
  </w:footnote>
  <w:footnote w:id="8">
    <w:p w14:paraId="662E64B7" w14:textId="77777777" w:rsidR="00CB4551" w:rsidRDefault="00CB4551">
      <w:pPr>
        <w:pStyle w:val="FootnoteText"/>
      </w:pPr>
      <w:r>
        <w:rPr>
          <w:rStyle w:val="FootnoteReference"/>
        </w:rPr>
        <w:footnoteRef/>
      </w:r>
      <w:r>
        <w:t xml:space="preserve"> Settlement, ¶¶ 11-14.</w:t>
      </w:r>
    </w:p>
  </w:footnote>
  <w:footnote w:id="9">
    <w:p w14:paraId="1CDAAB68" w14:textId="77777777" w:rsidR="00CB4551" w:rsidRDefault="00CB4551">
      <w:pPr>
        <w:pStyle w:val="FootnoteText"/>
      </w:pPr>
      <w:r>
        <w:rPr>
          <w:rStyle w:val="FootnoteReference"/>
        </w:rPr>
        <w:footnoteRef/>
      </w:r>
      <w:r>
        <w:t xml:space="preserve"> </w:t>
      </w:r>
      <w:r w:rsidRPr="00A223A1">
        <w:rPr>
          <w:i/>
        </w:rPr>
        <w:t>Id</w:t>
      </w:r>
      <w:r>
        <w:t>., ¶ 14.</w:t>
      </w:r>
      <w:r w:rsidR="00F92C8C">
        <w:t xml:space="preserve">  The four winter heating months are November, December, January, and February.</w:t>
      </w:r>
    </w:p>
  </w:footnote>
  <w:footnote w:id="10">
    <w:p w14:paraId="0BEE6FFA" w14:textId="77777777" w:rsidR="00304860" w:rsidRDefault="00304860" w:rsidP="00304860">
      <w:pPr>
        <w:pStyle w:val="FootnoteText"/>
      </w:pPr>
      <w:r>
        <w:rPr>
          <w:rStyle w:val="FootnoteReference"/>
        </w:rPr>
        <w:footnoteRef/>
      </w:r>
      <w:r>
        <w:t xml:space="preserve"> </w:t>
      </w:r>
      <w:r w:rsidRPr="00A223A1">
        <w:rPr>
          <w:i/>
        </w:rPr>
        <w:t>Id.</w:t>
      </w:r>
      <w:r w:rsidRPr="00A223A1">
        <w:t xml:space="preserve">, </w:t>
      </w:r>
      <w:r>
        <w:t>¶ 11.</w:t>
      </w:r>
    </w:p>
  </w:footnote>
  <w:footnote w:id="11">
    <w:p w14:paraId="554A9054" w14:textId="77777777" w:rsidR="00304860" w:rsidRDefault="00304860" w:rsidP="00304860">
      <w:pPr>
        <w:pStyle w:val="FootnoteText"/>
      </w:pPr>
      <w:r>
        <w:rPr>
          <w:rStyle w:val="FootnoteReference"/>
        </w:rPr>
        <w:footnoteRef/>
      </w:r>
      <w:r>
        <w:t xml:space="preserve"> </w:t>
      </w:r>
      <w:r w:rsidRPr="006F3B98">
        <w:t>Piliaris, Exh. No.</w:t>
      </w:r>
      <w:r w:rsidRPr="006F3B98" w:rsidDel="00096F59">
        <w:t xml:space="preserve"> </w:t>
      </w:r>
      <w:r w:rsidRPr="006F3B98">
        <w:t xml:space="preserve">JAP-1T, </w:t>
      </w:r>
      <w:r>
        <w:t>at 12:</w:t>
      </w:r>
      <w:r w:rsidRPr="006F3B98">
        <w:t>16</w:t>
      </w:r>
      <w:r>
        <w:t>-13:4.</w:t>
      </w:r>
      <w:r w:rsidR="009C4ADE">
        <w:t xml:space="preserve">  ICNU also cites to PSE’s </w:t>
      </w:r>
      <w:r w:rsidR="00A05833">
        <w:t>direct</w:t>
      </w:r>
      <w:r w:rsidR="009C4ADE">
        <w:t xml:space="preserve"> testimony </w:t>
      </w:r>
      <w:r w:rsidR="00A05833">
        <w:t>for its support of the 4-CP allocator.  Joint Testimony, at 21:17-20.</w:t>
      </w:r>
    </w:p>
  </w:footnote>
  <w:footnote w:id="12">
    <w:p w14:paraId="288FBD6F" w14:textId="77777777" w:rsidR="00304860" w:rsidRDefault="00304860" w:rsidP="00304860">
      <w:pPr>
        <w:pStyle w:val="FootnoteText"/>
      </w:pPr>
      <w:r>
        <w:rPr>
          <w:rStyle w:val="FootnoteReference"/>
        </w:rPr>
        <w:footnoteRef/>
      </w:r>
      <w:r>
        <w:t xml:space="preserve"> </w:t>
      </w:r>
      <w:r w:rsidRPr="00A223A1">
        <w:rPr>
          <w:i/>
        </w:rPr>
        <w:t>Id</w:t>
      </w:r>
      <w:r w:rsidRPr="00304860">
        <w:t>.</w:t>
      </w:r>
      <w:r w:rsidRPr="00D95014">
        <w:t xml:space="preserve">, </w:t>
      </w:r>
      <w:r>
        <w:t>at 13:5-13.</w:t>
      </w:r>
    </w:p>
  </w:footnote>
  <w:footnote w:id="13">
    <w:p w14:paraId="2D6319C7" w14:textId="77777777" w:rsidR="00304860" w:rsidRDefault="00304860" w:rsidP="00304860">
      <w:pPr>
        <w:pStyle w:val="FootnoteText"/>
      </w:pPr>
      <w:r>
        <w:rPr>
          <w:rStyle w:val="FootnoteReference"/>
        </w:rPr>
        <w:footnoteRef/>
      </w:r>
      <w:r>
        <w:t xml:space="preserve"> </w:t>
      </w:r>
      <w:r>
        <w:rPr>
          <w:i/>
        </w:rPr>
        <w:t>Id</w:t>
      </w:r>
      <w:r>
        <w:t>.</w:t>
      </w:r>
    </w:p>
  </w:footnote>
  <w:footnote w:id="14">
    <w:p w14:paraId="4DE0A196" w14:textId="77777777" w:rsidR="00304860" w:rsidRDefault="00304860" w:rsidP="00304860">
      <w:pPr>
        <w:pStyle w:val="FootnoteText"/>
      </w:pPr>
      <w:r>
        <w:rPr>
          <w:rStyle w:val="FootnoteReference"/>
        </w:rPr>
        <w:footnoteRef/>
      </w:r>
      <w:r>
        <w:t xml:space="preserve"> </w:t>
      </w:r>
      <w:r>
        <w:rPr>
          <w:i/>
        </w:rPr>
        <w:t>Id.</w:t>
      </w:r>
      <w:r w:rsidRPr="00D95014">
        <w:t xml:space="preserve">, </w:t>
      </w:r>
      <w:r>
        <w:t>at 14:5-15:8.</w:t>
      </w:r>
    </w:p>
  </w:footnote>
  <w:footnote w:id="15">
    <w:p w14:paraId="3DA3DD78" w14:textId="77777777" w:rsidR="00304860" w:rsidRDefault="00304860" w:rsidP="00304860">
      <w:pPr>
        <w:pStyle w:val="FootnoteText"/>
      </w:pPr>
      <w:r>
        <w:rPr>
          <w:rStyle w:val="FootnoteReference"/>
        </w:rPr>
        <w:footnoteRef/>
      </w:r>
      <w:r>
        <w:t xml:space="preserve"> </w:t>
      </w:r>
      <w:r>
        <w:rPr>
          <w:i/>
        </w:rPr>
        <w:t>Id.</w:t>
      </w:r>
      <w:r w:rsidRPr="00343502">
        <w:t xml:space="preserve">, </w:t>
      </w:r>
      <w:r w:rsidR="009C4ADE">
        <w:t>at 14:14-15:2, and Settlement, ¶ 11.</w:t>
      </w:r>
    </w:p>
  </w:footnote>
  <w:footnote w:id="16">
    <w:p w14:paraId="52742699" w14:textId="77777777" w:rsidR="00A05833" w:rsidRDefault="00A05833" w:rsidP="00A05833">
      <w:pPr>
        <w:pStyle w:val="FootnoteText"/>
      </w:pPr>
      <w:r>
        <w:rPr>
          <w:rStyle w:val="FootnoteReference"/>
        </w:rPr>
        <w:footnoteRef/>
      </w:r>
      <w:r>
        <w:t xml:space="preserve"> Joint Testimony, at 15:1-7</w:t>
      </w:r>
      <w:r w:rsidR="00412F12">
        <w:t xml:space="preserve"> (Juliana Williams, on behalf of</w:t>
      </w:r>
      <w:r w:rsidR="00EA3261">
        <w:t xml:space="preserve"> </w:t>
      </w:r>
      <w:r>
        <w:t>Staff</w:t>
      </w:r>
      <w:r w:rsidR="00412F12">
        <w:t>,</w:t>
      </w:r>
      <w:r>
        <w:t xml:space="preserve"> </w:t>
      </w:r>
      <w:r w:rsidR="00412F12">
        <w:t>cites to</w:t>
      </w:r>
      <w:r>
        <w:t xml:space="preserve"> Piliaris, E</w:t>
      </w:r>
      <w:r>
        <w:rPr>
          <w:bCs/>
        </w:rPr>
        <w:t>xh.</w:t>
      </w:r>
      <w:r w:rsidRPr="00907A3E">
        <w:rPr>
          <w:bCs/>
        </w:rPr>
        <w:t xml:space="preserve"> No. JAP-5</w:t>
      </w:r>
      <w:r w:rsidR="00412F12">
        <w:rPr>
          <w:bCs/>
        </w:rPr>
        <w:t>.)</w:t>
      </w:r>
      <w:r w:rsidRPr="00907A3E">
        <w:rPr>
          <w:bCs/>
        </w:rPr>
        <w:t xml:space="preserve">.  </w:t>
      </w:r>
    </w:p>
  </w:footnote>
  <w:footnote w:id="17">
    <w:p w14:paraId="4CF9ABE6" w14:textId="77777777" w:rsidR="00636CA7" w:rsidRDefault="00636CA7" w:rsidP="00636CA7">
      <w:pPr>
        <w:pStyle w:val="FootnoteText"/>
      </w:pPr>
      <w:r>
        <w:rPr>
          <w:rStyle w:val="FootnoteReference"/>
        </w:rPr>
        <w:footnoteRef/>
      </w:r>
      <w:r>
        <w:t xml:space="preserve"> Settlement, ¶ 9.</w:t>
      </w:r>
    </w:p>
  </w:footnote>
  <w:footnote w:id="18">
    <w:p w14:paraId="21447B1C" w14:textId="77777777" w:rsidR="00636CA7" w:rsidRDefault="00636CA7">
      <w:pPr>
        <w:pStyle w:val="FootnoteText"/>
      </w:pPr>
      <w:r>
        <w:rPr>
          <w:rStyle w:val="FootnoteReference"/>
        </w:rPr>
        <w:footnoteRef/>
      </w:r>
      <w:r>
        <w:t xml:space="preserve"> </w:t>
      </w:r>
      <w:r w:rsidRPr="00A223A1">
        <w:rPr>
          <w:i/>
        </w:rPr>
        <w:t>Id</w:t>
      </w:r>
      <w:r>
        <w:t>.</w:t>
      </w:r>
    </w:p>
  </w:footnote>
  <w:footnote w:id="19">
    <w:p w14:paraId="5B33B1DE" w14:textId="77777777" w:rsidR="00EA3261" w:rsidRDefault="00EA3261">
      <w:pPr>
        <w:pStyle w:val="FootnoteText"/>
      </w:pPr>
      <w:r>
        <w:rPr>
          <w:rStyle w:val="FootnoteReference"/>
        </w:rPr>
        <w:footnoteRef/>
      </w:r>
      <w:r>
        <w:t xml:space="preserve"> </w:t>
      </w:r>
      <w:r w:rsidRPr="00A223A1">
        <w:rPr>
          <w:i/>
        </w:rPr>
        <w:t>Id</w:t>
      </w:r>
      <w:r>
        <w:t>.</w:t>
      </w:r>
    </w:p>
  </w:footnote>
  <w:footnote w:id="20">
    <w:p w14:paraId="693B838A" w14:textId="77777777" w:rsidR="001060D7" w:rsidRDefault="001060D7" w:rsidP="001060D7">
      <w:pPr>
        <w:pStyle w:val="FootnoteText"/>
      </w:pPr>
      <w:r>
        <w:rPr>
          <w:rStyle w:val="FootnoteReference"/>
        </w:rPr>
        <w:footnoteRef/>
      </w:r>
      <w:r>
        <w:t xml:space="preserve"> Piliaris, Exh. No.</w:t>
      </w:r>
      <w:r w:rsidDel="002A700D">
        <w:t xml:space="preserve"> </w:t>
      </w:r>
      <w:r w:rsidRPr="00B921BC">
        <w:t xml:space="preserve">JAP-1T, </w:t>
      </w:r>
      <w:r>
        <w:t>at 10:14-11:2.</w:t>
      </w:r>
    </w:p>
  </w:footnote>
  <w:footnote w:id="21">
    <w:p w14:paraId="2B322292" w14:textId="77777777" w:rsidR="001060D7" w:rsidRDefault="001060D7" w:rsidP="001060D7">
      <w:pPr>
        <w:pStyle w:val="FootnoteText"/>
      </w:pPr>
      <w:r>
        <w:rPr>
          <w:rStyle w:val="FootnoteReference"/>
        </w:rPr>
        <w:footnoteRef/>
      </w:r>
      <w:r>
        <w:t xml:space="preserve"> </w:t>
      </w:r>
      <w:r>
        <w:rPr>
          <w:i/>
        </w:rPr>
        <w:t>Id.</w:t>
      </w:r>
      <w:r w:rsidRPr="00B921BC">
        <w:t xml:space="preserve">, </w:t>
      </w:r>
      <w:r>
        <w:t>at 10:14-18 and 11:14-16.</w:t>
      </w:r>
    </w:p>
  </w:footnote>
  <w:footnote w:id="22">
    <w:p w14:paraId="3D6501EC" w14:textId="77777777" w:rsidR="001060D7" w:rsidRDefault="001060D7" w:rsidP="001060D7">
      <w:pPr>
        <w:pStyle w:val="FootnoteText"/>
      </w:pPr>
      <w:r>
        <w:rPr>
          <w:rStyle w:val="FootnoteReference"/>
        </w:rPr>
        <w:footnoteRef/>
      </w:r>
      <w:r>
        <w:t xml:space="preserve"> </w:t>
      </w:r>
      <w:r>
        <w:rPr>
          <w:i/>
        </w:rPr>
        <w:t>Id.</w:t>
      </w:r>
      <w:r w:rsidRPr="00E15D7D">
        <w:t xml:space="preserve">, </w:t>
      </w:r>
      <w:r>
        <w:t>at 11:13-18.</w:t>
      </w:r>
    </w:p>
  </w:footnote>
  <w:footnote w:id="23">
    <w:p w14:paraId="67078E21" w14:textId="77777777" w:rsidR="00D851E7" w:rsidRDefault="00D851E7">
      <w:pPr>
        <w:pStyle w:val="FootnoteText"/>
      </w:pPr>
      <w:r>
        <w:rPr>
          <w:rStyle w:val="FootnoteReference"/>
        </w:rPr>
        <w:footnoteRef/>
      </w:r>
      <w:r>
        <w:t xml:space="preserve"> </w:t>
      </w:r>
      <w:r w:rsidR="001273F4">
        <w:t>Settlement, ¶ 9</w:t>
      </w:r>
      <w:r>
        <w:t>.</w:t>
      </w:r>
    </w:p>
  </w:footnote>
  <w:footnote w:id="24">
    <w:p w14:paraId="27E46833" w14:textId="77777777" w:rsidR="00D851E7" w:rsidRDefault="00D851E7">
      <w:pPr>
        <w:pStyle w:val="FootnoteText"/>
      </w:pPr>
      <w:r>
        <w:rPr>
          <w:rStyle w:val="FootnoteReference"/>
        </w:rPr>
        <w:footnoteRef/>
      </w:r>
      <w:r>
        <w:t xml:space="preserve"> </w:t>
      </w:r>
      <w:r w:rsidRPr="00A223A1">
        <w:rPr>
          <w:i/>
        </w:rPr>
        <w:t>Id</w:t>
      </w:r>
      <w:r>
        <w:t>.</w:t>
      </w:r>
    </w:p>
  </w:footnote>
  <w:footnote w:id="25">
    <w:p w14:paraId="007E28B3" w14:textId="77777777" w:rsidR="00F852D9" w:rsidRDefault="00F852D9" w:rsidP="00F852D9">
      <w:pPr>
        <w:pStyle w:val="FootnoteText"/>
      </w:pPr>
      <w:r>
        <w:rPr>
          <w:rStyle w:val="FootnoteReference"/>
        </w:rPr>
        <w:footnoteRef/>
      </w:r>
      <w:r>
        <w:t xml:space="preserve"> </w:t>
      </w:r>
      <w:r w:rsidR="001273F4" w:rsidRPr="00A223A1">
        <w:rPr>
          <w:i/>
        </w:rPr>
        <w:t>Id</w:t>
      </w:r>
      <w:r w:rsidR="001273F4">
        <w:t>.</w:t>
      </w:r>
      <w:r w:rsidRPr="003E3D9A">
        <w:t xml:space="preserve">, </w:t>
      </w:r>
      <w:r>
        <w:t>¶ 15.</w:t>
      </w:r>
    </w:p>
  </w:footnote>
  <w:footnote w:id="26">
    <w:p w14:paraId="02EC090A" w14:textId="77777777" w:rsidR="00F852D9" w:rsidRDefault="00F852D9" w:rsidP="00F852D9">
      <w:pPr>
        <w:pStyle w:val="FootnoteText"/>
      </w:pPr>
      <w:r>
        <w:rPr>
          <w:rStyle w:val="FootnoteReference"/>
        </w:rPr>
        <w:footnoteRef/>
      </w:r>
      <w:r>
        <w:t xml:space="preserve"> </w:t>
      </w:r>
      <w:r w:rsidRPr="00A223A1">
        <w:rPr>
          <w:i/>
        </w:rPr>
        <w:t>Id</w:t>
      </w:r>
      <w:r w:rsidRPr="001273F4">
        <w:t>.</w:t>
      </w:r>
    </w:p>
  </w:footnote>
  <w:footnote w:id="27">
    <w:p w14:paraId="342365FA" w14:textId="77777777" w:rsidR="00F852D9" w:rsidRDefault="00F852D9" w:rsidP="00F852D9">
      <w:pPr>
        <w:pStyle w:val="FootnoteText"/>
      </w:pPr>
      <w:r>
        <w:rPr>
          <w:rStyle w:val="FootnoteReference"/>
        </w:rPr>
        <w:footnoteRef/>
      </w:r>
      <w:r>
        <w:t xml:space="preserve"> Joint Testimony, at 15:20-23.</w:t>
      </w:r>
      <w:r w:rsidRPr="003E3D9A">
        <w:rPr>
          <w:rFonts w:eastAsiaTheme="minorHAnsi" w:cstheme="minorBidi"/>
          <w:bCs/>
          <w:sz w:val="25"/>
          <w:szCs w:val="25"/>
        </w:rPr>
        <w:t xml:space="preserve"> </w:t>
      </w:r>
      <w:r w:rsidR="002C7CDE">
        <w:rPr>
          <w:rFonts w:eastAsiaTheme="minorHAnsi" w:cstheme="minorBidi"/>
          <w:bCs/>
          <w:sz w:val="25"/>
          <w:szCs w:val="25"/>
        </w:rPr>
        <w:t xml:space="preserve"> </w:t>
      </w:r>
      <w:r>
        <w:rPr>
          <w:bCs/>
        </w:rPr>
        <w:t xml:space="preserve">Also see Williams, </w:t>
      </w:r>
      <w:r w:rsidRPr="003E3D9A">
        <w:rPr>
          <w:bCs/>
        </w:rPr>
        <w:t>Exhibit No. JMW-1</w:t>
      </w:r>
      <w:r>
        <w:rPr>
          <w:bCs/>
        </w:rPr>
        <w:t>T</w:t>
      </w:r>
      <w:r w:rsidRPr="003E3D9A">
        <w:rPr>
          <w:bCs/>
        </w:rPr>
        <w:t xml:space="preserve">.  </w:t>
      </w:r>
    </w:p>
  </w:footnote>
  <w:footnote w:id="28">
    <w:p w14:paraId="4D0C06A4" w14:textId="77777777" w:rsidR="00F852D9" w:rsidRDefault="00F852D9" w:rsidP="00F852D9">
      <w:pPr>
        <w:pStyle w:val="FootnoteText"/>
      </w:pPr>
      <w:r>
        <w:rPr>
          <w:rStyle w:val="FootnoteReference"/>
        </w:rPr>
        <w:footnoteRef/>
      </w:r>
      <w:r>
        <w:t xml:space="preserve"> </w:t>
      </w:r>
      <w:r w:rsidRPr="00A223A1">
        <w:rPr>
          <w:i/>
        </w:rPr>
        <w:t>Id</w:t>
      </w:r>
      <w:r w:rsidRPr="001273F4">
        <w:t>.,</w:t>
      </w:r>
      <w:r>
        <w:t xml:space="preserve"> at 23:16-23.</w:t>
      </w:r>
    </w:p>
  </w:footnote>
  <w:footnote w:id="29">
    <w:p w14:paraId="61679276" w14:textId="77777777" w:rsidR="00F852D9" w:rsidRDefault="00F852D9" w:rsidP="00F852D9">
      <w:pPr>
        <w:pStyle w:val="FootnoteText"/>
      </w:pPr>
      <w:r>
        <w:rPr>
          <w:rStyle w:val="FootnoteReference"/>
        </w:rPr>
        <w:footnoteRef/>
      </w:r>
      <w:r>
        <w:t xml:space="preserve"> </w:t>
      </w:r>
      <w:r w:rsidRPr="00A40EC8">
        <w:t>Settlement, ¶ 15</w:t>
      </w:r>
      <w:r>
        <w:t xml:space="preserve">.  </w:t>
      </w:r>
      <w:r w:rsidRPr="00F852D9">
        <w:rPr>
          <w:bCs/>
          <w:szCs w:val="25"/>
        </w:rPr>
        <w:t xml:space="preserve">Unlike the other changes in the Settlement, the third tiered rate will not be applied to filings made between the effective date of this Order and the end of the next </w:t>
      </w:r>
      <w:r w:rsidR="00B57A8A">
        <w:rPr>
          <w:bCs/>
          <w:szCs w:val="25"/>
        </w:rPr>
        <w:t>general rate case</w:t>
      </w:r>
      <w:r w:rsidRPr="00F852D9">
        <w:rPr>
          <w:bCs/>
          <w:szCs w:val="25"/>
        </w:rPr>
        <w:t>.</w:t>
      </w:r>
    </w:p>
  </w:footnote>
  <w:footnote w:id="30">
    <w:p w14:paraId="5D6AA8F5" w14:textId="77777777" w:rsidR="002C7CDE" w:rsidRDefault="002C7CDE" w:rsidP="002C7CDE">
      <w:pPr>
        <w:pStyle w:val="FootnoteText"/>
      </w:pPr>
      <w:r>
        <w:rPr>
          <w:rStyle w:val="FootnoteReference"/>
        </w:rPr>
        <w:footnoteRef/>
      </w:r>
      <w:r>
        <w:t xml:space="preserve"> Schedule 40 is composed of Large Demand General Service customers whose usage is over 3 average megawatts.</w:t>
      </w:r>
    </w:p>
  </w:footnote>
  <w:footnote w:id="31">
    <w:p w14:paraId="5FE0B504" w14:textId="77777777" w:rsidR="0023004E" w:rsidRDefault="0023004E" w:rsidP="0023004E">
      <w:pPr>
        <w:pStyle w:val="FootnoteText"/>
      </w:pPr>
      <w:r>
        <w:rPr>
          <w:rStyle w:val="FootnoteReference"/>
        </w:rPr>
        <w:footnoteRef/>
      </w:r>
      <w:r>
        <w:t xml:space="preserve"> </w:t>
      </w:r>
      <w:r w:rsidRPr="00A223A1">
        <w:rPr>
          <w:i/>
        </w:rPr>
        <w:t>Id</w:t>
      </w:r>
      <w:r>
        <w:t>., ¶ 17.</w:t>
      </w:r>
    </w:p>
  </w:footnote>
  <w:footnote w:id="32">
    <w:p w14:paraId="4A8D3784" w14:textId="77777777" w:rsidR="00F76B99" w:rsidRPr="002739C3" w:rsidRDefault="00F76B99" w:rsidP="00F76B99">
      <w:pPr>
        <w:pStyle w:val="FootnoteText"/>
        <w:rPr>
          <w:szCs w:val="22"/>
        </w:rPr>
      </w:pPr>
      <w:r w:rsidRPr="002739C3">
        <w:rPr>
          <w:rStyle w:val="FootnoteReference"/>
          <w:szCs w:val="22"/>
        </w:rPr>
        <w:footnoteRef/>
      </w:r>
      <w:r w:rsidRPr="002739C3">
        <w:rPr>
          <w:szCs w:val="22"/>
        </w:rPr>
        <w:t xml:space="preserve"> WAC 480-07-740.</w:t>
      </w:r>
    </w:p>
  </w:footnote>
  <w:footnote w:id="33">
    <w:p w14:paraId="26978D5C" w14:textId="77777777" w:rsidR="00F76B99" w:rsidRDefault="00F76B99" w:rsidP="00F76B99">
      <w:pPr>
        <w:pStyle w:val="FootnoteText"/>
        <w:rPr>
          <w:szCs w:val="22"/>
        </w:rPr>
      </w:pPr>
      <w:r w:rsidRPr="002739C3">
        <w:rPr>
          <w:rStyle w:val="FootnoteReference"/>
          <w:szCs w:val="22"/>
        </w:rPr>
        <w:footnoteRef/>
      </w:r>
      <w:r w:rsidRPr="002739C3">
        <w:rPr>
          <w:szCs w:val="22"/>
        </w:rPr>
        <w:t xml:space="preserve"> WAC 480-07-750(1).</w:t>
      </w:r>
    </w:p>
    <w:p w14:paraId="1F16C410" w14:textId="77777777" w:rsidR="00F76B99" w:rsidRPr="00304880" w:rsidRDefault="00F76B99" w:rsidP="00F76B99">
      <w:pPr>
        <w:pStyle w:val="FootnoteText"/>
        <w:rPr>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E4C32" w14:textId="77777777" w:rsidR="002879EE" w:rsidRDefault="00287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EC5E" w14:textId="77777777" w:rsidR="00895576" w:rsidRPr="004A53E4" w:rsidRDefault="00895576"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 UE-</w:t>
    </w:r>
    <w:r>
      <w:rPr>
        <w:rStyle w:val="PageNumber"/>
        <w:b/>
        <w:sz w:val="20"/>
        <w:szCs w:val="20"/>
      </w:rPr>
      <w:t>1</w:t>
    </w:r>
    <w:r w:rsidR="00EF5AEE">
      <w:rPr>
        <w:rStyle w:val="PageNumber"/>
        <w:b/>
        <w:sz w:val="20"/>
        <w:szCs w:val="20"/>
      </w:rPr>
      <w:t>41</w:t>
    </w:r>
    <w:r w:rsidR="009D1773">
      <w:rPr>
        <w:rStyle w:val="PageNumber"/>
        <w:b/>
        <w:sz w:val="20"/>
        <w:szCs w:val="20"/>
      </w:rPr>
      <w:t>368</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F242D3">
      <w:rPr>
        <w:rStyle w:val="PageNumber"/>
        <w:b/>
        <w:noProof/>
        <w:sz w:val="20"/>
        <w:szCs w:val="20"/>
      </w:rPr>
      <w:t>10</w:t>
    </w:r>
    <w:r w:rsidRPr="004A53E4">
      <w:rPr>
        <w:rStyle w:val="PageNumber"/>
        <w:b/>
        <w:sz w:val="20"/>
        <w:szCs w:val="20"/>
      </w:rPr>
      <w:fldChar w:fldCharType="end"/>
    </w:r>
  </w:p>
  <w:p w14:paraId="720BB4C0" w14:textId="77777777" w:rsidR="00895576" w:rsidRPr="004A53E4" w:rsidRDefault="00895576">
    <w:pPr>
      <w:rPr>
        <w:b/>
        <w:sz w:val="20"/>
        <w:szCs w:val="20"/>
      </w:rPr>
    </w:pPr>
    <w:r w:rsidRPr="004A53E4">
      <w:rPr>
        <w:b/>
        <w:sz w:val="20"/>
        <w:szCs w:val="20"/>
      </w:rPr>
      <w:t xml:space="preserve">ORDER </w:t>
    </w:r>
    <w:r>
      <w:rPr>
        <w:b/>
        <w:sz w:val="20"/>
        <w:szCs w:val="20"/>
      </w:rPr>
      <w:t>0</w:t>
    </w:r>
    <w:r w:rsidR="00151EC4">
      <w:rPr>
        <w:b/>
        <w:sz w:val="20"/>
        <w:szCs w:val="20"/>
      </w:rPr>
      <w:t>3</w:t>
    </w:r>
  </w:p>
  <w:p w14:paraId="46222B73" w14:textId="77777777" w:rsidR="00895576" w:rsidRPr="004A53E4" w:rsidRDefault="00895576">
    <w:pP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FC723" w14:textId="128394AA" w:rsidR="00895576" w:rsidRPr="00B6537E" w:rsidRDefault="002879EE" w:rsidP="002879EE">
    <w:pPr>
      <w:pStyle w:val="Header"/>
      <w:tabs>
        <w:tab w:val="clear" w:pos="4320"/>
        <w:tab w:val="clear" w:pos="8640"/>
        <w:tab w:val="right" w:pos="8460"/>
      </w:tabs>
      <w:jc w:val="right"/>
      <w:rPr>
        <w:b/>
        <w:sz w:val="20"/>
        <w:szCs w:val="20"/>
      </w:rPr>
    </w:pPr>
    <w:r>
      <w:rPr>
        <w:b/>
        <w:sz w:val="20"/>
        <w:szCs w:val="20"/>
      </w:rPr>
      <w:t>[Service date January 29,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02FB5"/>
    <w:multiLevelType w:val="hybridMultilevel"/>
    <w:tmpl w:val="C2D043C0"/>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nsid w:val="0EB864C2"/>
    <w:multiLevelType w:val="hybridMultilevel"/>
    <w:tmpl w:val="AA88D872"/>
    <w:lvl w:ilvl="0" w:tplc="E06C4086">
      <w:start w:val="1"/>
      <w:numFmt w:val="decimal"/>
      <w:pStyle w:val="Heading5"/>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5962DB"/>
    <w:multiLevelType w:val="hybridMultilevel"/>
    <w:tmpl w:val="6D02810E"/>
    <w:lvl w:ilvl="0" w:tplc="36CC813C">
      <w:start w:val="1"/>
      <w:numFmt w:val="decimal"/>
      <w:lvlText w:val="%1"/>
      <w:lvlJc w:val="left"/>
      <w:pPr>
        <w:tabs>
          <w:tab w:val="num" w:pos="360"/>
        </w:tabs>
        <w:ind w:left="36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1818F1"/>
    <w:multiLevelType w:val="hybridMultilevel"/>
    <w:tmpl w:val="B84CD44A"/>
    <w:lvl w:ilvl="0" w:tplc="26F25E28">
      <w:start w:val="2"/>
      <w:numFmt w:val="decimal"/>
      <w:pStyle w:val="Heading4"/>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4A500F1"/>
    <w:multiLevelType w:val="hybridMultilevel"/>
    <w:tmpl w:val="8322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C76448"/>
    <w:multiLevelType w:val="hybridMultilevel"/>
    <w:tmpl w:val="D784965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A285903"/>
    <w:multiLevelType w:val="hybridMultilevel"/>
    <w:tmpl w:val="D072409E"/>
    <w:lvl w:ilvl="0" w:tplc="9A9012CE">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A2A82"/>
    <w:multiLevelType w:val="hybridMultilevel"/>
    <w:tmpl w:val="4F666A14"/>
    <w:lvl w:ilvl="0" w:tplc="7D56AE7C">
      <w:start w:val="1"/>
      <w:numFmt w:val="lowerLetter"/>
      <w:pStyle w:val="Heading6"/>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0"/>
  </w:num>
  <w:num w:numId="2">
    <w:abstractNumId w:val="7"/>
  </w:num>
  <w:num w:numId="3">
    <w:abstractNumId w:val="17"/>
  </w:num>
  <w:num w:numId="4">
    <w:abstractNumId w:val="15"/>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6"/>
  </w:num>
  <w:num w:numId="9">
    <w:abstractNumId w:val="0"/>
  </w:num>
  <w:num w:numId="10">
    <w:abstractNumId w:val="5"/>
  </w:num>
  <w:num w:numId="11">
    <w:abstractNumId w:val="2"/>
  </w:num>
  <w:num w:numId="12">
    <w:abstractNumId w:val="6"/>
  </w:num>
  <w:num w:numId="13">
    <w:abstractNumId w:val="10"/>
  </w:num>
  <w:num w:numId="14">
    <w:abstractNumId w:val="8"/>
  </w:num>
  <w:num w:numId="15">
    <w:abstractNumId w:val="13"/>
  </w:num>
  <w:num w:numId="16">
    <w:abstractNumId w:val="3"/>
  </w:num>
  <w:num w:numId="17">
    <w:abstractNumId w:val="14"/>
  </w:num>
  <w:num w:numId="18">
    <w:abstractNumId w:val="18"/>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9A5"/>
    <w:rsid w:val="00001D79"/>
    <w:rsid w:val="00001F28"/>
    <w:rsid w:val="00002093"/>
    <w:rsid w:val="00002E52"/>
    <w:rsid w:val="000032A3"/>
    <w:rsid w:val="00003AEF"/>
    <w:rsid w:val="00003C68"/>
    <w:rsid w:val="000049DC"/>
    <w:rsid w:val="00005619"/>
    <w:rsid w:val="00005750"/>
    <w:rsid w:val="00005E34"/>
    <w:rsid w:val="00005FE0"/>
    <w:rsid w:val="000065F7"/>
    <w:rsid w:val="000066B3"/>
    <w:rsid w:val="00006A71"/>
    <w:rsid w:val="00006D86"/>
    <w:rsid w:val="00007896"/>
    <w:rsid w:val="00011BF8"/>
    <w:rsid w:val="00012B13"/>
    <w:rsid w:val="00012F38"/>
    <w:rsid w:val="00013407"/>
    <w:rsid w:val="000144C9"/>
    <w:rsid w:val="0001478D"/>
    <w:rsid w:val="00016122"/>
    <w:rsid w:val="0001628B"/>
    <w:rsid w:val="00016377"/>
    <w:rsid w:val="00016895"/>
    <w:rsid w:val="00017E16"/>
    <w:rsid w:val="000205B4"/>
    <w:rsid w:val="000207D7"/>
    <w:rsid w:val="00020B9E"/>
    <w:rsid w:val="00020E45"/>
    <w:rsid w:val="0002125E"/>
    <w:rsid w:val="00021388"/>
    <w:rsid w:val="0002150A"/>
    <w:rsid w:val="00022409"/>
    <w:rsid w:val="00022884"/>
    <w:rsid w:val="00022895"/>
    <w:rsid w:val="000233D4"/>
    <w:rsid w:val="0002400F"/>
    <w:rsid w:val="000240BB"/>
    <w:rsid w:val="0002430C"/>
    <w:rsid w:val="00024543"/>
    <w:rsid w:val="000250A0"/>
    <w:rsid w:val="00025108"/>
    <w:rsid w:val="00026AD7"/>
    <w:rsid w:val="00026B82"/>
    <w:rsid w:val="00026FE2"/>
    <w:rsid w:val="00027BA4"/>
    <w:rsid w:val="000301FB"/>
    <w:rsid w:val="0003056D"/>
    <w:rsid w:val="000309D2"/>
    <w:rsid w:val="00030A5F"/>
    <w:rsid w:val="00031370"/>
    <w:rsid w:val="00031BE7"/>
    <w:rsid w:val="00031FFB"/>
    <w:rsid w:val="00032009"/>
    <w:rsid w:val="0003231D"/>
    <w:rsid w:val="0003238F"/>
    <w:rsid w:val="00032D89"/>
    <w:rsid w:val="00033618"/>
    <w:rsid w:val="00033CDD"/>
    <w:rsid w:val="0003437A"/>
    <w:rsid w:val="00034710"/>
    <w:rsid w:val="000347E1"/>
    <w:rsid w:val="000352E6"/>
    <w:rsid w:val="000371DC"/>
    <w:rsid w:val="00037778"/>
    <w:rsid w:val="00037B5E"/>
    <w:rsid w:val="000406B3"/>
    <w:rsid w:val="00040925"/>
    <w:rsid w:val="000415F4"/>
    <w:rsid w:val="00041977"/>
    <w:rsid w:val="00042F28"/>
    <w:rsid w:val="00043D03"/>
    <w:rsid w:val="000441E3"/>
    <w:rsid w:val="00046CB1"/>
    <w:rsid w:val="0004709E"/>
    <w:rsid w:val="000479CB"/>
    <w:rsid w:val="00047A74"/>
    <w:rsid w:val="000505B8"/>
    <w:rsid w:val="00050622"/>
    <w:rsid w:val="00050E3A"/>
    <w:rsid w:val="00050ED5"/>
    <w:rsid w:val="0005159D"/>
    <w:rsid w:val="00051625"/>
    <w:rsid w:val="00051B56"/>
    <w:rsid w:val="00051C9E"/>
    <w:rsid w:val="00051F82"/>
    <w:rsid w:val="000533A3"/>
    <w:rsid w:val="00053B83"/>
    <w:rsid w:val="00053C3F"/>
    <w:rsid w:val="00054142"/>
    <w:rsid w:val="000542E9"/>
    <w:rsid w:val="00054938"/>
    <w:rsid w:val="00054E65"/>
    <w:rsid w:val="0005523A"/>
    <w:rsid w:val="00056483"/>
    <w:rsid w:val="000569C5"/>
    <w:rsid w:val="000576C4"/>
    <w:rsid w:val="000579A6"/>
    <w:rsid w:val="00057B86"/>
    <w:rsid w:val="00060DE0"/>
    <w:rsid w:val="0006157F"/>
    <w:rsid w:val="000615A1"/>
    <w:rsid w:val="00062C06"/>
    <w:rsid w:val="00062F25"/>
    <w:rsid w:val="00063B88"/>
    <w:rsid w:val="00064619"/>
    <w:rsid w:val="00064744"/>
    <w:rsid w:val="00064952"/>
    <w:rsid w:val="00064DFC"/>
    <w:rsid w:val="00064ECF"/>
    <w:rsid w:val="00064F03"/>
    <w:rsid w:val="00065BAA"/>
    <w:rsid w:val="00067105"/>
    <w:rsid w:val="000705E3"/>
    <w:rsid w:val="00070727"/>
    <w:rsid w:val="00070E69"/>
    <w:rsid w:val="0007174A"/>
    <w:rsid w:val="00071DD5"/>
    <w:rsid w:val="00073037"/>
    <w:rsid w:val="00073550"/>
    <w:rsid w:val="00073E8B"/>
    <w:rsid w:val="0007410A"/>
    <w:rsid w:val="00074C8D"/>
    <w:rsid w:val="00074E2B"/>
    <w:rsid w:val="00076C29"/>
    <w:rsid w:val="00077EC9"/>
    <w:rsid w:val="000827AD"/>
    <w:rsid w:val="0008521D"/>
    <w:rsid w:val="00085827"/>
    <w:rsid w:val="00086EDC"/>
    <w:rsid w:val="00087620"/>
    <w:rsid w:val="00087860"/>
    <w:rsid w:val="00087F01"/>
    <w:rsid w:val="00087F4B"/>
    <w:rsid w:val="00090C0D"/>
    <w:rsid w:val="000913E6"/>
    <w:rsid w:val="000925F4"/>
    <w:rsid w:val="00093918"/>
    <w:rsid w:val="00093A94"/>
    <w:rsid w:val="00093C20"/>
    <w:rsid w:val="0009498B"/>
    <w:rsid w:val="00094CF0"/>
    <w:rsid w:val="00095690"/>
    <w:rsid w:val="0009665F"/>
    <w:rsid w:val="0009760A"/>
    <w:rsid w:val="000A0894"/>
    <w:rsid w:val="000A0A26"/>
    <w:rsid w:val="000A0E5C"/>
    <w:rsid w:val="000A1068"/>
    <w:rsid w:val="000A30D7"/>
    <w:rsid w:val="000A501E"/>
    <w:rsid w:val="000A5108"/>
    <w:rsid w:val="000A515B"/>
    <w:rsid w:val="000A5567"/>
    <w:rsid w:val="000A6570"/>
    <w:rsid w:val="000A6632"/>
    <w:rsid w:val="000A6729"/>
    <w:rsid w:val="000A675C"/>
    <w:rsid w:val="000A6968"/>
    <w:rsid w:val="000A69D1"/>
    <w:rsid w:val="000A7C04"/>
    <w:rsid w:val="000B037B"/>
    <w:rsid w:val="000B0A50"/>
    <w:rsid w:val="000B10F9"/>
    <w:rsid w:val="000B2100"/>
    <w:rsid w:val="000B2405"/>
    <w:rsid w:val="000B305A"/>
    <w:rsid w:val="000B36D5"/>
    <w:rsid w:val="000B372A"/>
    <w:rsid w:val="000B38E3"/>
    <w:rsid w:val="000B38FF"/>
    <w:rsid w:val="000B5B97"/>
    <w:rsid w:val="000B5EAA"/>
    <w:rsid w:val="000B645E"/>
    <w:rsid w:val="000B7867"/>
    <w:rsid w:val="000B7A57"/>
    <w:rsid w:val="000C0601"/>
    <w:rsid w:val="000C0E45"/>
    <w:rsid w:val="000C146B"/>
    <w:rsid w:val="000C14B7"/>
    <w:rsid w:val="000C1C7E"/>
    <w:rsid w:val="000C23A8"/>
    <w:rsid w:val="000C2813"/>
    <w:rsid w:val="000C2CA3"/>
    <w:rsid w:val="000C3174"/>
    <w:rsid w:val="000C45D8"/>
    <w:rsid w:val="000C4F53"/>
    <w:rsid w:val="000C5D75"/>
    <w:rsid w:val="000C5F1A"/>
    <w:rsid w:val="000C6C47"/>
    <w:rsid w:val="000C7261"/>
    <w:rsid w:val="000D0515"/>
    <w:rsid w:val="000D0A89"/>
    <w:rsid w:val="000D0C8E"/>
    <w:rsid w:val="000D0CE2"/>
    <w:rsid w:val="000D0F7B"/>
    <w:rsid w:val="000D1501"/>
    <w:rsid w:val="000D17F5"/>
    <w:rsid w:val="000D2457"/>
    <w:rsid w:val="000D27FC"/>
    <w:rsid w:val="000D3047"/>
    <w:rsid w:val="000D3258"/>
    <w:rsid w:val="000D4785"/>
    <w:rsid w:val="000D487A"/>
    <w:rsid w:val="000D4D8B"/>
    <w:rsid w:val="000D5636"/>
    <w:rsid w:val="000D6221"/>
    <w:rsid w:val="000D6288"/>
    <w:rsid w:val="000D63B4"/>
    <w:rsid w:val="000D6418"/>
    <w:rsid w:val="000D7602"/>
    <w:rsid w:val="000D7ABC"/>
    <w:rsid w:val="000E0035"/>
    <w:rsid w:val="000E15AC"/>
    <w:rsid w:val="000E16F4"/>
    <w:rsid w:val="000E2838"/>
    <w:rsid w:val="000E2CA2"/>
    <w:rsid w:val="000E3BED"/>
    <w:rsid w:val="000E54C7"/>
    <w:rsid w:val="000E6127"/>
    <w:rsid w:val="000E6F8C"/>
    <w:rsid w:val="000E7790"/>
    <w:rsid w:val="000E7B6C"/>
    <w:rsid w:val="000F17A3"/>
    <w:rsid w:val="000F207F"/>
    <w:rsid w:val="000F3D54"/>
    <w:rsid w:val="000F3E86"/>
    <w:rsid w:val="000F5093"/>
    <w:rsid w:val="000F5764"/>
    <w:rsid w:val="000F5B90"/>
    <w:rsid w:val="000F62B8"/>
    <w:rsid w:val="000F6D47"/>
    <w:rsid w:val="000F6E48"/>
    <w:rsid w:val="000F79F1"/>
    <w:rsid w:val="000F7BCB"/>
    <w:rsid w:val="000F7E01"/>
    <w:rsid w:val="0010018A"/>
    <w:rsid w:val="00100C85"/>
    <w:rsid w:val="00103753"/>
    <w:rsid w:val="00103AB6"/>
    <w:rsid w:val="00103B81"/>
    <w:rsid w:val="00103C10"/>
    <w:rsid w:val="00105515"/>
    <w:rsid w:val="001058F1"/>
    <w:rsid w:val="00105A73"/>
    <w:rsid w:val="001060D7"/>
    <w:rsid w:val="00106358"/>
    <w:rsid w:val="00106420"/>
    <w:rsid w:val="001067B2"/>
    <w:rsid w:val="001078A1"/>
    <w:rsid w:val="00107A84"/>
    <w:rsid w:val="00107E3E"/>
    <w:rsid w:val="001103F0"/>
    <w:rsid w:val="00110620"/>
    <w:rsid w:val="001129C7"/>
    <w:rsid w:val="00112A37"/>
    <w:rsid w:val="0011303E"/>
    <w:rsid w:val="00113FFD"/>
    <w:rsid w:val="0011554B"/>
    <w:rsid w:val="00115973"/>
    <w:rsid w:val="00116353"/>
    <w:rsid w:val="00116709"/>
    <w:rsid w:val="00116D78"/>
    <w:rsid w:val="001170F4"/>
    <w:rsid w:val="00117FFA"/>
    <w:rsid w:val="00121236"/>
    <w:rsid w:val="00121EB4"/>
    <w:rsid w:val="00122338"/>
    <w:rsid w:val="0012363E"/>
    <w:rsid w:val="00124A7A"/>
    <w:rsid w:val="001273F4"/>
    <w:rsid w:val="00127502"/>
    <w:rsid w:val="00127B39"/>
    <w:rsid w:val="00127B6B"/>
    <w:rsid w:val="00127E59"/>
    <w:rsid w:val="0013050E"/>
    <w:rsid w:val="00130759"/>
    <w:rsid w:val="0013141C"/>
    <w:rsid w:val="00132A61"/>
    <w:rsid w:val="001335C6"/>
    <w:rsid w:val="00133F09"/>
    <w:rsid w:val="0013403F"/>
    <w:rsid w:val="0013431C"/>
    <w:rsid w:val="0013524C"/>
    <w:rsid w:val="00135775"/>
    <w:rsid w:val="001358CE"/>
    <w:rsid w:val="00135CA1"/>
    <w:rsid w:val="00135CB8"/>
    <w:rsid w:val="00137041"/>
    <w:rsid w:val="00137631"/>
    <w:rsid w:val="00137816"/>
    <w:rsid w:val="00137F3F"/>
    <w:rsid w:val="0014004E"/>
    <w:rsid w:val="0014022B"/>
    <w:rsid w:val="0014023A"/>
    <w:rsid w:val="00140AAD"/>
    <w:rsid w:val="00141181"/>
    <w:rsid w:val="00141463"/>
    <w:rsid w:val="001414D2"/>
    <w:rsid w:val="0014199C"/>
    <w:rsid w:val="00142D98"/>
    <w:rsid w:val="00144110"/>
    <w:rsid w:val="00144BEC"/>
    <w:rsid w:val="00144D06"/>
    <w:rsid w:val="0014542E"/>
    <w:rsid w:val="00147883"/>
    <w:rsid w:val="00147AD0"/>
    <w:rsid w:val="0015182C"/>
    <w:rsid w:val="001519AF"/>
    <w:rsid w:val="00151EC4"/>
    <w:rsid w:val="00153129"/>
    <w:rsid w:val="00153D6F"/>
    <w:rsid w:val="00154667"/>
    <w:rsid w:val="00154AAA"/>
    <w:rsid w:val="00154C28"/>
    <w:rsid w:val="00155D9C"/>
    <w:rsid w:val="00155EC0"/>
    <w:rsid w:val="0016029F"/>
    <w:rsid w:val="00160A54"/>
    <w:rsid w:val="00160D8B"/>
    <w:rsid w:val="00161220"/>
    <w:rsid w:val="0016141B"/>
    <w:rsid w:val="001615FD"/>
    <w:rsid w:val="00163143"/>
    <w:rsid w:val="00163DD5"/>
    <w:rsid w:val="001641A4"/>
    <w:rsid w:val="001642B1"/>
    <w:rsid w:val="001643E2"/>
    <w:rsid w:val="001646F7"/>
    <w:rsid w:val="001647FE"/>
    <w:rsid w:val="00165416"/>
    <w:rsid w:val="0016596B"/>
    <w:rsid w:val="00165A32"/>
    <w:rsid w:val="00166260"/>
    <w:rsid w:val="001669FE"/>
    <w:rsid w:val="00166BF8"/>
    <w:rsid w:val="00166E3C"/>
    <w:rsid w:val="00167B25"/>
    <w:rsid w:val="00170040"/>
    <w:rsid w:val="00170102"/>
    <w:rsid w:val="0017010F"/>
    <w:rsid w:val="001701BA"/>
    <w:rsid w:val="00170418"/>
    <w:rsid w:val="001710EF"/>
    <w:rsid w:val="00171124"/>
    <w:rsid w:val="001712DE"/>
    <w:rsid w:val="001715C7"/>
    <w:rsid w:val="001722CC"/>
    <w:rsid w:val="00173214"/>
    <w:rsid w:val="00173461"/>
    <w:rsid w:val="00174738"/>
    <w:rsid w:val="00174905"/>
    <w:rsid w:val="00174A49"/>
    <w:rsid w:val="00174C23"/>
    <w:rsid w:val="001761E1"/>
    <w:rsid w:val="00176BC5"/>
    <w:rsid w:val="00177886"/>
    <w:rsid w:val="00177CBC"/>
    <w:rsid w:val="0018048E"/>
    <w:rsid w:val="001811A8"/>
    <w:rsid w:val="00181390"/>
    <w:rsid w:val="00182600"/>
    <w:rsid w:val="00182EE8"/>
    <w:rsid w:val="00183A3B"/>
    <w:rsid w:val="00185297"/>
    <w:rsid w:val="00185778"/>
    <w:rsid w:val="00185CE6"/>
    <w:rsid w:val="001863DF"/>
    <w:rsid w:val="00186E18"/>
    <w:rsid w:val="00186FC1"/>
    <w:rsid w:val="00187E8B"/>
    <w:rsid w:val="001909D2"/>
    <w:rsid w:val="0019164A"/>
    <w:rsid w:val="001917E4"/>
    <w:rsid w:val="001923F2"/>
    <w:rsid w:val="00192447"/>
    <w:rsid w:val="001928F3"/>
    <w:rsid w:val="00193E66"/>
    <w:rsid w:val="00194B00"/>
    <w:rsid w:val="00194B11"/>
    <w:rsid w:val="001966A7"/>
    <w:rsid w:val="0019702F"/>
    <w:rsid w:val="001975C9"/>
    <w:rsid w:val="00197EAF"/>
    <w:rsid w:val="001A07BB"/>
    <w:rsid w:val="001A0B5C"/>
    <w:rsid w:val="001A0F9D"/>
    <w:rsid w:val="001A1E9C"/>
    <w:rsid w:val="001A2764"/>
    <w:rsid w:val="001A2D6F"/>
    <w:rsid w:val="001A2FF6"/>
    <w:rsid w:val="001A3660"/>
    <w:rsid w:val="001A384B"/>
    <w:rsid w:val="001A4B00"/>
    <w:rsid w:val="001A4C98"/>
    <w:rsid w:val="001A67D5"/>
    <w:rsid w:val="001A68FE"/>
    <w:rsid w:val="001A7105"/>
    <w:rsid w:val="001A77F4"/>
    <w:rsid w:val="001B0883"/>
    <w:rsid w:val="001B1911"/>
    <w:rsid w:val="001B2138"/>
    <w:rsid w:val="001B3699"/>
    <w:rsid w:val="001B3B5D"/>
    <w:rsid w:val="001B43BE"/>
    <w:rsid w:val="001B4607"/>
    <w:rsid w:val="001B4F6A"/>
    <w:rsid w:val="001B53F8"/>
    <w:rsid w:val="001B5A8E"/>
    <w:rsid w:val="001B660F"/>
    <w:rsid w:val="001B6D0C"/>
    <w:rsid w:val="001C0D99"/>
    <w:rsid w:val="001C1181"/>
    <w:rsid w:val="001C1389"/>
    <w:rsid w:val="001C1917"/>
    <w:rsid w:val="001C1DC4"/>
    <w:rsid w:val="001C34BE"/>
    <w:rsid w:val="001C4557"/>
    <w:rsid w:val="001C4560"/>
    <w:rsid w:val="001C470C"/>
    <w:rsid w:val="001C4962"/>
    <w:rsid w:val="001C5AEA"/>
    <w:rsid w:val="001C5E03"/>
    <w:rsid w:val="001C70B6"/>
    <w:rsid w:val="001C7199"/>
    <w:rsid w:val="001C7B75"/>
    <w:rsid w:val="001D0F4B"/>
    <w:rsid w:val="001D1C37"/>
    <w:rsid w:val="001D2209"/>
    <w:rsid w:val="001D2844"/>
    <w:rsid w:val="001D2D37"/>
    <w:rsid w:val="001D3002"/>
    <w:rsid w:val="001D3570"/>
    <w:rsid w:val="001D40FB"/>
    <w:rsid w:val="001D51F4"/>
    <w:rsid w:val="001D5C66"/>
    <w:rsid w:val="001D64EB"/>
    <w:rsid w:val="001D72EE"/>
    <w:rsid w:val="001E0077"/>
    <w:rsid w:val="001E0530"/>
    <w:rsid w:val="001E0DF3"/>
    <w:rsid w:val="001E1355"/>
    <w:rsid w:val="001E3300"/>
    <w:rsid w:val="001E4747"/>
    <w:rsid w:val="001E48A0"/>
    <w:rsid w:val="001E4E38"/>
    <w:rsid w:val="001E52A5"/>
    <w:rsid w:val="001E5E0B"/>
    <w:rsid w:val="001E5F76"/>
    <w:rsid w:val="001E6238"/>
    <w:rsid w:val="001E763C"/>
    <w:rsid w:val="001E7F28"/>
    <w:rsid w:val="001F01E5"/>
    <w:rsid w:val="001F0432"/>
    <w:rsid w:val="001F0615"/>
    <w:rsid w:val="001F0AA8"/>
    <w:rsid w:val="001F0B3D"/>
    <w:rsid w:val="001F1A09"/>
    <w:rsid w:val="001F23F7"/>
    <w:rsid w:val="001F2C79"/>
    <w:rsid w:val="001F34D2"/>
    <w:rsid w:val="001F3A37"/>
    <w:rsid w:val="001F3EC1"/>
    <w:rsid w:val="001F400A"/>
    <w:rsid w:val="001F4C1D"/>
    <w:rsid w:val="001F52E6"/>
    <w:rsid w:val="001F54A8"/>
    <w:rsid w:val="001F5680"/>
    <w:rsid w:val="001F67CB"/>
    <w:rsid w:val="001F6BF9"/>
    <w:rsid w:val="001F6E66"/>
    <w:rsid w:val="001F6ED4"/>
    <w:rsid w:val="001F7A2C"/>
    <w:rsid w:val="002018E8"/>
    <w:rsid w:val="00202298"/>
    <w:rsid w:val="002022A6"/>
    <w:rsid w:val="00202F93"/>
    <w:rsid w:val="00205DD9"/>
    <w:rsid w:val="0020757F"/>
    <w:rsid w:val="002075DA"/>
    <w:rsid w:val="00207B0D"/>
    <w:rsid w:val="00211690"/>
    <w:rsid w:val="00211DFF"/>
    <w:rsid w:val="002122A7"/>
    <w:rsid w:val="002125E3"/>
    <w:rsid w:val="002127A0"/>
    <w:rsid w:val="00212BAC"/>
    <w:rsid w:val="00212CDA"/>
    <w:rsid w:val="00213E2A"/>
    <w:rsid w:val="00213EC0"/>
    <w:rsid w:val="00214091"/>
    <w:rsid w:val="00214210"/>
    <w:rsid w:val="0021471D"/>
    <w:rsid w:val="00214A2D"/>
    <w:rsid w:val="002164F1"/>
    <w:rsid w:val="002170AE"/>
    <w:rsid w:val="00217248"/>
    <w:rsid w:val="0022109C"/>
    <w:rsid w:val="00221CC7"/>
    <w:rsid w:val="00222CA5"/>
    <w:rsid w:val="00224581"/>
    <w:rsid w:val="00225940"/>
    <w:rsid w:val="002262AC"/>
    <w:rsid w:val="00227087"/>
    <w:rsid w:val="002275F0"/>
    <w:rsid w:val="00227ABC"/>
    <w:rsid w:val="0023004E"/>
    <w:rsid w:val="00230706"/>
    <w:rsid w:val="002307F4"/>
    <w:rsid w:val="002310E6"/>
    <w:rsid w:val="002312CA"/>
    <w:rsid w:val="00231819"/>
    <w:rsid w:val="002318D4"/>
    <w:rsid w:val="00231B0E"/>
    <w:rsid w:val="00231D6B"/>
    <w:rsid w:val="002321AD"/>
    <w:rsid w:val="00232DC0"/>
    <w:rsid w:val="00232E2A"/>
    <w:rsid w:val="00234595"/>
    <w:rsid w:val="0023482E"/>
    <w:rsid w:val="002358EF"/>
    <w:rsid w:val="00235B0B"/>
    <w:rsid w:val="00236665"/>
    <w:rsid w:val="00236A1D"/>
    <w:rsid w:val="00236B45"/>
    <w:rsid w:val="00237F13"/>
    <w:rsid w:val="00241099"/>
    <w:rsid w:val="002422D4"/>
    <w:rsid w:val="00244096"/>
    <w:rsid w:val="00244B34"/>
    <w:rsid w:val="00244DEF"/>
    <w:rsid w:val="002454C6"/>
    <w:rsid w:val="00245C7C"/>
    <w:rsid w:val="00246369"/>
    <w:rsid w:val="00246590"/>
    <w:rsid w:val="00247F0C"/>
    <w:rsid w:val="00250B6C"/>
    <w:rsid w:val="00253F1D"/>
    <w:rsid w:val="00254EA1"/>
    <w:rsid w:val="00256264"/>
    <w:rsid w:val="00256EE0"/>
    <w:rsid w:val="00257142"/>
    <w:rsid w:val="00260140"/>
    <w:rsid w:val="00260366"/>
    <w:rsid w:val="00260AD9"/>
    <w:rsid w:val="00260C75"/>
    <w:rsid w:val="002618B2"/>
    <w:rsid w:val="002620C9"/>
    <w:rsid w:val="0026345D"/>
    <w:rsid w:val="00264307"/>
    <w:rsid w:val="0026480E"/>
    <w:rsid w:val="002656B1"/>
    <w:rsid w:val="00265C02"/>
    <w:rsid w:val="0026657D"/>
    <w:rsid w:val="0026675B"/>
    <w:rsid w:val="00266A13"/>
    <w:rsid w:val="00267383"/>
    <w:rsid w:val="00267760"/>
    <w:rsid w:val="00270F0B"/>
    <w:rsid w:val="0027161E"/>
    <w:rsid w:val="002719FE"/>
    <w:rsid w:val="00271DC2"/>
    <w:rsid w:val="00271FF5"/>
    <w:rsid w:val="00272C9C"/>
    <w:rsid w:val="00274F53"/>
    <w:rsid w:val="00275710"/>
    <w:rsid w:val="00275CA0"/>
    <w:rsid w:val="00275EA8"/>
    <w:rsid w:val="0027626A"/>
    <w:rsid w:val="002764D4"/>
    <w:rsid w:val="00276B93"/>
    <w:rsid w:val="002771E3"/>
    <w:rsid w:val="002800AA"/>
    <w:rsid w:val="0028012D"/>
    <w:rsid w:val="00282B74"/>
    <w:rsid w:val="00282B9D"/>
    <w:rsid w:val="0028301A"/>
    <w:rsid w:val="002832AC"/>
    <w:rsid w:val="00283575"/>
    <w:rsid w:val="00284F80"/>
    <w:rsid w:val="00285FE8"/>
    <w:rsid w:val="002878B2"/>
    <w:rsid w:val="002879EE"/>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08E"/>
    <w:rsid w:val="00295812"/>
    <w:rsid w:val="0029646C"/>
    <w:rsid w:val="0029699C"/>
    <w:rsid w:val="002972D0"/>
    <w:rsid w:val="002A090A"/>
    <w:rsid w:val="002A2347"/>
    <w:rsid w:val="002A23CE"/>
    <w:rsid w:val="002A2492"/>
    <w:rsid w:val="002A4B00"/>
    <w:rsid w:val="002A4EFD"/>
    <w:rsid w:val="002A6AFD"/>
    <w:rsid w:val="002A7181"/>
    <w:rsid w:val="002B0340"/>
    <w:rsid w:val="002B0E02"/>
    <w:rsid w:val="002B1E75"/>
    <w:rsid w:val="002B24D4"/>
    <w:rsid w:val="002B2CCA"/>
    <w:rsid w:val="002B2ED2"/>
    <w:rsid w:val="002B3047"/>
    <w:rsid w:val="002B3661"/>
    <w:rsid w:val="002B3A89"/>
    <w:rsid w:val="002B41E4"/>
    <w:rsid w:val="002B553D"/>
    <w:rsid w:val="002B5AFC"/>
    <w:rsid w:val="002B639C"/>
    <w:rsid w:val="002B64E1"/>
    <w:rsid w:val="002B6B4C"/>
    <w:rsid w:val="002B6D76"/>
    <w:rsid w:val="002B763C"/>
    <w:rsid w:val="002B7BC0"/>
    <w:rsid w:val="002B7E60"/>
    <w:rsid w:val="002B7F7C"/>
    <w:rsid w:val="002C0BDC"/>
    <w:rsid w:val="002C1F75"/>
    <w:rsid w:val="002C2CB9"/>
    <w:rsid w:val="002C4141"/>
    <w:rsid w:val="002C427B"/>
    <w:rsid w:val="002C4633"/>
    <w:rsid w:val="002C6117"/>
    <w:rsid w:val="002C6A38"/>
    <w:rsid w:val="002C6A75"/>
    <w:rsid w:val="002C7CDE"/>
    <w:rsid w:val="002C7D55"/>
    <w:rsid w:val="002D2391"/>
    <w:rsid w:val="002D2F29"/>
    <w:rsid w:val="002D37BB"/>
    <w:rsid w:val="002D45F4"/>
    <w:rsid w:val="002D600B"/>
    <w:rsid w:val="002D6395"/>
    <w:rsid w:val="002D6AC0"/>
    <w:rsid w:val="002D744D"/>
    <w:rsid w:val="002D755D"/>
    <w:rsid w:val="002D7561"/>
    <w:rsid w:val="002E0076"/>
    <w:rsid w:val="002E06A0"/>
    <w:rsid w:val="002E1B2A"/>
    <w:rsid w:val="002E22D9"/>
    <w:rsid w:val="002E2843"/>
    <w:rsid w:val="002E3949"/>
    <w:rsid w:val="002E4292"/>
    <w:rsid w:val="002E4BA6"/>
    <w:rsid w:val="002E4E67"/>
    <w:rsid w:val="002E59D0"/>
    <w:rsid w:val="002E5D29"/>
    <w:rsid w:val="002E67BA"/>
    <w:rsid w:val="002E6C28"/>
    <w:rsid w:val="002E6CB0"/>
    <w:rsid w:val="002E720E"/>
    <w:rsid w:val="002E774F"/>
    <w:rsid w:val="002E7E7E"/>
    <w:rsid w:val="002F10FE"/>
    <w:rsid w:val="002F2058"/>
    <w:rsid w:val="002F34E3"/>
    <w:rsid w:val="002F3883"/>
    <w:rsid w:val="002F40B0"/>
    <w:rsid w:val="002F49C3"/>
    <w:rsid w:val="002F4CDE"/>
    <w:rsid w:val="002F4FB3"/>
    <w:rsid w:val="002F5E6F"/>
    <w:rsid w:val="002F5E91"/>
    <w:rsid w:val="002F6C13"/>
    <w:rsid w:val="002F785C"/>
    <w:rsid w:val="002F7C27"/>
    <w:rsid w:val="003005D9"/>
    <w:rsid w:val="00300AC4"/>
    <w:rsid w:val="00301303"/>
    <w:rsid w:val="00301E6E"/>
    <w:rsid w:val="00301E74"/>
    <w:rsid w:val="003023F7"/>
    <w:rsid w:val="00302E31"/>
    <w:rsid w:val="00302EF5"/>
    <w:rsid w:val="0030347E"/>
    <w:rsid w:val="0030387D"/>
    <w:rsid w:val="00303889"/>
    <w:rsid w:val="00303F9D"/>
    <w:rsid w:val="00304025"/>
    <w:rsid w:val="00304860"/>
    <w:rsid w:val="00304A04"/>
    <w:rsid w:val="003058A2"/>
    <w:rsid w:val="00305C15"/>
    <w:rsid w:val="00306037"/>
    <w:rsid w:val="00310288"/>
    <w:rsid w:val="00311DDF"/>
    <w:rsid w:val="00311EF6"/>
    <w:rsid w:val="00312379"/>
    <w:rsid w:val="0031320F"/>
    <w:rsid w:val="003134E7"/>
    <w:rsid w:val="003136D7"/>
    <w:rsid w:val="00313FC1"/>
    <w:rsid w:val="00314CC7"/>
    <w:rsid w:val="00315B5E"/>
    <w:rsid w:val="00315DA4"/>
    <w:rsid w:val="00316105"/>
    <w:rsid w:val="00317CFD"/>
    <w:rsid w:val="003201A7"/>
    <w:rsid w:val="00320252"/>
    <w:rsid w:val="003215F8"/>
    <w:rsid w:val="00321A02"/>
    <w:rsid w:val="00323D41"/>
    <w:rsid w:val="00324A07"/>
    <w:rsid w:val="00324A2E"/>
    <w:rsid w:val="00324F0F"/>
    <w:rsid w:val="00325490"/>
    <w:rsid w:val="0032579B"/>
    <w:rsid w:val="00326C7F"/>
    <w:rsid w:val="00327545"/>
    <w:rsid w:val="00330BE7"/>
    <w:rsid w:val="0033247F"/>
    <w:rsid w:val="00332BCF"/>
    <w:rsid w:val="00333660"/>
    <w:rsid w:val="00333F71"/>
    <w:rsid w:val="003345BE"/>
    <w:rsid w:val="003345C3"/>
    <w:rsid w:val="0033478C"/>
    <w:rsid w:val="003354AB"/>
    <w:rsid w:val="00335A71"/>
    <w:rsid w:val="00335C23"/>
    <w:rsid w:val="003370FB"/>
    <w:rsid w:val="00340268"/>
    <w:rsid w:val="0034090D"/>
    <w:rsid w:val="0034092B"/>
    <w:rsid w:val="0034139D"/>
    <w:rsid w:val="00341CCB"/>
    <w:rsid w:val="00342BDB"/>
    <w:rsid w:val="00342C2C"/>
    <w:rsid w:val="003433E8"/>
    <w:rsid w:val="0034341A"/>
    <w:rsid w:val="00343703"/>
    <w:rsid w:val="0034377E"/>
    <w:rsid w:val="0034480D"/>
    <w:rsid w:val="00344815"/>
    <w:rsid w:val="00344826"/>
    <w:rsid w:val="00346259"/>
    <w:rsid w:val="00346619"/>
    <w:rsid w:val="00346870"/>
    <w:rsid w:val="003477EA"/>
    <w:rsid w:val="00347B17"/>
    <w:rsid w:val="0035003C"/>
    <w:rsid w:val="00350626"/>
    <w:rsid w:val="00350C45"/>
    <w:rsid w:val="00350CF0"/>
    <w:rsid w:val="00350D22"/>
    <w:rsid w:val="00351F0F"/>
    <w:rsid w:val="00352089"/>
    <w:rsid w:val="003524FA"/>
    <w:rsid w:val="00352789"/>
    <w:rsid w:val="00352994"/>
    <w:rsid w:val="00352DD5"/>
    <w:rsid w:val="0035420C"/>
    <w:rsid w:val="00355E83"/>
    <w:rsid w:val="003560A3"/>
    <w:rsid w:val="00356844"/>
    <w:rsid w:val="00356A01"/>
    <w:rsid w:val="00356F37"/>
    <w:rsid w:val="00357658"/>
    <w:rsid w:val="003578DE"/>
    <w:rsid w:val="00362BC1"/>
    <w:rsid w:val="00362CF9"/>
    <w:rsid w:val="003634A2"/>
    <w:rsid w:val="00363E8A"/>
    <w:rsid w:val="00364F6F"/>
    <w:rsid w:val="003654B7"/>
    <w:rsid w:val="0036567D"/>
    <w:rsid w:val="00365A39"/>
    <w:rsid w:val="00365B35"/>
    <w:rsid w:val="00366642"/>
    <w:rsid w:val="00366852"/>
    <w:rsid w:val="00371445"/>
    <w:rsid w:val="00371E42"/>
    <w:rsid w:val="00372062"/>
    <w:rsid w:val="003730E7"/>
    <w:rsid w:val="003731F4"/>
    <w:rsid w:val="00373B33"/>
    <w:rsid w:val="00374721"/>
    <w:rsid w:val="00374D07"/>
    <w:rsid w:val="00376F7E"/>
    <w:rsid w:val="00380FCE"/>
    <w:rsid w:val="0038124C"/>
    <w:rsid w:val="003817FB"/>
    <w:rsid w:val="00381B8E"/>
    <w:rsid w:val="00384DD6"/>
    <w:rsid w:val="00385E49"/>
    <w:rsid w:val="0038790B"/>
    <w:rsid w:val="00387F39"/>
    <w:rsid w:val="003901B5"/>
    <w:rsid w:val="003908E3"/>
    <w:rsid w:val="003909BB"/>
    <w:rsid w:val="00390B4C"/>
    <w:rsid w:val="00390DF3"/>
    <w:rsid w:val="00390E83"/>
    <w:rsid w:val="0039137C"/>
    <w:rsid w:val="00391809"/>
    <w:rsid w:val="00391890"/>
    <w:rsid w:val="00392317"/>
    <w:rsid w:val="00393621"/>
    <w:rsid w:val="00394B9A"/>
    <w:rsid w:val="0039509F"/>
    <w:rsid w:val="00396418"/>
    <w:rsid w:val="0039799A"/>
    <w:rsid w:val="003A07AC"/>
    <w:rsid w:val="003A2673"/>
    <w:rsid w:val="003A29BC"/>
    <w:rsid w:val="003A35A2"/>
    <w:rsid w:val="003A4405"/>
    <w:rsid w:val="003A4AAE"/>
    <w:rsid w:val="003A506E"/>
    <w:rsid w:val="003A693A"/>
    <w:rsid w:val="003A69FF"/>
    <w:rsid w:val="003A7100"/>
    <w:rsid w:val="003A71A1"/>
    <w:rsid w:val="003A7B79"/>
    <w:rsid w:val="003A7C13"/>
    <w:rsid w:val="003A7D87"/>
    <w:rsid w:val="003A7F60"/>
    <w:rsid w:val="003B057D"/>
    <w:rsid w:val="003B099C"/>
    <w:rsid w:val="003B13CD"/>
    <w:rsid w:val="003B1D47"/>
    <w:rsid w:val="003B2087"/>
    <w:rsid w:val="003B22AF"/>
    <w:rsid w:val="003B292F"/>
    <w:rsid w:val="003B3A6C"/>
    <w:rsid w:val="003B41F6"/>
    <w:rsid w:val="003B43A6"/>
    <w:rsid w:val="003B4B56"/>
    <w:rsid w:val="003B4E66"/>
    <w:rsid w:val="003B675B"/>
    <w:rsid w:val="003B7180"/>
    <w:rsid w:val="003B79D4"/>
    <w:rsid w:val="003B7CCE"/>
    <w:rsid w:val="003C15DE"/>
    <w:rsid w:val="003C256C"/>
    <w:rsid w:val="003C37D5"/>
    <w:rsid w:val="003C5A70"/>
    <w:rsid w:val="003C5BAF"/>
    <w:rsid w:val="003C5BC6"/>
    <w:rsid w:val="003C604D"/>
    <w:rsid w:val="003C61B1"/>
    <w:rsid w:val="003C70B9"/>
    <w:rsid w:val="003C7501"/>
    <w:rsid w:val="003C7E52"/>
    <w:rsid w:val="003D013A"/>
    <w:rsid w:val="003D09C5"/>
    <w:rsid w:val="003D0F15"/>
    <w:rsid w:val="003D1721"/>
    <w:rsid w:val="003D1B85"/>
    <w:rsid w:val="003D2648"/>
    <w:rsid w:val="003D36E6"/>
    <w:rsid w:val="003D3E19"/>
    <w:rsid w:val="003D4253"/>
    <w:rsid w:val="003D4370"/>
    <w:rsid w:val="003D45E2"/>
    <w:rsid w:val="003D48D5"/>
    <w:rsid w:val="003D5702"/>
    <w:rsid w:val="003D5A11"/>
    <w:rsid w:val="003D6468"/>
    <w:rsid w:val="003D676A"/>
    <w:rsid w:val="003D7393"/>
    <w:rsid w:val="003D7CC8"/>
    <w:rsid w:val="003E17C2"/>
    <w:rsid w:val="003E21F2"/>
    <w:rsid w:val="003E2F3C"/>
    <w:rsid w:val="003E36CF"/>
    <w:rsid w:val="003E3D5F"/>
    <w:rsid w:val="003E3FF7"/>
    <w:rsid w:val="003E4232"/>
    <w:rsid w:val="003E4561"/>
    <w:rsid w:val="003E5A42"/>
    <w:rsid w:val="003E657B"/>
    <w:rsid w:val="003E66A9"/>
    <w:rsid w:val="003E741C"/>
    <w:rsid w:val="003E7D03"/>
    <w:rsid w:val="003F00B0"/>
    <w:rsid w:val="003F0C62"/>
    <w:rsid w:val="003F24E8"/>
    <w:rsid w:val="003F2EF8"/>
    <w:rsid w:val="003F2F3F"/>
    <w:rsid w:val="003F36AB"/>
    <w:rsid w:val="003F39CC"/>
    <w:rsid w:val="003F50D7"/>
    <w:rsid w:val="003F5755"/>
    <w:rsid w:val="003F5B7F"/>
    <w:rsid w:val="003F5CA9"/>
    <w:rsid w:val="003F60CC"/>
    <w:rsid w:val="003F66AC"/>
    <w:rsid w:val="003F6786"/>
    <w:rsid w:val="003F792B"/>
    <w:rsid w:val="0040011B"/>
    <w:rsid w:val="00401161"/>
    <w:rsid w:val="0040178D"/>
    <w:rsid w:val="00401CCD"/>
    <w:rsid w:val="00402A7A"/>
    <w:rsid w:val="00403C87"/>
    <w:rsid w:val="00403DC2"/>
    <w:rsid w:val="0040495B"/>
    <w:rsid w:val="004057D9"/>
    <w:rsid w:val="00406041"/>
    <w:rsid w:val="00406BBF"/>
    <w:rsid w:val="00406CD9"/>
    <w:rsid w:val="00407639"/>
    <w:rsid w:val="00412401"/>
    <w:rsid w:val="00412F12"/>
    <w:rsid w:val="004131A6"/>
    <w:rsid w:val="00413513"/>
    <w:rsid w:val="00413BD6"/>
    <w:rsid w:val="004145A4"/>
    <w:rsid w:val="0041485B"/>
    <w:rsid w:val="004155CB"/>
    <w:rsid w:val="004158EC"/>
    <w:rsid w:val="00415F9A"/>
    <w:rsid w:val="00415F9E"/>
    <w:rsid w:val="00417113"/>
    <w:rsid w:val="004179C8"/>
    <w:rsid w:val="00417AAB"/>
    <w:rsid w:val="00417CE0"/>
    <w:rsid w:val="00420CAC"/>
    <w:rsid w:val="00420DC3"/>
    <w:rsid w:val="00420FEB"/>
    <w:rsid w:val="004215EB"/>
    <w:rsid w:val="00421F15"/>
    <w:rsid w:val="00421F3A"/>
    <w:rsid w:val="004220BF"/>
    <w:rsid w:val="00422CA8"/>
    <w:rsid w:val="00422E56"/>
    <w:rsid w:val="004238D6"/>
    <w:rsid w:val="004238F8"/>
    <w:rsid w:val="00423F0C"/>
    <w:rsid w:val="00424CE2"/>
    <w:rsid w:val="004258D4"/>
    <w:rsid w:val="00425B52"/>
    <w:rsid w:val="00425D28"/>
    <w:rsid w:val="00425FE3"/>
    <w:rsid w:val="004264D7"/>
    <w:rsid w:val="00426769"/>
    <w:rsid w:val="00426CD2"/>
    <w:rsid w:val="004277F1"/>
    <w:rsid w:val="004301DF"/>
    <w:rsid w:val="00430A8B"/>
    <w:rsid w:val="00430D8B"/>
    <w:rsid w:val="0043169E"/>
    <w:rsid w:val="00431919"/>
    <w:rsid w:val="00432156"/>
    <w:rsid w:val="0043286A"/>
    <w:rsid w:val="0043394C"/>
    <w:rsid w:val="0043395F"/>
    <w:rsid w:val="00433BBC"/>
    <w:rsid w:val="00433BF7"/>
    <w:rsid w:val="004346B8"/>
    <w:rsid w:val="00434808"/>
    <w:rsid w:val="00436866"/>
    <w:rsid w:val="00436A0D"/>
    <w:rsid w:val="00436A89"/>
    <w:rsid w:val="00436D97"/>
    <w:rsid w:val="0043764E"/>
    <w:rsid w:val="00437BB1"/>
    <w:rsid w:val="00440753"/>
    <w:rsid w:val="00440A1D"/>
    <w:rsid w:val="00441B3D"/>
    <w:rsid w:val="00442008"/>
    <w:rsid w:val="004421B2"/>
    <w:rsid w:val="00442D8F"/>
    <w:rsid w:val="00444358"/>
    <w:rsid w:val="00444DF7"/>
    <w:rsid w:val="00445632"/>
    <w:rsid w:val="00446593"/>
    <w:rsid w:val="0044789D"/>
    <w:rsid w:val="00450F6A"/>
    <w:rsid w:val="00451061"/>
    <w:rsid w:val="00451368"/>
    <w:rsid w:val="00451A16"/>
    <w:rsid w:val="0045373B"/>
    <w:rsid w:val="004543C8"/>
    <w:rsid w:val="004550DB"/>
    <w:rsid w:val="00455A54"/>
    <w:rsid w:val="00457A47"/>
    <w:rsid w:val="00460BA3"/>
    <w:rsid w:val="00460DF2"/>
    <w:rsid w:val="00462132"/>
    <w:rsid w:val="00462715"/>
    <w:rsid w:val="00463A2D"/>
    <w:rsid w:val="00464B6D"/>
    <w:rsid w:val="00467446"/>
    <w:rsid w:val="00467C32"/>
    <w:rsid w:val="0047002F"/>
    <w:rsid w:val="0047130E"/>
    <w:rsid w:val="00472BB7"/>
    <w:rsid w:val="004731F5"/>
    <w:rsid w:val="004735E2"/>
    <w:rsid w:val="00473A22"/>
    <w:rsid w:val="004740A3"/>
    <w:rsid w:val="00474A7A"/>
    <w:rsid w:val="00474EC9"/>
    <w:rsid w:val="004754D8"/>
    <w:rsid w:val="0047558C"/>
    <w:rsid w:val="004756A1"/>
    <w:rsid w:val="0047606F"/>
    <w:rsid w:val="004769CE"/>
    <w:rsid w:val="004776A8"/>
    <w:rsid w:val="00477E43"/>
    <w:rsid w:val="00480476"/>
    <w:rsid w:val="004805DE"/>
    <w:rsid w:val="00480C33"/>
    <w:rsid w:val="00481928"/>
    <w:rsid w:val="00481993"/>
    <w:rsid w:val="00482339"/>
    <w:rsid w:val="0048291B"/>
    <w:rsid w:val="004843CE"/>
    <w:rsid w:val="00484AC0"/>
    <w:rsid w:val="00485F7E"/>
    <w:rsid w:val="004867D6"/>
    <w:rsid w:val="004868B9"/>
    <w:rsid w:val="00486C15"/>
    <w:rsid w:val="00486D91"/>
    <w:rsid w:val="00487B05"/>
    <w:rsid w:val="004909E8"/>
    <w:rsid w:val="0049199A"/>
    <w:rsid w:val="00491D01"/>
    <w:rsid w:val="00493EB6"/>
    <w:rsid w:val="00494096"/>
    <w:rsid w:val="00494393"/>
    <w:rsid w:val="00494406"/>
    <w:rsid w:val="004945C2"/>
    <w:rsid w:val="004946E6"/>
    <w:rsid w:val="0049595B"/>
    <w:rsid w:val="00495DAE"/>
    <w:rsid w:val="004967F7"/>
    <w:rsid w:val="00496BC6"/>
    <w:rsid w:val="00497216"/>
    <w:rsid w:val="00497345"/>
    <w:rsid w:val="00497A2C"/>
    <w:rsid w:val="00497A82"/>
    <w:rsid w:val="004A06E0"/>
    <w:rsid w:val="004A17A5"/>
    <w:rsid w:val="004A202A"/>
    <w:rsid w:val="004A27E5"/>
    <w:rsid w:val="004A2907"/>
    <w:rsid w:val="004A2AD6"/>
    <w:rsid w:val="004A2FFC"/>
    <w:rsid w:val="004A4384"/>
    <w:rsid w:val="004A4C74"/>
    <w:rsid w:val="004A519E"/>
    <w:rsid w:val="004A53E4"/>
    <w:rsid w:val="004A5547"/>
    <w:rsid w:val="004A5CA1"/>
    <w:rsid w:val="004A73E6"/>
    <w:rsid w:val="004A7BF1"/>
    <w:rsid w:val="004A7C5B"/>
    <w:rsid w:val="004B0841"/>
    <w:rsid w:val="004B1E01"/>
    <w:rsid w:val="004B2424"/>
    <w:rsid w:val="004B2587"/>
    <w:rsid w:val="004B47D4"/>
    <w:rsid w:val="004B59B7"/>
    <w:rsid w:val="004B5A80"/>
    <w:rsid w:val="004B6A39"/>
    <w:rsid w:val="004B7260"/>
    <w:rsid w:val="004B766E"/>
    <w:rsid w:val="004C0BAC"/>
    <w:rsid w:val="004C0E57"/>
    <w:rsid w:val="004C1E6E"/>
    <w:rsid w:val="004C2026"/>
    <w:rsid w:val="004C2170"/>
    <w:rsid w:val="004C21AC"/>
    <w:rsid w:val="004C2C56"/>
    <w:rsid w:val="004C2D63"/>
    <w:rsid w:val="004C2EDA"/>
    <w:rsid w:val="004C32A6"/>
    <w:rsid w:val="004C35C1"/>
    <w:rsid w:val="004C3626"/>
    <w:rsid w:val="004C3FC8"/>
    <w:rsid w:val="004C401E"/>
    <w:rsid w:val="004C5A29"/>
    <w:rsid w:val="004C5BB2"/>
    <w:rsid w:val="004C6935"/>
    <w:rsid w:val="004C6A89"/>
    <w:rsid w:val="004D0668"/>
    <w:rsid w:val="004D0D59"/>
    <w:rsid w:val="004D13EC"/>
    <w:rsid w:val="004D3251"/>
    <w:rsid w:val="004D3AB0"/>
    <w:rsid w:val="004D3C60"/>
    <w:rsid w:val="004D6BE0"/>
    <w:rsid w:val="004D6FCF"/>
    <w:rsid w:val="004D7496"/>
    <w:rsid w:val="004D7F50"/>
    <w:rsid w:val="004E1A76"/>
    <w:rsid w:val="004E23DB"/>
    <w:rsid w:val="004E24AB"/>
    <w:rsid w:val="004E2C77"/>
    <w:rsid w:val="004E38DF"/>
    <w:rsid w:val="004E3C4E"/>
    <w:rsid w:val="004E4BAE"/>
    <w:rsid w:val="004E4C78"/>
    <w:rsid w:val="004E4F36"/>
    <w:rsid w:val="004E6182"/>
    <w:rsid w:val="004E63B5"/>
    <w:rsid w:val="004E63D6"/>
    <w:rsid w:val="004E6FBC"/>
    <w:rsid w:val="004E7947"/>
    <w:rsid w:val="004E7DF3"/>
    <w:rsid w:val="004F0395"/>
    <w:rsid w:val="004F055E"/>
    <w:rsid w:val="004F0C75"/>
    <w:rsid w:val="004F0FB3"/>
    <w:rsid w:val="004F1A06"/>
    <w:rsid w:val="004F1DF5"/>
    <w:rsid w:val="004F3185"/>
    <w:rsid w:val="004F385E"/>
    <w:rsid w:val="004F4437"/>
    <w:rsid w:val="004F450C"/>
    <w:rsid w:val="004F4DBF"/>
    <w:rsid w:val="004F5C27"/>
    <w:rsid w:val="004F6D7A"/>
    <w:rsid w:val="004F74BD"/>
    <w:rsid w:val="004F788F"/>
    <w:rsid w:val="00500195"/>
    <w:rsid w:val="0050019E"/>
    <w:rsid w:val="0050047D"/>
    <w:rsid w:val="005006B3"/>
    <w:rsid w:val="00500E3F"/>
    <w:rsid w:val="00503274"/>
    <w:rsid w:val="00503E3E"/>
    <w:rsid w:val="00505747"/>
    <w:rsid w:val="00506DB4"/>
    <w:rsid w:val="005076E2"/>
    <w:rsid w:val="00507C74"/>
    <w:rsid w:val="00507CE5"/>
    <w:rsid w:val="00507E06"/>
    <w:rsid w:val="00510EF4"/>
    <w:rsid w:val="00510EFF"/>
    <w:rsid w:val="00512696"/>
    <w:rsid w:val="00512720"/>
    <w:rsid w:val="00512E76"/>
    <w:rsid w:val="00513783"/>
    <w:rsid w:val="00513A6C"/>
    <w:rsid w:val="0051445A"/>
    <w:rsid w:val="00514951"/>
    <w:rsid w:val="005156D6"/>
    <w:rsid w:val="00515779"/>
    <w:rsid w:val="005159FD"/>
    <w:rsid w:val="00516334"/>
    <w:rsid w:val="005166CF"/>
    <w:rsid w:val="00516B84"/>
    <w:rsid w:val="005170BC"/>
    <w:rsid w:val="005170EF"/>
    <w:rsid w:val="00517DE6"/>
    <w:rsid w:val="0052003C"/>
    <w:rsid w:val="005207F8"/>
    <w:rsid w:val="00521CAB"/>
    <w:rsid w:val="00521E3B"/>
    <w:rsid w:val="00522293"/>
    <w:rsid w:val="0052250A"/>
    <w:rsid w:val="00522913"/>
    <w:rsid w:val="00523683"/>
    <w:rsid w:val="00525175"/>
    <w:rsid w:val="005252E8"/>
    <w:rsid w:val="005253A8"/>
    <w:rsid w:val="00525583"/>
    <w:rsid w:val="0052678F"/>
    <w:rsid w:val="00526847"/>
    <w:rsid w:val="0052685F"/>
    <w:rsid w:val="00527B42"/>
    <w:rsid w:val="00527C7C"/>
    <w:rsid w:val="00527E0A"/>
    <w:rsid w:val="00530CB1"/>
    <w:rsid w:val="00533066"/>
    <w:rsid w:val="005333BC"/>
    <w:rsid w:val="00534078"/>
    <w:rsid w:val="00534B3A"/>
    <w:rsid w:val="005358A5"/>
    <w:rsid w:val="0053671E"/>
    <w:rsid w:val="00536FBA"/>
    <w:rsid w:val="005373EF"/>
    <w:rsid w:val="005401CC"/>
    <w:rsid w:val="00540272"/>
    <w:rsid w:val="0054060E"/>
    <w:rsid w:val="005416F4"/>
    <w:rsid w:val="00541E6C"/>
    <w:rsid w:val="005421F1"/>
    <w:rsid w:val="005423E8"/>
    <w:rsid w:val="0054335C"/>
    <w:rsid w:val="005434B5"/>
    <w:rsid w:val="00543CF2"/>
    <w:rsid w:val="00543D7C"/>
    <w:rsid w:val="00543F69"/>
    <w:rsid w:val="0054489C"/>
    <w:rsid w:val="00544B3C"/>
    <w:rsid w:val="0054545A"/>
    <w:rsid w:val="005454AC"/>
    <w:rsid w:val="00545AA5"/>
    <w:rsid w:val="0054657E"/>
    <w:rsid w:val="00547ABE"/>
    <w:rsid w:val="00547F37"/>
    <w:rsid w:val="00550DD6"/>
    <w:rsid w:val="00550FEB"/>
    <w:rsid w:val="00552510"/>
    <w:rsid w:val="00552D1D"/>
    <w:rsid w:val="005532F4"/>
    <w:rsid w:val="005542F5"/>
    <w:rsid w:val="005546FA"/>
    <w:rsid w:val="0055479B"/>
    <w:rsid w:val="00554B2D"/>
    <w:rsid w:val="00555658"/>
    <w:rsid w:val="00555E65"/>
    <w:rsid w:val="0055695B"/>
    <w:rsid w:val="00556D17"/>
    <w:rsid w:val="005573E3"/>
    <w:rsid w:val="00557717"/>
    <w:rsid w:val="00560747"/>
    <w:rsid w:val="00560CA9"/>
    <w:rsid w:val="005615EE"/>
    <w:rsid w:val="00561F72"/>
    <w:rsid w:val="00562016"/>
    <w:rsid w:val="00562BB3"/>
    <w:rsid w:val="0056330A"/>
    <w:rsid w:val="00564301"/>
    <w:rsid w:val="00564736"/>
    <w:rsid w:val="0056540F"/>
    <w:rsid w:val="00565B11"/>
    <w:rsid w:val="00565BE6"/>
    <w:rsid w:val="00567C50"/>
    <w:rsid w:val="00570498"/>
    <w:rsid w:val="00570CDF"/>
    <w:rsid w:val="00570CF1"/>
    <w:rsid w:val="005710B9"/>
    <w:rsid w:val="00571141"/>
    <w:rsid w:val="00573730"/>
    <w:rsid w:val="00573959"/>
    <w:rsid w:val="00573F73"/>
    <w:rsid w:val="005746C4"/>
    <w:rsid w:val="005767E8"/>
    <w:rsid w:val="005769EF"/>
    <w:rsid w:val="00576F48"/>
    <w:rsid w:val="00576F6B"/>
    <w:rsid w:val="00577D99"/>
    <w:rsid w:val="00580D3A"/>
    <w:rsid w:val="00581737"/>
    <w:rsid w:val="005825CA"/>
    <w:rsid w:val="00582CBE"/>
    <w:rsid w:val="00582E8C"/>
    <w:rsid w:val="00583CA0"/>
    <w:rsid w:val="005843E1"/>
    <w:rsid w:val="005850B5"/>
    <w:rsid w:val="005857CB"/>
    <w:rsid w:val="00585BEF"/>
    <w:rsid w:val="005860C8"/>
    <w:rsid w:val="0058626F"/>
    <w:rsid w:val="005864D4"/>
    <w:rsid w:val="00586935"/>
    <w:rsid w:val="00586D31"/>
    <w:rsid w:val="00587F99"/>
    <w:rsid w:val="00587FC1"/>
    <w:rsid w:val="005902C9"/>
    <w:rsid w:val="005902DB"/>
    <w:rsid w:val="0059052E"/>
    <w:rsid w:val="00591755"/>
    <w:rsid w:val="00591766"/>
    <w:rsid w:val="00592FAD"/>
    <w:rsid w:val="0059332C"/>
    <w:rsid w:val="005938D1"/>
    <w:rsid w:val="00593D67"/>
    <w:rsid w:val="00594EB1"/>
    <w:rsid w:val="00594FD0"/>
    <w:rsid w:val="005962D8"/>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2BAF"/>
    <w:rsid w:val="005A3124"/>
    <w:rsid w:val="005A3206"/>
    <w:rsid w:val="005A3215"/>
    <w:rsid w:val="005A3FA3"/>
    <w:rsid w:val="005A4436"/>
    <w:rsid w:val="005A47AF"/>
    <w:rsid w:val="005A4AB4"/>
    <w:rsid w:val="005A4D2E"/>
    <w:rsid w:val="005A4FA3"/>
    <w:rsid w:val="005A558E"/>
    <w:rsid w:val="005A56C3"/>
    <w:rsid w:val="005A579D"/>
    <w:rsid w:val="005A69CA"/>
    <w:rsid w:val="005A6A69"/>
    <w:rsid w:val="005A7F2C"/>
    <w:rsid w:val="005B095A"/>
    <w:rsid w:val="005B1BCA"/>
    <w:rsid w:val="005B2598"/>
    <w:rsid w:val="005B38A9"/>
    <w:rsid w:val="005B3EA9"/>
    <w:rsid w:val="005B3EE9"/>
    <w:rsid w:val="005B4623"/>
    <w:rsid w:val="005B4CE3"/>
    <w:rsid w:val="005B5B60"/>
    <w:rsid w:val="005B5C10"/>
    <w:rsid w:val="005B6235"/>
    <w:rsid w:val="005B7482"/>
    <w:rsid w:val="005B74E2"/>
    <w:rsid w:val="005B7833"/>
    <w:rsid w:val="005C043D"/>
    <w:rsid w:val="005C10F2"/>
    <w:rsid w:val="005C1543"/>
    <w:rsid w:val="005C1715"/>
    <w:rsid w:val="005C1B57"/>
    <w:rsid w:val="005C235B"/>
    <w:rsid w:val="005C2AF5"/>
    <w:rsid w:val="005C3481"/>
    <w:rsid w:val="005C39F2"/>
    <w:rsid w:val="005C4733"/>
    <w:rsid w:val="005C52A0"/>
    <w:rsid w:val="005C5A79"/>
    <w:rsid w:val="005C69BC"/>
    <w:rsid w:val="005C6A74"/>
    <w:rsid w:val="005C6BD3"/>
    <w:rsid w:val="005C74DA"/>
    <w:rsid w:val="005C7648"/>
    <w:rsid w:val="005C7DEA"/>
    <w:rsid w:val="005C7FB1"/>
    <w:rsid w:val="005C7FCF"/>
    <w:rsid w:val="005D0E6B"/>
    <w:rsid w:val="005D1392"/>
    <w:rsid w:val="005D1A83"/>
    <w:rsid w:val="005D236E"/>
    <w:rsid w:val="005D29EB"/>
    <w:rsid w:val="005D37FD"/>
    <w:rsid w:val="005D4C7F"/>
    <w:rsid w:val="005D4F01"/>
    <w:rsid w:val="005D4F7B"/>
    <w:rsid w:val="005D55DD"/>
    <w:rsid w:val="005D5DE6"/>
    <w:rsid w:val="005D5F3F"/>
    <w:rsid w:val="005D6248"/>
    <w:rsid w:val="005D6582"/>
    <w:rsid w:val="005D6697"/>
    <w:rsid w:val="005D6B6E"/>
    <w:rsid w:val="005D73BF"/>
    <w:rsid w:val="005D74D6"/>
    <w:rsid w:val="005E121B"/>
    <w:rsid w:val="005E1574"/>
    <w:rsid w:val="005E1868"/>
    <w:rsid w:val="005E1DC9"/>
    <w:rsid w:val="005E2B74"/>
    <w:rsid w:val="005E2FE5"/>
    <w:rsid w:val="005E3301"/>
    <w:rsid w:val="005E34C6"/>
    <w:rsid w:val="005E370E"/>
    <w:rsid w:val="005E44BD"/>
    <w:rsid w:val="005E4E33"/>
    <w:rsid w:val="005E5782"/>
    <w:rsid w:val="005E5CA1"/>
    <w:rsid w:val="005E652E"/>
    <w:rsid w:val="005E7A5F"/>
    <w:rsid w:val="005F046D"/>
    <w:rsid w:val="005F0F7B"/>
    <w:rsid w:val="005F1A7C"/>
    <w:rsid w:val="005F1C28"/>
    <w:rsid w:val="005F2A19"/>
    <w:rsid w:val="005F2E8F"/>
    <w:rsid w:val="005F3222"/>
    <w:rsid w:val="005F34B1"/>
    <w:rsid w:val="005F350D"/>
    <w:rsid w:val="005F4270"/>
    <w:rsid w:val="005F4ACC"/>
    <w:rsid w:val="005F55C4"/>
    <w:rsid w:val="005F666F"/>
    <w:rsid w:val="005F7069"/>
    <w:rsid w:val="0060126C"/>
    <w:rsid w:val="0060198A"/>
    <w:rsid w:val="00602B26"/>
    <w:rsid w:val="006039DF"/>
    <w:rsid w:val="00603C4F"/>
    <w:rsid w:val="00605765"/>
    <w:rsid w:val="0060594A"/>
    <w:rsid w:val="00606AED"/>
    <w:rsid w:val="00607AE3"/>
    <w:rsid w:val="006115D9"/>
    <w:rsid w:val="006120B6"/>
    <w:rsid w:val="006126D6"/>
    <w:rsid w:val="006135B9"/>
    <w:rsid w:val="006135E6"/>
    <w:rsid w:val="0061399A"/>
    <w:rsid w:val="00613D93"/>
    <w:rsid w:val="00615FAE"/>
    <w:rsid w:val="00616ED1"/>
    <w:rsid w:val="006171CB"/>
    <w:rsid w:val="006176FB"/>
    <w:rsid w:val="00617A3A"/>
    <w:rsid w:val="006201C4"/>
    <w:rsid w:val="00621C54"/>
    <w:rsid w:val="00622A64"/>
    <w:rsid w:val="00622A88"/>
    <w:rsid w:val="00623154"/>
    <w:rsid w:val="006231C7"/>
    <w:rsid w:val="006235ED"/>
    <w:rsid w:val="00626590"/>
    <w:rsid w:val="00626760"/>
    <w:rsid w:val="00626E2B"/>
    <w:rsid w:val="00630468"/>
    <w:rsid w:val="006309E7"/>
    <w:rsid w:val="00630B93"/>
    <w:rsid w:val="006320A7"/>
    <w:rsid w:val="006326DE"/>
    <w:rsid w:val="0063356A"/>
    <w:rsid w:val="00633BB6"/>
    <w:rsid w:val="00633D0E"/>
    <w:rsid w:val="00634D1A"/>
    <w:rsid w:val="0063559E"/>
    <w:rsid w:val="00635640"/>
    <w:rsid w:val="00635CAD"/>
    <w:rsid w:val="00635D4D"/>
    <w:rsid w:val="00635DEF"/>
    <w:rsid w:val="00636CA7"/>
    <w:rsid w:val="00636DAF"/>
    <w:rsid w:val="00637333"/>
    <w:rsid w:val="0063769D"/>
    <w:rsid w:val="00637A2D"/>
    <w:rsid w:val="00640120"/>
    <w:rsid w:val="0064014E"/>
    <w:rsid w:val="00640D40"/>
    <w:rsid w:val="00641440"/>
    <w:rsid w:val="00641611"/>
    <w:rsid w:val="00641D12"/>
    <w:rsid w:val="006425F8"/>
    <w:rsid w:val="00642DEB"/>
    <w:rsid w:val="00643EF9"/>
    <w:rsid w:val="00644355"/>
    <w:rsid w:val="00644398"/>
    <w:rsid w:val="00644967"/>
    <w:rsid w:val="00644B9B"/>
    <w:rsid w:val="006460F4"/>
    <w:rsid w:val="00646B0C"/>
    <w:rsid w:val="00646E44"/>
    <w:rsid w:val="0064755E"/>
    <w:rsid w:val="006500F1"/>
    <w:rsid w:val="00650C83"/>
    <w:rsid w:val="00651F8A"/>
    <w:rsid w:val="006520F7"/>
    <w:rsid w:val="00654B2A"/>
    <w:rsid w:val="00656777"/>
    <w:rsid w:val="006601F0"/>
    <w:rsid w:val="006603DC"/>
    <w:rsid w:val="006603E5"/>
    <w:rsid w:val="006619D1"/>
    <w:rsid w:val="00661E37"/>
    <w:rsid w:val="00662A31"/>
    <w:rsid w:val="00662EE4"/>
    <w:rsid w:val="006642F5"/>
    <w:rsid w:val="00665036"/>
    <w:rsid w:val="00665A38"/>
    <w:rsid w:val="00665DD8"/>
    <w:rsid w:val="00665E49"/>
    <w:rsid w:val="00665ED4"/>
    <w:rsid w:val="006671C0"/>
    <w:rsid w:val="00667280"/>
    <w:rsid w:val="006673FF"/>
    <w:rsid w:val="006702E3"/>
    <w:rsid w:val="0067051F"/>
    <w:rsid w:val="006716F2"/>
    <w:rsid w:val="0067305D"/>
    <w:rsid w:val="0067382D"/>
    <w:rsid w:val="006738BE"/>
    <w:rsid w:val="00674C99"/>
    <w:rsid w:val="00675110"/>
    <w:rsid w:val="0067556E"/>
    <w:rsid w:val="006760BC"/>
    <w:rsid w:val="006762F1"/>
    <w:rsid w:val="006765EC"/>
    <w:rsid w:val="00676954"/>
    <w:rsid w:val="00676E0F"/>
    <w:rsid w:val="0067757E"/>
    <w:rsid w:val="00677718"/>
    <w:rsid w:val="006779E2"/>
    <w:rsid w:val="00677F65"/>
    <w:rsid w:val="00680087"/>
    <w:rsid w:val="006806C3"/>
    <w:rsid w:val="0068183D"/>
    <w:rsid w:val="006826C2"/>
    <w:rsid w:val="00682FD3"/>
    <w:rsid w:val="00683B7D"/>
    <w:rsid w:val="0068494C"/>
    <w:rsid w:val="00684BF8"/>
    <w:rsid w:val="00685203"/>
    <w:rsid w:val="00685630"/>
    <w:rsid w:val="00685DB5"/>
    <w:rsid w:val="00686325"/>
    <w:rsid w:val="006865F0"/>
    <w:rsid w:val="00687396"/>
    <w:rsid w:val="00687883"/>
    <w:rsid w:val="00687E87"/>
    <w:rsid w:val="0069040A"/>
    <w:rsid w:val="00690468"/>
    <w:rsid w:val="00690DF6"/>
    <w:rsid w:val="00691B85"/>
    <w:rsid w:val="00691CD1"/>
    <w:rsid w:val="0069258F"/>
    <w:rsid w:val="00693175"/>
    <w:rsid w:val="00693513"/>
    <w:rsid w:val="0069426F"/>
    <w:rsid w:val="006957A1"/>
    <w:rsid w:val="00696D83"/>
    <w:rsid w:val="006973ED"/>
    <w:rsid w:val="0069744D"/>
    <w:rsid w:val="0069782A"/>
    <w:rsid w:val="006A09EA"/>
    <w:rsid w:val="006A0B20"/>
    <w:rsid w:val="006A1A0B"/>
    <w:rsid w:val="006A26AC"/>
    <w:rsid w:val="006A2EA7"/>
    <w:rsid w:val="006A3223"/>
    <w:rsid w:val="006A32F2"/>
    <w:rsid w:val="006A376D"/>
    <w:rsid w:val="006A40CA"/>
    <w:rsid w:val="006A50AA"/>
    <w:rsid w:val="006A51B1"/>
    <w:rsid w:val="006A5A29"/>
    <w:rsid w:val="006A733A"/>
    <w:rsid w:val="006A7935"/>
    <w:rsid w:val="006A7993"/>
    <w:rsid w:val="006B0264"/>
    <w:rsid w:val="006B1557"/>
    <w:rsid w:val="006B1840"/>
    <w:rsid w:val="006B1EEE"/>
    <w:rsid w:val="006B298E"/>
    <w:rsid w:val="006B33BF"/>
    <w:rsid w:val="006B38FA"/>
    <w:rsid w:val="006B4074"/>
    <w:rsid w:val="006B5D6F"/>
    <w:rsid w:val="006B6035"/>
    <w:rsid w:val="006B6715"/>
    <w:rsid w:val="006B6D0D"/>
    <w:rsid w:val="006B7520"/>
    <w:rsid w:val="006C0968"/>
    <w:rsid w:val="006C0B53"/>
    <w:rsid w:val="006C1D42"/>
    <w:rsid w:val="006C299F"/>
    <w:rsid w:val="006C3DF1"/>
    <w:rsid w:val="006C4122"/>
    <w:rsid w:val="006C45EE"/>
    <w:rsid w:val="006C64CE"/>
    <w:rsid w:val="006C76B4"/>
    <w:rsid w:val="006D055F"/>
    <w:rsid w:val="006D1400"/>
    <w:rsid w:val="006D1A47"/>
    <w:rsid w:val="006D23FF"/>
    <w:rsid w:val="006D2E4C"/>
    <w:rsid w:val="006D42A2"/>
    <w:rsid w:val="006D4FF9"/>
    <w:rsid w:val="006D5AFA"/>
    <w:rsid w:val="006D65DD"/>
    <w:rsid w:val="006D7027"/>
    <w:rsid w:val="006D799C"/>
    <w:rsid w:val="006E008F"/>
    <w:rsid w:val="006E0724"/>
    <w:rsid w:val="006E0758"/>
    <w:rsid w:val="006E22BB"/>
    <w:rsid w:val="006E2DCE"/>
    <w:rsid w:val="006E36F2"/>
    <w:rsid w:val="006E4400"/>
    <w:rsid w:val="006E4670"/>
    <w:rsid w:val="006E47F2"/>
    <w:rsid w:val="006E49F1"/>
    <w:rsid w:val="006E5626"/>
    <w:rsid w:val="006E65B5"/>
    <w:rsid w:val="006E78C2"/>
    <w:rsid w:val="006F0273"/>
    <w:rsid w:val="006F0526"/>
    <w:rsid w:val="006F09D6"/>
    <w:rsid w:val="006F0DE5"/>
    <w:rsid w:val="006F12E4"/>
    <w:rsid w:val="006F1569"/>
    <w:rsid w:val="006F1F74"/>
    <w:rsid w:val="006F26EF"/>
    <w:rsid w:val="006F2F12"/>
    <w:rsid w:val="006F33F4"/>
    <w:rsid w:val="006F39EB"/>
    <w:rsid w:val="006F3F4E"/>
    <w:rsid w:val="006F40B9"/>
    <w:rsid w:val="006F440C"/>
    <w:rsid w:val="006F50C3"/>
    <w:rsid w:val="006F555C"/>
    <w:rsid w:val="006F5BEF"/>
    <w:rsid w:val="006F61C4"/>
    <w:rsid w:val="006F6508"/>
    <w:rsid w:val="006F69B6"/>
    <w:rsid w:val="00700EC4"/>
    <w:rsid w:val="00704451"/>
    <w:rsid w:val="00704A4A"/>
    <w:rsid w:val="00704F96"/>
    <w:rsid w:val="00705033"/>
    <w:rsid w:val="00705294"/>
    <w:rsid w:val="007053B4"/>
    <w:rsid w:val="0070623F"/>
    <w:rsid w:val="00706566"/>
    <w:rsid w:val="00706F82"/>
    <w:rsid w:val="00707328"/>
    <w:rsid w:val="00707518"/>
    <w:rsid w:val="007079F3"/>
    <w:rsid w:val="00707D8C"/>
    <w:rsid w:val="0071072D"/>
    <w:rsid w:val="00710D21"/>
    <w:rsid w:val="00710E2A"/>
    <w:rsid w:val="00711308"/>
    <w:rsid w:val="00711A77"/>
    <w:rsid w:val="00711CB2"/>
    <w:rsid w:val="00711DEB"/>
    <w:rsid w:val="0071246E"/>
    <w:rsid w:val="00713103"/>
    <w:rsid w:val="00713A7F"/>
    <w:rsid w:val="007140ED"/>
    <w:rsid w:val="00714735"/>
    <w:rsid w:val="00715919"/>
    <w:rsid w:val="00715BD7"/>
    <w:rsid w:val="0071606C"/>
    <w:rsid w:val="00716419"/>
    <w:rsid w:val="007168E6"/>
    <w:rsid w:val="007176D9"/>
    <w:rsid w:val="007209E9"/>
    <w:rsid w:val="00721B4A"/>
    <w:rsid w:val="00722603"/>
    <w:rsid w:val="00723DD4"/>
    <w:rsid w:val="007246FB"/>
    <w:rsid w:val="00724C1F"/>
    <w:rsid w:val="00725F33"/>
    <w:rsid w:val="00727774"/>
    <w:rsid w:val="00727A4C"/>
    <w:rsid w:val="0073096D"/>
    <w:rsid w:val="00730D40"/>
    <w:rsid w:val="007311E1"/>
    <w:rsid w:val="00731517"/>
    <w:rsid w:val="0073178D"/>
    <w:rsid w:val="00731BE2"/>
    <w:rsid w:val="00731E16"/>
    <w:rsid w:val="00731EF2"/>
    <w:rsid w:val="007320DA"/>
    <w:rsid w:val="00732330"/>
    <w:rsid w:val="007323D5"/>
    <w:rsid w:val="00732EBE"/>
    <w:rsid w:val="00734186"/>
    <w:rsid w:val="00734C18"/>
    <w:rsid w:val="00735745"/>
    <w:rsid w:val="007363BE"/>
    <w:rsid w:val="007365D5"/>
    <w:rsid w:val="007368F4"/>
    <w:rsid w:val="0073699E"/>
    <w:rsid w:val="00736A75"/>
    <w:rsid w:val="00737BF5"/>
    <w:rsid w:val="00737C89"/>
    <w:rsid w:val="00737F24"/>
    <w:rsid w:val="007400DA"/>
    <w:rsid w:val="00740B36"/>
    <w:rsid w:val="007410A6"/>
    <w:rsid w:val="0074166B"/>
    <w:rsid w:val="00741702"/>
    <w:rsid w:val="007421F3"/>
    <w:rsid w:val="007423A9"/>
    <w:rsid w:val="00742475"/>
    <w:rsid w:val="00742B32"/>
    <w:rsid w:val="00742E41"/>
    <w:rsid w:val="00743183"/>
    <w:rsid w:val="00743F27"/>
    <w:rsid w:val="007448FD"/>
    <w:rsid w:val="00744C80"/>
    <w:rsid w:val="00744F38"/>
    <w:rsid w:val="0074534F"/>
    <w:rsid w:val="00747139"/>
    <w:rsid w:val="00747488"/>
    <w:rsid w:val="007502D6"/>
    <w:rsid w:val="007504C9"/>
    <w:rsid w:val="007508F2"/>
    <w:rsid w:val="007509FC"/>
    <w:rsid w:val="00750D9C"/>
    <w:rsid w:val="00751292"/>
    <w:rsid w:val="00751369"/>
    <w:rsid w:val="00751573"/>
    <w:rsid w:val="007528EC"/>
    <w:rsid w:val="00752E33"/>
    <w:rsid w:val="00752F25"/>
    <w:rsid w:val="0075391C"/>
    <w:rsid w:val="00755805"/>
    <w:rsid w:val="00755AA4"/>
    <w:rsid w:val="007560D5"/>
    <w:rsid w:val="00757626"/>
    <w:rsid w:val="007577E8"/>
    <w:rsid w:val="007577F3"/>
    <w:rsid w:val="00757A2E"/>
    <w:rsid w:val="00757C51"/>
    <w:rsid w:val="00757E5B"/>
    <w:rsid w:val="007600A0"/>
    <w:rsid w:val="007606C4"/>
    <w:rsid w:val="00761887"/>
    <w:rsid w:val="00764199"/>
    <w:rsid w:val="00764996"/>
    <w:rsid w:val="00767442"/>
    <w:rsid w:val="00772D05"/>
    <w:rsid w:val="007738E9"/>
    <w:rsid w:val="00773A3F"/>
    <w:rsid w:val="0077465D"/>
    <w:rsid w:val="007752B3"/>
    <w:rsid w:val="0077550D"/>
    <w:rsid w:val="00775975"/>
    <w:rsid w:val="007768A2"/>
    <w:rsid w:val="0078077F"/>
    <w:rsid w:val="007809ED"/>
    <w:rsid w:val="007823B7"/>
    <w:rsid w:val="00782CF1"/>
    <w:rsid w:val="00782E95"/>
    <w:rsid w:val="007832A7"/>
    <w:rsid w:val="0078459C"/>
    <w:rsid w:val="007849E7"/>
    <w:rsid w:val="00785650"/>
    <w:rsid w:val="007857D6"/>
    <w:rsid w:val="00786696"/>
    <w:rsid w:val="0078692B"/>
    <w:rsid w:val="00787C25"/>
    <w:rsid w:val="00787ED6"/>
    <w:rsid w:val="00790017"/>
    <w:rsid w:val="00790412"/>
    <w:rsid w:val="007912ED"/>
    <w:rsid w:val="0079177D"/>
    <w:rsid w:val="00795836"/>
    <w:rsid w:val="00795C0D"/>
    <w:rsid w:val="007967A4"/>
    <w:rsid w:val="00797873"/>
    <w:rsid w:val="007979CF"/>
    <w:rsid w:val="007A00B0"/>
    <w:rsid w:val="007A0EB2"/>
    <w:rsid w:val="007A13FF"/>
    <w:rsid w:val="007A18B8"/>
    <w:rsid w:val="007A1924"/>
    <w:rsid w:val="007A2004"/>
    <w:rsid w:val="007A235D"/>
    <w:rsid w:val="007A35B7"/>
    <w:rsid w:val="007A3797"/>
    <w:rsid w:val="007A4F32"/>
    <w:rsid w:val="007A55AB"/>
    <w:rsid w:val="007A56D7"/>
    <w:rsid w:val="007A585E"/>
    <w:rsid w:val="007A5B7F"/>
    <w:rsid w:val="007A7555"/>
    <w:rsid w:val="007A7842"/>
    <w:rsid w:val="007A78AD"/>
    <w:rsid w:val="007A78F7"/>
    <w:rsid w:val="007A7F25"/>
    <w:rsid w:val="007B01B2"/>
    <w:rsid w:val="007B0BBB"/>
    <w:rsid w:val="007B168E"/>
    <w:rsid w:val="007B189B"/>
    <w:rsid w:val="007B22F4"/>
    <w:rsid w:val="007B289A"/>
    <w:rsid w:val="007B2C49"/>
    <w:rsid w:val="007B3802"/>
    <w:rsid w:val="007B3CED"/>
    <w:rsid w:val="007B46FA"/>
    <w:rsid w:val="007B4E04"/>
    <w:rsid w:val="007B54C8"/>
    <w:rsid w:val="007B6296"/>
    <w:rsid w:val="007B6A55"/>
    <w:rsid w:val="007B746B"/>
    <w:rsid w:val="007C0B07"/>
    <w:rsid w:val="007C0E2B"/>
    <w:rsid w:val="007C11BB"/>
    <w:rsid w:val="007C1925"/>
    <w:rsid w:val="007C1D7A"/>
    <w:rsid w:val="007C2125"/>
    <w:rsid w:val="007C3E6E"/>
    <w:rsid w:val="007C43E3"/>
    <w:rsid w:val="007C4697"/>
    <w:rsid w:val="007C495C"/>
    <w:rsid w:val="007C5387"/>
    <w:rsid w:val="007C56D3"/>
    <w:rsid w:val="007C76D4"/>
    <w:rsid w:val="007D0426"/>
    <w:rsid w:val="007D1881"/>
    <w:rsid w:val="007D22F2"/>
    <w:rsid w:val="007D2CC0"/>
    <w:rsid w:val="007D2ED4"/>
    <w:rsid w:val="007D3DE4"/>
    <w:rsid w:val="007D416A"/>
    <w:rsid w:val="007D51B0"/>
    <w:rsid w:val="007D5E33"/>
    <w:rsid w:val="007D7964"/>
    <w:rsid w:val="007D7DE7"/>
    <w:rsid w:val="007E07A0"/>
    <w:rsid w:val="007E0B0E"/>
    <w:rsid w:val="007E1600"/>
    <w:rsid w:val="007E256D"/>
    <w:rsid w:val="007E322C"/>
    <w:rsid w:val="007E3658"/>
    <w:rsid w:val="007E44DE"/>
    <w:rsid w:val="007E4954"/>
    <w:rsid w:val="007E4BCC"/>
    <w:rsid w:val="007E53EC"/>
    <w:rsid w:val="007E62AF"/>
    <w:rsid w:val="007E66D9"/>
    <w:rsid w:val="007E6D54"/>
    <w:rsid w:val="007E6F22"/>
    <w:rsid w:val="007F0162"/>
    <w:rsid w:val="007F06D6"/>
    <w:rsid w:val="007F071F"/>
    <w:rsid w:val="007F250D"/>
    <w:rsid w:val="007F2624"/>
    <w:rsid w:val="007F2A17"/>
    <w:rsid w:val="007F47B8"/>
    <w:rsid w:val="007F4A04"/>
    <w:rsid w:val="007F5E0B"/>
    <w:rsid w:val="007F633E"/>
    <w:rsid w:val="007F6562"/>
    <w:rsid w:val="007F69AC"/>
    <w:rsid w:val="007F70C5"/>
    <w:rsid w:val="007F7898"/>
    <w:rsid w:val="008000D4"/>
    <w:rsid w:val="00800223"/>
    <w:rsid w:val="00800B3F"/>
    <w:rsid w:val="0080150F"/>
    <w:rsid w:val="00802284"/>
    <w:rsid w:val="0080265A"/>
    <w:rsid w:val="00803082"/>
    <w:rsid w:val="00804304"/>
    <w:rsid w:val="00804372"/>
    <w:rsid w:val="00804535"/>
    <w:rsid w:val="008045EF"/>
    <w:rsid w:val="00804C59"/>
    <w:rsid w:val="008059F2"/>
    <w:rsid w:val="008060C1"/>
    <w:rsid w:val="00806604"/>
    <w:rsid w:val="0080691D"/>
    <w:rsid w:val="0081045F"/>
    <w:rsid w:val="008107E5"/>
    <w:rsid w:val="00811AF6"/>
    <w:rsid w:val="00811BA2"/>
    <w:rsid w:val="00811E92"/>
    <w:rsid w:val="00812842"/>
    <w:rsid w:val="00812F94"/>
    <w:rsid w:val="008137B2"/>
    <w:rsid w:val="008138E6"/>
    <w:rsid w:val="0081397F"/>
    <w:rsid w:val="0081516E"/>
    <w:rsid w:val="00815C0B"/>
    <w:rsid w:val="0081624F"/>
    <w:rsid w:val="008163FE"/>
    <w:rsid w:val="00816587"/>
    <w:rsid w:val="00816A69"/>
    <w:rsid w:val="00816ED4"/>
    <w:rsid w:val="00817734"/>
    <w:rsid w:val="008178FA"/>
    <w:rsid w:val="00820306"/>
    <w:rsid w:val="008203AE"/>
    <w:rsid w:val="00820556"/>
    <w:rsid w:val="00820A0C"/>
    <w:rsid w:val="00820EE5"/>
    <w:rsid w:val="008212C3"/>
    <w:rsid w:val="00822361"/>
    <w:rsid w:val="0082275A"/>
    <w:rsid w:val="00824F7B"/>
    <w:rsid w:val="00825120"/>
    <w:rsid w:val="00825144"/>
    <w:rsid w:val="008254A0"/>
    <w:rsid w:val="00826B1C"/>
    <w:rsid w:val="008277AB"/>
    <w:rsid w:val="00827B1A"/>
    <w:rsid w:val="00830AA0"/>
    <w:rsid w:val="00831B7E"/>
    <w:rsid w:val="008321A0"/>
    <w:rsid w:val="00833789"/>
    <w:rsid w:val="00833BBE"/>
    <w:rsid w:val="008345A8"/>
    <w:rsid w:val="00834D54"/>
    <w:rsid w:val="00834F61"/>
    <w:rsid w:val="0083569A"/>
    <w:rsid w:val="00837755"/>
    <w:rsid w:val="008401FB"/>
    <w:rsid w:val="008413C7"/>
    <w:rsid w:val="00843B79"/>
    <w:rsid w:val="00843CBA"/>
    <w:rsid w:val="00844D13"/>
    <w:rsid w:val="00844D34"/>
    <w:rsid w:val="0084644C"/>
    <w:rsid w:val="00846994"/>
    <w:rsid w:val="00847B4F"/>
    <w:rsid w:val="0085026C"/>
    <w:rsid w:val="008521BF"/>
    <w:rsid w:val="008522EB"/>
    <w:rsid w:val="00852D7C"/>
    <w:rsid w:val="008537EF"/>
    <w:rsid w:val="00853B84"/>
    <w:rsid w:val="00855F35"/>
    <w:rsid w:val="00855F86"/>
    <w:rsid w:val="00856288"/>
    <w:rsid w:val="0085766C"/>
    <w:rsid w:val="00857B29"/>
    <w:rsid w:val="00860344"/>
    <w:rsid w:val="008606EB"/>
    <w:rsid w:val="008608B0"/>
    <w:rsid w:val="00861F3B"/>
    <w:rsid w:val="00862A9C"/>
    <w:rsid w:val="00862FEB"/>
    <w:rsid w:val="00863F78"/>
    <w:rsid w:val="008640D8"/>
    <w:rsid w:val="00864845"/>
    <w:rsid w:val="008656F9"/>
    <w:rsid w:val="00865847"/>
    <w:rsid w:val="008664B4"/>
    <w:rsid w:val="008677CA"/>
    <w:rsid w:val="00867BA8"/>
    <w:rsid w:val="008708BE"/>
    <w:rsid w:val="00870A28"/>
    <w:rsid w:val="00870EB7"/>
    <w:rsid w:val="008711A2"/>
    <w:rsid w:val="0087124E"/>
    <w:rsid w:val="00871525"/>
    <w:rsid w:val="008717B1"/>
    <w:rsid w:val="00871840"/>
    <w:rsid w:val="00872A2A"/>
    <w:rsid w:val="00872AA7"/>
    <w:rsid w:val="0087300A"/>
    <w:rsid w:val="00873B3C"/>
    <w:rsid w:val="008747D3"/>
    <w:rsid w:val="008750DE"/>
    <w:rsid w:val="00875453"/>
    <w:rsid w:val="00875718"/>
    <w:rsid w:val="00875B71"/>
    <w:rsid w:val="00875C68"/>
    <w:rsid w:val="00876591"/>
    <w:rsid w:val="008766D6"/>
    <w:rsid w:val="00877007"/>
    <w:rsid w:val="00877107"/>
    <w:rsid w:val="008775D7"/>
    <w:rsid w:val="00877BF9"/>
    <w:rsid w:val="008831E1"/>
    <w:rsid w:val="008836EA"/>
    <w:rsid w:val="008844C4"/>
    <w:rsid w:val="00885281"/>
    <w:rsid w:val="00885CC7"/>
    <w:rsid w:val="0088677C"/>
    <w:rsid w:val="00887287"/>
    <w:rsid w:val="00887460"/>
    <w:rsid w:val="00890893"/>
    <w:rsid w:val="00890BF3"/>
    <w:rsid w:val="008910E5"/>
    <w:rsid w:val="0089144D"/>
    <w:rsid w:val="008915B7"/>
    <w:rsid w:val="008917B8"/>
    <w:rsid w:val="00893641"/>
    <w:rsid w:val="008937AA"/>
    <w:rsid w:val="00893E25"/>
    <w:rsid w:val="00894449"/>
    <w:rsid w:val="00895576"/>
    <w:rsid w:val="00896156"/>
    <w:rsid w:val="00896CB4"/>
    <w:rsid w:val="008971C0"/>
    <w:rsid w:val="008974F8"/>
    <w:rsid w:val="00897772"/>
    <w:rsid w:val="008A04BD"/>
    <w:rsid w:val="008A0FB5"/>
    <w:rsid w:val="008A1990"/>
    <w:rsid w:val="008A1AA9"/>
    <w:rsid w:val="008A2D3C"/>
    <w:rsid w:val="008A317F"/>
    <w:rsid w:val="008A4C0F"/>
    <w:rsid w:val="008A50B6"/>
    <w:rsid w:val="008A56E2"/>
    <w:rsid w:val="008A5DFC"/>
    <w:rsid w:val="008A6F30"/>
    <w:rsid w:val="008B0952"/>
    <w:rsid w:val="008B1E1B"/>
    <w:rsid w:val="008B3AF6"/>
    <w:rsid w:val="008B414E"/>
    <w:rsid w:val="008B5C08"/>
    <w:rsid w:val="008B60EF"/>
    <w:rsid w:val="008B718C"/>
    <w:rsid w:val="008C0E14"/>
    <w:rsid w:val="008C2CA5"/>
    <w:rsid w:val="008C5098"/>
    <w:rsid w:val="008C57B8"/>
    <w:rsid w:val="008C609B"/>
    <w:rsid w:val="008C7068"/>
    <w:rsid w:val="008C77B9"/>
    <w:rsid w:val="008C7845"/>
    <w:rsid w:val="008D0011"/>
    <w:rsid w:val="008D0271"/>
    <w:rsid w:val="008D04C7"/>
    <w:rsid w:val="008D08BC"/>
    <w:rsid w:val="008D17F3"/>
    <w:rsid w:val="008D18B0"/>
    <w:rsid w:val="008D1901"/>
    <w:rsid w:val="008D1AB5"/>
    <w:rsid w:val="008D1E7A"/>
    <w:rsid w:val="008D220D"/>
    <w:rsid w:val="008D2A5B"/>
    <w:rsid w:val="008D3410"/>
    <w:rsid w:val="008D48BC"/>
    <w:rsid w:val="008D4C88"/>
    <w:rsid w:val="008D4CC3"/>
    <w:rsid w:val="008D568C"/>
    <w:rsid w:val="008D6896"/>
    <w:rsid w:val="008D7A62"/>
    <w:rsid w:val="008E0071"/>
    <w:rsid w:val="008E0CE3"/>
    <w:rsid w:val="008E0F94"/>
    <w:rsid w:val="008E1081"/>
    <w:rsid w:val="008E1256"/>
    <w:rsid w:val="008E1326"/>
    <w:rsid w:val="008E283D"/>
    <w:rsid w:val="008E2B8F"/>
    <w:rsid w:val="008E30C4"/>
    <w:rsid w:val="008E3563"/>
    <w:rsid w:val="008E5085"/>
    <w:rsid w:val="008E5AF1"/>
    <w:rsid w:val="008E7093"/>
    <w:rsid w:val="008E7100"/>
    <w:rsid w:val="008E7167"/>
    <w:rsid w:val="008E7529"/>
    <w:rsid w:val="008E757C"/>
    <w:rsid w:val="008E7677"/>
    <w:rsid w:val="008E79F7"/>
    <w:rsid w:val="008E7B8D"/>
    <w:rsid w:val="008E7E71"/>
    <w:rsid w:val="008F1213"/>
    <w:rsid w:val="008F20F4"/>
    <w:rsid w:val="008F22C2"/>
    <w:rsid w:val="008F3379"/>
    <w:rsid w:val="008F3781"/>
    <w:rsid w:val="008F3DEB"/>
    <w:rsid w:val="008F49C8"/>
    <w:rsid w:val="008F4A65"/>
    <w:rsid w:val="008F4D73"/>
    <w:rsid w:val="008F5128"/>
    <w:rsid w:val="008F513A"/>
    <w:rsid w:val="008F6070"/>
    <w:rsid w:val="008F6838"/>
    <w:rsid w:val="008F6CDF"/>
    <w:rsid w:val="008F72F3"/>
    <w:rsid w:val="00900708"/>
    <w:rsid w:val="00900E13"/>
    <w:rsid w:val="0090152B"/>
    <w:rsid w:val="009020DF"/>
    <w:rsid w:val="00902AFF"/>
    <w:rsid w:val="00903743"/>
    <w:rsid w:val="009040D0"/>
    <w:rsid w:val="00906077"/>
    <w:rsid w:val="00906737"/>
    <w:rsid w:val="00906936"/>
    <w:rsid w:val="00906DCD"/>
    <w:rsid w:val="00907302"/>
    <w:rsid w:val="0090775E"/>
    <w:rsid w:val="009104A1"/>
    <w:rsid w:val="009118E2"/>
    <w:rsid w:val="00911FEA"/>
    <w:rsid w:val="00914A48"/>
    <w:rsid w:val="00915FC0"/>
    <w:rsid w:val="009161F6"/>
    <w:rsid w:val="0091667B"/>
    <w:rsid w:val="00917E79"/>
    <w:rsid w:val="0092038B"/>
    <w:rsid w:val="00921907"/>
    <w:rsid w:val="009222FB"/>
    <w:rsid w:val="00923625"/>
    <w:rsid w:val="00923CDD"/>
    <w:rsid w:val="0092421B"/>
    <w:rsid w:val="00925B60"/>
    <w:rsid w:val="00925E2B"/>
    <w:rsid w:val="00925FEE"/>
    <w:rsid w:val="0092686F"/>
    <w:rsid w:val="00926C21"/>
    <w:rsid w:val="00926E91"/>
    <w:rsid w:val="00927A52"/>
    <w:rsid w:val="00931C92"/>
    <w:rsid w:val="00931DB7"/>
    <w:rsid w:val="00932669"/>
    <w:rsid w:val="00932A5D"/>
    <w:rsid w:val="00932F14"/>
    <w:rsid w:val="00933B03"/>
    <w:rsid w:val="00933DF3"/>
    <w:rsid w:val="009340A1"/>
    <w:rsid w:val="00935467"/>
    <w:rsid w:val="009354C3"/>
    <w:rsid w:val="00935AD5"/>
    <w:rsid w:val="00936E3C"/>
    <w:rsid w:val="009402FF"/>
    <w:rsid w:val="00940B81"/>
    <w:rsid w:val="00941186"/>
    <w:rsid w:val="00941238"/>
    <w:rsid w:val="00942341"/>
    <w:rsid w:val="00942392"/>
    <w:rsid w:val="00942408"/>
    <w:rsid w:val="0094265A"/>
    <w:rsid w:val="00942696"/>
    <w:rsid w:val="00942855"/>
    <w:rsid w:val="00942980"/>
    <w:rsid w:val="00943D78"/>
    <w:rsid w:val="0094467E"/>
    <w:rsid w:val="00945CED"/>
    <w:rsid w:val="0094657A"/>
    <w:rsid w:val="00947275"/>
    <w:rsid w:val="009472E5"/>
    <w:rsid w:val="00947666"/>
    <w:rsid w:val="00950DC8"/>
    <w:rsid w:val="009519CB"/>
    <w:rsid w:val="009531B1"/>
    <w:rsid w:val="00953991"/>
    <w:rsid w:val="00954A81"/>
    <w:rsid w:val="00954DAF"/>
    <w:rsid w:val="00955032"/>
    <w:rsid w:val="00955435"/>
    <w:rsid w:val="009555CC"/>
    <w:rsid w:val="00955621"/>
    <w:rsid w:val="00956B4B"/>
    <w:rsid w:val="00956E44"/>
    <w:rsid w:val="009571F2"/>
    <w:rsid w:val="0095760D"/>
    <w:rsid w:val="00957C9F"/>
    <w:rsid w:val="009603FE"/>
    <w:rsid w:val="00961061"/>
    <w:rsid w:val="00962466"/>
    <w:rsid w:val="0096286B"/>
    <w:rsid w:val="009629F3"/>
    <w:rsid w:val="00962A00"/>
    <w:rsid w:val="009634FB"/>
    <w:rsid w:val="00963711"/>
    <w:rsid w:val="009638E2"/>
    <w:rsid w:val="009644ED"/>
    <w:rsid w:val="00964C73"/>
    <w:rsid w:val="00965B59"/>
    <w:rsid w:val="0096603C"/>
    <w:rsid w:val="009666E8"/>
    <w:rsid w:val="00967655"/>
    <w:rsid w:val="009677AB"/>
    <w:rsid w:val="00967DEC"/>
    <w:rsid w:val="00971759"/>
    <w:rsid w:val="00971CB8"/>
    <w:rsid w:val="00971FAD"/>
    <w:rsid w:val="00972D30"/>
    <w:rsid w:val="00972E4E"/>
    <w:rsid w:val="009734C5"/>
    <w:rsid w:val="00973706"/>
    <w:rsid w:val="00974939"/>
    <w:rsid w:val="00975182"/>
    <w:rsid w:val="0097525B"/>
    <w:rsid w:val="00975889"/>
    <w:rsid w:val="00976157"/>
    <w:rsid w:val="009772A6"/>
    <w:rsid w:val="00977857"/>
    <w:rsid w:val="00977899"/>
    <w:rsid w:val="00977FA0"/>
    <w:rsid w:val="00980825"/>
    <w:rsid w:val="0098282D"/>
    <w:rsid w:val="00982CBB"/>
    <w:rsid w:val="009831C2"/>
    <w:rsid w:val="0098340B"/>
    <w:rsid w:val="00984918"/>
    <w:rsid w:val="00985444"/>
    <w:rsid w:val="00985D4A"/>
    <w:rsid w:val="00985DF4"/>
    <w:rsid w:val="009863A0"/>
    <w:rsid w:val="00986622"/>
    <w:rsid w:val="00986D0D"/>
    <w:rsid w:val="00987BC4"/>
    <w:rsid w:val="00987E6D"/>
    <w:rsid w:val="009907B7"/>
    <w:rsid w:val="0099093A"/>
    <w:rsid w:val="00990BE6"/>
    <w:rsid w:val="009910A4"/>
    <w:rsid w:val="00993234"/>
    <w:rsid w:val="00995E42"/>
    <w:rsid w:val="00995EAA"/>
    <w:rsid w:val="00995F9E"/>
    <w:rsid w:val="009963EC"/>
    <w:rsid w:val="00996637"/>
    <w:rsid w:val="009967C7"/>
    <w:rsid w:val="00996B40"/>
    <w:rsid w:val="00996FBE"/>
    <w:rsid w:val="00997E97"/>
    <w:rsid w:val="009A0021"/>
    <w:rsid w:val="009A0AB2"/>
    <w:rsid w:val="009A0CD1"/>
    <w:rsid w:val="009A0F8D"/>
    <w:rsid w:val="009A16E8"/>
    <w:rsid w:val="009A1BAC"/>
    <w:rsid w:val="009A20F6"/>
    <w:rsid w:val="009A28E8"/>
    <w:rsid w:val="009A34E9"/>
    <w:rsid w:val="009A3A82"/>
    <w:rsid w:val="009A3A9E"/>
    <w:rsid w:val="009A404F"/>
    <w:rsid w:val="009A507C"/>
    <w:rsid w:val="009A5C1C"/>
    <w:rsid w:val="009A60B4"/>
    <w:rsid w:val="009A657B"/>
    <w:rsid w:val="009B0E3A"/>
    <w:rsid w:val="009B0EB2"/>
    <w:rsid w:val="009B27DB"/>
    <w:rsid w:val="009B2ABE"/>
    <w:rsid w:val="009B48B4"/>
    <w:rsid w:val="009B4EFA"/>
    <w:rsid w:val="009B4F41"/>
    <w:rsid w:val="009B5164"/>
    <w:rsid w:val="009B56B7"/>
    <w:rsid w:val="009B6594"/>
    <w:rsid w:val="009B6C66"/>
    <w:rsid w:val="009B6D1A"/>
    <w:rsid w:val="009B7297"/>
    <w:rsid w:val="009C03CC"/>
    <w:rsid w:val="009C05FD"/>
    <w:rsid w:val="009C0B18"/>
    <w:rsid w:val="009C0B58"/>
    <w:rsid w:val="009C109A"/>
    <w:rsid w:val="009C13EB"/>
    <w:rsid w:val="009C2B4B"/>
    <w:rsid w:val="009C3E70"/>
    <w:rsid w:val="009C43F3"/>
    <w:rsid w:val="009C49B9"/>
    <w:rsid w:val="009C4AAC"/>
    <w:rsid w:val="009C4ADE"/>
    <w:rsid w:val="009C4D44"/>
    <w:rsid w:val="009C51A0"/>
    <w:rsid w:val="009C5627"/>
    <w:rsid w:val="009C5C19"/>
    <w:rsid w:val="009C6145"/>
    <w:rsid w:val="009C671B"/>
    <w:rsid w:val="009C6C5F"/>
    <w:rsid w:val="009C780A"/>
    <w:rsid w:val="009D1773"/>
    <w:rsid w:val="009D19C2"/>
    <w:rsid w:val="009D23B2"/>
    <w:rsid w:val="009D2B54"/>
    <w:rsid w:val="009D4077"/>
    <w:rsid w:val="009D5B96"/>
    <w:rsid w:val="009D79BD"/>
    <w:rsid w:val="009E0B16"/>
    <w:rsid w:val="009E0C82"/>
    <w:rsid w:val="009E0DB9"/>
    <w:rsid w:val="009E0DEA"/>
    <w:rsid w:val="009E1106"/>
    <w:rsid w:val="009E13A6"/>
    <w:rsid w:val="009E19B3"/>
    <w:rsid w:val="009E2004"/>
    <w:rsid w:val="009E2145"/>
    <w:rsid w:val="009E2A29"/>
    <w:rsid w:val="009E3661"/>
    <w:rsid w:val="009E3800"/>
    <w:rsid w:val="009E49FC"/>
    <w:rsid w:val="009E52E2"/>
    <w:rsid w:val="009E66EE"/>
    <w:rsid w:val="009E6713"/>
    <w:rsid w:val="009E7DCA"/>
    <w:rsid w:val="009F049C"/>
    <w:rsid w:val="009F17E7"/>
    <w:rsid w:val="009F1AC6"/>
    <w:rsid w:val="009F2273"/>
    <w:rsid w:val="009F234A"/>
    <w:rsid w:val="009F2993"/>
    <w:rsid w:val="009F34C9"/>
    <w:rsid w:val="009F34F6"/>
    <w:rsid w:val="009F37C4"/>
    <w:rsid w:val="009F37F7"/>
    <w:rsid w:val="009F48E8"/>
    <w:rsid w:val="009F4CE5"/>
    <w:rsid w:val="009F4FD2"/>
    <w:rsid w:val="009F5224"/>
    <w:rsid w:val="009F59FF"/>
    <w:rsid w:val="009F6292"/>
    <w:rsid w:val="009F71BD"/>
    <w:rsid w:val="009F7685"/>
    <w:rsid w:val="00A00565"/>
    <w:rsid w:val="00A00A2E"/>
    <w:rsid w:val="00A01889"/>
    <w:rsid w:val="00A01AEA"/>
    <w:rsid w:val="00A01B8A"/>
    <w:rsid w:val="00A01EF6"/>
    <w:rsid w:val="00A02757"/>
    <w:rsid w:val="00A028F7"/>
    <w:rsid w:val="00A03512"/>
    <w:rsid w:val="00A03537"/>
    <w:rsid w:val="00A03B1D"/>
    <w:rsid w:val="00A03B5C"/>
    <w:rsid w:val="00A04E0C"/>
    <w:rsid w:val="00A0513D"/>
    <w:rsid w:val="00A05833"/>
    <w:rsid w:val="00A05B89"/>
    <w:rsid w:val="00A066A7"/>
    <w:rsid w:val="00A066D9"/>
    <w:rsid w:val="00A07060"/>
    <w:rsid w:val="00A1007F"/>
    <w:rsid w:val="00A104D8"/>
    <w:rsid w:val="00A11551"/>
    <w:rsid w:val="00A128C5"/>
    <w:rsid w:val="00A12991"/>
    <w:rsid w:val="00A129F5"/>
    <w:rsid w:val="00A12D41"/>
    <w:rsid w:val="00A13DB8"/>
    <w:rsid w:val="00A15C3B"/>
    <w:rsid w:val="00A15D9E"/>
    <w:rsid w:val="00A1727C"/>
    <w:rsid w:val="00A20281"/>
    <w:rsid w:val="00A207F7"/>
    <w:rsid w:val="00A20A2C"/>
    <w:rsid w:val="00A20A81"/>
    <w:rsid w:val="00A218C7"/>
    <w:rsid w:val="00A21F42"/>
    <w:rsid w:val="00A221ED"/>
    <w:rsid w:val="00A223A1"/>
    <w:rsid w:val="00A223E9"/>
    <w:rsid w:val="00A22522"/>
    <w:rsid w:val="00A239EF"/>
    <w:rsid w:val="00A24D47"/>
    <w:rsid w:val="00A25B94"/>
    <w:rsid w:val="00A25BD2"/>
    <w:rsid w:val="00A269E1"/>
    <w:rsid w:val="00A27269"/>
    <w:rsid w:val="00A2737F"/>
    <w:rsid w:val="00A310AC"/>
    <w:rsid w:val="00A312F5"/>
    <w:rsid w:val="00A31319"/>
    <w:rsid w:val="00A31673"/>
    <w:rsid w:val="00A31F1F"/>
    <w:rsid w:val="00A327B2"/>
    <w:rsid w:val="00A33160"/>
    <w:rsid w:val="00A33F9E"/>
    <w:rsid w:val="00A34749"/>
    <w:rsid w:val="00A352FC"/>
    <w:rsid w:val="00A353C8"/>
    <w:rsid w:val="00A35DE5"/>
    <w:rsid w:val="00A37193"/>
    <w:rsid w:val="00A37A53"/>
    <w:rsid w:val="00A37F80"/>
    <w:rsid w:val="00A409DE"/>
    <w:rsid w:val="00A418EB"/>
    <w:rsid w:val="00A41C02"/>
    <w:rsid w:val="00A430ED"/>
    <w:rsid w:val="00A43389"/>
    <w:rsid w:val="00A445DA"/>
    <w:rsid w:val="00A45F5F"/>
    <w:rsid w:val="00A46997"/>
    <w:rsid w:val="00A46AB9"/>
    <w:rsid w:val="00A46C61"/>
    <w:rsid w:val="00A46CD9"/>
    <w:rsid w:val="00A46F2E"/>
    <w:rsid w:val="00A4715E"/>
    <w:rsid w:val="00A4741F"/>
    <w:rsid w:val="00A47B46"/>
    <w:rsid w:val="00A50346"/>
    <w:rsid w:val="00A50B23"/>
    <w:rsid w:val="00A51678"/>
    <w:rsid w:val="00A51803"/>
    <w:rsid w:val="00A524D1"/>
    <w:rsid w:val="00A5312D"/>
    <w:rsid w:val="00A53F7D"/>
    <w:rsid w:val="00A54871"/>
    <w:rsid w:val="00A55D50"/>
    <w:rsid w:val="00A565EB"/>
    <w:rsid w:val="00A56648"/>
    <w:rsid w:val="00A56C9F"/>
    <w:rsid w:val="00A56D99"/>
    <w:rsid w:val="00A56E71"/>
    <w:rsid w:val="00A57F24"/>
    <w:rsid w:val="00A6063D"/>
    <w:rsid w:val="00A6076B"/>
    <w:rsid w:val="00A60868"/>
    <w:rsid w:val="00A61182"/>
    <w:rsid w:val="00A615EC"/>
    <w:rsid w:val="00A62087"/>
    <w:rsid w:val="00A62891"/>
    <w:rsid w:val="00A636E4"/>
    <w:rsid w:val="00A64038"/>
    <w:rsid w:val="00A644C6"/>
    <w:rsid w:val="00A648DA"/>
    <w:rsid w:val="00A64AFC"/>
    <w:rsid w:val="00A65616"/>
    <w:rsid w:val="00A65D4C"/>
    <w:rsid w:val="00A6663E"/>
    <w:rsid w:val="00A674DE"/>
    <w:rsid w:val="00A67DDE"/>
    <w:rsid w:val="00A7097E"/>
    <w:rsid w:val="00A715FC"/>
    <w:rsid w:val="00A71EA2"/>
    <w:rsid w:val="00A720E8"/>
    <w:rsid w:val="00A72156"/>
    <w:rsid w:val="00A72503"/>
    <w:rsid w:val="00A72773"/>
    <w:rsid w:val="00A72D52"/>
    <w:rsid w:val="00A734F2"/>
    <w:rsid w:val="00A7441A"/>
    <w:rsid w:val="00A75193"/>
    <w:rsid w:val="00A763A8"/>
    <w:rsid w:val="00A7714A"/>
    <w:rsid w:val="00A77563"/>
    <w:rsid w:val="00A7798B"/>
    <w:rsid w:val="00A806DC"/>
    <w:rsid w:val="00A81310"/>
    <w:rsid w:val="00A825B9"/>
    <w:rsid w:val="00A82C94"/>
    <w:rsid w:val="00A85CF9"/>
    <w:rsid w:val="00A86331"/>
    <w:rsid w:val="00A8683E"/>
    <w:rsid w:val="00A86993"/>
    <w:rsid w:val="00A90C97"/>
    <w:rsid w:val="00A90CE8"/>
    <w:rsid w:val="00A9119A"/>
    <w:rsid w:val="00A91399"/>
    <w:rsid w:val="00A91DEA"/>
    <w:rsid w:val="00A929C3"/>
    <w:rsid w:val="00A93D46"/>
    <w:rsid w:val="00A94949"/>
    <w:rsid w:val="00A9587F"/>
    <w:rsid w:val="00A96810"/>
    <w:rsid w:val="00A96BBB"/>
    <w:rsid w:val="00A97261"/>
    <w:rsid w:val="00AA064F"/>
    <w:rsid w:val="00AA0EDE"/>
    <w:rsid w:val="00AA2344"/>
    <w:rsid w:val="00AA25F9"/>
    <w:rsid w:val="00AA2F96"/>
    <w:rsid w:val="00AA3103"/>
    <w:rsid w:val="00AA446E"/>
    <w:rsid w:val="00AA5A76"/>
    <w:rsid w:val="00AA5C15"/>
    <w:rsid w:val="00AA625F"/>
    <w:rsid w:val="00AA62CA"/>
    <w:rsid w:val="00AA630D"/>
    <w:rsid w:val="00AB0192"/>
    <w:rsid w:val="00AB2E3E"/>
    <w:rsid w:val="00AB3004"/>
    <w:rsid w:val="00AB4619"/>
    <w:rsid w:val="00AB558E"/>
    <w:rsid w:val="00AB5665"/>
    <w:rsid w:val="00AB5888"/>
    <w:rsid w:val="00AB5AEB"/>
    <w:rsid w:val="00AB678C"/>
    <w:rsid w:val="00AB6894"/>
    <w:rsid w:val="00AB710B"/>
    <w:rsid w:val="00AB72F6"/>
    <w:rsid w:val="00AB7607"/>
    <w:rsid w:val="00AC1549"/>
    <w:rsid w:val="00AC2A02"/>
    <w:rsid w:val="00AC2C4C"/>
    <w:rsid w:val="00AC2E87"/>
    <w:rsid w:val="00AC425E"/>
    <w:rsid w:val="00AC49E1"/>
    <w:rsid w:val="00AC4D8C"/>
    <w:rsid w:val="00AC4FBB"/>
    <w:rsid w:val="00AC509A"/>
    <w:rsid w:val="00AC5640"/>
    <w:rsid w:val="00AC56DD"/>
    <w:rsid w:val="00AC573C"/>
    <w:rsid w:val="00AC6172"/>
    <w:rsid w:val="00AC79BF"/>
    <w:rsid w:val="00AC7C84"/>
    <w:rsid w:val="00AD00B0"/>
    <w:rsid w:val="00AD02AA"/>
    <w:rsid w:val="00AD05D3"/>
    <w:rsid w:val="00AD096A"/>
    <w:rsid w:val="00AD29F1"/>
    <w:rsid w:val="00AD32CB"/>
    <w:rsid w:val="00AD3346"/>
    <w:rsid w:val="00AD44BC"/>
    <w:rsid w:val="00AD51A3"/>
    <w:rsid w:val="00AD58C5"/>
    <w:rsid w:val="00AD5E3F"/>
    <w:rsid w:val="00AD630E"/>
    <w:rsid w:val="00AD667C"/>
    <w:rsid w:val="00AE0537"/>
    <w:rsid w:val="00AE12B9"/>
    <w:rsid w:val="00AE19A2"/>
    <w:rsid w:val="00AE22AF"/>
    <w:rsid w:val="00AE389D"/>
    <w:rsid w:val="00AE3E1B"/>
    <w:rsid w:val="00AE4ACA"/>
    <w:rsid w:val="00AE590D"/>
    <w:rsid w:val="00AE5D22"/>
    <w:rsid w:val="00AE5D42"/>
    <w:rsid w:val="00AE67FA"/>
    <w:rsid w:val="00AE6A7B"/>
    <w:rsid w:val="00AE7722"/>
    <w:rsid w:val="00AE7C78"/>
    <w:rsid w:val="00AF0DCF"/>
    <w:rsid w:val="00AF35E2"/>
    <w:rsid w:val="00AF5A30"/>
    <w:rsid w:val="00AF6AC2"/>
    <w:rsid w:val="00AF7C18"/>
    <w:rsid w:val="00AF7F8F"/>
    <w:rsid w:val="00B008D2"/>
    <w:rsid w:val="00B00919"/>
    <w:rsid w:val="00B01414"/>
    <w:rsid w:val="00B022F3"/>
    <w:rsid w:val="00B02614"/>
    <w:rsid w:val="00B03139"/>
    <w:rsid w:val="00B041CB"/>
    <w:rsid w:val="00B04893"/>
    <w:rsid w:val="00B04EA8"/>
    <w:rsid w:val="00B04F9B"/>
    <w:rsid w:val="00B0526D"/>
    <w:rsid w:val="00B0595D"/>
    <w:rsid w:val="00B06048"/>
    <w:rsid w:val="00B070FE"/>
    <w:rsid w:val="00B0720E"/>
    <w:rsid w:val="00B077E3"/>
    <w:rsid w:val="00B07A49"/>
    <w:rsid w:val="00B07B49"/>
    <w:rsid w:val="00B10752"/>
    <w:rsid w:val="00B1090D"/>
    <w:rsid w:val="00B11672"/>
    <w:rsid w:val="00B11A2A"/>
    <w:rsid w:val="00B124A8"/>
    <w:rsid w:val="00B124C9"/>
    <w:rsid w:val="00B125EA"/>
    <w:rsid w:val="00B12793"/>
    <w:rsid w:val="00B12A80"/>
    <w:rsid w:val="00B12E74"/>
    <w:rsid w:val="00B13803"/>
    <w:rsid w:val="00B13A0D"/>
    <w:rsid w:val="00B14BFA"/>
    <w:rsid w:val="00B15197"/>
    <w:rsid w:val="00B15349"/>
    <w:rsid w:val="00B15414"/>
    <w:rsid w:val="00B1551F"/>
    <w:rsid w:val="00B17BE4"/>
    <w:rsid w:val="00B17D9C"/>
    <w:rsid w:val="00B20E80"/>
    <w:rsid w:val="00B21446"/>
    <w:rsid w:val="00B217AF"/>
    <w:rsid w:val="00B218EC"/>
    <w:rsid w:val="00B228DA"/>
    <w:rsid w:val="00B229AE"/>
    <w:rsid w:val="00B23225"/>
    <w:rsid w:val="00B23AFC"/>
    <w:rsid w:val="00B23F55"/>
    <w:rsid w:val="00B243BA"/>
    <w:rsid w:val="00B24BA3"/>
    <w:rsid w:val="00B24EBD"/>
    <w:rsid w:val="00B24F41"/>
    <w:rsid w:val="00B25290"/>
    <w:rsid w:val="00B253A6"/>
    <w:rsid w:val="00B253D6"/>
    <w:rsid w:val="00B2559A"/>
    <w:rsid w:val="00B25F6D"/>
    <w:rsid w:val="00B26051"/>
    <w:rsid w:val="00B26610"/>
    <w:rsid w:val="00B27004"/>
    <w:rsid w:val="00B3075D"/>
    <w:rsid w:val="00B309E1"/>
    <w:rsid w:val="00B31133"/>
    <w:rsid w:val="00B31A57"/>
    <w:rsid w:val="00B320F3"/>
    <w:rsid w:val="00B3226D"/>
    <w:rsid w:val="00B325A0"/>
    <w:rsid w:val="00B3268D"/>
    <w:rsid w:val="00B326E3"/>
    <w:rsid w:val="00B32826"/>
    <w:rsid w:val="00B3299F"/>
    <w:rsid w:val="00B32B5B"/>
    <w:rsid w:val="00B33298"/>
    <w:rsid w:val="00B33331"/>
    <w:rsid w:val="00B341E2"/>
    <w:rsid w:val="00B353F3"/>
    <w:rsid w:val="00B36253"/>
    <w:rsid w:val="00B363BC"/>
    <w:rsid w:val="00B37921"/>
    <w:rsid w:val="00B37AE6"/>
    <w:rsid w:val="00B401F6"/>
    <w:rsid w:val="00B40FEF"/>
    <w:rsid w:val="00B41E48"/>
    <w:rsid w:val="00B422C0"/>
    <w:rsid w:val="00B4343E"/>
    <w:rsid w:val="00B43DB8"/>
    <w:rsid w:val="00B44DF5"/>
    <w:rsid w:val="00B451C4"/>
    <w:rsid w:val="00B45267"/>
    <w:rsid w:val="00B452DB"/>
    <w:rsid w:val="00B45971"/>
    <w:rsid w:val="00B45B9C"/>
    <w:rsid w:val="00B46BC1"/>
    <w:rsid w:val="00B46EDF"/>
    <w:rsid w:val="00B472B6"/>
    <w:rsid w:val="00B47506"/>
    <w:rsid w:val="00B4764F"/>
    <w:rsid w:val="00B47AD5"/>
    <w:rsid w:val="00B47C24"/>
    <w:rsid w:val="00B50E57"/>
    <w:rsid w:val="00B52550"/>
    <w:rsid w:val="00B528FE"/>
    <w:rsid w:val="00B532EA"/>
    <w:rsid w:val="00B53714"/>
    <w:rsid w:val="00B53803"/>
    <w:rsid w:val="00B53876"/>
    <w:rsid w:val="00B541F6"/>
    <w:rsid w:val="00B54D86"/>
    <w:rsid w:val="00B573BC"/>
    <w:rsid w:val="00B57A8A"/>
    <w:rsid w:val="00B60075"/>
    <w:rsid w:val="00B6032B"/>
    <w:rsid w:val="00B604E2"/>
    <w:rsid w:val="00B60E24"/>
    <w:rsid w:val="00B61110"/>
    <w:rsid w:val="00B61A17"/>
    <w:rsid w:val="00B61D85"/>
    <w:rsid w:val="00B6237B"/>
    <w:rsid w:val="00B62920"/>
    <w:rsid w:val="00B63105"/>
    <w:rsid w:val="00B636F4"/>
    <w:rsid w:val="00B63C5A"/>
    <w:rsid w:val="00B642BE"/>
    <w:rsid w:val="00B644A3"/>
    <w:rsid w:val="00B6459F"/>
    <w:rsid w:val="00B647FB"/>
    <w:rsid w:val="00B6537E"/>
    <w:rsid w:val="00B65663"/>
    <w:rsid w:val="00B6681F"/>
    <w:rsid w:val="00B66CDE"/>
    <w:rsid w:val="00B67DA0"/>
    <w:rsid w:val="00B702C7"/>
    <w:rsid w:val="00B70914"/>
    <w:rsid w:val="00B7174B"/>
    <w:rsid w:val="00B71C2A"/>
    <w:rsid w:val="00B72C48"/>
    <w:rsid w:val="00B74B14"/>
    <w:rsid w:val="00B74DB4"/>
    <w:rsid w:val="00B76779"/>
    <w:rsid w:val="00B7704A"/>
    <w:rsid w:val="00B801BE"/>
    <w:rsid w:val="00B80272"/>
    <w:rsid w:val="00B8039C"/>
    <w:rsid w:val="00B806FE"/>
    <w:rsid w:val="00B818B9"/>
    <w:rsid w:val="00B81EC5"/>
    <w:rsid w:val="00B825D3"/>
    <w:rsid w:val="00B825E6"/>
    <w:rsid w:val="00B82B81"/>
    <w:rsid w:val="00B836E8"/>
    <w:rsid w:val="00B848BB"/>
    <w:rsid w:val="00B84B31"/>
    <w:rsid w:val="00B85073"/>
    <w:rsid w:val="00B850C8"/>
    <w:rsid w:val="00B8615F"/>
    <w:rsid w:val="00B87EBF"/>
    <w:rsid w:val="00B9004C"/>
    <w:rsid w:val="00B907F0"/>
    <w:rsid w:val="00B91804"/>
    <w:rsid w:val="00B92687"/>
    <w:rsid w:val="00B929B4"/>
    <w:rsid w:val="00B929F4"/>
    <w:rsid w:val="00B92E5F"/>
    <w:rsid w:val="00B9320B"/>
    <w:rsid w:val="00B93466"/>
    <w:rsid w:val="00B93CFC"/>
    <w:rsid w:val="00B93F93"/>
    <w:rsid w:val="00B94DB6"/>
    <w:rsid w:val="00B94DD1"/>
    <w:rsid w:val="00B9547A"/>
    <w:rsid w:val="00B9653C"/>
    <w:rsid w:val="00B96EDB"/>
    <w:rsid w:val="00B96FF1"/>
    <w:rsid w:val="00B97779"/>
    <w:rsid w:val="00B97854"/>
    <w:rsid w:val="00BA0084"/>
    <w:rsid w:val="00BA019D"/>
    <w:rsid w:val="00BA1C3D"/>
    <w:rsid w:val="00BA4860"/>
    <w:rsid w:val="00BA51F6"/>
    <w:rsid w:val="00BA5ACE"/>
    <w:rsid w:val="00BA5AF4"/>
    <w:rsid w:val="00BA6A21"/>
    <w:rsid w:val="00BA6BDD"/>
    <w:rsid w:val="00BA7081"/>
    <w:rsid w:val="00BA7596"/>
    <w:rsid w:val="00BA77DC"/>
    <w:rsid w:val="00BB04FC"/>
    <w:rsid w:val="00BB05DF"/>
    <w:rsid w:val="00BB0B97"/>
    <w:rsid w:val="00BB1B73"/>
    <w:rsid w:val="00BB230D"/>
    <w:rsid w:val="00BB28F6"/>
    <w:rsid w:val="00BB2B17"/>
    <w:rsid w:val="00BB2CBF"/>
    <w:rsid w:val="00BB2E89"/>
    <w:rsid w:val="00BB4363"/>
    <w:rsid w:val="00BB47A7"/>
    <w:rsid w:val="00BB489E"/>
    <w:rsid w:val="00BB496E"/>
    <w:rsid w:val="00BB5499"/>
    <w:rsid w:val="00BB63B4"/>
    <w:rsid w:val="00BB6EEE"/>
    <w:rsid w:val="00BB7F0A"/>
    <w:rsid w:val="00BC0A3E"/>
    <w:rsid w:val="00BC0AF7"/>
    <w:rsid w:val="00BC1B73"/>
    <w:rsid w:val="00BC1DBE"/>
    <w:rsid w:val="00BC1E3D"/>
    <w:rsid w:val="00BC2555"/>
    <w:rsid w:val="00BC2560"/>
    <w:rsid w:val="00BC2B83"/>
    <w:rsid w:val="00BC33E6"/>
    <w:rsid w:val="00BC3555"/>
    <w:rsid w:val="00BC37AC"/>
    <w:rsid w:val="00BC5E39"/>
    <w:rsid w:val="00BC5F81"/>
    <w:rsid w:val="00BC6066"/>
    <w:rsid w:val="00BC63A8"/>
    <w:rsid w:val="00BC6B6E"/>
    <w:rsid w:val="00BC7046"/>
    <w:rsid w:val="00BD1489"/>
    <w:rsid w:val="00BD2003"/>
    <w:rsid w:val="00BD2550"/>
    <w:rsid w:val="00BD3150"/>
    <w:rsid w:val="00BD34D6"/>
    <w:rsid w:val="00BD398E"/>
    <w:rsid w:val="00BD40E7"/>
    <w:rsid w:val="00BD4402"/>
    <w:rsid w:val="00BD4D4B"/>
    <w:rsid w:val="00BD562E"/>
    <w:rsid w:val="00BD5FDC"/>
    <w:rsid w:val="00BD6A2B"/>
    <w:rsid w:val="00BD714F"/>
    <w:rsid w:val="00BD7CF4"/>
    <w:rsid w:val="00BE07D7"/>
    <w:rsid w:val="00BE1557"/>
    <w:rsid w:val="00BE1A78"/>
    <w:rsid w:val="00BE1E8E"/>
    <w:rsid w:val="00BE20C8"/>
    <w:rsid w:val="00BE2351"/>
    <w:rsid w:val="00BE2FE1"/>
    <w:rsid w:val="00BE37B7"/>
    <w:rsid w:val="00BE40CC"/>
    <w:rsid w:val="00BE4150"/>
    <w:rsid w:val="00BE44CC"/>
    <w:rsid w:val="00BE45D3"/>
    <w:rsid w:val="00BE47B1"/>
    <w:rsid w:val="00BE4831"/>
    <w:rsid w:val="00BE5F8C"/>
    <w:rsid w:val="00BE604C"/>
    <w:rsid w:val="00BE644E"/>
    <w:rsid w:val="00BE6C4C"/>
    <w:rsid w:val="00BE6CC4"/>
    <w:rsid w:val="00BE7495"/>
    <w:rsid w:val="00BF06CB"/>
    <w:rsid w:val="00BF0900"/>
    <w:rsid w:val="00BF1208"/>
    <w:rsid w:val="00BF26C0"/>
    <w:rsid w:val="00BF3536"/>
    <w:rsid w:val="00BF42E5"/>
    <w:rsid w:val="00BF5603"/>
    <w:rsid w:val="00BF6E60"/>
    <w:rsid w:val="00BF79C2"/>
    <w:rsid w:val="00BF7AA0"/>
    <w:rsid w:val="00C00761"/>
    <w:rsid w:val="00C01CD4"/>
    <w:rsid w:val="00C02359"/>
    <w:rsid w:val="00C02A69"/>
    <w:rsid w:val="00C02B5C"/>
    <w:rsid w:val="00C03984"/>
    <w:rsid w:val="00C0405A"/>
    <w:rsid w:val="00C04137"/>
    <w:rsid w:val="00C05379"/>
    <w:rsid w:val="00C067E8"/>
    <w:rsid w:val="00C070BE"/>
    <w:rsid w:val="00C07A3F"/>
    <w:rsid w:val="00C101AF"/>
    <w:rsid w:val="00C10FF4"/>
    <w:rsid w:val="00C1179F"/>
    <w:rsid w:val="00C12354"/>
    <w:rsid w:val="00C12762"/>
    <w:rsid w:val="00C13AD1"/>
    <w:rsid w:val="00C14428"/>
    <w:rsid w:val="00C14AA5"/>
    <w:rsid w:val="00C15C10"/>
    <w:rsid w:val="00C1624F"/>
    <w:rsid w:val="00C16671"/>
    <w:rsid w:val="00C16BFE"/>
    <w:rsid w:val="00C17B65"/>
    <w:rsid w:val="00C2061E"/>
    <w:rsid w:val="00C20A07"/>
    <w:rsid w:val="00C20A9F"/>
    <w:rsid w:val="00C212B4"/>
    <w:rsid w:val="00C21E76"/>
    <w:rsid w:val="00C223C1"/>
    <w:rsid w:val="00C235DC"/>
    <w:rsid w:val="00C23C05"/>
    <w:rsid w:val="00C24507"/>
    <w:rsid w:val="00C24AB5"/>
    <w:rsid w:val="00C24CCE"/>
    <w:rsid w:val="00C260B4"/>
    <w:rsid w:val="00C260B7"/>
    <w:rsid w:val="00C262FE"/>
    <w:rsid w:val="00C263DC"/>
    <w:rsid w:val="00C2661E"/>
    <w:rsid w:val="00C27130"/>
    <w:rsid w:val="00C30163"/>
    <w:rsid w:val="00C30B41"/>
    <w:rsid w:val="00C32B14"/>
    <w:rsid w:val="00C34482"/>
    <w:rsid w:val="00C34A9B"/>
    <w:rsid w:val="00C35170"/>
    <w:rsid w:val="00C354A3"/>
    <w:rsid w:val="00C35B96"/>
    <w:rsid w:val="00C35DFA"/>
    <w:rsid w:val="00C360F9"/>
    <w:rsid w:val="00C36622"/>
    <w:rsid w:val="00C366B0"/>
    <w:rsid w:val="00C37B33"/>
    <w:rsid w:val="00C37EE6"/>
    <w:rsid w:val="00C40840"/>
    <w:rsid w:val="00C40C35"/>
    <w:rsid w:val="00C40DDC"/>
    <w:rsid w:val="00C410BE"/>
    <w:rsid w:val="00C41ADE"/>
    <w:rsid w:val="00C43188"/>
    <w:rsid w:val="00C4445F"/>
    <w:rsid w:val="00C44BBB"/>
    <w:rsid w:val="00C45120"/>
    <w:rsid w:val="00C461B8"/>
    <w:rsid w:val="00C465B5"/>
    <w:rsid w:val="00C46CE3"/>
    <w:rsid w:val="00C51424"/>
    <w:rsid w:val="00C51DA9"/>
    <w:rsid w:val="00C52153"/>
    <w:rsid w:val="00C533D0"/>
    <w:rsid w:val="00C53421"/>
    <w:rsid w:val="00C54852"/>
    <w:rsid w:val="00C5497C"/>
    <w:rsid w:val="00C54998"/>
    <w:rsid w:val="00C5539F"/>
    <w:rsid w:val="00C55DB3"/>
    <w:rsid w:val="00C565CB"/>
    <w:rsid w:val="00C56C66"/>
    <w:rsid w:val="00C571C6"/>
    <w:rsid w:val="00C57730"/>
    <w:rsid w:val="00C5785C"/>
    <w:rsid w:val="00C57897"/>
    <w:rsid w:val="00C579ED"/>
    <w:rsid w:val="00C57C18"/>
    <w:rsid w:val="00C60833"/>
    <w:rsid w:val="00C60E57"/>
    <w:rsid w:val="00C60F85"/>
    <w:rsid w:val="00C618BF"/>
    <w:rsid w:val="00C638D2"/>
    <w:rsid w:val="00C6480B"/>
    <w:rsid w:val="00C6526B"/>
    <w:rsid w:val="00C65DC0"/>
    <w:rsid w:val="00C65E5C"/>
    <w:rsid w:val="00C66264"/>
    <w:rsid w:val="00C6632D"/>
    <w:rsid w:val="00C66A84"/>
    <w:rsid w:val="00C67DAA"/>
    <w:rsid w:val="00C67F02"/>
    <w:rsid w:val="00C7013B"/>
    <w:rsid w:val="00C70A5E"/>
    <w:rsid w:val="00C71FDC"/>
    <w:rsid w:val="00C7227D"/>
    <w:rsid w:val="00C72E19"/>
    <w:rsid w:val="00C73604"/>
    <w:rsid w:val="00C73A29"/>
    <w:rsid w:val="00C73B6E"/>
    <w:rsid w:val="00C74D59"/>
    <w:rsid w:val="00C74DA0"/>
    <w:rsid w:val="00C75CEE"/>
    <w:rsid w:val="00C76910"/>
    <w:rsid w:val="00C76B74"/>
    <w:rsid w:val="00C76C59"/>
    <w:rsid w:val="00C7740E"/>
    <w:rsid w:val="00C77440"/>
    <w:rsid w:val="00C77A48"/>
    <w:rsid w:val="00C8046D"/>
    <w:rsid w:val="00C80C5F"/>
    <w:rsid w:val="00C8109B"/>
    <w:rsid w:val="00C811FD"/>
    <w:rsid w:val="00C814EC"/>
    <w:rsid w:val="00C81A84"/>
    <w:rsid w:val="00C8259A"/>
    <w:rsid w:val="00C829E9"/>
    <w:rsid w:val="00C829F1"/>
    <w:rsid w:val="00C833AA"/>
    <w:rsid w:val="00C84049"/>
    <w:rsid w:val="00C843B7"/>
    <w:rsid w:val="00C84AD8"/>
    <w:rsid w:val="00C8552F"/>
    <w:rsid w:val="00C85D03"/>
    <w:rsid w:val="00C869FD"/>
    <w:rsid w:val="00C86E22"/>
    <w:rsid w:val="00C87A28"/>
    <w:rsid w:val="00C87B73"/>
    <w:rsid w:val="00C9073F"/>
    <w:rsid w:val="00C91D7A"/>
    <w:rsid w:val="00C92D7D"/>
    <w:rsid w:val="00C93603"/>
    <w:rsid w:val="00C941C7"/>
    <w:rsid w:val="00C94513"/>
    <w:rsid w:val="00C95413"/>
    <w:rsid w:val="00C96D3B"/>
    <w:rsid w:val="00C97315"/>
    <w:rsid w:val="00C97B57"/>
    <w:rsid w:val="00C97CF6"/>
    <w:rsid w:val="00C97E4A"/>
    <w:rsid w:val="00CA102B"/>
    <w:rsid w:val="00CA1348"/>
    <w:rsid w:val="00CA2922"/>
    <w:rsid w:val="00CA36B6"/>
    <w:rsid w:val="00CA4780"/>
    <w:rsid w:val="00CA5CA3"/>
    <w:rsid w:val="00CA6160"/>
    <w:rsid w:val="00CA62CC"/>
    <w:rsid w:val="00CA64BE"/>
    <w:rsid w:val="00CB0520"/>
    <w:rsid w:val="00CB0E7E"/>
    <w:rsid w:val="00CB137A"/>
    <w:rsid w:val="00CB376A"/>
    <w:rsid w:val="00CB401E"/>
    <w:rsid w:val="00CB4551"/>
    <w:rsid w:val="00CB4A1E"/>
    <w:rsid w:val="00CB4C14"/>
    <w:rsid w:val="00CB6062"/>
    <w:rsid w:val="00CB6418"/>
    <w:rsid w:val="00CB7306"/>
    <w:rsid w:val="00CB7624"/>
    <w:rsid w:val="00CB793D"/>
    <w:rsid w:val="00CB7FFB"/>
    <w:rsid w:val="00CC0DD4"/>
    <w:rsid w:val="00CC0F06"/>
    <w:rsid w:val="00CC0F77"/>
    <w:rsid w:val="00CC0F7A"/>
    <w:rsid w:val="00CC106F"/>
    <w:rsid w:val="00CC20EE"/>
    <w:rsid w:val="00CC2A88"/>
    <w:rsid w:val="00CC3822"/>
    <w:rsid w:val="00CC3B61"/>
    <w:rsid w:val="00CC3D72"/>
    <w:rsid w:val="00CC42F0"/>
    <w:rsid w:val="00CC44A8"/>
    <w:rsid w:val="00CC451E"/>
    <w:rsid w:val="00CC4A24"/>
    <w:rsid w:val="00CC4DB9"/>
    <w:rsid w:val="00CC51E8"/>
    <w:rsid w:val="00CC53EB"/>
    <w:rsid w:val="00CC6E8B"/>
    <w:rsid w:val="00CC7D3C"/>
    <w:rsid w:val="00CD0111"/>
    <w:rsid w:val="00CD04F1"/>
    <w:rsid w:val="00CD05AE"/>
    <w:rsid w:val="00CD135E"/>
    <w:rsid w:val="00CD21F6"/>
    <w:rsid w:val="00CD2655"/>
    <w:rsid w:val="00CD367C"/>
    <w:rsid w:val="00CD4519"/>
    <w:rsid w:val="00CD7762"/>
    <w:rsid w:val="00CE05BA"/>
    <w:rsid w:val="00CE08AA"/>
    <w:rsid w:val="00CE2102"/>
    <w:rsid w:val="00CE2934"/>
    <w:rsid w:val="00CE3632"/>
    <w:rsid w:val="00CE3C4D"/>
    <w:rsid w:val="00CE4245"/>
    <w:rsid w:val="00CE48A9"/>
    <w:rsid w:val="00CE499F"/>
    <w:rsid w:val="00CE4FDD"/>
    <w:rsid w:val="00CE5619"/>
    <w:rsid w:val="00CE5839"/>
    <w:rsid w:val="00CE5AA4"/>
    <w:rsid w:val="00CE5FDC"/>
    <w:rsid w:val="00CE675B"/>
    <w:rsid w:val="00CE72E4"/>
    <w:rsid w:val="00CE7947"/>
    <w:rsid w:val="00CE7C15"/>
    <w:rsid w:val="00CE7CED"/>
    <w:rsid w:val="00CF0ECD"/>
    <w:rsid w:val="00CF0ED7"/>
    <w:rsid w:val="00CF0F7C"/>
    <w:rsid w:val="00CF2D1E"/>
    <w:rsid w:val="00CF2F72"/>
    <w:rsid w:val="00CF431D"/>
    <w:rsid w:val="00CF4775"/>
    <w:rsid w:val="00CF4985"/>
    <w:rsid w:val="00CF50BD"/>
    <w:rsid w:val="00CF53C9"/>
    <w:rsid w:val="00CF5E24"/>
    <w:rsid w:val="00CF607D"/>
    <w:rsid w:val="00CF6651"/>
    <w:rsid w:val="00CF7601"/>
    <w:rsid w:val="00CF7C2E"/>
    <w:rsid w:val="00D01A7F"/>
    <w:rsid w:val="00D01BCB"/>
    <w:rsid w:val="00D01BD4"/>
    <w:rsid w:val="00D01D1D"/>
    <w:rsid w:val="00D02746"/>
    <w:rsid w:val="00D02FAC"/>
    <w:rsid w:val="00D030CB"/>
    <w:rsid w:val="00D03A46"/>
    <w:rsid w:val="00D03C67"/>
    <w:rsid w:val="00D04E1B"/>
    <w:rsid w:val="00D05051"/>
    <w:rsid w:val="00D050F8"/>
    <w:rsid w:val="00D0555F"/>
    <w:rsid w:val="00D05D77"/>
    <w:rsid w:val="00D05FAE"/>
    <w:rsid w:val="00D063D9"/>
    <w:rsid w:val="00D064E2"/>
    <w:rsid w:val="00D07A87"/>
    <w:rsid w:val="00D07CDA"/>
    <w:rsid w:val="00D113D7"/>
    <w:rsid w:val="00D12398"/>
    <w:rsid w:val="00D125DD"/>
    <w:rsid w:val="00D13F84"/>
    <w:rsid w:val="00D1518C"/>
    <w:rsid w:val="00D166BC"/>
    <w:rsid w:val="00D16D8A"/>
    <w:rsid w:val="00D21E6C"/>
    <w:rsid w:val="00D2303B"/>
    <w:rsid w:val="00D23180"/>
    <w:rsid w:val="00D23442"/>
    <w:rsid w:val="00D23788"/>
    <w:rsid w:val="00D23912"/>
    <w:rsid w:val="00D241C0"/>
    <w:rsid w:val="00D24479"/>
    <w:rsid w:val="00D24619"/>
    <w:rsid w:val="00D25638"/>
    <w:rsid w:val="00D25902"/>
    <w:rsid w:val="00D25AF0"/>
    <w:rsid w:val="00D2725E"/>
    <w:rsid w:val="00D27605"/>
    <w:rsid w:val="00D27D69"/>
    <w:rsid w:val="00D308BA"/>
    <w:rsid w:val="00D31548"/>
    <w:rsid w:val="00D315BC"/>
    <w:rsid w:val="00D31B37"/>
    <w:rsid w:val="00D33172"/>
    <w:rsid w:val="00D3360B"/>
    <w:rsid w:val="00D34350"/>
    <w:rsid w:val="00D35B65"/>
    <w:rsid w:val="00D37B8C"/>
    <w:rsid w:val="00D40418"/>
    <w:rsid w:val="00D40CB3"/>
    <w:rsid w:val="00D413C4"/>
    <w:rsid w:val="00D41DBF"/>
    <w:rsid w:val="00D42F8E"/>
    <w:rsid w:val="00D43354"/>
    <w:rsid w:val="00D43415"/>
    <w:rsid w:val="00D435DE"/>
    <w:rsid w:val="00D43908"/>
    <w:rsid w:val="00D43E6F"/>
    <w:rsid w:val="00D449C7"/>
    <w:rsid w:val="00D451BC"/>
    <w:rsid w:val="00D454C9"/>
    <w:rsid w:val="00D46455"/>
    <w:rsid w:val="00D46CE4"/>
    <w:rsid w:val="00D471DE"/>
    <w:rsid w:val="00D4737D"/>
    <w:rsid w:val="00D505BC"/>
    <w:rsid w:val="00D50948"/>
    <w:rsid w:val="00D50BD6"/>
    <w:rsid w:val="00D50E04"/>
    <w:rsid w:val="00D53971"/>
    <w:rsid w:val="00D54378"/>
    <w:rsid w:val="00D5487A"/>
    <w:rsid w:val="00D55008"/>
    <w:rsid w:val="00D56E36"/>
    <w:rsid w:val="00D5733C"/>
    <w:rsid w:val="00D578DC"/>
    <w:rsid w:val="00D60F46"/>
    <w:rsid w:val="00D613DF"/>
    <w:rsid w:val="00D62281"/>
    <w:rsid w:val="00D62A2B"/>
    <w:rsid w:val="00D632CB"/>
    <w:rsid w:val="00D642CF"/>
    <w:rsid w:val="00D64ACC"/>
    <w:rsid w:val="00D64B20"/>
    <w:rsid w:val="00D6620B"/>
    <w:rsid w:val="00D66F06"/>
    <w:rsid w:val="00D67B88"/>
    <w:rsid w:val="00D702E6"/>
    <w:rsid w:val="00D70451"/>
    <w:rsid w:val="00D707DF"/>
    <w:rsid w:val="00D70A06"/>
    <w:rsid w:val="00D70CD8"/>
    <w:rsid w:val="00D710BB"/>
    <w:rsid w:val="00D73A11"/>
    <w:rsid w:val="00D7443D"/>
    <w:rsid w:val="00D74615"/>
    <w:rsid w:val="00D747DA"/>
    <w:rsid w:val="00D755C4"/>
    <w:rsid w:val="00D75E57"/>
    <w:rsid w:val="00D75F90"/>
    <w:rsid w:val="00D76105"/>
    <w:rsid w:val="00D7684D"/>
    <w:rsid w:val="00D76AA5"/>
    <w:rsid w:val="00D76C05"/>
    <w:rsid w:val="00D76E42"/>
    <w:rsid w:val="00D7791B"/>
    <w:rsid w:val="00D77B55"/>
    <w:rsid w:val="00D800EE"/>
    <w:rsid w:val="00D8025D"/>
    <w:rsid w:val="00D81972"/>
    <w:rsid w:val="00D81A51"/>
    <w:rsid w:val="00D823B8"/>
    <w:rsid w:val="00D835B0"/>
    <w:rsid w:val="00D84290"/>
    <w:rsid w:val="00D843E5"/>
    <w:rsid w:val="00D84EED"/>
    <w:rsid w:val="00D851E7"/>
    <w:rsid w:val="00D85671"/>
    <w:rsid w:val="00D866CD"/>
    <w:rsid w:val="00D86A6A"/>
    <w:rsid w:val="00D86DB6"/>
    <w:rsid w:val="00D87BB4"/>
    <w:rsid w:val="00D90011"/>
    <w:rsid w:val="00D90300"/>
    <w:rsid w:val="00D90E07"/>
    <w:rsid w:val="00D9271E"/>
    <w:rsid w:val="00D92B18"/>
    <w:rsid w:val="00D94CA1"/>
    <w:rsid w:val="00D94DF5"/>
    <w:rsid w:val="00D95224"/>
    <w:rsid w:val="00D957F8"/>
    <w:rsid w:val="00D95D08"/>
    <w:rsid w:val="00D96295"/>
    <w:rsid w:val="00D963E9"/>
    <w:rsid w:val="00D969F7"/>
    <w:rsid w:val="00D9718C"/>
    <w:rsid w:val="00D97EB1"/>
    <w:rsid w:val="00DA1248"/>
    <w:rsid w:val="00DA2199"/>
    <w:rsid w:val="00DA246D"/>
    <w:rsid w:val="00DA2CF8"/>
    <w:rsid w:val="00DA30AD"/>
    <w:rsid w:val="00DA30BC"/>
    <w:rsid w:val="00DA419F"/>
    <w:rsid w:val="00DA43B5"/>
    <w:rsid w:val="00DA549C"/>
    <w:rsid w:val="00DA625A"/>
    <w:rsid w:val="00DA6698"/>
    <w:rsid w:val="00DA6C05"/>
    <w:rsid w:val="00DB04EB"/>
    <w:rsid w:val="00DB0CFD"/>
    <w:rsid w:val="00DB1B9F"/>
    <w:rsid w:val="00DB1FB0"/>
    <w:rsid w:val="00DB2166"/>
    <w:rsid w:val="00DB231F"/>
    <w:rsid w:val="00DB244A"/>
    <w:rsid w:val="00DB2636"/>
    <w:rsid w:val="00DB27FD"/>
    <w:rsid w:val="00DB31EE"/>
    <w:rsid w:val="00DB372F"/>
    <w:rsid w:val="00DB3F91"/>
    <w:rsid w:val="00DB412D"/>
    <w:rsid w:val="00DB44E5"/>
    <w:rsid w:val="00DB5B8B"/>
    <w:rsid w:val="00DB647B"/>
    <w:rsid w:val="00DB68BD"/>
    <w:rsid w:val="00DB6B9E"/>
    <w:rsid w:val="00DB6E3D"/>
    <w:rsid w:val="00DB7336"/>
    <w:rsid w:val="00DC04FE"/>
    <w:rsid w:val="00DC0882"/>
    <w:rsid w:val="00DC1444"/>
    <w:rsid w:val="00DC26B5"/>
    <w:rsid w:val="00DC2E39"/>
    <w:rsid w:val="00DC402C"/>
    <w:rsid w:val="00DC4322"/>
    <w:rsid w:val="00DC6715"/>
    <w:rsid w:val="00DD0641"/>
    <w:rsid w:val="00DD12FC"/>
    <w:rsid w:val="00DD3255"/>
    <w:rsid w:val="00DD4830"/>
    <w:rsid w:val="00DD4B58"/>
    <w:rsid w:val="00DD57A2"/>
    <w:rsid w:val="00DD5F0B"/>
    <w:rsid w:val="00DD60EB"/>
    <w:rsid w:val="00DD64A2"/>
    <w:rsid w:val="00DD65D2"/>
    <w:rsid w:val="00DD6767"/>
    <w:rsid w:val="00DD7339"/>
    <w:rsid w:val="00DE051F"/>
    <w:rsid w:val="00DE0F3C"/>
    <w:rsid w:val="00DE13EB"/>
    <w:rsid w:val="00DE1FCF"/>
    <w:rsid w:val="00DE39BD"/>
    <w:rsid w:val="00DE3D8D"/>
    <w:rsid w:val="00DE5DA1"/>
    <w:rsid w:val="00DE62AC"/>
    <w:rsid w:val="00DE70B5"/>
    <w:rsid w:val="00DE78CC"/>
    <w:rsid w:val="00DE7F70"/>
    <w:rsid w:val="00DF112A"/>
    <w:rsid w:val="00DF2226"/>
    <w:rsid w:val="00DF22A4"/>
    <w:rsid w:val="00DF4ED3"/>
    <w:rsid w:val="00DF4FB3"/>
    <w:rsid w:val="00DF608C"/>
    <w:rsid w:val="00DF6170"/>
    <w:rsid w:val="00DF666D"/>
    <w:rsid w:val="00DF679B"/>
    <w:rsid w:val="00DF71D1"/>
    <w:rsid w:val="00DF7CCE"/>
    <w:rsid w:val="00E003EF"/>
    <w:rsid w:val="00E0066B"/>
    <w:rsid w:val="00E007D5"/>
    <w:rsid w:val="00E010D7"/>
    <w:rsid w:val="00E015C0"/>
    <w:rsid w:val="00E01BA9"/>
    <w:rsid w:val="00E0245C"/>
    <w:rsid w:val="00E02B8F"/>
    <w:rsid w:val="00E0387D"/>
    <w:rsid w:val="00E03AE6"/>
    <w:rsid w:val="00E03E5E"/>
    <w:rsid w:val="00E049B3"/>
    <w:rsid w:val="00E074B0"/>
    <w:rsid w:val="00E07BCC"/>
    <w:rsid w:val="00E1075E"/>
    <w:rsid w:val="00E1089F"/>
    <w:rsid w:val="00E10CDE"/>
    <w:rsid w:val="00E10D53"/>
    <w:rsid w:val="00E11579"/>
    <w:rsid w:val="00E1303E"/>
    <w:rsid w:val="00E1397B"/>
    <w:rsid w:val="00E14184"/>
    <w:rsid w:val="00E14B5A"/>
    <w:rsid w:val="00E15ED6"/>
    <w:rsid w:val="00E161AD"/>
    <w:rsid w:val="00E162A9"/>
    <w:rsid w:val="00E16696"/>
    <w:rsid w:val="00E172D4"/>
    <w:rsid w:val="00E17633"/>
    <w:rsid w:val="00E20006"/>
    <w:rsid w:val="00E216E0"/>
    <w:rsid w:val="00E23733"/>
    <w:rsid w:val="00E238B0"/>
    <w:rsid w:val="00E23A7A"/>
    <w:rsid w:val="00E23F99"/>
    <w:rsid w:val="00E245A0"/>
    <w:rsid w:val="00E249B3"/>
    <w:rsid w:val="00E255F8"/>
    <w:rsid w:val="00E25ED4"/>
    <w:rsid w:val="00E260A6"/>
    <w:rsid w:val="00E2725C"/>
    <w:rsid w:val="00E276F4"/>
    <w:rsid w:val="00E27D47"/>
    <w:rsid w:val="00E300BD"/>
    <w:rsid w:val="00E307CB"/>
    <w:rsid w:val="00E313E5"/>
    <w:rsid w:val="00E3237C"/>
    <w:rsid w:val="00E33FC0"/>
    <w:rsid w:val="00E34400"/>
    <w:rsid w:val="00E34404"/>
    <w:rsid w:val="00E34F50"/>
    <w:rsid w:val="00E362FF"/>
    <w:rsid w:val="00E36B43"/>
    <w:rsid w:val="00E40078"/>
    <w:rsid w:val="00E40638"/>
    <w:rsid w:val="00E40C46"/>
    <w:rsid w:val="00E40F06"/>
    <w:rsid w:val="00E40FD2"/>
    <w:rsid w:val="00E416AF"/>
    <w:rsid w:val="00E429F8"/>
    <w:rsid w:val="00E43AF7"/>
    <w:rsid w:val="00E44232"/>
    <w:rsid w:val="00E45589"/>
    <w:rsid w:val="00E45ED3"/>
    <w:rsid w:val="00E4632F"/>
    <w:rsid w:val="00E474D7"/>
    <w:rsid w:val="00E478B5"/>
    <w:rsid w:val="00E5023C"/>
    <w:rsid w:val="00E50799"/>
    <w:rsid w:val="00E508DC"/>
    <w:rsid w:val="00E508DE"/>
    <w:rsid w:val="00E518D6"/>
    <w:rsid w:val="00E52DCE"/>
    <w:rsid w:val="00E54091"/>
    <w:rsid w:val="00E54201"/>
    <w:rsid w:val="00E54382"/>
    <w:rsid w:val="00E558BD"/>
    <w:rsid w:val="00E55976"/>
    <w:rsid w:val="00E55B1E"/>
    <w:rsid w:val="00E565F7"/>
    <w:rsid w:val="00E569FB"/>
    <w:rsid w:val="00E57A33"/>
    <w:rsid w:val="00E60185"/>
    <w:rsid w:val="00E60230"/>
    <w:rsid w:val="00E60448"/>
    <w:rsid w:val="00E60856"/>
    <w:rsid w:val="00E614C3"/>
    <w:rsid w:val="00E62CA6"/>
    <w:rsid w:val="00E64988"/>
    <w:rsid w:val="00E653A5"/>
    <w:rsid w:val="00E65AAF"/>
    <w:rsid w:val="00E65EA9"/>
    <w:rsid w:val="00E66181"/>
    <w:rsid w:val="00E66585"/>
    <w:rsid w:val="00E674FB"/>
    <w:rsid w:val="00E675D2"/>
    <w:rsid w:val="00E67815"/>
    <w:rsid w:val="00E7023B"/>
    <w:rsid w:val="00E709C9"/>
    <w:rsid w:val="00E712BA"/>
    <w:rsid w:val="00E71430"/>
    <w:rsid w:val="00E72552"/>
    <w:rsid w:val="00E72B12"/>
    <w:rsid w:val="00E72E67"/>
    <w:rsid w:val="00E733FC"/>
    <w:rsid w:val="00E74A42"/>
    <w:rsid w:val="00E74E8B"/>
    <w:rsid w:val="00E75E32"/>
    <w:rsid w:val="00E762FB"/>
    <w:rsid w:val="00E76354"/>
    <w:rsid w:val="00E76E9A"/>
    <w:rsid w:val="00E76FE2"/>
    <w:rsid w:val="00E776F1"/>
    <w:rsid w:val="00E776FE"/>
    <w:rsid w:val="00E8060E"/>
    <w:rsid w:val="00E818AD"/>
    <w:rsid w:val="00E81A9D"/>
    <w:rsid w:val="00E8253E"/>
    <w:rsid w:val="00E82853"/>
    <w:rsid w:val="00E836B3"/>
    <w:rsid w:val="00E84365"/>
    <w:rsid w:val="00E87103"/>
    <w:rsid w:val="00E8755E"/>
    <w:rsid w:val="00E9010C"/>
    <w:rsid w:val="00E901D2"/>
    <w:rsid w:val="00E91CDC"/>
    <w:rsid w:val="00E9322B"/>
    <w:rsid w:val="00E93349"/>
    <w:rsid w:val="00E9335B"/>
    <w:rsid w:val="00E93B26"/>
    <w:rsid w:val="00E94A41"/>
    <w:rsid w:val="00E9598B"/>
    <w:rsid w:val="00E96C70"/>
    <w:rsid w:val="00E97185"/>
    <w:rsid w:val="00EA18F6"/>
    <w:rsid w:val="00EA1E8F"/>
    <w:rsid w:val="00EA2519"/>
    <w:rsid w:val="00EA2C69"/>
    <w:rsid w:val="00EA2CCC"/>
    <w:rsid w:val="00EA3261"/>
    <w:rsid w:val="00EA433C"/>
    <w:rsid w:val="00EA437C"/>
    <w:rsid w:val="00EA4620"/>
    <w:rsid w:val="00EA4BA9"/>
    <w:rsid w:val="00EA4E69"/>
    <w:rsid w:val="00EA59A3"/>
    <w:rsid w:val="00EA618F"/>
    <w:rsid w:val="00EA7E0B"/>
    <w:rsid w:val="00EB0641"/>
    <w:rsid w:val="00EB0782"/>
    <w:rsid w:val="00EB091B"/>
    <w:rsid w:val="00EB1A2D"/>
    <w:rsid w:val="00EB26A6"/>
    <w:rsid w:val="00EB2771"/>
    <w:rsid w:val="00EB277A"/>
    <w:rsid w:val="00EB3826"/>
    <w:rsid w:val="00EB3F0E"/>
    <w:rsid w:val="00EB431C"/>
    <w:rsid w:val="00EB459B"/>
    <w:rsid w:val="00EB4BEA"/>
    <w:rsid w:val="00EB666E"/>
    <w:rsid w:val="00EB765C"/>
    <w:rsid w:val="00EB7F9E"/>
    <w:rsid w:val="00EC0402"/>
    <w:rsid w:val="00EC0867"/>
    <w:rsid w:val="00EC0B73"/>
    <w:rsid w:val="00EC24E3"/>
    <w:rsid w:val="00EC29D5"/>
    <w:rsid w:val="00EC2EC8"/>
    <w:rsid w:val="00EC2FB2"/>
    <w:rsid w:val="00EC441E"/>
    <w:rsid w:val="00EC4FDE"/>
    <w:rsid w:val="00EC517C"/>
    <w:rsid w:val="00EC5932"/>
    <w:rsid w:val="00EC60A1"/>
    <w:rsid w:val="00EC61F4"/>
    <w:rsid w:val="00EC6D95"/>
    <w:rsid w:val="00EC6E90"/>
    <w:rsid w:val="00EC7E06"/>
    <w:rsid w:val="00ED043A"/>
    <w:rsid w:val="00ED04E8"/>
    <w:rsid w:val="00ED0E42"/>
    <w:rsid w:val="00ED11E7"/>
    <w:rsid w:val="00ED1C21"/>
    <w:rsid w:val="00ED2038"/>
    <w:rsid w:val="00ED27D6"/>
    <w:rsid w:val="00ED2F93"/>
    <w:rsid w:val="00ED351B"/>
    <w:rsid w:val="00ED435A"/>
    <w:rsid w:val="00ED4796"/>
    <w:rsid w:val="00ED4B05"/>
    <w:rsid w:val="00ED5204"/>
    <w:rsid w:val="00ED55A4"/>
    <w:rsid w:val="00ED5A4A"/>
    <w:rsid w:val="00ED5F0D"/>
    <w:rsid w:val="00ED658F"/>
    <w:rsid w:val="00ED6DE6"/>
    <w:rsid w:val="00ED6EB3"/>
    <w:rsid w:val="00ED7CF8"/>
    <w:rsid w:val="00ED7D56"/>
    <w:rsid w:val="00EE081F"/>
    <w:rsid w:val="00EE0DA5"/>
    <w:rsid w:val="00EE33AB"/>
    <w:rsid w:val="00EE3466"/>
    <w:rsid w:val="00EE37AF"/>
    <w:rsid w:val="00EE388D"/>
    <w:rsid w:val="00EE3EC6"/>
    <w:rsid w:val="00EE48E2"/>
    <w:rsid w:val="00EE4B2E"/>
    <w:rsid w:val="00EE4CF9"/>
    <w:rsid w:val="00EE57B9"/>
    <w:rsid w:val="00EE69EC"/>
    <w:rsid w:val="00EE6BC6"/>
    <w:rsid w:val="00EE6C49"/>
    <w:rsid w:val="00EE70FD"/>
    <w:rsid w:val="00EE73C3"/>
    <w:rsid w:val="00EE766D"/>
    <w:rsid w:val="00EE79D6"/>
    <w:rsid w:val="00EE7DB6"/>
    <w:rsid w:val="00EF0CE8"/>
    <w:rsid w:val="00EF11A8"/>
    <w:rsid w:val="00EF1917"/>
    <w:rsid w:val="00EF2743"/>
    <w:rsid w:val="00EF27B3"/>
    <w:rsid w:val="00EF338F"/>
    <w:rsid w:val="00EF3FBC"/>
    <w:rsid w:val="00EF4D8F"/>
    <w:rsid w:val="00EF54DF"/>
    <w:rsid w:val="00EF5AEE"/>
    <w:rsid w:val="00EF6E8B"/>
    <w:rsid w:val="00EF6F97"/>
    <w:rsid w:val="00EF712C"/>
    <w:rsid w:val="00F00E4C"/>
    <w:rsid w:val="00F0138A"/>
    <w:rsid w:val="00F0210F"/>
    <w:rsid w:val="00F028A6"/>
    <w:rsid w:val="00F02E97"/>
    <w:rsid w:val="00F02F91"/>
    <w:rsid w:val="00F037C9"/>
    <w:rsid w:val="00F03D03"/>
    <w:rsid w:val="00F046C1"/>
    <w:rsid w:val="00F0491B"/>
    <w:rsid w:val="00F04BC6"/>
    <w:rsid w:val="00F04C0F"/>
    <w:rsid w:val="00F04DF9"/>
    <w:rsid w:val="00F05052"/>
    <w:rsid w:val="00F053F6"/>
    <w:rsid w:val="00F0581E"/>
    <w:rsid w:val="00F058B0"/>
    <w:rsid w:val="00F06335"/>
    <w:rsid w:val="00F0658E"/>
    <w:rsid w:val="00F06B89"/>
    <w:rsid w:val="00F07863"/>
    <w:rsid w:val="00F07E7E"/>
    <w:rsid w:val="00F10F4D"/>
    <w:rsid w:val="00F1118C"/>
    <w:rsid w:val="00F111B8"/>
    <w:rsid w:val="00F11340"/>
    <w:rsid w:val="00F11516"/>
    <w:rsid w:val="00F12138"/>
    <w:rsid w:val="00F12BDF"/>
    <w:rsid w:val="00F13290"/>
    <w:rsid w:val="00F13779"/>
    <w:rsid w:val="00F13F2E"/>
    <w:rsid w:val="00F142CE"/>
    <w:rsid w:val="00F14F9E"/>
    <w:rsid w:val="00F15E81"/>
    <w:rsid w:val="00F168EE"/>
    <w:rsid w:val="00F16FA6"/>
    <w:rsid w:val="00F17106"/>
    <w:rsid w:val="00F17AA9"/>
    <w:rsid w:val="00F17CE6"/>
    <w:rsid w:val="00F17EB6"/>
    <w:rsid w:val="00F20F1A"/>
    <w:rsid w:val="00F21090"/>
    <w:rsid w:val="00F210C6"/>
    <w:rsid w:val="00F21775"/>
    <w:rsid w:val="00F221B5"/>
    <w:rsid w:val="00F2240A"/>
    <w:rsid w:val="00F22675"/>
    <w:rsid w:val="00F22B8F"/>
    <w:rsid w:val="00F233A1"/>
    <w:rsid w:val="00F23E4E"/>
    <w:rsid w:val="00F242D3"/>
    <w:rsid w:val="00F24C74"/>
    <w:rsid w:val="00F26456"/>
    <w:rsid w:val="00F26C00"/>
    <w:rsid w:val="00F26CA0"/>
    <w:rsid w:val="00F26F57"/>
    <w:rsid w:val="00F26F71"/>
    <w:rsid w:val="00F2730E"/>
    <w:rsid w:val="00F2799B"/>
    <w:rsid w:val="00F279C4"/>
    <w:rsid w:val="00F27D90"/>
    <w:rsid w:val="00F30187"/>
    <w:rsid w:val="00F30B32"/>
    <w:rsid w:val="00F3101C"/>
    <w:rsid w:val="00F31ED3"/>
    <w:rsid w:val="00F32493"/>
    <w:rsid w:val="00F330B8"/>
    <w:rsid w:val="00F34534"/>
    <w:rsid w:val="00F34815"/>
    <w:rsid w:val="00F349A6"/>
    <w:rsid w:val="00F352E6"/>
    <w:rsid w:val="00F35857"/>
    <w:rsid w:val="00F35898"/>
    <w:rsid w:val="00F36235"/>
    <w:rsid w:val="00F368AF"/>
    <w:rsid w:val="00F37D3D"/>
    <w:rsid w:val="00F40466"/>
    <w:rsid w:val="00F40AEF"/>
    <w:rsid w:val="00F40AFD"/>
    <w:rsid w:val="00F40D1F"/>
    <w:rsid w:val="00F41107"/>
    <w:rsid w:val="00F415D5"/>
    <w:rsid w:val="00F41D81"/>
    <w:rsid w:val="00F4292A"/>
    <w:rsid w:val="00F42C2A"/>
    <w:rsid w:val="00F43896"/>
    <w:rsid w:val="00F43A92"/>
    <w:rsid w:val="00F440E0"/>
    <w:rsid w:val="00F441D8"/>
    <w:rsid w:val="00F452A9"/>
    <w:rsid w:val="00F45D9E"/>
    <w:rsid w:val="00F47119"/>
    <w:rsid w:val="00F50EFE"/>
    <w:rsid w:val="00F51247"/>
    <w:rsid w:val="00F51471"/>
    <w:rsid w:val="00F51848"/>
    <w:rsid w:val="00F51FCE"/>
    <w:rsid w:val="00F52B27"/>
    <w:rsid w:val="00F5353D"/>
    <w:rsid w:val="00F539E0"/>
    <w:rsid w:val="00F54B1B"/>
    <w:rsid w:val="00F54CB2"/>
    <w:rsid w:val="00F5571C"/>
    <w:rsid w:val="00F559CB"/>
    <w:rsid w:val="00F5628F"/>
    <w:rsid w:val="00F56759"/>
    <w:rsid w:val="00F567B2"/>
    <w:rsid w:val="00F56BA3"/>
    <w:rsid w:val="00F56E44"/>
    <w:rsid w:val="00F57402"/>
    <w:rsid w:val="00F57431"/>
    <w:rsid w:val="00F579E5"/>
    <w:rsid w:val="00F607C0"/>
    <w:rsid w:val="00F60B46"/>
    <w:rsid w:val="00F61332"/>
    <w:rsid w:val="00F61852"/>
    <w:rsid w:val="00F62AF6"/>
    <w:rsid w:val="00F6306A"/>
    <w:rsid w:val="00F6336B"/>
    <w:rsid w:val="00F64040"/>
    <w:rsid w:val="00F64CB3"/>
    <w:rsid w:val="00F651CE"/>
    <w:rsid w:val="00F65B69"/>
    <w:rsid w:val="00F6760B"/>
    <w:rsid w:val="00F70333"/>
    <w:rsid w:val="00F705F9"/>
    <w:rsid w:val="00F70650"/>
    <w:rsid w:val="00F70A11"/>
    <w:rsid w:val="00F7117E"/>
    <w:rsid w:val="00F71397"/>
    <w:rsid w:val="00F715FA"/>
    <w:rsid w:val="00F721E8"/>
    <w:rsid w:val="00F73F27"/>
    <w:rsid w:val="00F74184"/>
    <w:rsid w:val="00F7437C"/>
    <w:rsid w:val="00F748EA"/>
    <w:rsid w:val="00F75C59"/>
    <w:rsid w:val="00F75EA8"/>
    <w:rsid w:val="00F7639B"/>
    <w:rsid w:val="00F76522"/>
    <w:rsid w:val="00F76A82"/>
    <w:rsid w:val="00F76B99"/>
    <w:rsid w:val="00F76DC3"/>
    <w:rsid w:val="00F7702E"/>
    <w:rsid w:val="00F81418"/>
    <w:rsid w:val="00F82B09"/>
    <w:rsid w:val="00F832CF"/>
    <w:rsid w:val="00F83A55"/>
    <w:rsid w:val="00F84945"/>
    <w:rsid w:val="00F84AA3"/>
    <w:rsid w:val="00F84E38"/>
    <w:rsid w:val="00F852D9"/>
    <w:rsid w:val="00F8597F"/>
    <w:rsid w:val="00F85A69"/>
    <w:rsid w:val="00F86751"/>
    <w:rsid w:val="00F869E3"/>
    <w:rsid w:val="00F86F57"/>
    <w:rsid w:val="00F86FFA"/>
    <w:rsid w:val="00F87493"/>
    <w:rsid w:val="00F90996"/>
    <w:rsid w:val="00F910BE"/>
    <w:rsid w:val="00F91130"/>
    <w:rsid w:val="00F91398"/>
    <w:rsid w:val="00F9166B"/>
    <w:rsid w:val="00F9214A"/>
    <w:rsid w:val="00F92C8C"/>
    <w:rsid w:val="00F9302A"/>
    <w:rsid w:val="00F93035"/>
    <w:rsid w:val="00F943B6"/>
    <w:rsid w:val="00F9493C"/>
    <w:rsid w:val="00F94A00"/>
    <w:rsid w:val="00F959B8"/>
    <w:rsid w:val="00F96CAE"/>
    <w:rsid w:val="00F97D78"/>
    <w:rsid w:val="00FA040D"/>
    <w:rsid w:val="00FA1672"/>
    <w:rsid w:val="00FA30C0"/>
    <w:rsid w:val="00FA380F"/>
    <w:rsid w:val="00FA3D70"/>
    <w:rsid w:val="00FA3FCC"/>
    <w:rsid w:val="00FA4688"/>
    <w:rsid w:val="00FA4FB7"/>
    <w:rsid w:val="00FA52EB"/>
    <w:rsid w:val="00FA5B6D"/>
    <w:rsid w:val="00FA5E44"/>
    <w:rsid w:val="00FA694F"/>
    <w:rsid w:val="00FA7775"/>
    <w:rsid w:val="00FA7ACF"/>
    <w:rsid w:val="00FB0BE8"/>
    <w:rsid w:val="00FB0CBB"/>
    <w:rsid w:val="00FB2328"/>
    <w:rsid w:val="00FB29C8"/>
    <w:rsid w:val="00FB45D3"/>
    <w:rsid w:val="00FB52E5"/>
    <w:rsid w:val="00FB5406"/>
    <w:rsid w:val="00FB622D"/>
    <w:rsid w:val="00FB629C"/>
    <w:rsid w:val="00FB6614"/>
    <w:rsid w:val="00FB6D60"/>
    <w:rsid w:val="00FB6F05"/>
    <w:rsid w:val="00FB71DA"/>
    <w:rsid w:val="00FB76C8"/>
    <w:rsid w:val="00FC051C"/>
    <w:rsid w:val="00FC1310"/>
    <w:rsid w:val="00FC19A4"/>
    <w:rsid w:val="00FC356F"/>
    <w:rsid w:val="00FC3F36"/>
    <w:rsid w:val="00FC45C6"/>
    <w:rsid w:val="00FC5360"/>
    <w:rsid w:val="00FC74B3"/>
    <w:rsid w:val="00FC7840"/>
    <w:rsid w:val="00FC7F9E"/>
    <w:rsid w:val="00FD05D8"/>
    <w:rsid w:val="00FD19AE"/>
    <w:rsid w:val="00FD1DA1"/>
    <w:rsid w:val="00FD22B4"/>
    <w:rsid w:val="00FD27C1"/>
    <w:rsid w:val="00FD36E0"/>
    <w:rsid w:val="00FD3D5B"/>
    <w:rsid w:val="00FD413E"/>
    <w:rsid w:val="00FD4D47"/>
    <w:rsid w:val="00FD6382"/>
    <w:rsid w:val="00FD6919"/>
    <w:rsid w:val="00FD6C6F"/>
    <w:rsid w:val="00FD71B2"/>
    <w:rsid w:val="00FE0A9E"/>
    <w:rsid w:val="00FE138C"/>
    <w:rsid w:val="00FE1517"/>
    <w:rsid w:val="00FE1626"/>
    <w:rsid w:val="00FE1709"/>
    <w:rsid w:val="00FE1A6C"/>
    <w:rsid w:val="00FE1B1A"/>
    <w:rsid w:val="00FE2619"/>
    <w:rsid w:val="00FE317D"/>
    <w:rsid w:val="00FE3280"/>
    <w:rsid w:val="00FE565F"/>
    <w:rsid w:val="00FE5BEE"/>
    <w:rsid w:val="00FE5EEC"/>
    <w:rsid w:val="00FE607C"/>
    <w:rsid w:val="00FE61DD"/>
    <w:rsid w:val="00FE6356"/>
    <w:rsid w:val="00FE640F"/>
    <w:rsid w:val="00FE7485"/>
    <w:rsid w:val="00FE7FD3"/>
    <w:rsid w:val="00FF1886"/>
    <w:rsid w:val="00FF210C"/>
    <w:rsid w:val="00FF281D"/>
    <w:rsid w:val="00FF31ED"/>
    <w:rsid w:val="00FF32FA"/>
    <w:rsid w:val="00FF4DFF"/>
    <w:rsid w:val="00FF55CE"/>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7F61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97"/>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25B60"/>
    <w:pPr>
      <w:keepNext/>
      <w:spacing w:before="240" w:after="60"/>
      <w:outlineLvl w:val="2"/>
    </w:pPr>
    <w:rPr>
      <w:rFonts w:ascii="Arial" w:hAnsi="Arial" w:cs="Arial"/>
      <w:b/>
      <w:bCs/>
    </w:rPr>
  </w:style>
  <w:style w:type="paragraph" w:styleId="Heading4">
    <w:name w:val="heading 4"/>
    <w:basedOn w:val="Normal"/>
    <w:next w:val="Normal"/>
    <w:qFormat/>
    <w:rsid w:val="00323D41"/>
    <w:pPr>
      <w:keepNext/>
      <w:numPr>
        <w:numId w:val="13"/>
      </w:numPr>
      <w:spacing w:before="120" w:after="120"/>
      <w:outlineLvl w:val="3"/>
    </w:pPr>
    <w:rPr>
      <w:rFonts w:ascii="Times New Roman Bold" w:hAnsi="Times New Roman Bold"/>
      <w:b/>
      <w:bCs/>
      <w:sz w:val="25"/>
      <w:szCs w:val="28"/>
    </w:rPr>
  </w:style>
  <w:style w:type="paragraph" w:styleId="Heading5">
    <w:name w:val="heading 5"/>
    <w:basedOn w:val="Normal"/>
    <w:next w:val="Normal"/>
    <w:qFormat/>
    <w:rsid w:val="0059799C"/>
    <w:pPr>
      <w:numPr>
        <w:numId w:val="5"/>
      </w:numPr>
      <w:spacing w:before="240" w:after="60"/>
      <w:outlineLvl w:val="4"/>
    </w:pPr>
    <w:rPr>
      <w:b/>
      <w:bCs/>
      <w:i/>
      <w:iCs/>
    </w:rPr>
  </w:style>
  <w:style w:type="paragraph" w:styleId="Heading6">
    <w:name w:val="heading 6"/>
    <w:basedOn w:val="Normal"/>
    <w:next w:val="Normal"/>
    <w:qFormat/>
    <w:rsid w:val="00797873"/>
    <w:pPr>
      <w:numPr>
        <w:numId w:val="7"/>
      </w:numPr>
      <w:spacing w:before="240" w:after="60"/>
      <w:outlineLvl w:val="5"/>
    </w:pPr>
    <w:rPr>
      <w:b/>
      <w:bCs/>
      <w:sz w:val="22"/>
      <w:szCs w:val="22"/>
    </w:rPr>
  </w:style>
  <w:style w:type="paragraph" w:styleId="Heading7">
    <w:name w:val="heading 7"/>
    <w:basedOn w:val="Normal"/>
    <w:next w:val="Normal"/>
    <w:qFormat/>
    <w:rsid w:val="0056330A"/>
    <w:pPr>
      <w:numPr>
        <w:numId w:val="10"/>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1"/>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2"/>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qFormat/>
    <w:rsid w:val="007A235D"/>
    <w:pPr>
      <w:spacing w:after="120"/>
    </w:pPr>
    <w:rPr>
      <w:sz w:val="22"/>
      <w:szCs w:val="20"/>
    </w:rPr>
  </w:style>
  <w:style w:type="character" w:styleId="FootnoteReference">
    <w:name w:val="footnote reference"/>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1"/>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A33F9E"/>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CC106F"/>
    <w:pPr>
      <w:tabs>
        <w:tab w:val="left" w:pos="720"/>
        <w:tab w:val="right" w:leader="dot" w:pos="8640"/>
      </w:tabs>
      <w:ind w:left="612" w:hanging="180"/>
    </w:pPr>
    <w:rPr>
      <w:b/>
      <w:noProof/>
      <w:szCs w:val="24"/>
    </w:rPr>
  </w:style>
  <w:style w:type="table" w:styleId="TableGrid">
    <w:name w:val="Table Grid"/>
    <w:basedOn w:val="TableNormal"/>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6120B6"/>
    <w:pPr>
      <w:tabs>
        <w:tab w:val="right" w:leader="dot" w:pos="8630"/>
      </w:tabs>
      <w:spacing w:line="288" w:lineRule="auto"/>
    </w:pPr>
  </w:style>
  <w:style w:type="paragraph" w:styleId="TOC4">
    <w:name w:val="toc 4"/>
    <w:basedOn w:val="Normal"/>
    <w:next w:val="Normal"/>
    <w:autoRedefine/>
    <w:uiPriority w:val="39"/>
    <w:rsid w:val="00323D41"/>
    <w:pPr>
      <w:tabs>
        <w:tab w:val="left" w:pos="1080"/>
        <w:tab w:val="right" w:leader="dot" w:pos="8630"/>
      </w:tabs>
      <w:ind w:left="780"/>
    </w:pPr>
  </w:style>
  <w:style w:type="paragraph" w:styleId="TOC5">
    <w:name w:val="toc 5"/>
    <w:basedOn w:val="Normal"/>
    <w:next w:val="Normal"/>
    <w:autoRedefine/>
    <w:uiPriority w:val="39"/>
    <w:rsid w:val="006120B6"/>
    <w:pPr>
      <w:ind w:left="1040"/>
    </w:pPr>
  </w:style>
  <w:style w:type="paragraph" w:styleId="TOC6">
    <w:name w:val="toc 6"/>
    <w:basedOn w:val="Normal"/>
    <w:next w:val="Normal"/>
    <w:autoRedefine/>
    <w:uiPriority w:val="39"/>
    <w:rsid w:val="00043D03"/>
    <w:pPr>
      <w:tabs>
        <w:tab w:val="left" w:pos="1760"/>
        <w:tab w:val="right" w:leader="dot" w:pos="8630"/>
      </w:tabs>
      <w:ind w:left="1800" w:hanging="5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2"/>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3"/>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C43188"/>
    <w:rPr>
      <w:rFonts w:eastAsia="SimSun"/>
      <w:sz w:val="24"/>
      <w:szCs w:val="24"/>
      <w:lang w:eastAsia="zh-CN"/>
    </w:rPr>
  </w:style>
  <w:style w:type="paragraph" w:customStyle="1" w:styleId="Int3ATMText">
    <w:name w:val="Int3/ATM Text"/>
    <w:basedOn w:val="Normal"/>
    <w:rsid w:val="00C43188"/>
    <w:pPr>
      <w:numPr>
        <w:numId w:val="4"/>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6"/>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8"/>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9"/>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6B5D6F"/>
    <w:rPr>
      <w:rFonts w:ascii="Arial" w:hAnsi="Arial" w:cs="Arial"/>
      <w:b/>
      <w:bCs/>
      <w:sz w:val="26"/>
      <w:szCs w:val="26"/>
    </w:rPr>
  </w:style>
  <w:style w:type="character" w:customStyle="1" w:styleId="Hypertext">
    <w:name w:val="Hypertext"/>
    <w:rsid w:val="00844D13"/>
    <w:rPr>
      <w:color w:val="0000FF"/>
      <w:u w:val="single"/>
    </w:rPr>
  </w:style>
  <w:style w:type="paragraph" w:customStyle="1" w:styleId="Level1">
    <w:name w:val="Level 1"/>
    <w:basedOn w:val="Normal"/>
    <w:rsid w:val="00844D13"/>
    <w:pPr>
      <w:widowControl w:val="0"/>
      <w:autoSpaceDE w:val="0"/>
      <w:autoSpaceDN w:val="0"/>
      <w:adjustRightInd w:val="0"/>
      <w:ind w:left="720" w:hanging="720"/>
    </w:pPr>
    <w:rPr>
      <w:rFonts w:ascii="Arial" w:hAnsi="Arial"/>
      <w:sz w:val="20"/>
      <w:szCs w:val="24"/>
    </w:rPr>
  </w:style>
  <w:style w:type="paragraph" w:customStyle="1" w:styleId="DWTNorm">
    <w:name w:val="DWTNorm"/>
    <w:basedOn w:val="BodyTextIndent"/>
    <w:autoRedefine/>
    <w:rsid w:val="00844D13"/>
    <w:pPr>
      <w:spacing w:after="240" w:line="480" w:lineRule="exact"/>
      <w:ind w:left="0" w:firstLine="720"/>
      <w:jc w:val="both"/>
    </w:pPr>
    <w:rPr>
      <w:szCs w:val="20"/>
    </w:rPr>
  </w:style>
  <w:style w:type="character" w:styleId="PlaceholderText">
    <w:name w:val="Placeholder Text"/>
    <w:basedOn w:val="DefaultParagraphFont"/>
    <w:uiPriority w:val="99"/>
    <w:semiHidden/>
    <w:rsid w:val="00883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28094541">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062972701">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2014-07-01T07:00:00+00:00</OpenedDate>
    <Date1 xmlns="dc463f71-b30c-4ab2-9473-d307f9d35888">2015-01-29T08:00:00+00:00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141368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5296AFC28A6A4097D79ED5E52C4174" ma:contentTypeVersion="175" ma:contentTypeDescription="" ma:contentTypeScope="" ma:versionID="239000dba76e45d37657233721fd77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86E35-14CA-4668-A898-BDAAC385E074}"/>
</file>

<file path=customXml/itemProps2.xml><?xml version="1.0" encoding="utf-8"?>
<ds:datastoreItem xmlns:ds="http://schemas.openxmlformats.org/officeDocument/2006/customXml" ds:itemID="{933AC062-A616-4CFF-8F18-FCC236C1FF93}"/>
</file>

<file path=customXml/itemProps3.xml><?xml version="1.0" encoding="utf-8"?>
<ds:datastoreItem xmlns:ds="http://schemas.openxmlformats.org/officeDocument/2006/customXml" ds:itemID="{ADE87296-FB6B-410C-A385-9FB3325ED529}"/>
</file>

<file path=customXml/itemProps4.xml><?xml version="1.0" encoding="utf-8"?>
<ds:datastoreItem xmlns:ds="http://schemas.openxmlformats.org/officeDocument/2006/customXml" ds:itemID="{246C094C-9DDB-45A9-869A-06EBD2FA7E4F}"/>
</file>

<file path=customXml/itemProps5.xml><?xml version="1.0" encoding="utf-8"?>
<ds:datastoreItem xmlns:ds="http://schemas.openxmlformats.org/officeDocument/2006/customXml" ds:itemID="{1ED86752-3309-4472-807D-AF31F08EA909}"/>
</file>

<file path=docProps/app.xml><?xml version="1.0" encoding="utf-8"?>
<Properties xmlns="http://schemas.openxmlformats.org/officeDocument/2006/extended-properties" xmlns:vt="http://schemas.openxmlformats.org/officeDocument/2006/docPropsVTypes">
  <Template>Normal.dotm</Template>
  <TotalTime>0</TotalTime>
  <Pages>10</Pages>
  <Words>2300</Words>
  <Characters>12750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2015-01-28T23:23:00Z</dcterms:created>
  <dcterms:modified xsi:type="dcterms:W3CDTF">2015-01-29T17:32:00Z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0x0101006E56B4D1795A2E4DB2F0B01679ED314A00DD5296AFC28A6A4097D79ED5E52C4174</vt:lpwstr>
  </property>
  <property fmtid="{D5CDD505-2E9C-101B-9397-08002B2CF9AE}" pid="3" name="_docset_NoMedatataSyncRequired">
    <vt:lpwstr>False</vt:lpwstr>
  </property>
</Properties>
</file>