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D7D55" w14:textId="77777777" w:rsidR="00244353" w:rsidRPr="0024493D" w:rsidRDefault="00244353" w:rsidP="0024493D">
      <w:pPr>
        <w:pStyle w:val="Title"/>
        <w:spacing w:line="264" w:lineRule="auto"/>
        <w:rPr>
          <w:rFonts w:ascii="Times New Roman" w:hAnsi="Times New Roman"/>
          <w:sz w:val="25"/>
          <w:szCs w:val="25"/>
        </w:rPr>
      </w:pPr>
      <w:bookmarkStart w:id="0" w:name="_GoBack"/>
      <w:bookmarkEnd w:id="0"/>
      <w:r w:rsidRPr="0024493D">
        <w:rPr>
          <w:rFonts w:ascii="Times New Roman" w:hAnsi="Times New Roman"/>
          <w:sz w:val="25"/>
          <w:szCs w:val="25"/>
        </w:rPr>
        <w:t>BEFORE THE WASHINGTON</w:t>
      </w:r>
    </w:p>
    <w:p w14:paraId="7D2DF334" w14:textId="77777777" w:rsidR="00244353" w:rsidRPr="0024493D" w:rsidRDefault="00244353" w:rsidP="0024493D">
      <w:pPr>
        <w:pStyle w:val="Heading2"/>
        <w:spacing w:line="264" w:lineRule="auto"/>
        <w:rPr>
          <w:rFonts w:ascii="Times New Roman" w:hAnsi="Times New Roman"/>
          <w:sz w:val="25"/>
          <w:szCs w:val="25"/>
        </w:rPr>
      </w:pPr>
      <w:r w:rsidRPr="0024493D">
        <w:rPr>
          <w:rFonts w:ascii="Times New Roman" w:hAnsi="Times New Roman"/>
          <w:sz w:val="25"/>
          <w:szCs w:val="25"/>
        </w:rPr>
        <w:t>UTILITIES AND TRANSPORTATION COMMISSION</w:t>
      </w:r>
    </w:p>
    <w:p w14:paraId="66D7FD1C" w14:textId="77777777" w:rsidR="00E051E8" w:rsidRPr="0024493D" w:rsidRDefault="00E051E8" w:rsidP="0024493D">
      <w:pPr>
        <w:spacing w:line="264" w:lineRule="auto"/>
        <w:rPr>
          <w:rFonts w:ascii="Times New Roman" w:hAnsi="Times New Roman"/>
          <w:sz w:val="25"/>
          <w:szCs w:val="25"/>
        </w:rPr>
      </w:pPr>
    </w:p>
    <w:tbl>
      <w:tblPr>
        <w:tblW w:w="8670" w:type="dxa"/>
        <w:tblLook w:val="0000" w:firstRow="0" w:lastRow="0" w:firstColumn="0" w:lastColumn="0" w:noHBand="0" w:noVBand="0"/>
      </w:tblPr>
      <w:tblGrid>
        <w:gridCol w:w="8412"/>
        <w:gridCol w:w="222"/>
        <w:gridCol w:w="222"/>
      </w:tblGrid>
      <w:tr w:rsidR="00244353" w:rsidRPr="0024493D" w14:paraId="5A7E9D48" w14:textId="77777777" w:rsidTr="00A63050">
        <w:tc>
          <w:tcPr>
            <w:tcW w:w="8198" w:type="dxa"/>
          </w:tcPr>
          <w:p w14:paraId="11ADAC3C" w14:textId="77777777" w:rsidR="003E56DF" w:rsidRPr="0024493D" w:rsidRDefault="003E56DF" w:rsidP="0024493D">
            <w:pPr>
              <w:pStyle w:val="BodyText"/>
              <w:spacing w:line="264" w:lineRule="auto"/>
              <w:rPr>
                <w:rFonts w:ascii="Times New Roman" w:hAnsi="Times New Roman"/>
                <w:sz w:val="25"/>
                <w:szCs w:val="25"/>
              </w:rPr>
            </w:pPr>
          </w:p>
          <w:tbl>
            <w:tblPr>
              <w:tblStyle w:val="TableGrid"/>
              <w:tblW w:w="8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00"/>
              <w:gridCol w:w="4248"/>
            </w:tblGrid>
            <w:tr w:rsidR="003E56DF" w:rsidRPr="0024493D" w14:paraId="7B0B6C63" w14:textId="77777777" w:rsidTr="005B7B06">
              <w:tc>
                <w:tcPr>
                  <w:tcW w:w="3960" w:type="dxa"/>
                </w:tcPr>
                <w:p w14:paraId="4EB545C6"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WASHINGTON UTILITIES AND TRANSPORTATION COMMISSION,</w:t>
                  </w:r>
                </w:p>
                <w:p w14:paraId="1B429DD1" w14:textId="77777777" w:rsidR="003E56DF" w:rsidRPr="0024493D" w:rsidRDefault="003E56DF" w:rsidP="0024493D">
                  <w:pPr>
                    <w:pStyle w:val="BodyText"/>
                    <w:spacing w:line="264" w:lineRule="auto"/>
                    <w:rPr>
                      <w:rFonts w:ascii="Times New Roman" w:hAnsi="Times New Roman"/>
                      <w:b w:val="0"/>
                      <w:sz w:val="25"/>
                      <w:szCs w:val="25"/>
                    </w:rPr>
                  </w:pPr>
                </w:p>
                <w:p w14:paraId="65AD0914" w14:textId="77777777" w:rsidR="003E56DF" w:rsidRPr="0024493D" w:rsidRDefault="003E56DF" w:rsidP="0024493D">
                  <w:pPr>
                    <w:pStyle w:val="BodyText"/>
                    <w:tabs>
                      <w:tab w:val="left" w:pos="2174"/>
                    </w:tabs>
                    <w:spacing w:line="264" w:lineRule="auto"/>
                    <w:rPr>
                      <w:rFonts w:ascii="Times New Roman" w:hAnsi="Times New Roman"/>
                      <w:b w:val="0"/>
                      <w:sz w:val="25"/>
                      <w:szCs w:val="25"/>
                    </w:rPr>
                  </w:pPr>
                  <w:r w:rsidRPr="0024493D">
                    <w:rPr>
                      <w:rFonts w:ascii="Times New Roman" w:hAnsi="Times New Roman"/>
                      <w:b w:val="0"/>
                      <w:sz w:val="25"/>
                      <w:szCs w:val="25"/>
                    </w:rPr>
                    <w:tab/>
                    <w:t>Complainant,</w:t>
                  </w:r>
                </w:p>
                <w:p w14:paraId="3A424046" w14:textId="77777777" w:rsidR="003E56DF" w:rsidRPr="0024493D" w:rsidRDefault="003E56DF" w:rsidP="0024493D">
                  <w:pPr>
                    <w:pStyle w:val="BodyText"/>
                    <w:tabs>
                      <w:tab w:val="left" w:pos="2174"/>
                    </w:tabs>
                    <w:spacing w:line="264" w:lineRule="auto"/>
                    <w:rPr>
                      <w:rFonts w:ascii="Times New Roman" w:hAnsi="Times New Roman"/>
                      <w:b w:val="0"/>
                      <w:sz w:val="25"/>
                      <w:szCs w:val="25"/>
                    </w:rPr>
                  </w:pPr>
                </w:p>
                <w:p w14:paraId="1AA88883" w14:textId="77777777" w:rsidR="003E56DF" w:rsidRPr="0024493D" w:rsidRDefault="003E56DF" w:rsidP="0024493D">
                  <w:pPr>
                    <w:pStyle w:val="BodyText"/>
                    <w:tabs>
                      <w:tab w:val="left" w:pos="2174"/>
                    </w:tabs>
                    <w:spacing w:line="264" w:lineRule="auto"/>
                    <w:rPr>
                      <w:rFonts w:ascii="Times New Roman" w:hAnsi="Times New Roman"/>
                      <w:b w:val="0"/>
                      <w:sz w:val="25"/>
                      <w:szCs w:val="25"/>
                    </w:rPr>
                  </w:pPr>
                  <w:r w:rsidRPr="0024493D">
                    <w:rPr>
                      <w:rFonts w:ascii="Times New Roman" w:hAnsi="Times New Roman"/>
                      <w:b w:val="0"/>
                      <w:sz w:val="25"/>
                      <w:szCs w:val="25"/>
                    </w:rPr>
                    <w:t>v.</w:t>
                  </w:r>
                </w:p>
                <w:p w14:paraId="4E89BD37" w14:textId="77777777" w:rsidR="003E56DF" w:rsidRPr="0024493D" w:rsidRDefault="003E56DF" w:rsidP="0024493D">
                  <w:pPr>
                    <w:pStyle w:val="BodyText"/>
                    <w:tabs>
                      <w:tab w:val="left" w:pos="2174"/>
                    </w:tabs>
                    <w:spacing w:line="264" w:lineRule="auto"/>
                    <w:rPr>
                      <w:rFonts w:ascii="Times New Roman" w:hAnsi="Times New Roman"/>
                      <w:b w:val="0"/>
                      <w:sz w:val="25"/>
                      <w:szCs w:val="25"/>
                    </w:rPr>
                  </w:pPr>
                </w:p>
                <w:p w14:paraId="152CC698" w14:textId="77777777" w:rsidR="003E56DF" w:rsidRPr="0024493D" w:rsidRDefault="003E56DF" w:rsidP="0024493D">
                  <w:pPr>
                    <w:pStyle w:val="BodyText"/>
                    <w:tabs>
                      <w:tab w:val="left" w:pos="2174"/>
                    </w:tabs>
                    <w:spacing w:line="264" w:lineRule="auto"/>
                    <w:rPr>
                      <w:rFonts w:ascii="Times New Roman" w:hAnsi="Times New Roman"/>
                      <w:b w:val="0"/>
                      <w:sz w:val="25"/>
                      <w:szCs w:val="25"/>
                    </w:rPr>
                  </w:pPr>
                  <w:r w:rsidRPr="0024493D">
                    <w:rPr>
                      <w:rFonts w:ascii="Times New Roman" w:hAnsi="Times New Roman"/>
                      <w:b w:val="0"/>
                      <w:sz w:val="25"/>
                      <w:szCs w:val="25"/>
                    </w:rPr>
                    <w:t>WASTE CONTROL, INC. (G-101),</w:t>
                  </w:r>
                </w:p>
                <w:p w14:paraId="71CB6000" w14:textId="77777777" w:rsidR="003E56DF" w:rsidRPr="0024493D" w:rsidRDefault="003E56DF" w:rsidP="0024493D">
                  <w:pPr>
                    <w:pStyle w:val="BodyText"/>
                    <w:tabs>
                      <w:tab w:val="left" w:pos="2174"/>
                    </w:tabs>
                    <w:spacing w:line="264" w:lineRule="auto"/>
                    <w:rPr>
                      <w:rFonts w:ascii="Times New Roman" w:hAnsi="Times New Roman"/>
                      <w:b w:val="0"/>
                      <w:sz w:val="25"/>
                      <w:szCs w:val="25"/>
                    </w:rPr>
                  </w:pPr>
                </w:p>
                <w:p w14:paraId="222ED557" w14:textId="77777777" w:rsidR="003E56DF" w:rsidRPr="0024493D" w:rsidRDefault="003E56DF" w:rsidP="0024493D">
                  <w:pPr>
                    <w:pStyle w:val="BodyText"/>
                    <w:tabs>
                      <w:tab w:val="left" w:pos="2174"/>
                    </w:tabs>
                    <w:spacing w:line="264" w:lineRule="auto"/>
                    <w:rPr>
                      <w:rFonts w:ascii="Times New Roman" w:hAnsi="Times New Roman"/>
                      <w:b w:val="0"/>
                      <w:sz w:val="25"/>
                      <w:szCs w:val="25"/>
                    </w:rPr>
                  </w:pPr>
                  <w:r w:rsidRPr="0024493D">
                    <w:rPr>
                      <w:rFonts w:ascii="Times New Roman" w:hAnsi="Times New Roman"/>
                      <w:b w:val="0"/>
                      <w:sz w:val="25"/>
                      <w:szCs w:val="25"/>
                    </w:rPr>
                    <w:tab/>
                    <w:t>Respondent.</w:t>
                  </w:r>
                </w:p>
                <w:p w14:paraId="79BB2F76" w14:textId="77777777" w:rsidR="003E56DF" w:rsidRPr="0024493D" w:rsidRDefault="003E56DF" w:rsidP="0024493D">
                  <w:pPr>
                    <w:pStyle w:val="BodyText"/>
                    <w:tabs>
                      <w:tab w:val="left" w:pos="2174"/>
                    </w:tabs>
                    <w:spacing w:line="264" w:lineRule="auto"/>
                    <w:rPr>
                      <w:rFonts w:ascii="Times New Roman" w:hAnsi="Times New Roman"/>
                      <w:b w:val="0"/>
                      <w:sz w:val="25"/>
                      <w:szCs w:val="25"/>
                    </w:rPr>
                  </w:pPr>
                </w:p>
                <w:p w14:paraId="1D18BF4D" w14:textId="218BD2A1" w:rsidR="003E56DF" w:rsidRPr="0024493D" w:rsidRDefault="003E56DF" w:rsidP="0024493D">
                  <w:pPr>
                    <w:pStyle w:val="BodyText"/>
                    <w:tabs>
                      <w:tab w:val="left" w:pos="2174"/>
                    </w:tabs>
                    <w:spacing w:line="264" w:lineRule="auto"/>
                    <w:rPr>
                      <w:rFonts w:ascii="Times New Roman" w:hAnsi="Times New Roman"/>
                      <w:b w:val="0"/>
                      <w:sz w:val="25"/>
                      <w:szCs w:val="25"/>
                    </w:rPr>
                  </w:pPr>
                  <w:r w:rsidRPr="0024493D">
                    <w:rPr>
                      <w:rFonts w:ascii="Times New Roman" w:hAnsi="Times New Roman"/>
                      <w:b w:val="0"/>
                      <w:sz w:val="25"/>
                      <w:szCs w:val="25"/>
                    </w:rPr>
                    <w:t xml:space="preserve">. . . . . . . . . . . . . . . . . . . . . . . . . . . . . . </w:t>
                  </w:r>
                </w:p>
              </w:tc>
              <w:tc>
                <w:tcPr>
                  <w:tcW w:w="300" w:type="dxa"/>
                </w:tcPr>
                <w:p w14:paraId="596FA325"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2AD2A8CC"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6EA2523A"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64397D25"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0C82DADF"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13135C1B"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68C12909"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55502512"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7EAB0578"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01FDB5F2"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7D39C75F"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0C1C2862" w14:textId="77777777" w:rsidR="003E56DF"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p w14:paraId="2CA28C23" w14:textId="2F45EC6D" w:rsidR="0024493D" w:rsidRPr="0024493D" w:rsidRDefault="0024493D"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w:t>
                  </w:r>
                </w:p>
              </w:tc>
              <w:tc>
                <w:tcPr>
                  <w:tcW w:w="4248" w:type="dxa"/>
                </w:tcPr>
                <w:p w14:paraId="28D43BD2" w14:textId="0885884E" w:rsidR="003C7362"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DOCKET TG-140560</w:t>
                  </w:r>
                </w:p>
                <w:p w14:paraId="21DBF647" w14:textId="77777777" w:rsidR="003E56DF" w:rsidRDefault="003E56DF" w:rsidP="0024493D">
                  <w:pPr>
                    <w:pStyle w:val="BodyText"/>
                    <w:spacing w:line="264" w:lineRule="auto"/>
                    <w:rPr>
                      <w:rFonts w:ascii="Times New Roman" w:hAnsi="Times New Roman"/>
                      <w:b w:val="0"/>
                      <w:sz w:val="25"/>
                      <w:szCs w:val="25"/>
                    </w:rPr>
                  </w:pPr>
                </w:p>
                <w:p w14:paraId="7107B30A" w14:textId="05CADCC0" w:rsidR="003C7362" w:rsidRPr="0024493D" w:rsidRDefault="003E56DF" w:rsidP="0024493D">
                  <w:pPr>
                    <w:pStyle w:val="BodyText"/>
                    <w:spacing w:line="264" w:lineRule="auto"/>
                    <w:rPr>
                      <w:rFonts w:ascii="Times New Roman" w:hAnsi="Times New Roman"/>
                      <w:b w:val="0"/>
                      <w:sz w:val="25"/>
                      <w:szCs w:val="25"/>
                    </w:rPr>
                  </w:pPr>
                  <w:r w:rsidRPr="0024493D">
                    <w:rPr>
                      <w:rFonts w:ascii="Times New Roman" w:hAnsi="Times New Roman"/>
                      <w:b w:val="0"/>
                      <w:sz w:val="25"/>
                      <w:szCs w:val="25"/>
                    </w:rPr>
                    <w:t>ORDER 04</w:t>
                  </w:r>
                </w:p>
                <w:p w14:paraId="69F4868D" w14:textId="77777777" w:rsidR="003E56DF" w:rsidRDefault="003E56DF" w:rsidP="0024493D">
                  <w:pPr>
                    <w:pStyle w:val="BodyText"/>
                    <w:spacing w:line="264" w:lineRule="auto"/>
                    <w:rPr>
                      <w:rFonts w:ascii="Times New Roman" w:hAnsi="Times New Roman"/>
                      <w:b w:val="0"/>
                      <w:sz w:val="25"/>
                      <w:szCs w:val="25"/>
                    </w:rPr>
                  </w:pPr>
                </w:p>
                <w:p w14:paraId="35CD0AB7" w14:textId="77777777" w:rsidR="0024493D" w:rsidRPr="0024493D" w:rsidRDefault="0024493D" w:rsidP="0024493D">
                  <w:pPr>
                    <w:pStyle w:val="BodyText"/>
                    <w:spacing w:line="264" w:lineRule="auto"/>
                    <w:rPr>
                      <w:rFonts w:ascii="Times New Roman" w:hAnsi="Times New Roman"/>
                      <w:b w:val="0"/>
                      <w:sz w:val="25"/>
                      <w:szCs w:val="25"/>
                    </w:rPr>
                  </w:pPr>
                </w:p>
                <w:p w14:paraId="4868021E" w14:textId="0CE5B894" w:rsidR="00924DFD" w:rsidRPr="0024493D" w:rsidRDefault="003E56DF" w:rsidP="0024493D">
                  <w:pPr>
                    <w:spacing w:line="264" w:lineRule="auto"/>
                    <w:rPr>
                      <w:rFonts w:ascii="Times New Roman" w:hAnsi="Times New Roman"/>
                      <w:sz w:val="25"/>
                      <w:szCs w:val="25"/>
                    </w:rPr>
                  </w:pPr>
                  <w:r w:rsidRPr="0024493D">
                    <w:rPr>
                      <w:rFonts w:ascii="Times New Roman" w:hAnsi="Times New Roman"/>
                      <w:sz w:val="25"/>
                      <w:szCs w:val="25"/>
                    </w:rPr>
                    <w:t xml:space="preserve">ORDER </w:t>
                  </w:r>
                  <w:r w:rsidR="00A63050" w:rsidRPr="0024493D">
                    <w:rPr>
                      <w:rFonts w:ascii="Times New Roman" w:hAnsi="Times New Roman"/>
                      <w:sz w:val="25"/>
                      <w:szCs w:val="25"/>
                    </w:rPr>
                    <w:t>GRANTING IN PART</w:t>
                  </w:r>
                  <w:r w:rsidR="00951A2B" w:rsidRPr="0024493D">
                    <w:rPr>
                      <w:rFonts w:ascii="Times New Roman" w:hAnsi="Times New Roman"/>
                      <w:sz w:val="25"/>
                      <w:szCs w:val="25"/>
                    </w:rPr>
                    <w:t>/</w:t>
                  </w:r>
                  <w:r w:rsidR="00A63050" w:rsidRPr="0024493D">
                    <w:rPr>
                      <w:rFonts w:ascii="Times New Roman" w:hAnsi="Times New Roman"/>
                      <w:sz w:val="25"/>
                      <w:szCs w:val="25"/>
                    </w:rPr>
                    <w:t xml:space="preserve"> DENYING IN PART EXPEDIT</w:t>
                  </w:r>
                  <w:r w:rsidR="003C7362" w:rsidRPr="0024493D">
                    <w:rPr>
                      <w:rFonts w:ascii="Times New Roman" w:hAnsi="Times New Roman"/>
                      <w:sz w:val="25"/>
                      <w:szCs w:val="25"/>
                    </w:rPr>
                    <w:t>ED MOTION FOR EXTENSION OF TIME</w:t>
                  </w:r>
                  <w:r w:rsidR="00924DFD" w:rsidRPr="0024493D">
                    <w:rPr>
                      <w:rFonts w:ascii="Times New Roman" w:hAnsi="Times New Roman"/>
                      <w:sz w:val="25"/>
                      <w:szCs w:val="25"/>
                    </w:rPr>
                    <w:t>, RESCHEDULING HEARING</w:t>
                  </w:r>
                </w:p>
                <w:p w14:paraId="27380BCC" w14:textId="77777777" w:rsidR="00DB3A11" w:rsidRDefault="00924DFD" w:rsidP="00DB3A11">
                  <w:pPr>
                    <w:spacing w:line="264" w:lineRule="auto"/>
                    <w:rPr>
                      <w:rFonts w:ascii="Times New Roman" w:hAnsi="Times New Roman"/>
                      <w:b/>
                      <w:sz w:val="25"/>
                      <w:szCs w:val="25"/>
                    </w:rPr>
                  </w:pPr>
                  <w:r w:rsidRPr="0024493D">
                    <w:rPr>
                      <w:rFonts w:ascii="Times New Roman" w:hAnsi="Times New Roman"/>
                      <w:b/>
                      <w:sz w:val="25"/>
                      <w:szCs w:val="25"/>
                    </w:rPr>
                    <w:t>(</w:t>
                  </w:r>
                  <w:r w:rsidR="00DB3A11">
                    <w:rPr>
                      <w:rFonts w:ascii="Times New Roman" w:hAnsi="Times New Roman"/>
                      <w:b/>
                      <w:sz w:val="25"/>
                      <w:szCs w:val="25"/>
                    </w:rPr>
                    <w:t>S</w:t>
                  </w:r>
                  <w:r w:rsidRPr="0024493D">
                    <w:rPr>
                      <w:rFonts w:ascii="Times New Roman" w:hAnsi="Times New Roman"/>
                      <w:b/>
                      <w:sz w:val="25"/>
                      <w:szCs w:val="25"/>
                    </w:rPr>
                    <w:t xml:space="preserve">et for September </w:t>
                  </w:r>
                  <w:r w:rsidR="0024493D" w:rsidRPr="0024493D">
                    <w:rPr>
                      <w:rFonts w:ascii="Times New Roman" w:hAnsi="Times New Roman"/>
                      <w:b/>
                      <w:sz w:val="25"/>
                      <w:szCs w:val="25"/>
                    </w:rPr>
                    <w:t>2</w:t>
                  </w:r>
                  <w:r w:rsidR="00643717" w:rsidRPr="0024493D">
                    <w:rPr>
                      <w:rFonts w:ascii="Times New Roman" w:hAnsi="Times New Roman"/>
                      <w:b/>
                      <w:sz w:val="25"/>
                      <w:szCs w:val="25"/>
                    </w:rPr>
                    <w:t>-</w:t>
                  </w:r>
                  <w:r w:rsidR="0024493D" w:rsidRPr="0024493D">
                    <w:rPr>
                      <w:rFonts w:ascii="Times New Roman" w:hAnsi="Times New Roman"/>
                      <w:b/>
                      <w:sz w:val="25"/>
                      <w:szCs w:val="25"/>
                    </w:rPr>
                    <w:t>3</w:t>
                  </w:r>
                  <w:r w:rsidRPr="0024493D">
                    <w:rPr>
                      <w:rFonts w:ascii="Times New Roman" w:hAnsi="Times New Roman"/>
                      <w:b/>
                      <w:sz w:val="25"/>
                      <w:szCs w:val="25"/>
                    </w:rPr>
                    <w:t>, 2014, at</w:t>
                  </w:r>
                </w:p>
                <w:p w14:paraId="0BB0070E" w14:textId="2C296482" w:rsidR="003E56DF" w:rsidRPr="0024493D" w:rsidRDefault="00924DFD" w:rsidP="00DB3A11">
                  <w:pPr>
                    <w:spacing w:line="264" w:lineRule="auto"/>
                    <w:rPr>
                      <w:rFonts w:ascii="Times New Roman" w:hAnsi="Times New Roman"/>
                      <w:b/>
                      <w:sz w:val="25"/>
                      <w:szCs w:val="25"/>
                    </w:rPr>
                  </w:pPr>
                  <w:r w:rsidRPr="0024493D">
                    <w:rPr>
                      <w:rFonts w:ascii="Times New Roman" w:hAnsi="Times New Roman"/>
                      <w:b/>
                      <w:sz w:val="25"/>
                      <w:szCs w:val="25"/>
                    </w:rPr>
                    <w:t xml:space="preserve">9:30 a.m.) </w:t>
                  </w:r>
                </w:p>
              </w:tc>
            </w:tr>
          </w:tbl>
          <w:p w14:paraId="6412E524" w14:textId="592610E7" w:rsidR="00244353" w:rsidRPr="0024493D" w:rsidRDefault="00244353" w:rsidP="0024493D">
            <w:pPr>
              <w:tabs>
                <w:tab w:val="left" w:pos="2160"/>
              </w:tabs>
              <w:spacing w:line="264" w:lineRule="auto"/>
              <w:rPr>
                <w:rFonts w:ascii="Times New Roman" w:hAnsi="Times New Roman"/>
                <w:sz w:val="25"/>
                <w:szCs w:val="25"/>
              </w:rPr>
            </w:pPr>
          </w:p>
        </w:tc>
        <w:tc>
          <w:tcPr>
            <w:tcW w:w="236" w:type="dxa"/>
          </w:tcPr>
          <w:p w14:paraId="293FB9DA" w14:textId="77777777" w:rsidR="00C05C38" w:rsidRPr="0024493D" w:rsidRDefault="00C05C38" w:rsidP="0024493D">
            <w:pPr>
              <w:spacing w:line="264" w:lineRule="auto"/>
              <w:rPr>
                <w:rFonts w:ascii="Times New Roman" w:hAnsi="Times New Roman"/>
                <w:sz w:val="25"/>
                <w:szCs w:val="25"/>
              </w:rPr>
            </w:pPr>
          </w:p>
        </w:tc>
        <w:tc>
          <w:tcPr>
            <w:tcW w:w="236" w:type="dxa"/>
          </w:tcPr>
          <w:p w14:paraId="49FBC342" w14:textId="4A360EA1" w:rsidR="00244353" w:rsidRPr="0024493D" w:rsidRDefault="00244353" w:rsidP="0024493D">
            <w:pPr>
              <w:spacing w:line="264" w:lineRule="auto"/>
              <w:rPr>
                <w:rFonts w:ascii="Times New Roman" w:hAnsi="Times New Roman"/>
                <w:sz w:val="25"/>
                <w:szCs w:val="25"/>
              </w:rPr>
            </w:pPr>
          </w:p>
        </w:tc>
      </w:tr>
    </w:tbl>
    <w:p w14:paraId="3BDC072A" w14:textId="105FCEC8" w:rsidR="00573CD4" w:rsidRPr="0024493D" w:rsidRDefault="00573CD4" w:rsidP="0024493D">
      <w:pPr>
        <w:spacing w:line="264" w:lineRule="auto"/>
        <w:rPr>
          <w:rFonts w:ascii="Times New Roman" w:hAnsi="Times New Roman"/>
          <w:sz w:val="25"/>
          <w:szCs w:val="25"/>
        </w:rPr>
      </w:pPr>
    </w:p>
    <w:p w14:paraId="288BED9D" w14:textId="77777777" w:rsidR="0024493D" w:rsidRPr="0024493D" w:rsidRDefault="0024493D" w:rsidP="0024493D">
      <w:pPr>
        <w:spacing w:line="264" w:lineRule="auto"/>
        <w:rPr>
          <w:rFonts w:ascii="Times New Roman" w:hAnsi="Times New Roman"/>
          <w:sz w:val="25"/>
          <w:szCs w:val="25"/>
        </w:rPr>
      </w:pPr>
    </w:p>
    <w:p w14:paraId="4664C473" w14:textId="2F9939C0" w:rsidR="001E3132" w:rsidRPr="0024493D" w:rsidRDefault="002F1460" w:rsidP="0024493D">
      <w:pPr>
        <w:numPr>
          <w:ilvl w:val="0"/>
          <w:numId w:val="1"/>
        </w:numPr>
        <w:spacing w:line="264" w:lineRule="auto"/>
        <w:ind w:hanging="720"/>
        <w:rPr>
          <w:rFonts w:ascii="Times New Roman" w:hAnsi="Times New Roman"/>
          <w:sz w:val="25"/>
          <w:szCs w:val="25"/>
        </w:rPr>
      </w:pPr>
      <w:r w:rsidRPr="0024493D">
        <w:rPr>
          <w:rFonts w:ascii="Times New Roman" w:hAnsi="Times New Roman"/>
          <w:b/>
          <w:sz w:val="25"/>
          <w:szCs w:val="25"/>
        </w:rPr>
        <w:t xml:space="preserve">Background.  </w:t>
      </w:r>
      <w:r w:rsidR="003C7362" w:rsidRPr="0024493D">
        <w:rPr>
          <w:rFonts w:ascii="Times New Roman" w:hAnsi="Times New Roman"/>
          <w:sz w:val="25"/>
          <w:szCs w:val="25"/>
        </w:rPr>
        <w:t>On April 3, 2014, Waste Control, Inc. (WCI or Company) filed with the Washington Utilities and Transportation Commission (Commission) new Tariff No. 16 reflecting a general rate increase that, if approved, would generate approximately $532,000 (15.4 percent) in additional revenue.  Both the Commission’s regulatory staff (Staff)</w:t>
      </w:r>
      <w:r w:rsidR="00643717" w:rsidRPr="0024493D">
        <w:rPr>
          <w:rStyle w:val="FootnoteReference"/>
          <w:rFonts w:ascii="Times New Roman" w:hAnsi="Times New Roman"/>
          <w:sz w:val="25"/>
          <w:szCs w:val="25"/>
        </w:rPr>
        <w:t xml:space="preserve"> </w:t>
      </w:r>
      <w:r w:rsidR="00643717" w:rsidRPr="0024493D">
        <w:rPr>
          <w:rStyle w:val="FootnoteReference"/>
          <w:rFonts w:ascii="Times New Roman" w:hAnsi="Times New Roman"/>
          <w:sz w:val="25"/>
          <w:szCs w:val="25"/>
        </w:rPr>
        <w:footnoteReference w:id="1"/>
      </w:r>
      <w:r w:rsidR="003C7362" w:rsidRPr="0024493D">
        <w:rPr>
          <w:rFonts w:ascii="Times New Roman" w:hAnsi="Times New Roman"/>
          <w:sz w:val="25"/>
          <w:szCs w:val="25"/>
        </w:rPr>
        <w:t xml:space="preserve"> and the Washington Refuse and Recycling Association (WRRA) are parties to this docket.  The Commission convened a prehearing conference in this docket on April 30, 2014, and adopted a procedural schedule </w:t>
      </w:r>
      <w:r w:rsidR="00643717" w:rsidRPr="0024493D">
        <w:rPr>
          <w:rFonts w:ascii="Times New Roman" w:hAnsi="Times New Roman"/>
          <w:sz w:val="25"/>
          <w:szCs w:val="25"/>
        </w:rPr>
        <w:t>which</w:t>
      </w:r>
      <w:r w:rsidR="003C7362" w:rsidRPr="0024493D">
        <w:rPr>
          <w:rFonts w:ascii="Times New Roman" w:hAnsi="Times New Roman"/>
          <w:sz w:val="25"/>
          <w:szCs w:val="25"/>
        </w:rPr>
        <w:t xml:space="preserve"> </w:t>
      </w:r>
      <w:r w:rsidR="00643717" w:rsidRPr="0024493D">
        <w:rPr>
          <w:rFonts w:ascii="Times New Roman" w:hAnsi="Times New Roman"/>
          <w:sz w:val="25"/>
          <w:szCs w:val="25"/>
        </w:rPr>
        <w:t>contained</w:t>
      </w:r>
      <w:r w:rsidR="003C7362" w:rsidRPr="0024493D">
        <w:rPr>
          <w:rFonts w:ascii="Times New Roman" w:hAnsi="Times New Roman"/>
          <w:sz w:val="25"/>
          <w:szCs w:val="25"/>
        </w:rPr>
        <w:t xml:space="preserve"> the deadline for Staff to file response testimony on June 20, 2014, and schedul</w:t>
      </w:r>
      <w:r w:rsidR="00643717" w:rsidRPr="0024493D">
        <w:rPr>
          <w:rFonts w:ascii="Times New Roman" w:hAnsi="Times New Roman"/>
          <w:sz w:val="25"/>
          <w:szCs w:val="25"/>
        </w:rPr>
        <w:t>ed</w:t>
      </w:r>
      <w:r w:rsidR="003C7362" w:rsidRPr="0024493D">
        <w:rPr>
          <w:rFonts w:ascii="Times New Roman" w:hAnsi="Times New Roman"/>
          <w:sz w:val="25"/>
          <w:szCs w:val="25"/>
        </w:rPr>
        <w:t xml:space="preserve"> an evidentiary hearing for August 6-7, 2014.</w:t>
      </w:r>
    </w:p>
    <w:p w14:paraId="15B0567B" w14:textId="77777777" w:rsidR="002F1460" w:rsidRPr="0024493D" w:rsidRDefault="002F1460" w:rsidP="0024493D">
      <w:pPr>
        <w:spacing w:line="264" w:lineRule="auto"/>
        <w:rPr>
          <w:rFonts w:ascii="Times New Roman" w:hAnsi="Times New Roman"/>
          <w:sz w:val="25"/>
          <w:szCs w:val="25"/>
        </w:rPr>
      </w:pPr>
    </w:p>
    <w:p w14:paraId="3A541F6D" w14:textId="1A6326D2" w:rsidR="003E7978" w:rsidRPr="0024493D" w:rsidRDefault="000D35DA" w:rsidP="0024493D">
      <w:pPr>
        <w:numPr>
          <w:ilvl w:val="0"/>
          <w:numId w:val="1"/>
        </w:numPr>
        <w:spacing w:line="264" w:lineRule="auto"/>
        <w:ind w:hanging="720"/>
        <w:rPr>
          <w:rFonts w:ascii="Times New Roman" w:hAnsi="Times New Roman"/>
          <w:sz w:val="25"/>
          <w:szCs w:val="25"/>
        </w:rPr>
      </w:pPr>
      <w:r w:rsidRPr="0024493D">
        <w:rPr>
          <w:rFonts w:ascii="Times New Roman" w:hAnsi="Times New Roman"/>
          <w:b/>
          <w:sz w:val="25"/>
          <w:szCs w:val="25"/>
        </w:rPr>
        <w:t>Appearances.</w:t>
      </w:r>
      <w:r w:rsidRPr="0024493D">
        <w:rPr>
          <w:rFonts w:ascii="Times New Roman" w:hAnsi="Times New Roman"/>
          <w:sz w:val="25"/>
          <w:szCs w:val="25"/>
        </w:rPr>
        <w:t xml:space="preserve">  </w:t>
      </w:r>
      <w:r w:rsidR="003C7362" w:rsidRPr="0024493D">
        <w:rPr>
          <w:rFonts w:ascii="Times New Roman" w:hAnsi="Times New Roman"/>
          <w:sz w:val="25"/>
          <w:szCs w:val="25"/>
        </w:rPr>
        <w:t xml:space="preserve">David W. Wiley, Williams, Kastner &amp; Gibbs PLLC, Seattle, Washington, represents </w:t>
      </w:r>
      <w:r w:rsidR="00643717" w:rsidRPr="0024493D">
        <w:rPr>
          <w:rFonts w:ascii="Times New Roman" w:hAnsi="Times New Roman"/>
          <w:sz w:val="25"/>
          <w:szCs w:val="25"/>
        </w:rPr>
        <w:t>WCI</w:t>
      </w:r>
      <w:r w:rsidR="003C7362" w:rsidRPr="0024493D">
        <w:rPr>
          <w:rFonts w:ascii="Times New Roman" w:hAnsi="Times New Roman"/>
          <w:sz w:val="25"/>
          <w:szCs w:val="25"/>
        </w:rPr>
        <w:t xml:space="preserve">.  </w:t>
      </w:r>
      <w:r w:rsidR="00643717" w:rsidRPr="0024493D">
        <w:rPr>
          <w:rFonts w:ascii="Times New Roman" w:hAnsi="Times New Roman"/>
          <w:sz w:val="25"/>
          <w:szCs w:val="25"/>
        </w:rPr>
        <w:t>Brett Shearer</w:t>
      </w:r>
      <w:r w:rsidR="003C7362" w:rsidRPr="0024493D">
        <w:rPr>
          <w:rFonts w:ascii="Times New Roman" w:hAnsi="Times New Roman"/>
          <w:sz w:val="25"/>
          <w:szCs w:val="25"/>
        </w:rPr>
        <w:t xml:space="preserve">, Assistant Attorney General, Olympia, Washington, represents Staff.  James K. Sells, Gig Harbor, Washington, represents WRRA.  </w:t>
      </w:r>
    </w:p>
    <w:p w14:paraId="2EA21CAC" w14:textId="77777777" w:rsidR="00184D7C" w:rsidRPr="0024493D" w:rsidRDefault="00184D7C" w:rsidP="0024493D">
      <w:pPr>
        <w:pStyle w:val="ListParagraph"/>
        <w:spacing w:line="264" w:lineRule="auto"/>
        <w:rPr>
          <w:sz w:val="25"/>
          <w:szCs w:val="25"/>
        </w:rPr>
      </w:pPr>
    </w:p>
    <w:p w14:paraId="45DDA4D7" w14:textId="797F67CD" w:rsidR="00BF3A35" w:rsidRPr="0024493D" w:rsidRDefault="003C7362" w:rsidP="0024493D">
      <w:pPr>
        <w:numPr>
          <w:ilvl w:val="0"/>
          <w:numId w:val="1"/>
        </w:numPr>
        <w:spacing w:line="264" w:lineRule="auto"/>
        <w:ind w:hanging="720"/>
        <w:rPr>
          <w:rFonts w:ascii="Times New Roman" w:hAnsi="Times New Roman"/>
          <w:sz w:val="25"/>
          <w:szCs w:val="25"/>
        </w:rPr>
      </w:pPr>
      <w:r w:rsidRPr="0024493D">
        <w:rPr>
          <w:rFonts w:ascii="Times New Roman" w:hAnsi="Times New Roman"/>
          <w:b/>
          <w:sz w:val="25"/>
          <w:szCs w:val="25"/>
        </w:rPr>
        <w:lastRenderedPageBreak/>
        <w:t>Expedited Motion for Extension of Time</w:t>
      </w:r>
      <w:r w:rsidR="000D35DA" w:rsidRPr="0024493D">
        <w:rPr>
          <w:rFonts w:ascii="Times New Roman" w:hAnsi="Times New Roman"/>
          <w:b/>
          <w:sz w:val="25"/>
          <w:szCs w:val="25"/>
        </w:rPr>
        <w:t>.</w:t>
      </w:r>
      <w:r w:rsidR="000D35DA" w:rsidRPr="0024493D">
        <w:rPr>
          <w:rFonts w:ascii="Times New Roman" w:hAnsi="Times New Roman"/>
          <w:sz w:val="25"/>
          <w:szCs w:val="25"/>
        </w:rPr>
        <w:t xml:space="preserve">  </w:t>
      </w:r>
      <w:r w:rsidRPr="0024493D">
        <w:rPr>
          <w:rFonts w:ascii="Times New Roman" w:hAnsi="Times New Roman"/>
          <w:sz w:val="25"/>
          <w:szCs w:val="25"/>
        </w:rPr>
        <w:t>On June 12, 2014, Staff filed an Expedited Motion for Extension of Time, Motion to Clarify the Scope of WAC 480-07-520(4), and Motion to Compel Discovery (Staff Motion).</w:t>
      </w:r>
      <w:r w:rsidR="00F871A2" w:rsidRPr="0024493D">
        <w:rPr>
          <w:rStyle w:val="FootnoteReference"/>
          <w:rFonts w:ascii="Times New Roman" w:hAnsi="Times New Roman"/>
          <w:sz w:val="25"/>
          <w:szCs w:val="25"/>
        </w:rPr>
        <w:footnoteReference w:id="2"/>
      </w:r>
      <w:r w:rsidRPr="0024493D">
        <w:rPr>
          <w:rFonts w:ascii="Times New Roman" w:hAnsi="Times New Roman"/>
          <w:sz w:val="25"/>
          <w:szCs w:val="25"/>
        </w:rPr>
        <w:t xml:space="preserve">  Staff </w:t>
      </w:r>
      <w:r w:rsidR="00681456" w:rsidRPr="0024493D">
        <w:rPr>
          <w:rFonts w:ascii="Times New Roman" w:hAnsi="Times New Roman"/>
          <w:sz w:val="25"/>
          <w:szCs w:val="25"/>
        </w:rPr>
        <w:t>requests</w:t>
      </w:r>
      <w:r w:rsidR="00F871A2" w:rsidRPr="0024493D">
        <w:rPr>
          <w:rFonts w:ascii="Times New Roman" w:hAnsi="Times New Roman"/>
          <w:sz w:val="25"/>
          <w:szCs w:val="25"/>
        </w:rPr>
        <w:t xml:space="preserve"> </w:t>
      </w:r>
      <w:r w:rsidR="002E27D8" w:rsidRPr="0024493D">
        <w:rPr>
          <w:rFonts w:ascii="Times New Roman" w:hAnsi="Times New Roman"/>
          <w:sz w:val="25"/>
          <w:szCs w:val="25"/>
        </w:rPr>
        <w:t>an extension of</w:t>
      </w:r>
      <w:r w:rsidR="00F871A2" w:rsidRPr="0024493D">
        <w:rPr>
          <w:rFonts w:ascii="Times New Roman" w:hAnsi="Times New Roman"/>
          <w:sz w:val="25"/>
          <w:szCs w:val="25"/>
        </w:rPr>
        <w:t xml:space="preserve"> the deadline for filing its response testimony and exhibits from June 20, 2014, to August 29, 2014</w:t>
      </w:r>
      <w:r w:rsidR="002E27D8" w:rsidRPr="0024493D">
        <w:rPr>
          <w:rFonts w:ascii="Times New Roman" w:hAnsi="Times New Roman"/>
          <w:sz w:val="25"/>
          <w:szCs w:val="25"/>
        </w:rPr>
        <w:t>.</w:t>
      </w:r>
      <w:r w:rsidR="002E27D8" w:rsidRPr="0024493D">
        <w:rPr>
          <w:rStyle w:val="FootnoteReference"/>
          <w:rFonts w:ascii="Times New Roman" w:hAnsi="Times New Roman"/>
          <w:sz w:val="25"/>
          <w:szCs w:val="25"/>
        </w:rPr>
        <w:footnoteReference w:id="3"/>
      </w:r>
      <w:r w:rsidR="002E27D8" w:rsidRPr="0024493D">
        <w:rPr>
          <w:rFonts w:ascii="Times New Roman" w:hAnsi="Times New Roman"/>
          <w:sz w:val="25"/>
          <w:szCs w:val="25"/>
        </w:rPr>
        <w:t xml:space="preserve">  It argues that </w:t>
      </w:r>
      <w:r w:rsidR="00F871A2" w:rsidRPr="0024493D">
        <w:rPr>
          <w:rFonts w:ascii="Times New Roman" w:hAnsi="Times New Roman"/>
          <w:sz w:val="25"/>
          <w:szCs w:val="25"/>
        </w:rPr>
        <w:t xml:space="preserve">the Company has continuously objected to Staff’s data requests and failed to provide all supporting formulas </w:t>
      </w:r>
      <w:r w:rsidR="002E27D8" w:rsidRPr="0024493D">
        <w:rPr>
          <w:rFonts w:ascii="Times New Roman" w:hAnsi="Times New Roman"/>
          <w:sz w:val="25"/>
          <w:szCs w:val="25"/>
        </w:rPr>
        <w:t>on</w:t>
      </w:r>
      <w:r w:rsidR="00F871A2" w:rsidRPr="0024493D">
        <w:rPr>
          <w:rFonts w:ascii="Times New Roman" w:hAnsi="Times New Roman"/>
          <w:sz w:val="25"/>
          <w:szCs w:val="25"/>
        </w:rPr>
        <w:t xml:space="preserve"> </w:t>
      </w:r>
      <w:r w:rsidR="002E27D8" w:rsidRPr="0024493D">
        <w:rPr>
          <w:rFonts w:ascii="Times New Roman" w:hAnsi="Times New Roman"/>
          <w:sz w:val="25"/>
          <w:szCs w:val="25"/>
        </w:rPr>
        <w:t>WCI’s</w:t>
      </w:r>
      <w:r w:rsidR="00F871A2" w:rsidRPr="0024493D">
        <w:rPr>
          <w:rFonts w:ascii="Times New Roman" w:hAnsi="Times New Roman"/>
          <w:sz w:val="25"/>
          <w:szCs w:val="25"/>
        </w:rPr>
        <w:t xml:space="preserve"> </w:t>
      </w:r>
      <w:r w:rsidR="002E27D8" w:rsidRPr="0024493D">
        <w:rPr>
          <w:rFonts w:ascii="Times New Roman" w:hAnsi="Times New Roman"/>
          <w:sz w:val="25"/>
          <w:szCs w:val="25"/>
        </w:rPr>
        <w:t>spreadsheets</w:t>
      </w:r>
      <w:r w:rsidR="00F871A2" w:rsidRPr="0024493D">
        <w:rPr>
          <w:rFonts w:ascii="Times New Roman" w:hAnsi="Times New Roman"/>
          <w:sz w:val="25"/>
          <w:szCs w:val="25"/>
        </w:rPr>
        <w:t>.</w:t>
      </w:r>
      <w:r w:rsidR="00F871A2" w:rsidRPr="0024493D">
        <w:rPr>
          <w:rStyle w:val="FootnoteReference"/>
          <w:rFonts w:ascii="Times New Roman" w:hAnsi="Times New Roman"/>
          <w:sz w:val="25"/>
          <w:szCs w:val="25"/>
        </w:rPr>
        <w:footnoteReference w:id="4"/>
      </w:r>
      <w:r w:rsidR="00F871A2" w:rsidRPr="0024493D">
        <w:rPr>
          <w:rFonts w:ascii="Times New Roman" w:hAnsi="Times New Roman"/>
          <w:sz w:val="25"/>
          <w:szCs w:val="25"/>
        </w:rPr>
        <w:t xml:space="preserve">  </w:t>
      </w:r>
      <w:r w:rsidR="002E27D8" w:rsidRPr="0024493D">
        <w:rPr>
          <w:rFonts w:ascii="Times New Roman" w:hAnsi="Times New Roman"/>
          <w:sz w:val="25"/>
          <w:szCs w:val="25"/>
        </w:rPr>
        <w:t>Specifically, Staff states it has received inadequate responses from the Company to Staff Data Request Nos. 7, 8, and 11.</w:t>
      </w:r>
      <w:r w:rsidR="002E27D8" w:rsidRPr="0024493D">
        <w:rPr>
          <w:rStyle w:val="FootnoteReference"/>
          <w:rFonts w:ascii="Times New Roman" w:hAnsi="Times New Roman"/>
          <w:sz w:val="25"/>
          <w:szCs w:val="25"/>
        </w:rPr>
        <w:footnoteReference w:id="5"/>
      </w:r>
      <w:r w:rsidR="002E27D8" w:rsidRPr="0024493D">
        <w:rPr>
          <w:rFonts w:ascii="Times New Roman" w:hAnsi="Times New Roman"/>
          <w:sz w:val="25"/>
          <w:szCs w:val="25"/>
        </w:rPr>
        <w:t xml:space="preserve">  It</w:t>
      </w:r>
      <w:r w:rsidR="00681456" w:rsidRPr="0024493D">
        <w:rPr>
          <w:rFonts w:ascii="Times New Roman" w:hAnsi="Times New Roman"/>
          <w:sz w:val="25"/>
          <w:szCs w:val="25"/>
        </w:rPr>
        <w:t xml:space="preserve"> asks</w:t>
      </w:r>
      <w:r w:rsidRPr="0024493D">
        <w:rPr>
          <w:rFonts w:ascii="Times New Roman" w:hAnsi="Times New Roman"/>
          <w:sz w:val="25"/>
          <w:szCs w:val="25"/>
        </w:rPr>
        <w:t xml:space="preserve"> </w:t>
      </w:r>
      <w:r w:rsidR="00681456" w:rsidRPr="0024493D">
        <w:rPr>
          <w:rFonts w:ascii="Times New Roman" w:hAnsi="Times New Roman"/>
          <w:sz w:val="25"/>
          <w:szCs w:val="25"/>
        </w:rPr>
        <w:t xml:space="preserve">that the Commission </w:t>
      </w:r>
      <w:r w:rsidRPr="0024493D">
        <w:rPr>
          <w:rFonts w:ascii="Times New Roman" w:hAnsi="Times New Roman"/>
          <w:sz w:val="25"/>
          <w:szCs w:val="25"/>
        </w:rPr>
        <w:t xml:space="preserve">extend the deadline for </w:t>
      </w:r>
      <w:r w:rsidR="00681456" w:rsidRPr="0024493D">
        <w:rPr>
          <w:rFonts w:ascii="Times New Roman" w:hAnsi="Times New Roman"/>
          <w:sz w:val="25"/>
          <w:szCs w:val="25"/>
        </w:rPr>
        <w:t>it</w:t>
      </w:r>
      <w:r w:rsidRPr="0024493D">
        <w:rPr>
          <w:rFonts w:ascii="Times New Roman" w:hAnsi="Times New Roman"/>
          <w:sz w:val="25"/>
          <w:szCs w:val="25"/>
        </w:rPr>
        <w:t xml:space="preserve"> to file its response testimony and exhibits</w:t>
      </w:r>
      <w:r w:rsidR="00681456" w:rsidRPr="0024493D">
        <w:rPr>
          <w:rFonts w:ascii="Times New Roman" w:hAnsi="Times New Roman"/>
          <w:sz w:val="25"/>
          <w:szCs w:val="25"/>
        </w:rPr>
        <w:t>, as well as the remaining procedural schedule</w:t>
      </w:r>
      <w:r w:rsidR="00725BD3" w:rsidRPr="0024493D">
        <w:rPr>
          <w:rFonts w:ascii="Times New Roman" w:hAnsi="Times New Roman"/>
          <w:sz w:val="25"/>
          <w:szCs w:val="25"/>
        </w:rPr>
        <w:t>,</w:t>
      </w:r>
      <w:r w:rsidR="00681456" w:rsidRPr="0024493D">
        <w:rPr>
          <w:rFonts w:ascii="Times New Roman" w:hAnsi="Times New Roman"/>
          <w:sz w:val="25"/>
          <w:szCs w:val="25"/>
        </w:rPr>
        <w:t xml:space="preserve"> by</w:t>
      </w:r>
      <w:r w:rsidRPr="0024493D">
        <w:rPr>
          <w:rFonts w:ascii="Times New Roman" w:hAnsi="Times New Roman"/>
          <w:sz w:val="25"/>
          <w:szCs w:val="25"/>
        </w:rPr>
        <w:t xml:space="preserve"> ten weeks.</w:t>
      </w:r>
      <w:r w:rsidRPr="0024493D">
        <w:rPr>
          <w:rStyle w:val="FootnoteReference"/>
          <w:rFonts w:ascii="Times New Roman" w:hAnsi="Times New Roman"/>
          <w:sz w:val="25"/>
          <w:szCs w:val="25"/>
        </w:rPr>
        <w:footnoteReference w:id="6"/>
      </w:r>
    </w:p>
    <w:p w14:paraId="1241FF50" w14:textId="77777777" w:rsidR="00D6106B" w:rsidRPr="0024493D" w:rsidRDefault="00D6106B" w:rsidP="0024493D">
      <w:pPr>
        <w:spacing w:line="264" w:lineRule="auto"/>
        <w:rPr>
          <w:rFonts w:ascii="Times New Roman" w:hAnsi="Times New Roman"/>
          <w:sz w:val="25"/>
          <w:szCs w:val="25"/>
        </w:rPr>
      </w:pPr>
    </w:p>
    <w:p w14:paraId="08EC5989" w14:textId="092E75CF" w:rsidR="00D6106B" w:rsidRPr="0024493D" w:rsidRDefault="003C7362" w:rsidP="0024493D">
      <w:pPr>
        <w:numPr>
          <w:ilvl w:val="0"/>
          <w:numId w:val="1"/>
        </w:numPr>
        <w:spacing w:line="264" w:lineRule="auto"/>
        <w:ind w:hanging="720"/>
        <w:rPr>
          <w:rFonts w:ascii="Times New Roman" w:hAnsi="Times New Roman"/>
          <w:sz w:val="25"/>
          <w:szCs w:val="25"/>
        </w:rPr>
      </w:pPr>
      <w:r w:rsidRPr="0024493D">
        <w:rPr>
          <w:rFonts w:ascii="Times New Roman" w:hAnsi="Times New Roman"/>
          <w:sz w:val="25"/>
          <w:szCs w:val="25"/>
        </w:rPr>
        <w:t xml:space="preserve">On June 9, 2014, WCI filed a Motion for Appointment of a Discovery Master and/or Alternatively, Scheduling of a Discovery Conference (WCI Motion).  The Company asserts that the parties have reached a discovery impasse </w:t>
      </w:r>
      <w:r w:rsidR="00555203" w:rsidRPr="0024493D">
        <w:rPr>
          <w:rFonts w:ascii="Times New Roman" w:hAnsi="Times New Roman"/>
          <w:sz w:val="25"/>
          <w:szCs w:val="25"/>
        </w:rPr>
        <w:t>despite “the thousands of pages of responses, supporting data and documents supplied so far by the Company in discovery in [Dockets] TG-131794 and TG-140560.”</w:t>
      </w:r>
      <w:r w:rsidR="009C3A0E" w:rsidRPr="0024493D">
        <w:rPr>
          <w:rStyle w:val="FootnoteReference"/>
          <w:rFonts w:ascii="Times New Roman" w:hAnsi="Times New Roman"/>
          <w:sz w:val="25"/>
          <w:szCs w:val="25"/>
        </w:rPr>
        <w:footnoteReference w:id="7"/>
      </w:r>
      <w:r w:rsidR="00555203" w:rsidRPr="0024493D">
        <w:rPr>
          <w:rFonts w:ascii="Times New Roman" w:hAnsi="Times New Roman"/>
          <w:sz w:val="25"/>
          <w:szCs w:val="25"/>
        </w:rPr>
        <w:t xml:space="preserve">  WCI</w:t>
      </w:r>
      <w:r w:rsidRPr="0024493D">
        <w:rPr>
          <w:rFonts w:ascii="Times New Roman" w:hAnsi="Times New Roman"/>
          <w:sz w:val="25"/>
          <w:szCs w:val="25"/>
        </w:rPr>
        <w:t xml:space="preserve"> request</w:t>
      </w:r>
      <w:r w:rsidR="00555203" w:rsidRPr="0024493D">
        <w:rPr>
          <w:rFonts w:ascii="Times New Roman" w:hAnsi="Times New Roman"/>
          <w:sz w:val="25"/>
          <w:szCs w:val="25"/>
        </w:rPr>
        <w:t>s</w:t>
      </w:r>
      <w:r w:rsidRPr="0024493D">
        <w:rPr>
          <w:rFonts w:ascii="Times New Roman" w:hAnsi="Times New Roman"/>
          <w:sz w:val="25"/>
          <w:szCs w:val="25"/>
        </w:rPr>
        <w:t xml:space="preserve"> the assistance of a third-party intermediary to resolve the dispute.</w:t>
      </w:r>
      <w:r w:rsidRPr="0024493D">
        <w:rPr>
          <w:rStyle w:val="FootnoteReference"/>
          <w:rFonts w:ascii="Times New Roman" w:hAnsi="Times New Roman"/>
          <w:sz w:val="25"/>
          <w:szCs w:val="25"/>
        </w:rPr>
        <w:footnoteReference w:id="8"/>
      </w:r>
      <w:r w:rsidRPr="0024493D">
        <w:rPr>
          <w:rFonts w:ascii="Times New Roman" w:hAnsi="Times New Roman"/>
          <w:sz w:val="25"/>
          <w:szCs w:val="25"/>
        </w:rPr>
        <w:t xml:space="preserve">  In the alternative, WCI requests the Commission convene a discovery conference as “the most comprehensive, efficient and streamlined process to potentially [resolve continuing discovery issues and challenges of insuffi</w:t>
      </w:r>
      <w:r w:rsidR="0024493D" w:rsidRPr="0024493D">
        <w:rPr>
          <w:rFonts w:ascii="Times New Roman" w:hAnsi="Times New Roman"/>
          <w:sz w:val="25"/>
          <w:szCs w:val="25"/>
        </w:rPr>
        <w:t>ci</w:t>
      </w:r>
      <w:r w:rsidRPr="0024493D">
        <w:rPr>
          <w:rFonts w:ascii="Times New Roman" w:hAnsi="Times New Roman"/>
          <w:sz w:val="25"/>
          <w:szCs w:val="25"/>
        </w:rPr>
        <w:t>ency</w:t>
      </w:r>
      <w:r w:rsidR="009C3A0E" w:rsidRPr="0024493D">
        <w:rPr>
          <w:rFonts w:ascii="Times New Roman" w:hAnsi="Times New Roman"/>
          <w:sz w:val="25"/>
          <w:szCs w:val="25"/>
        </w:rPr>
        <w:t>]”</w:t>
      </w:r>
      <w:r w:rsidRPr="0024493D">
        <w:rPr>
          <w:rFonts w:ascii="Times New Roman" w:hAnsi="Times New Roman"/>
          <w:sz w:val="25"/>
          <w:szCs w:val="25"/>
        </w:rPr>
        <w:t xml:space="preserve"> of Company data request responses.</w:t>
      </w:r>
      <w:r w:rsidRPr="0024493D">
        <w:rPr>
          <w:rStyle w:val="FootnoteReference"/>
          <w:rFonts w:ascii="Times New Roman" w:hAnsi="Times New Roman"/>
          <w:sz w:val="25"/>
          <w:szCs w:val="25"/>
        </w:rPr>
        <w:footnoteReference w:id="9"/>
      </w:r>
    </w:p>
    <w:p w14:paraId="27EFBFDD" w14:textId="77777777" w:rsidR="00EA661B" w:rsidRPr="0024493D" w:rsidRDefault="00EA661B" w:rsidP="0024493D">
      <w:pPr>
        <w:pStyle w:val="ListParagraph"/>
        <w:spacing w:line="264" w:lineRule="auto"/>
        <w:rPr>
          <w:sz w:val="25"/>
          <w:szCs w:val="25"/>
        </w:rPr>
      </w:pPr>
    </w:p>
    <w:p w14:paraId="63CF6F5A" w14:textId="4585672D" w:rsidR="00EA661B" w:rsidRPr="0024493D" w:rsidRDefault="003C7362" w:rsidP="0024493D">
      <w:pPr>
        <w:numPr>
          <w:ilvl w:val="0"/>
          <w:numId w:val="1"/>
        </w:numPr>
        <w:spacing w:line="264" w:lineRule="auto"/>
        <w:ind w:hanging="720"/>
        <w:rPr>
          <w:rFonts w:ascii="Times New Roman" w:hAnsi="Times New Roman"/>
          <w:sz w:val="25"/>
          <w:szCs w:val="25"/>
        </w:rPr>
      </w:pPr>
      <w:r w:rsidRPr="0024493D">
        <w:rPr>
          <w:rFonts w:ascii="Times New Roman" w:hAnsi="Times New Roman"/>
          <w:sz w:val="25"/>
          <w:szCs w:val="25"/>
        </w:rPr>
        <w:t xml:space="preserve">The Commission issued a Notice of Opportunity to Comment on both motions </w:t>
      </w:r>
      <w:r w:rsidR="00C5271F" w:rsidRPr="0024493D">
        <w:rPr>
          <w:rFonts w:ascii="Times New Roman" w:hAnsi="Times New Roman"/>
          <w:sz w:val="25"/>
          <w:szCs w:val="25"/>
        </w:rPr>
        <w:t xml:space="preserve">on June 13, 2014.  WCI filed a response in opposition to the extension request (WCI Response).  The Company argues that “other than persistent and unending portrayals of the Company’s case as not </w:t>
      </w:r>
      <w:r w:rsidR="00C7070B" w:rsidRPr="0024493D">
        <w:rPr>
          <w:rFonts w:ascii="Times New Roman" w:hAnsi="Times New Roman"/>
          <w:sz w:val="25"/>
          <w:szCs w:val="25"/>
        </w:rPr>
        <w:t>‘</w:t>
      </w:r>
      <w:r w:rsidR="00C5271F" w:rsidRPr="0024493D">
        <w:rPr>
          <w:rFonts w:ascii="Times New Roman" w:hAnsi="Times New Roman"/>
          <w:sz w:val="25"/>
          <w:szCs w:val="25"/>
        </w:rPr>
        <w:t>technically compliant</w:t>
      </w:r>
      <w:r w:rsidR="002D26AD" w:rsidRPr="0024493D">
        <w:rPr>
          <w:rFonts w:ascii="Times New Roman" w:hAnsi="Times New Roman"/>
          <w:sz w:val="25"/>
          <w:szCs w:val="25"/>
        </w:rPr>
        <w:t>,</w:t>
      </w:r>
      <w:r w:rsidR="00C7070B" w:rsidRPr="0024493D">
        <w:rPr>
          <w:rFonts w:ascii="Times New Roman" w:hAnsi="Times New Roman"/>
          <w:sz w:val="25"/>
          <w:szCs w:val="25"/>
        </w:rPr>
        <w:t>’</w:t>
      </w:r>
      <w:r w:rsidR="002D26AD" w:rsidRPr="0024493D">
        <w:rPr>
          <w:rFonts w:ascii="Times New Roman" w:hAnsi="Times New Roman"/>
          <w:sz w:val="25"/>
          <w:szCs w:val="25"/>
        </w:rPr>
        <w:t xml:space="preserve"> there have been no showings </w:t>
      </w:r>
      <w:r w:rsidR="002D26AD" w:rsidRPr="0024493D">
        <w:rPr>
          <w:rFonts w:ascii="Times New Roman" w:hAnsi="Times New Roman"/>
          <w:sz w:val="25"/>
          <w:szCs w:val="25"/>
        </w:rPr>
        <w:lastRenderedPageBreak/>
        <w:t xml:space="preserve">by Staff in its motion for continuance as to what </w:t>
      </w:r>
      <w:r w:rsidR="002D26AD" w:rsidRPr="0024493D">
        <w:rPr>
          <w:rFonts w:ascii="Times New Roman" w:hAnsi="Times New Roman"/>
          <w:sz w:val="25"/>
          <w:szCs w:val="25"/>
          <w:u w:val="single"/>
        </w:rPr>
        <w:t>substantive</w:t>
      </w:r>
      <w:r w:rsidR="002D26AD" w:rsidRPr="0024493D">
        <w:rPr>
          <w:rFonts w:ascii="Times New Roman" w:hAnsi="Times New Roman"/>
          <w:sz w:val="25"/>
          <w:szCs w:val="25"/>
        </w:rPr>
        <w:t xml:space="preserve"> issues in this proceeding are actually not susceptible to present and prospective Staff presentation and response.”</w:t>
      </w:r>
      <w:r w:rsidR="002D26AD" w:rsidRPr="0024493D">
        <w:rPr>
          <w:rStyle w:val="FootnoteReference"/>
          <w:rFonts w:ascii="Times New Roman" w:hAnsi="Times New Roman"/>
          <w:sz w:val="25"/>
          <w:szCs w:val="25"/>
        </w:rPr>
        <w:footnoteReference w:id="10"/>
      </w:r>
      <w:r w:rsidR="00E02999" w:rsidRPr="0024493D">
        <w:rPr>
          <w:rFonts w:ascii="Times New Roman" w:hAnsi="Times New Roman"/>
          <w:sz w:val="25"/>
          <w:szCs w:val="25"/>
        </w:rPr>
        <w:t xml:space="preserve">  WRRA also filed an opposition to Staff’s request for additional time (WRRA Response), </w:t>
      </w:r>
      <w:r w:rsidR="00AA3A8C" w:rsidRPr="0024493D">
        <w:rPr>
          <w:rFonts w:ascii="Times New Roman" w:hAnsi="Times New Roman"/>
          <w:sz w:val="25"/>
          <w:szCs w:val="25"/>
        </w:rPr>
        <w:t xml:space="preserve">citing language within the Commission’s rule, WAC 480-07-385, </w:t>
      </w:r>
      <w:r w:rsidR="00FE6BD9" w:rsidRPr="0024493D">
        <w:rPr>
          <w:rFonts w:ascii="Times New Roman" w:hAnsi="Times New Roman"/>
          <w:sz w:val="25"/>
          <w:szCs w:val="25"/>
        </w:rPr>
        <w:t>which only allows continuances where doing so will not result in prejudice to the parties or the Commission.</w:t>
      </w:r>
      <w:r w:rsidR="00FE6BD9" w:rsidRPr="0024493D">
        <w:rPr>
          <w:rStyle w:val="FootnoteReference"/>
          <w:rFonts w:ascii="Times New Roman" w:hAnsi="Times New Roman"/>
          <w:sz w:val="25"/>
          <w:szCs w:val="25"/>
        </w:rPr>
        <w:footnoteReference w:id="11"/>
      </w:r>
      <w:r w:rsidR="00FE6BD9" w:rsidRPr="0024493D">
        <w:rPr>
          <w:rFonts w:ascii="Times New Roman" w:hAnsi="Times New Roman"/>
          <w:sz w:val="25"/>
          <w:szCs w:val="25"/>
        </w:rPr>
        <w:t xml:space="preserve"> </w:t>
      </w:r>
      <w:r w:rsidR="00E02999" w:rsidRPr="0024493D">
        <w:rPr>
          <w:rFonts w:ascii="Times New Roman" w:hAnsi="Times New Roman"/>
          <w:sz w:val="25"/>
          <w:szCs w:val="25"/>
        </w:rPr>
        <w:t xml:space="preserve"> </w:t>
      </w:r>
      <w:r w:rsidR="00FE6BD9" w:rsidRPr="0024493D">
        <w:rPr>
          <w:rFonts w:ascii="Times New Roman" w:hAnsi="Times New Roman"/>
          <w:sz w:val="25"/>
          <w:szCs w:val="25"/>
        </w:rPr>
        <w:t>WRRA states that “[t]he Company, at the least, must be given the opportunity to prove its case within a reasonable time.”</w:t>
      </w:r>
      <w:r w:rsidR="00FE6BD9" w:rsidRPr="0024493D">
        <w:rPr>
          <w:rStyle w:val="FootnoteReference"/>
          <w:rFonts w:ascii="Times New Roman" w:hAnsi="Times New Roman"/>
          <w:sz w:val="25"/>
          <w:szCs w:val="25"/>
        </w:rPr>
        <w:footnoteReference w:id="12"/>
      </w:r>
    </w:p>
    <w:p w14:paraId="07046600" w14:textId="77777777" w:rsidR="00BF3A35" w:rsidRPr="0024493D" w:rsidRDefault="00BF3A35" w:rsidP="0024493D">
      <w:pPr>
        <w:pStyle w:val="ListParagraph"/>
        <w:spacing w:line="264" w:lineRule="auto"/>
        <w:rPr>
          <w:sz w:val="25"/>
          <w:szCs w:val="25"/>
        </w:rPr>
      </w:pPr>
    </w:p>
    <w:p w14:paraId="53E367B1" w14:textId="4CD81135" w:rsidR="00C7070B" w:rsidRPr="0024493D" w:rsidRDefault="000D35DA" w:rsidP="0024493D">
      <w:pPr>
        <w:numPr>
          <w:ilvl w:val="0"/>
          <w:numId w:val="1"/>
        </w:numPr>
        <w:spacing w:line="264" w:lineRule="auto"/>
        <w:ind w:hanging="720"/>
        <w:rPr>
          <w:rFonts w:ascii="Times New Roman" w:hAnsi="Times New Roman"/>
          <w:sz w:val="25"/>
          <w:szCs w:val="25"/>
        </w:rPr>
      </w:pPr>
      <w:r w:rsidRPr="0024493D">
        <w:rPr>
          <w:rFonts w:ascii="Times New Roman" w:hAnsi="Times New Roman"/>
          <w:b/>
          <w:sz w:val="25"/>
          <w:szCs w:val="25"/>
        </w:rPr>
        <w:t>Discussion.</w:t>
      </w:r>
      <w:r w:rsidRPr="0024493D">
        <w:rPr>
          <w:rFonts w:ascii="Times New Roman" w:hAnsi="Times New Roman"/>
          <w:sz w:val="25"/>
          <w:szCs w:val="25"/>
        </w:rPr>
        <w:t xml:space="preserve">  </w:t>
      </w:r>
      <w:r w:rsidR="006F6AF1" w:rsidRPr="0024493D">
        <w:rPr>
          <w:rFonts w:ascii="Times New Roman" w:hAnsi="Times New Roman"/>
          <w:sz w:val="25"/>
          <w:szCs w:val="25"/>
        </w:rPr>
        <w:t>WAC 480-07-385(</w:t>
      </w:r>
      <w:r w:rsidR="00FE6BD9" w:rsidRPr="0024493D">
        <w:rPr>
          <w:rFonts w:ascii="Times New Roman" w:hAnsi="Times New Roman"/>
          <w:sz w:val="25"/>
          <w:szCs w:val="25"/>
        </w:rPr>
        <w:t>2) provides that the Commission will grant a request for continuance for good cause and if the request will not prejudice the parties or the Commission.</w:t>
      </w:r>
      <w:r w:rsidR="002B63B7" w:rsidRPr="0024493D">
        <w:rPr>
          <w:rFonts w:ascii="Times New Roman" w:hAnsi="Times New Roman"/>
          <w:sz w:val="25"/>
          <w:szCs w:val="25"/>
        </w:rPr>
        <w:t xml:space="preserve">  Further, WAC 480-07-385(4) states that </w:t>
      </w:r>
      <w:r w:rsidR="00C7070B" w:rsidRPr="0024493D">
        <w:rPr>
          <w:rFonts w:ascii="Times New Roman" w:hAnsi="Times New Roman"/>
          <w:sz w:val="25"/>
          <w:szCs w:val="25"/>
        </w:rPr>
        <w:t xml:space="preserve">a </w:t>
      </w:r>
      <w:r w:rsidR="002B63B7" w:rsidRPr="0024493D">
        <w:rPr>
          <w:rFonts w:ascii="Times New Roman" w:hAnsi="Times New Roman"/>
          <w:sz w:val="25"/>
          <w:szCs w:val="25"/>
        </w:rPr>
        <w:t xml:space="preserve">continuance will only be granted to a specific date.  Staff has demonstrated good cause for a continuance in the discovery dispute relating to WAC 480-07-520(4) and WCI’s spreadsheets.  </w:t>
      </w:r>
      <w:r w:rsidR="009C3A0E" w:rsidRPr="0024493D">
        <w:rPr>
          <w:rFonts w:ascii="Times New Roman" w:hAnsi="Times New Roman"/>
          <w:sz w:val="25"/>
          <w:szCs w:val="25"/>
        </w:rPr>
        <w:t xml:space="preserve">WRRA asserts that the Company will be prejudiced by the extension of Staff’s testimony deadline, yet it fails to point to specific instances of prejudice that would result if the Commission granted Staff’s request.  </w:t>
      </w:r>
      <w:r w:rsidR="002B63B7" w:rsidRPr="0024493D">
        <w:rPr>
          <w:rFonts w:ascii="Times New Roman" w:hAnsi="Times New Roman"/>
          <w:sz w:val="25"/>
          <w:szCs w:val="25"/>
        </w:rPr>
        <w:t xml:space="preserve">Even the Company, while opposing the continuance request, admits that the parties are at a discovery impasse.  </w:t>
      </w:r>
      <w:r w:rsidR="00C7070B" w:rsidRPr="0024493D">
        <w:rPr>
          <w:rFonts w:ascii="Times New Roman" w:hAnsi="Times New Roman"/>
          <w:sz w:val="25"/>
          <w:szCs w:val="25"/>
        </w:rPr>
        <w:t>It would be unreasonable to require Staff to file response testimony with the ongoing discovery issues unaddressed.  Responses to both Staff and WCI’s Motions</w:t>
      </w:r>
      <w:r w:rsidR="002079F4" w:rsidRPr="0024493D">
        <w:rPr>
          <w:rFonts w:ascii="Times New Roman" w:hAnsi="Times New Roman"/>
          <w:sz w:val="25"/>
          <w:szCs w:val="25"/>
        </w:rPr>
        <w:t xml:space="preserve"> </w:t>
      </w:r>
      <w:r w:rsidR="00C7070B" w:rsidRPr="0024493D">
        <w:rPr>
          <w:rFonts w:ascii="Times New Roman" w:hAnsi="Times New Roman"/>
          <w:sz w:val="25"/>
          <w:szCs w:val="25"/>
        </w:rPr>
        <w:t xml:space="preserve">are not due until June 23, 2014, and the Commission </w:t>
      </w:r>
      <w:r w:rsidR="002079F4" w:rsidRPr="0024493D">
        <w:rPr>
          <w:rFonts w:ascii="Times New Roman" w:hAnsi="Times New Roman"/>
          <w:sz w:val="25"/>
          <w:szCs w:val="25"/>
        </w:rPr>
        <w:t>still need</w:t>
      </w:r>
      <w:r w:rsidR="00C7070B" w:rsidRPr="0024493D">
        <w:rPr>
          <w:rFonts w:ascii="Times New Roman" w:hAnsi="Times New Roman"/>
          <w:sz w:val="25"/>
          <w:szCs w:val="25"/>
        </w:rPr>
        <w:t>s</w:t>
      </w:r>
      <w:r w:rsidR="002079F4" w:rsidRPr="0024493D">
        <w:rPr>
          <w:rFonts w:ascii="Times New Roman" w:hAnsi="Times New Roman"/>
          <w:sz w:val="25"/>
          <w:szCs w:val="25"/>
        </w:rPr>
        <w:t xml:space="preserve"> to </w:t>
      </w:r>
      <w:r w:rsidR="00C7070B" w:rsidRPr="0024493D">
        <w:rPr>
          <w:rFonts w:ascii="Times New Roman" w:hAnsi="Times New Roman"/>
          <w:sz w:val="25"/>
          <w:szCs w:val="25"/>
        </w:rPr>
        <w:t>c</w:t>
      </w:r>
      <w:r w:rsidR="002079F4" w:rsidRPr="0024493D">
        <w:rPr>
          <w:rFonts w:ascii="Times New Roman" w:hAnsi="Times New Roman"/>
          <w:sz w:val="25"/>
          <w:szCs w:val="25"/>
        </w:rPr>
        <w:t xml:space="preserve">onsider the </w:t>
      </w:r>
      <w:r w:rsidR="00C7070B" w:rsidRPr="0024493D">
        <w:rPr>
          <w:rFonts w:ascii="Times New Roman" w:hAnsi="Times New Roman"/>
          <w:sz w:val="25"/>
          <w:szCs w:val="25"/>
        </w:rPr>
        <w:t>merits of both proposals.  Following the Commission’s review,</w:t>
      </w:r>
      <w:r w:rsidR="002079F4" w:rsidRPr="0024493D">
        <w:rPr>
          <w:rFonts w:ascii="Times New Roman" w:hAnsi="Times New Roman"/>
          <w:sz w:val="25"/>
          <w:szCs w:val="25"/>
        </w:rPr>
        <w:t xml:space="preserve"> </w:t>
      </w:r>
      <w:r w:rsidR="00C7070B" w:rsidRPr="0024493D">
        <w:rPr>
          <w:rFonts w:ascii="Times New Roman" w:hAnsi="Times New Roman"/>
          <w:sz w:val="25"/>
          <w:szCs w:val="25"/>
        </w:rPr>
        <w:t xml:space="preserve">either </w:t>
      </w:r>
      <w:r w:rsidR="00924DFD" w:rsidRPr="0024493D">
        <w:rPr>
          <w:rFonts w:ascii="Times New Roman" w:hAnsi="Times New Roman"/>
          <w:sz w:val="25"/>
          <w:szCs w:val="25"/>
        </w:rPr>
        <w:t xml:space="preserve">an order compelling discovery </w:t>
      </w:r>
      <w:r w:rsidR="00C7070B" w:rsidRPr="0024493D">
        <w:rPr>
          <w:rFonts w:ascii="Times New Roman" w:hAnsi="Times New Roman"/>
          <w:sz w:val="25"/>
          <w:szCs w:val="25"/>
        </w:rPr>
        <w:t xml:space="preserve">will need to be </w:t>
      </w:r>
      <w:r w:rsidR="00924DFD" w:rsidRPr="0024493D">
        <w:rPr>
          <w:rFonts w:ascii="Times New Roman" w:hAnsi="Times New Roman"/>
          <w:sz w:val="25"/>
          <w:szCs w:val="25"/>
        </w:rPr>
        <w:t xml:space="preserve">drafted or </w:t>
      </w:r>
      <w:r w:rsidR="002079F4" w:rsidRPr="0024493D">
        <w:rPr>
          <w:rFonts w:ascii="Times New Roman" w:hAnsi="Times New Roman"/>
          <w:sz w:val="25"/>
          <w:szCs w:val="25"/>
        </w:rPr>
        <w:t>a subsequent discovery conference</w:t>
      </w:r>
      <w:r w:rsidR="00924DFD" w:rsidRPr="0024493D">
        <w:rPr>
          <w:rFonts w:ascii="Times New Roman" w:hAnsi="Times New Roman"/>
          <w:sz w:val="25"/>
          <w:szCs w:val="25"/>
        </w:rPr>
        <w:t xml:space="preserve"> convened prior to the filing of Staff’s response case</w:t>
      </w:r>
      <w:r w:rsidR="002079F4" w:rsidRPr="0024493D">
        <w:rPr>
          <w:rFonts w:ascii="Times New Roman" w:hAnsi="Times New Roman"/>
          <w:sz w:val="25"/>
          <w:szCs w:val="25"/>
        </w:rPr>
        <w:t xml:space="preserve">.  </w:t>
      </w:r>
    </w:p>
    <w:p w14:paraId="6B9B65B6" w14:textId="77777777" w:rsidR="00C7070B" w:rsidRPr="0024493D" w:rsidRDefault="00C7070B" w:rsidP="0024493D">
      <w:pPr>
        <w:pStyle w:val="ListParagraph"/>
        <w:spacing w:line="264" w:lineRule="auto"/>
        <w:rPr>
          <w:sz w:val="25"/>
          <w:szCs w:val="25"/>
        </w:rPr>
      </w:pPr>
    </w:p>
    <w:p w14:paraId="22D9CF30" w14:textId="0C3811D6" w:rsidR="000D35DA" w:rsidRPr="0024493D" w:rsidRDefault="00555203" w:rsidP="0024493D">
      <w:pPr>
        <w:numPr>
          <w:ilvl w:val="0"/>
          <w:numId w:val="1"/>
        </w:numPr>
        <w:spacing w:line="264" w:lineRule="auto"/>
        <w:ind w:hanging="720"/>
        <w:rPr>
          <w:rFonts w:ascii="Times New Roman" w:hAnsi="Times New Roman"/>
          <w:sz w:val="25"/>
          <w:szCs w:val="25"/>
        </w:rPr>
      </w:pPr>
      <w:r w:rsidRPr="0024493D">
        <w:rPr>
          <w:rFonts w:ascii="Times New Roman" w:hAnsi="Times New Roman"/>
          <w:sz w:val="25"/>
          <w:szCs w:val="25"/>
        </w:rPr>
        <w:t>While some time is clearly needed to resolve these issues, e</w:t>
      </w:r>
      <w:r w:rsidR="00924DFD" w:rsidRPr="0024493D">
        <w:rPr>
          <w:rFonts w:ascii="Times New Roman" w:hAnsi="Times New Roman"/>
          <w:sz w:val="25"/>
          <w:szCs w:val="25"/>
        </w:rPr>
        <w:t>ight weeks seem</w:t>
      </w:r>
      <w:r w:rsidRPr="0024493D">
        <w:rPr>
          <w:rFonts w:ascii="Times New Roman" w:hAnsi="Times New Roman"/>
          <w:sz w:val="25"/>
          <w:szCs w:val="25"/>
        </w:rPr>
        <w:t>s</w:t>
      </w:r>
      <w:r w:rsidR="00924DFD" w:rsidRPr="0024493D">
        <w:rPr>
          <w:rFonts w:ascii="Times New Roman" w:hAnsi="Times New Roman"/>
          <w:sz w:val="25"/>
          <w:szCs w:val="25"/>
        </w:rPr>
        <w:t xml:space="preserve"> excessive given the limited data in dispute and the seven weeks the parties have already had since the prehearing conference to work through these issues.  </w:t>
      </w:r>
      <w:r w:rsidR="009C3A0E" w:rsidRPr="0024493D">
        <w:rPr>
          <w:rFonts w:ascii="Times New Roman" w:hAnsi="Times New Roman"/>
          <w:sz w:val="25"/>
          <w:szCs w:val="25"/>
        </w:rPr>
        <w:t>Neither</w:t>
      </w:r>
      <w:r w:rsidRPr="0024493D">
        <w:rPr>
          <w:rFonts w:ascii="Times New Roman" w:hAnsi="Times New Roman"/>
          <w:sz w:val="25"/>
          <w:szCs w:val="25"/>
        </w:rPr>
        <w:t xml:space="preserve"> WCI nor WRRA suggested an alternative to Staff’s proffered eight week extension.  </w:t>
      </w:r>
      <w:r w:rsidR="00924DFD" w:rsidRPr="0024493D">
        <w:rPr>
          <w:rFonts w:ascii="Times New Roman" w:hAnsi="Times New Roman"/>
          <w:sz w:val="25"/>
          <w:szCs w:val="25"/>
        </w:rPr>
        <w:t>Given the Commission’</w:t>
      </w:r>
      <w:r w:rsidRPr="0024493D">
        <w:rPr>
          <w:rFonts w:ascii="Times New Roman" w:hAnsi="Times New Roman"/>
          <w:sz w:val="25"/>
          <w:szCs w:val="25"/>
        </w:rPr>
        <w:t>s schedule and the amount of discovery that has already taken place</w:t>
      </w:r>
      <w:r w:rsidR="009C3A0E" w:rsidRPr="0024493D">
        <w:rPr>
          <w:rFonts w:ascii="Times New Roman" w:hAnsi="Times New Roman"/>
          <w:sz w:val="25"/>
          <w:szCs w:val="25"/>
        </w:rPr>
        <w:t xml:space="preserve">, </w:t>
      </w:r>
      <w:r w:rsidR="00924DFD" w:rsidRPr="0024493D">
        <w:rPr>
          <w:rFonts w:ascii="Times New Roman" w:hAnsi="Times New Roman"/>
          <w:sz w:val="25"/>
          <w:szCs w:val="25"/>
        </w:rPr>
        <w:t xml:space="preserve">the schedule should be revised to extend all dates from the prehearing conference order by </w:t>
      </w:r>
      <w:r w:rsidR="009C3A0E" w:rsidRPr="0024493D">
        <w:rPr>
          <w:rFonts w:ascii="Times New Roman" w:hAnsi="Times New Roman"/>
          <w:sz w:val="25"/>
          <w:szCs w:val="25"/>
        </w:rPr>
        <w:t>four</w:t>
      </w:r>
      <w:r w:rsidR="00924DFD" w:rsidRPr="0024493D">
        <w:rPr>
          <w:rFonts w:ascii="Times New Roman" w:hAnsi="Times New Roman"/>
          <w:sz w:val="25"/>
          <w:szCs w:val="25"/>
        </w:rPr>
        <w:t xml:space="preserve"> weeks.  The </w:t>
      </w:r>
      <w:r w:rsidR="00951A2B" w:rsidRPr="0024493D">
        <w:rPr>
          <w:rFonts w:ascii="Times New Roman" w:hAnsi="Times New Roman"/>
          <w:sz w:val="25"/>
          <w:szCs w:val="25"/>
        </w:rPr>
        <w:t xml:space="preserve">evidentiary hearing should be rescheduled for September </w:t>
      </w:r>
      <w:r w:rsidR="009C3A0E" w:rsidRPr="0024493D">
        <w:rPr>
          <w:rFonts w:ascii="Times New Roman" w:hAnsi="Times New Roman"/>
          <w:sz w:val="25"/>
          <w:szCs w:val="25"/>
        </w:rPr>
        <w:t>2-3</w:t>
      </w:r>
      <w:r w:rsidR="00951A2B" w:rsidRPr="0024493D">
        <w:rPr>
          <w:rFonts w:ascii="Times New Roman" w:hAnsi="Times New Roman"/>
          <w:sz w:val="25"/>
          <w:szCs w:val="25"/>
        </w:rPr>
        <w:t>, 2014, at 9:30 a.m.</w:t>
      </w:r>
    </w:p>
    <w:p w14:paraId="18EE1DE9" w14:textId="77777777" w:rsidR="00670470" w:rsidRPr="0024493D" w:rsidRDefault="00670470" w:rsidP="0024493D">
      <w:pPr>
        <w:pStyle w:val="ListParagraph"/>
        <w:spacing w:line="264" w:lineRule="auto"/>
        <w:rPr>
          <w:sz w:val="25"/>
          <w:szCs w:val="25"/>
        </w:rPr>
      </w:pPr>
    </w:p>
    <w:p w14:paraId="148090C7" w14:textId="77777777" w:rsidR="00630DDB" w:rsidRPr="0024493D" w:rsidRDefault="00630DDB" w:rsidP="0024493D">
      <w:pPr>
        <w:pStyle w:val="ListParagraph"/>
        <w:spacing w:line="264" w:lineRule="auto"/>
        <w:rPr>
          <w:sz w:val="25"/>
          <w:szCs w:val="25"/>
        </w:rPr>
      </w:pPr>
    </w:p>
    <w:p w14:paraId="1DC726FC" w14:textId="2672A42D" w:rsidR="00083D37" w:rsidRPr="0024493D" w:rsidRDefault="00083D37" w:rsidP="0024493D">
      <w:pPr>
        <w:spacing w:line="264" w:lineRule="auto"/>
        <w:rPr>
          <w:rFonts w:ascii="Times New Roman" w:hAnsi="Times New Roman"/>
          <w:b/>
          <w:sz w:val="25"/>
          <w:szCs w:val="25"/>
          <w:u w:val="single"/>
        </w:rPr>
      </w:pPr>
    </w:p>
    <w:p w14:paraId="7C2F6444" w14:textId="77777777" w:rsidR="000D35DA" w:rsidRPr="0024493D" w:rsidRDefault="000D35DA" w:rsidP="0024493D">
      <w:pPr>
        <w:spacing w:line="264" w:lineRule="auto"/>
        <w:jc w:val="center"/>
        <w:rPr>
          <w:rFonts w:ascii="Times New Roman" w:hAnsi="Times New Roman"/>
          <w:b/>
          <w:sz w:val="25"/>
          <w:szCs w:val="25"/>
          <w:u w:val="single"/>
        </w:rPr>
      </w:pPr>
      <w:r w:rsidRPr="0024493D">
        <w:rPr>
          <w:rFonts w:ascii="Times New Roman" w:hAnsi="Times New Roman"/>
          <w:b/>
          <w:sz w:val="25"/>
          <w:szCs w:val="25"/>
          <w:u w:val="single"/>
        </w:rPr>
        <w:t>ORDER</w:t>
      </w:r>
    </w:p>
    <w:p w14:paraId="412672EC" w14:textId="77777777" w:rsidR="000D35DA" w:rsidRPr="0024493D" w:rsidRDefault="000D35DA" w:rsidP="0024493D">
      <w:pPr>
        <w:spacing w:line="264" w:lineRule="auto"/>
        <w:rPr>
          <w:rFonts w:ascii="Times New Roman" w:hAnsi="Times New Roman"/>
          <w:sz w:val="25"/>
          <w:szCs w:val="25"/>
        </w:rPr>
      </w:pPr>
    </w:p>
    <w:p w14:paraId="7B13A910" w14:textId="77777777" w:rsidR="000D35DA" w:rsidRPr="00D815E6" w:rsidRDefault="000D35DA" w:rsidP="0024493D">
      <w:pPr>
        <w:spacing w:line="264" w:lineRule="auto"/>
        <w:rPr>
          <w:rFonts w:ascii="Times New Roman" w:hAnsi="Times New Roman"/>
          <w:sz w:val="25"/>
          <w:szCs w:val="25"/>
        </w:rPr>
      </w:pPr>
      <w:r w:rsidRPr="00D815E6">
        <w:rPr>
          <w:rFonts w:ascii="Times New Roman" w:hAnsi="Times New Roman"/>
          <w:sz w:val="25"/>
          <w:szCs w:val="25"/>
        </w:rPr>
        <w:t>THE COMMISSION ORDERS THAT:</w:t>
      </w:r>
    </w:p>
    <w:p w14:paraId="3C49C924" w14:textId="77777777" w:rsidR="000D35DA" w:rsidRPr="0024493D" w:rsidRDefault="000D35DA" w:rsidP="0024493D">
      <w:pPr>
        <w:spacing w:line="264" w:lineRule="auto"/>
        <w:rPr>
          <w:rFonts w:ascii="Times New Roman" w:hAnsi="Times New Roman"/>
          <w:sz w:val="25"/>
          <w:szCs w:val="25"/>
        </w:rPr>
      </w:pPr>
    </w:p>
    <w:p w14:paraId="75B64D5B" w14:textId="4BE117BD" w:rsidR="00B457F3" w:rsidRPr="0024493D" w:rsidRDefault="0043005E" w:rsidP="0024493D">
      <w:pPr>
        <w:numPr>
          <w:ilvl w:val="0"/>
          <w:numId w:val="1"/>
        </w:numPr>
        <w:spacing w:line="264" w:lineRule="auto"/>
        <w:ind w:left="720" w:hanging="1440"/>
        <w:rPr>
          <w:rFonts w:ascii="Times New Roman" w:hAnsi="Times New Roman"/>
          <w:b/>
          <w:bCs/>
          <w:sz w:val="25"/>
          <w:szCs w:val="25"/>
        </w:rPr>
      </w:pPr>
      <w:r w:rsidRPr="0024493D">
        <w:rPr>
          <w:rFonts w:ascii="Times New Roman" w:hAnsi="Times New Roman"/>
          <w:bCs/>
          <w:sz w:val="25"/>
          <w:szCs w:val="25"/>
        </w:rPr>
        <w:t>(1)</w:t>
      </w:r>
      <w:r w:rsidRPr="0024493D">
        <w:rPr>
          <w:rFonts w:ascii="Times New Roman" w:hAnsi="Times New Roman"/>
          <w:bCs/>
          <w:sz w:val="25"/>
          <w:szCs w:val="25"/>
        </w:rPr>
        <w:tab/>
      </w:r>
      <w:r w:rsidR="00670470" w:rsidRPr="0024493D">
        <w:rPr>
          <w:rFonts w:ascii="Times New Roman" w:hAnsi="Times New Roman"/>
          <w:bCs/>
          <w:sz w:val="25"/>
          <w:szCs w:val="25"/>
        </w:rPr>
        <w:t>The</w:t>
      </w:r>
      <w:r w:rsidR="00951A2B" w:rsidRPr="0024493D">
        <w:rPr>
          <w:rFonts w:ascii="Times New Roman" w:hAnsi="Times New Roman"/>
          <w:bCs/>
          <w:sz w:val="25"/>
          <w:szCs w:val="25"/>
        </w:rPr>
        <w:t xml:space="preserve"> Expedited Motion for Extension of Time, filed by Staff, is granted in part and denied in part, in accordance with paragraph</w:t>
      </w:r>
      <w:r w:rsidR="009C3A0E" w:rsidRPr="0024493D">
        <w:rPr>
          <w:rFonts w:ascii="Times New Roman" w:hAnsi="Times New Roman"/>
          <w:bCs/>
          <w:sz w:val="25"/>
          <w:szCs w:val="25"/>
        </w:rPr>
        <w:t>s</w:t>
      </w:r>
      <w:r w:rsidR="00951A2B" w:rsidRPr="0024493D">
        <w:rPr>
          <w:rFonts w:ascii="Times New Roman" w:hAnsi="Times New Roman"/>
          <w:bCs/>
          <w:sz w:val="25"/>
          <w:szCs w:val="25"/>
        </w:rPr>
        <w:t xml:space="preserve"> 6</w:t>
      </w:r>
      <w:r w:rsidR="009C3A0E" w:rsidRPr="0024493D">
        <w:rPr>
          <w:rFonts w:ascii="Times New Roman" w:hAnsi="Times New Roman"/>
          <w:bCs/>
          <w:sz w:val="25"/>
          <w:szCs w:val="25"/>
        </w:rPr>
        <w:t xml:space="preserve"> and 7</w:t>
      </w:r>
      <w:r w:rsidR="00951A2B" w:rsidRPr="0024493D">
        <w:rPr>
          <w:rFonts w:ascii="Times New Roman" w:hAnsi="Times New Roman"/>
          <w:bCs/>
          <w:sz w:val="25"/>
          <w:szCs w:val="25"/>
        </w:rPr>
        <w:t xml:space="preserve"> above</w:t>
      </w:r>
      <w:r w:rsidR="00670470" w:rsidRPr="0024493D">
        <w:rPr>
          <w:rFonts w:ascii="Times New Roman" w:hAnsi="Times New Roman"/>
          <w:bCs/>
          <w:sz w:val="25"/>
          <w:szCs w:val="25"/>
        </w:rPr>
        <w:t>.</w:t>
      </w:r>
    </w:p>
    <w:p w14:paraId="181B87C5" w14:textId="77777777" w:rsidR="0043005E" w:rsidRPr="0024493D" w:rsidRDefault="0043005E" w:rsidP="0024493D">
      <w:pPr>
        <w:spacing w:line="264" w:lineRule="auto"/>
        <w:rPr>
          <w:rFonts w:ascii="Times New Roman" w:hAnsi="Times New Roman"/>
          <w:bCs/>
          <w:sz w:val="25"/>
          <w:szCs w:val="25"/>
        </w:rPr>
      </w:pPr>
    </w:p>
    <w:p w14:paraId="73345024" w14:textId="00F9C3AD" w:rsidR="0043005E" w:rsidRPr="0024493D" w:rsidRDefault="0043005E" w:rsidP="0024493D">
      <w:pPr>
        <w:numPr>
          <w:ilvl w:val="0"/>
          <w:numId w:val="1"/>
        </w:numPr>
        <w:spacing w:line="264" w:lineRule="auto"/>
        <w:ind w:left="720" w:hanging="1440"/>
        <w:rPr>
          <w:rFonts w:ascii="Times New Roman" w:hAnsi="Times New Roman"/>
          <w:bCs/>
          <w:sz w:val="25"/>
          <w:szCs w:val="25"/>
        </w:rPr>
      </w:pPr>
      <w:r w:rsidRPr="0024493D">
        <w:rPr>
          <w:rFonts w:ascii="Times New Roman" w:hAnsi="Times New Roman"/>
          <w:bCs/>
          <w:sz w:val="25"/>
          <w:szCs w:val="25"/>
        </w:rPr>
        <w:t>(2)</w:t>
      </w:r>
      <w:r w:rsidRPr="0024493D">
        <w:rPr>
          <w:rFonts w:ascii="Times New Roman" w:hAnsi="Times New Roman"/>
          <w:bCs/>
          <w:sz w:val="25"/>
          <w:szCs w:val="25"/>
        </w:rPr>
        <w:tab/>
      </w:r>
      <w:r w:rsidR="00951A2B" w:rsidRPr="0024493D">
        <w:rPr>
          <w:rFonts w:ascii="Times New Roman" w:hAnsi="Times New Roman"/>
          <w:bCs/>
          <w:sz w:val="25"/>
          <w:szCs w:val="25"/>
        </w:rPr>
        <w:t>The procedural schedule established in Order 02, Prehearing Conference Order and Notice of Hearing, is extended by f</w:t>
      </w:r>
      <w:r w:rsidR="009C3A0E" w:rsidRPr="0024493D">
        <w:rPr>
          <w:rFonts w:ascii="Times New Roman" w:hAnsi="Times New Roman"/>
          <w:bCs/>
          <w:sz w:val="25"/>
          <w:szCs w:val="25"/>
        </w:rPr>
        <w:t>our</w:t>
      </w:r>
      <w:r w:rsidR="00951A2B" w:rsidRPr="0024493D">
        <w:rPr>
          <w:rFonts w:ascii="Times New Roman" w:hAnsi="Times New Roman"/>
          <w:bCs/>
          <w:sz w:val="25"/>
          <w:szCs w:val="25"/>
        </w:rPr>
        <w:t xml:space="preserve"> weeks</w:t>
      </w:r>
      <w:r w:rsidRPr="0024493D">
        <w:rPr>
          <w:rFonts w:ascii="Times New Roman" w:hAnsi="Times New Roman"/>
          <w:bCs/>
          <w:sz w:val="25"/>
          <w:szCs w:val="25"/>
        </w:rPr>
        <w:t>.</w:t>
      </w:r>
    </w:p>
    <w:p w14:paraId="504284CB" w14:textId="77777777" w:rsidR="0043005E" w:rsidRPr="0024493D" w:rsidRDefault="0043005E" w:rsidP="0024493D">
      <w:pPr>
        <w:pStyle w:val="ListParagraph"/>
        <w:spacing w:line="264" w:lineRule="auto"/>
        <w:rPr>
          <w:bCs/>
          <w:sz w:val="25"/>
          <w:szCs w:val="25"/>
        </w:rPr>
      </w:pPr>
    </w:p>
    <w:p w14:paraId="66290F72" w14:textId="25B7CB44" w:rsidR="0043005E" w:rsidRPr="0024493D" w:rsidRDefault="0043005E" w:rsidP="0024493D">
      <w:pPr>
        <w:numPr>
          <w:ilvl w:val="0"/>
          <w:numId w:val="1"/>
        </w:numPr>
        <w:spacing w:line="264" w:lineRule="auto"/>
        <w:ind w:left="720" w:hanging="1440"/>
        <w:rPr>
          <w:rFonts w:ascii="Times New Roman" w:hAnsi="Times New Roman"/>
          <w:bCs/>
          <w:sz w:val="25"/>
          <w:szCs w:val="25"/>
        </w:rPr>
      </w:pPr>
      <w:r w:rsidRPr="0024493D">
        <w:rPr>
          <w:rFonts w:ascii="Times New Roman" w:hAnsi="Times New Roman"/>
          <w:bCs/>
          <w:sz w:val="25"/>
          <w:szCs w:val="25"/>
        </w:rPr>
        <w:t>(3)</w:t>
      </w:r>
      <w:r w:rsidRPr="0024493D">
        <w:rPr>
          <w:rFonts w:ascii="Times New Roman" w:hAnsi="Times New Roman"/>
          <w:bCs/>
          <w:sz w:val="25"/>
          <w:szCs w:val="25"/>
        </w:rPr>
        <w:tab/>
      </w:r>
      <w:r w:rsidR="00951A2B" w:rsidRPr="0024493D">
        <w:rPr>
          <w:rFonts w:ascii="Times New Roman" w:hAnsi="Times New Roman"/>
          <w:bCs/>
          <w:sz w:val="25"/>
          <w:szCs w:val="25"/>
        </w:rPr>
        <w:t>The evidentiary hearing scheduled for August 6-7, 2014, i</w:t>
      </w:r>
      <w:r w:rsidR="009C3A0E" w:rsidRPr="0024493D">
        <w:rPr>
          <w:rFonts w:ascii="Times New Roman" w:hAnsi="Times New Roman"/>
          <w:bCs/>
          <w:sz w:val="25"/>
          <w:szCs w:val="25"/>
        </w:rPr>
        <w:t>s rescheduled for September 2-3</w:t>
      </w:r>
      <w:r w:rsidR="00951A2B" w:rsidRPr="0024493D">
        <w:rPr>
          <w:rFonts w:ascii="Times New Roman" w:hAnsi="Times New Roman"/>
          <w:bCs/>
          <w:sz w:val="25"/>
          <w:szCs w:val="25"/>
        </w:rPr>
        <w:t>, 2014, at 9:30 a.m</w:t>
      </w:r>
      <w:r w:rsidRPr="0024493D">
        <w:rPr>
          <w:rFonts w:ascii="Times New Roman" w:hAnsi="Times New Roman"/>
          <w:bCs/>
          <w:sz w:val="25"/>
          <w:szCs w:val="25"/>
        </w:rPr>
        <w:t>.</w:t>
      </w:r>
    </w:p>
    <w:p w14:paraId="6DC28FBF" w14:textId="77777777" w:rsidR="00244353" w:rsidRPr="0024493D" w:rsidRDefault="00244353" w:rsidP="0024493D">
      <w:pPr>
        <w:pStyle w:val="Header"/>
        <w:tabs>
          <w:tab w:val="clear" w:pos="4320"/>
          <w:tab w:val="clear" w:pos="8640"/>
        </w:tabs>
        <w:spacing w:line="264" w:lineRule="auto"/>
        <w:rPr>
          <w:rFonts w:ascii="Times New Roman" w:hAnsi="Times New Roman"/>
          <w:sz w:val="25"/>
          <w:szCs w:val="25"/>
        </w:rPr>
      </w:pPr>
    </w:p>
    <w:p w14:paraId="5C117D9C" w14:textId="68D9926C" w:rsidR="00244353" w:rsidRPr="0024493D" w:rsidRDefault="00244353" w:rsidP="0024493D">
      <w:pPr>
        <w:spacing w:line="264" w:lineRule="auto"/>
        <w:rPr>
          <w:rFonts w:ascii="Times New Roman" w:hAnsi="Times New Roman"/>
          <w:sz w:val="25"/>
          <w:szCs w:val="25"/>
        </w:rPr>
      </w:pPr>
      <w:r w:rsidRPr="0024493D">
        <w:rPr>
          <w:rFonts w:ascii="Times New Roman" w:hAnsi="Times New Roman"/>
          <w:sz w:val="25"/>
          <w:szCs w:val="25"/>
        </w:rPr>
        <w:t xml:space="preserve">DATED at Olympia, Washington, and effective </w:t>
      </w:r>
      <w:r w:rsidR="00794A6C" w:rsidRPr="0024493D">
        <w:rPr>
          <w:rFonts w:ascii="Times New Roman" w:hAnsi="Times New Roman"/>
          <w:sz w:val="25"/>
          <w:szCs w:val="25"/>
        </w:rPr>
        <w:t xml:space="preserve">June </w:t>
      </w:r>
      <w:r w:rsidR="0043005E" w:rsidRPr="0024493D">
        <w:rPr>
          <w:rFonts w:ascii="Times New Roman" w:hAnsi="Times New Roman"/>
          <w:sz w:val="25"/>
          <w:szCs w:val="25"/>
        </w:rPr>
        <w:t>1</w:t>
      </w:r>
      <w:r w:rsidR="00951A2B" w:rsidRPr="0024493D">
        <w:rPr>
          <w:rFonts w:ascii="Times New Roman" w:hAnsi="Times New Roman"/>
          <w:sz w:val="25"/>
          <w:szCs w:val="25"/>
        </w:rPr>
        <w:t>8</w:t>
      </w:r>
      <w:r w:rsidR="005277F9" w:rsidRPr="0024493D">
        <w:rPr>
          <w:rFonts w:ascii="Times New Roman" w:hAnsi="Times New Roman"/>
          <w:sz w:val="25"/>
          <w:szCs w:val="25"/>
        </w:rPr>
        <w:t>, 201</w:t>
      </w:r>
      <w:r w:rsidR="00D0009F" w:rsidRPr="0024493D">
        <w:rPr>
          <w:rFonts w:ascii="Times New Roman" w:hAnsi="Times New Roman"/>
          <w:sz w:val="25"/>
          <w:szCs w:val="25"/>
        </w:rPr>
        <w:t>4</w:t>
      </w:r>
      <w:r w:rsidRPr="0024493D">
        <w:rPr>
          <w:rFonts w:ascii="Times New Roman" w:hAnsi="Times New Roman"/>
          <w:sz w:val="25"/>
          <w:szCs w:val="25"/>
        </w:rPr>
        <w:t>.</w:t>
      </w:r>
    </w:p>
    <w:p w14:paraId="260CA0D1" w14:textId="77777777" w:rsidR="00244353" w:rsidRPr="0024493D" w:rsidRDefault="00244353" w:rsidP="0024493D">
      <w:pPr>
        <w:spacing w:line="264" w:lineRule="auto"/>
        <w:rPr>
          <w:rFonts w:ascii="Times New Roman" w:hAnsi="Times New Roman"/>
          <w:sz w:val="25"/>
          <w:szCs w:val="25"/>
        </w:rPr>
      </w:pPr>
    </w:p>
    <w:p w14:paraId="4D822EEB" w14:textId="77777777" w:rsidR="00244353" w:rsidRPr="0024493D" w:rsidRDefault="00244353" w:rsidP="0024493D">
      <w:pPr>
        <w:spacing w:line="264" w:lineRule="auto"/>
        <w:jc w:val="center"/>
        <w:rPr>
          <w:rFonts w:ascii="Times New Roman" w:hAnsi="Times New Roman"/>
          <w:sz w:val="25"/>
          <w:szCs w:val="25"/>
        </w:rPr>
      </w:pPr>
      <w:r w:rsidRPr="0024493D">
        <w:rPr>
          <w:rFonts w:ascii="Times New Roman" w:hAnsi="Times New Roman"/>
          <w:sz w:val="25"/>
          <w:szCs w:val="25"/>
        </w:rPr>
        <w:t>WASHINGTON UTILITIES AND TRANSPORTATION COMMISSION</w:t>
      </w:r>
    </w:p>
    <w:p w14:paraId="164EC1AB" w14:textId="77777777" w:rsidR="00244353" w:rsidRPr="0024493D" w:rsidRDefault="00244353" w:rsidP="0024493D">
      <w:pPr>
        <w:spacing w:line="264" w:lineRule="auto"/>
        <w:rPr>
          <w:rFonts w:ascii="Times New Roman" w:hAnsi="Times New Roman"/>
          <w:sz w:val="25"/>
          <w:szCs w:val="25"/>
        </w:rPr>
      </w:pPr>
    </w:p>
    <w:p w14:paraId="66687DDB" w14:textId="77777777" w:rsidR="00244353" w:rsidRPr="0024493D" w:rsidRDefault="00244353" w:rsidP="0024493D">
      <w:pPr>
        <w:spacing w:line="264" w:lineRule="auto"/>
        <w:rPr>
          <w:rFonts w:ascii="Times New Roman" w:hAnsi="Times New Roman"/>
          <w:sz w:val="25"/>
          <w:szCs w:val="25"/>
        </w:rPr>
      </w:pPr>
    </w:p>
    <w:p w14:paraId="51B1385D" w14:textId="77777777" w:rsidR="00E051E8" w:rsidRPr="0024493D" w:rsidRDefault="00E051E8" w:rsidP="0024493D">
      <w:pPr>
        <w:spacing w:line="264" w:lineRule="auto"/>
        <w:rPr>
          <w:rFonts w:ascii="Times New Roman" w:hAnsi="Times New Roman"/>
          <w:sz w:val="25"/>
          <w:szCs w:val="25"/>
        </w:rPr>
      </w:pPr>
    </w:p>
    <w:p w14:paraId="16CC20A7" w14:textId="77777777" w:rsidR="00244353" w:rsidRPr="0024493D" w:rsidRDefault="00244353" w:rsidP="0024493D">
      <w:pPr>
        <w:spacing w:line="264" w:lineRule="auto"/>
        <w:rPr>
          <w:rFonts w:ascii="Times New Roman" w:hAnsi="Times New Roman"/>
          <w:sz w:val="25"/>
          <w:szCs w:val="25"/>
        </w:rPr>
      </w:pPr>
    </w:p>
    <w:p w14:paraId="300D6A7B" w14:textId="29C1BBF5" w:rsidR="00244353" w:rsidRPr="0024493D" w:rsidRDefault="00244353" w:rsidP="0024493D">
      <w:pPr>
        <w:spacing w:line="264" w:lineRule="auto"/>
        <w:rPr>
          <w:rFonts w:ascii="Times New Roman" w:hAnsi="Times New Roman"/>
          <w:sz w:val="25"/>
          <w:szCs w:val="25"/>
        </w:rPr>
      </w:pPr>
      <w:r w:rsidRPr="0024493D">
        <w:rPr>
          <w:rFonts w:ascii="Times New Roman" w:hAnsi="Times New Roman"/>
          <w:sz w:val="25"/>
          <w:szCs w:val="25"/>
        </w:rPr>
        <w:tab/>
      </w:r>
      <w:r w:rsidRPr="0024493D">
        <w:rPr>
          <w:rFonts w:ascii="Times New Roman" w:hAnsi="Times New Roman"/>
          <w:sz w:val="25"/>
          <w:szCs w:val="25"/>
        </w:rPr>
        <w:tab/>
      </w:r>
      <w:r w:rsidRPr="0024493D">
        <w:rPr>
          <w:rFonts w:ascii="Times New Roman" w:hAnsi="Times New Roman"/>
          <w:sz w:val="25"/>
          <w:szCs w:val="25"/>
        </w:rPr>
        <w:tab/>
      </w:r>
      <w:r w:rsidRPr="0024493D">
        <w:rPr>
          <w:rFonts w:ascii="Times New Roman" w:hAnsi="Times New Roman"/>
          <w:sz w:val="25"/>
          <w:szCs w:val="25"/>
        </w:rPr>
        <w:tab/>
      </w:r>
      <w:r w:rsidRPr="0024493D">
        <w:rPr>
          <w:rFonts w:ascii="Times New Roman" w:hAnsi="Times New Roman"/>
          <w:sz w:val="25"/>
          <w:szCs w:val="25"/>
        </w:rPr>
        <w:tab/>
      </w:r>
      <w:r w:rsidRPr="0024493D">
        <w:rPr>
          <w:rFonts w:ascii="Times New Roman" w:hAnsi="Times New Roman"/>
          <w:sz w:val="25"/>
          <w:szCs w:val="25"/>
        </w:rPr>
        <w:tab/>
      </w:r>
      <w:r w:rsidR="00794A6C" w:rsidRPr="0024493D">
        <w:rPr>
          <w:rFonts w:ascii="Times New Roman" w:hAnsi="Times New Roman"/>
          <w:sz w:val="25"/>
          <w:szCs w:val="25"/>
        </w:rPr>
        <w:t>MARGUERITE E. FRIEDLANDER</w:t>
      </w:r>
    </w:p>
    <w:p w14:paraId="1AD4D988" w14:textId="7D557C42" w:rsidR="00244353" w:rsidRPr="0024493D" w:rsidRDefault="00244353" w:rsidP="0024493D">
      <w:pPr>
        <w:spacing w:line="264" w:lineRule="auto"/>
        <w:rPr>
          <w:rFonts w:ascii="Times New Roman" w:eastAsia="Calibri" w:hAnsi="Times New Roman"/>
          <w:sz w:val="25"/>
          <w:szCs w:val="25"/>
        </w:rPr>
      </w:pPr>
      <w:r w:rsidRPr="0024493D">
        <w:rPr>
          <w:rFonts w:ascii="Times New Roman" w:hAnsi="Times New Roman"/>
          <w:sz w:val="25"/>
          <w:szCs w:val="25"/>
        </w:rPr>
        <w:tab/>
      </w:r>
      <w:r w:rsidRPr="0024493D">
        <w:rPr>
          <w:rFonts w:ascii="Times New Roman" w:hAnsi="Times New Roman"/>
          <w:sz w:val="25"/>
          <w:szCs w:val="25"/>
        </w:rPr>
        <w:tab/>
      </w:r>
      <w:r w:rsidRPr="0024493D">
        <w:rPr>
          <w:rFonts w:ascii="Times New Roman" w:hAnsi="Times New Roman"/>
          <w:sz w:val="25"/>
          <w:szCs w:val="25"/>
        </w:rPr>
        <w:tab/>
      </w:r>
      <w:r w:rsidRPr="0024493D">
        <w:rPr>
          <w:rFonts w:ascii="Times New Roman" w:hAnsi="Times New Roman"/>
          <w:sz w:val="25"/>
          <w:szCs w:val="25"/>
        </w:rPr>
        <w:tab/>
      </w:r>
      <w:r w:rsidRPr="0024493D">
        <w:rPr>
          <w:rFonts w:ascii="Times New Roman" w:hAnsi="Times New Roman"/>
          <w:sz w:val="25"/>
          <w:szCs w:val="25"/>
        </w:rPr>
        <w:tab/>
      </w:r>
      <w:r w:rsidRPr="0024493D">
        <w:rPr>
          <w:rFonts w:ascii="Times New Roman" w:hAnsi="Times New Roman"/>
          <w:sz w:val="25"/>
          <w:szCs w:val="25"/>
        </w:rPr>
        <w:tab/>
      </w:r>
      <w:r w:rsidR="004378AA" w:rsidRPr="0024493D">
        <w:rPr>
          <w:rFonts w:ascii="Times New Roman" w:hAnsi="Times New Roman"/>
          <w:sz w:val="25"/>
          <w:szCs w:val="25"/>
        </w:rPr>
        <w:t>Administrative Law Judge</w:t>
      </w:r>
    </w:p>
    <w:sectPr w:rsidR="00244353" w:rsidRPr="0024493D" w:rsidSect="005B7B06">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2E7B" w14:textId="77777777" w:rsidR="000A29A6" w:rsidRDefault="000A29A6">
      <w:r>
        <w:separator/>
      </w:r>
    </w:p>
  </w:endnote>
  <w:endnote w:type="continuationSeparator" w:id="0">
    <w:p w14:paraId="0A0D4B82" w14:textId="77777777" w:rsidR="000A29A6" w:rsidRDefault="000A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9E7EE" w14:textId="77777777" w:rsidR="000A29A6" w:rsidRDefault="000A29A6">
      <w:r>
        <w:separator/>
      </w:r>
    </w:p>
  </w:footnote>
  <w:footnote w:type="continuationSeparator" w:id="0">
    <w:p w14:paraId="0560482A" w14:textId="77777777" w:rsidR="000A29A6" w:rsidRDefault="000A29A6">
      <w:r>
        <w:continuationSeparator/>
      </w:r>
    </w:p>
  </w:footnote>
  <w:footnote w:id="1">
    <w:p w14:paraId="1C381C0F" w14:textId="77777777" w:rsidR="00643717" w:rsidRPr="003C7362" w:rsidRDefault="00643717" w:rsidP="00643717">
      <w:pPr>
        <w:pStyle w:val="FootnoteText"/>
        <w:spacing w:after="120"/>
        <w:rPr>
          <w:rFonts w:ascii="Times New Roman" w:hAnsi="Times New Roman"/>
          <w:sz w:val="22"/>
          <w:szCs w:val="22"/>
        </w:rPr>
      </w:pPr>
      <w:r w:rsidRPr="003C7362">
        <w:rPr>
          <w:rStyle w:val="FootnoteReference"/>
          <w:rFonts w:ascii="Times New Roman" w:hAnsi="Times New Roman"/>
          <w:sz w:val="22"/>
          <w:szCs w:val="22"/>
        </w:rPr>
        <w:footnoteRef/>
      </w:r>
      <w:r w:rsidRPr="003C7362">
        <w:rPr>
          <w:rFonts w:ascii="Times New Roman" w:hAnsi="Times New Roman"/>
          <w:sz w:val="22"/>
          <w:szCs w:val="22"/>
        </w:rPr>
        <w:t xml:space="preserve"> In a </w:t>
      </w:r>
      <w:r w:rsidRPr="003C7362">
        <w:rPr>
          <w:rFonts w:ascii="Times New Roman" w:hAnsi="Times New Roman"/>
          <w:iCs/>
          <w:sz w:val="22"/>
          <w:szCs w:val="22"/>
        </w:rPr>
        <w:t xml:space="preserve">formal proceeding, such as this, the Commission’s Staff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  </w:t>
      </w:r>
      <w:r w:rsidRPr="003C7362">
        <w:rPr>
          <w:rFonts w:ascii="Times New Roman" w:hAnsi="Times New Roman"/>
          <w:i/>
          <w:iCs/>
          <w:sz w:val="22"/>
          <w:szCs w:val="22"/>
        </w:rPr>
        <w:t>See</w:t>
      </w:r>
      <w:r w:rsidRPr="003C7362">
        <w:rPr>
          <w:rFonts w:ascii="Times New Roman" w:hAnsi="Times New Roman"/>
          <w:iCs/>
          <w:sz w:val="22"/>
          <w:szCs w:val="22"/>
        </w:rPr>
        <w:t xml:space="preserve"> RCW 34.05.455.</w:t>
      </w:r>
    </w:p>
  </w:footnote>
  <w:footnote w:id="2">
    <w:p w14:paraId="4225AD2C" w14:textId="4C654528" w:rsidR="00F871A2" w:rsidRDefault="00F871A2" w:rsidP="0024493D">
      <w:pPr>
        <w:pStyle w:val="FootnoteText"/>
        <w:spacing w:after="120"/>
      </w:pPr>
      <w:r w:rsidRPr="00F871A2">
        <w:rPr>
          <w:rStyle w:val="FootnoteReference"/>
          <w:rFonts w:ascii="Times New Roman" w:hAnsi="Times New Roman"/>
          <w:sz w:val="22"/>
        </w:rPr>
        <w:footnoteRef/>
      </w:r>
      <w:r w:rsidRPr="00F871A2">
        <w:rPr>
          <w:rFonts w:ascii="Times New Roman" w:hAnsi="Times New Roman"/>
          <w:sz w:val="22"/>
        </w:rPr>
        <w:t xml:space="preserve"> </w:t>
      </w:r>
      <w:r w:rsidR="002E27D8">
        <w:rPr>
          <w:rFonts w:ascii="Times New Roman" w:hAnsi="Times New Roman"/>
          <w:sz w:val="22"/>
        </w:rPr>
        <w:t>Responses to Staff’s Motion to Compel and Motion to Clarify the Scope of WAC 480-07-520(4), as well as responses to WCI’s Motion for Appointment of a Discovery Master and/or Alternatively, Scheduling of a Discovery Conference</w:t>
      </w:r>
      <w:r>
        <w:rPr>
          <w:rFonts w:ascii="Times New Roman" w:hAnsi="Times New Roman"/>
          <w:sz w:val="22"/>
        </w:rPr>
        <w:t xml:space="preserve"> are due on June 23, 2014.  As a result, this Order will only address the </w:t>
      </w:r>
      <w:r w:rsidR="002E27D8">
        <w:rPr>
          <w:rFonts w:ascii="Times New Roman" w:hAnsi="Times New Roman"/>
          <w:sz w:val="22"/>
        </w:rPr>
        <w:t xml:space="preserve">expedited </w:t>
      </w:r>
      <w:r>
        <w:rPr>
          <w:rFonts w:ascii="Times New Roman" w:hAnsi="Times New Roman"/>
          <w:sz w:val="22"/>
        </w:rPr>
        <w:t>request for a continuance.</w:t>
      </w:r>
    </w:p>
  </w:footnote>
  <w:footnote w:id="3">
    <w:p w14:paraId="3025A12D" w14:textId="340AFE09" w:rsidR="002E27D8" w:rsidRDefault="002E27D8" w:rsidP="0024493D">
      <w:pPr>
        <w:pStyle w:val="FootnoteText"/>
        <w:spacing w:after="120"/>
      </w:pPr>
      <w:r w:rsidRPr="002E27D8">
        <w:rPr>
          <w:rStyle w:val="FootnoteReference"/>
          <w:rFonts w:ascii="Times New Roman" w:hAnsi="Times New Roman"/>
          <w:sz w:val="22"/>
        </w:rPr>
        <w:footnoteRef/>
      </w:r>
      <w:r w:rsidRPr="002E27D8">
        <w:rPr>
          <w:rFonts w:ascii="Times New Roman" w:hAnsi="Times New Roman"/>
          <w:sz w:val="22"/>
        </w:rPr>
        <w:t xml:space="preserve"> </w:t>
      </w:r>
      <w:r>
        <w:rPr>
          <w:rFonts w:ascii="Times New Roman" w:hAnsi="Times New Roman"/>
          <w:sz w:val="22"/>
        </w:rPr>
        <w:t>Staff Motion, ¶¶ 1 and 42.</w:t>
      </w:r>
    </w:p>
  </w:footnote>
  <w:footnote w:id="4">
    <w:p w14:paraId="6D621207" w14:textId="67CB6981" w:rsidR="00F871A2" w:rsidRPr="00B654A7" w:rsidRDefault="00F871A2" w:rsidP="0024493D">
      <w:pPr>
        <w:pStyle w:val="FootnoteText"/>
        <w:spacing w:after="120"/>
        <w:rPr>
          <w:rFonts w:ascii="Times New Roman" w:hAnsi="Times New Roman"/>
        </w:rPr>
      </w:pPr>
      <w:r w:rsidRPr="00B654A7">
        <w:rPr>
          <w:rStyle w:val="FootnoteReference"/>
          <w:rFonts w:ascii="Times New Roman" w:hAnsi="Times New Roman"/>
          <w:sz w:val="22"/>
        </w:rPr>
        <w:footnoteRef/>
      </w:r>
      <w:r w:rsidRPr="00B654A7">
        <w:rPr>
          <w:sz w:val="22"/>
        </w:rPr>
        <w:t xml:space="preserve"> </w:t>
      </w:r>
      <w:r w:rsidR="002E27D8" w:rsidRPr="0024493D">
        <w:rPr>
          <w:rFonts w:ascii="Times New Roman" w:hAnsi="Times New Roman"/>
          <w:i/>
          <w:sz w:val="22"/>
        </w:rPr>
        <w:t>Id</w:t>
      </w:r>
      <w:r w:rsidR="002E27D8">
        <w:rPr>
          <w:rFonts w:ascii="Times New Roman" w:hAnsi="Times New Roman"/>
          <w:sz w:val="22"/>
        </w:rPr>
        <w:t>.</w:t>
      </w:r>
      <w:r>
        <w:rPr>
          <w:rFonts w:ascii="Times New Roman" w:hAnsi="Times New Roman"/>
          <w:sz w:val="22"/>
        </w:rPr>
        <w:t>, ¶¶ 17-28.</w:t>
      </w:r>
    </w:p>
  </w:footnote>
  <w:footnote w:id="5">
    <w:p w14:paraId="1A6D9ACA" w14:textId="2A6CE474" w:rsidR="002E27D8" w:rsidRPr="00681456" w:rsidRDefault="002E27D8" w:rsidP="0024493D">
      <w:pPr>
        <w:pStyle w:val="FootnoteText"/>
        <w:spacing w:after="120"/>
        <w:rPr>
          <w:rFonts w:ascii="Times New Roman" w:hAnsi="Times New Roman"/>
        </w:rPr>
      </w:pPr>
      <w:r w:rsidRPr="00681456">
        <w:rPr>
          <w:rStyle w:val="FootnoteReference"/>
          <w:rFonts w:ascii="Times New Roman" w:hAnsi="Times New Roman"/>
          <w:sz w:val="22"/>
        </w:rPr>
        <w:footnoteRef/>
      </w:r>
      <w:r w:rsidRPr="00681456">
        <w:rPr>
          <w:rFonts w:ascii="Times New Roman" w:hAnsi="Times New Roman"/>
          <w:sz w:val="22"/>
        </w:rPr>
        <w:t xml:space="preserve"> </w:t>
      </w:r>
      <w:r w:rsidRPr="0024493D">
        <w:rPr>
          <w:rFonts w:ascii="Times New Roman" w:hAnsi="Times New Roman"/>
          <w:i/>
          <w:sz w:val="22"/>
        </w:rPr>
        <w:t>Id</w:t>
      </w:r>
      <w:r>
        <w:rPr>
          <w:rFonts w:ascii="Times New Roman" w:hAnsi="Times New Roman"/>
          <w:sz w:val="22"/>
        </w:rPr>
        <w:t>., ¶ 2.</w:t>
      </w:r>
    </w:p>
  </w:footnote>
  <w:footnote w:id="6">
    <w:p w14:paraId="70FB05B6" w14:textId="003E1C57" w:rsidR="00E02999" w:rsidRPr="00B654A7" w:rsidRDefault="003C7362" w:rsidP="0024493D">
      <w:pPr>
        <w:pStyle w:val="FootnoteText"/>
        <w:spacing w:after="120"/>
        <w:rPr>
          <w:rFonts w:ascii="Times New Roman" w:hAnsi="Times New Roman"/>
        </w:rPr>
      </w:pPr>
      <w:r w:rsidRPr="00B654A7">
        <w:rPr>
          <w:rStyle w:val="FootnoteReference"/>
          <w:rFonts w:ascii="Times New Roman" w:hAnsi="Times New Roman"/>
          <w:sz w:val="22"/>
        </w:rPr>
        <w:footnoteRef/>
      </w:r>
      <w:r w:rsidRPr="00B654A7">
        <w:rPr>
          <w:rFonts w:ascii="Times New Roman" w:hAnsi="Times New Roman"/>
          <w:sz w:val="22"/>
        </w:rPr>
        <w:t xml:space="preserve"> </w:t>
      </w:r>
      <w:r w:rsidRPr="0024493D">
        <w:rPr>
          <w:rFonts w:ascii="Times New Roman" w:hAnsi="Times New Roman"/>
          <w:i/>
          <w:sz w:val="22"/>
        </w:rPr>
        <w:t>Id</w:t>
      </w:r>
      <w:r>
        <w:rPr>
          <w:rFonts w:ascii="Times New Roman" w:hAnsi="Times New Roman"/>
          <w:sz w:val="22"/>
        </w:rPr>
        <w:t xml:space="preserve">., ¶ 1.  </w:t>
      </w:r>
    </w:p>
  </w:footnote>
  <w:footnote w:id="7">
    <w:p w14:paraId="4FAF9289" w14:textId="5FEF4EA6" w:rsidR="009C3A0E" w:rsidRPr="0024493D" w:rsidRDefault="009C3A0E" w:rsidP="0024493D">
      <w:pPr>
        <w:pStyle w:val="FootnoteText"/>
        <w:spacing w:after="120"/>
        <w:rPr>
          <w:rFonts w:ascii="Times New Roman" w:hAnsi="Times New Roman"/>
        </w:rPr>
      </w:pPr>
      <w:r w:rsidRPr="009C3A0E">
        <w:rPr>
          <w:rStyle w:val="FootnoteReference"/>
          <w:rFonts w:ascii="Times New Roman" w:hAnsi="Times New Roman"/>
          <w:sz w:val="22"/>
        </w:rPr>
        <w:footnoteRef/>
      </w:r>
      <w:r w:rsidRPr="009C3A0E">
        <w:rPr>
          <w:rFonts w:ascii="Times New Roman" w:hAnsi="Times New Roman"/>
          <w:sz w:val="22"/>
        </w:rPr>
        <w:t xml:space="preserve"> </w:t>
      </w:r>
      <w:r w:rsidRPr="0024493D">
        <w:rPr>
          <w:rFonts w:ascii="Times New Roman" w:hAnsi="Times New Roman"/>
          <w:i/>
          <w:sz w:val="22"/>
        </w:rPr>
        <w:t>Id</w:t>
      </w:r>
      <w:r>
        <w:rPr>
          <w:rFonts w:ascii="Times New Roman" w:hAnsi="Times New Roman"/>
          <w:sz w:val="22"/>
        </w:rPr>
        <w:t>., ¶ 3.</w:t>
      </w:r>
    </w:p>
  </w:footnote>
  <w:footnote w:id="8">
    <w:p w14:paraId="3BF6CF5D" w14:textId="573B797E" w:rsidR="003C7362" w:rsidRPr="00721F76" w:rsidRDefault="003C7362" w:rsidP="0024493D">
      <w:pPr>
        <w:pStyle w:val="FootnoteText"/>
        <w:spacing w:after="120"/>
        <w:rPr>
          <w:rFonts w:ascii="Times New Roman" w:hAnsi="Times New Roman"/>
        </w:rPr>
      </w:pPr>
      <w:r w:rsidRPr="00721F76">
        <w:rPr>
          <w:rStyle w:val="FootnoteReference"/>
          <w:rFonts w:ascii="Times New Roman" w:hAnsi="Times New Roman"/>
          <w:sz w:val="22"/>
        </w:rPr>
        <w:footnoteRef/>
      </w:r>
      <w:r w:rsidRPr="00721F76">
        <w:rPr>
          <w:rFonts w:ascii="Times New Roman" w:hAnsi="Times New Roman"/>
          <w:sz w:val="22"/>
        </w:rPr>
        <w:t xml:space="preserve"> </w:t>
      </w:r>
      <w:r>
        <w:rPr>
          <w:rFonts w:ascii="Times New Roman" w:hAnsi="Times New Roman"/>
          <w:sz w:val="22"/>
        </w:rPr>
        <w:t xml:space="preserve">WCI Motion, ¶¶ 3 and 10.  </w:t>
      </w:r>
    </w:p>
  </w:footnote>
  <w:footnote w:id="9">
    <w:p w14:paraId="067DF669" w14:textId="77777777" w:rsidR="003C7362" w:rsidRDefault="003C7362" w:rsidP="0024493D">
      <w:pPr>
        <w:pStyle w:val="FootnoteText"/>
        <w:spacing w:after="120"/>
        <w:rPr>
          <w:rFonts w:ascii="Times New Roman" w:hAnsi="Times New Roman"/>
          <w:sz w:val="22"/>
        </w:rPr>
      </w:pPr>
      <w:r w:rsidRPr="000119EC">
        <w:rPr>
          <w:rStyle w:val="FootnoteReference"/>
          <w:rFonts w:ascii="Times New Roman" w:hAnsi="Times New Roman"/>
          <w:sz w:val="22"/>
        </w:rPr>
        <w:footnoteRef/>
      </w:r>
      <w:r w:rsidRPr="000119EC">
        <w:rPr>
          <w:rFonts w:ascii="Times New Roman" w:hAnsi="Times New Roman"/>
          <w:sz w:val="22"/>
        </w:rPr>
        <w:t xml:space="preserve"> </w:t>
      </w:r>
      <w:r w:rsidRPr="0024493D">
        <w:rPr>
          <w:rFonts w:ascii="Times New Roman" w:hAnsi="Times New Roman"/>
          <w:i/>
          <w:sz w:val="22"/>
        </w:rPr>
        <w:t>Id</w:t>
      </w:r>
      <w:r>
        <w:rPr>
          <w:rFonts w:ascii="Times New Roman" w:hAnsi="Times New Roman"/>
          <w:sz w:val="22"/>
        </w:rPr>
        <w:t>., ¶ 9.</w:t>
      </w:r>
    </w:p>
    <w:p w14:paraId="6FD756F8" w14:textId="77777777" w:rsidR="00C7070B" w:rsidRPr="000119EC" w:rsidRDefault="00C7070B" w:rsidP="003C7362">
      <w:pPr>
        <w:pStyle w:val="FootnoteText"/>
        <w:rPr>
          <w:rFonts w:ascii="Times New Roman" w:hAnsi="Times New Roman"/>
        </w:rPr>
      </w:pPr>
    </w:p>
  </w:footnote>
  <w:footnote w:id="10">
    <w:p w14:paraId="64658510" w14:textId="703B89CA" w:rsidR="00FE6BD9" w:rsidRPr="002D26AD" w:rsidRDefault="002D26AD" w:rsidP="0024493D">
      <w:pPr>
        <w:pStyle w:val="FootnoteText"/>
        <w:spacing w:after="120"/>
        <w:rPr>
          <w:rFonts w:ascii="Times New Roman" w:hAnsi="Times New Roman"/>
        </w:rPr>
      </w:pPr>
      <w:r w:rsidRPr="002D26AD">
        <w:rPr>
          <w:rStyle w:val="FootnoteReference"/>
          <w:rFonts w:ascii="Times New Roman" w:hAnsi="Times New Roman"/>
          <w:sz w:val="22"/>
        </w:rPr>
        <w:footnoteRef/>
      </w:r>
      <w:r w:rsidRPr="002D26AD">
        <w:rPr>
          <w:rFonts w:ascii="Times New Roman" w:hAnsi="Times New Roman"/>
          <w:sz w:val="22"/>
        </w:rPr>
        <w:t xml:space="preserve"> </w:t>
      </w:r>
      <w:r>
        <w:rPr>
          <w:rFonts w:ascii="Times New Roman" w:hAnsi="Times New Roman"/>
          <w:sz w:val="22"/>
        </w:rPr>
        <w:t xml:space="preserve">WCI Response, </w:t>
      </w:r>
      <w:r w:rsidR="00FE6BD9">
        <w:rPr>
          <w:rFonts w:ascii="Times New Roman" w:hAnsi="Times New Roman"/>
          <w:sz w:val="22"/>
        </w:rPr>
        <w:t>¶ 7.</w:t>
      </w:r>
      <w:r w:rsidR="00C7070B">
        <w:rPr>
          <w:rFonts w:ascii="Times New Roman" w:hAnsi="Times New Roman"/>
          <w:sz w:val="22"/>
        </w:rPr>
        <w:t xml:space="preserve">  (Emphasis in original)</w:t>
      </w:r>
    </w:p>
  </w:footnote>
  <w:footnote w:id="11">
    <w:p w14:paraId="39B64331" w14:textId="3721F53B" w:rsidR="00FE6BD9" w:rsidRPr="00FE6BD9" w:rsidRDefault="00FE6BD9" w:rsidP="0024493D">
      <w:pPr>
        <w:pStyle w:val="FootnoteText"/>
        <w:spacing w:after="120"/>
        <w:rPr>
          <w:rFonts w:ascii="Times New Roman" w:hAnsi="Times New Roman"/>
          <w:sz w:val="22"/>
        </w:rPr>
      </w:pPr>
      <w:r w:rsidRPr="00FE6BD9">
        <w:rPr>
          <w:rStyle w:val="FootnoteReference"/>
          <w:rFonts w:ascii="Times New Roman" w:hAnsi="Times New Roman"/>
          <w:sz w:val="22"/>
        </w:rPr>
        <w:footnoteRef/>
      </w:r>
      <w:r w:rsidRPr="00FE6BD9">
        <w:rPr>
          <w:rFonts w:ascii="Times New Roman" w:hAnsi="Times New Roman"/>
          <w:sz w:val="22"/>
        </w:rPr>
        <w:t xml:space="preserve"> </w:t>
      </w:r>
      <w:r>
        <w:rPr>
          <w:rFonts w:ascii="Times New Roman" w:hAnsi="Times New Roman"/>
          <w:sz w:val="22"/>
        </w:rPr>
        <w:t>WRRA Response at 2.</w:t>
      </w:r>
    </w:p>
  </w:footnote>
  <w:footnote w:id="12">
    <w:p w14:paraId="5CF4FCF2" w14:textId="603A2F48" w:rsidR="00FE6BD9" w:rsidRPr="00FE6BD9" w:rsidRDefault="00FE6BD9" w:rsidP="0024493D">
      <w:pPr>
        <w:pStyle w:val="FootnoteText"/>
        <w:spacing w:after="120"/>
        <w:rPr>
          <w:rFonts w:ascii="Times New Roman" w:hAnsi="Times New Roman"/>
        </w:rPr>
      </w:pPr>
      <w:r w:rsidRPr="00FE6BD9">
        <w:rPr>
          <w:rStyle w:val="FootnoteReference"/>
          <w:rFonts w:ascii="Times New Roman" w:hAnsi="Times New Roman"/>
          <w:sz w:val="22"/>
        </w:rPr>
        <w:footnoteRef/>
      </w:r>
      <w:r w:rsidRPr="00FE6BD9">
        <w:rPr>
          <w:sz w:val="22"/>
        </w:rPr>
        <w:t xml:space="preserve"> </w:t>
      </w:r>
      <w:r w:rsidRPr="0024493D">
        <w:rPr>
          <w:rFonts w:ascii="Times New Roman" w:hAnsi="Times New Roman"/>
          <w:i/>
          <w:sz w:val="22"/>
        </w:rPr>
        <w:t>Id</w:t>
      </w:r>
      <w:r>
        <w:rPr>
          <w:rFonts w:ascii="Times New Roman" w:hAnsi="Times New Roman"/>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677B8" w14:textId="78DF74A2" w:rsidR="000A29A6" w:rsidRDefault="000A29A6">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924DFD">
      <w:rPr>
        <w:rFonts w:ascii="Times New Roman" w:hAnsi="Times New Roman"/>
        <w:b/>
        <w:bCs/>
        <w:sz w:val="20"/>
      </w:rPr>
      <w:t>TG-140560</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D70B5C">
      <w:rPr>
        <w:rStyle w:val="PageNumber"/>
        <w:rFonts w:ascii="Times New Roman" w:hAnsi="Times New Roman"/>
        <w:b/>
        <w:bCs/>
        <w:noProof/>
        <w:sz w:val="20"/>
      </w:rPr>
      <w:t>2</w:t>
    </w:r>
    <w:r w:rsidRPr="00DE41B1">
      <w:rPr>
        <w:rStyle w:val="PageNumber"/>
        <w:rFonts w:ascii="Times New Roman" w:hAnsi="Times New Roman"/>
        <w:b/>
        <w:bCs/>
        <w:sz w:val="20"/>
      </w:rPr>
      <w:fldChar w:fldCharType="end"/>
    </w:r>
  </w:p>
  <w:p w14:paraId="2CEBB3D3" w14:textId="6DB538C2" w:rsidR="000A29A6" w:rsidRPr="00DE41B1" w:rsidRDefault="000A29A6">
    <w:pPr>
      <w:pStyle w:val="Header"/>
      <w:tabs>
        <w:tab w:val="clear" w:pos="8640"/>
        <w:tab w:val="right" w:pos="8460"/>
      </w:tabs>
      <w:rPr>
        <w:rStyle w:val="PageNumber"/>
        <w:rFonts w:ascii="Times New Roman" w:hAnsi="Times New Roman"/>
        <w:b/>
        <w:bCs/>
        <w:sz w:val="20"/>
      </w:rPr>
    </w:pPr>
    <w:r>
      <w:rPr>
        <w:rStyle w:val="PageNumber"/>
        <w:rFonts w:ascii="Times New Roman" w:hAnsi="Times New Roman"/>
        <w:b/>
        <w:bCs/>
        <w:sz w:val="20"/>
      </w:rPr>
      <w:t>ORDER 0</w:t>
    </w:r>
    <w:r w:rsidR="00924DFD">
      <w:rPr>
        <w:rStyle w:val="PageNumber"/>
        <w:rFonts w:ascii="Times New Roman" w:hAnsi="Times New Roman"/>
        <w:b/>
        <w:bCs/>
        <w:sz w:val="20"/>
      </w:rPr>
      <w:t>4</w:t>
    </w:r>
  </w:p>
  <w:p w14:paraId="695E614B" w14:textId="77777777" w:rsidR="000A29A6" w:rsidRPr="00DE41B1" w:rsidRDefault="000A29A6">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1F924" w14:textId="5A9EDA2C" w:rsidR="00362B45" w:rsidRPr="00362B45" w:rsidRDefault="00362B45" w:rsidP="00362B45">
    <w:pPr>
      <w:pStyle w:val="Header"/>
      <w:tabs>
        <w:tab w:val="clear" w:pos="4320"/>
      </w:tabs>
      <w:rPr>
        <w:rFonts w:ascii="Times New Roman" w:hAnsi="Times New Roman"/>
        <w:b/>
        <w:sz w:val="20"/>
        <w:szCs w:val="20"/>
      </w:rPr>
    </w:pPr>
    <w:r>
      <w:tab/>
    </w:r>
    <w:r w:rsidRPr="00362B45">
      <w:rPr>
        <w:rFonts w:ascii="Times New Roman" w:hAnsi="Times New Roman"/>
        <w:b/>
        <w:sz w:val="20"/>
        <w:szCs w:val="20"/>
      </w:rPr>
      <w:t>[Service Date June 18,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0100AA6A"/>
    <w:lvl w:ilvl="0" w:tplc="05B68190">
      <w:start w:val="1"/>
      <w:numFmt w:val="decimal"/>
      <w:lvlText w:val="%1"/>
      <w:lvlJc w:val="left"/>
      <w:pPr>
        <w:ind w:left="720" w:hanging="360"/>
      </w:pPr>
      <w:rPr>
        <w:rFonts w:hint="default"/>
        <w:b w:val="0"/>
        <w:i/>
        <w:strike w:val="0"/>
        <w:dstrike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41253"/>
    <w:multiLevelType w:val="hybridMultilevel"/>
    <w:tmpl w:val="2028E846"/>
    <w:lvl w:ilvl="0" w:tplc="7E482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34"/>
    <w:rsid w:val="00003A39"/>
    <w:rsid w:val="00006F0E"/>
    <w:rsid w:val="00011E1D"/>
    <w:rsid w:val="00014893"/>
    <w:rsid w:val="0001495D"/>
    <w:rsid w:val="0006772D"/>
    <w:rsid w:val="000709C4"/>
    <w:rsid w:val="00083D37"/>
    <w:rsid w:val="000A1F62"/>
    <w:rsid w:val="000A29A6"/>
    <w:rsid w:val="000A3443"/>
    <w:rsid w:val="000A400B"/>
    <w:rsid w:val="000A7EAD"/>
    <w:rsid w:val="000B729B"/>
    <w:rsid w:val="000C3F2F"/>
    <w:rsid w:val="000D35DA"/>
    <w:rsid w:val="000E3477"/>
    <w:rsid w:val="000E5587"/>
    <w:rsid w:val="000F6D02"/>
    <w:rsid w:val="00106754"/>
    <w:rsid w:val="00124915"/>
    <w:rsid w:val="00130FEA"/>
    <w:rsid w:val="001315ED"/>
    <w:rsid w:val="00137EF6"/>
    <w:rsid w:val="001573A2"/>
    <w:rsid w:val="00162C21"/>
    <w:rsid w:val="00181BC5"/>
    <w:rsid w:val="00184D7C"/>
    <w:rsid w:val="001C5253"/>
    <w:rsid w:val="001D0F7B"/>
    <w:rsid w:val="001D4E4C"/>
    <w:rsid w:val="001E3132"/>
    <w:rsid w:val="001F69DE"/>
    <w:rsid w:val="002079F4"/>
    <w:rsid w:val="00222950"/>
    <w:rsid w:val="002359D4"/>
    <w:rsid w:val="00244353"/>
    <w:rsid w:val="0024468B"/>
    <w:rsid w:val="0024493D"/>
    <w:rsid w:val="00264102"/>
    <w:rsid w:val="00284672"/>
    <w:rsid w:val="00295C89"/>
    <w:rsid w:val="002A5F78"/>
    <w:rsid w:val="002B63B7"/>
    <w:rsid w:val="002C3FB6"/>
    <w:rsid w:val="002D26AD"/>
    <w:rsid w:val="002E27D8"/>
    <w:rsid w:val="002F1460"/>
    <w:rsid w:val="002F5A16"/>
    <w:rsid w:val="0030371B"/>
    <w:rsid w:val="00321D34"/>
    <w:rsid w:val="00323378"/>
    <w:rsid w:val="00337A69"/>
    <w:rsid w:val="00362B45"/>
    <w:rsid w:val="0039083F"/>
    <w:rsid w:val="00391CF3"/>
    <w:rsid w:val="003A6E8D"/>
    <w:rsid w:val="003C7362"/>
    <w:rsid w:val="003D1DAB"/>
    <w:rsid w:val="003D4BBA"/>
    <w:rsid w:val="003E0C54"/>
    <w:rsid w:val="003E12A3"/>
    <w:rsid w:val="003E25F1"/>
    <w:rsid w:val="003E56DF"/>
    <w:rsid w:val="003E74A9"/>
    <w:rsid w:val="003E7978"/>
    <w:rsid w:val="003F025E"/>
    <w:rsid w:val="00425BAD"/>
    <w:rsid w:val="0043005E"/>
    <w:rsid w:val="004378AA"/>
    <w:rsid w:val="00440221"/>
    <w:rsid w:val="00446976"/>
    <w:rsid w:val="004532B7"/>
    <w:rsid w:val="004569ED"/>
    <w:rsid w:val="00461AB2"/>
    <w:rsid w:val="00461EDE"/>
    <w:rsid w:val="00463184"/>
    <w:rsid w:val="0046617A"/>
    <w:rsid w:val="00473314"/>
    <w:rsid w:val="004901BC"/>
    <w:rsid w:val="00492EB1"/>
    <w:rsid w:val="004B2C54"/>
    <w:rsid w:val="004B2CA6"/>
    <w:rsid w:val="004C0A9E"/>
    <w:rsid w:val="004C77FA"/>
    <w:rsid w:val="004F1D61"/>
    <w:rsid w:val="00503AEA"/>
    <w:rsid w:val="00512AAF"/>
    <w:rsid w:val="005173F7"/>
    <w:rsid w:val="00524026"/>
    <w:rsid w:val="00526FEE"/>
    <w:rsid w:val="005277F9"/>
    <w:rsid w:val="00527C12"/>
    <w:rsid w:val="00536090"/>
    <w:rsid w:val="00544A9C"/>
    <w:rsid w:val="00555203"/>
    <w:rsid w:val="0056486C"/>
    <w:rsid w:val="00573CD4"/>
    <w:rsid w:val="00577BB1"/>
    <w:rsid w:val="00594C66"/>
    <w:rsid w:val="00594E57"/>
    <w:rsid w:val="005B7B06"/>
    <w:rsid w:val="005C4944"/>
    <w:rsid w:val="005C5611"/>
    <w:rsid w:val="005E7E5F"/>
    <w:rsid w:val="005F7C51"/>
    <w:rsid w:val="006112B5"/>
    <w:rsid w:val="00622CA2"/>
    <w:rsid w:val="00627A9B"/>
    <w:rsid w:val="00630DDB"/>
    <w:rsid w:val="00634CA1"/>
    <w:rsid w:val="00637E27"/>
    <w:rsid w:val="00643717"/>
    <w:rsid w:val="006552FA"/>
    <w:rsid w:val="00656874"/>
    <w:rsid w:val="00656A63"/>
    <w:rsid w:val="00657251"/>
    <w:rsid w:val="006632C0"/>
    <w:rsid w:val="00663F29"/>
    <w:rsid w:val="00667CC5"/>
    <w:rsid w:val="00670470"/>
    <w:rsid w:val="00674DA7"/>
    <w:rsid w:val="00676E5B"/>
    <w:rsid w:val="00681456"/>
    <w:rsid w:val="0068363A"/>
    <w:rsid w:val="006878FB"/>
    <w:rsid w:val="00691FAB"/>
    <w:rsid w:val="00695F50"/>
    <w:rsid w:val="006A05F3"/>
    <w:rsid w:val="006A3B1F"/>
    <w:rsid w:val="006B533C"/>
    <w:rsid w:val="006B7390"/>
    <w:rsid w:val="006C1AC0"/>
    <w:rsid w:val="006E7862"/>
    <w:rsid w:val="006F6AF1"/>
    <w:rsid w:val="0070529E"/>
    <w:rsid w:val="0071419F"/>
    <w:rsid w:val="00721A70"/>
    <w:rsid w:val="00721BC6"/>
    <w:rsid w:val="00725BD3"/>
    <w:rsid w:val="00777008"/>
    <w:rsid w:val="00777E14"/>
    <w:rsid w:val="00782F03"/>
    <w:rsid w:val="007851BC"/>
    <w:rsid w:val="00794A6C"/>
    <w:rsid w:val="007A2110"/>
    <w:rsid w:val="007A6D7B"/>
    <w:rsid w:val="007B0BE7"/>
    <w:rsid w:val="007B1E8B"/>
    <w:rsid w:val="007C2107"/>
    <w:rsid w:val="007D36F2"/>
    <w:rsid w:val="007D4DB1"/>
    <w:rsid w:val="007D5C8D"/>
    <w:rsid w:val="007E1C9F"/>
    <w:rsid w:val="007F7914"/>
    <w:rsid w:val="00804CFB"/>
    <w:rsid w:val="00813337"/>
    <w:rsid w:val="0081737E"/>
    <w:rsid w:val="00820550"/>
    <w:rsid w:val="00852870"/>
    <w:rsid w:val="00857506"/>
    <w:rsid w:val="00865D78"/>
    <w:rsid w:val="00877951"/>
    <w:rsid w:val="00883D0F"/>
    <w:rsid w:val="008B19D1"/>
    <w:rsid w:val="008C412C"/>
    <w:rsid w:val="008C6850"/>
    <w:rsid w:val="008E1F89"/>
    <w:rsid w:val="00920BF9"/>
    <w:rsid w:val="00924DFD"/>
    <w:rsid w:val="00924E5E"/>
    <w:rsid w:val="0093140A"/>
    <w:rsid w:val="009314C3"/>
    <w:rsid w:val="009335E8"/>
    <w:rsid w:val="00944271"/>
    <w:rsid w:val="00951A2B"/>
    <w:rsid w:val="009616DC"/>
    <w:rsid w:val="00962C35"/>
    <w:rsid w:val="0096654F"/>
    <w:rsid w:val="00981D7A"/>
    <w:rsid w:val="0099732C"/>
    <w:rsid w:val="009A47BB"/>
    <w:rsid w:val="009B0FAF"/>
    <w:rsid w:val="009C3A0E"/>
    <w:rsid w:val="009E032E"/>
    <w:rsid w:val="009F1BA4"/>
    <w:rsid w:val="00A115AF"/>
    <w:rsid w:val="00A33CF6"/>
    <w:rsid w:val="00A354F9"/>
    <w:rsid w:val="00A56E7C"/>
    <w:rsid w:val="00A575FB"/>
    <w:rsid w:val="00A6303C"/>
    <w:rsid w:val="00A63050"/>
    <w:rsid w:val="00A6690E"/>
    <w:rsid w:val="00A75C5F"/>
    <w:rsid w:val="00A81198"/>
    <w:rsid w:val="00A94F1F"/>
    <w:rsid w:val="00AA2342"/>
    <w:rsid w:val="00AA2E3C"/>
    <w:rsid w:val="00AA3A8C"/>
    <w:rsid w:val="00AF0348"/>
    <w:rsid w:val="00AF210D"/>
    <w:rsid w:val="00B31CD7"/>
    <w:rsid w:val="00B35460"/>
    <w:rsid w:val="00B457F3"/>
    <w:rsid w:val="00B51E36"/>
    <w:rsid w:val="00B52A89"/>
    <w:rsid w:val="00B7016A"/>
    <w:rsid w:val="00B73B02"/>
    <w:rsid w:val="00B771E5"/>
    <w:rsid w:val="00B82901"/>
    <w:rsid w:val="00B87CE0"/>
    <w:rsid w:val="00B95C03"/>
    <w:rsid w:val="00BB0F7F"/>
    <w:rsid w:val="00BC2A10"/>
    <w:rsid w:val="00BD3995"/>
    <w:rsid w:val="00BD457C"/>
    <w:rsid w:val="00BF3A35"/>
    <w:rsid w:val="00C05C38"/>
    <w:rsid w:val="00C115F7"/>
    <w:rsid w:val="00C241EE"/>
    <w:rsid w:val="00C25454"/>
    <w:rsid w:val="00C25490"/>
    <w:rsid w:val="00C42688"/>
    <w:rsid w:val="00C5271F"/>
    <w:rsid w:val="00C66769"/>
    <w:rsid w:val="00C677F9"/>
    <w:rsid w:val="00C7070B"/>
    <w:rsid w:val="00C7500B"/>
    <w:rsid w:val="00C841D2"/>
    <w:rsid w:val="00C96422"/>
    <w:rsid w:val="00CA0A12"/>
    <w:rsid w:val="00CB734A"/>
    <w:rsid w:val="00CB7F45"/>
    <w:rsid w:val="00CD77CA"/>
    <w:rsid w:val="00CE133C"/>
    <w:rsid w:val="00CE1A16"/>
    <w:rsid w:val="00CF1408"/>
    <w:rsid w:val="00D0009F"/>
    <w:rsid w:val="00D0300E"/>
    <w:rsid w:val="00D36878"/>
    <w:rsid w:val="00D40FC4"/>
    <w:rsid w:val="00D6106B"/>
    <w:rsid w:val="00D70B5C"/>
    <w:rsid w:val="00D763A9"/>
    <w:rsid w:val="00D815E6"/>
    <w:rsid w:val="00DA29A4"/>
    <w:rsid w:val="00DA2AEF"/>
    <w:rsid w:val="00DB3A11"/>
    <w:rsid w:val="00DC30B8"/>
    <w:rsid w:val="00DE41B1"/>
    <w:rsid w:val="00DE5340"/>
    <w:rsid w:val="00E02999"/>
    <w:rsid w:val="00E03C7F"/>
    <w:rsid w:val="00E051E8"/>
    <w:rsid w:val="00E13A07"/>
    <w:rsid w:val="00E17031"/>
    <w:rsid w:val="00E22DCD"/>
    <w:rsid w:val="00E358FA"/>
    <w:rsid w:val="00E44114"/>
    <w:rsid w:val="00E56887"/>
    <w:rsid w:val="00E62E99"/>
    <w:rsid w:val="00E64AEC"/>
    <w:rsid w:val="00EA3A3D"/>
    <w:rsid w:val="00EA661B"/>
    <w:rsid w:val="00EB0C27"/>
    <w:rsid w:val="00EC343C"/>
    <w:rsid w:val="00EC402F"/>
    <w:rsid w:val="00EF2AFF"/>
    <w:rsid w:val="00F02A0B"/>
    <w:rsid w:val="00F05982"/>
    <w:rsid w:val="00F20C1B"/>
    <w:rsid w:val="00F23949"/>
    <w:rsid w:val="00F27E47"/>
    <w:rsid w:val="00F4523B"/>
    <w:rsid w:val="00F72E4F"/>
    <w:rsid w:val="00F871A2"/>
    <w:rsid w:val="00F95B1D"/>
    <w:rsid w:val="00FB190C"/>
    <w:rsid w:val="00FE6BD9"/>
    <w:rsid w:val="00FF6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B54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rsid w:val="00E22DCD"/>
    <w:rPr>
      <w:sz w:val="16"/>
      <w:szCs w:val="16"/>
    </w:rPr>
  </w:style>
  <w:style w:type="paragraph" w:styleId="CommentText">
    <w:name w:val="annotation text"/>
    <w:basedOn w:val="Normal"/>
    <w:link w:val="CommentTextChar"/>
    <w:rsid w:val="00E22DCD"/>
    <w:rPr>
      <w:sz w:val="20"/>
      <w:szCs w:val="20"/>
    </w:rPr>
  </w:style>
  <w:style w:type="character" w:customStyle="1" w:styleId="CommentTextChar">
    <w:name w:val="Comment Text Char"/>
    <w:basedOn w:val="DefaultParagraphFont"/>
    <w:link w:val="CommentText"/>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 w:type="table" w:styleId="TableGrid">
    <w:name w:val="Table Grid"/>
    <w:basedOn w:val="TableNormal"/>
    <w:uiPriority w:val="59"/>
    <w:rsid w:val="003E5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62B45"/>
    <w:rPr>
      <w:rFonts w:ascii="Palatino Linotype" w:hAnsi="Palatino Linotyp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sz w:val="20"/>
      <w:szCs w:val="20"/>
    </w:rPr>
  </w:style>
  <w:style w:type="character" w:styleId="Hyperlink">
    <w:name w:val="Hyperlink"/>
    <w:rsid w:val="00B87CE0"/>
    <w:rPr>
      <w:color w:val="0000FF"/>
      <w:u w:val="single"/>
    </w:rPr>
  </w:style>
  <w:style w:type="character" w:customStyle="1" w:styleId="FootnoteTextChar">
    <w:name w:val="Footnote Text Char"/>
    <w:link w:val="FootnoteText"/>
    <w:uiPriority w:val="99"/>
    <w:semiHidden/>
    <w:rsid w:val="004569ED"/>
    <w:rPr>
      <w:rFonts w:ascii="Palatino Linotype" w:hAnsi="Palatino Linotype"/>
    </w:rPr>
  </w:style>
  <w:style w:type="paragraph" w:styleId="NoSpacing">
    <w:name w:val="No Spacing"/>
    <w:uiPriority w:val="1"/>
    <w:qFormat/>
    <w:rsid w:val="004569ED"/>
    <w:rPr>
      <w:rFonts w:eastAsia="Calibri"/>
      <w:sz w:val="25"/>
      <w:szCs w:val="22"/>
    </w:rPr>
  </w:style>
  <w:style w:type="paragraph" w:styleId="ListParagraph">
    <w:name w:val="List Paragraph"/>
    <w:basedOn w:val="Normal"/>
    <w:uiPriority w:val="34"/>
    <w:qFormat/>
    <w:rsid w:val="004569ED"/>
    <w:pPr>
      <w:ind w:left="720"/>
    </w:pPr>
    <w:rPr>
      <w:rFonts w:ascii="Times New Roman" w:hAnsi="Times New Roman"/>
    </w:rPr>
  </w:style>
  <w:style w:type="character" w:styleId="CommentReference">
    <w:name w:val="annotation reference"/>
    <w:basedOn w:val="DefaultParagraphFont"/>
    <w:rsid w:val="00E22DCD"/>
    <w:rPr>
      <w:sz w:val="16"/>
      <w:szCs w:val="16"/>
    </w:rPr>
  </w:style>
  <w:style w:type="paragraph" w:styleId="CommentText">
    <w:name w:val="annotation text"/>
    <w:basedOn w:val="Normal"/>
    <w:link w:val="CommentTextChar"/>
    <w:rsid w:val="00E22DCD"/>
    <w:rPr>
      <w:sz w:val="20"/>
      <w:szCs w:val="20"/>
    </w:rPr>
  </w:style>
  <w:style w:type="character" w:customStyle="1" w:styleId="CommentTextChar">
    <w:name w:val="Comment Text Char"/>
    <w:basedOn w:val="DefaultParagraphFont"/>
    <w:link w:val="CommentText"/>
    <w:rsid w:val="00E22DCD"/>
    <w:rPr>
      <w:rFonts w:ascii="Palatino Linotype" w:hAnsi="Palatino Linotype"/>
    </w:rPr>
  </w:style>
  <w:style w:type="paragraph" w:styleId="CommentSubject">
    <w:name w:val="annotation subject"/>
    <w:basedOn w:val="CommentText"/>
    <w:next w:val="CommentText"/>
    <w:link w:val="CommentSubjectChar"/>
    <w:rsid w:val="00E22DCD"/>
    <w:rPr>
      <w:b/>
      <w:bCs/>
    </w:rPr>
  </w:style>
  <w:style w:type="character" w:customStyle="1" w:styleId="CommentSubjectChar">
    <w:name w:val="Comment Subject Char"/>
    <w:basedOn w:val="CommentTextChar"/>
    <w:link w:val="CommentSubject"/>
    <w:rsid w:val="00E22DCD"/>
    <w:rPr>
      <w:rFonts w:ascii="Palatino Linotype" w:hAnsi="Palatino Linotype"/>
      <w:b/>
      <w:bCs/>
    </w:rPr>
  </w:style>
  <w:style w:type="paragraph" w:styleId="BalloonText">
    <w:name w:val="Balloon Text"/>
    <w:basedOn w:val="Normal"/>
    <w:link w:val="BalloonTextChar"/>
    <w:rsid w:val="00E22DCD"/>
    <w:rPr>
      <w:rFonts w:ascii="Tahoma" w:hAnsi="Tahoma" w:cs="Tahoma"/>
      <w:sz w:val="16"/>
      <w:szCs w:val="16"/>
    </w:rPr>
  </w:style>
  <w:style w:type="character" w:customStyle="1" w:styleId="BalloonTextChar">
    <w:name w:val="Balloon Text Char"/>
    <w:basedOn w:val="DefaultParagraphFont"/>
    <w:link w:val="BalloonText"/>
    <w:rsid w:val="00E22DCD"/>
    <w:rPr>
      <w:rFonts w:ascii="Tahoma" w:hAnsi="Tahoma" w:cs="Tahoma"/>
      <w:sz w:val="16"/>
      <w:szCs w:val="16"/>
    </w:rPr>
  </w:style>
  <w:style w:type="table" w:styleId="TableGrid">
    <w:name w:val="Table Grid"/>
    <w:basedOn w:val="TableNormal"/>
    <w:uiPriority w:val="59"/>
    <w:rsid w:val="003E5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362B45"/>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190E13D69736428DC0AA09A9BE07E0" ma:contentTypeVersion="175" ma:contentTypeDescription="" ma:contentTypeScope="" ma:versionID="ba2a7d46f7d34ffa8e36e51e3a0a1f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2014-04-03T07:00:00+00:00</OpenedDate>
    <Date1 xmlns="dc463f71-b30c-4ab2-9473-d307f9d35888">2014-06-18T07:00:00+00:00</Date1>
    <IsDocumentOrder xmlns="dc463f71-b30c-4ab2-9473-d307f9d35888">true</IsDocumentOrder>
    <IsHighlyConfidential xmlns="dc463f71-b30c-4ab2-9473-d307f9d35888">false</IsHighlyConfidential>
    <CaseCompanyNames xmlns="dc463f71-b30c-4ab2-9473-d307f9d35888">WASTE CONTROL, INC.</CaseCompanyNames>
    <DocketNumber xmlns="dc463f71-b30c-4ab2-9473-d307f9d35888">140560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B7E5D99-457D-446E-B1A2-61E9A0D4F856}"/>
</file>

<file path=customXml/itemProps2.xml><?xml version="1.0" encoding="utf-8"?>
<ds:datastoreItem xmlns:ds="http://schemas.openxmlformats.org/officeDocument/2006/customXml" ds:itemID="{7A0AE259-9C15-4B2E-B139-DA3CB35FEA57}"/>
</file>

<file path=customXml/itemProps3.xml><?xml version="1.0" encoding="utf-8"?>
<ds:datastoreItem xmlns:ds="http://schemas.openxmlformats.org/officeDocument/2006/customXml" ds:itemID="{90C7B117-F571-42F2-BC01-ABED60902A89}"/>
</file>

<file path=customXml/itemProps4.xml><?xml version="1.0" encoding="utf-8"?>
<ds:datastoreItem xmlns:ds="http://schemas.openxmlformats.org/officeDocument/2006/customXml" ds:itemID="{5B4896C5-A2D6-4B5D-AF25-791A08BCB5F3}"/>
</file>

<file path=customXml/itemProps5.xml><?xml version="1.0" encoding="utf-8"?>
<ds:datastoreItem xmlns:ds="http://schemas.openxmlformats.org/officeDocument/2006/customXml" ds:itemID="{D010374B-8DCA-4748-93F9-78B164A5AA9A}"/>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5218</Characters>
  <Application>Microsoft Office Word</Application>
  <DocSecurity>0</DocSecurity>
  <Lines>43</Lines>
  <Paragraphs>12</Paragraphs>
  <ScaleCrop>false</ScaleCrop>
  <LinksUpToDate>false</LinksUpToDate>
  <CharactersWithSpaces>6172</CharactersWithSpaces>
  <SharedDoc>false</SharedDoc>
  <HLinks>
    <vt:vector size="18" baseType="variant">
      <vt:variant>
        <vt:i4>4456502</vt:i4>
      </vt:variant>
      <vt:variant>
        <vt:i4>6</vt:i4>
      </vt:variant>
      <vt:variant>
        <vt:i4>0</vt:i4>
      </vt:variant>
      <vt:variant>
        <vt:i4>5</vt:i4>
      </vt:variant>
      <vt:variant>
        <vt:lpwstr>mailto:kris.o@olympicmovers.net</vt:lpwstr>
      </vt:variant>
      <vt:variant>
        <vt:lpwstr/>
      </vt:variant>
      <vt:variant>
        <vt:i4>393340</vt:i4>
      </vt:variant>
      <vt:variant>
        <vt:i4>3</vt:i4>
      </vt:variant>
      <vt:variant>
        <vt:i4>0</vt:i4>
      </vt:variant>
      <vt:variant>
        <vt:i4>5</vt:i4>
      </vt:variant>
      <vt:variant>
        <vt:lpwstr>mailto:bshearer@utc.wa.gov</vt:lpwstr>
      </vt:variant>
      <vt:variant>
        <vt:lpwstr/>
      </vt:variant>
      <vt:variant>
        <vt:i4>5373994</vt:i4>
      </vt:variant>
      <vt:variant>
        <vt:i4>0</vt:i4>
      </vt:variant>
      <vt:variant>
        <vt:i4>0</vt:i4>
      </vt:variant>
      <vt:variant>
        <vt:i4>5</vt:i4>
      </vt:variant>
      <vt:variant>
        <vt:lpwstr>mailto:mfassio@utc.wa.gov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2014-06-18T21:08:00Z</dcterms:created>
  <dcterms:modified xsi:type="dcterms:W3CDTF">2014-06-18T21:08:00Z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0x0101006E56B4D1795A2E4DB2F0B01679ED314A00D2190E13D69736428DC0AA09A9BE07E0</vt:lpwstr>
  </property>
  <property fmtid="{D5CDD505-2E9C-101B-9397-08002B2CF9AE}" pid="3" name="_docset_NoMedatataSyncRequired">
    <vt:lpwstr>False</vt:lpwstr>
  </property>
</Properties>
</file>