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F0" w:rsidRPr="00D43315" w:rsidRDefault="006C48F0" w:rsidP="009542C2">
      <w:pPr>
        <w:pStyle w:val="BodyText"/>
        <w:spacing w:line="264" w:lineRule="auto"/>
        <w:rPr>
          <w:b/>
          <w:bCs/>
          <w:sz w:val="25"/>
          <w:szCs w:val="25"/>
        </w:rPr>
      </w:pPr>
      <w:bookmarkStart w:id="0" w:name="_GoBack"/>
      <w:bookmarkEnd w:id="0"/>
      <w:r w:rsidRPr="00D43315">
        <w:rPr>
          <w:b/>
          <w:bCs/>
          <w:sz w:val="25"/>
          <w:szCs w:val="25"/>
        </w:rPr>
        <w:t>BEFORE THE WASHINGTON STATE</w:t>
      </w:r>
    </w:p>
    <w:p w:rsidR="006C48F0" w:rsidRPr="00D43315" w:rsidRDefault="006C48F0" w:rsidP="009542C2">
      <w:pPr>
        <w:pStyle w:val="BodyText"/>
        <w:spacing w:line="264" w:lineRule="auto"/>
        <w:rPr>
          <w:b/>
          <w:bCs/>
          <w:sz w:val="25"/>
          <w:szCs w:val="25"/>
        </w:rPr>
      </w:pPr>
      <w:r w:rsidRPr="00D43315">
        <w:rPr>
          <w:b/>
          <w:bCs/>
          <w:sz w:val="25"/>
          <w:szCs w:val="25"/>
        </w:rPr>
        <w:t>UTILITIES AND TRANSPORTATION COMMISSION</w:t>
      </w:r>
    </w:p>
    <w:p w:rsidR="006C48F0" w:rsidRPr="00D43315" w:rsidRDefault="006C48F0" w:rsidP="009542C2">
      <w:pPr>
        <w:spacing w:line="264" w:lineRule="auto"/>
        <w:rPr>
          <w:sz w:val="25"/>
          <w:szCs w:val="25"/>
        </w:rPr>
      </w:pPr>
    </w:p>
    <w:p w:rsidR="00B90CB9" w:rsidRPr="00D43315" w:rsidRDefault="00B90CB9" w:rsidP="009542C2">
      <w:pPr>
        <w:spacing w:line="264" w:lineRule="auto"/>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D43315">
        <w:tc>
          <w:tcPr>
            <w:tcW w:w="4308" w:type="dxa"/>
          </w:tcPr>
          <w:p w:rsidR="006C48F0" w:rsidRPr="00D43315" w:rsidRDefault="006C48F0" w:rsidP="009542C2">
            <w:pPr>
              <w:spacing w:line="264" w:lineRule="auto"/>
              <w:rPr>
                <w:sz w:val="25"/>
                <w:szCs w:val="25"/>
              </w:rPr>
            </w:pPr>
            <w:r w:rsidRPr="00D43315">
              <w:rPr>
                <w:sz w:val="25"/>
                <w:szCs w:val="25"/>
              </w:rPr>
              <w:t>WASHINGTON UTILITIES AND TRANSPORTATION COMMISSION,</w:t>
            </w:r>
          </w:p>
          <w:p w:rsidR="00037DBD" w:rsidRPr="00D43315" w:rsidRDefault="00037DBD" w:rsidP="009542C2">
            <w:pPr>
              <w:spacing w:line="264" w:lineRule="auto"/>
              <w:rPr>
                <w:sz w:val="25"/>
                <w:szCs w:val="25"/>
              </w:rPr>
            </w:pPr>
          </w:p>
          <w:p w:rsidR="006C48F0" w:rsidRPr="00D43315" w:rsidRDefault="002D64F4" w:rsidP="009542C2">
            <w:pPr>
              <w:spacing w:line="264" w:lineRule="auto"/>
              <w:rPr>
                <w:sz w:val="25"/>
                <w:szCs w:val="25"/>
              </w:rPr>
            </w:pPr>
            <w:r w:rsidRPr="00D43315">
              <w:rPr>
                <w:sz w:val="25"/>
                <w:szCs w:val="25"/>
              </w:rPr>
              <w:t xml:space="preserve">                           </w:t>
            </w:r>
            <w:r w:rsidR="006C48F0" w:rsidRPr="00D43315">
              <w:rPr>
                <w:sz w:val="25"/>
                <w:szCs w:val="25"/>
              </w:rPr>
              <w:t>Complainant,</w:t>
            </w:r>
          </w:p>
          <w:p w:rsidR="006C48F0" w:rsidRPr="00D43315" w:rsidRDefault="006C48F0" w:rsidP="009542C2">
            <w:pPr>
              <w:spacing w:line="264" w:lineRule="auto"/>
              <w:rPr>
                <w:sz w:val="25"/>
                <w:szCs w:val="25"/>
              </w:rPr>
            </w:pPr>
          </w:p>
          <w:p w:rsidR="006C48F0" w:rsidRPr="00D43315" w:rsidRDefault="006C48F0" w:rsidP="009542C2">
            <w:pPr>
              <w:spacing w:line="264" w:lineRule="auto"/>
              <w:rPr>
                <w:sz w:val="25"/>
                <w:szCs w:val="25"/>
              </w:rPr>
            </w:pPr>
            <w:r w:rsidRPr="00D43315">
              <w:rPr>
                <w:sz w:val="25"/>
                <w:szCs w:val="25"/>
              </w:rPr>
              <w:t>v.</w:t>
            </w:r>
          </w:p>
          <w:p w:rsidR="006C48F0" w:rsidRPr="00D43315" w:rsidRDefault="006C48F0" w:rsidP="009542C2">
            <w:pPr>
              <w:spacing w:line="264" w:lineRule="auto"/>
              <w:rPr>
                <w:sz w:val="25"/>
                <w:szCs w:val="25"/>
              </w:rPr>
            </w:pPr>
          </w:p>
          <w:p w:rsidR="006C48F0" w:rsidRPr="00D43315" w:rsidRDefault="006C48F0" w:rsidP="009542C2">
            <w:pPr>
              <w:spacing w:line="264" w:lineRule="auto"/>
              <w:rPr>
                <w:sz w:val="25"/>
                <w:szCs w:val="25"/>
              </w:rPr>
            </w:pPr>
            <w:r w:rsidRPr="00D43315">
              <w:rPr>
                <w:sz w:val="25"/>
                <w:szCs w:val="25"/>
              </w:rPr>
              <w:t>PUGET SOUND ENERGY, INC.</w:t>
            </w:r>
            <w:r w:rsidR="002F4B2B" w:rsidRPr="00D43315">
              <w:rPr>
                <w:sz w:val="25"/>
                <w:szCs w:val="25"/>
              </w:rPr>
              <w:t>,</w:t>
            </w:r>
          </w:p>
          <w:p w:rsidR="006C48F0" w:rsidRPr="00D43315" w:rsidRDefault="006C48F0" w:rsidP="009542C2">
            <w:pPr>
              <w:spacing w:line="264" w:lineRule="auto"/>
              <w:rPr>
                <w:b/>
                <w:bCs/>
                <w:sz w:val="25"/>
                <w:szCs w:val="25"/>
              </w:rPr>
            </w:pPr>
          </w:p>
          <w:p w:rsidR="006C48F0" w:rsidRPr="00D43315" w:rsidRDefault="002D64F4" w:rsidP="009542C2">
            <w:pPr>
              <w:spacing w:line="264" w:lineRule="auto"/>
              <w:rPr>
                <w:sz w:val="25"/>
                <w:szCs w:val="25"/>
              </w:rPr>
            </w:pPr>
            <w:r w:rsidRPr="00D43315">
              <w:rPr>
                <w:sz w:val="25"/>
                <w:szCs w:val="25"/>
              </w:rPr>
              <w:t xml:space="preserve">                           </w:t>
            </w:r>
            <w:r w:rsidR="006C48F0" w:rsidRPr="00D43315">
              <w:rPr>
                <w:sz w:val="25"/>
                <w:szCs w:val="25"/>
              </w:rPr>
              <w:t>Respondent.</w:t>
            </w:r>
          </w:p>
          <w:p w:rsidR="00B90CB9" w:rsidRPr="00D43315" w:rsidRDefault="00B90CB9" w:rsidP="009542C2">
            <w:pPr>
              <w:spacing w:line="264" w:lineRule="auto"/>
              <w:rPr>
                <w:sz w:val="25"/>
                <w:szCs w:val="25"/>
              </w:rPr>
            </w:pPr>
          </w:p>
          <w:p w:rsidR="006C48F0" w:rsidRPr="00D43315" w:rsidRDefault="006C48F0" w:rsidP="009542C2">
            <w:pPr>
              <w:spacing w:line="264" w:lineRule="auto"/>
              <w:rPr>
                <w:sz w:val="25"/>
                <w:szCs w:val="25"/>
              </w:rPr>
            </w:pPr>
            <w:r w:rsidRPr="00D43315">
              <w:rPr>
                <w:sz w:val="25"/>
                <w:szCs w:val="25"/>
              </w:rPr>
              <w:t xml:space="preserve">. . . . . . . . . . . . . . . . . . . . . . . . . . . . . . . . . </w:t>
            </w:r>
          </w:p>
        </w:tc>
        <w:tc>
          <w:tcPr>
            <w:tcW w:w="300" w:type="dxa"/>
          </w:tcPr>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6C48F0" w:rsidP="009542C2">
            <w:pPr>
              <w:spacing w:line="264" w:lineRule="auto"/>
              <w:rPr>
                <w:sz w:val="25"/>
                <w:szCs w:val="25"/>
              </w:rPr>
            </w:pPr>
            <w:r w:rsidRPr="00D43315">
              <w:rPr>
                <w:sz w:val="25"/>
                <w:szCs w:val="25"/>
              </w:rPr>
              <w:t>)</w:t>
            </w:r>
          </w:p>
          <w:p w:rsidR="006C48F0" w:rsidRPr="00D43315" w:rsidRDefault="00B90CB9" w:rsidP="009542C2">
            <w:pPr>
              <w:spacing w:line="264" w:lineRule="auto"/>
              <w:rPr>
                <w:sz w:val="25"/>
                <w:szCs w:val="25"/>
              </w:rPr>
            </w:pPr>
            <w:r w:rsidRPr="00D43315">
              <w:rPr>
                <w:sz w:val="25"/>
                <w:szCs w:val="25"/>
              </w:rPr>
              <w:t>)</w:t>
            </w:r>
          </w:p>
          <w:p w:rsidR="005320E3" w:rsidRPr="00D43315" w:rsidRDefault="005320E3" w:rsidP="009542C2">
            <w:pPr>
              <w:spacing w:line="264" w:lineRule="auto"/>
              <w:rPr>
                <w:sz w:val="25"/>
                <w:szCs w:val="25"/>
              </w:rPr>
            </w:pPr>
            <w:r w:rsidRPr="00D43315">
              <w:rPr>
                <w:sz w:val="25"/>
                <w:szCs w:val="25"/>
              </w:rPr>
              <w:t>)</w:t>
            </w:r>
          </w:p>
        </w:tc>
        <w:tc>
          <w:tcPr>
            <w:tcW w:w="4288" w:type="dxa"/>
          </w:tcPr>
          <w:p w:rsidR="006C48F0" w:rsidRPr="00D43315" w:rsidRDefault="006C48F0" w:rsidP="009542C2">
            <w:pPr>
              <w:spacing w:line="264" w:lineRule="auto"/>
              <w:ind w:left="192"/>
              <w:rPr>
                <w:sz w:val="25"/>
                <w:szCs w:val="25"/>
              </w:rPr>
            </w:pPr>
            <w:r w:rsidRPr="00D43315">
              <w:rPr>
                <w:sz w:val="25"/>
                <w:szCs w:val="25"/>
              </w:rPr>
              <w:t>DOCKET</w:t>
            </w:r>
            <w:r w:rsidR="00FD25C1" w:rsidRPr="00D43315">
              <w:rPr>
                <w:sz w:val="25"/>
                <w:szCs w:val="25"/>
              </w:rPr>
              <w:t xml:space="preserve"> </w:t>
            </w:r>
            <w:r w:rsidR="00E52504" w:rsidRPr="00D43315">
              <w:rPr>
                <w:sz w:val="25"/>
                <w:szCs w:val="25"/>
              </w:rPr>
              <w:t>UG-</w:t>
            </w:r>
            <w:r w:rsidR="00FD25C1" w:rsidRPr="00D43315">
              <w:rPr>
                <w:sz w:val="25"/>
                <w:szCs w:val="25"/>
              </w:rPr>
              <w:t>101644</w:t>
            </w:r>
          </w:p>
          <w:p w:rsidR="006C48F0" w:rsidRPr="00D43315" w:rsidRDefault="006C48F0" w:rsidP="009542C2">
            <w:pPr>
              <w:spacing w:line="264" w:lineRule="auto"/>
              <w:ind w:left="192"/>
              <w:rPr>
                <w:sz w:val="25"/>
                <w:szCs w:val="25"/>
              </w:rPr>
            </w:pPr>
          </w:p>
          <w:p w:rsidR="0094070D" w:rsidRPr="00D43315" w:rsidRDefault="0094070D" w:rsidP="009542C2">
            <w:pPr>
              <w:spacing w:line="264" w:lineRule="auto"/>
              <w:ind w:left="192"/>
              <w:rPr>
                <w:sz w:val="25"/>
                <w:szCs w:val="25"/>
              </w:rPr>
            </w:pPr>
          </w:p>
          <w:p w:rsidR="006C48F0" w:rsidRPr="00D43315" w:rsidRDefault="006C48F0" w:rsidP="009542C2">
            <w:pPr>
              <w:spacing w:line="264" w:lineRule="auto"/>
              <w:ind w:left="192"/>
              <w:rPr>
                <w:sz w:val="25"/>
                <w:szCs w:val="25"/>
              </w:rPr>
            </w:pPr>
            <w:r w:rsidRPr="00D43315">
              <w:rPr>
                <w:sz w:val="25"/>
                <w:szCs w:val="25"/>
              </w:rPr>
              <w:t>ORDER 0</w:t>
            </w:r>
            <w:r w:rsidR="00AE3E7C" w:rsidRPr="00D43315">
              <w:rPr>
                <w:sz w:val="25"/>
                <w:szCs w:val="25"/>
              </w:rPr>
              <w:t>4</w:t>
            </w:r>
          </w:p>
          <w:p w:rsidR="0094070D" w:rsidRPr="00D43315" w:rsidRDefault="0094070D" w:rsidP="009542C2">
            <w:pPr>
              <w:spacing w:line="264" w:lineRule="auto"/>
              <w:ind w:left="192"/>
              <w:rPr>
                <w:sz w:val="25"/>
                <w:szCs w:val="25"/>
              </w:rPr>
            </w:pPr>
          </w:p>
          <w:p w:rsidR="006C48F0" w:rsidRPr="00D43315" w:rsidRDefault="006C48F0" w:rsidP="009542C2">
            <w:pPr>
              <w:spacing w:line="264" w:lineRule="auto"/>
              <w:ind w:left="192"/>
              <w:rPr>
                <w:b/>
                <w:bCs/>
                <w:sz w:val="25"/>
                <w:szCs w:val="25"/>
              </w:rPr>
            </w:pPr>
          </w:p>
          <w:p w:rsidR="00037DBD" w:rsidRPr="00D43315" w:rsidRDefault="00AE3E7C" w:rsidP="009542C2">
            <w:pPr>
              <w:spacing w:line="264" w:lineRule="auto"/>
              <w:ind w:left="192"/>
              <w:rPr>
                <w:b/>
                <w:sz w:val="25"/>
                <w:szCs w:val="25"/>
              </w:rPr>
            </w:pPr>
            <w:r w:rsidRPr="00D43315">
              <w:rPr>
                <w:sz w:val="25"/>
                <w:szCs w:val="25"/>
              </w:rPr>
              <w:t xml:space="preserve">FINAL </w:t>
            </w:r>
            <w:r w:rsidR="008A6FD7" w:rsidRPr="00D43315">
              <w:rPr>
                <w:sz w:val="25"/>
                <w:szCs w:val="25"/>
              </w:rPr>
              <w:t>ORDER</w:t>
            </w:r>
            <w:r w:rsidRPr="00D43315">
              <w:rPr>
                <w:sz w:val="25"/>
                <w:szCs w:val="25"/>
              </w:rPr>
              <w:t xml:space="preserve"> APPROVING AND ADOPTING SETTLEMENT AGREEMENT</w:t>
            </w:r>
          </w:p>
          <w:p w:rsidR="006C48F0" w:rsidRPr="00D43315" w:rsidRDefault="006C48F0" w:rsidP="009542C2">
            <w:pPr>
              <w:spacing w:line="264" w:lineRule="auto"/>
              <w:ind w:left="192"/>
              <w:rPr>
                <w:sz w:val="25"/>
                <w:szCs w:val="25"/>
              </w:rPr>
            </w:pPr>
          </w:p>
        </w:tc>
      </w:tr>
    </w:tbl>
    <w:p w:rsidR="00C67FF4" w:rsidRPr="00D43315" w:rsidRDefault="00C67FF4" w:rsidP="009542C2">
      <w:pPr>
        <w:pStyle w:val="Heading2"/>
        <w:spacing w:line="264" w:lineRule="auto"/>
        <w:rPr>
          <w:b/>
          <w:bCs/>
          <w:sz w:val="25"/>
          <w:szCs w:val="25"/>
          <w:u w:val="none"/>
        </w:rPr>
      </w:pPr>
    </w:p>
    <w:p w:rsidR="00D43315" w:rsidRPr="00D43315" w:rsidRDefault="00D43315" w:rsidP="009542C2">
      <w:pPr>
        <w:spacing w:line="264" w:lineRule="auto"/>
        <w:rPr>
          <w:sz w:val="25"/>
          <w:szCs w:val="25"/>
        </w:rPr>
      </w:pPr>
    </w:p>
    <w:p w:rsidR="00D43315" w:rsidRPr="00D43315" w:rsidRDefault="00D43315" w:rsidP="009542C2">
      <w:pPr>
        <w:spacing w:line="264" w:lineRule="auto"/>
        <w:jc w:val="both"/>
        <w:rPr>
          <w:sz w:val="25"/>
          <w:szCs w:val="25"/>
        </w:rPr>
      </w:pPr>
      <w:r w:rsidRPr="00D43315">
        <w:rPr>
          <w:b/>
          <w:bCs/>
          <w:i/>
          <w:sz w:val="25"/>
          <w:szCs w:val="25"/>
        </w:rPr>
        <w:t>Synopsis</w:t>
      </w:r>
      <w:r w:rsidRPr="00D43315">
        <w:rPr>
          <w:i/>
          <w:sz w:val="25"/>
          <w:szCs w:val="25"/>
        </w:rPr>
        <w:t xml:space="preserve">:  The </w:t>
      </w:r>
      <w:r w:rsidR="00180F50">
        <w:rPr>
          <w:i/>
          <w:sz w:val="25"/>
          <w:szCs w:val="25"/>
        </w:rPr>
        <w:t xml:space="preserve">Washington Utilities and Transportation </w:t>
      </w:r>
      <w:r w:rsidRPr="00D43315">
        <w:rPr>
          <w:i/>
          <w:sz w:val="25"/>
          <w:szCs w:val="25"/>
        </w:rPr>
        <w:t>Commission</w:t>
      </w:r>
      <w:r w:rsidR="00180F50">
        <w:rPr>
          <w:i/>
          <w:sz w:val="25"/>
          <w:szCs w:val="25"/>
        </w:rPr>
        <w:t xml:space="preserve"> (Commission)</w:t>
      </w:r>
      <w:r w:rsidRPr="00D43315">
        <w:rPr>
          <w:i/>
          <w:sz w:val="25"/>
          <w:szCs w:val="25"/>
        </w:rPr>
        <w:t xml:space="preserve"> rejects revised tariff sheets Puget Sound Energy, Inc. (PSE or the Company) filed on </w:t>
      </w:r>
      <w:r w:rsidR="002E6E0D">
        <w:rPr>
          <w:i/>
          <w:sz w:val="25"/>
          <w:szCs w:val="25"/>
        </w:rPr>
        <w:t>October 1, 20</w:t>
      </w:r>
      <w:r w:rsidR="00AD6232">
        <w:rPr>
          <w:i/>
          <w:sz w:val="25"/>
          <w:szCs w:val="25"/>
        </w:rPr>
        <w:t>10</w:t>
      </w:r>
      <w:r w:rsidRPr="00D43315">
        <w:rPr>
          <w:i/>
          <w:sz w:val="25"/>
          <w:szCs w:val="25"/>
        </w:rPr>
        <w:t>, by which the Company proposed to increase natural gas rates by</w:t>
      </w:r>
      <w:r w:rsidR="002E6E0D">
        <w:rPr>
          <w:i/>
          <w:sz w:val="25"/>
          <w:szCs w:val="25"/>
        </w:rPr>
        <w:t xml:space="preserve"> approximately</w:t>
      </w:r>
      <w:r w:rsidRPr="00D43315">
        <w:rPr>
          <w:i/>
          <w:sz w:val="25"/>
          <w:szCs w:val="25"/>
        </w:rPr>
        <w:t xml:space="preserve"> </w:t>
      </w:r>
      <w:r w:rsidR="002E6E0D">
        <w:rPr>
          <w:i/>
          <w:sz w:val="25"/>
          <w:szCs w:val="25"/>
        </w:rPr>
        <w:t>$24 million</w:t>
      </w:r>
      <w:r w:rsidRPr="00D43315">
        <w:rPr>
          <w:i/>
          <w:sz w:val="25"/>
          <w:szCs w:val="25"/>
        </w:rPr>
        <w:t>.  In lieu of the Company’s proposed in</w:t>
      </w:r>
      <w:r w:rsidR="002E6E0D">
        <w:rPr>
          <w:i/>
          <w:sz w:val="25"/>
          <w:szCs w:val="25"/>
        </w:rPr>
        <w:t>crease in rates, the Commission approves and adopts a Settlement Agreement entered into by all parties to this proceeding that</w:t>
      </w:r>
      <w:r w:rsidRPr="00D43315">
        <w:rPr>
          <w:i/>
          <w:sz w:val="25"/>
          <w:szCs w:val="25"/>
        </w:rPr>
        <w:t xml:space="preserve"> </w:t>
      </w:r>
      <w:r w:rsidR="002E6E0D">
        <w:rPr>
          <w:i/>
          <w:sz w:val="25"/>
          <w:szCs w:val="25"/>
        </w:rPr>
        <w:t>results in an increase of $19 million</w:t>
      </w:r>
      <w:r w:rsidRPr="00D43315">
        <w:rPr>
          <w:i/>
          <w:iCs/>
          <w:color w:val="000000"/>
          <w:sz w:val="25"/>
          <w:szCs w:val="25"/>
        </w:rPr>
        <w:t>.</w:t>
      </w:r>
      <w:r w:rsidR="008B5C5E">
        <w:rPr>
          <w:i/>
          <w:iCs/>
          <w:color w:val="000000"/>
          <w:sz w:val="25"/>
          <w:szCs w:val="25"/>
        </w:rPr>
        <w:t xml:space="preserve">  Additional settlement terms provide for an adjustment to water heater rental depreciation rates, maintenance of the status quo in terms of rate spread and rate design, support for increased funding for low-income program support, and ongoing study and</w:t>
      </w:r>
      <w:r w:rsidR="00A111E7">
        <w:rPr>
          <w:i/>
          <w:iCs/>
          <w:color w:val="000000"/>
          <w:sz w:val="25"/>
          <w:szCs w:val="25"/>
        </w:rPr>
        <w:t xml:space="preserve"> discussion</w:t>
      </w:r>
      <w:r w:rsidR="008B5C5E">
        <w:rPr>
          <w:i/>
          <w:iCs/>
          <w:color w:val="000000"/>
          <w:sz w:val="25"/>
          <w:szCs w:val="25"/>
        </w:rPr>
        <w:t xml:space="preserve"> concerning cost of service study methodology.</w:t>
      </w:r>
      <w:r w:rsidRPr="00D43315">
        <w:rPr>
          <w:i/>
          <w:iCs/>
          <w:color w:val="000000"/>
          <w:sz w:val="25"/>
          <w:szCs w:val="25"/>
        </w:rPr>
        <w:t xml:space="preserve"> </w:t>
      </w:r>
    </w:p>
    <w:p w:rsidR="006C48F0" w:rsidRPr="00D43315" w:rsidRDefault="006C48F0" w:rsidP="009542C2">
      <w:pPr>
        <w:spacing w:line="264" w:lineRule="auto"/>
        <w:rPr>
          <w:sz w:val="25"/>
          <w:szCs w:val="25"/>
        </w:rPr>
      </w:pPr>
    </w:p>
    <w:p w:rsidR="00D43315" w:rsidRPr="00D43315" w:rsidRDefault="00D43315" w:rsidP="009542C2">
      <w:pPr>
        <w:spacing w:line="264" w:lineRule="auto"/>
        <w:jc w:val="center"/>
        <w:rPr>
          <w:b/>
          <w:sz w:val="25"/>
          <w:szCs w:val="25"/>
          <w:u w:val="single"/>
        </w:rPr>
      </w:pPr>
      <w:r w:rsidRPr="00D43315">
        <w:rPr>
          <w:b/>
          <w:sz w:val="25"/>
          <w:szCs w:val="25"/>
          <w:u w:val="single"/>
        </w:rPr>
        <w:t>SUMMARY</w:t>
      </w:r>
    </w:p>
    <w:p w:rsidR="00D43315" w:rsidRPr="00D43315" w:rsidRDefault="00D43315" w:rsidP="009542C2">
      <w:pPr>
        <w:spacing w:line="264" w:lineRule="auto"/>
        <w:rPr>
          <w:sz w:val="25"/>
          <w:szCs w:val="25"/>
        </w:rPr>
      </w:pPr>
    </w:p>
    <w:p w:rsidR="009A70AD" w:rsidRPr="00CA507F" w:rsidRDefault="00C67FF4" w:rsidP="009542C2">
      <w:pPr>
        <w:numPr>
          <w:ilvl w:val="0"/>
          <w:numId w:val="19"/>
        </w:numPr>
        <w:spacing w:line="264" w:lineRule="auto"/>
        <w:ind w:hanging="720"/>
        <w:rPr>
          <w:sz w:val="25"/>
          <w:szCs w:val="25"/>
        </w:rPr>
      </w:pPr>
      <w:r w:rsidRPr="00CA507F">
        <w:rPr>
          <w:b/>
          <w:sz w:val="25"/>
          <w:szCs w:val="25"/>
        </w:rPr>
        <w:t>PROCEEDING</w:t>
      </w:r>
      <w:r w:rsidR="00DC41B9" w:rsidRPr="00CA507F">
        <w:rPr>
          <w:b/>
          <w:sz w:val="25"/>
          <w:szCs w:val="25"/>
        </w:rPr>
        <w:t>.</w:t>
      </w:r>
      <w:r w:rsidRPr="00CA507F">
        <w:rPr>
          <w:b/>
          <w:sz w:val="25"/>
          <w:szCs w:val="25"/>
        </w:rPr>
        <w:t xml:space="preserve">  </w:t>
      </w:r>
      <w:r w:rsidR="002D5E0D" w:rsidRPr="00CA507F">
        <w:rPr>
          <w:sz w:val="25"/>
          <w:szCs w:val="25"/>
        </w:rPr>
        <w:t>On October 1, 2010, PSE filed revisions to its natural gas tariffs proposing an increase of $24,384,451</w:t>
      </w:r>
      <w:r w:rsidR="00B528A5">
        <w:rPr>
          <w:sz w:val="25"/>
          <w:szCs w:val="25"/>
        </w:rPr>
        <w:t xml:space="preserve"> – a </w:t>
      </w:r>
      <w:r w:rsidR="002D5E0D" w:rsidRPr="00CA507F">
        <w:rPr>
          <w:sz w:val="25"/>
          <w:szCs w:val="25"/>
        </w:rPr>
        <w:t xml:space="preserve">2.3 percent increase in </w:t>
      </w:r>
      <w:r w:rsidR="002D5E0D" w:rsidRPr="00180F50">
        <w:rPr>
          <w:i/>
          <w:sz w:val="25"/>
          <w:szCs w:val="25"/>
        </w:rPr>
        <w:t xml:space="preserve">overall </w:t>
      </w:r>
      <w:r w:rsidR="002D5E0D" w:rsidRPr="00CA507F">
        <w:rPr>
          <w:sz w:val="25"/>
          <w:szCs w:val="25"/>
        </w:rPr>
        <w:t>revenues</w:t>
      </w:r>
      <w:r w:rsidR="00AD6232">
        <w:rPr>
          <w:rStyle w:val="FootnoteReference"/>
          <w:sz w:val="25"/>
          <w:szCs w:val="25"/>
        </w:rPr>
        <w:footnoteReference w:id="1"/>
      </w:r>
      <w:r w:rsidR="00B528A5">
        <w:rPr>
          <w:sz w:val="25"/>
          <w:szCs w:val="25"/>
        </w:rPr>
        <w:t xml:space="preserve"> – reflecting </w:t>
      </w:r>
      <w:r w:rsidR="002D5E0D" w:rsidRPr="00CA507F">
        <w:rPr>
          <w:sz w:val="25"/>
          <w:szCs w:val="25"/>
        </w:rPr>
        <w:t xml:space="preserve">increased costs over the test year ending June 30, 2010.  The Commission suspended the filing on October 28, 2010, and conducted a prehearing conference on November 19, 2010.  The </w:t>
      </w:r>
      <w:r w:rsidR="00CA507F" w:rsidRPr="00CA507F">
        <w:rPr>
          <w:sz w:val="25"/>
          <w:szCs w:val="25"/>
        </w:rPr>
        <w:t>p</w:t>
      </w:r>
      <w:r w:rsidR="002D5E0D" w:rsidRPr="00CA507F">
        <w:rPr>
          <w:sz w:val="25"/>
          <w:szCs w:val="25"/>
        </w:rPr>
        <w:t xml:space="preserve">arties initiated settlement discussions on January 14, 2011, </w:t>
      </w:r>
      <w:r w:rsidR="002D5E0D" w:rsidRPr="00CA507F">
        <w:rPr>
          <w:sz w:val="25"/>
          <w:szCs w:val="25"/>
        </w:rPr>
        <w:lastRenderedPageBreak/>
        <w:t xml:space="preserve">and </w:t>
      </w:r>
      <w:r w:rsidR="00CA507F" w:rsidRPr="00CA507F">
        <w:rPr>
          <w:sz w:val="25"/>
          <w:szCs w:val="25"/>
        </w:rPr>
        <w:t>reached a mutually agreed upon</w:t>
      </w:r>
      <w:r w:rsidR="002D5E0D" w:rsidRPr="00CA507F">
        <w:rPr>
          <w:sz w:val="25"/>
          <w:szCs w:val="25"/>
        </w:rPr>
        <w:t xml:space="preserve"> Settlement Agreement, </w:t>
      </w:r>
      <w:r w:rsidR="00CA507F" w:rsidRPr="00CA507F">
        <w:rPr>
          <w:sz w:val="25"/>
          <w:szCs w:val="25"/>
        </w:rPr>
        <w:t xml:space="preserve">which they </w:t>
      </w:r>
      <w:r w:rsidR="002D5E0D" w:rsidRPr="00CA507F">
        <w:rPr>
          <w:sz w:val="25"/>
          <w:szCs w:val="25"/>
        </w:rPr>
        <w:t>filed on January 27, 2011</w:t>
      </w:r>
      <w:r w:rsidR="00CA507F" w:rsidRPr="00CA507F">
        <w:rPr>
          <w:sz w:val="25"/>
          <w:szCs w:val="25"/>
        </w:rPr>
        <w:t>.</w:t>
      </w:r>
      <w:r w:rsidR="00CA507F">
        <w:rPr>
          <w:sz w:val="25"/>
          <w:szCs w:val="25"/>
        </w:rPr>
        <w:t xml:space="preserve">  </w:t>
      </w:r>
      <w:r w:rsidR="009A70AD" w:rsidRPr="00CA507F">
        <w:rPr>
          <w:sz w:val="25"/>
          <w:szCs w:val="25"/>
        </w:rPr>
        <w:t>The Commission held a settlement hearing and a public comment hearing on March 1, 2011.  The date for receipt of written comments from the public was extended to March 4, 2011, upon which date the record was closed.</w:t>
      </w:r>
    </w:p>
    <w:p w:rsidR="009A70AD" w:rsidRPr="00D43315" w:rsidRDefault="009A70AD" w:rsidP="009542C2">
      <w:pPr>
        <w:spacing w:line="264" w:lineRule="auto"/>
        <w:rPr>
          <w:sz w:val="25"/>
          <w:szCs w:val="25"/>
        </w:rPr>
      </w:pPr>
    </w:p>
    <w:p w:rsidR="00C67FF4" w:rsidRPr="00D43315" w:rsidRDefault="00C67FF4" w:rsidP="009542C2">
      <w:pPr>
        <w:numPr>
          <w:ilvl w:val="0"/>
          <w:numId w:val="19"/>
        </w:numPr>
        <w:spacing w:line="264" w:lineRule="auto"/>
        <w:ind w:hanging="720"/>
        <w:rPr>
          <w:sz w:val="25"/>
          <w:szCs w:val="25"/>
        </w:rPr>
      </w:pPr>
      <w:r w:rsidRPr="00D43315">
        <w:rPr>
          <w:b/>
          <w:sz w:val="25"/>
          <w:szCs w:val="25"/>
        </w:rPr>
        <w:t>PARTY</w:t>
      </w:r>
      <w:r w:rsidRPr="00D43315">
        <w:rPr>
          <w:b/>
          <w:bCs/>
          <w:sz w:val="25"/>
          <w:szCs w:val="25"/>
        </w:rPr>
        <w:t xml:space="preserve"> REPRESENTATIVES</w:t>
      </w:r>
      <w:r w:rsidR="00DC41B9" w:rsidRPr="00D43315">
        <w:rPr>
          <w:b/>
          <w:bCs/>
          <w:sz w:val="25"/>
          <w:szCs w:val="25"/>
        </w:rPr>
        <w:t>.</w:t>
      </w:r>
      <w:r w:rsidRPr="00D43315">
        <w:rPr>
          <w:sz w:val="25"/>
          <w:szCs w:val="25"/>
        </w:rPr>
        <w:t xml:space="preserve">  Sheree S</w:t>
      </w:r>
      <w:r w:rsidR="00DA5DBB" w:rsidRPr="00D43315">
        <w:rPr>
          <w:sz w:val="25"/>
          <w:szCs w:val="25"/>
        </w:rPr>
        <w:t>trom</w:t>
      </w:r>
      <w:r w:rsidRPr="00D43315">
        <w:rPr>
          <w:sz w:val="25"/>
          <w:szCs w:val="25"/>
        </w:rPr>
        <w:t xml:space="preserve"> Carson, Perkins Coie, Bellevue, Washington, represent PSE.  Simon ffitch, Assistant Attorney General, Seattle, Washington, represent</w:t>
      </w:r>
      <w:r w:rsidR="00A757F0" w:rsidRPr="00D43315">
        <w:rPr>
          <w:sz w:val="25"/>
          <w:szCs w:val="25"/>
        </w:rPr>
        <w:t>s</w:t>
      </w:r>
      <w:r w:rsidRPr="00D43315">
        <w:rPr>
          <w:sz w:val="25"/>
          <w:szCs w:val="25"/>
        </w:rPr>
        <w:t xml:space="preserve"> the Public Counsel Section of the Washington Office of Attorney General (Public Counsel).  Robert D. Cedarbaum</w:t>
      </w:r>
      <w:r w:rsidR="002130A7" w:rsidRPr="00D43315">
        <w:rPr>
          <w:sz w:val="25"/>
          <w:szCs w:val="25"/>
        </w:rPr>
        <w:t>,</w:t>
      </w:r>
      <w:r w:rsidRPr="00D43315">
        <w:rPr>
          <w:sz w:val="25"/>
          <w:szCs w:val="25"/>
        </w:rPr>
        <w:t xml:space="preserve"> Senior Assistant Attorney General</w:t>
      </w:r>
      <w:r w:rsidR="002130A7" w:rsidRPr="00D43315">
        <w:rPr>
          <w:sz w:val="25"/>
          <w:szCs w:val="25"/>
        </w:rPr>
        <w:t>, Assistant Attorney General</w:t>
      </w:r>
      <w:r w:rsidRPr="00D43315">
        <w:rPr>
          <w:sz w:val="25"/>
          <w:szCs w:val="25"/>
        </w:rPr>
        <w:t>, Olympia, Washington, represent</w:t>
      </w:r>
      <w:r w:rsidR="00A20DCA" w:rsidRPr="00D43315">
        <w:rPr>
          <w:sz w:val="25"/>
          <w:szCs w:val="25"/>
        </w:rPr>
        <w:t>s</w:t>
      </w:r>
      <w:r w:rsidRPr="00D43315">
        <w:rPr>
          <w:sz w:val="25"/>
          <w:szCs w:val="25"/>
        </w:rPr>
        <w:t xml:space="preserve"> the Commission’s regulatory staff (Commission Staff or Staff).</w:t>
      </w:r>
      <w:r w:rsidR="008A6FD7" w:rsidRPr="00D43315">
        <w:rPr>
          <w:rStyle w:val="FootnoteReference"/>
          <w:sz w:val="25"/>
          <w:szCs w:val="25"/>
        </w:rPr>
        <w:footnoteReference w:id="2"/>
      </w:r>
      <w:r w:rsidRPr="00D43315">
        <w:rPr>
          <w:sz w:val="25"/>
          <w:szCs w:val="25"/>
        </w:rPr>
        <w:t xml:space="preserve"> </w:t>
      </w:r>
    </w:p>
    <w:p w:rsidR="00C67FF4" w:rsidRPr="00D43315" w:rsidRDefault="00C67FF4" w:rsidP="009542C2">
      <w:pPr>
        <w:spacing w:line="264" w:lineRule="auto"/>
        <w:rPr>
          <w:sz w:val="25"/>
          <w:szCs w:val="25"/>
        </w:rPr>
      </w:pPr>
    </w:p>
    <w:p w:rsidR="00C67FF4" w:rsidRPr="00D43315" w:rsidRDefault="003370BA" w:rsidP="009542C2">
      <w:pPr>
        <w:numPr>
          <w:ilvl w:val="0"/>
          <w:numId w:val="19"/>
        </w:numPr>
        <w:spacing w:line="264" w:lineRule="auto"/>
        <w:ind w:hanging="720"/>
        <w:rPr>
          <w:sz w:val="25"/>
          <w:szCs w:val="25"/>
        </w:rPr>
      </w:pPr>
      <w:r w:rsidRPr="00D43315">
        <w:rPr>
          <w:sz w:val="25"/>
          <w:szCs w:val="25"/>
        </w:rPr>
        <w:t>Chad M. Stokes, Cable Huston Benedict Haagensen &amp; Lloyd LLP, Portland, Oregon, represent</w:t>
      </w:r>
      <w:r w:rsidR="00CA507F">
        <w:rPr>
          <w:sz w:val="25"/>
          <w:szCs w:val="25"/>
        </w:rPr>
        <w:t>s</w:t>
      </w:r>
      <w:r w:rsidRPr="00D43315">
        <w:rPr>
          <w:sz w:val="25"/>
          <w:szCs w:val="25"/>
        </w:rPr>
        <w:t xml:space="preserve"> Northwest Industrial Gas Users (NWIGU).  Elaine L. Spencer, Graham &amp; Dunn PC, Seattle, Washington, represents Seattle Steam Company (Seattle Steam).  </w:t>
      </w:r>
      <w:r w:rsidR="00C67FF4" w:rsidRPr="00D43315">
        <w:rPr>
          <w:sz w:val="25"/>
          <w:szCs w:val="25"/>
        </w:rPr>
        <w:t>Ronald L. Roseman, Attorney, Seattle, Washington, represents the Energy Project.</w:t>
      </w:r>
      <w:r w:rsidRPr="00D43315">
        <w:rPr>
          <w:sz w:val="25"/>
          <w:szCs w:val="25"/>
        </w:rPr>
        <w:t xml:space="preserve">  </w:t>
      </w:r>
      <w:r w:rsidR="00A20DCA" w:rsidRPr="00D43315">
        <w:rPr>
          <w:sz w:val="25"/>
          <w:szCs w:val="25"/>
        </w:rPr>
        <w:t>Damon E. Xenopoulos, Brickfield, Burchette, Ritts &amp; Stone, PC, Washington, DC, represents Nucor Steel Seattle, Inc. (Nucor Steel).</w:t>
      </w:r>
    </w:p>
    <w:p w:rsidR="00C67FF4" w:rsidRPr="00D43315" w:rsidRDefault="00C67FF4" w:rsidP="009542C2">
      <w:pPr>
        <w:spacing w:line="264" w:lineRule="auto"/>
        <w:ind w:left="-720"/>
        <w:rPr>
          <w:sz w:val="25"/>
          <w:szCs w:val="25"/>
        </w:rPr>
      </w:pPr>
    </w:p>
    <w:p w:rsidR="005950A1" w:rsidRDefault="00D43315" w:rsidP="009542C2">
      <w:pPr>
        <w:numPr>
          <w:ilvl w:val="0"/>
          <w:numId w:val="19"/>
        </w:numPr>
        <w:spacing w:line="264" w:lineRule="auto"/>
        <w:ind w:hanging="720"/>
        <w:rPr>
          <w:sz w:val="25"/>
          <w:szCs w:val="25"/>
        </w:rPr>
      </w:pPr>
      <w:r w:rsidRPr="00D43315">
        <w:rPr>
          <w:b/>
          <w:sz w:val="25"/>
          <w:szCs w:val="25"/>
        </w:rPr>
        <w:t>COMMISSION</w:t>
      </w:r>
      <w:r w:rsidRPr="00D43315">
        <w:rPr>
          <w:b/>
          <w:bCs/>
          <w:sz w:val="25"/>
          <w:szCs w:val="25"/>
        </w:rPr>
        <w:t xml:space="preserve"> DETERMINATIONS</w:t>
      </w:r>
      <w:r w:rsidRPr="00D43315">
        <w:rPr>
          <w:sz w:val="25"/>
          <w:szCs w:val="25"/>
        </w:rPr>
        <w:t xml:space="preserve">:  </w:t>
      </w:r>
      <w:r w:rsidR="006C5A2E">
        <w:rPr>
          <w:sz w:val="25"/>
          <w:szCs w:val="25"/>
        </w:rPr>
        <w:t>PSE presented its request as being limited in scope.</w:t>
      </w:r>
      <w:r w:rsidR="004D154F">
        <w:rPr>
          <w:sz w:val="25"/>
          <w:szCs w:val="25"/>
        </w:rPr>
        <w:t xml:space="preserve">  The parties nevertheless carefully scrutinized the filing, conducted discovery, and analyzed pertinent data.  They</w:t>
      </w:r>
      <w:r w:rsidR="006C5A2E">
        <w:rPr>
          <w:sz w:val="25"/>
          <w:szCs w:val="25"/>
        </w:rPr>
        <w:t xml:space="preserve"> negotiated and resolved </w:t>
      </w:r>
      <w:r w:rsidR="004D154F">
        <w:rPr>
          <w:sz w:val="25"/>
          <w:szCs w:val="25"/>
        </w:rPr>
        <w:t>the issues</w:t>
      </w:r>
      <w:r w:rsidR="006C5A2E">
        <w:rPr>
          <w:sz w:val="25"/>
          <w:szCs w:val="25"/>
        </w:rPr>
        <w:t xml:space="preserve"> to their mutual satisfaction without specifically resolving individual points of dispute concerning the Company’s revenue requirement, but at a level that satisfied each of them on an overall basis considering what appears to have been a thorough review of relevant books and records.</w:t>
      </w:r>
      <w:r w:rsidR="003470F7">
        <w:rPr>
          <w:sz w:val="25"/>
          <w:szCs w:val="25"/>
        </w:rPr>
        <w:t xml:space="preserve">  </w:t>
      </w:r>
      <w:r w:rsidR="004D154F" w:rsidRPr="00D43315">
        <w:rPr>
          <w:rStyle w:val="RCWSLText"/>
          <w:rFonts w:ascii="Times New Roman" w:hAnsi="Times New Roman" w:cs="Times New Roman"/>
          <w:sz w:val="25"/>
          <w:szCs w:val="25"/>
        </w:rPr>
        <w:t>T</w:t>
      </w:r>
      <w:r w:rsidR="004D154F" w:rsidRPr="00D43315">
        <w:rPr>
          <w:sz w:val="25"/>
          <w:szCs w:val="25"/>
        </w:rPr>
        <w:t>he Commission</w:t>
      </w:r>
      <w:r w:rsidR="004D154F">
        <w:rPr>
          <w:sz w:val="25"/>
          <w:szCs w:val="25"/>
        </w:rPr>
        <w:t xml:space="preserve"> determines it should approve and adopt the parties’ Settlement Agreement as a reasonable compromise of the issues in this proceeding.</w:t>
      </w:r>
    </w:p>
    <w:p w:rsidR="005950A1" w:rsidRDefault="005950A1" w:rsidP="009542C2">
      <w:pPr>
        <w:pStyle w:val="ListParagraph"/>
        <w:spacing w:line="264" w:lineRule="auto"/>
        <w:rPr>
          <w:sz w:val="25"/>
          <w:szCs w:val="25"/>
        </w:rPr>
      </w:pPr>
    </w:p>
    <w:p w:rsidR="00161D01" w:rsidRDefault="004D154F" w:rsidP="009542C2">
      <w:pPr>
        <w:numPr>
          <w:ilvl w:val="0"/>
          <w:numId w:val="19"/>
        </w:numPr>
        <w:spacing w:line="264" w:lineRule="auto"/>
        <w:ind w:hanging="720"/>
        <w:rPr>
          <w:sz w:val="25"/>
          <w:szCs w:val="25"/>
        </w:rPr>
      </w:pPr>
      <w:r>
        <w:rPr>
          <w:sz w:val="25"/>
          <w:szCs w:val="25"/>
        </w:rPr>
        <w:t xml:space="preserve">Based on our review of the record, discussed below, we determine that </w:t>
      </w:r>
      <w:r w:rsidR="003470F7">
        <w:rPr>
          <w:sz w:val="25"/>
          <w:szCs w:val="25"/>
        </w:rPr>
        <w:t>PSE should be authorized to file revised tariff sheets that provide for the recovery of an additional $19 million in revenue, as provided in the parties</w:t>
      </w:r>
      <w:r w:rsidR="00C135C2">
        <w:rPr>
          <w:sz w:val="25"/>
          <w:szCs w:val="25"/>
        </w:rPr>
        <w:t>’</w:t>
      </w:r>
      <w:r w:rsidR="003470F7">
        <w:rPr>
          <w:sz w:val="25"/>
          <w:szCs w:val="25"/>
        </w:rPr>
        <w:t xml:space="preserve"> Settlement Agreement.  We also determine that it is appropriate to maintain the status quo with respect to rate spread </w:t>
      </w:r>
      <w:r w:rsidR="003470F7">
        <w:rPr>
          <w:sz w:val="25"/>
          <w:szCs w:val="25"/>
        </w:rPr>
        <w:lastRenderedPageBreak/>
        <w:t>and rate design while allowing an opportunity for continuing analysis and dialogue concerning these mechanisms for allocating and recovering costs.  Further, it is reasonable to allow PSE to adjust its depreciation rates for water heater rentals, as provided in the settlement.  Finally, we express our general support for the Company’s continuing commitment to provide a level of support for low-income customers that recognizes the impact of increased rates.</w:t>
      </w:r>
    </w:p>
    <w:p w:rsidR="004D154F" w:rsidRPr="00D43315" w:rsidRDefault="004D154F" w:rsidP="009542C2">
      <w:pPr>
        <w:spacing w:line="264" w:lineRule="auto"/>
        <w:rPr>
          <w:sz w:val="25"/>
          <w:szCs w:val="25"/>
        </w:rPr>
      </w:pPr>
    </w:p>
    <w:p w:rsidR="00D43315" w:rsidRPr="00D43315" w:rsidRDefault="00D43315" w:rsidP="009542C2">
      <w:pPr>
        <w:spacing w:line="264" w:lineRule="auto"/>
        <w:ind w:left="-720"/>
        <w:jc w:val="center"/>
        <w:rPr>
          <w:b/>
          <w:sz w:val="25"/>
          <w:szCs w:val="25"/>
          <w:u w:val="single"/>
        </w:rPr>
      </w:pPr>
      <w:r w:rsidRPr="00D43315">
        <w:rPr>
          <w:b/>
          <w:sz w:val="25"/>
          <w:szCs w:val="25"/>
          <w:u w:val="single"/>
        </w:rPr>
        <w:t>MEMORANDUM</w:t>
      </w:r>
    </w:p>
    <w:p w:rsidR="00D43315" w:rsidRPr="00D43315" w:rsidRDefault="00D43315" w:rsidP="009542C2">
      <w:pPr>
        <w:pStyle w:val="Heading2"/>
        <w:numPr>
          <w:ilvl w:val="0"/>
          <w:numId w:val="12"/>
        </w:numPr>
        <w:tabs>
          <w:tab w:val="clear" w:pos="720"/>
          <w:tab w:val="num" w:pos="360"/>
        </w:tabs>
        <w:spacing w:before="240" w:after="60" w:line="264" w:lineRule="auto"/>
        <w:ind w:left="360"/>
        <w:jc w:val="left"/>
        <w:rPr>
          <w:b/>
          <w:sz w:val="25"/>
          <w:szCs w:val="25"/>
          <w:u w:val="none"/>
        </w:rPr>
      </w:pPr>
      <w:bookmarkStart w:id="1" w:name="_Toc252797492"/>
      <w:bookmarkStart w:id="2" w:name="_Toc257815298"/>
      <w:r w:rsidRPr="00D43315">
        <w:rPr>
          <w:b/>
          <w:sz w:val="25"/>
          <w:szCs w:val="25"/>
          <w:u w:val="none"/>
        </w:rPr>
        <w:t>Background and Procedural History</w:t>
      </w:r>
      <w:bookmarkEnd w:id="1"/>
      <w:bookmarkEnd w:id="2"/>
    </w:p>
    <w:p w:rsidR="00D43315" w:rsidRDefault="00D43315" w:rsidP="009542C2">
      <w:pPr>
        <w:spacing w:line="264" w:lineRule="auto"/>
        <w:rPr>
          <w:sz w:val="25"/>
          <w:szCs w:val="25"/>
        </w:rPr>
      </w:pPr>
    </w:p>
    <w:p w:rsidR="00CA507F" w:rsidRPr="000D79C8" w:rsidRDefault="00CA507F" w:rsidP="009542C2">
      <w:pPr>
        <w:numPr>
          <w:ilvl w:val="0"/>
          <w:numId w:val="19"/>
        </w:numPr>
        <w:spacing w:line="264" w:lineRule="auto"/>
        <w:ind w:hanging="720"/>
        <w:rPr>
          <w:sz w:val="25"/>
          <w:szCs w:val="25"/>
        </w:rPr>
      </w:pPr>
      <w:r w:rsidRPr="000D79C8">
        <w:rPr>
          <w:sz w:val="25"/>
          <w:szCs w:val="25"/>
        </w:rPr>
        <w:t>On October 1, 2010, PSE filed revisions to its natural gas tariffs proposing an increase of $24,384,451</w:t>
      </w:r>
      <w:r w:rsidR="00B528A5">
        <w:rPr>
          <w:sz w:val="25"/>
          <w:szCs w:val="25"/>
        </w:rPr>
        <w:t xml:space="preserve"> – a </w:t>
      </w:r>
      <w:r w:rsidRPr="000D79C8">
        <w:rPr>
          <w:sz w:val="25"/>
          <w:szCs w:val="25"/>
        </w:rPr>
        <w:t>2.3 percent increase in overall revenues</w:t>
      </w:r>
      <w:r>
        <w:rPr>
          <w:rStyle w:val="FootnoteReference"/>
          <w:sz w:val="25"/>
          <w:szCs w:val="25"/>
        </w:rPr>
        <w:footnoteReference w:id="3"/>
      </w:r>
      <w:r w:rsidR="00B528A5">
        <w:rPr>
          <w:sz w:val="25"/>
          <w:szCs w:val="25"/>
        </w:rPr>
        <w:t xml:space="preserve"> – reflecting </w:t>
      </w:r>
      <w:r w:rsidRPr="000D79C8">
        <w:rPr>
          <w:sz w:val="25"/>
          <w:szCs w:val="25"/>
        </w:rPr>
        <w:t>increased costs over the test year ending June 30, 2010.  PSE submitted prefiled testimony and exhibits in support of its tariff filing.  The Commission suspended the filing on October 28, 2010, and conducted a prehearing conference on November 19, 2010.  The parties, in addition to PSE, are Staff, Public Counsel, Northwest Industrial Gas Users, Seattle Steam Company, The Energy Project,</w:t>
      </w:r>
      <w:r>
        <w:rPr>
          <w:sz w:val="25"/>
          <w:szCs w:val="25"/>
        </w:rPr>
        <w:t xml:space="preserve"> and Nucor Steel Seattle, Inc.</w:t>
      </w:r>
      <w:r w:rsidR="00C1244E">
        <w:rPr>
          <w:sz w:val="25"/>
          <w:szCs w:val="25"/>
        </w:rPr>
        <w:t xml:space="preserve">  The Commission established a procedural schedule setting February 7, 2011, as the date for response testimony from the parties other than PSE.</w:t>
      </w:r>
    </w:p>
    <w:p w:rsidR="00CA507F" w:rsidRDefault="00CA507F" w:rsidP="009542C2">
      <w:pPr>
        <w:spacing w:line="264" w:lineRule="auto"/>
        <w:rPr>
          <w:sz w:val="25"/>
          <w:szCs w:val="25"/>
        </w:rPr>
      </w:pPr>
    </w:p>
    <w:p w:rsidR="00CA507F" w:rsidRDefault="00CA507F" w:rsidP="009542C2">
      <w:pPr>
        <w:numPr>
          <w:ilvl w:val="0"/>
          <w:numId w:val="19"/>
        </w:numPr>
        <w:spacing w:line="264" w:lineRule="auto"/>
        <w:ind w:hanging="720"/>
        <w:rPr>
          <w:sz w:val="25"/>
          <w:szCs w:val="25"/>
        </w:rPr>
      </w:pPr>
      <w:r w:rsidRPr="00CE69E9">
        <w:rPr>
          <w:sz w:val="25"/>
          <w:szCs w:val="25"/>
        </w:rPr>
        <w:t xml:space="preserve">The </w:t>
      </w:r>
      <w:r w:rsidR="00232B89">
        <w:rPr>
          <w:sz w:val="25"/>
          <w:szCs w:val="25"/>
        </w:rPr>
        <w:t>p</w:t>
      </w:r>
      <w:r w:rsidRPr="00CE69E9">
        <w:rPr>
          <w:sz w:val="25"/>
          <w:szCs w:val="25"/>
        </w:rPr>
        <w:t>arties</w:t>
      </w:r>
      <w:r w:rsidR="00AA07AF">
        <w:rPr>
          <w:sz w:val="25"/>
          <w:szCs w:val="25"/>
        </w:rPr>
        <w:t xml:space="preserve"> engaged in discovery, analyzed PSE’s request and</w:t>
      </w:r>
      <w:r w:rsidRPr="00CE69E9">
        <w:rPr>
          <w:sz w:val="25"/>
          <w:szCs w:val="25"/>
        </w:rPr>
        <w:t xml:space="preserve"> </w:t>
      </w:r>
      <w:r>
        <w:rPr>
          <w:sz w:val="25"/>
          <w:szCs w:val="25"/>
        </w:rPr>
        <w:t>initiated</w:t>
      </w:r>
      <w:r w:rsidRPr="00CE69E9">
        <w:rPr>
          <w:sz w:val="25"/>
          <w:szCs w:val="25"/>
        </w:rPr>
        <w:t xml:space="preserve"> settlement discussions on January 14, 2011</w:t>
      </w:r>
      <w:r w:rsidR="00AA07AF">
        <w:rPr>
          <w:sz w:val="25"/>
          <w:szCs w:val="25"/>
        </w:rPr>
        <w:t>.  They</w:t>
      </w:r>
      <w:r>
        <w:rPr>
          <w:sz w:val="25"/>
          <w:szCs w:val="25"/>
        </w:rPr>
        <w:t xml:space="preserve"> </w:t>
      </w:r>
      <w:r w:rsidRPr="00CE69E9">
        <w:rPr>
          <w:sz w:val="25"/>
          <w:szCs w:val="25"/>
        </w:rPr>
        <w:t xml:space="preserve">reached a mutually agreed upon settlement </w:t>
      </w:r>
      <w:r>
        <w:rPr>
          <w:sz w:val="25"/>
          <w:szCs w:val="25"/>
        </w:rPr>
        <w:t>prior to the date scheduled for response testimony</w:t>
      </w:r>
      <w:r w:rsidRPr="00CE69E9">
        <w:rPr>
          <w:sz w:val="25"/>
          <w:szCs w:val="25"/>
        </w:rPr>
        <w:t>.  The Settlement Agreement</w:t>
      </w:r>
      <w:r>
        <w:rPr>
          <w:sz w:val="25"/>
          <w:szCs w:val="25"/>
        </w:rPr>
        <w:t>, filed on January 27, 2011,</w:t>
      </w:r>
      <w:r w:rsidRPr="00CE69E9">
        <w:rPr>
          <w:sz w:val="25"/>
          <w:szCs w:val="25"/>
        </w:rPr>
        <w:t xml:space="preserve"> </w:t>
      </w:r>
      <w:r w:rsidR="00AA07AF">
        <w:rPr>
          <w:sz w:val="25"/>
          <w:szCs w:val="25"/>
        </w:rPr>
        <w:t>was presented as</w:t>
      </w:r>
      <w:r w:rsidRPr="00CE69E9">
        <w:rPr>
          <w:sz w:val="25"/>
          <w:szCs w:val="25"/>
        </w:rPr>
        <w:t xml:space="preserve"> a full settlement pursuant to WAC 480-07-730(1)</w:t>
      </w:r>
      <w:r>
        <w:rPr>
          <w:sz w:val="25"/>
          <w:szCs w:val="25"/>
        </w:rPr>
        <w:t xml:space="preserve"> (</w:t>
      </w:r>
      <w:r w:rsidRPr="0001097E">
        <w:rPr>
          <w:i/>
          <w:sz w:val="25"/>
          <w:szCs w:val="25"/>
        </w:rPr>
        <w:t>i.e.,</w:t>
      </w:r>
      <w:r>
        <w:rPr>
          <w:sz w:val="25"/>
          <w:szCs w:val="25"/>
        </w:rPr>
        <w:t xml:space="preserve"> all parties and all issues)</w:t>
      </w:r>
      <w:r w:rsidRPr="00CE69E9">
        <w:rPr>
          <w:sz w:val="25"/>
          <w:szCs w:val="25"/>
        </w:rPr>
        <w:t>.</w:t>
      </w:r>
      <w:r>
        <w:rPr>
          <w:sz w:val="25"/>
          <w:szCs w:val="25"/>
        </w:rPr>
        <w:t xml:space="preserve">  The </w:t>
      </w:r>
      <w:r w:rsidR="00C135C2">
        <w:rPr>
          <w:sz w:val="25"/>
          <w:szCs w:val="25"/>
        </w:rPr>
        <w:t>p</w:t>
      </w:r>
      <w:r>
        <w:rPr>
          <w:sz w:val="25"/>
          <w:szCs w:val="25"/>
        </w:rPr>
        <w:t xml:space="preserve">arties filed joint testimony in support of the Settlement Agreement on February 11, 2011. </w:t>
      </w:r>
      <w:r>
        <w:rPr>
          <w:sz w:val="25"/>
          <w:szCs w:val="25"/>
        </w:rPr>
        <w:br/>
      </w:r>
    </w:p>
    <w:p w:rsidR="00CA507F" w:rsidRDefault="00CA507F" w:rsidP="009542C2">
      <w:pPr>
        <w:numPr>
          <w:ilvl w:val="0"/>
          <w:numId w:val="19"/>
        </w:numPr>
        <w:spacing w:line="264" w:lineRule="auto"/>
        <w:ind w:hanging="720"/>
        <w:rPr>
          <w:sz w:val="25"/>
          <w:szCs w:val="25"/>
        </w:rPr>
      </w:pPr>
      <w:r>
        <w:rPr>
          <w:sz w:val="25"/>
          <w:szCs w:val="25"/>
        </w:rPr>
        <w:t>The Commission held a settlement hearing and a public comment hearing on March 1, 2011</w:t>
      </w:r>
      <w:r w:rsidR="00AA07AF">
        <w:rPr>
          <w:sz w:val="25"/>
          <w:szCs w:val="25"/>
        </w:rPr>
        <w:t>, in Olympia, Washington</w:t>
      </w:r>
      <w:r>
        <w:rPr>
          <w:sz w:val="25"/>
          <w:szCs w:val="25"/>
        </w:rPr>
        <w:t>.  The date for receipt of written comments from the public was extended to March 4, 2011.</w:t>
      </w:r>
    </w:p>
    <w:p w:rsidR="00AA07AF" w:rsidRPr="00D43315" w:rsidRDefault="009542C2" w:rsidP="009542C2">
      <w:pPr>
        <w:spacing w:line="264" w:lineRule="auto"/>
        <w:rPr>
          <w:sz w:val="25"/>
          <w:szCs w:val="25"/>
        </w:rPr>
      </w:pPr>
      <w:r>
        <w:rPr>
          <w:sz w:val="25"/>
          <w:szCs w:val="25"/>
        </w:rPr>
        <w:br w:type="page"/>
      </w:r>
    </w:p>
    <w:p w:rsidR="00D43315" w:rsidRPr="00D43315" w:rsidRDefault="00D43315" w:rsidP="009542C2">
      <w:pPr>
        <w:pStyle w:val="Heading2"/>
        <w:spacing w:before="240" w:after="60" w:line="264" w:lineRule="auto"/>
        <w:jc w:val="left"/>
        <w:rPr>
          <w:b/>
          <w:sz w:val="25"/>
          <w:szCs w:val="25"/>
          <w:u w:val="none"/>
        </w:rPr>
      </w:pPr>
      <w:r w:rsidRPr="00D43315">
        <w:rPr>
          <w:b/>
          <w:sz w:val="25"/>
          <w:szCs w:val="25"/>
          <w:u w:val="none"/>
        </w:rPr>
        <w:lastRenderedPageBreak/>
        <w:t xml:space="preserve">II. </w:t>
      </w:r>
      <w:r w:rsidR="00E54CD8">
        <w:rPr>
          <w:b/>
          <w:sz w:val="25"/>
          <w:szCs w:val="25"/>
          <w:u w:val="none"/>
        </w:rPr>
        <w:t xml:space="preserve"> </w:t>
      </w:r>
      <w:r w:rsidRPr="00D43315">
        <w:rPr>
          <w:b/>
          <w:sz w:val="25"/>
          <w:szCs w:val="25"/>
          <w:u w:val="none"/>
        </w:rPr>
        <w:t>Settlement Agreement</w:t>
      </w:r>
    </w:p>
    <w:p w:rsidR="00D43315" w:rsidRDefault="00D43315" w:rsidP="009542C2">
      <w:pPr>
        <w:spacing w:line="264" w:lineRule="auto"/>
        <w:rPr>
          <w:b/>
          <w:sz w:val="25"/>
          <w:szCs w:val="25"/>
        </w:rPr>
      </w:pPr>
    </w:p>
    <w:p w:rsidR="0060348B" w:rsidRDefault="009A70AD" w:rsidP="009542C2">
      <w:pPr>
        <w:numPr>
          <w:ilvl w:val="0"/>
          <w:numId w:val="19"/>
        </w:numPr>
        <w:spacing w:line="264" w:lineRule="auto"/>
        <w:ind w:hanging="720"/>
        <w:rPr>
          <w:sz w:val="25"/>
          <w:szCs w:val="25"/>
        </w:rPr>
      </w:pPr>
      <w:r w:rsidRPr="00CE69E9">
        <w:rPr>
          <w:sz w:val="25"/>
          <w:szCs w:val="25"/>
        </w:rPr>
        <w:t>Th</w:t>
      </w:r>
      <w:r>
        <w:rPr>
          <w:sz w:val="25"/>
          <w:szCs w:val="25"/>
        </w:rPr>
        <w:t>e</w:t>
      </w:r>
      <w:r w:rsidRPr="00CE69E9">
        <w:rPr>
          <w:sz w:val="25"/>
          <w:szCs w:val="25"/>
        </w:rPr>
        <w:t xml:space="preserve"> Settlement Agreement recommends an increase in natural gas revenue requirements of $19 million, which constitutes a 1.8 percent increase in </w:t>
      </w:r>
      <w:r w:rsidRPr="0060348B">
        <w:rPr>
          <w:i/>
          <w:sz w:val="25"/>
          <w:szCs w:val="25"/>
        </w:rPr>
        <w:t xml:space="preserve">overall </w:t>
      </w:r>
      <w:r w:rsidRPr="00CE69E9">
        <w:rPr>
          <w:sz w:val="25"/>
          <w:szCs w:val="25"/>
        </w:rPr>
        <w:t>revenues</w:t>
      </w:r>
      <w:r>
        <w:rPr>
          <w:sz w:val="25"/>
          <w:szCs w:val="25"/>
        </w:rPr>
        <w:t xml:space="preserve"> and represents about 78 percent of what PSE asked for in its initial filing</w:t>
      </w:r>
      <w:r w:rsidRPr="00CE69E9">
        <w:rPr>
          <w:sz w:val="25"/>
          <w:szCs w:val="25"/>
        </w:rPr>
        <w:t>.</w:t>
      </w:r>
      <w:r w:rsidR="0060348B">
        <w:rPr>
          <w:sz w:val="25"/>
          <w:szCs w:val="25"/>
        </w:rPr>
        <w:t xml:space="preserve">  The marginal increase (</w:t>
      </w:r>
      <w:r w:rsidR="0060348B" w:rsidRPr="0060348B">
        <w:rPr>
          <w:i/>
          <w:sz w:val="25"/>
          <w:szCs w:val="25"/>
        </w:rPr>
        <w:t>i.e.,</w:t>
      </w:r>
      <w:r w:rsidR="0060348B">
        <w:rPr>
          <w:sz w:val="25"/>
          <w:szCs w:val="25"/>
        </w:rPr>
        <w:t xml:space="preserve"> relative to the non-gas costs) is 4.</w:t>
      </w:r>
      <w:r w:rsidR="008C0932">
        <w:rPr>
          <w:sz w:val="25"/>
          <w:szCs w:val="25"/>
        </w:rPr>
        <w:t>7</w:t>
      </w:r>
      <w:r w:rsidR="0060348B">
        <w:rPr>
          <w:sz w:val="25"/>
          <w:szCs w:val="25"/>
        </w:rPr>
        <w:t>6 percent.</w:t>
      </w:r>
      <w:r w:rsidRPr="00CE69E9">
        <w:rPr>
          <w:sz w:val="25"/>
          <w:szCs w:val="25"/>
        </w:rPr>
        <w:t xml:space="preserve">  </w:t>
      </w:r>
      <w:r w:rsidR="0060348B">
        <w:rPr>
          <w:sz w:val="25"/>
          <w:szCs w:val="25"/>
        </w:rPr>
        <w:t>On an average annual basis, residential customers will experience an increase of about</w:t>
      </w:r>
      <w:r w:rsidR="00B528A5">
        <w:rPr>
          <w:sz w:val="25"/>
          <w:szCs w:val="25"/>
        </w:rPr>
        <w:t xml:space="preserve"> 2.0</w:t>
      </w:r>
      <w:r w:rsidR="00307CC6">
        <w:rPr>
          <w:sz w:val="25"/>
          <w:szCs w:val="25"/>
        </w:rPr>
        <w:t xml:space="preserve"> </w:t>
      </w:r>
      <w:r w:rsidR="0060348B">
        <w:rPr>
          <w:sz w:val="25"/>
          <w:szCs w:val="25"/>
        </w:rPr>
        <w:t>percent in the amount they pay</w:t>
      </w:r>
      <w:r w:rsidR="001D104F">
        <w:rPr>
          <w:sz w:val="25"/>
          <w:szCs w:val="25"/>
        </w:rPr>
        <w:t xml:space="preserve"> PSE for natural gas service</w:t>
      </w:r>
      <w:r w:rsidR="0060348B">
        <w:rPr>
          <w:sz w:val="25"/>
          <w:szCs w:val="25"/>
        </w:rPr>
        <w:t>.</w:t>
      </w:r>
      <w:r w:rsidR="001D104F">
        <w:rPr>
          <w:rStyle w:val="FootnoteReference"/>
          <w:sz w:val="25"/>
          <w:szCs w:val="25"/>
        </w:rPr>
        <w:footnoteReference w:id="4"/>
      </w:r>
    </w:p>
    <w:p w:rsidR="0060348B" w:rsidRDefault="0060348B" w:rsidP="009542C2">
      <w:pPr>
        <w:spacing w:line="264" w:lineRule="auto"/>
        <w:rPr>
          <w:sz w:val="25"/>
          <w:szCs w:val="25"/>
        </w:rPr>
      </w:pPr>
    </w:p>
    <w:p w:rsidR="009A70AD" w:rsidRDefault="009A70AD" w:rsidP="009542C2">
      <w:pPr>
        <w:numPr>
          <w:ilvl w:val="0"/>
          <w:numId w:val="19"/>
        </w:numPr>
        <w:spacing w:line="264" w:lineRule="auto"/>
        <w:ind w:hanging="720"/>
        <w:rPr>
          <w:sz w:val="25"/>
          <w:szCs w:val="25"/>
        </w:rPr>
      </w:pPr>
      <w:r w:rsidRPr="00CE69E9">
        <w:rPr>
          <w:sz w:val="25"/>
          <w:szCs w:val="25"/>
        </w:rPr>
        <w:t xml:space="preserve">The </w:t>
      </w:r>
      <w:r w:rsidR="00C1244E">
        <w:rPr>
          <w:sz w:val="25"/>
          <w:szCs w:val="25"/>
        </w:rPr>
        <w:t>p</w:t>
      </w:r>
      <w:r w:rsidRPr="00CE69E9">
        <w:rPr>
          <w:sz w:val="25"/>
          <w:szCs w:val="25"/>
        </w:rPr>
        <w:t xml:space="preserve">arties </w:t>
      </w:r>
      <w:r>
        <w:rPr>
          <w:sz w:val="25"/>
          <w:szCs w:val="25"/>
        </w:rPr>
        <w:t xml:space="preserve">do not associate </w:t>
      </w:r>
      <w:r w:rsidR="00E766FA">
        <w:rPr>
          <w:sz w:val="25"/>
          <w:szCs w:val="25"/>
        </w:rPr>
        <w:t xml:space="preserve">their recommended </w:t>
      </w:r>
      <w:r w:rsidRPr="00CE69E9">
        <w:rPr>
          <w:sz w:val="25"/>
          <w:szCs w:val="25"/>
        </w:rPr>
        <w:t xml:space="preserve">increase in </w:t>
      </w:r>
      <w:r w:rsidR="00E766FA">
        <w:rPr>
          <w:sz w:val="25"/>
          <w:szCs w:val="25"/>
        </w:rPr>
        <w:t xml:space="preserve">PSE’s </w:t>
      </w:r>
      <w:r w:rsidRPr="00CE69E9">
        <w:rPr>
          <w:sz w:val="25"/>
          <w:szCs w:val="25"/>
        </w:rPr>
        <w:t xml:space="preserve">revenue requirement to specific ratemaking adjustments, but agree that </w:t>
      </w:r>
      <w:r>
        <w:rPr>
          <w:sz w:val="25"/>
          <w:szCs w:val="25"/>
        </w:rPr>
        <w:t>the overall</w:t>
      </w:r>
      <w:r w:rsidRPr="00CE69E9">
        <w:rPr>
          <w:sz w:val="25"/>
          <w:szCs w:val="25"/>
        </w:rPr>
        <w:t xml:space="preserve"> increase</w:t>
      </w:r>
      <w:r w:rsidR="00585A04">
        <w:rPr>
          <w:sz w:val="25"/>
          <w:szCs w:val="25"/>
        </w:rPr>
        <w:t xml:space="preserve"> of $19 million</w:t>
      </w:r>
      <w:r w:rsidRPr="00CE69E9">
        <w:rPr>
          <w:sz w:val="25"/>
          <w:szCs w:val="25"/>
        </w:rPr>
        <w:t xml:space="preserve"> will result in rates for natural gas service that are fair, </w:t>
      </w:r>
      <w:r w:rsidR="00C135C2">
        <w:rPr>
          <w:sz w:val="25"/>
          <w:szCs w:val="25"/>
        </w:rPr>
        <w:t xml:space="preserve">just, </w:t>
      </w:r>
      <w:r w:rsidRPr="00CE69E9">
        <w:rPr>
          <w:sz w:val="25"/>
          <w:szCs w:val="25"/>
        </w:rPr>
        <w:t xml:space="preserve">reasonable and sufficient, </w:t>
      </w:r>
      <w:r>
        <w:rPr>
          <w:sz w:val="25"/>
          <w:szCs w:val="25"/>
        </w:rPr>
        <w:t xml:space="preserve">considering </w:t>
      </w:r>
      <w:r w:rsidRPr="00CE69E9">
        <w:rPr>
          <w:sz w:val="25"/>
          <w:szCs w:val="25"/>
        </w:rPr>
        <w:t xml:space="preserve">the evidence filed, the discovery undertaken </w:t>
      </w:r>
      <w:r>
        <w:rPr>
          <w:sz w:val="25"/>
          <w:szCs w:val="25"/>
        </w:rPr>
        <w:t>by Staff and others</w:t>
      </w:r>
      <w:r w:rsidRPr="00CE69E9">
        <w:rPr>
          <w:sz w:val="25"/>
          <w:szCs w:val="25"/>
        </w:rPr>
        <w:t>, and the rate spread and design agreed to by the Parties.</w:t>
      </w:r>
      <w:r>
        <w:rPr>
          <w:rStyle w:val="FootnoteReference"/>
          <w:sz w:val="25"/>
          <w:szCs w:val="25"/>
        </w:rPr>
        <w:footnoteReference w:id="5"/>
      </w:r>
      <w:r w:rsidRPr="00AA08B0">
        <w:rPr>
          <w:sz w:val="25"/>
          <w:szCs w:val="25"/>
        </w:rPr>
        <w:t xml:space="preserve"> </w:t>
      </w:r>
      <w:r>
        <w:rPr>
          <w:sz w:val="25"/>
          <w:szCs w:val="25"/>
        </w:rPr>
        <w:t xml:space="preserve"> The </w:t>
      </w:r>
      <w:r w:rsidR="00C1244E">
        <w:rPr>
          <w:sz w:val="25"/>
          <w:szCs w:val="25"/>
        </w:rPr>
        <w:t>p</w:t>
      </w:r>
      <w:r>
        <w:rPr>
          <w:sz w:val="25"/>
          <w:szCs w:val="25"/>
        </w:rPr>
        <w:t xml:space="preserve">arties propose that the revised rates become </w:t>
      </w:r>
      <w:r w:rsidRPr="00FC7E72">
        <w:rPr>
          <w:sz w:val="25"/>
          <w:szCs w:val="25"/>
        </w:rPr>
        <w:t>effective April 1, 2011</w:t>
      </w:r>
      <w:r>
        <w:rPr>
          <w:sz w:val="25"/>
          <w:szCs w:val="25"/>
        </w:rPr>
        <w:t>.</w:t>
      </w:r>
      <w:r w:rsidRPr="00CE69E9">
        <w:rPr>
          <w:sz w:val="25"/>
          <w:szCs w:val="25"/>
        </w:rPr>
        <w:t xml:space="preserve"> </w:t>
      </w:r>
    </w:p>
    <w:p w:rsidR="009A70AD" w:rsidRPr="00CE69E9" w:rsidRDefault="009A70AD" w:rsidP="009542C2">
      <w:pPr>
        <w:spacing w:line="264" w:lineRule="auto"/>
        <w:rPr>
          <w:sz w:val="25"/>
          <w:szCs w:val="25"/>
        </w:rPr>
      </w:pPr>
    </w:p>
    <w:p w:rsidR="009A70AD" w:rsidRDefault="009A70AD" w:rsidP="009542C2">
      <w:pPr>
        <w:numPr>
          <w:ilvl w:val="0"/>
          <w:numId w:val="19"/>
        </w:numPr>
        <w:spacing w:line="264" w:lineRule="auto"/>
        <w:ind w:hanging="720"/>
        <w:rPr>
          <w:sz w:val="25"/>
          <w:szCs w:val="25"/>
        </w:rPr>
      </w:pPr>
      <w:r w:rsidRPr="00CE69E9">
        <w:rPr>
          <w:sz w:val="25"/>
          <w:szCs w:val="25"/>
        </w:rPr>
        <w:t xml:space="preserve">The Settlement Agreement also includes </w:t>
      </w:r>
      <w:r>
        <w:rPr>
          <w:sz w:val="25"/>
          <w:szCs w:val="25"/>
        </w:rPr>
        <w:t xml:space="preserve">the </w:t>
      </w:r>
      <w:r w:rsidR="00C1244E">
        <w:rPr>
          <w:sz w:val="25"/>
          <w:szCs w:val="25"/>
        </w:rPr>
        <w:t>p</w:t>
      </w:r>
      <w:r>
        <w:rPr>
          <w:sz w:val="25"/>
          <w:szCs w:val="25"/>
        </w:rPr>
        <w:t>arties’</w:t>
      </w:r>
      <w:r w:rsidRPr="00CE69E9">
        <w:rPr>
          <w:sz w:val="25"/>
          <w:szCs w:val="25"/>
        </w:rPr>
        <w:t xml:space="preserve"> agreement </w:t>
      </w:r>
      <w:r w:rsidRPr="003252DF">
        <w:rPr>
          <w:sz w:val="25"/>
          <w:szCs w:val="25"/>
        </w:rPr>
        <w:t>to lower the depreciation rates for gas water heaters to avoid having the projected net balance of these assets become negative during 2011.</w:t>
      </w:r>
      <w:r w:rsidRPr="0084039D">
        <w:rPr>
          <w:rStyle w:val="FootnoteReference"/>
          <w:sz w:val="25"/>
          <w:szCs w:val="25"/>
        </w:rPr>
        <w:t xml:space="preserve"> </w:t>
      </w:r>
      <w:r>
        <w:rPr>
          <w:rStyle w:val="FootnoteReference"/>
          <w:sz w:val="25"/>
          <w:szCs w:val="25"/>
        </w:rPr>
        <w:footnoteReference w:id="6"/>
      </w:r>
      <w:r>
        <w:rPr>
          <w:sz w:val="25"/>
          <w:szCs w:val="25"/>
        </w:rPr>
        <w:t xml:space="preserve"> </w:t>
      </w:r>
      <w:r w:rsidRPr="003252DF">
        <w:rPr>
          <w:sz w:val="25"/>
          <w:szCs w:val="25"/>
        </w:rPr>
        <w:t xml:space="preserve"> Staff states this is a reasonable interim step until a full depreciation study can be performed.</w:t>
      </w:r>
      <w:r>
        <w:rPr>
          <w:sz w:val="25"/>
          <w:szCs w:val="25"/>
        </w:rPr>
        <w:t xml:space="preserve"> </w:t>
      </w:r>
      <w:r w:rsidRPr="003252DF">
        <w:rPr>
          <w:sz w:val="25"/>
          <w:szCs w:val="25"/>
        </w:rPr>
        <w:t xml:space="preserve"> The </w:t>
      </w:r>
      <w:r w:rsidR="00C1244E">
        <w:rPr>
          <w:sz w:val="25"/>
          <w:szCs w:val="25"/>
        </w:rPr>
        <w:t>p</w:t>
      </w:r>
      <w:r w:rsidRPr="003252DF">
        <w:rPr>
          <w:sz w:val="25"/>
          <w:szCs w:val="25"/>
        </w:rPr>
        <w:t>arties request that the Commission approve these new depreciation rates and propose that they remain in effect until the Company’s next depreciation study results are presented and accepted by the Commission.</w:t>
      </w:r>
      <w:r w:rsidR="00BF72B9">
        <w:rPr>
          <w:sz w:val="25"/>
          <w:szCs w:val="25"/>
        </w:rPr>
        <w:t xml:space="preserve">  Mr. Story explained the background and rationale for this adjustment in his initial testimony</w:t>
      </w:r>
      <w:r w:rsidR="00BD7F89">
        <w:rPr>
          <w:sz w:val="25"/>
          <w:szCs w:val="25"/>
        </w:rPr>
        <w:t xml:space="preserve"> and during the hearing</w:t>
      </w:r>
      <w:r w:rsidR="00BF72B9">
        <w:rPr>
          <w:sz w:val="25"/>
          <w:szCs w:val="25"/>
        </w:rPr>
        <w:t>.  It is largely a matter of correcting for past practices</w:t>
      </w:r>
      <w:r w:rsidR="00BD7F89">
        <w:rPr>
          <w:sz w:val="25"/>
          <w:szCs w:val="25"/>
        </w:rPr>
        <w:t>, including over-depreciation of some long-lived infrastructure,</w:t>
      </w:r>
      <w:r w:rsidR="00BF72B9">
        <w:rPr>
          <w:sz w:val="25"/>
          <w:szCs w:val="25"/>
        </w:rPr>
        <w:t xml:space="preserve"> </w:t>
      </w:r>
      <w:r w:rsidR="00BD7F89">
        <w:rPr>
          <w:sz w:val="25"/>
          <w:szCs w:val="25"/>
        </w:rPr>
        <w:t>to avoid having negative values appear on the asset side of PSE’s balance sheet.</w:t>
      </w:r>
      <w:r w:rsidR="00BF72B9">
        <w:rPr>
          <w:sz w:val="25"/>
          <w:szCs w:val="25"/>
        </w:rPr>
        <w:t xml:space="preserve">  </w:t>
      </w:r>
      <w:r w:rsidRPr="003252DF">
        <w:rPr>
          <w:sz w:val="25"/>
          <w:szCs w:val="25"/>
        </w:rPr>
        <w:t xml:space="preserve"> </w:t>
      </w:r>
    </w:p>
    <w:p w:rsidR="009A70AD" w:rsidRDefault="009A70AD" w:rsidP="009542C2">
      <w:pPr>
        <w:spacing w:line="264" w:lineRule="auto"/>
        <w:rPr>
          <w:sz w:val="25"/>
          <w:szCs w:val="25"/>
        </w:rPr>
      </w:pPr>
    </w:p>
    <w:p w:rsidR="009A70AD" w:rsidRDefault="009A70AD" w:rsidP="009542C2">
      <w:pPr>
        <w:numPr>
          <w:ilvl w:val="0"/>
          <w:numId w:val="19"/>
        </w:numPr>
        <w:spacing w:line="264" w:lineRule="auto"/>
        <w:ind w:hanging="720"/>
        <w:rPr>
          <w:sz w:val="25"/>
          <w:szCs w:val="25"/>
        </w:rPr>
      </w:pPr>
      <w:r w:rsidRPr="00FC7E72">
        <w:rPr>
          <w:sz w:val="25"/>
          <w:szCs w:val="25"/>
        </w:rPr>
        <w:t xml:space="preserve">Attachment A to the Settlement Agreement shows the revenue requirement allocation among rate schedules and the rate design.  The rate spread </w:t>
      </w:r>
      <w:r w:rsidR="005A469B">
        <w:rPr>
          <w:sz w:val="25"/>
          <w:szCs w:val="25"/>
        </w:rPr>
        <w:t xml:space="preserve">to which the parties </w:t>
      </w:r>
      <w:r w:rsidRPr="00FC7E72">
        <w:rPr>
          <w:sz w:val="25"/>
          <w:szCs w:val="25"/>
        </w:rPr>
        <w:t xml:space="preserve">agreed is the same rate spread for natural gas customers that was agreed to and approved by the Commission in PSE's 2009 general rate case, Docket UG-090705.  The rate design </w:t>
      </w:r>
      <w:r w:rsidR="005A469B">
        <w:rPr>
          <w:sz w:val="25"/>
          <w:szCs w:val="25"/>
        </w:rPr>
        <w:t>is</w:t>
      </w:r>
      <w:r w:rsidRPr="00FC7E72">
        <w:rPr>
          <w:sz w:val="25"/>
          <w:szCs w:val="25"/>
        </w:rPr>
        <w:t xml:space="preserve"> the same rate design PSE proposed in this case, except that the monthly residential customer charge will remain at $10</w:t>
      </w:r>
      <w:r w:rsidR="005A469B">
        <w:rPr>
          <w:sz w:val="25"/>
          <w:szCs w:val="25"/>
        </w:rPr>
        <w:t>, rather than being increased as PSE originally proposed</w:t>
      </w:r>
      <w:r w:rsidRPr="00FC7E72">
        <w:rPr>
          <w:sz w:val="25"/>
          <w:szCs w:val="25"/>
        </w:rPr>
        <w:t xml:space="preserve">.  </w:t>
      </w:r>
      <w:r>
        <w:rPr>
          <w:sz w:val="25"/>
          <w:szCs w:val="25"/>
        </w:rPr>
        <w:t>Thus, the settlement rate design</w:t>
      </w:r>
      <w:r w:rsidRPr="00FC7E72">
        <w:rPr>
          <w:sz w:val="25"/>
          <w:szCs w:val="25"/>
        </w:rPr>
        <w:t xml:space="preserve"> </w:t>
      </w:r>
      <w:r w:rsidR="00A76E72">
        <w:rPr>
          <w:sz w:val="25"/>
          <w:szCs w:val="25"/>
        </w:rPr>
        <w:t>will not change from that</w:t>
      </w:r>
      <w:r w:rsidRPr="00FC7E72">
        <w:rPr>
          <w:sz w:val="25"/>
          <w:szCs w:val="25"/>
        </w:rPr>
        <w:t xml:space="preserve"> approved in Docket UG-090705. </w:t>
      </w:r>
    </w:p>
    <w:p w:rsidR="009A70AD" w:rsidRDefault="009A70AD" w:rsidP="009542C2">
      <w:pPr>
        <w:spacing w:line="264" w:lineRule="auto"/>
        <w:rPr>
          <w:sz w:val="25"/>
          <w:szCs w:val="25"/>
        </w:rPr>
      </w:pPr>
    </w:p>
    <w:p w:rsidR="009A70AD" w:rsidRDefault="009A70AD" w:rsidP="009542C2">
      <w:pPr>
        <w:numPr>
          <w:ilvl w:val="0"/>
          <w:numId w:val="19"/>
        </w:numPr>
        <w:spacing w:line="264" w:lineRule="auto"/>
        <w:ind w:hanging="720"/>
        <w:rPr>
          <w:sz w:val="25"/>
          <w:szCs w:val="25"/>
        </w:rPr>
      </w:pPr>
      <w:r>
        <w:rPr>
          <w:sz w:val="25"/>
          <w:szCs w:val="25"/>
        </w:rPr>
        <w:t>T</w:t>
      </w:r>
      <w:r w:rsidRPr="00FC7E72">
        <w:rPr>
          <w:sz w:val="25"/>
          <w:szCs w:val="25"/>
        </w:rPr>
        <w:t xml:space="preserve">he agreed rate spread </w:t>
      </w:r>
      <w:r>
        <w:rPr>
          <w:sz w:val="25"/>
          <w:szCs w:val="25"/>
        </w:rPr>
        <w:t>results in</w:t>
      </w:r>
      <w:r w:rsidRPr="00FC7E72">
        <w:rPr>
          <w:sz w:val="25"/>
          <w:szCs w:val="25"/>
        </w:rPr>
        <w:t xml:space="preserve"> a 4.76 percent increase on margin</w:t>
      </w:r>
      <w:r w:rsidR="005A469B">
        <w:rPr>
          <w:rStyle w:val="FootnoteReference"/>
          <w:sz w:val="25"/>
          <w:szCs w:val="25"/>
        </w:rPr>
        <w:footnoteReference w:id="7"/>
      </w:r>
      <w:r w:rsidRPr="00FC7E72">
        <w:rPr>
          <w:sz w:val="25"/>
          <w:szCs w:val="25"/>
        </w:rPr>
        <w:t xml:space="preserve"> with various classes receiving higher or lower proportions of that increase.  Residential (Schedules 16, 23, and 53), Commercial and Industrial (Schedules 31 and 61), and Rental customers will see 100 percent of a uniform increase.  Large Volume (Schedule 41 and 41T) will see 75 percent of a uniform increase.  Interruptible (Schedules 85, 85T, 87 and 87T) and Limited Interruptible (Schedule 86) will see 50 percent of a uniform increase.  </w:t>
      </w:r>
    </w:p>
    <w:p w:rsidR="009A70AD" w:rsidRPr="00FC7E72" w:rsidRDefault="009A70AD" w:rsidP="009542C2">
      <w:pPr>
        <w:spacing w:line="264" w:lineRule="auto"/>
        <w:rPr>
          <w:sz w:val="25"/>
          <w:szCs w:val="25"/>
        </w:rPr>
      </w:pPr>
    </w:p>
    <w:p w:rsidR="009A70AD" w:rsidRDefault="009A70AD" w:rsidP="009542C2">
      <w:pPr>
        <w:numPr>
          <w:ilvl w:val="0"/>
          <w:numId w:val="19"/>
        </w:numPr>
        <w:spacing w:line="264" w:lineRule="auto"/>
        <w:ind w:hanging="720"/>
        <w:rPr>
          <w:sz w:val="25"/>
          <w:szCs w:val="25"/>
        </w:rPr>
      </w:pPr>
      <w:r w:rsidRPr="00CE69E9">
        <w:rPr>
          <w:sz w:val="25"/>
          <w:szCs w:val="25"/>
        </w:rPr>
        <w:t xml:space="preserve">PSE </w:t>
      </w:r>
      <w:r w:rsidR="00086E06">
        <w:rPr>
          <w:sz w:val="25"/>
          <w:szCs w:val="25"/>
        </w:rPr>
        <w:t>agrees</w:t>
      </w:r>
      <w:r w:rsidRPr="00CE69E9">
        <w:rPr>
          <w:sz w:val="25"/>
          <w:szCs w:val="25"/>
        </w:rPr>
        <w:t xml:space="preserve"> to continue its ongoing review of its natural gas tariffs as they relate to recovery of costs from firm and interruptible customers on Schedules 85, 86, 87, 85T, 86T and 87T.  PSE </w:t>
      </w:r>
      <w:r w:rsidR="00086E06">
        <w:rPr>
          <w:sz w:val="25"/>
          <w:szCs w:val="25"/>
        </w:rPr>
        <w:t>will</w:t>
      </w:r>
      <w:r w:rsidRPr="00CE69E9">
        <w:rPr>
          <w:sz w:val="25"/>
          <w:szCs w:val="25"/>
        </w:rPr>
        <w:t xml:space="preserve"> meet with Staff, Seattle Steam, NWIGU, Nucor Steel and other interested </w:t>
      </w:r>
      <w:r w:rsidR="00D02DFF">
        <w:rPr>
          <w:sz w:val="25"/>
          <w:szCs w:val="25"/>
        </w:rPr>
        <w:t>p</w:t>
      </w:r>
      <w:r w:rsidRPr="00CE69E9">
        <w:rPr>
          <w:sz w:val="25"/>
          <w:szCs w:val="25"/>
        </w:rPr>
        <w:t>arties to inform them of the progress and preliminary findings of its review of these natural gas rate schedules prior to filing its next general rate case.  However, PSE is not required to complete its review prior to</w:t>
      </w:r>
      <w:r w:rsidR="00086E06">
        <w:rPr>
          <w:sz w:val="25"/>
          <w:szCs w:val="25"/>
        </w:rPr>
        <w:t xml:space="preserve"> making that</w:t>
      </w:r>
      <w:r w:rsidRPr="00CE69E9">
        <w:rPr>
          <w:sz w:val="25"/>
          <w:szCs w:val="25"/>
        </w:rPr>
        <w:t xml:space="preserve"> filing</w:t>
      </w:r>
      <w:r w:rsidR="00086E06">
        <w:rPr>
          <w:sz w:val="25"/>
          <w:szCs w:val="25"/>
        </w:rPr>
        <w:t>.</w:t>
      </w:r>
      <w:r>
        <w:rPr>
          <w:sz w:val="25"/>
          <w:szCs w:val="25"/>
        </w:rPr>
        <w:t xml:space="preserve">  </w:t>
      </w:r>
    </w:p>
    <w:p w:rsidR="00086E06" w:rsidRDefault="00086E06" w:rsidP="009542C2">
      <w:pPr>
        <w:pStyle w:val="ListParagraph"/>
        <w:spacing w:line="264" w:lineRule="auto"/>
        <w:rPr>
          <w:sz w:val="25"/>
          <w:szCs w:val="25"/>
        </w:rPr>
      </w:pPr>
    </w:p>
    <w:p w:rsidR="00086E06" w:rsidRDefault="00086E06" w:rsidP="009542C2">
      <w:pPr>
        <w:numPr>
          <w:ilvl w:val="0"/>
          <w:numId w:val="19"/>
        </w:numPr>
        <w:spacing w:line="264" w:lineRule="auto"/>
        <w:ind w:hanging="720"/>
        <w:rPr>
          <w:sz w:val="25"/>
          <w:szCs w:val="25"/>
        </w:rPr>
      </w:pPr>
      <w:r w:rsidRPr="00FC7E72">
        <w:rPr>
          <w:sz w:val="25"/>
          <w:szCs w:val="25"/>
        </w:rPr>
        <w:t xml:space="preserve">Furthermore, PSE has agreed to modify its transportation tariff provisions to mirror Northwest Pipeline's monthly balancing and related penalty provisions.  </w:t>
      </w:r>
      <w:r>
        <w:rPr>
          <w:sz w:val="25"/>
          <w:szCs w:val="25"/>
        </w:rPr>
        <w:t xml:space="preserve">The </w:t>
      </w:r>
      <w:r w:rsidR="00D02DFF">
        <w:rPr>
          <w:sz w:val="25"/>
          <w:szCs w:val="25"/>
        </w:rPr>
        <w:t>p</w:t>
      </w:r>
      <w:r>
        <w:rPr>
          <w:sz w:val="25"/>
          <w:szCs w:val="25"/>
        </w:rPr>
        <w:t>arties propose that this</w:t>
      </w:r>
      <w:r w:rsidRPr="00FC7E72">
        <w:rPr>
          <w:sz w:val="25"/>
          <w:szCs w:val="25"/>
        </w:rPr>
        <w:t xml:space="preserve"> modification will take place in a separate filing, which PSE has agreed to </w:t>
      </w:r>
      <w:r w:rsidR="00585A04">
        <w:rPr>
          <w:sz w:val="25"/>
          <w:szCs w:val="25"/>
        </w:rPr>
        <w:t>make</w:t>
      </w:r>
      <w:r w:rsidRPr="00FC7E72">
        <w:rPr>
          <w:sz w:val="25"/>
          <w:szCs w:val="25"/>
        </w:rPr>
        <w:t xml:space="preserve"> within thirty days of a Commission order adopting and approving the Settlement Agreement</w:t>
      </w:r>
      <w:r w:rsidR="00D02DFF">
        <w:rPr>
          <w:sz w:val="25"/>
          <w:szCs w:val="25"/>
        </w:rPr>
        <w:t xml:space="preserve"> in this docket</w:t>
      </w:r>
      <w:r w:rsidRPr="00FC7E72">
        <w:rPr>
          <w:sz w:val="25"/>
          <w:szCs w:val="25"/>
        </w:rPr>
        <w:t>.</w:t>
      </w:r>
      <w:r w:rsidR="00D02DFF">
        <w:rPr>
          <w:rStyle w:val="FootnoteReference"/>
          <w:sz w:val="25"/>
          <w:szCs w:val="25"/>
        </w:rPr>
        <w:footnoteReference w:id="8"/>
      </w:r>
      <w:r>
        <w:rPr>
          <w:sz w:val="25"/>
          <w:szCs w:val="25"/>
        </w:rPr>
        <w:t xml:space="preserve">  </w:t>
      </w:r>
    </w:p>
    <w:p w:rsidR="009A70AD" w:rsidRDefault="009A70AD" w:rsidP="009542C2">
      <w:pPr>
        <w:spacing w:line="264" w:lineRule="auto"/>
        <w:rPr>
          <w:sz w:val="25"/>
          <w:szCs w:val="25"/>
        </w:rPr>
      </w:pPr>
    </w:p>
    <w:p w:rsidR="009A70AD" w:rsidRDefault="009A70AD" w:rsidP="009542C2">
      <w:pPr>
        <w:numPr>
          <w:ilvl w:val="0"/>
          <w:numId w:val="19"/>
        </w:numPr>
        <w:spacing w:line="264" w:lineRule="auto"/>
        <w:ind w:hanging="720"/>
        <w:rPr>
          <w:sz w:val="25"/>
          <w:szCs w:val="25"/>
        </w:rPr>
      </w:pPr>
      <w:r w:rsidRPr="00CE69E9">
        <w:rPr>
          <w:sz w:val="25"/>
          <w:szCs w:val="25"/>
        </w:rPr>
        <w:t xml:space="preserve">The </w:t>
      </w:r>
      <w:r w:rsidR="00D02DFF">
        <w:rPr>
          <w:sz w:val="25"/>
          <w:szCs w:val="25"/>
        </w:rPr>
        <w:t>p</w:t>
      </w:r>
      <w:r w:rsidRPr="00CE69E9">
        <w:rPr>
          <w:sz w:val="25"/>
          <w:szCs w:val="25"/>
        </w:rPr>
        <w:t xml:space="preserve">arties also agree to support an increase in the annual level of low-income natural gas bill assistance funding when PSE files its low-income tariff (Schedule 129) for the next program year.  The </w:t>
      </w:r>
      <w:r w:rsidR="00D02DFF">
        <w:rPr>
          <w:sz w:val="25"/>
          <w:szCs w:val="25"/>
        </w:rPr>
        <w:t>p</w:t>
      </w:r>
      <w:r w:rsidRPr="00CE69E9">
        <w:rPr>
          <w:sz w:val="25"/>
          <w:szCs w:val="25"/>
        </w:rPr>
        <w:t xml:space="preserve">arties </w:t>
      </w:r>
      <w:r>
        <w:rPr>
          <w:sz w:val="25"/>
          <w:szCs w:val="25"/>
        </w:rPr>
        <w:t>will</w:t>
      </w:r>
      <w:r w:rsidRPr="00CE69E9">
        <w:rPr>
          <w:sz w:val="25"/>
          <w:szCs w:val="25"/>
        </w:rPr>
        <w:t xml:space="preserve"> support an increase that corresponds to the </w:t>
      </w:r>
      <w:r w:rsidRPr="00CE69E9">
        <w:rPr>
          <w:sz w:val="25"/>
          <w:szCs w:val="25"/>
        </w:rPr>
        <w:lastRenderedPageBreak/>
        <w:t>percentage total revenue increase the Commission approves in this proceeding for the residential class of natural gas customers.</w:t>
      </w:r>
      <w:r>
        <w:rPr>
          <w:sz w:val="25"/>
          <w:szCs w:val="25"/>
        </w:rPr>
        <w:t xml:space="preserve">  </w:t>
      </w:r>
      <w:r w:rsidRPr="00CE69E9">
        <w:rPr>
          <w:sz w:val="25"/>
          <w:szCs w:val="25"/>
        </w:rPr>
        <w:t xml:space="preserve">  </w:t>
      </w:r>
    </w:p>
    <w:p w:rsidR="009A70AD" w:rsidRDefault="009A70AD" w:rsidP="009542C2">
      <w:pPr>
        <w:spacing w:line="264" w:lineRule="auto"/>
        <w:rPr>
          <w:sz w:val="25"/>
          <w:szCs w:val="25"/>
        </w:rPr>
      </w:pPr>
    </w:p>
    <w:p w:rsidR="009A70AD" w:rsidRDefault="009A70AD" w:rsidP="009542C2">
      <w:pPr>
        <w:numPr>
          <w:ilvl w:val="0"/>
          <w:numId w:val="19"/>
        </w:numPr>
        <w:spacing w:line="264" w:lineRule="auto"/>
        <w:ind w:hanging="720"/>
        <w:rPr>
          <w:sz w:val="25"/>
          <w:szCs w:val="25"/>
        </w:rPr>
      </w:pPr>
      <w:r w:rsidRPr="00CE69E9">
        <w:rPr>
          <w:sz w:val="25"/>
          <w:szCs w:val="25"/>
        </w:rPr>
        <w:t xml:space="preserve">Finally, </w:t>
      </w:r>
      <w:r>
        <w:rPr>
          <w:sz w:val="25"/>
          <w:szCs w:val="25"/>
        </w:rPr>
        <w:t xml:space="preserve">as a standard settlement term, </w:t>
      </w:r>
      <w:r w:rsidRPr="00CE69E9">
        <w:rPr>
          <w:sz w:val="25"/>
          <w:szCs w:val="25"/>
        </w:rPr>
        <w:t xml:space="preserve">the </w:t>
      </w:r>
      <w:r w:rsidR="00D02DFF">
        <w:rPr>
          <w:sz w:val="25"/>
          <w:szCs w:val="25"/>
        </w:rPr>
        <w:t>p</w:t>
      </w:r>
      <w:r w:rsidRPr="00CE69E9">
        <w:rPr>
          <w:sz w:val="25"/>
          <w:szCs w:val="25"/>
        </w:rPr>
        <w:t>arties agree that the Settlement Agreement and its underlying facts, principles, methods or theories will have no binding or precedential effect in any later proceeding.</w:t>
      </w:r>
      <w:r w:rsidR="00585A04">
        <w:rPr>
          <w:sz w:val="25"/>
          <w:szCs w:val="25"/>
        </w:rPr>
        <w:t xml:space="preserve">  In this connection, the Settlement Agreement provides that PSE’s next gas rate increase filing will be presented as a general rate case</w:t>
      </w:r>
      <w:r w:rsidR="00786D98">
        <w:rPr>
          <w:sz w:val="25"/>
          <w:szCs w:val="25"/>
        </w:rPr>
        <w:t>.</w:t>
      </w:r>
      <w:r w:rsidR="00786D98">
        <w:rPr>
          <w:rStyle w:val="FootnoteReference"/>
          <w:sz w:val="25"/>
          <w:szCs w:val="25"/>
        </w:rPr>
        <w:footnoteReference w:id="9"/>
      </w:r>
    </w:p>
    <w:p w:rsidR="009A70AD" w:rsidRPr="00D43315" w:rsidRDefault="009A70AD" w:rsidP="009542C2">
      <w:pPr>
        <w:spacing w:line="264" w:lineRule="auto"/>
        <w:rPr>
          <w:b/>
          <w:sz w:val="25"/>
          <w:szCs w:val="25"/>
        </w:rPr>
      </w:pPr>
    </w:p>
    <w:p w:rsidR="00D43315" w:rsidRPr="00D43315" w:rsidRDefault="00D43315" w:rsidP="009542C2">
      <w:pPr>
        <w:spacing w:line="264" w:lineRule="auto"/>
        <w:rPr>
          <w:b/>
          <w:sz w:val="25"/>
          <w:szCs w:val="25"/>
        </w:rPr>
      </w:pPr>
      <w:r w:rsidRPr="00D43315">
        <w:rPr>
          <w:b/>
          <w:sz w:val="25"/>
          <w:szCs w:val="25"/>
        </w:rPr>
        <w:t>III.  Discussion and Determinations</w:t>
      </w:r>
    </w:p>
    <w:p w:rsidR="00D43315" w:rsidRPr="00D43315" w:rsidRDefault="00D43315" w:rsidP="009542C2">
      <w:pPr>
        <w:spacing w:line="264" w:lineRule="auto"/>
        <w:rPr>
          <w:b/>
          <w:sz w:val="25"/>
          <w:szCs w:val="25"/>
        </w:rPr>
      </w:pPr>
    </w:p>
    <w:p w:rsidR="00D43315" w:rsidRPr="00430547" w:rsidRDefault="00F31AEA" w:rsidP="009542C2">
      <w:pPr>
        <w:numPr>
          <w:ilvl w:val="0"/>
          <w:numId w:val="19"/>
        </w:numPr>
        <w:spacing w:line="264" w:lineRule="auto"/>
        <w:ind w:hanging="720"/>
        <w:rPr>
          <w:b/>
          <w:sz w:val="25"/>
          <w:szCs w:val="25"/>
        </w:rPr>
      </w:pPr>
      <w:r>
        <w:rPr>
          <w:sz w:val="25"/>
          <w:szCs w:val="25"/>
        </w:rPr>
        <w:t>The parties’ witnesses, in their jointly filed testimony, state individually their reasons for supporting the Settlement Agreement.  All parties describe it as a reasonable compromise considering the issues presented—one that results in rates that are fair, just, reasonable and sufficient, as required by law.</w:t>
      </w:r>
    </w:p>
    <w:p w:rsidR="00430547" w:rsidRPr="00F31AEA" w:rsidRDefault="00430547" w:rsidP="009542C2">
      <w:pPr>
        <w:spacing w:line="264" w:lineRule="auto"/>
        <w:rPr>
          <w:b/>
          <w:sz w:val="25"/>
          <w:szCs w:val="25"/>
        </w:rPr>
      </w:pPr>
    </w:p>
    <w:p w:rsidR="00181373" w:rsidRPr="00181373" w:rsidRDefault="00F31AEA" w:rsidP="009542C2">
      <w:pPr>
        <w:numPr>
          <w:ilvl w:val="0"/>
          <w:numId w:val="19"/>
        </w:numPr>
        <w:spacing w:line="264" w:lineRule="auto"/>
        <w:ind w:hanging="720"/>
        <w:rPr>
          <w:sz w:val="25"/>
          <w:szCs w:val="25"/>
        </w:rPr>
      </w:pPr>
      <w:r>
        <w:rPr>
          <w:sz w:val="25"/>
          <w:szCs w:val="25"/>
        </w:rPr>
        <w:t>In terms of the proposed increase of $19 million to its revenue requirement, PSE states</w:t>
      </w:r>
      <w:r w:rsidR="00430547">
        <w:rPr>
          <w:sz w:val="25"/>
          <w:szCs w:val="25"/>
        </w:rPr>
        <w:t xml:space="preserve"> </w:t>
      </w:r>
      <w:r w:rsidR="005137F2">
        <w:rPr>
          <w:sz w:val="25"/>
          <w:szCs w:val="25"/>
        </w:rPr>
        <w:t>that such an increase</w:t>
      </w:r>
      <w:r>
        <w:rPr>
          <w:sz w:val="25"/>
          <w:szCs w:val="25"/>
        </w:rPr>
        <w:t xml:space="preserve"> </w:t>
      </w:r>
      <w:r w:rsidRPr="00430547">
        <w:rPr>
          <w:sz w:val="25"/>
          <w:szCs w:val="25"/>
        </w:rPr>
        <w:t>“</w:t>
      </w:r>
      <w:r w:rsidR="00430547" w:rsidRPr="00430547">
        <w:rPr>
          <w:sz w:val="25"/>
          <w:szCs w:val="25"/>
        </w:rPr>
        <w:t>supports the work the Company has been doing to strengthen its infrastructure and benefit its customers.</w:t>
      </w:r>
      <w:r w:rsidRPr="00430547">
        <w:rPr>
          <w:sz w:val="25"/>
          <w:szCs w:val="25"/>
        </w:rPr>
        <w:t>”</w:t>
      </w:r>
      <w:r w:rsidR="00430547" w:rsidRPr="00181373">
        <w:rPr>
          <w:rStyle w:val="FootnoteReference"/>
          <w:sz w:val="25"/>
          <w:szCs w:val="25"/>
        </w:rPr>
        <w:footnoteReference w:id="10"/>
      </w:r>
      <w:r w:rsidR="00430547" w:rsidRPr="00181373">
        <w:rPr>
          <w:rStyle w:val="FootnoteReference"/>
        </w:rPr>
        <w:t xml:space="preserve"> </w:t>
      </w:r>
      <w:r w:rsidR="00430547">
        <w:rPr>
          <w:sz w:val="25"/>
          <w:szCs w:val="25"/>
        </w:rPr>
        <w:t xml:space="preserve"> </w:t>
      </w:r>
      <w:r w:rsidR="00F64D78">
        <w:rPr>
          <w:sz w:val="25"/>
          <w:szCs w:val="25"/>
        </w:rPr>
        <w:t xml:space="preserve"> </w:t>
      </w:r>
      <w:r w:rsidR="00181373">
        <w:rPr>
          <w:sz w:val="25"/>
          <w:szCs w:val="25"/>
        </w:rPr>
        <w:t xml:space="preserve">PSE states more generally that </w:t>
      </w:r>
      <w:r w:rsidR="00181373" w:rsidRPr="00181373">
        <w:rPr>
          <w:sz w:val="25"/>
          <w:szCs w:val="25"/>
        </w:rPr>
        <w:t>“the Settlement Agreement is good for the Company, its customers, and its shareholders.”</w:t>
      </w:r>
      <w:r w:rsidR="00181373">
        <w:rPr>
          <w:rStyle w:val="FootnoteReference"/>
          <w:sz w:val="25"/>
          <w:szCs w:val="25"/>
        </w:rPr>
        <w:footnoteReference w:id="11"/>
      </w:r>
      <w:r w:rsidR="00181373">
        <w:rPr>
          <w:rFonts w:ascii="Arial" w:hAnsi="Arial"/>
        </w:rPr>
        <w:t xml:space="preserve">  </w:t>
      </w:r>
    </w:p>
    <w:p w:rsidR="00181373" w:rsidRDefault="00181373" w:rsidP="009542C2">
      <w:pPr>
        <w:pStyle w:val="ListParagraph"/>
        <w:spacing w:line="264" w:lineRule="auto"/>
        <w:rPr>
          <w:sz w:val="25"/>
          <w:szCs w:val="25"/>
        </w:rPr>
      </w:pPr>
    </w:p>
    <w:p w:rsidR="003E46B3" w:rsidRPr="005137F2" w:rsidRDefault="00430547" w:rsidP="009542C2">
      <w:pPr>
        <w:numPr>
          <w:ilvl w:val="0"/>
          <w:numId w:val="19"/>
        </w:numPr>
        <w:spacing w:line="264" w:lineRule="auto"/>
        <w:ind w:hanging="720"/>
        <w:rPr>
          <w:sz w:val="25"/>
          <w:szCs w:val="25"/>
        </w:rPr>
      </w:pPr>
      <w:r>
        <w:rPr>
          <w:sz w:val="25"/>
          <w:szCs w:val="25"/>
        </w:rPr>
        <w:t>Staff’s witness</w:t>
      </w:r>
      <w:r w:rsidR="00181373">
        <w:rPr>
          <w:sz w:val="25"/>
          <w:szCs w:val="25"/>
        </w:rPr>
        <w:t>, Mr. Schooley,</w:t>
      </w:r>
      <w:r>
        <w:rPr>
          <w:sz w:val="25"/>
          <w:szCs w:val="25"/>
        </w:rPr>
        <w:t xml:space="preserve"> testifies that following a thorough investigation</w:t>
      </w:r>
      <w:r w:rsidRPr="00181373">
        <w:rPr>
          <w:rStyle w:val="FootnoteReference"/>
          <w:sz w:val="25"/>
          <w:szCs w:val="25"/>
        </w:rPr>
        <w:footnoteReference w:id="12"/>
      </w:r>
      <w:r w:rsidRPr="00181373">
        <w:rPr>
          <w:rStyle w:val="FootnoteReference"/>
        </w:rPr>
        <w:t xml:space="preserve"> </w:t>
      </w:r>
      <w:r w:rsidRPr="005137F2">
        <w:rPr>
          <w:sz w:val="25"/>
          <w:szCs w:val="25"/>
        </w:rPr>
        <w:t>Staff</w:t>
      </w:r>
      <w:r>
        <w:rPr>
          <w:sz w:val="25"/>
          <w:szCs w:val="25"/>
        </w:rPr>
        <w:t xml:space="preserve"> </w:t>
      </w:r>
      <w:r w:rsidRPr="005137F2">
        <w:rPr>
          <w:sz w:val="25"/>
          <w:szCs w:val="25"/>
        </w:rPr>
        <w:t>concluded that “many drivers of PSE’s natural gas revenue deficiency represent prudently incurred expenses and investment, including PSE’s significant investment in its gas distribution network to expand the system’s capacity.”</w:t>
      </w:r>
      <w:r w:rsidR="00181373">
        <w:rPr>
          <w:rStyle w:val="FootnoteReference"/>
          <w:sz w:val="25"/>
          <w:szCs w:val="25"/>
        </w:rPr>
        <w:footnoteReference w:id="13"/>
      </w:r>
      <w:r w:rsidR="003D2BB6" w:rsidRPr="005137F2">
        <w:rPr>
          <w:sz w:val="25"/>
          <w:szCs w:val="25"/>
        </w:rPr>
        <w:t xml:space="preserve">  </w:t>
      </w:r>
      <w:r w:rsidR="003E46B3" w:rsidRPr="005137F2">
        <w:rPr>
          <w:sz w:val="25"/>
          <w:szCs w:val="25"/>
        </w:rPr>
        <w:t xml:space="preserve">In Staff’s view, the </w:t>
      </w:r>
      <w:r w:rsidR="003E46B3" w:rsidRPr="005137F2">
        <w:rPr>
          <w:sz w:val="25"/>
          <w:szCs w:val="25"/>
        </w:rPr>
        <w:lastRenderedPageBreak/>
        <w:t>1.8 percent increase in overall revenues represents an appropriate increase in compensation to the Company.</w:t>
      </w:r>
      <w:r w:rsidR="00A07772" w:rsidRPr="00181373">
        <w:rPr>
          <w:rStyle w:val="FootnoteReference"/>
        </w:rPr>
        <w:footnoteReference w:id="14"/>
      </w:r>
      <w:r w:rsidR="00B528A5">
        <w:rPr>
          <w:sz w:val="25"/>
          <w:szCs w:val="25"/>
        </w:rPr>
        <w:t xml:space="preserve"> </w:t>
      </w:r>
      <w:r w:rsidR="003E46B3" w:rsidRPr="00181373">
        <w:rPr>
          <w:rStyle w:val="FootnoteReference"/>
        </w:rPr>
        <w:t xml:space="preserve"> </w:t>
      </w:r>
      <w:r w:rsidR="003E46B3" w:rsidRPr="005137F2">
        <w:rPr>
          <w:sz w:val="25"/>
          <w:szCs w:val="25"/>
        </w:rPr>
        <w:t xml:space="preserve"> Staff testifies that since PSE’s </w:t>
      </w:r>
      <w:r w:rsidR="00A07772" w:rsidRPr="005137F2">
        <w:rPr>
          <w:sz w:val="25"/>
          <w:szCs w:val="25"/>
        </w:rPr>
        <w:t>most recent</w:t>
      </w:r>
      <w:r w:rsidR="003E46B3" w:rsidRPr="005137F2">
        <w:rPr>
          <w:sz w:val="25"/>
          <w:szCs w:val="25"/>
        </w:rPr>
        <w:t xml:space="preserve"> general rate case</w:t>
      </w:r>
      <w:r w:rsidR="00A07772" w:rsidRPr="005137F2">
        <w:rPr>
          <w:sz w:val="25"/>
          <w:szCs w:val="25"/>
        </w:rPr>
        <w:t xml:space="preserve">, filed in May of 2009, the Company has invested significantly </w:t>
      </w:r>
      <w:r w:rsidR="003E46B3" w:rsidRPr="005137F2">
        <w:rPr>
          <w:sz w:val="25"/>
          <w:szCs w:val="25"/>
        </w:rPr>
        <w:t xml:space="preserve">in its distribution network and </w:t>
      </w:r>
      <w:r w:rsidR="00A07772" w:rsidRPr="005137F2">
        <w:rPr>
          <w:sz w:val="25"/>
          <w:szCs w:val="25"/>
        </w:rPr>
        <w:t xml:space="preserve">has </w:t>
      </w:r>
      <w:r w:rsidR="003E46B3" w:rsidRPr="005137F2">
        <w:rPr>
          <w:sz w:val="25"/>
          <w:szCs w:val="25"/>
        </w:rPr>
        <w:t>experienced operations cost increases that reflect modest national inflation over the past two years.</w:t>
      </w:r>
      <w:r w:rsidR="00A07772" w:rsidRPr="005137F2">
        <w:rPr>
          <w:sz w:val="25"/>
          <w:szCs w:val="25"/>
        </w:rPr>
        <w:t xml:space="preserve">  This is consistent with the initial testimony and exhibits filed by PSE’s witnesses.</w:t>
      </w:r>
      <w:r w:rsidR="00A07772" w:rsidRPr="00181373">
        <w:rPr>
          <w:rStyle w:val="FootnoteReference"/>
        </w:rPr>
        <w:footnoteReference w:id="15"/>
      </w:r>
      <w:r w:rsidR="003E46B3" w:rsidRPr="00181373">
        <w:rPr>
          <w:rStyle w:val="FootnoteReference"/>
        </w:rPr>
        <w:t xml:space="preserve"> </w:t>
      </w:r>
      <w:r w:rsidR="003E46B3" w:rsidRPr="005137F2">
        <w:rPr>
          <w:sz w:val="25"/>
          <w:szCs w:val="25"/>
        </w:rPr>
        <w:t xml:space="preserve"> </w:t>
      </w:r>
      <w:r w:rsidR="00F64D78">
        <w:rPr>
          <w:sz w:val="25"/>
          <w:szCs w:val="25"/>
        </w:rPr>
        <w:t xml:space="preserve"> </w:t>
      </w:r>
      <w:r w:rsidR="003E46B3" w:rsidRPr="005137F2">
        <w:rPr>
          <w:sz w:val="25"/>
          <w:szCs w:val="25"/>
        </w:rPr>
        <w:t>Staff believes that these heightened expenditures have resulted in benefits to customers and the public in the form of safe and reliable natural gas distribution service.</w:t>
      </w:r>
    </w:p>
    <w:p w:rsidR="003E46B3" w:rsidRDefault="003E46B3" w:rsidP="009542C2">
      <w:pPr>
        <w:pStyle w:val="ListParagraph"/>
        <w:spacing w:line="264" w:lineRule="auto"/>
      </w:pPr>
    </w:p>
    <w:p w:rsidR="003E46B3" w:rsidRPr="005137F2" w:rsidRDefault="003D2BB6" w:rsidP="009542C2">
      <w:pPr>
        <w:numPr>
          <w:ilvl w:val="0"/>
          <w:numId w:val="19"/>
        </w:numPr>
        <w:spacing w:line="264" w:lineRule="auto"/>
        <w:ind w:hanging="720"/>
        <w:rPr>
          <w:sz w:val="25"/>
          <w:szCs w:val="25"/>
        </w:rPr>
      </w:pPr>
      <w:r w:rsidRPr="005137F2">
        <w:rPr>
          <w:sz w:val="25"/>
          <w:szCs w:val="25"/>
        </w:rPr>
        <w:t>Staff testifies further that although the parties did not reach agreement on the proper treatment for each of the particular issues Staff might have raised in response to PSE’s filing,</w:t>
      </w:r>
      <w:r w:rsidRPr="00181373">
        <w:rPr>
          <w:rStyle w:val="FootnoteReference"/>
        </w:rPr>
        <w:footnoteReference w:id="16"/>
      </w:r>
      <w:r w:rsidR="00F64D78">
        <w:rPr>
          <w:sz w:val="25"/>
          <w:szCs w:val="25"/>
        </w:rPr>
        <w:t xml:space="preserve"> </w:t>
      </w:r>
      <w:r w:rsidRPr="005137F2">
        <w:rPr>
          <w:sz w:val="25"/>
          <w:szCs w:val="25"/>
        </w:rPr>
        <w:t>“Staff is confident that our Settlement Agreement to increase the Company’s natural gas revenues by $19 million is a fair compromise that reserves all parties’ rights to contest these issues in a subsequent rate proceeding.”</w:t>
      </w:r>
      <w:r w:rsidRPr="00181373">
        <w:rPr>
          <w:rStyle w:val="FootnoteReference"/>
        </w:rPr>
        <w:footnoteReference w:id="17"/>
      </w:r>
      <w:r w:rsidR="004945F3" w:rsidRPr="00181373">
        <w:rPr>
          <w:rStyle w:val="FootnoteReference"/>
        </w:rPr>
        <w:t xml:space="preserve"> </w:t>
      </w:r>
      <w:r w:rsidR="004945F3" w:rsidRPr="005137F2">
        <w:rPr>
          <w:sz w:val="25"/>
          <w:szCs w:val="25"/>
        </w:rPr>
        <w:t xml:space="preserve"> </w:t>
      </w:r>
      <w:r w:rsidR="00F64D78">
        <w:rPr>
          <w:sz w:val="25"/>
          <w:szCs w:val="25"/>
        </w:rPr>
        <w:t xml:space="preserve"> </w:t>
      </w:r>
      <w:r w:rsidR="004945F3" w:rsidRPr="005137F2">
        <w:rPr>
          <w:sz w:val="25"/>
          <w:szCs w:val="25"/>
        </w:rPr>
        <w:t>In this connection, we find it significant that the Settlement Agreement provides that “PSE's next natural gas rate case will be a ‘general rate proceeding’ that meets at least one of the criteria set forth in WAC 480-07-505(1).”</w:t>
      </w:r>
      <w:r w:rsidR="004945F3" w:rsidRPr="00181373">
        <w:rPr>
          <w:rStyle w:val="FootnoteReference"/>
        </w:rPr>
        <w:footnoteReference w:id="18"/>
      </w:r>
      <w:r w:rsidR="004945F3" w:rsidRPr="00181373">
        <w:rPr>
          <w:rStyle w:val="FootnoteReference"/>
        </w:rPr>
        <w:t xml:space="preserve"> </w:t>
      </w:r>
      <w:r w:rsidR="00F64D78">
        <w:t xml:space="preserve">  </w:t>
      </w:r>
      <w:r w:rsidR="004945F3" w:rsidRPr="005137F2">
        <w:rPr>
          <w:sz w:val="25"/>
          <w:szCs w:val="25"/>
        </w:rPr>
        <w:t>This implies, at least, that the Commission will have an opportunity in the next case to review in detail the Company’s full financial picture, including evaluation of its revenue requirement in the light of response testimony from Staff and others.</w:t>
      </w:r>
      <w:r w:rsidR="004945F3" w:rsidRPr="005137F2">
        <w:rPr>
          <w:rStyle w:val="FootnoteReference"/>
        </w:rPr>
        <w:footnoteReference w:id="19"/>
      </w:r>
    </w:p>
    <w:p w:rsidR="003E46B3" w:rsidRPr="003E46B3" w:rsidRDefault="003E46B3" w:rsidP="009542C2">
      <w:pPr>
        <w:spacing w:line="264" w:lineRule="auto"/>
        <w:rPr>
          <w:b/>
          <w:sz w:val="25"/>
          <w:szCs w:val="25"/>
        </w:rPr>
      </w:pPr>
    </w:p>
    <w:p w:rsidR="00F057E7" w:rsidRPr="005137F2" w:rsidRDefault="00F057E7" w:rsidP="009542C2">
      <w:pPr>
        <w:numPr>
          <w:ilvl w:val="0"/>
          <w:numId w:val="19"/>
        </w:numPr>
        <w:spacing w:line="264" w:lineRule="auto"/>
        <w:ind w:hanging="720"/>
        <w:rPr>
          <w:sz w:val="25"/>
          <w:szCs w:val="25"/>
        </w:rPr>
      </w:pPr>
      <w:r w:rsidRPr="005137F2">
        <w:rPr>
          <w:sz w:val="25"/>
          <w:szCs w:val="25"/>
        </w:rPr>
        <w:t>Public Counsel’s witness</w:t>
      </w:r>
      <w:r w:rsidR="0087122A">
        <w:rPr>
          <w:sz w:val="25"/>
          <w:szCs w:val="25"/>
        </w:rPr>
        <w:t>, Ms. Kimball,</w:t>
      </w:r>
      <w:r w:rsidRPr="005137F2">
        <w:rPr>
          <w:sz w:val="25"/>
          <w:szCs w:val="25"/>
        </w:rPr>
        <w:t xml:space="preserve"> testifies similarly to </w:t>
      </w:r>
      <w:r w:rsidR="0087122A">
        <w:rPr>
          <w:sz w:val="25"/>
          <w:szCs w:val="25"/>
        </w:rPr>
        <w:t>Mr. Schooley</w:t>
      </w:r>
      <w:r w:rsidRPr="005137F2">
        <w:rPr>
          <w:sz w:val="25"/>
          <w:szCs w:val="25"/>
        </w:rPr>
        <w:t xml:space="preserve"> that following detailed review of the Company’s as-filed case and via discovery and discussions with other parties, Public Counsel concluded: </w:t>
      </w:r>
    </w:p>
    <w:p w:rsidR="00F057E7" w:rsidRPr="005137F2" w:rsidRDefault="00F057E7" w:rsidP="005137F2">
      <w:pPr>
        <w:spacing w:line="264" w:lineRule="auto"/>
        <w:rPr>
          <w:sz w:val="25"/>
          <w:szCs w:val="25"/>
        </w:rPr>
      </w:pPr>
    </w:p>
    <w:p w:rsidR="00F31AEA" w:rsidRPr="005137F2" w:rsidRDefault="00F057E7" w:rsidP="00F057E7">
      <w:pPr>
        <w:ind w:left="720" w:right="720"/>
        <w:rPr>
          <w:sz w:val="25"/>
          <w:szCs w:val="25"/>
        </w:rPr>
      </w:pPr>
      <w:r w:rsidRPr="005137F2">
        <w:rPr>
          <w:sz w:val="25"/>
          <w:szCs w:val="25"/>
        </w:rPr>
        <w:t>The revenue requirement increase of $19,000,000, which is more than $5 million lower than PSE’s original request, appropriately incorporates a compromise with respect to the disputed expenses identified by Public Counsel, as well as the issues identified by other Parties.</w:t>
      </w:r>
      <w:r w:rsidRPr="005137F2">
        <w:rPr>
          <w:rStyle w:val="FootnoteReference"/>
          <w:sz w:val="25"/>
          <w:szCs w:val="25"/>
        </w:rPr>
        <w:footnoteReference w:id="20"/>
      </w:r>
    </w:p>
    <w:p w:rsidR="00F057E7" w:rsidRPr="00D43315" w:rsidRDefault="00F057E7" w:rsidP="00F057E7">
      <w:pPr>
        <w:ind w:left="720" w:right="720"/>
        <w:rPr>
          <w:b/>
          <w:sz w:val="25"/>
          <w:szCs w:val="25"/>
        </w:rPr>
      </w:pPr>
    </w:p>
    <w:p w:rsidR="00822A23" w:rsidRPr="005137F2" w:rsidRDefault="00F057E7" w:rsidP="009542C2">
      <w:pPr>
        <w:numPr>
          <w:ilvl w:val="0"/>
          <w:numId w:val="19"/>
        </w:numPr>
        <w:spacing w:line="264" w:lineRule="auto"/>
        <w:ind w:hanging="720"/>
        <w:rPr>
          <w:sz w:val="25"/>
          <w:szCs w:val="25"/>
        </w:rPr>
      </w:pPr>
      <w:bookmarkStart w:id="3" w:name="_Toc257815344"/>
      <w:r>
        <w:rPr>
          <w:sz w:val="25"/>
          <w:szCs w:val="25"/>
        </w:rPr>
        <w:t>NWIGU, Seattle Steam and Nucor Steel all support the proposed revenue requirement as being a reasonable compromise of the contested issues.</w:t>
      </w:r>
      <w:r w:rsidR="0092598F">
        <w:rPr>
          <w:sz w:val="25"/>
          <w:szCs w:val="25"/>
        </w:rPr>
        <w:t xml:space="preserve">  </w:t>
      </w:r>
      <w:r>
        <w:rPr>
          <w:sz w:val="25"/>
          <w:szCs w:val="25"/>
        </w:rPr>
        <w:t>These parties, who individually and collectively represent the interests of PSE’s larger industrial gas customers, focus more specifically</w:t>
      </w:r>
      <w:r w:rsidR="0087122A">
        <w:rPr>
          <w:sz w:val="25"/>
          <w:szCs w:val="25"/>
        </w:rPr>
        <w:t>, however,</w:t>
      </w:r>
      <w:r>
        <w:rPr>
          <w:sz w:val="25"/>
          <w:szCs w:val="25"/>
        </w:rPr>
        <w:t xml:space="preserve"> on the issues of rate spread and rate design.  </w:t>
      </w:r>
      <w:r w:rsidR="0092598F">
        <w:rPr>
          <w:sz w:val="25"/>
          <w:szCs w:val="25"/>
        </w:rPr>
        <w:t>NWIGU’s witness,</w:t>
      </w:r>
      <w:r w:rsidR="0087122A">
        <w:rPr>
          <w:sz w:val="25"/>
          <w:szCs w:val="25"/>
        </w:rPr>
        <w:t xml:space="preserve"> Mr. Schoenbeck,</w:t>
      </w:r>
      <w:r w:rsidR="0092598F">
        <w:rPr>
          <w:sz w:val="25"/>
          <w:szCs w:val="25"/>
        </w:rPr>
        <w:t xml:space="preserve"> for example, testifies that </w:t>
      </w:r>
      <w:r w:rsidR="0092598F" w:rsidRPr="005137F2">
        <w:rPr>
          <w:sz w:val="25"/>
          <w:szCs w:val="25"/>
        </w:rPr>
        <w:t>it is important to the organization that all schedules move toward parity and that relative cost relationships among schedules are maintained in the utility’s rate design.  NWIGU states that it finds the spread of the gas rate increase</w:t>
      </w:r>
      <w:r w:rsidR="0087122A">
        <w:rPr>
          <w:sz w:val="25"/>
          <w:szCs w:val="25"/>
        </w:rPr>
        <w:t xml:space="preserve"> in this instance</w:t>
      </w:r>
      <w:r w:rsidR="0092598F" w:rsidRPr="005137F2">
        <w:rPr>
          <w:sz w:val="25"/>
          <w:szCs w:val="25"/>
        </w:rPr>
        <w:t xml:space="preserve"> consistent with various cost of service analyses it has undertaken</w:t>
      </w:r>
      <w:r w:rsidR="0087122A">
        <w:rPr>
          <w:sz w:val="25"/>
          <w:szCs w:val="25"/>
        </w:rPr>
        <w:t xml:space="preserve"> in the past</w:t>
      </w:r>
      <w:r w:rsidR="0092598F" w:rsidRPr="005137F2">
        <w:rPr>
          <w:sz w:val="25"/>
          <w:szCs w:val="25"/>
        </w:rPr>
        <w:t>.</w:t>
      </w:r>
      <w:r w:rsidR="00822A23" w:rsidRPr="005137F2">
        <w:rPr>
          <w:rStyle w:val="FootnoteReference"/>
        </w:rPr>
        <w:footnoteReference w:id="21"/>
      </w:r>
      <w:r w:rsidR="0092598F" w:rsidRPr="005137F2">
        <w:rPr>
          <w:rStyle w:val="FootnoteReference"/>
        </w:rPr>
        <w:t xml:space="preserve"> </w:t>
      </w:r>
      <w:r w:rsidR="0092598F" w:rsidRPr="005137F2">
        <w:rPr>
          <w:sz w:val="25"/>
          <w:szCs w:val="25"/>
        </w:rPr>
        <w:t xml:space="preserve"> </w:t>
      </w:r>
      <w:r w:rsidR="00F64D78">
        <w:rPr>
          <w:sz w:val="25"/>
          <w:szCs w:val="25"/>
        </w:rPr>
        <w:t xml:space="preserve"> </w:t>
      </w:r>
      <w:r w:rsidR="00822A23" w:rsidRPr="005137F2">
        <w:rPr>
          <w:sz w:val="25"/>
          <w:szCs w:val="25"/>
        </w:rPr>
        <w:t>Nevertheless, NWIGU also finds important the provisions of the Settlement Agreement that preserve parties’ rights to pursue cost of service issues in PSE’s next gas rate case, which will be a general rate case under the terms of the settlement.</w:t>
      </w:r>
    </w:p>
    <w:p w:rsidR="00822A23" w:rsidRPr="005137F2" w:rsidRDefault="00822A23" w:rsidP="009542C2">
      <w:pPr>
        <w:spacing w:line="264" w:lineRule="auto"/>
        <w:rPr>
          <w:sz w:val="25"/>
          <w:szCs w:val="25"/>
        </w:rPr>
      </w:pPr>
    </w:p>
    <w:p w:rsidR="00822A23" w:rsidRPr="005137F2" w:rsidRDefault="00822A23" w:rsidP="009542C2">
      <w:pPr>
        <w:numPr>
          <w:ilvl w:val="0"/>
          <w:numId w:val="19"/>
        </w:numPr>
        <w:spacing w:line="264" w:lineRule="auto"/>
        <w:ind w:hanging="720"/>
        <w:rPr>
          <w:sz w:val="25"/>
          <w:szCs w:val="25"/>
        </w:rPr>
      </w:pPr>
      <w:r w:rsidRPr="005137F2">
        <w:rPr>
          <w:sz w:val="25"/>
          <w:szCs w:val="25"/>
        </w:rPr>
        <w:t>Also focusing on rate spread and rate design, Nucor Steel’s witness</w:t>
      </w:r>
      <w:r w:rsidR="0087122A">
        <w:rPr>
          <w:sz w:val="25"/>
          <w:szCs w:val="25"/>
        </w:rPr>
        <w:t>, Mr. Higgins,</w:t>
      </w:r>
      <w:r w:rsidRPr="005137F2">
        <w:rPr>
          <w:sz w:val="25"/>
          <w:szCs w:val="25"/>
        </w:rPr>
        <w:t xml:space="preserve"> testifies that the Settlement Agreement provides a reasonable apportionment of revenue responsibility among customer classes.  Mr. Higgins states the result “is consistent with the apportionment determined in the previous PSE general rate case, which took into consideration a range of results produced by various cost of service studies.”</w:t>
      </w:r>
      <w:r w:rsidRPr="00181373">
        <w:rPr>
          <w:rStyle w:val="FootnoteReference"/>
        </w:rPr>
        <w:footnoteReference w:id="22"/>
      </w:r>
      <w:r w:rsidRPr="005137F2">
        <w:rPr>
          <w:sz w:val="25"/>
          <w:szCs w:val="25"/>
        </w:rPr>
        <w:t xml:space="preserve">  Mr. Higgins testifies further that:</w:t>
      </w:r>
    </w:p>
    <w:p w:rsidR="00822A23" w:rsidRDefault="00822A23" w:rsidP="009542C2">
      <w:pPr>
        <w:pStyle w:val="ListParagraph"/>
        <w:spacing w:line="264" w:lineRule="auto"/>
      </w:pPr>
    </w:p>
    <w:p w:rsidR="00F057E7" w:rsidRDefault="00822A23" w:rsidP="00822A23">
      <w:pPr>
        <w:ind w:left="720" w:right="720"/>
        <w:rPr>
          <w:snapToGrid w:val="0"/>
        </w:rPr>
      </w:pPr>
      <w:r w:rsidRPr="0087122A">
        <w:rPr>
          <w:sz w:val="25"/>
          <w:szCs w:val="25"/>
        </w:rPr>
        <w:t xml:space="preserve">The rate design for large customers is also reasonable in that it provides for a proportionate increase in all rate components for Schedules 85, </w:t>
      </w:r>
      <w:r w:rsidRPr="0087122A">
        <w:rPr>
          <w:sz w:val="25"/>
          <w:szCs w:val="25"/>
        </w:rPr>
        <w:lastRenderedPageBreak/>
        <w:t>86, and 87, which produces consistent rate impacts across all customers on these rate schedules.  Further, the demand charge for large customers will continue to be equalized.  This consistency will provide for rational transitions between rate schedules, which is a characteristic of sound rate design.</w:t>
      </w:r>
      <w:r>
        <w:rPr>
          <w:rStyle w:val="FootnoteReference"/>
        </w:rPr>
        <w:footnoteReference w:id="23"/>
      </w:r>
      <w:r w:rsidR="0092598F" w:rsidRPr="00F571E2">
        <w:rPr>
          <w:snapToGrid w:val="0"/>
        </w:rPr>
        <w:t xml:space="preserve"> </w:t>
      </w:r>
    </w:p>
    <w:p w:rsidR="00822A23" w:rsidRDefault="00822A23" w:rsidP="00822A23">
      <w:pPr>
        <w:ind w:left="720" w:right="720"/>
        <w:rPr>
          <w:sz w:val="25"/>
          <w:szCs w:val="25"/>
          <w:u w:val="single"/>
        </w:rPr>
      </w:pPr>
    </w:p>
    <w:p w:rsidR="006C7140" w:rsidRPr="005137F2" w:rsidRDefault="00822A23" w:rsidP="009542C2">
      <w:pPr>
        <w:numPr>
          <w:ilvl w:val="0"/>
          <w:numId w:val="19"/>
        </w:numPr>
        <w:spacing w:line="264" w:lineRule="auto"/>
        <w:ind w:hanging="720"/>
        <w:rPr>
          <w:sz w:val="25"/>
          <w:szCs w:val="25"/>
        </w:rPr>
      </w:pPr>
      <w:r>
        <w:rPr>
          <w:sz w:val="25"/>
          <w:szCs w:val="25"/>
        </w:rPr>
        <w:t>Seattle Steam’s witness</w:t>
      </w:r>
      <w:r w:rsidR="0087122A">
        <w:rPr>
          <w:sz w:val="25"/>
          <w:szCs w:val="25"/>
        </w:rPr>
        <w:t>, Mr. Gent,</w:t>
      </w:r>
      <w:r>
        <w:rPr>
          <w:sz w:val="25"/>
          <w:szCs w:val="25"/>
        </w:rPr>
        <w:t xml:space="preserve"> </w:t>
      </w:r>
      <w:r w:rsidR="00DC50C7">
        <w:rPr>
          <w:sz w:val="25"/>
          <w:szCs w:val="25"/>
        </w:rPr>
        <w:t xml:space="preserve">also </w:t>
      </w:r>
      <w:r>
        <w:rPr>
          <w:sz w:val="25"/>
          <w:szCs w:val="25"/>
        </w:rPr>
        <w:t xml:space="preserve">finds </w:t>
      </w:r>
      <w:r w:rsidR="006C7140">
        <w:rPr>
          <w:sz w:val="25"/>
          <w:szCs w:val="25"/>
        </w:rPr>
        <w:t xml:space="preserve">paragraph 11 of the Settlement Agreement </w:t>
      </w:r>
      <w:r>
        <w:rPr>
          <w:sz w:val="25"/>
          <w:szCs w:val="25"/>
        </w:rPr>
        <w:t>significant</w:t>
      </w:r>
      <w:r w:rsidR="006C7140">
        <w:rPr>
          <w:sz w:val="25"/>
          <w:szCs w:val="25"/>
        </w:rPr>
        <w:t xml:space="preserve"> </w:t>
      </w:r>
      <w:r>
        <w:rPr>
          <w:sz w:val="25"/>
          <w:szCs w:val="25"/>
        </w:rPr>
        <w:t>in connection with the issues addressed by Nucor Steel</w:t>
      </w:r>
      <w:r w:rsidR="006C7140">
        <w:rPr>
          <w:sz w:val="25"/>
          <w:szCs w:val="25"/>
        </w:rPr>
        <w:t>.</w:t>
      </w:r>
      <w:r w:rsidR="00CD099F" w:rsidRPr="00181373">
        <w:rPr>
          <w:rStyle w:val="FootnoteReference"/>
          <w:sz w:val="25"/>
          <w:szCs w:val="25"/>
        </w:rPr>
        <w:footnoteReference w:id="24"/>
      </w:r>
      <w:r w:rsidR="006C7140" w:rsidRPr="00181373">
        <w:rPr>
          <w:rStyle w:val="FootnoteReference"/>
        </w:rPr>
        <w:t xml:space="preserve">  </w:t>
      </w:r>
      <w:r w:rsidR="006C7140">
        <w:rPr>
          <w:sz w:val="25"/>
          <w:szCs w:val="25"/>
        </w:rPr>
        <w:t>Paragraph 11 states:</w:t>
      </w:r>
    </w:p>
    <w:p w:rsidR="006C7140" w:rsidRDefault="006C7140" w:rsidP="006C7140">
      <w:pPr>
        <w:spacing w:line="264" w:lineRule="auto"/>
        <w:rPr>
          <w:sz w:val="25"/>
          <w:szCs w:val="25"/>
        </w:rPr>
      </w:pPr>
    </w:p>
    <w:p w:rsidR="00F057E7" w:rsidRPr="00DC50C7" w:rsidRDefault="006C7140" w:rsidP="006C7140">
      <w:pPr>
        <w:ind w:left="720" w:right="720"/>
        <w:rPr>
          <w:sz w:val="25"/>
          <w:szCs w:val="25"/>
        </w:rPr>
      </w:pPr>
      <w:r w:rsidRPr="00DC50C7">
        <w:rPr>
          <w:sz w:val="25"/>
          <w:szCs w:val="25"/>
        </w:rPr>
        <w:t>PSE is in the process of reviewing, and agrees to continue its review of, its natural gas tariffs as they relate to recovery of costs from firm and interruptible customers on Schedule 85, 86, 87, 85T, 86T and 87T.  Prior to filing its next general rate case, PSE agrees to meet with Staff, Seattle Steam, NWIGU, Nucor Steel, and other interested Parties to inform them of the progress of its review of these natural gas rate schedules and preliminary findings.</w:t>
      </w:r>
      <w:r w:rsidR="00DC50C7">
        <w:rPr>
          <w:rStyle w:val="FootnoteReference"/>
          <w:sz w:val="25"/>
          <w:szCs w:val="25"/>
        </w:rPr>
        <w:footnoteReference w:id="25"/>
      </w:r>
      <w:r w:rsidRPr="00DC50C7">
        <w:rPr>
          <w:sz w:val="25"/>
          <w:szCs w:val="25"/>
        </w:rPr>
        <w:t xml:space="preserve"> </w:t>
      </w:r>
    </w:p>
    <w:p w:rsidR="006C7140" w:rsidRDefault="006C7140" w:rsidP="006C7140">
      <w:pPr>
        <w:ind w:left="720" w:right="720"/>
      </w:pPr>
    </w:p>
    <w:p w:rsidR="00455574" w:rsidRPr="005137F2" w:rsidRDefault="006C7140" w:rsidP="009542C2">
      <w:pPr>
        <w:numPr>
          <w:ilvl w:val="0"/>
          <w:numId w:val="19"/>
        </w:numPr>
        <w:spacing w:line="264" w:lineRule="auto"/>
        <w:ind w:hanging="720"/>
        <w:rPr>
          <w:sz w:val="25"/>
          <w:szCs w:val="25"/>
        </w:rPr>
      </w:pPr>
      <w:r>
        <w:rPr>
          <w:sz w:val="25"/>
          <w:szCs w:val="25"/>
        </w:rPr>
        <w:t xml:space="preserve">According to Mr. Gent, this provision relates to </w:t>
      </w:r>
      <w:r w:rsidRPr="005137F2">
        <w:rPr>
          <w:sz w:val="25"/>
          <w:szCs w:val="25"/>
        </w:rPr>
        <w:t>the rate spread and rate design settlement the Commission approved in PSE’s 2007 general rate proceeding (Dockets UE-072300 and UG-072301).  The settlement</w:t>
      </w:r>
      <w:r w:rsidR="00A07EE8">
        <w:rPr>
          <w:sz w:val="25"/>
          <w:szCs w:val="25"/>
        </w:rPr>
        <w:t xml:space="preserve"> in that proceeding</w:t>
      </w:r>
      <w:r w:rsidRPr="005137F2">
        <w:rPr>
          <w:sz w:val="25"/>
          <w:szCs w:val="25"/>
        </w:rPr>
        <w:t xml:space="preserve"> provided that the parties would conduct a facilitated collaborative concerning rate spread and rate design with an eye to possible changes in cost of service methodologies and results.  Mr. Gent testifies that the parties conducted the collaborative but did not reach agreement on many of the issues.  However, they did agree that separation of firm and interruptible service in Schedules 85, 86 and 87 for purposes of developing a cost of service study has conceptual merit</w:t>
      </w:r>
      <w:r w:rsidR="00455574" w:rsidRPr="005137F2">
        <w:rPr>
          <w:sz w:val="25"/>
          <w:szCs w:val="25"/>
        </w:rPr>
        <w:t>.  While this feature has not been a part of PSE’s subsequent cost of service studies</w:t>
      </w:r>
      <w:r w:rsidR="00A07EE8">
        <w:rPr>
          <w:sz w:val="25"/>
          <w:szCs w:val="25"/>
        </w:rPr>
        <w:t xml:space="preserve"> in any filed case</w:t>
      </w:r>
      <w:r w:rsidR="00455574" w:rsidRPr="005137F2">
        <w:rPr>
          <w:sz w:val="25"/>
          <w:szCs w:val="25"/>
        </w:rPr>
        <w:t>, Mr. Gent testifies that:</w:t>
      </w:r>
    </w:p>
    <w:p w:rsidR="00455574" w:rsidRDefault="00455574" w:rsidP="00455574">
      <w:pPr>
        <w:spacing w:line="264" w:lineRule="auto"/>
      </w:pPr>
    </w:p>
    <w:p w:rsidR="006C7140" w:rsidRDefault="006C7140" w:rsidP="00DC50C7">
      <w:pPr>
        <w:ind w:left="720" w:right="720"/>
      </w:pPr>
      <w:r w:rsidRPr="00DC50C7">
        <w:rPr>
          <w:sz w:val="25"/>
          <w:szCs w:val="25"/>
        </w:rPr>
        <w:t>PSE</w:t>
      </w:r>
      <w:r w:rsidR="000E1FB2">
        <w:rPr>
          <w:sz w:val="25"/>
          <w:szCs w:val="25"/>
        </w:rPr>
        <w:t>’</w:t>
      </w:r>
      <w:r w:rsidRPr="00DC50C7">
        <w:rPr>
          <w:sz w:val="25"/>
          <w:szCs w:val="25"/>
        </w:rPr>
        <w:t>s agreement to inform the Parties of its progress on meeting the intent of the 2008 collaboration is a small step in the right direction.  Seattle Steam believes the process started in the 2008 collaborative should make substantive progress.</w:t>
      </w:r>
      <w:r w:rsidR="00455574">
        <w:rPr>
          <w:rStyle w:val="FootnoteReference"/>
        </w:rPr>
        <w:footnoteReference w:id="26"/>
      </w:r>
    </w:p>
    <w:p w:rsidR="00455574" w:rsidRPr="00682B36" w:rsidRDefault="00455574" w:rsidP="00455574">
      <w:pPr>
        <w:pStyle w:val="answer"/>
        <w:spacing w:before="0" w:after="0" w:line="240" w:lineRule="auto"/>
        <w:ind w:left="1440" w:right="720" w:firstLine="0"/>
      </w:pPr>
    </w:p>
    <w:p w:rsidR="00696319" w:rsidRPr="00696319" w:rsidRDefault="00455574" w:rsidP="009542C2">
      <w:pPr>
        <w:numPr>
          <w:ilvl w:val="0"/>
          <w:numId w:val="19"/>
        </w:numPr>
        <w:spacing w:line="264" w:lineRule="auto"/>
        <w:ind w:hanging="720"/>
        <w:rPr>
          <w:sz w:val="25"/>
          <w:szCs w:val="25"/>
        </w:rPr>
      </w:pPr>
      <w:r>
        <w:rPr>
          <w:sz w:val="25"/>
          <w:szCs w:val="25"/>
        </w:rPr>
        <w:lastRenderedPageBreak/>
        <w:t>With respect to rate spread and rate design, the Energy Project finds it significant for low income customers that the status quo is being maintained.  According to Mr. Eber</w:t>
      </w:r>
      <w:r w:rsidR="009542C2">
        <w:rPr>
          <w:sz w:val="25"/>
          <w:szCs w:val="25"/>
        </w:rPr>
        <w:t>d</w:t>
      </w:r>
      <w:r>
        <w:rPr>
          <w:sz w:val="25"/>
          <w:szCs w:val="25"/>
        </w:rPr>
        <w:t xml:space="preserve">t’s testimony, this means </w:t>
      </w:r>
      <w:r w:rsidRPr="005137F2">
        <w:rPr>
          <w:sz w:val="25"/>
          <w:szCs w:val="25"/>
        </w:rPr>
        <w:t xml:space="preserve">more is not being demanded of low-income households because of alterations </w:t>
      </w:r>
      <w:r w:rsidR="00696319" w:rsidRPr="005137F2">
        <w:rPr>
          <w:sz w:val="25"/>
          <w:szCs w:val="25"/>
        </w:rPr>
        <w:t>that might otherwise have adverse effects for these customers</w:t>
      </w:r>
      <w:r w:rsidRPr="005137F2">
        <w:rPr>
          <w:sz w:val="25"/>
          <w:szCs w:val="25"/>
        </w:rPr>
        <w:t xml:space="preserve">.  </w:t>
      </w:r>
      <w:r w:rsidR="00696319" w:rsidRPr="005137F2">
        <w:rPr>
          <w:sz w:val="25"/>
          <w:szCs w:val="25"/>
        </w:rPr>
        <w:t>T</w:t>
      </w:r>
      <w:r w:rsidRPr="005137F2">
        <w:rPr>
          <w:sz w:val="25"/>
          <w:szCs w:val="25"/>
        </w:rPr>
        <w:t xml:space="preserve">he Energy Project </w:t>
      </w:r>
      <w:r w:rsidR="00696319" w:rsidRPr="005137F2">
        <w:rPr>
          <w:sz w:val="25"/>
          <w:szCs w:val="25"/>
        </w:rPr>
        <w:t>also testifies that</w:t>
      </w:r>
      <w:r w:rsidRPr="005137F2">
        <w:rPr>
          <w:sz w:val="25"/>
          <w:szCs w:val="25"/>
        </w:rPr>
        <w:t xml:space="preserve"> maintaining the current monthly customer charge</w:t>
      </w:r>
      <w:r w:rsidR="00696319" w:rsidRPr="005137F2">
        <w:rPr>
          <w:sz w:val="25"/>
          <w:szCs w:val="25"/>
        </w:rPr>
        <w:t xml:space="preserve"> at $10</w:t>
      </w:r>
      <w:r w:rsidRPr="005137F2">
        <w:rPr>
          <w:sz w:val="25"/>
          <w:szCs w:val="25"/>
        </w:rPr>
        <w:t xml:space="preserve"> is in low-income customers’ </w:t>
      </w:r>
      <w:r w:rsidR="00DC50C7">
        <w:rPr>
          <w:sz w:val="25"/>
          <w:szCs w:val="25"/>
        </w:rPr>
        <w:t xml:space="preserve">best </w:t>
      </w:r>
      <w:r w:rsidRPr="005137F2">
        <w:rPr>
          <w:sz w:val="25"/>
          <w:szCs w:val="25"/>
        </w:rPr>
        <w:t>interest.</w:t>
      </w:r>
    </w:p>
    <w:p w:rsidR="006C7140" w:rsidRPr="00696319" w:rsidRDefault="006C7140" w:rsidP="009542C2">
      <w:pPr>
        <w:spacing w:line="264" w:lineRule="auto"/>
        <w:rPr>
          <w:sz w:val="25"/>
          <w:szCs w:val="25"/>
        </w:rPr>
      </w:pPr>
    </w:p>
    <w:p w:rsidR="00DC50C7" w:rsidRDefault="00696319" w:rsidP="009542C2">
      <w:pPr>
        <w:numPr>
          <w:ilvl w:val="0"/>
          <w:numId w:val="19"/>
        </w:numPr>
        <w:spacing w:line="264" w:lineRule="auto"/>
        <w:ind w:hanging="720"/>
        <w:rPr>
          <w:sz w:val="25"/>
          <w:szCs w:val="25"/>
        </w:rPr>
      </w:pPr>
      <w:r>
        <w:rPr>
          <w:sz w:val="25"/>
          <w:szCs w:val="25"/>
        </w:rPr>
        <w:t>The Energy Project also supports the settlement because it is consistent with the organization</w:t>
      </w:r>
      <w:r w:rsidR="0096361D">
        <w:rPr>
          <w:sz w:val="25"/>
          <w:szCs w:val="25"/>
        </w:rPr>
        <w:t>’</w:t>
      </w:r>
      <w:r>
        <w:rPr>
          <w:sz w:val="25"/>
          <w:szCs w:val="25"/>
        </w:rPr>
        <w:t xml:space="preserve">s longstanding advocacy in support of adjusting </w:t>
      </w:r>
      <w:r w:rsidRPr="005137F2">
        <w:rPr>
          <w:sz w:val="25"/>
          <w:szCs w:val="25"/>
        </w:rPr>
        <w:t>the Company’s programs to assist low-income customers to compensate for rate increases.</w:t>
      </w:r>
      <w:r w:rsidR="0096361D" w:rsidRPr="00181373">
        <w:rPr>
          <w:rStyle w:val="FootnoteReference"/>
        </w:rPr>
        <w:footnoteReference w:id="27"/>
      </w:r>
      <w:r w:rsidR="0096361D" w:rsidRPr="005137F2">
        <w:rPr>
          <w:sz w:val="25"/>
          <w:szCs w:val="25"/>
        </w:rPr>
        <w:t xml:space="preserve">  Mr. Eber</w:t>
      </w:r>
      <w:r w:rsidR="009542C2">
        <w:rPr>
          <w:sz w:val="25"/>
          <w:szCs w:val="25"/>
        </w:rPr>
        <w:t>d</w:t>
      </w:r>
      <w:r w:rsidR="0096361D" w:rsidRPr="005137F2">
        <w:rPr>
          <w:sz w:val="25"/>
          <w:szCs w:val="25"/>
        </w:rPr>
        <w:t>t testifies that by indexing HELP (</w:t>
      </w:r>
      <w:r w:rsidR="00DC50C7" w:rsidRPr="00DC50C7">
        <w:rPr>
          <w:i/>
          <w:sz w:val="25"/>
          <w:szCs w:val="25"/>
        </w:rPr>
        <w:t>i.e.,</w:t>
      </w:r>
      <w:r w:rsidR="00DC50C7">
        <w:rPr>
          <w:sz w:val="25"/>
          <w:szCs w:val="25"/>
        </w:rPr>
        <w:t xml:space="preserve"> </w:t>
      </w:r>
      <w:r w:rsidR="0096361D" w:rsidRPr="005137F2">
        <w:rPr>
          <w:sz w:val="25"/>
          <w:szCs w:val="25"/>
        </w:rPr>
        <w:t>PSE’s bill assistance program) funding to the residential rate increase approved by the Commission, the impact of the increase is mitigated to a degree for those families who are able to qualify for the program.</w:t>
      </w:r>
      <w:r w:rsidR="00DC50C7">
        <w:rPr>
          <w:rStyle w:val="FootnoteReference"/>
          <w:sz w:val="25"/>
          <w:szCs w:val="25"/>
        </w:rPr>
        <w:footnoteReference w:id="28"/>
      </w:r>
    </w:p>
    <w:p w:rsidR="00DC50C7" w:rsidRDefault="00DC50C7" w:rsidP="009542C2">
      <w:pPr>
        <w:pStyle w:val="ListParagraph"/>
        <w:spacing w:line="264" w:lineRule="auto"/>
        <w:rPr>
          <w:sz w:val="25"/>
          <w:szCs w:val="25"/>
        </w:rPr>
      </w:pPr>
    </w:p>
    <w:p w:rsidR="00CC0298" w:rsidRDefault="00DC50C7" w:rsidP="009542C2">
      <w:pPr>
        <w:numPr>
          <w:ilvl w:val="0"/>
          <w:numId w:val="19"/>
        </w:numPr>
        <w:spacing w:line="264" w:lineRule="auto"/>
        <w:ind w:hanging="720"/>
        <w:rPr>
          <w:sz w:val="25"/>
          <w:szCs w:val="25"/>
        </w:rPr>
      </w:pPr>
      <w:r>
        <w:rPr>
          <w:sz w:val="25"/>
          <w:szCs w:val="25"/>
        </w:rPr>
        <w:t xml:space="preserve">It appears from the parties’ individual testimonies in support of the Settlement Agreement that it satisfies </w:t>
      </w:r>
      <w:r w:rsidR="000E1FB2">
        <w:rPr>
          <w:sz w:val="25"/>
          <w:szCs w:val="25"/>
        </w:rPr>
        <w:t>the parties’</w:t>
      </w:r>
      <w:r>
        <w:rPr>
          <w:sz w:val="25"/>
          <w:szCs w:val="25"/>
        </w:rPr>
        <w:t xml:space="preserve"> diverse interests.</w:t>
      </w:r>
      <w:r w:rsidR="00387738">
        <w:rPr>
          <w:sz w:val="25"/>
          <w:szCs w:val="25"/>
        </w:rPr>
        <w:t xml:space="preserve">  The intervernors’ interests range from those of the Company’s low-income residential customers to some of PSE’s largest industrial customers.  Public Counsel represents the interests of residential and smaller commercial customers, while the Commission Staff presents the public interest perspective.  In addition, we have the Company’s initial testimony providing some detail regarding the factors driving its request, and the assurances from Staff, Public Counsel and other parties that they carefully vetted this evidence in the light of discovery.</w:t>
      </w:r>
      <w:r>
        <w:rPr>
          <w:sz w:val="25"/>
          <w:szCs w:val="25"/>
        </w:rPr>
        <w:t xml:space="preserve">  </w:t>
      </w:r>
      <w:r w:rsidR="00387738">
        <w:rPr>
          <w:sz w:val="25"/>
          <w:szCs w:val="25"/>
        </w:rPr>
        <w:t>W</w:t>
      </w:r>
      <w:r>
        <w:rPr>
          <w:sz w:val="25"/>
          <w:szCs w:val="25"/>
        </w:rPr>
        <w:t xml:space="preserve">e </w:t>
      </w:r>
      <w:r w:rsidR="00387738">
        <w:rPr>
          <w:sz w:val="25"/>
          <w:szCs w:val="25"/>
        </w:rPr>
        <w:t xml:space="preserve">conclude on the basis of the full record that we should approve and adopt the Settlement Agreement as a reasonable compromise of the issues raised.  </w:t>
      </w:r>
    </w:p>
    <w:p w:rsidR="00CC0298" w:rsidRDefault="00CC0298" w:rsidP="009542C2">
      <w:pPr>
        <w:pStyle w:val="ListParagraph"/>
        <w:spacing w:line="264" w:lineRule="auto"/>
        <w:rPr>
          <w:sz w:val="25"/>
          <w:szCs w:val="25"/>
        </w:rPr>
      </w:pPr>
    </w:p>
    <w:p w:rsidR="00A07EE8" w:rsidRDefault="00387738" w:rsidP="009542C2">
      <w:pPr>
        <w:numPr>
          <w:ilvl w:val="0"/>
          <w:numId w:val="19"/>
        </w:numPr>
        <w:spacing w:line="264" w:lineRule="auto"/>
        <w:ind w:hanging="720"/>
        <w:rPr>
          <w:sz w:val="25"/>
          <w:szCs w:val="25"/>
        </w:rPr>
      </w:pPr>
      <w:r>
        <w:rPr>
          <w:sz w:val="25"/>
          <w:szCs w:val="25"/>
        </w:rPr>
        <w:t xml:space="preserve">We </w:t>
      </w:r>
      <w:r w:rsidR="00CC0298">
        <w:rPr>
          <w:sz w:val="25"/>
          <w:szCs w:val="25"/>
        </w:rPr>
        <w:t>reach this conclusion</w:t>
      </w:r>
      <w:r>
        <w:rPr>
          <w:sz w:val="25"/>
          <w:szCs w:val="25"/>
        </w:rPr>
        <w:t xml:space="preserve"> cognizant</w:t>
      </w:r>
      <w:r w:rsidR="00CC0298">
        <w:rPr>
          <w:sz w:val="25"/>
          <w:szCs w:val="25"/>
        </w:rPr>
        <w:t>, too,</w:t>
      </w:r>
      <w:r>
        <w:rPr>
          <w:sz w:val="25"/>
          <w:szCs w:val="25"/>
        </w:rPr>
        <w:t xml:space="preserve"> of the public comment testimony that is largely in opposition to any rate increase.</w:t>
      </w:r>
      <w:r w:rsidR="00E766FA">
        <w:rPr>
          <w:rStyle w:val="FootnoteReference"/>
          <w:sz w:val="25"/>
          <w:szCs w:val="25"/>
        </w:rPr>
        <w:footnoteReference w:id="29"/>
      </w:r>
      <w:r>
        <w:rPr>
          <w:sz w:val="25"/>
          <w:szCs w:val="25"/>
        </w:rPr>
        <w:t xml:space="preserve">  The Commission understands</w:t>
      </w:r>
      <w:r w:rsidR="00CC0298">
        <w:rPr>
          <w:sz w:val="25"/>
          <w:szCs w:val="25"/>
        </w:rPr>
        <w:t>, particularly in these harsh economic times, that many customers find any rate increase difficult to bear.  Our responsibility, however, is not only to protect all customers’ interests in keeping rates reasonable, but also to ensure the Company has sufficient resources to continue providing safe, reliable service.  Based on the evidence presented, what we authorize here strikes the appropriate balance of these interests.</w:t>
      </w:r>
    </w:p>
    <w:p w:rsidR="00696319" w:rsidRPr="006C7140" w:rsidRDefault="009542C2" w:rsidP="009542C2">
      <w:pPr>
        <w:spacing w:line="264" w:lineRule="auto"/>
        <w:rPr>
          <w:sz w:val="25"/>
          <w:szCs w:val="25"/>
        </w:rPr>
      </w:pPr>
      <w:r>
        <w:rPr>
          <w:sz w:val="25"/>
          <w:szCs w:val="25"/>
        </w:rPr>
        <w:br w:type="page"/>
      </w:r>
    </w:p>
    <w:p w:rsidR="00D43315" w:rsidRPr="00D43315" w:rsidRDefault="00D43315" w:rsidP="009542C2">
      <w:pPr>
        <w:pStyle w:val="Heading1"/>
        <w:spacing w:line="264" w:lineRule="auto"/>
        <w:ind w:left="360"/>
        <w:jc w:val="center"/>
        <w:rPr>
          <w:rFonts w:ascii="Times New Roman" w:hAnsi="Times New Roman" w:cs="Times New Roman"/>
          <w:sz w:val="25"/>
          <w:szCs w:val="25"/>
          <w:u w:val="single"/>
        </w:rPr>
      </w:pPr>
      <w:r w:rsidRPr="00D43315">
        <w:rPr>
          <w:rFonts w:ascii="Times New Roman" w:hAnsi="Times New Roman" w:cs="Times New Roman"/>
          <w:sz w:val="25"/>
          <w:szCs w:val="25"/>
          <w:u w:val="single"/>
        </w:rPr>
        <w:lastRenderedPageBreak/>
        <w:t>FINDINGS OF FACT</w:t>
      </w:r>
      <w:bookmarkEnd w:id="3"/>
    </w:p>
    <w:p w:rsidR="00D43315" w:rsidRPr="00D43315" w:rsidRDefault="00D43315" w:rsidP="009542C2">
      <w:pPr>
        <w:spacing w:line="264" w:lineRule="auto"/>
        <w:rPr>
          <w:sz w:val="25"/>
          <w:szCs w:val="25"/>
        </w:rPr>
      </w:pPr>
    </w:p>
    <w:p w:rsidR="00D43315" w:rsidRPr="00D43315" w:rsidRDefault="00D43315" w:rsidP="009542C2">
      <w:pPr>
        <w:numPr>
          <w:ilvl w:val="0"/>
          <w:numId w:val="19"/>
        </w:numPr>
        <w:spacing w:line="264" w:lineRule="auto"/>
        <w:ind w:hanging="720"/>
        <w:rPr>
          <w:color w:val="000000"/>
          <w:sz w:val="25"/>
          <w:szCs w:val="25"/>
        </w:rPr>
      </w:pPr>
      <w:r w:rsidRPr="00D43315">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rsidR="00D43315" w:rsidRPr="00D43315" w:rsidRDefault="00D43315" w:rsidP="009542C2">
      <w:pPr>
        <w:spacing w:line="264" w:lineRule="auto"/>
        <w:rPr>
          <w:sz w:val="25"/>
          <w:szCs w:val="25"/>
        </w:rPr>
      </w:pPr>
    </w:p>
    <w:p w:rsidR="00D43315" w:rsidRPr="00D43315" w:rsidRDefault="00D43315" w:rsidP="009542C2">
      <w:pPr>
        <w:numPr>
          <w:ilvl w:val="0"/>
          <w:numId w:val="19"/>
        </w:numPr>
        <w:spacing w:line="264" w:lineRule="auto"/>
        <w:ind w:left="720" w:hanging="1440"/>
        <w:rPr>
          <w:bCs/>
          <w:color w:val="000000"/>
          <w:sz w:val="25"/>
          <w:szCs w:val="25"/>
        </w:rPr>
      </w:pPr>
      <w:r w:rsidRPr="00D43315">
        <w:rPr>
          <w:sz w:val="25"/>
          <w:szCs w:val="25"/>
        </w:rPr>
        <w:t xml:space="preserve">(1) </w:t>
      </w:r>
      <w:r w:rsidRPr="00D43315">
        <w:rPr>
          <w:sz w:val="25"/>
          <w:szCs w:val="25"/>
        </w:rPr>
        <w:tab/>
      </w:r>
      <w:r w:rsidRPr="00D43315">
        <w:rPr>
          <w:color w:val="000000"/>
          <w:sz w:val="25"/>
          <w:szCs w:val="25"/>
        </w:rPr>
        <w:t>The</w:t>
      </w:r>
      <w:r w:rsidRPr="00D43315">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D43315">
        <w:rPr>
          <w:i/>
          <w:iCs/>
          <w:sz w:val="25"/>
          <w:szCs w:val="25"/>
        </w:rPr>
        <w:t>.</w:t>
      </w:r>
    </w:p>
    <w:p w:rsidR="00D43315" w:rsidRPr="00D43315" w:rsidRDefault="00D43315" w:rsidP="009542C2">
      <w:pPr>
        <w:spacing w:line="264" w:lineRule="auto"/>
        <w:rPr>
          <w:sz w:val="25"/>
          <w:szCs w:val="25"/>
        </w:rPr>
      </w:pPr>
    </w:p>
    <w:p w:rsidR="00D43315" w:rsidRPr="00CC0298" w:rsidRDefault="00D43315" w:rsidP="009542C2">
      <w:pPr>
        <w:numPr>
          <w:ilvl w:val="0"/>
          <w:numId w:val="19"/>
        </w:numPr>
        <w:spacing w:line="264" w:lineRule="auto"/>
        <w:ind w:left="720" w:hanging="1440"/>
        <w:rPr>
          <w:color w:val="000000"/>
          <w:sz w:val="25"/>
          <w:szCs w:val="25"/>
        </w:rPr>
      </w:pPr>
      <w:r w:rsidRPr="00D43315">
        <w:rPr>
          <w:sz w:val="25"/>
          <w:szCs w:val="25"/>
        </w:rPr>
        <w:t>(2)</w:t>
      </w:r>
      <w:r w:rsidRPr="00D43315">
        <w:rPr>
          <w:i/>
          <w:sz w:val="25"/>
          <w:szCs w:val="25"/>
        </w:rPr>
        <w:t xml:space="preserve"> </w:t>
      </w:r>
      <w:r w:rsidRPr="00D43315">
        <w:rPr>
          <w:i/>
          <w:sz w:val="25"/>
          <w:szCs w:val="25"/>
        </w:rPr>
        <w:tab/>
      </w:r>
      <w:r w:rsidRPr="00D43315">
        <w:rPr>
          <w:sz w:val="25"/>
          <w:szCs w:val="25"/>
        </w:rPr>
        <w:t>PSE is engaged in Washington State in the business of supplying utility services and commodities to the public for compensation.</w:t>
      </w:r>
    </w:p>
    <w:p w:rsidR="00CC0298" w:rsidRDefault="00CC0298" w:rsidP="009542C2">
      <w:pPr>
        <w:pStyle w:val="ListParagraph"/>
        <w:spacing w:line="264" w:lineRule="auto"/>
        <w:rPr>
          <w:color w:val="000000"/>
          <w:sz w:val="25"/>
          <w:szCs w:val="25"/>
        </w:rPr>
      </w:pPr>
    </w:p>
    <w:p w:rsidR="00CC0298" w:rsidRPr="00CC0298" w:rsidRDefault="00CC0298" w:rsidP="009542C2">
      <w:pPr>
        <w:numPr>
          <w:ilvl w:val="0"/>
          <w:numId w:val="19"/>
        </w:numPr>
        <w:spacing w:line="264" w:lineRule="auto"/>
        <w:ind w:left="720" w:hanging="1440"/>
        <w:rPr>
          <w:color w:val="000000"/>
          <w:sz w:val="25"/>
          <w:szCs w:val="25"/>
        </w:rPr>
      </w:pPr>
      <w:r w:rsidRPr="00CC0298">
        <w:rPr>
          <w:color w:val="000000"/>
          <w:sz w:val="25"/>
          <w:szCs w:val="25"/>
        </w:rPr>
        <w:t>(3)</w:t>
      </w:r>
      <w:r w:rsidRPr="00CC0298">
        <w:rPr>
          <w:color w:val="000000"/>
          <w:sz w:val="25"/>
          <w:szCs w:val="25"/>
        </w:rPr>
        <w:tab/>
        <w:t>PSE’s</w:t>
      </w:r>
      <w:r w:rsidRPr="00CC0298">
        <w:rPr>
          <w:sz w:val="25"/>
          <w:szCs w:val="25"/>
        </w:rPr>
        <w:t xml:space="preserve"> existing rates for natural gas service provided in Washington State are insufficient to yield reasonable compensation for the service rendered.</w:t>
      </w:r>
    </w:p>
    <w:p w:rsidR="00CC0298" w:rsidRDefault="00CC0298" w:rsidP="009542C2">
      <w:pPr>
        <w:pStyle w:val="ListParagraph"/>
        <w:spacing w:line="264" w:lineRule="auto"/>
        <w:rPr>
          <w:color w:val="000000"/>
          <w:sz w:val="25"/>
          <w:szCs w:val="25"/>
        </w:rPr>
      </w:pPr>
    </w:p>
    <w:p w:rsidR="00CC0298" w:rsidRPr="00CC0298" w:rsidRDefault="00CC0298" w:rsidP="009542C2">
      <w:pPr>
        <w:numPr>
          <w:ilvl w:val="0"/>
          <w:numId w:val="19"/>
        </w:numPr>
        <w:spacing w:line="264" w:lineRule="auto"/>
        <w:ind w:left="720" w:hanging="1440"/>
        <w:rPr>
          <w:color w:val="000000"/>
          <w:sz w:val="25"/>
          <w:szCs w:val="25"/>
        </w:rPr>
      </w:pPr>
      <w:r>
        <w:rPr>
          <w:color w:val="000000"/>
          <w:sz w:val="25"/>
          <w:szCs w:val="25"/>
        </w:rPr>
        <w:t>(4)</w:t>
      </w:r>
      <w:r>
        <w:rPr>
          <w:color w:val="000000"/>
          <w:sz w:val="25"/>
          <w:szCs w:val="25"/>
        </w:rPr>
        <w:tab/>
      </w:r>
      <w:r w:rsidRPr="00D43315">
        <w:rPr>
          <w:color w:val="000000"/>
          <w:sz w:val="25"/>
          <w:szCs w:val="25"/>
        </w:rPr>
        <w:t>PSE</w:t>
      </w:r>
      <w:r w:rsidRPr="00D43315">
        <w:rPr>
          <w:sz w:val="25"/>
          <w:szCs w:val="25"/>
        </w:rPr>
        <w:t xml:space="preserve"> requires relief with respect to the rates it charges for natural gas service provided in Washington State.</w:t>
      </w:r>
      <w:r>
        <w:rPr>
          <w:sz w:val="25"/>
          <w:szCs w:val="25"/>
        </w:rPr>
        <w:t xml:space="preserve">  The Company should be authorized to recover in rates an additional $19 million in revenue.</w:t>
      </w:r>
    </w:p>
    <w:p w:rsidR="00D43315" w:rsidRPr="00D43315" w:rsidRDefault="00D43315" w:rsidP="009542C2">
      <w:pPr>
        <w:spacing w:line="264" w:lineRule="auto"/>
        <w:ind w:left="-720"/>
        <w:rPr>
          <w:sz w:val="25"/>
          <w:szCs w:val="25"/>
        </w:rPr>
      </w:pPr>
    </w:p>
    <w:p w:rsidR="00D43315" w:rsidRPr="00D43315" w:rsidRDefault="00D43315" w:rsidP="009542C2">
      <w:pPr>
        <w:pStyle w:val="Heading1"/>
        <w:spacing w:line="264" w:lineRule="auto"/>
        <w:ind w:left="360"/>
        <w:jc w:val="center"/>
        <w:rPr>
          <w:rFonts w:ascii="Times New Roman" w:hAnsi="Times New Roman" w:cs="Times New Roman"/>
          <w:sz w:val="25"/>
          <w:szCs w:val="25"/>
        </w:rPr>
      </w:pPr>
      <w:bookmarkStart w:id="4" w:name="_Toc257815345"/>
      <w:r w:rsidRPr="00D43315">
        <w:rPr>
          <w:rFonts w:ascii="Times New Roman" w:hAnsi="Times New Roman" w:cs="Times New Roman"/>
          <w:sz w:val="25"/>
          <w:szCs w:val="25"/>
          <w:u w:val="single"/>
        </w:rPr>
        <w:t>CONCLUSIONS OF LAW</w:t>
      </w:r>
      <w:bookmarkEnd w:id="4"/>
    </w:p>
    <w:p w:rsidR="00D43315" w:rsidRPr="00D43315" w:rsidRDefault="00D43315" w:rsidP="009542C2">
      <w:pPr>
        <w:tabs>
          <w:tab w:val="num" w:pos="1080"/>
        </w:tabs>
        <w:spacing w:line="264" w:lineRule="auto"/>
        <w:ind w:left="-720"/>
        <w:rPr>
          <w:b/>
          <w:sz w:val="25"/>
          <w:szCs w:val="25"/>
        </w:rPr>
      </w:pPr>
    </w:p>
    <w:p w:rsidR="00D43315" w:rsidRPr="00D43315" w:rsidRDefault="00D43315" w:rsidP="009542C2">
      <w:pPr>
        <w:numPr>
          <w:ilvl w:val="0"/>
          <w:numId w:val="19"/>
        </w:numPr>
        <w:spacing w:line="264" w:lineRule="auto"/>
        <w:ind w:hanging="720"/>
        <w:rPr>
          <w:b/>
          <w:sz w:val="25"/>
          <w:szCs w:val="25"/>
        </w:rPr>
      </w:pPr>
      <w:r w:rsidRPr="00D43315">
        <w:rPr>
          <w:color w:val="000000"/>
          <w:sz w:val="25"/>
          <w:szCs w:val="25"/>
        </w:rPr>
        <w:t>Having</w:t>
      </w:r>
      <w:r w:rsidRPr="00D43315">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rsidR="00D43315" w:rsidRPr="00D43315" w:rsidRDefault="00D43315" w:rsidP="009542C2">
      <w:pPr>
        <w:spacing w:line="264" w:lineRule="auto"/>
        <w:rPr>
          <w:sz w:val="25"/>
          <w:szCs w:val="25"/>
        </w:rPr>
      </w:pPr>
    </w:p>
    <w:p w:rsidR="00D43315" w:rsidRPr="00D43315" w:rsidRDefault="00D43315" w:rsidP="009542C2">
      <w:pPr>
        <w:numPr>
          <w:ilvl w:val="0"/>
          <w:numId w:val="19"/>
        </w:numPr>
        <w:spacing w:line="264" w:lineRule="auto"/>
        <w:ind w:left="720" w:hanging="1440"/>
        <w:rPr>
          <w:color w:val="000000"/>
          <w:sz w:val="25"/>
          <w:szCs w:val="25"/>
        </w:rPr>
      </w:pPr>
      <w:r w:rsidRPr="00D43315">
        <w:rPr>
          <w:sz w:val="25"/>
          <w:szCs w:val="25"/>
        </w:rPr>
        <w:t>(1)</w:t>
      </w:r>
      <w:r w:rsidRPr="00D43315">
        <w:rPr>
          <w:sz w:val="25"/>
          <w:szCs w:val="25"/>
        </w:rPr>
        <w:tab/>
        <w:t xml:space="preserve">The Washington Utilities and Transportation Commission has jurisdiction over the </w:t>
      </w:r>
      <w:r w:rsidRPr="00D43315">
        <w:rPr>
          <w:color w:val="000000"/>
          <w:sz w:val="25"/>
          <w:szCs w:val="25"/>
        </w:rPr>
        <w:t>subject</w:t>
      </w:r>
      <w:r w:rsidRPr="00D43315">
        <w:rPr>
          <w:sz w:val="25"/>
          <w:szCs w:val="25"/>
        </w:rPr>
        <w:t xml:space="preserve"> matter of, and parties to, these proceedings.  </w:t>
      </w:r>
    </w:p>
    <w:p w:rsidR="00D43315" w:rsidRPr="00D43315" w:rsidRDefault="00D43315" w:rsidP="009542C2">
      <w:pPr>
        <w:spacing w:line="264" w:lineRule="auto"/>
        <w:rPr>
          <w:sz w:val="25"/>
          <w:szCs w:val="25"/>
        </w:rPr>
      </w:pPr>
    </w:p>
    <w:p w:rsidR="00CC0298" w:rsidRPr="00CC0298" w:rsidRDefault="00D43315" w:rsidP="009542C2">
      <w:pPr>
        <w:numPr>
          <w:ilvl w:val="0"/>
          <w:numId w:val="19"/>
        </w:numPr>
        <w:spacing w:line="264" w:lineRule="auto"/>
        <w:ind w:left="720" w:hanging="1440"/>
        <w:rPr>
          <w:color w:val="000000"/>
          <w:sz w:val="25"/>
          <w:szCs w:val="25"/>
        </w:rPr>
      </w:pPr>
      <w:r w:rsidRPr="00D43315">
        <w:rPr>
          <w:sz w:val="25"/>
          <w:szCs w:val="25"/>
        </w:rPr>
        <w:t>(</w:t>
      </w:r>
      <w:r w:rsidRPr="00D43315">
        <w:rPr>
          <w:color w:val="000000"/>
          <w:sz w:val="25"/>
          <w:szCs w:val="25"/>
        </w:rPr>
        <w:t>2)</w:t>
      </w:r>
      <w:r w:rsidRPr="00D43315">
        <w:rPr>
          <w:color w:val="000000"/>
          <w:sz w:val="25"/>
          <w:szCs w:val="25"/>
        </w:rPr>
        <w:tab/>
      </w:r>
      <w:r w:rsidR="00CC0298" w:rsidRPr="00D43315">
        <w:rPr>
          <w:sz w:val="25"/>
          <w:szCs w:val="25"/>
        </w:rPr>
        <w:t xml:space="preserve">Puget Sound Energy, Inc., (PSE) is a “public service company” and a “gas company,” as those terms are defined in RCW 80.04.010 and as those terms otherwise are used in Title 80 RCW.  </w:t>
      </w:r>
    </w:p>
    <w:p w:rsidR="00CC0298" w:rsidRDefault="00CC0298" w:rsidP="009542C2">
      <w:pPr>
        <w:pStyle w:val="ListParagraph"/>
        <w:spacing w:line="264" w:lineRule="auto"/>
        <w:rPr>
          <w:sz w:val="25"/>
          <w:szCs w:val="25"/>
        </w:rPr>
      </w:pPr>
    </w:p>
    <w:p w:rsidR="00D43315" w:rsidRPr="00D43315" w:rsidRDefault="00CC0298" w:rsidP="009542C2">
      <w:pPr>
        <w:numPr>
          <w:ilvl w:val="0"/>
          <w:numId w:val="19"/>
        </w:numPr>
        <w:spacing w:line="264" w:lineRule="auto"/>
        <w:ind w:left="720" w:hanging="1440"/>
        <w:rPr>
          <w:color w:val="000000"/>
          <w:sz w:val="25"/>
          <w:szCs w:val="25"/>
        </w:rPr>
      </w:pPr>
      <w:r>
        <w:rPr>
          <w:sz w:val="25"/>
          <w:szCs w:val="25"/>
        </w:rPr>
        <w:lastRenderedPageBreak/>
        <w:t>(3)</w:t>
      </w:r>
      <w:r>
        <w:rPr>
          <w:sz w:val="25"/>
          <w:szCs w:val="25"/>
        </w:rPr>
        <w:tab/>
      </w:r>
      <w:r w:rsidR="00D43315" w:rsidRPr="00D43315">
        <w:rPr>
          <w:sz w:val="25"/>
          <w:szCs w:val="25"/>
        </w:rPr>
        <w:t xml:space="preserve">The rates proposed by tariff revisions filed by PSE on </w:t>
      </w:r>
      <w:r w:rsidR="005A051C">
        <w:rPr>
          <w:sz w:val="25"/>
          <w:szCs w:val="25"/>
        </w:rPr>
        <w:t>October 1, 2010</w:t>
      </w:r>
      <w:r w:rsidR="00D43315" w:rsidRPr="00D43315">
        <w:rPr>
          <w:sz w:val="25"/>
          <w:szCs w:val="25"/>
        </w:rPr>
        <w:t>, and suspended by prior Co</w:t>
      </w:r>
      <w:r w:rsidR="00D43315" w:rsidRPr="00D43315">
        <w:rPr>
          <w:color w:val="000000"/>
          <w:sz w:val="25"/>
          <w:szCs w:val="25"/>
        </w:rPr>
        <w:t>m</w:t>
      </w:r>
      <w:r w:rsidR="00D43315" w:rsidRPr="00D43315">
        <w:rPr>
          <w:sz w:val="25"/>
          <w:szCs w:val="25"/>
        </w:rPr>
        <w:t>mission order, were not shown to be fair, just or reasonable and should be rejected.</w:t>
      </w:r>
    </w:p>
    <w:p w:rsidR="00D43315" w:rsidRPr="00CC0298" w:rsidRDefault="00D43315" w:rsidP="009542C2">
      <w:pPr>
        <w:spacing w:line="264" w:lineRule="auto"/>
        <w:rPr>
          <w:sz w:val="25"/>
          <w:szCs w:val="25"/>
        </w:rPr>
      </w:pPr>
    </w:p>
    <w:p w:rsidR="00D43315" w:rsidRPr="00CC0298" w:rsidRDefault="00D43315" w:rsidP="009542C2">
      <w:pPr>
        <w:numPr>
          <w:ilvl w:val="0"/>
          <w:numId w:val="19"/>
        </w:numPr>
        <w:spacing w:line="264" w:lineRule="auto"/>
        <w:ind w:left="720" w:hanging="1440"/>
        <w:rPr>
          <w:color w:val="000000"/>
          <w:sz w:val="25"/>
          <w:szCs w:val="25"/>
        </w:rPr>
      </w:pPr>
      <w:r w:rsidRPr="00CC0298">
        <w:rPr>
          <w:sz w:val="25"/>
          <w:szCs w:val="25"/>
        </w:rPr>
        <w:t>(4)</w:t>
      </w:r>
      <w:r w:rsidRPr="00CC0298">
        <w:rPr>
          <w:sz w:val="25"/>
          <w:szCs w:val="25"/>
        </w:rPr>
        <w:tab/>
      </w:r>
      <w:r w:rsidRPr="00CC0298">
        <w:rPr>
          <w:color w:val="000000"/>
          <w:sz w:val="25"/>
          <w:szCs w:val="25"/>
        </w:rPr>
        <w:t>The</w:t>
      </w:r>
      <w:r w:rsidRPr="00CC0298">
        <w:rPr>
          <w:sz w:val="25"/>
          <w:szCs w:val="25"/>
        </w:rPr>
        <w:t xml:space="preserve"> Commission must determine the fair, just, reasonable, and sufficient rates to be observed and in force under PSE’s tariffs that govern its rates, terms, and conditions of service for providing natural gas to customers in Washington State.  </w:t>
      </w:r>
    </w:p>
    <w:p w:rsidR="00D43315" w:rsidRPr="00D43315" w:rsidRDefault="00D43315" w:rsidP="009542C2">
      <w:pPr>
        <w:spacing w:line="264" w:lineRule="auto"/>
        <w:rPr>
          <w:b/>
          <w:bCs/>
          <w:sz w:val="25"/>
          <w:szCs w:val="25"/>
          <w:u w:val="single"/>
        </w:rPr>
      </w:pPr>
    </w:p>
    <w:p w:rsidR="00D43315" w:rsidRPr="00D43315" w:rsidRDefault="00D43315" w:rsidP="009542C2">
      <w:pPr>
        <w:numPr>
          <w:ilvl w:val="0"/>
          <w:numId w:val="19"/>
        </w:numPr>
        <w:spacing w:line="264" w:lineRule="auto"/>
        <w:ind w:left="720" w:hanging="1440"/>
        <w:rPr>
          <w:b/>
          <w:bCs/>
          <w:sz w:val="25"/>
          <w:szCs w:val="25"/>
          <w:u w:val="single"/>
        </w:rPr>
      </w:pPr>
      <w:r w:rsidRPr="00D43315">
        <w:rPr>
          <w:iCs/>
          <w:sz w:val="25"/>
          <w:szCs w:val="25"/>
        </w:rPr>
        <w:t>(</w:t>
      </w:r>
      <w:r w:rsidR="00125415">
        <w:rPr>
          <w:iCs/>
          <w:sz w:val="25"/>
          <w:szCs w:val="25"/>
        </w:rPr>
        <w:t>5</w:t>
      </w:r>
      <w:r w:rsidRPr="00D43315">
        <w:rPr>
          <w:iCs/>
          <w:sz w:val="25"/>
          <w:szCs w:val="25"/>
        </w:rPr>
        <w:t>)</w:t>
      </w:r>
      <w:r w:rsidRPr="00D43315">
        <w:rPr>
          <w:iCs/>
          <w:sz w:val="25"/>
          <w:szCs w:val="25"/>
        </w:rPr>
        <w:tab/>
      </w:r>
      <w:r w:rsidRPr="00D43315">
        <w:rPr>
          <w:sz w:val="25"/>
          <w:szCs w:val="25"/>
        </w:rPr>
        <w:t xml:space="preserve">The </w:t>
      </w:r>
      <w:r w:rsidR="005A051C">
        <w:rPr>
          <w:sz w:val="25"/>
          <w:szCs w:val="25"/>
        </w:rPr>
        <w:t>Settlement Agreement</w:t>
      </w:r>
      <w:r w:rsidRPr="00D43315">
        <w:rPr>
          <w:sz w:val="25"/>
          <w:szCs w:val="25"/>
        </w:rPr>
        <w:t xml:space="preserve"> attached to this Order as </w:t>
      </w:r>
      <w:r w:rsidR="00AF6939">
        <w:rPr>
          <w:sz w:val="25"/>
          <w:szCs w:val="25"/>
        </w:rPr>
        <w:t xml:space="preserve">an </w:t>
      </w:r>
      <w:r w:rsidRPr="00D43315">
        <w:rPr>
          <w:sz w:val="25"/>
          <w:szCs w:val="25"/>
        </w:rPr>
        <w:t>Appendi</w:t>
      </w:r>
      <w:r w:rsidR="005A051C">
        <w:rPr>
          <w:sz w:val="25"/>
          <w:szCs w:val="25"/>
        </w:rPr>
        <w:t>x</w:t>
      </w:r>
      <w:r w:rsidR="00AF6939">
        <w:rPr>
          <w:sz w:val="25"/>
          <w:szCs w:val="25"/>
        </w:rPr>
        <w:t>,</w:t>
      </w:r>
      <w:r w:rsidRPr="00D43315">
        <w:rPr>
          <w:sz w:val="25"/>
          <w:szCs w:val="25"/>
        </w:rPr>
        <w:t xml:space="preserve"> and incorporated by </w:t>
      </w:r>
      <w:r w:rsidR="00CC0298">
        <w:rPr>
          <w:sz w:val="25"/>
          <w:szCs w:val="25"/>
        </w:rPr>
        <w:t>this r</w:t>
      </w:r>
      <w:r w:rsidRPr="00D43315">
        <w:rPr>
          <w:sz w:val="25"/>
          <w:szCs w:val="25"/>
        </w:rPr>
        <w:t>eference, should be approved and adopted.</w:t>
      </w:r>
    </w:p>
    <w:p w:rsidR="00D43315" w:rsidRPr="00D43315" w:rsidRDefault="00D43315" w:rsidP="009542C2">
      <w:pPr>
        <w:spacing w:line="264" w:lineRule="auto"/>
        <w:ind w:left="-720"/>
        <w:rPr>
          <w:b/>
          <w:bCs/>
          <w:sz w:val="25"/>
          <w:szCs w:val="25"/>
          <w:u w:val="single"/>
        </w:rPr>
      </w:pPr>
    </w:p>
    <w:p w:rsidR="00D43315" w:rsidRPr="00D43315" w:rsidRDefault="00D43315" w:rsidP="009542C2">
      <w:pPr>
        <w:numPr>
          <w:ilvl w:val="0"/>
          <w:numId w:val="19"/>
        </w:numPr>
        <w:spacing w:line="264" w:lineRule="auto"/>
        <w:ind w:left="720" w:hanging="1440"/>
        <w:rPr>
          <w:b/>
          <w:bCs/>
          <w:sz w:val="25"/>
          <w:szCs w:val="25"/>
          <w:u w:val="single"/>
        </w:rPr>
      </w:pPr>
      <w:r w:rsidRPr="00D43315">
        <w:rPr>
          <w:sz w:val="25"/>
          <w:szCs w:val="25"/>
        </w:rPr>
        <w:t>(</w:t>
      </w:r>
      <w:r w:rsidR="00125415">
        <w:rPr>
          <w:sz w:val="25"/>
          <w:szCs w:val="25"/>
        </w:rPr>
        <w:t>6</w:t>
      </w:r>
      <w:r w:rsidRPr="00D43315">
        <w:rPr>
          <w:sz w:val="25"/>
          <w:szCs w:val="25"/>
        </w:rPr>
        <w:t>)</w:t>
      </w:r>
      <w:r w:rsidRPr="00D43315">
        <w:rPr>
          <w:sz w:val="25"/>
          <w:szCs w:val="25"/>
        </w:rPr>
        <w:tab/>
      </w:r>
      <w:r w:rsidRPr="00D43315">
        <w:rPr>
          <w:color w:val="000000"/>
          <w:sz w:val="25"/>
          <w:szCs w:val="25"/>
        </w:rPr>
        <w:t>The</w:t>
      </w:r>
      <w:r w:rsidRPr="00D43315">
        <w:rPr>
          <w:sz w:val="25"/>
          <w:szCs w:val="25"/>
        </w:rPr>
        <w:t xml:space="preserve"> rates, terms, and conditions of service that will result from this Order are fair, just, reasonable, and sufficient.</w:t>
      </w:r>
      <w:r w:rsidRPr="00D43315">
        <w:rPr>
          <w:i/>
          <w:iCs/>
          <w:sz w:val="25"/>
          <w:szCs w:val="25"/>
        </w:rPr>
        <w:t xml:space="preserve"> </w:t>
      </w:r>
    </w:p>
    <w:p w:rsidR="00D43315" w:rsidRPr="00D43315" w:rsidRDefault="00D43315" w:rsidP="009542C2">
      <w:pPr>
        <w:spacing w:line="264" w:lineRule="auto"/>
        <w:ind w:left="-720"/>
        <w:rPr>
          <w:b/>
          <w:bCs/>
          <w:sz w:val="25"/>
          <w:szCs w:val="25"/>
          <w:u w:val="single"/>
        </w:rPr>
      </w:pPr>
    </w:p>
    <w:p w:rsidR="00D43315" w:rsidRPr="00D43315" w:rsidRDefault="00D43315" w:rsidP="009542C2">
      <w:pPr>
        <w:numPr>
          <w:ilvl w:val="0"/>
          <w:numId w:val="19"/>
        </w:numPr>
        <w:spacing w:line="264" w:lineRule="auto"/>
        <w:ind w:left="720" w:hanging="1440"/>
        <w:rPr>
          <w:sz w:val="25"/>
          <w:szCs w:val="25"/>
        </w:rPr>
      </w:pPr>
      <w:r w:rsidRPr="00D43315">
        <w:rPr>
          <w:sz w:val="25"/>
          <w:szCs w:val="25"/>
        </w:rPr>
        <w:t>(</w:t>
      </w:r>
      <w:r w:rsidR="004C7F1F">
        <w:rPr>
          <w:sz w:val="25"/>
          <w:szCs w:val="25"/>
        </w:rPr>
        <w:t>7</w:t>
      </w:r>
      <w:r w:rsidRPr="00D43315">
        <w:rPr>
          <w:sz w:val="25"/>
          <w:szCs w:val="25"/>
        </w:rPr>
        <w:t>)</w:t>
      </w:r>
      <w:r w:rsidRPr="00D43315">
        <w:rPr>
          <w:sz w:val="25"/>
          <w:szCs w:val="25"/>
        </w:rPr>
        <w:tab/>
        <w:t>The rates, terms, and conditions of service that will result from this Order are neither unduly preferential nor discriminatory.</w:t>
      </w:r>
      <w:r w:rsidRPr="00D43315">
        <w:rPr>
          <w:i/>
          <w:iCs/>
          <w:sz w:val="25"/>
          <w:szCs w:val="25"/>
        </w:rPr>
        <w:t xml:space="preserve"> </w:t>
      </w:r>
    </w:p>
    <w:p w:rsidR="00D43315" w:rsidRPr="00D43315" w:rsidRDefault="00D43315" w:rsidP="009542C2">
      <w:pPr>
        <w:spacing w:line="264" w:lineRule="auto"/>
        <w:rPr>
          <w:sz w:val="25"/>
          <w:szCs w:val="25"/>
        </w:rPr>
      </w:pPr>
    </w:p>
    <w:p w:rsidR="00D43315" w:rsidRPr="00D43315" w:rsidRDefault="00D43315" w:rsidP="009542C2">
      <w:pPr>
        <w:numPr>
          <w:ilvl w:val="0"/>
          <w:numId w:val="19"/>
        </w:numPr>
        <w:spacing w:line="264" w:lineRule="auto"/>
        <w:ind w:left="720" w:hanging="1440"/>
        <w:rPr>
          <w:b/>
          <w:bCs/>
          <w:sz w:val="25"/>
          <w:szCs w:val="25"/>
          <w:u w:val="single"/>
        </w:rPr>
      </w:pPr>
      <w:r w:rsidRPr="00D43315">
        <w:rPr>
          <w:sz w:val="25"/>
          <w:szCs w:val="25"/>
        </w:rPr>
        <w:t>(</w:t>
      </w:r>
      <w:r w:rsidR="004C7F1F">
        <w:rPr>
          <w:sz w:val="25"/>
          <w:szCs w:val="25"/>
        </w:rPr>
        <w:t>8</w:t>
      </w:r>
      <w:r w:rsidRPr="00D43315">
        <w:rPr>
          <w:sz w:val="25"/>
          <w:szCs w:val="25"/>
        </w:rPr>
        <w:t xml:space="preserve">)  </w:t>
      </w:r>
      <w:r w:rsidRPr="00D43315">
        <w:rPr>
          <w:sz w:val="25"/>
          <w:szCs w:val="25"/>
        </w:rPr>
        <w:tab/>
        <w:t xml:space="preserve">The Commission Secretary should be authorized to accept by letter, with copies to all parties to this proceeding, a filing that complies with the requirements of this Order.  </w:t>
      </w:r>
    </w:p>
    <w:p w:rsidR="00D43315" w:rsidRPr="00D43315" w:rsidRDefault="00D43315" w:rsidP="009542C2">
      <w:pPr>
        <w:spacing w:line="264" w:lineRule="auto"/>
        <w:rPr>
          <w:rStyle w:val="RCWSLText"/>
          <w:rFonts w:ascii="Times New Roman" w:eastAsia="SimSun" w:hAnsi="Times New Roman" w:cs="Times New Roman"/>
          <w:b/>
          <w:bCs/>
          <w:sz w:val="25"/>
          <w:szCs w:val="25"/>
          <w:u w:val="single"/>
        </w:rPr>
      </w:pPr>
    </w:p>
    <w:p w:rsidR="00D43315" w:rsidRPr="00AD6232" w:rsidRDefault="00D43315" w:rsidP="009542C2">
      <w:pPr>
        <w:numPr>
          <w:ilvl w:val="0"/>
          <w:numId w:val="19"/>
        </w:numPr>
        <w:spacing w:line="264" w:lineRule="auto"/>
        <w:ind w:left="720" w:hanging="1440"/>
        <w:rPr>
          <w:sz w:val="25"/>
          <w:szCs w:val="25"/>
        </w:rPr>
      </w:pPr>
      <w:r w:rsidRPr="00D43315">
        <w:rPr>
          <w:sz w:val="25"/>
          <w:szCs w:val="25"/>
        </w:rPr>
        <w:t>(</w:t>
      </w:r>
      <w:r w:rsidR="004C7F1F">
        <w:rPr>
          <w:sz w:val="25"/>
          <w:szCs w:val="25"/>
        </w:rPr>
        <w:t>9)</w:t>
      </w:r>
      <w:r w:rsidRPr="00D43315">
        <w:rPr>
          <w:sz w:val="25"/>
          <w:szCs w:val="25"/>
        </w:rPr>
        <w:tab/>
        <w:t>The Commission should retain jurisdiction over the subject matters and the parties to this proceeding to effectuate the terms of this Order</w:t>
      </w:r>
      <w:r w:rsidRPr="00D43315">
        <w:rPr>
          <w:i/>
          <w:iCs/>
          <w:sz w:val="25"/>
          <w:szCs w:val="25"/>
        </w:rPr>
        <w:t>.</w:t>
      </w:r>
    </w:p>
    <w:p w:rsidR="00AD6232" w:rsidRPr="00D43315" w:rsidRDefault="00AD6232" w:rsidP="009542C2">
      <w:pPr>
        <w:spacing w:line="264" w:lineRule="auto"/>
        <w:rPr>
          <w:sz w:val="25"/>
          <w:szCs w:val="25"/>
        </w:rPr>
      </w:pPr>
    </w:p>
    <w:p w:rsidR="00D43315" w:rsidRPr="00D43315" w:rsidRDefault="00D43315" w:rsidP="009542C2">
      <w:pPr>
        <w:pStyle w:val="Heading1"/>
        <w:keepLines/>
        <w:spacing w:line="264" w:lineRule="auto"/>
        <w:ind w:left="360"/>
        <w:jc w:val="center"/>
        <w:rPr>
          <w:rFonts w:ascii="Times New Roman" w:hAnsi="Times New Roman" w:cs="Times New Roman"/>
          <w:sz w:val="25"/>
          <w:szCs w:val="25"/>
          <w:u w:val="single"/>
        </w:rPr>
      </w:pPr>
      <w:bookmarkStart w:id="5" w:name="_Toc257815346"/>
      <w:r w:rsidRPr="00D43315">
        <w:rPr>
          <w:rFonts w:ascii="Times New Roman" w:hAnsi="Times New Roman" w:cs="Times New Roman"/>
          <w:sz w:val="25"/>
          <w:szCs w:val="25"/>
          <w:u w:val="single"/>
        </w:rPr>
        <w:t>ORDER</w:t>
      </w:r>
      <w:bookmarkEnd w:id="5"/>
    </w:p>
    <w:p w:rsidR="00D43315" w:rsidRPr="00D43315" w:rsidRDefault="00D43315" w:rsidP="009542C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sz w:val="25"/>
          <w:szCs w:val="25"/>
        </w:rPr>
      </w:pPr>
    </w:p>
    <w:p w:rsidR="00D43315" w:rsidRPr="00D43315" w:rsidRDefault="00D43315" w:rsidP="009542C2">
      <w:pPr>
        <w:keepNext/>
        <w:keepLines/>
        <w:spacing w:line="264" w:lineRule="auto"/>
        <w:rPr>
          <w:color w:val="000000"/>
          <w:sz w:val="25"/>
          <w:szCs w:val="25"/>
        </w:rPr>
      </w:pPr>
      <w:r w:rsidRPr="00D43315">
        <w:rPr>
          <w:sz w:val="25"/>
          <w:szCs w:val="25"/>
        </w:rPr>
        <w:t>THE COMMISSION ORDERS THAT:</w:t>
      </w:r>
    </w:p>
    <w:p w:rsidR="00D43315" w:rsidRPr="00D43315" w:rsidRDefault="00D43315" w:rsidP="009542C2">
      <w:pPr>
        <w:keepNext/>
        <w:keepLines/>
        <w:spacing w:line="264" w:lineRule="auto"/>
        <w:rPr>
          <w:sz w:val="25"/>
          <w:szCs w:val="25"/>
        </w:rPr>
      </w:pPr>
    </w:p>
    <w:p w:rsidR="00D43315" w:rsidRPr="00D43315" w:rsidRDefault="00D43315" w:rsidP="009542C2">
      <w:pPr>
        <w:numPr>
          <w:ilvl w:val="0"/>
          <w:numId w:val="19"/>
        </w:numPr>
        <w:spacing w:line="264" w:lineRule="auto"/>
        <w:ind w:left="720" w:hanging="1440"/>
        <w:rPr>
          <w:bCs/>
          <w:color w:val="000000"/>
          <w:sz w:val="25"/>
          <w:szCs w:val="25"/>
        </w:rPr>
      </w:pPr>
      <w:r w:rsidRPr="00D43315">
        <w:rPr>
          <w:sz w:val="25"/>
          <w:szCs w:val="25"/>
        </w:rPr>
        <w:t>(1)</w:t>
      </w:r>
      <w:r w:rsidRPr="00D43315">
        <w:rPr>
          <w:sz w:val="25"/>
          <w:szCs w:val="25"/>
        </w:rPr>
        <w:tab/>
        <w:t xml:space="preserve">The proposed tariff revisions PSE filed on </w:t>
      </w:r>
      <w:r w:rsidR="005A051C">
        <w:rPr>
          <w:sz w:val="25"/>
          <w:szCs w:val="25"/>
        </w:rPr>
        <w:t>October 1, 2010</w:t>
      </w:r>
      <w:r w:rsidRPr="00D43315">
        <w:rPr>
          <w:sz w:val="25"/>
          <w:szCs w:val="25"/>
        </w:rPr>
        <w:t>, which were suspended by prior Commission order, are rejected.</w:t>
      </w:r>
    </w:p>
    <w:p w:rsidR="00D43315" w:rsidRPr="00D43315" w:rsidRDefault="00D43315" w:rsidP="009542C2">
      <w:pPr>
        <w:spacing w:line="264" w:lineRule="auto"/>
        <w:rPr>
          <w:bCs/>
          <w:color w:val="000000"/>
          <w:sz w:val="25"/>
          <w:szCs w:val="25"/>
        </w:rPr>
      </w:pPr>
    </w:p>
    <w:p w:rsidR="00D43315" w:rsidRPr="00D43315" w:rsidRDefault="00D43315" w:rsidP="009542C2">
      <w:pPr>
        <w:numPr>
          <w:ilvl w:val="0"/>
          <w:numId w:val="19"/>
        </w:numPr>
        <w:spacing w:line="264" w:lineRule="auto"/>
        <w:ind w:left="720" w:hanging="1440"/>
        <w:rPr>
          <w:bCs/>
          <w:color w:val="000000"/>
          <w:sz w:val="25"/>
          <w:szCs w:val="25"/>
        </w:rPr>
      </w:pPr>
      <w:r w:rsidRPr="00D43315">
        <w:rPr>
          <w:sz w:val="25"/>
          <w:szCs w:val="25"/>
        </w:rPr>
        <w:t xml:space="preserve">(2) </w:t>
      </w:r>
      <w:r w:rsidRPr="00D43315">
        <w:rPr>
          <w:sz w:val="25"/>
          <w:szCs w:val="25"/>
        </w:rPr>
        <w:tab/>
        <w:t xml:space="preserve">The </w:t>
      </w:r>
      <w:r w:rsidR="005A051C">
        <w:rPr>
          <w:sz w:val="25"/>
          <w:szCs w:val="25"/>
        </w:rPr>
        <w:t>Settlement Agreement</w:t>
      </w:r>
      <w:r w:rsidRPr="00D43315">
        <w:rPr>
          <w:sz w:val="25"/>
          <w:szCs w:val="25"/>
        </w:rPr>
        <w:t xml:space="preserve"> attached to this Order as</w:t>
      </w:r>
      <w:r w:rsidR="00AF6939">
        <w:rPr>
          <w:sz w:val="25"/>
          <w:szCs w:val="25"/>
        </w:rPr>
        <w:t xml:space="preserve"> an</w:t>
      </w:r>
      <w:r w:rsidRPr="00D43315">
        <w:rPr>
          <w:sz w:val="25"/>
          <w:szCs w:val="25"/>
        </w:rPr>
        <w:t xml:space="preserve"> Appendi</w:t>
      </w:r>
      <w:r w:rsidR="005A051C">
        <w:rPr>
          <w:sz w:val="25"/>
          <w:szCs w:val="25"/>
        </w:rPr>
        <w:t>x</w:t>
      </w:r>
      <w:r w:rsidR="00AF6939">
        <w:rPr>
          <w:sz w:val="25"/>
          <w:szCs w:val="25"/>
        </w:rPr>
        <w:t>,</w:t>
      </w:r>
      <w:r w:rsidRPr="00D43315">
        <w:rPr>
          <w:sz w:val="25"/>
          <w:szCs w:val="25"/>
        </w:rPr>
        <w:t xml:space="preserve"> and incorporated by prior reference</w:t>
      </w:r>
      <w:r w:rsidR="00AF6939">
        <w:rPr>
          <w:sz w:val="25"/>
          <w:szCs w:val="25"/>
        </w:rPr>
        <w:t>,</w:t>
      </w:r>
      <w:r w:rsidR="005A051C">
        <w:rPr>
          <w:sz w:val="25"/>
          <w:szCs w:val="25"/>
        </w:rPr>
        <w:t xml:space="preserve"> is</w:t>
      </w:r>
      <w:r w:rsidRPr="00D43315">
        <w:rPr>
          <w:sz w:val="25"/>
          <w:szCs w:val="25"/>
        </w:rPr>
        <w:t xml:space="preserve"> approved and adopted.</w:t>
      </w:r>
    </w:p>
    <w:p w:rsidR="00D43315" w:rsidRPr="00D43315" w:rsidRDefault="00D43315" w:rsidP="009542C2">
      <w:pPr>
        <w:spacing w:line="264" w:lineRule="auto"/>
        <w:rPr>
          <w:sz w:val="25"/>
          <w:szCs w:val="25"/>
        </w:rPr>
      </w:pPr>
    </w:p>
    <w:p w:rsidR="00D43315" w:rsidRPr="00D43315" w:rsidRDefault="00D43315" w:rsidP="009542C2">
      <w:pPr>
        <w:numPr>
          <w:ilvl w:val="0"/>
          <w:numId w:val="19"/>
        </w:numPr>
        <w:spacing w:line="264" w:lineRule="auto"/>
        <w:ind w:left="720" w:hanging="1440"/>
        <w:rPr>
          <w:bCs/>
          <w:color w:val="000000"/>
          <w:sz w:val="25"/>
          <w:szCs w:val="25"/>
        </w:rPr>
      </w:pPr>
      <w:r w:rsidRPr="00D43315">
        <w:rPr>
          <w:sz w:val="25"/>
          <w:szCs w:val="25"/>
        </w:rPr>
        <w:t>(3)</w:t>
      </w:r>
      <w:r w:rsidRPr="00D43315">
        <w:rPr>
          <w:bCs/>
          <w:color w:val="000000"/>
          <w:sz w:val="25"/>
          <w:szCs w:val="25"/>
        </w:rPr>
        <w:tab/>
      </w:r>
      <w:r w:rsidRPr="00D43315">
        <w:rPr>
          <w:sz w:val="25"/>
          <w:szCs w:val="25"/>
        </w:rPr>
        <w:t xml:space="preserve">PSE is authorized and required to file tariff sheets following the effective date of this Order that are necessary and sufficient to effectuate its terms.  The </w:t>
      </w:r>
      <w:r w:rsidRPr="00D43315">
        <w:rPr>
          <w:sz w:val="25"/>
          <w:szCs w:val="25"/>
        </w:rPr>
        <w:lastRenderedPageBreak/>
        <w:t>required tariff sheets must be filed at least t</w:t>
      </w:r>
      <w:r w:rsidR="005A051C">
        <w:rPr>
          <w:sz w:val="25"/>
          <w:szCs w:val="25"/>
        </w:rPr>
        <w:t>hree</w:t>
      </w:r>
      <w:r w:rsidRPr="00D43315">
        <w:rPr>
          <w:sz w:val="25"/>
          <w:szCs w:val="25"/>
        </w:rPr>
        <w:t xml:space="preserve"> business days prior to their stated effective date, which shall be no sooner than April </w:t>
      </w:r>
      <w:r w:rsidR="005A051C">
        <w:rPr>
          <w:sz w:val="25"/>
          <w:szCs w:val="25"/>
        </w:rPr>
        <w:t>1</w:t>
      </w:r>
      <w:r w:rsidRPr="00D43315">
        <w:rPr>
          <w:sz w:val="25"/>
          <w:szCs w:val="25"/>
        </w:rPr>
        <w:t>, 201</w:t>
      </w:r>
      <w:r w:rsidR="005A051C">
        <w:rPr>
          <w:sz w:val="25"/>
          <w:szCs w:val="25"/>
        </w:rPr>
        <w:t>1</w:t>
      </w:r>
      <w:r w:rsidRPr="00D43315">
        <w:rPr>
          <w:sz w:val="25"/>
          <w:szCs w:val="25"/>
        </w:rPr>
        <w:t>.</w:t>
      </w:r>
    </w:p>
    <w:p w:rsidR="00D43315" w:rsidRPr="00D43315" w:rsidRDefault="00D43315" w:rsidP="009542C2">
      <w:pPr>
        <w:spacing w:line="264" w:lineRule="auto"/>
        <w:rPr>
          <w:sz w:val="25"/>
          <w:szCs w:val="25"/>
        </w:rPr>
      </w:pPr>
    </w:p>
    <w:p w:rsidR="00D43315" w:rsidRPr="00D43315" w:rsidRDefault="00D43315" w:rsidP="009542C2">
      <w:pPr>
        <w:numPr>
          <w:ilvl w:val="0"/>
          <w:numId w:val="19"/>
        </w:numPr>
        <w:spacing w:line="264" w:lineRule="auto"/>
        <w:ind w:left="720" w:hanging="1440"/>
        <w:rPr>
          <w:bCs/>
          <w:color w:val="000000"/>
          <w:sz w:val="25"/>
          <w:szCs w:val="25"/>
        </w:rPr>
      </w:pPr>
      <w:r w:rsidRPr="00D43315">
        <w:rPr>
          <w:sz w:val="25"/>
          <w:szCs w:val="25"/>
        </w:rPr>
        <w:t>(4)</w:t>
      </w:r>
      <w:r w:rsidRPr="00D43315">
        <w:rPr>
          <w:sz w:val="25"/>
          <w:szCs w:val="25"/>
        </w:rPr>
        <w:tab/>
        <w:t>The Commission Secretary is authorized to accept by letter, with copies to all parties to this proceeding, a filing that complies with the requirements of this Order.</w:t>
      </w:r>
    </w:p>
    <w:p w:rsidR="00D43315" w:rsidRPr="00D43315" w:rsidRDefault="00D43315" w:rsidP="009542C2">
      <w:pPr>
        <w:spacing w:line="264" w:lineRule="auto"/>
        <w:rPr>
          <w:sz w:val="25"/>
          <w:szCs w:val="25"/>
        </w:rPr>
      </w:pPr>
    </w:p>
    <w:p w:rsidR="00D43315" w:rsidRPr="00D43315" w:rsidRDefault="00D43315" w:rsidP="009542C2">
      <w:pPr>
        <w:numPr>
          <w:ilvl w:val="0"/>
          <w:numId w:val="19"/>
        </w:numPr>
        <w:spacing w:line="264" w:lineRule="auto"/>
        <w:ind w:left="720" w:hanging="1440"/>
        <w:rPr>
          <w:bCs/>
          <w:color w:val="000000"/>
          <w:sz w:val="25"/>
          <w:szCs w:val="25"/>
        </w:rPr>
      </w:pPr>
      <w:r w:rsidRPr="00D43315">
        <w:rPr>
          <w:sz w:val="25"/>
          <w:szCs w:val="25"/>
        </w:rPr>
        <w:t>(5)</w:t>
      </w:r>
      <w:r w:rsidRPr="00D43315">
        <w:rPr>
          <w:sz w:val="25"/>
          <w:szCs w:val="25"/>
        </w:rPr>
        <w:tab/>
        <w:t xml:space="preserve">The Commission retains jurisdiction to effectuate the terms of this Order. </w:t>
      </w:r>
    </w:p>
    <w:p w:rsidR="00D43315" w:rsidRPr="00D43315" w:rsidRDefault="00D43315" w:rsidP="00954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rsidR="00D43315" w:rsidRPr="00D43315" w:rsidRDefault="00D43315" w:rsidP="009542C2">
      <w:pPr>
        <w:spacing w:line="264" w:lineRule="auto"/>
        <w:rPr>
          <w:sz w:val="25"/>
          <w:szCs w:val="25"/>
        </w:rPr>
      </w:pPr>
      <w:proofErr w:type="gramStart"/>
      <w:r w:rsidRPr="00D43315">
        <w:rPr>
          <w:sz w:val="25"/>
          <w:szCs w:val="25"/>
        </w:rPr>
        <w:t xml:space="preserve">Dated at Olympia, Washington, and effective </w:t>
      </w:r>
      <w:r w:rsidR="005A051C">
        <w:rPr>
          <w:sz w:val="25"/>
          <w:szCs w:val="25"/>
        </w:rPr>
        <w:t>March</w:t>
      </w:r>
      <w:r w:rsidRPr="00D43315">
        <w:rPr>
          <w:sz w:val="25"/>
          <w:szCs w:val="25"/>
        </w:rPr>
        <w:t xml:space="preserve"> </w:t>
      </w:r>
      <w:r w:rsidR="004731E6">
        <w:rPr>
          <w:sz w:val="25"/>
          <w:szCs w:val="25"/>
        </w:rPr>
        <w:t>15</w:t>
      </w:r>
      <w:r w:rsidRPr="00D43315">
        <w:rPr>
          <w:sz w:val="25"/>
          <w:szCs w:val="25"/>
        </w:rPr>
        <w:t>, 201</w:t>
      </w:r>
      <w:r w:rsidR="005A051C">
        <w:rPr>
          <w:sz w:val="25"/>
          <w:szCs w:val="25"/>
        </w:rPr>
        <w:t>1</w:t>
      </w:r>
      <w:r w:rsidRPr="00D43315">
        <w:rPr>
          <w:sz w:val="25"/>
          <w:szCs w:val="25"/>
        </w:rPr>
        <w:t>.</w:t>
      </w:r>
      <w:proofErr w:type="gramEnd"/>
    </w:p>
    <w:p w:rsidR="00D43315" w:rsidRPr="00D43315" w:rsidRDefault="00D43315" w:rsidP="009542C2">
      <w:pPr>
        <w:pStyle w:val="Header"/>
        <w:tabs>
          <w:tab w:val="clear" w:pos="4320"/>
          <w:tab w:val="clear" w:pos="8640"/>
        </w:tabs>
        <w:spacing w:line="264" w:lineRule="auto"/>
        <w:rPr>
          <w:sz w:val="25"/>
          <w:szCs w:val="25"/>
        </w:rPr>
      </w:pPr>
    </w:p>
    <w:p w:rsidR="00D43315" w:rsidRPr="00D43315" w:rsidRDefault="00D43315" w:rsidP="009542C2">
      <w:pPr>
        <w:spacing w:line="264" w:lineRule="auto"/>
        <w:rPr>
          <w:sz w:val="25"/>
          <w:szCs w:val="25"/>
        </w:rPr>
      </w:pPr>
      <w:r w:rsidRPr="00D43315">
        <w:rPr>
          <w:sz w:val="25"/>
          <w:szCs w:val="25"/>
        </w:rPr>
        <w:t>WASHINGTON STATE UTILITIES AND TRANSPORTATION COMMISSION</w:t>
      </w: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r w:rsidRPr="00D43315">
        <w:rPr>
          <w:sz w:val="25"/>
          <w:szCs w:val="25"/>
        </w:rPr>
        <w:tab/>
      </w:r>
      <w:r w:rsidRPr="00D43315">
        <w:rPr>
          <w:sz w:val="25"/>
          <w:szCs w:val="25"/>
        </w:rPr>
        <w:tab/>
      </w:r>
      <w:r w:rsidRPr="00D43315">
        <w:rPr>
          <w:sz w:val="25"/>
          <w:szCs w:val="25"/>
        </w:rPr>
        <w:tab/>
      </w:r>
      <w:r w:rsidRPr="00D43315">
        <w:rPr>
          <w:sz w:val="25"/>
          <w:szCs w:val="25"/>
        </w:rPr>
        <w:tab/>
      </w:r>
      <w:r w:rsidRPr="00D43315">
        <w:rPr>
          <w:sz w:val="25"/>
          <w:szCs w:val="25"/>
        </w:rPr>
        <w:tab/>
        <w:t>JEFFREY D. GOLTZ, Chairman</w:t>
      </w: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r w:rsidRPr="00D43315">
        <w:rPr>
          <w:sz w:val="25"/>
          <w:szCs w:val="25"/>
        </w:rPr>
        <w:tab/>
      </w:r>
      <w:r w:rsidRPr="00D43315">
        <w:rPr>
          <w:sz w:val="25"/>
          <w:szCs w:val="25"/>
        </w:rPr>
        <w:tab/>
      </w:r>
      <w:r w:rsidRPr="00D43315">
        <w:rPr>
          <w:sz w:val="25"/>
          <w:szCs w:val="25"/>
        </w:rPr>
        <w:tab/>
      </w:r>
      <w:r w:rsidRPr="00D43315">
        <w:rPr>
          <w:sz w:val="25"/>
          <w:szCs w:val="25"/>
        </w:rPr>
        <w:tab/>
      </w:r>
      <w:r w:rsidRPr="00D43315">
        <w:rPr>
          <w:sz w:val="25"/>
          <w:szCs w:val="25"/>
        </w:rPr>
        <w:tab/>
        <w:t>PATRICK J. OSHIE, Commissioner</w:t>
      </w: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r w:rsidRPr="00D43315">
        <w:rPr>
          <w:sz w:val="25"/>
          <w:szCs w:val="25"/>
        </w:rPr>
        <w:tab/>
      </w:r>
      <w:r w:rsidRPr="00D43315">
        <w:rPr>
          <w:sz w:val="25"/>
          <w:szCs w:val="25"/>
        </w:rPr>
        <w:tab/>
      </w:r>
      <w:r w:rsidRPr="00D43315">
        <w:rPr>
          <w:sz w:val="25"/>
          <w:szCs w:val="25"/>
        </w:rPr>
        <w:tab/>
      </w:r>
      <w:r w:rsidRPr="00D43315">
        <w:rPr>
          <w:sz w:val="25"/>
          <w:szCs w:val="25"/>
        </w:rPr>
        <w:tab/>
      </w:r>
      <w:r w:rsidRPr="00D43315">
        <w:rPr>
          <w:sz w:val="25"/>
          <w:szCs w:val="25"/>
        </w:rPr>
        <w:tab/>
        <w:t>PHILIP B. JONES, Commissioner</w:t>
      </w: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p>
    <w:p w:rsidR="00D43315" w:rsidRPr="00D43315" w:rsidRDefault="00D43315" w:rsidP="009542C2">
      <w:pPr>
        <w:spacing w:line="264" w:lineRule="auto"/>
        <w:rPr>
          <w:sz w:val="25"/>
          <w:szCs w:val="25"/>
        </w:rPr>
      </w:pPr>
    </w:p>
    <w:p w:rsidR="00D43315" w:rsidRPr="00D43315" w:rsidRDefault="00D43315" w:rsidP="009542C2">
      <w:pPr>
        <w:pStyle w:val="BodyText"/>
        <w:spacing w:line="264" w:lineRule="auto"/>
        <w:jc w:val="left"/>
        <w:rPr>
          <w:b/>
          <w:sz w:val="25"/>
          <w:szCs w:val="25"/>
        </w:rPr>
      </w:pPr>
      <w:r w:rsidRPr="00D43315">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rsidR="00D43315" w:rsidRPr="00D43315" w:rsidRDefault="00D43315" w:rsidP="009542C2">
      <w:pPr>
        <w:pStyle w:val="Heading1"/>
        <w:spacing w:line="264" w:lineRule="auto"/>
        <w:ind w:left="360"/>
        <w:rPr>
          <w:rFonts w:ascii="Times New Roman" w:hAnsi="Times New Roman" w:cs="Times New Roman"/>
          <w:sz w:val="25"/>
          <w:szCs w:val="25"/>
        </w:rPr>
      </w:pPr>
    </w:p>
    <w:p w:rsidR="00D43315" w:rsidRPr="00D43315" w:rsidRDefault="00D43315" w:rsidP="00D43315">
      <w:pPr>
        <w:pStyle w:val="Heading1"/>
        <w:ind w:left="360"/>
        <w:rPr>
          <w:rFonts w:ascii="Times New Roman" w:hAnsi="Times New Roman" w:cs="Times New Roman"/>
          <w:sz w:val="25"/>
          <w:szCs w:val="25"/>
        </w:rPr>
      </w:pPr>
    </w:p>
    <w:p w:rsidR="009A70AD" w:rsidRDefault="00D43315" w:rsidP="009A70AD">
      <w:pPr>
        <w:pStyle w:val="Heading1"/>
        <w:jc w:val="center"/>
        <w:rPr>
          <w:rFonts w:ascii="Times New Roman" w:hAnsi="Times New Roman" w:cs="Times New Roman"/>
          <w:sz w:val="25"/>
          <w:szCs w:val="25"/>
        </w:rPr>
      </w:pPr>
      <w:r w:rsidRPr="00D43315">
        <w:rPr>
          <w:rFonts w:ascii="Times New Roman" w:hAnsi="Times New Roman" w:cs="Times New Roman"/>
          <w:sz w:val="25"/>
          <w:szCs w:val="25"/>
        </w:rPr>
        <w:br w:type="page"/>
      </w:r>
      <w:bookmarkStart w:id="6" w:name="_Toc252797506"/>
      <w:bookmarkStart w:id="7" w:name="_Toc257815347"/>
    </w:p>
    <w:p w:rsidR="009A70AD" w:rsidRDefault="009A70AD" w:rsidP="009A70AD">
      <w:pPr>
        <w:pStyle w:val="Heading1"/>
        <w:jc w:val="center"/>
        <w:rPr>
          <w:rFonts w:ascii="Times New Roman" w:hAnsi="Times New Roman" w:cs="Times New Roman"/>
          <w:sz w:val="25"/>
          <w:szCs w:val="25"/>
        </w:rPr>
      </w:pPr>
    </w:p>
    <w:p w:rsidR="009A70AD" w:rsidRDefault="009A70AD" w:rsidP="009A70AD">
      <w:pPr>
        <w:pStyle w:val="Heading1"/>
        <w:jc w:val="center"/>
        <w:rPr>
          <w:rFonts w:ascii="Times New Roman" w:hAnsi="Times New Roman" w:cs="Times New Roman"/>
          <w:sz w:val="25"/>
          <w:szCs w:val="25"/>
        </w:rPr>
      </w:pPr>
    </w:p>
    <w:p w:rsidR="009A70AD" w:rsidRDefault="009A70AD" w:rsidP="009A70AD">
      <w:pPr>
        <w:pStyle w:val="Heading1"/>
        <w:jc w:val="center"/>
        <w:rPr>
          <w:rFonts w:ascii="Times New Roman" w:hAnsi="Times New Roman" w:cs="Times New Roman"/>
          <w:sz w:val="25"/>
          <w:szCs w:val="25"/>
        </w:rPr>
      </w:pPr>
    </w:p>
    <w:p w:rsidR="009A70AD" w:rsidRDefault="009A70AD" w:rsidP="009A70AD">
      <w:pPr>
        <w:pStyle w:val="Heading1"/>
        <w:jc w:val="center"/>
        <w:rPr>
          <w:rFonts w:ascii="Times New Roman" w:hAnsi="Times New Roman" w:cs="Times New Roman"/>
          <w:sz w:val="25"/>
          <w:szCs w:val="25"/>
        </w:rPr>
      </w:pPr>
    </w:p>
    <w:p w:rsidR="009A70AD" w:rsidRDefault="009A70AD" w:rsidP="009A70AD">
      <w:pPr>
        <w:pStyle w:val="Heading1"/>
        <w:jc w:val="center"/>
        <w:rPr>
          <w:rFonts w:ascii="Times New Roman" w:hAnsi="Times New Roman" w:cs="Times New Roman"/>
          <w:sz w:val="25"/>
          <w:szCs w:val="25"/>
        </w:rPr>
      </w:pPr>
    </w:p>
    <w:p w:rsidR="009A70AD" w:rsidRDefault="009A70AD" w:rsidP="009A70AD">
      <w:pPr>
        <w:pStyle w:val="Heading1"/>
        <w:jc w:val="center"/>
        <w:rPr>
          <w:rFonts w:ascii="Times New Roman" w:hAnsi="Times New Roman" w:cs="Times New Roman"/>
          <w:sz w:val="25"/>
          <w:szCs w:val="25"/>
        </w:rPr>
      </w:pPr>
    </w:p>
    <w:p w:rsidR="009A70AD" w:rsidRDefault="00D43315" w:rsidP="00AF6939">
      <w:pPr>
        <w:pStyle w:val="Heading1"/>
        <w:jc w:val="center"/>
        <w:rPr>
          <w:b w:val="0"/>
          <w:sz w:val="25"/>
          <w:szCs w:val="25"/>
        </w:rPr>
      </w:pPr>
      <w:r w:rsidRPr="00D43315">
        <w:rPr>
          <w:rFonts w:ascii="Times New Roman" w:hAnsi="Times New Roman" w:cs="Times New Roman"/>
          <w:sz w:val="25"/>
          <w:szCs w:val="25"/>
        </w:rPr>
        <w:t>APPENDIX</w:t>
      </w:r>
      <w:bookmarkEnd w:id="6"/>
      <w:bookmarkEnd w:id="7"/>
    </w:p>
    <w:p w:rsidR="00AF6939" w:rsidRDefault="00AF6939" w:rsidP="009A70AD">
      <w:pPr>
        <w:spacing w:line="264" w:lineRule="auto"/>
        <w:ind w:left="-720" w:firstLine="720"/>
        <w:jc w:val="center"/>
        <w:rPr>
          <w:b/>
          <w:sz w:val="25"/>
          <w:szCs w:val="25"/>
        </w:rPr>
      </w:pPr>
    </w:p>
    <w:p w:rsidR="00D43315" w:rsidRPr="009A70AD" w:rsidRDefault="00D43315" w:rsidP="009A70AD">
      <w:pPr>
        <w:spacing w:line="264" w:lineRule="auto"/>
        <w:ind w:left="-720" w:firstLine="720"/>
        <w:jc w:val="center"/>
        <w:rPr>
          <w:b/>
          <w:sz w:val="25"/>
          <w:szCs w:val="25"/>
        </w:rPr>
      </w:pPr>
      <w:r w:rsidRPr="009A70AD">
        <w:rPr>
          <w:b/>
          <w:sz w:val="25"/>
          <w:szCs w:val="25"/>
        </w:rPr>
        <w:t>Settlement Agreement</w:t>
      </w:r>
    </w:p>
    <w:sectPr w:rsidR="00D43315" w:rsidRPr="009A70AD" w:rsidSect="00CC032B">
      <w:headerReference w:type="default" r:id="rId9"/>
      <w:headerReference w:type="first" r:id="rId10"/>
      <w:type w:val="continuous"/>
      <w:pgSz w:w="12240" w:h="15840" w:code="1"/>
      <w:pgMar w:top="1440" w:right="1440" w:bottom="136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932" w:rsidRDefault="008C0932">
      <w:r>
        <w:separator/>
      </w:r>
    </w:p>
  </w:endnote>
  <w:endnote w:type="continuationSeparator" w:id="0">
    <w:p w:rsidR="008C0932" w:rsidRDefault="008C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932" w:rsidRDefault="008C0932">
      <w:r>
        <w:separator/>
      </w:r>
    </w:p>
  </w:footnote>
  <w:footnote w:type="continuationSeparator" w:id="0">
    <w:p w:rsidR="008C0932" w:rsidRDefault="008C0932">
      <w:r>
        <w:continuationSeparator/>
      </w:r>
    </w:p>
  </w:footnote>
  <w:footnote w:id="1">
    <w:p w:rsidR="008C0932" w:rsidRPr="002D5E0D" w:rsidRDefault="008C0932" w:rsidP="00AD6232">
      <w:pPr>
        <w:pStyle w:val="FootnoteText"/>
        <w:spacing w:after="120"/>
        <w:rPr>
          <w:rFonts w:ascii="Times New Roman" w:hAnsi="Times New Roman"/>
          <w:sz w:val="22"/>
          <w:szCs w:val="22"/>
        </w:rPr>
      </w:pPr>
      <w:r w:rsidRPr="002D5E0D">
        <w:rPr>
          <w:rStyle w:val="FootnoteReference"/>
          <w:rFonts w:ascii="Times New Roman" w:hAnsi="Times New Roman"/>
          <w:sz w:val="22"/>
          <w:szCs w:val="22"/>
        </w:rPr>
        <w:footnoteRef/>
      </w:r>
      <w:r w:rsidRPr="002D5E0D">
        <w:rPr>
          <w:rFonts w:ascii="Times New Roman" w:hAnsi="Times New Roman"/>
          <w:sz w:val="22"/>
          <w:szCs w:val="22"/>
        </w:rPr>
        <w:t xml:space="preserve"> </w:t>
      </w:r>
      <w:r>
        <w:rPr>
          <w:rFonts w:ascii="Times New Roman" w:hAnsi="Times New Roman"/>
          <w:sz w:val="22"/>
          <w:szCs w:val="22"/>
        </w:rPr>
        <w:t xml:space="preserve">We note that this proceeding involves only PSE’s non-gas costs.  Gas costs are a pass-through item in rates regulated via Purchase Gas Adjustment proceedings conducted each fall.  Relative to the Company’s non-gas costs, PSE’s as-filed increase in this case amounts to 4.9 percent.  This is the so-called marginal increase in rates.  </w:t>
      </w:r>
    </w:p>
  </w:footnote>
  <w:footnote w:id="2">
    <w:p w:rsidR="008C0932" w:rsidRDefault="008C0932" w:rsidP="00232B89">
      <w:pPr>
        <w:pStyle w:val="FootnoteText"/>
        <w:rPr>
          <w:rFonts w:ascii="Times New Roman" w:hAnsi="Times New Roman"/>
          <w:i/>
          <w:iCs/>
          <w:sz w:val="22"/>
          <w:szCs w:val="22"/>
        </w:rPr>
      </w:pPr>
      <w:r w:rsidRPr="00232B89">
        <w:rPr>
          <w:rStyle w:val="FootnoteReference"/>
          <w:rFonts w:ascii="Times New Roman" w:hAnsi="Times New Roman"/>
          <w:sz w:val="22"/>
          <w:szCs w:val="22"/>
        </w:rPr>
        <w:footnoteRef/>
      </w:r>
      <w:r w:rsidRPr="00232B89">
        <w:rPr>
          <w:rFonts w:ascii="Times New Roman" w:hAnsi="Times New Roman"/>
          <w:sz w:val="22"/>
          <w:szCs w:val="22"/>
        </w:rPr>
        <w:t xml:space="preserve"> </w:t>
      </w:r>
      <w:r w:rsidRPr="005D3D74">
        <w:rPr>
          <w:rFonts w:ascii="Times New Roman" w:hAnsi="Times New Roman"/>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5D3D74">
        <w:rPr>
          <w:rFonts w:ascii="Times New Roman" w:hAnsi="Times New Roman"/>
          <w:i/>
          <w:sz w:val="22"/>
          <w:szCs w:val="22"/>
        </w:rPr>
        <w:t>See</w:t>
      </w:r>
      <w:r w:rsidRPr="005D3D74">
        <w:rPr>
          <w:rFonts w:ascii="Times New Roman" w:hAnsi="Times New Roman"/>
          <w:sz w:val="22"/>
          <w:szCs w:val="22"/>
        </w:rPr>
        <w:t xml:space="preserve"> </w:t>
      </w:r>
      <w:r w:rsidRPr="00E54CD8">
        <w:rPr>
          <w:rFonts w:ascii="Times New Roman" w:hAnsi="Times New Roman"/>
          <w:iCs/>
          <w:sz w:val="22"/>
          <w:szCs w:val="22"/>
        </w:rPr>
        <w:t>RCW 34.05.455</w:t>
      </w:r>
      <w:r w:rsidRPr="005D3D74">
        <w:rPr>
          <w:rFonts w:ascii="Times New Roman" w:hAnsi="Times New Roman"/>
          <w:i/>
          <w:iCs/>
          <w:sz w:val="22"/>
          <w:szCs w:val="22"/>
        </w:rPr>
        <w:t>.</w:t>
      </w:r>
    </w:p>
    <w:p w:rsidR="008C0932" w:rsidRDefault="008C0932" w:rsidP="00232B89">
      <w:pPr>
        <w:pStyle w:val="FootnoteText"/>
      </w:pPr>
    </w:p>
  </w:footnote>
  <w:footnote w:id="3">
    <w:p w:rsidR="008C0932" w:rsidRPr="002D5E0D" w:rsidRDefault="008C0932" w:rsidP="00232B89">
      <w:pPr>
        <w:pStyle w:val="FootnoteText"/>
        <w:spacing w:after="120"/>
        <w:rPr>
          <w:rFonts w:ascii="Times New Roman" w:hAnsi="Times New Roman"/>
          <w:sz w:val="22"/>
          <w:szCs w:val="22"/>
        </w:rPr>
      </w:pPr>
      <w:r w:rsidRPr="002D5E0D">
        <w:rPr>
          <w:rStyle w:val="FootnoteReference"/>
          <w:rFonts w:ascii="Times New Roman" w:hAnsi="Times New Roman"/>
          <w:sz w:val="22"/>
          <w:szCs w:val="22"/>
        </w:rPr>
        <w:footnoteRef/>
      </w:r>
      <w:r w:rsidRPr="002D5E0D">
        <w:rPr>
          <w:rFonts w:ascii="Times New Roman" w:hAnsi="Times New Roman"/>
          <w:sz w:val="22"/>
          <w:szCs w:val="22"/>
        </w:rPr>
        <w:t xml:space="preserve"> </w:t>
      </w:r>
      <w:r w:rsidRPr="00AA07AF">
        <w:rPr>
          <w:rFonts w:ascii="Times New Roman" w:hAnsi="Times New Roman"/>
          <w:i/>
          <w:sz w:val="22"/>
          <w:szCs w:val="22"/>
        </w:rPr>
        <w:t>See supra</w:t>
      </w:r>
      <w:r>
        <w:rPr>
          <w:rFonts w:ascii="Times New Roman" w:hAnsi="Times New Roman"/>
          <w:sz w:val="22"/>
          <w:szCs w:val="22"/>
        </w:rPr>
        <w:t xml:space="preserve"> footnote 1.  </w:t>
      </w:r>
    </w:p>
  </w:footnote>
  <w:footnote w:id="4">
    <w:p w:rsidR="008C0932" w:rsidRDefault="008C0932">
      <w:pPr>
        <w:pStyle w:val="FootnoteText"/>
        <w:rPr>
          <w:rFonts w:ascii="Times New Roman" w:hAnsi="Times New Roman"/>
          <w:sz w:val="22"/>
          <w:szCs w:val="22"/>
        </w:rPr>
      </w:pPr>
      <w:r w:rsidRPr="00E54CD8">
        <w:rPr>
          <w:rStyle w:val="FootnoteReference"/>
          <w:rFonts w:ascii="Times New Roman" w:hAnsi="Times New Roman"/>
          <w:sz w:val="22"/>
          <w:szCs w:val="22"/>
        </w:rPr>
        <w:footnoteRef/>
      </w:r>
      <w:r w:rsidRPr="00E54CD8">
        <w:rPr>
          <w:rStyle w:val="FootnoteReference"/>
          <w:rFonts w:ascii="Times New Roman" w:hAnsi="Times New Roman"/>
          <w:sz w:val="22"/>
          <w:szCs w:val="22"/>
        </w:rPr>
        <w:t xml:space="preserve"> </w:t>
      </w:r>
      <w:r w:rsidRPr="00E54CD8">
        <w:rPr>
          <w:rFonts w:ascii="Times New Roman" w:hAnsi="Times New Roman"/>
          <w:sz w:val="22"/>
          <w:szCs w:val="22"/>
        </w:rPr>
        <w:t>Exhibit B-2 (update of Exhibit JKP-12 showing residential customer bill impacts under the Settlement Agreement).</w:t>
      </w:r>
    </w:p>
    <w:p w:rsidR="008C0932" w:rsidRPr="00E54CD8" w:rsidRDefault="008C0932">
      <w:pPr>
        <w:pStyle w:val="FootnoteText"/>
        <w:rPr>
          <w:rFonts w:ascii="Times New Roman" w:hAnsi="Times New Roman"/>
        </w:rPr>
      </w:pPr>
    </w:p>
  </w:footnote>
  <w:footnote w:id="5">
    <w:p w:rsidR="008C0932" w:rsidRPr="00E54CD8" w:rsidRDefault="008C0932" w:rsidP="009A70AD">
      <w:pPr>
        <w:pStyle w:val="FootnoteText"/>
        <w:spacing w:after="120"/>
        <w:rPr>
          <w:rFonts w:ascii="Times New Roman" w:hAnsi="Times New Roman"/>
          <w:sz w:val="22"/>
          <w:szCs w:val="22"/>
        </w:rPr>
      </w:pPr>
      <w:r w:rsidRPr="00E54CD8">
        <w:rPr>
          <w:rStyle w:val="FootnoteReference"/>
          <w:rFonts w:ascii="Times New Roman" w:hAnsi="Times New Roman"/>
          <w:sz w:val="22"/>
          <w:szCs w:val="22"/>
        </w:rPr>
        <w:footnoteRef/>
      </w:r>
      <w:r w:rsidRPr="00E54CD8">
        <w:rPr>
          <w:rFonts w:ascii="Times New Roman" w:hAnsi="Times New Roman"/>
          <w:sz w:val="22"/>
          <w:szCs w:val="22"/>
        </w:rPr>
        <w:t xml:space="preserve"> By way of background, Staff identifies five issues on which it disagreed with PSE in terms of specific adjustments:  cost of debt; investor supplied working capital; treatment of accumulated deferred income tax benefits; staffing levels, wages, benefits and incentives; miscellaneous expenses and items included in rate base.  Exhibit Joint-1T (Joint Testimony) at 10:10-18.  Public Counsel also mentions a number of specific adjustments to which it objected, including “certain operations and maintenance expense” such as advertising costs; sponsorships; Board of Directors expenses; and use of corporate aircraft.  </w:t>
      </w:r>
      <w:r w:rsidRPr="00E54CD8">
        <w:rPr>
          <w:rFonts w:ascii="Times New Roman" w:hAnsi="Times New Roman"/>
          <w:i/>
          <w:sz w:val="22"/>
          <w:szCs w:val="22"/>
        </w:rPr>
        <w:t>Id.</w:t>
      </w:r>
      <w:r w:rsidRPr="00E54CD8">
        <w:rPr>
          <w:rFonts w:ascii="Times New Roman" w:hAnsi="Times New Roman"/>
          <w:sz w:val="22"/>
          <w:szCs w:val="22"/>
        </w:rPr>
        <w:t xml:space="preserve"> at 13:14-18.</w:t>
      </w:r>
    </w:p>
  </w:footnote>
  <w:footnote w:id="6">
    <w:p w:rsidR="008C0932" w:rsidRPr="00E54CD8" w:rsidRDefault="008C0932" w:rsidP="009A70AD">
      <w:pPr>
        <w:pStyle w:val="FootnoteText"/>
        <w:spacing w:after="120"/>
        <w:rPr>
          <w:rFonts w:ascii="Times New Roman" w:hAnsi="Times New Roman"/>
        </w:rPr>
      </w:pPr>
      <w:r w:rsidRPr="00E54CD8">
        <w:rPr>
          <w:rStyle w:val="FootnoteReference"/>
          <w:rFonts w:ascii="Times New Roman" w:hAnsi="Times New Roman"/>
          <w:sz w:val="22"/>
          <w:szCs w:val="22"/>
        </w:rPr>
        <w:footnoteRef/>
      </w:r>
      <w:r w:rsidRPr="00E54CD8">
        <w:rPr>
          <w:rFonts w:ascii="Times New Roman" w:hAnsi="Times New Roman"/>
          <w:sz w:val="22"/>
          <w:szCs w:val="22"/>
        </w:rPr>
        <w:t xml:space="preserve"> The new depreciation rates were developed in a limited scope study performed by Gannett Fleming, Inc., which is the same company that sponsored PSE's 2006 Depreciation Study.  </w:t>
      </w:r>
      <w:r w:rsidRPr="00E54CD8">
        <w:rPr>
          <w:rFonts w:ascii="Times New Roman" w:hAnsi="Times New Roman"/>
          <w:i/>
          <w:sz w:val="22"/>
          <w:szCs w:val="22"/>
        </w:rPr>
        <w:t xml:space="preserve">See </w:t>
      </w:r>
      <w:r w:rsidRPr="00E54CD8">
        <w:rPr>
          <w:rFonts w:ascii="Times New Roman" w:hAnsi="Times New Roman"/>
          <w:sz w:val="22"/>
          <w:szCs w:val="22"/>
        </w:rPr>
        <w:t>Exhibit JHS-1T (Story) at 16:19 – 18:18.</w:t>
      </w:r>
      <w:r w:rsidRPr="00E54CD8">
        <w:rPr>
          <w:rFonts w:ascii="Times New Roman" w:hAnsi="Times New Roman"/>
        </w:rPr>
        <w:t xml:space="preserve">   </w:t>
      </w:r>
    </w:p>
  </w:footnote>
  <w:footnote w:id="7">
    <w:p w:rsidR="008C0932" w:rsidRPr="00E54CD8" w:rsidRDefault="008C0932" w:rsidP="005A469B">
      <w:pPr>
        <w:pStyle w:val="FootnoteText"/>
        <w:spacing w:after="120"/>
        <w:rPr>
          <w:rFonts w:ascii="Times New Roman" w:hAnsi="Times New Roman"/>
        </w:rPr>
      </w:pPr>
      <w:r w:rsidRPr="00E54CD8">
        <w:rPr>
          <w:rStyle w:val="FootnoteReference"/>
          <w:rFonts w:ascii="Times New Roman" w:hAnsi="Times New Roman"/>
          <w:sz w:val="22"/>
          <w:szCs w:val="22"/>
        </w:rPr>
        <w:footnoteRef/>
      </w:r>
      <w:r w:rsidRPr="00E54CD8">
        <w:rPr>
          <w:rFonts w:ascii="Times New Roman" w:hAnsi="Times New Roman"/>
          <w:sz w:val="22"/>
          <w:szCs w:val="22"/>
        </w:rPr>
        <w:t xml:space="preserve"> </w:t>
      </w:r>
      <w:r w:rsidRPr="00E54CD8">
        <w:rPr>
          <w:rFonts w:ascii="Times New Roman" w:hAnsi="Times New Roman"/>
          <w:i/>
          <w:sz w:val="22"/>
          <w:szCs w:val="22"/>
        </w:rPr>
        <w:t>See supra</w:t>
      </w:r>
      <w:r w:rsidRPr="00E54CD8">
        <w:rPr>
          <w:rFonts w:ascii="Times New Roman" w:hAnsi="Times New Roman"/>
          <w:sz w:val="22"/>
          <w:szCs w:val="22"/>
        </w:rPr>
        <w:t xml:space="preserve"> footnotes 1and 3, and associated text.</w:t>
      </w:r>
    </w:p>
  </w:footnote>
  <w:footnote w:id="8">
    <w:p w:rsidR="008C0932" w:rsidRPr="00E54CD8" w:rsidRDefault="008C0932" w:rsidP="00D02DFF">
      <w:pPr>
        <w:pStyle w:val="FootnoteText"/>
        <w:spacing w:after="120"/>
        <w:rPr>
          <w:rFonts w:ascii="Times New Roman" w:hAnsi="Times New Roman"/>
        </w:rPr>
      </w:pPr>
      <w:r w:rsidRPr="00E54CD8">
        <w:rPr>
          <w:rStyle w:val="FootnoteReference"/>
          <w:rFonts w:ascii="Times New Roman" w:hAnsi="Times New Roman"/>
          <w:sz w:val="22"/>
          <w:szCs w:val="22"/>
        </w:rPr>
        <w:footnoteRef/>
      </w:r>
      <w:r w:rsidRPr="00E54CD8">
        <w:rPr>
          <w:rStyle w:val="FootnoteReference"/>
          <w:rFonts w:ascii="Times New Roman" w:hAnsi="Times New Roman"/>
        </w:rPr>
        <w:t xml:space="preserve"> </w:t>
      </w:r>
      <w:r w:rsidRPr="00E54CD8">
        <w:rPr>
          <w:rFonts w:ascii="Times New Roman" w:hAnsi="Times New Roman"/>
          <w:sz w:val="22"/>
          <w:szCs w:val="22"/>
        </w:rPr>
        <w:t>The parties confirmed at the settlement hearing that this will be a separate filing in its own docket, subject to Commission review upon its presentation at an open meeting.  The filing may appear on the Commission’s no action, consent, or discussion agenda, as appropriate.</w:t>
      </w:r>
    </w:p>
  </w:footnote>
  <w:footnote w:id="9">
    <w:p w:rsidR="008C0932" w:rsidRPr="00F64D78" w:rsidRDefault="008C0932" w:rsidP="00903C8C">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Pr>
          <w:rFonts w:ascii="Times New Roman" w:hAnsi="Times New Roman"/>
          <w:sz w:val="22"/>
          <w:szCs w:val="22"/>
        </w:rPr>
        <w:t xml:space="preserve"> </w:t>
      </w:r>
      <w:r w:rsidRPr="00F64D78">
        <w:rPr>
          <w:rFonts w:ascii="Times New Roman" w:hAnsi="Times New Roman"/>
          <w:sz w:val="22"/>
          <w:szCs w:val="22"/>
        </w:rPr>
        <w:t>Exhibit J-2 (Settlement Agreement ¶ 13 (Provision VI. G.)).</w:t>
      </w:r>
    </w:p>
  </w:footnote>
  <w:footnote w:id="10">
    <w:p w:rsidR="008C0932" w:rsidRPr="00F64D78" w:rsidRDefault="008C0932" w:rsidP="00786D98">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Pr>
          <w:rFonts w:ascii="Times New Roman" w:hAnsi="Times New Roman"/>
          <w:sz w:val="22"/>
          <w:szCs w:val="22"/>
        </w:rPr>
        <w:t xml:space="preserve"> </w:t>
      </w:r>
      <w:r w:rsidRPr="00F64D78">
        <w:rPr>
          <w:rFonts w:ascii="Times New Roman" w:hAnsi="Times New Roman"/>
          <w:sz w:val="22"/>
          <w:szCs w:val="22"/>
        </w:rPr>
        <w:t xml:space="preserve">Exhibit Joint-1T at 8:16-17; </w:t>
      </w:r>
      <w:r w:rsidRPr="00F64D78">
        <w:rPr>
          <w:rFonts w:ascii="Times New Roman" w:hAnsi="Times New Roman"/>
          <w:i/>
          <w:sz w:val="22"/>
          <w:szCs w:val="22"/>
        </w:rPr>
        <w:t>see also</w:t>
      </w:r>
      <w:r w:rsidRPr="00F64D78">
        <w:rPr>
          <w:rFonts w:ascii="Times New Roman" w:hAnsi="Times New Roman"/>
          <w:sz w:val="22"/>
          <w:szCs w:val="22"/>
        </w:rPr>
        <w:t xml:space="preserve"> Exhibit SML-1T, </w:t>
      </w:r>
      <w:r w:rsidRPr="00F64D78">
        <w:rPr>
          <w:rFonts w:ascii="Times New Roman" w:hAnsi="Times New Roman"/>
          <w:i/>
          <w:sz w:val="22"/>
          <w:szCs w:val="22"/>
        </w:rPr>
        <w:t>passim.</w:t>
      </w:r>
    </w:p>
  </w:footnote>
  <w:footnote w:id="11">
    <w:p w:rsidR="008C0932" w:rsidRPr="00F64D78" w:rsidRDefault="008C0932" w:rsidP="00181373">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Pr>
          <w:rFonts w:ascii="Times New Roman" w:hAnsi="Times New Roman"/>
          <w:sz w:val="22"/>
          <w:szCs w:val="22"/>
        </w:rPr>
        <w:t xml:space="preserve"> </w:t>
      </w:r>
      <w:r w:rsidRPr="00F64D78">
        <w:rPr>
          <w:rFonts w:ascii="Times New Roman" w:hAnsi="Times New Roman"/>
          <w:sz w:val="22"/>
          <w:szCs w:val="22"/>
        </w:rPr>
        <w:t>Exhibit Joint-1T at 9:11-13.</w:t>
      </w:r>
    </w:p>
  </w:footnote>
  <w:footnote w:id="12">
    <w:p w:rsidR="008C0932" w:rsidRPr="00F64D78" w:rsidRDefault="008C0932" w:rsidP="00786D98">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Pr>
          <w:rFonts w:ascii="Times New Roman" w:hAnsi="Times New Roman"/>
          <w:sz w:val="22"/>
          <w:szCs w:val="22"/>
        </w:rPr>
        <w:t xml:space="preserve"> </w:t>
      </w:r>
      <w:r w:rsidRPr="00F64D78">
        <w:rPr>
          <w:rFonts w:ascii="Times New Roman" w:hAnsi="Times New Roman"/>
          <w:sz w:val="22"/>
          <w:szCs w:val="22"/>
        </w:rPr>
        <w:t>Staff relates through Mr. Schooley’s testimony that its investigation included submission of numerous data requests to PSE on a wide range of topics and analysis of the Company’s responses to those requests, as well as analysis of PSE’s responses to data requests submitted by other parties; several telephone conference calls with the Company and other parties; and time spent in the Company’s Bellevue offices to review documents and to directly question Company personnel about the filing.  “In essence, Staff conducted and completed a thorough investigation of the Company’s filing in anticipation of submitting its own response case had the Parties not reached a full settlement.”  Exhibit Joint-1T at 9:15—10:4.</w:t>
      </w:r>
    </w:p>
  </w:footnote>
  <w:footnote w:id="13">
    <w:p w:rsidR="008C0932" w:rsidRPr="00F64D78" w:rsidRDefault="008C0932" w:rsidP="00181373">
      <w:pPr>
        <w:pStyle w:val="FootnoteText"/>
        <w:spacing w:after="120"/>
        <w:rPr>
          <w:rFonts w:ascii="Times New Roman" w:hAnsi="Times New Roman"/>
          <w:sz w:val="22"/>
          <w:szCs w:val="22"/>
        </w:rPr>
      </w:pPr>
      <w:r w:rsidRPr="00F64D78">
        <w:rPr>
          <w:rStyle w:val="FootnoteReference"/>
          <w:rFonts w:ascii="Times New Roman" w:hAnsi="Times New Roman"/>
          <w:sz w:val="22"/>
          <w:szCs w:val="22"/>
        </w:rPr>
        <w:footnoteRef/>
      </w:r>
      <w:r w:rsidRPr="00F64D78">
        <w:rPr>
          <w:rFonts w:ascii="Times New Roman" w:hAnsi="Times New Roman"/>
        </w:rPr>
        <w:t xml:space="preserve"> </w:t>
      </w:r>
      <w:r w:rsidRPr="00F64D78">
        <w:rPr>
          <w:rFonts w:ascii="Times New Roman" w:hAnsi="Times New Roman"/>
          <w:sz w:val="22"/>
          <w:szCs w:val="22"/>
        </w:rPr>
        <w:t>Exhibit Joint-1T at 10:6-9.</w:t>
      </w:r>
    </w:p>
  </w:footnote>
  <w:footnote w:id="14">
    <w:p w:rsidR="008C0932" w:rsidRPr="00F64D78" w:rsidRDefault="008C0932" w:rsidP="00786D98">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Pr>
          <w:rFonts w:ascii="Times New Roman" w:hAnsi="Times New Roman"/>
          <w:sz w:val="22"/>
          <w:szCs w:val="22"/>
        </w:rPr>
        <w:t xml:space="preserve"> </w:t>
      </w:r>
      <w:r w:rsidRPr="00F64D78">
        <w:rPr>
          <w:rFonts w:ascii="Times New Roman" w:hAnsi="Times New Roman"/>
          <w:sz w:val="22"/>
          <w:szCs w:val="22"/>
        </w:rPr>
        <w:t>We note again that the marginal increase in rates resulting from the settlement is 4.76 percent, a point Staff makes in its individual portion of the joint testimony.  Exhibit Joint-1T at 11:6-9.  It is particularly appropriate to take this perspective on the magnitude of the proposed change given that the proposed increase in revenue requirement, and the parties’ stated rationale for supporting it, turns on increases only in the non-gas components of the rates.</w:t>
      </w:r>
      <w:r>
        <w:rPr>
          <w:rFonts w:ascii="Times New Roman" w:hAnsi="Times New Roman"/>
          <w:sz w:val="22"/>
          <w:szCs w:val="22"/>
        </w:rPr>
        <w:t xml:space="preserve">  Our concern is more than academic.  Though those involved in the regulatory process can easily distinguish between a PGA proceeding and a rate case involving non-gas costs, we suspect that the average ratepayer may not.  A 1.8 percent increase may not seem like much, but, if it is coupled a few months later with a rate case through the PGA mechanism, it may seem more significant.  It may be difficult to explain the separate avenues for gas rate adjustments, but we should err on the side of communicating more information rather than less in the hope that confusion will be minimized.   </w:t>
      </w:r>
    </w:p>
  </w:footnote>
  <w:footnote w:id="15">
    <w:p w:rsidR="008C0932" w:rsidRPr="00F64D78" w:rsidRDefault="008C0932" w:rsidP="00786D98">
      <w:pPr>
        <w:pStyle w:val="FootnoteText"/>
        <w:spacing w:after="120"/>
        <w:rPr>
          <w:rFonts w:ascii="Times New Roman" w:hAnsi="Times New Roman"/>
          <w:sz w:val="22"/>
          <w:szCs w:val="22"/>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sidRPr="00F64D78">
        <w:rPr>
          <w:rFonts w:ascii="Times New Roman" w:hAnsi="Times New Roman"/>
          <w:i/>
          <w:sz w:val="22"/>
          <w:szCs w:val="22"/>
        </w:rPr>
        <w:t>See generally</w:t>
      </w:r>
      <w:r w:rsidRPr="00F64D78">
        <w:rPr>
          <w:rFonts w:ascii="Times New Roman" w:hAnsi="Times New Roman"/>
          <w:sz w:val="22"/>
          <w:szCs w:val="22"/>
        </w:rPr>
        <w:t xml:space="preserve"> Exhibits JHS-1T (Story) and SML-1T (McLain).</w:t>
      </w:r>
    </w:p>
  </w:footnote>
  <w:footnote w:id="16">
    <w:p w:rsidR="008C0932" w:rsidRPr="00F64D78" w:rsidRDefault="008C0932" w:rsidP="00786D98">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Fonts w:ascii="Times New Roman" w:hAnsi="Times New Roman"/>
        </w:rPr>
        <w:t xml:space="preserve"> </w:t>
      </w:r>
      <w:r w:rsidRPr="00F64D78">
        <w:rPr>
          <w:rFonts w:ascii="Times New Roman" w:hAnsi="Times New Roman"/>
          <w:i/>
          <w:sz w:val="22"/>
          <w:szCs w:val="22"/>
        </w:rPr>
        <w:t>See supra</w:t>
      </w:r>
      <w:r w:rsidRPr="00F64D78">
        <w:rPr>
          <w:rFonts w:ascii="Times New Roman" w:hAnsi="Times New Roman"/>
          <w:sz w:val="22"/>
          <w:szCs w:val="22"/>
        </w:rPr>
        <w:t xml:space="preserve"> footnote 4.</w:t>
      </w:r>
    </w:p>
  </w:footnote>
  <w:footnote w:id="17">
    <w:p w:rsidR="008C0932" w:rsidRPr="00F64D78" w:rsidRDefault="008C0932" w:rsidP="00786D98">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Fonts w:ascii="Times New Roman" w:hAnsi="Times New Roman"/>
        </w:rPr>
        <w:t xml:space="preserve"> </w:t>
      </w:r>
      <w:r w:rsidRPr="00F64D78">
        <w:rPr>
          <w:rFonts w:ascii="Times New Roman" w:hAnsi="Times New Roman"/>
          <w:sz w:val="22"/>
          <w:szCs w:val="22"/>
        </w:rPr>
        <w:t>Exhibit Joint-1T at 10:20</w:t>
      </w:r>
      <w:r>
        <w:rPr>
          <w:rFonts w:ascii="Times New Roman" w:hAnsi="Times New Roman"/>
          <w:sz w:val="22"/>
          <w:szCs w:val="22"/>
        </w:rPr>
        <w:t xml:space="preserve"> – 11.3.</w:t>
      </w:r>
      <w:r w:rsidRPr="00F64D78">
        <w:rPr>
          <w:rFonts w:ascii="Times New Roman" w:hAnsi="Times New Roman"/>
          <w:sz w:val="22"/>
          <w:szCs w:val="22"/>
        </w:rPr>
        <w:t>.</w:t>
      </w:r>
    </w:p>
  </w:footnote>
  <w:footnote w:id="18">
    <w:p w:rsidR="008C0932" w:rsidRPr="00F64D78" w:rsidRDefault="008C0932" w:rsidP="00786D98">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sidRPr="00F64D78">
        <w:rPr>
          <w:rFonts w:ascii="Times New Roman" w:hAnsi="Times New Roman"/>
          <w:sz w:val="22"/>
          <w:szCs w:val="22"/>
        </w:rPr>
        <w:t>Exhibit Joint-2 (Settlement Agreement ¶ 13 (Provision VI. G.)).</w:t>
      </w:r>
    </w:p>
  </w:footnote>
  <w:footnote w:id="19">
    <w:p w:rsidR="008C0932" w:rsidRPr="00F64D78" w:rsidRDefault="008C0932" w:rsidP="00786D98">
      <w:pPr>
        <w:pStyle w:val="FootnoteText"/>
        <w:spacing w:after="120"/>
        <w:rPr>
          <w:rFonts w:ascii="Times New Roman" w:hAnsi="Times New Roman"/>
          <w:sz w:val="22"/>
          <w:szCs w:val="22"/>
        </w:rPr>
      </w:pPr>
      <w:r w:rsidRPr="00F64D78">
        <w:rPr>
          <w:rStyle w:val="FootnoteReference"/>
          <w:rFonts w:ascii="Times New Roman" w:hAnsi="Times New Roman"/>
          <w:sz w:val="22"/>
          <w:szCs w:val="22"/>
        </w:rPr>
        <w:footnoteRef/>
      </w:r>
      <w:r w:rsidRPr="00F64D78">
        <w:rPr>
          <w:rFonts w:ascii="Times New Roman" w:hAnsi="Times New Roman"/>
        </w:rPr>
        <w:t xml:space="preserve"> </w:t>
      </w:r>
      <w:r w:rsidRPr="00F64D78">
        <w:rPr>
          <w:rFonts w:ascii="Times New Roman" w:hAnsi="Times New Roman"/>
          <w:sz w:val="22"/>
          <w:szCs w:val="22"/>
        </w:rPr>
        <w:t xml:space="preserve">We note in this regard that the Commission increasingly finds so-called black-box settlements a </w:t>
      </w:r>
      <w:r>
        <w:rPr>
          <w:rFonts w:ascii="Times New Roman" w:hAnsi="Times New Roman"/>
          <w:sz w:val="22"/>
          <w:szCs w:val="22"/>
        </w:rPr>
        <w:t>problematic</w:t>
      </w:r>
      <w:r w:rsidRPr="00F64D78">
        <w:rPr>
          <w:rFonts w:ascii="Times New Roman" w:hAnsi="Times New Roman"/>
          <w:sz w:val="22"/>
          <w:szCs w:val="22"/>
        </w:rPr>
        <w:t xml:space="preserve"> outcome in rate proceedings for our larger jurisdictional utilities.  While we are </w:t>
      </w:r>
      <w:r>
        <w:rPr>
          <w:rFonts w:ascii="Times New Roman" w:hAnsi="Times New Roman"/>
          <w:sz w:val="22"/>
          <w:szCs w:val="22"/>
        </w:rPr>
        <w:t xml:space="preserve">generally </w:t>
      </w:r>
      <w:r w:rsidRPr="00F64D78">
        <w:rPr>
          <w:rFonts w:ascii="Times New Roman" w:hAnsi="Times New Roman"/>
          <w:sz w:val="22"/>
          <w:szCs w:val="22"/>
        </w:rPr>
        <w:t>satisfied in this proceeding with Staff’s representations concerning the rigor of its review, we nevertheless observe that without the benefit of response testimony our ability to review of the Company’s financial circumstances vis-à-vis the proposed settlement</w:t>
      </w:r>
      <w:r>
        <w:rPr>
          <w:rFonts w:ascii="Times New Roman" w:hAnsi="Times New Roman"/>
          <w:sz w:val="22"/>
          <w:szCs w:val="22"/>
        </w:rPr>
        <w:t>, and therefore fulfill our statutory duty to ensure that rates are fair, just, reasonable, and sufficient,</w:t>
      </w:r>
      <w:r w:rsidRPr="00F64D78">
        <w:rPr>
          <w:rFonts w:ascii="Times New Roman" w:hAnsi="Times New Roman"/>
          <w:sz w:val="22"/>
          <w:szCs w:val="22"/>
        </w:rPr>
        <w:t xml:space="preserve"> may be more limited than is ideal.</w:t>
      </w:r>
    </w:p>
  </w:footnote>
  <w:footnote w:id="20">
    <w:p w:rsidR="008C0932" w:rsidRPr="00786D98" w:rsidRDefault="008C0932" w:rsidP="00786D98">
      <w:pPr>
        <w:pStyle w:val="FootnoteText"/>
        <w:spacing w:after="120"/>
        <w:rPr>
          <w:rFonts w:ascii="Times New Roman" w:hAnsi="Times New Roman"/>
          <w:sz w:val="22"/>
          <w:szCs w:val="22"/>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sidRPr="00F64D78">
        <w:rPr>
          <w:rFonts w:ascii="Times New Roman" w:hAnsi="Times New Roman"/>
          <w:sz w:val="22"/>
          <w:szCs w:val="22"/>
        </w:rPr>
        <w:t>Exhibit Joint-1T at 13:18-22.</w:t>
      </w:r>
    </w:p>
  </w:footnote>
  <w:footnote w:id="21">
    <w:p w:rsidR="008C0932" w:rsidRPr="00F64D78" w:rsidRDefault="008C0932" w:rsidP="00786D98">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sidRPr="00F64D78">
        <w:rPr>
          <w:rFonts w:ascii="Times New Roman" w:hAnsi="Times New Roman"/>
          <w:i/>
          <w:sz w:val="22"/>
          <w:szCs w:val="22"/>
        </w:rPr>
        <w:t>Id.</w:t>
      </w:r>
      <w:r w:rsidRPr="00F64D78">
        <w:rPr>
          <w:rFonts w:ascii="Times New Roman" w:hAnsi="Times New Roman"/>
          <w:sz w:val="22"/>
          <w:szCs w:val="22"/>
        </w:rPr>
        <w:t xml:space="preserve"> at 15:10-14.</w:t>
      </w:r>
    </w:p>
  </w:footnote>
  <w:footnote w:id="22">
    <w:p w:rsidR="008C0932" w:rsidRPr="00F64D78" w:rsidRDefault="008C0932" w:rsidP="00786D98">
      <w:pPr>
        <w:pStyle w:val="FootnoteText"/>
        <w:spacing w:after="120"/>
        <w:rPr>
          <w:rFonts w:ascii="Times New Roman" w:hAnsi="Times New Roman"/>
          <w:sz w:val="22"/>
          <w:szCs w:val="22"/>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sidRPr="00F64D78">
        <w:rPr>
          <w:rFonts w:ascii="Times New Roman" w:hAnsi="Times New Roman"/>
          <w:i/>
          <w:sz w:val="22"/>
          <w:szCs w:val="22"/>
        </w:rPr>
        <w:t>Id.</w:t>
      </w:r>
      <w:r w:rsidRPr="00F64D78">
        <w:rPr>
          <w:rFonts w:ascii="Times New Roman" w:hAnsi="Times New Roman"/>
          <w:sz w:val="22"/>
          <w:szCs w:val="22"/>
        </w:rPr>
        <w:t xml:space="preserve"> at 17:10-13.</w:t>
      </w:r>
    </w:p>
  </w:footnote>
  <w:footnote w:id="23">
    <w:p w:rsidR="008C0932" w:rsidRPr="00F64D78" w:rsidRDefault="008C0932" w:rsidP="00786D98">
      <w:pPr>
        <w:pStyle w:val="FootnoteText"/>
        <w:spacing w:after="120"/>
        <w:rPr>
          <w:rFonts w:ascii="Times New Roman" w:hAnsi="Times New Roman"/>
        </w:rPr>
      </w:pPr>
      <w:r w:rsidRPr="00F64D78">
        <w:rPr>
          <w:rStyle w:val="FootnoteReference"/>
          <w:rFonts w:ascii="Times New Roman" w:hAnsi="Times New Roman"/>
          <w:sz w:val="22"/>
          <w:szCs w:val="22"/>
        </w:rPr>
        <w:footnoteRef/>
      </w:r>
      <w:r w:rsidRPr="00F64D78">
        <w:rPr>
          <w:rStyle w:val="FootnoteReference"/>
          <w:rFonts w:ascii="Times New Roman" w:hAnsi="Times New Roman"/>
          <w:sz w:val="22"/>
          <w:szCs w:val="22"/>
        </w:rPr>
        <w:t xml:space="preserve"> </w:t>
      </w:r>
      <w:r w:rsidRPr="00F64D78">
        <w:rPr>
          <w:rFonts w:ascii="Times New Roman" w:hAnsi="Times New Roman"/>
          <w:i/>
          <w:sz w:val="22"/>
          <w:szCs w:val="22"/>
        </w:rPr>
        <w:t>Id.</w:t>
      </w:r>
      <w:r w:rsidRPr="00F64D78">
        <w:rPr>
          <w:rFonts w:ascii="Times New Roman" w:hAnsi="Times New Roman"/>
          <w:sz w:val="22"/>
          <w:szCs w:val="22"/>
        </w:rPr>
        <w:t xml:space="preserve"> at 17:13-19</w:t>
      </w:r>
      <w:r w:rsidRPr="00F64D78">
        <w:rPr>
          <w:rFonts w:ascii="Times New Roman" w:hAnsi="Times New Roman"/>
        </w:rPr>
        <w:t>.</w:t>
      </w:r>
    </w:p>
  </w:footnote>
  <w:footnote w:id="24">
    <w:p w:rsidR="008C0932" w:rsidRPr="00786D98" w:rsidRDefault="008C0932" w:rsidP="00786D98">
      <w:pPr>
        <w:pStyle w:val="FootnoteText"/>
        <w:spacing w:after="120"/>
        <w:rPr>
          <w:rFonts w:ascii="Times New Roman" w:hAnsi="Times New Roman"/>
          <w:sz w:val="22"/>
          <w:szCs w:val="22"/>
        </w:rPr>
      </w:pPr>
      <w:r w:rsidRPr="00F64D78">
        <w:rPr>
          <w:rStyle w:val="FootnoteReference"/>
          <w:rFonts w:ascii="Times New Roman" w:hAnsi="Times New Roman"/>
          <w:sz w:val="22"/>
          <w:szCs w:val="22"/>
        </w:rPr>
        <w:footnoteRef/>
      </w:r>
      <w:r w:rsidRPr="00F64D78">
        <w:rPr>
          <w:rFonts w:ascii="Times New Roman" w:hAnsi="Times New Roman"/>
        </w:rPr>
        <w:t xml:space="preserve"> </w:t>
      </w:r>
      <w:r w:rsidRPr="00F64D78">
        <w:rPr>
          <w:rFonts w:ascii="Times New Roman" w:hAnsi="Times New Roman"/>
          <w:sz w:val="22"/>
          <w:szCs w:val="22"/>
        </w:rPr>
        <w:t>Exhibit Joint-2 (Settlement Agreement ¶ 11 (Provision VI. E.)).</w:t>
      </w:r>
    </w:p>
  </w:footnote>
  <w:footnote w:id="25">
    <w:p w:rsidR="008C0932" w:rsidRPr="009542C2" w:rsidRDefault="008C0932" w:rsidP="00DC50C7">
      <w:pPr>
        <w:pStyle w:val="FootnoteText"/>
        <w:spacing w:after="120"/>
        <w:rPr>
          <w:rFonts w:ascii="Times New Roman" w:hAnsi="Times New Roman"/>
        </w:rPr>
      </w:pPr>
      <w:r w:rsidRPr="009542C2">
        <w:rPr>
          <w:rStyle w:val="FootnoteReference"/>
          <w:rFonts w:ascii="Times New Roman" w:hAnsi="Times New Roman"/>
          <w:sz w:val="22"/>
          <w:szCs w:val="22"/>
        </w:rPr>
        <w:footnoteRef/>
      </w:r>
      <w:r w:rsidRPr="009542C2">
        <w:rPr>
          <w:rFonts w:ascii="Times New Roman" w:hAnsi="Times New Roman"/>
          <w:sz w:val="22"/>
          <w:szCs w:val="22"/>
        </w:rPr>
        <w:t xml:space="preserve"> </w:t>
      </w:r>
      <w:r w:rsidRPr="009542C2">
        <w:rPr>
          <w:rFonts w:ascii="Times New Roman" w:hAnsi="Times New Roman"/>
          <w:i/>
          <w:sz w:val="22"/>
          <w:szCs w:val="22"/>
        </w:rPr>
        <w:t>Id.</w:t>
      </w:r>
      <w:r w:rsidRPr="009542C2">
        <w:rPr>
          <w:rFonts w:ascii="Times New Roman" w:hAnsi="Times New Roman"/>
        </w:rPr>
        <w:t xml:space="preserve"> </w:t>
      </w:r>
    </w:p>
  </w:footnote>
  <w:footnote w:id="26">
    <w:p w:rsidR="008C0932" w:rsidRPr="009542C2" w:rsidRDefault="008C0932" w:rsidP="00786D98">
      <w:pPr>
        <w:pStyle w:val="FootnoteText"/>
        <w:spacing w:after="120"/>
        <w:rPr>
          <w:rFonts w:ascii="Times New Roman" w:hAnsi="Times New Roman"/>
        </w:rPr>
      </w:pPr>
      <w:r w:rsidRPr="009542C2">
        <w:rPr>
          <w:rStyle w:val="FootnoteReference"/>
          <w:rFonts w:ascii="Times New Roman" w:hAnsi="Times New Roman"/>
          <w:sz w:val="22"/>
          <w:szCs w:val="22"/>
        </w:rPr>
        <w:footnoteRef/>
      </w:r>
      <w:r w:rsidRPr="009542C2">
        <w:rPr>
          <w:rFonts w:ascii="Times New Roman" w:hAnsi="Times New Roman"/>
        </w:rPr>
        <w:t xml:space="preserve"> </w:t>
      </w:r>
      <w:r w:rsidRPr="009542C2">
        <w:rPr>
          <w:rFonts w:ascii="Times New Roman" w:hAnsi="Times New Roman"/>
          <w:sz w:val="22"/>
          <w:szCs w:val="22"/>
        </w:rPr>
        <w:t>Exhibit Joint-1T at 17:2-5</w:t>
      </w:r>
      <w:r w:rsidRPr="009542C2">
        <w:rPr>
          <w:rFonts w:ascii="Times New Roman" w:hAnsi="Times New Roman"/>
        </w:rPr>
        <w:t>.</w:t>
      </w:r>
    </w:p>
  </w:footnote>
  <w:footnote w:id="27">
    <w:p w:rsidR="008C0932" w:rsidRDefault="008C0932" w:rsidP="00786D98">
      <w:pPr>
        <w:pStyle w:val="FootnoteText"/>
        <w:spacing w:after="120"/>
      </w:pPr>
      <w:r w:rsidRPr="009542C2">
        <w:rPr>
          <w:rStyle w:val="FootnoteReference"/>
          <w:rFonts w:ascii="Times New Roman" w:hAnsi="Times New Roman"/>
          <w:sz w:val="22"/>
          <w:szCs w:val="22"/>
        </w:rPr>
        <w:footnoteRef/>
      </w:r>
      <w:r w:rsidRPr="009542C2">
        <w:rPr>
          <w:rStyle w:val="FootnoteReference"/>
          <w:rFonts w:ascii="Times New Roman" w:hAnsi="Times New Roman"/>
          <w:sz w:val="22"/>
          <w:szCs w:val="22"/>
        </w:rPr>
        <w:t xml:space="preserve"> </w:t>
      </w:r>
      <w:r w:rsidRPr="009542C2">
        <w:rPr>
          <w:rFonts w:ascii="Times New Roman" w:hAnsi="Times New Roman"/>
          <w:sz w:val="22"/>
          <w:szCs w:val="22"/>
        </w:rPr>
        <w:t>Exhibit Joint-2 (Settlement Agreement ¶ 12 (Provision VI. F.)).</w:t>
      </w:r>
    </w:p>
  </w:footnote>
  <w:footnote w:id="28">
    <w:p w:rsidR="008C0932" w:rsidRPr="009542C2" w:rsidRDefault="008C0932" w:rsidP="00903C8C">
      <w:pPr>
        <w:pStyle w:val="FootnoteText"/>
        <w:spacing w:after="120"/>
        <w:rPr>
          <w:rFonts w:ascii="Times New Roman" w:hAnsi="Times New Roman"/>
        </w:rPr>
      </w:pPr>
      <w:r w:rsidRPr="009542C2">
        <w:rPr>
          <w:rStyle w:val="FootnoteReference"/>
          <w:rFonts w:ascii="Times New Roman" w:hAnsi="Times New Roman"/>
          <w:sz w:val="22"/>
          <w:szCs w:val="22"/>
        </w:rPr>
        <w:footnoteRef/>
      </w:r>
      <w:r w:rsidRPr="009542C2">
        <w:rPr>
          <w:rFonts w:ascii="Times New Roman" w:hAnsi="Times New Roman"/>
          <w:sz w:val="22"/>
          <w:szCs w:val="22"/>
        </w:rPr>
        <w:t xml:space="preserve"> Exhibit Joint-1T at 18:23 – 19:2.</w:t>
      </w:r>
    </w:p>
  </w:footnote>
  <w:footnote w:id="29">
    <w:p w:rsidR="008C0932" w:rsidRPr="009542C2" w:rsidRDefault="008C0932">
      <w:pPr>
        <w:pStyle w:val="FootnoteText"/>
        <w:rPr>
          <w:rFonts w:ascii="Times New Roman" w:hAnsi="Times New Roman"/>
        </w:rPr>
      </w:pPr>
      <w:r w:rsidRPr="009542C2">
        <w:rPr>
          <w:rStyle w:val="FootnoteReference"/>
          <w:rFonts w:ascii="Times New Roman" w:hAnsi="Times New Roman"/>
          <w:sz w:val="22"/>
          <w:szCs w:val="22"/>
        </w:rPr>
        <w:footnoteRef/>
      </w:r>
      <w:r w:rsidRPr="009542C2">
        <w:rPr>
          <w:rFonts w:ascii="Times New Roman" w:hAnsi="Times New Roman"/>
          <w:sz w:val="22"/>
          <w:szCs w:val="22"/>
        </w:rPr>
        <w:t xml:space="preserve"> Exhibit B-1.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32" w:rsidRPr="00A3058F" w:rsidRDefault="008C0932">
    <w:pPr>
      <w:pStyle w:val="Header"/>
      <w:tabs>
        <w:tab w:val="left" w:pos="7500"/>
      </w:tabs>
      <w:rPr>
        <w:rStyle w:val="PageNumber"/>
        <w:b/>
        <w:sz w:val="20"/>
        <w:szCs w:val="20"/>
      </w:rPr>
    </w:pPr>
    <w:r w:rsidRPr="00A3058F">
      <w:rPr>
        <w:b/>
        <w:sz w:val="20"/>
        <w:szCs w:val="20"/>
      </w:rPr>
      <w:t>DOCKET UG-</w:t>
    </w:r>
    <w:r>
      <w:rPr>
        <w:b/>
        <w:sz w:val="20"/>
        <w:szCs w:val="20"/>
      </w:rPr>
      <w:t>101644</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4731E6">
      <w:rPr>
        <w:rStyle w:val="PageNumber"/>
        <w:b/>
        <w:noProof/>
        <w:sz w:val="20"/>
        <w:szCs w:val="20"/>
      </w:rPr>
      <w:t>13</w:t>
    </w:r>
    <w:r w:rsidRPr="00A3058F">
      <w:rPr>
        <w:rStyle w:val="PageNumber"/>
        <w:b/>
        <w:sz w:val="20"/>
        <w:szCs w:val="20"/>
      </w:rPr>
      <w:fldChar w:fldCharType="end"/>
    </w:r>
  </w:p>
  <w:p w:rsidR="008C0932" w:rsidRPr="00A3058F" w:rsidRDefault="008C0932">
    <w:pPr>
      <w:pStyle w:val="Header"/>
      <w:tabs>
        <w:tab w:val="left" w:pos="7500"/>
      </w:tabs>
      <w:rPr>
        <w:b/>
        <w:sz w:val="20"/>
        <w:szCs w:val="20"/>
      </w:rPr>
    </w:pPr>
    <w:r w:rsidRPr="00A3058F">
      <w:rPr>
        <w:b/>
        <w:sz w:val="20"/>
        <w:szCs w:val="20"/>
      </w:rPr>
      <w:t xml:space="preserve">ORDER </w:t>
    </w:r>
    <w:r>
      <w:rPr>
        <w:b/>
        <w:sz w:val="20"/>
        <w:szCs w:val="20"/>
      </w:rPr>
      <w:t>04</w:t>
    </w:r>
  </w:p>
  <w:p w:rsidR="008C0932" w:rsidRPr="00A3058F" w:rsidRDefault="008C0932">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32" w:rsidRPr="00F1163C" w:rsidRDefault="008C0932" w:rsidP="0073746E">
    <w:pPr>
      <w:pStyle w:val="Header"/>
      <w:tabs>
        <w:tab w:val="clear" w:pos="4320"/>
        <w:tab w:val="clear" w:pos="8640"/>
        <w:tab w:val="right" w:pos="8500"/>
      </w:tabs>
      <w:rPr>
        <w:b/>
        <w:sz w:val="20"/>
        <w:szCs w:val="20"/>
      </w:rPr>
    </w:pPr>
    <w:r>
      <w:tab/>
    </w:r>
    <w:r w:rsidR="00F1163C" w:rsidRPr="00F1163C">
      <w:rPr>
        <w:b/>
        <w:sz w:val="20"/>
        <w:szCs w:val="20"/>
      </w:rPr>
      <w:t>[Service Date March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3"/>
  </w:num>
  <w:num w:numId="3">
    <w:abstractNumId w:val="1"/>
  </w:num>
  <w:num w:numId="4">
    <w:abstractNumId w:val="17"/>
  </w:num>
  <w:num w:numId="5">
    <w:abstractNumId w:val="3"/>
  </w:num>
  <w:num w:numId="6">
    <w:abstractNumId w:val="14"/>
  </w:num>
  <w:num w:numId="7">
    <w:abstractNumId w:val="9"/>
  </w:num>
  <w:num w:numId="8">
    <w:abstractNumId w:val="16"/>
  </w:num>
  <w:num w:numId="9">
    <w:abstractNumId w:val="12"/>
  </w:num>
  <w:num w:numId="10">
    <w:abstractNumId w:val="4"/>
  </w:num>
  <w:num w:numId="11">
    <w:abstractNumId w:val="8"/>
  </w:num>
  <w:num w:numId="12">
    <w:abstractNumId w:val="15"/>
  </w:num>
  <w:num w:numId="13">
    <w:abstractNumId w:val="0"/>
  </w:num>
  <w:num w:numId="14">
    <w:abstractNumId w:val="2"/>
  </w:num>
  <w:num w:numId="15">
    <w:abstractNumId w:val="5"/>
  </w:num>
  <w:num w:numId="16">
    <w:abstractNumId w:val="4"/>
  </w:num>
  <w:num w:numId="17">
    <w:abstractNumId w:val="1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3D"/>
    <w:rsid w:val="00012302"/>
    <w:rsid w:val="000224B4"/>
    <w:rsid w:val="00024C91"/>
    <w:rsid w:val="00037DBD"/>
    <w:rsid w:val="00086E06"/>
    <w:rsid w:val="00091417"/>
    <w:rsid w:val="000A18F8"/>
    <w:rsid w:val="000A6204"/>
    <w:rsid w:val="000B4021"/>
    <w:rsid w:val="000C1BF5"/>
    <w:rsid w:val="000E1FB2"/>
    <w:rsid w:val="000F2CED"/>
    <w:rsid w:val="000F2DBA"/>
    <w:rsid w:val="001066EB"/>
    <w:rsid w:val="00122A12"/>
    <w:rsid w:val="00125415"/>
    <w:rsid w:val="0013106B"/>
    <w:rsid w:val="00135F80"/>
    <w:rsid w:val="001413A3"/>
    <w:rsid w:val="00154489"/>
    <w:rsid w:val="00161D01"/>
    <w:rsid w:val="00180F50"/>
    <w:rsid w:val="00181373"/>
    <w:rsid w:val="00190527"/>
    <w:rsid w:val="001968F4"/>
    <w:rsid w:val="001B5A4D"/>
    <w:rsid w:val="001B76E5"/>
    <w:rsid w:val="001D0C18"/>
    <w:rsid w:val="001D104F"/>
    <w:rsid w:val="001D14F2"/>
    <w:rsid w:val="001D51DF"/>
    <w:rsid w:val="001E0579"/>
    <w:rsid w:val="001E224F"/>
    <w:rsid w:val="00210B72"/>
    <w:rsid w:val="002130A7"/>
    <w:rsid w:val="00222C70"/>
    <w:rsid w:val="002267F5"/>
    <w:rsid w:val="0023263D"/>
    <w:rsid w:val="00232B89"/>
    <w:rsid w:val="00250A0C"/>
    <w:rsid w:val="00267DD6"/>
    <w:rsid w:val="0027078C"/>
    <w:rsid w:val="00290475"/>
    <w:rsid w:val="002905AB"/>
    <w:rsid w:val="00294903"/>
    <w:rsid w:val="002959DD"/>
    <w:rsid w:val="002A1059"/>
    <w:rsid w:val="002B464B"/>
    <w:rsid w:val="002B68BD"/>
    <w:rsid w:val="002D5E0D"/>
    <w:rsid w:val="002D64F4"/>
    <w:rsid w:val="002E6E0D"/>
    <w:rsid w:val="002F07C0"/>
    <w:rsid w:val="002F288C"/>
    <w:rsid w:val="002F4B2B"/>
    <w:rsid w:val="0030533C"/>
    <w:rsid w:val="00307CC6"/>
    <w:rsid w:val="003123EC"/>
    <w:rsid w:val="00313E96"/>
    <w:rsid w:val="00320FEB"/>
    <w:rsid w:val="00333288"/>
    <w:rsid w:val="003370BA"/>
    <w:rsid w:val="00341F6A"/>
    <w:rsid w:val="003470F7"/>
    <w:rsid w:val="003633BB"/>
    <w:rsid w:val="003768B2"/>
    <w:rsid w:val="003814A6"/>
    <w:rsid w:val="00387738"/>
    <w:rsid w:val="00394F38"/>
    <w:rsid w:val="00395206"/>
    <w:rsid w:val="003D2BB6"/>
    <w:rsid w:val="003D6235"/>
    <w:rsid w:val="003E3E5B"/>
    <w:rsid w:val="003E46B3"/>
    <w:rsid w:val="00415096"/>
    <w:rsid w:val="00415CF5"/>
    <w:rsid w:val="00426D95"/>
    <w:rsid w:val="00430547"/>
    <w:rsid w:val="00451CE6"/>
    <w:rsid w:val="00455574"/>
    <w:rsid w:val="00471A92"/>
    <w:rsid w:val="00471CF2"/>
    <w:rsid w:val="004731E6"/>
    <w:rsid w:val="004923C7"/>
    <w:rsid w:val="004945F3"/>
    <w:rsid w:val="004963E4"/>
    <w:rsid w:val="004A50F1"/>
    <w:rsid w:val="004B3C0B"/>
    <w:rsid w:val="004B5CFA"/>
    <w:rsid w:val="004C7F1F"/>
    <w:rsid w:val="004D154F"/>
    <w:rsid w:val="004D2B55"/>
    <w:rsid w:val="004D41BB"/>
    <w:rsid w:val="004D5C4D"/>
    <w:rsid w:val="004D7633"/>
    <w:rsid w:val="004E0AF4"/>
    <w:rsid w:val="004F0424"/>
    <w:rsid w:val="004F5D4C"/>
    <w:rsid w:val="00500633"/>
    <w:rsid w:val="005137F2"/>
    <w:rsid w:val="005320E3"/>
    <w:rsid w:val="00532BA9"/>
    <w:rsid w:val="00532CAF"/>
    <w:rsid w:val="005332E5"/>
    <w:rsid w:val="005578B1"/>
    <w:rsid w:val="0058553B"/>
    <w:rsid w:val="00585A04"/>
    <w:rsid w:val="00592F9C"/>
    <w:rsid w:val="005950A1"/>
    <w:rsid w:val="005A051C"/>
    <w:rsid w:val="005A2B62"/>
    <w:rsid w:val="005A37BC"/>
    <w:rsid w:val="005A469B"/>
    <w:rsid w:val="005A608F"/>
    <w:rsid w:val="005C2084"/>
    <w:rsid w:val="005D5C04"/>
    <w:rsid w:val="005E2EFB"/>
    <w:rsid w:val="0060348B"/>
    <w:rsid w:val="0062391D"/>
    <w:rsid w:val="006418A3"/>
    <w:rsid w:val="0064523D"/>
    <w:rsid w:val="006463BF"/>
    <w:rsid w:val="00657C3C"/>
    <w:rsid w:val="00661B90"/>
    <w:rsid w:val="00696319"/>
    <w:rsid w:val="006B7DFD"/>
    <w:rsid w:val="006C0E03"/>
    <w:rsid w:val="006C48F0"/>
    <w:rsid w:val="006C5A2E"/>
    <w:rsid w:val="006C7140"/>
    <w:rsid w:val="006D7072"/>
    <w:rsid w:val="006E1E9F"/>
    <w:rsid w:val="006E29D9"/>
    <w:rsid w:val="006E33BA"/>
    <w:rsid w:val="006E4A01"/>
    <w:rsid w:val="006F1F39"/>
    <w:rsid w:val="00704413"/>
    <w:rsid w:val="00705F32"/>
    <w:rsid w:val="00721611"/>
    <w:rsid w:val="0073746E"/>
    <w:rsid w:val="00740ED6"/>
    <w:rsid w:val="0075002E"/>
    <w:rsid w:val="007645F9"/>
    <w:rsid w:val="00765FAD"/>
    <w:rsid w:val="0077090B"/>
    <w:rsid w:val="0077744C"/>
    <w:rsid w:val="007825EA"/>
    <w:rsid w:val="00785CBF"/>
    <w:rsid w:val="00786D98"/>
    <w:rsid w:val="007B1D79"/>
    <w:rsid w:val="007B37AC"/>
    <w:rsid w:val="007C091F"/>
    <w:rsid w:val="007C2BFB"/>
    <w:rsid w:val="007D4FC7"/>
    <w:rsid w:val="00802153"/>
    <w:rsid w:val="00822A23"/>
    <w:rsid w:val="00824146"/>
    <w:rsid w:val="0082598E"/>
    <w:rsid w:val="0082609C"/>
    <w:rsid w:val="00855941"/>
    <w:rsid w:val="008560D7"/>
    <w:rsid w:val="00860F65"/>
    <w:rsid w:val="00861C6B"/>
    <w:rsid w:val="0087122A"/>
    <w:rsid w:val="00871A60"/>
    <w:rsid w:val="00875BE0"/>
    <w:rsid w:val="00880E90"/>
    <w:rsid w:val="008A6FD7"/>
    <w:rsid w:val="008B1787"/>
    <w:rsid w:val="008B23AC"/>
    <w:rsid w:val="008B5C5E"/>
    <w:rsid w:val="008C0932"/>
    <w:rsid w:val="008D3550"/>
    <w:rsid w:val="00902812"/>
    <w:rsid w:val="00903C8C"/>
    <w:rsid w:val="00911F81"/>
    <w:rsid w:val="00913F3A"/>
    <w:rsid w:val="0092598F"/>
    <w:rsid w:val="00935719"/>
    <w:rsid w:val="0094070D"/>
    <w:rsid w:val="009418E1"/>
    <w:rsid w:val="0094428E"/>
    <w:rsid w:val="0094590A"/>
    <w:rsid w:val="009542C2"/>
    <w:rsid w:val="00955D5D"/>
    <w:rsid w:val="0096361D"/>
    <w:rsid w:val="009974D9"/>
    <w:rsid w:val="009A14DC"/>
    <w:rsid w:val="009A70AD"/>
    <w:rsid w:val="009B4586"/>
    <w:rsid w:val="009C1CBE"/>
    <w:rsid w:val="009C25D9"/>
    <w:rsid w:val="009F5811"/>
    <w:rsid w:val="009F6C2C"/>
    <w:rsid w:val="009F7EA7"/>
    <w:rsid w:val="00A07772"/>
    <w:rsid w:val="00A07EE8"/>
    <w:rsid w:val="00A111E7"/>
    <w:rsid w:val="00A15598"/>
    <w:rsid w:val="00A20DCA"/>
    <w:rsid w:val="00A22808"/>
    <w:rsid w:val="00A24A68"/>
    <w:rsid w:val="00A3058F"/>
    <w:rsid w:val="00A55AFF"/>
    <w:rsid w:val="00A56A49"/>
    <w:rsid w:val="00A757F0"/>
    <w:rsid w:val="00A76E72"/>
    <w:rsid w:val="00A93510"/>
    <w:rsid w:val="00AA07AF"/>
    <w:rsid w:val="00AA5C0C"/>
    <w:rsid w:val="00AB1E17"/>
    <w:rsid w:val="00AD4DF3"/>
    <w:rsid w:val="00AD6232"/>
    <w:rsid w:val="00AE3E7C"/>
    <w:rsid w:val="00AF3475"/>
    <w:rsid w:val="00AF6939"/>
    <w:rsid w:val="00B13A14"/>
    <w:rsid w:val="00B14844"/>
    <w:rsid w:val="00B2284E"/>
    <w:rsid w:val="00B3055E"/>
    <w:rsid w:val="00B44063"/>
    <w:rsid w:val="00B517F6"/>
    <w:rsid w:val="00B528A5"/>
    <w:rsid w:val="00B661AE"/>
    <w:rsid w:val="00B664D3"/>
    <w:rsid w:val="00B70F24"/>
    <w:rsid w:val="00B77A29"/>
    <w:rsid w:val="00B90CB9"/>
    <w:rsid w:val="00BC17A4"/>
    <w:rsid w:val="00BC54C9"/>
    <w:rsid w:val="00BD161A"/>
    <w:rsid w:val="00BD7F89"/>
    <w:rsid w:val="00BF72B9"/>
    <w:rsid w:val="00C0605F"/>
    <w:rsid w:val="00C1244E"/>
    <w:rsid w:val="00C12D92"/>
    <w:rsid w:val="00C135C2"/>
    <w:rsid w:val="00C26469"/>
    <w:rsid w:val="00C34B05"/>
    <w:rsid w:val="00C5360E"/>
    <w:rsid w:val="00C550DC"/>
    <w:rsid w:val="00C67FF4"/>
    <w:rsid w:val="00C87793"/>
    <w:rsid w:val="00CA507F"/>
    <w:rsid w:val="00CC0298"/>
    <w:rsid w:val="00CC032B"/>
    <w:rsid w:val="00CC5973"/>
    <w:rsid w:val="00CD099F"/>
    <w:rsid w:val="00CD3417"/>
    <w:rsid w:val="00CE7D37"/>
    <w:rsid w:val="00CF784B"/>
    <w:rsid w:val="00D02DFF"/>
    <w:rsid w:val="00D050AF"/>
    <w:rsid w:val="00D1007C"/>
    <w:rsid w:val="00D11A72"/>
    <w:rsid w:val="00D30650"/>
    <w:rsid w:val="00D42AC8"/>
    <w:rsid w:val="00D43315"/>
    <w:rsid w:val="00D434C8"/>
    <w:rsid w:val="00D51F91"/>
    <w:rsid w:val="00D52D0C"/>
    <w:rsid w:val="00D92D5F"/>
    <w:rsid w:val="00D95410"/>
    <w:rsid w:val="00DA5DBB"/>
    <w:rsid w:val="00DB2066"/>
    <w:rsid w:val="00DB32C2"/>
    <w:rsid w:val="00DC1377"/>
    <w:rsid w:val="00DC2871"/>
    <w:rsid w:val="00DC41B9"/>
    <w:rsid w:val="00DC50C7"/>
    <w:rsid w:val="00DC677B"/>
    <w:rsid w:val="00E064C0"/>
    <w:rsid w:val="00E10F3E"/>
    <w:rsid w:val="00E12B40"/>
    <w:rsid w:val="00E468F3"/>
    <w:rsid w:val="00E52504"/>
    <w:rsid w:val="00E54CD8"/>
    <w:rsid w:val="00E67A29"/>
    <w:rsid w:val="00E71B2D"/>
    <w:rsid w:val="00E72785"/>
    <w:rsid w:val="00E766FA"/>
    <w:rsid w:val="00E77DD3"/>
    <w:rsid w:val="00E9557D"/>
    <w:rsid w:val="00EB2091"/>
    <w:rsid w:val="00EB2AD5"/>
    <w:rsid w:val="00ED39BC"/>
    <w:rsid w:val="00EF5074"/>
    <w:rsid w:val="00F03D4E"/>
    <w:rsid w:val="00F057E7"/>
    <w:rsid w:val="00F1163C"/>
    <w:rsid w:val="00F268BC"/>
    <w:rsid w:val="00F31AEA"/>
    <w:rsid w:val="00F374A2"/>
    <w:rsid w:val="00F40811"/>
    <w:rsid w:val="00F64D78"/>
    <w:rsid w:val="00F74668"/>
    <w:rsid w:val="00F76E6F"/>
    <w:rsid w:val="00F84DDE"/>
    <w:rsid w:val="00F974C7"/>
    <w:rsid w:val="00FD25C1"/>
    <w:rsid w:val="00FE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F3E"/>
    <w:rPr>
      <w:sz w:val="24"/>
      <w:szCs w:val="24"/>
    </w:rPr>
  </w:style>
  <w:style w:type="paragraph" w:styleId="Heading1">
    <w:name w:val="heading 1"/>
    <w:basedOn w:val="Normal"/>
    <w:next w:val="Normal"/>
    <w:qFormat/>
    <w:rsid w:val="00E10F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3E"/>
    <w:pPr>
      <w:keepNext/>
      <w:jc w:val="center"/>
      <w:outlineLvl w:val="1"/>
    </w:pPr>
    <w:rPr>
      <w:u w:val="single"/>
    </w:rPr>
  </w:style>
  <w:style w:type="paragraph" w:styleId="Heading3">
    <w:name w:val="heading 3"/>
    <w:basedOn w:val="Normal"/>
    <w:next w:val="Normal"/>
    <w:qFormat/>
    <w:rsid w:val="00E10F3E"/>
    <w:pPr>
      <w:keepNext/>
      <w:jc w:val="center"/>
      <w:outlineLvl w:val="2"/>
    </w:pPr>
    <w:rPr>
      <w:rFonts w:ascii="Palatino Linotype" w:hAnsi="Palatino Linotype"/>
      <w:b/>
      <w:bCs/>
    </w:rPr>
  </w:style>
  <w:style w:type="paragraph" w:styleId="Heading4">
    <w:name w:val="heading 4"/>
    <w:basedOn w:val="Normal"/>
    <w:next w:val="Normal"/>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F3E"/>
    <w:pPr>
      <w:tabs>
        <w:tab w:val="center" w:pos="4320"/>
        <w:tab w:val="right" w:pos="8640"/>
      </w:tabs>
    </w:pPr>
  </w:style>
  <w:style w:type="paragraph" w:styleId="Footer">
    <w:name w:val="footer"/>
    <w:basedOn w:val="Normal"/>
    <w:rsid w:val="00E10F3E"/>
    <w:pPr>
      <w:tabs>
        <w:tab w:val="center" w:pos="4320"/>
        <w:tab w:val="right" w:pos="8640"/>
      </w:tabs>
    </w:pPr>
  </w:style>
  <w:style w:type="character" w:styleId="PageNumber">
    <w:name w:val="page number"/>
    <w:basedOn w:val="DefaultParagraphFont"/>
    <w:rsid w:val="00E10F3E"/>
  </w:style>
  <w:style w:type="paragraph" w:styleId="BodyText">
    <w:name w:val="Body Text"/>
    <w:basedOn w:val="Normal"/>
    <w:rsid w:val="00E10F3E"/>
    <w:pPr>
      <w:jc w:val="center"/>
    </w:pPr>
  </w:style>
  <w:style w:type="paragraph" w:customStyle="1" w:styleId="plain">
    <w:name w:val="plain"/>
    <w:basedOn w:val="Normal"/>
    <w:rsid w:val="00E10F3E"/>
    <w:pPr>
      <w:spacing w:line="240" w:lineRule="atLeast"/>
    </w:pPr>
    <w:rPr>
      <w:sz w:val="26"/>
      <w:szCs w:val="20"/>
    </w:rPr>
  </w:style>
  <w:style w:type="paragraph" w:customStyle="1" w:styleId="FindingsConclusions">
    <w:name w:val="Findings &amp; Conclusions"/>
    <w:basedOn w:val="Normal"/>
    <w:rsid w:val="00E10F3E"/>
    <w:pPr>
      <w:numPr>
        <w:numId w:val="10"/>
      </w:numPr>
    </w:pPr>
  </w:style>
  <w:style w:type="paragraph" w:styleId="BodyText3">
    <w:name w:val="Body Text 3"/>
    <w:basedOn w:val="Normal"/>
    <w:rsid w:val="00E10F3E"/>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uiPriority w:val="99"/>
    <w:semiHidden/>
    <w:rsid w:val="00C67FF4"/>
    <w:rPr>
      <w:rFonts w:ascii="Palatino Linotype" w:hAnsi="Palatino Linotype"/>
      <w:sz w:val="20"/>
      <w:szCs w:val="20"/>
    </w:rPr>
  </w:style>
  <w:style w:type="character" w:styleId="FootnoteReference">
    <w:name w:val="footnote reference"/>
    <w:uiPriority w:val="99"/>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paragraph" w:styleId="ListParagraph">
    <w:name w:val="List Paragraph"/>
    <w:basedOn w:val="Normal"/>
    <w:uiPriority w:val="34"/>
    <w:qFormat/>
    <w:rsid w:val="00D43315"/>
    <w:pPr>
      <w:ind w:left="720"/>
    </w:pPr>
  </w:style>
  <w:style w:type="character" w:customStyle="1" w:styleId="HeaderChar">
    <w:name w:val="Header Char"/>
    <w:link w:val="Header"/>
    <w:rsid w:val="00D43315"/>
    <w:rPr>
      <w:sz w:val="24"/>
      <w:szCs w:val="24"/>
    </w:rPr>
  </w:style>
  <w:style w:type="paragraph" w:customStyle="1" w:styleId="answer">
    <w:name w:val="answer"/>
    <w:basedOn w:val="Normal"/>
    <w:link w:val="answerChar"/>
    <w:uiPriority w:val="99"/>
    <w:rsid w:val="006C7140"/>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
    <w:uiPriority w:val="99"/>
    <w:locked/>
    <w:rsid w:val="006C7140"/>
    <w:rPr>
      <w:rFonts w:ascii="CG Times (WN)" w:eastAsia="SimSun" w:hAnsi="CG Times (WN)"/>
      <w:sz w:val="24"/>
      <w:szCs w:val="24"/>
      <w:lang w:eastAsia="zh-CN"/>
    </w:rPr>
  </w:style>
  <w:style w:type="character" w:styleId="CommentReference">
    <w:name w:val="annotation reference"/>
    <w:basedOn w:val="DefaultParagraphFont"/>
    <w:rsid w:val="00A111E7"/>
    <w:rPr>
      <w:sz w:val="16"/>
      <w:szCs w:val="16"/>
    </w:rPr>
  </w:style>
  <w:style w:type="paragraph" w:styleId="CommentText">
    <w:name w:val="annotation text"/>
    <w:basedOn w:val="Normal"/>
    <w:link w:val="CommentTextChar"/>
    <w:rsid w:val="00A111E7"/>
    <w:rPr>
      <w:sz w:val="20"/>
      <w:szCs w:val="20"/>
    </w:rPr>
  </w:style>
  <w:style w:type="character" w:customStyle="1" w:styleId="CommentTextChar">
    <w:name w:val="Comment Text Char"/>
    <w:basedOn w:val="DefaultParagraphFont"/>
    <w:link w:val="CommentText"/>
    <w:rsid w:val="00A111E7"/>
  </w:style>
  <w:style w:type="paragraph" w:styleId="CommentSubject">
    <w:name w:val="annotation subject"/>
    <w:basedOn w:val="CommentText"/>
    <w:next w:val="CommentText"/>
    <w:link w:val="CommentSubjectChar"/>
    <w:rsid w:val="00A111E7"/>
    <w:rPr>
      <w:b/>
      <w:bCs/>
    </w:rPr>
  </w:style>
  <w:style w:type="character" w:customStyle="1" w:styleId="CommentSubjectChar">
    <w:name w:val="Comment Subject Char"/>
    <w:basedOn w:val="CommentTextChar"/>
    <w:link w:val="CommentSubject"/>
    <w:rsid w:val="00A111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F3E"/>
    <w:rPr>
      <w:sz w:val="24"/>
      <w:szCs w:val="24"/>
    </w:rPr>
  </w:style>
  <w:style w:type="paragraph" w:styleId="Heading1">
    <w:name w:val="heading 1"/>
    <w:basedOn w:val="Normal"/>
    <w:next w:val="Normal"/>
    <w:qFormat/>
    <w:rsid w:val="00E10F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3E"/>
    <w:pPr>
      <w:keepNext/>
      <w:jc w:val="center"/>
      <w:outlineLvl w:val="1"/>
    </w:pPr>
    <w:rPr>
      <w:u w:val="single"/>
    </w:rPr>
  </w:style>
  <w:style w:type="paragraph" w:styleId="Heading3">
    <w:name w:val="heading 3"/>
    <w:basedOn w:val="Normal"/>
    <w:next w:val="Normal"/>
    <w:qFormat/>
    <w:rsid w:val="00E10F3E"/>
    <w:pPr>
      <w:keepNext/>
      <w:jc w:val="center"/>
      <w:outlineLvl w:val="2"/>
    </w:pPr>
    <w:rPr>
      <w:rFonts w:ascii="Palatino Linotype" w:hAnsi="Palatino Linotype"/>
      <w:b/>
      <w:bCs/>
    </w:rPr>
  </w:style>
  <w:style w:type="paragraph" w:styleId="Heading4">
    <w:name w:val="heading 4"/>
    <w:basedOn w:val="Normal"/>
    <w:next w:val="Normal"/>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F3E"/>
    <w:pPr>
      <w:tabs>
        <w:tab w:val="center" w:pos="4320"/>
        <w:tab w:val="right" w:pos="8640"/>
      </w:tabs>
    </w:pPr>
  </w:style>
  <w:style w:type="paragraph" w:styleId="Footer">
    <w:name w:val="footer"/>
    <w:basedOn w:val="Normal"/>
    <w:rsid w:val="00E10F3E"/>
    <w:pPr>
      <w:tabs>
        <w:tab w:val="center" w:pos="4320"/>
        <w:tab w:val="right" w:pos="8640"/>
      </w:tabs>
    </w:pPr>
  </w:style>
  <w:style w:type="character" w:styleId="PageNumber">
    <w:name w:val="page number"/>
    <w:basedOn w:val="DefaultParagraphFont"/>
    <w:rsid w:val="00E10F3E"/>
  </w:style>
  <w:style w:type="paragraph" w:styleId="BodyText">
    <w:name w:val="Body Text"/>
    <w:basedOn w:val="Normal"/>
    <w:rsid w:val="00E10F3E"/>
    <w:pPr>
      <w:jc w:val="center"/>
    </w:pPr>
  </w:style>
  <w:style w:type="paragraph" w:customStyle="1" w:styleId="plain">
    <w:name w:val="plain"/>
    <w:basedOn w:val="Normal"/>
    <w:rsid w:val="00E10F3E"/>
    <w:pPr>
      <w:spacing w:line="240" w:lineRule="atLeast"/>
    </w:pPr>
    <w:rPr>
      <w:sz w:val="26"/>
      <w:szCs w:val="20"/>
    </w:rPr>
  </w:style>
  <w:style w:type="paragraph" w:customStyle="1" w:styleId="FindingsConclusions">
    <w:name w:val="Findings &amp; Conclusions"/>
    <w:basedOn w:val="Normal"/>
    <w:rsid w:val="00E10F3E"/>
    <w:pPr>
      <w:numPr>
        <w:numId w:val="10"/>
      </w:numPr>
    </w:pPr>
  </w:style>
  <w:style w:type="paragraph" w:styleId="BodyText3">
    <w:name w:val="Body Text 3"/>
    <w:basedOn w:val="Normal"/>
    <w:rsid w:val="00E10F3E"/>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uiPriority w:val="99"/>
    <w:semiHidden/>
    <w:rsid w:val="00C67FF4"/>
    <w:rPr>
      <w:rFonts w:ascii="Palatino Linotype" w:hAnsi="Palatino Linotype"/>
      <w:sz w:val="20"/>
      <w:szCs w:val="20"/>
    </w:rPr>
  </w:style>
  <w:style w:type="character" w:styleId="FootnoteReference">
    <w:name w:val="footnote reference"/>
    <w:uiPriority w:val="99"/>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paragraph" w:styleId="ListParagraph">
    <w:name w:val="List Paragraph"/>
    <w:basedOn w:val="Normal"/>
    <w:uiPriority w:val="34"/>
    <w:qFormat/>
    <w:rsid w:val="00D43315"/>
    <w:pPr>
      <w:ind w:left="720"/>
    </w:pPr>
  </w:style>
  <w:style w:type="character" w:customStyle="1" w:styleId="HeaderChar">
    <w:name w:val="Header Char"/>
    <w:link w:val="Header"/>
    <w:rsid w:val="00D43315"/>
    <w:rPr>
      <w:sz w:val="24"/>
      <w:szCs w:val="24"/>
    </w:rPr>
  </w:style>
  <w:style w:type="paragraph" w:customStyle="1" w:styleId="answer">
    <w:name w:val="answer"/>
    <w:basedOn w:val="Normal"/>
    <w:link w:val="answerChar"/>
    <w:uiPriority w:val="99"/>
    <w:rsid w:val="006C7140"/>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
    <w:uiPriority w:val="99"/>
    <w:locked/>
    <w:rsid w:val="006C7140"/>
    <w:rPr>
      <w:rFonts w:ascii="CG Times (WN)" w:eastAsia="SimSun" w:hAnsi="CG Times (WN)"/>
      <w:sz w:val="24"/>
      <w:szCs w:val="24"/>
      <w:lang w:eastAsia="zh-CN"/>
    </w:rPr>
  </w:style>
  <w:style w:type="character" w:styleId="CommentReference">
    <w:name w:val="annotation reference"/>
    <w:basedOn w:val="DefaultParagraphFont"/>
    <w:rsid w:val="00A111E7"/>
    <w:rPr>
      <w:sz w:val="16"/>
      <w:szCs w:val="16"/>
    </w:rPr>
  </w:style>
  <w:style w:type="paragraph" w:styleId="CommentText">
    <w:name w:val="annotation text"/>
    <w:basedOn w:val="Normal"/>
    <w:link w:val="CommentTextChar"/>
    <w:rsid w:val="00A111E7"/>
    <w:rPr>
      <w:sz w:val="20"/>
      <w:szCs w:val="20"/>
    </w:rPr>
  </w:style>
  <w:style w:type="character" w:customStyle="1" w:styleId="CommentTextChar">
    <w:name w:val="Comment Text Char"/>
    <w:basedOn w:val="DefaultParagraphFont"/>
    <w:link w:val="CommentText"/>
    <w:rsid w:val="00A111E7"/>
  </w:style>
  <w:style w:type="paragraph" w:styleId="CommentSubject">
    <w:name w:val="annotation subject"/>
    <w:basedOn w:val="CommentText"/>
    <w:next w:val="CommentText"/>
    <w:link w:val="CommentSubjectChar"/>
    <w:rsid w:val="00A111E7"/>
    <w:rPr>
      <w:b/>
      <w:bCs/>
    </w:rPr>
  </w:style>
  <w:style w:type="character" w:customStyle="1" w:styleId="CommentSubjectChar">
    <w:name w:val="Comment Subject Char"/>
    <w:basedOn w:val="CommentTextChar"/>
    <w:link w:val="CommentSubject"/>
    <w:rsid w:val="00A11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77263">
      <w:bodyDiv w:val="1"/>
      <w:marLeft w:val="0"/>
      <w:marRight w:val="0"/>
      <w:marTop w:val="0"/>
      <w:marBottom w:val="0"/>
      <w:divBdr>
        <w:top w:val="none" w:sz="0" w:space="0" w:color="auto"/>
        <w:left w:val="none" w:sz="0" w:space="0" w:color="auto"/>
        <w:bottom w:val="none" w:sz="0" w:space="0" w:color="auto"/>
        <w:right w:val="none" w:sz="0" w:space="0" w:color="auto"/>
      </w:divBdr>
    </w:div>
    <w:div w:id="916329798">
      <w:bodyDiv w:val="1"/>
      <w:marLeft w:val="0"/>
      <w:marRight w:val="0"/>
      <w:marTop w:val="0"/>
      <w:marBottom w:val="0"/>
      <w:divBdr>
        <w:top w:val="none" w:sz="0" w:space="0" w:color="auto"/>
        <w:left w:val="none" w:sz="0" w:space="0" w:color="auto"/>
        <w:bottom w:val="none" w:sz="0" w:space="0" w:color="auto"/>
        <w:right w:val="none" w:sz="0" w:space="0" w:color="auto"/>
      </w:divBdr>
    </w:div>
    <w:div w:id="1809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86A11DA92A0C4D90487961C0C07CD0" ma:contentTypeVersion="131" ma:contentTypeDescription="" ma:contentTypeScope="" ma:versionID="39c85d1c0125bccc7cdd40fc792776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2010-10-01T07:00:00+00:00</OpenedDate>
    <Date1 xmlns="dc463f71-b30c-4ab2-9473-d307f9d35888">2011-03-15T07:00:00+00:00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101644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430CD4-EC55-408B-B4B0-4405D2575852}"/>
</file>

<file path=customXml/itemProps2.xml><?xml version="1.0" encoding="utf-8"?>
<ds:datastoreItem xmlns:ds="http://schemas.openxmlformats.org/officeDocument/2006/customXml" ds:itemID="{AD5315CD-41E9-43BB-BC62-0479624709B7}"/>
</file>

<file path=customXml/itemProps3.xml><?xml version="1.0" encoding="utf-8"?>
<ds:datastoreItem xmlns:ds="http://schemas.openxmlformats.org/officeDocument/2006/customXml" ds:itemID="{48AE3362-A90E-4F4E-8F95-EB5D3DAABA40}"/>
</file>

<file path=customXml/itemProps4.xml><?xml version="1.0" encoding="utf-8"?>
<ds:datastoreItem xmlns:ds="http://schemas.openxmlformats.org/officeDocument/2006/customXml" ds:itemID="{55DABA45-4B0A-456D-89B7-F2FC50C7B13D}"/>
</file>

<file path=customXml/itemProps5.xml><?xml version="1.0" encoding="utf-8"?>
<ds:datastoreItem xmlns:ds="http://schemas.openxmlformats.org/officeDocument/2006/customXml" ds:itemID="{F5CA7EBF-E1D0-42F4-A4DE-D0F9E5D7252A}"/>
</file>

<file path=docProps/app.xml><?xml version="1.0" encoding="utf-8"?>
<Properties xmlns="http://schemas.openxmlformats.org/officeDocument/2006/extended-properties" xmlns:vt="http://schemas.openxmlformats.org/officeDocument/2006/docPropsVTypes">
  <Template>Normal.dotm</Template>
  <TotalTime>0</TotalTime>
  <Pages>14</Pages>
  <Words>3673</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cp:keywords/>
  <dc:description/>
  <cp:lastModifiedBy/>
  <cp:revision>1</cp:revision>
  <cp:lastPrinted>2007-12-12T18:24:00Z</cp:lastPrinted>
  <dcterms:created xsi:type="dcterms:W3CDTF">2011-03-14T20:55:00Z</dcterms:created>
  <dcterms:modified xsi:type="dcterms:W3CDTF">2011-03-15T15:45:00Z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0x0101006E56B4D1795A2E4DB2F0B01679ED314A009486A11DA92A0C4D90487961C0C07CD0</vt:lpwstr>
  </property>
  <property fmtid="{D5CDD505-2E9C-101B-9397-08002B2CF9AE}" pid="3" name="_docset_NoMedatataSyncRequired">
    <vt:lpwstr>False</vt:lpwstr>
  </property>
</Properties>
</file>