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9E0B9" w14:textId="77777777" w:rsidR="00B5785F" w:rsidRPr="00B5785F" w:rsidRDefault="00B5785F" w:rsidP="00B5785F">
      <w:pPr>
        <w:pStyle w:val="NormalWeb"/>
        <w:rPr>
          <w:rFonts w:asciiTheme="minorHAnsi" w:hAnsiTheme="minorHAnsi" w:cstheme="minorHAnsi"/>
          <w:b/>
          <w:bCs/>
          <w:u w:val="single"/>
        </w:rPr>
      </w:pPr>
      <w:r w:rsidRPr="00B5785F">
        <w:rPr>
          <w:rFonts w:asciiTheme="minorHAnsi" w:hAnsiTheme="minorHAnsi" w:cstheme="minorHAnsi"/>
          <w:b/>
          <w:bCs/>
        </w:rPr>
        <w:t xml:space="preserve">RE: </w:t>
      </w:r>
      <w:r w:rsidRPr="00B5785F">
        <w:rPr>
          <w:rFonts w:asciiTheme="minorHAnsi" w:hAnsiTheme="minorHAnsi" w:cstheme="minorHAnsi"/>
          <w:b/>
          <w:bCs/>
        </w:rPr>
        <w:t>Draft Cost of Service Rules, Chapter 480-07 WAC</w:t>
      </w:r>
    </w:p>
    <w:p w14:paraId="22735E02" w14:textId="323E30D6" w:rsidR="00B5785F" w:rsidRPr="00B5785F" w:rsidRDefault="00B5785F" w:rsidP="00B5785F">
      <w:pPr>
        <w:pStyle w:val="NormalWeb"/>
        <w:rPr>
          <w:rFonts w:asciiTheme="minorHAnsi" w:hAnsiTheme="minorHAnsi" w:cstheme="minorHAnsi"/>
          <w:b/>
          <w:bCs/>
          <w:u w:val="single"/>
        </w:rPr>
      </w:pPr>
      <w:r w:rsidRPr="00B5785F">
        <w:rPr>
          <w:rFonts w:asciiTheme="minorHAnsi" w:hAnsiTheme="minorHAnsi" w:cstheme="minorHAnsi"/>
          <w:b/>
          <w:bCs/>
        </w:rPr>
        <w:t>Docket UE-1</w:t>
      </w:r>
      <w:bookmarkStart w:id="0" w:name="_GoBack"/>
      <w:bookmarkEnd w:id="0"/>
      <w:r w:rsidRPr="00B5785F">
        <w:rPr>
          <w:rFonts w:asciiTheme="minorHAnsi" w:hAnsiTheme="minorHAnsi" w:cstheme="minorHAnsi"/>
          <w:b/>
          <w:bCs/>
        </w:rPr>
        <w:t>70002</w:t>
      </w:r>
    </w:p>
    <w:p w14:paraId="3EEA485F" w14:textId="77777777" w:rsidR="00B5785F" w:rsidRPr="00B5785F" w:rsidRDefault="00B5785F" w:rsidP="00B5785F">
      <w:pPr>
        <w:pStyle w:val="NormalWeb"/>
        <w:rPr>
          <w:rFonts w:asciiTheme="minorHAnsi" w:hAnsiTheme="minorHAnsi" w:cstheme="minorHAnsi"/>
        </w:rPr>
      </w:pPr>
      <w:r w:rsidRPr="00B5785F">
        <w:rPr>
          <w:rFonts w:asciiTheme="minorHAnsi" w:hAnsiTheme="minorHAnsi" w:cstheme="minorHAnsi"/>
        </w:rPr>
        <w:t xml:space="preserve">Mark Johnson, Executive Director/Secretary Washington Utilities and Transportation Commission 1300 S. Evergreen Park Dr. S.W., P.O. Box 47250 Olympia, Washington 98504-7250 </w:t>
      </w:r>
    </w:p>
    <w:p w14:paraId="3CE72F97" w14:textId="77777777" w:rsidR="00B5785F" w:rsidRPr="00B5785F" w:rsidRDefault="00B5785F" w:rsidP="00B5785F">
      <w:pPr>
        <w:pStyle w:val="NormalWeb"/>
        <w:rPr>
          <w:rFonts w:asciiTheme="minorHAnsi" w:hAnsiTheme="minorHAnsi" w:cstheme="minorHAnsi"/>
        </w:rPr>
      </w:pPr>
      <w:r w:rsidRPr="00B5785F">
        <w:rPr>
          <w:rFonts w:asciiTheme="minorHAnsi" w:hAnsiTheme="minorHAnsi" w:cstheme="minorHAnsi"/>
        </w:rPr>
        <w:t xml:space="preserve">Dear Mr. Johnson: </w:t>
      </w:r>
    </w:p>
    <w:p w14:paraId="0C198DD9" w14:textId="2BCB3860" w:rsidR="00B5785F" w:rsidRPr="00B5785F" w:rsidRDefault="00B5785F" w:rsidP="00B5785F">
      <w:pPr>
        <w:pStyle w:val="NormalWeb"/>
        <w:rPr>
          <w:rFonts w:asciiTheme="minorHAnsi" w:hAnsiTheme="minorHAnsi" w:cstheme="minorHAnsi"/>
        </w:rPr>
      </w:pPr>
      <w:r w:rsidRPr="00B5785F">
        <w:rPr>
          <w:rFonts w:asciiTheme="minorHAnsi" w:hAnsiTheme="minorHAnsi" w:cstheme="minorHAnsi"/>
        </w:rPr>
        <w:t xml:space="preserve">The NW Energy Coalition (Coalition) submits the following comments pursuant to the Notice of Opportunity to File Written Comments dated October </w:t>
      </w:r>
      <w:r w:rsidRPr="00B5785F">
        <w:rPr>
          <w:rFonts w:asciiTheme="minorHAnsi" w:hAnsiTheme="minorHAnsi" w:cstheme="minorHAnsi"/>
        </w:rPr>
        <w:t>11</w:t>
      </w:r>
      <w:r w:rsidRPr="00B5785F">
        <w:rPr>
          <w:rFonts w:asciiTheme="minorHAnsi" w:hAnsiTheme="minorHAnsi" w:cstheme="minorHAnsi"/>
        </w:rPr>
        <w:t>, 2019 in UE-1</w:t>
      </w:r>
      <w:r w:rsidRPr="00B5785F">
        <w:rPr>
          <w:rFonts w:asciiTheme="minorHAnsi" w:hAnsiTheme="minorHAnsi" w:cstheme="minorHAnsi"/>
        </w:rPr>
        <w:t>70002</w:t>
      </w:r>
      <w:r w:rsidRPr="00B5785F">
        <w:rPr>
          <w:rFonts w:asciiTheme="minorHAnsi" w:hAnsiTheme="minorHAnsi" w:cstheme="minorHAnsi"/>
        </w:rPr>
        <w:t xml:space="preserve">. </w:t>
      </w:r>
    </w:p>
    <w:p w14:paraId="4B637714" w14:textId="77777777" w:rsidR="00B5785F" w:rsidRPr="00B5785F" w:rsidRDefault="00B5785F" w:rsidP="00B5785F">
      <w:pPr>
        <w:pStyle w:val="NormalWeb"/>
        <w:rPr>
          <w:rFonts w:asciiTheme="minorHAnsi" w:hAnsiTheme="minorHAnsi" w:cstheme="minorHAnsi"/>
        </w:rPr>
      </w:pPr>
      <w:r w:rsidRPr="00B5785F">
        <w:rPr>
          <w:rFonts w:asciiTheme="minorHAnsi" w:hAnsiTheme="minorHAnsi" w:cstheme="minorHAnsi"/>
        </w:rPr>
        <w:t xml:space="preserve">The Coalition is an alliance of approximately 100 organizations united around energy efficiency, renewable energy, fish and wildlife preservation and restoration in the Columbia basin, low-income and consumer protections, and informed public involvement in building a clean and affordable energy future. </w:t>
      </w:r>
    </w:p>
    <w:p w14:paraId="1B92CFCB" w14:textId="769207AD" w:rsidR="00C049D3" w:rsidRDefault="00B5785F">
      <w:pPr>
        <w:rPr>
          <w:rFonts w:cstheme="minorHAnsi"/>
        </w:rPr>
      </w:pPr>
      <w:r w:rsidRPr="00B5785F">
        <w:rPr>
          <w:rFonts w:cstheme="minorHAnsi"/>
        </w:rPr>
        <w:t>The notice asks for com</w:t>
      </w:r>
      <w:r>
        <w:rPr>
          <w:rFonts w:cstheme="minorHAnsi"/>
        </w:rPr>
        <w:t>m</w:t>
      </w:r>
      <w:r w:rsidRPr="00B5785F">
        <w:rPr>
          <w:rFonts w:cstheme="minorHAnsi"/>
        </w:rPr>
        <w:t xml:space="preserve">ents on the proposed templates filed in the dockets </w:t>
      </w:r>
      <w:r w:rsidR="0076033E">
        <w:rPr>
          <w:rFonts w:cstheme="minorHAnsi"/>
        </w:rPr>
        <w:t>UE-170002 and UG-170003</w:t>
      </w:r>
      <w:r w:rsidRPr="00B5785F">
        <w:rPr>
          <w:rFonts w:cstheme="minorHAnsi"/>
        </w:rPr>
        <w:t>on August 30, 2019, referred to as the Electric Cost of Service Template and the Gas Cost of Service Template.  Since the Gas Cost of Service Template will be dealt with via comments to be submitted by December 20</w:t>
      </w:r>
      <w:r w:rsidRPr="00B5785F">
        <w:rPr>
          <w:rFonts w:cstheme="minorHAnsi"/>
          <w:vertAlign w:val="superscript"/>
        </w:rPr>
        <w:t>th</w:t>
      </w:r>
      <w:r w:rsidRPr="00B5785F">
        <w:rPr>
          <w:rFonts w:cstheme="minorHAnsi"/>
        </w:rPr>
        <w:t>, and a conference call on January 8</w:t>
      </w:r>
      <w:r w:rsidRPr="00B5785F">
        <w:rPr>
          <w:rFonts w:cstheme="minorHAnsi"/>
          <w:vertAlign w:val="superscript"/>
        </w:rPr>
        <w:t>th</w:t>
      </w:r>
      <w:r w:rsidRPr="00B5785F">
        <w:rPr>
          <w:rFonts w:cstheme="minorHAnsi"/>
        </w:rPr>
        <w:t>, 2020.  We confine our comments to FERC code assignments for electrical service.</w:t>
      </w:r>
    </w:p>
    <w:p w14:paraId="5B3D6EE8" w14:textId="5ED4AC3F" w:rsidR="0076033E" w:rsidRDefault="0076033E">
      <w:pPr>
        <w:rPr>
          <w:rFonts w:cstheme="minorHAnsi"/>
        </w:rPr>
      </w:pPr>
    </w:p>
    <w:p w14:paraId="1FE0D14B" w14:textId="50CD7668" w:rsidR="0076033E" w:rsidRPr="00B5785F" w:rsidRDefault="0076033E">
      <w:pPr>
        <w:rPr>
          <w:rFonts w:cstheme="minorHAnsi"/>
        </w:rPr>
      </w:pPr>
      <w:r>
        <w:rPr>
          <w:rFonts w:cstheme="minorHAnsi"/>
        </w:rPr>
        <w:t xml:space="preserve">NWEC very much supports consistency in reporting, which will allow for fair comparisons between utilities and over time for a single utility.  Our concern is with how some of the FERC codes are allocated in the template.  </w:t>
      </w:r>
    </w:p>
    <w:p w14:paraId="6BB21EE1" w14:textId="5A5323E2" w:rsidR="00B5785F" w:rsidRDefault="00B5785F"/>
    <w:p w14:paraId="42946B92" w14:textId="52778480" w:rsidR="00B5785F" w:rsidRDefault="00B5785F">
      <w:r>
        <w:t xml:space="preserve">The Coalition submitted informal comments on the functionality table in October of this year, which seem relevant to the template in question.  We submit those comments again here, as it </w:t>
      </w:r>
      <w:r w:rsidR="009D1808">
        <w:t>appears that aligning</w:t>
      </w:r>
      <w:r>
        <w:t xml:space="preserve"> </w:t>
      </w:r>
      <w:r w:rsidR="009D1808">
        <w:t>the allocation of FERC codes to a utility’s revenue requirement template and the functionality chart would make some sense.</w:t>
      </w:r>
      <w:r w:rsidR="00674F4E">
        <w:t xml:space="preserve">  The amendments we suggested are in italics, along with explanations that are embedded in the chart.</w:t>
      </w:r>
    </w:p>
    <w:p w14:paraId="4E2311C5" w14:textId="326D824B" w:rsidR="00674F4E" w:rsidRDefault="00674F4E"/>
    <w:p w14:paraId="4F4FEC39" w14:textId="4116838A" w:rsidR="00674F4E" w:rsidRDefault="00674F4E">
      <w:r>
        <w:t>We view some FERC codes as reflecting usage as opposed to being customer driven, and have edited the first table to show those changed assignments.</w:t>
      </w:r>
      <w:r w:rsidR="00A24944">
        <w:t xml:space="preserve"> </w:t>
      </w:r>
      <w:r>
        <w:t xml:space="preserve">The second table </w:t>
      </w:r>
      <w:r w:rsidR="0076033E">
        <w:t xml:space="preserve">is edited to show the reason for those changes.  </w:t>
      </w:r>
    </w:p>
    <w:p w14:paraId="209C9A66" w14:textId="32DC0F33" w:rsidR="0076033E" w:rsidRDefault="0076033E"/>
    <w:p w14:paraId="3F3FF0B1" w14:textId="49316AA5" w:rsidR="0076033E" w:rsidRDefault="00A24944">
      <w:r>
        <w:t>Thank you for considering these suggestions,</w:t>
      </w:r>
    </w:p>
    <w:p w14:paraId="07D5272B" w14:textId="174C4D54" w:rsidR="00A24944" w:rsidRDefault="00A24944"/>
    <w:p w14:paraId="653F4589" w14:textId="61416898" w:rsidR="00A24944" w:rsidRDefault="00A24944">
      <w:r>
        <w:t xml:space="preserve">Wendy </w:t>
      </w:r>
      <w:proofErr w:type="spellStart"/>
      <w:r>
        <w:t>Gerlitz</w:t>
      </w:r>
      <w:proofErr w:type="spellEnd"/>
    </w:p>
    <w:p w14:paraId="25568156" w14:textId="21C88F85" w:rsidR="00A24944" w:rsidRDefault="00A24944">
      <w:r>
        <w:t>Policy Director, NWEC</w:t>
      </w:r>
    </w:p>
    <w:p w14:paraId="26369BEA" w14:textId="18081522" w:rsidR="00A24944" w:rsidRDefault="00A24944"/>
    <w:p w14:paraId="091F8AE1" w14:textId="17C12558" w:rsidR="00A24944" w:rsidRDefault="00A24944">
      <w:r>
        <w:t>Joni Bosh</w:t>
      </w:r>
    </w:p>
    <w:p w14:paraId="67C25D22" w14:textId="6A2B0BE9" w:rsidR="00A24944" w:rsidRDefault="00A24944">
      <w:r>
        <w:t>Senior Policy Associate, NWEC</w:t>
      </w:r>
    </w:p>
    <w:p w14:paraId="122AED33" w14:textId="77777777" w:rsidR="00A24944" w:rsidRDefault="00A24944"/>
    <w:p w14:paraId="32EAD17A" w14:textId="7573130D" w:rsidR="009D1808" w:rsidRDefault="009D1808"/>
    <w:p w14:paraId="06B28510" w14:textId="77777777" w:rsidR="009D1808" w:rsidRPr="00856748" w:rsidRDefault="009D1808" w:rsidP="009D1808">
      <w:pPr>
        <w:tabs>
          <w:tab w:val="left" w:pos="1166"/>
        </w:tabs>
        <w:rPr>
          <w:rFonts w:ascii="Times New Roman" w:hAnsi="Times New Roman" w:cs="Times New Roman"/>
        </w:rPr>
      </w:pPr>
    </w:p>
    <w:p w14:paraId="09A771C9" w14:textId="0C654EAC" w:rsidR="009D1808" w:rsidRPr="005E03BA" w:rsidRDefault="009D1808" w:rsidP="009D1808">
      <w:pPr>
        <w:jc w:val="center"/>
        <w:rPr>
          <w:rFonts w:ascii="Times New Roman" w:hAnsi="Times New Roman" w:cs="Times New Roman"/>
        </w:rPr>
      </w:pPr>
    </w:p>
    <w:tbl>
      <w:tblPr>
        <w:tblStyle w:val="TableGrid"/>
        <w:tblpPr w:leftFromText="180" w:rightFromText="180" w:vertAnchor="page" w:horzAnchor="margin" w:tblpXSpec="center" w:tblpY="1725"/>
        <w:tblW w:w="10427" w:type="dxa"/>
        <w:tblLook w:val="04A0" w:firstRow="1" w:lastRow="0" w:firstColumn="1" w:lastColumn="0" w:noHBand="0" w:noVBand="1"/>
      </w:tblPr>
      <w:tblGrid>
        <w:gridCol w:w="2749"/>
        <w:gridCol w:w="7678"/>
      </w:tblGrid>
      <w:tr w:rsidR="009D1808" w14:paraId="2E497366" w14:textId="77777777" w:rsidTr="002D636E">
        <w:trPr>
          <w:trHeight w:val="393"/>
        </w:trPr>
        <w:tc>
          <w:tcPr>
            <w:tcW w:w="2749" w:type="dxa"/>
          </w:tcPr>
          <w:p w14:paraId="77C4DD9E" w14:textId="5270F9C7" w:rsidR="009D1808" w:rsidRPr="00A2070E" w:rsidRDefault="009D1808" w:rsidP="002D636E">
            <w:pPr>
              <w:ind w:firstLine="0"/>
              <w:jc w:val="center"/>
              <w:rPr>
                <w:rFonts w:ascii="Times New Roman" w:hAnsi="Times New Roman" w:cs="Times New Roman"/>
                <w:sz w:val="24"/>
                <w:szCs w:val="24"/>
              </w:rPr>
            </w:pPr>
            <w:r w:rsidRPr="00A2070E">
              <w:rPr>
                <w:rFonts w:ascii="Times New Roman" w:hAnsi="Times New Roman" w:cs="Times New Roman"/>
                <w:sz w:val="24"/>
                <w:szCs w:val="24"/>
              </w:rPr>
              <w:t>Functionalization</w:t>
            </w:r>
          </w:p>
        </w:tc>
        <w:tc>
          <w:tcPr>
            <w:tcW w:w="7678" w:type="dxa"/>
          </w:tcPr>
          <w:p w14:paraId="5677000A" w14:textId="77777777" w:rsidR="009D1808" w:rsidRPr="00A2070E" w:rsidRDefault="009D1808" w:rsidP="002D636E">
            <w:pPr>
              <w:ind w:firstLine="0"/>
              <w:jc w:val="center"/>
              <w:rPr>
                <w:rFonts w:ascii="Times New Roman" w:hAnsi="Times New Roman" w:cs="Times New Roman"/>
                <w:sz w:val="24"/>
                <w:szCs w:val="24"/>
              </w:rPr>
            </w:pPr>
            <w:r w:rsidRPr="00A2070E">
              <w:rPr>
                <w:rFonts w:ascii="Times New Roman" w:hAnsi="Times New Roman" w:cs="Times New Roman"/>
                <w:sz w:val="24"/>
                <w:szCs w:val="24"/>
              </w:rPr>
              <w:t>FERC Account Numbers</w:t>
            </w:r>
          </w:p>
        </w:tc>
      </w:tr>
      <w:tr w:rsidR="009D1808" w14:paraId="6B61E91E" w14:textId="77777777" w:rsidTr="002D636E">
        <w:trPr>
          <w:trHeight w:val="394"/>
        </w:trPr>
        <w:tc>
          <w:tcPr>
            <w:tcW w:w="2749" w:type="dxa"/>
          </w:tcPr>
          <w:p w14:paraId="52DCDBE2" w14:textId="77777777" w:rsidR="009D1808" w:rsidRPr="00A2070E" w:rsidRDefault="009D1808" w:rsidP="002D636E">
            <w:pPr>
              <w:ind w:firstLine="0"/>
              <w:rPr>
                <w:rFonts w:ascii="Times New Roman" w:hAnsi="Times New Roman" w:cs="Times New Roman"/>
                <w:sz w:val="24"/>
                <w:szCs w:val="24"/>
              </w:rPr>
            </w:pPr>
            <w:r w:rsidRPr="00A2070E">
              <w:rPr>
                <w:rFonts w:ascii="Times New Roman" w:hAnsi="Times New Roman" w:cs="Times New Roman"/>
                <w:sz w:val="24"/>
                <w:szCs w:val="24"/>
              </w:rPr>
              <w:t>Generation</w:t>
            </w:r>
          </w:p>
        </w:tc>
        <w:tc>
          <w:tcPr>
            <w:tcW w:w="7678" w:type="dxa"/>
          </w:tcPr>
          <w:p w14:paraId="7DEC400B" w14:textId="77777777" w:rsidR="009D1808" w:rsidRPr="00A2070E" w:rsidRDefault="009D1808" w:rsidP="002D636E">
            <w:pPr>
              <w:ind w:firstLine="0"/>
              <w:rPr>
                <w:rFonts w:ascii="Times New Roman" w:hAnsi="Times New Roman" w:cs="Times New Roman"/>
                <w:sz w:val="24"/>
                <w:szCs w:val="24"/>
              </w:rPr>
            </w:pPr>
            <w:r w:rsidRPr="00A2070E">
              <w:rPr>
                <w:rFonts w:ascii="Times New Roman" w:hAnsi="Times New Roman" w:cs="Times New Roman"/>
                <w:sz w:val="24"/>
                <w:szCs w:val="24"/>
              </w:rPr>
              <w:t xml:space="preserve">151, </w:t>
            </w:r>
            <w:r>
              <w:rPr>
                <w:rFonts w:ascii="Times New Roman" w:hAnsi="Times New Roman" w:cs="Times New Roman"/>
                <w:sz w:val="24"/>
                <w:szCs w:val="24"/>
              </w:rPr>
              <w:t>152</w:t>
            </w:r>
            <w:r w:rsidRPr="00A2070E">
              <w:rPr>
                <w:rFonts w:ascii="Times New Roman" w:hAnsi="Times New Roman" w:cs="Times New Roman"/>
                <w:sz w:val="24"/>
                <w:szCs w:val="24"/>
              </w:rPr>
              <w:t>, 310 – 317, 3</w:t>
            </w:r>
            <w:r>
              <w:rPr>
                <w:rFonts w:ascii="Times New Roman" w:hAnsi="Times New Roman" w:cs="Times New Roman"/>
                <w:sz w:val="24"/>
                <w:szCs w:val="24"/>
              </w:rPr>
              <w:t>3</w:t>
            </w:r>
            <w:r w:rsidRPr="00A2070E">
              <w:rPr>
                <w:rFonts w:ascii="Times New Roman" w:hAnsi="Times New Roman" w:cs="Times New Roman"/>
                <w:sz w:val="24"/>
                <w:szCs w:val="24"/>
              </w:rPr>
              <w:t>0 – 337, 340 – 348, 500 – 515, 535 – 545.1. 546 – 557</w:t>
            </w:r>
          </w:p>
        </w:tc>
      </w:tr>
      <w:tr w:rsidR="009D1808" w14:paraId="68277E27" w14:textId="77777777" w:rsidTr="002D636E">
        <w:trPr>
          <w:trHeight w:val="393"/>
        </w:trPr>
        <w:tc>
          <w:tcPr>
            <w:tcW w:w="2749" w:type="dxa"/>
          </w:tcPr>
          <w:p w14:paraId="26391F4F" w14:textId="77777777" w:rsidR="009D1808" w:rsidRPr="00A2070E" w:rsidRDefault="009D1808" w:rsidP="002D636E">
            <w:pPr>
              <w:ind w:firstLine="0"/>
              <w:rPr>
                <w:rFonts w:ascii="Times New Roman" w:hAnsi="Times New Roman" w:cs="Times New Roman"/>
                <w:sz w:val="24"/>
                <w:szCs w:val="24"/>
              </w:rPr>
            </w:pPr>
            <w:r w:rsidRPr="00A2070E">
              <w:rPr>
                <w:rFonts w:ascii="Times New Roman" w:hAnsi="Times New Roman" w:cs="Times New Roman"/>
                <w:sz w:val="24"/>
                <w:szCs w:val="24"/>
              </w:rPr>
              <w:t>Transmission</w:t>
            </w:r>
          </w:p>
        </w:tc>
        <w:tc>
          <w:tcPr>
            <w:tcW w:w="7678" w:type="dxa"/>
          </w:tcPr>
          <w:p w14:paraId="7872D377" w14:textId="77777777" w:rsidR="009D1808" w:rsidRPr="00A2070E" w:rsidRDefault="009D1808" w:rsidP="002D636E">
            <w:pPr>
              <w:ind w:firstLine="0"/>
              <w:rPr>
                <w:rFonts w:ascii="Times New Roman" w:hAnsi="Times New Roman" w:cs="Times New Roman"/>
                <w:sz w:val="24"/>
                <w:szCs w:val="24"/>
              </w:rPr>
            </w:pPr>
            <w:r w:rsidRPr="00A2070E">
              <w:rPr>
                <w:rFonts w:ascii="Times New Roman" w:hAnsi="Times New Roman" w:cs="Times New Roman"/>
                <w:sz w:val="24"/>
                <w:szCs w:val="24"/>
              </w:rPr>
              <w:t>350 – 359.1, 560 – 573</w:t>
            </w:r>
          </w:p>
        </w:tc>
      </w:tr>
      <w:tr w:rsidR="009D1808" w14:paraId="240E6A37" w14:textId="77777777" w:rsidTr="002D636E">
        <w:trPr>
          <w:trHeight w:val="393"/>
        </w:trPr>
        <w:tc>
          <w:tcPr>
            <w:tcW w:w="2749" w:type="dxa"/>
          </w:tcPr>
          <w:p w14:paraId="4E1F9D2C" w14:textId="77777777" w:rsidR="009D1808" w:rsidRPr="00A2070E" w:rsidRDefault="009D1808" w:rsidP="002D636E">
            <w:pPr>
              <w:ind w:firstLine="0"/>
              <w:rPr>
                <w:rFonts w:ascii="Times New Roman" w:hAnsi="Times New Roman" w:cs="Times New Roman"/>
                <w:sz w:val="24"/>
                <w:szCs w:val="24"/>
              </w:rPr>
            </w:pPr>
            <w:r w:rsidRPr="00A2070E">
              <w:rPr>
                <w:rFonts w:ascii="Times New Roman" w:hAnsi="Times New Roman" w:cs="Times New Roman"/>
                <w:sz w:val="24"/>
                <w:szCs w:val="24"/>
              </w:rPr>
              <w:t>Distribution</w:t>
            </w:r>
          </w:p>
        </w:tc>
        <w:tc>
          <w:tcPr>
            <w:tcW w:w="7678" w:type="dxa"/>
          </w:tcPr>
          <w:p w14:paraId="2DDD7641" w14:textId="77777777" w:rsidR="009D1808" w:rsidRPr="00A2070E" w:rsidRDefault="009D1808" w:rsidP="002D636E">
            <w:pPr>
              <w:ind w:firstLine="0"/>
              <w:rPr>
                <w:rFonts w:ascii="Times New Roman" w:hAnsi="Times New Roman" w:cs="Times New Roman"/>
                <w:sz w:val="24"/>
                <w:szCs w:val="24"/>
              </w:rPr>
            </w:pPr>
            <w:r w:rsidRPr="00A2070E">
              <w:rPr>
                <w:rFonts w:ascii="Times New Roman" w:hAnsi="Times New Roman" w:cs="Times New Roman"/>
                <w:sz w:val="24"/>
                <w:szCs w:val="24"/>
              </w:rPr>
              <w:t>252, 360 – 374, 580 – 598</w:t>
            </w:r>
          </w:p>
        </w:tc>
      </w:tr>
      <w:tr w:rsidR="009D1808" w14:paraId="261D2874" w14:textId="77777777" w:rsidTr="002D636E">
        <w:trPr>
          <w:trHeight w:val="393"/>
        </w:trPr>
        <w:tc>
          <w:tcPr>
            <w:tcW w:w="2749" w:type="dxa"/>
          </w:tcPr>
          <w:p w14:paraId="580D8836" w14:textId="77777777" w:rsidR="009D1808" w:rsidRPr="00A2070E" w:rsidRDefault="009D1808" w:rsidP="002D636E">
            <w:pPr>
              <w:ind w:firstLine="0"/>
              <w:rPr>
                <w:rFonts w:ascii="Times New Roman" w:hAnsi="Times New Roman" w:cs="Times New Roman"/>
                <w:sz w:val="24"/>
                <w:szCs w:val="24"/>
              </w:rPr>
            </w:pPr>
            <w:r w:rsidRPr="00A2070E">
              <w:rPr>
                <w:rFonts w:ascii="Times New Roman" w:hAnsi="Times New Roman" w:cs="Times New Roman"/>
                <w:sz w:val="24"/>
                <w:szCs w:val="24"/>
              </w:rPr>
              <w:t>Customer</w:t>
            </w:r>
          </w:p>
        </w:tc>
        <w:tc>
          <w:tcPr>
            <w:tcW w:w="7678" w:type="dxa"/>
          </w:tcPr>
          <w:p w14:paraId="1A2F5D5B" w14:textId="77777777" w:rsidR="009D1808" w:rsidRPr="00A2070E" w:rsidRDefault="009D1808" w:rsidP="002D636E">
            <w:pPr>
              <w:ind w:firstLine="0"/>
              <w:rPr>
                <w:rFonts w:ascii="Times New Roman" w:hAnsi="Times New Roman" w:cs="Times New Roman"/>
                <w:sz w:val="24"/>
                <w:szCs w:val="24"/>
              </w:rPr>
            </w:pPr>
            <w:r>
              <w:rPr>
                <w:rFonts w:ascii="Times New Roman" w:hAnsi="Times New Roman" w:cs="Times New Roman"/>
                <w:sz w:val="24"/>
                <w:szCs w:val="24"/>
              </w:rPr>
              <w:t xml:space="preserve">235, 901 </w:t>
            </w:r>
            <w:r w:rsidRPr="009D1808">
              <w:rPr>
                <w:rFonts w:ascii="Times New Roman" w:hAnsi="Times New Roman" w:cs="Times New Roman"/>
                <w:i/>
                <w:sz w:val="24"/>
                <w:szCs w:val="24"/>
              </w:rPr>
              <w:t>-903</w:t>
            </w:r>
            <w:r w:rsidRPr="0097720E">
              <w:rPr>
                <w:rFonts w:ascii="Times New Roman" w:hAnsi="Times New Roman" w:cs="Times New Roman"/>
                <w:sz w:val="24"/>
                <w:szCs w:val="24"/>
              </w:rPr>
              <w:t>,</w:t>
            </w:r>
            <w:r>
              <w:rPr>
                <w:rFonts w:ascii="Times New Roman" w:hAnsi="Times New Roman" w:cs="Times New Roman"/>
                <w:sz w:val="24"/>
                <w:szCs w:val="24"/>
              </w:rPr>
              <w:t xml:space="preserve"> 905, 907, 908* 909– 910 (</w:t>
            </w:r>
            <w:r w:rsidRPr="009D1808">
              <w:rPr>
                <w:rFonts w:ascii="Times New Roman" w:hAnsi="Times New Roman" w:cs="Times New Roman"/>
                <w:i/>
                <w:sz w:val="24"/>
                <w:szCs w:val="24"/>
              </w:rPr>
              <w:t>Remove 904, it is usage related</w:t>
            </w:r>
            <w:r>
              <w:rPr>
                <w:rFonts w:ascii="Times New Roman" w:hAnsi="Times New Roman" w:cs="Times New Roman"/>
                <w:sz w:val="24"/>
                <w:szCs w:val="24"/>
              </w:rPr>
              <w:t>)</w:t>
            </w:r>
          </w:p>
        </w:tc>
      </w:tr>
      <w:tr w:rsidR="009D1808" w14:paraId="47C62968" w14:textId="77777777" w:rsidTr="002D636E">
        <w:trPr>
          <w:trHeight w:val="412"/>
        </w:trPr>
        <w:tc>
          <w:tcPr>
            <w:tcW w:w="2749" w:type="dxa"/>
          </w:tcPr>
          <w:p w14:paraId="47A5AD0D" w14:textId="77777777" w:rsidR="009D1808" w:rsidRPr="00A2070E" w:rsidRDefault="009D1808" w:rsidP="002D636E">
            <w:pPr>
              <w:ind w:firstLine="0"/>
              <w:rPr>
                <w:rFonts w:ascii="Times New Roman" w:hAnsi="Times New Roman" w:cs="Times New Roman"/>
                <w:sz w:val="24"/>
                <w:szCs w:val="24"/>
              </w:rPr>
            </w:pPr>
            <w:r w:rsidRPr="00A2070E">
              <w:rPr>
                <w:rFonts w:ascii="Times New Roman" w:hAnsi="Times New Roman" w:cs="Times New Roman"/>
                <w:sz w:val="24"/>
                <w:szCs w:val="24"/>
              </w:rPr>
              <w:t>Common</w:t>
            </w:r>
          </w:p>
        </w:tc>
        <w:tc>
          <w:tcPr>
            <w:tcW w:w="7678" w:type="dxa"/>
          </w:tcPr>
          <w:p w14:paraId="39ECAD6E" w14:textId="1D229B35" w:rsidR="009D1808" w:rsidRPr="00A2070E" w:rsidRDefault="009D1808" w:rsidP="002D636E">
            <w:pPr>
              <w:ind w:firstLine="0"/>
              <w:rPr>
                <w:rFonts w:ascii="Times New Roman" w:hAnsi="Times New Roman" w:cs="Times New Roman"/>
                <w:sz w:val="24"/>
                <w:szCs w:val="24"/>
              </w:rPr>
            </w:pPr>
            <w:r w:rsidRPr="009D1808">
              <w:rPr>
                <w:rFonts w:ascii="Times New Roman" w:hAnsi="Times New Roman" w:cs="Times New Roman"/>
                <w:i/>
                <w:strike/>
                <w:sz w:val="24"/>
                <w:szCs w:val="24"/>
              </w:rPr>
              <w:t>920</w:t>
            </w:r>
            <w:r w:rsidRPr="009D1808">
              <w:rPr>
                <w:rFonts w:ascii="Times New Roman" w:hAnsi="Times New Roman" w:cs="Times New Roman"/>
                <w:i/>
                <w:sz w:val="24"/>
                <w:szCs w:val="24"/>
              </w:rPr>
              <w:t xml:space="preserve"> 909</w:t>
            </w:r>
            <w:r>
              <w:rPr>
                <w:rFonts w:ascii="Times New Roman" w:hAnsi="Times New Roman" w:cs="Times New Roman"/>
                <w:sz w:val="24"/>
                <w:szCs w:val="24"/>
              </w:rPr>
              <w:t xml:space="preserve"> – 935, working capital allowance (</w:t>
            </w:r>
            <w:r w:rsidRPr="00674F4E">
              <w:rPr>
                <w:rFonts w:ascii="Times New Roman" w:hAnsi="Times New Roman" w:cs="Times New Roman"/>
                <w:i/>
                <w:sz w:val="24"/>
                <w:szCs w:val="24"/>
              </w:rPr>
              <w:t>909 Major instructional expenses, and 910 major informational expenses as well as 911-917, sales expense</w:t>
            </w:r>
            <w:r>
              <w:rPr>
                <w:rFonts w:ascii="Times New Roman" w:hAnsi="Times New Roman" w:cs="Times New Roman"/>
                <w:sz w:val="24"/>
                <w:szCs w:val="24"/>
              </w:rPr>
              <w:t>.</w:t>
            </w:r>
            <w:r w:rsidR="00674F4E">
              <w:rPr>
                <w:rFonts w:ascii="Times New Roman" w:hAnsi="Times New Roman" w:cs="Times New Roman"/>
                <w:sz w:val="24"/>
                <w:szCs w:val="24"/>
              </w:rPr>
              <w:t>)</w:t>
            </w:r>
          </w:p>
        </w:tc>
      </w:tr>
      <w:tr w:rsidR="009D1808" w14:paraId="531CBF01" w14:textId="77777777" w:rsidTr="002D636E">
        <w:trPr>
          <w:trHeight w:val="421"/>
        </w:trPr>
        <w:tc>
          <w:tcPr>
            <w:tcW w:w="2749" w:type="dxa"/>
          </w:tcPr>
          <w:p w14:paraId="182F4975" w14:textId="77777777" w:rsidR="009D1808" w:rsidRPr="00A2070E" w:rsidRDefault="009D1808" w:rsidP="002D636E">
            <w:pPr>
              <w:ind w:firstLine="0"/>
              <w:rPr>
                <w:rFonts w:ascii="Times New Roman" w:hAnsi="Times New Roman" w:cs="Times New Roman"/>
                <w:sz w:val="24"/>
                <w:szCs w:val="24"/>
              </w:rPr>
            </w:pPr>
            <w:proofErr w:type="spellStart"/>
            <w:r w:rsidRPr="00A2070E">
              <w:rPr>
                <w:rFonts w:ascii="Times New Roman" w:hAnsi="Times New Roman" w:cs="Times New Roman"/>
                <w:sz w:val="24"/>
                <w:szCs w:val="24"/>
              </w:rPr>
              <w:t>Gn</w:t>
            </w:r>
            <w:proofErr w:type="spellEnd"/>
            <w:r w:rsidRPr="00A2070E">
              <w:rPr>
                <w:rFonts w:ascii="Times New Roman" w:hAnsi="Times New Roman" w:cs="Times New Roman"/>
                <w:sz w:val="24"/>
                <w:szCs w:val="24"/>
              </w:rPr>
              <w:t>/</w:t>
            </w:r>
            <w:proofErr w:type="spellStart"/>
            <w:r w:rsidRPr="00A2070E">
              <w:rPr>
                <w:rFonts w:ascii="Times New Roman" w:hAnsi="Times New Roman" w:cs="Times New Roman"/>
                <w:sz w:val="24"/>
                <w:szCs w:val="24"/>
              </w:rPr>
              <w:t>Tr</w:t>
            </w:r>
            <w:proofErr w:type="spellEnd"/>
            <w:r w:rsidRPr="00A2070E">
              <w:rPr>
                <w:rFonts w:ascii="Times New Roman" w:hAnsi="Times New Roman" w:cs="Times New Roman"/>
                <w:sz w:val="24"/>
                <w:szCs w:val="24"/>
              </w:rPr>
              <w:t>/</w:t>
            </w:r>
            <w:proofErr w:type="spellStart"/>
            <w:r w:rsidRPr="00A2070E">
              <w:rPr>
                <w:rFonts w:ascii="Times New Roman" w:hAnsi="Times New Roman" w:cs="Times New Roman"/>
                <w:sz w:val="24"/>
                <w:szCs w:val="24"/>
              </w:rPr>
              <w:t>Dist</w:t>
            </w:r>
            <w:proofErr w:type="spellEnd"/>
            <w:r w:rsidRPr="00A2070E">
              <w:rPr>
                <w:rFonts w:ascii="Times New Roman" w:hAnsi="Times New Roman" w:cs="Times New Roman"/>
                <w:sz w:val="24"/>
                <w:szCs w:val="24"/>
              </w:rPr>
              <w:t>/Cust/</w:t>
            </w:r>
            <w:proofErr w:type="spellStart"/>
            <w:r w:rsidRPr="00A2070E">
              <w:rPr>
                <w:rFonts w:ascii="Times New Roman" w:hAnsi="Times New Roman" w:cs="Times New Roman"/>
                <w:sz w:val="24"/>
                <w:szCs w:val="24"/>
              </w:rPr>
              <w:t>Comm</w:t>
            </w:r>
            <w:proofErr w:type="spellEnd"/>
          </w:p>
        </w:tc>
        <w:tc>
          <w:tcPr>
            <w:tcW w:w="7678" w:type="dxa"/>
          </w:tcPr>
          <w:p w14:paraId="6921DCB3" w14:textId="77777777" w:rsidR="009D1808" w:rsidRPr="00A2070E" w:rsidRDefault="009D1808" w:rsidP="002D636E">
            <w:pPr>
              <w:ind w:firstLine="0"/>
              <w:rPr>
                <w:rFonts w:ascii="Times New Roman" w:hAnsi="Times New Roman" w:cs="Times New Roman"/>
                <w:sz w:val="24"/>
                <w:szCs w:val="24"/>
              </w:rPr>
            </w:pPr>
            <w:r>
              <w:rPr>
                <w:rFonts w:ascii="Times New Roman" w:hAnsi="Times New Roman" w:cs="Times New Roman"/>
                <w:sz w:val="24"/>
                <w:szCs w:val="24"/>
              </w:rPr>
              <w:t>301 – 303, 403, 403.1, 404 – 407, 904 (</w:t>
            </w:r>
            <w:r w:rsidRPr="00674F4E">
              <w:rPr>
                <w:rFonts w:ascii="Times New Roman" w:hAnsi="Times New Roman" w:cs="Times New Roman"/>
                <w:i/>
                <w:sz w:val="24"/>
                <w:szCs w:val="24"/>
              </w:rPr>
              <w:t xml:space="preserve">uncollectible accounts are driven by usage, not by customer. For example, if an industrial customer goes bankrupt, they could have millions of dollars of </w:t>
            </w:r>
            <w:proofErr w:type="spellStart"/>
            <w:r w:rsidRPr="00674F4E">
              <w:rPr>
                <w:rFonts w:ascii="Times New Roman" w:hAnsi="Times New Roman" w:cs="Times New Roman"/>
                <w:i/>
                <w:sz w:val="24"/>
                <w:szCs w:val="24"/>
              </w:rPr>
              <w:t>uncollectables</w:t>
            </w:r>
            <w:proofErr w:type="spellEnd"/>
            <w:r w:rsidRPr="00674F4E">
              <w:rPr>
                <w:rFonts w:ascii="Times New Roman" w:hAnsi="Times New Roman" w:cs="Times New Roman"/>
                <w:i/>
                <w:sz w:val="24"/>
                <w:szCs w:val="24"/>
              </w:rPr>
              <w:t>.)</w:t>
            </w:r>
          </w:p>
        </w:tc>
      </w:tr>
      <w:tr w:rsidR="009D1808" w14:paraId="42DF1F25" w14:textId="77777777" w:rsidTr="002D636E">
        <w:trPr>
          <w:trHeight w:val="393"/>
        </w:trPr>
        <w:tc>
          <w:tcPr>
            <w:tcW w:w="2749" w:type="dxa"/>
          </w:tcPr>
          <w:p w14:paraId="10D86C7F" w14:textId="77777777" w:rsidR="009D1808" w:rsidRPr="00A2070E" w:rsidRDefault="009D1808" w:rsidP="002D636E">
            <w:pPr>
              <w:ind w:firstLine="0"/>
              <w:rPr>
                <w:rFonts w:ascii="Times New Roman" w:hAnsi="Times New Roman" w:cs="Times New Roman"/>
                <w:sz w:val="24"/>
                <w:szCs w:val="24"/>
              </w:rPr>
            </w:pPr>
            <w:proofErr w:type="spellStart"/>
            <w:r w:rsidRPr="00A2070E">
              <w:rPr>
                <w:rFonts w:ascii="Times New Roman" w:hAnsi="Times New Roman" w:cs="Times New Roman"/>
                <w:sz w:val="24"/>
                <w:szCs w:val="24"/>
              </w:rPr>
              <w:t>Gn</w:t>
            </w:r>
            <w:proofErr w:type="spellEnd"/>
            <w:r w:rsidRPr="00A2070E">
              <w:rPr>
                <w:rFonts w:ascii="Times New Roman" w:hAnsi="Times New Roman" w:cs="Times New Roman"/>
                <w:sz w:val="24"/>
                <w:szCs w:val="24"/>
              </w:rPr>
              <w:t>/</w:t>
            </w:r>
            <w:proofErr w:type="spellStart"/>
            <w:r w:rsidRPr="00A2070E">
              <w:rPr>
                <w:rFonts w:ascii="Times New Roman" w:hAnsi="Times New Roman" w:cs="Times New Roman"/>
                <w:sz w:val="24"/>
                <w:szCs w:val="24"/>
              </w:rPr>
              <w:t>Tr</w:t>
            </w:r>
            <w:proofErr w:type="spellEnd"/>
            <w:r w:rsidRPr="00A2070E">
              <w:rPr>
                <w:rFonts w:ascii="Times New Roman" w:hAnsi="Times New Roman" w:cs="Times New Roman"/>
                <w:sz w:val="24"/>
                <w:szCs w:val="24"/>
              </w:rPr>
              <w:t>/</w:t>
            </w:r>
            <w:proofErr w:type="spellStart"/>
            <w:r w:rsidRPr="00A2070E">
              <w:rPr>
                <w:rFonts w:ascii="Times New Roman" w:hAnsi="Times New Roman" w:cs="Times New Roman"/>
                <w:sz w:val="24"/>
                <w:szCs w:val="24"/>
              </w:rPr>
              <w:t>Dist</w:t>
            </w:r>
            <w:proofErr w:type="spellEnd"/>
            <w:r w:rsidRPr="00A2070E">
              <w:rPr>
                <w:rFonts w:ascii="Times New Roman" w:hAnsi="Times New Roman" w:cs="Times New Roman"/>
                <w:sz w:val="24"/>
                <w:szCs w:val="24"/>
              </w:rPr>
              <w:t>/</w:t>
            </w:r>
            <w:proofErr w:type="spellStart"/>
            <w:r>
              <w:rPr>
                <w:rFonts w:ascii="Times New Roman" w:hAnsi="Times New Roman" w:cs="Times New Roman"/>
                <w:sz w:val="24"/>
                <w:szCs w:val="24"/>
              </w:rPr>
              <w:t>Comm</w:t>
            </w:r>
            <w:proofErr w:type="spellEnd"/>
          </w:p>
        </w:tc>
        <w:tc>
          <w:tcPr>
            <w:tcW w:w="7678" w:type="dxa"/>
          </w:tcPr>
          <w:p w14:paraId="59C70386" w14:textId="77777777" w:rsidR="009D1808" w:rsidRPr="00A2070E" w:rsidRDefault="009D1808" w:rsidP="002D636E">
            <w:pPr>
              <w:ind w:firstLine="0"/>
              <w:rPr>
                <w:rFonts w:ascii="Times New Roman" w:hAnsi="Times New Roman" w:cs="Times New Roman"/>
                <w:sz w:val="24"/>
                <w:szCs w:val="24"/>
              </w:rPr>
            </w:pPr>
            <w:r>
              <w:rPr>
                <w:rFonts w:ascii="Times New Roman" w:hAnsi="Times New Roman" w:cs="Times New Roman"/>
                <w:sz w:val="24"/>
                <w:szCs w:val="24"/>
              </w:rPr>
              <w:t>105, 107, 108, 111, 154, 165, 281, 282</w:t>
            </w:r>
          </w:p>
        </w:tc>
      </w:tr>
      <w:tr w:rsidR="009D1808" w14:paraId="39A00B7A" w14:textId="77777777" w:rsidTr="002D636E">
        <w:trPr>
          <w:trHeight w:val="601"/>
        </w:trPr>
        <w:tc>
          <w:tcPr>
            <w:tcW w:w="2749" w:type="dxa"/>
          </w:tcPr>
          <w:p w14:paraId="04BAA4C3" w14:textId="77777777" w:rsidR="009D1808" w:rsidRDefault="009D1808" w:rsidP="002D636E">
            <w:pPr>
              <w:ind w:firstLine="0"/>
              <w:rPr>
                <w:rFonts w:ascii="Times New Roman" w:hAnsi="Times New Roman" w:cs="Times New Roman"/>
                <w:sz w:val="24"/>
                <w:szCs w:val="24"/>
              </w:rPr>
            </w:pPr>
            <w:r w:rsidRPr="00A2070E">
              <w:rPr>
                <w:rFonts w:ascii="Times New Roman" w:hAnsi="Times New Roman" w:cs="Times New Roman"/>
                <w:sz w:val="24"/>
                <w:szCs w:val="24"/>
              </w:rPr>
              <w:t xml:space="preserve">Allocate based </w:t>
            </w:r>
          </w:p>
          <w:p w14:paraId="074F89E9" w14:textId="77777777" w:rsidR="009D1808" w:rsidRPr="00A2070E" w:rsidRDefault="009D1808" w:rsidP="002D636E">
            <w:pPr>
              <w:ind w:firstLine="0"/>
              <w:rPr>
                <w:rFonts w:ascii="Times New Roman" w:hAnsi="Times New Roman" w:cs="Times New Roman"/>
                <w:sz w:val="24"/>
                <w:szCs w:val="24"/>
              </w:rPr>
            </w:pPr>
            <w:r w:rsidRPr="00A2070E">
              <w:rPr>
                <w:rFonts w:ascii="Times New Roman" w:hAnsi="Times New Roman" w:cs="Times New Roman"/>
                <w:sz w:val="24"/>
                <w:szCs w:val="24"/>
              </w:rPr>
              <w:t>on sub-account</w:t>
            </w:r>
          </w:p>
        </w:tc>
        <w:tc>
          <w:tcPr>
            <w:tcW w:w="7678" w:type="dxa"/>
          </w:tcPr>
          <w:p w14:paraId="116A648C" w14:textId="77777777" w:rsidR="009D1808" w:rsidRPr="00A2070E" w:rsidRDefault="009D1808" w:rsidP="002D636E">
            <w:pPr>
              <w:ind w:firstLine="0"/>
              <w:rPr>
                <w:rFonts w:ascii="Times New Roman" w:hAnsi="Times New Roman" w:cs="Times New Roman"/>
                <w:sz w:val="24"/>
                <w:szCs w:val="24"/>
              </w:rPr>
            </w:pPr>
            <w:r>
              <w:rPr>
                <w:rFonts w:ascii="Times New Roman" w:hAnsi="Times New Roman" w:cs="Times New Roman"/>
                <w:sz w:val="24"/>
                <w:szCs w:val="24"/>
              </w:rPr>
              <w:t>182.3, 253, 254</w:t>
            </w:r>
          </w:p>
        </w:tc>
      </w:tr>
    </w:tbl>
    <w:p w14:paraId="4BE51F23" w14:textId="1C2C0F66" w:rsidR="009D1808" w:rsidRDefault="00674F4E" w:rsidP="009D1808">
      <w:pPr>
        <w:rPr>
          <w:rFonts w:ascii="Times New Roman" w:hAnsi="Times New Roman" w:cs="Times New Roman"/>
        </w:rPr>
      </w:pPr>
      <w:r>
        <w:rPr>
          <w:rFonts w:ascii="Times New Roman" w:hAnsi="Times New Roman" w:cs="Times New Roman"/>
          <w:highlight w:val="yellow"/>
        </w:rPr>
        <w:t xml:space="preserve">                                                                                                                                                                  *</w:t>
      </w:r>
      <w:r w:rsidR="009D1808" w:rsidRPr="002D636E">
        <w:rPr>
          <w:rFonts w:ascii="Times New Roman" w:hAnsi="Times New Roman" w:cs="Times New Roman"/>
          <w:highlight w:val="yellow"/>
        </w:rPr>
        <w:t xml:space="preserve"> </w:t>
      </w:r>
      <w:r>
        <w:rPr>
          <w:rFonts w:ascii="Times New Roman" w:hAnsi="Times New Roman" w:cs="Times New Roman"/>
          <w:highlight w:val="yellow"/>
        </w:rPr>
        <w:t xml:space="preserve">Expenses included in account 908 that are related to conservation must be functionalized as </w:t>
      </w:r>
      <w:r w:rsidR="009D1808" w:rsidRPr="002D636E">
        <w:rPr>
          <w:rFonts w:ascii="Times New Roman" w:hAnsi="Times New Roman" w:cs="Times New Roman"/>
          <w:highlight w:val="yellow"/>
        </w:rPr>
        <w:t>generation related.</w:t>
      </w:r>
      <w:r w:rsidR="009D1808">
        <w:rPr>
          <w:rFonts w:ascii="Times New Roman" w:hAnsi="Times New Roman" w:cs="Times New Roman"/>
        </w:rPr>
        <w:t xml:space="preserve"> We agree this is extremely important.</w:t>
      </w:r>
      <w:r w:rsidR="009D1808">
        <w:rPr>
          <w:rFonts w:ascii="Times New Roman" w:hAnsi="Times New Roman" w:cs="Times New Roman"/>
        </w:rPr>
        <w:br w:type="page"/>
      </w:r>
    </w:p>
    <w:p w14:paraId="2FE8570F" w14:textId="77777777" w:rsidR="009D1808" w:rsidRDefault="009D1808" w:rsidP="009D1808">
      <w:pPr>
        <w:rPr>
          <w:rFonts w:ascii="Times New Roman" w:hAnsi="Times New Roman" w:cs="Times New Roman"/>
        </w:rPr>
      </w:pPr>
      <w:r w:rsidRPr="00941D73">
        <w:rPr>
          <w:rFonts w:ascii="Times New Roman" w:hAnsi="Times New Roman" w:cs="Times New Roman"/>
        </w:rPr>
        <w:lastRenderedPageBreak/>
        <w:t>Table 2 – Electric Cost of Service Approved Classification and Allocation Methodologies</w:t>
      </w:r>
    </w:p>
    <w:tbl>
      <w:tblPr>
        <w:tblStyle w:val="TableGrid"/>
        <w:tblW w:w="10440" w:type="dxa"/>
        <w:tblInd w:w="-545" w:type="dxa"/>
        <w:tblLook w:val="04A0" w:firstRow="1" w:lastRow="0" w:firstColumn="1" w:lastColumn="0" w:noHBand="0" w:noVBand="1"/>
      </w:tblPr>
      <w:tblGrid>
        <w:gridCol w:w="2250"/>
        <w:gridCol w:w="2610"/>
        <w:gridCol w:w="5580"/>
      </w:tblGrid>
      <w:tr w:rsidR="009D1808" w14:paraId="34ED955C" w14:textId="77777777" w:rsidTr="002D636E">
        <w:tc>
          <w:tcPr>
            <w:tcW w:w="2250" w:type="dxa"/>
          </w:tcPr>
          <w:p w14:paraId="7F60B004" w14:textId="77777777" w:rsidR="009D1808" w:rsidRDefault="009D1808" w:rsidP="002D636E">
            <w:pPr>
              <w:tabs>
                <w:tab w:val="left" w:pos="1080"/>
              </w:tabs>
              <w:ind w:firstLine="0"/>
              <w:rPr>
                <w:rFonts w:ascii="Times New Roman" w:hAnsi="Times New Roman" w:cs="Times New Roman"/>
                <w:sz w:val="24"/>
                <w:szCs w:val="24"/>
              </w:rPr>
            </w:pPr>
            <w:r>
              <w:rPr>
                <w:rFonts w:ascii="Times New Roman" w:hAnsi="Times New Roman" w:cs="Times New Roman"/>
                <w:sz w:val="24"/>
                <w:szCs w:val="24"/>
              </w:rPr>
              <w:t>Functionalized Cost</w:t>
            </w:r>
          </w:p>
        </w:tc>
        <w:tc>
          <w:tcPr>
            <w:tcW w:w="2610" w:type="dxa"/>
          </w:tcPr>
          <w:p w14:paraId="3B4D73ED" w14:textId="77777777" w:rsidR="009D1808" w:rsidRDefault="009D1808" w:rsidP="002D636E">
            <w:pPr>
              <w:tabs>
                <w:tab w:val="left" w:pos="1080"/>
              </w:tabs>
              <w:ind w:firstLine="0"/>
              <w:rPr>
                <w:rFonts w:ascii="Times New Roman" w:hAnsi="Times New Roman" w:cs="Times New Roman"/>
                <w:sz w:val="24"/>
                <w:szCs w:val="24"/>
              </w:rPr>
            </w:pPr>
            <w:r>
              <w:rPr>
                <w:rFonts w:ascii="Times New Roman" w:hAnsi="Times New Roman" w:cs="Times New Roman"/>
                <w:sz w:val="24"/>
                <w:szCs w:val="24"/>
              </w:rPr>
              <w:t>Classification Method</w:t>
            </w:r>
          </w:p>
        </w:tc>
        <w:tc>
          <w:tcPr>
            <w:tcW w:w="5580" w:type="dxa"/>
          </w:tcPr>
          <w:p w14:paraId="25652949" w14:textId="77777777" w:rsidR="009D1808" w:rsidRDefault="009D1808" w:rsidP="002D636E">
            <w:pPr>
              <w:tabs>
                <w:tab w:val="left" w:pos="1080"/>
              </w:tabs>
              <w:ind w:firstLine="0"/>
              <w:rPr>
                <w:rFonts w:ascii="Times New Roman" w:hAnsi="Times New Roman" w:cs="Times New Roman"/>
                <w:sz w:val="24"/>
                <w:szCs w:val="24"/>
              </w:rPr>
            </w:pPr>
            <w:r>
              <w:rPr>
                <w:rFonts w:ascii="Times New Roman" w:hAnsi="Times New Roman" w:cs="Times New Roman"/>
                <w:sz w:val="24"/>
                <w:szCs w:val="24"/>
              </w:rPr>
              <w:t>Allocation Method</w:t>
            </w:r>
          </w:p>
        </w:tc>
      </w:tr>
      <w:tr w:rsidR="009D1808" w14:paraId="364D8FA3" w14:textId="77777777" w:rsidTr="002D636E">
        <w:tc>
          <w:tcPr>
            <w:tcW w:w="2250" w:type="dxa"/>
          </w:tcPr>
          <w:p w14:paraId="1987BAF9" w14:textId="77777777" w:rsidR="009D1808" w:rsidRDefault="009D1808" w:rsidP="002D636E">
            <w:pPr>
              <w:tabs>
                <w:tab w:val="left" w:pos="1080"/>
              </w:tabs>
              <w:ind w:firstLine="0"/>
              <w:rPr>
                <w:rFonts w:ascii="Times New Roman" w:hAnsi="Times New Roman" w:cs="Times New Roman"/>
                <w:sz w:val="24"/>
                <w:szCs w:val="24"/>
              </w:rPr>
            </w:pPr>
            <w:r>
              <w:rPr>
                <w:rFonts w:ascii="Times New Roman" w:hAnsi="Times New Roman" w:cs="Times New Roman"/>
                <w:sz w:val="24"/>
                <w:szCs w:val="24"/>
              </w:rPr>
              <w:t>Generation</w:t>
            </w:r>
          </w:p>
        </w:tc>
        <w:tc>
          <w:tcPr>
            <w:tcW w:w="2610" w:type="dxa"/>
          </w:tcPr>
          <w:p w14:paraId="071CA00D" w14:textId="77777777" w:rsidR="009D1808" w:rsidRPr="00674F4E" w:rsidRDefault="009D1808" w:rsidP="002D636E">
            <w:pPr>
              <w:tabs>
                <w:tab w:val="left" w:pos="1080"/>
              </w:tabs>
              <w:spacing w:line="259" w:lineRule="auto"/>
              <w:ind w:firstLine="0"/>
              <w:rPr>
                <w:rFonts w:ascii="Times New Roman" w:hAnsi="Times New Roman" w:cs="Times New Roman"/>
                <w:i/>
                <w:sz w:val="24"/>
                <w:szCs w:val="24"/>
              </w:rPr>
            </w:pPr>
            <w:r w:rsidRPr="00674F4E">
              <w:rPr>
                <w:rFonts w:ascii="Times New Roman" w:hAnsi="Times New Roman" w:cs="Times New Roman"/>
                <w:i/>
                <w:sz w:val="24"/>
                <w:szCs w:val="24"/>
              </w:rPr>
              <w:t>Time-differentiated energy</w:t>
            </w:r>
          </w:p>
          <w:p w14:paraId="7034D209" w14:textId="77777777" w:rsidR="009D1808" w:rsidRDefault="009D1808" w:rsidP="002D636E">
            <w:pPr>
              <w:tabs>
                <w:tab w:val="left" w:pos="1080"/>
              </w:tabs>
              <w:ind w:firstLine="0"/>
              <w:rPr>
                <w:rFonts w:ascii="Times New Roman" w:hAnsi="Times New Roman" w:cs="Times New Roman"/>
                <w:strike/>
                <w:sz w:val="24"/>
                <w:szCs w:val="24"/>
              </w:rPr>
            </w:pPr>
          </w:p>
          <w:p w14:paraId="356A8FC4" w14:textId="77777777" w:rsidR="009D1808" w:rsidRPr="002D636E" w:rsidRDefault="009D1808" w:rsidP="002D636E">
            <w:pPr>
              <w:tabs>
                <w:tab w:val="left" w:pos="1080"/>
              </w:tabs>
              <w:spacing w:line="259" w:lineRule="auto"/>
              <w:ind w:firstLine="0"/>
              <w:rPr>
                <w:rFonts w:ascii="Times New Roman" w:hAnsi="Times New Roman" w:cs="Times New Roman"/>
                <w:strike/>
                <w:sz w:val="24"/>
                <w:szCs w:val="24"/>
              </w:rPr>
            </w:pPr>
            <w:r w:rsidRPr="002D636E">
              <w:rPr>
                <w:rFonts w:ascii="Times New Roman" w:hAnsi="Times New Roman" w:cs="Times New Roman"/>
                <w:strike/>
                <w:sz w:val="24"/>
                <w:szCs w:val="24"/>
              </w:rPr>
              <w:t>Renewable future peak credit with net power costs allocated on energy</w:t>
            </w:r>
          </w:p>
        </w:tc>
        <w:tc>
          <w:tcPr>
            <w:tcW w:w="5580" w:type="dxa"/>
          </w:tcPr>
          <w:p w14:paraId="541A2CA4" w14:textId="77777777" w:rsidR="009D1808" w:rsidRDefault="009D1808" w:rsidP="002D636E">
            <w:pPr>
              <w:tabs>
                <w:tab w:val="left" w:pos="1080"/>
              </w:tabs>
              <w:ind w:firstLine="0"/>
              <w:rPr>
                <w:rFonts w:ascii="Times New Roman" w:hAnsi="Times New Roman" w:cs="Times New Roman"/>
                <w:strike/>
                <w:sz w:val="24"/>
                <w:szCs w:val="24"/>
              </w:rPr>
            </w:pPr>
            <w:r w:rsidRPr="002D636E">
              <w:rPr>
                <w:rFonts w:ascii="Times New Roman" w:hAnsi="Times New Roman" w:cs="Times New Roman"/>
                <w:strike/>
                <w:sz w:val="24"/>
                <w:szCs w:val="24"/>
              </w:rPr>
              <w:t>Load net of renewable generation, using 12 coincident peaks.</w:t>
            </w:r>
          </w:p>
          <w:p w14:paraId="17BD2740" w14:textId="25359F1B" w:rsidR="00674F4E" w:rsidRPr="00674F4E" w:rsidRDefault="00674F4E" w:rsidP="00674F4E">
            <w:pPr>
              <w:pStyle w:val="CommentText"/>
              <w:rPr>
                <w:i/>
              </w:rPr>
            </w:pPr>
            <w:r>
              <w:rPr>
                <w:rFonts w:ascii="Times New Roman" w:hAnsi="Times New Roman" w:cs="Times New Roman"/>
                <w:i/>
                <w:sz w:val="24"/>
                <w:szCs w:val="24"/>
              </w:rPr>
              <w:t>(</w:t>
            </w:r>
            <w:r w:rsidRPr="00674F4E">
              <w:rPr>
                <w:rFonts w:ascii="Times New Roman" w:hAnsi="Times New Roman" w:cs="Times New Roman"/>
                <w:i/>
                <w:sz w:val="24"/>
                <w:szCs w:val="24"/>
              </w:rPr>
              <w:t>The only costs that should be allocated based on peak demand are the costs of demand response involved during those peak hours. All other assets are used for much broader peaks, and the costs should be assigned to all hours when the assets are providing service.</w:t>
            </w:r>
            <w:r>
              <w:rPr>
                <w:rFonts w:ascii="Times New Roman" w:hAnsi="Times New Roman" w:cs="Times New Roman"/>
                <w:i/>
                <w:sz w:val="24"/>
                <w:szCs w:val="24"/>
              </w:rPr>
              <w:t>)</w:t>
            </w:r>
          </w:p>
          <w:p w14:paraId="0B2F72A3" w14:textId="77777777" w:rsidR="009D1808" w:rsidRPr="00344C11" w:rsidRDefault="009D1808" w:rsidP="002D636E">
            <w:pPr>
              <w:tabs>
                <w:tab w:val="left" w:pos="1080"/>
              </w:tabs>
              <w:ind w:firstLine="0"/>
              <w:rPr>
                <w:rFonts w:ascii="Times New Roman" w:hAnsi="Times New Roman" w:cs="Times New Roman"/>
                <w:sz w:val="24"/>
                <w:szCs w:val="24"/>
              </w:rPr>
            </w:pPr>
          </w:p>
        </w:tc>
      </w:tr>
      <w:tr w:rsidR="009D1808" w14:paraId="4F66CD98" w14:textId="77777777" w:rsidTr="002D636E">
        <w:tc>
          <w:tcPr>
            <w:tcW w:w="2250" w:type="dxa"/>
          </w:tcPr>
          <w:p w14:paraId="588C3170" w14:textId="77777777" w:rsidR="009D1808" w:rsidRDefault="009D1808" w:rsidP="002D636E">
            <w:pPr>
              <w:tabs>
                <w:tab w:val="left" w:pos="1080"/>
              </w:tabs>
              <w:ind w:firstLine="0"/>
              <w:rPr>
                <w:rFonts w:ascii="Times New Roman" w:hAnsi="Times New Roman" w:cs="Times New Roman"/>
                <w:sz w:val="24"/>
                <w:szCs w:val="24"/>
              </w:rPr>
            </w:pPr>
            <w:r>
              <w:rPr>
                <w:rFonts w:ascii="Times New Roman" w:hAnsi="Times New Roman" w:cs="Times New Roman"/>
                <w:sz w:val="24"/>
                <w:szCs w:val="24"/>
              </w:rPr>
              <w:t>Transmission</w:t>
            </w:r>
          </w:p>
        </w:tc>
        <w:tc>
          <w:tcPr>
            <w:tcW w:w="2610" w:type="dxa"/>
          </w:tcPr>
          <w:p w14:paraId="15516BA2" w14:textId="77777777" w:rsidR="009D1808" w:rsidRPr="00674F4E" w:rsidRDefault="009D1808" w:rsidP="002D636E">
            <w:pPr>
              <w:tabs>
                <w:tab w:val="left" w:pos="1080"/>
              </w:tabs>
              <w:spacing w:line="259" w:lineRule="auto"/>
              <w:ind w:firstLine="0"/>
              <w:rPr>
                <w:rFonts w:ascii="Times New Roman" w:hAnsi="Times New Roman" w:cs="Times New Roman"/>
                <w:i/>
                <w:sz w:val="24"/>
                <w:szCs w:val="24"/>
              </w:rPr>
            </w:pPr>
            <w:r w:rsidRPr="00674F4E">
              <w:rPr>
                <w:rFonts w:ascii="Times New Roman" w:hAnsi="Times New Roman" w:cs="Times New Roman"/>
                <w:i/>
                <w:sz w:val="24"/>
                <w:szCs w:val="24"/>
              </w:rPr>
              <w:t>Time-differentiated energy</w:t>
            </w:r>
          </w:p>
          <w:p w14:paraId="6F9AE670" w14:textId="77777777" w:rsidR="009D1808" w:rsidRPr="002D636E" w:rsidRDefault="009D1808" w:rsidP="002D636E">
            <w:pPr>
              <w:tabs>
                <w:tab w:val="left" w:pos="1080"/>
              </w:tabs>
              <w:spacing w:line="259" w:lineRule="auto"/>
              <w:ind w:firstLine="0"/>
              <w:rPr>
                <w:rFonts w:ascii="Times New Roman" w:hAnsi="Times New Roman" w:cs="Times New Roman"/>
                <w:strike/>
                <w:sz w:val="24"/>
                <w:szCs w:val="24"/>
              </w:rPr>
            </w:pPr>
            <w:r w:rsidRPr="002D636E">
              <w:rPr>
                <w:rFonts w:ascii="Times New Roman" w:hAnsi="Times New Roman" w:cs="Times New Roman"/>
                <w:strike/>
                <w:sz w:val="24"/>
                <w:szCs w:val="24"/>
              </w:rPr>
              <w:t>Demand</w:t>
            </w:r>
          </w:p>
        </w:tc>
        <w:tc>
          <w:tcPr>
            <w:tcW w:w="5580" w:type="dxa"/>
          </w:tcPr>
          <w:p w14:paraId="2487468F" w14:textId="77777777" w:rsidR="009D1808" w:rsidRDefault="009D1808" w:rsidP="002D636E">
            <w:pPr>
              <w:tabs>
                <w:tab w:val="left" w:pos="1080"/>
              </w:tabs>
              <w:ind w:firstLine="0"/>
              <w:rPr>
                <w:rFonts w:ascii="Times New Roman" w:hAnsi="Times New Roman" w:cs="Times New Roman"/>
                <w:strike/>
                <w:sz w:val="24"/>
                <w:szCs w:val="24"/>
              </w:rPr>
            </w:pPr>
            <w:r w:rsidRPr="002D636E">
              <w:rPr>
                <w:rFonts w:ascii="Times New Roman" w:hAnsi="Times New Roman" w:cs="Times New Roman"/>
                <w:strike/>
                <w:sz w:val="24"/>
                <w:szCs w:val="24"/>
              </w:rPr>
              <w:t>12 coincident peaks.</w:t>
            </w:r>
          </w:p>
          <w:p w14:paraId="5B88363E" w14:textId="15C1345C" w:rsidR="00674F4E" w:rsidRDefault="00674F4E" w:rsidP="00674F4E">
            <w:pPr>
              <w:pStyle w:val="CommentText"/>
            </w:pPr>
            <w:r>
              <w:t>(</w:t>
            </w:r>
            <w:r w:rsidRPr="00674F4E">
              <w:rPr>
                <w:i/>
              </w:rPr>
              <w:t>Transmission should not be allocated based on demand. Transmission is buil</w:t>
            </w:r>
            <w:r>
              <w:rPr>
                <w:i/>
              </w:rPr>
              <w:t>t</w:t>
            </w:r>
            <w:r w:rsidRPr="00674F4E">
              <w:rPr>
                <w:i/>
              </w:rPr>
              <w:t xml:space="preserve"> to deliver bulk power. Transmission costs should be allocated to the hours when transmission assets are utilized. If they are mostly utilized in off-peak hours, the cots should follow the benefits into those hours</w:t>
            </w:r>
            <w:proofErr w:type="gramStart"/>
            <w:r w:rsidRPr="00674F4E">
              <w:rPr>
                <w:i/>
              </w:rPr>
              <w:t>.</w:t>
            </w:r>
            <w:r>
              <w:t xml:space="preserve"> </w:t>
            </w:r>
            <w:r>
              <w:t>)</w:t>
            </w:r>
            <w:proofErr w:type="gramEnd"/>
          </w:p>
          <w:p w14:paraId="74AA96C4" w14:textId="77777777" w:rsidR="009D1808" w:rsidRPr="002D636E" w:rsidRDefault="009D1808" w:rsidP="002D636E">
            <w:pPr>
              <w:tabs>
                <w:tab w:val="left" w:pos="1080"/>
              </w:tabs>
              <w:ind w:firstLine="0"/>
              <w:rPr>
                <w:rFonts w:ascii="Times New Roman" w:hAnsi="Times New Roman" w:cs="Times New Roman"/>
                <w:strike/>
                <w:sz w:val="24"/>
                <w:szCs w:val="24"/>
              </w:rPr>
            </w:pPr>
          </w:p>
        </w:tc>
      </w:tr>
      <w:tr w:rsidR="009D1808" w14:paraId="63F730B4" w14:textId="77777777" w:rsidTr="002D636E">
        <w:tc>
          <w:tcPr>
            <w:tcW w:w="2250" w:type="dxa"/>
          </w:tcPr>
          <w:p w14:paraId="35EA2BBE" w14:textId="77777777" w:rsidR="009D1808" w:rsidRDefault="009D1808" w:rsidP="002D636E">
            <w:pPr>
              <w:tabs>
                <w:tab w:val="left" w:pos="1080"/>
              </w:tabs>
              <w:ind w:firstLine="0"/>
              <w:rPr>
                <w:rFonts w:ascii="Times New Roman" w:hAnsi="Times New Roman" w:cs="Times New Roman"/>
                <w:sz w:val="24"/>
                <w:szCs w:val="24"/>
              </w:rPr>
            </w:pPr>
            <w:r>
              <w:rPr>
                <w:rFonts w:ascii="Times New Roman" w:hAnsi="Times New Roman" w:cs="Times New Roman"/>
                <w:sz w:val="24"/>
                <w:szCs w:val="24"/>
              </w:rPr>
              <w:t>Distribution Substation</w:t>
            </w:r>
          </w:p>
        </w:tc>
        <w:tc>
          <w:tcPr>
            <w:tcW w:w="2610" w:type="dxa"/>
          </w:tcPr>
          <w:p w14:paraId="739CE499" w14:textId="77777777" w:rsidR="009D1808" w:rsidRPr="00674F4E" w:rsidRDefault="009D1808" w:rsidP="002D636E">
            <w:pPr>
              <w:tabs>
                <w:tab w:val="left" w:pos="1080"/>
              </w:tabs>
              <w:spacing w:line="259" w:lineRule="auto"/>
              <w:ind w:firstLine="0"/>
              <w:rPr>
                <w:rFonts w:ascii="Times New Roman" w:hAnsi="Times New Roman" w:cs="Times New Roman"/>
                <w:i/>
                <w:sz w:val="24"/>
                <w:szCs w:val="24"/>
              </w:rPr>
            </w:pPr>
            <w:r w:rsidRPr="00674F4E">
              <w:rPr>
                <w:rFonts w:ascii="Times New Roman" w:hAnsi="Times New Roman" w:cs="Times New Roman"/>
                <w:i/>
                <w:sz w:val="24"/>
                <w:szCs w:val="24"/>
              </w:rPr>
              <w:t>Time-differentiated energy</w:t>
            </w:r>
          </w:p>
          <w:p w14:paraId="64FAB3D9" w14:textId="77777777" w:rsidR="009D1808" w:rsidRPr="002D636E" w:rsidRDefault="009D1808" w:rsidP="002D636E">
            <w:pPr>
              <w:tabs>
                <w:tab w:val="left" w:pos="1080"/>
              </w:tabs>
              <w:spacing w:line="259" w:lineRule="auto"/>
              <w:ind w:firstLine="0"/>
              <w:rPr>
                <w:rFonts w:ascii="Times New Roman" w:hAnsi="Times New Roman" w:cs="Times New Roman"/>
                <w:strike/>
                <w:sz w:val="24"/>
                <w:szCs w:val="24"/>
              </w:rPr>
            </w:pPr>
            <w:r w:rsidRPr="002D636E">
              <w:rPr>
                <w:rFonts w:ascii="Times New Roman" w:hAnsi="Times New Roman" w:cs="Times New Roman"/>
                <w:strike/>
                <w:sz w:val="24"/>
                <w:szCs w:val="24"/>
              </w:rPr>
              <w:t xml:space="preserve">Demand </w:t>
            </w:r>
          </w:p>
        </w:tc>
        <w:tc>
          <w:tcPr>
            <w:tcW w:w="5580" w:type="dxa"/>
          </w:tcPr>
          <w:p w14:paraId="00D265D3" w14:textId="77777777" w:rsidR="009D1808" w:rsidRDefault="009D1808" w:rsidP="002D636E">
            <w:pPr>
              <w:tabs>
                <w:tab w:val="left" w:pos="1080"/>
              </w:tabs>
              <w:ind w:firstLine="0"/>
              <w:rPr>
                <w:rFonts w:ascii="Times New Roman" w:hAnsi="Times New Roman" w:cs="Times New Roman"/>
                <w:sz w:val="24"/>
                <w:szCs w:val="24"/>
              </w:rPr>
            </w:pPr>
            <w:r w:rsidRPr="00714E27">
              <w:rPr>
                <w:rFonts w:ascii="Times New Roman" w:hAnsi="Times New Roman" w:cs="Times New Roman"/>
                <w:sz w:val="24"/>
                <w:szCs w:val="24"/>
              </w:rPr>
              <w:t xml:space="preserve">Direct assignment to large </w:t>
            </w:r>
            <w:r>
              <w:rPr>
                <w:rFonts w:ascii="Times New Roman" w:hAnsi="Times New Roman" w:cs="Times New Roman"/>
                <w:sz w:val="24"/>
                <w:szCs w:val="24"/>
              </w:rPr>
              <w:t>customer classes based on load ratio share of substations they are fed from; for this allocator only, the utility may determine “large customer.”</w:t>
            </w:r>
          </w:p>
          <w:p w14:paraId="53192FC3" w14:textId="77777777" w:rsidR="009D1808" w:rsidRDefault="009D1808" w:rsidP="002D636E">
            <w:pPr>
              <w:tabs>
                <w:tab w:val="left" w:pos="1080"/>
              </w:tabs>
              <w:ind w:firstLine="0"/>
              <w:rPr>
                <w:rFonts w:ascii="Times New Roman" w:hAnsi="Times New Roman" w:cs="Times New Roman"/>
                <w:sz w:val="24"/>
                <w:szCs w:val="24"/>
              </w:rPr>
            </w:pPr>
            <w:r>
              <w:rPr>
                <w:rFonts w:ascii="Times New Roman" w:hAnsi="Times New Roman" w:cs="Times New Roman"/>
                <w:sz w:val="24"/>
                <w:szCs w:val="24"/>
              </w:rPr>
              <w:t>All other classes use an average of the relative share of the summer distribution system coincident peak and the relative share of the winter distribution system coincident peak.</w:t>
            </w:r>
          </w:p>
          <w:p w14:paraId="084A1E57" w14:textId="0D33A198" w:rsidR="00674F4E" w:rsidRPr="00674F4E" w:rsidRDefault="00674F4E" w:rsidP="00674F4E">
            <w:pPr>
              <w:pStyle w:val="CommentText"/>
              <w:rPr>
                <w:i/>
              </w:rPr>
            </w:pPr>
            <w:r>
              <w:t>(</w:t>
            </w:r>
            <w:r w:rsidRPr="00674F4E">
              <w:rPr>
                <w:i/>
              </w:rPr>
              <w:t xml:space="preserve">This has the effect of providing favorable treatment to some customers. This direct assignment could be applied to all customer classes, on a substation by substation basis. </w:t>
            </w:r>
          </w:p>
          <w:p w14:paraId="1E7AA28F" w14:textId="10CB0243" w:rsidR="00674F4E" w:rsidRDefault="00674F4E" w:rsidP="00674F4E">
            <w:pPr>
              <w:pStyle w:val="CommentText"/>
            </w:pPr>
            <w:r w:rsidRPr="00674F4E">
              <w:rPr>
                <w:i/>
              </w:rPr>
              <w:t>Some substations are sized to summer loads (irrigation), some are sized to winter loads. This type of allocation proposed here limits the parties from proposing cost-based allocation of these costs where the “average of summer and winter” are not reflective of relevant costs. Apportionment of these costs on a time-differentiated energy basis will ensure that customers using them at high-demand periods will pay an appropriate amount. Basing allocation on demand exempts some customers (using off-peak energy) from any responsibility for costs</w:t>
            </w:r>
            <w:r>
              <w:t>.</w:t>
            </w:r>
            <w:r>
              <w:t>)</w:t>
            </w:r>
          </w:p>
          <w:p w14:paraId="229908E6" w14:textId="55345121" w:rsidR="00674F4E" w:rsidRDefault="00674F4E" w:rsidP="002D636E">
            <w:pPr>
              <w:tabs>
                <w:tab w:val="left" w:pos="1080"/>
              </w:tabs>
              <w:ind w:firstLine="0"/>
              <w:rPr>
                <w:rFonts w:ascii="Times New Roman" w:hAnsi="Times New Roman" w:cs="Times New Roman"/>
                <w:sz w:val="24"/>
                <w:szCs w:val="24"/>
              </w:rPr>
            </w:pPr>
          </w:p>
        </w:tc>
      </w:tr>
      <w:tr w:rsidR="009D1808" w14:paraId="0E9F1889" w14:textId="77777777" w:rsidTr="002D636E">
        <w:tc>
          <w:tcPr>
            <w:tcW w:w="2250" w:type="dxa"/>
          </w:tcPr>
          <w:p w14:paraId="1D1443DE" w14:textId="77777777" w:rsidR="009D1808" w:rsidRDefault="009D1808" w:rsidP="002D636E">
            <w:pPr>
              <w:tabs>
                <w:tab w:val="left" w:pos="1080"/>
              </w:tabs>
              <w:ind w:firstLine="0"/>
              <w:rPr>
                <w:rFonts w:ascii="Times New Roman" w:hAnsi="Times New Roman" w:cs="Times New Roman"/>
                <w:sz w:val="24"/>
                <w:szCs w:val="24"/>
              </w:rPr>
            </w:pPr>
            <w:r>
              <w:rPr>
                <w:rFonts w:ascii="Times New Roman" w:hAnsi="Times New Roman" w:cs="Times New Roman"/>
                <w:sz w:val="24"/>
                <w:szCs w:val="24"/>
              </w:rPr>
              <w:t>Distribution Line Transformers</w:t>
            </w:r>
          </w:p>
        </w:tc>
        <w:tc>
          <w:tcPr>
            <w:tcW w:w="2610" w:type="dxa"/>
          </w:tcPr>
          <w:p w14:paraId="2D7C6EF8" w14:textId="77777777" w:rsidR="009D1808" w:rsidRPr="00714E27" w:rsidRDefault="009D1808" w:rsidP="002D636E">
            <w:pPr>
              <w:tabs>
                <w:tab w:val="left" w:pos="1080"/>
              </w:tabs>
              <w:ind w:firstLine="0"/>
              <w:rPr>
                <w:rFonts w:ascii="Times New Roman" w:hAnsi="Times New Roman" w:cs="Times New Roman"/>
                <w:sz w:val="24"/>
                <w:szCs w:val="24"/>
              </w:rPr>
            </w:pPr>
            <w:r>
              <w:rPr>
                <w:rFonts w:ascii="Times New Roman" w:hAnsi="Times New Roman" w:cs="Times New Roman"/>
                <w:sz w:val="24"/>
                <w:szCs w:val="24"/>
              </w:rPr>
              <w:t>Demand</w:t>
            </w:r>
          </w:p>
        </w:tc>
        <w:tc>
          <w:tcPr>
            <w:tcW w:w="5580" w:type="dxa"/>
          </w:tcPr>
          <w:p w14:paraId="19B9F956" w14:textId="77777777" w:rsidR="009D1808" w:rsidRDefault="009D1808" w:rsidP="002D636E">
            <w:pPr>
              <w:tabs>
                <w:tab w:val="left" w:pos="1080"/>
              </w:tabs>
              <w:ind w:firstLine="0"/>
              <w:rPr>
                <w:rFonts w:ascii="Times New Roman" w:hAnsi="Times New Roman" w:cs="Times New Roman"/>
                <w:sz w:val="24"/>
                <w:szCs w:val="24"/>
              </w:rPr>
            </w:pPr>
            <w:r>
              <w:rPr>
                <w:rFonts w:ascii="Times New Roman" w:hAnsi="Times New Roman" w:cs="Times New Roman"/>
                <w:sz w:val="24"/>
                <w:szCs w:val="24"/>
              </w:rPr>
              <w:t>S</w:t>
            </w:r>
            <w:r w:rsidRPr="00714E27">
              <w:rPr>
                <w:rFonts w:ascii="Times New Roman" w:hAnsi="Times New Roman" w:cs="Times New Roman"/>
                <w:sz w:val="24"/>
                <w:szCs w:val="24"/>
              </w:rPr>
              <w:t>econdary customers d</w:t>
            </w:r>
            <w:r>
              <w:rPr>
                <w:rFonts w:ascii="Times New Roman" w:hAnsi="Times New Roman" w:cs="Times New Roman"/>
                <w:sz w:val="24"/>
                <w:szCs w:val="24"/>
              </w:rPr>
              <w:t>irectly assigned where practical.</w:t>
            </w:r>
            <w:r w:rsidRPr="00714E27">
              <w:rPr>
                <w:rFonts w:ascii="Times New Roman" w:hAnsi="Times New Roman" w:cs="Times New Roman"/>
                <w:sz w:val="24"/>
                <w:szCs w:val="24"/>
              </w:rPr>
              <w:t xml:space="preserve"> </w:t>
            </w:r>
            <w:r>
              <w:rPr>
                <w:rFonts w:ascii="Times New Roman" w:hAnsi="Times New Roman" w:cs="Times New Roman"/>
                <w:sz w:val="24"/>
                <w:szCs w:val="24"/>
              </w:rPr>
              <w:t>All remaining costs are allocated using a relative ratio of transformers at current installation costs.</w:t>
            </w:r>
          </w:p>
        </w:tc>
      </w:tr>
      <w:tr w:rsidR="009D1808" w14:paraId="405507A0" w14:textId="77777777" w:rsidTr="002D636E">
        <w:tc>
          <w:tcPr>
            <w:tcW w:w="2250" w:type="dxa"/>
          </w:tcPr>
          <w:p w14:paraId="087CED68" w14:textId="77777777" w:rsidR="009D1808" w:rsidRDefault="009D1808" w:rsidP="002D636E">
            <w:pPr>
              <w:tabs>
                <w:tab w:val="left" w:pos="1080"/>
              </w:tabs>
              <w:ind w:firstLine="0"/>
              <w:rPr>
                <w:rFonts w:ascii="Times New Roman" w:hAnsi="Times New Roman" w:cs="Times New Roman"/>
                <w:sz w:val="24"/>
                <w:szCs w:val="24"/>
              </w:rPr>
            </w:pPr>
            <w:r>
              <w:rPr>
                <w:rFonts w:ascii="Times New Roman" w:hAnsi="Times New Roman" w:cs="Times New Roman"/>
                <w:sz w:val="24"/>
                <w:szCs w:val="24"/>
              </w:rPr>
              <w:t>Distribution Poles and Wires</w:t>
            </w:r>
          </w:p>
        </w:tc>
        <w:tc>
          <w:tcPr>
            <w:tcW w:w="2610" w:type="dxa"/>
          </w:tcPr>
          <w:p w14:paraId="3BAC53A6" w14:textId="77777777" w:rsidR="009D1808" w:rsidRPr="00674F4E" w:rsidRDefault="009D1808" w:rsidP="002D636E">
            <w:pPr>
              <w:tabs>
                <w:tab w:val="left" w:pos="1080"/>
              </w:tabs>
              <w:spacing w:line="259" w:lineRule="auto"/>
              <w:ind w:firstLine="0"/>
              <w:rPr>
                <w:rFonts w:ascii="Times New Roman" w:hAnsi="Times New Roman" w:cs="Times New Roman"/>
                <w:i/>
                <w:sz w:val="24"/>
                <w:szCs w:val="24"/>
              </w:rPr>
            </w:pPr>
            <w:r w:rsidRPr="00674F4E">
              <w:rPr>
                <w:rFonts w:ascii="Times New Roman" w:hAnsi="Times New Roman" w:cs="Times New Roman"/>
                <w:i/>
                <w:sz w:val="24"/>
                <w:szCs w:val="24"/>
              </w:rPr>
              <w:t>Time-differentiated energy</w:t>
            </w:r>
          </w:p>
          <w:p w14:paraId="5D11C8DE" w14:textId="77777777" w:rsidR="009D1808" w:rsidRPr="002D636E" w:rsidRDefault="009D1808" w:rsidP="002D636E">
            <w:pPr>
              <w:tabs>
                <w:tab w:val="left" w:pos="1080"/>
              </w:tabs>
              <w:spacing w:line="259" w:lineRule="auto"/>
              <w:ind w:firstLine="0"/>
              <w:rPr>
                <w:rFonts w:ascii="Times New Roman" w:hAnsi="Times New Roman" w:cs="Times New Roman"/>
                <w:strike/>
                <w:sz w:val="24"/>
                <w:szCs w:val="24"/>
              </w:rPr>
            </w:pPr>
            <w:r w:rsidRPr="002D636E">
              <w:rPr>
                <w:rFonts w:ascii="Times New Roman" w:hAnsi="Times New Roman" w:cs="Times New Roman"/>
                <w:strike/>
                <w:sz w:val="24"/>
                <w:szCs w:val="24"/>
              </w:rPr>
              <w:t>Demand</w:t>
            </w:r>
          </w:p>
        </w:tc>
        <w:tc>
          <w:tcPr>
            <w:tcW w:w="5580" w:type="dxa"/>
          </w:tcPr>
          <w:p w14:paraId="0E53C405" w14:textId="77777777" w:rsidR="009D1808" w:rsidRDefault="009D1808" w:rsidP="002D636E">
            <w:pPr>
              <w:tabs>
                <w:tab w:val="left" w:pos="1080"/>
              </w:tabs>
              <w:ind w:firstLine="0"/>
              <w:rPr>
                <w:rFonts w:ascii="Times New Roman" w:hAnsi="Times New Roman" w:cs="Times New Roman"/>
                <w:sz w:val="24"/>
                <w:szCs w:val="24"/>
              </w:rPr>
            </w:pPr>
            <w:r>
              <w:rPr>
                <w:rFonts w:ascii="Times New Roman" w:hAnsi="Times New Roman" w:cs="Times New Roman"/>
                <w:sz w:val="24"/>
                <w:szCs w:val="24"/>
              </w:rPr>
              <w:t>Primary system customers are allocated using the same method as distribution substation.</w:t>
            </w:r>
          </w:p>
          <w:p w14:paraId="3E939F5A" w14:textId="77777777" w:rsidR="009D1808" w:rsidRDefault="009D1808" w:rsidP="002D636E">
            <w:pPr>
              <w:tabs>
                <w:tab w:val="left" w:pos="1080"/>
              </w:tabs>
              <w:ind w:firstLine="0"/>
              <w:rPr>
                <w:rFonts w:ascii="Times New Roman" w:hAnsi="Times New Roman" w:cs="Times New Roman"/>
                <w:sz w:val="24"/>
                <w:szCs w:val="24"/>
              </w:rPr>
            </w:pPr>
            <w:r>
              <w:rPr>
                <w:rFonts w:ascii="Times New Roman" w:hAnsi="Times New Roman" w:cs="Times New Roman"/>
                <w:sz w:val="24"/>
                <w:szCs w:val="24"/>
              </w:rPr>
              <w:t xml:space="preserve">Secondary system customers are allocated </w:t>
            </w:r>
            <w:r w:rsidRPr="00674F4E">
              <w:rPr>
                <w:rFonts w:ascii="Times New Roman" w:hAnsi="Times New Roman" w:cs="Times New Roman"/>
                <w:i/>
                <w:sz w:val="24"/>
                <w:szCs w:val="24"/>
              </w:rPr>
              <w:t>using time-differentiated energy usage.</w:t>
            </w:r>
          </w:p>
        </w:tc>
      </w:tr>
      <w:tr w:rsidR="009D1808" w14:paraId="008B356F" w14:textId="77777777" w:rsidTr="002D636E">
        <w:tc>
          <w:tcPr>
            <w:tcW w:w="2250" w:type="dxa"/>
          </w:tcPr>
          <w:p w14:paraId="19126D5A" w14:textId="77777777" w:rsidR="009D1808" w:rsidRDefault="009D1808" w:rsidP="002D636E">
            <w:pPr>
              <w:tabs>
                <w:tab w:val="left" w:pos="1080"/>
              </w:tabs>
              <w:ind w:firstLine="0"/>
              <w:rPr>
                <w:rFonts w:ascii="Times New Roman" w:hAnsi="Times New Roman" w:cs="Times New Roman"/>
                <w:sz w:val="24"/>
                <w:szCs w:val="24"/>
              </w:rPr>
            </w:pPr>
            <w:r>
              <w:rPr>
                <w:rFonts w:ascii="Times New Roman" w:hAnsi="Times New Roman" w:cs="Times New Roman"/>
                <w:sz w:val="24"/>
                <w:szCs w:val="24"/>
              </w:rPr>
              <w:t>Service Lines</w:t>
            </w:r>
          </w:p>
        </w:tc>
        <w:tc>
          <w:tcPr>
            <w:tcW w:w="2610" w:type="dxa"/>
          </w:tcPr>
          <w:p w14:paraId="72F9E292" w14:textId="77777777" w:rsidR="009D1808" w:rsidRPr="00714E27" w:rsidRDefault="009D1808" w:rsidP="002D636E">
            <w:pPr>
              <w:ind w:firstLine="0"/>
              <w:rPr>
                <w:rFonts w:ascii="Times New Roman" w:hAnsi="Times New Roman" w:cs="Times New Roman"/>
                <w:sz w:val="24"/>
                <w:szCs w:val="24"/>
              </w:rPr>
            </w:pPr>
            <w:r>
              <w:rPr>
                <w:rFonts w:ascii="Times New Roman" w:hAnsi="Times New Roman" w:cs="Times New Roman"/>
                <w:sz w:val="24"/>
                <w:szCs w:val="24"/>
              </w:rPr>
              <w:t>Customer</w:t>
            </w:r>
          </w:p>
        </w:tc>
        <w:tc>
          <w:tcPr>
            <w:tcW w:w="5580" w:type="dxa"/>
          </w:tcPr>
          <w:p w14:paraId="7775E2D0" w14:textId="77777777" w:rsidR="009D1808" w:rsidRDefault="009D1808" w:rsidP="002D636E">
            <w:pPr>
              <w:tabs>
                <w:tab w:val="left" w:pos="1080"/>
              </w:tabs>
              <w:ind w:firstLine="0"/>
              <w:rPr>
                <w:rFonts w:ascii="Times New Roman" w:hAnsi="Times New Roman" w:cs="Times New Roman"/>
                <w:sz w:val="24"/>
                <w:szCs w:val="24"/>
              </w:rPr>
            </w:pPr>
            <w:r>
              <w:rPr>
                <w:rFonts w:ascii="Times New Roman" w:hAnsi="Times New Roman" w:cs="Times New Roman"/>
                <w:sz w:val="24"/>
                <w:szCs w:val="24"/>
              </w:rPr>
              <w:t>Average installed cost for new service lines multiplied by customer count relative to average installed cost.</w:t>
            </w:r>
          </w:p>
        </w:tc>
      </w:tr>
      <w:tr w:rsidR="009D1808" w14:paraId="75A9B58E" w14:textId="77777777" w:rsidTr="002D636E">
        <w:tc>
          <w:tcPr>
            <w:tcW w:w="2250" w:type="dxa"/>
          </w:tcPr>
          <w:p w14:paraId="778D9E24" w14:textId="77777777" w:rsidR="009D1808" w:rsidRDefault="009D1808" w:rsidP="002D636E">
            <w:pPr>
              <w:tabs>
                <w:tab w:val="left" w:pos="1080"/>
              </w:tabs>
              <w:ind w:firstLine="0"/>
              <w:rPr>
                <w:rFonts w:ascii="Times New Roman" w:hAnsi="Times New Roman" w:cs="Times New Roman"/>
                <w:sz w:val="24"/>
                <w:szCs w:val="24"/>
              </w:rPr>
            </w:pPr>
            <w:r>
              <w:rPr>
                <w:rFonts w:ascii="Times New Roman" w:hAnsi="Times New Roman" w:cs="Times New Roman"/>
                <w:sz w:val="24"/>
                <w:szCs w:val="24"/>
              </w:rPr>
              <w:lastRenderedPageBreak/>
              <w:t>Meters</w:t>
            </w:r>
          </w:p>
        </w:tc>
        <w:tc>
          <w:tcPr>
            <w:tcW w:w="2610" w:type="dxa"/>
          </w:tcPr>
          <w:p w14:paraId="0EF8BB7A" w14:textId="77777777" w:rsidR="009D1808" w:rsidRPr="00714E27" w:rsidRDefault="009D1808" w:rsidP="002D636E">
            <w:pPr>
              <w:ind w:firstLine="0"/>
              <w:rPr>
                <w:rFonts w:ascii="Times New Roman" w:hAnsi="Times New Roman" w:cs="Times New Roman"/>
                <w:sz w:val="24"/>
                <w:szCs w:val="24"/>
              </w:rPr>
            </w:pPr>
            <w:r>
              <w:rPr>
                <w:rFonts w:ascii="Times New Roman" w:hAnsi="Times New Roman" w:cs="Times New Roman"/>
                <w:sz w:val="24"/>
                <w:szCs w:val="24"/>
              </w:rPr>
              <w:t>Customer</w:t>
            </w:r>
          </w:p>
        </w:tc>
        <w:tc>
          <w:tcPr>
            <w:tcW w:w="5580" w:type="dxa"/>
          </w:tcPr>
          <w:p w14:paraId="773CE1A7" w14:textId="77777777" w:rsidR="009D1808" w:rsidRPr="00714E27" w:rsidRDefault="009D1808" w:rsidP="002D636E">
            <w:pPr>
              <w:tabs>
                <w:tab w:val="left" w:pos="1080"/>
              </w:tabs>
              <w:ind w:firstLine="0"/>
              <w:rPr>
                <w:rFonts w:ascii="Times New Roman" w:hAnsi="Times New Roman" w:cs="Times New Roman"/>
                <w:sz w:val="24"/>
                <w:szCs w:val="24"/>
              </w:rPr>
            </w:pPr>
            <w:r w:rsidRPr="008B70DB">
              <w:rPr>
                <w:rFonts w:ascii="Times New Roman" w:hAnsi="Times New Roman" w:cs="Times New Roman"/>
                <w:sz w:val="24"/>
                <w:szCs w:val="24"/>
              </w:rPr>
              <w:t>Average installed cost for new metering multiplied by customer count</w:t>
            </w:r>
            <w:r>
              <w:rPr>
                <w:rFonts w:ascii="Times New Roman" w:hAnsi="Times New Roman" w:cs="Times New Roman"/>
                <w:sz w:val="24"/>
                <w:szCs w:val="24"/>
              </w:rPr>
              <w:t>.</w:t>
            </w:r>
          </w:p>
        </w:tc>
      </w:tr>
      <w:tr w:rsidR="009D1808" w14:paraId="4D61AB2B" w14:textId="77777777" w:rsidTr="002D636E">
        <w:tc>
          <w:tcPr>
            <w:tcW w:w="2250" w:type="dxa"/>
          </w:tcPr>
          <w:p w14:paraId="0AA70C63" w14:textId="77777777" w:rsidR="009D1808" w:rsidRDefault="009D1808" w:rsidP="002D636E">
            <w:pPr>
              <w:tabs>
                <w:tab w:val="left" w:pos="1080"/>
              </w:tabs>
              <w:ind w:firstLine="0"/>
              <w:rPr>
                <w:rFonts w:ascii="Times New Roman" w:hAnsi="Times New Roman" w:cs="Times New Roman"/>
                <w:sz w:val="24"/>
                <w:szCs w:val="24"/>
              </w:rPr>
            </w:pPr>
            <w:r>
              <w:rPr>
                <w:rFonts w:ascii="Times New Roman" w:hAnsi="Times New Roman" w:cs="Times New Roman"/>
                <w:sz w:val="24"/>
                <w:szCs w:val="24"/>
              </w:rPr>
              <w:t>Customer Service/Billing</w:t>
            </w:r>
          </w:p>
        </w:tc>
        <w:tc>
          <w:tcPr>
            <w:tcW w:w="2610" w:type="dxa"/>
          </w:tcPr>
          <w:p w14:paraId="4592F8EC" w14:textId="77777777" w:rsidR="009D1808" w:rsidRPr="00714E27" w:rsidRDefault="009D1808" w:rsidP="002D636E">
            <w:pPr>
              <w:ind w:firstLine="0"/>
              <w:rPr>
                <w:rFonts w:ascii="Times New Roman" w:hAnsi="Times New Roman" w:cs="Times New Roman"/>
                <w:sz w:val="24"/>
                <w:szCs w:val="24"/>
              </w:rPr>
            </w:pPr>
            <w:r>
              <w:rPr>
                <w:rFonts w:ascii="Times New Roman" w:hAnsi="Times New Roman" w:cs="Times New Roman"/>
                <w:sz w:val="24"/>
                <w:szCs w:val="24"/>
              </w:rPr>
              <w:t>Customer</w:t>
            </w:r>
          </w:p>
        </w:tc>
        <w:tc>
          <w:tcPr>
            <w:tcW w:w="5580" w:type="dxa"/>
          </w:tcPr>
          <w:p w14:paraId="32645019" w14:textId="77777777" w:rsidR="009D1808" w:rsidRDefault="009D1808" w:rsidP="002D636E">
            <w:pPr>
              <w:ind w:firstLine="0"/>
              <w:rPr>
                <w:rFonts w:ascii="Times New Roman" w:hAnsi="Times New Roman" w:cs="Times New Roman"/>
                <w:sz w:val="24"/>
                <w:szCs w:val="24"/>
              </w:rPr>
            </w:pPr>
            <w:r>
              <w:rPr>
                <w:rFonts w:ascii="Times New Roman" w:hAnsi="Times New Roman" w:cs="Times New Roman"/>
                <w:sz w:val="24"/>
                <w:szCs w:val="24"/>
              </w:rPr>
              <w:t>All costs assigned by weighted customer counts.</w:t>
            </w:r>
          </w:p>
        </w:tc>
      </w:tr>
      <w:tr w:rsidR="009D1808" w14:paraId="52A6CBED" w14:textId="77777777" w:rsidTr="002D636E">
        <w:tc>
          <w:tcPr>
            <w:tcW w:w="2250" w:type="dxa"/>
          </w:tcPr>
          <w:p w14:paraId="36F07387" w14:textId="77777777" w:rsidR="009D1808" w:rsidRDefault="009D1808" w:rsidP="002D636E">
            <w:pPr>
              <w:tabs>
                <w:tab w:val="left" w:pos="1080"/>
              </w:tabs>
              <w:ind w:firstLine="0"/>
              <w:rPr>
                <w:rFonts w:ascii="Times New Roman" w:hAnsi="Times New Roman" w:cs="Times New Roman"/>
                <w:sz w:val="24"/>
                <w:szCs w:val="24"/>
              </w:rPr>
            </w:pPr>
            <w:r>
              <w:rPr>
                <w:rFonts w:ascii="Times New Roman" w:hAnsi="Times New Roman" w:cs="Times New Roman"/>
                <w:sz w:val="24"/>
                <w:szCs w:val="24"/>
              </w:rPr>
              <w:t>Administrative &amp; General and General Plant</w:t>
            </w:r>
          </w:p>
        </w:tc>
        <w:tc>
          <w:tcPr>
            <w:tcW w:w="2610" w:type="dxa"/>
          </w:tcPr>
          <w:p w14:paraId="418CD2E4" w14:textId="77777777" w:rsidR="009D1808" w:rsidRPr="00714E27" w:rsidRDefault="009D1808" w:rsidP="002D636E">
            <w:pPr>
              <w:ind w:firstLine="0"/>
              <w:rPr>
                <w:rFonts w:ascii="Times New Roman" w:hAnsi="Times New Roman" w:cs="Times New Roman"/>
                <w:sz w:val="24"/>
                <w:szCs w:val="24"/>
              </w:rPr>
            </w:pPr>
            <w:r>
              <w:rPr>
                <w:rFonts w:ascii="Times New Roman" w:hAnsi="Times New Roman" w:cs="Times New Roman"/>
                <w:sz w:val="24"/>
                <w:szCs w:val="24"/>
              </w:rPr>
              <w:t xml:space="preserve">Depends on functionalization of account </w:t>
            </w:r>
          </w:p>
        </w:tc>
        <w:tc>
          <w:tcPr>
            <w:tcW w:w="5580" w:type="dxa"/>
          </w:tcPr>
          <w:p w14:paraId="52834E4B" w14:textId="77777777" w:rsidR="009D1808" w:rsidRDefault="009D1808" w:rsidP="002D636E">
            <w:pPr>
              <w:ind w:firstLine="0"/>
              <w:rPr>
                <w:rFonts w:ascii="Times New Roman" w:hAnsi="Times New Roman" w:cs="Times New Roman"/>
                <w:sz w:val="24"/>
                <w:szCs w:val="24"/>
              </w:rPr>
            </w:pPr>
            <w:r w:rsidRPr="008B70DB">
              <w:rPr>
                <w:rFonts w:ascii="Times New Roman" w:hAnsi="Times New Roman" w:cs="Times New Roman"/>
                <w:sz w:val="24"/>
                <w:szCs w:val="24"/>
              </w:rPr>
              <w:t>Property insurance based on allocated plant</w:t>
            </w:r>
            <w:r>
              <w:rPr>
                <w:rFonts w:ascii="Times New Roman" w:hAnsi="Times New Roman" w:cs="Times New Roman"/>
                <w:sz w:val="24"/>
                <w:szCs w:val="24"/>
              </w:rPr>
              <w:t>; p</w:t>
            </w:r>
            <w:r w:rsidRPr="008B70DB">
              <w:rPr>
                <w:rFonts w:ascii="Times New Roman" w:hAnsi="Times New Roman" w:cs="Times New Roman"/>
                <w:sz w:val="24"/>
                <w:szCs w:val="24"/>
              </w:rPr>
              <w:t>ensions and employee insurance based on salary and wages</w:t>
            </w:r>
            <w:r>
              <w:rPr>
                <w:rFonts w:ascii="Times New Roman" w:hAnsi="Times New Roman" w:cs="Times New Roman"/>
                <w:sz w:val="24"/>
                <w:szCs w:val="24"/>
              </w:rPr>
              <w:t xml:space="preserve">; </w:t>
            </w:r>
            <w:r w:rsidRPr="008B70DB">
              <w:rPr>
                <w:rFonts w:ascii="Times New Roman" w:hAnsi="Times New Roman" w:cs="Times New Roman"/>
                <w:sz w:val="24"/>
                <w:szCs w:val="24"/>
              </w:rPr>
              <w:t>FERC fees based on energy</w:t>
            </w:r>
            <w:r>
              <w:rPr>
                <w:rFonts w:ascii="Times New Roman" w:hAnsi="Times New Roman" w:cs="Times New Roman"/>
                <w:sz w:val="24"/>
                <w:szCs w:val="24"/>
              </w:rPr>
              <w:t>; revenue-based fees allocated by class relative share of total revenue.</w:t>
            </w:r>
          </w:p>
          <w:p w14:paraId="125F6871" w14:textId="77777777" w:rsidR="009D1808" w:rsidRDefault="009D1808" w:rsidP="002D636E">
            <w:pPr>
              <w:ind w:firstLine="0"/>
              <w:rPr>
                <w:rFonts w:ascii="Times New Roman" w:hAnsi="Times New Roman" w:cs="Times New Roman"/>
                <w:sz w:val="24"/>
                <w:szCs w:val="24"/>
              </w:rPr>
            </w:pPr>
          </w:p>
          <w:p w14:paraId="71367EAE" w14:textId="77777777" w:rsidR="009D1808" w:rsidRPr="008B70DB" w:rsidRDefault="009D1808" w:rsidP="002D636E">
            <w:pPr>
              <w:ind w:firstLine="0"/>
              <w:rPr>
                <w:rFonts w:ascii="Times New Roman" w:hAnsi="Times New Roman" w:cs="Times New Roman"/>
                <w:sz w:val="24"/>
                <w:szCs w:val="24"/>
              </w:rPr>
            </w:pPr>
            <w:r>
              <w:rPr>
                <w:rFonts w:ascii="Times New Roman" w:hAnsi="Times New Roman" w:cs="Times New Roman"/>
                <w:sz w:val="24"/>
                <w:szCs w:val="24"/>
              </w:rPr>
              <w:t xml:space="preserve">The remainder of administrative &amp; general and general plant costs shall be allocated </w:t>
            </w:r>
            <w:r w:rsidRPr="00674F4E">
              <w:rPr>
                <w:rFonts w:ascii="Times New Roman" w:hAnsi="Times New Roman" w:cs="Times New Roman"/>
                <w:i/>
                <w:sz w:val="24"/>
                <w:szCs w:val="24"/>
              </w:rPr>
              <w:t>based on a subtotal of plant and expenses allocated to each class, including production, transmission and distribution costs.</w:t>
            </w:r>
            <w:r>
              <w:rPr>
                <w:rFonts w:ascii="Times New Roman" w:hAnsi="Times New Roman" w:cs="Times New Roman"/>
                <w:sz w:val="24"/>
                <w:szCs w:val="24"/>
              </w:rPr>
              <w:t xml:space="preserve"> An explanation of the allocation method used must be included in testimony.</w:t>
            </w:r>
          </w:p>
        </w:tc>
      </w:tr>
      <w:tr w:rsidR="009D1808" w14:paraId="687A5605" w14:textId="77777777" w:rsidTr="002D636E">
        <w:tc>
          <w:tcPr>
            <w:tcW w:w="2250" w:type="dxa"/>
          </w:tcPr>
          <w:p w14:paraId="63EA2088" w14:textId="77777777" w:rsidR="009D1808" w:rsidRDefault="009D1808" w:rsidP="002D636E">
            <w:pPr>
              <w:tabs>
                <w:tab w:val="left" w:pos="1080"/>
              </w:tabs>
              <w:ind w:firstLine="0"/>
              <w:rPr>
                <w:rFonts w:ascii="Times New Roman" w:hAnsi="Times New Roman" w:cs="Times New Roman"/>
                <w:sz w:val="24"/>
                <w:szCs w:val="24"/>
              </w:rPr>
            </w:pPr>
            <w:r>
              <w:rPr>
                <w:rFonts w:ascii="Times New Roman" w:hAnsi="Times New Roman" w:cs="Times New Roman"/>
                <w:sz w:val="24"/>
                <w:szCs w:val="24"/>
              </w:rPr>
              <w:t>Intangible Plant</w:t>
            </w:r>
          </w:p>
        </w:tc>
        <w:tc>
          <w:tcPr>
            <w:tcW w:w="2610" w:type="dxa"/>
          </w:tcPr>
          <w:p w14:paraId="27EEEEA7" w14:textId="77777777" w:rsidR="009D1808" w:rsidRPr="00714E27" w:rsidRDefault="009D1808" w:rsidP="002D636E">
            <w:pPr>
              <w:ind w:firstLine="0"/>
              <w:rPr>
                <w:rFonts w:ascii="Times New Roman" w:hAnsi="Times New Roman" w:cs="Times New Roman"/>
                <w:sz w:val="24"/>
                <w:szCs w:val="24"/>
              </w:rPr>
            </w:pPr>
            <w:r>
              <w:rPr>
                <w:rFonts w:ascii="Times New Roman" w:hAnsi="Times New Roman" w:cs="Times New Roman"/>
                <w:sz w:val="24"/>
                <w:szCs w:val="24"/>
              </w:rPr>
              <w:t xml:space="preserve">Depends on functionalization of account </w:t>
            </w:r>
          </w:p>
        </w:tc>
        <w:tc>
          <w:tcPr>
            <w:tcW w:w="5580" w:type="dxa"/>
          </w:tcPr>
          <w:p w14:paraId="14465011" w14:textId="77777777" w:rsidR="009D1808" w:rsidRPr="008B70DB" w:rsidRDefault="009D1808" w:rsidP="002D636E">
            <w:pPr>
              <w:ind w:firstLine="0"/>
              <w:rPr>
                <w:rFonts w:ascii="Times New Roman" w:hAnsi="Times New Roman" w:cs="Times New Roman"/>
                <w:sz w:val="24"/>
                <w:szCs w:val="24"/>
              </w:rPr>
            </w:pPr>
            <w:r>
              <w:rPr>
                <w:rFonts w:ascii="Times New Roman" w:hAnsi="Times New Roman" w:cs="Times New Roman"/>
                <w:sz w:val="24"/>
                <w:szCs w:val="24"/>
              </w:rPr>
              <w:t>Each type of intangible and amortization in a separate account, allocated using appropriate factors. A materiality threshold of 0.5% of intangible plant will be applied.</w:t>
            </w:r>
          </w:p>
        </w:tc>
      </w:tr>
    </w:tbl>
    <w:p w14:paraId="3842E059" w14:textId="77777777" w:rsidR="009D1808" w:rsidRDefault="009D1808" w:rsidP="009D1808">
      <w:pPr>
        <w:rPr>
          <w:rFonts w:ascii="Times New Roman" w:hAnsi="Times New Roman" w:cs="Times New Roman"/>
          <w:highlight w:val="yellow"/>
        </w:rPr>
      </w:pPr>
    </w:p>
    <w:p w14:paraId="1542BBF9" w14:textId="1BCFC0BB" w:rsidR="00B5785F" w:rsidRPr="00674F4E" w:rsidRDefault="00B5785F">
      <w:pPr>
        <w:rPr>
          <w:rFonts w:ascii="Times New Roman" w:hAnsi="Times New Roman" w:cs="Times New Roman"/>
          <w:highlight w:val="yellow"/>
        </w:rPr>
      </w:pPr>
    </w:p>
    <w:sectPr w:rsidR="00B5785F" w:rsidRPr="00674F4E" w:rsidSect="00EB64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85F"/>
    <w:rsid w:val="002E0D70"/>
    <w:rsid w:val="00674F4E"/>
    <w:rsid w:val="00722946"/>
    <w:rsid w:val="0076033E"/>
    <w:rsid w:val="009D1808"/>
    <w:rsid w:val="00A24944"/>
    <w:rsid w:val="00B5785F"/>
    <w:rsid w:val="00EB6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6DC3FA"/>
  <w14:defaultImageDpi w14:val="32767"/>
  <w15:chartTrackingRefBased/>
  <w15:docId w15:val="{C77C0197-611B-7048-A689-70A594BBA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785F"/>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D1808"/>
    <w:rPr>
      <w:sz w:val="16"/>
      <w:szCs w:val="16"/>
    </w:rPr>
  </w:style>
  <w:style w:type="paragraph" w:styleId="CommentText">
    <w:name w:val="annotation text"/>
    <w:basedOn w:val="Normal"/>
    <w:link w:val="CommentTextChar"/>
    <w:uiPriority w:val="99"/>
    <w:unhideWhenUsed/>
    <w:rsid w:val="009D1808"/>
    <w:pPr>
      <w:ind w:firstLine="720"/>
    </w:pPr>
    <w:rPr>
      <w:sz w:val="20"/>
      <w:szCs w:val="20"/>
    </w:rPr>
  </w:style>
  <w:style w:type="character" w:customStyle="1" w:styleId="CommentTextChar">
    <w:name w:val="Comment Text Char"/>
    <w:basedOn w:val="DefaultParagraphFont"/>
    <w:link w:val="CommentText"/>
    <w:uiPriority w:val="99"/>
    <w:rsid w:val="009D1808"/>
    <w:rPr>
      <w:sz w:val="20"/>
      <w:szCs w:val="20"/>
    </w:rPr>
  </w:style>
  <w:style w:type="table" w:styleId="TableGrid">
    <w:name w:val="Table Grid"/>
    <w:basedOn w:val="TableNormal"/>
    <w:uiPriority w:val="39"/>
    <w:rsid w:val="009D1808"/>
    <w:pPr>
      <w:ind w:firstLine="72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180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1808"/>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674F4E"/>
    <w:pPr>
      <w:ind w:firstLine="0"/>
    </w:pPr>
    <w:rPr>
      <w:b/>
      <w:bCs/>
    </w:rPr>
  </w:style>
  <w:style w:type="character" w:customStyle="1" w:styleId="CommentSubjectChar">
    <w:name w:val="Comment Subject Char"/>
    <w:basedOn w:val="CommentTextChar"/>
    <w:link w:val="CommentSubject"/>
    <w:uiPriority w:val="99"/>
    <w:semiHidden/>
    <w:rsid w:val="00674F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241043">
      <w:bodyDiv w:val="1"/>
      <w:marLeft w:val="0"/>
      <w:marRight w:val="0"/>
      <w:marTop w:val="0"/>
      <w:marBottom w:val="0"/>
      <w:divBdr>
        <w:top w:val="none" w:sz="0" w:space="0" w:color="auto"/>
        <w:left w:val="none" w:sz="0" w:space="0" w:color="auto"/>
        <w:bottom w:val="none" w:sz="0" w:space="0" w:color="auto"/>
        <w:right w:val="none" w:sz="0" w:space="0" w:color="auto"/>
      </w:divBdr>
      <w:divsChild>
        <w:div w:id="1064260613">
          <w:marLeft w:val="0"/>
          <w:marRight w:val="0"/>
          <w:marTop w:val="0"/>
          <w:marBottom w:val="0"/>
          <w:divBdr>
            <w:top w:val="none" w:sz="0" w:space="0" w:color="auto"/>
            <w:left w:val="none" w:sz="0" w:space="0" w:color="auto"/>
            <w:bottom w:val="none" w:sz="0" w:space="0" w:color="auto"/>
            <w:right w:val="none" w:sz="0" w:space="0" w:color="auto"/>
          </w:divBdr>
          <w:divsChild>
            <w:div w:id="1971276770">
              <w:marLeft w:val="0"/>
              <w:marRight w:val="0"/>
              <w:marTop w:val="0"/>
              <w:marBottom w:val="0"/>
              <w:divBdr>
                <w:top w:val="none" w:sz="0" w:space="0" w:color="auto"/>
                <w:left w:val="none" w:sz="0" w:space="0" w:color="auto"/>
                <w:bottom w:val="none" w:sz="0" w:space="0" w:color="auto"/>
                <w:right w:val="none" w:sz="0" w:space="0" w:color="auto"/>
              </w:divBdr>
              <w:divsChild>
                <w:div w:id="187518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2C61E7120A6E844987769BD5AE4235A1" ma:contentTypeVersion="104" ma:contentTypeDescription="" ma:contentTypeScope="" ma:versionID="8ddd6be1c619f9ad5a8d32551dcc5094">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Comment</DocumentSetType>
    <Visibility xmlns="dc463f71-b30c-4ab2-9473-d307f9d35888">Full Visibility</Visibility>
    <IsConfidential xmlns="dc463f71-b30c-4ab2-9473-d307f9d35888">false</IsConfidential>
    <AgendaOrder xmlns="dc463f71-b30c-4ab2-9473-d307f9d35888">false</AgendaOrder>
    <CaseType xmlns="dc463f71-b30c-4ab2-9473-d307f9d35888">Rulemaking</CaseType>
    <IndustryCode xmlns="dc463f71-b30c-4ab2-9473-d307f9d35888">140</IndustryCode>
    <CaseStatus xmlns="dc463f71-b30c-4ab2-9473-d307f9d35888">Closed</CaseStatus>
    <OpenedDate xmlns="dc463f71-b30c-4ab2-9473-d307f9d35888">2017-01-03T08:00:00+00:00</OpenedDate>
    <SignificantOrder xmlns="dc463f71-b30c-4ab2-9473-d307f9d35888">false</SignificantOrder>
    <Date1 xmlns="dc463f71-b30c-4ab2-9473-d307f9d35888">2019-12-06T08:00:00+00:00</Date1>
    <IsDocumentOrder xmlns="dc463f71-b30c-4ab2-9473-d307f9d35888">false</IsDocumentOrder>
    <IsHighlyConfidential xmlns="dc463f71-b30c-4ab2-9473-d307f9d35888">false</IsHighlyConfidential>
    <CaseCompanyNames xmlns="dc463f71-b30c-4ab2-9473-d307f9d35888" xsi:nil="true"/>
    <Nickname xmlns="http://schemas.microsoft.com/sharepoint/v3" xsi:nil="true"/>
    <DocketNumber xmlns="dc463f71-b30c-4ab2-9473-d307f9d35888">170002</DocketNumber>
    <DelegatedOrder xmlns="dc463f71-b30c-4ab2-9473-d307f9d35888">false</DelegatedOrder>
  </documentManagement>
</p:properties>
</file>

<file path=customXml/item4.xml><?xml version="1.0" encoding="utf-8"?>
<?mso-contentType ?>
<SharedContentType xmlns="Microsoft.SharePoint.Taxonomy.ContentTypeSync" SourceId="1af0c028-e016-4365-948e-cc2e26d65303" ContentTypeId="0x0101006E56B4D1795A2E4DB2F0B01679ED314A" PreviousValue="true"/>
</file>

<file path=customXml/itemProps1.xml><?xml version="1.0" encoding="utf-8"?>
<ds:datastoreItem xmlns:ds="http://schemas.openxmlformats.org/officeDocument/2006/customXml" ds:itemID="{0FF8FC0E-F533-457A-BE40-2E0EBFAF2763}"/>
</file>

<file path=customXml/itemProps2.xml><?xml version="1.0" encoding="utf-8"?>
<ds:datastoreItem xmlns:ds="http://schemas.openxmlformats.org/officeDocument/2006/customXml" ds:itemID="{4725AD24-C75B-45F7-B117-FD79B4068134}"/>
</file>

<file path=customXml/itemProps3.xml><?xml version="1.0" encoding="utf-8"?>
<ds:datastoreItem xmlns:ds="http://schemas.openxmlformats.org/officeDocument/2006/customXml" ds:itemID="{B037BA0B-5E0C-4192-9351-6F6180920FF7}"/>
</file>

<file path=customXml/itemProps4.xml><?xml version="1.0" encoding="utf-8"?>
<ds:datastoreItem xmlns:ds="http://schemas.openxmlformats.org/officeDocument/2006/customXml" ds:itemID="{BB7AF4F2-5FAB-40B6-94ED-B6DE5BC9EF41}"/>
</file>

<file path=docProps/app.xml><?xml version="1.0" encoding="utf-8"?>
<Properties xmlns="http://schemas.openxmlformats.org/officeDocument/2006/extended-properties" xmlns:vt="http://schemas.openxmlformats.org/officeDocument/2006/docPropsVTypes">
  <Template>Normal.dotm</Template>
  <TotalTime>32</TotalTime>
  <Pages>4</Pages>
  <Words>1053</Words>
  <Characters>5845</Characters>
  <Application>Microsoft Office Word</Application>
  <DocSecurity>0</DocSecurity>
  <Lines>100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Bosh</dc:creator>
  <cp:keywords/>
  <dc:description/>
  <cp:lastModifiedBy>Joni Bosh</cp:lastModifiedBy>
  <cp:revision>3</cp:revision>
  <dcterms:created xsi:type="dcterms:W3CDTF">2019-12-06T23:54:00Z</dcterms:created>
  <dcterms:modified xsi:type="dcterms:W3CDTF">2019-12-07T00:35:00Z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0x0101006E56B4D1795A2E4DB2F0B01679ED314A002C61E7120A6E844987769BD5AE4235A1</vt:lpwstr>
  </property>
  <property fmtid="{D5CDD505-2E9C-101B-9397-08002B2CF9AE}" pid="3" name="_docset_NoMedatataSyncRequired">
    <vt:lpwstr>False</vt:lpwstr>
  </property>
  <property fmtid="{D5CDD505-2E9C-101B-9397-08002B2CF9AE}" pid="4" name="IsEFSEC">
    <vt:bool>false</vt:bool>
  </property>
</Properties>
</file>