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288"/>
      </w:tblGrid>
      <w:tr w:rsidR="000A6F76" w:rsidRPr="00770E9A" w:rsidTr="000A6F76">
        <w:trPr>
          <w:cantSplit/>
          <w:trHeight w:hRule="exact" w:val="288"/>
        </w:trPr>
        <w:tc>
          <w:tcPr>
            <w:tcW w:w="306" w:type="dxa"/>
          </w:tcPr>
          <w:p w:rsidR="000A6F76" w:rsidRPr="00B43B8B" w:rsidRDefault="00B43B8B" w:rsidP="007D40A1">
            <w:pPr>
              <w:spacing w:after="0" w:line="240" w:lineRule="auto"/>
              <w:ind w:left="-112" w:right="-96"/>
              <w:rPr>
                <w:rFonts w:ascii="Arial" w:hAnsi="Arial" w:cs="Arial"/>
                <w:sz w:val="20"/>
                <w:szCs w:val="20"/>
              </w:rPr>
            </w:pPr>
            <w:r w:rsidRPr="00B43B8B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D40A1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5B35472E91451B967C5338D8F444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03CC0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75</w:t>
                </w:r>
              </w:p>
            </w:tc>
          </w:sdtContent>
        </w:sdt>
      </w:tr>
      <w:tr w:rsidR="000D2886" w:rsidTr="000D2886">
        <w:sdt>
          <w:sdtPr>
            <w:rPr>
              <w:rFonts w:ascii="Arial" w:hAnsi="Arial"/>
              <w:b/>
              <w:sz w:val="20"/>
            </w:rPr>
            <w:alias w:val="Title Two"/>
            <w:tag w:val="Title Two"/>
            <w:id w:val="8844822"/>
            <w:placeholder>
              <w:docPart w:val="43CBFCBF42FA4596B6FD813D9171E163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0D2886" w:rsidRDefault="00FD73AE" w:rsidP="00440A1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FD73AE">
                  <w:rPr>
                    <w:rFonts w:ascii="Arial" w:hAnsi="Arial"/>
                    <w:b/>
                    <w:sz w:val="20"/>
                  </w:rPr>
                  <w:t>Equipment Lease Service (Continued)</w:t>
                </w:r>
              </w:p>
            </w:tc>
          </w:sdtContent>
        </w:sdt>
      </w:tr>
    </w:tbl>
    <w:p w:rsidR="00C50D22" w:rsidRDefault="00C50D22" w:rsidP="00C50D2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50D22" w:rsidRDefault="00C50D22" w:rsidP="00C50D22">
      <w:pPr>
        <w:pStyle w:val="ListParagraph"/>
        <w:spacing w:after="0" w:line="286" w:lineRule="exact"/>
        <w:ind w:left="360" w:right="720" w:hanging="360"/>
        <w:rPr>
          <w:rFonts w:ascii="Arial" w:hAnsi="Arial" w:cs="Arial"/>
          <w:b/>
          <w:sz w:val="20"/>
          <w:szCs w:val="20"/>
        </w:rPr>
      </w:pPr>
      <w:r w:rsidRPr="006875A7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 w:rsidRPr="00D17C70">
        <w:rPr>
          <w:rFonts w:ascii="Arial" w:hAnsi="Arial" w:cs="Arial"/>
          <w:b/>
          <w:caps/>
          <w:sz w:val="20"/>
          <w:szCs w:val="20"/>
        </w:rPr>
        <w:t>Monthly Rates (Continued)</w:t>
      </w:r>
      <w:r w:rsidRPr="00B67B0F">
        <w:rPr>
          <w:rFonts w:ascii="Arial" w:hAnsi="Arial" w:cs="Arial"/>
          <w:b/>
          <w:sz w:val="20"/>
          <w:szCs w:val="20"/>
        </w:rPr>
        <w:t>:</w:t>
      </w:r>
    </w:p>
    <w:p w:rsidR="00C50D22" w:rsidRDefault="00C50D22" w:rsidP="00C50D22">
      <w:pPr>
        <w:pStyle w:val="ListParagraph"/>
        <w:spacing w:after="0" w:line="286" w:lineRule="exact"/>
        <w:ind w:left="360" w:right="720" w:hanging="36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1"/>
        <w:gridCol w:w="1287"/>
        <w:gridCol w:w="990"/>
        <w:gridCol w:w="1260"/>
        <w:gridCol w:w="1170"/>
        <w:gridCol w:w="990"/>
      </w:tblGrid>
      <w:tr w:rsidR="00C50D22" w:rsidTr="00C50D22">
        <w:trPr>
          <w:cantSplit/>
          <w:trHeight w:hRule="exact" w:val="302"/>
        </w:trPr>
        <w:tc>
          <w:tcPr>
            <w:tcW w:w="3141" w:type="dxa"/>
          </w:tcPr>
          <w:p w:rsidR="00C50D22" w:rsidRDefault="00C50D22" w:rsidP="005D700D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D5130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Heating &amp; Air</w:t>
            </w:r>
            <w:r w:rsidRPr="001D5736">
              <w:rPr>
                <w:rFonts w:ascii="Arial" w:hAnsi="Arial" w:cs="Arial"/>
                <w:b/>
                <w:sz w:val="20"/>
                <w:szCs w:val="20"/>
              </w:rPr>
              <w:t xml:space="preserve"> Conditioning:</w:t>
            </w:r>
          </w:p>
        </w:tc>
        <w:tc>
          <w:tcPr>
            <w:tcW w:w="1287" w:type="dxa"/>
          </w:tcPr>
          <w:p w:rsidR="00C50D22" w:rsidRPr="001D5736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50D22" w:rsidRPr="001D5736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D22" w:rsidRPr="001D5736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50D22" w:rsidRPr="001D5736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50D22" w:rsidRPr="001D5736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36">
              <w:rPr>
                <w:rFonts w:ascii="Arial" w:hAnsi="Arial" w:cs="Arial"/>
                <w:b/>
                <w:sz w:val="20"/>
                <w:szCs w:val="20"/>
              </w:rPr>
              <w:t>Monthly</w:t>
            </w:r>
          </w:p>
          <w:p w:rsidR="00C50D22" w:rsidRPr="001D5736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36">
              <w:rPr>
                <w:rFonts w:ascii="Arial" w:hAnsi="Arial" w:cs="Arial"/>
                <w:b/>
                <w:sz w:val="20"/>
                <w:szCs w:val="20"/>
              </w:rPr>
              <w:t>Leas</w:t>
            </w:r>
          </w:p>
        </w:tc>
      </w:tr>
      <w:tr w:rsidR="00C50D22" w:rsidRPr="007D5130" w:rsidTr="00C50D22">
        <w:trPr>
          <w:cantSplit/>
          <w:trHeight w:hRule="exact" w:val="302"/>
        </w:trPr>
        <w:tc>
          <w:tcPr>
            <w:tcW w:w="3141" w:type="dxa"/>
          </w:tcPr>
          <w:p w:rsidR="00C50D22" w:rsidRPr="007D5130" w:rsidRDefault="00C50D22" w:rsidP="005D700D">
            <w:pPr>
              <w:spacing w:after="0" w:line="286" w:lineRule="exact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C50D22" w:rsidRPr="001D5736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:rsidR="00C50D22" w:rsidRPr="001D5736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C50D22" w:rsidRPr="001D5736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C50D22" w:rsidRPr="001D5736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:rsidR="00C50D22" w:rsidRPr="001D5736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36">
              <w:rPr>
                <w:rFonts w:ascii="Arial" w:hAnsi="Arial" w:cs="Arial"/>
                <w:b/>
                <w:sz w:val="20"/>
                <w:szCs w:val="20"/>
              </w:rPr>
              <w:t>Lease</w:t>
            </w:r>
          </w:p>
        </w:tc>
      </w:tr>
      <w:tr w:rsidR="00C50D22" w:rsidRPr="00320E1C" w:rsidTr="00C50D22">
        <w:trPr>
          <w:cantSplit/>
          <w:trHeight w:hRule="exact" w:val="302"/>
        </w:trPr>
        <w:tc>
          <w:tcPr>
            <w:tcW w:w="3141" w:type="dxa"/>
          </w:tcPr>
          <w:p w:rsidR="00C50D22" w:rsidRPr="001D5736" w:rsidRDefault="00C50D22" w:rsidP="005D700D">
            <w:pPr>
              <w:pStyle w:val="ListParagraph"/>
              <w:numPr>
                <w:ilvl w:val="0"/>
                <w:numId w:val="11"/>
              </w:numPr>
              <w:spacing w:after="0" w:line="286" w:lineRule="exact"/>
              <w:ind w:left="36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1D5736">
              <w:rPr>
                <w:rFonts w:ascii="Arial" w:hAnsi="Arial" w:cs="Arial"/>
                <w:b/>
                <w:sz w:val="20"/>
                <w:szCs w:val="20"/>
              </w:rPr>
              <w:t>Residential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C50D22" w:rsidRPr="001D5736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36">
              <w:rPr>
                <w:rFonts w:ascii="Arial" w:hAnsi="Arial" w:cs="Arial"/>
                <w:b/>
                <w:sz w:val="20"/>
                <w:szCs w:val="20"/>
              </w:rPr>
              <w:t>Fuel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50D22" w:rsidRPr="001D5736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50D22" w:rsidRPr="001D5736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36">
              <w:rPr>
                <w:rFonts w:ascii="Arial" w:hAnsi="Arial" w:cs="Arial"/>
                <w:b/>
                <w:sz w:val="20"/>
                <w:szCs w:val="20"/>
              </w:rPr>
              <w:t>Size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50D22" w:rsidRPr="001D5736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36">
              <w:rPr>
                <w:rFonts w:ascii="Arial" w:hAnsi="Arial" w:cs="Arial"/>
                <w:b/>
                <w:sz w:val="20"/>
                <w:szCs w:val="20"/>
              </w:rPr>
              <w:t>Efficiency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50D22" w:rsidRPr="001D5736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36">
              <w:rPr>
                <w:rFonts w:ascii="Arial" w:hAnsi="Arial" w:cs="Arial"/>
                <w:b/>
                <w:sz w:val="20"/>
                <w:szCs w:val="20"/>
              </w:rPr>
              <w:t>Charge</w:t>
            </w:r>
          </w:p>
        </w:tc>
      </w:tr>
      <w:tr w:rsidR="00C50D22" w:rsidTr="00C50D22">
        <w:trPr>
          <w:cantSplit/>
          <w:trHeight w:hRule="exact" w:val="302"/>
        </w:trPr>
        <w:tc>
          <w:tcPr>
            <w:tcW w:w="3141" w:type="dxa"/>
          </w:tcPr>
          <w:p w:rsidR="00C50D22" w:rsidRPr="00920693" w:rsidRDefault="00C50D22" w:rsidP="005D700D">
            <w:pPr>
              <w:spacing w:after="0" w:line="286" w:lineRule="exact"/>
              <w:ind w:left="9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0693">
              <w:rPr>
                <w:rFonts w:ascii="Arial" w:hAnsi="Arial" w:cs="Arial"/>
                <w:sz w:val="20"/>
                <w:szCs w:val="20"/>
              </w:rPr>
              <w:t>Two Stage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 Gas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Furnace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40-60k Btu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101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>80%</w:t>
            </w:r>
            <w:r w:rsidRPr="00A7458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50D22" w:rsidRDefault="00C50D22" w:rsidP="005D700D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$58.19</w:t>
            </w:r>
          </w:p>
        </w:tc>
      </w:tr>
      <w:tr w:rsidR="00C50D22" w:rsidTr="00C50D22">
        <w:trPr>
          <w:cantSplit/>
          <w:trHeight w:hRule="exact" w:val="302"/>
        </w:trPr>
        <w:tc>
          <w:tcPr>
            <w:tcW w:w="3141" w:type="dxa"/>
          </w:tcPr>
          <w:p w:rsidR="00C50D22" w:rsidRDefault="00C50D22" w:rsidP="005D700D">
            <w:pPr>
              <w:spacing w:after="0" w:line="286" w:lineRule="exact"/>
              <w:ind w:left="9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Efficient Two Stage</w:t>
            </w:r>
          </w:p>
        </w:tc>
        <w:tc>
          <w:tcPr>
            <w:tcW w:w="1287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 Gas</w:t>
            </w:r>
          </w:p>
        </w:tc>
        <w:tc>
          <w:tcPr>
            <w:tcW w:w="99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Furnace</w:t>
            </w:r>
          </w:p>
        </w:tc>
        <w:tc>
          <w:tcPr>
            <w:tcW w:w="126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40-60k Btu</w:t>
            </w:r>
          </w:p>
        </w:tc>
        <w:tc>
          <w:tcPr>
            <w:tcW w:w="117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101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>95%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C50D22" w:rsidRDefault="00C50D22" w:rsidP="005D700D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$67.68</w:t>
            </w:r>
          </w:p>
        </w:tc>
      </w:tr>
      <w:tr w:rsidR="00C50D22" w:rsidTr="00C50D22">
        <w:trPr>
          <w:cantSplit/>
          <w:trHeight w:hRule="exact" w:val="302"/>
        </w:trPr>
        <w:tc>
          <w:tcPr>
            <w:tcW w:w="3141" w:type="dxa"/>
          </w:tcPr>
          <w:p w:rsidR="00C50D22" w:rsidRDefault="00C50D22" w:rsidP="005D700D">
            <w:pPr>
              <w:spacing w:after="0" w:line="286" w:lineRule="exact"/>
              <w:ind w:left="9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C50D22" w:rsidRDefault="00C50D22" w:rsidP="005D700D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22" w:rsidTr="00C50D22">
        <w:trPr>
          <w:cantSplit/>
          <w:trHeight w:hRule="exact" w:val="302"/>
        </w:trPr>
        <w:tc>
          <w:tcPr>
            <w:tcW w:w="3141" w:type="dxa"/>
          </w:tcPr>
          <w:p w:rsidR="00C50D22" w:rsidRDefault="00C50D22" w:rsidP="005D700D">
            <w:pPr>
              <w:spacing w:after="0" w:line="286" w:lineRule="exact"/>
              <w:ind w:left="9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C50D22" w:rsidRDefault="00C50D22" w:rsidP="005D700D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22" w:rsidTr="00C50D22">
        <w:trPr>
          <w:cantSplit/>
          <w:trHeight w:hRule="exact" w:val="302"/>
        </w:trPr>
        <w:tc>
          <w:tcPr>
            <w:tcW w:w="3141" w:type="dxa"/>
          </w:tcPr>
          <w:p w:rsidR="00C50D22" w:rsidRDefault="00C50D22" w:rsidP="005D700D">
            <w:pPr>
              <w:spacing w:after="0" w:line="286" w:lineRule="exact"/>
              <w:ind w:left="9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C50D22" w:rsidRDefault="00C50D22" w:rsidP="005D700D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22" w:rsidTr="00C50D22">
        <w:trPr>
          <w:cantSplit/>
          <w:trHeight w:hRule="exact" w:val="302"/>
        </w:trPr>
        <w:tc>
          <w:tcPr>
            <w:tcW w:w="3141" w:type="dxa"/>
          </w:tcPr>
          <w:p w:rsidR="00C50D22" w:rsidRDefault="00C50D22" w:rsidP="005D700D">
            <w:pPr>
              <w:spacing w:after="0" w:line="286" w:lineRule="exact"/>
              <w:ind w:left="9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</w:t>
            </w:r>
          </w:p>
        </w:tc>
        <w:tc>
          <w:tcPr>
            <w:tcW w:w="126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C50D22" w:rsidRDefault="00C50D22" w:rsidP="005D700D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22" w:rsidTr="00C50D22">
        <w:trPr>
          <w:cantSplit/>
          <w:trHeight w:hRule="exact" w:val="302"/>
        </w:trPr>
        <w:tc>
          <w:tcPr>
            <w:tcW w:w="3141" w:type="dxa"/>
          </w:tcPr>
          <w:p w:rsidR="00C50D22" w:rsidRDefault="00C50D22" w:rsidP="005D700D">
            <w:pPr>
              <w:spacing w:after="0" w:line="286" w:lineRule="exact"/>
              <w:ind w:left="9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Efficient Air Source</w:t>
            </w:r>
          </w:p>
        </w:tc>
        <w:tc>
          <w:tcPr>
            <w:tcW w:w="1287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99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Pump</w:t>
            </w:r>
          </w:p>
        </w:tc>
        <w:tc>
          <w:tcPr>
            <w:tcW w:w="126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 Ton</w:t>
            </w:r>
          </w:p>
        </w:tc>
        <w:tc>
          <w:tcPr>
            <w:tcW w:w="117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101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>9.0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/ 16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</w:tcPr>
          <w:p w:rsidR="00C50D22" w:rsidRDefault="00C50D22" w:rsidP="005D700D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$116.00</w:t>
            </w:r>
          </w:p>
        </w:tc>
      </w:tr>
      <w:tr w:rsidR="00C50D22" w:rsidTr="00C50D22">
        <w:trPr>
          <w:cantSplit/>
          <w:trHeight w:hRule="exact" w:val="302"/>
        </w:trPr>
        <w:tc>
          <w:tcPr>
            <w:tcW w:w="3141" w:type="dxa"/>
          </w:tcPr>
          <w:p w:rsidR="00C50D22" w:rsidRDefault="00C50D22" w:rsidP="005D700D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C50D22" w:rsidRDefault="00C50D22" w:rsidP="005D700D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22" w:rsidTr="00C50D22">
        <w:trPr>
          <w:cantSplit/>
          <w:trHeight w:hRule="exact" w:val="302"/>
        </w:trPr>
        <w:tc>
          <w:tcPr>
            <w:tcW w:w="3141" w:type="dxa"/>
          </w:tcPr>
          <w:p w:rsidR="00C50D22" w:rsidRDefault="00C50D22" w:rsidP="005D700D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C50D22" w:rsidRDefault="00C50D22" w:rsidP="005D700D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22" w:rsidTr="00C50D22">
        <w:trPr>
          <w:cantSplit/>
          <w:trHeight w:hRule="exact" w:val="302"/>
        </w:trPr>
        <w:tc>
          <w:tcPr>
            <w:tcW w:w="3141" w:type="dxa"/>
            <w:tcBorders>
              <w:bottom w:val="single" w:sz="4" w:space="0" w:color="auto"/>
            </w:tcBorders>
          </w:tcPr>
          <w:p w:rsidR="00C50D22" w:rsidRDefault="00C50D22" w:rsidP="005D700D">
            <w:pPr>
              <w:spacing w:after="0" w:line="286" w:lineRule="exact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50D22" w:rsidRDefault="00C50D22" w:rsidP="005D700D">
            <w:pPr>
              <w:spacing w:after="0" w:line="286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50D22" w:rsidRDefault="00C50D22" w:rsidP="005D700D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D22" w:rsidTr="00C50D22">
        <w:trPr>
          <w:cantSplit/>
          <w:trHeight w:hRule="exact" w:val="302"/>
        </w:trPr>
        <w:tc>
          <w:tcPr>
            <w:tcW w:w="8838" w:type="dxa"/>
            <w:gridSpan w:val="6"/>
            <w:tcBorders>
              <w:top w:val="single" w:sz="4" w:space="0" w:color="auto"/>
            </w:tcBorders>
          </w:tcPr>
          <w:p w:rsidR="00C50D22" w:rsidRPr="001D5736" w:rsidRDefault="00C50D22" w:rsidP="005D700D">
            <w:pPr>
              <w:pStyle w:val="ListParagraph"/>
              <w:numPr>
                <w:ilvl w:val="0"/>
                <w:numId w:val="12"/>
              </w:num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Fuel Utilization Efficiency</w:t>
            </w:r>
          </w:p>
        </w:tc>
      </w:tr>
      <w:tr w:rsidR="00C50D22" w:rsidTr="00C50D22">
        <w:trPr>
          <w:cantSplit/>
          <w:trHeight w:hRule="exact" w:val="302"/>
        </w:trPr>
        <w:tc>
          <w:tcPr>
            <w:tcW w:w="8838" w:type="dxa"/>
            <w:gridSpan w:val="6"/>
          </w:tcPr>
          <w:p w:rsidR="00C50D22" w:rsidRDefault="00C50D22" w:rsidP="005D700D">
            <w:pPr>
              <w:pStyle w:val="ListParagraph"/>
              <w:numPr>
                <w:ilvl w:val="0"/>
                <w:numId w:val="12"/>
              </w:num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Heating Season Performance Factor</w:t>
            </w:r>
          </w:p>
        </w:tc>
      </w:tr>
      <w:tr w:rsidR="00C50D22" w:rsidTr="00C50D22">
        <w:trPr>
          <w:cantSplit/>
          <w:trHeight w:hRule="exact" w:val="302"/>
        </w:trPr>
        <w:tc>
          <w:tcPr>
            <w:tcW w:w="8838" w:type="dxa"/>
            <w:gridSpan w:val="6"/>
          </w:tcPr>
          <w:p w:rsidR="00C50D22" w:rsidRDefault="00C50D22" w:rsidP="005D700D">
            <w:pPr>
              <w:pStyle w:val="ListParagraph"/>
              <w:numPr>
                <w:ilvl w:val="0"/>
                <w:numId w:val="12"/>
              </w:num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Seasonal Energy Efficiency Ratio</w:t>
            </w:r>
          </w:p>
        </w:tc>
      </w:tr>
    </w:tbl>
    <w:p w:rsidR="00C50D22" w:rsidRDefault="00C50D22" w:rsidP="00C50D22">
      <w:pPr>
        <w:spacing w:after="0" w:line="286" w:lineRule="exact"/>
        <w:ind w:left="360"/>
        <w:contextualSpacing/>
        <w:rPr>
          <w:rFonts w:ascii="Arial" w:hAnsi="Arial" w:cs="Arial"/>
          <w:sz w:val="20"/>
          <w:szCs w:val="20"/>
        </w:rPr>
        <w:sectPr w:rsidR="00C50D22" w:rsidSect="00B70BA0">
          <w:type w:val="continuous"/>
          <w:pgSz w:w="12240" w:h="15840"/>
          <w:pgMar w:top="1440" w:right="720" w:bottom="1080" w:left="1440" w:header="720" w:footer="720" w:gutter="0"/>
          <w:cols w:space="720"/>
          <w:docGrid w:linePitch="360"/>
        </w:sectPr>
      </w:pPr>
    </w:p>
    <w:p w:rsidR="00C50D22" w:rsidRDefault="00C50D22" w:rsidP="00C50D22">
      <w:pPr>
        <w:spacing w:after="0" w:line="286" w:lineRule="exact"/>
        <w:ind w:left="360"/>
        <w:contextualSpacing/>
        <w:rPr>
          <w:rFonts w:ascii="Arial" w:hAnsi="Arial" w:cs="Arial"/>
          <w:sz w:val="20"/>
          <w:szCs w:val="20"/>
        </w:rPr>
      </w:pPr>
    </w:p>
    <w:p w:rsidR="00C50D22" w:rsidRDefault="00C50D22" w:rsidP="00C50D22">
      <w:pPr>
        <w:spacing w:after="0" w:line="286" w:lineRule="exact"/>
        <w:ind w:left="360"/>
        <w:contextualSpacing/>
        <w:rPr>
          <w:rFonts w:ascii="Arial" w:hAnsi="Arial" w:cs="Arial"/>
          <w:sz w:val="20"/>
          <w:szCs w:val="20"/>
        </w:rPr>
      </w:pPr>
    </w:p>
    <w:p w:rsidR="00C50D22" w:rsidRDefault="00C50D22" w:rsidP="00C50D22">
      <w:pPr>
        <w:spacing w:after="0" w:line="286" w:lineRule="exact"/>
        <w:ind w:left="360"/>
        <w:jc w:val="center"/>
        <w:rPr>
          <w:rFonts w:ascii="Arial" w:hAnsi="Arial" w:cs="Arial"/>
          <w:sz w:val="20"/>
          <w:szCs w:val="20"/>
        </w:rPr>
      </w:pPr>
    </w:p>
    <w:p w:rsidR="00C50D22" w:rsidRDefault="00C50D22" w:rsidP="00C50D2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C50D22" w:rsidRDefault="00C50D22" w:rsidP="00C50D22">
      <w:pPr>
        <w:spacing w:after="0" w:line="286" w:lineRule="exact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space intentionally left blank for future use.</w:t>
      </w:r>
    </w:p>
    <w:p w:rsidR="00C50D22" w:rsidRDefault="00C50D22" w:rsidP="00C50D2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C50D22" w:rsidRDefault="00C50D22" w:rsidP="00C50D2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C50D22" w:rsidRDefault="00C50D22" w:rsidP="00C50D2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C50D22" w:rsidRDefault="00C50D22" w:rsidP="00C50D2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C50D22" w:rsidRDefault="00C50D22" w:rsidP="00C50D22">
      <w:pPr>
        <w:pStyle w:val="ListParagraph"/>
        <w:spacing w:after="0" w:line="286" w:lineRule="exact"/>
        <w:ind w:righ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Pr="008A77EE">
        <w:rPr>
          <w:rFonts w:ascii="Arial" w:hAnsi="Arial" w:cs="Arial"/>
          <w:sz w:val="20"/>
          <w:szCs w:val="20"/>
        </w:rPr>
        <w:t>Other Charges, Taxes</w:t>
      </w:r>
      <w:r>
        <w:rPr>
          <w:rFonts w:ascii="Arial" w:hAnsi="Arial" w:cs="Arial"/>
          <w:sz w:val="20"/>
          <w:szCs w:val="20"/>
        </w:rPr>
        <w:t xml:space="preserve">:  </w:t>
      </w:r>
      <w:r w:rsidRPr="00B31F03">
        <w:rPr>
          <w:rFonts w:ascii="Arial" w:hAnsi="Arial" w:cs="Arial"/>
          <w:sz w:val="20"/>
          <w:szCs w:val="20"/>
        </w:rPr>
        <w:t>Rates in this Schedule are subject to adjustment by such other schedu</w:t>
      </w:r>
      <w:r>
        <w:rPr>
          <w:rFonts w:ascii="Arial" w:hAnsi="Arial" w:cs="Arial"/>
          <w:sz w:val="20"/>
          <w:szCs w:val="20"/>
        </w:rPr>
        <w:t>les of the Company’s Electric</w:t>
      </w:r>
      <w:r w:rsidRPr="00B31F03">
        <w:rPr>
          <w:rFonts w:ascii="Arial" w:hAnsi="Arial" w:cs="Arial"/>
          <w:sz w:val="20"/>
          <w:szCs w:val="20"/>
        </w:rPr>
        <w:t xml:space="preserve"> Tariff as may apply and by applicable taxes.  On the effective date of this Schedule adjustments under Schedule </w:t>
      </w:r>
      <w:r>
        <w:rPr>
          <w:rFonts w:ascii="Arial" w:hAnsi="Arial" w:cs="Arial"/>
          <w:sz w:val="20"/>
          <w:szCs w:val="20"/>
        </w:rPr>
        <w:t>8</w:t>
      </w:r>
      <w:r w:rsidRPr="00B31F03">
        <w:rPr>
          <w:rFonts w:ascii="Arial" w:hAnsi="Arial" w:cs="Arial"/>
          <w:sz w:val="20"/>
          <w:szCs w:val="20"/>
        </w:rPr>
        <w:t>1 and Schedule 140 are applicable and State Sales Tax is applicable.  The Customer shall be responsible for any taxes applicable to the service or charges under this Schedule.</w:t>
      </w:r>
    </w:p>
    <w:p w:rsidR="00C50D22" w:rsidRDefault="00C50D22" w:rsidP="00C50D2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C50D22" w:rsidRDefault="00C50D22" w:rsidP="00C50D2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84FA0" w:rsidRDefault="00C50D22" w:rsidP="00C50D22">
      <w:pPr>
        <w:tabs>
          <w:tab w:val="left" w:pos="57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Custom2"/>
        </w:rPr>
        <w:tab/>
      </w:r>
      <w:r w:rsidRPr="00DD1547">
        <w:rPr>
          <w:rStyle w:val="Custom2"/>
        </w:rPr>
        <w:t xml:space="preserve">(Continued on Sheet No. </w:t>
      </w:r>
      <w:r>
        <w:rPr>
          <w:rStyle w:val="Custom2"/>
        </w:rPr>
        <w:t>75</w:t>
      </w:r>
      <w:r w:rsidRPr="00DD1547">
        <w:rPr>
          <w:rStyle w:val="Custom2"/>
        </w:rPr>
        <w:t>-</w:t>
      </w:r>
      <w:r>
        <w:rPr>
          <w:rStyle w:val="Custom2"/>
        </w:rPr>
        <w:t>C</w:t>
      </w:r>
      <w:r w:rsidRPr="00DD1547">
        <w:rPr>
          <w:rStyle w:val="Custom2"/>
        </w:rPr>
        <w:t>)</w:t>
      </w:r>
    </w:p>
    <w:sectPr w:rsidR="00184FA0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2B" w:rsidRDefault="0084532B" w:rsidP="00B963E0">
      <w:pPr>
        <w:spacing w:after="0" w:line="240" w:lineRule="auto"/>
      </w:pPr>
      <w:r>
        <w:separator/>
      </w:r>
    </w:p>
  </w:endnote>
  <w:end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Default="00B31F0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2590EF" wp14:editId="2435D19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D73AE">
          <w:rPr>
            <w:rFonts w:ascii="Arial" w:hAnsi="Arial" w:cs="Arial"/>
            <w:sz w:val="20"/>
            <w:szCs w:val="20"/>
          </w:rPr>
          <w:t>September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1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D73AE">
          <w:rPr>
            <w:rFonts w:ascii="Arial" w:hAnsi="Arial" w:cs="Arial"/>
            <w:sz w:val="20"/>
            <w:szCs w:val="20"/>
          </w:rPr>
          <w:t>November 17, 2015</w:t>
        </w:r>
      </w:sdtContent>
    </w:sdt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4159D">
          <w:rPr>
            <w:rFonts w:ascii="Arial" w:hAnsi="Arial" w:cs="Arial"/>
            <w:sz w:val="20"/>
            <w:szCs w:val="20"/>
          </w:rPr>
          <w:t>2015-24</w:t>
        </w:r>
      </w:sdtContent>
    </w:sdt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C50D22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31F03" w:rsidRPr="007D434A" w:rsidTr="00882FF5">
      <w:trPr>
        <w:trHeight w:val="393"/>
      </w:trPr>
      <w:tc>
        <w:tcPr>
          <w:tcW w:w="558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31F03" w:rsidRPr="007D434A" w:rsidRDefault="00106534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032F1EF" wp14:editId="2D782E4C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B31F03" w:rsidRPr="006E75FB" w:rsidRDefault="00B31F0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2B" w:rsidRDefault="0084532B" w:rsidP="00B963E0">
      <w:pPr>
        <w:spacing w:after="0" w:line="240" w:lineRule="auto"/>
      </w:pPr>
      <w:r>
        <w:separator/>
      </w:r>
    </w:p>
  </w:footnote>
  <w:foot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Pr="00B42E7C" w:rsidRDefault="00B31F03" w:rsidP="00D02C25">
    <w:pPr>
      <w:pStyle w:val="NoSpacing"/>
      <w:ind w:right="3600"/>
      <w:jc w:val="right"/>
    </w:pPr>
  </w:p>
  <w:p w:rsidR="00B31F03" w:rsidRPr="00E61AEC" w:rsidRDefault="00B31F03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  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="0067474E">
      <w:rPr>
        <w:u w:val="single"/>
      </w:rPr>
      <w:t xml:space="preserve">       </w:t>
    </w:r>
    <w:r w:rsidRPr="00E61AEC">
      <w:rPr>
        <w:u w:val="single"/>
      </w:rPr>
      <w:t xml:space="preserve"> </w:t>
    </w:r>
    <w:r>
      <w:rPr>
        <w:u w:val="single"/>
      </w:rPr>
      <w:t xml:space="preserve">Original Sheet No. </w:t>
    </w:r>
    <w:sdt>
      <w:sdtPr>
        <w:rPr>
          <w:u w:val="single"/>
        </w:rPr>
        <w:id w:val="2589876"/>
        <w:text/>
      </w:sdtPr>
      <w:sdtEndPr/>
      <w:sdtContent>
        <w:r w:rsidR="00603CC0">
          <w:rPr>
            <w:u w:val="single"/>
          </w:rPr>
          <w:t>175</w:t>
        </w:r>
        <w:r w:rsidR="0067474E">
          <w:rPr>
            <w:u w:val="single"/>
          </w:rPr>
          <w:t>-</w:t>
        </w:r>
        <w:r w:rsidR="00FB3299">
          <w:rPr>
            <w:u w:val="single"/>
          </w:rPr>
          <w:t>B</w:t>
        </w:r>
      </w:sdtContent>
    </w:sdt>
  </w:p>
  <w:p w:rsidR="00B31F03" w:rsidRPr="00B963E0" w:rsidRDefault="00C50D22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PUGET SOUND ENERGY</w:t>
    </w:r>
  </w:p>
  <w:p w:rsidR="00B31F03" w:rsidRPr="00B64632" w:rsidRDefault="00B31F03" w:rsidP="00FF19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7DF57A" wp14:editId="613F17C5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A6A"/>
    <w:multiLevelType w:val="hybridMultilevel"/>
    <w:tmpl w:val="BD7E0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4A73"/>
    <w:multiLevelType w:val="multilevel"/>
    <w:tmpl w:val="B00060C0"/>
    <w:name w:val="zzmpStandard||Standard|2|3|1|1|4|9||1|4|1||1|4|1||1|4|1||1|4|0||1|4|0||1|4|0||1|4|0||1|4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2">
    <w:nsid w:val="1F344CB8"/>
    <w:multiLevelType w:val="hybridMultilevel"/>
    <w:tmpl w:val="D8B05C3E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03FDD"/>
    <w:multiLevelType w:val="hybridMultilevel"/>
    <w:tmpl w:val="A9F0DB0E"/>
    <w:lvl w:ilvl="0" w:tplc="E2940B5C">
      <w:start w:val="2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328E4"/>
    <w:multiLevelType w:val="hybridMultilevel"/>
    <w:tmpl w:val="7310A6DC"/>
    <w:lvl w:ilvl="0" w:tplc="F6AA71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2E6C2D6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526D"/>
    <w:multiLevelType w:val="hybridMultilevel"/>
    <w:tmpl w:val="3A4845A0"/>
    <w:lvl w:ilvl="0" w:tplc="904089F8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119BE"/>
    <w:multiLevelType w:val="hybridMultilevel"/>
    <w:tmpl w:val="730880F0"/>
    <w:lvl w:ilvl="0" w:tplc="06DC79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73C0B"/>
    <w:multiLevelType w:val="hybridMultilevel"/>
    <w:tmpl w:val="624ED62E"/>
    <w:lvl w:ilvl="0" w:tplc="80827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E6CC856">
      <w:start w:val="1"/>
      <w:numFmt w:val="decimal"/>
      <w:lvlText w:val="%2."/>
      <w:lvlJc w:val="left"/>
      <w:pPr>
        <w:ind w:left="198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70588"/>
    <w:multiLevelType w:val="hybridMultilevel"/>
    <w:tmpl w:val="B0E6F50C"/>
    <w:lvl w:ilvl="0" w:tplc="7750BCA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superscrip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316717"/>
    <w:multiLevelType w:val="hybridMultilevel"/>
    <w:tmpl w:val="6906AA1A"/>
    <w:lvl w:ilvl="0" w:tplc="5504D876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55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A035A"/>
    <w:multiLevelType w:val="hybridMultilevel"/>
    <w:tmpl w:val="0B4245B0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31C03"/>
    <w:multiLevelType w:val="hybridMultilevel"/>
    <w:tmpl w:val="FCB8D396"/>
    <w:lvl w:ilvl="0" w:tplc="37BC8A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B4"/>
    <w:rsid w:val="0000211C"/>
    <w:rsid w:val="00027118"/>
    <w:rsid w:val="0003601D"/>
    <w:rsid w:val="0004159D"/>
    <w:rsid w:val="000458B4"/>
    <w:rsid w:val="00045D42"/>
    <w:rsid w:val="00053192"/>
    <w:rsid w:val="00060533"/>
    <w:rsid w:val="0008711D"/>
    <w:rsid w:val="000906F1"/>
    <w:rsid w:val="0009579F"/>
    <w:rsid w:val="000A05F2"/>
    <w:rsid w:val="000A1DBB"/>
    <w:rsid w:val="000A6F76"/>
    <w:rsid w:val="000B0263"/>
    <w:rsid w:val="000B5001"/>
    <w:rsid w:val="000C04B8"/>
    <w:rsid w:val="000D2886"/>
    <w:rsid w:val="000D6C6F"/>
    <w:rsid w:val="000E16E7"/>
    <w:rsid w:val="000E3073"/>
    <w:rsid w:val="000E73F4"/>
    <w:rsid w:val="000F642C"/>
    <w:rsid w:val="00104A70"/>
    <w:rsid w:val="00106534"/>
    <w:rsid w:val="0011435F"/>
    <w:rsid w:val="0013127F"/>
    <w:rsid w:val="001351A6"/>
    <w:rsid w:val="00143924"/>
    <w:rsid w:val="001601CC"/>
    <w:rsid w:val="00184FA0"/>
    <w:rsid w:val="00186C0A"/>
    <w:rsid w:val="001B2E67"/>
    <w:rsid w:val="001B59E7"/>
    <w:rsid w:val="001C0C09"/>
    <w:rsid w:val="001C362F"/>
    <w:rsid w:val="001D18F3"/>
    <w:rsid w:val="001E5AAA"/>
    <w:rsid w:val="001F3E4B"/>
    <w:rsid w:val="001F5B0A"/>
    <w:rsid w:val="002079E2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6B72"/>
    <w:rsid w:val="00277173"/>
    <w:rsid w:val="00282FCF"/>
    <w:rsid w:val="00284F0A"/>
    <w:rsid w:val="002A4238"/>
    <w:rsid w:val="002C09C5"/>
    <w:rsid w:val="002E7037"/>
    <w:rsid w:val="002F3437"/>
    <w:rsid w:val="002F56BC"/>
    <w:rsid w:val="003245B6"/>
    <w:rsid w:val="00345D5B"/>
    <w:rsid w:val="00350702"/>
    <w:rsid w:val="00350A9F"/>
    <w:rsid w:val="00363EA1"/>
    <w:rsid w:val="00371EC5"/>
    <w:rsid w:val="003930FE"/>
    <w:rsid w:val="0039686E"/>
    <w:rsid w:val="00396C04"/>
    <w:rsid w:val="003A5EFC"/>
    <w:rsid w:val="003D5068"/>
    <w:rsid w:val="003D6A10"/>
    <w:rsid w:val="003D6A6F"/>
    <w:rsid w:val="003F48BD"/>
    <w:rsid w:val="003F6E89"/>
    <w:rsid w:val="00401C8E"/>
    <w:rsid w:val="00423AA0"/>
    <w:rsid w:val="0042437F"/>
    <w:rsid w:val="00440A1A"/>
    <w:rsid w:val="00466466"/>
    <w:rsid w:val="00466546"/>
    <w:rsid w:val="00466A71"/>
    <w:rsid w:val="0047056F"/>
    <w:rsid w:val="004A428A"/>
    <w:rsid w:val="004A7502"/>
    <w:rsid w:val="00501FF2"/>
    <w:rsid w:val="005141B1"/>
    <w:rsid w:val="005241EE"/>
    <w:rsid w:val="005312A3"/>
    <w:rsid w:val="00543EA4"/>
    <w:rsid w:val="005468AF"/>
    <w:rsid w:val="005743AB"/>
    <w:rsid w:val="005746B6"/>
    <w:rsid w:val="0057550B"/>
    <w:rsid w:val="00584908"/>
    <w:rsid w:val="00596AA0"/>
    <w:rsid w:val="005B2E69"/>
    <w:rsid w:val="005C2598"/>
    <w:rsid w:val="005C6A46"/>
    <w:rsid w:val="005E09BA"/>
    <w:rsid w:val="00603CC0"/>
    <w:rsid w:val="00610973"/>
    <w:rsid w:val="0061534C"/>
    <w:rsid w:val="0063213E"/>
    <w:rsid w:val="00650AD5"/>
    <w:rsid w:val="00652D7A"/>
    <w:rsid w:val="00654F75"/>
    <w:rsid w:val="0067474E"/>
    <w:rsid w:val="00690C2E"/>
    <w:rsid w:val="006A72BD"/>
    <w:rsid w:val="006B7018"/>
    <w:rsid w:val="006C2715"/>
    <w:rsid w:val="006C27C7"/>
    <w:rsid w:val="006D0657"/>
    <w:rsid w:val="006D2350"/>
    <w:rsid w:val="006D2365"/>
    <w:rsid w:val="006E75FB"/>
    <w:rsid w:val="00703E53"/>
    <w:rsid w:val="00707DF4"/>
    <w:rsid w:val="007128CD"/>
    <w:rsid w:val="00716A97"/>
    <w:rsid w:val="007423C9"/>
    <w:rsid w:val="00757C64"/>
    <w:rsid w:val="00770E9A"/>
    <w:rsid w:val="00771598"/>
    <w:rsid w:val="00784841"/>
    <w:rsid w:val="00795847"/>
    <w:rsid w:val="007A3BF0"/>
    <w:rsid w:val="007A48CC"/>
    <w:rsid w:val="007B3F61"/>
    <w:rsid w:val="007D11B1"/>
    <w:rsid w:val="007D40A1"/>
    <w:rsid w:val="007D434A"/>
    <w:rsid w:val="007D5115"/>
    <w:rsid w:val="007E538B"/>
    <w:rsid w:val="007E6230"/>
    <w:rsid w:val="007F2F4E"/>
    <w:rsid w:val="007F3BEC"/>
    <w:rsid w:val="0080589E"/>
    <w:rsid w:val="008312C9"/>
    <w:rsid w:val="00843846"/>
    <w:rsid w:val="0084532B"/>
    <w:rsid w:val="00880B8E"/>
    <w:rsid w:val="00882FF5"/>
    <w:rsid w:val="0089710D"/>
    <w:rsid w:val="008A3E31"/>
    <w:rsid w:val="008A742D"/>
    <w:rsid w:val="008A77EE"/>
    <w:rsid w:val="008B32B5"/>
    <w:rsid w:val="008B3592"/>
    <w:rsid w:val="008B3993"/>
    <w:rsid w:val="008C1F4D"/>
    <w:rsid w:val="008E58E7"/>
    <w:rsid w:val="008F50FB"/>
    <w:rsid w:val="008F576E"/>
    <w:rsid w:val="009342D5"/>
    <w:rsid w:val="00941F3E"/>
    <w:rsid w:val="00957A0B"/>
    <w:rsid w:val="0099192D"/>
    <w:rsid w:val="0099204A"/>
    <w:rsid w:val="0099361B"/>
    <w:rsid w:val="009A2C57"/>
    <w:rsid w:val="009A7BCC"/>
    <w:rsid w:val="009B1D7A"/>
    <w:rsid w:val="009B335C"/>
    <w:rsid w:val="00A0363D"/>
    <w:rsid w:val="00A1049A"/>
    <w:rsid w:val="00A42F11"/>
    <w:rsid w:val="00A549AF"/>
    <w:rsid w:val="00A55507"/>
    <w:rsid w:val="00A617C3"/>
    <w:rsid w:val="00A742E6"/>
    <w:rsid w:val="00A839AA"/>
    <w:rsid w:val="00A93764"/>
    <w:rsid w:val="00AA55FC"/>
    <w:rsid w:val="00AB3233"/>
    <w:rsid w:val="00AB4028"/>
    <w:rsid w:val="00AB5920"/>
    <w:rsid w:val="00AF5451"/>
    <w:rsid w:val="00B0749D"/>
    <w:rsid w:val="00B248DC"/>
    <w:rsid w:val="00B30E8E"/>
    <w:rsid w:val="00B31F03"/>
    <w:rsid w:val="00B360FD"/>
    <w:rsid w:val="00B42E7C"/>
    <w:rsid w:val="00B43B8B"/>
    <w:rsid w:val="00B4783C"/>
    <w:rsid w:val="00B60AD9"/>
    <w:rsid w:val="00B64632"/>
    <w:rsid w:val="00B67AC5"/>
    <w:rsid w:val="00B67B0F"/>
    <w:rsid w:val="00B70BA0"/>
    <w:rsid w:val="00B71421"/>
    <w:rsid w:val="00B96080"/>
    <w:rsid w:val="00B963E0"/>
    <w:rsid w:val="00BA0604"/>
    <w:rsid w:val="00BA1F04"/>
    <w:rsid w:val="00BB2A0E"/>
    <w:rsid w:val="00BC4C5F"/>
    <w:rsid w:val="00BC7E42"/>
    <w:rsid w:val="00BE428A"/>
    <w:rsid w:val="00BE62A7"/>
    <w:rsid w:val="00C00F05"/>
    <w:rsid w:val="00C06D5B"/>
    <w:rsid w:val="00C070F6"/>
    <w:rsid w:val="00C07562"/>
    <w:rsid w:val="00C2070F"/>
    <w:rsid w:val="00C27229"/>
    <w:rsid w:val="00C27AA6"/>
    <w:rsid w:val="00C33152"/>
    <w:rsid w:val="00C37408"/>
    <w:rsid w:val="00C42132"/>
    <w:rsid w:val="00C50D22"/>
    <w:rsid w:val="00C67B1F"/>
    <w:rsid w:val="00C701FF"/>
    <w:rsid w:val="00C850A3"/>
    <w:rsid w:val="00CB7B61"/>
    <w:rsid w:val="00CE40EB"/>
    <w:rsid w:val="00CE4D77"/>
    <w:rsid w:val="00CE71D5"/>
    <w:rsid w:val="00CF3A26"/>
    <w:rsid w:val="00D02C25"/>
    <w:rsid w:val="00D075B2"/>
    <w:rsid w:val="00D11CE5"/>
    <w:rsid w:val="00D15E09"/>
    <w:rsid w:val="00D261F2"/>
    <w:rsid w:val="00D4002E"/>
    <w:rsid w:val="00D408AA"/>
    <w:rsid w:val="00D5139F"/>
    <w:rsid w:val="00D6353E"/>
    <w:rsid w:val="00D71108"/>
    <w:rsid w:val="00D712C1"/>
    <w:rsid w:val="00D736F2"/>
    <w:rsid w:val="00D74E41"/>
    <w:rsid w:val="00D768B3"/>
    <w:rsid w:val="00D80755"/>
    <w:rsid w:val="00D81917"/>
    <w:rsid w:val="00DB3D30"/>
    <w:rsid w:val="00DB60D7"/>
    <w:rsid w:val="00DC040E"/>
    <w:rsid w:val="00DC2AAE"/>
    <w:rsid w:val="00DD5294"/>
    <w:rsid w:val="00DF04B6"/>
    <w:rsid w:val="00DF3E83"/>
    <w:rsid w:val="00E002F2"/>
    <w:rsid w:val="00E07D30"/>
    <w:rsid w:val="00E12B4A"/>
    <w:rsid w:val="00E45885"/>
    <w:rsid w:val="00E526ED"/>
    <w:rsid w:val="00E61AEC"/>
    <w:rsid w:val="00E668D2"/>
    <w:rsid w:val="00E74A20"/>
    <w:rsid w:val="00E84B31"/>
    <w:rsid w:val="00E85CF8"/>
    <w:rsid w:val="00E9001F"/>
    <w:rsid w:val="00E9136A"/>
    <w:rsid w:val="00E93A1C"/>
    <w:rsid w:val="00E94710"/>
    <w:rsid w:val="00EA457E"/>
    <w:rsid w:val="00EC4414"/>
    <w:rsid w:val="00ED6D74"/>
    <w:rsid w:val="00EF47B7"/>
    <w:rsid w:val="00EF663C"/>
    <w:rsid w:val="00F079E6"/>
    <w:rsid w:val="00F31EEF"/>
    <w:rsid w:val="00F468B3"/>
    <w:rsid w:val="00F518C8"/>
    <w:rsid w:val="00F53FC2"/>
    <w:rsid w:val="00F57C21"/>
    <w:rsid w:val="00F86A24"/>
    <w:rsid w:val="00F908E1"/>
    <w:rsid w:val="00FA1B13"/>
    <w:rsid w:val="00FA666E"/>
    <w:rsid w:val="00FB3299"/>
    <w:rsid w:val="00FD73AE"/>
    <w:rsid w:val="00FE7312"/>
    <w:rsid w:val="00FF19E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B35472E91451B967C5338D8F4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2F65-86DA-4AD1-98B7-E6F426A22ABB}"/>
      </w:docPartPr>
      <w:docPartBody>
        <w:p w:rsidR="00012A4C" w:rsidRDefault="00012A4C">
          <w:pPr>
            <w:pStyle w:val="2A5B35472E91451B967C5338D8F444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3CBFCBF42FA4596B6FD813D9171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485D-1611-444C-B70F-806C86A4916C}"/>
      </w:docPartPr>
      <w:docPartBody>
        <w:p w:rsidR="00012A4C" w:rsidRDefault="00012A4C">
          <w:pPr>
            <w:pStyle w:val="43CBFCBF42FA4596B6FD813D9171E16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C"/>
    <w:rsid w:val="00012A4C"/>
    <w:rsid w:val="00852BA6"/>
    <w:rsid w:val="00DF75A6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2016-02-17T08:00:00+00:00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CCECDBC-0079-486D-85BF-54AD332C4EDE}"/>
</file>

<file path=customXml/itemProps2.xml><?xml version="1.0" encoding="utf-8"?>
<ds:datastoreItem xmlns:ds="http://schemas.openxmlformats.org/officeDocument/2006/customXml" ds:itemID="{092B7123-84AA-4B82-AC53-E2BC4BDE2F3E}"/>
</file>

<file path=customXml/itemProps3.xml><?xml version="1.0" encoding="utf-8"?>
<ds:datastoreItem xmlns:ds="http://schemas.openxmlformats.org/officeDocument/2006/customXml" ds:itemID="{146CA7FE-A2F5-4BCD-BE49-F5AAADEA22E6}"/>
</file>

<file path=customXml/itemProps4.xml><?xml version="1.0" encoding="utf-8"?>
<ds:datastoreItem xmlns:ds="http://schemas.openxmlformats.org/officeDocument/2006/customXml" ds:itemID="{DDFEB1CF-9C7E-4179-B649-4E8EE16738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9</cp:revision>
  <cp:lastPrinted>2015-07-28T18:03:00Z</cp:lastPrinted>
  <dcterms:created xsi:type="dcterms:W3CDTF">2015-09-14T20:35:00Z</dcterms:created>
  <dcterms:modified xsi:type="dcterms:W3CDTF">2016-02-17T23:44:00Z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0x0101006E56B4D1795A2E4DB2F0B01679ED314A00DC7BB5660140574DABE5A3ED87B5838C</vt:lpwstr>
  </property>
  <property fmtid="{D5CDD505-2E9C-101B-9397-08002B2CF9AE}" pid="3" name="_docset_NoMedatataSyncRequired">
    <vt:lpwstr>False</vt:lpwstr>
  </property>
</Properties>
</file>