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F94" w:rsidRPr="006C361C" w:rsidRDefault="00847F94" w:rsidP="00847F94">
      <w:pPr>
        <w:jc w:val="center"/>
        <w:rPr>
          <w:rFonts w:ascii="Arial" w:hAnsi="Arial" w:cs="Arial"/>
          <w:b/>
          <w:sz w:val="24"/>
          <w:szCs w:val="24"/>
        </w:rPr>
      </w:pPr>
      <w:bookmarkStart w:id="0" w:name="_GoBack"/>
      <w:bookmarkEnd w:id="0"/>
      <w:r w:rsidRPr="006C361C">
        <w:rPr>
          <w:rFonts w:ascii="Arial" w:hAnsi="Arial" w:cs="Arial"/>
          <w:b/>
          <w:sz w:val="24"/>
          <w:szCs w:val="24"/>
        </w:rPr>
        <w:t>Interconnection Rulemaking</w:t>
      </w:r>
    </w:p>
    <w:p w:rsidR="00847F94" w:rsidRPr="006C361C" w:rsidRDefault="00847F94" w:rsidP="00847F94">
      <w:pPr>
        <w:jc w:val="center"/>
        <w:rPr>
          <w:rFonts w:ascii="Arial" w:hAnsi="Arial" w:cs="Arial"/>
          <w:b/>
          <w:sz w:val="24"/>
          <w:szCs w:val="24"/>
        </w:rPr>
      </w:pPr>
      <w:r w:rsidRPr="006C361C">
        <w:rPr>
          <w:rFonts w:ascii="Arial" w:hAnsi="Arial" w:cs="Arial"/>
          <w:b/>
          <w:sz w:val="24"/>
          <w:szCs w:val="24"/>
        </w:rPr>
        <w:t>Docket UE-112133</w:t>
      </w:r>
    </w:p>
    <w:p w:rsidR="00847F94" w:rsidRDefault="00847F94" w:rsidP="00847F94">
      <w:pPr>
        <w:jc w:val="center"/>
        <w:rPr>
          <w:rFonts w:ascii="Arial" w:hAnsi="Arial" w:cs="Arial"/>
          <w:b/>
          <w:sz w:val="24"/>
          <w:szCs w:val="24"/>
        </w:rPr>
      </w:pPr>
      <w:r w:rsidRPr="006C361C">
        <w:rPr>
          <w:rFonts w:ascii="Arial" w:hAnsi="Arial" w:cs="Arial"/>
          <w:b/>
          <w:sz w:val="24"/>
          <w:szCs w:val="24"/>
        </w:rPr>
        <w:t>Comment Summary</w:t>
      </w:r>
      <w:r>
        <w:rPr>
          <w:rFonts w:ascii="Arial" w:hAnsi="Arial" w:cs="Arial"/>
          <w:b/>
          <w:sz w:val="24"/>
          <w:szCs w:val="24"/>
        </w:rPr>
        <w:t xml:space="preserve"> – March 6, 2013</w:t>
      </w:r>
      <w:r w:rsidR="00077AC4">
        <w:rPr>
          <w:rStyle w:val="FootnoteReference"/>
          <w:rFonts w:ascii="Arial" w:hAnsi="Arial" w:cs="Arial"/>
          <w:b/>
          <w:sz w:val="24"/>
          <w:szCs w:val="24"/>
        </w:rPr>
        <w:footnoteReference w:id="1"/>
      </w:r>
    </w:p>
    <w:p w:rsidR="00847F94" w:rsidRPr="006C361C" w:rsidRDefault="00847F94" w:rsidP="00847F94">
      <w:pPr>
        <w:jc w:val="center"/>
        <w:rPr>
          <w:rFonts w:ascii="Arial" w:hAnsi="Arial" w:cs="Arial"/>
          <w:b/>
          <w:sz w:val="24"/>
          <w:szCs w:val="24"/>
        </w:rPr>
      </w:pPr>
    </w:p>
    <w:tbl>
      <w:tblPr>
        <w:tblStyle w:val="TableGrid"/>
        <w:tblW w:w="0" w:type="auto"/>
        <w:tblLayout w:type="fixed"/>
        <w:tblLook w:val="04A0" w:firstRow="1" w:lastRow="0" w:firstColumn="1" w:lastColumn="0" w:noHBand="0" w:noVBand="1"/>
      </w:tblPr>
      <w:tblGrid>
        <w:gridCol w:w="1368"/>
        <w:gridCol w:w="1530"/>
        <w:gridCol w:w="3795"/>
        <w:gridCol w:w="7725"/>
      </w:tblGrid>
      <w:tr w:rsidR="00E5446E" w:rsidRPr="00847F94" w:rsidTr="00847F94">
        <w:trPr>
          <w:cantSplit/>
          <w:tblHeader/>
        </w:trPr>
        <w:tc>
          <w:tcPr>
            <w:tcW w:w="1368" w:type="dxa"/>
            <w:shd w:val="clear" w:color="auto" w:fill="D9D9D9" w:themeFill="background1" w:themeFillShade="D9"/>
          </w:tcPr>
          <w:p w:rsidR="00EF02FE" w:rsidRPr="00847F94" w:rsidRDefault="00E5446E" w:rsidP="00EF02FE">
            <w:pPr>
              <w:jc w:val="center"/>
              <w:rPr>
                <w:rFonts w:ascii="Times New Roman" w:hAnsi="Times New Roman" w:cs="Times New Roman"/>
                <w:b/>
                <w:sz w:val="24"/>
                <w:szCs w:val="24"/>
              </w:rPr>
            </w:pPr>
            <w:r w:rsidRPr="00847F94">
              <w:rPr>
                <w:rFonts w:ascii="Times New Roman" w:hAnsi="Times New Roman" w:cs="Times New Roman"/>
                <w:b/>
                <w:sz w:val="24"/>
                <w:szCs w:val="24"/>
              </w:rPr>
              <w:t>WAC</w:t>
            </w:r>
            <w:r w:rsidR="00847F94" w:rsidRPr="00847F94">
              <w:rPr>
                <w:rFonts w:ascii="Times New Roman" w:hAnsi="Times New Roman" w:cs="Times New Roman"/>
                <w:b/>
                <w:sz w:val="24"/>
                <w:szCs w:val="24"/>
              </w:rPr>
              <w:t xml:space="preserve"> </w:t>
            </w:r>
          </w:p>
          <w:p w:rsidR="00E5446E" w:rsidRPr="00847F94" w:rsidRDefault="00847F94" w:rsidP="00EF02FE">
            <w:pPr>
              <w:jc w:val="center"/>
              <w:rPr>
                <w:rFonts w:ascii="Times New Roman" w:hAnsi="Times New Roman" w:cs="Times New Roman"/>
                <w:b/>
                <w:sz w:val="24"/>
                <w:szCs w:val="24"/>
              </w:rPr>
            </w:pPr>
            <w:r w:rsidRPr="00847F94">
              <w:rPr>
                <w:rFonts w:ascii="Times New Roman" w:hAnsi="Times New Roman" w:cs="Times New Roman"/>
                <w:b/>
                <w:sz w:val="24"/>
                <w:szCs w:val="24"/>
              </w:rPr>
              <w:t>480-108 /  Topic</w:t>
            </w:r>
          </w:p>
        </w:tc>
        <w:tc>
          <w:tcPr>
            <w:tcW w:w="1530" w:type="dxa"/>
            <w:shd w:val="clear" w:color="auto" w:fill="D9D9D9" w:themeFill="background1" w:themeFillShade="D9"/>
            <w:vAlign w:val="bottom"/>
          </w:tcPr>
          <w:p w:rsidR="00E5446E" w:rsidRPr="00847F94" w:rsidRDefault="00A670D3" w:rsidP="00231BD7">
            <w:pPr>
              <w:jc w:val="center"/>
              <w:rPr>
                <w:rFonts w:ascii="Times New Roman" w:hAnsi="Times New Roman" w:cs="Times New Roman"/>
                <w:b/>
                <w:sz w:val="24"/>
                <w:szCs w:val="24"/>
              </w:rPr>
            </w:pPr>
            <w:r w:rsidRPr="00847F94">
              <w:rPr>
                <w:rFonts w:ascii="Times New Roman" w:hAnsi="Times New Roman" w:cs="Times New Roman"/>
                <w:b/>
                <w:sz w:val="24"/>
                <w:szCs w:val="24"/>
              </w:rPr>
              <w:t>Commenter</w:t>
            </w:r>
          </w:p>
        </w:tc>
        <w:tc>
          <w:tcPr>
            <w:tcW w:w="3795" w:type="dxa"/>
            <w:shd w:val="clear" w:color="auto" w:fill="D9D9D9" w:themeFill="background1" w:themeFillShade="D9"/>
            <w:vAlign w:val="bottom"/>
          </w:tcPr>
          <w:p w:rsidR="00E5446E" w:rsidRPr="00847F94" w:rsidRDefault="00A670D3" w:rsidP="00231BD7">
            <w:pPr>
              <w:jc w:val="center"/>
              <w:rPr>
                <w:rFonts w:ascii="Times New Roman" w:hAnsi="Times New Roman" w:cs="Times New Roman"/>
                <w:b/>
                <w:sz w:val="24"/>
                <w:szCs w:val="24"/>
              </w:rPr>
            </w:pPr>
            <w:r w:rsidRPr="00847F94">
              <w:rPr>
                <w:rFonts w:ascii="Times New Roman" w:hAnsi="Times New Roman" w:cs="Times New Roman"/>
                <w:b/>
                <w:sz w:val="24"/>
                <w:szCs w:val="24"/>
              </w:rPr>
              <w:t>Comment</w:t>
            </w:r>
          </w:p>
        </w:tc>
        <w:tc>
          <w:tcPr>
            <w:tcW w:w="7725" w:type="dxa"/>
            <w:shd w:val="clear" w:color="auto" w:fill="D9D9D9" w:themeFill="background1" w:themeFillShade="D9"/>
            <w:vAlign w:val="bottom"/>
          </w:tcPr>
          <w:p w:rsidR="00E5446E" w:rsidRPr="00847F94" w:rsidRDefault="00E5446E" w:rsidP="00231BD7">
            <w:pPr>
              <w:jc w:val="center"/>
              <w:rPr>
                <w:rFonts w:ascii="Times New Roman" w:hAnsi="Times New Roman" w:cs="Times New Roman"/>
                <w:b/>
                <w:sz w:val="24"/>
                <w:szCs w:val="24"/>
              </w:rPr>
            </w:pPr>
            <w:r w:rsidRPr="00847F94">
              <w:rPr>
                <w:rFonts w:ascii="Times New Roman" w:hAnsi="Times New Roman" w:cs="Times New Roman"/>
                <w:b/>
                <w:sz w:val="24"/>
                <w:szCs w:val="24"/>
              </w:rPr>
              <w:t>Response</w:t>
            </w:r>
          </w:p>
        </w:tc>
      </w:tr>
      <w:tr w:rsidR="00B16D84" w:rsidTr="00847F94">
        <w:trPr>
          <w:cantSplit/>
        </w:trPr>
        <w:tc>
          <w:tcPr>
            <w:tcW w:w="14418" w:type="dxa"/>
            <w:gridSpan w:val="4"/>
          </w:tcPr>
          <w:p w:rsidR="00B16D84" w:rsidRPr="00B16D84" w:rsidRDefault="00B16D84" w:rsidP="00B16D84">
            <w:pPr>
              <w:jc w:val="center"/>
              <w:rPr>
                <w:rFonts w:ascii="Times New Roman" w:hAnsi="Times New Roman" w:cs="Times New Roman"/>
                <w:b/>
                <w:sz w:val="24"/>
                <w:szCs w:val="24"/>
              </w:rPr>
            </w:pPr>
            <w:r w:rsidRPr="00B16D84">
              <w:rPr>
                <w:rFonts w:ascii="Times New Roman" w:hAnsi="Times New Roman" w:cs="Times New Roman"/>
                <w:b/>
                <w:sz w:val="24"/>
                <w:szCs w:val="24"/>
              </w:rPr>
              <w:t>Major Issues</w:t>
            </w:r>
          </w:p>
        </w:tc>
      </w:tr>
      <w:tr w:rsidR="00B16D84" w:rsidTr="00847F94">
        <w:trPr>
          <w:cantSplit/>
        </w:trPr>
        <w:tc>
          <w:tcPr>
            <w:tcW w:w="1368" w:type="dxa"/>
            <w:vMerge w:val="restart"/>
          </w:tcPr>
          <w:p w:rsidR="00B16D84" w:rsidRDefault="00B16D84" w:rsidP="00847F94">
            <w:pPr>
              <w:rPr>
                <w:rFonts w:ascii="Times New Roman" w:hAnsi="Times New Roman" w:cs="Times New Roman"/>
                <w:sz w:val="24"/>
                <w:szCs w:val="24"/>
              </w:rPr>
            </w:pPr>
            <w:r>
              <w:rPr>
                <w:rFonts w:ascii="Times New Roman" w:hAnsi="Times New Roman" w:cs="Times New Roman"/>
                <w:sz w:val="24"/>
                <w:szCs w:val="24"/>
              </w:rPr>
              <w:t>010</w:t>
            </w:r>
          </w:p>
          <w:p w:rsidR="00847F94" w:rsidRDefault="00847F94" w:rsidP="00847F94">
            <w:pPr>
              <w:rPr>
                <w:rFonts w:ascii="Times New Roman" w:hAnsi="Times New Roman" w:cs="Times New Roman"/>
                <w:sz w:val="24"/>
                <w:szCs w:val="24"/>
              </w:rPr>
            </w:pPr>
          </w:p>
          <w:p w:rsidR="00B16D84" w:rsidRDefault="00B16D84" w:rsidP="00847F94">
            <w:pPr>
              <w:rPr>
                <w:rFonts w:ascii="Times New Roman" w:hAnsi="Times New Roman" w:cs="Times New Roman"/>
                <w:sz w:val="24"/>
                <w:szCs w:val="24"/>
              </w:rPr>
            </w:pPr>
            <w:r>
              <w:rPr>
                <w:rFonts w:ascii="Times New Roman" w:hAnsi="Times New Roman" w:cs="Times New Roman"/>
                <w:sz w:val="24"/>
                <w:szCs w:val="24"/>
              </w:rPr>
              <w:t>Third Party Ownership</w:t>
            </w:r>
          </w:p>
        </w:tc>
        <w:tc>
          <w:tcPr>
            <w:tcW w:w="1530" w:type="dxa"/>
          </w:tcPr>
          <w:p w:rsidR="00B16D84" w:rsidRDefault="00847F94" w:rsidP="00847F94">
            <w:pPr>
              <w:rPr>
                <w:rFonts w:ascii="Times New Roman" w:hAnsi="Times New Roman" w:cs="Times New Roman"/>
                <w:sz w:val="24"/>
                <w:szCs w:val="24"/>
              </w:rPr>
            </w:pPr>
            <w:r>
              <w:rPr>
                <w:rFonts w:ascii="Times New Roman" w:hAnsi="Times New Roman" w:cs="Times New Roman"/>
                <w:sz w:val="24"/>
                <w:szCs w:val="24"/>
              </w:rPr>
              <w:t>Avista, PacifiCorp,  Puget Sound Energy</w:t>
            </w:r>
          </w:p>
        </w:tc>
        <w:tc>
          <w:tcPr>
            <w:tcW w:w="3795" w:type="dxa"/>
          </w:tcPr>
          <w:p w:rsidR="00B16D84" w:rsidRDefault="00B16D84" w:rsidP="00847F94">
            <w:pPr>
              <w:rPr>
                <w:rFonts w:ascii="Times New Roman" w:hAnsi="Times New Roman" w:cs="Times New Roman"/>
                <w:sz w:val="24"/>
                <w:szCs w:val="24"/>
              </w:rPr>
            </w:pPr>
            <w:r>
              <w:rPr>
                <w:rFonts w:ascii="Times New Roman" w:hAnsi="Times New Roman" w:cs="Times New Roman"/>
                <w:sz w:val="24"/>
                <w:szCs w:val="24"/>
              </w:rPr>
              <w:t>T</w:t>
            </w:r>
            <w:r w:rsidRPr="007D7ED4">
              <w:rPr>
                <w:rFonts w:ascii="Times New Roman" w:hAnsi="Times New Roman" w:cs="Times New Roman"/>
                <w:sz w:val="24"/>
                <w:szCs w:val="24"/>
              </w:rPr>
              <w:t>he concept is not</w:t>
            </w:r>
            <w:r>
              <w:rPr>
                <w:rFonts w:ascii="Times New Roman" w:hAnsi="Times New Roman" w:cs="Times New Roman"/>
                <w:sz w:val="24"/>
                <w:szCs w:val="24"/>
              </w:rPr>
              <w:t xml:space="preserve"> ripe for addition at this time, the Commission has no authority to implement this change, and the change should not be made in this rulemaking. This issue should be addressed through the legislative process.</w:t>
            </w:r>
          </w:p>
        </w:tc>
        <w:tc>
          <w:tcPr>
            <w:tcW w:w="7725" w:type="dxa"/>
          </w:tcPr>
          <w:p w:rsidR="00B16D84" w:rsidRDefault="00B16D84" w:rsidP="00847F94">
            <w:pPr>
              <w:rPr>
                <w:rFonts w:ascii="Times New Roman" w:hAnsi="Times New Roman" w:cs="Times New Roman"/>
                <w:sz w:val="24"/>
                <w:szCs w:val="24"/>
              </w:rPr>
            </w:pPr>
            <w:r>
              <w:rPr>
                <w:rFonts w:ascii="Times New Roman" w:hAnsi="Times New Roman" w:cs="Times New Roman"/>
                <w:sz w:val="24"/>
                <w:szCs w:val="24"/>
              </w:rPr>
              <w:t>The Commission believes that RCW 80.60, as currently enacted, allows third parties to own net metering systems.  The Commission may interpret this statute through a rulemaking.  The Commission has no other net metering rules, thus WAC 480-108 is an appropriate place to address this issue.</w:t>
            </w:r>
          </w:p>
        </w:tc>
      </w:tr>
      <w:tr w:rsidR="00674EE4" w:rsidTr="00847F94">
        <w:trPr>
          <w:cantSplit/>
        </w:trPr>
        <w:tc>
          <w:tcPr>
            <w:tcW w:w="1368" w:type="dxa"/>
            <w:vMerge/>
          </w:tcPr>
          <w:p w:rsidR="00674EE4" w:rsidRDefault="00674EE4" w:rsidP="00847F94">
            <w:pPr>
              <w:rPr>
                <w:rFonts w:ascii="Times New Roman" w:hAnsi="Times New Roman" w:cs="Times New Roman"/>
                <w:sz w:val="24"/>
                <w:szCs w:val="24"/>
              </w:rPr>
            </w:pPr>
          </w:p>
        </w:tc>
        <w:tc>
          <w:tcPr>
            <w:tcW w:w="1530" w:type="dxa"/>
          </w:tcPr>
          <w:p w:rsidR="00674EE4" w:rsidRDefault="00674EE4" w:rsidP="003C4B67">
            <w:pPr>
              <w:rPr>
                <w:rFonts w:ascii="Times New Roman" w:hAnsi="Times New Roman" w:cs="Times New Roman"/>
                <w:sz w:val="24"/>
                <w:szCs w:val="24"/>
              </w:rPr>
            </w:pPr>
            <w:r>
              <w:rPr>
                <w:rFonts w:ascii="Times New Roman" w:hAnsi="Times New Roman" w:cs="Times New Roman"/>
                <w:sz w:val="24"/>
                <w:szCs w:val="24"/>
              </w:rPr>
              <w:t>Avista</w:t>
            </w:r>
          </w:p>
        </w:tc>
        <w:tc>
          <w:tcPr>
            <w:tcW w:w="3795" w:type="dxa"/>
          </w:tcPr>
          <w:p w:rsidR="00674EE4" w:rsidRDefault="00674EE4" w:rsidP="003C4B67">
            <w:pPr>
              <w:rPr>
                <w:rFonts w:ascii="Times New Roman" w:hAnsi="Times New Roman" w:cs="Times New Roman"/>
                <w:sz w:val="24"/>
                <w:szCs w:val="24"/>
              </w:rPr>
            </w:pPr>
            <w:r>
              <w:rPr>
                <w:rFonts w:ascii="Times New Roman" w:hAnsi="Times New Roman" w:cs="Times New Roman"/>
                <w:sz w:val="24"/>
                <w:szCs w:val="24"/>
              </w:rPr>
              <w:t>A third party is not the user of a net metering system.</w:t>
            </w:r>
          </w:p>
        </w:tc>
        <w:tc>
          <w:tcPr>
            <w:tcW w:w="7725" w:type="dxa"/>
          </w:tcPr>
          <w:p w:rsidR="00674EE4" w:rsidRDefault="00674EE4" w:rsidP="003C4B67">
            <w:pPr>
              <w:rPr>
                <w:rFonts w:ascii="Times New Roman" w:hAnsi="Times New Roman" w:cs="Times New Roman"/>
                <w:sz w:val="24"/>
                <w:szCs w:val="24"/>
              </w:rPr>
            </w:pPr>
            <w:r>
              <w:rPr>
                <w:rFonts w:ascii="Times New Roman" w:hAnsi="Times New Roman" w:cs="Times New Roman"/>
                <w:sz w:val="24"/>
                <w:szCs w:val="24"/>
              </w:rPr>
              <w:t>The definition of “customer-generator” in RCW 80.60.010(2) requires the customer-generator to be a “user” of the net-metering system. In a third-party ownership situation, the third party would own the net metering system while the customer-generator would “use” the net metering system owned by a third party.</w:t>
            </w:r>
          </w:p>
        </w:tc>
      </w:tr>
      <w:tr w:rsidR="00674EE4" w:rsidTr="00847F94">
        <w:trPr>
          <w:cantSplit/>
        </w:trPr>
        <w:tc>
          <w:tcPr>
            <w:tcW w:w="1368" w:type="dxa"/>
            <w:vMerge/>
          </w:tcPr>
          <w:p w:rsidR="00674EE4" w:rsidRDefault="00674EE4" w:rsidP="00847F94">
            <w:pPr>
              <w:rPr>
                <w:rFonts w:ascii="Times New Roman" w:hAnsi="Times New Roman" w:cs="Times New Roman"/>
                <w:sz w:val="24"/>
                <w:szCs w:val="24"/>
              </w:rPr>
            </w:pPr>
          </w:p>
        </w:tc>
        <w:tc>
          <w:tcPr>
            <w:tcW w:w="1530" w:type="dxa"/>
          </w:tcPr>
          <w:p w:rsidR="00674EE4" w:rsidRDefault="00674EE4" w:rsidP="003C4B67">
            <w:pPr>
              <w:rPr>
                <w:rFonts w:ascii="Times New Roman" w:hAnsi="Times New Roman" w:cs="Times New Roman"/>
                <w:sz w:val="24"/>
                <w:szCs w:val="24"/>
              </w:rPr>
            </w:pPr>
            <w:r>
              <w:rPr>
                <w:rFonts w:ascii="Times New Roman" w:hAnsi="Times New Roman" w:cs="Times New Roman"/>
                <w:sz w:val="24"/>
                <w:szCs w:val="24"/>
              </w:rPr>
              <w:t>Snohomish PUD</w:t>
            </w:r>
          </w:p>
        </w:tc>
        <w:tc>
          <w:tcPr>
            <w:tcW w:w="3795" w:type="dxa"/>
          </w:tcPr>
          <w:p w:rsidR="00674EE4" w:rsidRPr="000F08A4" w:rsidRDefault="00674EE4" w:rsidP="003C4B67">
            <w:pPr>
              <w:rPr>
                <w:rFonts w:ascii="Times New Roman" w:hAnsi="Times New Roman" w:cs="Times New Roman"/>
                <w:sz w:val="24"/>
                <w:szCs w:val="24"/>
              </w:rPr>
            </w:pPr>
            <w:r>
              <w:rPr>
                <w:rFonts w:ascii="Times New Roman" w:hAnsi="Times New Roman" w:cs="Times New Roman"/>
                <w:sz w:val="24"/>
                <w:szCs w:val="24"/>
              </w:rPr>
              <w:t>Snohomish PUD is concerned about adverse ratepayer impacts due to the interconnection of more net metering systems.</w:t>
            </w:r>
          </w:p>
        </w:tc>
        <w:tc>
          <w:tcPr>
            <w:tcW w:w="7725" w:type="dxa"/>
          </w:tcPr>
          <w:p w:rsidR="00674EE4" w:rsidRDefault="00674EE4" w:rsidP="003C4B67">
            <w:pPr>
              <w:rPr>
                <w:rFonts w:ascii="Times New Roman" w:hAnsi="Times New Roman" w:cs="Times New Roman"/>
                <w:sz w:val="24"/>
                <w:szCs w:val="24"/>
              </w:rPr>
            </w:pPr>
            <w:r>
              <w:rPr>
                <w:rFonts w:ascii="Times New Roman" w:hAnsi="Times New Roman" w:cs="Times New Roman"/>
                <w:sz w:val="24"/>
                <w:szCs w:val="24"/>
              </w:rPr>
              <w:t>Net metering is not a least-cost source of wholesale power, but the legislature has found that it is “in the public interest to [e]</w:t>
            </w:r>
            <w:proofErr w:type="spellStart"/>
            <w:r>
              <w:rPr>
                <w:rFonts w:ascii="Times New Roman" w:hAnsi="Times New Roman" w:cs="Times New Roman"/>
                <w:sz w:val="24"/>
                <w:szCs w:val="24"/>
              </w:rPr>
              <w:t>ncourage</w:t>
            </w:r>
            <w:proofErr w:type="spellEnd"/>
            <w:r>
              <w:rPr>
                <w:rFonts w:ascii="Times New Roman" w:hAnsi="Times New Roman" w:cs="Times New Roman"/>
                <w:sz w:val="24"/>
                <w:szCs w:val="24"/>
              </w:rPr>
              <w:t xml:space="preserve"> private investment in renewable energy resources,” RCW 80.60.005, and allows for net metering subject to utility-specific caps established in </w:t>
            </w:r>
            <w:r w:rsidRPr="0062756B">
              <w:rPr>
                <w:rFonts w:ascii="Times New Roman" w:hAnsi="Times New Roman" w:cs="Times New Roman"/>
                <w:sz w:val="24"/>
                <w:szCs w:val="24"/>
              </w:rPr>
              <w:t>RCW 80.60.20</w:t>
            </w:r>
            <w:r>
              <w:rPr>
                <w:rFonts w:ascii="Times New Roman" w:hAnsi="Times New Roman" w:cs="Times New Roman"/>
                <w:sz w:val="24"/>
                <w:szCs w:val="24"/>
              </w:rPr>
              <w:t>.</w:t>
            </w:r>
          </w:p>
        </w:tc>
      </w:tr>
      <w:tr w:rsidR="00674EE4" w:rsidTr="00847F94">
        <w:trPr>
          <w:cantSplit/>
        </w:trPr>
        <w:tc>
          <w:tcPr>
            <w:tcW w:w="1368" w:type="dxa"/>
            <w:vMerge/>
          </w:tcPr>
          <w:p w:rsidR="00674EE4" w:rsidRDefault="00674EE4" w:rsidP="00847F94">
            <w:pPr>
              <w:rPr>
                <w:rFonts w:ascii="Times New Roman" w:hAnsi="Times New Roman" w:cs="Times New Roman"/>
                <w:sz w:val="24"/>
                <w:szCs w:val="24"/>
              </w:rPr>
            </w:pPr>
          </w:p>
        </w:tc>
        <w:tc>
          <w:tcPr>
            <w:tcW w:w="1530" w:type="dxa"/>
          </w:tcPr>
          <w:p w:rsidR="00674EE4" w:rsidRDefault="00674EE4" w:rsidP="003C4B67">
            <w:pPr>
              <w:rPr>
                <w:rFonts w:ascii="Times New Roman" w:hAnsi="Times New Roman" w:cs="Times New Roman"/>
                <w:sz w:val="24"/>
                <w:szCs w:val="24"/>
              </w:rPr>
            </w:pPr>
            <w:r>
              <w:rPr>
                <w:rFonts w:ascii="Times New Roman" w:hAnsi="Times New Roman" w:cs="Times New Roman"/>
                <w:sz w:val="24"/>
                <w:szCs w:val="24"/>
              </w:rPr>
              <w:t>PacifiCorp, Puget Sound Energy</w:t>
            </w:r>
          </w:p>
        </w:tc>
        <w:tc>
          <w:tcPr>
            <w:tcW w:w="3795" w:type="dxa"/>
          </w:tcPr>
          <w:p w:rsidR="00674EE4" w:rsidRDefault="00674EE4" w:rsidP="003C4B67">
            <w:pPr>
              <w:rPr>
                <w:rFonts w:ascii="Times New Roman" w:hAnsi="Times New Roman" w:cs="Times New Roman"/>
                <w:sz w:val="24"/>
                <w:szCs w:val="24"/>
              </w:rPr>
            </w:pPr>
            <w:r>
              <w:rPr>
                <w:rFonts w:ascii="Times New Roman" w:hAnsi="Times New Roman" w:cs="Times New Roman"/>
                <w:sz w:val="24"/>
                <w:szCs w:val="24"/>
              </w:rPr>
              <w:t xml:space="preserve">Clarify that a </w:t>
            </w:r>
            <w:r w:rsidRPr="007D7ED4">
              <w:rPr>
                <w:rFonts w:ascii="Times New Roman" w:hAnsi="Times New Roman" w:cs="Times New Roman"/>
                <w:sz w:val="24"/>
                <w:szCs w:val="24"/>
              </w:rPr>
              <w:t>third-party o</w:t>
            </w:r>
            <w:r>
              <w:rPr>
                <w:rFonts w:ascii="Times New Roman" w:hAnsi="Times New Roman" w:cs="Times New Roman"/>
                <w:sz w:val="24"/>
                <w:szCs w:val="24"/>
              </w:rPr>
              <w:t xml:space="preserve">wner may not resell electricity, the </w:t>
            </w:r>
            <w:r w:rsidRPr="007D7ED4">
              <w:rPr>
                <w:rFonts w:ascii="Times New Roman" w:hAnsi="Times New Roman" w:cs="Times New Roman"/>
                <w:sz w:val="24"/>
                <w:szCs w:val="24"/>
              </w:rPr>
              <w:t xml:space="preserve">customer-generator is responsible to the electric utility for the interconnection, operation and maintenance of a net metered </w:t>
            </w:r>
            <w:proofErr w:type="gramStart"/>
            <w:r w:rsidRPr="007D7ED4">
              <w:rPr>
                <w:rFonts w:ascii="Times New Roman" w:hAnsi="Times New Roman" w:cs="Times New Roman"/>
                <w:sz w:val="24"/>
                <w:szCs w:val="24"/>
              </w:rPr>
              <w:t>system</w:t>
            </w:r>
            <w:r>
              <w:rPr>
                <w:rFonts w:ascii="Times New Roman" w:hAnsi="Times New Roman" w:cs="Times New Roman"/>
                <w:sz w:val="24"/>
                <w:szCs w:val="24"/>
              </w:rPr>
              <w:t>,</w:t>
            </w:r>
            <w:proofErr w:type="gramEnd"/>
            <w:r>
              <w:rPr>
                <w:rFonts w:ascii="Times New Roman" w:hAnsi="Times New Roman" w:cs="Times New Roman"/>
                <w:sz w:val="24"/>
                <w:szCs w:val="24"/>
              </w:rPr>
              <w:t xml:space="preserve"> and</w:t>
            </w:r>
            <w:r w:rsidR="00A55D57">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7D7ED4">
              <w:rPr>
                <w:rFonts w:ascii="Times New Roman" w:hAnsi="Times New Roman" w:cs="Times New Roman"/>
                <w:sz w:val="24"/>
                <w:szCs w:val="24"/>
              </w:rPr>
              <w:t xml:space="preserve">net metering </w:t>
            </w:r>
            <w:r>
              <w:rPr>
                <w:rFonts w:ascii="Times New Roman" w:hAnsi="Times New Roman" w:cs="Times New Roman"/>
                <w:sz w:val="24"/>
                <w:szCs w:val="24"/>
              </w:rPr>
              <w:t xml:space="preserve">relationship </w:t>
            </w:r>
            <w:r w:rsidRPr="007D7ED4">
              <w:rPr>
                <w:rFonts w:ascii="Times New Roman" w:hAnsi="Times New Roman" w:cs="Times New Roman"/>
                <w:sz w:val="24"/>
                <w:szCs w:val="24"/>
              </w:rPr>
              <w:t>is between the customer (not the owner of the</w:t>
            </w:r>
            <w:r>
              <w:rPr>
                <w:rFonts w:ascii="Times New Roman" w:hAnsi="Times New Roman" w:cs="Times New Roman"/>
                <w:sz w:val="24"/>
                <w:szCs w:val="24"/>
              </w:rPr>
              <w:t xml:space="preserve"> </w:t>
            </w:r>
            <w:r w:rsidRPr="007D7ED4">
              <w:rPr>
                <w:rFonts w:ascii="Times New Roman" w:hAnsi="Times New Roman" w:cs="Times New Roman"/>
                <w:sz w:val="24"/>
                <w:szCs w:val="24"/>
              </w:rPr>
              <w:t>generation equipment) and the utility</w:t>
            </w:r>
            <w:r>
              <w:rPr>
                <w:rFonts w:ascii="Times New Roman" w:hAnsi="Times New Roman" w:cs="Times New Roman"/>
                <w:sz w:val="24"/>
                <w:szCs w:val="24"/>
              </w:rPr>
              <w:t>.</w:t>
            </w:r>
          </w:p>
        </w:tc>
        <w:tc>
          <w:tcPr>
            <w:tcW w:w="7725" w:type="dxa"/>
          </w:tcPr>
          <w:p w:rsidR="00674EE4" w:rsidRDefault="00674EE4" w:rsidP="002C4CEA">
            <w:pPr>
              <w:rPr>
                <w:rFonts w:ascii="Times New Roman" w:hAnsi="Times New Roman" w:cs="Times New Roman"/>
                <w:sz w:val="24"/>
                <w:szCs w:val="24"/>
              </w:rPr>
            </w:pPr>
            <w:r>
              <w:rPr>
                <w:rFonts w:ascii="Times New Roman" w:hAnsi="Times New Roman" w:cs="Times New Roman"/>
                <w:sz w:val="24"/>
                <w:szCs w:val="24"/>
              </w:rPr>
              <w:t xml:space="preserve">The Commission </w:t>
            </w:r>
            <w:r w:rsidR="00B843EF">
              <w:rPr>
                <w:rFonts w:ascii="Times New Roman" w:hAnsi="Times New Roman" w:cs="Times New Roman"/>
                <w:sz w:val="24"/>
                <w:szCs w:val="24"/>
              </w:rPr>
              <w:t>has modified</w:t>
            </w:r>
            <w:r>
              <w:rPr>
                <w:rFonts w:ascii="Times New Roman" w:hAnsi="Times New Roman" w:cs="Times New Roman"/>
                <w:sz w:val="24"/>
                <w:szCs w:val="24"/>
              </w:rPr>
              <w:t xml:space="preserve"> the definition of “third party owner” </w:t>
            </w:r>
            <w:r w:rsidR="002C4CEA">
              <w:rPr>
                <w:rFonts w:ascii="Times New Roman" w:hAnsi="Times New Roman" w:cs="Times New Roman"/>
                <w:sz w:val="24"/>
                <w:szCs w:val="24"/>
              </w:rPr>
              <w:t xml:space="preserve">in the proposed rules </w:t>
            </w:r>
            <w:r>
              <w:rPr>
                <w:rFonts w:ascii="Times New Roman" w:hAnsi="Times New Roman" w:cs="Times New Roman"/>
                <w:sz w:val="24"/>
                <w:szCs w:val="24"/>
              </w:rPr>
              <w:t>to prohibit the resale of electricity and clarify that the net metering relationship is between the interconnection customer and the utility.  The definition of interconnection customer in WAC 480-108-010 states that the interconnection customer is responsible for the operation and maintenance of the net metering system.</w:t>
            </w:r>
          </w:p>
        </w:tc>
      </w:tr>
    </w:tbl>
    <w:p w:rsidR="006E70B6" w:rsidRDefault="006E70B6">
      <w:r>
        <w:br w:type="page"/>
      </w:r>
    </w:p>
    <w:tbl>
      <w:tblPr>
        <w:tblStyle w:val="TableGrid"/>
        <w:tblW w:w="0" w:type="auto"/>
        <w:tblLayout w:type="fixed"/>
        <w:tblLook w:val="04A0" w:firstRow="1" w:lastRow="0" w:firstColumn="1" w:lastColumn="0" w:noHBand="0" w:noVBand="1"/>
      </w:tblPr>
      <w:tblGrid>
        <w:gridCol w:w="1368"/>
        <w:gridCol w:w="1530"/>
        <w:gridCol w:w="3795"/>
        <w:gridCol w:w="7725"/>
      </w:tblGrid>
      <w:tr w:rsidR="00674EE4" w:rsidTr="00847F94">
        <w:trPr>
          <w:cantSplit/>
        </w:trPr>
        <w:tc>
          <w:tcPr>
            <w:tcW w:w="1368" w:type="dxa"/>
            <w:vMerge w:val="restart"/>
          </w:tcPr>
          <w:p w:rsidR="00674EE4" w:rsidRDefault="00674EE4" w:rsidP="00847F94">
            <w:pPr>
              <w:rPr>
                <w:rFonts w:ascii="Times New Roman" w:hAnsi="Times New Roman" w:cs="Times New Roman"/>
                <w:sz w:val="24"/>
                <w:szCs w:val="24"/>
              </w:rPr>
            </w:pPr>
          </w:p>
        </w:tc>
        <w:tc>
          <w:tcPr>
            <w:tcW w:w="1530" w:type="dxa"/>
          </w:tcPr>
          <w:p w:rsidR="00674EE4" w:rsidRDefault="00674EE4" w:rsidP="003C4B67">
            <w:pPr>
              <w:rPr>
                <w:rFonts w:ascii="Times New Roman" w:hAnsi="Times New Roman" w:cs="Times New Roman"/>
                <w:sz w:val="24"/>
                <w:szCs w:val="24"/>
              </w:rPr>
            </w:pPr>
            <w:r>
              <w:rPr>
                <w:rFonts w:ascii="Times New Roman" w:hAnsi="Times New Roman" w:cs="Times New Roman"/>
                <w:sz w:val="24"/>
                <w:szCs w:val="24"/>
              </w:rPr>
              <w:t>PacifiCorp, Puget Sound Energy</w:t>
            </w:r>
          </w:p>
        </w:tc>
        <w:tc>
          <w:tcPr>
            <w:tcW w:w="3795" w:type="dxa"/>
          </w:tcPr>
          <w:p w:rsidR="00674EE4" w:rsidRPr="000F08A4" w:rsidRDefault="00674EE4" w:rsidP="002C4CEA">
            <w:pPr>
              <w:rPr>
                <w:rFonts w:ascii="Times New Roman" w:hAnsi="Times New Roman" w:cs="Times New Roman"/>
                <w:sz w:val="24"/>
                <w:szCs w:val="24"/>
              </w:rPr>
            </w:pPr>
            <w:r>
              <w:rPr>
                <w:rFonts w:ascii="Times New Roman" w:hAnsi="Times New Roman" w:cs="Times New Roman"/>
                <w:sz w:val="24"/>
                <w:szCs w:val="24"/>
              </w:rPr>
              <w:t xml:space="preserve">State law may require the </w:t>
            </w:r>
            <w:r w:rsidR="002C4CEA">
              <w:rPr>
                <w:rFonts w:ascii="Times New Roman" w:hAnsi="Times New Roman" w:cs="Times New Roman"/>
                <w:sz w:val="24"/>
                <w:szCs w:val="24"/>
              </w:rPr>
              <w:t xml:space="preserve">Commission </w:t>
            </w:r>
            <w:r>
              <w:rPr>
                <w:rFonts w:ascii="Times New Roman" w:hAnsi="Times New Roman" w:cs="Times New Roman"/>
                <w:sz w:val="24"/>
                <w:szCs w:val="24"/>
              </w:rPr>
              <w:t>to regulate a third-party owner of a renewable energy system as an electrical company.</w:t>
            </w:r>
          </w:p>
        </w:tc>
        <w:tc>
          <w:tcPr>
            <w:tcW w:w="7725" w:type="dxa"/>
          </w:tcPr>
          <w:p w:rsidR="00674EE4" w:rsidRDefault="00674EE4" w:rsidP="003C4B67">
            <w:pPr>
              <w:rPr>
                <w:rFonts w:ascii="Times New Roman" w:hAnsi="Times New Roman" w:cs="Times New Roman"/>
                <w:sz w:val="24"/>
                <w:szCs w:val="24"/>
              </w:rPr>
            </w:pPr>
            <w:r>
              <w:rPr>
                <w:rFonts w:ascii="Times New Roman" w:hAnsi="Times New Roman" w:cs="Times New Roman"/>
                <w:sz w:val="24"/>
                <w:szCs w:val="24"/>
              </w:rPr>
              <w:t xml:space="preserve">This issue is not presented for decision in this rulemaking.  Nonetheless, the Commission may provide guidance on the regulation of third-party owners in the order adopting these rules.  PacifiCorp submitted comments in this docket arguing that the third-party owners are subject to UTC jurisdiction. IREC submitted </w:t>
            </w:r>
            <w:hyperlink r:id="rId8" w:history="1">
              <w:r w:rsidRPr="00517CAA">
                <w:rPr>
                  <w:rStyle w:val="Hyperlink"/>
                  <w:rFonts w:ascii="Times New Roman" w:hAnsi="Times New Roman" w:cs="Times New Roman"/>
                  <w:sz w:val="24"/>
                  <w:szCs w:val="24"/>
                </w:rPr>
                <w:t>a legal memo on September 29, 2011 in a prior docket regarding distributed generation, UE-110667</w:t>
              </w:r>
            </w:hyperlink>
            <w:r>
              <w:rPr>
                <w:rFonts w:ascii="Times New Roman" w:hAnsi="Times New Roman" w:cs="Times New Roman"/>
                <w:sz w:val="24"/>
                <w:szCs w:val="24"/>
              </w:rPr>
              <w:t>, arguing that third-party owners are not subject to UTC jurisdiction.</w:t>
            </w:r>
          </w:p>
        </w:tc>
      </w:tr>
      <w:tr w:rsidR="00674EE4" w:rsidTr="00847F94">
        <w:trPr>
          <w:cantSplit/>
        </w:trPr>
        <w:tc>
          <w:tcPr>
            <w:tcW w:w="1368" w:type="dxa"/>
            <w:vMerge/>
          </w:tcPr>
          <w:p w:rsidR="00674EE4" w:rsidRDefault="00674EE4" w:rsidP="00847F94">
            <w:pPr>
              <w:rPr>
                <w:rFonts w:ascii="Times New Roman" w:hAnsi="Times New Roman" w:cs="Times New Roman"/>
                <w:sz w:val="24"/>
                <w:szCs w:val="24"/>
              </w:rPr>
            </w:pPr>
          </w:p>
        </w:tc>
        <w:tc>
          <w:tcPr>
            <w:tcW w:w="1530" w:type="dxa"/>
          </w:tcPr>
          <w:p w:rsidR="00674EE4" w:rsidRDefault="00674EE4" w:rsidP="003C4B67">
            <w:pPr>
              <w:rPr>
                <w:rFonts w:ascii="Times New Roman" w:hAnsi="Times New Roman" w:cs="Times New Roman"/>
                <w:sz w:val="24"/>
                <w:szCs w:val="24"/>
              </w:rPr>
            </w:pPr>
            <w:r>
              <w:rPr>
                <w:rFonts w:ascii="Times New Roman" w:hAnsi="Times New Roman" w:cs="Times New Roman"/>
                <w:sz w:val="24"/>
                <w:szCs w:val="24"/>
              </w:rPr>
              <w:t>Puget Sound Energy</w:t>
            </w:r>
          </w:p>
        </w:tc>
        <w:tc>
          <w:tcPr>
            <w:tcW w:w="3795" w:type="dxa"/>
          </w:tcPr>
          <w:p w:rsidR="00674EE4" w:rsidRDefault="00674EE4" w:rsidP="003C4B67">
            <w:pPr>
              <w:rPr>
                <w:rFonts w:ascii="Times New Roman" w:hAnsi="Times New Roman" w:cs="Times New Roman"/>
                <w:sz w:val="24"/>
                <w:szCs w:val="24"/>
              </w:rPr>
            </w:pPr>
            <w:r>
              <w:rPr>
                <w:rFonts w:ascii="Times New Roman" w:hAnsi="Times New Roman" w:cs="Times New Roman"/>
                <w:sz w:val="24"/>
                <w:szCs w:val="24"/>
              </w:rPr>
              <w:t>The definition of interconnection customer is inconsistent when it requires, in subsection (1), that the interconnection customer “owns a generating facility” and later when it allows third-party ownership.</w:t>
            </w:r>
          </w:p>
        </w:tc>
        <w:tc>
          <w:tcPr>
            <w:tcW w:w="7725" w:type="dxa"/>
          </w:tcPr>
          <w:p w:rsidR="00674EE4" w:rsidRDefault="00674EE4" w:rsidP="003C4B67">
            <w:pPr>
              <w:rPr>
                <w:rFonts w:ascii="Times New Roman" w:hAnsi="Times New Roman" w:cs="Times New Roman"/>
                <w:sz w:val="24"/>
                <w:szCs w:val="24"/>
              </w:rPr>
            </w:pPr>
            <w:r>
              <w:rPr>
                <w:rFonts w:ascii="Times New Roman" w:hAnsi="Times New Roman" w:cs="Times New Roman"/>
                <w:sz w:val="24"/>
                <w:szCs w:val="24"/>
              </w:rPr>
              <w:t xml:space="preserve">The list which includes subsection (1) is separated by “or” not “and.”  Thus, as long as the interconnection customer is, as described by subsection (2), “a customer-generator of net-metered facilities,” an interconnection customer need not own the generating facility. The definition of “customer-generator” in RCW 80.60.010(2) requires the customer-generator to be a “user,” </w:t>
            </w:r>
            <w:r w:rsidRPr="000F08A4">
              <w:rPr>
                <w:rFonts w:ascii="Times New Roman" w:hAnsi="Times New Roman" w:cs="Times New Roman"/>
                <w:sz w:val="24"/>
                <w:szCs w:val="24"/>
              </w:rPr>
              <w:t>not owner</w:t>
            </w:r>
            <w:r>
              <w:rPr>
                <w:rFonts w:ascii="Times New Roman" w:hAnsi="Times New Roman" w:cs="Times New Roman"/>
                <w:sz w:val="24"/>
                <w:szCs w:val="24"/>
              </w:rPr>
              <w:t xml:space="preserve">, </w:t>
            </w:r>
            <w:r w:rsidR="002C4CEA">
              <w:rPr>
                <w:rFonts w:ascii="Times New Roman" w:hAnsi="Times New Roman" w:cs="Times New Roman"/>
                <w:sz w:val="24"/>
                <w:szCs w:val="24"/>
              </w:rPr>
              <w:t xml:space="preserve">of </w:t>
            </w:r>
            <w:r>
              <w:rPr>
                <w:rFonts w:ascii="Times New Roman" w:hAnsi="Times New Roman" w:cs="Times New Roman"/>
                <w:sz w:val="24"/>
                <w:szCs w:val="24"/>
              </w:rPr>
              <w:t>the net-metered facility.</w:t>
            </w:r>
          </w:p>
        </w:tc>
      </w:tr>
      <w:tr w:rsidR="00674EE4" w:rsidTr="00847F94">
        <w:trPr>
          <w:cantSplit/>
        </w:trPr>
        <w:tc>
          <w:tcPr>
            <w:tcW w:w="1368" w:type="dxa"/>
            <w:vMerge w:val="restart"/>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BBB</w:t>
            </w:r>
          </w:p>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(2)(a)(iv)</w:t>
            </w:r>
          </w:p>
          <w:p w:rsidR="00674EE4" w:rsidRDefault="00674EE4" w:rsidP="00847F94">
            <w:pPr>
              <w:rPr>
                <w:rFonts w:ascii="Times New Roman" w:hAnsi="Times New Roman" w:cs="Times New Roman"/>
                <w:sz w:val="24"/>
                <w:szCs w:val="24"/>
              </w:rPr>
            </w:pPr>
          </w:p>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Disconnect Switch</w:t>
            </w:r>
          </w:p>
        </w:tc>
        <w:tc>
          <w:tcPr>
            <w:tcW w:w="1530" w:type="dxa"/>
            <w:vMerge w:val="restart"/>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 xml:space="preserve">PacifiCorp, </w:t>
            </w:r>
          </w:p>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Parker Holden, Puget Sound Energy</w:t>
            </w:r>
          </w:p>
          <w:p w:rsidR="00674EE4" w:rsidRDefault="00674EE4" w:rsidP="00847F94">
            <w:pPr>
              <w:rPr>
                <w:rFonts w:ascii="Times New Roman" w:hAnsi="Times New Roman" w:cs="Times New Roman"/>
                <w:sz w:val="24"/>
                <w:szCs w:val="24"/>
              </w:rPr>
            </w:pPr>
          </w:p>
        </w:tc>
        <w:tc>
          <w:tcPr>
            <w:tcW w:w="3795" w:type="dxa"/>
          </w:tcPr>
          <w:p w:rsidR="00674EE4" w:rsidRDefault="00674EE4" w:rsidP="00A55D57">
            <w:pPr>
              <w:rPr>
                <w:rFonts w:ascii="Times New Roman" w:hAnsi="Times New Roman" w:cs="Times New Roman"/>
                <w:sz w:val="24"/>
                <w:szCs w:val="24"/>
              </w:rPr>
            </w:pPr>
            <w:r>
              <w:rPr>
                <w:rFonts w:ascii="Times New Roman" w:hAnsi="Times New Roman" w:cs="Times New Roman"/>
                <w:sz w:val="24"/>
                <w:szCs w:val="24"/>
              </w:rPr>
              <w:t xml:space="preserve">Utilities suggest that a </w:t>
            </w:r>
            <w:r w:rsidRPr="00977282">
              <w:rPr>
                <w:rFonts w:ascii="Times New Roman" w:hAnsi="Times New Roman" w:cs="Times New Roman"/>
                <w:sz w:val="24"/>
                <w:szCs w:val="24"/>
              </w:rPr>
              <w:t xml:space="preserve">disconnect switch </w:t>
            </w:r>
            <w:r>
              <w:rPr>
                <w:rFonts w:ascii="Times New Roman" w:hAnsi="Times New Roman" w:cs="Times New Roman"/>
                <w:sz w:val="24"/>
                <w:szCs w:val="24"/>
              </w:rPr>
              <w:t xml:space="preserve">should be required unless agreed to by the utility.  Mr. Holden supports </w:t>
            </w:r>
            <w:r w:rsidR="00A55D57">
              <w:rPr>
                <w:rFonts w:ascii="Times New Roman" w:hAnsi="Times New Roman" w:cs="Times New Roman"/>
                <w:sz w:val="24"/>
                <w:szCs w:val="24"/>
              </w:rPr>
              <w:t>requiring</w:t>
            </w:r>
            <w:r w:rsidRPr="00041816">
              <w:rPr>
                <w:rFonts w:ascii="Times New Roman" w:hAnsi="Times New Roman" w:cs="Times New Roman"/>
                <w:sz w:val="24"/>
                <w:szCs w:val="24"/>
              </w:rPr>
              <w:t xml:space="preserve"> </w:t>
            </w:r>
            <w:r w:rsidR="00A55D57">
              <w:rPr>
                <w:rFonts w:ascii="Times New Roman" w:hAnsi="Times New Roman" w:cs="Times New Roman"/>
                <w:sz w:val="24"/>
                <w:szCs w:val="24"/>
              </w:rPr>
              <w:t xml:space="preserve">a </w:t>
            </w:r>
            <w:r w:rsidRPr="00041816">
              <w:rPr>
                <w:rFonts w:ascii="Times New Roman" w:hAnsi="Times New Roman" w:cs="Times New Roman"/>
                <w:sz w:val="24"/>
                <w:szCs w:val="24"/>
              </w:rPr>
              <w:t>disconnect switch under all conditions</w:t>
            </w:r>
            <w:r w:rsidRPr="00977282">
              <w:rPr>
                <w:rFonts w:ascii="Times New Roman" w:hAnsi="Times New Roman" w:cs="Times New Roman"/>
                <w:sz w:val="24"/>
                <w:szCs w:val="24"/>
              </w:rPr>
              <w:t>.</w:t>
            </w:r>
            <w:r>
              <w:rPr>
                <w:rFonts w:ascii="Times New Roman" w:hAnsi="Times New Roman" w:cs="Times New Roman"/>
                <w:sz w:val="24"/>
                <w:szCs w:val="24"/>
              </w:rPr>
              <w:t xml:space="preserve"> </w:t>
            </w:r>
          </w:p>
        </w:tc>
        <w:tc>
          <w:tcPr>
            <w:tcW w:w="7725" w:type="dxa"/>
          </w:tcPr>
          <w:p w:rsidR="00674EE4" w:rsidRDefault="00674EE4" w:rsidP="002C4CEA">
            <w:pPr>
              <w:rPr>
                <w:rFonts w:ascii="Times New Roman" w:hAnsi="Times New Roman" w:cs="Times New Roman"/>
                <w:sz w:val="24"/>
                <w:szCs w:val="24"/>
              </w:rPr>
            </w:pPr>
            <w:r>
              <w:rPr>
                <w:rFonts w:ascii="Times New Roman" w:hAnsi="Times New Roman" w:cs="Times New Roman"/>
                <w:sz w:val="24"/>
                <w:szCs w:val="24"/>
              </w:rPr>
              <w:t xml:space="preserve">The Commission intends these rules to promote the adoption of distributed generation and reduce the cost of distributed generation facilities.  Accordingly, </w:t>
            </w:r>
            <w:r w:rsidR="002C4CEA">
              <w:rPr>
                <w:rFonts w:ascii="Times New Roman" w:hAnsi="Times New Roman" w:cs="Times New Roman"/>
                <w:sz w:val="24"/>
                <w:szCs w:val="24"/>
              </w:rPr>
              <w:t>the proposed rule</w:t>
            </w:r>
            <w:r>
              <w:rPr>
                <w:rFonts w:ascii="Times New Roman" w:hAnsi="Times New Roman" w:cs="Times New Roman"/>
                <w:sz w:val="24"/>
                <w:szCs w:val="24"/>
              </w:rPr>
              <w:t xml:space="preserve"> prohibits electrical companies from requiring a visible, lockable AC disconnect switch on Tier 1 systems unless the </w:t>
            </w:r>
            <w:r w:rsidRPr="00E07851">
              <w:rPr>
                <w:rFonts w:ascii="Times New Roman" w:hAnsi="Times New Roman" w:cs="Times New Roman"/>
                <w:sz w:val="24"/>
                <w:szCs w:val="24"/>
              </w:rPr>
              <w:t xml:space="preserve">Washington State Department of Labor and Industries requires </w:t>
            </w:r>
            <w:r>
              <w:rPr>
                <w:rFonts w:ascii="Times New Roman" w:hAnsi="Times New Roman" w:cs="Times New Roman"/>
                <w:sz w:val="24"/>
                <w:szCs w:val="24"/>
              </w:rPr>
              <w:t xml:space="preserve">a switch.  </w:t>
            </w:r>
          </w:p>
        </w:tc>
      </w:tr>
      <w:tr w:rsidR="00674EE4" w:rsidTr="00847F94">
        <w:trPr>
          <w:cantSplit/>
        </w:trPr>
        <w:tc>
          <w:tcPr>
            <w:tcW w:w="1368" w:type="dxa"/>
            <w:vMerge/>
          </w:tcPr>
          <w:p w:rsidR="00674EE4" w:rsidRDefault="00674EE4" w:rsidP="00847F94">
            <w:pPr>
              <w:rPr>
                <w:rFonts w:ascii="Times New Roman" w:hAnsi="Times New Roman" w:cs="Times New Roman"/>
                <w:sz w:val="24"/>
                <w:szCs w:val="24"/>
              </w:rPr>
            </w:pPr>
          </w:p>
        </w:tc>
        <w:tc>
          <w:tcPr>
            <w:tcW w:w="1530" w:type="dxa"/>
            <w:vMerge/>
          </w:tcPr>
          <w:p w:rsidR="00674EE4" w:rsidRDefault="00674EE4" w:rsidP="00847F94">
            <w:pPr>
              <w:rPr>
                <w:rFonts w:ascii="Times New Roman" w:hAnsi="Times New Roman" w:cs="Times New Roman"/>
                <w:sz w:val="24"/>
                <w:szCs w:val="24"/>
              </w:rPr>
            </w:pPr>
          </w:p>
        </w:tc>
        <w:tc>
          <w:tcPr>
            <w:tcW w:w="3795" w:type="dxa"/>
          </w:tcPr>
          <w:p w:rsidR="00674EE4" w:rsidRPr="00F972CC" w:rsidRDefault="00674EE4" w:rsidP="00847F94">
            <w:pPr>
              <w:rPr>
                <w:rFonts w:ascii="Times New Roman" w:hAnsi="Times New Roman" w:cs="Times New Roman"/>
                <w:sz w:val="24"/>
                <w:szCs w:val="24"/>
              </w:rPr>
            </w:pPr>
            <w:r>
              <w:rPr>
                <w:rFonts w:ascii="Times New Roman" w:hAnsi="Times New Roman" w:cs="Times New Roman"/>
                <w:sz w:val="24"/>
                <w:szCs w:val="24"/>
              </w:rPr>
              <w:t>Wording is unclear, suggested changes about placement of the switch.</w:t>
            </w:r>
          </w:p>
        </w:tc>
        <w:tc>
          <w:tcPr>
            <w:tcW w:w="7725" w:type="dxa"/>
          </w:tcPr>
          <w:p w:rsidR="00674EE4" w:rsidRDefault="00B843EF" w:rsidP="002C4CEA">
            <w:pPr>
              <w:rPr>
                <w:rFonts w:ascii="Times New Roman" w:hAnsi="Times New Roman" w:cs="Times New Roman"/>
                <w:sz w:val="24"/>
                <w:szCs w:val="24"/>
              </w:rPr>
            </w:pPr>
            <w:r>
              <w:rPr>
                <w:rFonts w:ascii="Times New Roman" w:hAnsi="Times New Roman" w:cs="Times New Roman"/>
                <w:sz w:val="24"/>
                <w:szCs w:val="24"/>
              </w:rPr>
              <w:t>T</w:t>
            </w:r>
            <w:r w:rsidR="002C4CEA">
              <w:rPr>
                <w:rFonts w:ascii="Times New Roman" w:hAnsi="Times New Roman" w:cs="Times New Roman"/>
                <w:sz w:val="24"/>
                <w:szCs w:val="24"/>
              </w:rPr>
              <w:t>he proposed</w:t>
            </w:r>
            <w:r w:rsidR="00674EE4">
              <w:rPr>
                <w:rFonts w:ascii="Times New Roman" w:hAnsi="Times New Roman" w:cs="Times New Roman"/>
                <w:sz w:val="24"/>
                <w:szCs w:val="24"/>
              </w:rPr>
              <w:t xml:space="preserve"> rule does </w:t>
            </w:r>
            <w:r w:rsidR="00A55D57">
              <w:rPr>
                <w:rFonts w:ascii="Times New Roman" w:hAnsi="Times New Roman" w:cs="Times New Roman"/>
                <w:sz w:val="24"/>
                <w:szCs w:val="24"/>
              </w:rPr>
              <w:t xml:space="preserve">not </w:t>
            </w:r>
            <w:r w:rsidR="00674EE4">
              <w:rPr>
                <w:rFonts w:ascii="Times New Roman" w:hAnsi="Times New Roman" w:cs="Times New Roman"/>
                <w:sz w:val="24"/>
                <w:szCs w:val="24"/>
              </w:rPr>
              <w:t>discuss the placement of a potential switch.</w:t>
            </w:r>
          </w:p>
        </w:tc>
      </w:tr>
      <w:tr w:rsidR="00674EE4" w:rsidTr="00847F94">
        <w:trPr>
          <w:cantSplit/>
        </w:trPr>
        <w:tc>
          <w:tcPr>
            <w:tcW w:w="1368"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FFF(14)</w:t>
            </w:r>
          </w:p>
          <w:p w:rsidR="00674EE4" w:rsidRDefault="00674EE4" w:rsidP="00847F94">
            <w:pPr>
              <w:rPr>
                <w:rFonts w:ascii="Times New Roman" w:hAnsi="Times New Roman" w:cs="Times New Roman"/>
                <w:sz w:val="24"/>
                <w:szCs w:val="24"/>
              </w:rPr>
            </w:pPr>
          </w:p>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Insurance</w:t>
            </w:r>
          </w:p>
        </w:tc>
        <w:tc>
          <w:tcPr>
            <w:tcW w:w="1530"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PacifiCorp</w:t>
            </w:r>
          </w:p>
        </w:tc>
        <w:tc>
          <w:tcPr>
            <w:tcW w:w="3795" w:type="dxa"/>
          </w:tcPr>
          <w:p w:rsidR="00674EE4" w:rsidRDefault="00674EE4" w:rsidP="00A55D57">
            <w:pPr>
              <w:rPr>
                <w:rFonts w:ascii="Times New Roman" w:hAnsi="Times New Roman" w:cs="Times New Roman"/>
                <w:sz w:val="24"/>
                <w:szCs w:val="24"/>
              </w:rPr>
            </w:pPr>
            <w:r w:rsidRPr="00F972CC">
              <w:rPr>
                <w:rFonts w:ascii="Times New Roman" w:hAnsi="Times New Roman" w:cs="Times New Roman"/>
                <w:sz w:val="24"/>
                <w:szCs w:val="24"/>
              </w:rPr>
              <w:t xml:space="preserve">PacifiCorp </w:t>
            </w:r>
            <w:r>
              <w:rPr>
                <w:rFonts w:ascii="Times New Roman" w:hAnsi="Times New Roman" w:cs="Times New Roman"/>
                <w:sz w:val="24"/>
                <w:szCs w:val="24"/>
              </w:rPr>
              <w:t xml:space="preserve">proposes to </w:t>
            </w:r>
            <w:r w:rsidRPr="001871AE">
              <w:rPr>
                <w:rFonts w:ascii="Times New Roman" w:hAnsi="Times New Roman" w:cs="Times New Roman"/>
                <w:sz w:val="24"/>
                <w:szCs w:val="24"/>
              </w:rPr>
              <w:t xml:space="preserve">limit </w:t>
            </w:r>
            <w:r w:rsidR="00A55D57">
              <w:rPr>
                <w:rFonts w:ascii="Times New Roman" w:hAnsi="Times New Roman" w:cs="Times New Roman"/>
                <w:sz w:val="24"/>
                <w:szCs w:val="24"/>
              </w:rPr>
              <w:t>risk by adding: “</w:t>
            </w:r>
            <w:r w:rsidRPr="001871AE">
              <w:rPr>
                <w:rFonts w:ascii="Times New Roman" w:hAnsi="Times New Roman" w:cs="Times New Roman"/>
                <w:sz w:val="24"/>
                <w:szCs w:val="24"/>
              </w:rPr>
              <w:t>An Electric Company shall not be liable directly or indirectly for permitting or continuing to allow an attachment of a facility, or for the acts or omissions of the customer generator that cause loss or injury, including death to any third party.</w:t>
            </w:r>
            <w:r w:rsidR="00A55D57">
              <w:rPr>
                <w:rFonts w:ascii="Times New Roman" w:hAnsi="Times New Roman" w:cs="Times New Roman"/>
                <w:sz w:val="24"/>
                <w:szCs w:val="24"/>
              </w:rPr>
              <w:t>”</w:t>
            </w:r>
          </w:p>
        </w:tc>
        <w:tc>
          <w:tcPr>
            <w:tcW w:w="7725" w:type="dxa"/>
          </w:tcPr>
          <w:p w:rsidR="00674EE4" w:rsidRDefault="00674EE4" w:rsidP="002C4CEA">
            <w:pPr>
              <w:rPr>
                <w:rFonts w:ascii="Times New Roman" w:hAnsi="Times New Roman" w:cs="Times New Roman"/>
                <w:sz w:val="24"/>
                <w:szCs w:val="24"/>
              </w:rPr>
            </w:pPr>
            <w:r>
              <w:rPr>
                <w:rFonts w:ascii="Times New Roman" w:hAnsi="Times New Roman" w:cs="Times New Roman"/>
                <w:sz w:val="24"/>
                <w:szCs w:val="24"/>
              </w:rPr>
              <w:t xml:space="preserve">The Commission does not believe </w:t>
            </w:r>
            <w:r w:rsidR="002C4CEA">
              <w:rPr>
                <w:rFonts w:ascii="Times New Roman" w:hAnsi="Times New Roman" w:cs="Times New Roman"/>
                <w:sz w:val="24"/>
                <w:szCs w:val="24"/>
              </w:rPr>
              <w:t>it</w:t>
            </w:r>
            <w:r>
              <w:rPr>
                <w:rFonts w:ascii="Times New Roman" w:hAnsi="Times New Roman" w:cs="Times New Roman"/>
                <w:sz w:val="24"/>
                <w:szCs w:val="24"/>
              </w:rPr>
              <w:t xml:space="preserve"> has the statutory authority to limit the tort liability of a utility through this rulemaking.</w:t>
            </w:r>
          </w:p>
        </w:tc>
      </w:tr>
      <w:tr w:rsidR="00674EE4" w:rsidTr="00847F94">
        <w:trPr>
          <w:cantSplit/>
        </w:trPr>
        <w:tc>
          <w:tcPr>
            <w:tcW w:w="1368" w:type="dxa"/>
            <w:vMerge w:val="restart"/>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lastRenderedPageBreak/>
              <w:t xml:space="preserve">FFF(23)(a) </w:t>
            </w:r>
          </w:p>
          <w:p w:rsidR="00674EE4" w:rsidRDefault="00674EE4" w:rsidP="00847F94">
            <w:pPr>
              <w:rPr>
                <w:rFonts w:ascii="Times New Roman" w:hAnsi="Times New Roman" w:cs="Times New Roman"/>
                <w:sz w:val="24"/>
                <w:szCs w:val="24"/>
              </w:rPr>
            </w:pPr>
          </w:p>
          <w:p w:rsidR="00674EE4" w:rsidRDefault="004A1148" w:rsidP="00847F94">
            <w:pPr>
              <w:rPr>
                <w:rFonts w:ascii="Times New Roman" w:hAnsi="Times New Roman" w:cs="Times New Roman"/>
                <w:sz w:val="24"/>
                <w:szCs w:val="24"/>
              </w:rPr>
            </w:pPr>
            <w:r>
              <w:rPr>
                <w:rFonts w:ascii="Times New Roman" w:hAnsi="Times New Roman" w:cs="Times New Roman"/>
                <w:sz w:val="24"/>
                <w:szCs w:val="24"/>
              </w:rPr>
              <w:t>Not</w:t>
            </w:r>
            <w:r w:rsidR="00674EE4">
              <w:rPr>
                <w:rFonts w:ascii="Times New Roman" w:hAnsi="Times New Roman" w:cs="Times New Roman"/>
                <w:sz w:val="24"/>
                <w:szCs w:val="24"/>
              </w:rPr>
              <w:t>ic</w:t>
            </w:r>
            <w:r w:rsidR="002C4CEA">
              <w:rPr>
                <w:rFonts w:ascii="Times New Roman" w:hAnsi="Times New Roman" w:cs="Times New Roman"/>
                <w:sz w:val="24"/>
                <w:szCs w:val="24"/>
              </w:rPr>
              <w:t>e</w:t>
            </w:r>
            <w:r w:rsidR="00674EE4">
              <w:rPr>
                <w:rFonts w:ascii="Times New Roman" w:hAnsi="Times New Roman" w:cs="Times New Roman"/>
                <w:sz w:val="24"/>
                <w:szCs w:val="24"/>
              </w:rPr>
              <w:t xml:space="preserve"> of </w:t>
            </w:r>
            <w:r w:rsidR="00674EE4" w:rsidRPr="00A354B2">
              <w:rPr>
                <w:rFonts w:ascii="Times New Roman" w:hAnsi="Times New Roman" w:cs="Times New Roman"/>
                <w:sz w:val="24"/>
                <w:szCs w:val="24"/>
              </w:rPr>
              <w:t>Voltage</w:t>
            </w:r>
            <w:r w:rsidR="00674EE4">
              <w:rPr>
                <w:rFonts w:ascii="Times New Roman" w:hAnsi="Times New Roman" w:cs="Times New Roman"/>
                <w:sz w:val="24"/>
                <w:szCs w:val="24"/>
              </w:rPr>
              <w:t xml:space="preserve"> Irregularity</w:t>
            </w:r>
          </w:p>
        </w:tc>
        <w:tc>
          <w:tcPr>
            <w:tcW w:w="1530" w:type="dxa"/>
            <w:vMerge w:val="restart"/>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Avista, PacifiCorp, Puget Sound Energy, Tacoma Power</w:t>
            </w:r>
          </w:p>
        </w:tc>
        <w:tc>
          <w:tcPr>
            <w:tcW w:w="3795" w:type="dxa"/>
          </w:tcPr>
          <w:p w:rsidR="00674EE4" w:rsidRDefault="00A55D57" w:rsidP="00847F94">
            <w:pPr>
              <w:rPr>
                <w:rFonts w:ascii="Times New Roman" w:hAnsi="Times New Roman" w:cs="Times New Roman"/>
                <w:sz w:val="24"/>
                <w:szCs w:val="24"/>
              </w:rPr>
            </w:pPr>
            <w:r>
              <w:rPr>
                <w:rFonts w:ascii="Times New Roman" w:hAnsi="Times New Roman" w:cs="Times New Roman"/>
                <w:sz w:val="24"/>
                <w:szCs w:val="24"/>
              </w:rPr>
              <w:t xml:space="preserve">Utilities suggest removing this section.  </w:t>
            </w:r>
            <w:r w:rsidR="00674EE4">
              <w:rPr>
                <w:rFonts w:ascii="Times New Roman" w:hAnsi="Times New Roman" w:cs="Times New Roman"/>
                <w:sz w:val="24"/>
                <w:szCs w:val="24"/>
              </w:rPr>
              <w:t xml:space="preserve">Utilities suggest that they </w:t>
            </w:r>
            <w:r w:rsidR="00674EE4" w:rsidRPr="00A354B2">
              <w:rPr>
                <w:rFonts w:ascii="Times New Roman" w:hAnsi="Times New Roman" w:cs="Times New Roman"/>
                <w:sz w:val="24"/>
                <w:szCs w:val="24"/>
              </w:rPr>
              <w:t xml:space="preserve">should not have to maintain their voltages more stringently than called for in WAC 480-100-373.  </w:t>
            </w:r>
          </w:p>
          <w:p w:rsidR="00674EE4" w:rsidRPr="00A354B2" w:rsidRDefault="00674EE4" w:rsidP="00847F94">
            <w:pPr>
              <w:rPr>
                <w:rFonts w:ascii="Times New Roman" w:hAnsi="Times New Roman" w:cs="Times New Roman"/>
                <w:sz w:val="24"/>
                <w:szCs w:val="24"/>
              </w:rPr>
            </w:pPr>
          </w:p>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PSE</w:t>
            </w:r>
            <w:r w:rsidRPr="00A354B2">
              <w:rPr>
                <w:rFonts w:ascii="Times New Roman" w:hAnsi="Times New Roman" w:cs="Times New Roman"/>
                <w:sz w:val="24"/>
                <w:szCs w:val="24"/>
              </w:rPr>
              <w:t xml:space="preserve"> suggests that the propose</w:t>
            </w:r>
            <w:r>
              <w:rPr>
                <w:rFonts w:ascii="Times New Roman" w:hAnsi="Times New Roman" w:cs="Times New Roman"/>
                <w:sz w:val="24"/>
                <w:szCs w:val="24"/>
              </w:rPr>
              <w:t>d irregular voltage requirement</w:t>
            </w:r>
            <w:r w:rsidRPr="00A354B2">
              <w:rPr>
                <w:rFonts w:ascii="Times New Roman" w:hAnsi="Times New Roman" w:cs="Times New Roman"/>
                <w:sz w:val="24"/>
                <w:szCs w:val="24"/>
              </w:rPr>
              <w:t xml:space="preserve"> </w:t>
            </w:r>
            <w:r>
              <w:rPr>
                <w:rFonts w:ascii="Times New Roman" w:hAnsi="Times New Roman" w:cs="Times New Roman"/>
                <w:sz w:val="24"/>
                <w:szCs w:val="24"/>
              </w:rPr>
              <w:t xml:space="preserve">is </w:t>
            </w:r>
            <w:r w:rsidR="00A55D57">
              <w:rPr>
                <w:rFonts w:ascii="Times New Roman" w:hAnsi="Times New Roman" w:cs="Times New Roman"/>
                <w:sz w:val="24"/>
                <w:szCs w:val="24"/>
              </w:rPr>
              <w:t>in</w:t>
            </w:r>
            <w:r w:rsidRPr="00A354B2">
              <w:rPr>
                <w:rFonts w:ascii="Times New Roman" w:hAnsi="Times New Roman" w:cs="Times New Roman"/>
                <w:sz w:val="24"/>
                <w:szCs w:val="24"/>
              </w:rPr>
              <w:t xml:space="preserve">compatible with </w:t>
            </w:r>
            <w:r w:rsidR="00A55D57" w:rsidRPr="00A354B2">
              <w:rPr>
                <w:rFonts w:ascii="Times New Roman" w:hAnsi="Times New Roman" w:cs="Times New Roman"/>
                <w:sz w:val="24"/>
                <w:szCs w:val="24"/>
              </w:rPr>
              <w:t>Tier 1</w:t>
            </w:r>
            <w:r w:rsidR="00A55D57">
              <w:rPr>
                <w:rFonts w:ascii="Times New Roman" w:hAnsi="Times New Roman" w:cs="Times New Roman"/>
                <w:sz w:val="24"/>
                <w:szCs w:val="24"/>
              </w:rPr>
              <w:t xml:space="preserve">’s expedited nature and requirement </w:t>
            </w:r>
            <w:r w:rsidR="002C4CEA">
              <w:rPr>
                <w:rFonts w:ascii="Times New Roman" w:hAnsi="Times New Roman" w:cs="Times New Roman"/>
                <w:sz w:val="24"/>
                <w:szCs w:val="24"/>
              </w:rPr>
              <w:t xml:space="preserve">to </w:t>
            </w:r>
            <w:r w:rsidRPr="00A354B2">
              <w:rPr>
                <w:rFonts w:ascii="Times New Roman" w:hAnsi="Times New Roman" w:cs="Times New Roman"/>
                <w:sz w:val="24"/>
                <w:szCs w:val="24"/>
              </w:rPr>
              <w:t>“not require an upgrade to or construction of new electrical company facilities.”</w:t>
            </w:r>
          </w:p>
          <w:p w:rsidR="00674EE4" w:rsidRDefault="00674EE4" w:rsidP="00847F94">
            <w:pPr>
              <w:rPr>
                <w:rFonts w:ascii="Times New Roman" w:hAnsi="Times New Roman" w:cs="Times New Roman"/>
                <w:sz w:val="24"/>
                <w:szCs w:val="24"/>
              </w:rPr>
            </w:pPr>
          </w:p>
          <w:p w:rsidR="00674EE4" w:rsidRPr="00A354B2" w:rsidRDefault="00674EE4" w:rsidP="00847F94">
            <w:pPr>
              <w:rPr>
                <w:rFonts w:ascii="Times New Roman" w:hAnsi="Times New Roman" w:cs="Times New Roman"/>
                <w:sz w:val="24"/>
                <w:szCs w:val="24"/>
              </w:rPr>
            </w:pPr>
            <w:r>
              <w:rPr>
                <w:rFonts w:ascii="Times New Roman" w:hAnsi="Times New Roman" w:cs="Times New Roman"/>
                <w:sz w:val="24"/>
                <w:szCs w:val="24"/>
              </w:rPr>
              <w:t xml:space="preserve">“The words ‘anticipated’ and ‘irregularity’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not defined.</w:t>
            </w:r>
          </w:p>
        </w:tc>
        <w:tc>
          <w:tcPr>
            <w:tcW w:w="7725"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 xml:space="preserve">After reviewing the concerns raised regarding the proposed notification procedures, the Commission significantly revises the requirement in </w:t>
            </w:r>
            <w:r w:rsidR="004A1148">
              <w:rPr>
                <w:rFonts w:ascii="Times New Roman" w:hAnsi="Times New Roman" w:cs="Times New Roman"/>
                <w:sz w:val="24"/>
                <w:szCs w:val="24"/>
              </w:rPr>
              <w:t>the</w:t>
            </w:r>
            <w:r w:rsidR="002C4CEA">
              <w:rPr>
                <w:rFonts w:ascii="Times New Roman" w:hAnsi="Times New Roman" w:cs="Times New Roman"/>
                <w:sz w:val="24"/>
                <w:szCs w:val="24"/>
              </w:rPr>
              <w:t xml:space="preserve"> proposed rules</w:t>
            </w:r>
            <w:r>
              <w:rPr>
                <w:rFonts w:ascii="Times New Roman" w:hAnsi="Times New Roman" w:cs="Times New Roman"/>
                <w:sz w:val="24"/>
                <w:szCs w:val="24"/>
              </w:rPr>
              <w:t xml:space="preserve">.  The new </w:t>
            </w:r>
            <w:r w:rsidR="002C4CEA">
              <w:rPr>
                <w:rFonts w:ascii="Times New Roman" w:hAnsi="Times New Roman" w:cs="Times New Roman"/>
                <w:sz w:val="24"/>
                <w:szCs w:val="24"/>
              </w:rPr>
              <w:t xml:space="preserve">rule </w:t>
            </w:r>
            <w:r>
              <w:rPr>
                <w:rFonts w:ascii="Times New Roman" w:hAnsi="Times New Roman" w:cs="Times New Roman"/>
                <w:sz w:val="24"/>
                <w:szCs w:val="24"/>
              </w:rPr>
              <w:t>reads:</w:t>
            </w:r>
          </w:p>
          <w:p w:rsidR="00674EE4" w:rsidRDefault="00674EE4" w:rsidP="00674EE4">
            <w:pPr>
              <w:tabs>
                <w:tab w:val="left" w:pos="1110"/>
              </w:tabs>
              <w:rPr>
                <w:rFonts w:ascii="Times New Roman" w:hAnsi="Times New Roman" w:cs="Times New Roman"/>
                <w:sz w:val="24"/>
                <w:szCs w:val="24"/>
              </w:rPr>
            </w:pPr>
            <w:r>
              <w:rPr>
                <w:rFonts w:ascii="Times New Roman" w:hAnsi="Times New Roman" w:cs="Times New Roman"/>
                <w:sz w:val="24"/>
                <w:szCs w:val="24"/>
              </w:rPr>
              <w:tab/>
            </w:r>
          </w:p>
          <w:p w:rsidR="00674EE4" w:rsidRDefault="003C4B67" w:rsidP="00847F94">
            <w:pPr>
              <w:rPr>
                <w:rFonts w:ascii="Times New Roman" w:hAnsi="Times New Roman" w:cs="Times New Roman"/>
                <w:sz w:val="24"/>
                <w:szCs w:val="24"/>
              </w:rPr>
            </w:pPr>
            <w:r>
              <w:rPr>
                <w:rFonts w:ascii="Times New Roman" w:hAnsi="Times New Roman" w:cs="Times New Roman"/>
                <w:b/>
                <w:sz w:val="24"/>
                <w:szCs w:val="24"/>
              </w:rPr>
              <w:t>“</w:t>
            </w:r>
            <w:r w:rsidR="00674EE4" w:rsidRPr="00EA08B6">
              <w:rPr>
                <w:rFonts w:ascii="Times New Roman" w:hAnsi="Times New Roman" w:cs="Times New Roman"/>
                <w:b/>
                <w:sz w:val="24"/>
                <w:szCs w:val="24"/>
              </w:rPr>
              <w:t>030(1</w:t>
            </w:r>
            <w:proofErr w:type="gramStart"/>
            <w:r w:rsidR="00674EE4" w:rsidRPr="00EA08B6">
              <w:rPr>
                <w:rFonts w:ascii="Times New Roman" w:hAnsi="Times New Roman" w:cs="Times New Roman"/>
                <w:b/>
                <w:sz w:val="24"/>
                <w:szCs w:val="24"/>
              </w:rPr>
              <w:t>)(</w:t>
            </w:r>
            <w:proofErr w:type="gramEnd"/>
            <w:r w:rsidR="00674EE4" w:rsidRPr="00EA08B6">
              <w:rPr>
                <w:rFonts w:ascii="Times New Roman" w:hAnsi="Times New Roman" w:cs="Times New Roman"/>
                <w:b/>
                <w:sz w:val="24"/>
                <w:szCs w:val="24"/>
              </w:rPr>
              <w:t>b) Notification of potential voltage irregularities</w:t>
            </w:r>
            <w:r w:rsidR="00674EE4" w:rsidRPr="00290A51">
              <w:rPr>
                <w:rFonts w:ascii="Times New Roman" w:hAnsi="Times New Roman" w:cs="Times New Roman"/>
                <w:sz w:val="24"/>
                <w:szCs w:val="24"/>
              </w:rPr>
              <w:t>. Application materials shall include a notice explaining that voltage may be routinely at the upper limits of the range described in WAC 480-100-373, and this may limit the ability of a generating facility to export power to the electric system.</w:t>
            </w:r>
            <w:r>
              <w:rPr>
                <w:rFonts w:ascii="Times New Roman" w:hAnsi="Times New Roman" w:cs="Times New Roman"/>
                <w:sz w:val="24"/>
                <w:szCs w:val="24"/>
              </w:rPr>
              <w:t>”</w:t>
            </w:r>
            <w:r w:rsidR="00674EE4" w:rsidRPr="00290A51">
              <w:rPr>
                <w:rFonts w:ascii="Times New Roman" w:hAnsi="Times New Roman" w:cs="Times New Roman"/>
                <w:sz w:val="24"/>
                <w:szCs w:val="24"/>
              </w:rPr>
              <w:t xml:space="preserve">  </w:t>
            </w:r>
          </w:p>
          <w:p w:rsidR="00674EE4" w:rsidRDefault="00674EE4" w:rsidP="00847F94">
            <w:pPr>
              <w:rPr>
                <w:rFonts w:ascii="Times New Roman" w:hAnsi="Times New Roman" w:cs="Times New Roman"/>
                <w:sz w:val="24"/>
                <w:szCs w:val="24"/>
              </w:rPr>
            </w:pPr>
          </w:p>
          <w:p w:rsidR="00674EE4" w:rsidRPr="00A354B2" w:rsidRDefault="00674EE4" w:rsidP="00847F94">
            <w:pPr>
              <w:rPr>
                <w:rFonts w:ascii="Times New Roman" w:hAnsi="Times New Roman" w:cs="Times New Roman"/>
                <w:sz w:val="24"/>
                <w:szCs w:val="24"/>
              </w:rPr>
            </w:pPr>
            <w:r>
              <w:rPr>
                <w:rFonts w:ascii="Times New Roman" w:hAnsi="Times New Roman" w:cs="Times New Roman"/>
                <w:sz w:val="24"/>
                <w:szCs w:val="24"/>
              </w:rPr>
              <w:t xml:space="preserve">This revision eliminates all of the concerns raised in response </w:t>
            </w:r>
            <w:r w:rsidR="003C4B67">
              <w:rPr>
                <w:rFonts w:ascii="Times New Roman" w:hAnsi="Times New Roman" w:cs="Times New Roman"/>
                <w:sz w:val="24"/>
                <w:szCs w:val="24"/>
              </w:rPr>
              <w:t xml:space="preserve">to </w:t>
            </w:r>
            <w:r>
              <w:rPr>
                <w:rFonts w:ascii="Times New Roman" w:hAnsi="Times New Roman" w:cs="Times New Roman"/>
                <w:sz w:val="24"/>
                <w:szCs w:val="24"/>
              </w:rPr>
              <w:t>the original proposal.  This revision does not require utilities to perform any studies, but does require the electrical company to include a standard notification in its application materials.  This requirement puts the interconnection customer on notice that voltage irregularities may exist.</w:t>
            </w:r>
          </w:p>
        </w:tc>
      </w:tr>
      <w:tr w:rsidR="00674EE4" w:rsidTr="00847F94">
        <w:trPr>
          <w:cantSplit/>
        </w:trPr>
        <w:tc>
          <w:tcPr>
            <w:tcW w:w="1368" w:type="dxa"/>
            <w:vMerge/>
          </w:tcPr>
          <w:p w:rsidR="00674EE4" w:rsidRDefault="00674EE4" w:rsidP="00847F94">
            <w:pPr>
              <w:rPr>
                <w:rFonts w:ascii="Times New Roman" w:hAnsi="Times New Roman" w:cs="Times New Roman"/>
                <w:sz w:val="24"/>
                <w:szCs w:val="24"/>
              </w:rPr>
            </w:pPr>
          </w:p>
        </w:tc>
        <w:tc>
          <w:tcPr>
            <w:tcW w:w="1530" w:type="dxa"/>
            <w:vMerge/>
          </w:tcPr>
          <w:p w:rsidR="00674EE4" w:rsidRDefault="00674EE4" w:rsidP="00847F94">
            <w:pPr>
              <w:rPr>
                <w:rFonts w:ascii="Times New Roman" w:hAnsi="Times New Roman" w:cs="Times New Roman"/>
                <w:sz w:val="24"/>
                <w:szCs w:val="24"/>
              </w:rPr>
            </w:pPr>
          </w:p>
        </w:tc>
        <w:tc>
          <w:tcPr>
            <w:tcW w:w="3795"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Avista suggests that c</w:t>
            </w:r>
            <w:r w:rsidRPr="00942CAE">
              <w:rPr>
                <w:rFonts w:ascii="Times New Roman" w:hAnsi="Times New Roman" w:cs="Times New Roman"/>
                <w:sz w:val="24"/>
                <w:szCs w:val="24"/>
              </w:rPr>
              <w:t>om</w:t>
            </w:r>
            <w:r>
              <w:rPr>
                <w:rFonts w:ascii="Times New Roman" w:hAnsi="Times New Roman" w:cs="Times New Roman"/>
                <w:sz w:val="24"/>
                <w:szCs w:val="24"/>
              </w:rPr>
              <w:t>panies</w:t>
            </w:r>
            <w:r w:rsidRPr="00942CAE">
              <w:rPr>
                <w:rFonts w:ascii="Times New Roman" w:hAnsi="Times New Roman" w:cs="Times New Roman"/>
                <w:sz w:val="24"/>
                <w:szCs w:val="24"/>
              </w:rPr>
              <w:t xml:space="preserve"> should “not be required to test or create engineering estimates for typical distribution system circuit voltage for a proposed interconnection.”  </w:t>
            </w:r>
            <w:r>
              <w:rPr>
                <w:rFonts w:ascii="Times New Roman" w:hAnsi="Times New Roman" w:cs="Times New Roman"/>
                <w:sz w:val="24"/>
                <w:szCs w:val="24"/>
              </w:rPr>
              <w:t>PSE and PacifiCorp raise concerns about the requirement</w:t>
            </w:r>
            <w:r w:rsidRPr="00A354B2">
              <w:rPr>
                <w:rFonts w:ascii="Times New Roman" w:hAnsi="Times New Roman" w:cs="Times New Roman"/>
                <w:sz w:val="24"/>
                <w:szCs w:val="24"/>
              </w:rPr>
              <w:t xml:space="preserve"> add</w:t>
            </w:r>
            <w:r>
              <w:rPr>
                <w:rFonts w:ascii="Times New Roman" w:hAnsi="Times New Roman" w:cs="Times New Roman"/>
                <w:sz w:val="24"/>
                <w:szCs w:val="24"/>
              </w:rPr>
              <w:t>ing significant</w:t>
            </w:r>
            <w:r w:rsidRPr="00A354B2">
              <w:rPr>
                <w:rFonts w:ascii="Times New Roman" w:hAnsi="Times New Roman" w:cs="Times New Roman"/>
                <w:sz w:val="24"/>
                <w:szCs w:val="24"/>
              </w:rPr>
              <w:t xml:space="preserve"> cost</w:t>
            </w:r>
            <w:r>
              <w:rPr>
                <w:rFonts w:ascii="Times New Roman" w:hAnsi="Times New Roman" w:cs="Times New Roman"/>
                <w:sz w:val="24"/>
                <w:szCs w:val="24"/>
              </w:rPr>
              <w:t>s</w:t>
            </w:r>
            <w:r w:rsidRPr="00A354B2">
              <w:rPr>
                <w:rFonts w:ascii="Times New Roman" w:hAnsi="Times New Roman" w:cs="Times New Roman"/>
                <w:sz w:val="24"/>
                <w:szCs w:val="24"/>
              </w:rPr>
              <w:t>.</w:t>
            </w:r>
          </w:p>
        </w:tc>
        <w:tc>
          <w:tcPr>
            <w:tcW w:w="7725" w:type="dxa"/>
          </w:tcPr>
          <w:p w:rsidR="00674EE4" w:rsidRDefault="00674EE4" w:rsidP="004A1148">
            <w:pPr>
              <w:rPr>
                <w:rFonts w:ascii="Times New Roman" w:hAnsi="Times New Roman" w:cs="Times New Roman"/>
                <w:sz w:val="24"/>
                <w:szCs w:val="24"/>
              </w:rPr>
            </w:pPr>
            <w:r w:rsidRPr="004A1148">
              <w:rPr>
                <w:rFonts w:ascii="Times New Roman" w:hAnsi="Times New Roman" w:cs="Times New Roman"/>
                <w:sz w:val="24"/>
                <w:szCs w:val="24"/>
              </w:rPr>
              <w:t xml:space="preserve">The Commission </w:t>
            </w:r>
            <w:r w:rsidR="004A1148">
              <w:rPr>
                <w:rFonts w:ascii="Times New Roman" w:hAnsi="Times New Roman" w:cs="Times New Roman"/>
                <w:sz w:val="24"/>
                <w:szCs w:val="24"/>
              </w:rPr>
              <w:t>disagrees</w:t>
            </w:r>
            <w:r w:rsidRPr="004A1148">
              <w:rPr>
                <w:rFonts w:ascii="Times New Roman" w:hAnsi="Times New Roman" w:cs="Times New Roman"/>
                <w:sz w:val="24"/>
                <w:szCs w:val="24"/>
              </w:rPr>
              <w:t xml:space="preserve"> that costly additional studies are required to estimate an interconnection customer’s anticipated voltage.  A utility should be </w:t>
            </w:r>
            <w:r w:rsidR="004A1148">
              <w:rPr>
                <w:rFonts w:ascii="Times New Roman" w:hAnsi="Times New Roman" w:cs="Times New Roman"/>
                <w:sz w:val="24"/>
                <w:szCs w:val="24"/>
              </w:rPr>
              <w:t xml:space="preserve">aware of the operating characteristics </w:t>
            </w:r>
            <w:r w:rsidRPr="004A1148">
              <w:rPr>
                <w:rFonts w:ascii="Times New Roman" w:hAnsi="Times New Roman" w:cs="Times New Roman"/>
                <w:sz w:val="24"/>
                <w:szCs w:val="24"/>
              </w:rPr>
              <w:t xml:space="preserve">of </w:t>
            </w:r>
            <w:r w:rsidR="004A1148">
              <w:rPr>
                <w:rFonts w:ascii="Times New Roman" w:hAnsi="Times New Roman" w:cs="Times New Roman"/>
                <w:sz w:val="24"/>
                <w:szCs w:val="24"/>
              </w:rPr>
              <w:t xml:space="preserve">its </w:t>
            </w:r>
            <w:r w:rsidRPr="004A1148">
              <w:rPr>
                <w:rFonts w:ascii="Times New Roman" w:hAnsi="Times New Roman" w:cs="Times New Roman"/>
                <w:sz w:val="24"/>
                <w:szCs w:val="24"/>
              </w:rPr>
              <w:t xml:space="preserve">distribution circuits </w:t>
            </w:r>
            <w:r w:rsidR="004A1148">
              <w:rPr>
                <w:rFonts w:ascii="Times New Roman" w:hAnsi="Times New Roman" w:cs="Times New Roman"/>
                <w:sz w:val="24"/>
                <w:szCs w:val="24"/>
              </w:rPr>
              <w:t>and</w:t>
            </w:r>
            <w:r w:rsidRPr="004A1148">
              <w:rPr>
                <w:rFonts w:ascii="Times New Roman" w:hAnsi="Times New Roman" w:cs="Times New Roman"/>
                <w:sz w:val="24"/>
                <w:szCs w:val="24"/>
              </w:rPr>
              <w:t xml:space="preserve"> know which parts of which circuits may be routinely experiencing voltages at or near the limits of the allowed range without burdensome studies.</w:t>
            </w:r>
          </w:p>
        </w:tc>
      </w:tr>
      <w:tr w:rsidR="00674EE4" w:rsidTr="00847F94">
        <w:trPr>
          <w:cantSplit/>
        </w:trPr>
        <w:tc>
          <w:tcPr>
            <w:tcW w:w="14418" w:type="dxa"/>
            <w:gridSpan w:val="4"/>
          </w:tcPr>
          <w:p w:rsidR="00674EE4" w:rsidRPr="00B16D84" w:rsidRDefault="00674EE4" w:rsidP="00B16D84">
            <w:pPr>
              <w:jc w:val="center"/>
              <w:rPr>
                <w:rFonts w:ascii="Times New Roman" w:hAnsi="Times New Roman" w:cs="Times New Roman"/>
                <w:b/>
                <w:sz w:val="24"/>
                <w:szCs w:val="24"/>
              </w:rPr>
            </w:pPr>
            <w:r w:rsidRPr="00B16D84">
              <w:rPr>
                <w:rFonts w:ascii="Times New Roman" w:hAnsi="Times New Roman" w:cs="Times New Roman"/>
                <w:b/>
                <w:sz w:val="24"/>
                <w:szCs w:val="24"/>
              </w:rPr>
              <w:t>Other Issues</w:t>
            </w:r>
          </w:p>
        </w:tc>
      </w:tr>
      <w:tr w:rsidR="00674EE4" w:rsidTr="00847F94">
        <w:trPr>
          <w:cantSplit/>
        </w:trPr>
        <w:tc>
          <w:tcPr>
            <w:tcW w:w="1368"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General</w:t>
            </w:r>
          </w:p>
        </w:tc>
        <w:tc>
          <w:tcPr>
            <w:tcW w:w="1530"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Puget Sound Energy</w:t>
            </w:r>
          </w:p>
        </w:tc>
        <w:tc>
          <w:tcPr>
            <w:tcW w:w="3795" w:type="dxa"/>
          </w:tcPr>
          <w:p w:rsidR="00674EE4" w:rsidRPr="00377242" w:rsidRDefault="00674EE4" w:rsidP="00A55D57">
            <w:pPr>
              <w:rPr>
                <w:rFonts w:ascii="Times New Roman" w:hAnsi="Times New Roman" w:cs="Times New Roman"/>
                <w:b/>
                <w:sz w:val="24"/>
                <w:szCs w:val="24"/>
              </w:rPr>
            </w:pPr>
            <w:r w:rsidRPr="00041816">
              <w:rPr>
                <w:rFonts w:ascii="Times New Roman" w:hAnsi="Times New Roman" w:cs="Times New Roman"/>
                <w:sz w:val="24"/>
                <w:szCs w:val="24"/>
              </w:rPr>
              <w:t xml:space="preserve">PSE hopes the Commission </w:t>
            </w:r>
            <w:r w:rsidR="00A55D57">
              <w:rPr>
                <w:rFonts w:ascii="Times New Roman" w:hAnsi="Times New Roman" w:cs="Times New Roman"/>
                <w:sz w:val="24"/>
                <w:szCs w:val="24"/>
              </w:rPr>
              <w:t>circulates another set</w:t>
            </w:r>
            <w:r w:rsidRPr="00041816">
              <w:rPr>
                <w:rFonts w:ascii="Times New Roman" w:hAnsi="Times New Roman" w:cs="Times New Roman"/>
                <w:sz w:val="24"/>
                <w:szCs w:val="24"/>
              </w:rPr>
              <w:t xml:space="preserve"> of draft rules after this comment period due to many new changes found in this version of draft rule.</w:t>
            </w:r>
          </w:p>
        </w:tc>
        <w:tc>
          <w:tcPr>
            <w:tcW w:w="7725" w:type="dxa"/>
          </w:tcPr>
          <w:p w:rsidR="00674EE4" w:rsidRDefault="00674EE4" w:rsidP="00A55D57">
            <w:pPr>
              <w:rPr>
                <w:rFonts w:ascii="Times New Roman" w:hAnsi="Times New Roman" w:cs="Times New Roman"/>
                <w:sz w:val="24"/>
                <w:szCs w:val="24"/>
              </w:rPr>
            </w:pPr>
            <w:r>
              <w:rPr>
                <w:rFonts w:ascii="Times New Roman" w:hAnsi="Times New Roman" w:cs="Times New Roman"/>
                <w:sz w:val="24"/>
                <w:szCs w:val="24"/>
              </w:rPr>
              <w:t xml:space="preserve">The Commission circulated several drafts </w:t>
            </w:r>
            <w:r w:rsidR="00A55D57">
              <w:rPr>
                <w:rFonts w:ascii="Times New Roman" w:hAnsi="Times New Roman" w:cs="Times New Roman"/>
                <w:sz w:val="24"/>
                <w:szCs w:val="24"/>
              </w:rPr>
              <w:t>o</w:t>
            </w:r>
            <w:r>
              <w:rPr>
                <w:rFonts w:ascii="Times New Roman" w:hAnsi="Times New Roman" w:cs="Times New Roman"/>
                <w:sz w:val="24"/>
                <w:szCs w:val="24"/>
              </w:rPr>
              <w:t>f the rule to stakeholder</w:t>
            </w:r>
            <w:r w:rsidR="00A55D57">
              <w:rPr>
                <w:rFonts w:ascii="Times New Roman" w:hAnsi="Times New Roman" w:cs="Times New Roman"/>
                <w:sz w:val="24"/>
                <w:szCs w:val="24"/>
              </w:rPr>
              <w:t>s</w:t>
            </w:r>
            <w:r>
              <w:rPr>
                <w:rFonts w:ascii="Times New Roman" w:hAnsi="Times New Roman" w:cs="Times New Roman"/>
                <w:sz w:val="24"/>
                <w:szCs w:val="24"/>
              </w:rPr>
              <w:t xml:space="preserve"> for review and held a number of workshops where stakeholders could bring up their concerns and suggest revisions.  The Commission </w:t>
            </w:r>
            <w:r w:rsidR="003C4B67">
              <w:rPr>
                <w:rFonts w:ascii="Times New Roman" w:hAnsi="Times New Roman" w:cs="Times New Roman"/>
                <w:sz w:val="24"/>
                <w:szCs w:val="24"/>
              </w:rPr>
              <w:t xml:space="preserve">is now circulating proposed rules, and </w:t>
            </w:r>
            <w:r w:rsidR="00A55D57">
              <w:rPr>
                <w:rFonts w:ascii="Times New Roman" w:hAnsi="Times New Roman" w:cs="Times New Roman"/>
                <w:sz w:val="24"/>
                <w:szCs w:val="24"/>
              </w:rPr>
              <w:t xml:space="preserve">will </w:t>
            </w:r>
            <w:r>
              <w:rPr>
                <w:rFonts w:ascii="Times New Roman" w:hAnsi="Times New Roman" w:cs="Times New Roman"/>
                <w:sz w:val="24"/>
                <w:szCs w:val="24"/>
              </w:rPr>
              <w:t xml:space="preserve">accept more written and oral feedback </w:t>
            </w:r>
            <w:r w:rsidR="003C4B67">
              <w:rPr>
                <w:rFonts w:ascii="Times New Roman" w:hAnsi="Times New Roman" w:cs="Times New Roman"/>
                <w:sz w:val="24"/>
                <w:szCs w:val="24"/>
              </w:rPr>
              <w:t xml:space="preserve">on the proposed rules </w:t>
            </w:r>
            <w:r>
              <w:rPr>
                <w:rFonts w:ascii="Times New Roman" w:hAnsi="Times New Roman" w:cs="Times New Roman"/>
                <w:sz w:val="24"/>
                <w:szCs w:val="24"/>
              </w:rPr>
              <w:t>as described in the notice issued on April 16, 2013.</w:t>
            </w:r>
          </w:p>
        </w:tc>
      </w:tr>
      <w:tr w:rsidR="00674EE4" w:rsidTr="00847F94">
        <w:trPr>
          <w:cantSplit/>
        </w:trPr>
        <w:tc>
          <w:tcPr>
            <w:tcW w:w="1368"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010</w:t>
            </w:r>
          </w:p>
          <w:p w:rsidR="00674EE4" w:rsidRDefault="00674EE4" w:rsidP="00847F94">
            <w:pPr>
              <w:rPr>
                <w:rFonts w:ascii="Times New Roman" w:hAnsi="Times New Roman" w:cs="Times New Roman"/>
                <w:sz w:val="24"/>
                <w:szCs w:val="24"/>
              </w:rPr>
            </w:pPr>
          </w:p>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Islanding</w:t>
            </w:r>
          </w:p>
        </w:tc>
        <w:tc>
          <w:tcPr>
            <w:tcW w:w="1530"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Avista, Puget Sound Energy</w:t>
            </w:r>
          </w:p>
        </w:tc>
        <w:tc>
          <w:tcPr>
            <w:tcW w:w="3795" w:type="dxa"/>
          </w:tcPr>
          <w:p w:rsidR="00674EE4" w:rsidRDefault="00674EE4" w:rsidP="00A55D57">
            <w:pPr>
              <w:rPr>
                <w:rFonts w:ascii="Times New Roman" w:hAnsi="Times New Roman" w:cs="Times New Roman"/>
                <w:sz w:val="24"/>
                <w:szCs w:val="24"/>
              </w:rPr>
            </w:pPr>
            <w:r>
              <w:rPr>
                <w:rFonts w:ascii="Times New Roman" w:hAnsi="Times New Roman" w:cs="Times New Roman"/>
                <w:sz w:val="24"/>
                <w:szCs w:val="24"/>
              </w:rPr>
              <w:t>T</w:t>
            </w:r>
            <w:r w:rsidRPr="00377242">
              <w:rPr>
                <w:rFonts w:ascii="Times New Roman" w:hAnsi="Times New Roman" w:cs="Times New Roman"/>
                <w:sz w:val="24"/>
                <w:szCs w:val="24"/>
              </w:rPr>
              <w:t>he de</w:t>
            </w:r>
            <w:r w:rsidR="00A55D57">
              <w:rPr>
                <w:rFonts w:ascii="Times New Roman" w:hAnsi="Times New Roman" w:cs="Times New Roman"/>
                <w:sz w:val="24"/>
                <w:szCs w:val="24"/>
              </w:rPr>
              <w:t>finition of “i</w:t>
            </w:r>
            <w:r>
              <w:rPr>
                <w:rFonts w:ascii="Times New Roman" w:hAnsi="Times New Roman" w:cs="Times New Roman"/>
                <w:sz w:val="24"/>
                <w:szCs w:val="24"/>
              </w:rPr>
              <w:t>slanding” creates unintended consequences</w:t>
            </w:r>
            <w:r w:rsidRPr="00377242">
              <w:rPr>
                <w:rFonts w:ascii="Times New Roman" w:hAnsi="Times New Roman" w:cs="Times New Roman"/>
                <w:sz w:val="24"/>
                <w:szCs w:val="24"/>
              </w:rPr>
              <w:t>.  PSE</w:t>
            </w:r>
            <w:r>
              <w:rPr>
                <w:rFonts w:ascii="Times New Roman" w:hAnsi="Times New Roman" w:cs="Times New Roman"/>
                <w:sz w:val="24"/>
                <w:szCs w:val="24"/>
              </w:rPr>
              <w:t xml:space="preserve"> and Avista sugges</w:t>
            </w:r>
            <w:r w:rsidR="00A55D57">
              <w:rPr>
                <w:rFonts w:ascii="Times New Roman" w:hAnsi="Times New Roman" w:cs="Times New Roman"/>
                <w:sz w:val="24"/>
                <w:szCs w:val="24"/>
              </w:rPr>
              <w:t>ted alternative language</w:t>
            </w:r>
            <w:r>
              <w:rPr>
                <w:rFonts w:ascii="Times New Roman" w:hAnsi="Times New Roman" w:cs="Times New Roman"/>
                <w:sz w:val="24"/>
                <w:szCs w:val="24"/>
              </w:rPr>
              <w:t>.</w:t>
            </w:r>
            <w:r w:rsidRPr="00377242">
              <w:rPr>
                <w:rFonts w:ascii="Times New Roman" w:hAnsi="Times New Roman" w:cs="Times New Roman"/>
                <w:sz w:val="24"/>
                <w:szCs w:val="24"/>
              </w:rPr>
              <w:tab/>
            </w:r>
          </w:p>
        </w:tc>
        <w:tc>
          <w:tcPr>
            <w:tcW w:w="7725" w:type="dxa"/>
          </w:tcPr>
          <w:p w:rsidR="00674EE4" w:rsidRDefault="00674EE4" w:rsidP="003C4B67">
            <w:pPr>
              <w:rPr>
                <w:rFonts w:ascii="Times New Roman" w:hAnsi="Times New Roman" w:cs="Times New Roman"/>
                <w:sz w:val="24"/>
                <w:szCs w:val="24"/>
              </w:rPr>
            </w:pPr>
            <w:r>
              <w:rPr>
                <w:rFonts w:ascii="Times New Roman" w:hAnsi="Times New Roman" w:cs="Times New Roman"/>
                <w:sz w:val="24"/>
                <w:szCs w:val="24"/>
              </w:rPr>
              <w:t xml:space="preserve">Staff reviewed all the comments and selected </w:t>
            </w:r>
            <w:proofErr w:type="spellStart"/>
            <w:r>
              <w:rPr>
                <w:rFonts w:ascii="Times New Roman" w:hAnsi="Times New Roman" w:cs="Times New Roman"/>
                <w:sz w:val="24"/>
                <w:szCs w:val="24"/>
              </w:rPr>
              <w:t>Avista’s</w:t>
            </w:r>
            <w:proofErr w:type="spellEnd"/>
            <w:r>
              <w:rPr>
                <w:rFonts w:ascii="Times New Roman" w:hAnsi="Times New Roman" w:cs="Times New Roman"/>
                <w:sz w:val="24"/>
                <w:szCs w:val="24"/>
              </w:rPr>
              <w:t xml:space="preserve"> proposed definition for inclusion in </w:t>
            </w:r>
            <w:r w:rsidR="003C4B67">
              <w:rPr>
                <w:rFonts w:ascii="Times New Roman" w:hAnsi="Times New Roman" w:cs="Times New Roman"/>
                <w:sz w:val="24"/>
                <w:szCs w:val="24"/>
              </w:rPr>
              <w:t>the proposed</w:t>
            </w:r>
            <w:r>
              <w:rPr>
                <w:rFonts w:ascii="Times New Roman" w:hAnsi="Times New Roman" w:cs="Times New Roman"/>
                <w:sz w:val="24"/>
                <w:szCs w:val="24"/>
              </w:rPr>
              <w:t xml:space="preserve"> rule</w:t>
            </w:r>
            <w:r w:rsidR="003C4B67">
              <w:rPr>
                <w:rFonts w:ascii="Times New Roman" w:hAnsi="Times New Roman" w:cs="Times New Roman"/>
                <w:sz w:val="24"/>
                <w:szCs w:val="24"/>
              </w:rPr>
              <w:t>s</w:t>
            </w:r>
            <w:r>
              <w:rPr>
                <w:rFonts w:ascii="Times New Roman" w:hAnsi="Times New Roman" w:cs="Times New Roman"/>
                <w:sz w:val="24"/>
                <w:szCs w:val="24"/>
              </w:rPr>
              <w:t>.</w:t>
            </w:r>
          </w:p>
        </w:tc>
      </w:tr>
      <w:tr w:rsidR="00674EE4" w:rsidTr="00847F94">
        <w:trPr>
          <w:cantSplit/>
        </w:trPr>
        <w:tc>
          <w:tcPr>
            <w:tcW w:w="1368"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lastRenderedPageBreak/>
              <w:t>010</w:t>
            </w:r>
          </w:p>
          <w:p w:rsidR="00674EE4" w:rsidRDefault="00674EE4" w:rsidP="00847F94">
            <w:pPr>
              <w:rPr>
                <w:rFonts w:ascii="Times New Roman" w:hAnsi="Times New Roman" w:cs="Times New Roman"/>
                <w:sz w:val="24"/>
                <w:szCs w:val="24"/>
              </w:rPr>
            </w:pPr>
          </w:p>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Nameplate Capacity</w:t>
            </w:r>
          </w:p>
        </w:tc>
        <w:tc>
          <w:tcPr>
            <w:tcW w:w="1530"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Avista, Puget Sound Energy</w:t>
            </w:r>
          </w:p>
        </w:tc>
        <w:tc>
          <w:tcPr>
            <w:tcW w:w="3795"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PSE suggests that t</w:t>
            </w:r>
            <w:r w:rsidRPr="00377242">
              <w:rPr>
                <w:rFonts w:ascii="Times New Roman" w:hAnsi="Times New Roman" w:cs="Times New Roman"/>
                <w:sz w:val="24"/>
                <w:szCs w:val="24"/>
              </w:rPr>
              <w:t xml:space="preserve">he definition of “Nameplate capacity” </w:t>
            </w:r>
            <w:r>
              <w:rPr>
                <w:rFonts w:ascii="Times New Roman" w:hAnsi="Times New Roman" w:cs="Times New Roman"/>
                <w:sz w:val="24"/>
                <w:szCs w:val="24"/>
              </w:rPr>
              <w:t xml:space="preserve">should not be the </w:t>
            </w:r>
            <w:r w:rsidRPr="00377242">
              <w:rPr>
                <w:rFonts w:ascii="Times New Roman" w:hAnsi="Times New Roman" w:cs="Times New Roman"/>
                <w:sz w:val="24"/>
                <w:szCs w:val="24"/>
              </w:rPr>
              <w:t>manufacturer</w:t>
            </w:r>
            <w:r>
              <w:rPr>
                <w:rFonts w:ascii="Times New Roman" w:hAnsi="Times New Roman" w:cs="Times New Roman"/>
                <w:sz w:val="24"/>
                <w:szCs w:val="24"/>
              </w:rPr>
              <w:t>’</w:t>
            </w:r>
            <w:r w:rsidRPr="00377242">
              <w:rPr>
                <w:rFonts w:ascii="Times New Roman" w:hAnsi="Times New Roman" w:cs="Times New Roman"/>
                <w:sz w:val="24"/>
                <w:szCs w:val="24"/>
              </w:rPr>
              <w:t xml:space="preserve">s AC output rating of the inverter.  </w:t>
            </w:r>
            <w:r>
              <w:rPr>
                <w:rFonts w:ascii="Times New Roman" w:hAnsi="Times New Roman" w:cs="Times New Roman"/>
                <w:sz w:val="24"/>
                <w:szCs w:val="24"/>
              </w:rPr>
              <w:t>U</w:t>
            </w:r>
            <w:r w:rsidRPr="00377242">
              <w:rPr>
                <w:rFonts w:ascii="Times New Roman" w:hAnsi="Times New Roman" w:cs="Times New Roman"/>
                <w:sz w:val="24"/>
                <w:szCs w:val="24"/>
              </w:rPr>
              <w:t xml:space="preserve">se of </w:t>
            </w:r>
            <w:r>
              <w:rPr>
                <w:rFonts w:ascii="Times New Roman" w:hAnsi="Times New Roman" w:cs="Times New Roman"/>
                <w:sz w:val="24"/>
                <w:szCs w:val="24"/>
              </w:rPr>
              <w:t xml:space="preserve">the </w:t>
            </w:r>
            <w:r w:rsidRPr="00377242">
              <w:rPr>
                <w:rFonts w:ascii="Times New Roman" w:hAnsi="Times New Roman" w:cs="Times New Roman"/>
                <w:sz w:val="24"/>
                <w:szCs w:val="24"/>
              </w:rPr>
              <w:t>AC output rating is confusing and not necessary.  PSE suggests using the manufacturer’s DC output capacity of the generating facility unless the utility agrees to base the system capacity on the AC output capacity.</w:t>
            </w:r>
          </w:p>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Avista suggested revisions to clarify this definition.</w:t>
            </w:r>
          </w:p>
        </w:tc>
        <w:tc>
          <w:tcPr>
            <w:tcW w:w="7725" w:type="dxa"/>
          </w:tcPr>
          <w:p w:rsidR="00674EE4" w:rsidRDefault="00674EE4" w:rsidP="003C4B67">
            <w:pPr>
              <w:rPr>
                <w:rFonts w:ascii="Times New Roman" w:hAnsi="Times New Roman" w:cs="Times New Roman"/>
                <w:sz w:val="24"/>
                <w:szCs w:val="24"/>
              </w:rPr>
            </w:pPr>
            <w:r>
              <w:rPr>
                <w:rFonts w:ascii="Times New Roman" w:hAnsi="Times New Roman" w:cs="Times New Roman"/>
                <w:sz w:val="24"/>
                <w:szCs w:val="24"/>
              </w:rPr>
              <w:t xml:space="preserve">Stakeholders differed on how to define nameplate capacity: as the capacity of the </w:t>
            </w:r>
            <w:r w:rsidRPr="0031354D">
              <w:rPr>
                <w:rFonts w:ascii="Times New Roman" w:hAnsi="Times New Roman" w:cs="Times New Roman"/>
                <w:sz w:val="24"/>
                <w:szCs w:val="24"/>
              </w:rPr>
              <w:t xml:space="preserve">inverter </w:t>
            </w:r>
            <w:r>
              <w:rPr>
                <w:rFonts w:ascii="Times New Roman" w:hAnsi="Times New Roman" w:cs="Times New Roman"/>
                <w:sz w:val="24"/>
                <w:szCs w:val="24"/>
              </w:rPr>
              <w:t xml:space="preserve">or the generator.  </w:t>
            </w:r>
            <w:r w:rsidR="003C4B67">
              <w:rPr>
                <w:rFonts w:ascii="Times New Roman" w:hAnsi="Times New Roman" w:cs="Times New Roman"/>
                <w:sz w:val="24"/>
                <w:szCs w:val="24"/>
              </w:rPr>
              <w:t xml:space="preserve">The </w:t>
            </w:r>
            <w:r w:rsidRPr="0031354D">
              <w:rPr>
                <w:rFonts w:ascii="Times New Roman" w:hAnsi="Times New Roman" w:cs="Times New Roman"/>
                <w:sz w:val="24"/>
                <w:szCs w:val="24"/>
              </w:rPr>
              <w:t xml:space="preserve">definition </w:t>
            </w:r>
            <w:r w:rsidR="003C4B67">
              <w:rPr>
                <w:rFonts w:ascii="Times New Roman" w:hAnsi="Times New Roman" w:cs="Times New Roman"/>
                <w:sz w:val="24"/>
                <w:szCs w:val="24"/>
              </w:rPr>
              <w:t xml:space="preserve">in the proposed rule will </w:t>
            </w:r>
            <w:r>
              <w:rPr>
                <w:rFonts w:ascii="Times New Roman" w:hAnsi="Times New Roman" w:cs="Times New Roman"/>
                <w:sz w:val="24"/>
                <w:szCs w:val="24"/>
              </w:rPr>
              <w:t>largely remain the same, and requires the use of the unit of kilowatts</w:t>
            </w:r>
            <w:r w:rsidRPr="0031354D">
              <w:rPr>
                <w:rFonts w:ascii="Times New Roman" w:hAnsi="Times New Roman" w:cs="Times New Roman"/>
                <w:sz w:val="24"/>
                <w:szCs w:val="24"/>
              </w:rPr>
              <w:t>.</w:t>
            </w:r>
          </w:p>
        </w:tc>
      </w:tr>
      <w:tr w:rsidR="00674EE4" w:rsidTr="00847F94">
        <w:trPr>
          <w:cantSplit/>
        </w:trPr>
        <w:tc>
          <w:tcPr>
            <w:tcW w:w="1368"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AAA</w:t>
            </w:r>
          </w:p>
          <w:p w:rsidR="00674EE4" w:rsidRDefault="00674EE4" w:rsidP="00847F94">
            <w:pPr>
              <w:rPr>
                <w:rFonts w:ascii="Times New Roman" w:hAnsi="Times New Roman" w:cs="Times New Roman"/>
                <w:sz w:val="24"/>
                <w:szCs w:val="24"/>
              </w:rPr>
            </w:pPr>
          </w:p>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Reapplication fee waiver</w:t>
            </w:r>
          </w:p>
        </w:tc>
        <w:tc>
          <w:tcPr>
            <w:tcW w:w="1530"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PacifiCorp</w:t>
            </w:r>
          </w:p>
        </w:tc>
        <w:tc>
          <w:tcPr>
            <w:tcW w:w="3795" w:type="dxa"/>
          </w:tcPr>
          <w:p w:rsidR="00674EE4" w:rsidRPr="00D212BB" w:rsidRDefault="00674EE4" w:rsidP="00847F94">
            <w:pPr>
              <w:rPr>
                <w:rFonts w:ascii="Times New Roman" w:hAnsi="Times New Roman" w:cs="Times New Roman"/>
                <w:b/>
                <w:sz w:val="24"/>
                <w:szCs w:val="24"/>
              </w:rPr>
            </w:pPr>
            <w:r>
              <w:rPr>
                <w:rFonts w:ascii="Times New Roman" w:hAnsi="Times New Roman" w:cs="Times New Roman"/>
                <w:sz w:val="24"/>
                <w:szCs w:val="24"/>
              </w:rPr>
              <w:t>R</w:t>
            </w:r>
            <w:r w:rsidRPr="00041816">
              <w:rPr>
                <w:rFonts w:ascii="Times New Roman" w:hAnsi="Times New Roman" w:cs="Times New Roman"/>
                <w:sz w:val="24"/>
                <w:szCs w:val="24"/>
              </w:rPr>
              <w:t xml:space="preserve">ecommends </w:t>
            </w:r>
            <w:r>
              <w:rPr>
                <w:rFonts w:ascii="Times New Roman" w:hAnsi="Times New Roman" w:cs="Times New Roman"/>
                <w:sz w:val="24"/>
                <w:szCs w:val="24"/>
              </w:rPr>
              <w:t xml:space="preserve">adding </w:t>
            </w:r>
            <w:r w:rsidRPr="00041816">
              <w:rPr>
                <w:rFonts w:ascii="Times New Roman" w:hAnsi="Times New Roman" w:cs="Times New Roman"/>
                <w:sz w:val="24"/>
                <w:szCs w:val="24"/>
              </w:rPr>
              <w:t xml:space="preserve">a </w:t>
            </w:r>
            <w:r>
              <w:rPr>
                <w:rFonts w:ascii="Times New Roman" w:hAnsi="Times New Roman" w:cs="Times New Roman"/>
                <w:sz w:val="24"/>
                <w:szCs w:val="24"/>
              </w:rPr>
              <w:t>s</w:t>
            </w:r>
            <w:r w:rsidRPr="00041816">
              <w:rPr>
                <w:rFonts w:ascii="Times New Roman" w:hAnsi="Times New Roman" w:cs="Times New Roman"/>
                <w:sz w:val="24"/>
                <w:szCs w:val="24"/>
              </w:rPr>
              <w:t xml:space="preserve">ection </w:t>
            </w:r>
            <w:r>
              <w:rPr>
                <w:rFonts w:ascii="Times New Roman" w:hAnsi="Times New Roman" w:cs="Times New Roman"/>
                <w:sz w:val="24"/>
                <w:szCs w:val="24"/>
              </w:rPr>
              <w:t>to</w:t>
            </w:r>
            <w:r w:rsidRPr="00041816">
              <w:rPr>
                <w:rFonts w:ascii="Times New Roman" w:hAnsi="Times New Roman" w:cs="Times New Roman"/>
                <w:sz w:val="24"/>
                <w:szCs w:val="24"/>
              </w:rPr>
              <w:t xml:space="preserve"> read: </w:t>
            </w:r>
            <w:r w:rsidRPr="00D212BB">
              <w:rPr>
                <w:rFonts w:ascii="Times New Roman" w:hAnsi="Times New Roman" w:cs="Times New Roman"/>
                <w:sz w:val="24"/>
                <w:szCs w:val="24"/>
              </w:rPr>
              <w:t>“If an Interconnection Application is later deemed withdrawn, the application fee shall be applied to a request for reapplication if submitted within thirty (30) business days.</w:t>
            </w:r>
            <w:r>
              <w:rPr>
                <w:rFonts w:ascii="Times New Roman" w:hAnsi="Times New Roman" w:cs="Times New Roman"/>
                <w:sz w:val="24"/>
                <w:szCs w:val="24"/>
              </w:rPr>
              <w:t>”</w:t>
            </w:r>
          </w:p>
        </w:tc>
        <w:tc>
          <w:tcPr>
            <w:tcW w:w="7725" w:type="dxa"/>
          </w:tcPr>
          <w:p w:rsidR="00674EE4" w:rsidRDefault="003C4B67" w:rsidP="003C4B67">
            <w:pPr>
              <w:rPr>
                <w:rFonts w:ascii="Times New Roman" w:hAnsi="Times New Roman" w:cs="Times New Roman"/>
                <w:sz w:val="24"/>
                <w:szCs w:val="24"/>
              </w:rPr>
            </w:pPr>
            <w:r>
              <w:rPr>
                <w:rFonts w:ascii="Times New Roman" w:hAnsi="Times New Roman" w:cs="Times New Roman"/>
                <w:sz w:val="24"/>
                <w:szCs w:val="24"/>
              </w:rPr>
              <w:t>The Commission has included the change in the proposed rules</w:t>
            </w:r>
            <w:r w:rsidR="00674EE4">
              <w:rPr>
                <w:rFonts w:ascii="Times New Roman" w:hAnsi="Times New Roman" w:cs="Times New Roman"/>
                <w:sz w:val="24"/>
                <w:szCs w:val="24"/>
              </w:rPr>
              <w:t>.</w:t>
            </w:r>
          </w:p>
        </w:tc>
      </w:tr>
      <w:tr w:rsidR="00674EE4" w:rsidTr="00847F94">
        <w:trPr>
          <w:cantSplit/>
        </w:trPr>
        <w:tc>
          <w:tcPr>
            <w:tcW w:w="1368"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AAA(4)</w:t>
            </w:r>
          </w:p>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Phased-in projects</w:t>
            </w:r>
          </w:p>
        </w:tc>
        <w:tc>
          <w:tcPr>
            <w:tcW w:w="1530"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Avista</w:t>
            </w:r>
          </w:p>
        </w:tc>
        <w:tc>
          <w:tcPr>
            <w:tcW w:w="3795"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Suggests clarifying wording.</w:t>
            </w:r>
          </w:p>
        </w:tc>
        <w:tc>
          <w:tcPr>
            <w:tcW w:w="7725" w:type="dxa"/>
          </w:tcPr>
          <w:p w:rsidR="00674EE4" w:rsidRDefault="003C4B67" w:rsidP="00847F94">
            <w:pPr>
              <w:rPr>
                <w:rFonts w:ascii="Times New Roman" w:hAnsi="Times New Roman" w:cs="Times New Roman"/>
                <w:sz w:val="24"/>
                <w:szCs w:val="24"/>
              </w:rPr>
            </w:pPr>
            <w:r>
              <w:rPr>
                <w:rFonts w:ascii="Times New Roman" w:hAnsi="Times New Roman" w:cs="Times New Roman"/>
                <w:sz w:val="24"/>
                <w:szCs w:val="24"/>
              </w:rPr>
              <w:t xml:space="preserve">The Commission has included the change in the proposed rules, and </w:t>
            </w:r>
            <w:r w:rsidR="00077AC4">
              <w:rPr>
                <w:rFonts w:ascii="Times New Roman" w:hAnsi="Times New Roman" w:cs="Times New Roman"/>
                <w:sz w:val="24"/>
                <w:szCs w:val="24"/>
              </w:rPr>
              <w:t>added further</w:t>
            </w:r>
            <w:r w:rsidR="00674EE4">
              <w:rPr>
                <w:rFonts w:ascii="Times New Roman" w:hAnsi="Times New Roman" w:cs="Times New Roman"/>
                <w:sz w:val="24"/>
                <w:szCs w:val="24"/>
              </w:rPr>
              <w:t xml:space="preserve"> clarifications.</w:t>
            </w:r>
          </w:p>
        </w:tc>
      </w:tr>
      <w:tr w:rsidR="00674EE4" w:rsidTr="00847F94">
        <w:trPr>
          <w:cantSplit/>
        </w:trPr>
        <w:tc>
          <w:tcPr>
            <w:tcW w:w="1368"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BBB</w:t>
            </w:r>
          </w:p>
        </w:tc>
        <w:tc>
          <w:tcPr>
            <w:tcW w:w="1530"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Tacoma Power</w:t>
            </w:r>
          </w:p>
        </w:tc>
        <w:tc>
          <w:tcPr>
            <w:tcW w:w="3795" w:type="dxa"/>
          </w:tcPr>
          <w:p w:rsidR="00674EE4" w:rsidRDefault="00674EE4" w:rsidP="00EF3F12">
            <w:pPr>
              <w:rPr>
                <w:rFonts w:ascii="Times New Roman" w:hAnsi="Times New Roman" w:cs="Times New Roman"/>
                <w:sz w:val="24"/>
                <w:szCs w:val="24"/>
              </w:rPr>
            </w:pPr>
            <w:r w:rsidRPr="00041816">
              <w:rPr>
                <w:rFonts w:ascii="Times New Roman" w:hAnsi="Times New Roman" w:cs="Times New Roman"/>
                <w:sz w:val="24"/>
                <w:szCs w:val="24"/>
              </w:rPr>
              <w:t xml:space="preserve">Extensive </w:t>
            </w:r>
            <w:r>
              <w:rPr>
                <w:rFonts w:ascii="Times New Roman" w:hAnsi="Times New Roman" w:cs="Times New Roman"/>
                <w:sz w:val="24"/>
                <w:szCs w:val="24"/>
              </w:rPr>
              <w:t>technical edits suggested</w:t>
            </w:r>
            <w:r w:rsidRPr="00041816">
              <w:rPr>
                <w:rFonts w:ascii="Times New Roman" w:hAnsi="Times New Roman" w:cs="Times New Roman"/>
                <w:sz w:val="24"/>
                <w:szCs w:val="24"/>
              </w:rPr>
              <w:t>, mainly</w:t>
            </w:r>
            <w:r>
              <w:rPr>
                <w:rFonts w:ascii="Times New Roman" w:hAnsi="Times New Roman" w:cs="Times New Roman"/>
                <w:sz w:val="24"/>
                <w:szCs w:val="24"/>
              </w:rPr>
              <w:t xml:space="preserve"> dealing with format and syntax.</w:t>
            </w:r>
          </w:p>
        </w:tc>
        <w:tc>
          <w:tcPr>
            <w:tcW w:w="7725" w:type="dxa"/>
          </w:tcPr>
          <w:p w:rsidR="00674EE4" w:rsidRPr="00041816" w:rsidRDefault="003C4B67" w:rsidP="003C4B67">
            <w:pPr>
              <w:rPr>
                <w:rFonts w:ascii="Times New Roman" w:hAnsi="Times New Roman" w:cs="Times New Roman"/>
                <w:sz w:val="24"/>
                <w:szCs w:val="24"/>
              </w:rPr>
            </w:pPr>
            <w:r>
              <w:rPr>
                <w:rFonts w:ascii="Times New Roman" w:hAnsi="Times New Roman" w:cs="Times New Roman"/>
                <w:sz w:val="24"/>
                <w:szCs w:val="24"/>
              </w:rPr>
              <w:t>The Commission</w:t>
            </w:r>
            <w:r w:rsidRPr="00041816">
              <w:rPr>
                <w:rFonts w:ascii="Times New Roman" w:hAnsi="Times New Roman" w:cs="Times New Roman"/>
                <w:sz w:val="24"/>
                <w:szCs w:val="24"/>
              </w:rPr>
              <w:t xml:space="preserve"> </w:t>
            </w:r>
            <w:r w:rsidR="00674EE4" w:rsidRPr="00041816">
              <w:rPr>
                <w:rFonts w:ascii="Times New Roman" w:hAnsi="Times New Roman" w:cs="Times New Roman"/>
                <w:sz w:val="24"/>
                <w:szCs w:val="24"/>
              </w:rPr>
              <w:t xml:space="preserve">agrees with most of these detailed comments and </w:t>
            </w:r>
            <w:r w:rsidR="00674EE4">
              <w:rPr>
                <w:rFonts w:ascii="Times New Roman" w:hAnsi="Times New Roman" w:cs="Times New Roman"/>
                <w:sz w:val="24"/>
                <w:szCs w:val="24"/>
              </w:rPr>
              <w:t>incorporates</w:t>
            </w:r>
            <w:r w:rsidR="00674EE4" w:rsidRPr="00041816">
              <w:rPr>
                <w:rFonts w:ascii="Times New Roman" w:hAnsi="Times New Roman" w:cs="Times New Roman"/>
                <w:sz w:val="24"/>
                <w:szCs w:val="24"/>
              </w:rPr>
              <w:t xml:space="preserve"> many </w:t>
            </w:r>
            <w:r w:rsidR="00674EE4">
              <w:rPr>
                <w:rFonts w:ascii="Times New Roman" w:hAnsi="Times New Roman" w:cs="Times New Roman"/>
                <w:sz w:val="24"/>
                <w:szCs w:val="24"/>
              </w:rPr>
              <w:t xml:space="preserve">edits </w:t>
            </w:r>
            <w:r w:rsidR="00674EE4" w:rsidRPr="00041816">
              <w:rPr>
                <w:rFonts w:ascii="Times New Roman" w:hAnsi="Times New Roman" w:cs="Times New Roman"/>
                <w:sz w:val="24"/>
                <w:szCs w:val="24"/>
              </w:rPr>
              <w:t xml:space="preserve">into </w:t>
            </w:r>
            <w:r>
              <w:rPr>
                <w:rFonts w:ascii="Times New Roman" w:hAnsi="Times New Roman" w:cs="Times New Roman"/>
                <w:sz w:val="24"/>
                <w:szCs w:val="24"/>
              </w:rPr>
              <w:t>the proposed rules</w:t>
            </w:r>
            <w:r w:rsidR="00674EE4" w:rsidRPr="00041816">
              <w:rPr>
                <w:rFonts w:ascii="Times New Roman" w:hAnsi="Times New Roman" w:cs="Times New Roman"/>
                <w:sz w:val="24"/>
                <w:szCs w:val="24"/>
              </w:rPr>
              <w:t>.</w:t>
            </w:r>
          </w:p>
        </w:tc>
      </w:tr>
      <w:tr w:rsidR="00674EE4" w:rsidTr="00847F94">
        <w:trPr>
          <w:cantSplit/>
        </w:trPr>
        <w:tc>
          <w:tcPr>
            <w:tcW w:w="1368"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lastRenderedPageBreak/>
              <w:t>BBB(1)(a) (xi)</w:t>
            </w:r>
          </w:p>
          <w:p w:rsidR="00674EE4" w:rsidRDefault="00674EE4" w:rsidP="00847F94">
            <w:pPr>
              <w:rPr>
                <w:rFonts w:ascii="Times New Roman" w:hAnsi="Times New Roman" w:cs="Times New Roman"/>
                <w:sz w:val="24"/>
                <w:szCs w:val="24"/>
              </w:rPr>
            </w:pPr>
          </w:p>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R</w:t>
            </w:r>
            <w:r w:rsidRPr="00377242">
              <w:rPr>
                <w:rFonts w:ascii="Times New Roman" w:hAnsi="Times New Roman" w:cs="Times New Roman"/>
                <w:sz w:val="24"/>
                <w:szCs w:val="24"/>
              </w:rPr>
              <w:t>adial distribution circuit</w:t>
            </w:r>
          </w:p>
        </w:tc>
        <w:tc>
          <w:tcPr>
            <w:tcW w:w="1530"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 xml:space="preserve">Avista, </w:t>
            </w:r>
          </w:p>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Puget Sound Energy, Tacoma Power</w:t>
            </w:r>
          </w:p>
        </w:tc>
        <w:tc>
          <w:tcPr>
            <w:tcW w:w="3795" w:type="dxa"/>
          </w:tcPr>
          <w:p w:rsidR="00674EE4" w:rsidRPr="003930C3" w:rsidRDefault="00674EE4" w:rsidP="00847F94">
            <w:pPr>
              <w:rPr>
                <w:rFonts w:ascii="Times New Roman" w:hAnsi="Times New Roman" w:cs="Times New Roman"/>
                <w:sz w:val="24"/>
                <w:szCs w:val="24"/>
              </w:rPr>
            </w:pPr>
            <w:r>
              <w:rPr>
                <w:rFonts w:ascii="Times New Roman" w:hAnsi="Times New Roman" w:cs="Times New Roman"/>
                <w:sz w:val="24"/>
                <w:szCs w:val="24"/>
              </w:rPr>
              <w:t xml:space="preserve">Avista, PSE, and Tacoma Power state that this provision is not needed </w:t>
            </w:r>
            <w:r w:rsidRPr="003930C3">
              <w:rPr>
                <w:rFonts w:ascii="Times New Roman" w:hAnsi="Times New Roman" w:cs="Times New Roman"/>
                <w:sz w:val="24"/>
                <w:szCs w:val="24"/>
              </w:rPr>
              <w:t>for</w:t>
            </w:r>
            <w:r>
              <w:rPr>
                <w:rFonts w:ascii="Times New Roman" w:hAnsi="Times New Roman" w:cs="Times New Roman"/>
                <w:sz w:val="24"/>
                <w:szCs w:val="24"/>
              </w:rPr>
              <w:t xml:space="preserve"> their systems and are concerned about the wording.  Tacoma </w:t>
            </w:r>
            <w:r w:rsidR="003C4B67">
              <w:rPr>
                <w:rFonts w:ascii="Times New Roman" w:hAnsi="Times New Roman" w:cs="Times New Roman"/>
                <w:sz w:val="24"/>
                <w:szCs w:val="24"/>
              </w:rPr>
              <w:t>P</w:t>
            </w:r>
            <w:r>
              <w:rPr>
                <w:rFonts w:ascii="Times New Roman" w:hAnsi="Times New Roman" w:cs="Times New Roman"/>
                <w:sz w:val="24"/>
                <w:szCs w:val="24"/>
              </w:rPr>
              <w:t xml:space="preserve">ower recommends deleting entirely.  </w:t>
            </w:r>
            <w:r w:rsidRPr="003930C3">
              <w:rPr>
                <w:rFonts w:ascii="Times New Roman" w:hAnsi="Times New Roman" w:cs="Times New Roman"/>
                <w:sz w:val="24"/>
                <w:szCs w:val="24"/>
              </w:rPr>
              <w:t>PSE</w:t>
            </w:r>
            <w:r>
              <w:rPr>
                <w:rFonts w:ascii="Times New Roman" w:hAnsi="Times New Roman" w:cs="Times New Roman"/>
                <w:sz w:val="24"/>
                <w:szCs w:val="24"/>
              </w:rPr>
              <w:t xml:space="preserve"> suggests rewording to</w:t>
            </w:r>
            <w:r w:rsidRPr="003930C3">
              <w:rPr>
                <w:rFonts w:ascii="Times New Roman" w:hAnsi="Times New Roman" w:cs="Times New Roman"/>
                <w:sz w:val="24"/>
                <w:szCs w:val="24"/>
              </w:rPr>
              <w:t>:</w:t>
            </w:r>
          </w:p>
          <w:p w:rsidR="00674EE4" w:rsidRDefault="00674EE4" w:rsidP="00847F94">
            <w:pPr>
              <w:rPr>
                <w:rFonts w:ascii="Times New Roman" w:hAnsi="Times New Roman" w:cs="Times New Roman"/>
                <w:sz w:val="24"/>
                <w:szCs w:val="24"/>
              </w:rPr>
            </w:pPr>
            <w:r w:rsidRPr="003930C3">
              <w:rPr>
                <w:rFonts w:ascii="Times New Roman" w:hAnsi="Times New Roman" w:cs="Times New Roman"/>
                <w:sz w:val="24"/>
                <w:szCs w:val="24"/>
              </w:rPr>
              <w:t>"Is not proposed for interconnection to a radial distribution c</w:t>
            </w:r>
            <w:r>
              <w:rPr>
                <w:rFonts w:ascii="Times New Roman" w:hAnsi="Times New Roman" w:cs="Times New Roman"/>
                <w:sz w:val="24"/>
                <w:szCs w:val="24"/>
              </w:rPr>
              <w:t xml:space="preserve">ircuit where the entire circuit </w:t>
            </w:r>
            <w:r w:rsidRPr="003930C3">
              <w:rPr>
                <w:rFonts w:ascii="Times New Roman" w:hAnsi="Times New Roman" w:cs="Times New Roman"/>
                <w:sz w:val="24"/>
                <w:szCs w:val="24"/>
              </w:rPr>
              <w:t>serves only one customer or to a spot network distribution</w:t>
            </w:r>
            <w:r>
              <w:rPr>
                <w:rFonts w:ascii="Times New Roman" w:hAnsi="Times New Roman" w:cs="Times New Roman"/>
                <w:sz w:val="24"/>
                <w:szCs w:val="24"/>
              </w:rPr>
              <w:t xml:space="preserve"> circuit serving one customer."</w:t>
            </w:r>
          </w:p>
        </w:tc>
        <w:tc>
          <w:tcPr>
            <w:tcW w:w="7725" w:type="dxa"/>
          </w:tcPr>
          <w:p w:rsidR="00674EE4" w:rsidRDefault="003C4B67" w:rsidP="003C4B67">
            <w:pPr>
              <w:rPr>
                <w:rFonts w:ascii="Times New Roman" w:hAnsi="Times New Roman" w:cs="Times New Roman"/>
                <w:sz w:val="24"/>
                <w:szCs w:val="24"/>
              </w:rPr>
            </w:pPr>
            <w:r>
              <w:rPr>
                <w:rFonts w:ascii="Times New Roman" w:hAnsi="Times New Roman" w:cs="Times New Roman"/>
                <w:sz w:val="24"/>
                <w:szCs w:val="24"/>
              </w:rPr>
              <w:t xml:space="preserve">The Commission </w:t>
            </w:r>
            <w:r w:rsidR="00674EE4">
              <w:rPr>
                <w:rFonts w:ascii="Times New Roman" w:hAnsi="Times New Roman" w:cs="Times New Roman"/>
                <w:sz w:val="24"/>
                <w:szCs w:val="24"/>
              </w:rPr>
              <w:t xml:space="preserve">agrees the wording regarding “radial distribution circuit” </w:t>
            </w:r>
            <w:r>
              <w:rPr>
                <w:rFonts w:ascii="Times New Roman" w:hAnsi="Times New Roman" w:cs="Times New Roman"/>
                <w:sz w:val="24"/>
                <w:szCs w:val="24"/>
              </w:rPr>
              <w:t>is problematic</w:t>
            </w:r>
            <w:r w:rsidR="00674EE4">
              <w:rPr>
                <w:rFonts w:ascii="Times New Roman" w:hAnsi="Times New Roman" w:cs="Times New Roman"/>
                <w:sz w:val="24"/>
                <w:szCs w:val="24"/>
              </w:rPr>
              <w:t xml:space="preserve">.  This provision is </w:t>
            </w:r>
            <w:r>
              <w:rPr>
                <w:rFonts w:ascii="Times New Roman" w:hAnsi="Times New Roman" w:cs="Times New Roman"/>
                <w:sz w:val="24"/>
                <w:szCs w:val="24"/>
              </w:rPr>
              <w:t>not included in the proposed rules</w:t>
            </w:r>
            <w:r w:rsidR="00674EE4">
              <w:rPr>
                <w:rFonts w:ascii="Times New Roman" w:hAnsi="Times New Roman" w:cs="Times New Roman"/>
                <w:sz w:val="24"/>
                <w:szCs w:val="24"/>
              </w:rPr>
              <w:t>.</w:t>
            </w:r>
          </w:p>
        </w:tc>
      </w:tr>
      <w:tr w:rsidR="00674EE4" w:rsidTr="00847F94">
        <w:trPr>
          <w:cantSplit/>
        </w:trPr>
        <w:tc>
          <w:tcPr>
            <w:tcW w:w="1368"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BBB(1)(b) (viii)</w:t>
            </w:r>
          </w:p>
          <w:p w:rsidR="00674EE4" w:rsidRDefault="00674EE4" w:rsidP="00847F94">
            <w:pPr>
              <w:rPr>
                <w:rFonts w:ascii="Times New Roman" w:hAnsi="Times New Roman" w:cs="Times New Roman"/>
                <w:sz w:val="24"/>
                <w:szCs w:val="24"/>
              </w:rPr>
            </w:pPr>
          </w:p>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S</w:t>
            </w:r>
            <w:r w:rsidRPr="0089675C">
              <w:rPr>
                <w:rFonts w:ascii="Times New Roman" w:hAnsi="Times New Roman" w:cs="Times New Roman"/>
                <w:sz w:val="24"/>
                <w:szCs w:val="24"/>
              </w:rPr>
              <w:t xml:space="preserve">pot </w:t>
            </w:r>
            <w:r>
              <w:rPr>
                <w:rFonts w:ascii="Times New Roman" w:hAnsi="Times New Roman" w:cs="Times New Roman"/>
                <w:sz w:val="24"/>
                <w:szCs w:val="24"/>
              </w:rPr>
              <w:t>Networks</w:t>
            </w:r>
          </w:p>
        </w:tc>
        <w:tc>
          <w:tcPr>
            <w:tcW w:w="1530"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Avista</w:t>
            </w:r>
          </w:p>
        </w:tc>
        <w:tc>
          <w:tcPr>
            <w:tcW w:w="3795" w:type="dxa"/>
          </w:tcPr>
          <w:p w:rsidR="00674EE4" w:rsidRDefault="00674EE4" w:rsidP="00847F94">
            <w:pPr>
              <w:rPr>
                <w:rFonts w:ascii="Times New Roman" w:hAnsi="Times New Roman" w:cs="Times New Roman"/>
                <w:sz w:val="24"/>
                <w:szCs w:val="24"/>
              </w:rPr>
            </w:pPr>
            <w:r w:rsidRPr="0089675C">
              <w:rPr>
                <w:rFonts w:ascii="Times New Roman" w:hAnsi="Times New Roman" w:cs="Times New Roman"/>
                <w:sz w:val="24"/>
                <w:szCs w:val="24"/>
              </w:rPr>
              <w:t xml:space="preserve">Avista recommends </w:t>
            </w:r>
            <w:r>
              <w:rPr>
                <w:rFonts w:ascii="Times New Roman" w:hAnsi="Times New Roman" w:cs="Times New Roman"/>
                <w:sz w:val="24"/>
                <w:szCs w:val="24"/>
              </w:rPr>
              <w:t xml:space="preserve">deleting: </w:t>
            </w:r>
          </w:p>
          <w:p w:rsidR="00674EE4" w:rsidRPr="007D2DC0" w:rsidRDefault="00674EE4" w:rsidP="00847F94">
            <w:pPr>
              <w:rPr>
                <w:rFonts w:ascii="Times New Roman" w:hAnsi="Times New Roman" w:cs="Times New Roman"/>
                <w:sz w:val="10"/>
                <w:szCs w:val="10"/>
              </w:rPr>
            </w:pPr>
          </w:p>
          <w:p w:rsidR="00674EE4" w:rsidRDefault="00674EE4" w:rsidP="00847F94">
            <w:pPr>
              <w:rPr>
                <w:rFonts w:ascii="Times New Roman" w:hAnsi="Times New Roman" w:cs="Times New Roman"/>
                <w:sz w:val="24"/>
                <w:szCs w:val="24"/>
              </w:rPr>
            </w:pPr>
            <w:r w:rsidRPr="0089675C">
              <w:rPr>
                <w:rFonts w:ascii="Times New Roman" w:hAnsi="Times New Roman" w:cs="Times New Roman"/>
                <w:sz w:val="24"/>
                <w:szCs w:val="24"/>
              </w:rPr>
              <w:t xml:space="preserve">“The aggregate nameplate capacity of all inverter based systems must not exceed the smallest of five percent of a spot network’s maximum load or 50 kW,” </w:t>
            </w:r>
          </w:p>
          <w:p w:rsidR="00674EE4" w:rsidRPr="007D2DC0" w:rsidRDefault="00674EE4" w:rsidP="00847F94">
            <w:pPr>
              <w:ind w:left="720"/>
              <w:rPr>
                <w:rFonts w:ascii="Times New Roman" w:hAnsi="Times New Roman" w:cs="Times New Roman"/>
                <w:sz w:val="10"/>
                <w:szCs w:val="10"/>
              </w:rPr>
            </w:pPr>
          </w:p>
          <w:p w:rsidR="00674EE4" w:rsidRDefault="00674EE4" w:rsidP="00847F94">
            <w:pPr>
              <w:rPr>
                <w:rFonts w:ascii="Times New Roman" w:hAnsi="Times New Roman" w:cs="Times New Roman"/>
                <w:sz w:val="24"/>
                <w:szCs w:val="24"/>
              </w:rPr>
            </w:pPr>
            <w:r w:rsidRPr="0089675C">
              <w:rPr>
                <w:rFonts w:ascii="Times New Roman" w:hAnsi="Times New Roman" w:cs="Times New Roman"/>
                <w:sz w:val="24"/>
                <w:szCs w:val="24"/>
              </w:rPr>
              <w:t xml:space="preserve">and replacing it with: </w:t>
            </w:r>
          </w:p>
          <w:p w:rsidR="00674EE4" w:rsidRPr="007D2DC0" w:rsidRDefault="00674EE4" w:rsidP="00847F94">
            <w:pPr>
              <w:rPr>
                <w:rFonts w:ascii="Times New Roman" w:hAnsi="Times New Roman" w:cs="Times New Roman"/>
                <w:sz w:val="10"/>
                <w:szCs w:val="10"/>
              </w:rPr>
            </w:pPr>
          </w:p>
          <w:p w:rsidR="00674EE4" w:rsidRPr="0089675C" w:rsidRDefault="00674EE4" w:rsidP="00847F94">
            <w:pPr>
              <w:rPr>
                <w:rFonts w:ascii="Times New Roman" w:hAnsi="Times New Roman" w:cs="Times New Roman"/>
                <w:b/>
                <w:sz w:val="24"/>
                <w:szCs w:val="24"/>
              </w:rPr>
            </w:pPr>
            <w:r w:rsidRPr="0089675C">
              <w:rPr>
                <w:rFonts w:ascii="Times New Roman" w:hAnsi="Times New Roman" w:cs="Times New Roman"/>
                <w:sz w:val="24"/>
                <w:szCs w:val="24"/>
              </w:rPr>
              <w:t>“The generating facility must not allow reverse power flow to the line side of the spot network protectors at any time by exceeding the minimum load on a spot network.”</w:t>
            </w:r>
            <w:r w:rsidRPr="0089675C">
              <w:rPr>
                <w:rFonts w:ascii="Times New Roman" w:hAnsi="Times New Roman" w:cs="Times New Roman"/>
                <w:b/>
                <w:sz w:val="24"/>
                <w:szCs w:val="24"/>
              </w:rPr>
              <w:t xml:space="preserve">  </w:t>
            </w:r>
          </w:p>
        </w:tc>
        <w:tc>
          <w:tcPr>
            <w:tcW w:w="7725" w:type="dxa"/>
          </w:tcPr>
          <w:p w:rsidR="00674EE4" w:rsidRPr="0089675C" w:rsidRDefault="00674EE4" w:rsidP="00847F94">
            <w:pPr>
              <w:rPr>
                <w:rFonts w:ascii="Times New Roman" w:hAnsi="Times New Roman" w:cs="Times New Roman"/>
                <w:sz w:val="24"/>
                <w:szCs w:val="24"/>
              </w:rPr>
            </w:pPr>
            <w:r>
              <w:rPr>
                <w:rFonts w:ascii="Times New Roman" w:hAnsi="Times New Roman" w:cs="Times New Roman"/>
                <w:sz w:val="24"/>
                <w:szCs w:val="24"/>
              </w:rPr>
              <w:t>The language Avista suggests deleting is the same as FERC’s current Small Generator Interconnection Procedures Section 2.2.1.3.  Additionally, this language is not proposed for modification in the latest version of FERC’s draft revision of its Small Generator Interconnection Procedures.  In the absence of a compelling reason to deviate from this federal standard, the Commission proposes to continue using this language.</w:t>
            </w:r>
          </w:p>
        </w:tc>
      </w:tr>
      <w:tr w:rsidR="00674EE4" w:rsidTr="00847F94">
        <w:trPr>
          <w:cantSplit/>
        </w:trPr>
        <w:tc>
          <w:tcPr>
            <w:tcW w:w="1368"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CCC</w:t>
            </w:r>
          </w:p>
          <w:p w:rsidR="00674EE4" w:rsidRDefault="00674EE4" w:rsidP="00847F94">
            <w:pPr>
              <w:rPr>
                <w:rFonts w:ascii="Times New Roman" w:hAnsi="Times New Roman" w:cs="Times New Roman"/>
                <w:sz w:val="24"/>
                <w:szCs w:val="24"/>
              </w:rPr>
            </w:pPr>
          </w:p>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Electronic Documents</w:t>
            </w:r>
          </w:p>
        </w:tc>
        <w:tc>
          <w:tcPr>
            <w:tcW w:w="1530"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Puget Sound Energy</w:t>
            </w:r>
          </w:p>
        </w:tc>
        <w:tc>
          <w:tcPr>
            <w:tcW w:w="3795"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Clarify the use of electronic documents.</w:t>
            </w:r>
          </w:p>
        </w:tc>
        <w:tc>
          <w:tcPr>
            <w:tcW w:w="7725"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The Commission intends to facilitate the use of electronic communications whenever possible.  In the introduction to this section, the Commission adds a sentence to provide that “</w:t>
            </w:r>
            <w:r w:rsidRPr="00F002BF">
              <w:rPr>
                <w:rFonts w:ascii="Times New Roman" w:hAnsi="Times New Roman" w:cs="Times New Roman"/>
                <w:sz w:val="24"/>
                <w:szCs w:val="24"/>
              </w:rPr>
              <w:t>An electrical company may send any notice described in this section by electronic mail.</w:t>
            </w:r>
            <w:r>
              <w:rPr>
                <w:rFonts w:ascii="Times New Roman" w:hAnsi="Times New Roman" w:cs="Times New Roman"/>
                <w:sz w:val="24"/>
                <w:szCs w:val="24"/>
              </w:rPr>
              <w:t xml:space="preserve">”  Additionally, </w:t>
            </w:r>
            <w:r w:rsidR="00330159">
              <w:rPr>
                <w:rFonts w:ascii="Times New Roman" w:hAnsi="Times New Roman" w:cs="Times New Roman"/>
                <w:sz w:val="24"/>
                <w:szCs w:val="24"/>
              </w:rPr>
              <w:t xml:space="preserve">WAC </w:t>
            </w:r>
            <w:r>
              <w:rPr>
                <w:rFonts w:ascii="Times New Roman" w:hAnsi="Times New Roman" w:cs="Times New Roman"/>
                <w:sz w:val="24"/>
                <w:szCs w:val="24"/>
              </w:rPr>
              <w:t>480-108-</w:t>
            </w:r>
            <w:proofErr w:type="gramStart"/>
            <w:r>
              <w:rPr>
                <w:rFonts w:ascii="Times New Roman" w:hAnsi="Times New Roman" w:cs="Times New Roman"/>
                <w:sz w:val="24"/>
                <w:szCs w:val="24"/>
              </w:rPr>
              <w:t>AAA(</w:t>
            </w:r>
            <w:proofErr w:type="gramEnd"/>
            <w:r>
              <w:rPr>
                <w:rFonts w:ascii="Times New Roman" w:hAnsi="Times New Roman" w:cs="Times New Roman"/>
                <w:sz w:val="24"/>
                <w:szCs w:val="24"/>
              </w:rPr>
              <w:t xml:space="preserve">1) requires the </w:t>
            </w:r>
            <w:r w:rsidRPr="00F002BF">
              <w:rPr>
                <w:rFonts w:ascii="Times New Roman" w:hAnsi="Times New Roman" w:cs="Times New Roman"/>
                <w:sz w:val="24"/>
                <w:szCs w:val="24"/>
              </w:rPr>
              <w:t xml:space="preserve">standard application </w:t>
            </w:r>
            <w:r>
              <w:rPr>
                <w:rFonts w:ascii="Times New Roman" w:hAnsi="Times New Roman" w:cs="Times New Roman"/>
                <w:sz w:val="24"/>
                <w:szCs w:val="24"/>
              </w:rPr>
              <w:t xml:space="preserve">to be </w:t>
            </w:r>
            <w:r w:rsidRPr="00F002BF">
              <w:rPr>
                <w:rFonts w:ascii="Times New Roman" w:hAnsi="Times New Roman" w:cs="Times New Roman"/>
                <w:sz w:val="24"/>
                <w:szCs w:val="24"/>
              </w:rPr>
              <w:t xml:space="preserve">available on </w:t>
            </w:r>
            <w:r>
              <w:rPr>
                <w:rFonts w:ascii="Times New Roman" w:hAnsi="Times New Roman" w:cs="Times New Roman"/>
                <w:sz w:val="24"/>
                <w:szCs w:val="24"/>
              </w:rPr>
              <w:t xml:space="preserve">the utility’s </w:t>
            </w:r>
            <w:r w:rsidRPr="00F002BF">
              <w:rPr>
                <w:rFonts w:ascii="Times New Roman" w:hAnsi="Times New Roman" w:cs="Times New Roman"/>
                <w:sz w:val="24"/>
                <w:szCs w:val="24"/>
              </w:rPr>
              <w:t xml:space="preserve">web site and, </w:t>
            </w:r>
            <w:r w:rsidR="00330159">
              <w:rPr>
                <w:rFonts w:ascii="Times New Roman" w:hAnsi="Times New Roman" w:cs="Times New Roman"/>
                <w:sz w:val="24"/>
                <w:szCs w:val="24"/>
              </w:rPr>
              <w:t>“</w:t>
            </w:r>
            <w:r w:rsidRPr="00F002BF">
              <w:rPr>
                <w:rFonts w:ascii="Times New Roman" w:hAnsi="Times New Roman" w:cs="Times New Roman"/>
                <w:sz w:val="24"/>
                <w:szCs w:val="24"/>
              </w:rPr>
              <w:t>unless unreasonably burdensome, allow for submission</w:t>
            </w:r>
            <w:r>
              <w:rPr>
                <w:rFonts w:ascii="Times New Roman" w:hAnsi="Times New Roman" w:cs="Times New Roman"/>
                <w:sz w:val="24"/>
                <w:szCs w:val="24"/>
              </w:rPr>
              <w:t xml:space="preserve"> via the internet</w:t>
            </w:r>
            <w:r w:rsidRPr="00F002BF">
              <w:rPr>
                <w:rFonts w:ascii="Times New Roman" w:hAnsi="Times New Roman" w:cs="Times New Roman"/>
                <w:sz w:val="24"/>
                <w:szCs w:val="24"/>
              </w:rPr>
              <w:t>.</w:t>
            </w:r>
            <w:r>
              <w:rPr>
                <w:rFonts w:ascii="Times New Roman" w:hAnsi="Times New Roman" w:cs="Times New Roman"/>
                <w:sz w:val="24"/>
                <w:szCs w:val="24"/>
              </w:rPr>
              <w:t>”</w:t>
            </w:r>
          </w:p>
        </w:tc>
      </w:tr>
      <w:tr w:rsidR="00674EE4" w:rsidTr="00847F94">
        <w:trPr>
          <w:cantSplit/>
        </w:trPr>
        <w:tc>
          <w:tcPr>
            <w:tcW w:w="1368"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CCC</w:t>
            </w:r>
          </w:p>
        </w:tc>
        <w:tc>
          <w:tcPr>
            <w:tcW w:w="1530" w:type="dxa"/>
          </w:tcPr>
          <w:p w:rsidR="00674EE4" w:rsidRDefault="00674EE4" w:rsidP="007D2DC0">
            <w:pPr>
              <w:rPr>
                <w:rFonts w:ascii="Times New Roman" w:hAnsi="Times New Roman" w:cs="Times New Roman"/>
                <w:sz w:val="24"/>
                <w:szCs w:val="24"/>
              </w:rPr>
            </w:pPr>
            <w:r>
              <w:rPr>
                <w:rFonts w:ascii="Times New Roman" w:hAnsi="Times New Roman" w:cs="Times New Roman"/>
                <w:sz w:val="24"/>
                <w:szCs w:val="24"/>
              </w:rPr>
              <w:t>Avista, PacifiCorp, Puget Sound Energy</w:t>
            </w:r>
          </w:p>
        </w:tc>
        <w:tc>
          <w:tcPr>
            <w:tcW w:w="3795"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Adopt shortened timelines.</w:t>
            </w:r>
          </w:p>
        </w:tc>
        <w:tc>
          <w:tcPr>
            <w:tcW w:w="7725" w:type="dxa"/>
          </w:tcPr>
          <w:p w:rsidR="00674EE4" w:rsidRDefault="00330159" w:rsidP="00847F94">
            <w:pPr>
              <w:rPr>
                <w:rFonts w:ascii="Times New Roman" w:hAnsi="Times New Roman" w:cs="Times New Roman"/>
                <w:sz w:val="24"/>
                <w:szCs w:val="24"/>
              </w:rPr>
            </w:pPr>
            <w:r>
              <w:rPr>
                <w:rFonts w:ascii="Times New Roman" w:hAnsi="Times New Roman" w:cs="Times New Roman"/>
                <w:sz w:val="24"/>
                <w:szCs w:val="24"/>
              </w:rPr>
              <w:t>The Commission has included the change in the proposed rules</w:t>
            </w:r>
            <w:r w:rsidR="00674EE4">
              <w:rPr>
                <w:rFonts w:ascii="Times New Roman" w:hAnsi="Times New Roman" w:cs="Times New Roman"/>
                <w:sz w:val="24"/>
                <w:szCs w:val="24"/>
              </w:rPr>
              <w:t>.</w:t>
            </w:r>
          </w:p>
        </w:tc>
      </w:tr>
      <w:tr w:rsidR="00674EE4" w:rsidTr="00847F94">
        <w:trPr>
          <w:cantSplit/>
        </w:trPr>
        <w:tc>
          <w:tcPr>
            <w:tcW w:w="1368"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lastRenderedPageBreak/>
              <w:t>CCC(3)(c) (ii)</w:t>
            </w:r>
          </w:p>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Credit Requirement</w:t>
            </w:r>
          </w:p>
        </w:tc>
        <w:tc>
          <w:tcPr>
            <w:tcW w:w="1530"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Avista</w:t>
            </w:r>
          </w:p>
        </w:tc>
        <w:tc>
          <w:tcPr>
            <w:tcW w:w="3795" w:type="dxa"/>
          </w:tcPr>
          <w:p w:rsidR="00674EE4" w:rsidRPr="00AE2148" w:rsidRDefault="00674EE4" w:rsidP="00847F94">
            <w:pPr>
              <w:rPr>
                <w:rFonts w:ascii="Times New Roman" w:hAnsi="Times New Roman" w:cs="Times New Roman"/>
                <w:sz w:val="24"/>
                <w:szCs w:val="24"/>
              </w:rPr>
            </w:pPr>
            <w:r>
              <w:rPr>
                <w:rFonts w:ascii="Times New Roman" w:hAnsi="Times New Roman" w:cs="Times New Roman"/>
                <w:sz w:val="24"/>
                <w:szCs w:val="24"/>
              </w:rPr>
              <w:t xml:space="preserve">Add: </w:t>
            </w:r>
            <w:r w:rsidRPr="00AE2148">
              <w:rPr>
                <w:rFonts w:ascii="Times New Roman" w:hAnsi="Times New Roman" w:cs="Times New Roman"/>
                <w:sz w:val="24"/>
                <w:szCs w:val="24"/>
              </w:rPr>
              <w:t>“Interconnection customers must meet the credit requirements of the electric company p</w:t>
            </w:r>
            <w:r>
              <w:rPr>
                <w:rFonts w:ascii="Times New Roman" w:hAnsi="Times New Roman" w:cs="Times New Roman"/>
                <w:sz w:val="24"/>
                <w:szCs w:val="24"/>
              </w:rPr>
              <w:t>rior to start of construction.”</w:t>
            </w:r>
          </w:p>
        </w:tc>
        <w:tc>
          <w:tcPr>
            <w:tcW w:w="7725" w:type="dxa"/>
          </w:tcPr>
          <w:p w:rsidR="00674EE4" w:rsidRDefault="00330159" w:rsidP="00847F94">
            <w:pPr>
              <w:rPr>
                <w:rFonts w:ascii="Times New Roman" w:hAnsi="Times New Roman" w:cs="Times New Roman"/>
                <w:sz w:val="24"/>
                <w:szCs w:val="24"/>
              </w:rPr>
            </w:pPr>
            <w:r>
              <w:rPr>
                <w:rFonts w:ascii="Times New Roman" w:hAnsi="Times New Roman" w:cs="Times New Roman"/>
                <w:sz w:val="24"/>
                <w:szCs w:val="24"/>
              </w:rPr>
              <w:t>The Commission has included the change in the proposed rules</w:t>
            </w:r>
            <w:r w:rsidR="00674EE4">
              <w:rPr>
                <w:rFonts w:ascii="Times New Roman" w:hAnsi="Times New Roman" w:cs="Times New Roman"/>
                <w:sz w:val="24"/>
                <w:szCs w:val="24"/>
              </w:rPr>
              <w:t>.</w:t>
            </w:r>
          </w:p>
        </w:tc>
      </w:tr>
      <w:tr w:rsidR="00674EE4" w:rsidTr="00847F94">
        <w:trPr>
          <w:cantSplit/>
        </w:trPr>
        <w:tc>
          <w:tcPr>
            <w:tcW w:w="1368"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CCC(3)(c) (iii)</w:t>
            </w:r>
            <w:r w:rsidRPr="00AE2148">
              <w:rPr>
                <w:rFonts w:ascii="Times New Roman" w:hAnsi="Times New Roman" w:cs="Times New Roman"/>
                <w:sz w:val="24"/>
                <w:szCs w:val="24"/>
              </w:rPr>
              <w:t>(A)</w:t>
            </w:r>
          </w:p>
        </w:tc>
        <w:tc>
          <w:tcPr>
            <w:tcW w:w="1530"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Avista</w:t>
            </w:r>
          </w:p>
        </w:tc>
        <w:tc>
          <w:tcPr>
            <w:tcW w:w="3795"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 xml:space="preserve">Add: </w:t>
            </w:r>
            <w:r w:rsidRPr="00AE2148">
              <w:rPr>
                <w:rFonts w:ascii="Times New Roman" w:hAnsi="Times New Roman" w:cs="Times New Roman"/>
                <w:sz w:val="24"/>
                <w:szCs w:val="24"/>
              </w:rPr>
              <w:t>“The interconnection customer is responsible for all reasonable annual or monthly ongoing operation and maintenance costs associated with the interconnection facilities.”</w:t>
            </w:r>
          </w:p>
        </w:tc>
        <w:tc>
          <w:tcPr>
            <w:tcW w:w="7725" w:type="dxa"/>
          </w:tcPr>
          <w:p w:rsidR="00674EE4" w:rsidRDefault="00330159" w:rsidP="006E70B6">
            <w:pPr>
              <w:rPr>
                <w:rFonts w:ascii="Times New Roman" w:hAnsi="Times New Roman" w:cs="Times New Roman"/>
                <w:sz w:val="24"/>
                <w:szCs w:val="24"/>
              </w:rPr>
            </w:pPr>
            <w:r>
              <w:rPr>
                <w:rFonts w:ascii="Times New Roman" w:hAnsi="Times New Roman" w:cs="Times New Roman"/>
                <w:sz w:val="24"/>
                <w:szCs w:val="24"/>
              </w:rPr>
              <w:t xml:space="preserve">The Commission </w:t>
            </w:r>
            <w:r w:rsidR="00674EE4" w:rsidRPr="00AE2148">
              <w:rPr>
                <w:rFonts w:ascii="Times New Roman" w:hAnsi="Times New Roman" w:cs="Times New Roman"/>
                <w:sz w:val="24"/>
                <w:szCs w:val="24"/>
              </w:rPr>
              <w:t xml:space="preserve">agrees with this comment if the facilities are dedicated </w:t>
            </w:r>
            <w:r w:rsidR="006E70B6" w:rsidRPr="00AE2148">
              <w:rPr>
                <w:rFonts w:ascii="Times New Roman" w:hAnsi="Times New Roman" w:cs="Times New Roman"/>
                <w:sz w:val="24"/>
                <w:szCs w:val="24"/>
              </w:rPr>
              <w:t xml:space="preserve">solely </w:t>
            </w:r>
            <w:r w:rsidR="00674EE4" w:rsidRPr="00AE2148">
              <w:rPr>
                <w:rFonts w:ascii="Times New Roman" w:hAnsi="Times New Roman" w:cs="Times New Roman"/>
                <w:sz w:val="24"/>
                <w:szCs w:val="24"/>
              </w:rPr>
              <w:t xml:space="preserve">to </w:t>
            </w:r>
            <w:r w:rsidR="006E70B6">
              <w:rPr>
                <w:rFonts w:ascii="Times New Roman" w:hAnsi="Times New Roman" w:cs="Times New Roman"/>
                <w:sz w:val="24"/>
                <w:szCs w:val="24"/>
              </w:rPr>
              <w:t>a</w:t>
            </w:r>
            <w:r w:rsidR="00674EE4" w:rsidRPr="00AE2148">
              <w:rPr>
                <w:rFonts w:ascii="Times New Roman" w:hAnsi="Times New Roman" w:cs="Times New Roman"/>
                <w:sz w:val="24"/>
                <w:szCs w:val="24"/>
              </w:rPr>
              <w:t xml:space="preserve"> single </w:t>
            </w:r>
            <w:r w:rsidR="006E70B6">
              <w:rPr>
                <w:rFonts w:ascii="Times New Roman" w:hAnsi="Times New Roman" w:cs="Times New Roman"/>
                <w:sz w:val="24"/>
                <w:szCs w:val="24"/>
              </w:rPr>
              <w:t xml:space="preserve">interconnection </w:t>
            </w:r>
            <w:r w:rsidR="00674EE4" w:rsidRPr="00AE2148">
              <w:rPr>
                <w:rFonts w:ascii="Times New Roman" w:hAnsi="Times New Roman" w:cs="Times New Roman"/>
                <w:sz w:val="24"/>
                <w:szCs w:val="24"/>
              </w:rPr>
              <w:t>customer</w:t>
            </w:r>
            <w:r w:rsidR="006E70B6">
              <w:rPr>
                <w:rFonts w:ascii="Times New Roman" w:hAnsi="Times New Roman" w:cs="Times New Roman"/>
                <w:sz w:val="24"/>
                <w:szCs w:val="24"/>
              </w:rPr>
              <w:t>’s use</w:t>
            </w:r>
            <w:r w:rsidR="00674EE4" w:rsidRPr="00AE2148">
              <w:rPr>
                <w:rFonts w:ascii="Times New Roman" w:hAnsi="Times New Roman" w:cs="Times New Roman"/>
                <w:sz w:val="24"/>
                <w:szCs w:val="24"/>
              </w:rPr>
              <w:t xml:space="preserve">.  </w:t>
            </w:r>
            <w:r>
              <w:rPr>
                <w:rFonts w:ascii="Times New Roman" w:hAnsi="Times New Roman" w:cs="Times New Roman"/>
                <w:sz w:val="24"/>
                <w:szCs w:val="24"/>
              </w:rPr>
              <w:t>The Commission has included the change in the proposed rules</w:t>
            </w:r>
            <w:r w:rsidR="00674EE4" w:rsidRPr="00AE2148">
              <w:rPr>
                <w:rFonts w:ascii="Times New Roman" w:hAnsi="Times New Roman" w:cs="Times New Roman"/>
                <w:sz w:val="24"/>
                <w:szCs w:val="24"/>
              </w:rPr>
              <w:t>.</w:t>
            </w:r>
          </w:p>
        </w:tc>
      </w:tr>
      <w:tr w:rsidR="00674EE4" w:rsidTr="00847F94">
        <w:trPr>
          <w:cantSplit/>
        </w:trPr>
        <w:tc>
          <w:tcPr>
            <w:tcW w:w="1368" w:type="dxa"/>
            <w:vMerge w:val="restart"/>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CCC(3)(c)</w:t>
            </w:r>
          </w:p>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(iii)(B)</w:t>
            </w:r>
          </w:p>
          <w:p w:rsidR="00674EE4" w:rsidRDefault="00674EE4" w:rsidP="00847F94">
            <w:pPr>
              <w:rPr>
                <w:rFonts w:ascii="Times New Roman" w:hAnsi="Times New Roman" w:cs="Times New Roman"/>
                <w:sz w:val="24"/>
                <w:szCs w:val="24"/>
              </w:rPr>
            </w:pPr>
          </w:p>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Cost Disputes</w:t>
            </w:r>
          </w:p>
        </w:tc>
        <w:tc>
          <w:tcPr>
            <w:tcW w:w="1530"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Snohomish PUD</w:t>
            </w:r>
          </w:p>
        </w:tc>
        <w:tc>
          <w:tcPr>
            <w:tcW w:w="3795"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A utility should retain full responsibility for evaluating the feasibility and potential impacts of interconnections.</w:t>
            </w:r>
          </w:p>
        </w:tc>
        <w:tc>
          <w:tcPr>
            <w:tcW w:w="7725" w:type="dxa"/>
          </w:tcPr>
          <w:p w:rsidR="00674EE4" w:rsidRDefault="00674EE4" w:rsidP="00330159">
            <w:pPr>
              <w:rPr>
                <w:rFonts w:ascii="Times New Roman" w:hAnsi="Times New Roman" w:cs="Times New Roman"/>
                <w:sz w:val="24"/>
                <w:szCs w:val="24"/>
              </w:rPr>
            </w:pPr>
            <w:r>
              <w:rPr>
                <w:rFonts w:ascii="Times New Roman" w:hAnsi="Times New Roman" w:cs="Times New Roman"/>
                <w:sz w:val="24"/>
                <w:szCs w:val="24"/>
              </w:rPr>
              <w:t xml:space="preserve">A third party cannot perform a system impact study independently; in contrast, utility personnel must be involved in each study.  The existing rule, which </w:t>
            </w:r>
            <w:r w:rsidR="00330159">
              <w:rPr>
                <w:rFonts w:ascii="Times New Roman" w:hAnsi="Times New Roman" w:cs="Times New Roman"/>
                <w:sz w:val="24"/>
                <w:szCs w:val="24"/>
              </w:rPr>
              <w:t>the Commission does not proposed to modify in</w:t>
            </w:r>
            <w:r>
              <w:rPr>
                <w:rFonts w:ascii="Times New Roman" w:hAnsi="Times New Roman" w:cs="Times New Roman"/>
                <w:sz w:val="24"/>
                <w:szCs w:val="24"/>
              </w:rPr>
              <w:t xml:space="preserve"> this rulemaking, requires the utility and interconnection customer to agree on the party to perform the study, and estimated cost of the study.  The utility retains its right to object to the identity of the party to perform the study, or the estimated cost of the study. </w:t>
            </w:r>
          </w:p>
        </w:tc>
      </w:tr>
      <w:tr w:rsidR="00674EE4" w:rsidTr="00847F94">
        <w:trPr>
          <w:cantSplit/>
        </w:trPr>
        <w:tc>
          <w:tcPr>
            <w:tcW w:w="1368" w:type="dxa"/>
            <w:vMerge/>
          </w:tcPr>
          <w:p w:rsidR="00674EE4" w:rsidRDefault="00674EE4" w:rsidP="00847F94">
            <w:pPr>
              <w:rPr>
                <w:rFonts w:ascii="Times New Roman" w:hAnsi="Times New Roman" w:cs="Times New Roman"/>
                <w:sz w:val="24"/>
                <w:szCs w:val="24"/>
              </w:rPr>
            </w:pPr>
          </w:p>
        </w:tc>
        <w:tc>
          <w:tcPr>
            <w:tcW w:w="1530"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PacifiCorp</w:t>
            </w:r>
          </w:p>
        </w:tc>
        <w:tc>
          <w:tcPr>
            <w:tcW w:w="3795"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Remove the provision allowing a customer to provide an “alternative cost estimate from a third-party qualified to perform the studies required.”</w:t>
            </w:r>
          </w:p>
        </w:tc>
        <w:tc>
          <w:tcPr>
            <w:tcW w:w="7725"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 xml:space="preserve">The subsection in question is available to customers under the current rules, and provides a consumer protection function should a utility drastically overestimate the time or cost of required studies.  </w:t>
            </w:r>
          </w:p>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 xml:space="preserve">Under the current rules, the utility and the interconnection customer must come to an agreement on the cost and timeline for performing any required studies, and if no agreement can be reached the Commission’s normal dispute resolution procedures are available.  </w:t>
            </w:r>
          </w:p>
          <w:p w:rsidR="00674EE4" w:rsidRDefault="00674EE4" w:rsidP="008C04A9">
            <w:pPr>
              <w:rPr>
                <w:rFonts w:ascii="Times New Roman" w:hAnsi="Times New Roman" w:cs="Times New Roman"/>
                <w:sz w:val="24"/>
                <w:szCs w:val="24"/>
              </w:rPr>
            </w:pPr>
            <w:r>
              <w:rPr>
                <w:rFonts w:ascii="Times New Roman" w:hAnsi="Times New Roman" w:cs="Times New Roman"/>
                <w:sz w:val="24"/>
                <w:szCs w:val="24"/>
              </w:rPr>
              <w:t>In other states, the timing and cost of system impact studies have been sources of disagreement between interconnection customers and utilities.  The Commission hopes that such disputes do not become common in this state, but retains this consumer protection provision in the event such disputes do arise.</w:t>
            </w:r>
          </w:p>
        </w:tc>
      </w:tr>
      <w:tr w:rsidR="00674EE4" w:rsidTr="00847F94">
        <w:trPr>
          <w:cantSplit/>
        </w:trPr>
        <w:tc>
          <w:tcPr>
            <w:tcW w:w="1368"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GGG</w:t>
            </w:r>
          </w:p>
          <w:p w:rsidR="00674EE4" w:rsidRDefault="00674EE4" w:rsidP="00847F94">
            <w:pPr>
              <w:rPr>
                <w:rFonts w:ascii="Times New Roman" w:hAnsi="Times New Roman" w:cs="Times New Roman"/>
                <w:sz w:val="24"/>
                <w:szCs w:val="24"/>
              </w:rPr>
            </w:pPr>
          </w:p>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Electrical Permits</w:t>
            </w:r>
          </w:p>
        </w:tc>
        <w:tc>
          <w:tcPr>
            <w:tcW w:w="1530"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Puget Sound Energy</w:t>
            </w:r>
          </w:p>
        </w:tc>
        <w:tc>
          <w:tcPr>
            <w:tcW w:w="3795" w:type="dxa"/>
          </w:tcPr>
          <w:p w:rsidR="00674EE4" w:rsidRDefault="00674EE4" w:rsidP="00847F94">
            <w:pPr>
              <w:rPr>
                <w:rFonts w:ascii="Times New Roman" w:hAnsi="Times New Roman" w:cs="Times New Roman"/>
                <w:sz w:val="24"/>
                <w:szCs w:val="24"/>
              </w:rPr>
            </w:pPr>
            <w:r w:rsidRPr="000F08A4">
              <w:rPr>
                <w:rFonts w:ascii="Times New Roman" w:hAnsi="Times New Roman" w:cs="Times New Roman"/>
                <w:sz w:val="24"/>
                <w:szCs w:val="24"/>
              </w:rPr>
              <w:t>PSE believes that either section (4) or (5) should mention the need for the interconnection customer to obtain a state or local electrical permit and inspection</w:t>
            </w:r>
            <w:r>
              <w:rPr>
                <w:rFonts w:ascii="Times New Roman" w:hAnsi="Times New Roman" w:cs="Times New Roman"/>
                <w:sz w:val="24"/>
                <w:szCs w:val="24"/>
              </w:rPr>
              <w:t>.</w:t>
            </w:r>
          </w:p>
        </w:tc>
        <w:tc>
          <w:tcPr>
            <w:tcW w:w="7725"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The need for state or local electrical permits is covered by the broad language used in subsection (2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 that requires “the receipt of any required electrical and building permits.”</w:t>
            </w:r>
          </w:p>
        </w:tc>
      </w:tr>
      <w:tr w:rsidR="00674EE4" w:rsidTr="00847F94">
        <w:trPr>
          <w:cantSplit/>
        </w:trPr>
        <w:tc>
          <w:tcPr>
            <w:tcW w:w="1368"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lastRenderedPageBreak/>
              <w:t>GGG(2)</w:t>
            </w:r>
          </w:p>
        </w:tc>
        <w:tc>
          <w:tcPr>
            <w:tcW w:w="1530"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Tacoma Power</w:t>
            </w:r>
          </w:p>
        </w:tc>
        <w:tc>
          <w:tcPr>
            <w:tcW w:w="3795" w:type="dxa"/>
          </w:tcPr>
          <w:p w:rsidR="00674EE4" w:rsidRDefault="00674EE4" w:rsidP="0078501A">
            <w:pPr>
              <w:rPr>
                <w:rFonts w:ascii="Times New Roman" w:hAnsi="Times New Roman" w:cs="Times New Roman"/>
                <w:sz w:val="24"/>
                <w:szCs w:val="24"/>
              </w:rPr>
            </w:pPr>
            <w:r>
              <w:rPr>
                <w:rFonts w:ascii="Times New Roman" w:hAnsi="Times New Roman" w:cs="Times New Roman"/>
                <w:sz w:val="24"/>
                <w:szCs w:val="24"/>
              </w:rPr>
              <w:t>Recommends adding</w:t>
            </w:r>
            <w:r w:rsidRPr="0078501A">
              <w:rPr>
                <w:rFonts w:ascii="Times New Roman" w:hAnsi="Times New Roman" w:cs="Times New Roman"/>
                <w:sz w:val="24"/>
                <w:szCs w:val="24"/>
              </w:rPr>
              <w:t xml:space="preserve"> “the commissioning tests have been performed per the requirements of IEEE 1547.</w:t>
            </w:r>
            <w:r>
              <w:rPr>
                <w:rFonts w:ascii="Times New Roman" w:hAnsi="Times New Roman" w:cs="Times New Roman"/>
                <w:sz w:val="24"/>
                <w:szCs w:val="24"/>
              </w:rPr>
              <w:t>”</w:t>
            </w:r>
          </w:p>
        </w:tc>
        <w:tc>
          <w:tcPr>
            <w:tcW w:w="7725" w:type="dxa"/>
          </w:tcPr>
          <w:p w:rsidR="00674EE4" w:rsidRDefault="00330159" w:rsidP="0078501A">
            <w:pPr>
              <w:rPr>
                <w:rFonts w:ascii="Times New Roman" w:hAnsi="Times New Roman" w:cs="Times New Roman"/>
                <w:sz w:val="24"/>
                <w:szCs w:val="24"/>
              </w:rPr>
            </w:pPr>
            <w:r>
              <w:rPr>
                <w:rFonts w:ascii="Times New Roman" w:hAnsi="Times New Roman" w:cs="Times New Roman"/>
                <w:sz w:val="24"/>
                <w:szCs w:val="24"/>
              </w:rPr>
              <w:t xml:space="preserve">The Commission </w:t>
            </w:r>
            <w:r w:rsidR="00674EE4">
              <w:rPr>
                <w:rFonts w:ascii="Times New Roman" w:hAnsi="Times New Roman" w:cs="Times New Roman"/>
                <w:sz w:val="24"/>
                <w:szCs w:val="24"/>
              </w:rPr>
              <w:t>believes that compliance with IEEE 1547 is required by subsection (2</w:t>
            </w:r>
            <w:proofErr w:type="gramStart"/>
            <w:r w:rsidR="00674EE4">
              <w:rPr>
                <w:rFonts w:ascii="Times New Roman" w:hAnsi="Times New Roman" w:cs="Times New Roman"/>
                <w:sz w:val="24"/>
                <w:szCs w:val="24"/>
              </w:rPr>
              <w:t>)(</w:t>
            </w:r>
            <w:proofErr w:type="gramEnd"/>
            <w:r w:rsidR="00674EE4">
              <w:rPr>
                <w:rFonts w:ascii="Times New Roman" w:hAnsi="Times New Roman" w:cs="Times New Roman"/>
                <w:sz w:val="24"/>
                <w:szCs w:val="24"/>
              </w:rPr>
              <w:t>b)’s broad language requiring “</w:t>
            </w:r>
            <w:r w:rsidR="00674EE4" w:rsidRPr="0078501A">
              <w:rPr>
                <w:rFonts w:ascii="Times New Roman" w:hAnsi="Times New Roman" w:cs="Times New Roman"/>
                <w:sz w:val="24"/>
                <w:szCs w:val="24"/>
              </w:rPr>
              <w:t xml:space="preserve">installation in compliance with the technical requirements for </w:t>
            </w:r>
            <w:r w:rsidR="00674EE4">
              <w:rPr>
                <w:rFonts w:ascii="Times New Roman" w:hAnsi="Times New Roman" w:cs="Times New Roman"/>
                <w:sz w:val="24"/>
                <w:szCs w:val="24"/>
              </w:rPr>
              <w:t>interconnection in this chapter.”</w:t>
            </w:r>
          </w:p>
        </w:tc>
      </w:tr>
      <w:tr w:rsidR="00674EE4" w:rsidTr="00847F94">
        <w:trPr>
          <w:cantSplit/>
        </w:trPr>
        <w:tc>
          <w:tcPr>
            <w:tcW w:w="1368"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110</w:t>
            </w:r>
          </w:p>
          <w:p w:rsidR="00674EE4" w:rsidRDefault="00674EE4" w:rsidP="007D2DC0">
            <w:pPr>
              <w:rPr>
                <w:rFonts w:ascii="Times New Roman" w:hAnsi="Times New Roman" w:cs="Times New Roman"/>
                <w:sz w:val="24"/>
                <w:szCs w:val="24"/>
              </w:rPr>
            </w:pPr>
            <w:r>
              <w:rPr>
                <w:rFonts w:ascii="Times New Roman" w:hAnsi="Times New Roman" w:cs="Times New Roman"/>
                <w:sz w:val="24"/>
                <w:szCs w:val="24"/>
              </w:rPr>
              <w:t>Filing Timeline</w:t>
            </w:r>
          </w:p>
        </w:tc>
        <w:tc>
          <w:tcPr>
            <w:tcW w:w="1530"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Puget Sound Energy</w:t>
            </w:r>
          </w:p>
        </w:tc>
        <w:tc>
          <w:tcPr>
            <w:tcW w:w="3795"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R</w:t>
            </w:r>
            <w:r w:rsidRPr="00041816">
              <w:rPr>
                <w:rFonts w:ascii="Times New Roman" w:hAnsi="Times New Roman" w:cs="Times New Roman"/>
                <w:sz w:val="24"/>
                <w:szCs w:val="24"/>
              </w:rPr>
              <w:t xml:space="preserve">equests </w:t>
            </w:r>
            <w:r>
              <w:rPr>
                <w:rFonts w:ascii="Times New Roman" w:hAnsi="Times New Roman" w:cs="Times New Roman"/>
                <w:sz w:val="24"/>
                <w:szCs w:val="24"/>
              </w:rPr>
              <w:t xml:space="preserve">more time </w:t>
            </w:r>
            <w:r w:rsidRPr="00041816">
              <w:rPr>
                <w:rFonts w:ascii="Times New Roman" w:hAnsi="Times New Roman" w:cs="Times New Roman"/>
                <w:sz w:val="24"/>
                <w:szCs w:val="24"/>
              </w:rPr>
              <w:t>for any required filings.</w:t>
            </w:r>
          </w:p>
        </w:tc>
        <w:tc>
          <w:tcPr>
            <w:tcW w:w="7725" w:type="dxa"/>
          </w:tcPr>
          <w:p w:rsidR="00674EE4" w:rsidRPr="00041816" w:rsidRDefault="00330159" w:rsidP="00330159">
            <w:pPr>
              <w:rPr>
                <w:rFonts w:ascii="Times New Roman" w:hAnsi="Times New Roman" w:cs="Times New Roman"/>
                <w:sz w:val="24"/>
                <w:szCs w:val="24"/>
              </w:rPr>
            </w:pPr>
            <w:r>
              <w:rPr>
                <w:rFonts w:ascii="Times New Roman" w:hAnsi="Times New Roman" w:cs="Times New Roman"/>
                <w:sz w:val="24"/>
                <w:szCs w:val="24"/>
              </w:rPr>
              <w:t xml:space="preserve">The Commission </w:t>
            </w:r>
            <w:r w:rsidR="00674EE4">
              <w:rPr>
                <w:rFonts w:ascii="Times New Roman" w:hAnsi="Times New Roman" w:cs="Times New Roman"/>
                <w:sz w:val="24"/>
                <w:szCs w:val="24"/>
              </w:rPr>
              <w:t xml:space="preserve">agrees </w:t>
            </w:r>
            <w:r>
              <w:rPr>
                <w:rFonts w:ascii="Times New Roman" w:hAnsi="Times New Roman" w:cs="Times New Roman"/>
                <w:sz w:val="24"/>
                <w:szCs w:val="24"/>
              </w:rPr>
              <w:t xml:space="preserve">the timeline should </w:t>
            </w:r>
            <w:r w:rsidR="00077AC4">
              <w:rPr>
                <w:rFonts w:ascii="Times New Roman" w:hAnsi="Times New Roman" w:cs="Times New Roman"/>
                <w:sz w:val="24"/>
                <w:szCs w:val="24"/>
              </w:rPr>
              <w:t>be extended</w:t>
            </w:r>
            <w:r w:rsidR="00674EE4" w:rsidRPr="00041816">
              <w:rPr>
                <w:rFonts w:ascii="Times New Roman" w:hAnsi="Times New Roman" w:cs="Times New Roman"/>
                <w:sz w:val="24"/>
                <w:szCs w:val="24"/>
              </w:rPr>
              <w:t xml:space="preserve"> </w:t>
            </w:r>
            <w:r w:rsidR="00674EE4">
              <w:rPr>
                <w:rFonts w:ascii="Times New Roman" w:hAnsi="Times New Roman" w:cs="Times New Roman"/>
                <w:sz w:val="24"/>
                <w:szCs w:val="24"/>
              </w:rPr>
              <w:t xml:space="preserve">to </w:t>
            </w:r>
            <w:r w:rsidR="00674EE4" w:rsidRPr="00041816">
              <w:rPr>
                <w:rFonts w:ascii="Times New Roman" w:hAnsi="Times New Roman" w:cs="Times New Roman"/>
                <w:sz w:val="24"/>
                <w:szCs w:val="24"/>
              </w:rPr>
              <w:t>60 business days, which is close to three months.</w:t>
            </w:r>
          </w:p>
        </w:tc>
      </w:tr>
      <w:tr w:rsidR="00674EE4" w:rsidTr="00847F94">
        <w:trPr>
          <w:cantSplit/>
        </w:trPr>
        <w:tc>
          <w:tcPr>
            <w:tcW w:w="1368"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 xml:space="preserve">120 </w:t>
            </w:r>
          </w:p>
          <w:p w:rsidR="00674EE4" w:rsidRDefault="00674EE4" w:rsidP="00847F94">
            <w:pPr>
              <w:rPr>
                <w:rFonts w:ascii="Times New Roman" w:hAnsi="Times New Roman" w:cs="Times New Roman"/>
                <w:sz w:val="24"/>
                <w:szCs w:val="24"/>
              </w:rPr>
            </w:pPr>
          </w:p>
          <w:p w:rsidR="00674EE4" w:rsidRPr="004728FB" w:rsidRDefault="00674EE4" w:rsidP="00847F94">
            <w:pPr>
              <w:rPr>
                <w:rFonts w:ascii="Times New Roman" w:hAnsi="Times New Roman" w:cs="Times New Roman"/>
                <w:b/>
                <w:sz w:val="24"/>
                <w:szCs w:val="24"/>
              </w:rPr>
            </w:pPr>
            <w:r>
              <w:rPr>
                <w:rFonts w:ascii="Times New Roman" w:hAnsi="Times New Roman" w:cs="Times New Roman"/>
                <w:sz w:val="24"/>
                <w:szCs w:val="24"/>
              </w:rPr>
              <w:t>Cumulative Effects</w:t>
            </w:r>
          </w:p>
        </w:tc>
        <w:tc>
          <w:tcPr>
            <w:tcW w:w="1530" w:type="dxa"/>
          </w:tcPr>
          <w:p w:rsidR="00674EE4" w:rsidRPr="00CF4DF8" w:rsidRDefault="00674EE4" w:rsidP="00CF4DF8">
            <w:pPr>
              <w:rPr>
                <w:rFonts w:ascii="Times New Roman" w:hAnsi="Times New Roman" w:cs="Times New Roman"/>
                <w:sz w:val="24"/>
                <w:szCs w:val="24"/>
              </w:rPr>
            </w:pPr>
            <w:r w:rsidRPr="00CF4DF8">
              <w:rPr>
                <w:rFonts w:ascii="Times New Roman" w:hAnsi="Times New Roman" w:cs="Times New Roman"/>
                <w:sz w:val="24"/>
                <w:szCs w:val="24"/>
              </w:rPr>
              <w:t>Tacoma Power</w:t>
            </w:r>
          </w:p>
          <w:p w:rsidR="00674EE4" w:rsidRDefault="00674EE4" w:rsidP="00847F94">
            <w:pPr>
              <w:rPr>
                <w:rFonts w:ascii="Times New Roman" w:hAnsi="Times New Roman" w:cs="Times New Roman"/>
                <w:sz w:val="24"/>
                <w:szCs w:val="24"/>
              </w:rPr>
            </w:pPr>
          </w:p>
        </w:tc>
        <w:tc>
          <w:tcPr>
            <w:tcW w:w="3795" w:type="dxa"/>
          </w:tcPr>
          <w:p w:rsidR="00674EE4" w:rsidRDefault="00674EE4" w:rsidP="00847F94">
            <w:pPr>
              <w:rPr>
                <w:rFonts w:ascii="Times New Roman" w:hAnsi="Times New Roman" w:cs="Times New Roman"/>
                <w:sz w:val="24"/>
                <w:szCs w:val="24"/>
              </w:rPr>
            </w:pPr>
            <w:r>
              <w:rPr>
                <w:rFonts w:ascii="Times New Roman" w:hAnsi="Times New Roman" w:cs="Times New Roman"/>
                <w:sz w:val="24"/>
                <w:szCs w:val="24"/>
              </w:rPr>
              <w:t>R</w:t>
            </w:r>
            <w:r w:rsidRPr="00041816">
              <w:rPr>
                <w:rFonts w:ascii="Times New Roman" w:hAnsi="Times New Roman" w:cs="Times New Roman"/>
                <w:sz w:val="24"/>
                <w:szCs w:val="24"/>
              </w:rPr>
              <w:t>ecommends complete removal of t</w:t>
            </w:r>
            <w:r>
              <w:rPr>
                <w:rFonts w:ascii="Times New Roman" w:hAnsi="Times New Roman" w:cs="Times New Roman"/>
                <w:sz w:val="24"/>
                <w:szCs w:val="24"/>
              </w:rPr>
              <w:t>he cumulative effects section.</w:t>
            </w:r>
          </w:p>
          <w:p w:rsidR="00674EE4" w:rsidRDefault="00674EE4" w:rsidP="00847F94">
            <w:pPr>
              <w:rPr>
                <w:rFonts w:ascii="Times New Roman" w:hAnsi="Times New Roman" w:cs="Times New Roman"/>
                <w:sz w:val="24"/>
                <w:szCs w:val="24"/>
              </w:rPr>
            </w:pPr>
          </w:p>
          <w:p w:rsidR="00674EE4" w:rsidRPr="007D2DC0" w:rsidRDefault="00674EE4" w:rsidP="00847F94">
            <w:pPr>
              <w:rPr>
                <w:rFonts w:ascii="Times New Roman" w:hAnsi="Times New Roman" w:cs="Times New Roman"/>
                <w:b/>
                <w:sz w:val="24"/>
                <w:szCs w:val="24"/>
              </w:rPr>
            </w:pPr>
            <w:r>
              <w:rPr>
                <w:rFonts w:ascii="Times New Roman" w:hAnsi="Times New Roman" w:cs="Times New Roman"/>
                <w:sz w:val="24"/>
                <w:szCs w:val="24"/>
              </w:rPr>
              <w:t>T</w:t>
            </w:r>
            <w:r w:rsidRPr="00041816">
              <w:rPr>
                <w:rFonts w:ascii="Times New Roman" w:hAnsi="Times New Roman" w:cs="Times New Roman"/>
                <w:sz w:val="24"/>
                <w:szCs w:val="24"/>
              </w:rPr>
              <w:t xml:space="preserve">otal cumulative effects </w:t>
            </w:r>
            <w:r>
              <w:rPr>
                <w:rFonts w:ascii="Times New Roman" w:hAnsi="Times New Roman" w:cs="Times New Roman"/>
                <w:sz w:val="24"/>
                <w:szCs w:val="24"/>
              </w:rPr>
              <w:t xml:space="preserve">should include all effects, not an arbitrary cutoff at </w:t>
            </w:r>
            <w:r w:rsidRPr="00041816">
              <w:rPr>
                <w:rFonts w:ascii="Times New Roman" w:hAnsi="Times New Roman" w:cs="Times New Roman"/>
                <w:sz w:val="24"/>
                <w:szCs w:val="24"/>
              </w:rPr>
              <w:t xml:space="preserve">55kW.  </w:t>
            </w:r>
            <w:r>
              <w:rPr>
                <w:rFonts w:ascii="Times New Roman" w:hAnsi="Times New Roman" w:cs="Times New Roman"/>
                <w:sz w:val="24"/>
                <w:szCs w:val="24"/>
              </w:rPr>
              <w:t>S</w:t>
            </w:r>
            <w:r w:rsidRPr="00041816">
              <w:rPr>
                <w:rFonts w:ascii="Times New Roman" w:hAnsi="Times New Roman" w:cs="Times New Roman"/>
                <w:sz w:val="24"/>
                <w:szCs w:val="24"/>
              </w:rPr>
              <w:t>ince there is no guidance on what to do with the studies, they are wasteful.</w:t>
            </w:r>
          </w:p>
        </w:tc>
        <w:tc>
          <w:tcPr>
            <w:tcW w:w="7725" w:type="dxa"/>
          </w:tcPr>
          <w:p w:rsidR="006E70B6" w:rsidRDefault="00330159" w:rsidP="006E70B6">
            <w:pPr>
              <w:rPr>
                <w:rFonts w:ascii="Times New Roman" w:hAnsi="Times New Roman" w:cs="Times New Roman"/>
                <w:sz w:val="24"/>
                <w:szCs w:val="24"/>
              </w:rPr>
            </w:pPr>
            <w:r>
              <w:rPr>
                <w:rFonts w:ascii="Times New Roman" w:hAnsi="Times New Roman" w:cs="Times New Roman"/>
                <w:sz w:val="24"/>
                <w:szCs w:val="24"/>
              </w:rPr>
              <w:t xml:space="preserve">The Commission </w:t>
            </w:r>
            <w:r w:rsidR="00674EE4" w:rsidRPr="00041816">
              <w:rPr>
                <w:rFonts w:ascii="Times New Roman" w:hAnsi="Times New Roman" w:cs="Times New Roman"/>
                <w:sz w:val="24"/>
                <w:szCs w:val="24"/>
              </w:rPr>
              <w:t xml:space="preserve">disagrees that cumulative effects analysis is wasteful and unnecessary.  </w:t>
            </w:r>
          </w:p>
          <w:p w:rsidR="006E70B6" w:rsidRDefault="006E70B6" w:rsidP="006E70B6">
            <w:pPr>
              <w:rPr>
                <w:rFonts w:ascii="Times New Roman" w:hAnsi="Times New Roman" w:cs="Times New Roman"/>
                <w:sz w:val="24"/>
                <w:szCs w:val="24"/>
              </w:rPr>
            </w:pPr>
          </w:p>
          <w:p w:rsidR="00674EE4" w:rsidRPr="00041816" w:rsidRDefault="00674EE4" w:rsidP="00330159">
            <w:pPr>
              <w:rPr>
                <w:rFonts w:ascii="Times New Roman" w:hAnsi="Times New Roman" w:cs="Times New Roman"/>
                <w:sz w:val="24"/>
                <w:szCs w:val="24"/>
              </w:rPr>
            </w:pPr>
            <w:r w:rsidRPr="00041816">
              <w:rPr>
                <w:rFonts w:ascii="Times New Roman" w:hAnsi="Times New Roman" w:cs="Times New Roman"/>
                <w:sz w:val="24"/>
                <w:szCs w:val="24"/>
              </w:rPr>
              <w:t xml:space="preserve">However, any cumulative effect analysis </w:t>
            </w:r>
            <w:r>
              <w:rPr>
                <w:rFonts w:ascii="Times New Roman" w:hAnsi="Times New Roman" w:cs="Times New Roman"/>
                <w:sz w:val="24"/>
                <w:szCs w:val="24"/>
              </w:rPr>
              <w:t xml:space="preserve">should cover </w:t>
            </w:r>
            <w:r w:rsidRPr="00041816">
              <w:rPr>
                <w:rFonts w:ascii="Times New Roman" w:hAnsi="Times New Roman" w:cs="Times New Roman"/>
                <w:sz w:val="24"/>
                <w:szCs w:val="24"/>
              </w:rPr>
              <w:t>all interconnected systems</w:t>
            </w:r>
            <w:r>
              <w:rPr>
                <w:rFonts w:ascii="Times New Roman" w:hAnsi="Times New Roman" w:cs="Times New Roman"/>
                <w:sz w:val="24"/>
                <w:szCs w:val="24"/>
              </w:rPr>
              <w:t xml:space="preserve">, and </w:t>
            </w:r>
            <w:r w:rsidRPr="00041816">
              <w:rPr>
                <w:rFonts w:ascii="Times New Roman" w:hAnsi="Times New Roman" w:cs="Times New Roman"/>
                <w:sz w:val="24"/>
                <w:szCs w:val="24"/>
              </w:rPr>
              <w:t>the title implie</w:t>
            </w:r>
            <w:r w:rsidR="00330159">
              <w:rPr>
                <w:rFonts w:ascii="Times New Roman" w:hAnsi="Times New Roman" w:cs="Times New Roman"/>
                <w:sz w:val="24"/>
                <w:szCs w:val="24"/>
              </w:rPr>
              <w:t>s</w:t>
            </w:r>
            <w:r w:rsidRPr="00041816">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041816">
              <w:rPr>
                <w:rFonts w:ascii="Times New Roman" w:hAnsi="Times New Roman" w:cs="Times New Roman"/>
                <w:sz w:val="24"/>
                <w:szCs w:val="24"/>
              </w:rPr>
              <w:t xml:space="preserve">less than all interconnections </w:t>
            </w:r>
            <w:r>
              <w:rPr>
                <w:rFonts w:ascii="Times New Roman" w:hAnsi="Times New Roman" w:cs="Times New Roman"/>
                <w:sz w:val="24"/>
                <w:szCs w:val="24"/>
              </w:rPr>
              <w:t xml:space="preserve">should be considered.  Accordingly, </w:t>
            </w:r>
            <w:r w:rsidR="00330159">
              <w:rPr>
                <w:rFonts w:ascii="Times New Roman" w:hAnsi="Times New Roman" w:cs="Times New Roman"/>
                <w:sz w:val="24"/>
                <w:szCs w:val="24"/>
              </w:rPr>
              <w:t>the proposed rules</w:t>
            </w:r>
            <w:r>
              <w:rPr>
                <w:rFonts w:ascii="Times New Roman" w:hAnsi="Times New Roman" w:cs="Times New Roman"/>
                <w:sz w:val="24"/>
                <w:szCs w:val="24"/>
              </w:rPr>
              <w:t xml:space="preserve"> include a revised </w:t>
            </w:r>
            <w:r w:rsidRPr="00041816">
              <w:rPr>
                <w:rFonts w:ascii="Times New Roman" w:hAnsi="Times New Roman" w:cs="Times New Roman"/>
                <w:sz w:val="24"/>
                <w:szCs w:val="24"/>
              </w:rPr>
              <w:t>title</w:t>
            </w:r>
            <w:r>
              <w:rPr>
                <w:rFonts w:ascii="Times New Roman" w:hAnsi="Times New Roman" w:cs="Times New Roman"/>
                <w:sz w:val="24"/>
                <w:szCs w:val="24"/>
              </w:rPr>
              <w:t>.</w:t>
            </w:r>
          </w:p>
        </w:tc>
      </w:tr>
    </w:tbl>
    <w:p w:rsidR="00E5446E" w:rsidRPr="00AD3312" w:rsidRDefault="00E5446E" w:rsidP="00AD3312">
      <w:pPr>
        <w:rPr>
          <w:rFonts w:ascii="Times New Roman" w:hAnsi="Times New Roman" w:cs="Times New Roman"/>
          <w:sz w:val="24"/>
          <w:szCs w:val="24"/>
        </w:rPr>
      </w:pPr>
    </w:p>
    <w:sectPr w:rsidR="00E5446E" w:rsidRPr="00AD3312" w:rsidSect="00D21045">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B67" w:rsidRDefault="003C4B67" w:rsidP="00A670D3">
      <w:r>
        <w:separator/>
      </w:r>
    </w:p>
  </w:endnote>
  <w:endnote w:type="continuationSeparator" w:id="0">
    <w:p w:rsidR="003C4B67" w:rsidRDefault="003C4B67" w:rsidP="00A6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318758"/>
      <w:docPartObj>
        <w:docPartGallery w:val="Page Numbers (Bottom of Page)"/>
        <w:docPartUnique/>
      </w:docPartObj>
    </w:sdtPr>
    <w:sdtEndPr>
      <w:rPr>
        <w:noProof/>
      </w:rPr>
    </w:sdtEndPr>
    <w:sdtContent>
      <w:p w:rsidR="003C4B67" w:rsidRDefault="003C4B67">
        <w:pPr>
          <w:pStyle w:val="Footer"/>
          <w:jc w:val="center"/>
        </w:pPr>
        <w:r>
          <w:fldChar w:fldCharType="begin"/>
        </w:r>
        <w:r>
          <w:instrText xml:space="preserve"> PAGE   \* MERGEFORMAT </w:instrText>
        </w:r>
        <w:r>
          <w:fldChar w:fldCharType="separate"/>
        </w:r>
        <w:r w:rsidR="00B41A4F">
          <w:rPr>
            <w:noProof/>
          </w:rPr>
          <w:t>1</w:t>
        </w:r>
        <w:r>
          <w:rPr>
            <w:noProof/>
          </w:rPr>
          <w:fldChar w:fldCharType="end"/>
        </w:r>
      </w:p>
    </w:sdtContent>
  </w:sdt>
  <w:p w:rsidR="003C4B67" w:rsidRDefault="003C4B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B67" w:rsidRDefault="003C4B67" w:rsidP="00A670D3">
      <w:r>
        <w:separator/>
      </w:r>
    </w:p>
  </w:footnote>
  <w:footnote w:type="continuationSeparator" w:id="0">
    <w:p w:rsidR="003C4B67" w:rsidRDefault="003C4B67" w:rsidP="00A670D3">
      <w:r>
        <w:continuationSeparator/>
      </w:r>
    </w:p>
  </w:footnote>
  <w:footnote w:id="1">
    <w:p w:rsidR="00077AC4" w:rsidRPr="00077AC4" w:rsidRDefault="00077AC4" w:rsidP="00077AC4">
      <w:pPr>
        <w:pStyle w:val="FootnoteText"/>
        <w:rPr>
          <w:rFonts w:ascii="Times New Roman" w:hAnsi="Times New Roman" w:cs="Times New Roman"/>
        </w:rPr>
      </w:pPr>
      <w:r w:rsidRPr="00077AC4">
        <w:rPr>
          <w:rStyle w:val="FootnoteReference"/>
          <w:rFonts w:ascii="Times New Roman" w:hAnsi="Times New Roman" w:cs="Times New Roman"/>
        </w:rPr>
        <w:footnoteRef/>
      </w:r>
      <w:r w:rsidRPr="00077AC4">
        <w:rPr>
          <w:rFonts w:ascii="Times New Roman" w:hAnsi="Times New Roman" w:cs="Times New Roman"/>
        </w:rPr>
        <w:t xml:space="preserve"> Some comments submitted on December 21, 2012 are also included in this document to allow the Commission to respond.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94490"/>
    <w:multiLevelType w:val="hybridMultilevel"/>
    <w:tmpl w:val="057A71B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0D8364B"/>
    <w:multiLevelType w:val="hybridMultilevel"/>
    <w:tmpl w:val="7736C0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04C7EB3"/>
    <w:multiLevelType w:val="hybridMultilevel"/>
    <w:tmpl w:val="DBF852E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74A5AF1"/>
    <w:multiLevelType w:val="hybridMultilevel"/>
    <w:tmpl w:val="AEEE82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B6374C6"/>
    <w:multiLevelType w:val="hybridMultilevel"/>
    <w:tmpl w:val="9C0ABB6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46E"/>
    <w:rsid w:val="0002695A"/>
    <w:rsid w:val="00040E67"/>
    <w:rsid w:val="00077AC4"/>
    <w:rsid w:val="000C1215"/>
    <w:rsid w:val="000D5ED6"/>
    <w:rsid w:val="000E640C"/>
    <w:rsid w:val="000F08A4"/>
    <w:rsid w:val="000F2973"/>
    <w:rsid w:val="000F7DAB"/>
    <w:rsid w:val="001871AE"/>
    <w:rsid w:val="00192EAD"/>
    <w:rsid w:val="001A30DE"/>
    <w:rsid w:val="001C5AB1"/>
    <w:rsid w:val="001D5869"/>
    <w:rsid w:val="001E1D7A"/>
    <w:rsid w:val="00205A25"/>
    <w:rsid w:val="00227BE7"/>
    <w:rsid w:val="00231BD7"/>
    <w:rsid w:val="002722D6"/>
    <w:rsid w:val="00290A51"/>
    <w:rsid w:val="002C039A"/>
    <w:rsid w:val="002C4CEA"/>
    <w:rsid w:val="00316699"/>
    <w:rsid w:val="003175C3"/>
    <w:rsid w:val="00330159"/>
    <w:rsid w:val="00377242"/>
    <w:rsid w:val="003930C3"/>
    <w:rsid w:val="003C4B67"/>
    <w:rsid w:val="004205E7"/>
    <w:rsid w:val="00421EFD"/>
    <w:rsid w:val="00433607"/>
    <w:rsid w:val="00462F60"/>
    <w:rsid w:val="004A1148"/>
    <w:rsid w:val="00517CAA"/>
    <w:rsid w:val="00526935"/>
    <w:rsid w:val="00552600"/>
    <w:rsid w:val="00563FC9"/>
    <w:rsid w:val="005A6C74"/>
    <w:rsid w:val="005F1B5D"/>
    <w:rsid w:val="00606A82"/>
    <w:rsid w:val="0062756B"/>
    <w:rsid w:val="006418DB"/>
    <w:rsid w:val="00667575"/>
    <w:rsid w:val="00672F7B"/>
    <w:rsid w:val="00674EE4"/>
    <w:rsid w:val="006A41EE"/>
    <w:rsid w:val="006E70B6"/>
    <w:rsid w:val="0078501A"/>
    <w:rsid w:val="007B0218"/>
    <w:rsid w:val="007D2DC0"/>
    <w:rsid w:val="007D7ED4"/>
    <w:rsid w:val="00841AC3"/>
    <w:rsid w:val="00847F94"/>
    <w:rsid w:val="0085072A"/>
    <w:rsid w:val="00851E8C"/>
    <w:rsid w:val="00867C91"/>
    <w:rsid w:val="00872463"/>
    <w:rsid w:val="008846D7"/>
    <w:rsid w:val="0089675C"/>
    <w:rsid w:val="008B2DEA"/>
    <w:rsid w:val="008C04A9"/>
    <w:rsid w:val="008D5B79"/>
    <w:rsid w:val="00942CAE"/>
    <w:rsid w:val="00960598"/>
    <w:rsid w:val="00977282"/>
    <w:rsid w:val="00A354B2"/>
    <w:rsid w:val="00A4660F"/>
    <w:rsid w:val="00A55D57"/>
    <w:rsid w:val="00A670D3"/>
    <w:rsid w:val="00A84C2A"/>
    <w:rsid w:val="00A8629C"/>
    <w:rsid w:val="00AD3312"/>
    <w:rsid w:val="00AD6312"/>
    <w:rsid w:val="00AE2148"/>
    <w:rsid w:val="00AE273E"/>
    <w:rsid w:val="00B0799A"/>
    <w:rsid w:val="00B13041"/>
    <w:rsid w:val="00B16D84"/>
    <w:rsid w:val="00B260E7"/>
    <w:rsid w:val="00B348A5"/>
    <w:rsid w:val="00B41A4F"/>
    <w:rsid w:val="00B843EF"/>
    <w:rsid w:val="00C97CD4"/>
    <w:rsid w:val="00CE6912"/>
    <w:rsid w:val="00CF4DF8"/>
    <w:rsid w:val="00D21045"/>
    <w:rsid w:val="00D212BB"/>
    <w:rsid w:val="00DA1B86"/>
    <w:rsid w:val="00DA326A"/>
    <w:rsid w:val="00DC64C2"/>
    <w:rsid w:val="00DD2A47"/>
    <w:rsid w:val="00E07851"/>
    <w:rsid w:val="00E23031"/>
    <w:rsid w:val="00E5446E"/>
    <w:rsid w:val="00E73F3E"/>
    <w:rsid w:val="00E828AC"/>
    <w:rsid w:val="00E87D0E"/>
    <w:rsid w:val="00EA08B6"/>
    <w:rsid w:val="00EF02FE"/>
    <w:rsid w:val="00EF3F12"/>
    <w:rsid w:val="00F002BF"/>
    <w:rsid w:val="00F21B68"/>
    <w:rsid w:val="00F855B9"/>
    <w:rsid w:val="00F9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544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70D3"/>
    <w:pPr>
      <w:tabs>
        <w:tab w:val="center" w:pos="4680"/>
        <w:tab w:val="right" w:pos="9360"/>
      </w:tabs>
    </w:pPr>
  </w:style>
  <w:style w:type="character" w:customStyle="1" w:styleId="HeaderChar">
    <w:name w:val="Header Char"/>
    <w:basedOn w:val="DefaultParagraphFont"/>
    <w:link w:val="Header"/>
    <w:uiPriority w:val="99"/>
    <w:rsid w:val="00A670D3"/>
  </w:style>
  <w:style w:type="paragraph" w:styleId="Footer">
    <w:name w:val="footer"/>
    <w:basedOn w:val="Normal"/>
    <w:link w:val="FooterChar"/>
    <w:uiPriority w:val="99"/>
    <w:unhideWhenUsed/>
    <w:rsid w:val="00A670D3"/>
    <w:pPr>
      <w:tabs>
        <w:tab w:val="center" w:pos="4680"/>
        <w:tab w:val="right" w:pos="9360"/>
      </w:tabs>
    </w:pPr>
  </w:style>
  <w:style w:type="character" w:customStyle="1" w:styleId="FooterChar">
    <w:name w:val="Footer Char"/>
    <w:basedOn w:val="DefaultParagraphFont"/>
    <w:link w:val="Footer"/>
    <w:uiPriority w:val="99"/>
    <w:rsid w:val="00A670D3"/>
  </w:style>
  <w:style w:type="character" w:styleId="Hyperlink">
    <w:name w:val="Hyperlink"/>
    <w:basedOn w:val="DefaultParagraphFont"/>
    <w:uiPriority w:val="99"/>
    <w:unhideWhenUsed/>
    <w:rsid w:val="00517CAA"/>
    <w:rPr>
      <w:color w:val="0000FF" w:themeColor="hyperlink"/>
      <w:u w:val="single"/>
    </w:rPr>
  </w:style>
  <w:style w:type="paragraph" w:styleId="ListParagraph">
    <w:name w:val="List Paragraph"/>
    <w:basedOn w:val="Normal"/>
    <w:uiPriority w:val="34"/>
    <w:qFormat/>
    <w:rsid w:val="00377242"/>
    <w:pPr>
      <w:spacing w:after="200" w:line="276" w:lineRule="auto"/>
      <w:ind w:left="720"/>
      <w:contextualSpacing/>
    </w:pPr>
  </w:style>
  <w:style w:type="paragraph" w:styleId="BalloonText">
    <w:name w:val="Balloon Text"/>
    <w:basedOn w:val="Normal"/>
    <w:link w:val="BalloonTextChar"/>
    <w:uiPriority w:val="99"/>
    <w:semiHidden/>
    <w:unhideWhenUsed/>
    <w:rsid w:val="003930C3"/>
    <w:rPr>
      <w:rFonts w:ascii="Tahoma" w:hAnsi="Tahoma" w:cs="Tahoma"/>
      <w:sz w:val="16"/>
      <w:szCs w:val="16"/>
    </w:rPr>
  </w:style>
  <w:style w:type="character" w:customStyle="1" w:styleId="BalloonTextChar">
    <w:name w:val="Balloon Text Char"/>
    <w:basedOn w:val="DefaultParagraphFont"/>
    <w:link w:val="BalloonText"/>
    <w:uiPriority w:val="99"/>
    <w:semiHidden/>
    <w:rsid w:val="003930C3"/>
    <w:rPr>
      <w:rFonts w:ascii="Tahoma" w:hAnsi="Tahoma" w:cs="Tahoma"/>
      <w:sz w:val="16"/>
      <w:szCs w:val="16"/>
    </w:rPr>
  </w:style>
  <w:style w:type="character" w:styleId="CommentReference">
    <w:name w:val="annotation reference"/>
    <w:basedOn w:val="DefaultParagraphFont"/>
    <w:uiPriority w:val="99"/>
    <w:semiHidden/>
    <w:unhideWhenUsed/>
    <w:rsid w:val="003C4B67"/>
    <w:rPr>
      <w:sz w:val="16"/>
      <w:szCs w:val="16"/>
    </w:rPr>
  </w:style>
  <w:style w:type="paragraph" w:styleId="CommentText">
    <w:name w:val="annotation text"/>
    <w:basedOn w:val="Normal"/>
    <w:link w:val="CommentTextChar"/>
    <w:uiPriority w:val="99"/>
    <w:semiHidden/>
    <w:unhideWhenUsed/>
    <w:rsid w:val="003C4B67"/>
    <w:rPr>
      <w:sz w:val="20"/>
      <w:szCs w:val="20"/>
    </w:rPr>
  </w:style>
  <w:style w:type="character" w:customStyle="1" w:styleId="CommentTextChar">
    <w:name w:val="Comment Text Char"/>
    <w:basedOn w:val="DefaultParagraphFont"/>
    <w:link w:val="CommentText"/>
    <w:uiPriority w:val="99"/>
    <w:semiHidden/>
    <w:rsid w:val="003C4B67"/>
    <w:rPr>
      <w:sz w:val="20"/>
      <w:szCs w:val="20"/>
    </w:rPr>
  </w:style>
  <w:style w:type="paragraph" w:styleId="CommentSubject">
    <w:name w:val="annotation subject"/>
    <w:basedOn w:val="CommentText"/>
    <w:next w:val="CommentText"/>
    <w:link w:val="CommentSubjectChar"/>
    <w:uiPriority w:val="99"/>
    <w:semiHidden/>
    <w:unhideWhenUsed/>
    <w:rsid w:val="003C4B67"/>
    <w:rPr>
      <w:b/>
      <w:bCs/>
    </w:rPr>
  </w:style>
  <w:style w:type="character" w:customStyle="1" w:styleId="CommentSubjectChar">
    <w:name w:val="Comment Subject Char"/>
    <w:basedOn w:val="CommentTextChar"/>
    <w:link w:val="CommentSubject"/>
    <w:uiPriority w:val="99"/>
    <w:semiHidden/>
    <w:rsid w:val="003C4B67"/>
    <w:rPr>
      <w:b/>
      <w:bCs/>
      <w:sz w:val="20"/>
      <w:szCs w:val="20"/>
    </w:rPr>
  </w:style>
  <w:style w:type="paragraph" w:styleId="FootnoteText">
    <w:name w:val="footnote text"/>
    <w:basedOn w:val="Normal"/>
    <w:link w:val="FootnoteTextChar"/>
    <w:uiPriority w:val="99"/>
    <w:semiHidden/>
    <w:unhideWhenUsed/>
    <w:rsid w:val="00077AC4"/>
    <w:rPr>
      <w:sz w:val="20"/>
      <w:szCs w:val="20"/>
    </w:rPr>
  </w:style>
  <w:style w:type="character" w:customStyle="1" w:styleId="FootnoteTextChar">
    <w:name w:val="Footnote Text Char"/>
    <w:basedOn w:val="DefaultParagraphFont"/>
    <w:link w:val="FootnoteText"/>
    <w:uiPriority w:val="99"/>
    <w:semiHidden/>
    <w:rsid w:val="00077AC4"/>
    <w:rPr>
      <w:sz w:val="20"/>
      <w:szCs w:val="20"/>
    </w:rPr>
  </w:style>
  <w:style w:type="character" w:styleId="FootnoteReference">
    <w:name w:val="footnote reference"/>
    <w:basedOn w:val="DefaultParagraphFont"/>
    <w:uiPriority w:val="99"/>
    <w:semiHidden/>
    <w:unhideWhenUsed/>
    <w:rsid w:val="00077AC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544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70D3"/>
    <w:pPr>
      <w:tabs>
        <w:tab w:val="center" w:pos="4680"/>
        <w:tab w:val="right" w:pos="9360"/>
      </w:tabs>
    </w:pPr>
  </w:style>
  <w:style w:type="character" w:customStyle="1" w:styleId="HeaderChar">
    <w:name w:val="Header Char"/>
    <w:basedOn w:val="DefaultParagraphFont"/>
    <w:link w:val="Header"/>
    <w:uiPriority w:val="99"/>
    <w:rsid w:val="00A670D3"/>
  </w:style>
  <w:style w:type="paragraph" w:styleId="Footer">
    <w:name w:val="footer"/>
    <w:basedOn w:val="Normal"/>
    <w:link w:val="FooterChar"/>
    <w:uiPriority w:val="99"/>
    <w:unhideWhenUsed/>
    <w:rsid w:val="00A670D3"/>
    <w:pPr>
      <w:tabs>
        <w:tab w:val="center" w:pos="4680"/>
        <w:tab w:val="right" w:pos="9360"/>
      </w:tabs>
    </w:pPr>
  </w:style>
  <w:style w:type="character" w:customStyle="1" w:styleId="FooterChar">
    <w:name w:val="Footer Char"/>
    <w:basedOn w:val="DefaultParagraphFont"/>
    <w:link w:val="Footer"/>
    <w:uiPriority w:val="99"/>
    <w:rsid w:val="00A670D3"/>
  </w:style>
  <w:style w:type="character" w:styleId="Hyperlink">
    <w:name w:val="Hyperlink"/>
    <w:basedOn w:val="DefaultParagraphFont"/>
    <w:uiPriority w:val="99"/>
    <w:unhideWhenUsed/>
    <w:rsid w:val="00517CAA"/>
    <w:rPr>
      <w:color w:val="0000FF" w:themeColor="hyperlink"/>
      <w:u w:val="single"/>
    </w:rPr>
  </w:style>
  <w:style w:type="paragraph" w:styleId="ListParagraph">
    <w:name w:val="List Paragraph"/>
    <w:basedOn w:val="Normal"/>
    <w:uiPriority w:val="34"/>
    <w:qFormat/>
    <w:rsid w:val="00377242"/>
    <w:pPr>
      <w:spacing w:after="200" w:line="276" w:lineRule="auto"/>
      <w:ind w:left="720"/>
      <w:contextualSpacing/>
    </w:pPr>
  </w:style>
  <w:style w:type="paragraph" w:styleId="BalloonText">
    <w:name w:val="Balloon Text"/>
    <w:basedOn w:val="Normal"/>
    <w:link w:val="BalloonTextChar"/>
    <w:uiPriority w:val="99"/>
    <w:semiHidden/>
    <w:unhideWhenUsed/>
    <w:rsid w:val="003930C3"/>
    <w:rPr>
      <w:rFonts w:ascii="Tahoma" w:hAnsi="Tahoma" w:cs="Tahoma"/>
      <w:sz w:val="16"/>
      <w:szCs w:val="16"/>
    </w:rPr>
  </w:style>
  <w:style w:type="character" w:customStyle="1" w:styleId="BalloonTextChar">
    <w:name w:val="Balloon Text Char"/>
    <w:basedOn w:val="DefaultParagraphFont"/>
    <w:link w:val="BalloonText"/>
    <w:uiPriority w:val="99"/>
    <w:semiHidden/>
    <w:rsid w:val="003930C3"/>
    <w:rPr>
      <w:rFonts w:ascii="Tahoma" w:hAnsi="Tahoma" w:cs="Tahoma"/>
      <w:sz w:val="16"/>
      <w:szCs w:val="16"/>
    </w:rPr>
  </w:style>
  <w:style w:type="character" w:styleId="CommentReference">
    <w:name w:val="annotation reference"/>
    <w:basedOn w:val="DefaultParagraphFont"/>
    <w:uiPriority w:val="99"/>
    <w:semiHidden/>
    <w:unhideWhenUsed/>
    <w:rsid w:val="003C4B67"/>
    <w:rPr>
      <w:sz w:val="16"/>
      <w:szCs w:val="16"/>
    </w:rPr>
  </w:style>
  <w:style w:type="paragraph" w:styleId="CommentText">
    <w:name w:val="annotation text"/>
    <w:basedOn w:val="Normal"/>
    <w:link w:val="CommentTextChar"/>
    <w:uiPriority w:val="99"/>
    <w:semiHidden/>
    <w:unhideWhenUsed/>
    <w:rsid w:val="003C4B67"/>
    <w:rPr>
      <w:sz w:val="20"/>
      <w:szCs w:val="20"/>
    </w:rPr>
  </w:style>
  <w:style w:type="character" w:customStyle="1" w:styleId="CommentTextChar">
    <w:name w:val="Comment Text Char"/>
    <w:basedOn w:val="DefaultParagraphFont"/>
    <w:link w:val="CommentText"/>
    <w:uiPriority w:val="99"/>
    <w:semiHidden/>
    <w:rsid w:val="003C4B67"/>
    <w:rPr>
      <w:sz w:val="20"/>
      <w:szCs w:val="20"/>
    </w:rPr>
  </w:style>
  <w:style w:type="paragraph" w:styleId="CommentSubject">
    <w:name w:val="annotation subject"/>
    <w:basedOn w:val="CommentText"/>
    <w:next w:val="CommentText"/>
    <w:link w:val="CommentSubjectChar"/>
    <w:uiPriority w:val="99"/>
    <w:semiHidden/>
    <w:unhideWhenUsed/>
    <w:rsid w:val="003C4B67"/>
    <w:rPr>
      <w:b/>
      <w:bCs/>
    </w:rPr>
  </w:style>
  <w:style w:type="character" w:customStyle="1" w:styleId="CommentSubjectChar">
    <w:name w:val="Comment Subject Char"/>
    <w:basedOn w:val="CommentTextChar"/>
    <w:link w:val="CommentSubject"/>
    <w:uiPriority w:val="99"/>
    <w:semiHidden/>
    <w:rsid w:val="003C4B67"/>
    <w:rPr>
      <w:b/>
      <w:bCs/>
      <w:sz w:val="20"/>
      <w:szCs w:val="20"/>
    </w:rPr>
  </w:style>
  <w:style w:type="paragraph" w:styleId="FootnoteText">
    <w:name w:val="footnote text"/>
    <w:basedOn w:val="Normal"/>
    <w:link w:val="FootnoteTextChar"/>
    <w:uiPriority w:val="99"/>
    <w:semiHidden/>
    <w:unhideWhenUsed/>
    <w:rsid w:val="00077AC4"/>
    <w:rPr>
      <w:sz w:val="20"/>
      <w:szCs w:val="20"/>
    </w:rPr>
  </w:style>
  <w:style w:type="character" w:customStyle="1" w:styleId="FootnoteTextChar">
    <w:name w:val="Footnote Text Char"/>
    <w:basedOn w:val="DefaultParagraphFont"/>
    <w:link w:val="FootnoteText"/>
    <w:uiPriority w:val="99"/>
    <w:semiHidden/>
    <w:rsid w:val="00077AC4"/>
    <w:rPr>
      <w:sz w:val="20"/>
      <w:szCs w:val="20"/>
    </w:rPr>
  </w:style>
  <w:style w:type="character" w:styleId="FootnoteReference">
    <w:name w:val="footnote reference"/>
    <w:basedOn w:val="DefaultParagraphFont"/>
    <w:uiPriority w:val="99"/>
    <w:semiHidden/>
    <w:unhideWhenUsed/>
    <w:rsid w:val="00077A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utc.wa.gov/rms2.nsf/177d98baa5918c7388256a550064a61e/23c2dfeb293c30948825791b007251a9!OpenDocument"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CR-102</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2013-04-17T07:00:00+00:00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AFD13-F94B-49F1-BF9D-6C4367E7390F}"/>
</file>

<file path=customXml/itemProps2.xml><?xml version="1.0" encoding="utf-8"?>
<ds:datastoreItem xmlns:ds="http://schemas.openxmlformats.org/officeDocument/2006/customXml" ds:itemID="{4845325A-DC2C-4941-A199-C387364AF616}"/>
</file>

<file path=customXml/itemProps3.xml><?xml version="1.0" encoding="utf-8"?>
<ds:datastoreItem xmlns:ds="http://schemas.openxmlformats.org/officeDocument/2006/customXml" ds:itemID="{ABD358BB-12C0-4807-8182-30C13DB9C976}"/>
</file>

<file path=customXml/itemProps4.xml><?xml version="1.0" encoding="utf-8"?>
<ds:datastoreItem xmlns:ds="http://schemas.openxmlformats.org/officeDocument/2006/customXml" ds:itemID="{98B88AE2-F563-40A8-B59A-DA7A1EBAD927}"/>
</file>

<file path=docProps/app.xml><?xml version="1.0" encoding="utf-8"?>
<Properties xmlns="http://schemas.openxmlformats.org/officeDocument/2006/extended-properties" xmlns:vt="http://schemas.openxmlformats.org/officeDocument/2006/docPropsVTypes">
  <Template>Normal</Template>
  <TotalTime>0</TotalTime>
  <Pages>7</Pages>
  <Words>2230</Words>
  <Characters>12712</Characters>
  <Application>Microsoft Office Word</Application>
  <DocSecurity>0</DocSecurity>
  <Lines>105</Lines>
  <Paragraphs>29</Paragraphs>
  <ScaleCrop>false</ScaleCrop>
  <Company/>
  <LinksUpToDate>false</LinksUpToDate>
  <CharactersWithSpaces>14913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2013-04-12T18:09:00Z</dcterms:created>
  <dcterms:modified xsi:type="dcterms:W3CDTF">2013-04-12T18:09:00Z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0x0101006E56B4D1795A2E4DB2F0B01679ED314A001072D3F4E407594A9C69547AA3C5F758</vt:lpwstr>
  </property>
  <property fmtid="{D5CDD505-2E9C-101B-9397-08002B2CF9AE}" pid="3" name="_docset_NoMedatataSyncRequired">
    <vt:lpwstr>False</vt:lpwstr>
  </property>
</Properties>
</file>