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9D2" w:rsidRPr="00D335A3" w:rsidRDefault="005139D2" w:rsidP="005139D2">
      <w:pPr>
        <w:tabs>
          <w:tab w:val="center" w:pos="4680"/>
        </w:tabs>
        <w:spacing w:after="0" w:line="240" w:lineRule="auto"/>
        <w:ind w:right="-108" w:hanging="180"/>
        <w:jc w:val="both"/>
        <w:rPr>
          <w:rFonts w:cs="Times New Roman"/>
        </w:rPr>
      </w:pPr>
    </w:p>
    <w:p w:rsidR="005139D2" w:rsidRPr="00D335A3" w:rsidRDefault="005139D2" w:rsidP="005139D2">
      <w:pPr>
        <w:tabs>
          <w:tab w:val="center" w:pos="4680"/>
        </w:tabs>
        <w:spacing w:after="0" w:line="240" w:lineRule="auto"/>
        <w:ind w:right="-108" w:hanging="180"/>
        <w:jc w:val="both"/>
        <w:rPr>
          <w:rFonts w:cs="Times New Roman"/>
        </w:rPr>
      </w:pPr>
    </w:p>
    <w:p w:rsidR="005139D2" w:rsidRPr="00D335A3" w:rsidRDefault="005139D2" w:rsidP="005139D2">
      <w:pPr>
        <w:tabs>
          <w:tab w:val="center" w:pos="4680"/>
        </w:tabs>
        <w:spacing w:after="0" w:line="240" w:lineRule="auto"/>
        <w:ind w:right="-108" w:hanging="180"/>
        <w:jc w:val="both"/>
        <w:rPr>
          <w:rFonts w:cs="Times New Roman"/>
        </w:rPr>
      </w:pPr>
    </w:p>
    <w:p w:rsidR="005139D2" w:rsidRPr="00D335A3" w:rsidRDefault="005139D2" w:rsidP="005139D2">
      <w:pPr>
        <w:tabs>
          <w:tab w:val="center" w:pos="4680"/>
        </w:tabs>
        <w:spacing w:after="0" w:line="240" w:lineRule="auto"/>
        <w:ind w:right="-108" w:hanging="180"/>
        <w:jc w:val="both"/>
        <w:rPr>
          <w:rFonts w:cs="Times New Roman"/>
        </w:rPr>
      </w:pPr>
    </w:p>
    <w:p w:rsidR="005139D2" w:rsidRPr="00D335A3" w:rsidRDefault="005139D2" w:rsidP="005139D2">
      <w:pPr>
        <w:tabs>
          <w:tab w:val="center" w:pos="4680"/>
        </w:tabs>
        <w:spacing w:after="0" w:line="240" w:lineRule="auto"/>
        <w:ind w:right="18" w:hanging="180"/>
        <w:jc w:val="both"/>
        <w:rPr>
          <w:rFonts w:cs="Times New Roman"/>
        </w:rPr>
      </w:pPr>
    </w:p>
    <w:p w:rsidR="005139D2" w:rsidRPr="00D335A3" w:rsidRDefault="005139D2" w:rsidP="005139D2">
      <w:pPr>
        <w:tabs>
          <w:tab w:val="center" w:pos="4680"/>
        </w:tabs>
        <w:spacing w:after="0" w:line="240" w:lineRule="auto"/>
        <w:ind w:right="18" w:hanging="180"/>
        <w:jc w:val="both"/>
        <w:rPr>
          <w:rFonts w:cs="Times New Roman"/>
        </w:rPr>
      </w:pPr>
    </w:p>
    <w:p w:rsidR="005139D2" w:rsidRPr="00D335A3" w:rsidRDefault="005139D2" w:rsidP="005139D2">
      <w:pPr>
        <w:tabs>
          <w:tab w:val="center" w:pos="4680"/>
        </w:tabs>
        <w:spacing w:after="0" w:line="240" w:lineRule="auto"/>
        <w:ind w:right="18" w:hanging="180"/>
        <w:jc w:val="both"/>
        <w:rPr>
          <w:rFonts w:cs="Times New Roman"/>
        </w:rPr>
      </w:pPr>
    </w:p>
    <w:p w:rsidR="005139D2" w:rsidRPr="00BE4C2D" w:rsidRDefault="005139D2" w:rsidP="005139D2">
      <w:pPr>
        <w:tabs>
          <w:tab w:val="center" w:pos="4680"/>
        </w:tabs>
        <w:spacing w:after="0" w:line="240" w:lineRule="auto"/>
        <w:ind w:right="18" w:hanging="360"/>
        <w:jc w:val="both"/>
        <w:rPr>
          <w:rFonts w:cs="Times New Roman"/>
          <w:b/>
        </w:rPr>
      </w:pPr>
    </w:p>
    <w:p w:rsidR="005139D2" w:rsidRPr="00BE4C2D" w:rsidRDefault="005139D2" w:rsidP="00BE4C2D">
      <w:pPr>
        <w:spacing w:after="0" w:line="240" w:lineRule="auto"/>
        <w:ind w:left="-180" w:right="-162"/>
        <w:jc w:val="center"/>
        <w:rPr>
          <w:rFonts w:cs="Times New Roman"/>
          <w:b/>
        </w:rPr>
      </w:pPr>
      <w:r w:rsidRPr="00BE4C2D">
        <w:rPr>
          <w:rFonts w:cs="Times New Roman"/>
          <w:b/>
        </w:rPr>
        <w:t>BEFORE THE WASHINGTON UTILITIES AND TRANSPORTATION COMMISSION</w:t>
      </w:r>
    </w:p>
    <w:p w:rsidR="005139D2" w:rsidRPr="00BE4C2D" w:rsidRDefault="005139D2" w:rsidP="005139D2">
      <w:pPr>
        <w:spacing w:after="0" w:line="240" w:lineRule="auto"/>
        <w:ind w:right="18"/>
        <w:jc w:val="both"/>
        <w:rPr>
          <w:rFonts w:cs="Times New Roman"/>
          <w:b/>
        </w:rPr>
      </w:pPr>
    </w:p>
    <w:p w:rsidR="005139D2" w:rsidRPr="00BE4C2D" w:rsidRDefault="005139D2" w:rsidP="005139D2">
      <w:pPr>
        <w:spacing w:after="0" w:line="240" w:lineRule="auto"/>
        <w:ind w:right="18"/>
        <w:jc w:val="both"/>
        <w:rPr>
          <w:rFonts w:cs="Times New Roman"/>
          <w:b/>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5139D2" w:rsidRPr="00BE4C2D" w:rsidTr="00771989">
        <w:tc>
          <w:tcPr>
            <w:tcW w:w="4590" w:type="dxa"/>
            <w:tcBorders>
              <w:top w:val="single" w:sz="6" w:space="0" w:color="FFFFFF"/>
              <w:left w:val="single" w:sz="6" w:space="0" w:color="FFFFFF"/>
              <w:bottom w:val="single" w:sz="7" w:space="0" w:color="000000"/>
              <w:right w:val="single" w:sz="6" w:space="0" w:color="FFFFFF"/>
            </w:tcBorders>
          </w:tcPr>
          <w:p w:rsidR="005139D2" w:rsidRPr="00BE4C2D" w:rsidRDefault="005139D2" w:rsidP="005139D2">
            <w:pPr>
              <w:spacing w:after="0" w:line="240" w:lineRule="auto"/>
              <w:ind w:right="18"/>
              <w:rPr>
                <w:rFonts w:cs="Times New Roman"/>
                <w:b/>
              </w:rPr>
            </w:pPr>
            <w:r w:rsidRPr="00BE4C2D">
              <w:rPr>
                <w:rFonts w:cs="Times New Roman"/>
                <w:b/>
              </w:rPr>
              <w:t xml:space="preserve">WASHINGTON UTILITIES AND TRANSPORTATION COMMISSION, </w:t>
            </w:r>
          </w:p>
          <w:p w:rsidR="005139D2" w:rsidRPr="00BE4C2D" w:rsidRDefault="005139D2" w:rsidP="005139D2">
            <w:pPr>
              <w:spacing w:after="0" w:line="240" w:lineRule="auto"/>
              <w:ind w:right="18"/>
              <w:rPr>
                <w:rFonts w:cs="Times New Roman"/>
                <w:b/>
              </w:rPr>
            </w:pPr>
          </w:p>
          <w:p w:rsidR="005139D2" w:rsidRPr="00BE4C2D" w:rsidRDefault="005139D2" w:rsidP="005139D2">
            <w:pPr>
              <w:spacing w:after="0" w:line="240" w:lineRule="auto"/>
              <w:ind w:right="18"/>
              <w:rPr>
                <w:rFonts w:cs="Times New Roman"/>
                <w:b/>
              </w:rPr>
            </w:pPr>
            <w:r w:rsidRPr="00BE4C2D">
              <w:rPr>
                <w:rFonts w:cs="Times New Roman"/>
                <w:b/>
              </w:rPr>
              <w:tab/>
            </w:r>
            <w:r w:rsidRPr="00BE4C2D">
              <w:rPr>
                <w:rFonts w:cs="Times New Roman"/>
                <w:b/>
              </w:rPr>
              <w:tab/>
              <w:t>Complainant,</w:t>
            </w:r>
          </w:p>
          <w:p w:rsidR="005139D2" w:rsidRPr="00BE4C2D" w:rsidRDefault="005139D2" w:rsidP="005139D2">
            <w:pPr>
              <w:spacing w:after="0" w:line="240" w:lineRule="auto"/>
              <w:ind w:right="18"/>
              <w:rPr>
                <w:rFonts w:cs="Times New Roman"/>
                <w:b/>
              </w:rPr>
            </w:pPr>
          </w:p>
          <w:p w:rsidR="005139D2" w:rsidRPr="00BE4C2D" w:rsidRDefault="005139D2" w:rsidP="005139D2">
            <w:pPr>
              <w:spacing w:after="0" w:line="240" w:lineRule="auto"/>
              <w:ind w:right="18"/>
              <w:rPr>
                <w:rFonts w:cs="Times New Roman"/>
                <w:b/>
              </w:rPr>
            </w:pPr>
            <w:r w:rsidRPr="00BE4C2D">
              <w:rPr>
                <w:rFonts w:cs="Times New Roman"/>
                <w:b/>
              </w:rPr>
              <w:tab/>
              <w:t>v.</w:t>
            </w:r>
          </w:p>
          <w:p w:rsidR="005139D2" w:rsidRPr="00BE4C2D" w:rsidRDefault="005139D2" w:rsidP="005139D2">
            <w:pPr>
              <w:spacing w:after="0" w:line="240" w:lineRule="auto"/>
              <w:ind w:right="18"/>
              <w:rPr>
                <w:rFonts w:cs="Times New Roman"/>
                <w:b/>
              </w:rPr>
            </w:pPr>
          </w:p>
          <w:p w:rsidR="005139D2" w:rsidRPr="00BE4C2D" w:rsidRDefault="005139D2" w:rsidP="005139D2">
            <w:pPr>
              <w:spacing w:after="0" w:line="240" w:lineRule="auto"/>
              <w:ind w:right="18"/>
              <w:rPr>
                <w:rFonts w:cs="Times New Roman"/>
                <w:b/>
              </w:rPr>
            </w:pPr>
            <w:r w:rsidRPr="00BE4C2D">
              <w:rPr>
                <w:rFonts w:cs="Times New Roman"/>
                <w:b/>
              </w:rPr>
              <w:t xml:space="preserve">PACIFICORP </w:t>
            </w:r>
            <w:r w:rsidR="00670E3F" w:rsidRPr="00BE4C2D">
              <w:rPr>
                <w:rFonts w:cs="Times New Roman"/>
                <w:b/>
              </w:rPr>
              <w:t>d</w:t>
            </w:r>
            <w:r w:rsidRPr="00BE4C2D">
              <w:rPr>
                <w:rFonts w:cs="Times New Roman"/>
                <w:b/>
              </w:rPr>
              <w:t>/</w:t>
            </w:r>
            <w:r w:rsidR="00670E3F" w:rsidRPr="00BE4C2D">
              <w:rPr>
                <w:rFonts w:cs="Times New Roman"/>
                <w:b/>
              </w:rPr>
              <w:t>b</w:t>
            </w:r>
            <w:r w:rsidRPr="00BE4C2D">
              <w:rPr>
                <w:rFonts w:cs="Times New Roman"/>
                <w:b/>
              </w:rPr>
              <w:t>/</w:t>
            </w:r>
            <w:r w:rsidR="00670E3F" w:rsidRPr="00BE4C2D">
              <w:rPr>
                <w:rFonts w:cs="Times New Roman"/>
                <w:b/>
              </w:rPr>
              <w:t>a</w:t>
            </w:r>
            <w:r w:rsidRPr="00BE4C2D">
              <w:rPr>
                <w:rFonts w:cs="Times New Roman"/>
                <w:b/>
              </w:rPr>
              <w:t xml:space="preserve"> PACIFIC POWER &amp; LIGHT COMPANY, </w:t>
            </w:r>
          </w:p>
          <w:p w:rsidR="005139D2" w:rsidRPr="00BE4C2D" w:rsidRDefault="005139D2" w:rsidP="005139D2">
            <w:pPr>
              <w:spacing w:after="0" w:line="240" w:lineRule="auto"/>
              <w:ind w:right="18"/>
              <w:rPr>
                <w:rFonts w:cs="Times New Roman"/>
                <w:b/>
              </w:rPr>
            </w:pPr>
          </w:p>
          <w:p w:rsidR="005139D2" w:rsidRPr="00BE4C2D" w:rsidRDefault="005139D2" w:rsidP="005139D2">
            <w:pPr>
              <w:spacing w:after="0" w:line="240" w:lineRule="auto"/>
              <w:ind w:right="18"/>
              <w:rPr>
                <w:rFonts w:cs="Times New Roman"/>
                <w:b/>
              </w:rPr>
            </w:pPr>
            <w:r w:rsidRPr="00BE4C2D">
              <w:rPr>
                <w:rFonts w:cs="Times New Roman"/>
                <w:b/>
              </w:rPr>
              <w:tab/>
            </w:r>
            <w:r w:rsidRPr="00BE4C2D">
              <w:rPr>
                <w:rFonts w:cs="Times New Roman"/>
                <w:b/>
              </w:rPr>
              <w:tab/>
              <w:t>Respondent.</w:t>
            </w:r>
          </w:p>
          <w:p w:rsidR="005139D2" w:rsidRPr="00BE4C2D" w:rsidRDefault="005139D2" w:rsidP="005139D2">
            <w:pPr>
              <w:spacing w:after="0" w:line="240" w:lineRule="auto"/>
              <w:ind w:right="18"/>
              <w:rPr>
                <w:rFonts w:cs="Times New Roman"/>
                <w:b/>
              </w:rPr>
            </w:pPr>
          </w:p>
        </w:tc>
        <w:tc>
          <w:tcPr>
            <w:tcW w:w="4590" w:type="dxa"/>
            <w:tcBorders>
              <w:top w:val="single" w:sz="6" w:space="0" w:color="FFFFFF"/>
              <w:left w:val="single" w:sz="7" w:space="0" w:color="000000"/>
              <w:bottom w:val="single" w:sz="6" w:space="0" w:color="FFFFFF"/>
              <w:right w:val="single" w:sz="6" w:space="0" w:color="FFFFFF"/>
            </w:tcBorders>
          </w:tcPr>
          <w:p w:rsidR="005139D2" w:rsidRPr="00BE4C2D" w:rsidRDefault="005139D2" w:rsidP="00837B80">
            <w:pPr>
              <w:spacing w:after="0" w:line="240" w:lineRule="auto"/>
              <w:ind w:right="18" w:firstLine="416"/>
              <w:rPr>
                <w:rFonts w:cs="Times New Roman"/>
                <w:b/>
              </w:rPr>
            </w:pPr>
            <w:r w:rsidRPr="00BE4C2D">
              <w:rPr>
                <w:rFonts w:cs="Times New Roman"/>
                <w:b/>
              </w:rPr>
              <w:t xml:space="preserve">DOCKET UE-100749 </w:t>
            </w:r>
          </w:p>
          <w:p w:rsidR="005139D2" w:rsidRPr="00BE4C2D" w:rsidRDefault="005139D2" w:rsidP="00837B80">
            <w:pPr>
              <w:spacing w:after="0" w:line="240" w:lineRule="auto"/>
              <w:ind w:right="18" w:firstLine="416"/>
              <w:rPr>
                <w:rFonts w:cs="Times New Roman"/>
                <w:b/>
              </w:rPr>
            </w:pPr>
          </w:p>
          <w:p w:rsidR="00B96B80" w:rsidRPr="00BE4C2D" w:rsidRDefault="00B96B80" w:rsidP="00837B80">
            <w:pPr>
              <w:spacing w:after="0" w:line="240" w:lineRule="auto"/>
              <w:ind w:left="416"/>
              <w:rPr>
                <w:rFonts w:cs="Times New Roman"/>
                <w:b/>
              </w:rPr>
            </w:pPr>
          </w:p>
          <w:p w:rsidR="005139D2" w:rsidRPr="00BE4C2D" w:rsidRDefault="005139D2" w:rsidP="005139D2">
            <w:pPr>
              <w:spacing w:after="0" w:line="240" w:lineRule="auto"/>
              <w:ind w:left="776" w:right="18"/>
              <w:rPr>
                <w:rFonts w:cs="Times New Roman"/>
                <w:b/>
              </w:rPr>
            </w:pPr>
          </w:p>
        </w:tc>
      </w:tr>
    </w:tbl>
    <w:p w:rsidR="005139D2" w:rsidRPr="00BE4C2D" w:rsidRDefault="005139D2" w:rsidP="005139D2">
      <w:pPr>
        <w:spacing w:after="0" w:line="240" w:lineRule="auto"/>
        <w:ind w:right="18"/>
        <w:jc w:val="both"/>
        <w:rPr>
          <w:rFonts w:cs="Times New Roman"/>
          <w:b/>
        </w:rPr>
      </w:pPr>
    </w:p>
    <w:p w:rsidR="009134F1" w:rsidRPr="00BE4C2D" w:rsidRDefault="009134F1" w:rsidP="005139D2">
      <w:pPr>
        <w:spacing w:after="0" w:line="240" w:lineRule="auto"/>
        <w:ind w:right="18"/>
        <w:jc w:val="both"/>
        <w:rPr>
          <w:rFonts w:cs="Times New Roman"/>
          <w:b/>
        </w:rPr>
      </w:pPr>
    </w:p>
    <w:p w:rsidR="009134F1" w:rsidRDefault="009134F1" w:rsidP="009134F1">
      <w:pPr>
        <w:spacing w:after="0" w:line="240" w:lineRule="auto"/>
        <w:ind w:right="18"/>
        <w:jc w:val="center"/>
        <w:rPr>
          <w:rFonts w:cs="Times New Roman"/>
          <w:b/>
        </w:rPr>
      </w:pPr>
      <w:r w:rsidRPr="009134F1">
        <w:rPr>
          <w:rFonts w:cs="Times New Roman"/>
          <w:b/>
        </w:rPr>
        <w:t xml:space="preserve">COMMISSION STAFF RESPONSE TO </w:t>
      </w:r>
    </w:p>
    <w:p w:rsidR="009134F1" w:rsidRDefault="009134F1" w:rsidP="009134F1">
      <w:pPr>
        <w:spacing w:after="0" w:line="240" w:lineRule="auto"/>
        <w:ind w:right="18"/>
        <w:jc w:val="center"/>
        <w:rPr>
          <w:rFonts w:cs="Times New Roman"/>
          <w:b/>
        </w:rPr>
      </w:pPr>
      <w:r w:rsidRPr="009134F1">
        <w:rPr>
          <w:rFonts w:cs="Times New Roman"/>
          <w:b/>
        </w:rPr>
        <w:t xml:space="preserve">PACIFICORP’S MOTION TO STAY ORDER 10, </w:t>
      </w:r>
    </w:p>
    <w:p w:rsidR="009134F1" w:rsidRDefault="009134F1" w:rsidP="009134F1">
      <w:pPr>
        <w:spacing w:after="0" w:line="240" w:lineRule="auto"/>
        <w:ind w:right="18"/>
        <w:jc w:val="center"/>
        <w:rPr>
          <w:rFonts w:cs="Times New Roman"/>
          <w:b/>
        </w:rPr>
      </w:pPr>
      <w:r w:rsidRPr="009134F1">
        <w:rPr>
          <w:rFonts w:cs="Times New Roman"/>
          <w:b/>
        </w:rPr>
        <w:t xml:space="preserve">PETITION FOR RECONSIDERATION, and </w:t>
      </w:r>
    </w:p>
    <w:p w:rsidR="009134F1" w:rsidRPr="009134F1" w:rsidRDefault="009134F1" w:rsidP="009134F1">
      <w:pPr>
        <w:spacing w:after="0" w:line="240" w:lineRule="auto"/>
        <w:ind w:right="18"/>
        <w:jc w:val="center"/>
        <w:rPr>
          <w:rFonts w:cs="Times New Roman"/>
          <w:b/>
        </w:rPr>
      </w:pPr>
      <w:r w:rsidRPr="009134F1">
        <w:rPr>
          <w:rFonts w:cs="Times New Roman"/>
          <w:b/>
        </w:rPr>
        <w:t>MOTION TO REOPEN RECORD</w:t>
      </w:r>
    </w:p>
    <w:p w:rsidR="009134F1" w:rsidRDefault="009134F1" w:rsidP="005139D2">
      <w:pPr>
        <w:spacing w:after="0" w:line="240" w:lineRule="auto"/>
        <w:ind w:right="18"/>
        <w:jc w:val="both"/>
        <w:rPr>
          <w:rFonts w:cs="Times New Roman"/>
        </w:rPr>
      </w:pPr>
    </w:p>
    <w:p w:rsidR="00994886" w:rsidRDefault="00994886" w:rsidP="009134F1">
      <w:pPr>
        <w:spacing w:after="0" w:line="240" w:lineRule="auto"/>
        <w:ind w:left="3600" w:firstLine="720"/>
        <w:rPr>
          <w:rFonts w:eastAsia="Times New Roman" w:cs="Times New Roman"/>
          <w:b/>
          <w:bCs/>
        </w:rPr>
      </w:pPr>
    </w:p>
    <w:p w:rsidR="009134F1" w:rsidRPr="009134F1" w:rsidRDefault="009134F1" w:rsidP="009134F1">
      <w:pPr>
        <w:spacing w:after="0" w:line="240" w:lineRule="auto"/>
        <w:ind w:left="3600" w:firstLine="720"/>
        <w:rPr>
          <w:rFonts w:eastAsia="Times New Roman" w:cs="Times New Roman"/>
          <w:b/>
          <w:bCs/>
        </w:rPr>
      </w:pPr>
      <w:r>
        <w:rPr>
          <w:rFonts w:eastAsia="Times New Roman" w:cs="Times New Roman"/>
          <w:b/>
          <w:bCs/>
        </w:rPr>
        <w:t xml:space="preserve">September 26, 2012 </w:t>
      </w:r>
    </w:p>
    <w:p w:rsidR="009134F1" w:rsidRPr="009134F1" w:rsidRDefault="009134F1" w:rsidP="009134F1">
      <w:pPr>
        <w:spacing w:after="0" w:line="240" w:lineRule="auto"/>
        <w:rPr>
          <w:rFonts w:eastAsia="Times New Roman" w:cs="Times New Roman"/>
          <w:b/>
          <w:bCs/>
        </w:rPr>
      </w:pPr>
    </w:p>
    <w:p w:rsidR="009134F1" w:rsidRPr="009134F1" w:rsidRDefault="009134F1" w:rsidP="009134F1">
      <w:pPr>
        <w:spacing w:after="0" w:line="240" w:lineRule="auto"/>
        <w:rPr>
          <w:rFonts w:eastAsia="Times New Roman" w:cs="Times New Roman"/>
          <w:b/>
          <w:bCs/>
        </w:rPr>
      </w:pPr>
      <w:r w:rsidRPr="009134F1">
        <w:rPr>
          <w:rFonts w:eastAsia="Times New Roman" w:cs="Times New Roman"/>
          <w:b/>
          <w:bCs/>
        </w:rPr>
        <w:tab/>
      </w:r>
      <w:r w:rsidRPr="009134F1">
        <w:rPr>
          <w:rFonts w:eastAsia="Times New Roman" w:cs="Times New Roman"/>
          <w:b/>
          <w:bCs/>
        </w:rPr>
        <w:tab/>
      </w:r>
      <w:r w:rsidRPr="009134F1">
        <w:rPr>
          <w:rFonts w:eastAsia="Times New Roman" w:cs="Times New Roman"/>
          <w:b/>
          <w:bCs/>
        </w:rPr>
        <w:tab/>
      </w:r>
      <w:r w:rsidRPr="009134F1">
        <w:rPr>
          <w:rFonts w:eastAsia="Times New Roman" w:cs="Times New Roman"/>
          <w:b/>
          <w:bCs/>
        </w:rPr>
        <w:tab/>
      </w:r>
      <w:r w:rsidRPr="009134F1">
        <w:rPr>
          <w:rFonts w:eastAsia="Times New Roman" w:cs="Times New Roman"/>
          <w:b/>
          <w:bCs/>
        </w:rPr>
        <w:tab/>
      </w:r>
      <w:r w:rsidRPr="009134F1">
        <w:rPr>
          <w:rFonts w:eastAsia="Times New Roman" w:cs="Times New Roman"/>
          <w:b/>
          <w:bCs/>
        </w:rPr>
        <w:tab/>
        <w:t>ROBERT M. MCKENNA</w:t>
      </w:r>
    </w:p>
    <w:p w:rsidR="009134F1" w:rsidRPr="009134F1" w:rsidRDefault="009134F1" w:rsidP="009134F1">
      <w:pPr>
        <w:spacing w:after="0" w:line="240" w:lineRule="auto"/>
        <w:rPr>
          <w:rFonts w:eastAsia="Times New Roman" w:cs="Times New Roman"/>
          <w:b/>
          <w:bCs/>
        </w:rPr>
      </w:pPr>
      <w:r w:rsidRPr="009134F1">
        <w:rPr>
          <w:rFonts w:eastAsia="Times New Roman" w:cs="Times New Roman"/>
          <w:b/>
          <w:bCs/>
        </w:rPr>
        <w:tab/>
      </w:r>
      <w:r w:rsidRPr="009134F1">
        <w:rPr>
          <w:rFonts w:eastAsia="Times New Roman" w:cs="Times New Roman"/>
          <w:b/>
          <w:bCs/>
        </w:rPr>
        <w:tab/>
      </w:r>
      <w:r w:rsidRPr="009134F1">
        <w:rPr>
          <w:rFonts w:eastAsia="Times New Roman" w:cs="Times New Roman"/>
          <w:b/>
          <w:bCs/>
        </w:rPr>
        <w:tab/>
      </w:r>
      <w:r w:rsidRPr="009134F1">
        <w:rPr>
          <w:rFonts w:eastAsia="Times New Roman" w:cs="Times New Roman"/>
          <w:b/>
          <w:bCs/>
        </w:rPr>
        <w:tab/>
      </w:r>
      <w:r w:rsidRPr="009134F1">
        <w:rPr>
          <w:rFonts w:eastAsia="Times New Roman" w:cs="Times New Roman"/>
          <w:b/>
          <w:bCs/>
        </w:rPr>
        <w:tab/>
      </w:r>
      <w:r w:rsidRPr="009134F1">
        <w:rPr>
          <w:rFonts w:eastAsia="Times New Roman" w:cs="Times New Roman"/>
          <w:b/>
          <w:bCs/>
        </w:rPr>
        <w:tab/>
        <w:t xml:space="preserve">Attorney General </w:t>
      </w:r>
    </w:p>
    <w:p w:rsidR="009134F1" w:rsidRPr="009134F1" w:rsidRDefault="009134F1" w:rsidP="009134F1">
      <w:pPr>
        <w:spacing w:after="0" w:line="240" w:lineRule="auto"/>
        <w:rPr>
          <w:rFonts w:eastAsia="Times New Roman" w:cs="Times New Roman"/>
          <w:b/>
          <w:bCs/>
        </w:rPr>
      </w:pPr>
    </w:p>
    <w:p w:rsidR="009134F1" w:rsidRPr="009134F1" w:rsidRDefault="009134F1" w:rsidP="009134F1">
      <w:pPr>
        <w:spacing w:after="0" w:line="240" w:lineRule="auto"/>
        <w:rPr>
          <w:rFonts w:eastAsia="Times New Roman" w:cs="Times New Roman"/>
          <w:b/>
        </w:rPr>
      </w:pPr>
      <w:r w:rsidRPr="009134F1">
        <w:rPr>
          <w:rFonts w:eastAsia="Times New Roman" w:cs="Times New Roman"/>
          <w:b/>
          <w:bCs/>
        </w:rPr>
        <w:tab/>
      </w:r>
      <w:r w:rsidRPr="009134F1">
        <w:rPr>
          <w:rFonts w:eastAsia="Times New Roman" w:cs="Times New Roman"/>
          <w:b/>
          <w:bCs/>
        </w:rPr>
        <w:tab/>
      </w:r>
      <w:r w:rsidRPr="009134F1">
        <w:rPr>
          <w:rFonts w:eastAsia="Times New Roman" w:cs="Times New Roman"/>
          <w:b/>
          <w:bCs/>
        </w:rPr>
        <w:tab/>
      </w:r>
      <w:r w:rsidRPr="009134F1">
        <w:rPr>
          <w:rFonts w:eastAsia="Times New Roman" w:cs="Times New Roman"/>
          <w:b/>
          <w:bCs/>
        </w:rPr>
        <w:tab/>
      </w:r>
      <w:r w:rsidRPr="009134F1">
        <w:rPr>
          <w:rFonts w:eastAsia="Times New Roman" w:cs="Times New Roman"/>
          <w:b/>
          <w:bCs/>
        </w:rPr>
        <w:tab/>
      </w:r>
      <w:r w:rsidRPr="009134F1">
        <w:rPr>
          <w:rFonts w:eastAsia="Times New Roman" w:cs="Times New Roman"/>
          <w:b/>
          <w:bCs/>
        </w:rPr>
        <w:tab/>
      </w:r>
      <w:r>
        <w:rPr>
          <w:rFonts w:eastAsia="Times New Roman" w:cs="Times New Roman"/>
          <w:b/>
          <w:bCs/>
        </w:rPr>
        <w:t>DONALD T. TROTTER</w:t>
      </w:r>
    </w:p>
    <w:p w:rsidR="009134F1" w:rsidRPr="009134F1" w:rsidRDefault="009134F1" w:rsidP="009134F1">
      <w:pPr>
        <w:spacing w:after="0" w:line="240" w:lineRule="auto"/>
        <w:rPr>
          <w:rFonts w:eastAsia="Times New Roman" w:cs="Times New Roman"/>
          <w:b/>
        </w:rPr>
      </w:pPr>
      <w:r w:rsidRPr="009134F1">
        <w:rPr>
          <w:rFonts w:eastAsia="Times New Roman" w:cs="Times New Roman"/>
          <w:b/>
        </w:rPr>
        <w:tab/>
      </w:r>
      <w:r w:rsidRPr="009134F1">
        <w:rPr>
          <w:rFonts w:eastAsia="Times New Roman" w:cs="Times New Roman"/>
          <w:b/>
        </w:rPr>
        <w:tab/>
      </w:r>
      <w:r w:rsidRPr="009134F1">
        <w:rPr>
          <w:rFonts w:eastAsia="Times New Roman" w:cs="Times New Roman"/>
          <w:b/>
        </w:rPr>
        <w:tab/>
      </w:r>
      <w:r w:rsidRPr="009134F1">
        <w:rPr>
          <w:rFonts w:eastAsia="Times New Roman" w:cs="Times New Roman"/>
          <w:b/>
        </w:rPr>
        <w:tab/>
      </w:r>
      <w:r w:rsidRPr="009134F1">
        <w:rPr>
          <w:rFonts w:eastAsia="Times New Roman" w:cs="Times New Roman"/>
          <w:b/>
        </w:rPr>
        <w:tab/>
      </w:r>
      <w:r w:rsidRPr="009134F1">
        <w:rPr>
          <w:rFonts w:eastAsia="Times New Roman" w:cs="Times New Roman"/>
          <w:b/>
        </w:rPr>
        <w:tab/>
        <w:t xml:space="preserve">Assistant Attorney General </w:t>
      </w:r>
    </w:p>
    <w:p w:rsidR="009134F1" w:rsidRPr="009134F1" w:rsidRDefault="009134F1" w:rsidP="009134F1">
      <w:pPr>
        <w:spacing w:after="0" w:line="240" w:lineRule="auto"/>
        <w:rPr>
          <w:rFonts w:eastAsia="Times New Roman" w:cs="Times New Roman"/>
          <w:b/>
        </w:rPr>
      </w:pPr>
      <w:r w:rsidRPr="009134F1">
        <w:rPr>
          <w:rFonts w:eastAsia="Times New Roman" w:cs="Times New Roman"/>
          <w:b/>
        </w:rPr>
        <w:tab/>
      </w:r>
      <w:r w:rsidRPr="009134F1">
        <w:rPr>
          <w:rFonts w:eastAsia="Times New Roman" w:cs="Times New Roman"/>
          <w:b/>
        </w:rPr>
        <w:tab/>
      </w:r>
      <w:r w:rsidRPr="009134F1">
        <w:rPr>
          <w:rFonts w:eastAsia="Times New Roman" w:cs="Times New Roman"/>
          <w:b/>
        </w:rPr>
        <w:tab/>
      </w:r>
      <w:r w:rsidRPr="009134F1">
        <w:rPr>
          <w:rFonts w:eastAsia="Times New Roman" w:cs="Times New Roman"/>
          <w:b/>
        </w:rPr>
        <w:tab/>
      </w:r>
      <w:r w:rsidRPr="009134F1">
        <w:rPr>
          <w:rFonts w:eastAsia="Times New Roman" w:cs="Times New Roman"/>
          <w:b/>
        </w:rPr>
        <w:tab/>
      </w:r>
      <w:r w:rsidRPr="009134F1">
        <w:rPr>
          <w:rFonts w:eastAsia="Times New Roman" w:cs="Times New Roman"/>
          <w:b/>
        </w:rPr>
        <w:tab/>
        <w:t xml:space="preserve">Office of the Attorney General </w:t>
      </w:r>
    </w:p>
    <w:p w:rsidR="009134F1" w:rsidRPr="009134F1" w:rsidRDefault="009134F1" w:rsidP="009134F1">
      <w:pPr>
        <w:spacing w:after="0" w:line="240" w:lineRule="auto"/>
        <w:rPr>
          <w:rFonts w:eastAsia="Times New Roman" w:cs="Times New Roman"/>
          <w:b/>
        </w:rPr>
      </w:pPr>
      <w:r w:rsidRPr="009134F1">
        <w:rPr>
          <w:rFonts w:eastAsia="Times New Roman" w:cs="Times New Roman"/>
          <w:b/>
        </w:rPr>
        <w:tab/>
      </w:r>
      <w:r w:rsidRPr="009134F1">
        <w:rPr>
          <w:rFonts w:eastAsia="Times New Roman" w:cs="Times New Roman"/>
          <w:b/>
        </w:rPr>
        <w:tab/>
      </w:r>
      <w:r w:rsidRPr="009134F1">
        <w:rPr>
          <w:rFonts w:eastAsia="Times New Roman" w:cs="Times New Roman"/>
          <w:b/>
        </w:rPr>
        <w:tab/>
      </w:r>
      <w:r w:rsidRPr="009134F1">
        <w:rPr>
          <w:rFonts w:eastAsia="Times New Roman" w:cs="Times New Roman"/>
          <w:b/>
        </w:rPr>
        <w:tab/>
      </w:r>
      <w:r w:rsidRPr="009134F1">
        <w:rPr>
          <w:rFonts w:eastAsia="Times New Roman" w:cs="Times New Roman"/>
          <w:b/>
        </w:rPr>
        <w:tab/>
      </w:r>
      <w:r w:rsidRPr="009134F1">
        <w:rPr>
          <w:rFonts w:eastAsia="Times New Roman" w:cs="Times New Roman"/>
          <w:b/>
        </w:rPr>
        <w:tab/>
        <w:t>Utilities &amp; Transportation Division</w:t>
      </w:r>
    </w:p>
    <w:p w:rsidR="009134F1" w:rsidRPr="009134F1" w:rsidRDefault="009134F1" w:rsidP="009134F1">
      <w:pPr>
        <w:spacing w:after="0" w:line="240" w:lineRule="auto"/>
        <w:rPr>
          <w:rFonts w:eastAsia="Times New Roman" w:cs="Times New Roman"/>
          <w:b/>
        </w:rPr>
      </w:pPr>
      <w:r w:rsidRPr="009134F1">
        <w:rPr>
          <w:rFonts w:eastAsia="Times New Roman" w:cs="Times New Roman"/>
          <w:b/>
        </w:rPr>
        <w:tab/>
      </w:r>
      <w:r w:rsidRPr="009134F1">
        <w:rPr>
          <w:rFonts w:eastAsia="Times New Roman" w:cs="Times New Roman"/>
          <w:b/>
        </w:rPr>
        <w:tab/>
      </w:r>
      <w:r w:rsidRPr="009134F1">
        <w:rPr>
          <w:rFonts w:eastAsia="Times New Roman" w:cs="Times New Roman"/>
          <w:b/>
        </w:rPr>
        <w:tab/>
      </w:r>
      <w:r w:rsidRPr="009134F1">
        <w:rPr>
          <w:rFonts w:eastAsia="Times New Roman" w:cs="Times New Roman"/>
          <w:b/>
        </w:rPr>
        <w:tab/>
      </w:r>
      <w:r w:rsidRPr="009134F1">
        <w:rPr>
          <w:rFonts w:eastAsia="Times New Roman" w:cs="Times New Roman"/>
          <w:b/>
        </w:rPr>
        <w:tab/>
      </w:r>
      <w:r w:rsidRPr="009134F1">
        <w:rPr>
          <w:rFonts w:eastAsia="Times New Roman" w:cs="Times New Roman"/>
          <w:b/>
        </w:rPr>
        <w:tab/>
        <w:t xml:space="preserve"> </w:t>
      </w:r>
    </w:p>
    <w:p w:rsidR="009134F1" w:rsidRPr="009134F1" w:rsidRDefault="009134F1" w:rsidP="009134F1">
      <w:pPr>
        <w:spacing w:after="0" w:line="240" w:lineRule="auto"/>
        <w:rPr>
          <w:rFonts w:eastAsia="Times New Roman" w:cs="Times New Roman"/>
          <w:b/>
        </w:rPr>
      </w:pPr>
      <w:r w:rsidRPr="009134F1">
        <w:rPr>
          <w:rFonts w:eastAsia="Times New Roman" w:cs="Times New Roman"/>
          <w:b/>
        </w:rPr>
        <w:tab/>
      </w:r>
      <w:r w:rsidRPr="009134F1">
        <w:rPr>
          <w:rFonts w:eastAsia="Times New Roman" w:cs="Times New Roman"/>
          <w:b/>
        </w:rPr>
        <w:tab/>
      </w:r>
      <w:r w:rsidRPr="009134F1">
        <w:rPr>
          <w:rFonts w:eastAsia="Times New Roman" w:cs="Times New Roman"/>
          <w:b/>
        </w:rPr>
        <w:tab/>
      </w:r>
      <w:r w:rsidRPr="009134F1">
        <w:rPr>
          <w:rFonts w:eastAsia="Times New Roman" w:cs="Times New Roman"/>
          <w:b/>
        </w:rPr>
        <w:tab/>
      </w:r>
      <w:r w:rsidRPr="009134F1">
        <w:rPr>
          <w:rFonts w:eastAsia="Times New Roman" w:cs="Times New Roman"/>
          <w:b/>
        </w:rPr>
        <w:tab/>
      </w:r>
      <w:r w:rsidRPr="009134F1">
        <w:rPr>
          <w:rFonts w:eastAsia="Times New Roman" w:cs="Times New Roman"/>
          <w:b/>
        </w:rPr>
        <w:tab/>
      </w:r>
      <w:smartTag w:uri="urn:schemas-microsoft-com:office:smarttags" w:element="address">
        <w:smartTag w:uri="urn:schemas-microsoft-com:office:smarttags" w:element="Street">
          <w:r w:rsidRPr="009134F1">
            <w:rPr>
              <w:rFonts w:eastAsia="Times New Roman" w:cs="Times New Roman"/>
              <w:b/>
            </w:rPr>
            <w:t>1400 S Evergreen Park Drive SW</w:t>
          </w:r>
        </w:smartTag>
      </w:smartTag>
      <w:r w:rsidRPr="009134F1">
        <w:rPr>
          <w:rFonts w:eastAsia="Times New Roman" w:cs="Times New Roman"/>
          <w:b/>
        </w:rPr>
        <w:t xml:space="preserve"> </w:t>
      </w:r>
    </w:p>
    <w:p w:rsidR="009134F1" w:rsidRPr="009134F1" w:rsidRDefault="009134F1" w:rsidP="009134F1">
      <w:pPr>
        <w:spacing w:after="0" w:line="240" w:lineRule="auto"/>
        <w:rPr>
          <w:rFonts w:eastAsia="Times New Roman" w:cs="Times New Roman"/>
          <w:b/>
        </w:rPr>
      </w:pPr>
      <w:r w:rsidRPr="009134F1">
        <w:rPr>
          <w:rFonts w:eastAsia="Times New Roman" w:cs="Times New Roman"/>
          <w:b/>
        </w:rPr>
        <w:tab/>
      </w:r>
      <w:r w:rsidRPr="009134F1">
        <w:rPr>
          <w:rFonts w:eastAsia="Times New Roman" w:cs="Times New Roman"/>
          <w:b/>
        </w:rPr>
        <w:tab/>
      </w:r>
      <w:r w:rsidRPr="009134F1">
        <w:rPr>
          <w:rFonts w:eastAsia="Times New Roman" w:cs="Times New Roman"/>
          <w:b/>
        </w:rPr>
        <w:tab/>
      </w:r>
      <w:r w:rsidRPr="009134F1">
        <w:rPr>
          <w:rFonts w:eastAsia="Times New Roman" w:cs="Times New Roman"/>
          <w:b/>
        </w:rPr>
        <w:tab/>
      </w:r>
      <w:r w:rsidRPr="009134F1">
        <w:rPr>
          <w:rFonts w:eastAsia="Times New Roman" w:cs="Times New Roman"/>
          <w:b/>
        </w:rPr>
        <w:tab/>
      </w:r>
      <w:r w:rsidRPr="009134F1">
        <w:rPr>
          <w:rFonts w:eastAsia="Times New Roman" w:cs="Times New Roman"/>
          <w:b/>
        </w:rPr>
        <w:tab/>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9134F1">
                <w:rPr>
                  <w:rFonts w:eastAsia="Times New Roman" w:cs="Times New Roman"/>
                  <w:b/>
                </w:rPr>
                <w:t>P.O. Box</w:t>
              </w:r>
            </w:smartTag>
          </w:smartTag>
          <w:r w:rsidRPr="009134F1">
            <w:rPr>
              <w:rFonts w:eastAsia="Times New Roman" w:cs="Times New Roman"/>
              <w:b/>
            </w:rPr>
            <w:t xml:space="preserve"> 40128</w:t>
          </w:r>
        </w:smartTag>
      </w:smartTag>
    </w:p>
    <w:p w:rsidR="009134F1" w:rsidRPr="009134F1" w:rsidRDefault="009134F1" w:rsidP="009134F1">
      <w:pPr>
        <w:spacing w:after="0" w:line="240" w:lineRule="auto"/>
        <w:rPr>
          <w:rFonts w:eastAsia="Times New Roman" w:cs="Times New Roman"/>
          <w:b/>
        </w:rPr>
      </w:pPr>
      <w:r w:rsidRPr="009134F1">
        <w:rPr>
          <w:rFonts w:eastAsia="Times New Roman" w:cs="Times New Roman"/>
          <w:b/>
        </w:rPr>
        <w:tab/>
      </w:r>
      <w:r w:rsidRPr="009134F1">
        <w:rPr>
          <w:rFonts w:eastAsia="Times New Roman" w:cs="Times New Roman"/>
          <w:b/>
        </w:rPr>
        <w:tab/>
      </w:r>
      <w:r w:rsidRPr="009134F1">
        <w:rPr>
          <w:rFonts w:eastAsia="Times New Roman" w:cs="Times New Roman"/>
          <w:b/>
        </w:rPr>
        <w:tab/>
      </w:r>
      <w:r w:rsidRPr="009134F1">
        <w:rPr>
          <w:rFonts w:eastAsia="Times New Roman" w:cs="Times New Roman"/>
          <w:b/>
        </w:rPr>
        <w:tab/>
      </w:r>
      <w:r w:rsidRPr="009134F1">
        <w:rPr>
          <w:rFonts w:eastAsia="Times New Roman" w:cs="Times New Roman"/>
          <w:b/>
        </w:rPr>
        <w:tab/>
      </w:r>
      <w:r w:rsidRPr="009134F1">
        <w:rPr>
          <w:rFonts w:eastAsia="Times New Roman" w:cs="Times New Roman"/>
          <w:b/>
        </w:rPr>
        <w:tab/>
      </w:r>
      <w:smartTag w:uri="urn:schemas-microsoft-com:office:smarttags" w:element="City">
        <w:smartTag w:uri="urn:schemas-microsoft-com:office:smarttags" w:element="place">
          <w:r w:rsidRPr="009134F1">
            <w:rPr>
              <w:rFonts w:eastAsia="Times New Roman" w:cs="Times New Roman"/>
              <w:b/>
            </w:rPr>
            <w:t>Olympia</w:t>
          </w:r>
        </w:smartTag>
        <w:r w:rsidRPr="009134F1">
          <w:rPr>
            <w:rFonts w:eastAsia="Times New Roman" w:cs="Times New Roman"/>
            <w:b/>
          </w:rPr>
          <w:t xml:space="preserve">, </w:t>
        </w:r>
        <w:smartTag w:uri="urn:schemas-microsoft-com:office:smarttags" w:element="PostalCode">
          <w:smartTag w:uri="urn:schemas-microsoft-com:office:smarttags" w:element="State">
            <w:r w:rsidRPr="009134F1">
              <w:rPr>
                <w:rFonts w:eastAsia="Times New Roman" w:cs="Times New Roman"/>
                <w:b/>
              </w:rPr>
              <w:t>WA</w:t>
            </w:r>
          </w:smartTag>
        </w:smartTag>
        <w:r w:rsidRPr="009134F1">
          <w:rPr>
            <w:rFonts w:eastAsia="Times New Roman" w:cs="Times New Roman"/>
            <w:b/>
          </w:rPr>
          <w:t xml:space="preserve">  </w:t>
        </w:r>
        <w:smartTag w:uri="urn:schemas-microsoft-com:office:smarttags" w:element="PostalCode">
          <w:r w:rsidRPr="009134F1">
            <w:rPr>
              <w:rFonts w:eastAsia="Times New Roman" w:cs="Times New Roman"/>
              <w:b/>
            </w:rPr>
            <w:t>98504-0128</w:t>
          </w:r>
        </w:smartTag>
      </w:smartTag>
      <w:r w:rsidRPr="009134F1">
        <w:rPr>
          <w:rFonts w:eastAsia="Times New Roman" w:cs="Times New Roman"/>
          <w:b/>
        </w:rPr>
        <w:t xml:space="preserve"> </w:t>
      </w:r>
    </w:p>
    <w:p w:rsidR="009134F1" w:rsidRDefault="009134F1" w:rsidP="00994886">
      <w:pPr>
        <w:spacing w:after="0" w:line="240" w:lineRule="auto"/>
        <w:rPr>
          <w:rFonts w:cs="Times New Roman"/>
        </w:rPr>
      </w:pPr>
      <w:r w:rsidRPr="009134F1">
        <w:rPr>
          <w:rFonts w:eastAsia="Times New Roman" w:cs="Times New Roman"/>
          <w:b/>
        </w:rPr>
        <w:tab/>
      </w:r>
      <w:r w:rsidRPr="009134F1">
        <w:rPr>
          <w:rFonts w:eastAsia="Times New Roman" w:cs="Times New Roman"/>
          <w:b/>
        </w:rPr>
        <w:tab/>
      </w:r>
      <w:r w:rsidRPr="009134F1">
        <w:rPr>
          <w:rFonts w:eastAsia="Times New Roman" w:cs="Times New Roman"/>
          <w:b/>
        </w:rPr>
        <w:tab/>
      </w:r>
      <w:r w:rsidRPr="009134F1">
        <w:rPr>
          <w:rFonts w:eastAsia="Times New Roman" w:cs="Times New Roman"/>
          <w:b/>
        </w:rPr>
        <w:tab/>
      </w:r>
      <w:r w:rsidRPr="009134F1">
        <w:rPr>
          <w:rFonts w:eastAsia="Times New Roman" w:cs="Times New Roman"/>
          <w:b/>
        </w:rPr>
        <w:tab/>
      </w:r>
      <w:r w:rsidRPr="009134F1">
        <w:rPr>
          <w:rFonts w:eastAsia="Times New Roman" w:cs="Times New Roman"/>
          <w:b/>
        </w:rPr>
        <w:tab/>
        <w:t>(360) 664-</w:t>
      </w:r>
      <w:r>
        <w:rPr>
          <w:rFonts w:eastAsia="Times New Roman" w:cs="Times New Roman"/>
          <w:b/>
        </w:rPr>
        <w:t>1189</w:t>
      </w:r>
    </w:p>
    <w:p w:rsidR="009134F1" w:rsidRPr="00D335A3" w:rsidRDefault="009134F1" w:rsidP="005139D2">
      <w:pPr>
        <w:spacing w:after="0" w:line="240" w:lineRule="auto"/>
        <w:ind w:right="18"/>
        <w:jc w:val="both"/>
        <w:rPr>
          <w:rFonts w:cs="Times New Roman"/>
        </w:rPr>
      </w:pPr>
    </w:p>
    <w:p w:rsidR="00C037AF" w:rsidRPr="00D335A3" w:rsidRDefault="00C037AF" w:rsidP="005139D2">
      <w:pPr>
        <w:spacing w:after="0" w:line="240" w:lineRule="auto"/>
        <w:rPr>
          <w:rFonts w:cs="Times New Roman"/>
        </w:rPr>
        <w:sectPr w:rsidR="00C037AF" w:rsidRPr="00D335A3" w:rsidSect="00836406">
          <w:pgSz w:w="12240" w:h="15840"/>
          <w:pgMar w:top="1440" w:right="1440" w:bottom="1440" w:left="1872" w:header="720" w:footer="720" w:gutter="0"/>
          <w:cols w:space="720"/>
          <w:docGrid w:linePitch="360"/>
        </w:sectPr>
      </w:pPr>
    </w:p>
    <w:p w:rsidR="00C037AF" w:rsidRPr="00D335A3" w:rsidRDefault="00C037AF" w:rsidP="00C037AF">
      <w:pPr>
        <w:jc w:val="center"/>
        <w:rPr>
          <w:rFonts w:cs="Times New Roman"/>
        </w:rPr>
      </w:pPr>
      <w:r w:rsidRPr="00D335A3">
        <w:rPr>
          <w:rFonts w:cs="Times New Roman"/>
          <w:b/>
        </w:rPr>
        <w:lastRenderedPageBreak/>
        <w:t>TABLE OF CONTENTS</w:t>
      </w:r>
    </w:p>
    <w:p w:rsidR="0076337B" w:rsidRPr="00D335A3" w:rsidRDefault="00C037AF" w:rsidP="00D335A3">
      <w:pPr>
        <w:tabs>
          <w:tab w:val="left" w:pos="720"/>
          <w:tab w:val="left" w:pos="1440"/>
          <w:tab w:val="left" w:pos="2160"/>
          <w:tab w:val="right" w:leader="dot" w:pos="8910"/>
        </w:tabs>
        <w:spacing w:after="0" w:line="240" w:lineRule="auto"/>
        <w:rPr>
          <w:rFonts w:cs="Times New Roman"/>
        </w:rPr>
      </w:pPr>
      <w:r w:rsidRPr="00D335A3">
        <w:rPr>
          <w:rFonts w:cs="Times New Roman"/>
        </w:rPr>
        <w:t>I.</w:t>
      </w:r>
      <w:r w:rsidRPr="00D335A3">
        <w:rPr>
          <w:rFonts w:cs="Times New Roman"/>
        </w:rPr>
        <w:tab/>
        <w:t xml:space="preserve">INTRODUCTION </w:t>
      </w:r>
      <w:r w:rsidRPr="00D335A3">
        <w:rPr>
          <w:rFonts w:cs="Times New Roman"/>
        </w:rPr>
        <w:tab/>
        <w:t>1</w:t>
      </w:r>
    </w:p>
    <w:p w:rsidR="0076337B" w:rsidRPr="00D335A3" w:rsidRDefault="0076337B" w:rsidP="00D335A3">
      <w:pPr>
        <w:tabs>
          <w:tab w:val="left" w:pos="720"/>
          <w:tab w:val="left" w:pos="1440"/>
          <w:tab w:val="left" w:pos="2160"/>
          <w:tab w:val="right" w:leader="dot" w:pos="8910"/>
        </w:tabs>
        <w:spacing w:after="0" w:line="240" w:lineRule="auto"/>
        <w:rPr>
          <w:rFonts w:cs="Times New Roman"/>
        </w:rPr>
      </w:pPr>
    </w:p>
    <w:p w:rsidR="0076337B" w:rsidRPr="00D335A3" w:rsidRDefault="00C037AF" w:rsidP="00D335A3">
      <w:pPr>
        <w:tabs>
          <w:tab w:val="left" w:pos="720"/>
          <w:tab w:val="left" w:pos="1440"/>
          <w:tab w:val="left" w:pos="2160"/>
          <w:tab w:val="right" w:leader="dot" w:pos="8910"/>
        </w:tabs>
        <w:spacing w:after="0" w:line="240" w:lineRule="auto"/>
        <w:rPr>
          <w:rFonts w:cs="Times New Roman"/>
        </w:rPr>
      </w:pPr>
      <w:r w:rsidRPr="00D335A3">
        <w:rPr>
          <w:rFonts w:cs="Times New Roman"/>
        </w:rPr>
        <w:t>II.</w:t>
      </w:r>
      <w:r w:rsidRPr="00D335A3">
        <w:rPr>
          <w:rFonts w:cs="Times New Roman"/>
        </w:rPr>
        <w:tab/>
      </w:r>
      <w:r w:rsidR="0076337B" w:rsidRPr="00D335A3">
        <w:rPr>
          <w:rFonts w:cs="Times New Roman"/>
        </w:rPr>
        <w:t>STAFF RESPONSE TO PACIFICORP’S MOTION</w:t>
      </w:r>
    </w:p>
    <w:p w:rsidR="0076337B" w:rsidRPr="00D335A3" w:rsidRDefault="0076337B" w:rsidP="00D335A3">
      <w:pPr>
        <w:tabs>
          <w:tab w:val="left" w:pos="720"/>
          <w:tab w:val="left" w:pos="1440"/>
          <w:tab w:val="left" w:pos="2160"/>
          <w:tab w:val="right" w:leader="dot" w:pos="8910"/>
        </w:tabs>
        <w:spacing w:after="0" w:line="240" w:lineRule="auto"/>
        <w:rPr>
          <w:rFonts w:cs="Times New Roman"/>
        </w:rPr>
      </w:pPr>
      <w:r w:rsidRPr="00D335A3">
        <w:rPr>
          <w:rFonts w:cs="Times New Roman"/>
        </w:rPr>
        <w:tab/>
        <w:t>FOR STAY OF ORDER 10</w:t>
      </w:r>
      <w:r w:rsidRPr="00D335A3">
        <w:rPr>
          <w:rFonts w:cs="Times New Roman"/>
        </w:rPr>
        <w:tab/>
        <w:t>2</w:t>
      </w:r>
    </w:p>
    <w:p w:rsidR="0076337B" w:rsidRPr="00D335A3" w:rsidRDefault="0076337B" w:rsidP="00D335A3">
      <w:pPr>
        <w:tabs>
          <w:tab w:val="left" w:pos="720"/>
          <w:tab w:val="left" w:pos="1440"/>
          <w:tab w:val="left" w:pos="2160"/>
          <w:tab w:val="right" w:leader="dot" w:pos="8910"/>
        </w:tabs>
        <w:spacing w:after="0" w:line="240" w:lineRule="auto"/>
        <w:rPr>
          <w:rFonts w:cs="Times New Roman"/>
        </w:rPr>
      </w:pPr>
    </w:p>
    <w:p w:rsidR="0076337B" w:rsidRPr="00D335A3" w:rsidRDefault="00C037AF" w:rsidP="00D335A3">
      <w:pPr>
        <w:tabs>
          <w:tab w:val="right" w:leader="dot" w:pos="8910"/>
        </w:tabs>
        <w:spacing w:after="0" w:line="240" w:lineRule="auto"/>
        <w:ind w:left="720" w:hanging="720"/>
        <w:rPr>
          <w:rFonts w:cs="Times New Roman"/>
        </w:rPr>
      </w:pPr>
      <w:r w:rsidRPr="00D335A3">
        <w:rPr>
          <w:rFonts w:cs="Times New Roman"/>
        </w:rPr>
        <w:t>III.</w:t>
      </w:r>
      <w:r w:rsidRPr="00D335A3">
        <w:rPr>
          <w:rFonts w:cs="Times New Roman"/>
        </w:rPr>
        <w:tab/>
      </w:r>
      <w:r w:rsidR="0076337B" w:rsidRPr="00D335A3">
        <w:rPr>
          <w:rFonts w:cs="Times New Roman"/>
        </w:rPr>
        <w:t>STAFF RESPONSE TO PACIFICORP’S PETITION FOR</w:t>
      </w:r>
    </w:p>
    <w:p w:rsidR="00C037AF" w:rsidRPr="00D335A3" w:rsidRDefault="0076337B" w:rsidP="00D335A3">
      <w:pPr>
        <w:tabs>
          <w:tab w:val="right" w:leader="dot" w:pos="8910"/>
        </w:tabs>
        <w:spacing w:after="0" w:line="240" w:lineRule="auto"/>
        <w:ind w:left="720"/>
        <w:rPr>
          <w:rFonts w:cs="Times New Roman"/>
        </w:rPr>
      </w:pPr>
      <w:r w:rsidRPr="00D335A3">
        <w:rPr>
          <w:rFonts w:cs="Times New Roman"/>
        </w:rPr>
        <w:t>RECONSIDERATION</w:t>
      </w:r>
      <w:r w:rsidRPr="00D335A3">
        <w:rPr>
          <w:rFonts w:cs="Times New Roman"/>
        </w:rPr>
        <w:tab/>
        <w:t>3</w:t>
      </w:r>
      <w:r w:rsidR="00C037AF" w:rsidRPr="00D335A3">
        <w:rPr>
          <w:rFonts w:cs="Times New Roman"/>
        </w:rPr>
        <w:t xml:space="preserve"> </w:t>
      </w:r>
    </w:p>
    <w:p w:rsidR="0076337B" w:rsidRPr="00D335A3" w:rsidRDefault="0076337B" w:rsidP="00D335A3">
      <w:pPr>
        <w:tabs>
          <w:tab w:val="right" w:leader="dot" w:pos="8910"/>
        </w:tabs>
        <w:spacing w:after="0" w:line="240" w:lineRule="auto"/>
        <w:ind w:left="720"/>
        <w:rPr>
          <w:rFonts w:cs="Times New Roman"/>
        </w:rPr>
      </w:pPr>
    </w:p>
    <w:p w:rsidR="00836406" w:rsidRPr="00D335A3" w:rsidRDefault="00836406" w:rsidP="00D335A3">
      <w:pPr>
        <w:tabs>
          <w:tab w:val="left" w:pos="1440"/>
          <w:tab w:val="left" w:pos="2160"/>
          <w:tab w:val="right" w:leader="dot" w:pos="8910"/>
        </w:tabs>
        <w:spacing w:after="0" w:line="240" w:lineRule="auto"/>
        <w:ind w:firstLine="720"/>
        <w:rPr>
          <w:rFonts w:cs="Times New Roman"/>
        </w:rPr>
      </w:pPr>
      <w:r w:rsidRPr="00D335A3">
        <w:rPr>
          <w:rFonts w:cs="Times New Roman"/>
        </w:rPr>
        <w:t>A.</w:t>
      </w:r>
      <w:r w:rsidRPr="00D335A3">
        <w:rPr>
          <w:rFonts w:cs="Times New Roman"/>
        </w:rPr>
        <w:tab/>
        <w:t>Commission Standards for Reconsideration</w:t>
      </w:r>
      <w:r w:rsidRPr="00D335A3">
        <w:rPr>
          <w:rFonts w:cs="Times New Roman"/>
        </w:rPr>
        <w:tab/>
        <w:t>3</w:t>
      </w:r>
    </w:p>
    <w:p w:rsidR="00885FF8" w:rsidRPr="00D335A3" w:rsidRDefault="00885FF8" w:rsidP="00D335A3">
      <w:pPr>
        <w:tabs>
          <w:tab w:val="left" w:pos="1440"/>
          <w:tab w:val="left" w:pos="2160"/>
          <w:tab w:val="right" w:leader="dot" w:pos="8910"/>
        </w:tabs>
        <w:spacing w:after="0" w:line="240" w:lineRule="auto"/>
        <w:ind w:firstLine="720"/>
        <w:rPr>
          <w:rFonts w:cs="Times New Roman"/>
        </w:rPr>
      </w:pPr>
    </w:p>
    <w:p w:rsidR="00836406" w:rsidRDefault="00836406" w:rsidP="00D335A3">
      <w:pPr>
        <w:tabs>
          <w:tab w:val="left" w:pos="1440"/>
          <w:tab w:val="left" w:pos="2160"/>
          <w:tab w:val="right" w:leader="dot" w:pos="8910"/>
        </w:tabs>
        <w:spacing w:after="0" w:line="240" w:lineRule="auto"/>
        <w:ind w:firstLine="720"/>
        <w:rPr>
          <w:rFonts w:cs="Times New Roman"/>
        </w:rPr>
      </w:pPr>
      <w:r w:rsidRPr="00D335A3">
        <w:rPr>
          <w:rFonts w:cs="Times New Roman"/>
        </w:rPr>
        <w:t>B.</w:t>
      </w:r>
      <w:r w:rsidRPr="00D335A3">
        <w:rPr>
          <w:rFonts w:cs="Times New Roman"/>
        </w:rPr>
        <w:tab/>
        <w:t xml:space="preserve">The Commission Correctly Characterized the Nature of RECs </w:t>
      </w:r>
      <w:r w:rsidRPr="00D335A3">
        <w:rPr>
          <w:rFonts w:cs="Times New Roman"/>
        </w:rPr>
        <w:tab/>
        <w:t>3</w:t>
      </w:r>
    </w:p>
    <w:p w:rsidR="00C46490" w:rsidRPr="00D335A3" w:rsidRDefault="00C46490" w:rsidP="00D335A3">
      <w:pPr>
        <w:tabs>
          <w:tab w:val="left" w:pos="1440"/>
          <w:tab w:val="left" w:pos="2160"/>
          <w:tab w:val="right" w:leader="dot" w:pos="8910"/>
        </w:tabs>
        <w:spacing w:after="0" w:line="240" w:lineRule="auto"/>
        <w:ind w:firstLine="720"/>
        <w:rPr>
          <w:rFonts w:cs="Times New Roman"/>
        </w:rPr>
      </w:pPr>
    </w:p>
    <w:p w:rsidR="00836406" w:rsidRDefault="00836406" w:rsidP="00D335A3">
      <w:pPr>
        <w:pStyle w:val="ListParagraph"/>
        <w:numPr>
          <w:ilvl w:val="0"/>
          <w:numId w:val="38"/>
        </w:numPr>
        <w:tabs>
          <w:tab w:val="left" w:pos="2160"/>
          <w:tab w:val="right" w:leader="dot" w:pos="8910"/>
        </w:tabs>
        <w:spacing w:after="0" w:line="240" w:lineRule="auto"/>
        <w:ind w:left="2160" w:hanging="720"/>
        <w:contextualSpacing w:val="0"/>
        <w:rPr>
          <w:rFonts w:cs="Times New Roman"/>
        </w:rPr>
      </w:pPr>
      <w:r w:rsidRPr="00D335A3">
        <w:rPr>
          <w:rFonts w:cs="Times New Roman"/>
        </w:rPr>
        <w:t xml:space="preserve">The Commission Correctly Applied the PSE REC Order </w:t>
      </w:r>
      <w:r w:rsidR="00885FF8" w:rsidRPr="00D335A3">
        <w:rPr>
          <w:rFonts w:cs="Times New Roman"/>
        </w:rPr>
        <w:tab/>
      </w:r>
      <w:r w:rsidR="00FF330B" w:rsidRPr="00D335A3">
        <w:rPr>
          <w:rFonts w:cs="Times New Roman"/>
        </w:rPr>
        <w:t>4</w:t>
      </w:r>
    </w:p>
    <w:p w:rsidR="00C46490" w:rsidRPr="00D335A3" w:rsidRDefault="00C46490" w:rsidP="00C46490">
      <w:pPr>
        <w:pStyle w:val="ListParagraph"/>
        <w:tabs>
          <w:tab w:val="left" w:pos="2160"/>
          <w:tab w:val="right" w:leader="dot" w:pos="8910"/>
        </w:tabs>
        <w:spacing w:after="0" w:line="240" w:lineRule="auto"/>
        <w:ind w:left="2160"/>
        <w:contextualSpacing w:val="0"/>
        <w:rPr>
          <w:rFonts w:cs="Times New Roman"/>
        </w:rPr>
      </w:pPr>
    </w:p>
    <w:p w:rsidR="00885FF8" w:rsidRPr="00D335A3" w:rsidRDefault="00885FF8" w:rsidP="00D335A3">
      <w:pPr>
        <w:pStyle w:val="ListParagraph"/>
        <w:numPr>
          <w:ilvl w:val="0"/>
          <w:numId w:val="38"/>
        </w:numPr>
        <w:tabs>
          <w:tab w:val="left" w:pos="2160"/>
          <w:tab w:val="right" w:leader="dot" w:pos="8910"/>
        </w:tabs>
        <w:spacing w:after="0" w:line="240" w:lineRule="auto"/>
        <w:ind w:left="2160" w:hanging="720"/>
        <w:contextualSpacing w:val="0"/>
        <w:rPr>
          <w:rFonts w:cs="Times New Roman"/>
        </w:rPr>
      </w:pPr>
      <w:r w:rsidRPr="00D335A3">
        <w:rPr>
          <w:rFonts w:cs="Times New Roman"/>
        </w:rPr>
        <w:t>RECs do not have to be depreciable to be treated like</w:t>
      </w:r>
    </w:p>
    <w:p w:rsidR="00885FF8" w:rsidRDefault="00885FF8" w:rsidP="00D335A3">
      <w:pPr>
        <w:pStyle w:val="ListParagraph"/>
        <w:tabs>
          <w:tab w:val="left" w:pos="2160"/>
          <w:tab w:val="right" w:leader="dot" w:pos="8910"/>
        </w:tabs>
        <w:spacing w:after="0" w:line="240" w:lineRule="auto"/>
        <w:ind w:left="2160" w:hanging="720"/>
        <w:contextualSpacing w:val="0"/>
        <w:rPr>
          <w:rFonts w:cs="Times New Roman"/>
        </w:rPr>
      </w:pPr>
      <w:r w:rsidRPr="00D335A3">
        <w:rPr>
          <w:rFonts w:cs="Times New Roman"/>
        </w:rPr>
        <w:tab/>
        <w:t xml:space="preserve">property </w:t>
      </w:r>
      <w:r w:rsidRPr="00D335A3">
        <w:rPr>
          <w:rFonts w:cs="Times New Roman"/>
        </w:rPr>
        <w:tab/>
      </w:r>
      <w:r w:rsidR="00FF330B" w:rsidRPr="00D335A3">
        <w:rPr>
          <w:rFonts w:cs="Times New Roman"/>
        </w:rPr>
        <w:t>5</w:t>
      </w:r>
    </w:p>
    <w:p w:rsidR="00C46490" w:rsidRPr="00D335A3" w:rsidRDefault="00C46490" w:rsidP="00D335A3">
      <w:pPr>
        <w:pStyle w:val="ListParagraph"/>
        <w:tabs>
          <w:tab w:val="left" w:pos="2160"/>
          <w:tab w:val="right" w:leader="dot" w:pos="8910"/>
        </w:tabs>
        <w:spacing w:after="0" w:line="240" w:lineRule="auto"/>
        <w:ind w:left="2160" w:hanging="720"/>
        <w:contextualSpacing w:val="0"/>
        <w:rPr>
          <w:rFonts w:cs="Times New Roman"/>
        </w:rPr>
      </w:pPr>
    </w:p>
    <w:p w:rsidR="00885FF8" w:rsidRPr="00D335A3" w:rsidRDefault="00885FF8" w:rsidP="00D335A3">
      <w:pPr>
        <w:pStyle w:val="ListParagraph"/>
        <w:keepNext/>
        <w:numPr>
          <w:ilvl w:val="0"/>
          <w:numId w:val="38"/>
        </w:numPr>
        <w:tabs>
          <w:tab w:val="left" w:pos="2160"/>
          <w:tab w:val="right" w:leader="dot" w:pos="8910"/>
        </w:tabs>
        <w:spacing w:after="0" w:line="240" w:lineRule="auto"/>
        <w:ind w:left="2160" w:hanging="720"/>
        <w:rPr>
          <w:rFonts w:cs="Times New Roman"/>
        </w:rPr>
      </w:pPr>
      <w:r w:rsidRPr="00D335A3">
        <w:rPr>
          <w:rFonts w:cs="Times New Roman"/>
        </w:rPr>
        <w:t>RECs are not electricity, they are intangible assets</w:t>
      </w:r>
    </w:p>
    <w:p w:rsidR="00885FF8" w:rsidRDefault="00885FF8" w:rsidP="00D335A3">
      <w:pPr>
        <w:pStyle w:val="ListParagraph"/>
        <w:keepNext/>
        <w:tabs>
          <w:tab w:val="left" w:pos="2160"/>
          <w:tab w:val="right" w:leader="dot" w:pos="8910"/>
        </w:tabs>
        <w:spacing w:after="0" w:line="240" w:lineRule="auto"/>
        <w:ind w:left="2160" w:hanging="720"/>
        <w:rPr>
          <w:rFonts w:cs="Times New Roman"/>
        </w:rPr>
      </w:pPr>
      <w:r w:rsidRPr="00D335A3">
        <w:rPr>
          <w:rFonts w:cs="Times New Roman"/>
        </w:rPr>
        <w:tab/>
        <w:t>representing rights</w:t>
      </w:r>
      <w:r w:rsidRPr="00D335A3">
        <w:rPr>
          <w:rFonts w:cs="Times New Roman"/>
        </w:rPr>
        <w:tab/>
      </w:r>
      <w:r w:rsidR="00FF330B" w:rsidRPr="00D335A3">
        <w:rPr>
          <w:rFonts w:cs="Times New Roman"/>
        </w:rPr>
        <w:t>6</w:t>
      </w:r>
    </w:p>
    <w:p w:rsidR="00C46490" w:rsidRPr="00D335A3" w:rsidRDefault="00C46490" w:rsidP="00D335A3">
      <w:pPr>
        <w:pStyle w:val="ListParagraph"/>
        <w:keepNext/>
        <w:tabs>
          <w:tab w:val="left" w:pos="2160"/>
          <w:tab w:val="right" w:leader="dot" w:pos="8910"/>
        </w:tabs>
        <w:spacing w:after="0" w:line="240" w:lineRule="auto"/>
        <w:ind w:left="2160" w:hanging="720"/>
        <w:rPr>
          <w:rFonts w:cs="Times New Roman"/>
        </w:rPr>
      </w:pPr>
    </w:p>
    <w:p w:rsidR="00885FF8" w:rsidRPr="00D335A3" w:rsidRDefault="00885FF8" w:rsidP="00D335A3">
      <w:pPr>
        <w:pStyle w:val="ListParagraph"/>
        <w:numPr>
          <w:ilvl w:val="0"/>
          <w:numId w:val="38"/>
        </w:numPr>
        <w:tabs>
          <w:tab w:val="left" w:pos="2160"/>
          <w:tab w:val="right" w:leader="dot" w:pos="8910"/>
        </w:tabs>
        <w:spacing w:after="0" w:line="240" w:lineRule="auto"/>
        <w:ind w:left="2160" w:hanging="720"/>
        <w:contextualSpacing w:val="0"/>
        <w:rPr>
          <w:rFonts w:cs="Times New Roman"/>
        </w:rPr>
      </w:pPr>
      <w:r w:rsidRPr="00D335A3">
        <w:rPr>
          <w:rFonts w:cs="Times New Roman"/>
        </w:rPr>
        <w:t>Prior Commission Property Transfer Orders Involving</w:t>
      </w:r>
    </w:p>
    <w:p w:rsidR="00885FF8" w:rsidRPr="00D335A3" w:rsidRDefault="00885FF8" w:rsidP="00D335A3">
      <w:pPr>
        <w:pStyle w:val="ListParagraph"/>
        <w:tabs>
          <w:tab w:val="left" w:pos="2160"/>
          <w:tab w:val="right" w:leader="dot" w:pos="8910"/>
        </w:tabs>
        <w:spacing w:after="0" w:line="240" w:lineRule="auto"/>
        <w:ind w:left="2160" w:hanging="720"/>
        <w:contextualSpacing w:val="0"/>
        <w:rPr>
          <w:rFonts w:cs="Times New Roman"/>
        </w:rPr>
      </w:pPr>
      <w:r w:rsidRPr="00D335A3">
        <w:rPr>
          <w:rFonts w:cs="Times New Roman"/>
        </w:rPr>
        <w:tab/>
        <w:t>PacifiCorp Confirm and Support the Commission’s</w:t>
      </w:r>
    </w:p>
    <w:p w:rsidR="00885FF8" w:rsidRDefault="00885FF8" w:rsidP="00D335A3">
      <w:pPr>
        <w:pStyle w:val="ListParagraph"/>
        <w:tabs>
          <w:tab w:val="left" w:pos="2160"/>
          <w:tab w:val="right" w:leader="dot" w:pos="8910"/>
        </w:tabs>
        <w:spacing w:after="0" w:line="240" w:lineRule="auto"/>
        <w:ind w:left="2160" w:hanging="720"/>
        <w:contextualSpacing w:val="0"/>
        <w:rPr>
          <w:rFonts w:cs="Times New Roman"/>
        </w:rPr>
      </w:pPr>
      <w:r w:rsidRPr="00D335A3">
        <w:rPr>
          <w:rFonts w:cs="Times New Roman"/>
        </w:rPr>
        <w:tab/>
        <w:t>Treatment of RECs in this Case</w:t>
      </w:r>
      <w:r w:rsidRPr="00D335A3">
        <w:rPr>
          <w:rFonts w:cs="Times New Roman"/>
        </w:rPr>
        <w:tab/>
      </w:r>
      <w:r w:rsidR="00FF330B" w:rsidRPr="00D335A3">
        <w:rPr>
          <w:rFonts w:cs="Times New Roman"/>
        </w:rPr>
        <w:t>7</w:t>
      </w:r>
    </w:p>
    <w:p w:rsidR="00C46490" w:rsidRPr="00D335A3" w:rsidRDefault="00C46490" w:rsidP="00D335A3">
      <w:pPr>
        <w:pStyle w:val="ListParagraph"/>
        <w:tabs>
          <w:tab w:val="left" w:pos="2160"/>
          <w:tab w:val="right" w:leader="dot" w:pos="8910"/>
        </w:tabs>
        <w:spacing w:after="0" w:line="240" w:lineRule="auto"/>
        <w:ind w:left="2160" w:hanging="720"/>
        <w:contextualSpacing w:val="0"/>
        <w:rPr>
          <w:rFonts w:cs="Times New Roman"/>
        </w:rPr>
      </w:pPr>
    </w:p>
    <w:p w:rsidR="00885FF8" w:rsidRPr="00D335A3" w:rsidRDefault="00885FF8" w:rsidP="00D335A3">
      <w:pPr>
        <w:pStyle w:val="ListParagraph"/>
        <w:numPr>
          <w:ilvl w:val="0"/>
          <w:numId w:val="38"/>
        </w:numPr>
        <w:tabs>
          <w:tab w:val="left" w:pos="2160"/>
          <w:tab w:val="right" w:leader="dot" w:pos="8910"/>
        </w:tabs>
        <w:spacing w:after="0" w:line="240" w:lineRule="auto"/>
        <w:ind w:left="2160" w:hanging="720"/>
        <w:rPr>
          <w:rFonts w:cs="Times New Roman"/>
        </w:rPr>
      </w:pPr>
      <w:r w:rsidRPr="00D335A3">
        <w:rPr>
          <w:rFonts w:cs="Times New Roman"/>
        </w:rPr>
        <w:t>PacifiCorp Treats its Sales of RECs in Oregon as Sales</w:t>
      </w:r>
    </w:p>
    <w:p w:rsidR="00885FF8" w:rsidRPr="00D335A3" w:rsidRDefault="00885FF8" w:rsidP="00D335A3">
      <w:pPr>
        <w:pStyle w:val="ListParagraph"/>
        <w:tabs>
          <w:tab w:val="left" w:pos="2160"/>
          <w:tab w:val="right" w:leader="dot" w:pos="8910"/>
        </w:tabs>
        <w:spacing w:after="0" w:line="240" w:lineRule="auto"/>
        <w:ind w:left="2160"/>
        <w:contextualSpacing w:val="0"/>
        <w:rPr>
          <w:rFonts w:cs="Times New Roman"/>
        </w:rPr>
      </w:pPr>
      <w:r w:rsidRPr="00D335A3">
        <w:rPr>
          <w:rFonts w:cs="Times New Roman"/>
        </w:rPr>
        <w:t>of Property</w:t>
      </w:r>
      <w:r w:rsidRPr="00D335A3">
        <w:rPr>
          <w:rFonts w:cs="Times New Roman"/>
        </w:rPr>
        <w:tab/>
      </w:r>
      <w:r w:rsidR="00FF330B" w:rsidRPr="00D335A3">
        <w:rPr>
          <w:rFonts w:cs="Times New Roman"/>
        </w:rPr>
        <w:t>8</w:t>
      </w:r>
    </w:p>
    <w:p w:rsidR="00885FF8" w:rsidRPr="00D335A3" w:rsidRDefault="00885FF8" w:rsidP="00D335A3">
      <w:pPr>
        <w:pStyle w:val="ListParagraph"/>
        <w:tabs>
          <w:tab w:val="left" w:pos="2160"/>
          <w:tab w:val="right" w:leader="dot" w:pos="8910"/>
        </w:tabs>
        <w:spacing w:after="0" w:line="240" w:lineRule="auto"/>
        <w:ind w:left="2160" w:hanging="720"/>
        <w:contextualSpacing w:val="0"/>
        <w:rPr>
          <w:rFonts w:cs="Times New Roman"/>
        </w:rPr>
      </w:pPr>
    </w:p>
    <w:p w:rsidR="00885FF8" w:rsidRPr="00D335A3" w:rsidRDefault="00885FF8" w:rsidP="00D335A3">
      <w:pPr>
        <w:pStyle w:val="ListParagraph"/>
        <w:tabs>
          <w:tab w:val="left" w:pos="720"/>
          <w:tab w:val="left" w:pos="1440"/>
          <w:tab w:val="left" w:pos="2160"/>
          <w:tab w:val="left" w:pos="2880"/>
          <w:tab w:val="right" w:leader="dot" w:pos="8910"/>
        </w:tabs>
        <w:spacing w:after="0" w:line="240" w:lineRule="auto"/>
        <w:ind w:left="0"/>
        <w:contextualSpacing w:val="0"/>
        <w:rPr>
          <w:rFonts w:cs="Times New Roman"/>
        </w:rPr>
      </w:pPr>
      <w:r w:rsidRPr="00D335A3">
        <w:rPr>
          <w:rFonts w:cs="Times New Roman"/>
        </w:rPr>
        <w:tab/>
        <w:t>C.</w:t>
      </w:r>
      <w:r w:rsidRPr="00D335A3">
        <w:rPr>
          <w:rFonts w:cs="Times New Roman"/>
        </w:rPr>
        <w:tab/>
        <w:t>PacifiCorp’s “Operating Revenue” Argument Misconstrues</w:t>
      </w:r>
    </w:p>
    <w:p w:rsidR="00885FF8" w:rsidRDefault="00885FF8" w:rsidP="00D335A3">
      <w:pPr>
        <w:pStyle w:val="ListParagraph"/>
        <w:tabs>
          <w:tab w:val="left" w:pos="720"/>
          <w:tab w:val="left" w:pos="1440"/>
          <w:tab w:val="left" w:pos="2160"/>
          <w:tab w:val="right" w:leader="dot" w:pos="8910"/>
        </w:tabs>
        <w:spacing w:after="0" w:line="240" w:lineRule="auto"/>
        <w:ind w:left="0"/>
        <w:contextualSpacing w:val="0"/>
        <w:rPr>
          <w:rFonts w:cs="Times New Roman"/>
        </w:rPr>
      </w:pPr>
      <w:r w:rsidRPr="00D335A3">
        <w:rPr>
          <w:rFonts w:cs="Times New Roman"/>
        </w:rPr>
        <w:tab/>
      </w:r>
      <w:r w:rsidRPr="00D335A3">
        <w:rPr>
          <w:rFonts w:cs="Times New Roman"/>
        </w:rPr>
        <w:tab/>
        <w:t>the Order</w:t>
      </w:r>
      <w:r w:rsidRPr="00D335A3">
        <w:rPr>
          <w:rFonts w:cs="Times New Roman"/>
        </w:rPr>
        <w:tab/>
      </w:r>
      <w:r w:rsidR="00D054AF">
        <w:rPr>
          <w:rFonts w:cs="Times New Roman"/>
        </w:rPr>
        <w:t>8</w:t>
      </w:r>
    </w:p>
    <w:p w:rsidR="00D054AF" w:rsidRPr="00D335A3" w:rsidRDefault="00D054AF" w:rsidP="00D335A3">
      <w:pPr>
        <w:pStyle w:val="ListParagraph"/>
        <w:tabs>
          <w:tab w:val="left" w:pos="720"/>
          <w:tab w:val="left" w:pos="1440"/>
          <w:tab w:val="left" w:pos="2160"/>
          <w:tab w:val="right" w:leader="dot" w:pos="8910"/>
        </w:tabs>
        <w:spacing w:after="0" w:line="240" w:lineRule="auto"/>
        <w:ind w:left="0"/>
        <w:contextualSpacing w:val="0"/>
        <w:rPr>
          <w:rFonts w:cs="Times New Roman"/>
        </w:rPr>
      </w:pPr>
    </w:p>
    <w:p w:rsidR="00885FF8" w:rsidRDefault="00885FF8" w:rsidP="00D335A3">
      <w:pPr>
        <w:tabs>
          <w:tab w:val="left" w:pos="1440"/>
          <w:tab w:val="left" w:pos="2160"/>
          <w:tab w:val="right" w:leader="dot" w:pos="8910"/>
        </w:tabs>
        <w:spacing w:after="0" w:line="240" w:lineRule="auto"/>
        <w:ind w:firstLine="720"/>
        <w:rPr>
          <w:rFonts w:cs="Times New Roman"/>
        </w:rPr>
      </w:pPr>
      <w:r w:rsidRPr="00D335A3">
        <w:rPr>
          <w:rFonts w:cs="Times New Roman"/>
        </w:rPr>
        <w:t>D.</w:t>
      </w:r>
      <w:r w:rsidRPr="00D335A3">
        <w:rPr>
          <w:rFonts w:cs="Times New Roman"/>
        </w:rPr>
        <w:tab/>
        <w:t>PacifiCorp’s Same Retroactive Ratemaking Arguments are Still Wrong</w:t>
      </w:r>
      <w:r w:rsidRPr="00D335A3">
        <w:rPr>
          <w:rFonts w:cs="Times New Roman"/>
        </w:rPr>
        <w:tab/>
      </w:r>
      <w:r w:rsidR="00FF330B" w:rsidRPr="00D335A3">
        <w:rPr>
          <w:rFonts w:cs="Times New Roman"/>
        </w:rPr>
        <w:t>10</w:t>
      </w:r>
    </w:p>
    <w:p w:rsidR="00C46490" w:rsidRPr="00D335A3" w:rsidRDefault="00C46490" w:rsidP="00D335A3">
      <w:pPr>
        <w:tabs>
          <w:tab w:val="left" w:pos="1440"/>
          <w:tab w:val="left" w:pos="2160"/>
          <w:tab w:val="right" w:leader="dot" w:pos="8910"/>
        </w:tabs>
        <w:spacing w:after="0" w:line="240" w:lineRule="auto"/>
        <w:ind w:firstLine="720"/>
        <w:rPr>
          <w:rFonts w:cs="Times New Roman"/>
        </w:rPr>
      </w:pPr>
    </w:p>
    <w:p w:rsidR="00885FF8" w:rsidRDefault="00885FF8" w:rsidP="00D335A3">
      <w:pPr>
        <w:tabs>
          <w:tab w:val="left" w:pos="2160"/>
          <w:tab w:val="right" w:leader="dot" w:pos="8910"/>
        </w:tabs>
        <w:spacing w:after="0" w:line="240" w:lineRule="auto"/>
        <w:ind w:left="1440" w:hanging="720"/>
        <w:rPr>
          <w:rFonts w:cs="Times New Roman"/>
        </w:rPr>
      </w:pPr>
      <w:r w:rsidRPr="00D335A3">
        <w:rPr>
          <w:rFonts w:cs="Times New Roman"/>
        </w:rPr>
        <w:tab/>
        <w:t>1.</w:t>
      </w:r>
      <w:r w:rsidRPr="00D335A3">
        <w:rPr>
          <w:rFonts w:cs="Times New Roman"/>
        </w:rPr>
        <w:tab/>
        <w:t xml:space="preserve">PacifiCorp placed REC revenues into issue in this case </w:t>
      </w:r>
      <w:r w:rsidRPr="00D335A3">
        <w:rPr>
          <w:rFonts w:cs="Times New Roman"/>
        </w:rPr>
        <w:tab/>
      </w:r>
      <w:r w:rsidR="00D054AF">
        <w:rPr>
          <w:rFonts w:cs="Times New Roman"/>
        </w:rPr>
        <w:t>10</w:t>
      </w:r>
    </w:p>
    <w:p w:rsidR="00C46490" w:rsidRPr="00D335A3" w:rsidRDefault="00C46490" w:rsidP="00D335A3">
      <w:pPr>
        <w:tabs>
          <w:tab w:val="left" w:pos="2160"/>
          <w:tab w:val="right" w:leader="dot" w:pos="8910"/>
        </w:tabs>
        <w:spacing w:after="0" w:line="240" w:lineRule="auto"/>
        <w:ind w:left="1440" w:hanging="720"/>
        <w:rPr>
          <w:rFonts w:cs="Times New Roman"/>
        </w:rPr>
      </w:pPr>
    </w:p>
    <w:p w:rsidR="00885FF8" w:rsidRPr="00D335A3" w:rsidRDefault="00885FF8" w:rsidP="00D335A3">
      <w:pPr>
        <w:tabs>
          <w:tab w:val="left" w:pos="2160"/>
          <w:tab w:val="right" w:leader="dot" w:pos="8910"/>
        </w:tabs>
        <w:spacing w:after="0" w:line="240" w:lineRule="auto"/>
        <w:ind w:left="1440" w:hanging="720"/>
        <w:rPr>
          <w:rFonts w:cs="Times New Roman"/>
        </w:rPr>
      </w:pPr>
      <w:r w:rsidRPr="00D335A3">
        <w:rPr>
          <w:rFonts w:cs="Times New Roman"/>
        </w:rPr>
        <w:tab/>
        <w:t>2.</w:t>
      </w:r>
      <w:r w:rsidRPr="00D335A3">
        <w:rPr>
          <w:rFonts w:cs="Times New Roman"/>
        </w:rPr>
        <w:tab/>
        <w:t>The Commission has discretion to treat test period items</w:t>
      </w:r>
    </w:p>
    <w:p w:rsidR="00885FF8" w:rsidRPr="00D335A3" w:rsidRDefault="00885FF8" w:rsidP="00D335A3">
      <w:pPr>
        <w:tabs>
          <w:tab w:val="left" w:pos="2160"/>
          <w:tab w:val="right" w:leader="dot" w:pos="8910"/>
        </w:tabs>
        <w:spacing w:after="0" w:line="240" w:lineRule="auto"/>
        <w:ind w:left="1440" w:hanging="720"/>
        <w:rPr>
          <w:rFonts w:cs="Times New Roman"/>
        </w:rPr>
      </w:pPr>
      <w:r w:rsidRPr="00D335A3">
        <w:rPr>
          <w:rFonts w:cs="Times New Roman"/>
        </w:rPr>
        <w:tab/>
      </w:r>
      <w:r w:rsidRPr="00D335A3">
        <w:rPr>
          <w:rFonts w:cs="Times New Roman"/>
        </w:rPr>
        <w:tab/>
      </w:r>
      <w:r w:rsidR="00D054AF">
        <w:rPr>
          <w:rFonts w:cs="Times New Roman"/>
        </w:rPr>
        <w:t>o</w:t>
      </w:r>
      <w:r w:rsidR="00D91D47">
        <w:rPr>
          <w:rFonts w:cs="Times New Roman"/>
        </w:rPr>
        <w:t>utside the ratemaking formula</w:t>
      </w:r>
      <w:r w:rsidRPr="00D335A3">
        <w:rPr>
          <w:rFonts w:cs="Times New Roman"/>
        </w:rPr>
        <w:t xml:space="preserve"> </w:t>
      </w:r>
      <w:r w:rsidR="00D91D47">
        <w:rPr>
          <w:rFonts w:cs="Times New Roman"/>
        </w:rPr>
        <w:t xml:space="preserve">when </w:t>
      </w:r>
      <w:r w:rsidRPr="00D335A3">
        <w:rPr>
          <w:rFonts w:cs="Times New Roman"/>
        </w:rPr>
        <w:t>law or policy so dictates</w:t>
      </w:r>
      <w:r w:rsidRPr="00D335A3">
        <w:rPr>
          <w:rFonts w:cs="Times New Roman"/>
        </w:rPr>
        <w:tab/>
      </w:r>
      <w:r w:rsidR="00FF330B" w:rsidRPr="00D335A3">
        <w:rPr>
          <w:rFonts w:cs="Times New Roman"/>
        </w:rPr>
        <w:t>12</w:t>
      </w:r>
    </w:p>
    <w:p w:rsidR="00885FF8" w:rsidRPr="00D335A3" w:rsidRDefault="00885FF8" w:rsidP="00D335A3">
      <w:pPr>
        <w:tabs>
          <w:tab w:val="left" w:pos="2160"/>
          <w:tab w:val="right" w:leader="dot" w:pos="8910"/>
        </w:tabs>
        <w:spacing w:after="0" w:line="240" w:lineRule="auto"/>
        <w:ind w:left="1440" w:hanging="720"/>
        <w:rPr>
          <w:rFonts w:cs="Times New Roman"/>
        </w:rPr>
      </w:pPr>
    </w:p>
    <w:p w:rsidR="00FF330B" w:rsidRPr="00D335A3" w:rsidRDefault="00FF330B" w:rsidP="00D335A3">
      <w:pPr>
        <w:pStyle w:val="ListParagraph"/>
        <w:tabs>
          <w:tab w:val="left" w:pos="1440"/>
          <w:tab w:val="left" w:pos="2070"/>
          <w:tab w:val="right" w:leader="dot" w:pos="8910"/>
        </w:tabs>
        <w:spacing w:after="0" w:line="480" w:lineRule="auto"/>
        <w:rPr>
          <w:rFonts w:cs="Times New Roman"/>
        </w:rPr>
      </w:pPr>
      <w:r w:rsidRPr="00D335A3">
        <w:rPr>
          <w:rFonts w:cs="Times New Roman"/>
        </w:rPr>
        <w:t>E.</w:t>
      </w:r>
      <w:r w:rsidRPr="00D335A3">
        <w:rPr>
          <w:rFonts w:cs="Times New Roman"/>
        </w:rPr>
        <w:tab/>
        <w:t>PacifiCorp’s Rate of Return Argument is Built on a False Premise</w:t>
      </w:r>
      <w:r w:rsidRPr="00D335A3">
        <w:rPr>
          <w:rFonts w:cs="Times New Roman"/>
        </w:rPr>
        <w:tab/>
        <w:t>14</w:t>
      </w:r>
    </w:p>
    <w:p w:rsidR="00836406" w:rsidRPr="00D335A3" w:rsidRDefault="00FF330B" w:rsidP="00D335A3">
      <w:pPr>
        <w:pStyle w:val="ListParagraph"/>
        <w:tabs>
          <w:tab w:val="left" w:pos="1440"/>
          <w:tab w:val="left" w:pos="2070"/>
          <w:tab w:val="right" w:leader="dot" w:pos="8910"/>
        </w:tabs>
        <w:spacing w:after="0" w:line="480" w:lineRule="auto"/>
        <w:rPr>
          <w:rFonts w:cs="Times New Roman"/>
        </w:rPr>
      </w:pPr>
      <w:r w:rsidRPr="00D335A3">
        <w:rPr>
          <w:rFonts w:cs="Times New Roman"/>
        </w:rPr>
        <w:t>F.</w:t>
      </w:r>
      <w:r w:rsidRPr="00D335A3">
        <w:rPr>
          <w:rFonts w:cs="Times New Roman"/>
        </w:rPr>
        <w:tab/>
        <w:t>Calculation Issues</w:t>
      </w:r>
      <w:r w:rsidRPr="00D335A3">
        <w:rPr>
          <w:rFonts w:cs="Times New Roman"/>
        </w:rPr>
        <w:tab/>
        <w:t>15</w:t>
      </w:r>
    </w:p>
    <w:p w:rsidR="00C037AF" w:rsidRPr="00D335A3" w:rsidRDefault="00C037AF" w:rsidP="00D335A3">
      <w:pPr>
        <w:tabs>
          <w:tab w:val="left" w:pos="720"/>
          <w:tab w:val="left" w:pos="2160"/>
          <w:tab w:val="right" w:leader="dot" w:pos="8910"/>
        </w:tabs>
        <w:spacing w:after="0" w:line="240" w:lineRule="auto"/>
        <w:rPr>
          <w:rFonts w:cs="Times New Roman"/>
        </w:rPr>
      </w:pPr>
      <w:r w:rsidRPr="00D335A3">
        <w:rPr>
          <w:rFonts w:cs="Times New Roman"/>
        </w:rPr>
        <w:t>IV.</w:t>
      </w:r>
      <w:r w:rsidRPr="00D335A3">
        <w:rPr>
          <w:rFonts w:cs="Times New Roman"/>
        </w:rPr>
        <w:tab/>
      </w:r>
      <w:r w:rsidR="0076337B" w:rsidRPr="00D335A3">
        <w:rPr>
          <w:rFonts w:cs="Times New Roman"/>
        </w:rPr>
        <w:t xml:space="preserve">STAFF RESPONSE TO MOTION TO REOPEN THE RECORD </w:t>
      </w:r>
      <w:r w:rsidRPr="00D335A3">
        <w:rPr>
          <w:rFonts w:cs="Times New Roman"/>
        </w:rPr>
        <w:tab/>
      </w:r>
      <w:r w:rsidR="00FF330B" w:rsidRPr="00D335A3">
        <w:rPr>
          <w:rFonts w:cs="Times New Roman"/>
        </w:rPr>
        <w:t>15</w:t>
      </w:r>
    </w:p>
    <w:p w:rsidR="0076337B" w:rsidRPr="00D335A3" w:rsidRDefault="0076337B" w:rsidP="00D335A3">
      <w:pPr>
        <w:tabs>
          <w:tab w:val="left" w:pos="720"/>
          <w:tab w:val="left" w:pos="2160"/>
          <w:tab w:val="right" w:leader="dot" w:pos="8910"/>
        </w:tabs>
        <w:spacing w:after="0" w:line="240" w:lineRule="auto"/>
        <w:rPr>
          <w:rFonts w:cs="Times New Roman"/>
        </w:rPr>
      </w:pPr>
    </w:p>
    <w:p w:rsidR="0076337B" w:rsidRPr="00D335A3" w:rsidRDefault="00D054AF" w:rsidP="00D335A3">
      <w:pPr>
        <w:tabs>
          <w:tab w:val="left" w:pos="720"/>
          <w:tab w:val="left" w:pos="2160"/>
          <w:tab w:val="right" w:leader="dot" w:pos="8910"/>
        </w:tabs>
        <w:spacing w:after="0" w:line="240" w:lineRule="auto"/>
        <w:rPr>
          <w:rFonts w:cs="Times New Roman"/>
        </w:rPr>
      </w:pPr>
      <w:r>
        <w:rPr>
          <w:rFonts w:cs="Times New Roman"/>
        </w:rPr>
        <w:t>V.</w:t>
      </w:r>
      <w:r>
        <w:rPr>
          <w:rFonts w:cs="Times New Roman"/>
        </w:rPr>
        <w:tab/>
        <w:t>CONCLUSION</w:t>
      </w:r>
      <w:r>
        <w:rPr>
          <w:rFonts w:cs="Times New Roman"/>
        </w:rPr>
        <w:tab/>
        <w:t>16</w:t>
      </w:r>
    </w:p>
    <w:p w:rsidR="00F95ED7" w:rsidRPr="00D335A3" w:rsidRDefault="00F95ED7" w:rsidP="00D335A3">
      <w:pPr>
        <w:tabs>
          <w:tab w:val="left" w:pos="720"/>
          <w:tab w:val="left" w:pos="2160"/>
          <w:tab w:val="right" w:leader="dot" w:pos="8910"/>
        </w:tabs>
        <w:spacing w:after="0" w:line="240" w:lineRule="auto"/>
        <w:rPr>
          <w:rFonts w:cs="Times New Roman"/>
        </w:rPr>
      </w:pPr>
    </w:p>
    <w:p w:rsidR="00F95ED7" w:rsidRPr="00D335A3" w:rsidRDefault="00F95ED7" w:rsidP="00D335A3">
      <w:pPr>
        <w:tabs>
          <w:tab w:val="left" w:pos="720"/>
          <w:tab w:val="left" w:pos="2160"/>
          <w:tab w:val="right" w:leader="dot" w:pos="8910"/>
        </w:tabs>
        <w:spacing w:after="0" w:line="240" w:lineRule="auto"/>
        <w:rPr>
          <w:rFonts w:cs="Times New Roman"/>
        </w:rPr>
        <w:sectPr w:rsidR="00F95ED7" w:rsidRPr="00D335A3" w:rsidSect="00F95ED7">
          <w:footerReference w:type="default" r:id="rId9"/>
          <w:pgSz w:w="12240" w:h="15840"/>
          <w:pgMar w:top="1440" w:right="1440" w:bottom="1440" w:left="1872" w:header="720" w:footer="720" w:gutter="0"/>
          <w:pgNumType w:fmt="lowerRoman" w:start="1"/>
          <w:cols w:space="720"/>
          <w:docGrid w:linePitch="360"/>
        </w:sectPr>
      </w:pPr>
    </w:p>
    <w:p w:rsidR="00F95ED7" w:rsidRPr="00D335A3" w:rsidRDefault="00F95ED7" w:rsidP="00D335A3">
      <w:pPr>
        <w:tabs>
          <w:tab w:val="left" w:pos="720"/>
          <w:tab w:val="left" w:pos="2160"/>
          <w:tab w:val="right" w:leader="dot" w:pos="8910"/>
        </w:tabs>
        <w:spacing w:after="0" w:line="240" w:lineRule="auto"/>
        <w:jc w:val="center"/>
        <w:rPr>
          <w:rFonts w:cs="Times New Roman"/>
          <w:b/>
        </w:rPr>
      </w:pPr>
      <w:r w:rsidRPr="00D335A3">
        <w:rPr>
          <w:rFonts w:cs="Times New Roman"/>
          <w:b/>
        </w:rPr>
        <w:lastRenderedPageBreak/>
        <w:t>TABLE OF AUTHORITIES</w:t>
      </w:r>
    </w:p>
    <w:p w:rsidR="00F95ED7" w:rsidRPr="00D335A3" w:rsidRDefault="00F95ED7" w:rsidP="00D335A3">
      <w:pPr>
        <w:tabs>
          <w:tab w:val="left" w:pos="720"/>
          <w:tab w:val="left" w:pos="2160"/>
          <w:tab w:val="right" w:leader="dot" w:pos="8910"/>
        </w:tabs>
        <w:spacing w:after="0" w:line="240" w:lineRule="auto"/>
        <w:jc w:val="center"/>
        <w:rPr>
          <w:rFonts w:cs="Times New Roman"/>
          <w:b/>
        </w:rPr>
      </w:pPr>
    </w:p>
    <w:p w:rsidR="00EE1905" w:rsidRDefault="00EE1905" w:rsidP="00D335A3">
      <w:pPr>
        <w:tabs>
          <w:tab w:val="left" w:pos="720"/>
          <w:tab w:val="left" w:pos="2160"/>
          <w:tab w:val="right" w:leader="dot" w:pos="8910"/>
        </w:tabs>
        <w:spacing w:after="0" w:line="240" w:lineRule="auto"/>
        <w:jc w:val="center"/>
        <w:rPr>
          <w:rFonts w:cs="Times New Roman"/>
          <w:b/>
        </w:rPr>
      </w:pPr>
    </w:p>
    <w:p w:rsidR="00F16D36" w:rsidRPr="00D335A3" w:rsidRDefault="005150D9" w:rsidP="00D335A3">
      <w:pPr>
        <w:tabs>
          <w:tab w:val="left" w:pos="720"/>
          <w:tab w:val="left" w:pos="2160"/>
          <w:tab w:val="right" w:leader="dot" w:pos="8910"/>
        </w:tabs>
        <w:spacing w:after="0" w:line="240" w:lineRule="auto"/>
        <w:jc w:val="center"/>
        <w:rPr>
          <w:rFonts w:cs="Times New Roman"/>
          <w:b/>
        </w:rPr>
      </w:pPr>
      <w:r w:rsidRPr="00D335A3">
        <w:rPr>
          <w:rFonts w:cs="Times New Roman"/>
          <w:b/>
        </w:rPr>
        <w:t>Cases</w:t>
      </w:r>
    </w:p>
    <w:p w:rsidR="00F16D36" w:rsidRPr="00D335A3" w:rsidRDefault="00F16D36" w:rsidP="00D335A3">
      <w:pPr>
        <w:tabs>
          <w:tab w:val="left" w:pos="720"/>
          <w:tab w:val="left" w:pos="2160"/>
          <w:tab w:val="right" w:leader="dot" w:pos="8910"/>
        </w:tabs>
        <w:spacing w:after="0" w:line="240" w:lineRule="auto"/>
        <w:jc w:val="center"/>
        <w:rPr>
          <w:rFonts w:cs="Times New Roman"/>
          <w:b/>
        </w:rPr>
      </w:pPr>
    </w:p>
    <w:p w:rsidR="00D335A3" w:rsidRDefault="00F16D36" w:rsidP="00D335A3">
      <w:pPr>
        <w:tabs>
          <w:tab w:val="left" w:pos="720"/>
          <w:tab w:val="left" w:pos="2160"/>
          <w:tab w:val="right" w:leader="dot" w:pos="8910"/>
        </w:tabs>
        <w:spacing w:after="0" w:line="240" w:lineRule="auto"/>
        <w:rPr>
          <w:rFonts w:cs="Times New Roman"/>
        </w:rPr>
      </w:pPr>
      <w:r w:rsidRPr="00D335A3">
        <w:rPr>
          <w:rFonts w:cs="Times New Roman"/>
          <w:i/>
        </w:rPr>
        <w:t>Democratic Cent. Comm. v. Wash. Metro. Transit Comm’n</w:t>
      </w:r>
      <w:r w:rsidRPr="00D335A3">
        <w:rPr>
          <w:rFonts w:cs="Times New Roman"/>
        </w:rPr>
        <w:t>,</w:t>
      </w:r>
    </w:p>
    <w:p w:rsidR="00F16D36" w:rsidRPr="00D335A3" w:rsidRDefault="00D335A3" w:rsidP="00D335A3">
      <w:pPr>
        <w:tabs>
          <w:tab w:val="left" w:pos="720"/>
          <w:tab w:val="left" w:pos="2160"/>
          <w:tab w:val="right" w:leader="dot" w:pos="8910"/>
        </w:tabs>
        <w:spacing w:after="0" w:line="240" w:lineRule="auto"/>
        <w:rPr>
          <w:rFonts w:cs="Times New Roman"/>
        </w:rPr>
      </w:pPr>
      <w:r>
        <w:rPr>
          <w:rFonts w:cs="Times New Roman"/>
        </w:rPr>
        <w:tab/>
      </w:r>
      <w:r w:rsidR="00EF1C5F">
        <w:rPr>
          <w:rFonts w:cs="Times New Roman"/>
        </w:rPr>
        <w:t xml:space="preserve">485 F.2d 786 </w:t>
      </w:r>
      <w:r w:rsidR="00F16D36" w:rsidRPr="00D335A3">
        <w:rPr>
          <w:rFonts w:cs="Times New Roman"/>
        </w:rPr>
        <w:t>(D.C. Cir. 1973)</w:t>
      </w:r>
      <w:r>
        <w:rPr>
          <w:rFonts w:cs="Times New Roman"/>
        </w:rPr>
        <w:tab/>
      </w:r>
      <w:r w:rsidR="005150D9">
        <w:rPr>
          <w:rFonts w:cs="Times New Roman"/>
        </w:rPr>
        <w:t>5</w:t>
      </w:r>
    </w:p>
    <w:p w:rsidR="007E241A" w:rsidRPr="00D335A3" w:rsidRDefault="007E241A" w:rsidP="00D335A3">
      <w:pPr>
        <w:tabs>
          <w:tab w:val="left" w:pos="720"/>
          <w:tab w:val="left" w:pos="2160"/>
          <w:tab w:val="right" w:leader="dot" w:pos="8910"/>
        </w:tabs>
        <w:spacing w:after="0" w:line="240" w:lineRule="auto"/>
        <w:jc w:val="center"/>
        <w:rPr>
          <w:rFonts w:cs="Times New Roman"/>
          <w:b/>
        </w:rPr>
      </w:pPr>
    </w:p>
    <w:p w:rsidR="00EE1905" w:rsidRDefault="00EE1905" w:rsidP="00D335A3">
      <w:pPr>
        <w:tabs>
          <w:tab w:val="left" w:pos="720"/>
          <w:tab w:val="left" w:pos="2160"/>
          <w:tab w:val="right" w:leader="dot" w:pos="8910"/>
        </w:tabs>
        <w:spacing w:after="0" w:line="240" w:lineRule="auto"/>
        <w:jc w:val="center"/>
        <w:rPr>
          <w:rFonts w:cs="Times New Roman"/>
          <w:b/>
        </w:rPr>
      </w:pPr>
    </w:p>
    <w:p w:rsidR="007E241A" w:rsidRPr="00D335A3" w:rsidRDefault="005150D9" w:rsidP="00D335A3">
      <w:pPr>
        <w:tabs>
          <w:tab w:val="left" w:pos="720"/>
          <w:tab w:val="left" w:pos="2160"/>
          <w:tab w:val="right" w:leader="dot" w:pos="8910"/>
        </w:tabs>
        <w:spacing w:after="0" w:line="240" w:lineRule="auto"/>
        <w:jc w:val="center"/>
        <w:rPr>
          <w:rFonts w:cs="Times New Roman"/>
          <w:b/>
        </w:rPr>
      </w:pPr>
      <w:r w:rsidRPr="00D335A3">
        <w:rPr>
          <w:rFonts w:cs="Times New Roman"/>
          <w:b/>
        </w:rPr>
        <w:t>Statutes</w:t>
      </w:r>
    </w:p>
    <w:p w:rsidR="007E241A" w:rsidRPr="00D335A3" w:rsidRDefault="007E241A" w:rsidP="00D335A3">
      <w:pPr>
        <w:tabs>
          <w:tab w:val="left" w:pos="720"/>
          <w:tab w:val="left" w:pos="2160"/>
          <w:tab w:val="right" w:leader="dot" w:pos="8910"/>
        </w:tabs>
        <w:spacing w:after="0" w:line="240" w:lineRule="auto"/>
        <w:jc w:val="center"/>
        <w:rPr>
          <w:rFonts w:cs="Times New Roman"/>
          <w:b/>
        </w:rPr>
      </w:pPr>
    </w:p>
    <w:p w:rsidR="00D335A3" w:rsidRDefault="00D335A3" w:rsidP="00D335A3">
      <w:pPr>
        <w:pStyle w:val="FootnoteText"/>
        <w:tabs>
          <w:tab w:val="right" w:leader="dot" w:pos="8910"/>
        </w:tabs>
        <w:rPr>
          <w:rFonts w:cs="Times New Roman"/>
          <w:sz w:val="24"/>
          <w:szCs w:val="24"/>
        </w:rPr>
      </w:pPr>
      <w:r>
        <w:rPr>
          <w:rFonts w:cs="Times New Roman"/>
          <w:sz w:val="24"/>
          <w:szCs w:val="24"/>
        </w:rPr>
        <w:t>42 U.S.C. § 7651a(3)</w:t>
      </w:r>
      <w:r>
        <w:rPr>
          <w:rFonts w:cs="Times New Roman"/>
          <w:sz w:val="24"/>
          <w:szCs w:val="24"/>
        </w:rPr>
        <w:tab/>
      </w:r>
      <w:r w:rsidR="00EF1C5F">
        <w:rPr>
          <w:rFonts w:cs="Times New Roman"/>
          <w:sz w:val="24"/>
          <w:szCs w:val="24"/>
        </w:rPr>
        <w:t>7</w:t>
      </w:r>
    </w:p>
    <w:p w:rsidR="00F16D36" w:rsidRPr="00D335A3" w:rsidRDefault="00F16D36" w:rsidP="00D335A3">
      <w:pPr>
        <w:pStyle w:val="FootnoteText"/>
        <w:tabs>
          <w:tab w:val="right" w:leader="dot" w:pos="8910"/>
        </w:tabs>
        <w:rPr>
          <w:rFonts w:cs="Times New Roman"/>
          <w:i/>
          <w:sz w:val="24"/>
          <w:szCs w:val="24"/>
        </w:rPr>
      </w:pPr>
      <w:r w:rsidRPr="00D335A3">
        <w:rPr>
          <w:rFonts w:cs="Times New Roman"/>
          <w:sz w:val="24"/>
          <w:szCs w:val="24"/>
        </w:rPr>
        <w:t>ORS §757.480(1)(a)</w:t>
      </w:r>
      <w:r w:rsidR="00D335A3">
        <w:rPr>
          <w:rFonts w:cs="Times New Roman"/>
          <w:sz w:val="24"/>
          <w:szCs w:val="24"/>
        </w:rPr>
        <w:tab/>
      </w:r>
      <w:r w:rsidR="005150D9">
        <w:rPr>
          <w:rFonts w:cs="Times New Roman"/>
          <w:sz w:val="24"/>
          <w:szCs w:val="24"/>
        </w:rPr>
        <w:t>8</w:t>
      </w:r>
    </w:p>
    <w:p w:rsidR="007E241A" w:rsidRPr="00D335A3" w:rsidRDefault="007E241A" w:rsidP="00D335A3">
      <w:pPr>
        <w:tabs>
          <w:tab w:val="left" w:pos="720"/>
          <w:tab w:val="left" w:pos="2160"/>
          <w:tab w:val="right" w:leader="dot" w:pos="8910"/>
        </w:tabs>
        <w:spacing w:after="0" w:line="240" w:lineRule="auto"/>
        <w:rPr>
          <w:rFonts w:cs="Times New Roman"/>
        </w:rPr>
      </w:pPr>
      <w:r w:rsidRPr="00D335A3">
        <w:rPr>
          <w:rFonts w:cs="Times New Roman"/>
        </w:rPr>
        <w:t>RCW 18.285.030(17)</w:t>
      </w:r>
      <w:r w:rsidR="00D335A3">
        <w:rPr>
          <w:rFonts w:cs="Times New Roman"/>
        </w:rPr>
        <w:tab/>
      </w:r>
      <w:r w:rsidR="00D335A3">
        <w:rPr>
          <w:rFonts w:cs="Times New Roman"/>
        </w:rPr>
        <w:tab/>
      </w:r>
      <w:r w:rsidR="005150D9">
        <w:rPr>
          <w:rFonts w:cs="Times New Roman"/>
        </w:rPr>
        <w:t>3, 4</w:t>
      </w:r>
    </w:p>
    <w:p w:rsidR="00F16D36" w:rsidRPr="00D335A3" w:rsidRDefault="00F16D36" w:rsidP="00D335A3">
      <w:pPr>
        <w:tabs>
          <w:tab w:val="left" w:pos="1170"/>
          <w:tab w:val="right" w:leader="dot" w:pos="8910"/>
        </w:tabs>
        <w:spacing w:after="0" w:line="240" w:lineRule="auto"/>
        <w:rPr>
          <w:rFonts w:cs="Times New Roman"/>
        </w:rPr>
      </w:pPr>
      <w:r w:rsidRPr="00D335A3">
        <w:rPr>
          <w:rFonts w:cs="Times New Roman"/>
        </w:rPr>
        <w:t>RCW 80.12</w:t>
      </w:r>
      <w:r w:rsidR="00D335A3">
        <w:rPr>
          <w:rFonts w:cs="Times New Roman"/>
        </w:rPr>
        <w:tab/>
      </w:r>
      <w:r w:rsidR="00D335A3">
        <w:rPr>
          <w:rFonts w:cs="Times New Roman"/>
        </w:rPr>
        <w:tab/>
      </w:r>
      <w:r w:rsidR="005150D9">
        <w:rPr>
          <w:rFonts w:cs="Times New Roman"/>
        </w:rPr>
        <w:t>8</w:t>
      </w:r>
    </w:p>
    <w:p w:rsidR="007E241A" w:rsidRDefault="00F16D36" w:rsidP="00D335A3">
      <w:pPr>
        <w:tabs>
          <w:tab w:val="left" w:pos="720"/>
          <w:tab w:val="left" w:pos="1620"/>
          <w:tab w:val="right" w:leader="dot" w:pos="8910"/>
        </w:tabs>
        <w:spacing w:after="0" w:line="240" w:lineRule="auto"/>
        <w:rPr>
          <w:rFonts w:cs="Times New Roman"/>
        </w:rPr>
      </w:pPr>
      <w:r w:rsidRPr="00D335A3">
        <w:rPr>
          <w:rFonts w:cs="Times New Roman"/>
        </w:rPr>
        <w:t>RCW 80.12.020</w:t>
      </w:r>
      <w:r w:rsidR="00D335A3">
        <w:rPr>
          <w:rFonts w:cs="Times New Roman"/>
        </w:rPr>
        <w:tab/>
      </w:r>
      <w:r w:rsidR="00D335A3">
        <w:rPr>
          <w:rFonts w:cs="Times New Roman"/>
        </w:rPr>
        <w:tab/>
      </w:r>
      <w:r w:rsidR="005150D9">
        <w:rPr>
          <w:rFonts w:cs="Times New Roman"/>
        </w:rPr>
        <w:t>8</w:t>
      </w:r>
    </w:p>
    <w:p w:rsidR="00247C69" w:rsidRPr="00D335A3" w:rsidRDefault="00247C69" w:rsidP="00247C69">
      <w:pPr>
        <w:tabs>
          <w:tab w:val="left" w:pos="720"/>
          <w:tab w:val="right" w:leader="dot" w:pos="8910"/>
        </w:tabs>
        <w:spacing w:after="0" w:line="240" w:lineRule="auto"/>
        <w:rPr>
          <w:rFonts w:cs="Times New Roman"/>
        </w:rPr>
      </w:pPr>
      <w:r>
        <w:rPr>
          <w:rFonts w:cs="Times New Roman"/>
        </w:rPr>
        <w:t>RCW 80.28.020</w:t>
      </w:r>
      <w:r>
        <w:rPr>
          <w:rFonts w:cs="Times New Roman"/>
        </w:rPr>
        <w:tab/>
        <w:t>10</w:t>
      </w:r>
    </w:p>
    <w:p w:rsidR="007E241A" w:rsidRPr="00D335A3" w:rsidRDefault="007E241A" w:rsidP="00D335A3">
      <w:pPr>
        <w:tabs>
          <w:tab w:val="left" w:pos="720"/>
          <w:tab w:val="left" w:pos="2160"/>
          <w:tab w:val="right" w:leader="dot" w:pos="8910"/>
        </w:tabs>
        <w:spacing w:after="0" w:line="240" w:lineRule="auto"/>
        <w:rPr>
          <w:rFonts w:cs="Times New Roman"/>
        </w:rPr>
      </w:pPr>
    </w:p>
    <w:p w:rsidR="00EE1905" w:rsidRDefault="00EE1905" w:rsidP="00D335A3">
      <w:pPr>
        <w:tabs>
          <w:tab w:val="left" w:pos="720"/>
          <w:tab w:val="left" w:pos="2160"/>
          <w:tab w:val="right" w:leader="dot" w:pos="8910"/>
        </w:tabs>
        <w:spacing w:after="0" w:line="240" w:lineRule="auto"/>
        <w:jc w:val="center"/>
        <w:rPr>
          <w:rFonts w:cs="Times New Roman"/>
          <w:b/>
        </w:rPr>
      </w:pPr>
    </w:p>
    <w:p w:rsidR="007E241A" w:rsidRPr="00D335A3" w:rsidRDefault="002B6694" w:rsidP="00D335A3">
      <w:pPr>
        <w:tabs>
          <w:tab w:val="left" w:pos="720"/>
          <w:tab w:val="left" w:pos="2160"/>
          <w:tab w:val="right" w:leader="dot" w:pos="8910"/>
        </w:tabs>
        <w:spacing w:after="0" w:line="240" w:lineRule="auto"/>
        <w:jc w:val="center"/>
        <w:rPr>
          <w:rFonts w:cs="Times New Roman"/>
          <w:b/>
        </w:rPr>
      </w:pPr>
      <w:r>
        <w:rPr>
          <w:rFonts w:cs="Times New Roman"/>
          <w:b/>
        </w:rPr>
        <w:t xml:space="preserve">Administrative </w:t>
      </w:r>
      <w:r w:rsidR="005150D9" w:rsidRPr="00D335A3">
        <w:rPr>
          <w:rFonts w:cs="Times New Roman"/>
          <w:b/>
        </w:rPr>
        <w:t>Authorities</w:t>
      </w:r>
    </w:p>
    <w:p w:rsidR="007E241A" w:rsidRPr="00D335A3" w:rsidRDefault="007E241A" w:rsidP="00D335A3">
      <w:pPr>
        <w:tabs>
          <w:tab w:val="left" w:pos="720"/>
          <w:tab w:val="left" w:pos="2160"/>
          <w:tab w:val="right" w:leader="dot" w:pos="8910"/>
        </w:tabs>
        <w:spacing w:after="0" w:line="240" w:lineRule="auto"/>
        <w:jc w:val="center"/>
        <w:rPr>
          <w:rFonts w:cs="Times New Roman"/>
          <w:b/>
        </w:rPr>
      </w:pPr>
    </w:p>
    <w:p w:rsidR="005A0DE6" w:rsidRPr="005A0DE6" w:rsidRDefault="00D335A3" w:rsidP="005A0DE6">
      <w:pPr>
        <w:pStyle w:val="FootnoteText"/>
        <w:tabs>
          <w:tab w:val="right" w:leader="dot" w:pos="8910"/>
        </w:tabs>
        <w:rPr>
          <w:rFonts w:cs="Times New Roman"/>
          <w:i/>
          <w:sz w:val="24"/>
          <w:szCs w:val="24"/>
        </w:rPr>
      </w:pPr>
      <w:r w:rsidRPr="005A0DE6">
        <w:rPr>
          <w:rFonts w:cs="Times New Roman"/>
          <w:i/>
          <w:sz w:val="24"/>
          <w:szCs w:val="24"/>
        </w:rPr>
        <w:t>In re Application of PacifiCorp and Scottish Power PLC for</w:t>
      </w:r>
      <w:r w:rsidR="005A0DE6" w:rsidRPr="005A0DE6">
        <w:rPr>
          <w:rFonts w:cs="Times New Roman"/>
          <w:i/>
          <w:sz w:val="24"/>
          <w:szCs w:val="24"/>
        </w:rPr>
        <w:t xml:space="preserve"> </w:t>
      </w:r>
      <w:r w:rsidRPr="005A0DE6">
        <w:rPr>
          <w:rFonts w:cs="Times New Roman"/>
          <w:i/>
          <w:sz w:val="24"/>
          <w:szCs w:val="24"/>
        </w:rPr>
        <w:t xml:space="preserve">an Order </w:t>
      </w:r>
    </w:p>
    <w:p w:rsidR="005A0DE6" w:rsidRPr="005A0DE6" w:rsidRDefault="00D335A3" w:rsidP="005A0DE6">
      <w:pPr>
        <w:pStyle w:val="FootnoteText"/>
        <w:tabs>
          <w:tab w:val="right" w:leader="dot" w:pos="8910"/>
        </w:tabs>
        <w:rPr>
          <w:rFonts w:cs="Times New Roman"/>
          <w:i/>
          <w:sz w:val="24"/>
          <w:szCs w:val="24"/>
        </w:rPr>
      </w:pPr>
      <w:r w:rsidRPr="005A0DE6">
        <w:rPr>
          <w:rFonts w:cs="Times New Roman"/>
          <w:i/>
          <w:sz w:val="24"/>
          <w:szCs w:val="24"/>
        </w:rPr>
        <w:t>(1) Disclaiming Jurisdiction or, in the Alternative,</w:t>
      </w:r>
      <w:r w:rsidR="005A0DE6" w:rsidRPr="005A0DE6">
        <w:rPr>
          <w:rFonts w:cs="Times New Roman"/>
          <w:i/>
          <w:sz w:val="24"/>
          <w:szCs w:val="24"/>
        </w:rPr>
        <w:t xml:space="preserve"> </w:t>
      </w:r>
      <w:r w:rsidRPr="005A0DE6">
        <w:rPr>
          <w:rFonts w:cs="Times New Roman"/>
          <w:i/>
          <w:sz w:val="24"/>
          <w:szCs w:val="24"/>
        </w:rPr>
        <w:t xml:space="preserve">Authorizing the </w:t>
      </w:r>
    </w:p>
    <w:p w:rsidR="005A0DE6" w:rsidRPr="005A0DE6" w:rsidRDefault="00D335A3" w:rsidP="005A0DE6">
      <w:pPr>
        <w:pStyle w:val="FootnoteText"/>
        <w:tabs>
          <w:tab w:val="right" w:leader="dot" w:pos="8910"/>
        </w:tabs>
        <w:rPr>
          <w:rFonts w:cs="Times New Roman"/>
          <w:i/>
          <w:sz w:val="24"/>
          <w:szCs w:val="24"/>
        </w:rPr>
      </w:pPr>
      <w:r w:rsidRPr="005A0DE6">
        <w:rPr>
          <w:rFonts w:cs="Times New Roman"/>
          <w:i/>
          <w:sz w:val="24"/>
          <w:szCs w:val="24"/>
        </w:rPr>
        <w:t>Acquisition of Control of PacifiCorp by Scottish</w:t>
      </w:r>
      <w:r w:rsidR="005A0DE6" w:rsidRPr="005A0DE6">
        <w:rPr>
          <w:rFonts w:cs="Times New Roman"/>
          <w:i/>
          <w:sz w:val="24"/>
          <w:szCs w:val="24"/>
        </w:rPr>
        <w:t xml:space="preserve"> </w:t>
      </w:r>
      <w:r w:rsidRPr="005A0DE6">
        <w:rPr>
          <w:rFonts w:cs="Times New Roman"/>
          <w:i/>
          <w:sz w:val="24"/>
          <w:szCs w:val="24"/>
        </w:rPr>
        <w:t xml:space="preserve">Power and </w:t>
      </w:r>
    </w:p>
    <w:p w:rsidR="005A0DE6" w:rsidRPr="005A0DE6" w:rsidRDefault="00D335A3" w:rsidP="005A0DE6">
      <w:pPr>
        <w:pStyle w:val="FootnoteText"/>
        <w:tabs>
          <w:tab w:val="right" w:leader="dot" w:pos="8910"/>
        </w:tabs>
        <w:rPr>
          <w:rFonts w:cs="Times New Roman"/>
          <w:i/>
          <w:sz w:val="24"/>
          <w:szCs w:val="24"/>
        </w:rPr>
      </w:pPr>
      <w:r w:rsidRPr="005A0DE6">
        <w:rPr>
          <w:rFonts w:cs="Times New Roman"/>
          <w:i/>
          <w:sz w:val="24"/>
          <w:szCs w:val="24"/>
        </w:rPr>
        <w:t>(2) Affirming Compliance with RCW 80.08.040 for</w:t>
      </w:r>
      <w:r w:rsidR="005A0DE6" w:rsidRPr="005A0DE6">
        <w:rPr>
          <w:rFonts w:cs="Times New Roman"/>
          <w:i/>
          <w:sz w:val="24"/>
          <w:szCs w:val="24"/>
        </w:rPr>
        <w:t xml:space="preserve"> </w:t>
      </w:r>
      <w:r w:rsidRPr="005A0DE6">
        <w:rPr>
          <w:rFonts w:cs="Times New Roman"/>
          <w:i/>
          <w:sz w:val="24"/>
          <w:szCs w:val="24"/>
        </w:rPr>
        <w:t>PacifiCorp’s</w:t>
      </w:r>
    </w:p>
    <w:p w:rsidR="00D335A3" w:rsidRPr="005A0DE6" w:rsidRDefault="00D335A3" w:rsidP="005A0DE6">
      <w:pPr>
        <w:pStyle w:val="FootnoteText"/>
        <w:tabs>
          <w:tab w:val="right" w:leader="dot" w:pos="8910"/>
        </w:tabs>
        <w:rPr>
          <w:rFonts w:cs="Times New Roman"/>
          <w:sz w:val="24"/>
          <w:szCs w:val="24"/>
        </w:rPr>
      </w:pPr>
      <w:r w:rsidRPr="005A0DE6">
        <w:rPr>
          <w:rFonts w:cs="Times New Roman"/>
          <w:i/>
          <w:sz w:val="24"/>
          <w:szCs w:val="24"/>
        </w:rPr>
        <w:t>Issuance of Stock in Connection with the Transaction</w:t>
      </w:r>
      <w:r w:rsidRPr="005A0DE6">
        <w:rPr>
          <w:rFonts w:cs="Times New Roman"/>
          <w:sz w:val="24"/>
          <w:szCs w:val="24"/>
        </w:rPr>
        <w:t>,</w:t>
      </w:r>
    </w:p>
    <w:p w:rsidR="00D335A3" w:rsidRPr="005A0DE6" w:rsidRDefault="00D335A3" w:rsidP="005A0DE6">
      <w:pPr>
        <w:pStyle w:val="FootnoteText"/>
        <w:tabs>
          <w:tab w:val="left" w:pos="720"/>
          <w:tab w:val="right" w:leader="dot" w:pos="8910"/>
        </w:tabs>
        <w:rPr>
          <w:rFonts w:cs="Times New Roman"/>
          <w:sz w:val="24"/>
          <w:szCs w:val="24"/>
        </w:rPr>
      </w:pPr>
      <w:r w:rsidRPr="005A0DE6">
        <w:rPr>
          <w:rFonts w:cs="Times New Roman"/>
          <w:sz w:val="24"/>
          <w:szCs w:val="24"/>
        </w:rPr>
        <w:tab/>
        <w:t>Docket UE-981627, Second Supplemental Order (March 16, 1999)</w:t>
      </w:r>
      <w:r w:rsidRPr="005A0DE6">
        <w:rPr>
          <w:rFonts w:cs="Times New Roman"/>
          <w:sz w:val="24"/>
          <w:szCs w:val="24"/>
        </w:rPr>
        <w:tab/>
      </w:r>
      <w:r w:rsidR="005150D9" w:rsidRPr="005A0DE6">
        <w:rPr>
          <w:rFonts w:cs="Times New Roman"/>
          <w:sz w:val="24"/>
          <w:szCs w:val="24"/>
        </w:rPr>
        <w:t>7</w:t>
      </w:r>
    </w:p>
    <w:p w:rsidR="00D335A3" w:rsidRPr="005A0DE6" w:rsidRDefault="00D335A3" w:rsidP="005A0DE6">
      <w:pPr>
        <w:pStyle w:val="FootnoteText"/>
        <w:tabs>
          <w:tab w:val="right" w:leader="dot" w:pos="8910"/>
        </w:tabs>
        <w:rPr>
          <w:rFonts w:cs="Times New Roman"/>
          <w:sz w:val="24"/>
          <w:szCs w:val="24"/>
        </w:rPr>
      </w:pPr>
    </w:p>
    <w:p w:rsidR="00D335A3" w:rsidRPr="005A0DE6" w:rsidRDefault="00D335A3" w:rsidP="005A0DE6">
      <w:pPr>
        <w:tabs>
          <w:tab w:val="right" w:leader="dot" w:pos="8910"/>
        </w:tabs>
        <w:spacing w:after="0" w:line="240" w:lineRule="auto"/>
        <w:rPr>
          <w:rFonts w:cs="Times New Roman"/>
          <w:i/>
        </w:rPr>
      </w:pPr>
      <w:r w:rsidRPr="005A0DE6">
        <w:rPr>
          <w:rFonts w:cs="Times New Roman"/>
          <w:i/>
        </w:rPr>
        <w:t>In re Application of PacifiCorp Requesting Approval of Sale of</w:t>
      </w:r>
    </w:p>
    <w:p w:rsidR="00D335A3" w:rsidRPr="005A0DE6" w:rsidRDefault="00D335A3" w:rsidP="005A0DE6">
      <w:pPr>
        <w:tabs>
          <w:tab w:val="right" w:leader="dot" w:pos="8910"/>
        </w:tabs>
        <w:spacing w:after="0" w:line="240" w:lineRule="auto"/>
        <w:rPr>
          <w:rFonts w:cs="Times New Roman"/>
        </w:rPr>
      </w:pPr>
      <w:r w:rsidRPr="005A0DE6">
        <w:rPr>
          <w:rFonts w:cs="Times New Roman"/>
          <w:i/>
        </w:rPr>
        <w:t>Renewable Energy Credits</w:t>
      </w:r>
      <w:r w:rsidRPr="005A0DE6">
        <w:rPr>
          <w:rFonts w:cs="Times New Roman"/>
        </w:rPr>
        <w:t>,</w:t>
      </w:r>
    </w:p>
    <w:p w:rsidR="00D335A3" w:rsidRPr="005A0DE6" w:rsidRDefault="00D335A3" w:rsidP="005A0DE6">
      <w:pPr>
        <w:tabs>
          <w:tab w:val="left" w:pos="720"/>
          <w:tab w:val="right" w:leader="dot" w:pos="8910"/>
        </w:tabs>
        <w:spacing w:after="0" w:line="240" w:lineRule="auto"/>
        <w:rPr>
          <w:rStyle w:val="Hyperlink"/>
          <w:rFonts w:cs="Times New Roman"/>
          <w:color w:val="auto"/>
        </w:rPr>
      </w:pPr>
      <w:r w:rsidRPr="005A0DE6">
        <w:rPr>
          <w:rFonts w:cs="Times New Roman"/>
        </w:rPr>
        <w:tab/>
        <w:t>Order 10-201 Oreg</w:t>
      </w:r>
      <w:r w:rsidR="00EF1C5F">
        <w:rPr>
          <w:rFonts w:cs="Times New Roman"/>
        </w:rPr>
        <w:t>on Public Utilities Commission</w:t>
      </w:r>
      <w:r w:rsidR="005150D9" w:rsidRPr="005A0DE6">
        <w:rPr>
          <w:rFonts w:cs="Times New Roman"/>
        </w:rPr>
        <w:t xml:space="preserve"> </w:t>
      </w:r>
      <w:r w:rsidRPr="005A0DE6">
        <w:rPr>
          <w:rFonts w:cs="Times New Roman"/>
        </w:rPr>
        <w:t>(June 9, 2010)</w:t>
      </w:r>
      <w:r w:rsidRPr="005A0DE6">
        <w:rPr>
          <w:rStyle w:val="Hyperlink"/>
          <w:rFonts w:cs="Times New Roman"/>
          <w:color w:val="auto"/>
          <w:u w:val="none"/>
        </w:rPr>
        <w:tab/>
      </w:r>
      <w:r w:rsidR="005150D9" w:rsidRPr="005A0DE6">
        <w:rPr>
          <w:rStyle w:val="Hyperlink"/>
          <w:rFonts w:cs="Times New Roman"/>
          <w:color w:val="auto"/>
          <w:u w:val="none"/>
        </w:rPr>
        <w:t>8</w:t>
      </w:r>
    </w:p>
    <w:p w:rsidR="00D335A3" w:rsidRPr="005A0DE6" w:rsidRDefault="00D335A3" w:rsidP="005A0DE6">
      <w:pPr>
        <w:tabs>
          <w:tab w:val="right" w:leader="dot" w:pos="8910"/>
        </w:tabs>
        <w:spacing w:after="0" w:line="240" w:lineRule="auto"/>
        <w:rPr>
          <w:rStyle w:val="Hyperlink"/>
          <w:rFonts w:cs="Times New Roman"/>
          <w:color w:val="auto"/>
        </w:rPr>
      </w:pPr>
    </w:p>
    <w:p w:rsidR="004A6508" w:rsidRPr="005A0DE6" w:rsidRDefault="004A6508" w:rsidP="004A6508">
      <w:pPr>
        <w:pStyle w:val="FootnoteText"/>
        <w:tabs>
          <w:tab w:val="left" w:pos="810"/>
          <w:tab w:val="right" w:leader="dot" w:pos="8910"/>
        </w:tabs>
        <w:ind w:right="-187"/>
        <w:rPr>
          <w:rFonts w:cs="Times New Roman"/>
          <w:i/>
          <w:sz w:val="24"/>
          <w:szCs w:val="24"/>
        </w:rPr>
      </w:pPr>
      <w:r w:rsidRPr="005A0DE6">
        <w:rPr>
          <w:rFonts w:cs="Times New Roman"/>
          <w:i/>
          <w:sz w:val="24"/>
          <w:szCs w:val="24"/>
        </w:rPr>
        <w:t>In re the Matter of the Application of Avista Corp. for Authority</w:t>
      </w:r>
    </w:p>
    <w:p w:rsidR="004A6508" w:rsidRPr="005A0DE6" w:rsidRDefault="004A6508" w:rsidP="004A6508">
      <w:pPr>
        <w:pStyle w:val="FootnoteText"/>
        <w:tabs>
          <w:tab w:val="left" w:pos="810"/>
          <w:tab w:val="right" w:leader="dot" w:pos="8910"/>
        </w:tabs>
        <w:ind w:right="-187"/>
        <w:rPr>
          <w:rFonts w:cs="Times New Roman"/>
          <w:sz w:val="24"/>
          <w:szCs w:val="24"/>
        </w:rPr>
      </w:pPr>
      <w:proofErr w:type="gramStart"/>
      <w:r w:rsidRPr="005A0DE6">
        <w:rPr>
          <w:rFonts w:cs="Times New Roman"/>
          <w:i/>
          <w:sz w:val="24"/>
          <w:szCs w:val="24"/>
        </w:rPr>
        <w:t>to</w:t>
      </w:r>
      <w:proofErr w:type="gramEnd"/>
      <w:r w:rsidRPr="005A0DE6">
        <w:rPr>
          <w:rFonts w:cs="Times New Roman"/>
          <w:i/>
          <w:sz w:val="24"/>
          <w:szCs w:val="24"/>
        </w:rPr>
        <w:t xml:space="preserve"> Sell Its Interest in the Coal-Fired Centralia Power Plant</w:t>
      </w:r>
      <w:r w:rsidRPr="005A0DE6">
        <w:rPr>
          <w:rFonts w:cs="Times New Roman"/>
          <w:sz w:val="24"/>
          <w:szCs w:val="24"/>
        </w:rPr>
        <w:t>,</w:t>
      </w:r>
    </w:p>
    <w:p w:rsidR="004A6508" w:rsidRPr="005A0DE6" w:rsidRDefault="004A6508" w:rsidP="004A6508">
      <w:pPr>
        <w:pStyle w:val="FootnoteText"/>
        <w:tabs>
          <w:tab w:val="left" w:pos="810"/>
          <w:tab w:val="right" w:leader="dot" w:pos="8910"/>
        </w:tabs>
        <w:ind w:right="-187"/>
        <w:rPr>
          <w:rFonts w:cs="Times New Roman"/>
          <w:sz w:val="24"/>
          <w:szCs w:val="24"/>
        </w:rPr>
      </w:pPr>
      <w:r w:rsidRPr="005A0DE6">
        <w:rPr>
          <w:rFonts w:cs="Times New Roman"/>
          <w:sz w:val="24"/>
          <w:szCs w:val="24"/>
        </w:rPr>
        <w:tab/>
        <w:t xml:space="preserve">Docket </w:t>
      </w:r>
      <w:proofErr w:type="spellStart"/>
      <w:r w:rsidRPr="005A0DE6">
        <w:rPr>
          <w:rFonts w:cs="Times New Roman"/>
          <w:sz w:val="24"/>
          <w:szCs w:val="24"/>
        </w:rPr>
        <w:t>UE</w:t>
      </w:r>
      <w:proofErr w:type="spellEnd"/>
      <w:r w:rsidRPr="005A0DE6">
        <w:rPr>
          <w:rFonts w:cs="Times New Roman"/>
          <w:sz w:val="24"/>
          <w:szCs w:val="24"/>
        </w:rPr>
        <w:t>-991255 et al., Fourth Supplemental Order (April. 21, 2000)</w:t>
      </w:r>
      <w:r w:rsidRPr="005A0DE6">
        <w:rPr>
          <w:rFonts w:cs="Times New Roman"/>
          <w:sz w:val="24"/>
          <w:szCs w:val="24"/>
        </w:rPr>
        <w:tab/>
        <w:t>3</w:t>
      </w:r>
    </w:p>
    <w:p w:rsidR="004A6508" w:rsidRPr="005A0DE6" w:rsidRDefault="004A6508" w:rsidP="004A6508">
      <w:pPr>
        <w:pStyle w:val="FootnoteText"/>
        <w:tabs>
          <w:tab w:val="right" w:leader="dot" w:pos="8910"/>
        </w:tabs>
        <w:rPr>
          <w:rFonts w:cs="Times New Roman"/>
          <w:sz w:val="24"/>
          <w:szCs w:val="24"/>
        </w:rPr>
      </w:pPr>
    </w:p>
    <w:p w:rsidR="00D335A3" w:rsidRPr="005A0DE6" w:rsidRDefault="00D335A3" w:rsidP="005A0DE6">
      <w:pPr>
        <w:pStyle w:val="FootnoteText"/>
        <w:tabs>
          <w:tab w:val="right" w:leader="dot" w:pos="8910"/>
        </w:tabs>
        <w:rPr>
          <w:rFonts w:cs="Times New Roman"/>
          <w:i/>
          <w:sz w:val="24"/>
          <w:szCs w:val="24"/>
        </w:rPr>
      </w:pPr>
      <w:r w:rsidRPr="005A0DE6">
        <w:rPr>
          <w:rFonts w:cs="Times New Roman"/>
          <w:i/>
          <w:sz w:val="24"/>
          <w:szCs w:val="24"/>
        </w:rPr>
        <w:t>In re Petition of PacifiCorp Seeking Blanket Authorization for the</w:t>
      </w:r>
    </w:p>
    <w:p w:rsidR="00D335A3" w:rsidRPr="005A0DE6" w:rsidRDefault="00D335A3" w:rsidP="005A0DE6">
      <w:pPr>
        <w:pStyle w:val="FootnoteText"/>
        <w:tabs>
          <w:tab w:val="right" w:leader="dot" w:pos="8910"/>
        </w:tabs>
        <w:rPr>
          <w:rFonts w:cs="Times New Roman"/>
          <w:sz w:val="24"/>
          <w:szCs w:val="24"/>
        </w:rPr>
      </w:pPr>
      <w:r w:rsidRPr="005A0DE6">
        <w:rPr>
          <w:rFonts w:cs="Times New Roman"/>
          <w:i/>
          <w:sz w:val="24"/>
          <w:szCs w:val="24"/>
        </w:rPr>
        <w:t>Sale of Surplus Sulfur Dioxide Emission Allowances</w:t>
      </w:r>
      <w:r w:rsidRPr="005A0DE6">
        <w:rPr>
          <w:rFonts w:cs="Times New Roman"/>
          <w:sz w:val="24"/>
          <w:szCs w:val="24"/>
        </w:rPr>
        <w:t>,</w:t>
      </w:r>
    </w:p>
    <w:p w:rsidR="00D335A3" w:rsidRPr="005A0DE6" w:rsidRDefault="00D335A3" w:rsidP="005A0DE6">
      <w:pPr>
        <w:pStyle w:val="FootnoteText"/>
        <w:tabs>
          <w:tab w:val="left" w:pos="720"/>
          <w:tab w:val="right" w:leader="dot" w:pos="8910"/>
        </w:tabs>
        <w:rPr>
          <w:rFonts w:cs="Times New Roman"/>
          <w:sz w:val="24"/>
          <w:szCs w:val="24"/>
        </w:rPr>
      </w:pPr>
      <w:r w:rsidRPr="005A0DE6">
        <w:rPr>
          <w:rFonts w:cs="Times New Roman"/>
          <w:sz w:val="24"/>
          <w:szCs w:val="24"/>
        </w:rPr>
        <w:tab/>
        <w:t>Docket UE-940466, Petition for Sales Approval</w:t>
      </w:r>
      <w:r w:rsidRPr="005A0DE6">
        <w:rPr>
          <w:rFonts w:cs="Times New Roman"/>
          <w:sz w:val="24"/>
          <w:szCs w:val="24"/>
        </w:rPr>
        <w:tab/>
      </w:r>
      <w:r w:rsidR="00EF1C5F">
        <w:rPr>
          <w:rFonts w:cs="Times New Roman"/>
          <w:sz w:val="24"/>
          <w:szCs w:val="24"/>
        </w:rPr>
        <w:t>7</w:t>
      </w:r>
    </w:p>
    <w:p w:rsidR="00D335A3" w:rsidRPr="005A0DE6" w:rsidRDefault="00D335A3" w:rsidP="005A0DE6">
      <w:pPr>
        <w:pStyle w:val="FootnoteText"/>
        <w:tabs>
          <w:tab w:val="left" w:pos="810"/>
          <w:tab w:val="right" w:leader="dot" w:pos="8910"/>
        </w:tabs>
        <w:ind w:right="-187"/>
        <w:rPr>
          <w:rFonts w:cs="Times New Roman"/>
          <w:i/>
          <w:sz w:val="24"/>
          <w:szCs w:val="24"/>
        </w:rPr>
      </w:pPr>
    </w:p>
    <w:p w:rsidR="005150D9" w:rsidRPr="005A0DE6" w:rsidRDefault="00BA16FD" w:rsidP="005A0DE6">
      <w:pPr>
        <w:pStyle w:val="FootnoteText"/>
        <w:keepNext/>
        <w:tabs>
          <w:tab w:val="right" w:leader="dot" w:pos="8910"/>
        </w:tabs>
        <w:rPr>
          <w:rFonts w:cs="Times New Roman"/>
          <w:i/>
          <w:sz w:val="24"/>
          <w:szCs w:val="24"/>
        </w:rPr>
      </w:pPr>
      <w:r w:rsidRPr="005A0DE6">
        <w:rPr>
          <w:rFonts w:cs="Times New Roman"/>
          <w:i/>
          <w:sz w:val="24"/>
          <w:szCs w:val="24"/>
        </w:rPr>
        <w:t>In r</w:t>
      </w:r>
      <w:r w:rsidR="00D335A3" w:rsidRPr="005A0DE6">
        <w:rPr>
          <w:rFonts w:cs="Times New Roman"/>
          <w:i/>
          <w:sz w:val="24"/>
          <w:szCs w:val="24"/>
        </w:rPr>
        <w:t>e Petition of PacifiCorp for an Accounting Order Authorizing</w:t>
      </w:r>
    </w:p>
    <w:p w:rsidR="005150D9" w:rsidRPr="005A0DE6" w:rsidRDefault="00D335A3" w:rsidP="005A0DE6">
      <w:pPr>
        <w:pStyle w:val="FootnoteText"/>
        <w:keepNext/>
        <w:tabs>
          <w:tab w:val="right" w:leader="dot" w:pos="8910"/>
        </w:tabs>
        <w:rPr>
          <w:rFonts w:cs="Times New Roman"/>
          <w:sz w:val="24"/>
          <w:szCs w:val="24"/>
        </w:rPr>
      </w:pPr>
      <w:r w:rsidRPr="005A0DE6">
        <w:rPr>
          <w:rFonts w:cs="Times New Roman"/>
          <w:i/>
          <w:sz w:val="24"/>
          <w:szCs w:val="24"/>
        </w:rPr>
        <w:t>Deferral of Excess Net Power Costs</w:t>
      </w:r>
      <w:r w:rsidRPr="005A0DE6">
        <w:rPr>
          <w:rFonts w:cs="Times New Roman"/>
          <w:sz w:val="24"/>
          <w:szCs w:val="24"/>
        </w:rPr>
        <w:t>, Docket UE-020417,</w:t>
      </w:r>
    </w:p>
    <w:p w:rsidR="00D335A3" w:rsidRPr="005A0DE6" w:rsidRDefault="005150D9" w:rsidP="005A0DE6">
      <w:pPr>
        <w:pStyle w:val="FootnoteText"/>
        <w:keepNext/>
        <w:tabs>
          <w:tab w:val="left" w:pos="720"/>
          <w:tab w:val="right" w:leader="dot" w:pos="8910"/>
        </w:tabs>
        <w:rPr>
          <w:rFonts w:cs="Times New Roman"/>
          <w:sz w:val="24"/>
          <w:szCs w:val="24"/>
        </w:rPr>
      </w:pPr>
      <w:r w:rsidRPr="005A0DE6">
        <w:rPr>
          <w:rFonts w:cs="Times New Roman"/>
          <w:sz w:val="24"/>
          <w:szCs w:val="24"/>
        </w:rPr>
        <w:tab/>
      </w:r>
      <w:r w:rsidR="00D335A3" w:rsidRPr="005A0DE6">
        <w:rPr>
          <w:rFonts w:cs="Times New Roman"/>
          <w:sz w:val="24"/>
          <w:szCs w:val="24"/>
        </w:rPr>
        <w:t>Third Supplemental Order (September 27, 2002)</w:t>
      </w:r>
      <w:r w:rsidRPr="005A0DE6">
        <w:rPr>
          <w:rFonts w:cs="Times New Roman"/>
          <w:sz w:val="24"/>
          <w:szCs w:val="24"/>
        </w:rPr>
        <w:tab/>
      </w:r>
      <w:r w:rsidR="00247C69" w:rsidRPr="005A0DE6">
        <w:rPr>
          <w:rFonts w:cs="Times New Roman"/>
          <w:sz w:val="24"/>
          <w:szCs w:val="24"/>
        </w:rPr>
        <w:t>11</w:t>
      </w:r>
    </w:p>
    <w:p w:rsidR="00D335A3" w:rsidRPr="005A0DE6" w:rsidRDefault="00D335A3" w:rsidP="005A0DE6">
      <w:pPr>
        <w:tabs>
          <w:tab w:val="right" w:leader="dot" w:pos="8910"/>
        </w:tabs>
        <w:spacing w:after="0" w:line="240" w:lineRule="auto"/>
        <w:rPr>
          <w:rFonts w:cs="Times New Roman"/>
          <w:i/>
        </w:rPr>
      </w:pPr>
    </w:p>
    <w:p w:rsidR="00237252" w:rsidRPr="005A0DE6" w:rsidRDefault="00237252" w:rsidP="004A6508">
      <w:pPr>
        <w:pStyle w:val="FootnoteText"/>
        <w:keepNext/>
        <w:tabs>
          <w:tab w:val="right" w:leader="dot" w:pos="8910"/>
        </w:tabs>
        <w:rPr>
          <w:rFonts w:cs="Times New Roman"/>
          <w:sz w:val="24"/>
          <w:szCs w:val="24"/>
        </w:rPr>
      </w:pPr>
      <w:r>
        <w:rPr>
          <w:rFonts w:cs="Times New Roman"/>
          <w:i/>
          <w:sz w:val="24"/>
          <w:szCs w:val="24"/>
        </w:rPr>
        <w:lastRenderedPageBreak/>
        <w:t>In re Petition of PacifiCorp for an Order Approving Deferral of Costs Related to Hydro Generation</w:t>
      </w:r>
      <w:r w:rsidRPr="005A0DE6">
        <w:rPr>
          <w:rFonts w:cs="Times New Roman"/>
          <w:sz w:val="24"/>
          <w:szCs w:val="24"/>
        </w:rPr>
        <w:t>,</w:t>
      </w:r>
    </w:p>
    <w:p w:rsidR="00237252" w:rsidRPr="005A0DE6" w:rsidRDefault="00237252" w:rsidP="00237252">
      <w:pPr>
        <w:pStyle w:val="FootnoteText"/>
        <w:tabs>
          <w:tab w:val="left" w:pos="720"/>
          <w:tab w:val="right" w:leader="dot" w:pos="8910"/>
        </w:tabs>
        <w:rPr>
          <w:rFonts w:cs="Times New Roman"/>
          <w:sz w:val="24"/>
          <w:szCs w:val="24"/>
        </w:rPr>
      </w:pPr>
      <w:r w:rsidRPr="005A0DE6">
        <w:rPr>
          <w:rFonts w:cs="Times New Roman"/>
          <w:sz w:val="24"/>
          <w:szCs w:val="24"/>
        </w:rPr>
        <w:tab/>
        <w:t>Docket UE-050412</w:t>
      </w:r>
      <w:r>
        <w:rPr>
          <w:rFonts w:cs="Times New Roman"/>
          <w:sz w:val="24"/>
          <w:szCs w:val="24"/>
        </w:rPr>
        <w:t xml:space="preserve"> (March 18, 2005)</w:t>
      </w:r>
      <w:r>
        <w:rPr>
          <w:rFonts w:cs="Times New Roman"/>
          <w:sz w:val="24"/>
          <w:szCs w:val="24"/>
        </w:rPr>
        <w:tab/>
        <w:t>12</w:t>
      </w:r>
    </w:p>
    <w:p w:rsidR="00237252" w:rsidRDefault="00237252" w:rsidP="005A0DE6">
      <w:pPr>
        <w:tabs>
          <w:tab w:val="right" w:leader="dot" w:pos="8910"/>
        </w:tabs>
        <w:spacing w:after="0" w:line="240" w:lineRule="auto"/>
        <w:rPr>
          <w:rFonts w:cs="Times New Roman"/>
          <w:i/>
        </w:rPr>
      </w:pPr>
    </w:p>
    <w:p w:rsidR="005150D9" w:rsidRPr="001929B5" w:rsidRDefault="001929B5" w:rsidP="005A0DE6">
      <w:pPr>
        <w:tabs>
          <w:tab w:val="right" w:leader="dot" w:pos="8910"/>
        </w:tabs>
        <w:spacing w:after="0" w:line="240" w:lineRule="auto"/>
        <w:rPr>
          <w:rFonts w:cs="Times New Roman"/>
        </w:rPr>
      </w:pPr>
      <w:r w:rsidRPr="001929B5">
        <w:rPr>
          <w:i/>
        </w:rPr>
        <w:t>In re Petition of Puget Sound Power &amp; Light Co</w:t>
      </w:r>
      <w:r w:rsidRPr="001929B5">
        <w:t xml:space="preserve">. </w:t>
      </w:r>
      <w:r w:rsidRPr="001929B5">
        <w:rPr>
          <w:i/>
        </w:rPr>
        <w:t>for Deferred</w:t>
      </w:r>
      <w:r w:rsidRPr="001929B5">
        <w:t xml:space="preserve"> </w:t>
      </w:r>
      <w:r w:rsidRPr="001929B5">
        <w:rPr>
          <w:i/>
        </w:rPr>
        <w:t>Accounting Treatment and Amortization in Regard to Certain Power Costs and Credits</w:t>
      </w:r>
      <w:r w:rsidR="00D335A3" w:rsidRPr="001929B5">
        <w:rPr>
          <w:rFonts w:cs="Times New Roman"/>
        </w:rPr>
        <w:t>,</w:t>
      </w:r>
    </w:p>
    <w:p w:rsidR="00D335A3" w:rsidRPr="005A0DE6" w:rsidRDefault="005150D9" w:rsidP="005A0DE6">
      <w:pPr>
        <w:tabs>
          <w:tab w:val="right" w:leader="dot" w:pos="8910"/>
        </w:tabs>
        <w:spacing w:after="0" w:line="240" w:lineRule="auto"/>
        <w:ind w:left="720" w:hanging="720"/>
        <w:rPr>
          <w:rFonts w:cs="Times New Roman"/>
        </w:rPr>
      </w:pPr>
      <w:r w:rsidRPr="001929B5">
        <w:rPr>
          <w:rFonts w:cs="Times New Roman"/>
        </w:rPr>
        <w:tab/>
      </w:r>
      <w:r w:rsidR="00D335A3" w:rsidRPr="005A0DE6">
        <w:rPr>
          <w:rFonts w:cs="Times New Roman"/>
        </w:rPr>
        <w:t>Cause U-79-73, Order (December 31, 1979)</w:t>
      </w:r>
      <w:r w:rsidRPr="005A0DE6">
        <w:rPr>
          <w:rFonts w:cs="Times New Roman"/>
        </w:rPr>
        <w:tab/>
      </w:r>
      <w:r w:rsidR="00247C69" w:rsidRPr="005A0DE6">
        <w:rPr>
          <w:rFonts w:cs="Times New Roman"/>
        </w:rPr>
        <w:t>10</w:t>
      </w:r>
    </w:p>
    <w:p w:rsidR="00D335A3" w:rsidRPr="005A0DE6" w:rsidRDefault="00D335A3" w:rsidP="005A0DE6">
      <w:pPr>
        <w:tabs>
          <w:tab w:val="right" w:leader="dot" w:pos="8910"/>
        </w:tabs>
        <w:spacing w:after="0" w:line="240" w:lineRule="auto"/>
        <w:rPr>
          <w:rFonts w:cs="Times New Roman"/>
          <w:i/>
        </w:rPr>
      </w:pPr>
    </w:p>
    <w:p w:rsidR="005150D9" w:rsidRPr="005A0DE6" w:rsidRDefault="00BA16FD" w:rsidP="005A0DE6">
      <w:pPr>
        <w:pStyle w:val="FootnoteText"/>
        <w:tabs>
          <w:tab w:val="right" w:leader="dot" w:pos="8910"/>
        </w:tabs>
        <w:rPr>
          <w:rFonts w:cs="Times New Roman"/>
          <w:sz w:val="24"/>
          <w:szCs w:val="24"/>
        </w:rPr>
      </w:pPr>
      <w:r w:rsidRPr="005A0DE6">
        <w:rPr>
          <w:rFonts w:cs="Times New Roman"/>
          <w:i/>
          <w:sz w:val="24"/>
          <w:szCs w:val="24"/>
        </w:rPr>
        <w:t>In r</w:t>
      </w:r>
      <w:r w:rsidR="00D335A3" w:rsidRPr="005A0DE6">
        <w:rPr>
          <w:rFonts w:cs="Times New Roman"/>
          <w:i/>
          <w:sz w:val="24"/>
          <w:szCs w:val="24"/>
        </w:rPr>
        <w:t>e Southern Bell Tel. &amp; Tel. Co</w:t>
      </w:r>
      <w:r w:rsidR="005150D9" w:rsidRPr="005A0DE6">
        <w:rPr>
          <w:rFonts w:cs="Times New Roman"/>
          <w:i/>
          <w:sz w:val="24"/>
          <w:szCs w:val="24"/>
        </w:rPr>
        <w:t>.</w:t>
      </w:r>
      <w:r w:rsidR="00D335A3" w:rsidRPr="005A0DE6">
        <w:rPr>
          <w:rFonts w:cs="Times New Roman"/>
          <w:sz w:val="24"/>
          <w:szCs w:val="24"/>
        </w:rPr>
        <w:t>,</w:t>
      </w:r>
    </w:p>
    <w:p w:rsidR="00D335A3" w:rsidRPr="005A0DE6" w:rsidRDefault="005150D9" w:rsidP="005A0DE6">
      <w:pPr>
        <w:pStyle w:val="FootnoteText"/>
        <w:tabs>
          <w:tab w:val="right" w:leader="dot" w:pos="8910"/>
        </w:tabs>
        <w:ind w:left="720" w:hanging="720"/>
        <w:rPr>
          <w:rFonts w:cs="Times New Roman"/>
          <w:sz w:val="24"/>
          <w:szCs w:val="24"/>
        </w:rPr>
      </w:pPr>
      <w:r w:rsidRPr="005A0DE6">
        <w:rPr>
          <w:rFonts w:cs="Times New Roman"/>
          <w:sz w:val="24"/>
          <w:szCs w:val="24"/>
        </w:rPr>
        <w:tab/>
      </w:r>
      <w:r w:rsidR="00D335A3" w:rsidRPr="005A0DE6">
        <w:rPr>
          <w:rFonts w:cs="Times New Roman"/>
          <w:sz w:val="24"/>
          <w:szCs w:val="24"/>
        </w:rPr>
        <w:t>66 PUR 3d 1 (Fla. PSC 1966)</w:t>
      </w:r>
      <w:r w:rsidRPr="005A0DE6">
        <w:rPr>
          <w:rFonts w:cs="Times New Roman"/>
          <w:sz w:val="24"/>
          <w:szCs w:val="24"/>
        </w:rPr>
        <w:tab/>
      </w:r>
      <w:r w:rsidR="00247C69" w:rsidRPr="005A0DE6">
        <w:rPr>
          <w:rFonts w:cs="Times New Roman"/>
          <w:sz w:val="24"/>
          <w:szCs w:val="24"/>
        </w:rPr>
        <w:t>14</w:t>
      </w:r>
    </w:p>
    <w:p w:rsidR="00D335A3" w:rsidRPr="005A0DE6" w:rsidRDefault="00D335A3" w:rsidP="005A0DE6">
      <w:pPr>
        <w:pStyle w:val="FootnoteText"/>
        <w:tabs>
          <w:tab w:val="right" w:leader="dot" w:pos="8910"/>
        </w:tabs>
        <w:rPr>
          <w:rFonts w:cs="Times New Roman"/>
          <w:sz w:val="24"/>
          <w:szCs w:val="24"/>
        </w:rPr>
      </w:pPr>
    </w:p>
    <w:p w:rsidR="005150D9" w:rsidRPr="005A0DE6" w:rsidRDefault="00BA16FD" w:rsidP="005A0DE6">
      <w:pPr>
        <w:pStyle w:val="FootnoteText"/>
        <w:tabs>
          <w:tab w:val="right" w:leader="dot" w:pos="8910"/>
        </w:tabs>
        <w:rPr>
          <w:rFonts w:cs="Times New Roman"/>
          <w:sz w:val="24"/>
          <w:szCs w:val="24"/>
        </w:rPr>
      </w:pPr>
      <w:r w:rsidRPr="005A0DE6">
        <w:rPr>
          <w:rFonts w:cs="Times New Roman"/>
          <w:i/>
          <w:sz w:val="24"/>
          <w:szCs w:val="24"/>
        </w:rPr>
        <w:t>In r</w:t>
      </w:r>
      <w:r w:rsidR="00D335A3" w:rsidRPr="005A0DE6">
        <w:rPr>
          <w:rFonts w:cs="Times New Roman"/>
          <w:i/>
          <w:sz w:val="24"/>
          <w:szCs w:val="24"/>
        </w:rPr>
        <w:t>e United Illuminating Co.</w:t>
      </w:r>
      <w:r w:rsidR="00D335A3" w:rsidRPr="005A0DE6">
        <w:rPr>
          <w:rFonts w:cs="Times New Roman"/>
          <w:sz w:val="24"/>
          <w:szCs w:val="24"/>
        </w:rPr>
        <w:t>,</w:t>
      </w:r>
    </w:p>
    <w:p w:rsidR="00D335A3" w:rsidRPr="005A0DE6" w:rsidRDefault="005150D9" w:rsidP="005A0DE6">
      <w:pPr>
        <w:pStyle w:val="FootnoteText"/>
        <w:tabs>
          <w:tab w:val="left" w:pos="720"/>
          <w:tab w:val="right" w:leader="dot" w:pos="8910"/>
        </w:tabs>
        <w:rPr>
          <w:rFonts w:cs="Times New Roman"/>
          <w:sz w:val="24"/>
          <w:szCs w:val="24"/>
        </w:rPr>
      </w:pPr>
      <w:r w:rsidRPr="005A0DE6">
        <w:rPr>
          <w:rFonts w:cs="Times New Roman"/>
          <w:sz w:val="24"/>
          <w:szCs w:val="24"/>
        </w:rPr>
        <w:tab/>
      </w:r>
      <w:r w:rsidR="00D335A3" w:rsidRPr="005A0DE6">
        <w:rPr>
          <w:rFonts w:cs="Times New Roman"/>
          <w:sz w:val="24"/>
          <w:szCs w:val="24"/>
        </w:rPr>
        <w:t>7 PUR 4</w:t>
      </w:r>
      <w:r w:rsidR="00D335A3" w:rsidRPr="005A0DE6">
        <w:rPr>
          <w:rFonts w:cs="Times New Roman"/>
          <w:sz w:val="24"/>
          <w:szCs w:val="24"/>
          <w:vertAlign w:val="superscript"/>
        </w:rPr>
        <w:t>th</w:t>
      </w:r>
      <w:r w:rsidRPr="005A0DE6">
        <w:rPr>
          <w:rFonts w:cs="Times New Roman"/>
          <w:sz w:val="24"/>
          <w:szCs w:val="24"/>
        </w:rPr>
        <w:t xml:space="preserve"> 417</w:t>
      </w:r>
      <w:r w:rsidRPr="005A0DE6">
        <w:rPr>
          <w:rFonts w:cs="Times New Roman"/>
          <w:sz w:val="24"/>
          <w:szCs w:val="24"/>
        </w:rPr>
        <w:tab/>
      </w:r>
      <w:r w:rsidR="00247C69" w:rsidRPr="005A0DE6">
        <w:rPr>
          <w:rFonts w:cs="Times New Roman"/>
          <w:sz w:val="24"/>
          <w:szCs w:val="24"/>
        </w:rPr>
        <w:t>14</w:t>
      </w:r>
    </w:p>
    <w:p w:rsidR="005A0DE6" w:rsidRPr="005A0DE6" w:rsidRDefault="005A0DE6" w:rsidP="005A0DE6">
      <w:pPr>
        <w:pStyle w:val="FootnoteText"/>
        <w:tabs>
          <w:tab w:val="right" w:leader="dot" w:pos="8910"/>
        </w:tabs>
        <w:rPr>
          <w:rFonts w:cs="Times New Roman"/>
          <w:i/>
          <w:sz w:val="24"/>
          <w:szCs w:val="24"/>
        </w:rPr>
      </w:pPr>
    </w:p>
    <w:p w:rsidR="005A0DE6" w:rsidRPr="005A0DE6" w:rsidRDefault="005A0DE6" w:rsidP="005A0DE6">
      <w:pPr>
        <w:pStyle w:val="FootnoteText"/>
        <w:tabs>
          <w:tab w:val="right" w:leader="dot" w:pos="8910"/>
        </w:tabs>
        <w:rPr>
          <w:rFonts w:cs="Times New Roman"/>
          <w:sz w:val="24"/>
          <w:szCs w:val="24"/>
        </w:rPr>
      </w:pPr>
      <w:r w:rsidRPr="005A0DE6">
        <w:rPr>
          <w:rFonts w:cs="Times New Roman"/>
          <w:i/>
          <w:sz w:val="24"/>
          <w:szCs w:val="24"/>
        </w:rPr>
        <w:t>Pa. Pub. Utilities Comm’n v. Pa. Elec. Co.</w:t>
      </w:r>
      <w:r w:rsidRPr="005A0DE6">
        <w:rPr>
          <w:rFonts w:cs="Times New Roman"/>
          <w:sz w:val="24"/>
          <w:szCs w:val="24"/>
        </w:rPr>
        <w:t>,</w:t>
      </w:r>
    </w:p>
    <w:p w:rsidR="00D335A3" w:rsidRPr="005A0DE6" w:rsidRDefault="005A0DE6" w:rsidP="005A0DE6">
      <w:pPr>
        <w:pStyle w:val="FootnoteText"/>
        <w:tabs>
          <w:tab w:val="left" w:pos="720"/>
          <w:tab w:val="right" w:leader="dot" w:pos="8910"/>
        </w:tabs>
        <w:rPr>
          <w:rFonts w:cs="Times New Roman"/>
          <w:sz w:val="24"/>
          <w:szCs w:val="24"/>
        </w:rPr>
      </w:pPr>
      <w:r w:rsidRPr="005A0DE6">
        <w:rPr>
          <w:rFonts w:cs="Times New Roman"/>
          <w:sz w:val="24"/>
          <w:szCs w:val="24"/>
        </w:rPr>
        <w:tab/>
        <w:t>25 PUR 4</w:t>
      </w:r>
      <w:r w:rsidRPr="005A0DE6">
        <w:rPr>
          <w:rFonts w:cs="Times New Roman"/>
          <w:sz w:val="24"/>
          <w:szCs w:val="24"/>
          <w:vertAlign w:val="superscript"/>
        </w:rPr>
        <w:t>th</w:t>
      </w:r>
      <w:r w:rsidRPr="005A0DE6">
        <w:rPr>
          <w:rFonts w:cs="Times New Roman"/>
          <w:sz w:val="24"/>
          <w:szCs w:val="24"/>
        </w:rPr>
        <w:t xml:space="preserve"> 342 (Pa. PUC 1978)</w:t>
      </w:r>
      <w:r w:rsidRPr="005A0DE6">
        <w:rPr>
          <w:rFonts w:cs="Times New Roman"/>
          <w:sz w:val="24"/>
          <w:szCs w:val="24"/>
        </w:rPr>
        <w:tab/>
        <w:t>14</w:t>
      </w:r>
    </w:p>
    <w:p w:rsidR="005A0DE6" w:rsidRPr="005A0DE6" w:rsidRDefault="005A0DE6" w:rsidP="005A0DE6">
      <w:pPr>
        <w:pStyle w:val="FootnoteText"/>
        <w:tabs>
          <w:tab w:val="right" w:leader="dot" w:pos="8910"/>
        </w:tabs>
        <w:rPr>
          <w:rFonts w:cs="Times New Roman"/>
          <w:sz w:val="24"/>
          <w:szCs w:val="24"/>
        </w:rPr>
      </w:pPr>
    </w:p>
    <w:p w:rsidR="004A6508" w:rsidRPr="005A0DE6" w:rsidRDefault="004A6508" w:rsidP="004A6508">
      <w:pPr>
        <w:pStyle w:val="FootnoteText"/>
        <w:tabs>
          <w:tab w:val="right" w:leader="dot" w:pos="8910"/>
        </w:tabs>
        <w:rPr>
          <w:rFonts w:cs="Times New Roman"/>
          <w:i/>
          <w:sz w:val="24"/>
          <w:szCs w:val="24"/>
        </w:rPr>
      </w:pPr>
      <w:r w:rsidRPr="005A0DE6">
        <w:rPr>
          <w:rFonts w:cs="Times New Roman"/>
          <w:i/>
          <w:sz w:val="24"/>
          <w:szCs w:val="24"/>
        </w:rPr>
        <w:t>Re Amended Petition of Puget Sound Energy, Inc. for an Order</w:t>
      </w:r>
    </w:p>
    <w:p w:rsidR="004A6508" w:rsidRPr="005A0DE6" w:rsidRDefault="004A6508" w:rsidP="004A6508">
      <w:pPr>
        <w:pStyle w:val="FootnoteText"/>
        <w:tabs>
          <w:tab w:val="right" w:leader="dot" w:pos="8910"/>
        </w:tabs>
        <w:rPr>
          <w:rFonts w:cs="Times New Roman"/>
          <w:i/>
          <w:sz w:val="24"/>
          <w:szCs w:val="24"/>
        </w:rPr>
      </w:pPr>
      <w:r w:rsidRPr="005A0DE6">
        <w:rPr>
          <w:rFonts w:cs="Times New Roman"/>
          <w:i/>
          <w:sz w:val="24"/>
          <w:szCs w:val="24"/>
        </w:rPr>
        <w:t>Authorizing the Use of Proceeds from the Sale of Renewable</w:t>
      </w:r>
    </w:p>
    <w:p w:rsidR="004A6508" w:rsidRPr="005A0DE6" w:rsidRDefault="004A6508" w:rsidP="004A6508">
      <w:pPr>
        <w:pStyle w:val="FootnoteText"/>
        <w:tabs>
          <w:tab w:val="right" w:leader="dot" w:pos="8910"/>
        </w:tabs>
        <w:rPr>
          <w:rFonts w:cs="Times New Roman"/>
          <w:sz w:val="24"/>
          <w:szCs w:val="24"/>
        </w:rPr>
      </w:pPr>
      <w:r w:rsidRPr="005A0DE6">
        <w:rPr>
          <w:rFonts w:cs="Times New Roman"/>
          <w:i/>
          <w:sz w:val="24"/>
          <w:szCs w:val="24"/>
        </w:rPr>
        <w:t>Energy Credits and Carbon Financial Instruments</w:t>
      </w:r>
      <w:r w:rsidRPr="005A0DE6">
        <w:rPr>
          <w:rFonts w:cs="Times New Roman"/>
          <w:sz w:val="24"/>
          <w:szCs w:val="24"/>
        </w:rPr>
        <w:t>,</w:t>
      </w:r>
    </w:p>
    <w:p w:rsidR="004A6508" w:rsidRPr="005A0DE6" w:rsidRDefault="004A6508" w:rsidP="004A6508">
      <w:pPr>
        <w:pStyle w:val="FootnoteText"/>
        <w:tabs>
          <w:tab w:val="left" w:pos="720"/>
          <w:tab w:val="right" w:leader="dot" w:pos="8910"/>
        </w:tabs>
        <w:rPr>
          <w:rFonts w:cs="Times New Roman"/>
          <w:sz w:val="24"/>
          <w:szCs w:val="24"/>
        </w:rPr>
      </w:pPr>
      <w:r w:rsidRPr="005A0DE6">
        <w:rPr>
          <w:rFonts w:cs="Times New Roman"/>
          <w:sz w:val="24"/>
          <w:szCs w:val="24"/>
        </w:rPr>
        <w:tab/>
        <w:t xml:space="preserve">Docket </w:t>
      </w:r>
      <w:proofErr w:type="spellStart"/>
      <w:r w:rsidRPr="005A0DE6">
        <w:rPr>
          <w:rFonts w:cs="Times New Roman"/>
          <w:sz w:val="24"/>
          <w:szCs w:val="24"/>
        </w:rPr>
        <w:t>UE</w:t>
      </w:r>
      <w:proofErr w:type="spellEnd"/>
      <w:r w:rsidRPr="005A0DE6">
        <w:rPr>
          <w:rFonts w:cs="Times New Roman"/>
          <w:sz w:val="24"/>
          <w:szCs w:val="24"/>
        </w:rPr>
        <w:t>-070725, Order 03 (May 20, 2010)</w:t>
      </w:r>
      <w:r w:rsidRPr="005A0DE6">
        <w:rPr>
          <w:rFonts w:cs="Times New Roman"/>
          <w:sz w:val="24"/>
          <w:szCs w:val="24"/>
        </w:rPr>
        <w:tab/>
        <w:t>3</w:t>
      </w:r>
      <w:r>
        <w:rPr>
          <w:rFonts w:cs="Times New Roman"/>
          <w:sz w:val="24"/>
          <w:szCs w:val="24"/>
        </w:rPr>
        <w:t>, 4</w:t>
      </w:r>
    </w:p>
    <w:p w:rsidR="004A6508" w:rsidRPr="005A0DE6" w:rsidRDefault="004A6508" w:rsidP="004A6508">
      <w:pPr>
        <w:pStyle w:val="FootnoteText"/>
        <w:tabs>
          <w:tab w:val="right" w:leader="dot" w:pos="8910"/>
        </w:tabs>
        <w:rPr>
          <w:rFonts w:cs="Times New Roman"/>
          <w:sz w:val="24"/>
          <w:szCs w:val="24"/>
        </w:rPr>
      </w:pPr>
    </w:p>
    <w:p w:rsidR="005150D9" w:rsidRPr="005A0DE6" w:rsidRDefault="00F16D36" w:rsidP="005A0DE6">
      <w:pPr>
        <w:pStyle w:val="FootnoteText"/>
        <w:tabs>
          <w:tab w:val="right" w:leader="dot" w:pos="8910"/>
        </w:tabs>
        <w:rPr>
          <w:rFonts w:cs="Times New Roman"/>
          <w:sz w:val="24"/>
          <w:szCs w:val="24"/>
        </w:rPr>
      </w:pPr>
      <w:proofErr w:type="gramStart"/>
      <w:r w:rsidRPr="005A0DE6">
        <w:rPr>
          <w:rFonts w:cs="Times New Roman"/>
          <w:i/>
          <w:sz w:val="24"/>
          <w:szCs w:val="24"/>
        </w:rPr>
        <w:t>Utilities and Transp. Comm’n v. Am. Water Resources, Inc.</w:t>
      </w:r>
      <w:r w:rsidRPr="005A0DE6">
        <w:rPr>
          <w:rFonts w:cs="Times New Roman"/>
          <w:sz w:val="24"/>
          <w:szCs w:val="24"/>
        </w:rPr>
        <w:t>,</w:t>
      </w:r>
      <w:proofErr w:type="gramEnd"/>
    </w:p>
    <w:p w:rsidR="005150D9" w:rsidRPr="005A0DE6" w:rsidRDefault="005150D9" w:rsidP="005A0DE6">
      <w:pPr>
        <w:pStyle w:val="FootnoteText"/>
        <w:tabs>
          <w:tab w:val="left" w:pos="720"/>
          <w:tab w:val="right" w:leader="dot" w:pos="8910"/>
        </w:tabs>
        <w:rPr>
          <w:rFonts w:cs="Times New Roman"/>
          <w:sz w:val="24"/>
          <w:szCs w:val="24"/>
        </w:rPr>
      </w:pPr>
      <w:r w:rsidRPr="005A0DE6">
        <w:rPr>
          <w:rFonts w:cs="Times New Roman"/>
          <w:sz w:val="24"/>
          <w:szCs w:val="24"/>
        </w:rPr>
        <w:tab/>
      </w:r>
      <w:r w:rsidR="00F16D36" w:rsidRPr="005A0DE6">
        <w:rPr>
          <w:rFonts w:cs="Times New Roman"/>
          <w:sz w:val="24"/>
          <w:szCs w:val="24"/>
        </w:rPr>
        <w:t>Docket UW-980072 et al., Fifth Supplemental Order</w:t>
      </w:r>
    </w:p>
    <w:p w:rsidR="00F16D36" w:rsidRPr="005A0DE6" w:rsidRDefault="005150D9" w:rsidP="005A0DE6">
      <w:pPr>
        <w:pStyle w:val="FootnoteText"/>
        <w:tabs>
          <w:tab w:val="left" w:pos="720"/>
          <w:tab w:val="right" w:leader="dot" w:pos="8910"/>
        </w:tabs>
        <w:rPr>
          <w:rFonts w:cs="Times New Roman"/>
          <w:sz w:val="24"/>
          <w:szCs w:val="24"/>
        </w:rPr>
      </w:pPr>
      <w:r w:rsidRPr="005A0DE6">
        <w:rPr>
          <w:rFonts w:cs="Times New Roman"/>
          <w:sz w:val="24"/>
          <w:szCs w:val="24"/>
        </w:rPr>
        <w:tab/>
      </w:r>
      <w:r w:rsidR="00F16D36" w:rsidRPr="005A0DE6">
        <w:rPr>
          <w:rFonts w:cs="Times New Roman"/>
          <w:sz w:val="24"/>
          <w:szCs w:val="24"/>
        </w:rPr>
        <w:t>(November 24, 1998)</w:t>
      </w:r>
      <w:r w:rsidRPr="005A0DE6">
        <w:rPr>
          <w:rFonts w:cs="Times New Roman"/>
          <w:sz w:val="24"/>
          <w:szCs w:val="24"/>
        </w:rPr>
        <w:tab/>
      </w:r>
      <w:r w:rsidR="002F432E">
        <w:rPr>
          <w:rFonts w:cs="Times New Roman"/>
          <w:sz w:val="24"/>
          <w:szCs w:val="24"/>
        </w:rPr>
        <w:t>9</w:t>
      </w:r>
    </w:p>
    <w:p w:rsidR="00D335A3" w:rsidRPr="005A0DE6" w:rsidRDefault="00D335A3" w:rsidP="005A0DE6">
      <w:pPr>
        <w:pStyle w:val="FootnoteText"/>
        <w:tabs>
          <w:tab w:val="right" w:leader="dot" w:pos="8910"/>
        </w:tabs>
        <w:rPr>
          <w:rFonts w:cs="Times New Roman"/>
          <w:sz w:val="24"/>
          <w:szCs w:val="24"/>
        </w:rPr>
      </w:pPr>
    </w:p>
    <w:p w:rsidR="005150D9" w:rsidRPr="005A0DE6" w:rsidRDefault="00D335A3" w:rsidP="005A0DE6">
      <w:pPr>
        <w:tabs>
          <w:tab w:val="right" w:leader="dot" w:pos="8910"/>
        </w:tabs>
        <w:spacing w:after="0" w:line="240" w:lineRule="auto"/>
        <w:rPr>
          <w:rFonts w:cs="Times New Roman"/>
        </w:rPr>
      </w:pPr>
      <w:r w:rsidRPr="005A0DE6">
        <w:rPr>
          <w:rFonts w:cs="Times New Roman"/>
          <w:i/>
        </w:rPr>
        <w:t>Utilities and Transp. Comm’n v. Avista Corp.</w:t>
      </w:r>
      <w:r w:rsidRPr="005A0DE6">
        <w:rPr>
          <w:rFonts w:cs="Times New Roman"/>
        </w:rPr>
        <w:t>,</w:t>
      </w:r>
    </w:p>
    <w:p w:rsidR="005A0DE6" w:rsidRPr="005A0DE6" w:rsidRDefault="005150D9" w:rsidP="005A0DE6">
      <w:pPr>
        <w:tabs>
          <w:tab w:val="left" w:pos="720"/>
          <w:tab w:val="right" w:leader="dot" w:pos="8910"/>
        </w:tabs>
        <w:spacing w:after="0" w:line="240" w:lineRule="auto"/>
        <w:rPr>
          <w:rFonts w:cs="Times New Roman"/>
        </w:rPr>
      </w:pPr>
      <w:r w:rsidRPr="005A0DE6">
        <w:rPr>
          <w:rFonts w:cs="Times New Roman"/>
        </w:rPr>
        <w:tab/>
      </w:r>
      <w:r w:rsidR="00D335A3" w:rsidRPr="005A0DE6">
        <w:rPr>
          <w:rFonts w:cs="Times New Roman"/>
        </w:rPr>
        <w:t>Dockets UE-991606 and UG-991607,</w:t>
      </w:r>
      <w:r w:rsidR="005A0DE6" w:rsidRPr="005A0DE6">
        <w:rPr>
          <w:rFonts w:cs="Times New Roman"/>
        </w:rPr>
        <w:t xml:space="preserve"> </w:t>
      </w:r>
      <w:r w:rsidR="00D335A3" w:rsidRPr="005A0DE6">
        <w:rPr>
          <w:rFonts w:cs="Times New Roman"/>
        </w:rPr>
        <w:t>Third Supplemental Order</w:t>
      </w:r>
      <w:r w:rsidRPr="005A0DE6">
        <w:rPr>
          <w:rFonts w:cs="Times New Roman"/>
        </w:rPr>
        <w:t xml:space="preserve"> </w:t>
      </w:r>
    </w:p>
    <w:p w:rsidR="00D335A3" w:rsidRPr="005A0DE6" w:rsidRDefault="005A0DE6" w:rsidP="005A0DE6">
      <w:pPr>
        <w:tabs>
          <w:tab w:val="left" w:pos="720"/>
          <w:tab w:val="right" w:leader="dot" w:pos="8910"/>
        </w:tabs>
        <w:spacing w:after="0" w:line="240" w:lineRule="auto"/>
        <w:rPr>
          <w:rFonts w:cs="Times New Roman"/>
        </w:rPr>
      </w:pPr>
      <w:r w:rsidRPr="005A0DE6">
        <w:rPr>
          <w:rFonts w:cs="Times New Roman"/>
        </w:rPr>
        <w:tab/>
      </w:r>
      <w:r w:rsidR="00D335A3" w:rsidRPr="005A0DE6">
        <w:rPr>
          <w:rFonts w:cs="Times New Roman"/>
        </w:rPr>
        <w:t>(September 29, 2000)</w:t>
      </w:r>
      <w:r w:rsidR="005150D9" w:rsidRPr="005A0DE6">
        <w:rPr>
          <w:rFonts w:cs="Times New Roman"/>
        </w:rPr>
        <w:tab/>
      </w:r>
      <w:r w:rsidR="00247C69" w:rsidRPr="005A0DE6">
        <w:rPr>
          <w:rFonts w:cs="Times New Roman"/>
        </w:rPr>
        <w:t>11, 12, 13</w:t>
      </w:r>
    </w:p>
    <w:p w:rsidR="00F16D36" w:rsidRPr="005A0DE6" w:rsidRDefault="00F16D36" w:rsidP="005A0DE6">
      <w:pPr>
        <w:pStyle w:val="FootnoteText"/>
        <w:tabs>
          <w:tab w:val="right" w:leader="dot" w:pos="8910"/>
        </w:tabs>
        <w:rPr>
          <w:rStyle w:val="FootnoteReference"/>
          <w:rFonts w:cs="Times New Roman"/>
          <w:sz w:val="24"/>
          <w:szCs w:val="24"/>
        </w:rPr>
      </w:pPr>
    </w:p>
    <w:p w:rsidR="005150D9" w:rsidRPr="005A0DE6" w:rsidRDefault="00F16D36" w:rsidP="005A0DE6">
      <w:pPr>
        <w:pStyle w:val="FootnoteText"/>
        <w:tabs>
          <w:tab w:val="right" w:leader="dot" w:pos="8910"/>
        </w:tabs>
        <w:rPr>
          <w:rFonts w:cs="Times New Roman"/>
          <w:sz w:val="24"/>
          <w:szCs w:val="24"/>
        </w:rPr>
      </w:pPr>
      <w:r w:rsidRPr="005A0DE6">
        <w:rPr>
          <w:rFonts w:cs="Times New Roman"/>
          <w:i/>
          <w:sz w:val="24"/>
          <w:szCs w:val="24"/>
        </w:rPr>
        <w:t>Utilities and Transp. Comm’n v. Olympic Pipe Line Co.</w:t>
      </w:r>
      <w:r w:rsidR="005150D9" w:rsidRPr="005A0DE6">
        <w:rPr>
          <w:rFonts w:cs="Times New Roman"/>
          <w:sz w:val="24"/>
          <w:szCs w:val="24"/>
        </w:rPr>
        <w:t>,</w:t>
      </w:r>
    </w:p>
    <w:p w:rsidR="00F16D36" w:rsidRPr="005A0DE6" w:rsidRDefault="005150D9" w:rsidP="005A0DE6">
      <w:pPr>
        <w:pStyle w:val="FootnoteText"/>
        <w:tabs>
          <w:tab w:val="left" w:pos="720"/>
          <w:tab w:val="right" w:leader="dot" w:pos="8910"/>
        </w:tabs>
        <w:rPr>
          <w:rFonts w:cs="Times New Roman"/>
          <w:sz w:val="24"/>
          <w:szCs w:val="24"/>
        </w:rPr>
      </w:pPr>
      <w:r w:rsidRPr="005A0DE6">
        <w:rPr>
          <w:rFonts w:cs="Times New Roman"/>
          <w:sz w:val="24"/>
          <w:szCs w:val="24"/>
        </w:rPr>
        <w:tab/>
      </w:r>
      <w:r w:rsidR="00F16D36" w:rsidRPr="005A0DE6">
        <w:rPr>
          <w:rFonts w:cs="Times New Roman"/>
          <w:sz w:val="24"/>
          <w:szCs w:val="24"/>
        </w:rPr>
        <w:t>Docket TO-011472, 20</w:t>
      </w:r>
      <w:r w:rsidR="00F16D36" w:rsidRPr="005A0DE6">
        <w:rPr>
          <w:rFonts w:cs="Times New Roman"/>
          <w:sz w:val="24"/>
          <w:szCs w:val="24"/>
          <w:vertAlign w:val="superscript"/>
        </w:rPr>
        <w:t>th</w:t>
      </w:r>
      <w:r w:rsidR="00F16D36" w:rsidRPr="005A0DE6">
        <w:rPr>
          <w:rFonts w:cs="Times New Roman"/>
          <w:sz w:val="24"/>
          <w:szCs w:val="24"/>
        </w:rPr>
        <w:t xml:space="preserve"> Supplemental Order (September 27, 2002)</w:t>
      </w:r>
      <w:r w:rsidRPr="005A0DE6">
        <w:rPr>
          <w:rFonts w:cs="Times New Roman"/>
          <w:sz w:val="24"/>
          <w:szCs w:val="24"/>
        </w:rPr>
        <w:tab/>
      </w:r>
      <w:r w:rsidR="002F432E">
        <w:rPr>
          <w:rFonts w:cs="Times New Roman"/>
          <w:sz w:val="24"/>
          <w:szCs w:val="24"/>
        </w:rPr>
        <w:t>9</w:t>
      </w:r>
    </w:p>
    <w:p w:rsidR="00F16D36" w:rsidRPr="005A0DE6" w:rsidRDefault="00F16D36" w:rsidP="005A0DE6">
      <w:pPr>
        <w:tabs>
          <w:tab w:val="right" w:leader="dot" w:pos="8910"/>
        </w:tabs>
        <w:spacing w:after="0" w:line="240" w:lineRule="auto"/>
        <w:rPr>
          <w:rFonts w:cs="Times New Roman"/>
        </w:rPr>
      </w:pPr>
    </w:p>
    <w:p w:rsidR="005150D9" w:rsidRPr="005A0DE6" w:rsidRDefault="00D335A3" w:rsidP="005A0DE6">
      <w:pPr>
        <w:pStyle w:val="FootnoteText"/>
        <w:tabs>
          <w:tab w:val="right" w:leader="dot" w:pos="8910"/>
        </w:tabs>
        <w:rPr>
          <w:rFonts w:cs="Times New Roman"/>
          <w:sz w:val="24"/>
          <w:szCs w:val="24"/>
        </w:rPr>
      </w:pPr>
      <w:r w:rsidRPr="005A0DE6">
        <w:rPr>
          <w:rFonts w:cs="Times New Roman"/>
          <w:i/>
          <w:sz w:val="24"/>
          <w:szCs w:val="24"/>
        </w:rPr>
        <w:t>Utilities and Transp. Comm’n v. PacifiCorp</w:t>
      </w:r>
      <w:r w:rsidRPr="005A0DE6">
        <w:rPr>
          <w:rFonts w:cs="Times New Roman"/>
          <w:sz w:val="24"/>
          <w:szCs w:val="24"/>
        </w:rPr>
        <w:t>,</w:t>
      </w:r>
    </w:p>
    <w:p w:rsidR="00D335A3" w:rsidRPr="005A0DE6" w:rsidRDefault="005150D9" w:rsidP="005A0DE6">
      <w:pPr>
        <w:pStyle w:val="FootnoteText"/>
        <w:tabs>
          <w:tab w:val="left" w:pos="720"/>
          <w:tab w:val="right" w:leader="dot" w:pos="8910"/>
        </w:tabs>
        <w:rPr>
          <w:rFonts w:cs="Times New Roman"/>
          <w:sz w:val="24"/>
          <w:szCs w:val="24"/>
        </w:rPr>
      </w:pPr>
      <w:r w:rsidRPr="005A0DE6">
        <w:rPr>
          <w:rFonts w:cs="Times New Roman"/>
          <w:sz w:val="24"/>
          <w:szCs w:val="24"/>
        </w:rPr>
        <w:tab/>
      </w:r>
      <w:r w:rsidR="00D335A3" w:rsidRPr="005A0DE6">
        <w:rPr>
          <w:rFonts w:cs="Times New Roman"/>
          <w:sz w:val="24"/>
          <w:szCs w:val="24"/>
        </w:rPr>
        <w:t>Docket UE-100749, Order 06 (March 25, 2011)</w:t>
      </w:r>
      <w:r w:rsidRPr="005A0DE6">
        <w:rPr>
          <w:rFonts w:cs="Times New Roman"/>
          <w:sz w:val="24"/>
          <w:szCs w:val="24"/>
        </w:rPr>
        <w:tab/>
      </w:r>
      <w:r w:rsidR="00247C69" w:rsidRPr="005A0DE6">
        <w:rPr>
          <w:rFonts w:cs="Times New Roman"/>
          <w:sz w:val="24"/>
          <w:szCs w:val="24"/>
        </w:rPr>
        <w:t>14</w:t>
      </w:r>
    </w:p>
    <w:p w:rsidR="00D335A3" w:rsidRPr="005A0DE6" w:rsidRDefault="00D335A3" w:rsidP="005A0DE6">
      <w:pPr>
        <w:pStyle w:val="FootnoteText"/>
        <w:tabs>
          <w:tab w:val="right" w:leader="dot" w:pos="8910"/>
        </w:tabs>
        <w:rPr>
          <w:rFonts w:cs="Times New Roman"/>
          <w:sz w:val="24"/>
          <w:szCs w:val="24"/>
        </w:rPr>
      </w:pPr>
    </w:p>
    <w:p w:rsidR="005150D9" w:rsidRPr="005A0DE6" w:rsidRDefault="00D335A3" w:rsidP="005A0DE6">
      <w:pPr>
        <w:pStyle w:val="FootnoteText"/>
        <w:tabs>
          <w:tab w:val="right" w:leader="dot" w:pos="8910"/>
        </w:tabs>
        <w:rPr>
          <w:rFonts w:cs="Times New Roman"/>
          <w:sz w:val="24"/>
          <w:szCs w:val="24"/>
        </w:rPr>
      </w:pPr>
      <w:r w:rsidRPr="005A0DE6">
        <w:rPr>
          <w:rFonts w:cs="Times New Roman"/>
          <w:i/>
          <w:sz w:val="24"/>
          <w:szCs w:val="24"/>
        </w:rPr>
        <w:t>Utilities and Transp. Comm’n v. PacifiCorp</w:t>
      </w:r>
      <w:r w:rsidRPr="005A0DE6">
        <w:rPr>
          <w:rFonts w:cs="Times New Roman"/>
          <w:sz w:val="24"/>
          <w:szCs w:val="24"/>
        </w:rPr>
        <w:t>,</w:t>
      </w:r>
    </w:p>
    <w:p w:rsidR="00D335A3" w:rsidRPr="005A0DE6" w:rsidRDefault="005150D9" w:rsidP="005A0DE6">
      <w:pPr>
        <w:pStyle w:val="FootnoteText"/>
        <w:tabs>
          <w:tab w:val="left" w:pos="720"/>
          <w:tab w:val="right" w:leader="dot" w:pos="8910"/>
        </w:tabs>
        <w:rPr>
          <w:rFonts w:cs="Times New Roman"/>
          <w:sz w:val="24"/>
          <w:szCs w:val="24"/>
        </w:rPr>
      </w:pPr>
      <w:r w:rsidRPr="005A0DE6">
        <w:rPr>
          <w:rFonts w:cs="Times New Roman"/>
          <w:sz w:val="24"/>
          <w:szCs w:val="24"/>
        </w:rPr>
        <w:tab/>
      </w:r>
      <w:r w:rsidR="00D335A3" w:rsidRPr="005A0DE6">
        <w:rPr>
          <w:rFonts w:cs="Times New Roman"/>
          <w:sz w:val="24"/>
          <w:szCs w:val="24"/>
        </w:rPr>
        <w:t>Docket UE-111190, Order 07 (March 30, 2012)</w:t>
      </w:r>
      <w:r w:rsidRPr="005A0DE6">
        <w:rPr>
          <w:rFonts w:cs="Times New Roman"/>
          <w:sz w:val="24"/>
          <w:szCs w:val="24"/>
        </w:rPr>
        <w:tab/>
      </w:r>
      <w:r w:rsidR="00247C69" w:rsidRPr="005A0DE6">
        <w:rPr>
          <w:rFonts w:cs="Times New Roman"/>
          <w:sz w:val="24"/>
          <w:szCs w:val="24"/>
        </w:rPr>
        <w:t>14</w:t>
      </w:r>
    </w:p>
    <w:p w:rsidR="00F16D36" w:rsidRPr="005A0DE6" w:rsidRDefault="00F16D36" w:rsidP="005A0DE6">
      <w:pPr>
        <w:tabs>
          <w:tab w:val="left" w:pos="720"/>
          <w:tab w:val="left" w:pos="2160"/>
          <w:tab w:val="right" w:leader="dot" w:pos="8910"/>
        </w:tabs>
        <w:spacing w:after="0" w:line="240" w:lineRule="auto"/>
        <w:rPr>
          <w:rFonts w:cs="Times New Roman"/>
        </w:rPr>
      </w:pPr>
    </w:p>
    <w:p w:rsidR="00247C69" w:rsidRPr="005A0DE6" w:rsidRDefault="00247C69" w:rsidP="005A0DE6">
      <w:pPr>
        <w:tabs>
          <w:tab w:val="right" w:leader="dot" w:pos="8910"/>
        </w:tabs>
        <w:spacing w:after="0" w:line="240" w:lineRule="auto"/>
        <w:rPr>
          <w:rFonts w:cs="Times New Roman"/>
        </w:rPr>
      </w:pPr>
      <w:r w:rsidRPr="005A0DE6">
        <w:rPr>
          <w:rFonts w:cs="Times New Roman"/>
          <w:i/>
        </w:rPr>
        <w:t>Utilities and Transp. Comm’n v. Puget Sound Power &amp; Light Co</w:t>
      </w:r>
      <w:r w:rsidRPr="005A0DE6">
        <w:rPr>
          <w:rFonts w:cs="Times New Roman"/>
        </w:rPr>
        <w:t>.,</w:t>
      </w:r>
    </w:p>
    <w:p w:rsidR="00247C69" w:rsidRPr="005A0DE6" w:rsidRDefault="00247C69" w:rsidP="005A0DE6">
      <w:pPr>
        <w:tabs>
          <w:tab w:val="left" w:pos="720"/>
          <w:tab w:val="right" w:leader="dot" w:pos="8910"/>
        </w:tabs>
        <w:spacing w:after="0" w:line="240" w:lineRule="auto"/>
        <w:rPr>
          <w:rFonts w:cs="Times New Roman"/>
        </w:rPr>
      </w:pPr>
      <w:r w:rsidRPr="005A0DE6">
        <w:rPr>
          <w:rFonts w:cs="Times New Roman"/>
        </w:rPr>
        <w:tab/>
        <w:t>Docket U-81-41, Sixth Supplemental Order (December 19, 1988)</w:t>
      </w:r>
      <w:r w:rsidRPr="005A0DE6">
        <w:rPr>
          <w:rFonts w:cs="Times New Roman"/>
        </w:rPr>
        <w:tab/>
        <w:t>10</w:t>
      </w:r>
    </w:p>
    <w:p w:rsidR="00247C69" w:rsidRPr="005A0DE6" w:rsidRDefault="00247C69" w:rsidP="005A0DE6">
      <w:pPr>
        <w:pStyle w:val="FootnoteText"/>
        <w:tabs>
          <w:tab w:val="right" w:leader="dot" w:pos="8910"/>
        </w:tabs>
        <w:rPr>
          <w:rFonts w:cs="Times New Roman"/>
          <w:sz w:val="24"/>
          <w:szCs w:val="24"/>
        </w:rPr>
      </w:pPr>
    </w:p>
    <w:p w:rsidR="005150D9" w:rsidRPr="005A0DE6" w:rsidRDefault="00D335A3" w:rsidP="005A0DE6">
      <w:pPr>
        <w:tabs>
          <w:tab w:val="left" w:pos="720"/>
          <w:tab w:val="left" w:pos="2160"/>
          <w:tab w:val="right" w:leader="dot" w:pos="8910"/>
        </w:tabs>
        <w:spacing w:after="0" w:line="240" w:lineRule="auto"/>
        <w:rPr>
          <w:rFonts w:cs="Times New Roman"/>
        </w:rPr>
      </w:pPr>
      <w:r w:rsidRPr="005A0DE6">
        <w:rPr>
          <w:rFonts w:cs="Times New Roman"/>
          <w:i/>
        </w:rPr>
        <w:t>Utilities and Transp. Comm’n v. Sno-King Garbage Co., Inc</w:t>
      </w:r>
      <w:r w:rsidRPr="005A0DE6">
        <w:rPr>
          <w:rFonts w:cs="Times New Roman"/>
        </w:rPr>
        <w:t xml:space="preserve">., </w:t>
      </w:r>
      <w:r w:rsidRPr="005A0DE6">
        <w:rPr>
          <w:rFonts w:cs="Times New Roman"/>
          <w:i/>
        </w:rPr>
        <w:t>G-126 et al.</w:t>
      </w:r>
      <w:r w:rsidRPr="005A0DE6">
        <w:rPr>
          <w:rFonts w:cs="Times New Roman"/>
        </w:rPr>
        <w:t>,</w:t>
      </w:r>
    </w:p>
    <w:p w:rsidR="00D335A3" w:rsidRPr="005A0DE6" w:rsidRDefault="005150D9" w:rsidP="005A0DE6">
      <w:pPr>
        <w:tabs>
          <w:tab w:val="left" w:pos="720"/>
          <w:tab w:val="right" w:leader="dot" w:pos="8910"/>
        </w:tabs>
        <w:spacing w:after="0" w:line="240" w:lineRule="auto"/>
        <w:rPr>
          <w:rFonts w:cs="Times New Roman"/>
        </w:rPr>
      </w:pPr>
      <w:r w:rsidRPr="005A0DE6">
        <w:rPr>
          <w:rFonts w:cs="Times New Roman"/>
        </w:rPr>
        <w:tab/>
      </w:r>
      <w:r w:rsidR="00D335A3" w:rsidRPr="005A0DE6">
        <w:rPr>
          <w:rFonts w:cs="Times New Roman"/>
        </w:rPr>
        <w:t>Docket TG-900657, Fifth Supplemental Order (December 19, 1991)</w:t>
      </w:r>
      <w:r w:rsidRPr="005A0DE6">
        <w:rPr>
          <w:rFonts w:cs="Times New Roman"/>
        </w:rPr>
        <w:tab/>
        <w:t>2</w:t>
      </w:r>
    </w:p>
    <w:p w:rsidR="00D335A3" w:rsidRPr="005A0DE6" w:rsidRDefault="00D335A3" w:rsidP="005A0DE6">
      <w:pPr>
        <w:tabs>
          <w:tab w:val="left" w:pos="720"/>
          <w:tab w:val="left" w:pos="2160"/>
          <w:tab w:val="right" w:leader="dot" w:pos="8910"/>
        </w:tabs>
        <w:spacing w:after="0" w:line="240" w:lineRule="auto"/>
        <w:rPr>
          <w:rFonts w:cs="Times New Roman"/>
        </w:rPr>
      </w:pPr>
    </w:p>
    <w:p w:rsidR="005A0DE6" w:rsidRDefault="005A0DE6">
      <w:pPr>
        <w:rPr>
          <w:rFonts w:cs="Times New Roman"/>
          <w:b/>
        </w:rPr>
      </w:pPr>
      <w:r>
        <w:rPr>
          <w:rFonts w:cs="Times New Roman"/>
          <w:b/>
        </w:rPr>
        <w:br w:type="page"/>
      </w:r>
    </w:p>
    <w:p w:rsidR="00F16D36" w:rsidRPr="005A0DE6" w:rsidRDefault="005150D9" w:rsidP="005A0DE6">
      <w:pPr>
        <w:tabs>
          <w:tab w:val="right" w:leader="dot" w:pos="8910"/>
        </w:tabs>
        <w:spacing w:after="0" w:line="240" w:lineRule="auto"/>
        <w:jc w:val="center"/>
        <w:rPr>
          <w:rFonts w:cs="Times New Roman"/>
          <w:b/>
        </w:rPr>
      </w:pPr>
      <w:r w:rsidRPr="005A0DE6">
        <w:rPr>
          <w:rFonts w:cs="Times New Roman"/>
          <w:b/>
        </w:rPr>
        <w:lastRenderedPageBreak/>
        <w:t>Secondary Sources</w:t>
      </w:r>
    </w:p>
    <w:p w:rsidR="00C037AF" w:rsidRPr="005A0DE6" w:rsidRDefault="00C037AF" w:rsidP="005A0DE6">
      <w:pPr>
        <w:tabs>
          <w:tab w:val="left" w:pos="720"/>
          <w:tab w:val="left" w:pos="2160"/>
          <w:tab w:val="right" w:leader="dot" w:pos="8820"/>
          <w:tab w:val="right" w:leader="dot" w:pos="8910"/>
        </w:tabs>
        <w:spacing w:after="0" w:line="240" w:lineRule="auto"/>
        <w:rPr>
          <w:rFonts w:cs="Times New Roman"/>
        </w:rPr>
      </w:pPr>
    </w:p>
    <w:p w:rsidR="00C037AF" w:rsidRPr="005A0DE6" w:rsidRDefault="00F16D36" w:rsidP="005A0DE6">
      <w:pPr>
        <w:tabs>
          <w:tab w:val="left" w:pos="1530"/>
          <w:tab w:val="left" w:pos="2160"/>
          <w:tab w:val="right" w:leader="dot" w:pos="8910"/>
        </w:tabs>
        <w:spacing w:after="0" w:line="240" w:lineRule="auto"/>
        <w:rPr>
          <w:rFonts w:cs="Times New Roman"/>
        </w:rPr>
      </w:pPr>
      <w:r w:rsidRPr="005A0DE6">
        <w:rPr>
          <w:rFonts w:cs="Times New Roman"/>
        </w:rPr>
        <w:t xml:space="preserve">Bryan A. Garner, </w:t>
      </w:r>
      <w:r w:rsidRPr="005A0DE6">
        <w:rPr>
          <w:rFonts w:cs="Times New Roman"/>
          <w:i/>
        </w:rPr>
        <w:t>Black’s Law Dictionary</w:t>
      </w:r>
      <w:r w:rsidRPr="005A0DE6">
        <w:rPr>
          <w:rFonts w:cs="Times New Roman"/>
        </w:rPr>
        <w:t xml:space="preserve"> (7</w:t>
      </w:r>
      <w:r w:rsidRPr="005A0DE6">
        <w:rPr>
          <w:rFonts w:cs="Times New Roman"/>
          <w:vertAlign w:val="superscript"/>
        </w:rPr>
        <w:t>th</w:t>
      </w:r>
      <w:r w:rsidRPr="005A0DE6">
        <w:rPr>
          <w:rFonts w:cs="Times New Roman"/>
        </w:rPr>
        <w:t xml:space="preserve"> ed.)</w:t>
      </w:r>
      <w:r w:rsidR="005150D9" w:rsidRPr="005A0DE6">
        <w:rPr>
          <w:rFonts w:cs="Times New Roman"/>
        </w:rPr>
        <w:tab/>
        <w:t>6</w:t>
      </w:r>
    </w:p>
    <w:p w:rsidR="00EE1905" w:rsidRPr="005A0DE6" w:rsidRDefault="00EE1905" w:rsidP="005A0DE6">
      <w:pPr>
        <w:tabs>
          <w:tab w:val="left" w:pos="1530"/>
          <w:tab w:val="left" w:pos="2160"/>
          <w:tab w:val="right" w:leader="dot" w:pos="8910"/>
        </w:tabs>
        <w:spacing w:after="0" w:line="240" w:lineRule="auto"/>
        <w:rPr>
          <w:rFonts w:cs="Times New Roman"/>
        </w:rPr>
      </w:pPr>
    </w:p>
    <w:p w:rsidR="00EE1905" w:rsidRPr="005A0DE6" w:rsidRDefault="00EE1905" w:rsidP="005A0DE6">
      <w:pPr>
        <w:tabs>
          <w:tab w:val="right" w:leader="dot" w:pos="8910"/>
        </w:tabs>
        <w:spacing w:after="0" w:line="240" w:lineRule="auto"/>
        <w:rPr>
          <w:rFonts w:cs="Times New Roman"/>
        </w:rPr>
      </w:pPr>
      <w:r w:rsidRPr="005A0DE6">
        <w:rPr>
          <w:rFonts w:eastAsia="Times New Roman" w:cs="Times New Roman"/>
          <w:bCs/>
        </w:rPr>
        <w:t xml:space="preserve">Stephan H. Krieger, </w:t>
      </w:r>
      <w:r w:rsidRPr="005A0DE6">
        <w:rPr>
          <w:rFonts w:eastAsia="Times New Roman" w:cs="Times New Roman"/>
          <w:bCs/>
          <w:i/>
        </w:rPr>
        <w:t xml:space="preserve">The Ghost of Regulation Past:  Current Applications of the Rule Against Retroactive Ratemaking in Public Utility Proceedings, </w:t>
      </w:r>
      <w:r w:rsidRPr="005A0DE6">
        <w:rPr>
          <w:rFonts w:eastAsia="Times New Roman" w:cs="Times New Roman"/>
          <w:bCs/>
        </w:rPr>
        <w:t xml:space="preserve">1991 U. Ill. L. Rev. 983 (1991).  </w:t>
      </w:r>
      <w:r w:rsidR="00235532" w:rsidRPr="005A0DE6">
        <w:rPr>
          <w:rFonts w:eastAsia="Times New Roman" w:cs="Times New Roman"/>
          <w:bCs/>
        </w:rPr>
        <w:tab/>
      </w:r>
      <w:r w:rsidR="008F23B0">
        <w:rPr>
          <w:rFonts w:eastAsia="Times New Roman" w:cs="Times New Roman"/>
          <w:bCs/>
        </w:rPr>
        <w:t>13</w:t>
      </w:r>
      <w:r w:rsidR="00153F8A">
        <w:rPr>
          <w:rFonts w:eastAsia="Times New Roman" w:cs="Times New Roman"/>
          <w:bCs/>
        </w:rPr>
        <w:t>, 14</w:t>
      </w:r>
    </w:p>
    <w:p w:rsidR="00C037AF" w:rsidRPr="00D335A3" w:rsidRDefault="00C037AF" w:rsidP="00D335A3">
      <w:pPr>
        <w:tabs>
          <w:tab w:val="right" w:leader="dot" w:pos="8910"/>
        </w:tabs>
        <w:spacing w:after="0" w:line="240" w:lineRule="auto"/>
        <w:rPr>
          <w:rFonts w:cs="Times New Roman"/>
        </w:rPr>
      </w:pPr>
    </w:p>
    <w:p w:rsidR="00C037AF" w:rsidRPr="00D335A3" w:rsidRDefault="00C037AF" w:rsidP="007E241A">
      <w:pPr>
        <w:spacing w:after="0" w:line="240" w:lineRule="auto"/>
        <w:jc w:val="center"/>
        <w:rPr>
          <w:rFonts w:cs="Times New Roman"/>
        </w:rPr>
        <w:sectPr w:rsidR="00C037AF" w:rsidRPr="00D335A3" w:rsidSect="00F95ED7">
          <w:pgSz w:w="12240" w:h="15840"/>
          <w:pgMar w:top="1440" w:right="1440" w:bottom="1440" w:left="1872" w:header="720" w:footer="720" w:gutter="0"/>
          <w:pgNumType w:fmt="lowerRoman"/>
          <w:cols w:space="720"/>
          <w:docGrid w:linePitch="360"/>
        </w:sectPr>
      </w:pPr>
    </w:p>
    <w:p w:rsidR="0036249E" w:rsidRPr="00EB58AD" w:rsidRDefault="00EB58AD" w:rsidP="00EB58AD">
      <w:pPr>
        <w:pStyle w:val="ListParagraph"/>
        <w:spacing w:after="0" w:line="480" w:lineRule="auto"/>
        <w:ind w:left="0"/>
        <w:jc w:val="center"/>
        <w:rPr>
          <w:rFonts w:cs="Times New Roman"/>
        </w:rPr>
      </w:pPr>
      <w:r>
        <w:rPr>
          <w:rFonts w:cs="Times New Roman"/>
          <w:b/>
        </w:rPr>
        <w:lastRenderedPageBreak/>
        <w:t>I.</w:t>
      </w:r>
      <w:r>
        <w:rPr>
          <w:rFonts w:cs="Times New Roman"/>
          <w:b/>
        </w:rPr>
        <w:tab/>
      </w:r>
      <w:r w:rsidR="008A125B" w:rsidRPr="00EB58AD">
        <w:rPr>
          <w:rFonts w:cs="Times New Roman"/>
          <w:b/>
        </w:rPr>
        <w:t>INTRODUCTION</w:t>
      </w:r>
    </w:p>
    <w:p w:rsidR="003504E3" w:rsidRPr="00235532" w:rsidRDefault="004F058B" w:rsidP="000945C8">
      <w:pPr>
        <w:pStyle w:val="ListParagraph"/>
        <w:numPr>
          <w:ilvl w:val="0"/>
          <w:numId w:val="1"/>
        </w:numPr>
        <w:spacing w:after="240" w:line="480" w:lineRule="auto"/>
        <w:ind w:left="0"/>
        <w:rPr>
          <w:rFonts w:cs="Times New Roman"/>
          <w:b/>
        </w:rPr>
      </w:pPr>
      <w:r w:rsidRPr="00D335A3">
        <w:rPr>
          <w:rFonts w:cs="Times New Roman"/>
        </w:rPr>
        <w:tab/>
      </w:r>
      <w:r w:rsidR="00DB7121">
        <w:rPr>
          <w:rFonts w:cs="Times New Roman"/>
        </w:rPr>
        <w:t>PacifiCorp testified that it “does not contest the premise” that “customers are generally entitled to a revenue credit for REC sales.”</w:t>
      </w:r>
      <w:r w:rsidR="0036249E" w:rsidRPr="00D335A3">
        <w:rPr>
          <w:rStyle w:val="FootnoteReference"/>
          <w:rFonts w:cs="Times New Roman"/>
        </w:rPr>
        <w:footnoteReference w:id="1"/>
      </w:r>
      <w:r w:rsidRPr="00D335A3">
        <w:rPr>
          <w:rFonts w:cs="Times New Roman"/>
        </w:rPr>
        <w:t xml:space="preserve">  </w:t>
      </w:r>
      <w:r w:rsidR="006E6756">
        <w:rPr>
          <w:rFonts w:cs="Times New Roman"/>
        </w:rPr>
        <w:t xml:space="preserve">Yet, </w:t>
      </w:r>
      <w:r w:rsidR="00D86587" w:rsidRPr="00D335A3">
        <w:rPr>
          <w:rFonts w:cs="Times New Roman"/>
        </w:rPr>
        <w:t>o</w:t>
      </w:r>
      <w:r w:rsidR="00A81AB0" w:rsidRPr="00D335A3">
        <w:rPr>
          <w:rFonts w:cs="Times New Roman"/>
        </w:rPr>
        <w:t>ne</w:t>
      </w:r>
      <w:r w:rsidRPr="00D335A3">
        <w:rPr>
          <w:rFonts w:cs="Times New Roman"/>
        </w:rPr>
        <w:t xml:space="preserve"> legitimately could read the </w:t>
      </w:r>
      <w:r w:rsidR="005D55C1" w:rsidRPr="00D335A3">
        <w:rPr>
          <w:rFonts w:cs="Times New Roman"/>
        </w:rPr>
        <w:t xml:space="preserve">Company’s </w:t>
      </w:r>
      <w:r w:rsidRPr="00D335A3">
        <w:rPr>
          <w:rFonts w:cs="Times New Roman"/>
        </w:rPr>
        <w:t xml:space="preserve">Petition for Reconsideration </w:t>
      </w:r>
      <w:r w:rsidR="005D55C1" w:rsidRPr="00D335A3">
        <w:rPr>
          <w:rFonts w:cs="Times New Roman"/>
        </w:rPr>
        <w:t xml:space="preserve">(Petition) </w:t>
      </w:r>
      <w:r w:rsidRPr="00D335A3">
        <w:rPr>
          <w:rFonts w:cs="Times New Roman"/>
        </w:rPr>
        <w:t>as fiercely contesting th</w:t>
      </w:r>
      <w:r w:rsidR="005D55C1" w:rsidRPr="00D335A3">
        <w:rPr>
          <w:rFonts w:cs="Times New Roman"/>
        </w:rPr>
        <w:t xml:space="preserve">at </w:t>
      </w:r>
      <w:r w:rsidR="00153F8A">
        <w:rPr>
          <w:rFonts w:cs="Times New Roman"/>
        </w:rPr>
        <w:t>uncontested</w:t>
      </w:r>
      <w:r w:rsidR="005D55C1" w:rsidRPr="00D335A3">
        <w:rPr>
          <w:rFonts w:cs="Times New Roman"/>
        </w:rPr>
        <w:t xml:space="preserve"> </w:t>
      </w:r>
      <w:r w:rsidRPr="00D335A3">
        <w:rPr>
          <w:rFonts w:cs="Times New Roman"/>
        </w:rPr>
        <w:t>premise</w:t>
      </w:r>
      <w:r w:rsidR="005D55C1" w:rsidRPr="00D335A3">
        <w:rPr>
          <w:rFonts w:cs="Times New Roman"/>
        </w:rPr>
        <w:t xml:space="preserve">.  </w:t>
      </w:r>
    </w:p>
    <w:p w:rsidR="0076337B" w:rsidRPr="00D335A3" w:rsidRDefault="003504E3" w:rsidP="000945C8">
      <w:pPr>
        <w:pStyle w:val="ListParagraph"/>
        <w:numPr>
          <w:ilvl w:val="0"/>
          <w:numId w:val="1"/>
        </w:numPr>
        <w:spacing w:after="240" w:line="480" w:lineRule="auto"/>
        <w:ind w:left="0"/>
        <w:rPr>
          <w:rFonts w:cs="Times New Roman"/>
          <w:b/>
        </w:rPr>
      </w:pPr>
      <w:r>
        <w:rPr>
          <w:rFonts w:cs="Times New Roman"/>
        </w:rPr>
        <w:tab/>
      </w:r>
      <w:r w:rsidR="004F058B" w:rsidRPr="00D335A3">
        <w:rPr>
          <w:rFonts w:cs="Times New Roman"/>
        </w:rPr>
        <w:t xml:space="preserve">Reconsideration </w:t>
      </w:r>
      <w:r w:rsidR="00A81AB0" w:rsidRPr="00D335A3">
        <w:rPr>
          <w:rFonts w:cs="Times New Roman"/>
        </w:rPr>
        <w:t>is not the place for PacifiCorp to try out new theories that undermine the very premise the Company testifie</w:t>
      </w:r>
      <w:r w:rsidR="00670E3F" w:rsidRPr="00D335A3">
        <w:rPr>
          <w:rFonts w:cs="Times New Roman"/>
        </w:rPr>
        <w:t>d</w:t>
      </w:r>
      <w:r w:rsidR="00A81AB0" w:rsidRPr="00D335A3">
        <w:rPr>
          <w:rFonts w:cs="Times New Roman"/>
        </w:rPr>
        <w:t xml:space="preserve"> it does not contest.  For </w:t>
      </w:r>
      <w:r w:rsidR="005D55C1" w:rsidRPr="00D335A3">
        <w:rPr>
          <w:rFonts w:cs="Times New Roman"/>
        </w:rPr>
        <w:t xml:space="preserve">this and the other </w:t>
      </w:r>
      <w:r w:rsidR="00A81AB0" w:rsidRPr="00D335A3">
        <w:rPr>
          <w:rFonts w:cs="Times New Roman"/>
        </w:rPr>
        <w:t>reasons stated below, the Commission should deny PacifiCorp’s Petition for Reconsideration</w:t>
      </w:r>
      <w:r w:rsidR="00FB69FE" w:rsidRPr="00D335A3">
        <w:rPr>
          <w:rFonts w:cs="Times New Roman"/>
        </w:rPr>
        <w:t>, except as to the single calculation issue PacifiCorp identifies in its Petition regarding Washington</w:t>
      </w:r>
      <w:r w:rsidR="00B90FFB" w:rsidRPr="00D335A3">
        <w:rPr>
          <w:rFonts w:cs="Times New Roman"/>
        </w:rPr>
        <w:t>’s share of</w:t>
      </w:r>
      <w:r w:rsidR="00FB69FE" w:rsidRPr="00D335A3">
        <w:rPr>
          <w:rFonts w:cs="Times New Roman"/>
        </w:rPr>
        <w:t xml:space="preserve"> RECs </w:t>
      </w:r>
      <w:r w:rsidR="00B90FFB" w:rsidRPr="00D335A3">
        <w:rPr>
          <w:rFonts w:cs="Times New Roman"/>
        </w:rPr>
        <w:t xml:space="preserve">the Company </w:t>
      </w:r>
      <w:r w:rsidR="00FB69FE" w:rsidRPr="00D335A3">
        <w:rPr>
          <w:rFonts w:cs="Times New Roman"/>
        </w:rPr>
        <w:t>allocated to other states</w:t>
      </w:r>
      <w:r w:rsidR="00A81AB0" w:rsidRPr="00D335A3">
        <w:rPr>
          <w:rFonts w:cs="Times New Roman"/>
        </w:rPr>
        <w:t>.</w:t>
      </w:r>
      <w:r w:rsidR="00FB69FE" w:rsidRPr="00D335A3">
        <w:rPr>
          <w:rFonts w:cs="Times New Roman"/>
        </w:rPr>
        <w:t xml:space="preserve">  The Commission should grant the Petition to that </w:t>
      </w:r>
      <w:r w:rsidR="00D91E76">
        <w:rPr>
          <w:rFonts w:cs="Times New Roman"/>
        </w:rPr>
        <w:t xml:space="preserve">limited </w:t>
      </w:r>
      <w:r w:rsidR="00FB69FE" w:rsidRPr="00D335A3">
        <w:rPr>
          <w:rFonts w:cs="Times New Roman"/>
        </w:rPr>
        <w:t>extent.</w:t>
      </w:r>
    </w:p>
    <w:p w:rsidR="0076337B" w:rsidRPr="00D335A3" w:rsidRDefault="0076337B" w:rsidP="0076337B">
      <w:pPr>
        <w:pStyle w:val="ListParagraph"/>
        <w:numPr>
          <w:ilvl w:val="0"/>
          <w:numId w:val="1"/>
        </w:numPr>
        <w:spacing w:after="240" w:line="480" w:lineRule="auto"/>
        <w:ind w:left="0"/>
        <w:rPr>
          <w:rFonts w:cs="Times New Roman"/>
          <w:b/>
        </w:rPr>
      </w:pPr>
      <w:r w:rsidRPr="00D335A3">
        <w:rPr>
          <w:rFonts w:cs="Times New Roman"/>
          <w:b/>
        </w:rPr>
        <w:tab/>
      </w:r>
      <w:r w:rsidR="005D55C1" w:rsidRPr="00D335A3">
        <w:rPr>
          <w:rFonts w:cs="Times New Roman"/>
        </w:rPr>
        <w:t xml:space="preserve">The Commission should deny PacifiCorp’s Motion to Reopen the Record.  The evidence PacifiCorp </w:t>
      </w:r>
      <w:r w:rsidR="00670E3F" w:rsidRPr="00D335A3">
        <w:rPr>
          <w:rFonts w:cs="Times New Roman"/>
        </w:rPr>
        <w:t xml:space="preserve">now </w:t>
      </w:r>
      <w:r w:rsidR="005D55C1" w:rsidRPr="00D335A3">
        <w:rPr>
          <w:rFonts w:cs="Times New Roman"/>
        </w:rPr>
        <w:t>offers is irrelevant</w:t>
      </w:r>
      <w:r w:rsidR="00C059BA" w:rsidRPr="00D335A3">
        <w:rPr>
          <w:rFonts w:cs="Times New Roman"/>
        </w:rPr>
        <w:t xml:space="preserve"> or cumulative</w:t>
      </w:r>
      <w:r w:rsidR="005D55C1" w:rsidRPr="00D335A3">
        <w:rPr>
          <w:rFonts w:cs="Times New Roman"/>
        </w:rPr>
        <w:t xml:space="preserve">.  </w:t>
      </w:r>
      <w:r w:rsidR="00EE1402" w:rsidRPr="00D335A3">
        <w:rPr>
          <w:rFonts w:cs="Times New Roman"/>
        </w:rPr>
        <w:t>T</w:t>
      </w:r>
      <w:r w:rsidR="005D55C1" w:rsidRPr="00D335A3">
        <w:rPr>
          <w:rFonts w:cs="Times New Roman"/>
        </w:rPr>
        <w:t xml:space="preserve">he Commission should </w:t>
      </w:r>
      <w:r w:rsidR="00EE1402" w:rsidRPr="00D335A3">
        <w:rPr>
          <w:rFonts w:cs="Times New Roman"/>
        </w:rPr>
        <w:t xml:space="preserve">also </w:t>
      </w:r>
      <w:r w:rsidR="005D55C1" w:rsidRPr="00D335A3">
        <w:rPr>
          <w:rFonts w:cs="Times New Roman"/>
        </w:rPr>
        <w:t xml:space="preserve">deny PacifiCorp’s </w:t>
      </w:r>
      <w:r w:rsidR="00C059BA" w:rsidRPr="00D335A3">
        <w:rPr>
          <w:rFonts w:cs="Times New Roman"/>
        </w:rPr>
        <w:t>M</w:t>
      </w:r>
      <w:r w:rsidR="005D55C1" w:rsidRPr="00D335A3">
        <w:rPr>
          <w:rFonts w:cs="Times New Roman"/>
        </w:rPr>
        <w:t>otion</w:t>
      </w:r>
      <w:r w:rsidR="00C059BA" w:rsidRPr="00D335A3">
        <w:rPr>
          <w:rFonts w:cs="Times New Roman"/>
        </w:rPr>
        <w:t xml:space="preserve"> for Stay</w:t>
      </w:r>
      <w:r w:rsidR="005D55C1" w:rsidRPr="00D335A3">
        <w:rPr>
          <w:rFonts w:cs="Times New Roman"/>
        </w:rPr>
        <w:t xml:space="preserve">.  The next steps </w:t>
      </w:r>
      <w:r w:rsidR="00C059BA" w:rsidRPr="00D335A3">
        <w:rPr>
          <w:rFonts w:cs="Times New Roman"/>
        </w:rPr>
        <w:t xml:space="preserve">called for by Order 10 </w:t>
      </w:r>
      <w:r w:rsidR="005D55C1" w:rsidRPr="00D335A3">
        <w:rPr>
          <w:rFonts w:cs="Times New Roman"/>
        </w:rPr>
        <w:t xml:space="preserve">are necessary to give ratepayers the amounts of REC revenues </w:t>
      </w:r>
      <w:r w:rsidR="00C059BA" w:rsidRPr="00D335A3">
        <w:rPr>
          <w:rFonts w:cs="Times New Roman"/>
        </w:rPr>
        <w:t>to which they are entitled.  T</w:t>
      </w:r>
      <w:r w:rsidR="005D55C1" w:rsidRPr="00D335A3">
        <w:rPr>
          <w:rFonts w:cs="Times New Roman"/>
        </w:rPr>
        <w:t xml:space="preserve">he Company concedes </w:t>
      </w:r>
      <w:r w:rsidR="00C059BA" w:rsidRPr="00D335A3">
        <w:rPr>
          <w:rFonts w:cs="Times New Roman"/>
        </w:rPr>
        <w:t xml:space="preserve">some amounts </w:t>
      </w:r>
      <w:r w:rsidR="005D55C1" w:rsidRPr="00D335A3">
        <w:rPr>
          <w:rFonts w:cs="Times New Roman"/>
        </w:rPr>
        <w:t xml:space="preserve">are due </w:t>
      </w:r>
      <w:r w:rsidR="00C059BA" w:rsidRPr="00D335A3">
        <w:rPr>
          <w:rFonts w:cs="Times New Roman"/>
        </w:rPr>
        <w:t>ratepayers</w:t>
      </w:r>
      <w:r w:rsidR="005D55C1" w:rsidRPr="00D335A3">
        <w:rPr>
          <w:rFonts w:cs="Times New Roman"/>
        </w:rPr>
        <w:t xml:space="preserve">.  </w:t>
      </w:r>
      <w:r w:rsidR="00D91D47">
        <w:rPr>
          <w:rFonts w:cs="Times New Roman"/>
        </w:rPr>
        <w:t xml:space="preserve">It does not require appreciably more effort to </w:t>
      </w:r>
      <w:r w:rsidR="002B6694">
        <w:rPr>
          <w:rFonts w:cs="Times New Roman"/>
        </w:rPr>
        <w:t>calculat</w:t>
      </w:r>
      <w:r w:rsidR="00D91D47">
        <w:rPr>
          <w:rFonts w:cs="Times New Roman"/>
        </w:rPr>
        <w:t>e</w:t>
      </w:r>
      <w:r w:rsidR="002B6694">
        <w:rPr>
          <w:rFonts w:cs="Times New Roman"/>
        </w:rPr>
        <w:t xml:space="preserve"> </w:t>
      </w:r>
      <w:r w:rsidR="00C059BA" w:rsidRPr="00D335A3">
        <w:rPr>
          <w:rFonts w:cs="Times New Roman"/>
        </w:rPr>
        <w:t xml:space="preserve">the total amounts </w:t>
      </w:r>
      <w:r w:rsidR="00670E3F" w:rsidRPr="00D335A3">
        <w:rPr>
          <w:rFonts w:cs="Times New Roman"/>
        </w:rPr>
        <w:t xml:space="preserve">to return to ratepayers </w:t>
      </w:r>
      <w:r w:rsidR="00C059BA" w:rsidRPr="00D335A3">
        <w:rPr>
          <w:rFonts w:cs="Times New Roman"/>
        </w:rPr>
        <w:t xml:space="preserve">and </w:t>
      </w:r>
      <w:r w:rsidR="002B6694">
        <w:rPr>
          <w:rFonts w:cs="Times New Roman"/>
        </w:rPr>
        <w:t xml:space="preserve">develop </w:t>
      </w:r>
      <w:r w:rsidR="00C059BA" w:rsidRPr="00D335A3">
        <w:rPr>
          <w:rFonts w:cs="Times New Roman"/>
        </w:rPr>
        <w:t xml:space="preserve">the mechanism </w:t>
      </w:r>
      <w:r w:rsidR="00670E3F" w:rsidRPr="00D335A3">
        <w:rPr>
          <w:rFonts w:cs="Times New Roman"/>
        </w:rPr>
        <w:t>by wh</w:t>
      </w:r>
      <w:r w:rsidR="00C059BA" w:rsidRPr="00D335A3">
        <w:rPr>
          <w:rFonts w:cs="Times New Roman"/>
        </w:rPr>
        <w:t>i</w:t>
      </w:r>
      <w:r w:rsidR="00670E3F" w:rsidRPr="00D335A3">
        <w:rPr>
          <w:rFonts w:cs="Times New Roman"/>
        </w:rPr>
        <w:t>ch to do so</w:t>
      </w:r>
      <w:r w:rsidR="00C059BA" w:rsidRPr="00D335A3">
        <w:rPr>
          <w:rFonts w:cs="Times New Roman"/>
        </w:rPr>
        <w:t xml:space="preserve">.  </w:t>
      </w:r>
      <w:r w:rsidR="005D55C1" w:rsidRPr="00D335A3">
        <w:rPr>
          <w:rFonts w:cs="Times New Roman"/>
        </w:rPr>
        <w:t>Customer</w:t>
      </w:r>
      <w:r w:rsidR="00C059BA" w:rsidRPr="00D335A3">
        <w:rPr>
          <w:rFonts w:cs="Times New Roman"/>
        </w:rPr>
        <w:t>s</w:t>
      </w:r>
      <w:r w:rsidR="005D55C1" w:rsidRPr="00D335A3">
        <w:rPr>
          <w:rFonts w:cs="Times New Roman"/>
        </w:rPr>
        <w:t xml:space="preserve"> should not </w:t>
      </w:r>
      <w:r w:rsidR="00C059BA" w:rsidRPr="00D335A3">
        <w:rPr>
          <w:rFonts w:cs="Times New Roman"/>
        </w:rPr>
        <w:t xml:space="preserve">be </w:t>
      </w:r>
      <w:r w:rsidR="00670E3F" w:rsidRPr="00D335A3">
        <w:rPr>
          <w:rFonts w:cs="Times New Roman"/>
        </w:rPr>
        <w:t xml:space="preserve">forced </w:t>
      </w:r>
      <w:r w:rsidR="00C059BA" w:rsidRPr="00D335A3">
        <w:rPr>
          <w:rFonts w:cs="Times New Roman"/>
        </w:rPr>
        <w:t xml:space="preserve">to </w:t>
      </w:r>
      <w:r w:rsidR="005D55C1" w:rsidRPr="00D335A3">
        <w:rPr>
          <w:rFonts w:cs="Times New Roman"/>
        </w:rPr>
        <w:t>wait any longer to start receiving the</w:t>
      </w:r>
      <w:r w:rsidR="00670E3F" w:rsidRPr="00D335A3">
        <w:rPr>
          <w:rFonts w:cs="Times New Roman"/>
        </w:rPr>
        <w:t>ir rightful</w:t>
      </w:r>
      <w:r w:rsidR="005D55C1" w:rsidRPr="00D335A3">
        <w:rPr>
          <w:rFonts w:cs="Times New Roman"/>
        </w:rPr>
        <w:t xml:space="preserve"> benefits</w:t>
      </w:r>
      <w:r w:rsidRPr="00D335A3">
        <w:rPr>
          <w:rFonts w:cs="Times New Roman"/>
        </w:rPr>
        <w:t>.</w:t>
      </w:r>
    </w:p>
    <w:p w:rsidR="0076337B" w:rsidRPr="00D335A3" w:rsidRDefault="0076337B" w:rsidP="0076337B">
      <w:pPr>
        <w:pStyle w:val="WUTCParagraph"/>
        <w:keepNext/>
        <w:numPr>
          <w:ilvl w:val="0"/>
          <w:numId w:val="0"/>
        </w:numPr>
        <w:tabs>
          <w:tab w:val="clear" w:pos="1440"/>
        </w:tabs>
        <w:spacing w:line="240" w:lineRule="auto"/>
        <w:jc w:val="center"/>
        <w:rPr>
          <w:b/>
        </w:rPr>
      </w:pPr>
      <w:r w:rsidRPr="00D335A3">
        <w:rPr>
          <w:b/>
        </w:rPr>
        <w:lastRenderedPageBreak/>
        <w:t>II.</w:t>
      </w:r>
      <w:r w:rsidRPr="00D335A3">
        <w:rPr>
          <w:b/>
        </w:rPr>
        <w:tab/>
        <w:t xml:space="preserve">STAFF RESPONSE TO PACIFICORP’S MOTION </w:t>
      </w:r>
    </w:p>
    <w:p w:rsidR="005779FC" w:rsidRDefault="0076337B" w:rsidP="00235532">
      <w:pPr>
        <w:pStyle w:val="WUTCParagraph"/>
        <w:keepNext/>
        <w:numPr>
          <w:ilvl w:val="0"/>
          <w:numId w:val="0"/>
        </w:numPr>
        <w:tabs>
          <w:tab w:val="clear" w:pos="1440"/>
        </w:tabs>
        <w:spacing w:line="240" w:lineRule="auto"/>
        <w:jc w:val="center"/>
        <w:rPr>
          <w:b/>
        </w:rPr>
      </w:pPr>
      <w:r w:rsidRPr="00D335A3">
        <w:rPr>
          <w:b/>
        </w:rPr>
        <w:t>FOR STAY O</w:t>
      </w:r>
      <w:r w:rsidR="005779FC">
        <w:rPr>
          <w:b/>
        </w:rPr>
        <w:t>F</w:t>
      </w:r>
      <w:r w:rsidRPr="00D335A3">
        <w:rPr>
          <w:b/>
        </w:rPr>
        <w:t xml:space="preserve"> ORDER 10</w:t>
      </w:r>
    </w:p>
    <w:p w:rsidR="00235532" w:rsidRPr="00D335A3" w:rsidRDefault="00235532" w:rsidP="00235532">
      <w:pPr>
        <w:pStyle w:val="WUTCParagraph"/>
        <w:keepNext/>
        <w:numPr>
          <w:ilvl w:val="0"/>
          <w:numId w:val="0"/>
        </w:numPr>
        <w:tabs>
          <w:tab w:val="clear" w:pos="1440"/>
        </w:tabs>
        <w:spacing w:line="240" w:lineRule="auto"/>
        <w:rPr>
          <w:b/>
        </w:rPr>
      </w:pPr>
    </w:p>
    <w:p w:rsidR="0076337B" w:rsidRPr="00D335A3" w:rsidRDefault="0076337B" w:rsidP="00235532">
      <w:pPr>
        <w:pStyle w:val="ListParagraph"/>
        <w:numPr>
          <w:ilvl w:val="0"/>
          <w:numId w:val="1"/>
        </w:numPr>
        <w:spacing w:after="240" w:line="480" w:lineRule="auto"/>
        <w:ind w:left="0"/>
        <w:rPr>
          <w:rFonts w:cs="Times New Roman"/>
          <w:b/>
        </w:rPr>
      </w:pPr>
      <w:r w:rsidRPr="00D335A3">
        <w:rPr>
          <w:rFonts w:cs="Times New Roman"/>
        </w:rPr>
        <w:tab/>
      </w:r>
      <w:r w:rsidR="00EE1402" w:rsidRPr="00D335A3">
        <w:rPr>
          <w:rFonts w:cs="Times New Roman"/>
        </w:rPr>
        <w:t>PacifiCorp wants the Commission to stay Order 10.</w:t>
      </w:r>
      <w:r w:rsidR="00EE1402" w:rsidRPr="00D335A3">
        <w:rPr>
          <w:rStyle w:val="FootnoteReference"/>
          <w:rFonts w:cs="Times New Roman"/>
        </w:rPr>
        <w:footnoteReference w:id="2"/>
      </w:r>
      <w:r w:rsidR="00EE1402" w:rsidRPr="00D335A3">
        <w:rPr>
          <w:rFonts w:cs="Times New Roman"/>
        </w:rPr>
        <w:t xml:space="preserve">  </w:t>
      </w:r>
      <w:r w:rsidR="00D91D47">
        <w:rPr>
          <w:rFonts w:cs="Times New Roman"/>
        </w:rPr>
        <w:t>However, t</w:t>
      </w:r>
      <w:r w:rsidR="00EE1402" w:rsidRPr="00D335A3">
        <w:rPr>
          <w:rFonts w:cs="Times New Roman"/>
        </w:rPr>
        <w:t>he Commission requires a party seeking as stay to prove a “substantial reason” for granting a stay</w:t>
      </w:r>
      <w:r w:rsidR="007C4693" w:rsidRPr="00D335A3">
        <w:rPr>
          <w:rFonts w:cs="Times New Roman"/>
        </w:rPr>
        <w:t>,</w:t>
      </w:r>
      <w:r w:rsidR="00EE1402" w:rsidRPr="00D335A3">
        <w:rPr>
          <w:rStyle w:val="FootnoteReference"/>
          <w:rFonts w:cs="Times New Roman"/>
        </w:rPr>
        <w:footnoteReference w:id="3"/>
      </w:r>
      <w:r w:rsidR="00EE1402" w:rsidRPr="00D335A3">
        <w:rPr>
          <w:rFonts w:cs="Times New Roman"/>
        </w:rPr>
        <w:t xml:space="preserve"> and the Commission will grant a stay only in “extremely rare circumstances when the risk of damage from interim application of the order is great.”</w:t>
      </w:r>
      <w:r w:rsidR="00EE1402" w:rsidRPr="00D335A3">
        <w:rPr>
          <w:rStyle w:val="FootnoteReference"/>
          <w:rFonts w:cs="Times New Roman"/>
        </w:rPr>
        <w:footnoteReference w:id="4"/>
      </w:r>
      <w:r w:rsidR="00C059BA" w:rsidRPr="00D335A3">
        <w:rPr>
          <w:rFonts w:cs="Times New Roman"/>
        </w:rPr>
        <w:t xml:space="preserve">  </w:t>
      </w:r>
      <w:r w:rsidR="003077BC">
        <w:rPr>
          <w:rFonts w:cs="Times New Roman"/>
        </w:rPr>
        <w:t>Based on the analysis in th</w:t>
      </w:r>
      <w:r w:rsidR="00384D43">
        <w:rPr>
          <w:rFonts w:cs="Times New Roman"/>
        </w:rPr>
        <w:t>is Staff</w:t>
      </w:r>
      <w:r w:rsidR="003077BC">
        <w:rPr>
          <w:rFonts w:cs="Times New Roman"/>
        </w:rPr>
        <w:t xml:space="preserve"> Response, </w:t>
      </w:r>
      <w:r w:rsidR="00EE1402" w:rsidRPr="00D335A3">
        <w:rPr>
          <w:rFonts w:cs="Times New Roman"/>
        </w:rPr>
        <w:t>PacifiCorp does not offer a “substantial reason” nor does it identify any “extremely</w:t>
      </w:r>
      <w:r w:rsidRPr="00D335A3">
        <w:rPr>
          <w:rFonts w:cs="Times New Roman"/>
        </w:rPr>
        <w:t xml:space="preserve"> rare circumstances.”</w:t>
      </w:r>
    </w:p>
    <w:p w:rsidR="0076337B" w:rsidRPr="00D335A3" w:rsidRDefault="0076337B" w:rsidP="00235532">
      <w:pPr>
        <w:pStyle w:val="ListParagraph"/>
        <w:numPr>
          <w:ilvl w:val="0"/>
          <w:numId w:val="1"/>
        </w:numPr>
        <w:spacing w:after="240" w:line="480" w:lineRule="auto"/>
        <w:ind w:left="0"/>
        <w:rPr>
          <w:rFonts w:cs="Times New Roman"/>
          <w:b/>
        </w:rPr>
      </w:pPr>
      <w:r w:rsidRPr="00D335A3">
        <w:rPr>
          <w:rFonts w:cs="Times New Roman"/>
        </w:rPr>
        <w:tab/>
      </w:r>
      <w:r w:rsidR="00EE1402" w:rsidRPr="00D335A3">
        <w:rPr>
          <w:rFonts w:cs="Times New Roman"/>
        </w:rPr>
        <w:t xml:space="preserve">Order 10 </w:t>
      </w:r>
      <w:r w:rsidR="002B6694">
        <w:rPr>
          <w:rFonts w:cs="Times New Roman"/>
        </w:rPr>
        <w:t xml:space="preserve">gives </w:t>
      </w:r>
      <w:r w:rsidR="00C46490">
        <w:rPr>
          <w:rFonts w:cs="Times New Roman"/>
        </w:rPr>
        <w:t>PacifiCorp</w:t>
      </w:r>
      <w:r w:rsidR="00EE1402" w:rsidRPr="00D335A3">
        <w:rPr>
          <w:rFonts w:cs="Times New Roman"/>
        </w:rPr>
        <w:t xml:space="preserve"> </w:t>
      </w:r>
      <w:r w:rsidR="002B6694">
        <w:rPr>
          <w:rFonts w:cs="Times New Roman"/>
        </w:rPr>
        <w:t xml:space="preserve">30 days </w:t>
      </w:r>
      <w:r w:rsidR="007C4693" w:rsidRPr="00D335A3">
        <w:rPr>
          <w:rFonts w:cs="Times New Roman"/>
        </w:rPr>
        <w:t xml:space="preserve">to calculate the REC revenues consistent with </w:t>
      </w:r>
      <w:r w:rsidR="00C46490">
        <w:rPr>
          <w:rFonts w:cs="Times New Roman"/>
        </w:rPr>
        <w:t>the order</w:t>
      </w:r>
      <w:r w:rsidR="002B6694">
        <w:rPr>
          <w:rFonts w:cs="Times New Roman"/>
        </w:rPr>
        <w:t>,</w:t>
      </w:r>
      <w:r w:rsidR="007C4693" w:rsidRPr="00D335A3">
        <w:rPr>
          <w:rFonts w:cs="Times New Roman"/>
        </w:rPr>
        <w:t xml:space="preserve"> and </w:t>
      </w:r>
      <w:r w:rsidR="002B6694">
        <w:rPr>
          <w:rFonts w:cs="Times New Roman"/>
        </w:rPr>
        <w:t xml:space="preserve">90 days to </w:t>
      </w:r>
      <w:r w:rsidR="007C4693" w:rsidRPr="00D335A3">
        <w:rPr>
          <w:rFonts w:cs="Times New Roman"/>
        </w:rPr>
        <w:t xml:space="preserve">file </w:t>
      </w:r>
      <w:r w:rsidR="00EE1402" w:rsidRPr="00D335A3">
        <w:rPr>
          <w:rFonts w:cs="Times New Roman"/>
        </w:rPr>
        <w:t xml:space="preserve">a </w:t>
      </w:r>
      <w:r w:rsidR="007C4693" w:rsidRPr="00D335A3">
        <w:rPr>
          <w:rFonts w:cs="Times New Roman"/>
        </w:rPr>
        <w:t xml:space="preserve">negotiated </w:t>
      </w:r>
      <w:r w:rsidR="00EE1402" w:rsidRPr="00D335A3">
        <w:rPr>
          <w:rFonts w:cs="Times New Roman"/>
        </w:rPr>
        <w:t xml:space="preserve">mechanism to return REC revenues to ratepayers (or </w:t>
      </w:r>
      <w:r w:rsidR="00C46490">
        <w:rPr>
          <w:rFonts w:cs="Times New Roman"/>
        </w:rPr>
        <w:t xml:space="preserve">each party may </w:t>
      </w:r>
      <w:r w:rsidR="002B6694">
        <w:rPr>
          <w:rFonts w:cs="Times New Roman"/>
        </w:rPr>
        <w:t xml:space="preserve">use that same time line to </w:t>
      </w:r>
      <w:r w:rsidR="00C46490">
        <w:rPr>
          <w:rFonts w:cs="Times New Roman"/>
        </w:rPr>
        <w:t xml:space="preserve">file </w:t>
      </w:r>
      <w:r w:rsidR="002B6694">
        <w:rPr>
          <w:rFonts w:cs="Times New Roman"/>
        </w:rPr>
        <w:t xml:space="preserve">their own </w:t>
      </w:r>
      <w:r w:rsidR="00EE1402" w:rsidRPr="00D335A3">
        <w:rPr>
          <w:rFonts w:cs="Times New Roman"/>
        </w:rPr>
        <w:t>mechanism if agreement cannot be reached).</w:t>
      </w:r>
      <w:r w:rsidR="00EE1402" w:rsidRPr="00D335A3">
        <w:rPr>
          <w:rStyle w:val="FootnoteReference"/>
          <w:rFonts w:cs="Times New Roman"/>
        </w:rPr>
        <w:footnoteReference w:id="5"/>
      </w:r>
      <w:r w:rsidR="00EE1402" w:rsidRPr="00D335A3">
        <w:rPr>
          <w:rFonts w:cs="Times New Roman"/>
        </w:rPr>
        <w:t xml:space="preserve">  There is no substantial reason to delay these requirements because, as PacifiCorp concedes, “customers are generally entitled to a revenue credit for REC sales.”</w:t>
      </w:r>
      <w:r w:rsidR="00EE1402" w:rsidRPr="00D335A3">
        <w:rPr>
          <w:rStyle w:val="FootnoteReference"/>
          <w:rFonts w:cs="Times New Roman"/>
        </w:rPr>
        <w:footnoteReference w:id="6"/>
      </w:r>
      <w:r w:rsidR="00EE1402" w:rsidRPr="00D335A3">
        <w:rPr>
          <w:rFonts w:cs="Times New Roman"/>
        </w:rPr>
        <w:t xml:space="preserve">  Therefore, while PacifiCorp challenges certain </w:t>
      </w:r>
      <w:r w:rsidR="00D91D47">
        <w:rPr>
          <w:rFonts w:cs="Times New Roman"/>
        </w:rPr>
        <w:t>amounts</w:t>
      </w:r>
      <w:r w:rsidR="00EE1402" w:rsidRPr="00D335A3">
        <w:rPr>
          <w:rFonts w:cs="Times New Roman"/>
        </w:rPr>
        <w:t xml:space="preserve"> of those revenues, even if the Company prevails on reconsideration</w:t>
      </w:r>
      <w:r w:rsidR="007C4693" w:rsidRPr="00D335A3">
        <w:rPr>
          <w:rFonts w:cs="Times New Roman"/>
        </w:rPr>
        <w:t>,</w:t>
      </w:r>
      <w:r w:rsidR="00EE1402" w:rsidRPr="00D335A3">
        <w:rPr>
          <w:rFonts w:cs="Times New Roman"/>
        </w:rPr>
        <w:t xml:space="preserve"> it will still need to calculate the uncontested amount of REC revenues, and it will still need a mechanism for crediting th</w:t>
      </w:r>
      <w:r w:rsidRPr="00D335A3">
        <w:rPr>
          <w:rFonts w:cs="Times New Roman"/>
        </w:rPr>
        <w:t>ose REC revenues to customers.</w:t>
      </w:r>
    </w:p>
    <w:p w:rsidR="0076337B" w:rsidRPr="00D335A3" w:rsidRDefault="0076337B" w:rsidP="00235532">
      <w:pPr>
        <w:pStyle w:val="ListParagraph"/>
        <w:numPr>
          <w:ilvl w:val="0"/>
          <w:numId w:val="1"/>
        </w:numPr>
        <w:spacing w:after="240" w:line="480" w:lineRule="auto"/>
        <w:ind w:left="0"/>
        <w:rPr>
          <w:rFonts w:cs="Times New Roman"/>
          <w:b/>
        </w:rPr>
      </w:pPr>
      <w:r w:rsidRPr="00D335A3">
        <w:rPr>
          <w:rFonts w:cs="Times New Roman"/>
        </w:rPr>
        <w:tab/>
      </w:r>
      <w:r w:rsidR="00EE1402" w:rsidRPr="00D335A3">
        <w:rPr>
          <w:rFonts w:cs="Times New Roman"/>
        </w:rPr>
        <w:t xml:space="preserve">In other words, </w:t>
      </w:r>
      <w:r w:rsidR="00244B53" w:rsidRPr="00D335A3">
        <w:rPr>
          <w:rFonts w:cs="Times New Roman"/>
        </w:rPr>
        <w:t xml:space="preserve">there is no </w:t>
      </w:r>
      <w:r w:rsidR="00EE1402" w:rsidRPr="00D335A3">
        <w:rPr>
          <w:rFonts w:cs="Times New Roman"/>
        </w:rPr>
        <w:t>substantial “waste”</w:t>
      </w:r>
      <w:r w:rsidR="00EE1402" w:rsidRPr="00D335A3">
        <w:rPr>
          <w:rStyle w:val="FootnoteReference"/>
          <w:rFonts w:cs="Times New Roman"/>
        </w:rPr>
        <w:footnoteReference w:id="7"/>
      </w:r>
      <w:r w:rsidR="00EE1402" w:rsidRPr="00D335A3">
        <w:rPr>
          <w:rFonts w:cs="Times New Roman"/>
        </w:rPr>
        <w:t xml:space="preserve"> of resources here because much of the same effort will </w:t>
      </w:r>
      <w:r w:rsidR="00C059BA" w:rsidRPr="00D335A3">
        <w:rPr>
          <w:rFonts w:cs="Times New Roman"/>
        </w:rPr>
        <w:t xml:space="preserve">be </w:t>
      </w:r>
      <w:r w:rsidR="00EE1402" w:rsidRPr="00D335A3">
        <w:rPr>
          <w:rFonts w:cs="Times New Roman"/>
        </w:rPr>
        <w:t>need</w:t>
      </w:r>
      <w:r w:rsidR="00C059BA" w:rsidRPr="00D335A3">
        <w:rPr>
          <w:rFonts w:cs="Times New Roman"/>
        </w:rPr>
        <w:t>ed</w:t>
      </w:r>
      <w:r w:rsidR="00EE1402" w:rsidRPr="00D335A3">
        <w:rPr>
          <w:rFonts w:cs="Times New Roman"/>
        </w:rPr>
        <w:t xml:space="preserve"> even if PacifiCorp prevails on reconsideration.</w:t>
      </w:r>
      <w:r w:rsidR="007C4693" w:rsidRPr="00D335A3">
        <w:rPr>
          <w:rStyle w:val="FootnoteReference"/>
          <w:rFonts w:cs="Times New Roman"/>
        </w:rPr>
        <w:footnoteReference w:id="8"/>
      </w:r>
    </w:p>
    <w:p w:rsidR="0076337B" w:rsidRPr="00D335A3" w:rsidRDefault="0076337B" w:rsidP="00235532">
      <w:pPr>
        <w:pStyle w:val="ListParagraph"/>
        <w:numPr>
          <w:ilvl w:val="0"/>
          <w:numId w:val="1"/>
        </w:numPr>
        <w:spacing w:after="240" w:line="480" w:lineRule="auto"/>
        <w:ind w:left="0"/>
        <w:rPr>
          <w:rFonts w:cs="Times New Roman"/>
          <w:b/>
        </w:rPr>
      </w:pPr>
      <w:r w:rsidRPr="00D335A3">
        <w:rPr>
          <w:rFonts w:cs="Times New Roman"/>
        </w:rPr>
        <w:lastRenderedPageBreak/>
        <w:tab/>
      </w:r>
      <w:r w:rsidR="00EE1402" w:rsidRPr="00D335A3">
        <w:rPr>
          <w:rFonts w:cs="Times New Roman"/>
        </w:rPr>
        <w:t xml:space="preserve">Finally, to the extent PacifiCorp is seeking to stay crediting REC revenues to ratepayers, that is premature because the Commission has yet to implement that aspect of </w:t>
      </w:r>
      <w:r w:rsidRPr="00D335A3">
        <w:rPr>
          <w:rFonts w:cs="Times New Roman"/>
        </w:rPr>
        <w:t>Order 10.</w:t>
      </w:r>
    </w:p>
    <w:p w:rsidR="00235532" w:rsidRPr="00235532" w:rsidRDefault="0076337B" w:rsidP="00235532">
      <w:pPr>
        <w:pStyle w:val="ListParagraph"/>
        <w:numPr>
          <w:ilvl w:val="0"/>
          <w:numId w:val="1"/>
        </w:numPr>
        <w:spacing w:after="240" w:line="480" w:lineRule="auto"/>
        <w:ind w:left="0"/>
        <w:rPr>
          <w:rFonts w:cs="Times New Roman"/>
          <w:b/>
        </w:rPr>
      </w:pPr>
      <w:r w:rsidRPr="00D335A3">
        <w:rPr>
          <w:rFonts w:cs="Times New Roman"/>
        </w:rPr>
        <w:tab/>
      </w:r>
      <w:r w:rsidR="00EE1402" w:rsidRPr="00D335A3">
        <w:rPr>
          <w:rFonts w:cs="Times New Roman"/>
        </w:rPr>
        <w:t>For these reasons, the Commission should de</w:t>
      </w:r>
      <w:r w:rsidRPr="00D335A3">
        <w:rPr>
          <w:rFonts w:cs="Times New Roman"/>
        </w:rPr>
        <w:t>ny PacifiCorp’s Motion for Stay.</w:t>
      </w:r>
    </w:p>
    <w:p w:rsidR="005779FC" w:rsidRPr="00D335A3" w:rsidRDefault="0076337B" w:rsidP="00235532">
      <w:pPr>
        <w:pStyle w:val="ListParagraph"/>
        <w:spacing w:after="240" w:line="240" w:lineRule="auto"/>
        <w:ind w:left="0"/>
        <w:jc w:val="center"/>
        <w:rPr>
          <w:rFonts w:cs="Times New Roman"/>
          <w:b/>
        </w:rPr>
      </w:pPr>
      <w:r w:rsidRPr="00D335A3">
        <w:rPr>
          <w:rFonts w:cs="Times New Roman"/>
          <w:b/>
        </w:rPr>
        <w:t>III.</w:t>
      </w:r>
      <w:r w:rsidRPr="00D335A3">
        <w:rPr>
          <w:rFonts w:cs="Times New Roman"/>
          <w:b/>
        </w:rPr>
        <w:tab/>
        <w:t>STAFF RESPONSE TO PACIFICORP’S PETITION FOR RECONSIDERATION</w:t>
      </w:r>
    </w:p>
    <w:p w:rsidR="0076337B" w:rsidRPr="00D335A3" w:rsidRDefault="0076337B" w:rsidP="0076337B">
      <w:pPr>
        <w:spacing w:after="0" w:line="480" w:lineRule="auto"/>
        <w:rPr>
          <w:rFonts w:cs="Times New Roman"/>
          <w:b/>
        </w:rPr>
      </w:pPr>
      <w:r w:rsidRPr="00D335A3">
        <w:rPr>
          <w:rFonts w:cs="Times New Roman"/>
          <w:b/>
        </w:rPr>
        <w:t>A.</w:t>
      </w:r>
      <w:r w:rsidRPr="00D335A3">
        <w:rPr>
          <w:rFonts w:cs="Times New Roman"/>
          <w:b/>
        </w:rPr>
        <w:tab/>
        <w:t>Commission Standards for Reconsideration</w:t>
      </w:r>
    </w:p>
    <w:p w:rsidR="0076337B" w:rsidRPr="00D335A3" w:rsidRDefault="0076337B" w:rsidP="00EB58AD">
      <w:pPr>
        <w:pStyle w:val="ListParagraph"/>
        <w:numPr>
          <w:ilvl w:val="0"/>
          <w:numId w:val="1"/>
        </w:numPr>
        <w:spacing w:after="0" w:line="480" w:lineRule="auto"/>
        <w:ind w:left="0"/>
        <w:contextualSpacing w:val="0"/>
        <w:rPr>
          <w:rFonts w:cs="Times New Roman"/>
          <w:b/>
        </w:rPr>
      </w:pPr>
      <w:r w:rsidRPr="00D335A3">
        <w:rPr>
          <w:rFonts w:cs="Times New Roman"/>
        </w:rPr>
        <w:tab/>
      </w:r>
      <w:r w:rsidR="005A584A" w:rsidRPr="00D335A3">
        <w:rPr>
          <w:rFonts w:cs="Times New Roman"/>
        </w:rPr>
        <w:t>Reconsideration “is not a second opportunity to litigate issues which were fully developed prior to entry of the final order and which were discussed and decided in the final order.  The mere fact that a party disagrees with a final order does not state a basis for reconsideration.”</w:t>
      </w:r>
      <w:r w:rsidR="005A584A" w:rsidRPr="00D335A3">
        <w:rPr>
          <w:rStyle w:val="FootnoteReference"/>
          <w:rFonts w:cs="Times New Roman"/>
        </w:rPr>
        <w:footnoteReference w:id="9"/>
      </w:r>
    </w:p>
    <w:p w:rsidR="0076337B" w:rsidRPr="00D335A3" w:rsidRDefault="0076337B" w:rsidP="00EB58AD">
      <w:pPr>
        <w:pStyle w:val="ListParagraph"/>
        <w:numPr>
          <w:ilvl w:val="0"/>
          <w:numId w:val="1"/>
        </w:numPr>
        <w:spacing w:after="0" w:line="480" w:lineRule="auto"/>
        <w:ind w:left="0"/>
        <w:contextualSpacing w:val="0"/>
        <w:rPr>
          <w:rFonts w:cs="Times New Roman"/>
          <w:b/>
        </w:rPr>
      </w:pPr>
      <w:r w:rsidRPr="00D335A3">
        <w:rPr>
          <w:rFonts w:cs="Times New Roman"/>
        </w:rPr>
        <w:tab/>
      </w:r>
      <w:r w:rsidR="005A584A" w:rsidRPr="00D335A3">
        <w:rPr>
          <w:rFonts w:cs="Times New Roman"/>
        </w:rPr>
        <w:t xml:space="preserve">The </w:t>
      </w:r>
      <w:r w:rsidR="00B90FFB" w:rsidRPr="00D335A3">
        <w:rPr>
          <w:rFonts w:cs="Times New Roman"/>
        </w:rPr>
        <w:t xml:space="preserve">Company’s Petition </w:t>
      </w:r>
      <w:r w:rsidR="007E4BAB" w:rsidRPr="00D335A3">
        <w:rPr>
          <w:rFonts w:cs="Times New Roman"/>
        </w:rPr>
        <w:t xml:space="preserve">is in large part an attempt to </w:t>
      </w:r>
      <w:r w:rsidR="00364955" w:rsidRPr="00D335A3">
        <w:rPr>
          <w:rFonts w:cs="Times New Roman"/>
        </w:rPr>
        <w:t>re-litigate</w:t>
      </w:r>
      <w:r w:rsidR="00017A73" w:rsidRPr="00D335A3">
        <w:rPr>
          <w:rFonts w:cs="Times New Roman"/>
        </w:rPr>
        <w:t xml:space="preserve"> issues already fully litigated</w:t>
      </w:r>
      <w:r w:rsidR="00B90FFB" w:rsidRPr="00D335A3">
        <w:rPr>
          <w:rFonts w:cs="Times New Roman"/>
        </w:rPr>
        <w:t xml:space="preserve">, because the </w:t>
      </w:r>
      <w:r w:rsidR="005A584A" w:rsidRPr="00D335A3">
        <w:rPr>
          <w:rFonts w:cs="Times New Roman"/>
        </w:rPr>
        <w:t xml:space="preserve">bulk of PacifiCorp’s Petition is a rehash of the Company’s failed arguments.  </w:t>
      </w:r>
      <w:r w:rsidR="00384D43">
        <w:rPr>
          <w:rFonts w:cs="Times New Roman"/>
        </w:rPr>
        <w:t xml:space="preserve">Most of the </w:t>
      </w:r>
      <w:r w:rsidR="005A584A" w:rsidRPr="00D335A3">
        <w:rPr>
          <w:rFonts w:cs="Times New Roman"/>
        </w:rPr>
        <w:t>“new” issues PacifiCorp raises</w:t>
      </w:r>
      <w:r w:rsidR="00384D43">
        <w:rPr>
          <w:rFonts w:cs="Times New Roman"/>
        </w:rPr>
        <w:t xml:space="preserve"> are not new at all</w:t>
      </w:r>
      <w:r w:rsidR="005A584A" w:rsidRPr="00D335A3">
        <w:rPr>
          <w:rFonts w:cs="Times New Roman"/>
        </w:rPr>
        <w:t xml:space="preserve">, </w:t>
      </w:r>
      <w:r w:rsidR="00384D43">
        <w:rPr>
          <w:rFonts w:cs="Times New Roman"/>
        </w:rPr>
        <w:t xml:space="preserve">and </w:t>
      </w:r>
      <w:r w:rsidR="005A584A" w:rsidRPr="00D335A3">
        <w:rPr>
          <w:rFonts w:cs="Times New Roman"/>
        </w:rPr>
        <w:t xml:space="preserve">the Company had ample opportunity to </w:t>
      </w:r>
      <w:r w:rsidR="00384D43">
        <w:rPr>
          <w:rFonts w:cs="Times New Roman"/>
        </w:rPr>
        <w:t xml:space="preserve">address them </w:t>
      </w:r>
      <w:r w:rsidR="009B3082" w:rsidRPr="00D335A3">
        <w:rPr>
          <w:rFonts w:cs="Times New Roman"/>
        </w:rPr>
        <w:t>at hearing</w:t>
      </w:r>
      <w:r w:rsidRPr="00D335A3">
        <w:rPr>
          <w:rFonts w:cs="Times New Roman"/>
        </w:rPr>
        <w:t>.</w:t>
      </w:r>
    </w:p>
    <w:p w:rsidR="0076337B" w:rsidRPr="00D335A3" w:rsidRDefault="0076337B" w:rsidP="0076337B">
      <w:pPr>
        <w:spacing w:after="0" w:line="480" w:lineRule="auto"/>
        <w:rPr>
          <w:rFonts w:cs="Times New Roman"/>
          <w:b/>
        </w:rPr>
      </w:pPr>
      <w:r w:rsidRPr="00D335A3">
        <w:rPr>
          <w:rFonts w:cs="Times New Roman"/>
          <w:b/>
        </w:rPr>
        <w:t>B.</w:t>
      </w:r>
      <w:r w:rsidRPr="00D335A3">
        <w:rPr>
          <w:rFonts w:cs="Times New Roman"/>
          <w:b/>
        </w:rPr>
        <w:tab/>
        <w:t xml:space="preserve">The Commission Correctly Characterized the Nature of RECs </w:t>
      </w:r>
    </w:p>
    <w:p w:rsidR="0076337B" w:rsidRPr="00D335A3" w:rsidRDefault="0076337B" w:rsidP="0076337B">
      <w:pPr>
        <w:pStyle w:val="ListParagraph"/>
        <w:numPr>
          <w:ilvl w:val="0"/>
          <w:numId w:val="1"/>
        </w:numPr>
        <w:spacing w:after="0" w:line="480" w:lineRule="auto"/>
        <w:ind w:left="0"/>
        <w:contextualSpacing w:val="0"/>
        <w:rPr>
          <w:rFonts w:cs="Times New Roman"/>
          <w:b/>
        </w:rPr>
      </w:pPr>
      <w:r w:rsidRPr="00D335A3">
        <w:rPr>
          <w:rFonts w:cs="Times New Roman"/>
        </w:rPr>
        <w:tab/>
      </w:r>
      <w:r w:rsidR="00957029" w:rsidRPr="00D335A3">
        <w:rPr>
          <w:rFonts w:cs="Times New Roman"/>
        </w:rPr>
        <w:t xml:space="preserve">In Order 10, the Commission </w:t>
      </w:r>
      <w:r w:rsidR="00244B53" w:rsidRPr="00D335A3">
        <w:rPr>
          <w:rFonts w:cs="Times New Roman"/>
        </w:rPr>
        <w:t xml:space="preserve">correctly characterized </w:t>
      </w:r>
      <w:r w:rsidR="006D1EB4" w:rsidRPr="00D335A3">
        <w:rPr>
          <w:rFonts w:cs="Times New Roman"/>
        </w:rPr>
        <w:t>the nature of RECs.  The Commission re</w:t>
      </w:r>
      <w:r w:rsidR="00323D78" w:rsidRPr="00D335A3">
        <w:rPr>
          <w:rFonts w:cs="Times New Roman"/>
        </w:rPr>
        <w:t xml:space="preserve">lied on the definition in its earlier </w:t>
      </w:r>
      <w:r w:rsidR="006D1EB4" w:rsidRPr="00D335A3">
        <w:rPr>
          <w:rFonts w:cs="Times New Roman"/>
        </w:rPr>
        <w:t>PSE REC Order</w:t>
      </w:r>
      <w:r w:rsidR="002772BC" w:rsidRPr="00D335A3">
        <w:rPr>
          <w:rStyle w:val="FootnoteReference"/>
          <w:rFonts w:cs="Times New Roman"/>
        </w:rPr>
        <w:footnoteReference w:id="10"/>
      </w:r>
      <w:r w:rsidR="006D1EB4" w:rsidRPr="00D335A3">
        <w:rPr>
          <w:rFonts w:cs="Times New Roman"/>
        </w:rPr>
        <w:t xml:space="preserve"> </w:t>
      </w:r>
      <w:r w:rsidR="00323D78" w:rsidRPr="00D335A3">
        <w:rPr>
          <w:rFonts w:cs="Times New Roman"/>
        </w:rPr>
        <w:t xml:space="preserve">that </w:t>
      </w:r>
      <w:r w:rsidR="006D1EB4" w:rsidRPr="00D335A3">
        <w:rPr>
          <w:rFonts w:cs="Times New Roman"/>
        </w:rPr>
        <w:t>RECs a</w:t>
      </w:r>
      <w:r w:rsidR="00323D78" w:rsidRPr="00D335A3">
        <w:rPr>
          <w:rFonts w:cs="Times New Roman"/>
        </w:rPr>
        <w:t>re</w:t>
      </w:r>
      <w:r w:rsidR="006D1EB4" w:rsidRPr="00D335A3">
        <w:rPr>
          <w:rFonts w:cs="Times New Roman"/>
        </w:rPr>
        <w:t xml:space="preserve"> “intangible assets that represent the right to claim the environmental attributes of a renewable generation facility”.</w:t>
      </w:r>
      <w:r w:rsidR="006D1EB4" w:rsidRPr="00D335A3">
        <w:rPr>
          <w:rStyle w:val="FootnoteReference"/>
          <w:rFonts w:cs="Times New Roman"/>
        </w:rPr>
        <w:footnoteReference w:id="11"/>
      </w:r>
      <w:r w:rsidR="006D1EB4" w:rsidRPr="00D335A3">
        <w:rPr>
          <w:rFonts w:cs="Times New Roman"/>
        </w:rPr>
        <w:t xml:space="preserve">  The Commission noted this </w:t>
      </w:r>
      <w:r w:rsidR="00323D78" w:rsidRPr="00D335A3">
        <w:rPr>
          <w:rFonts w:cs="Times New Roman"/>
        </w:rPr>
        <w:t xml:space="preserve">definition is </w:t>
      </w:r>
      <w:r w:rsidR="006D1EB4" w:rsidRPr="00D335A3">
        <w:rPr>
          <w:rFonts w:cs="Times New Roman"/>
        </w:rPr>
        <w:t xml:space="preserve">consistent with the definitions in RCW 18.285.030(17) </w:t>
      </w:r>
      <w:r w:rsidR="009B3082" w:rsidRPr="00D335A3">
        <w:rPr>
          <w:rFonts w:cs="Times New Roman"/>
        </w:rPr>
        <w:t xml:space="preserve">as well as </w:t>
      </w:r>
      <w:r w:rsidR="006D1EB4" w:rsidRPr="00D335A3">
        <w:rPr>
          <w:rFonts w:cs="Times New Roman"/>
        </w:rPr>
        <w:t xml:space="preserve">a United States Environmental Protection </w:t>
      </w:r>
      <w:r w:rsidR="006D1EB4" w:rsidRPr="00D335A3">
        <w:rPr>
          <w:rFonts w:cs="Times New Roman"/>
        </w:rPr>
        <w:lastRenderedPageBreak/>
        <w:t xml:space="preserve">Agency </w:t>
      </w:r>
      <w:r w:rsidR="002772BC" w:rsidRPr="00D335A3">
        <w:rPr>
          <w:rFonts w:cs="Times New Roman"/>
        </w:rPr>
        <w:t xml:space="preserve">(EPA) </w:t>
      </w:r>
      <w:r w:rsidR="006D1EB4" w:rsidRPr="00D335A3">
        <w:rPr>
          <w:rFonts w:cs="Times New Roman"/>
        </w:rPr>
        <w:t>publication that characterized</w:t>
      </w:r>
      <w:r w:rsidR="00957029" w:rsidRPr="00D335A3">
        <w:rPr>
          <w:rFonts w:cs="Times New Roman"/>
        </w:rPr>
        <w:t xml:space="preserve"> RECs </w:t>
      </w:r>
      <w:r w:rsidR="006D1EB4" w:rsidRPr="00D335A3">
        <w:rPr>
          <w:rFonts w:cs="Times New Roman"/>
        </w:rPr>
        <w:t>as representing</w:t>
      </w:r>
      <w:r w:rsidR="002772BC" w:rsidRPr="00D335A3">
        <w:rPr>
          <w:rFonts w:cs="Times New Roman"/>
        </w:rPr>
        <w:t xml:space="preserve"> </w:t>
      </w:r>
      <w:r w:rsidR="006D1EB4" w:rsidRPr="00D335A3">
        <w:rPr>
          <w:rFonts w:cs="Times New Roman"/>
        </w:rPr>
        <w:t>”the property rights to the environmental, social, and other nonpower qualities of renewable electric generation</w:t>
      </w:r>
      <w:r w:rsidR="007E241A" w:rsidRPr="00D335A3">
        <w:rPr>
          <w:rFonts w:cs="Times New Roman"/>
        </w:rPr>
        <w:t>.</w:t>
      </w:r>
      <w:r w:rsidR="006D1EB4" w:rsidRPr="00D335A3">
        <w:rPr>
          <w:rFonts w:cs="Times New Roman"/>
        </w:rPr>
        <w:t>”</w:t>
      </w:r>
      <w:r w:rsidR="006D1EB4" w:rsidRPr="00D335A3">
        <w:rPr>
          <w:rStyle w:val="FootnoteReference"/>
          <w:rFonts w:cs="Times New Roman"/>
        </w:rPr>
        <w:footnoteReference w:id="12"/>
      </w:r>
      <w:r w:rsidR="006D1EB4" w:rsidRPr="00D335A3">
        <w:rPr>
          <w:rFonts w:cs="Times New Roman"/>
        </w:rPr>
        <w:t xml:space="preserve">  </w:t>
      </w:r>
    </w:p>
    <w:p w:rsidR="0076337B" w:rsidRPr="00D335A3" w:rsidRDefault="0076337B" w:rsidP="0076337B">
      <w:pPr>
        <w:pStyle w:val="ListParagraph"/>
        <w:numPr>
          <w:ilvl w:val="0"/>
          <w:numId w:val="1"/>
        </w:numPr>
        <w:spacing w:after="0" w:line="480" w:lineRule="auto"/>
        <w:ind w:left="0"/>
        <w:contextualSpacing w:val="0"/>
        <w:rPr>
          <w:rFonts w:cs="Times New Roman"/>
          <w:b/>
        </w:rPr>
      </w:pPr>
      <w:r w:rsidRPr="00D335A3">
        <w:rPr>
          <w:rFonts w:cs="Times New Roman"/>
        </w:rPr>
        <w:tab/>
      </w:r>
      <w:r w:rsidR="006D1EB4" w:rsidRPr="00D335A3">
        <w:rPr>
          <w:rFonts w:cs="Times New Roman"/>
        </w:rPr>
        <w:t>Th</w:t>
      </w:r>
      <w:r w:rsidR="00244B53" w:rsidRPr="00D335A3">
        <w:rPr>
          <w:rFonts w:cs="Times New Roman"/>
        </w:rPr>
        <w:t>e Commission’s char</w:t>
      </w:r>
      <w:r w:rsidR="004B4C60" w:rsidRPr="00D335A3">
        <w:rPr>
          <w:rFonts w:cs="Times New Roman"/>
        </w:rPr>
        <w:t>a</w:t>
      </w:r>
      <w:r w:rsidR="00244B53" w:rsidRPr="00D335A3">
        <w:rPr>
          <w:rFonts w:cs="Times New Roman"/>
        </w:rPr>
        <w:t xml:space="preserve">cterization of RECs </w:t>
      </w:r>
      <w:r w:rsidR="006D1EB4" w:rsidRPr="00D335A3">
        <w:rPr>
          <w:rFonts w:cs="Times New Roman"/>
        </w:rPr>
        <w:t>is consistent with the record in this case.</w:t>
      </w:r>
      <w:r w:rsidR="00957029" w:rsidRPr="00D335A3">
        <w:rPr>
          <w:rFonts w:cs="Times New Roman"/>
        </w:rPr>
        <w:t xml:space="preserve"> </w:t>
      </w:r>
      <w:r w:rsidR="006D1EB4" w:rsidRPr="00D335A3">
        <w:rPr>
          <w:rFonts w:cs="Times New Roman"/>
        </w:rPr>
        <w:t xml:space="preserve"> As </w:t>
      </w:r>
      <w:r w:rsidR="009B3082" w:rsidRPr="00D335A3">
        <w:rPr>
          <w:rFonts w:cs="Times New Roman"/>
        </w:rPr>
        <w:t xml:space="preserve">Staff witness </w:t>
      </w:r>
      <w:r w:rsidR="006D1EB4" w:rsidRPr="00D335A3">
        <w:rPr>
          <w:rFonts w:cs="Times New Roman"/>
        </w:rPr>
        <w:t>Mr. Foisy testified, REC revenues are created when “PacifiCorp sells to other utilities the attributes associated with the output of PacifiCorp’s renewable resources, and receives cash in return.”</w:t>
      </w:r>
      <w:r w:rsidR="007E4BAB" w:rsidRPr="00D335A3">
        <w:rPr>
          <w:rStyle w:val="FootnoteReference"/>
          <w:rFonts w:cs="Times New Roman"/>
        </w:rPr>
        <w:footnoteReference w:id="13"/>
      </w:r>
      <w:r w:rsidR="006D1EB4" w:rsidRPr="00D335A3">
        <w:rPr>
          <w:rFonts w:cs="Times New Roman"/>
        </w:rPr>
        <w:t xml:space="preserve">  Because RECs represent the right to claim environmental attributes related to the output of a renewable resource, and RECs lack a physical existence, the Commission was eminently correct to conclude </w:t>
      </w:r>
      <w:r w:rsidR="009B3082" w:rsidRPr="00D335A3">
        <w:rPr>
          <w:rFonts w:cs="Times New Roman"/>
        </w:rPr>
        <w:t xml:space="preserve">that </w:t>
      </w:r>
      <w:r w:rsidR="006D1EB4" w:rsidRPr="00D335A3">
        <w:rPr>
          <w:rFonts w:cs="Times New Roman"/>
        </w:rPr>
        <w:t>RECs represent intangible rights</w:t>
      </w:r>
      <w:r w:rsidR="004F4C4F" w:rsidRPr="00D335A3">
        <w:rPr>
          <w:rFonts w:cs="Times New Roman"/>
        </w:rPr>
        <w:t xml:space="preserve"> and thus should be treated as a property sale when </w:t>
      </w:r>
      <w:r w:rsidR="00F72194" w:rsidRPr="00D335A3">
        <w:rPr>
          <w:rFonts w:cs="Times New Roman"/>
        </w:rPr>
        <w:t xml:space="preserve">they </w:t>
      </w:r>
      <w:r w:rsidR="004F4C4F" w:rsidRPr="00D335A3">
        <w:rPr>
          <w:rFonts w:cs="Times New Roman"/>
        </w:rPr>
        <w:t>are sold</w:t>
      </w:r>
      <w:r w:rsidRPr="00D335A3">
        <w:rPr>
          <w:rFonts w:cs="Times New Roman"/>
        </w:rPr>
        <w:t xml:space="preserve">. </w:t>
      </w:r>
    </w:p>
    <w:p w:rsidR="0076337B" w:rsidRPr="00D335A3" w:rsidRDefault="0076337B" w:rsidP="0076337B">
      <w:pPr>
        <w:pStyle w:val="ListParagraph"/>
        <w:numPr>
          <w:ilvl w:val="0"/>
          <w:numId w:val="1"/>
        </w:numPr>
        <w:spacing w:after="0" w:line="480" w:lineRule="auto"/>
        <w:ind w:left="0"/>
        <w:contextualSpacing w:val="0"/>
        <w:rPr>
          <w:rFonts w:cs="Times New Roman"/>
          <w:b/>
        </w:rPr>
      </w:pPr>
      <w:r w:rsidRPr="00D335A3">
        <w:rPr>
          <w:rFonts w:cs="Times New Roman"/>
        </w:rPr>
        <w:tab/>
      </w:r>
      <w:r w:rsidR="00960915" w:rsidRPr="00D335A3">
        <w:rPr>
          <w:rFonts w:cs="Times New Roman"/>
        </w:rPr>
        <w:t>PacifiCorp had many opportunities earlier in this docket to address the nature of RECs.  Reconsideration is not the time to do so.</w:t>
      </w:r>
      <w:r w:rsidR="00C46490">
        <w:rPr>
          <w:rFonts w:cs="Times New Roman"/>
        </w:rPr>
        <w:t xml:space="preserve">  Nonetheless, we will address the Company’s arguments.</w:t>
      </w:r>
    </w:p>
    <w:p w:rsidR="0076337B" w:rsidRPr="00D335A3" w:rsidRDefault="0076337B" w:rsidP="00885FF8">
      <w:pPr>
        <w:pStyle w:val="ListParagraph"/>
        <w:numPr>
          <w:ilvl w:val="0"/>
          <w:numId w:val="39"/>
        </w:numPr>
        <w:spacing w:after="0" w:line="480" w:lineRule="auto"/>
        <w:ind w:left="1440" w:hanging="720"/>
        <w:rPr>
          <w:rFonts w:cs="Times New Roman"/>
          <w:b/>
        </w:rPr>
      </w:pPr>
      <w:r w:rsidRPr="00D335A3">
        <w:rPr>
          <w:rFonts w:cs="Times New Roman"/>
          <w:b/>
        </w:rPr>
        <w:t xml:space="preserve">The Commission Correctly Applied the PSE REC Order </w:t>
      </w:r>
    </w:p>
    <w:p w:rsidR="0076337B" w:rsidRPr="00D335A3" w:rsidRDefault="0076337B" w:rsidP="0076337B">
      <w:pPr>
        <w:pStyle w:val="ListParagraph"/>
        <w:numPr>
          <w:ilvl w:val="0"/>
          <w:numId w:val="1"/>
        </w:numPr>
        <w:spacing w:after="0" w:line="480" w:lineRule="auto"/>
        <w:ind w:left="0"/>
        <w:contextualSpacing w:val="0"/>
        <w:rPr>
          <w:rFonts w:cs="Times New Roman"/>
          <w:b/>
        </w:rPr>
      </w:pPr>
      <w:r w:rsidRPr="00D335A3">
        <w:rPr>
          <w:rFonts w:cs="Times New Roman"/>
        </w:rPr>
        <w:tab/>
      </w:r>
      <w:r w:rsidR="0051633C" w:rsidRPr="00D335A3">
        <w:rPr>
          <w:rFonts w:cs="Times New Roman"/>
        </w:rPr>
        <w:t xml:space="preserve">PacifiCorp contends the Commission was wrong to use </w:t>
      </w:r>
      <w:r w:rsidR="00323D78" w:rsidRPr="00D335A3">
        <w:rPr>
          <w:rFonts w:cs="Times New Roman"/>
        </w:rPr>
        <w:t xml:space="preserve">part of its </w:t>
      </w:r>
      <w:r w:rsidR="004F4C4F" w:rsidRPr="00D335A3">
        <w:rPr>
          <w:rFonts w:cs="Times New Roman"/>
        </w:rPr>
        <w:t xml:space="preserve">discussion </w:t>
      </w:r>
      <w:r w:rsidR="00323D78" w:rsidRPr="00D335A3">
        <w:rPr>
          <w:rFonts w:cs="Times New Roman"/>
        </w:rPr>
        <w:t xml:space="preserve">from </w:t>
      </w:r>
      <w:r w:rsidR="004F4C4F" w:rsidRPr="00D335A3">
        <w:rPr>
          <w:rFonts w:cs="Times New Roman"/>
        </w:rPr>
        <w:t xml:space="preserve">the </w:t>
      </w:r>
      <w:r w:rsidR="0051633C" w:rsidRPr="00D335A3">
        <w:rPr>
          <w:rFonts w:cs="Times New Roman"/>
        </w:rPr>
        <w:t>PSE REC Order as a basis to conclude that RECs should be treated like sales of property.</w:t>
      </w:r>
      <w:r w:rsidR="0051633C" w:rsidRPr="00D335A3">
        <w:rPr>
          <w:rStyle w:val="FootnoteReference"/>
          <w:rFonts w:cs="Times New Roman"/>
        </w:rPr>
        <w:footnoteReference w:id="14"/>
      </w:r>
      <w:r w:rsidR="0051633C" w:rsidRPr="00D335A3">
        <w:rPr>
          <w:rFonts w:cs="Times New Roman"/>
        </w:rPr>
        <w:t xml:space="preserve">  However, </w:t>
      </w:r>
      <w:r w:rsidR="002772BC" w:rsidRPr="00D335A3">
        <w:rPr>
          <w:rFonts w:cs="Times New Roman"/>
        </w:rPr>
        <w:t xml:space="preserve">PacifiCorp ignores the Commission’s earlier, fundamental </w:t>
      </w:r>
      <w:r w:rsidR="00CE6680" w:rsidRPr="00D335A3">
        <w:rPr>
          <w:rFonts w:cs="Times New Roman"/>
        </w:rPr>
        <w:t xml:space="preserve">determination </w:t>
      </w:r>
      <w:r w:rsidR="002772BC" w:rsidRPr="00D335A3">
        <w:rPr>
          <w:rFonts w:cs="Times New Roman"/>
        </w:rPr>
        <w:t>in Order 10 that RECs are “intangible assets” and that this characterization is “consistent” with RCW 18.285.030(17) and an EPA characterization of RECs as “property rights”.</w:t>
      </w:r>
      <w:r w:rsidR="002772BC" w:rsidRPr="00D335A3">
        <w:rPr>
          <w:rStyle w:val="FootnoteReference"/>
          <w:rFonts w:cs="Times New Roman"/>
        </w:rPr>
        <w:footnoteReference w:id="15"/>
      </w:r>
      <w:r w:rsidR="002772BC" w:rsidRPr="00D335A3">
        <w:rPr>
          <w:rFonts w:cs="Times New Roman"/>
        </w:rPr>
        <w:t xml:space="preserve">  Thus, any </w:t>
      </w:r>
      <w:r w:rsidR="006E6756">
        <w:rPr>
          <w:rFonts w:cs="Times New Roman"/>
        </w:rPr>
        <w:t xml:space="preserve">further </w:t>
      </w:r>
      <w:r w:rsidR="002772BC" w:rsidRPr="00D335A3">
        <w:rPr>
          <w:rFonts w:cs="Times New Roman"/>
        </w:rPr>
        <w:t>reference to the PSE REC Order is cumulative to this fundam</w:t>
      </w:r>
      <w:r w:rsidRPr="00D335A3">
        <w:rPr>
          <w:rFonts w:cs="Times New Roman"/>
        </w:rPr>
        <w:t>ental determination.</w:t>
      </w:r>
    </w:p>
    <w:p w:rsidR="00DB7121" w:rsidRPr="006E6756" w:rsidRDefault="0076337B" w:rsidP="006E6756">
      <w:pPr>
        <w:pStyle w:val="ListParagraph"/>
        <w:numPr>
          <w:ilvl w:val="0"/>
          <w:numId w:val="1"/>
        </w:numPr>
        <w:spacing w:after="0" w:line="480" w:lineRule="auto"/>
        <w:ind w:left="0"/>
        <w:contextualSpacing w:val="0"/>
        <w:rPr>
          <w:rFonts w:cs="Times New Roman"/>
          <w:b/>
        </w:rPr>
      </w:pPr>
      <w:r w:rsidRPr="006E6756">
        <w:rPr>
          <w:rFonts w:cs="Times New Roman"/>
        </w:rPr>
        <w:lastRenderedPageBreak/>
        <w:tab/>
      </w:r>
      <w:r w:rsidR="002772BC" w:rsidRPr="006E6756">
        <w:rPr>
          <w:rFonts w:cs="Times New Roman"/>
        </w:rPr>
        <w:t xml:space="preserve">In any event, the Commission correctly characterized the </w:t>
      </w:r>
      <w:r w:rsidR="0051633C" w:rsidRPr="006E6756">
        <w:rPr>
          <w:rFonts w:cs="Times New Roman"/>
        </w:rPr>
        <w:t>PSE REC Order</w:t>
      </w:r>
      <w:r w:rsidR="002772BC" w:rsidRPr="006E6756">
        <w:rPr>
          <w:rFonts w:cs="Times New Roman"/>
        </w:rPr>
        <w:t xml:space="preserve"> as “analogizing REC sales to property sales”</w:t>
      </w:r>
      <w:r w:rsidR="0051633C" w:rsidRPr="006E6756">
        <w:rPr>
          <w:rFonts w:cs="Times New Roman"/>
        </w:rPr>
        <w:t xml:space="preserve">, </w:t>
      </w:r>
      <w:r w:rsidR="002772BC" w:rsidRPr="006E6756">
        <w:rPr>
          <w:rFonts w:cs="Times New Roman"/>
        </w:rPr>
        <w:t xml:space="preserve">because that is </w:t>
      </w:r>
      <w:r w:rsidR="00F72194" w:rsidRPr="006E6756">
        <w:rPr>
          <w:rFonts w:cs="Times New Roman"/>
        </w:rPr>
        <w:t xml:space="preserve">exactly </w:t>
      </w:r>
      <w:r w:rsidR="002772BC" w:rsidRPr="006E6756">
        <w:rPr>
          <w:rFonts w:cs="Times New Roman"/>
        </w:rPr>
        <w:t xml:space="preserve">what the Commission did when it applied language from its property sales orders to the task of analyzing PSE’s claim to a share of </w:t>
      </w:r>
      <w:r w:rsidR="000471BE">
        <w:rPr>
          <w:rFonts w:cs="Times New Roman"/>
        </w:rPr>
        <w:t>REC</w:t>
      </w:r>
      <w:r w:rsidR="002772BC" w:rsidRPr="006E6756">
        <w:rPr>
          <w:rFonts w:cs="Times New Roman"/>
        </w:rPr>
        <w:t xml:space="preserve"> proceeds.</w:t>
      </w:r>
      <w:r w:rsidR="002772BC" w:rsidRPr="00D335A3">
        <w:rPr>
          <w:rStyle w:val="FootnoteReference"/>
          <w:rFonts w:cs="Times New Roman"/>
        </w:rPr>
        <w:footnoteReference w:id="16"/>
      </w:r>
    </w:p>
    <w:p w:rsidR="0076337B" w:rsidRPr="00D335A3" w:rsidRDefault="0076337B" w:rsidP="00885FF8">
      <w:pPr>
        <w:pStyle w:val="ListParagraph"/>
        <w:numPr>
          <w:ilvl w:val="0"/>
          <w:numId w:val="39"/>
        </w:numPr>
        <w:spacing w:after="0" w:line="240" w:lineRule="auto"/>
        <w:ind w:left="1440" w:hanging="720"/>
        <w:rPr>
          <w:rFonts w:cs="Times New Roman"/>
          <w:b/>
        </w:rPr>
      </w:pPr>
      <w:r w:rsidRPr="00D335A3">
        <w:rPr>
          <w:rFonts w:cs="Times New Roman"/>
          <w:b/>
        </w:rPr>
        <w:t xml:space="preserve">RECs do not have to be depreciable to be treated like property </w:t>
      </w:r>
    </w:p>
    <w:p w:rsidR="00836406" w:rsidRPr="00D335A3" w:rsidRDefault="00836406" w:rsidP="00836406">
      <w:pPr>
        <w:spacing w:after="0" w:line="240" w:lineRule="auto"/>
        <w:rPr>
          <w:rFonts w:cs="Times New Roman"/>
          <w:b/>
        </w:rPr>
      </w:pPr>
    </w:p>
    <w:p w:rsidR="004F4C4F" w:rsidRPr="00D335A3" w:rsidRDefault="0076337B" w:rsidP="0076337B">
      <w:pPr>
        <w:pStyle w:val="ListParagraph"/>
        <w:numPr>
          <w:ilvl w:val="0"/>
          <w:numId w:val="1"/>
        </w:numPr>
        <w:spacing w:after="0" w:line="480" w:lineRule="auto"/>
        <w:ind w:left="0"/>
        <w:contextualSpacing w:val="0"/>
        <w:rPr>
          <w:rFonts w:cs="Times New Roman"/>
          <w:b/>
        </w:rPr>
      </w:pPr>
      <w:r w:rsidRPr="00D335A3">
        <w:rPr>
          <w:rFonts w:cs="Times New Roman"/>
        </w:rPr>
        <w:tab/>
      </w:r>
      <w:r w:rsidR="00CE6680" w:rsidRPr="00D335A3">
        <w:rPr>
          <w:rFonts w:cs="Times New Roman"/>
        </w:rPr>
        <w:t>PacifiCorp argues that the Commission is wrong in treating REC</w:t>
      </w:r>
      <w:r w:rsidR="00ED00F8" w:rsidRPr="00D335A3">
        <w:rPr>
          <w:rFonts w:cs="Times New Roman"/>
        </w:rPr>
        <w:t>s</w:t>
      </w:r>
      <w:r w:rsidR="00CE6680" w:rsidRPr="00D335A3">
        <w:rPr>
          <w:rFonts w:cs="Times New Roman"/>
        </w:rPr>
        <w:t xml:space="preserve"> like </w:t>
      </w:r>
      <w:r w:rsidR="006E6756">
        <w:rPr>
          <w:rFonts w:cs="Times New Roman"/>
        </w:rPr>
        <w:t>property</w:t>
      </w:r>
      <w:r w:rsidR="00ED00F8" w:rsidRPr="00D335A3">
        <w:rPr>
          <w:rFonts w:cs="Times New Roman"/>
        </w:rPr>
        <w:t xml:space="preserve"> </w:t>
      </w:r>
      <w:r w:rsidR="00CE6680" w:rsidRPr="00D335A3">
        <w:rPr>
          <w:rFonts w:cs="Times New Roman"/>
        </w:rPr>
        <w:t>because customers do not pay depreciation or a return on the cost of RECs.</w:t>
      </w:r>
      <w:r w:rsidR="00CE6680" w:rsidRPr="00D335A3">
        <w:rPr>
          <w:rStyle w:val="FootnoteReference"/>
          <w:rFonts w:cs="Times New Roman"/>
        </w:rPr>
        <w:footnoteReference w:id="17"/>
      </w:r>
      <w:r w:rsidR="00CE6680" w:rsidRPr="00D335A3">
        <w:rPr>
          <w:rFonts w:cs="Times New Roman"/>
        </w:rPr>
        <w:t xml:space="preserve">  PacifiCorp misses the point.  As Mr. Foisy</w:t>
      </w:r>
      <w:r w:rsidR="004F4C4F" w:rsidRPr="00D335A3">
        <w:rPr>
          <w:rFonts w:cs="Times New Roman"/>
        </w:rPr>
        <w:t xml:space="preserve"> testified:</w:t>
      </w:r>
    </w:p>
    <w:p w:rsidR="004F4C4F" w:rsidRPr="00D335A3" w:rsidRDefault="004F4C4F" w:rsidP="004F4C4F">
      <w:pPr>
        <w:pStyle w:val="ListParagraph"/>
        <w:spacing w:after="0" w:line="240" w:lineRule="auto"/>
        <w:rPr>
          <w:rFonts w:cs="Times New Roman"/>
        </w:rPr>
      </w:pPr>
      <w:r w:rsidRPr="00D335A3">
        <w:rPr>
          <w:rFonts w:cs="Times New Roman"/>
        </w:rPr>
        <w:t xml:space="preserve">The Commission should distribute these revenues in an equitable manner to the ratepayers who have supported </w:t>
      </w:r>
      <w:r w:rsidRPr="00D335A3">
        <w:rPr>
          <w:rFonts w:cs="Times New Roman"/>
          <w:b/>
          <w:i/>
        </w:rPr>
        <w:t>the assets that give rise to the REC revenues</w:t>
      </w:r>
      <w:r w:rsidRPr="00D335A3">
        <w:rPr>
          <w:rFonts w:cs="Times New Roman"/>
        </w:rPr>
        <w:t>.  These ratepayers are paying rates based on the costs of these assets, which includes a return on PacifiCorp’s investment, plus all related operating expenses, and taxes.  It is entirely proper for those ratepayers to receive the benefits generated by these assets on the same basis that their rates are set.  Said another way, PacifiCorp may not keep this revenue.</w:t>
      </w:r>
      <w:r w:rsidRPr="00D335A3">
        <w:rPr>
          <w:rStyle w:val="FootnoteReference"/>
          <w:rFonts w:cs="Times New Roman"/>
        </w:rPr>
        <w:footnoteReference w:id="18"/>
      </w:r>
    </w:p>
    <w:p w:rsidR="0076337B" w:rsidRPr="00D335A3" w:rsidRDefault="0076337B" w:rsidP="004F4C4F">
      <w:pPr>
        <w:pStyle w:val="ListParagraph"/>
        <w:spacing w:after="0" w:line="240" w:lineRule="auto"/>
        <w:rPr>
          <w:rFonts w:cs="Times New Roman"/>
        </w:rPr>
      </w:pPr>
    </w:p>
    <w:p w:rsidR="0076337B" w:rsidRPr="00D335A3" w:rsidRDefault="004F4C4F" w:rsidP="0076337B">
      <w:pPr>
        <w:pStyle w:val="ListParagraph"/>
        <w:numPr>
          <w:ilvl w:val="0"/>
          <w:numId w:val="1"/>
        </w:numPr>
        <w:spacing w:after="0" w:line="480" w:lineRule="auto"/>
        <w:ind w:left="0"/>
        <w:rPr>
          <w:rFonts w:cs="Times New Roman"/>
        </w:rPr>
      </w:pPr>
      <w:r w:rsidRPr="00D335A3">
        <w:rPr>
          <w:rFonts w:cs="Times New Roman"/>
        </w:rPr>
        <w:tab/>
        <w:t xml:space="preserve">In other words, </w:t>
      </w:r>
      <w:r w:rsidR="00CE6680" w:rsidRPr="00D335A3">
        <w:rPr>
          <w:rFonts w:cs="Times New Roman"/>
        </w:rPr>
        <w:t xml:space="preserve">the </w:t>
      </w:r>
      <w:r w:rsidRPr="00D335A3">
        <w:rPr>
          <w:rFonts w:cs="Times New Roman"/>
        </w:rPr>
        <w:t xml:space="preserve">nature of </w:t>
      </w:r>
      <w:r w:rsidR="00CE6680" w:rsidRPr="00D335A3">
        <w:rPr>
          <w:rFonts w:cs="Times New Roman"/>
        </w:rPr>
        <w:t xml:space="preserve">RECs </w:t>
      </w:r>
      <w:r w:rsidR="00ED00F8" w:rsidRPr="00D335A3">
        <w:rPr>
          <w:rFonts w:cs="Times New Roman"/>
        </w:rPr>
        <w:t xml:space="preserve">derives from </w:t>
      </w:r>
      <w:r w:rsidR="00CE6680" w:rsidRPr="00D335A3">
        <w:rPr>
          <w:rFonts w:cs="Times New Roman"/>
        </w:rPr>
        <w:t>the facilities that give rise to the</w:t>
      </w:r>
      <w:r w:rsidRPr="00D335A3">
        <w:rPr>
          <w:rFonts w:cs="Times New Roman"/>
        </w:rPr>
        <w:t xml:space="preserve">m.  </w:t>
      </w:r>
      <w:r w:rsidR="00CE6680" w:rsidRPr="00D335A3">
        <w:rPr>
          <w:rFonts w:cs="Times New Roman"/>
        </w:rPr>
        <w:t>It is therefore irrelevant that RECs themselves are not depreciable.</w:t>
      </w:r>
    </w:p>
    <w:p w:rsidR="0076337B" w:rsidRPr="00D335A3" w:rsidRDefault="0076337B" w:rsidP="0076337B">
      <w:pPr>
        <w:pStyle w:val="ListParagraph"/>
        <w:numPr>
          <w:ilvl w:val="0"/>
          <w:numId w:val="1"/>
        </w:numPr>
        <w:spacing w:after="0" w:line="480" w:lineRule="auto"/>
        <w:ind w:left="0"/>
        <w:rPr>
          <w:rFonts w:cs="Times New Roman"/>
        </w:rPr>
      </w:pPr>
      <w:r w:rsidRPr="00D335A3">
        <w:rPr>
          <w:rFonts w:cs="Times New Roman"/>
        </w:rPr>
        <w:tab/>
      </w:r>
      <w:r w:rsidR="004F4C4F" w:rsidRPr="00D335A3">
        <w:rPr>
          <w:rFonts w:cs="Times New Roman"/>
        </w:rPr>
        <w:t xml:space="preserve">In any event, </w:t>
      </w:r>
      <w:r w:rsidR="00CE6680" w:rsidRPr="00D335A3">
        <w:rPr>
          <w:rFonts w:cs="Times New Roman"/>
        </w:rPr>
        <w:t>PacifiCorp’s “non-depreciable” argument makes no sense, because the fact that something is not depreciable does not perforce change its nature.  Consider the land under PacifiCorp’s wind towers; that land is not depreciable, yet that does not mean it should not be treated as “property</w:t>
      </w:r>
      <w:r w:rsidR="00F16D36" w:rsidRPr="00D335A3">
        <w:rPr>
          <w:rFonts w:cs="Times New Roman"/>
        </w:rPr>
        <w:t>.</w:t>
      </w:r>
      <w:r w:rsidR="00CE6680" w:rsidRPr="00D335A3">
        <w:rPr>
          <w:rFonts w:cs="Times New Roman"/>
        </w:rPr>
        <w:t xml:space="preserve">”  </w:t>
      </w:r>
      <w:r w:rsidR="00364955" w:rsidRPr="00D335A3">
        <w:rPr>
          <w:rFonts w:cs="Times New Roman"/>
        </w:rPr>
        <w:t xml:space="preserve">Or, if PacifiCorp </w:t>
      </w:r>
      <w:r w:rsidR="003504E3">
        <w:rPr>
          <w:rFonts w:cs="Times New Roman"/>
        </w:rPr>
        <w:t xml:space="preserve">granted </w:t>
      </w:r>
      <w:r w:rsidR="00364955" w:rsidRPr="00D335A3">
        <w:rPr>
          <w:rFonts w:cs="Times New Roman"/>
        </w:rPr>
        <w:t xml:space="preserve">an easement across that land, that would </w:t>
      </w:r>
      <w:r w:rsidR="00EE1905">
        <w:rPr>
          <w:rFonts w:cs="Times New Roman"/>
        </w:rPr>
        <w:t xml:space="preserve">be </w:t>
      </w:r>
      <w:r w:rsidR="00364955" w:rsidRPr="00D335A3">
        <w:rPr>
          <w:rFonts w:cs="Times New Roman"/>
        </w:rPr>
        <w:t xml:space="preserve">the </w:t>
      </w:r>
      <w:r w:rsidR="003504E3">
        <w:rPr>
          <w:rFonts w:cs="Times New Roman"/>
        </w:rPr>
        <w:t xml:space="preserve">transfer </w:t>
      </w:r>
      <w:r w:rsidR="00364955" w:rsidRPr="00D335A3">
        <w:rPr>
          <w:rFonts w:cs="Times New Roman"/>
        </w:rPr>
        <w:t xml:space="preserve">of a property right, even though </w:t>
      </w:r>
      <w:r w:rsidRPr="00D335A3">
        <w:rPr>
          <w:rFonts w:cs="Times New Roman"/>
        </w:rPr>
        <w:t>that right is not depreciable.</w:t>
      </w:r>
    </w:p>
    <w:p w:rsidR="00CE6680" w:rsidRPr="00D335A3" w:rsidRDefault="0076337B" w:rsidP="0076337B">
      <w:pPr>
        <w:pStyle w:val="ListParagraph"/>
        <w:numPr>
          <w:ilvl w:val="0"/>
          <w:numId w:val="1"/>
        </w:numPr>
        <w:spacing w:after="0" w:line="480" w:lineRule="auto"/>
        <w:ind w:left="0"/>
        <w:rPr>
          <w:rFonts w:cs="Times New Roman"/>
        </w:rPr>
      </w:pPr>
      <w:r w:rsidRPr="00D335A3">
        <w:rPr>
          <w:rFonts w:cs="Times New Roman"/>
        </w:rPr>
        <w:lastRenderedPageBreak/>
        <w:tab/>
      </w:r>
      <w:r w:rsidR="00CE6680" w:rsidRPr="00D335A3">
        <w:rPr>
          <w:rFonts w:cs="Times New Roman"/>
        </w:rPr>
        <w:t xml:space="preserve">In short, many forms of intangible rights are not depreciable.  That does not change their </w:t>
      </w:r>
      <w:r w:rsidR="009B3082" w:rsidRPr="00D335A3">
        <w:rPr>
          <w:rFonts w:cs="Times New Roman"/>
        </w:rPr>
        <w:t xml:space="preserve">fundamental </w:t>
      </w:r>
      <w:r w:rsidR="00CE6680" w:rsidRPr="00D335A3">
        <w:rPr>
          <w:rFonts w:cs="Times New Roman"/>
        </w:rPr>
        <w:t>nature.</w:t>
      </w:r>
    </w:p>
    <w:p w:rsidR="0076337B" w:rsidRPr="00D335A3" w:rsidRDefault="007E4BAB" w:rsidP="00235532">
      <w:pPr>
        <w:keepNext/>
        <w:spacing w:after="0" w:line="480" w:lineRule="auto"/>
        <w:ind w:left="1440" w:hanging="720"/>
        <w:rPr>
          <w:rFonts w:cs="Times New Roman"/>
          <w:b/>
        </w:rPr>
      </w:pPr>
      <w:r w:rsidRPr="00D335A3">
        <w:rPr>
          <w:rFonts w:cs="Times New Roman"/>
          <w:b/>
        </w:rPr>
        <w:t>3.</w:t>
      </w:r>
      <w:r w:rsidRPr="00D335A3">
        <w:rPr>
          <w:rFonts w:cs="Times New Roman"/>
          <w:b/>
        </w:rPr>
        <w:tab/>
      </w:r>
      <w:r w:rsidR="00090988" w:rsidRPr="00D335A3">
        <w:rPr>
          <w:rFonts w:cs="Times New Roman"/>
          <w:b/>
        </w:rPr>
        <w:t>RECs are not electricity, they are intangible assets representing rights</w:t>
      </w:r>
    </w:p>
    <w:p w:rsidR="0076337B" w:rsidRPr="00D335A3" w:rsidRDefault="007E4BAB" w:rsidP="0076337B">
      <w:pPr>
        <w:pStyle w:val="ListParagraph"/>
        <w:numPr>
          <w:ilvl w:val="0"/>
          <w:numId w:val="1"/>
        </w:numPr>
        <w:spacing w:after="0" w:line="480" w:lineRule="auto"/>
        <w:ind w:left="0"/>
        <w:rPr>
          <w:rFonts w:cs="Times New Roman"/>
          <w:b/>
        </w:rPr>
      </w:pPr>
      <w:r w:rsidRPr="00D335A3">
        <w:rPr>
          <w:rFonts w:cs="Times New Roman"/>
        </w:rPr>
        <w:tab/>
        <w:t xml:space="preserve">Citing Paragraph 24 of Order 10, the Company </w:t>
      </w:r>
      <w:r w:rsidR="00090988" w:rsidRPr="00D335A3">
        <w:rPr>
          <w:rFonts w:cs="Times New Roman"/>
        </w:rPr>
        <w:t xml:space="preserve">wrongly states </w:t>
      </w:r>
      <w:r w:rsidRPr="00D335A3">
        <w:rPr>
          <w:rFonts w:cs="Times New Roman"/>
        </w:rPr>
        <w:t>the Commission “concludes RECs are a commodity, like electricity, that is produced by the Company’s generating resources.”  From this, the Company argues that RECs should be treated like revenues from the sale of electricity and used to offset power costs.</w:t>
      </w:r>
      <w:r w:rsidRPr="00D335A3">
        <w:rPr>
          <w:rStyle w:val="FootnoteReference"/>
          <w:rFonts w:cs="Times New Roman"/>
        </w:rPr>
        <w:footnoteReference w:id="19"/>
      </w:r>
    </w:p>
    <w:p w:rsidR="0076337B" w:rsidRPr="00D335A3" w:rsidRDefault="0076337B" w:rsidP="0076337B">
      <w:pPr>
        <w:pStyle w:val="ListParagraph"/>
        <w:numPr>
          <w:ilvl w:val="0"/>
          <w:numId w:val="1"/>
        </w:numPr>
        <w:spacing w:after="0" w:line="480" w:lineRule="auto"/>
        <w:ind w:left="0"/>
        <w:rPr>
          <w:rFonts w:cs="Times New Roman"/>
          <w:b/>
        </w:rPr>
      </w:pPr>
      <w:r w:rsidRPr="00D335A3">
        <w:rPr>
          <w:rFonts w:cs="Times New Roman"/>
        </w:rPr>
        <w:tab/>
      </w:r>
      <w:r w:rsidR="007E4BAB" w:rsidRPr="00D335A3">
        <w:rPr>
          <w:rFonts w:cs="Times New Roman"/>
        </w:rPr>
        <w:t>In fact, the Commission said “RECs are assets akin to other commodities that can be stored for future use, held for future sale, of sold upon purchase of generation</w:t>
      </w:r>
      <w:r w:rsidR="00F16D36" w:rsidRPr="00D335A3">
        <w:rPr>
          <w:rFonts w:cs="Times New Roman"/>
        </w:rPr>
        <w:t>.</w:t>
      </w:r>
      <w:r w:rsidR="007E4BAB" w:rsidRPr="00D335A3">
        <w:rPr>
          <w:rFonts w:cs="Times New Roman"/>
        </w:rPr>
        <w:t>”</w:t>
      </w:r>
      <w:r w:rsidR="007E4BAB" w:rsidRPr="00D335A3">
        <w:rPr>
          <w:rStyle w:val="FootnoteReference"/>
          <w:rFonts w:cs="Times New Roman"/>
        </w:rPr>
        <w:footnoteReference w:id="20"/>
      </w:r>
      <w:r w:rsidR="007E4BAB" w:rsidRPr="00D335A3">
        <w:rPr>
          <w:rFonts w:cs="Times New Roman"/>
        </w:rPr>
        <w:t xml:space="preserve">  These features do not negate the Commission’s earlier conclusion that RECs are intangible rights.</w:t>
      </w:r>
      <w:r w:rsidR="007E4BAB" w:rsidRPr="00D335A3">
        <w:rPr>
          <w:rStyle w:val="FootnoteReference"/>
          <w:rFonts w:cs="Times New Roman"/>
        </w:rPr>
        <w:footnoteReference w:id="21"/>
      </w:r>
    </w:p>
    <w:p w:rsidR="0076337B" w:rsidRPr="00C46490" w:rsidRDefault="0076337B" w:rsidP="00235532">
      <w:pPr>
        <w:pStyle w:val="ListParagraph"/>
        <w:numPr>
          <w:ilvl w:val="0"/>
          <w:numId w:val="1"/>
        </w:numPr>
        <w:spacing w:after="0" w:line="480" w:lineRule="auto"/>
        <w:ind w:left="0"/>
        <w:rPr>
          <w:rFonts w:cs="Times New Roman"/>
          <w:b/>
        </w:rPr>
      </w:pPr>
      <w:r w:rsidRPr="00C46490">
        <w:rPr>
          <w:rFonts w:cs="Times New Roman"/>
        </w:rPr>
        <w:tab/>
      </w:r>
      <w:r w:rsidR="007E4BAB" w:rsidRPr="00C46490">
        <w:rPr>
          <w:rFonts w:cs="Times New Roman"/>
        </w:rPr>
        <w:t xml:space="preserve">PacifiCorp follows up with </w:t>
      </w:r>
      <w:r w:rsidR="005B77DF">
        <w:rPr>
          <w:rFonts w:cs="Times New Roman"/>
        </w:rPr>
        <w:t>a</w:t>
      </w:r>
      <w:r w:rsidR="007E4BAB" w:rsidRPr="00C46490">
        <w:rPr>
          <w:rFonts w:cs="Times New Roman"/>
        </w:rPr>
        <w:t xml:space="preserve"> claim that “wholesale sales of electricity can transcend rate periods</w:t>
      </w:r>
      <w:r w:rsidR="00F16D36" w:rsidRPr="00C46490">
        <w:rPr>
          <w:rFonts w:cs="Times New Roman"/>
        </w:rPr>
        <w:t>,</w:t>
      </w:r>
      <w:r w:rsidR="007E4BAB" w:rsidRPr="00C46490">
        <w:rPr>
          <w:rFonts w:cs="Times New Roman"/>
        </w:rPr>
        <w:t>” citing a generic statement on normalizing power costs in an Avista order.</w:t>
      </w:r>
      <w:r w:rsidR="007E4BAB" w:rsidRPr="00D335A3">
        <w:rPr>
          <w:rStyle w:val="FootnoteReference"/>
          <w:rFonts w:cs="Times New Roman"/>
        </w:rPr>
        <w:footnoteReference w:id="22"/>
      </w:r>
      <w:r w:rsidR="007E4BAB" w:rsidRPr="00C46490">
        <w:rPr>
          <w:rFonts w:cs="Times New Roman"/>
        </w:rPr>
        <w:t xml:space="preserve">  </w:t>
      </w:r>
      <w:r w:rsidR="00384D43">
        <w:rPr>
          <w:rFonts w:cs="Times New Roman"/>
        </w:rPr>
        <w:t>Yet, n</w:t>
      </w:r>
      <w:r w:rsidR="007E4BAB" w:rsidRPr="00C46490">
        <w:rPr>
          <w:rFonts w:cs="Times New Roman"/>
        </w:rPr>
        <w:t xml:space="preserve">ormalizing power costs simply restates the test period’s actual generation conditions to normal conditions.  </w:t>
      </w:r>
      <w:r w:rsidR="005B77DF">
        <w:rPr>
          <w:rFonts w:cs="Times New Roman"/>
        </w:rPr>
        <w:t>T</w:t>
      </w:r>
      <w:r w:rsidR="00384D43">
        <w:rPr>
          <w:rFonts w:cs="Times New Roman"/>
        </w:rPr>
        <w:t xml:space="preserve">his </w:t>
      </w:r>
      <w:r w:rsidR="00451EC6">
        <w:rPr>
          <w:rFonts w:cs="Times New Roman"/>
        </w:rPr>
        <w:t>mark</w:t>
      </w:r>
      <w:r w:rsidR="00384D43">
        <w:rPr>
          <w:rFonts w:cs="Times New Roman"/>
        </w:rPr>
        <w:t>s</w:t>
      </w:r>
      <w:r w:rsidR="00451EC6">
        <w:rPr>
          <w:rFonts w:cs="Times New Roman"/>
        </w:rPr>
        <w:t xml:space="preserve"> one of the distinctions between </w:t>
      </w:r>
      <w:r w:rsidR="007E4BAB" w:rsidRPr="00C46490">
        <w:rPr>
          <w:rFonts w:cs="Times New Roman"/>
        </w:rPr>
        <w:t xml:space="preserve">the production and sale of electricity </w:t>
      </w:r>
      <w:r w:rsidR="00451EC6">
        <w:rPr>
          <w:rFonts w:cs="Times New Roman"/>
        </w:rPr>
        <w:t xml:space="preserve">and </w:t>
      </w:r>
      <w:r w:rsidR="00C46490">
        <w:rPr>
          <w:rFonts w:cs="Times New Roman"/>
        </w:rPr>
        <w:t xml:space="preserve">RECs, </w:t>
      </w:r>
      <w:r w:rsidR="00451EC6">
        <w:rPr>
          <w:rFonts w:cs="Times New Roman"/>
        </w:rPr>
        <w:t xml:space="preserve">because though RECs </w:t>
      </w:r>
      <w:r w:rsidR="00C46490">
        <w:rPr>
          <w:rFonts w:cs="Times New Roman"/>
        </w:rPr>
        <w:t>can be sold</w:t>
      </w:r>
      <w:r w:rsidR="00AB779E">
        <w:rPr>
          <w:rFonts w:cs="Times New Roman"/>
        </w:rPr>
        <w:t xml:space="preserve"> currently,</w:t>
      </w:r>
      <w:r w:rsidR="00C46490">
        <w:rPr>
          <w:rFonts w:cs="Times New Roman"/>
        </w:rPr>
        <w:t xml:space="preserve"> </w:t>
      </w:r>
      <w:r w:rsidR="00451EC6">
        <w:rPr>
          <w:rFonts w:cs="Times New Roman"/>
        </w:rPr>
        <w:t xml:space="preserve">unlike electricity, RECs also can be </w:t>
      </w:r>
      <w:r w:rsidR="00C46490">
        <w:rPr>
          <w:rFonts w:cs="Times New Roman"/>
        </w:rPr>
        <w:t xml:space="preserve">banked for later sale or </w:t>
      </w:r>
      <w:r w:rsidR="00D91E76">
        <w:rPr>
          <w:rFonts w:cs="Times New Roman"/>
        </w:rPr>
        <w:t xml:space="preserve">used for </w:t>
      </w:r>
      <w:r w:rsidR="00C46490">
        <w:rPr>
          <w:rFonts w:cs="Times New Roman"/>
        </w:rPr>
        <w:t>later compliance.</w:t>
      </w:r>
    </w:p>
    <w:p w:rsidR="0076337B" w:rsidRPr="00D335A3" w:rsidRDefault="0076337B" w:rsidP="0076337B">
      <w:pPr>
        <w:pStyle w:val="ListParagraph"/>
        <w:numPr>
          <w:ilvl w:val="0"/>
          <w:numId w:val="1"/>
        </w:numPr>
        <w:spacing w:after="0" w:line="480" w:lineRule="auto"/>
        <w:ind w:left="0"/>
        <w:rPr>
          <w:rFonts w:cs="Times New Roman"/>
          <w:b/>
        </w:rPr>
      </w:pPr>
      <w:r w:rsidRPr="00D335A3">
        <w:rPr>
          <w:rFonts w:cs="Times New Roman"/>
          <w:b/>
        </w:rPr>
        <w:tab/>
      </w:r>
      <w:r w:rsidR="007E4BAB" w:rsidRPr="00D335A3">
        <w:rPr>
          <w:rFonts w:cs="Times New Roman"/>
        </w:rPr>
        <w:t xml:space="preserve">In the end, </w:t>
      </w:r>
      <w:r w:rsidR="00AB779E">
        <w:rPr>
          <w:rFonts w:cs="Times New Roman"/>
        </w:rPr>
        <w:t xml:space="preserve">however, </w:t>
      </w:r>
      <w:r w:rsidR="007E4BAB" w:rsidRPr="00D335A3">
        <w:rPr>
          <w:rFonts w:cs="Times New Roman"/>
        </w:rPr>
        <w:t xml:space="preserve">PacifiCorp simply misses the point when it suggests RECs must be treated as part of sales of electricity.  While it is true that RECs are </w:t>
      </w:r>
      <w:r w:rsidR="007E4BAB" w:rsidRPr="00D335A3">
        <w:rPr>
          <w:rFonts w:cs="Times New Roman"/>
          <w:i/>
        </w:rPr>
        <w:t>quantified</w:t>
      </w:r>
      <w:r w:rsidR="007E4BAB" w:rsidRPr="00D335A3">
        <w:rPr>
          <w:rFonts w:cs="Times New Roman"/>
        </w:rPr>
        <w:t xml:space="preserve"> by the electrical output of a renewable facility, RECs only have value because of the renewable </w:t>
      </w:r>
      <w:r w:rsidR="007E4BAB" w:rsidRPr="00D335A3">
        <w:rPr>
          <w:rFonts w:cs="Times New Roman"/>
        </w:rPr>
        <w:lastRenderedPageBreak/>
        <w:t>facilities that give rise to them.</w:t>
      </w:r>
      <w:r w:rsidR="000471BE">
        <w:rPr>
          <w:rStyle w:val="FootnoteReference"/>
          <w:rFonts w:cs="Times New Roman"/>
        </w:rPr>
        <w:footnoteReference w:id="23"/>
      </w:r>
      <w:r w:rsidR="007E4BAB" w:rsidRPr="00D335A3">
        <w:rPr>
          <w:rFonts w:cs="Times New Roman"/>
        </w:rPr>
        <w:t xml:space="preserve">  It is fully proper for the Commission to treat REC sales as sales of property and not as sales of electricity.</w:t>
      </w:r>
    </w:p>
    <w:p w:rsidR="0076337B" w:rsidRPr="00D335A3" w:rsidRDefault="0076337B" w:rsidP="0076337B">
      <w:pPr>
        <w:pStyle w:val="ListParagraph"/>
        <w:spacing w:after="0" w:line="240" w:lineRule="auto"/>
        <w:ind w:left="1440" w:hanging="720"/>
        <w:rPr>
          <w:rFonts w:cs="Times New Roman"/>
        </w:rPr>
      </w:pPr>
      <w:r w:rsidRPr="00D335A3">
        <w:rPr>
          <w:rFonts w:cs="Times New Roman"/>
          <w:b/>
        </w:rPr>
        <w:t>4.</w:t>
      </w:r>
      <w:r w:rsidRPr="00D335A3">
        <w:rPr>
          <w:rFonts w:cs="Times New Roman"/>
          <w:b/>
        </w:rPr>
        <w:tab/>
        <w:t>Prior Commission Property Transfer Orders Involving PacifiCorp Confirm and Support the Commission’s Treatment of RECs in this Case</w:t>
      </w:r>
    </w:p>
    <w:p w:rsidR="0076337B" w:rsidRPr="00D335A3" w:rsidRDefault="0076337B" w:rsidP="0076337B">
      <w:pPr>
        <w:pStyle w:val="ListParagraph"/>
        <w:spacing w:after="0" w:line="240" w:lineRule="auto"/>
        <w:ind w:left="1440" w:hanging="720"/>
        <w:rPr>
          <w:rFonts w:cs="Times New Roman"/>
        </w:rPr>
      </w:pPr>
    </w:p>
    <w:p w:rsidR="0076337B" w:rsidRPr="00D335A3" w:rsidRDefault="0076337B" w:rsidP="0076337B">
      <w:pPr>
        <w:pStyle w:val="ListParagraph"/>
        <w:numPr>
          <w:ilvl w:val="0"/>
          <w:numId w:val="1"/>
        </w:numPr>
        <w:spacing w:after="0" w:line="480" w:lineRule="auto"/>
        <w:ind w:left="0"/>
        <w:rPr>
          <w:rFonts w:cs="Times New Roman"/>
          <w:b/>
        </w:rPr>
      </w:pPr>
      <w:r w:rsidRPr="00D335A3">
        <w:rPr>
          <w:rFonts w:cs="Times New Roman"/>
        </w:rPr>
        <w:tab/>
      </w:r>
      <w:r w:rsidR="00FB69FE" w:rsidRPr="00D335A3">
        <w:rPr>
          <w:rFonts w:cs="Times New Roman"/>
        </w:rPr>
        <w:t xml:space="preserve">Two prior </w:t>
      </w:r>
      <w:r w:rsidR="005A584A" w:rsidRPr="00D335A3">
        <w:rPr>
          <w:rFonts w:cs="Times New Roman"/>
        </w:rPr>
        <w:t>Commission</w:t>
      </w:r>
      <w:r w:rsidR="00FB69FE" w:rsidRPr="00D335A3">
        <w:rPr>
          <w:rFonts w:cs="Times New Roman"/>
        </w:rPr>
        <w:t xml:space="preserve"> transfer of property orders confirm </w:t>
      </w:r>
      <w:r w:rsidR="009B3082" w:rsidRPr="00D335A3">
        <w:rPr>
          <w:rFonts w:cs="Times New Roman"/>
        </w:rPr>
        <w:t xml:space="preserve">and support </w:t>
      </w:r>
      <w:r w:rsidR="00FB69FE" w:rsidRPr="00D335A3">
        <w:rPr>
          <w:rFonts w:cs="Times New Roman"/>
        </w:rPr>
        <w:t xml:space="preserve">the Commission’s treatment of REC sales as sales of property.  </w:t>
      </w:r>
      <w:r w:rsidR="005A584A" w:rsidRPr="00D335A3">
        <w:rPr>
          <w:rFonts w:cs="Times New Roman"/>
        </w:rPr>
        <w:t xml:space="preserve">The first </w:t>
      </w:r>
      <w:r w:rsidR="00FB69FE" w:rsidRPr="00D335A3">
        <w:rPr>
          <w:rFonts w:cs="Times New Roman"/>
        </w:rPr>
        <w:t>decision</w:t>
      </w:r>
      <w:r w:rsidR="005A584A" w:rsidRPr="00D335A3">
        <w:rPr>
          <w:rFonts w:cs="Times New Roman"/>
        </w:rPr>
        <w:t xml:space="preserve"> relates to the acquisition of PacifiCorp by Scottish Power.  In that docket, the Commission interpreted the term “property” under the Commission’s transfer or property statute </w:t>
      </w:r>
      <w:r w:rsidR="00FB69FE" w:rsidRPr="00D335A3">
        <w:rPr>
          <w:rFonts w:cs="Times New Roman"/>
        </w:rPr>
        <w:t xml:space="preserve">broadly </w:t>
      </w:r>
      <w:r w:rsidR="005A584A" w:rsidRPr="00D335A3">
        <w:rPr>
          <w:rFonts w:cs="Times New Roman"/>
        </w:rPr>
        <w:t xml:space="preserve">to encompass “transfers of title … transfers of rights to possess </w:t>
      </w:r>
      <w:r w:rsidR="007C4693" w:rsidRPr="00D335A3">
        <w:rPr>
          <w:rFonts w:cs="Times New Roman"/>
        </w:rPr>
        <w:t>.</w:t>
      </w:r>
      <w:r w:rsidR="005A584A" w:rsidRPr="00D335A3">
        <w:rPr>
          <w:rFonts w:cs="Times New Roman"/>
        </w:rPr>
        <w:t>.. and transfers of any designated right or set of rights</w:t>
      </w:r>
      <w:r w:rsidR="00F16D36" w:rsidRPr="00D335A3">
        <w:rPr>
          <w:rFonts w:cs="Times New Roman"/>
        </w:rPr>
        <w:t>.</w:t>
      </w:r>
      <w:r w:rsidR="005A584A" w:rsidRPr="00D335A3">
        <w:rPr>
          <w:rFonts w:cs="Times New Roman"/>
        </w:rPr>
        <w:t>”</w:t>
      </w:r>
      <w:r w:rsidR="005A584A" w:rsidRPr="00D335A3">
        <w:rPr>
          <w:rStyle w:val="FootnoteReference"/>
          <w:rFonts w:cs="Times New Roman"/>
        </w:rPr>
        <w:footnoteReference w:id="24"/>
      </w:r>
      <w:r w:rsidR="005A584A" w:rsidRPr="00D335A3">
        <w:rPr>
          <w:rFonts w:cs="Times New Roman"/>
        </w:rPr>
        <w:t xml:space="preserve">  </w:t>
      </w:r>
      <w:r w:rsidR="00FB69FE" w:rsidRPr="00D335A3">
        <w:rPr>
          <w:rFonts w:cs="Times New Roman"/>
        </w:rPr>
        <w:t>RECs represent rights, and thus fall squarely within this language.</w:t>
      </w:r>
    </w:p>
    <w:p w:rsidR="0076337B" w:rsidRPr="00D335A3" w:rsidRDefault="0076337B" w:rsidP="0076337B">
      <w:pPr>
        <w:pStyle w:val="ListParagraph"/>
        <w:numPr>
          <w:ilvl w:val="0"/>
          <w:numId w:val="1"/>
        </w:numPr>
        <w:spacing w:after="0" w:line="480" w:lineRule="auto"/>
        <w:ind w:left="0"/>
        <w:rPr>
          <w:rFonts w:cs="Times New Roman"/>
          <w:b/>
        </w:rPr>
      </w:pPr>
      <w:r w:rsidRPr="00D335A3">
        <w:rPr>
          <w:rFonts w:cs="Times New Roman"/>
        </w:rPr>
        <w:tab/>
      </w:r>
      <w:r w:rsidR="00384D43">
        <w:rPr>
          <w:rFonts w:cs="Times New Roman"/>
        </w:rPr>
        <w:t>T</w:t>
      </w:r>
      <w:r w:rsidR="005A584A" w:rsidRPr="00D335A3">
        <w:rPr>
          <w:rFonts w:cs="Times New Roman"/>
        </w:rPr>
        <w:t xml:space="preserve">he second </w:t>
      </w:r>
      <w:r w:rsidR="00384D43">
        <w:rPr>
          <w:rFonts w:cs="Times New Roman"/>
        </w:rPr>
        <w:t xml:space="preserve">decision relates </w:t>
      </w:r>
      <w:r w:rsidR="0054621B">
        <w:rPr>
          <w:rFonts w:cs="Times New Roman"/>
        </w:rPr>
        <w:t>to</w:t>
      </w:r>
      <w:r w:rsidR="0054621B" w:rsidRPr="00D335A3">
        <w:rPr>
          <w:rFonts w:cs="Times New Roman"/>
        </w:rPr>
        <w:t xml:space="preserve"> PacifiCorp’s</w:t>
      </w:r>
      <w:r w:rsidR="00384D43">
        <w:rPr>
          <w:rFonts w:cs="Times New Roman"/>
        </w:rPr>
        <w:t xml:space="preserve"> request that the Commission approve as a transfer or property </w:t>
      </w:r>
      <w:r w:rsidR="005A584A" w:rsidRPr="00D335A3">
        <w:rPr>
          <w:rFonts w:cs="Times New Roman"/>
        </w:rPr>
        <w:t xml:space="preserve">the Company’s sale of </w:t>
      </w:r>
      <w:r w:rsidR="000112A9" w:rsidRPr="00D335A3">
        <w:rPr>
          <w:rFonts w:cs="Times New Roman"/>
        </w:rPr>
        <w:t>Sulfur</w:t>
      </w:r>
      <w:r w:rsidR="005A584A" w:rsidRPr="00D335A3">
        <w:rPr>
          <w:rFonts w:cs="Times New Roman"/>
        </w:rPr>
        <w:t xml:space="preserve"> Dioxide Emissions Allowances.  According to the Company’s petition in that docket, such allowances are “an authorization … to emit … one ton of </w:t>
      </w:r>
      <w:r w:rsidR="00364955" w:rsidRPr="00D335A3">
        <w:rPr>
          <w:rFonts w:cs="Times New Roman"/>
        </w:rPr>
        <w:t>sulfur</w:t>
      </w:r>
      <w:r w:rsidR="005A584A" w:rsidRPr="00D335A3">
        <w:rPr>
          <w:rFonts w:cs="Times New Roman"/>
        </w:rPr>
        <w:t xml:space="preserve"> dioxide.”</w:t>
      </w:r>
      <w:r w:rsidR="005A584A" w:rsidRPr="00D335A3">
        <w:rPr>
          <w:rStyle w:val="FootnoteReference"/>
          <w:rFonts w:cs="Times New Roman"/>
        </w:rPr>
        <w:footnoteReference w:id="25"/>
      </w:r>
      <w:r w:rsidR="005A584A" w:rsidRPr="00D335A3">
        <w:rPr>
          <w:rFonts w:cs="Times New Roman"/>
        </w:rPr>
        <w:t xml:space="preserve">  The Commission’s order resolving that docket </w:t>
      </w:r>
      <w:r w:rsidR="00384D43">
        <w:rPr>
          <w:rFonts w:cs="Times New Roman"/>
        </w:rPr>
        <w:t xml:space="preserve">agreed </w:t>
      </w:r>
      <w:r w:rsidR="00BA16FD">
        <w:rPr>
          <w:rFonts w:cs="Times New Roman"/>
        </w:rPr>
        <w:t xml:space="preserve">with PacifiCorp </w:t>
      </w:r>
      <w:r w:rsidR="005A584A" w:rsidRPr="00D335A3">
        <w:rPr>
          <w:rFonts w:cs="Times New Roman"/>
        </w:rPr>
        <w:t xml:space="preserve">that such </w:t>
      </w:r>
      <w:r w:rsidR="00FB69FE" w:rsidRPr="00D335A3">
        <w:rPr>
          <w:rFonts w:cs="Times New Roman"/>
        </w:rPr>
        <w:t xml:space="preserve">authorizations </w:t>
      </w:r>
      <w:r w:rsidR="005A584A" w:rsidRPr="00D335A3">
        <w:rPr>
          <w:rFonts w:cs="Times New Roman"/>
        </w:rPr>
        <w:t>“are property within the meaning of chapter 80.12 RCW and RCW 80.12.020.”</w:t>
      </w:r>
      <w:r w:rsidR="005A584A" w:rsidRPr="00D335A3">
        <w:rPr>
          <w:rStyle w:val="FootnoteReference"/>
          <w:rFonts w:cs="Times New Roman"/>
        </w:rPr>
        <w:footnoteReference w:id="26"/>
      </w:r>
    </w:p>
    <w:p w:rsidR="00836406" w:rsidRPr="00D335A3" w:rsidRDefault="0076337B" w:rsidP="00836406">
      <w:pPr>
        <w:pStyle w:val="ListParagraph"/>
        <w:numPr>
          <w:ilvl w:val="0"/>
          <w:numId w:val="1"/>
        </w:numPr>
        <w:spacing w:after="0" w:line="480" w:lineRule="auto"/>
        <w:ind w:left="0"/>
        <w:rPr>
          <w:rFonts w:cs="Times New Roman"/>
          <w:b/>
        </w:rPr>
      </w:pPr>
      <w:r w:rsidRPr="00D335A3">
        <w:rPr>
          <w:rFonts w:cs="Times New Roman"/>
        </w:rPr>
        <w:lastRenderedPageBreak/>
        <w:tab/>
      </w:r>
      <w:r w:rsidR="005A584A" w:rsidRPr="00D335A3">
        <w:rPr>
          <w:rFonts w:cs="Times New Roman"/>
        </w:rPr>
        <w:t xml:space="preserve">If PacifiCorp considers an “authorization to emit </w:t>
      </w:r>
      <w:r w:rsidR="00364955" w:rsidRPr="00D335A3">
        <w:rPr>
          <w:rFonts w:cs="Times New Roman"/>
        </w:rPr>
        <w:t>sulfur</w:t>
      </w:r>
      <w:r w:rsidR="005A584A" w:rsidRPr="00D335A3">
        <w:rPr>
          <w:rFonts w:cs="Times New Roman"/>
        </w:rPr>
        <w:t xml:space="preserve"> dioxide” to be property, then it is eminently reasonable</w:t>
      </w:r>
      <w:r w:rsidR="00DF7D2F">
        <w:rPr>
          <w:rFonts w:cs="Times New Roman"/>
        </w:rPr>
        <w:t xml:space="preserve">, </w:t>
      </w:r>
      <w:r w:rsidR="005A584A" w:rsidRPr="00D335A3">
        <w:rPr>
          <w:rFonts w:cs="Times New Roman"/>
        </w:rPr>
        <w:t xml:space="preserve">fair </w:t>
      </w:r>
      <w:r w:rsidR="00DF7D2F">
        <w:rPr>
          <w:rFonts w:cs="Times New Roman"/>
        </w:rPr>
        <w:t xml:space="preserve">and consistent </w:t>
      </w:r>
      <w:r w:rsidR="005A584A" w:rsidRPr="00D335A3">
        <w:rPr>
          <w:rFonts w:cs="Times New Roman"/>
        </w:rPr>
        <w:t>for the Commission to treat as property the right to claim the environmental attributes of a renewable resource, i.e., RECs.</w:t>
      </w:r>
    </w:p>
    <w:p w:rsidR="00836406" w:rsidRPr="00235532" w:rsidRDefault="00836406" w:rsidP="0057102E">
      <w:pPr>
        <w:pStyle w:val="ListParagraph"/>
        <w:keepNext/>
        <w:spacing w:after="0" w:line="480" w:lineRule="auto"/>
        <w:ind w:left="1440" w:hanging="720"/>
        <w:rPr>
          <w:rFonts w:cs="Times New Roman"/>
          <w:b/>
        </w:rPr>
      </w:pPr>
      <w:r w:rsidRPr="00D335A3">
        <w:rPr>
          <w:rFonts w:cs="Times New Roman"/>
          <w:b/>
        </w:rPr>
        <w:t>5.</w:t>
      </w:r>
      <w:r w:rsidRPr="00D335A3">
        <w:rPr>
          <w:rFonts w:cs="Times New Roman"/>
          <w:b/>
        </w:rPr>
        <w:tab/>
        <w:t>PacifiCorp Treats its Sales of RECs in Oregon as Sales of Property</w:t>
      </w:r>
    </w:p>
    <w:p w:rsidR="005779FC" w:rsidRPr="005779FC" w:rsidRDefault="00836406" w:rsidP="00235532">
      <w:pPr>
        <w:pStyle w:val="ListParagraph"/>
        <w:numPr>
          <w:ilvl w:val="0"/>
          <w:numId w:val="1"/>
        </w:numPr>
        <w:spacing w:after="0" w:line="480" w:lineRule="auto"/>
        <w:ind w:left="0"/>
        <w:rPr>
          <w:rFonts w:cs="Times New Roman"/>
          <w:b/>
        </w:rPr>
      </w:pPr>
      <w:r w:rsidRPr="005779FC">
        <w:rPr>
          <w:rFonts w:cs="Times New Roman"/>
        </w:rPr>
        <w:tab/>
      </w:r>
      <w:r w:rsidR="00B90FFB" w:rsidRPr="005779FC">
        <w:rPr>
          <w:rFonts w:cs="Times New Roman"/>
        </w:rPr>
        <w:t>In 2010, PacifiCorp applied to the Oregon Public Utilities Commission (OPUC) and received approval of REC sales as sales of “property”</w:t>
      </w:r>
      <w:r w:rsidR="00B90FFB" w:rsidRPr="00D335A3">
        <w:rPr>
          <w:rStyle w:val="FootnoteReference"/>
          <w:rFonts w:cs="Times New Roman"/>
        </w:rPr>
        <w:footnoteReference w:id="27"/>
      </w:r>
      <w:r w:rsidR="00B90FFB" w:rsidRPr="005779FC">
        <w:rPr>
          <w:rFonts w:cs="Times New Roman"/>
        </w:rPr>
        <w:t xml:space="preserve"> under the same transfer of property language in Oregon</w:t>
      </w:r>
      <w:r w:rsidR="00EE1905">
        <w:rPr>
          <w:rFonts w:cs="Times New Roman"/>
        </w:rPr>
        <w:t>’s</w:t>
      </w:r>
      <w:r w:rsidR="00B90FFB" w:rsidRPr="005779FC">
        <w:rPr>
          <w:rFonts w:cs="Times New Roman"/>
        </w:rPr>
        <w:t xml:space="preserve"> </w:t>
      </w:r>
      <w:r w:rsidR="0054621B">
        <w:rPr>
          <w:rFonts w:cs="Times New Roman"/>
        </w:rPr>
        <w:t xml:space="preserve">statute that is </w:t>
      </w:r>
      <w:r w:rsidR="00D91D47">
        <w:rPr>
          <w:rFonts w:cs="Times New Roman"/>
        </w:rPr>
        <w:t>found</w:t>
      </w:r>
      <w:r w:rsidR="0054621B">
        <w:rPr>
          <w:rFonts w:cs="Times New Roman"/>
        </w:rPr>
        <w:t xml:space="preserve"> in </w:t>
      </w:r>
      <w:r w:rsidR="00B90FFB" w:rsidRPr="005779FC">
        <w:rPr>
          <w:rFonts w:cs="Times New Roman"/>
        </w:rPr>
        <w:t>Washington</w:t>
      </w:r>
      <w:r w:rsidR="00EE1905">
        <w:rPr>
          <w:rFonts w:cs="Times New Roman"/>
        </w:rPr>
        <w:t>’s</w:t>
      </w:r>
      <w:r w:rsidR="0054621B">
        <w:rPr>
          <w:rFonts w:cs="Times New Roman"/>
        </w:rPr>
        <w:t xml:space="preserve"> statute</w:t>
      </w:r>
      <w:r w:rsidR="00B90FFB" w:rsidRPr="005779FC">
        <w:rPr>
          <w:rFonts w:cs="Times New Roman"/>
        </w:rPr>
        <w:t>.</w:t>
      </w:r>
      <w:r w:rsidR="00B90FFB" w:rsidRPr="00D335A3">
        <w:rPr>
          <w:rStyle w:val="FootnoteReference"/>
          <w:rFonts w:cs="Times New Roman"/>
        </w:rPr>
        <w:footnoteReference w:id="28"/>
      </w:r>
      <w:r w:rsidR="00B90FFB" w:rsidRPr="005779FC">
        <w:rPr>
          <w:rFonts w:cs="Times New Roman"/>
        </w:rPr>
        <w:t xml:space="preserve">  PacifiCorp cannot be prejudiced when this Commission similarly </w:t>
      </w:r>
      <w:r w:rsidR="00D91E76">
        <w:rPr>
          <w:rFonts w:cs="Times New Roman"/>
        </w:rPr>
        <w:t>treats</w:t>
      </w:r>
      <w:r w:rsidR="00B90FFB" w:rsidRPr="005779FC">
        <w:rPr>
          <w:rFonts w:cs="Times New Roman"/>
        </w:rPr>
        <w:t xml:space="preserve"> Washington’s share of the same items.</w:t>
      </w:r>
      <w:r w:rsidR="00B90FFB" w:rsidRPr="00D335A3">
        <w:rPr>
          <w:rStyle w:val="FootnoteReference"/>
          <w:rFonts w:cs="Times New Roman"/>
        </w:rPr>
        <w:footnoteReference w:id="29"/>
      </w:r>
    </w:p>
    <w:p w:rsidR="00FE7E3B" w:rsidRPr="005779FC" w:rsidRDefault="00ED00F8" w:rsidP="005779FC">
      <w:pPr>
        <w:pStyle w:val="ListParagraph"/>
        <w:keepNext/>
        <w:spacing w:after="0" w:line="480" w:lineRule="auto"/>
        <w:ind w:left="0"/>
        <w:rPr>
          <w:rFonts w:cs="Times New Roman"/>
          <w:b/>
        </w:rPr>
      </w:pPr>
      <w:r w:rsidRPr="005779FC">
        <w:rPr>
          <w:rFonts w:cs="Times New Roman"/>
          <w:b/>
        </w:rPr>
        <w:t>C</w:t>
      </w:r>
      <w:r w:rsidR="00FE7E3B" w:rsidRPr="005779FC">
        <w:rPr>
          <w:rFonts w:cs="Times New Roman"/>
          <w:b/>
        </w:rPr>
        <w:t>.</w:t>
      </w:r>
      <w:r w:rsidR="00FE7E3B" w:rsidRPr="005779FC">
        <w:rPr>
          <w:rFonts w:cs="Times New Roman"/>
          <w:b/>
        </w:rPr>
        <w:tab/>
        <w:t>PacifiCorp’s “Operating Revenue” Argument Misconstrues the Order</w:t>
      </w:r>
    </w:p>
    <w:p w:rsidR="00836406" w:rsidRPr="00D335A3" w:rsidRDefault="00DF4638" w:rsidP="00235532">
      <w:pPr>
        <w:pStyle w:val="ListParagraph"/>
        <w:numPr>
          <w:ilvl w:val="0"/>
          <w:numId w:val="1"/>
        </w:numPr>
        <w:spacing w:after="0" w:line="480" w:lineRule="auto"/>
        <w:ind w:left="0"/>
        <w:rPr>
          <w:rFonts w:cs="Times New Roman"/>
        </w:rPr>
      </w:pPr>
      <w:r w:rsidRPr="00D335A3">
        <w:rPr>
          <w:rFonts w:cs="Times New Roman"/>
        </w:rPr>
        <w:tab/>
      </w:r>
      <w:r w:rsidR="00F473BD" w:rsidRPr="00D335A3">
        <w:rPr>
          <w:rFonts w:cs="Times New Roman"/>
        </w:rPr>
        <w:t>The Commission noted in Order 10 that it had not previously accepted the premise that proceeds from REC sales should be factored into the ratemaking process.</w:t>
      </w:r>
      <w:r w:rsidR="00F473BD" w:rsidRPr="00D335A3">
        <w:rPr>
          <w:rStyle w:val="FootnoteReference"/>
          <w:rFonts w:cs="Times New Roman"/>
        </w:rPr>
        <w:footnoteReference w:id="30"/>
      </w:r>
      <w:r w:rsidR="00F473BD" w:rsidRPr="00D335A3">
        <w:rPr>
          <w:rFonts w:cs="Times New Roman"/>
        </w:rPr>
        <w:t xml:space="preserve">  </w:t>
      </w:r>
      <w:r w:rsidR="000044AC" w:rsidRPr="00D335A3">
        <w:rPr>
          <w:rFonts w:cs="Times New Roman"/>
        </w:rPr>
        <w:t>This is correct</w:t>
      </w:r>
      <w:r w:rsidR="00090988" w:rsidRPr="00D335A3">
        <w:rPr>
          <w:rFonts w:cs="Times New Roman"/>
        </w:rPr>
        <w:t xml:space="preserve">; </w:t>
      </w:r>
      <w:r w:rsidR="000044AC" w:rsidRPr="00D335A3">
        <w:rPr>
          <w:rFonts w:cs="Times New Roman"/>
        </w:rPr>
        <w:t xml:space="preserve">the Commission has not </w:t>
      </w:r>
      <w:r w:rsidR="00090988" w:rsidRPr="00D335A3">
        <w:rPr>
          <w:rFonts w:cs="Times New Roman"/>
        </w:rPr>
        <w:t xml:space="preserve">previously issued an order specifically </w:t>
      </w:r>
      <w:r w:rsidR="00960915" w:rsidRPr="00D335A3">
        <w:rPr>
          <w:rFonts w:cs="Times New Roman"/>
        </w:rPr>
        <w:t xml:space="preserve">ruling on the </w:t>
      </w:r>
      <w:r w:rsidR="000112A9">
        <w:rPr>
          <w:rFonts w:cs="Times New Roman"/>
        </w:rPr>
        <w:t xml:space="preserve">merits of the appropriate </w:t>
      </w:r>
      <w:r w:rsidR="00090988" w:rsidRPr="00D335A3">
        <w:rPr>
          <w:rFonts w:cs="Times New Roman"/>
        </w:rPr>
        <w:t>regulatory treatment of PacifiCorp’s RECs</w:t>
      </w:r>
      <w:r w:rsidR="00836406" w:rsidRPr="00D335A3">
        <w:rPr>
          <w:rFonts w:cs="Times New Roman"/>
        </w:rPr>
        <w:t>.</w:t>
      </w:r>
    </w:p>
    <w:p w:rsidR="00836406" w:rsidRPr="00D335A3" w:rsidRDefault="00836406" w:rsidP="00235532">
      <w:pPr>
        <w:pStyle w:val="ListParagraph"/>
        <w:numPr>
          <w:ilvl w:val="0"/>
          <w:numId w:val="1"/>
        </w:numPr>
        <w:spacing w:after="0" w:line="480" w:lineRule="auto"/>
        <w:ind w:left="0"/>
        <w:rPr>
          <w:rFonts w:cs="Times New Roman"/>
        </w:rPr>
      </w:pPr>
      <w:r w:rsidRPr="00D335A3">
        <w:rPr>
          <w:rFonts w:cs="Times New Roman"/>
        </w:rPr>
        <w:lastRenderedPageBreak/>
        <w:tab/>
      </w:r>
      <w:r w:rsidR="000044AC" w:rsidRPr="00D335A3">
        <w:rPr>
          <w:rFonts w:cs="Times New Roman"/>
        </w:rPr>
        <w:t>PacifiCorp responds in part by seeking to add evidence to the record to show how PacifiCorp booked REC revenues in its operating revenue accounts.</w:t>
      </w:r>
      <w:r w:rsidR="000044AC" w:rsidRPr="00D335A3">
        <w:rPr>
          <w:rStyle w:val="FootnoteReference"/>
          <w:rFonts w:cs="Times New Roman"/>
        </w:rPr>
        <w:footnoteReference w:id="31"/>
      </w:r>
      <w:r w:rsidR="007E2519" w:rsidRPr="00D335A3">
        <w:rPr>
          <w:rFonts w:cs="Times New Roman"/>
        </w:rPr>
        <w:t xml:space="preserve">  </w:t>
      </w:r>
      <w:r w:rsidR="00B75CA3" w:rsidRPr="00D335A3">
        <w:rPr>
          <w:rFonts w:cs="Times New Roman"/>
        </w:rPr>
        <w:t>A simple response is that how PacifiCorp booked REC revenues is not relevant.  What is relevant is how to treat REC rev</w:t>
      </w:r>
      <w:r w:rsidRPr="00D335A3">
        <w:rPr>
          <w:rFonts w:cs="Times New Roman"/>
        </w:rPr>
        <w:t>enues for regulatory purposes.</w:t>
      </w:r>
    </w:p>
    <w:p w:rsidR="00836406" w:rsidRPr="00D335A3" w:rsidRDefault="00836406" w:rsidP="00235532">
      <w:pPr>
        <w:pStyle w:val="ListParagraph"/>
        <w:numPr>
          <w:ilvl w:val="0"/>
          <w:numId w:val="1"/>
        </w:numPr>
        <w:spacing w:after="0" w:line="480" w:lineRule="auto"/>
        <w:ind w:left="0"/>
        <w:rPr>
          <w:rFonts w:cs="Times New Roman"/>
        </w:rPr>
      </w:pPr>
      <w:r w:rsidRPr="00D335A3">
        <w:rPr>
          <w:rFonts w:cs="Times New Roman"/>
        </w:rPr>
        <w:tab/>
      </w:r>
      <w:r w:rsidR="00386C8A" w:rsidRPr="00D335A3">
        <w:rPr>
          <w:rFonts w:cs="Times New Roman"/>
        </w:rPr>
        <w:t>But p</w:t>
      </w:r>
      <w:r w:rsidR="00100EDB" w:rsidRPr="00D335A3">
        <w:rPr>
          <w:rFonts w:cs="Times New Roman"/>
        </w:rPr>
        <w:t xml:space="preserve">erhaps the </w:t>
      </w:r>
      <w:r w:rsidR="00B75CA3" w:rsidRPr="00D335A3">
        <w:rPr>
          <w:rFonts w:cs="Times New Roman"/>
        </w:rPr>
        <w:t>more important point is that PacifiCorp</w:t>
      </w:r>
      <w:r w:rsidR="00771989" w:rsidRPr="00D335A3">
        <w:rPr>
          <w:rFonts w:cs="Times New Roman"/>
        </w:rPr>
        <w:t xml:space="preserve">’s argument </w:t>
      </w:r>
      <w:r w:rsidR="00B75CA3" w:rsidRPr="00D335A3">
        <w:rPr>
          <w:rFonts w:cs="Times New Roman"/>
        </w:rPr>
        <w:t xml:space="preserve">misconstrues </w:t>
      </w:r>
      <w:r w:rsidR="000044AC" w:rsidRPr="00D335A3">
        <w:rPr>
          <w:rFonts w:cs="Times New Roman"/>
        </w:rPr>
        <w:t xml:space="preserve">the import of this aspect of </w:t>
      </w:r>
      <w:r w:rsidR="00B75CA3" w:rsidRPr="00D335A3">
        <w:rPr>
          <w:rFonts w:cs="Times New Roman"/>
        </w:rPr>
        <w:t>Order</w:t>
      </w:r>
      <w:r w:rsidR="00386C8A" w:rsidRPr="00D335A3">
        <w:rPr>
          <w:rFonts w:cs="Times New Roman"/>
        </w:rPr>
        <w:t xml:space="preserve"> 10</w:t>
      </w:r>
      <w:r w:rsidR="00B75CA3" w:rsidRPr="00D335A3">
        <w:rPr>
          <w:rFonts w:cs="Times New Roman"/>
        </w:rPr>
        <w:t xml:space="preserve">.  Staff reads </w:t>
      </w:r>
      <w:r w:rsidR="000044AC" w:rsidRPr="00D335A3">
        <w:rPr>
          <w:rFonts w:cs="Times New Roman"/>
        </w:rPr>
        <w:t xml:space="preserve">this part of the </w:t>
      </w:r>
      <w:r w:rsidR="00B75CA3" w:rsidRPr="00D335A3">
        <w:rPr>
          <w:rFonts w:cs="Times New Roman"/>
        </w:rPr>
        <w:t xml:space="preserve">Order to state that it is appropriate to treat RECs as special items of revenue outside the ratemaking </w:t>
      </w:r>
      <w:r w:rsidR="00153F8A">
        <w:rPr>
          <w:rFonts w:cs="Times New Roman"/>
        </w:rPr>
        <w:t>formula</w:t>
      </w:r>
      <w:r w:rsidR="00B75CA3" w:rsidRPr="00D335A3">
        <w:rPr>
          <w:rFonts w:cs="Times New Roman"/>
        </w:rPr>
        <w:t xml:space="preserve"> of Revenues = Expenses + (Rate of Return </w:t>
      </w:r>
      <w:r w:rsidR="009B3082" w:rsidRPr="00D335A3">
        <w:rPr>
          <w:rFonts w:cs="Times New Roman"/>
        </w:rPr>
        <w:t>x</w:t>
      </w:r>
      <w:r w:rsidR="00B75CA3" w:rsidRPr="00D335A3">
        <w:rPr>
          <w:rFonts w:cs="Times New Roman"/>
        </w:rPr>
        <w:t xml:space="preserve"> Rate Base).</w:t>
      </w:r>
    </w:p>
    <w:p w:rsidR="00836406" w:rsidRPr="00D335A3" w:rsidRDefault="00836406" w:rsidP="00235532">
      <w:pPr>
        <w:pStyle w:val="ListParagraph"/>
        <w:numPr>
          <w:ilvl w:val="0"/>
          <w:numId w:val="1"/>
        </w:numPr>
        <w:spacing w:after="0" w:line="480" w:lineRule="auto"/>
        <w:ind w:left="0"/>
        <w:rPr>
          <w:rFonts w:cs="Times New Roman"/>
        </w:rPr>
      </w:pPr>
      <w:r w:rsidRPr="00D335A3">
        <w:rPr>
          <w:rFonts w:cs="Times New Roman"/>
        </w:rPr>
        <w:tab/>
      </w:r>
      <w:r w:rsidR="00B75CA3" w:rsidRPr="00D335A3">
        <w:rPr>
          <w:rFonts w:cs="Times New Roman"/>
        </w:rPr>
        <w:t xml:space="preserve">This is not a novel proposition, and PacifiCorp </w:t>
      </w:r>
      <w:r w:rsidR="00771989" w:rsidRPr="00D335A3">
        <w:rPr>
          <w:rFonts w:cs="Times New Roman"/>
        </w:rPr>
        <w:t xml:space="preserve">does not contest </w:t>
      </w:r>
      <w:r w:rsidR="00ED00F8" w:rsidRPr="00D335A3">
        <w:rPr>
          <w:rFonts w:cs="Times New Roman"/>
        </w:rPr>
        <w:t>it</w:t>
      </w:r>
      <w:r w:rsidR="00E10099" w:rsidRPr="00D335A3">
        <w:rPr>
          <w:rFonts w:cs="Times New Roman"/>
        </w:rPr>
        <w:t>:</w:t>
      </w:r>
      <w:r w:rsidR="009B3082" w:rsidRPr="00D335A3">
        <w:rPr>
          <w:rFonts w:cs="Times New Roman"/>
        </w:rPr>
        <w:t xml:space="preserve"> </w:t>
      </w:r>
      <w:r w:rsidR="00E10099" w:rsidRPr="00D335A3">
        <w:rPr>
          <w:rFonts w:cs="Times New Roman"/>
        </w:rPr>
        <w:t xml:space="preserve"> “customers are generally entitled to a revenue credit for REC sales.</w:t>
      </w:r>
      <w:r w:rsidR="008A125B" w:rsidRPr="00D335A3">
        <w:rPr>
          <w:rFonts w:cs="Times New Roman"/>
        </w:rPr>
        <w:t>”</w:t>
      </w:r>
      <w:r w:rsidR="00E10099" w:rsidRPr="00D335A3">
        <w:rPr>
          <w:rStyle w:val="FootnoteReference"/>
          <w:rFonts w:cs="Times New Roman"/>
        </w:rPr>
        <w:footnoteReference w:id="32"/>
      </w:r>
      <w:r w:rsidR="00B75CA3" w:rsidRPr="00D335A3">
        <w:rPr>
          <w:rFonts w:cs="Times New Roman"/>
        </w:rPr>
        <w:t xml:space="preserve"> </w:t>
      </w:r>
      <w:r w:rsidR="00E10099" w:rsidRPr="00D335A3">
        <w:rPr>
          <w:rFonts w:cs="Times New Roman"/>
        </w:rPr>
        <w:t xml:space="preserve"> </w:t>
      </w:r>
      <w:r w:rsidR="00254CCD" w:rsidRPr="00D335A3">
        <w:rPr>
          <w:rFonts w:cs="Times New Roman"/>
        </w:rPr>
        <w:t>A primary way to implement th</w:t>
      </w:r>
      <w:r w:rsidR="00D86587" w:rsidRPr="00D335A3">
        <w:rPr>
          <w:rFonts w:cs="Times New Roman"/>
        </w:rPr>
        <w:t xml:space="preserve">is uncontested </w:t>
      </w:r>
      <w:r w:rsidR="00254CCD" w:rsidRPr="00D335A3">
        <w:rPr>
          <w:rFonts w:cs="Times New Roman"/>
        </w:rPr>
        <w:t>premise</w:t>
      </w:r>
      <w:r w:rsidR="00D86587" w:rsidRPr="00D335A3">
        <w:rPr>
          <w:rFonts w:cs="Times New Roman"/>
        </w:rPr>
        <w:t xml:space="preserve"> </w:t>
      </w:r>
      <w:r w:rsidR="00254CCD" w:rsidRPr="00D335A3">
        <w:rPr>
          <w:rFonts w:cs="Times New Roman"/>
        </w:rPr>
        <w:t xml:space="preserve">is to </w:t>
      </w:r>
      <w:r w:rsidR="00E816CD" w:rsidRPr="00D335A3">
        <w:rPr>
          <w:rFonts w:cs="Times New Roman"/>
        </w:rPr>
        <w:t xml:space="preserve">do what the Commission said: </w:t>
      </w:r>
      <w:r w:rsidR="009B3082" w:rsidRPr="00D335A3">
        <w:rPr>
          <w:rFonts w:cs="Times New Roman"/>
        </w:rPr>
        <w:t xml:space="preserve"> </w:t>
      </w:r>
      <w:r w:rsidR="00254CCD" w:rsidRPr="00D335A3">
        <w:rPr>
          <w:rFonts w:cs="Times New Roman"/>
        </w:rPr>
        <w:t xml:space="preserve">track the </w:t>
      </w:r>
      <w:r w:rsidR="00B96B80" w:rsidRPr="00D335A3">
        <w:rPr>
          <w:rFonts w:cs="Times New Roman"/>
        </w:rPr>
        <w:t xml:space="preserve">REC sales </w:t>
      </w:r>
      <w:r w:rsidR="00254CCD" w:rsidRPr="00D335A3">
        <w:rPr>
          <w:rFonts w:cs="Times New Roman"/>
        </w:rPr>
        <w:t xml:space="preserve">amounts separately, outside the process of setting </w:t>
      </w:r>
      <w:r w:rsidR="00960915" w:rsidRPr="00D335A3">
        <w:rPr>
          <w:rFonts w:cs="Times New Roman"/>
        </w:rPr>
        <w:t>base</w:t>
      </w:r>
      <w:r w:rsidR="00254CCD" w:rsidRPr="00D335A3">
        <w:rPr>
          <w:rFonts w:cs="Times New Roman"/>
        </w:rPr>
        <w:t xml:space="preserve"> rates</w:t>
      </w:r>
      <w:r w:rsidR="00067075" w:rsidRPr="00D335A3">
        <w:rPr>
          <w:rFonts w:cs="Times New Roman"/>
        </w:rPr>
        <w:t>, and give that revenue back to customers directly</w:t>
      </w:r>
      <w:r w:rsidRPr="00D335A3">
        <w:rPr>
          <w:rFonts w:cs="Times New Roman"/>
        </w:rPr>
        <w:t>.</w:t>
      </w:r>
    </w:p>
    <w:p w:rsidR="00836406" w:rsidRPr="00D335A3" w:rsidRDefault="00836406" w:rsidP="00235532">
      <w:pPr>
        <w:pStyle w:val="ListParagraph"/>
        <w:numPr>
          <w:ilvl w:val="0"/>
          <w:numId w:val="1"/>
        </w:numPr>
        <w:spacing w:after="0" w:line="480" w:lineRule="auto"/>
        <w:ind w:left="0"/>
        <w:rPr>
          <w:rFonts w:cs="Times New Roman"/>
        </w:rPr>
      </w:pPr>
      <w:r w:rsidRPr="00D335A3">
        <w:rPr>
          <w:rFonts w:cs="Times New Roman"/>
        </w:rPr>
        <w:tab/>
      </w:r>
      <w:r w:rsidR="00F105FF" w:rsidRPr="00D335A3">
        <w:rPr>
          <w:rFonts w:cs="Times New Roman"/>
        </w:rPr>
        <w:t xml:space="preserve">PacifiCorp goes on to </w:t>
      </w:r>
      <w:r w:rsidR="0092649E" w:rsidRPr="00D335A3">
        <w:rPr>
          <w:rFonts w:cs="Times New Roman"/>
        </w:rPr>
        <w:t>offer examples</w:t>
      </w:r>
      <w:r w:rsidR="00DF7D2F">
        <w:rPr>
          <w:rFonts w:cs="Times New Roman"/>
        </w:rPr>
        <w:t>,</w:t>
      </w:r>
      <w:r w:rsidR="0092649E" w:rsidRPr="00D335A3">
        <w:rPr>
          <w:rFonts w:cs="Times New Roman"/>
        </w:rPr>
        <w:t xml:space="preserve"> such as American Water</w:t>
      </w:r>
      <w:r w:rsidR="0057340D" w:rsidRPr="00D335A3">
        <w:rPr>
          <w:rFonts w:cs="Times New Roman"/>
        </w:rPr>
        <w:t xml:space="preserve"> Resources</w:t>
      </w:r>
      <w:r w:rsidR="00DF7D2F">
        <w:rPr>
          <w:rFonts w:cs="Times New Roman"/>
        </w:rPr>
        <w:t xml:space="preserve">’ attempt </w:t>
      </w:r>
      <w:r w:rsidR="0057340D" w:rsidRPr="00D335A3">
        <w:rPr>
          <w:rFonts w:cs="Times New Roman"/>
        </w:rPr>
        <w:t xml:space="preserve">to include in rate base </w:t>
      </w:r>
      <w:r w:rsidR="007D7E1F" w:rsidRPr="00D335A3">
        <w:rPr>
          <w:rFonts w:cs="Times New Roman"/>
        </w:rPr>
        <w:t xml:space="preserve">an item of </w:t>
      </w:r>
      <w:r w:rsidR="0057340D" w:rsidRPr="00D335A3">
        <w:rPr>
          <w:rFonts w:cs="Times New Roman"/>
        </w:rPr>
        <w:t xml:space="preserve">plant the </w:t>
      </w:r>
      <w:r w:rsidR="000112A9">
        <w:rPr>
          <w:rFonts w:cs="Times New Roman"/>
        </w:rPr>
        <w:t>utility</w:t>
      </w:r>
      <w:r w:rsidR="0057340D" w:rsidRPr="00D335A3">
        <w:rPr>
          <w:rFonts w:cs="Times New Roman"/>
        </w:rPr>
        <w:t xml:space="preserve"> had expensed</w:t>
      </w:r>
      <w:r w:rsidR="0092649E" w:rsidRPr="00D335A3">
        <w:rPr>
          <w:rFonts w:cs="Times New Roman"/>
        </w:rPr>
        <w:t xml:space="preserve"> prior to the test period</w:t>
      </w:r>
      <w:r w:rsidR="005E1452" w:rsidRPr="00D335A3">
        <w:rPr>
          <w:rFonts w:cs="Times New Roman"/>
        </w:rPr>
        <w:t>,</w:t>
      </w:r>
      <w:r w:rsidR="0057340D" w:rsidRPr="00D335A3">
        <w:rPr>
          <w:rStyle w:val="FootnoteReference"/>
          <w:rFonts w:cs="Times New Roman"/>
        </w:rPr>
        <w:footnoteReference w:id="33"/>
      </w:r>
      <w:r w:rsidR="0057340D" w:rsidRPr="00D335A3">
        <w:rPr>
          <w:rFonts w:cs="Times New Roman"/>
        </w:rPr>
        <w:t xml:space="preserve"> </w:t>
      </w:r>
      <w:r w:rsidR="00EE1905">
        <w:rPr>
          <w:rFonts w:cs="Times New Roman"/>
        </w:rPr>
        <w:t>or</w:t>
      </w:r>
      <w:r w:rsidR="0092649E" w:rsidRPr="00D335A3">
        <w:rPr>
          <w:rFonts w:cs="Times New Roman"/>
        </w:rPr>
        <w:t xml:space="preserve"> </w:t>
      </w:r>
      <w:r w:rsidR="0057340D" w:rsidRPr="00D335A3">
        <w:rPr>
          <w:rFonts w:cs="Times New Roman"/>
        </w:rPr>
        <w:t>Olympia Pipe Line Company</w:t>
      </w:r>
      <w:r w:rsidR="00BA16FD">
        <w:rPr>
          <w:rFonts w:cs="Times New Roman"/>
        </w:rPr>
        <w:t xml:space="preserve">’s attempt </w:t>
      </w:r>
      <w:r w:rsidR="0057340D" w:rsidRPr="00D335A3">
        <w:rPr>
          <w:rFonts w:cs="Times New Roman"/>
        </w:rPr>
        <w:t xml:space="preserve">to recalculate its rate base </w:t>
      </w:r>
      <w:r w:rsidR="007D7E1F" w:rsidRPr="00D335A3">
        <w:rPr>
          <w:rFonts w:cs="Times New Roman"/>
        </w:rPr>
        <w:t>by adding so-called</w:t>
      </w:r>
      <w:r w:rsidR="0057340D" w:rsidRPr="00D335A3">
        <w:rPr>
          <w:rFonts w:cs="Times New Roman"/>
        </w:rPr>
        <w:t xml:space="preserve"> “deferred earnings</w:t>
      </w:r>
      <w:r w:rsidR="007D7E1F" w:rsidRPr="00D335A3">
        <w:rPr>
          <w:rFonts w:cs="Times New Roman"/>
        </w:rPr>
        <w:t>”</w:t>
      </w:r>
      <w:r w:rsidR="0057340D" w:rsidRPr="00D335A3">
        <w:rPr>
          <w:rFonts w:cs="Times New Roman"/>
        </w:rPr>
        <w:t xml:space="preserve"> </w:t>
      </w:r>
      <w:r w:rsidR="00BA16FD">
        <w:rPr>
          <w:rFonts w:cs="Times New Roman"/>
        </w:rPr>
        <w:t xml:space="preserve">the pipeline </w:t>
      </w:r>
      <w:r w:rsidR="007D7E1F" w:rsidRPr="00D335A3">
        <w:rPr>
          <w:rFonts w:cs="Times New Roman"/>
        </w:rPr>
        <w:t>attribut</w:t>
      </w:r>
      <w:r w:rsidR="00BA16FD">
        <w:rPr>
          <w:rFonts w:cs="Times New Roman"/>
        </w:rPr>
        <w:t>ed</w:t>
      </w:r>
      <w:r w:rsidR="007D7E1F" w:rsidRPr="00D335A3">
        <w:rPr>
          <w:rFonts w:cs="Times New Roman"/>
        </w:rPr>
        <w:t xml:space="preserve"> to </w:t>
      </w:r>
      <w:r w:rsidR="00BA16FD">
        <w:rPr>
          <w:rFonts w:cs="Times New Roman"/>
        </w:rPr>
        <w:t xml:space="preserve">years that </w:t>
      </w:r>
      <w:r w:rsidR="007D7E1F" w:rsidRPr="00D335A3">
        <w:rPr>
          <w:rFonts w:cs="Times New Roman"/>
        </w:rPr>
        <w:t>pre-</w:t>
      </w:r>
      <w:r w:rsidR="00BA16FD">
        <w:rPr>
          <w:rFonts w:cs="Times New Roman"/>
        </w:rPr>
        <w:t xml:space="preserve">dated the </w:t>
      </w:r>
      <w:r w:rsidR="007D7E1F" w:rsidRPr="00D335A3">
        <w:rPr>
          <w:rFonts w:cs="Times New Roman"/>
        </w:rPr>
        <w:t xml:space="preserve">test period </w:t>
      </w:r>
      <w:r w:rsidR="00BA16FD">
        <w:rPr>
          <w:rFonts w:cs="Times New Roman"/>
        </w:rPr>
        <w:t>by as much as eighteen years</w:t>
      </w:r>
      <w:r w:rsidR="0057340D" w:rsidRPr="00D335A3">
        <w:rPr>
          <w:rFonts w:cs="Times New Roman"/>
        </w:rPr>
        <w:t xml:space="preserve"> (!).</w:t>
      </w:r>
      <w:r w:rsidR="0057340D" w:rsidRPr="00D335A3">
        <w:rPr>
          <w:rStyle w:val="FootnoteReference"/>
          <w:rFonts w:cs="Times New Roman"/>
        </w:rPr>
        <w:footnoteReference w:id="34"/>
      </w:r>
      <w:r w:rsidR="0092649E" w:rsidRPr="00D335A3">
        <w:rPr>
          <w:rFonts w:cs="Times New Roman"/>
        </w:rPr>
        <w:t xml:space="preserve">  </w:t>
      </w:r>
      <w:r w:rsidR="00304C09">
        <w:rPr>
          <w:rFonts w:cs="Times New Roman"/>
        </w:rPr>
        <w:t>Again, t</w:t>
      </w:r>
      <w:r w:rsidR="0092649E" w:rsidRPr="00D335A3">
        <w:rPr>
          <w:rFonts w:cs="Times New Roman"/>
        </w:rPr>
        <w:t xml:space="preserve">hat is not the issue here.  The issue here is proper treatment of </w:t>
      </w:r>
      <w:r w:rsidR="0092649E" w:rsidRPr="00D335A3">
        <w:rPr>
          <w:rFonts w:cs="Times New Roman"/>
          <w:i/>
        </w:rPr>
        <w:t xml:space="preserve">undistributed </w:t>
      </w:r>
      <w:r w:rsidR="0092649E" w:rsidRPr="00D335A3">
        <w:rPr>
          <w:rFonts w:cs="Times New Roman"/>
        </w:rPr>
        <w:t>REC revenues, no</w:t>
      </w:r>
      <w:r w:rsidR="000112A9">
        <w:rPr>
          <w:rFonts w:cs="Times New Roman"/>
        </w:rPr>
        <w:t xml:space="preserve">ne of </w:t>
      </w:r>
      <w:r w:rsidR="006A1FC5">
        <w:rPr>
          <w:rFonts w:cs="Times New Roman"/>
        </w:rPr>
        <w:t xml:space="preserve">which </w:t>
      </w:r>
      <w:r w:rsidR="0092649E" w:rsidRPr="00D335A3">
        <w:rPr>
          <w:rFonts w:cs="Times New Roman"/>
        </w:rPr>
        <w:t>relate to any period prior to the test period in this case.</w:t>
      </w:r>
    </w:p>
    <w:p w:rsidR="00836406" w:rsidRPr="00D335A3" w:rsidRDefault="00836406" w:rsidP="00836406">
      <w:pPr>
        <w:keepNext/>
        <w:spacing w:after="0" w:line="480" w:lineRule="auto"/>
        <w:rPr>
          <w:rFonts w:cs="Times New Roman"/>
          <w:b/>
        </w:rPr>
      </w:pPr>
      <w:r w:rsidRPr="00D335A3">
        <w:rPr>
          <w:rFonts w:cs="Times New Roman"/>
          <w:b/>
        </w:rPr>
        <w:lastRenderedPageBreak/>
        <w:t>D.</w:t>
      </w:r>
      <w:r w:rsidRPr="00D335A3">
        <w:rPr>
          <w:rFonts w:cs="Times New Roman"/>
          <w:b/>
        </w:rPr>
        <w:tab/>
        <w:t>PacifiCorp’s Same Retroactive Ratemaking Arguments are Still Wrong</w:t>
      </w:r>
      <w:r w:rsidRPr="00D335A3">
        <w:rPr>
          <w:rStyle w:val="FootnoteReference"/>
          <w:rFonts w:cs="Times New Roman"/>
          <w:b/>
        </w:rPr>
        <w:footnoteReference w:id="35"/>
      </w:r>
    </w:p>
    <w:p w:rsidR="00836406" w:rsidRPr="00D335A3" w:rsidRDefault="00836406" w:rsidP="00235532">
      <w:pPr>
        <w:pStyle w:val="ListParagraph"/>
        <w:numPr>
          <w:ilvl w:val="0"/>
          <w:numId w:val="1"/>
        </w:numPr>
        <w:spacing w:after="0" w:line="480" w:lineRule="auto"/>
        <w:ind w:left="0"/>
        <w:rPr>
          <w:rFonts w:cs="Times New Roman"/>
        </w:rPr>
      </w:pPr>
      <w:r w:rsidRPr="00D335A3">
        <w:rPr>
          <w:rFonts w:cs="Times New Roman"/>
        </w:rPr>
        <w:tab/>
      </w:r>
      <w:r w:rsidR="00386C8A" w:rsidRPr="00D335A3">
        <w:rPr>
          <w:rFonts w:cs="Times New Roman"/>
        </w:rPr>
        <w:t xml:space="preserve">As </w:t>
      </w:r>
      <w:r w:rsidR="007E4BAB" w:rsidRPr="00D335A3">
        <w:rPr>
          <w:rFonts w:cs="Times New Roman"/>
        </w:rPr>
        <w:t xml:space="preserve">we previously noted, </w:t>
      </w:r>
      <w:r w:rsidR="00B96B80" w:rsidRPr="00D335A3">
        <w:rPr>
          <w:rFonts w:cs="Times New Roman"/>
        </w:rPr>
        <w:t xml:space="preserve">PacifiCorp “does not contest the premise” that “customers are generally entitled to a revenue credit for REC sales.”  </w:t>
      </w:r>
      <w:r w:rsidR="00D86587" w:rsidRPr="00D335A3">
        <w:rPr>
          <w:rFonts w:cs="Times New Roman"/>
        </w:rPr>
        <w:t xml:space="preserve">Rather, </w:t>
      </w:r>
      <w:r w:rsidR="00CB5731" w:rsidRPr="00D335A3">
        <w:rPr>
          <w:rFonts w:cs="Times New Roman"/>
        </w:rPr>
        <w:t xml:space="preserve">PacifiCorp </w:t>
      </w:r>
      <w:r w:rsidR="00D86587" w:rsidRPr="00D335A3">
        <w:rPr>
          <w:rFonts w:cs="Times New Roman"/>
        </w:rPr>
        <w:t xml:space="preserve">contests </w:t>
      </w:r>
      <w:r w:rsidR="00254CCD" w:rsidRPr="00D335A3">
        <w:rPr>
          <w:rFonts w:cs="Times New Roman"/>
        </w:rPr>
        <w:t>crediting customers with 2009 and 2010 REC sales revenues.  In this regard, PacifiCorp</w:t>
      </w:r>
      <w:r w:rsidR="00E816CD" w:rsidRPr="00D335A3">
        <w:rPr>
          <w:rFonts w:cs="Times New Roman"/>
        </w:rPr>
        <w:t xml:space="preserve">’s Petition </w:t>
      </w:r>
      <w:r w:rsidR="00487877" w:rsidRPr="00D335A3">
        <w:rPr>
          <w:rFonts w:cs="Times New Roman"/>
        </w:rPr>
        <w:t>brings out</w:t>
      </w:r>
      <w:r w:rsidR="00254CCD" w:rsidRPr="00D335A3">
        <w:rPr>
          <w:rFonts w:cs="Times New Roman"/>
        </w:rPr>
        <w:t xml:space="preserve"> the same </w:t>
      </w:r>
      <w:r w:rsidR="00771989" w:rsidRPr="00D335A3">
        <w:rPr>
          <w:rFonts w:cs="Times New Roman"/>
        </w:rPr>
        <w:t xml:space="preserve">flawed </w:t>
      </w:r>
      <w:r w:rsidR="00254CCD" w:rsidRPr="00D335A3">
        <w:rPr>
          <w:rFonts w:cs="Times New Roman"/>
        </w:rPr>
        <w:t xml:space="preserve">“retroactivity” arguments </w:t>
      </w:r>
      <w:r w:rsidR="00E816CD" w:rsidRPr="00D335A3">
        <w:rPr>
          <w:rFonts w:cs="Times New Roman"/>
        </w:rPr>
        <w:t xml:space="preserve">the Company </w:t>
      </w:r>
      <w:r w:rsidR="00487877" w:rsidRPr="00D335A3">
        <w:rPr>
          <w:rFonts w:cs="Times New Roman"/>
        </w:rPr>
        <w:t xml:space="preserve">offered </w:t>
      </w:r>
      <w:r w:rsidR="00254CCD" w:rsidRPr="00D335A3">
        <w:rPr>
          <w:rFonts w:cs="Times New Roman"/>
        </w:rPr>
        <w:t>earlier.</w:t>
      </w:r>
      <w:r w:rsidR="00386C8A" w:rsidRPr="00D335A3">
        <w:rPr>
          <w:rStyle w:val="FootnoteReference"/>
          <w:rFonts w:cs="Times New Roman"/>
        </w:rPr>
        <w:footnoteReference w:id="36"/>
      </w:r>
    </w:p>
    <w:p w:rsidR="00F105FF" w:rsidRPr="00D335A3" w:rsidRDefault="00836406" w:rsidP="00235532">
      <w:pPr>
        <w:pStyle w:val="ListParagraph"/>
        <w:numPr>
          <w:ilvl w:val="0"/>
          <w:numId w:val="1"/>
        </w:numPr>
        <w:spacing w:after="0" w:line="480" w:lineRule="auto"/>
        <w:ind w:left="0"/>
        <w:rPr>
          <w:rFonts w:cs="Times New Roman"/>
        </w:rPr>
      </w:pPr>
      <w:r w:rsidRPr="00D335A3">
        <w:rPr>
          <w:rFonts w:cs="Times New Roman"/>
        </w:rPr>
        <w:tab/>
      </w:r>
      <w:r w:rsidR="00E816CD" w:rsidRPr="00D335A3">
        <w:rPr>
          <w:rFonts w:cs="Times New Roman"/>
        </w:rPr>
        <w:t>T</w:t>
      </w:r>
      <w:r w:rsidR="004B4780" w:rsidRPr="00D335A3">
        <w:rPr>
          <w:rFonts w:cs="Times New Roman"/>
        </w:rPr>
        <w:t xml:space="preserve">he Company’s retroactive ratemaking arguments are no more </w:t>
      </w:r>
      <w:r w:rsidR="00E816CD" w:rsidRPr="00D335A3">
        <w:rPr>
          <w:rFonts w:cs="Times New Roman"/>
        </w:rPr>
        <w:t xml:space="preserve">valid </w:t>
      </w:r>
      <w:r w:rsidR="004B4780" w:rsidRPr="00D335A3">
        <w:rPr>
          <w:rFonts w:cs="Times New Roman"/>
        </w:rPr>
        <w:t xml:space="preserve">now than they were before, because PacifiCorp assiduously avoids two key facts: </w:t>
      </w:r>
      <w:r w:rsidR="00244B53" w:rsidRPr="00D335A3">
        <w:rPr>
          <w:rFonts w:cs="Times New Roman"/>
        </w:rPr>
        <w:t>(</w:t>
      </w:r>
      <w:r w:rsidR="004B4780" w:rsidRPr="00D335A3">
        <w:rPr>
          <w:rFonts w:cs="Times New Roman"/>
        </w:rPr>
        <w:t xml:space="preserve">1) the Company itself placed into issue its </w:t>
      </w:r>
      <w:r w:rsidR="009E4855" w:rsidRPr="00D335A3">
        <w:rPr>
          <w:rFonts w:cs="Times New Roman"/>
        </w:rPr>
        <w:t xml:space="preserve">REC </w:t>
      </w:r>
      <w:r w:rsidR="004B4780" w:rsidRPr="00D335A3">
        <w:rPr>
          <w:rFonts w:cs="Times New Roman"/>
        </w:rPr>
        <w:t xml:space="preserve">revenues by using </w:t>
      </w:r>
      <w:r w:rsidR="009E4855" w:rsidRPr="00D335A3">
        <w:rPr>
          <w:rFonts w:cs="Times New Roman"/>
        </w:rPr>
        <w:t xml:space="preserve">a 2009 test </w:t>
      </w:r>
      <w:r w:rsidR="004B4780" w:rsidRPr="00D335A3">
        <w:rPr>
          <w:rFonts w:cs="Times New Roman"/>
        </w:rPr>
        <w:t xml:space="preserve">year as the basis for its rate case </w:t>
      </w:r>
      <w:r w:rsidR="009E4855" w:rsidRPr="00D335A3">
        <w:rPr>
          <w:rFonts w:cs="Times New Roman"/>
        </w:rPr>
        <w:t>filing</w:t>
      </w:r>
      <w:r w:rsidR="004B4780" w:rsidRPr="00D335A3">
        <w:rPr>
          <w:rFonts w:cs="Times New Roman"/>
        </w:rPr>
        <w:t xml:space="preserve">; and </w:t>
      </w:r>
      <w:r w:rsidR="00244B53" w:rsidRPr="00D335A3">
        <w:rPr>
          <w:rFonts w:cs="Times New Roman"/>
        </w:rPr>
        <w:t>(</w:t>
      </w:r>
      <w:r w:rsidR="004B4780" w:rsidRPr="00D335A3">
        <w:rPr>
          <w:rFonts w:cs="Times New Roman"/>
        </w:rPr>
        <w:t xml:space="preserve">2) the </w:t>
      </w:r>
      <w:r w:rsidR="009E4855" w:rsidRPr="00D335A3">
        <w:rPr>
          <w:rFonts w:cs="Times New Roman"/>
        </w:rPr>
        <w:t xml:space="preserve">amount of </w:t>
      </w:r>
      <w:r w:rsidR="004B4780" w:rsidRPr="00D335A3">
        <w:rPr>
          <w:rFonts w:cs="Times New Roman"/>
        </w:rPr>
        <w:t>REC revenues at issue ha</w:t>
      </w:r>
      <w:r w:rsidR="00244B53" w:rsidRPr="00D335A3">
        <w:rPr>
          <w:rFonts w:cs="Times New Roman"/>
        </w:rPr>
        <w:t>s</w:t>
      </w:r>
      <w:r w:rsidR="004B4780" w:rsidRPr="00D335A3">
        <w:rPr>
          <w:rFonts w:cs="Times New Roman"/>
        </w:rPr>
        <w:t xml:space="preserve"> never been reflected in PacifiCorp’s rates.</w:t>
      </w:r>
      <w:r w:rsidR="00487877" w:rsidRPr="00D335A3">
        <w:rPr>
          <w:rFonts w:cs="Times New Roman"/>
        </w:rPr>
        <w:t xml:space="preserve">  </w:t>
      </w:r>
    </w:p>
    <w:p w:rsidR="00840D4C" w:rsidRPr="00D335A3" w:rsidRDefault="00F105FF" w:rsidP="00235532">
      <w:pPr>
        <w:spacing w:after="0" w:line="480" w:lineRule="auto"/>
        <w:ind w:left="1440" w:hanging="720"/>
        <w:rPr>
          <w:rFonts w:cs="Times New Roman"/>
          <w:b/>
        </w:rPr>
      </w:pPr>
      <w:r w:rsidRPr="00D335A3">
        <w:rPr>
          <w:rFonts w:cs="Times New Roman"/>
          <w:b/>
        </w:rPr>
        <w:t>1</w:t>
      </w:r>
      <w:r w:rsidR="00490CD9" w:rsidRPr="00D335A3">
        <w:rPr>
          <w:rFonts w:cs="Times New Roman"/>
          <w:b/>
        </w:rPr>
        <w:t>.</w:t>
      </w:r>
      <w:r w:rsidR="00490CD9" w:rsidRPr="00D335A3">
        <w:rPr>
          <w:rFonts w:cs="Times New Roman"/>
          <w:b/>
        </w:rPr>
        <w:tab/>
      </w:r>
      <w:r w:rsidR="003C25A7" w:rsidRPr="00D335A3">
        <w:rPr>
          <w:rFonts w:cs="Times New Roman"/>
          <w:b/>
        </w:rPr>
        <w:t xml:space="preserve">PacifiCorp placed REC revenues into issue in this case </w:t>
      </w:r>
    </w:p>
    <w:p w:rsidR="00836406" w:rsidRPr="00AB383C" w:rsidRDefault="00840D4C" w:rsidP="00836406">
      <w:pPr>
        <w:pStyle w:val="ListParagraph"/>
        <w:numPr>
          <w:ilvl w:val="0"/>
          <w:numId w:val="1"/>
        </w:numPr>
        <w:spacing w:after="0" w:line="480" w:lineRule="auto"/>
        <w:ind w:left="0"/>
        <w:rPr>
          <w:rFonts w:cs="Times New Roman"/>
        </w:rPr>
      </w:pPr>
      <w:r w:rsidRPr="00AB383C">
        <w:rPr>
          <w:rFonts w:cs="Times New Roman"/>
        </w:rPr>
        <w:tab/>
      </w:r>
      <w:r w:rsidR="004B4780" w:rsidRPr="00AB383C">
        <w:rPr>
          <w:rFonts w:cs="Times New Roman"/>
        </w:rPr>
        <w:t>PacifiCorp says that before the Commission can address REC revenues separately from the general rate</w:t>
      </w:r>
      <w:r w:rsidR="00244B53" w:rsidRPr="00AB383C">
        <w:rPr>
          <w:rFonts w:cs="Times New Roman"/>
        </w:rPr>
        <w:t>-</w:t>
      </w:r>
      <w:r w:rsidR="004B4780" w:rsidRPr="00AB383C">
        <w:rPr>
          <w:rFonts w:cs="Times New Roman"/>
        </w:rPr>
        <w:t xml:space="preserve">setting exercise in this case, there must be a deferred accounting </w:t>
      </w:r>
      <w:r w:rsidR="004B4780" w:rsidRPr="00AB383C">
        <w:rPr>
          <w:rFonts w:cs="Times New Roman"/>
        </w:rPr>
        <w:lastRenderedPageBreak/>
        <w:t>petition.</w:t>
      </w:r>
      <w:r w:rsidR="004B4780" w:rsidRPr="00D335A3">
        <w:rPr>
          <w:rStyle w:val="FootnoteReference"/>
          <w:rFonts w:cs="Times New Roman"/>
        </w:rPr>
        <w:footnoteReference w:id="37"/>
      </w:r>
      <w:r w:rsidR="004B4780" w:rsidRPr="00AB383C">
        <w:rPr>
          <w:rFonts w:cs="Times New Roman"/>
        </w:rPr>
        <w:t xml:space="preserve">  PacifiCorp quotes a prior Commission </w:t>
      </w:r>
      <w:r w:rsidR="00D10835" w:rsidRPr="00AB383C">
        <w:rPr>
          <w:rFonts w:cs="Times New Roman"/>
        </w:rPr>
        <w:t xml:space="preserve">order </w:t>
      </w:r>
      <w:r w:rsidR="004B4780" w:rsidRPr="00AB383C">
        <w:rPr>
          <w:rFonts w:cs="Times New Roman"/>
        </w:rPr>
        <w:t>to require “notice, a legal consideration, and fairness, an equitable consideration”.</w:t>
      </w:r>
      <w:r w:rsidR="004B4780" w:rsidRPr="00D335A3">
        <w:rPr>
          <w:rStyle w:val="FootnoteReference"/>
          <w:rFonts w:cs="Times New Roman"/>
        </w:rPr>
        <w:footnoteReference w:id="38"/>
      </w:r>
      <w:r w:rsidR="00AB383C" w:rsidRPr="00AB383C">
        <w:rPr>
          <w:rFonts w:cs="Times New Roman"/>
        </w:rPr>
        <w:t xml:space="preserve">  </w:t>
      </w:r>
      <w:r w:rsidR="00FB69FE" w:rsidRPr="00AB383C">
        <w:rPr>
          <w:rFonts w:cs="Times New Roman"/>
        </w:rPr>
        <w:t>However, w</w:t>
      </w:r>
      <w:r w:rsidR="00D10835" w:rsidRPr="00AB383C">
        <w:rPr>
          <w:rFonts w:cs="Times New Roman"/>
        </w:rPr>
        <w:t xml:space="preserve">hen </w:t>
      </w:r>
      <w:r w:rsidR="003C25A7" w:rsidRPr="00AB383C">
        <w:rPr>
          <w:rFonts w:cs="Times New Roman"/>
        </w:rPr>
        <w:t xml:space="preserve">PacifiCorp filed </w:t>
      </w:r>
      <w:r w:rsidR="00A17DF8" w:rsidRPr="00AB383C">
        <w:rPr>
          <w:rFonts w:cs="Times New Roman"/>
        </w:rPr>
        <w:t>this rate case</w:t>
      </w:r>
      <w:r w:rsidR="003C25A7" w:rsidRPr="00AB383C">
        <w:rPr>
          <w:rFonts w:cs="Times New Roman"/>
        </w:rPr>
        <w:t xml:space="preserve">, </w:t>
      </w:r>
      <w:r w:rsidR="00E816CD" w:rsidRPr="00AB383C">
        <w:rPr>
          <w:rFonts w:cs="Times New Roman"/>
        </w:rPr>
        <w:t xml:space="preserve">the Company </w:t>
      </w:r>
      <w:r w:rsidR="004B4780" w:rsidRPr="00AB383C">
        <w:rPr>
          <w:rFonts w:cs="Times New Roman"/>
        </w:rPr>
        <w:t xml:space="preserve">placed </w:t>
      </w:r>
      <w:r w:rsidR="003C25A7" w:rsidRPr="00AB383C">
        <w:rPr>
          <w:rFonts w:cs="Times New Roman"/>
        </w:rPr>
        <w:t xml:space="preserve">into issue </w:t>
      </w:r>
      <w:r w:rsidR="00FB69FE" w:rsidRPr="00AB383C">
        <w:rPr>
          <w:rFonts w:cs="Times New Roman"/>
        </w:rPr>
        <w:t xml:space="preserve">the appropriate treatment of </w:t>
      </w:r>
      <w:r w:rsidR="00A17DF8" w:rsidRPr="00AB383C">
        <w:rPr>
          <w:rFonts w:cs="Times New Roman"/>
        </w:rPr>
        <w:t xml:space="preserve">test period </w:t>
      </w:r>
      <w:r w:rsidR="00FB69FE" w:rsidRPr="00AB383C">
        <w:rPr>
          <w:rFonts w:cs="Times New Roman"/>
        </w:rPr>
        <w:t xml:space="preserve">REC revenues.  </w:t>
      </w:r>
      <w:r w:rsidR="004B4780" w:rsidRPr="00AB383C">
        <w:rPr>
          <w:rFonts w:cs="Times New Roman"/>
        </w:rPr>
        <w:t xml:space="preserve">PacifiCorp was given </w:t>
      </w:r>
      <w:r w:rsidR="00B96B80" w:rsidRPr="00AB383C">
        <w:rPr>
          <w:rFonts w:cs="Times New Roman"/>
        </w:rPr>
        <w:t xml:space="preserve">a </w:t>
      </w:r>
      <w:r w:rsidR="00487877" w:rsidRPr="00AB383C">
        <w:rPr>
          <w:rFonts w:cs="Times New Roman"/>
        </w:rPr>
        <w:t xml:space="preserve">full and </w:t>
      </w:r>
      <w:r w:rsidR="00B96B80" w:rsidRPr="00AB383C">
        <w:rPr>
          <w:rFonts w:cs="Times New Roman"/>
        </w:rPr>
        <w:t xml:space="preserve">fair </w:t>
      </w:r>
      <w:r w:rsidR="004B4780" w:rsidRPr="00AB383C">
        <w:rPr>
          <w:rFonts w:cs="Times New Roman"/>
        </w:rPr>
        <w:t xml:space="preserve">opportunity to litigate </w:t>
      </w:r>
      <w:r w:rsidR="00D10835" w:rsidRPr="00AB383C">
        <w:rPr>
          <w:rFonts w:cs="Times New Roman"/>
        </w:rPr>
        <w:t>REC issues in this case</w:t>
      </w:r>
      <w:r w:rsidR="00836406" w:rsidRPr="00AB383C">
        <w:rPr>
          <w:rFonts w:cs="Times New Roman"/>
        </w:rPr>
        <w:t>.</w:t>
      </w:r>
      <w:r w:rsidR="00C90964" w:rsidRPr="00AB383C">
        <w:rPr>
          <w:rFonts w:cs="Times New Roman"/>
        </w:rPr>
        <w:t xml:space="preserve">  Nothing more is necessary.</w:t>
      </w:r>
    </w:p>
    <w:p w:rsidR="00836406" w:rsidRPr="00D335A3" w:rsidRDefault="00836406" w:rsidP="00836406">
      <w:pPr>
        <w:pStyle w:val="ListParagraph"/>
        <w:numPr>
          <w:ilvl w:val="0"/>
          <w:numId w:val="1"/>
        </w:numPr>
        <w:spacing w:after="0" w:line="480" w:lineRule="auto"/>
        <w:ind w:left="0"/>
        <w:rPr>
          <w:rFonts w:cs="Times New Roman"/>
        </w:rPr>
      </w:pPr>
      <w:r w:rsidRPr="00D335A3">
        <w:rPr>
          <w:rFonts w:cs="Times New Roman"/>
        </w:rPr>
        <w:tab/>
      </w:r>
      <w:r w:rsidR="00404C1D" w:rsidRPr="00D335A3">
        <w:rPr>
          <w:rFonts w:cs="Times New Roman"/>
        </w:rPr>
        <w:t xml:space="preserve">The orders PacifiCorp relies upon </w:t>
      </w:r>
      <w:r w:rsidR="009E4855" w:rsidRPr="00D335A3">
        <w:rPr>
          <w:rFonts w:cs="Times New Roman"/>
        </w:rPr>
        <w:t xml:space="preserve">in fact </w:t>
      </w:r>
      <w:r w:rsidR="00AB383C">
        <w:rPr>
          <w:rFonts w:cs="Times New Roman"/>
        </w:rPr>
        <w:t xml:space="preserve">support our argument and </w:t>
      </w:r>
      <w:r w:rsidR="00404C1D" w:rsidRPr="00D335A3">
        <w:rPr>
          <w:rFonts w:cs="Times New Roman"/>
        </w:rPr>
        <w:t xml:space="preserve">refute the Company’s.  For example, </w:t>
      </w:r>
      <w:r w:rsidR="00D10835" w:rsidRPr="00D335A3">
        <w:rPr>
          <w:rFonts w:cs="Times New Roman"/>
        </w:rPr>
        <w:t>the Company</w:t>
      </w:r>
      <w:r w:rsidR="00404C1D" w:rsidRPr="00D335A3">
        <w:rPr>
          <w:rFonts w:cs="Times New Roman"/>
        </w:rPr>
        <w:t xml:space="preserve"> </w:t>
      </w:r>
      <w:r w:rsidR="00EE1402" w:rsidRPr="00D335A3">
        <w:rPr>
          <w:rFonts w:cs="Times New Roman"/>
        </w:rPr>
        <w:t>bases its argument on the</w:t>
      </w:r>
      <w:r w:rsidR="00D10835" w:rsidRPr="00D335A3">
        <w:rPr>
          <w:rFonts w:cs="Times New Roman"/>
        </w:rPr>
        <w:t xml:space="preserve"> </w:t>
      </w:r>
      <w:r w:rsidR="004B4780" w:rsidRPr="00D335A3">
        <w:rPr>
          <w:rFonts w:cs="Times New Roman"/>
        </w:rPr>
        <w:t>Commission’s order in Avista Dockets UE-991606 and UG-991607</w:t>
      </w:r>
      <w:r w:rsidR="00EE1402" w:rsidRPr="00D335A3">
        <w:rPr>
          <w:rFonts w:cs="Times New Roman"/>
        </w:rPr>
        <w:t>, which PacifiCorp says is</w:t>
      </w:r>
      <w:r w:rsidR="00404C1D" w:rsidRPr="00D335A3">
        <w:rPr>
          <w:rFonts w:cs="Times New Roman"/>
        </w:rPr>
        <w:t xml:space="preserve"> </w:t>
      </w:r>
      <w:r w:rsidR="004B4780" w:rsidRPr="00D335A3">
        <w:rPr>
          <w:rFonts w:cs="Times New Roman"/>
        </w:rPr>
        <w:t xml:space="preserve">an example where the Commission refused to consider </w:t>
      </w:r>
      <w:r w:rsidR="00B96B80" w:rsidRPr="00D335A3">
        <w:rPr>
          <w:rFonts w:cs="Times New Roman"/>
        </w:rPr>
        <w:t xml:space="preserve">extraordinary </w:t>
      </w:r>
      <w:r w:rsidR="004B4780" w:rsidRPr="00D335A3">
        <w:rPr>
          <w:rFonts w:cs="Times New Roman"/>
        </w:rPr>
        <w:t>storm damage expenses absent an accounting petition.</w:t>
      </w:r>
      <w:r w:rsidR="004B4780" w:rsidRPr="00D335A3">
        <w:rPr>
          <w:rStyle w:val="FootnoteReference"/>
          <w:rFonts w:cs="Times New Roman"/>
        </w:rPr>
        <w:footnoteReference w:id="39"/>
      </w:r>
      <w:r w:rsidR="004B4780" w:rsidRPr="00D335A3">
        <w:rPr>
          <w:rFonts w:cs="Times New Roman"/>
        </w:rPr>
        <w:t xml:space="preserve">  </w:t>
      </w:r>
      <w:r w:rsidR="00404C1D" w:rsidRPr="00D335A3">
        <w:rPr>
          <w:rFonts w:cs="Times New Roman"/>
        </w:rPr>
        <w:t xml:space="preserve">However, the </w:t>
      </w:r>
      <w:r w:rsidR="00487877" w:rsidRPr="00D335A3">
        <w:rPr>
          <w:rFonts w:cs="Times New Roman"/>
        </w:rPr>
        <w:t>key point of that order</w:t>
      </w:r>
      <w:r w:rsidR="00404C1D" w:rsidRPr="00D335A3">
        <w:rPr>
          <w:rFonts w:cs="Times New Roman"/>
        </w:rPr>
        <w:t xml:space="preserve"> is that </w:t>
      </w:r>
      <w:r w:rsidR="004B4780" w:rsidRPr="00D335A3">
        <w:rPr>
          <w:rFonts w:cs="Times New Roman"/>
        </w:rPr>
        <w:t>Avista incurred those expenses “before the test year”.</w:t>
      </w:r>
      <w:r w:rsidR="004B4780" w:rsidRPr="00D335A3">
        <w:rPr>
          <w:rStyle w:val="FootnoteReference"/>
          <w:rFonts w:cs="Times New Roman"/>
        </w:rPr>
        <w:footnoteReference w:id="40"/>
      </w:r>
      <w:r w:rsidR="00D10835" w:rsidRPr="00D335A3">
        <w:rPr>
          <w:rFonts w:cs="Times New Roman"/>
        </w:rPr>
        <w:t xml:space="preserve">  Had Avista incurred these expenses </w:t>
      </w:r>
      <w:r w:rsidR="00F01B2A" w:rsidRPr="00D335A3">
        <w:rPr>
          <w:rFonts w:cs="Times New Roman"/>
        </w:rPr>
        <w:t xml:space="preserve">during </w:t>
      </w:r>
      <w:r w:rsidR="00D10835" w:rsidRPr="00D335A3">
        <w:rPr>
          <w:rFonts w:cs="Times New Roman"/>
        </w:rPr>
        <w:t xml:space="preserve">the test </w:t>
      </w:r>
      <w:r w:rsidR="00F01B2A" w:rsidRPr="00D335A3">
        <w:rPr>
          <w:rFonts w:cs="Times New Roman"/>
        </w:rPr>
        <w:t>year</w:t>
      </w:r>
      <w:r w:rsidR="00D10835" w:rsidRPr="00D335A3">
        <w:rPr>
          <w:rFonts w:cs="Times New Roman"/>
        </w:rPr>
        <w:t>, they would have been fair game.</w:t>
      </w:r>
    </w:p>
    <w:p w:rsidR="00836406" w:rsidRPr="00D335A3" w:rsidRDefault="00836406" w:rsidP="00836406">
      <w:pPr>
        <w:pStyle w:val="ListParagraph"/>
        <w:numPr>
          <w:ilvl w:val="0"/>
          <w:numId w:val="1"/>
        </w:numPr>
        <w:spacing w:after="0" w:line="480" w:lineRule="auto"/>
        <w:ind w:left="0"/>
        <w:rPr>
          <w:rFonts w:cs="Times New Roman"/>
        </w:rPr>
      </w:pPr>
      <w:r w:rsidRPr="00D335A3">
        <w:rPr>
          <w:rFonts w:cs="Times New Roman"/>
        </w:rPr>
        <w:tab/>
      </w:r>
      <w:r w:rsidR="00D10835" w:rsidRPr="00D335A3">
        <w:rPr>
          <w:rFonts w:cs="Times New Roman"/>
        </w:rPr>
        <w:t xml:space="preserve">The same situation existed in </w:t>
      </w:r>
      <w:r w:rsidR="00070729" w:rsidRPr="00D335A3">
        <w:rPr>
          <w:rFonts w:cs="Times New Roman"/>
        </w:rPr>
        <w:t xml:space="preserve">another </w:t>
      </w:r>
      <w:r w:rsidR="005F4A18" w:rsidRPr="00D335A3">
        <w:rPr>
          <w:rFonts w:cs="Times New Roman"/>
        </w:rPr>
        <w:t xml:space="preserve">case relied on by the Company for its </w:t>
      </w:r>
      <w:r w:rsidR="00E816CD" w:rsidRPr="00D335A3">
        <w:rPr>
          <w:rFonts w:cs="Times New Roman"/>
        </w:rPr>
        <w:t xml:space="preserve">flawed </w:t>
      </w:r>
      <w:r w:rsidR="005F4A18" w:rsidRPr="00D335A3">
        <w:rPr>
          <w:rFonts w:cs="Times New Roman"/>
        </w:rPr>
        <w:t xml:space="preserve">theory; </w:t>
      </w:r>
      <w:r w:rsidR="00D10835" w:rsidRPr="00D335A3">
        <w:rPr>
          <w:rFonts w:cs="Times New Roman"/>
        </w:rPr>
        <w:t>PacifiCorp</w:t>
      </w:r>
      <w:r w:rsidR="005F4A18" w:rsidRPr="00D335A3">
        <w:rPr>
          <w:rFonts w:cs="Times New Roman"/>
        </w:rPr>
        <w:t>’s own accounting petition in</w:t>
      </w:r>
      <w:r w:rsidR="00D10835" w:rsidRPr="00D335A3">
        <w:rPr>
          <w:rFonts w:cs="Times New Roman"/>
        </w:rPr>
        <w:t xml:space="preserve"> Docket UE-020417</w:t>
      </w:r>
      <w:r w:rsidR="005F4A18" w:rsidRPr="00D335A3">
        <w:rPr>
          <w:rFonts w:cs="Times New Roman"/>
        </w:rPr>
        <w:t>.</w:t>
      </w:r>
      <w:r w:rsidR="005F4A18" w:rsidRPr="00D335A3">
        <w:rPr>
          <w:rStyle w:val="FootnoteReference"/>
          <w:rFonts w:cs="Times New Roman"/>
        </w:rPr>
        <w:footnoteReference w:id="41"/>
      </w:r>
      <w:r w:rsidR="005F4A18" w:rsidRPr="00D335A3">
        <w:rPr>
          <w:rFonts w:cs="Times New Roman"/>
        </w:rPr>
        <w:t xml:space="preserve">  In that instance, PacifiCorp petitioned to defer certain power costs starting June 1, 2002.  </w:t>
      </w:r>
      <w:r w:rsidR="00E816CD" w:rsidRPr="00D335A3">
        <w:rPr>
          <w:rFonts w:cs="Times New Roman"/>
        </w:rPr>
        <w:t>Like the Avista case we just distinguished</w:t>
      </w:r>
      <w:r w:rsidR="00B96B80" w:rsidRPr="00D335A3">
        <w:rPr>
          <w:rFonts w:cs="Times New Roman"/>
        </w:rPr>
        <w:t xml:space="preserve">, the </w:t>
      </w:r>
      <w:r w:rsidR="00487877" w:rsidRPr="00D335A3">
        <w:rPr>
          <w:rFonts w:cs="Times New Roman"/>
        </w:rPr>
        <w:t>key</w:t>
      </w:r>
      <w:r w:rsidR="00B96B80" w:rsidRPr="00D335A3">
        <w:rPr>
          <w:rFonts w:cs="Times New Roman"/>
        </w:rPr>
        <w:t xml:space="preserve"> point </w:t>
      </w:r>
      <w:r w:rsidR="005F4A18" w:rsidRPr="00D335A3">
        <w:rPr>
          <w:rFonts w:cs="Times New Roman"/>
        </w:rPr>
        <w:t>is that the Company had no rate case pending at th</w:t>
      </w:r>
      <w:r w:rsidR="00E816CD" w:rsidRPr="00D335A3">
        <w:rPr>
          <w:rFonts w:cs="Times New Roman"/>
        </w:rPr>
        <w:t>e</w:t>
      </w:r>
      <w:r w:rsidR="005F4A18" w:rsidRPr="00D335A3">
        <w:rPr>
          <w:rFonts w:cs="Times New Roman"/>
        </w:rPr>
        <w:t xml:space="preserve"> time</w:t>
      </w:r>
      <w:r w:rsidR="00E816CD" w:rsidRPr="00D335A3">
        <w:rPr>
          <w:rFonts w:cs="Times New Roman"/>
        </w:rPr>
        <w:t xml:space="preserve"> it filed th</w:t>
      </w:r>
      <w:r w:rsidR="00D86587" w:rsidRPr="00D335A3">
        <w:rPr>
          <w:rFonts w:cs="Times New Roman"/>
        </w:rPr>
        <w:t>at</w:t>
      </w:r>
      <w:r w:rsidR="00E816CD" w:rsidRPr="00D335A3">
        <w:rPr>
          <w:rFonts w:cs="Times New Roman"/>
        </w:rPr>
        <w:t xml:space="preserve"> accounting petition</w:t>
      </w:r>
      <w:r w:rsidR="005F4A18" w:rsidRPr="00D335A3">
        <w:rPr>
          <w:rFonts w:cs="Times New Roman"/>
        </w:rPr>
        <w:t>, let alone a rate</w:t>
      </w:r>
      <w:r w:rsidRPr="00D335A3">
        <w:rPr>
          <w:rFonts w:cs="Times New Roman"/>
        </w:rPr>
        <w:t xml:space="preserve"> case with a 2002 test period.</w:t>
      </w:r>
    </w:p>
    <w:p w:rsidR="00836406" w:rsidRPr="00D335A3" w:rsidRDefault="00836406" w:rsidP="00836406">
      <w:pPr>
        <w:pStyle w:val="ListParagraph"/>
        <w:numPr>
          <w:ilvl w:val="0"/>
          <w:numId w:val="1"/>
        </w:numPr>
        <w:spacing w:after="0" w:line="480" w:lineRule="auto"/>
        <w:ind w:left="0"/>
        <w:rPr>
          <w:rFonts w:cs="Times New Roman"/>
        </w:rPr>
      </w:pPr>
      <w:r w:rsidRPr="00D335A3">
        <w:rPr>
          <w:rFonts w:cs="Times New Roman"/>
        </w:rPr>
        <w:tab/>
      </w:r>
      <w:r w:rsidR="005F4A18" w:rsidRPr="00D335A3">
        <w:rPr>
          <w:rFonts w:cs="Times New Roman"/>
        </w:rPr>
        <w:t xml:space="preserve">Here, by contrast, PacifiCorp has a pending rate case, and </w:t>
      </w:r>
      <w:r w:rsidR="007C4693" w:rsidRPr="00D335A3">
        <w:rPr>
          <w:rFonts w:cs="Times New Roman"/>
        </w:rPr>
        <w:t xml:space="preserve">the </w:t>
      </w:r>
      <w:r w:rsidR="00B96B80" w:rsidRPr="00D335A3">
        <w:rPr>
          <w:rFonts w:cs="Times New Roman"/>
        </w:rPr>
        <w:t xml:space="preserve">REC </w:t>
      </w:r>
      <w:r w:rsidR="005F4A18" w:rsidRPr="00D335A3">
        <w:rPr>
          <w:rFonts w:cs="Times New Roman"/>
        </w:rPr>
        <w:t xml:space="preserve">revenues </w:t>
      </w:r>
      <w:r w:rsidR="007C4693" w:rsidRPr="00D335A3">
        <w:rPr>
          <w:rFonts w:cs="Times New Roman"/>
        </w:rPr>
        <w:t xml:space="preserve">at issue </w:t>
      </w:r>
      <w:r w:rsidR="005F4A18" w:rsidRPr="00D335A3">
        <w:rPr>
          <w:rFonts w:cs="Times New Roman"/>
        </w:rPr>
        <w:t xml:space="preserve">are </w:t>
      </w:r>
      <w:r w:rsidR="00E816CD" w:rsidRPr="00D335A3">
        <w:rPr>
          <w:rFonts w:cs="Times New Roman"/>
        </w:rPr>
        <w:t xml:space="preserve">fairly </w:t>
      </w:r>
      <w:r w:rsidR="000044AC" w:rsidRPr="00D335A3">
        <w:rPr>
          <w:rFonts w:cs="Times New Roman"/>
        </w:rPr>
        <w:t>an</w:t>
      </w:r>
      <w:r w:rsidR="007D7E1F" w:rsidRPr="00D335A3">
        <w:rPr>
          <w:rFonts w:cs="Times New Roman"/>
        </w:rPr>
        <w:t>d</w:t>
      </w:r>
      <w:r w:rsidR="000044AC" w:rsidRPr="00D335A3">
        <w:rPr>
          <w:rFonts w:cs="Times New Roman"/>
        </w:rPr>
        <w:t xml:space="preserve"> appropriately </w:t>
      </w:r>
      <w:r w:rsidR="007C4693" w:rsidRPr="00D335A3">
        <w:rPr>
          <w:rFonts w:cs="Times New Roman"/>
        </w:rPr>
        <w:t>before the Commission</w:t>
      </w:r>
      <w:r w:rsidRPr="00D335A3">
        <w:rPr>
          <w:rFonts w:cs="Times New Roman"/>
        </w:rPr>
        <w:t>.</w:t>
      </w:r>
    </w:p>
    <w:p w:rsidR="00452A64" w:rsidRPr="00D335A3" w:rsidRDefault="00836406" w:rsidP="00836406">
      <w:pPr>
        <w:pStyle w:val="ListParagraph"/>
        <w:numPr>
          <w:ilvl w:val="0"/>
          <w:numId w:val="1"/>
        </w:numPr>
        <w:spacing w:after="0" w:line="480" w:lineRule="auto"/>
        <w:ind w:left="0"/>
        <w:rPr>
          <w:rFonts w:cs="Times New Roman"/>
        </w:rPr>
      </w:pPr>
      <w:r w:rsidRPr="00D335A3">
        <w:rPr>
          <w:rFonts w:cs="Times New Roman"/>
        </w:rPr>
        <w:lastRenderedPageBreak/>
        <w:tab/>
      </w:r>
      <w:r w:rsidR="005779FC">
        <w:rPr>
          <w:rFonts w:cs="Times New Roman"/>
        </w:rPr>
        <w:t xml:space="preserve">Another </w:t>
      </w:r>
      <w:r w:rsidR="00F01B2A" w:rsidRPr="00D335A3">
        <w:rPr>
          <w:rFonts w:cs="Times New Roman"/>
        </w:rPr>
        <w:t xml:space="preserve">PacifiCorp </w:t>
      </w:r>
      <w:r w:rsidR="007B59DF" w:rsidRPr="00D335A3">
        <w:rPr>
          <w:rFonts w:cs="Times New Roman"/>
        </w:rPr>
        <w:t>case</w:t>
      </w:r>
      <w:r w:rsidR="000112A9">
        <w:rPr>
          <w:rFonts w:cs="Times New Roman"/>
        </w:rPr>
        <w:t xml:space="preserve"> relied on by the Company</w:t>
      </w:r>
      <w:r w:rsidR="005779FC">
        <w:rPr>
          <w:rFonts w:cs="Times New Roman"/>
        </w:rPr>
        <w:t xml:space="preserve"> is </w:t>
      </w:r>
      <w:r w:rsidR="00F01B2A" w:rsidRPr="00D335A3">
        <w:rPr>
          <w:rFonts w:cs="Times New Roman"/>
        </w:rPr>
        <w:t>Docket UE-</w:t>
      </w:r>
      <w:r w:rsidR="00FA6D21" w:rsidRPr="00D335A3">
        <w:rPr>
          <w:rFonts w:cs="Times New Roman"/>
        </w:rPr>
        <w:t>050412</w:t>
      </w:r>
      <w:r w:rsidR="00F01B2A" w:rsidRPr="00D335A3">
        <w:rPr>
          <w:rFonts w:cs="Times New Roman"/>
        </w:rPr>
        <w:t xml:space="preserve">, in which PacifiCorp asked for and received </w:t>
      </w:r>
      <w:r w:rsidR="00D86587" w:rsidRPr="00D335A3">
        <w:rPr>
          <w:rFonts w:cs="Times New Roman"/>
        </w:rPr>
        <w:t xml:space="preserve">Commission </w:t>
      </w:r>
      <w:r w:rsidR="009B5A01" w:rsidRPr="00D335A3">
        <w:rPr>
          <w:rFonts w:cs="Times New Roman"/>
        </w:rPr>
        <w:t xml:space="preserve">permission to </w:t>
      </w:r>
      <w:r w:rsidR="00F01B2A" w:rsidRPr="00D335A3">
        <w:rPr>
          <w:rFonts w:cs="Times New Roman"/>
        </w:rPr>
        <w:t xml:space="preserve">defer </w:t>
      </w:r>
      <w:r w:rsidR="00070729" w:rsidRPr="00D335A3">
        <w:rPr>
          <w:rFonts w:cs="Times New Roman"/>
        </w:rPr>
        <w:t xml:space="preserve">excess </w:t>
      </w:r>
      <w:r w:rsidR="00F01B2A" w:rsidRPr="00D335A3">
        <w:rPr>
          <w:rFonts w:cs="Times New Roman"/>
        </w:rPr>
        <w:t xml:space="preserve">hydro costs </w:t>
      </w:r>
      <w:r w:rsidR="00070729" w:rsidRPr="00D335A3">
        <w:rPr>
          <w:rFonts w:cs="Times New Roman"/>
        </w:rPr>
        <w:t>from March 2005 forward.</w:t>
      </w:r>
      <w:r w:rsidR="00070729" w:rsidRPr="00D335A3">
        <w:rPr>
          <w:rStyle w:val="FootnoteReference"/>
          <w:rFonts w:cs="Times New Roman"/>
        </w:rPr>
        <w:footnoteReference w:id="42"/>
      </w:r>
      <w:r w:rsidR="00070729" w:rsidRPr="00D335A3">
        <w:rPr>
          <w:rFonts w:cs="Times New Roman"/>
        </w:rPr>
        <w:t xml:space="preserve">  </w:t>
      </w:r>
      <w:r w:rsidR="0036249E" w:rsidRPr="00D335A3">
        <w:rPr>
          <w:rFonts w:cs="Times New Roman"/>
        </w:rPr>
        <w:t>Once again, t</w:t>
      </w:r>
      <w:r w:rsidR="00F01B2A" w:rsidRPr="00D335A3">
        <w:rPr>
          <w:rFonts w:cs="Times New Roman"/>
        </w:rPr>
        <w:t>he</w:t>
      </w:r>
      <w:r w:rsidR="00D86587" w:rsidRPr="00D335A3">
        <w:rPr>
          <w:rFonts w:cs="Times New Roman"/>
        </w:rPr>
        <w:t xml:space="preserve"> Company had </w:t>
      </w:r>
      <w:r w:rsidR="0036249E" w:rsidRPr="00D335A3">
        <w:rPr>
          <w:rFonts w:cs="Times New Roman"/>
        </w:rPr>
        <w:t>no</w:t>
      </w:r>
      <w:r w:rsidR="009B5A01" w:rsidRPr="00D335A3">
        <w:rPr>
          <w:rFonts w:cs="Times New Roman"/>
        </w:rPr>
        <w:t xml:space="preserve"> rate case pending at th</w:t>
      </w:r>
      <w:r w:rsidR="00D86587" w:rsidRPr="00D335A3">
        <w:rPr>
          <w:rFonts w:cs="Times New Roman"/>
        </w:rPr>
        <w:t>e</w:t>
      </w:r>
      <w:r w:rsidR="009B5A01" w:rsidRPr="00D335A3">
        <w:rPr>
          <w:rFonts w:cs="Times New Roman"/>
        </w:rPr>
        <w:t xml:space="preserve"> time</w:t>
      </w:r>
      <w:r w:rsidR="007B59DF" w:rsidRPr="00D335A3">
        <w:rPr>
          <w:rFonts w:cs="Times New Roman"/>
        </w:rPr>
        <w:t xml:space="preserve"> PacifiCorp filed </w:t>
      </w:r>
      <w:r w:rsidR="00D86587" w:rsidRPr="00D335A3">
        <w:rPr>
          <w:rFonts w:cs="Times New Roman"/>
        </w:rPr>
        <w:t>its</w:t>
      </w:r>
      <w:r w:rsidR="007B59DF" w:rsidRPr="00D335A3">
        <w:rPr>
          <w:rFonts w:cs="Times New Roman"/>
        </w:rPr>
        <w:t xml:space="preserve"> petition</w:t>
      </w:r>
      <w:r w:rsidR="0036249E" w:rsidRPr="00D335A3">
        <w:rPr>
          <w:rFonts w:cs="Times New Roman"/>
        </w:rPr>
        <w:t>.</w:t>
      </w:r>
      <w:r w:rsidR="00237252">
        <w:rPr>
          <w:rStyle w:val="FootnoteReference"/>
          <w:rFonts w:cs="Times New Roman"/>
        </w:rPr>
        <w:footnoteReference w:id="43"/>
      </w:r>
      <w:r w:rsidR="009B5A01" w:rsidRPr="00D335A3">
        <w:rPr>
          <w:rFonts w:cs="Times New Roman"/>
        </w:rPr>
        <w:t xml:space="preserve">  </w:t>
      </w:r>
    </w:p>
    <w:p w:rsidR="003C25A7" w:rsidRPr="00D335A3" w:rsidRDefault="00F105FF" w:rsidP="00836406">
      <w:pPr>
        <w:spacing w:after="0" w:line="240" w:lineRule="auto"/>
        <w:ind w:left="1440" w:hanging="720"/>
        <w:rPr>
          <w:rFonts w:cs="Times New Roman"/>
          <w:b/>
        </w:rPr>
      </w:pPr>
      <w:r w:rsidRPr="00D335A3">
        <w:rPr>
          <w:rFonts w:cs="Times New Roman"/>
          <w:b/>
        </w:rPr>
        <w:t>2</w:t>
      </w:r>
      <w:r w:rsidR="00490CD9" w:rsidRPr="00D335A3">
        <w:rPr>
          <w:rFonts w:cs="Times New Roman"/>
          <w:b/>
        </w:rPr>
        <w:t>.</w:t>
      </w:r>
      <w:r w:rsidR="00490CD9" w:rsidRPr="00D335A3">
        <w:rPr>
          <w:rFonts w:cs="Times New Roman"/>
          <w:b/>
        </w:rPr>
        <w:tab/>
      </w:r>
      <w:r w:rsidR="003C25A7" w:rsidRPr="00D335A3">
        <w:rPr>
          <w:rFonts w:cs="Times New Roman"/>
          <w:b/>
        </w:rPr>
        <w:t xml:space="preserve">The Commission has discretion to treat test period items </w:t>
      </w:r>
      <w:r w:rsidR="00D91D47">
        <w:rPr>
          <w:rFonts w:cs="Times New Roman"/>
          <w:b/>
        </w:rPr>
        <w:t>outside the ratemaking formula</w:t>
      </w:r>
      <w:r w:rsidR="003C25A7" w:rsidRPr="00D335A3">
        <w:rPr>
          <w:rFonts w:cs="Times New Roman"/>
          <w:b/>
        </w:rPr>
        <w:t xml:space="preserve"> when </w:t>
      </w:r>
      <w:r w:rsidR="007E2519" w:rsidRPr="00D335A3">
        <w:rPr>
          <w:rFonts w:cs="Times New Roman"/>
          <w:b/>
        </w:rPr>
        <w:t xml:space="preserve">law or </w:t>
      </w:r>
      <w:r w:rsidR="003C25A7" w:rsidRPr="00D335A3">
        <w:rPr>
          <w:rFonts w:cs="Times New Roman"/>
          <w:b/>
        </w:rPr>
        <w:t xml:space="preserve">policy </w:t>
      </w:r>
      <w:r w:rsidR="007E2519" w:rsidRPr="00D335A3">
        <w:rPr>
          <w:rFonts w:cs="Times New Roman"/>
          <w:b/>
        </w:rPr>
        <w:t xml:space="preserve">so </w:t>
      </w:r>
      <w:r w:rsidR="003C25A7" w:rsidRPr="00D335A3">
        <w:rPr>
          <w:rFonts w:cs="Times New Roman"/>
          <w:b/>
        </w:rPr>
        <w:t>dictates</w:t>
      </w:r>
    </w:p>
    <w:p w:rsidR="00490CD9" w:rsidRPr="00D335A3" w:rsidRDefault="00490CD9" w:rsidP="00836406">
      <w:pPr>
        <w:spacing w:after="0" w:line="240" w:lineRule="auto"/>
        <w:ind w:left="1440"/>
        <w:rPr>
          <w:rFonts w:cs="Times New Roman"/>
          <w:b/>
        </w:rPr>
      </w:pPr>
    </w:p>
    <w:p w:rsidR="00836406" w:rsidRPr="00D335A3" w:rsidRDefault="00840D4C" w:rsidP="00490CD9">
      <w:pPr>
        <w:pStyle w:val="ListParagraph"/>
        <w:numPr>
          <w:ilvl w:val="0"/>
          <w:numId w:val="1"/>
        </w:numPr>
        <w:spacing w:after="0" w:line="480" w:lineRule="auto"/>
        <w:ind w:left="0"/>
        <w:rPr>
          <w:rFonts w:cs="Times New Roman"/>
        </w:rPr>
      </w:pPr>
      <w:r w:rsidRPr="00D335A3">
        <w:rPr>
          <w:rFonts w:cs="Times New Roman"/>
        </w:rPr>
        <w:tab/>
      </w:r>
      <w:r w:rsidR="0036249E" w:rsidRPr="00D335A3">
        <w:rPr>
          <w:rFonts w:cs="Times New Roman"/>
        </w:rPr>
        <w:t>In setting rates, t</w:t>
      </w:r>
      <w:r w:rsidR="00254CCD" w:rsidRPr="00D335A3">
        <w:rPr>
          <w:rFonts w:cs="Times New Roman"/>
        </w:rPr>
        <w:t xml:space="preserve">he Commission usually uses a “test period” </w:t>
      </w:r>
      <w:r w:rsidR="006A1FC5">
        <w:rPr>
          <w:rFonts w:cs="Times New Roman"/>
        </w:rPr>
        <w:t xml:space="preserve">or “test year” </w:t>
      </w:r>
      <w:r w:rsidR="00254CCD" w:rsidRPr="00D335A3">
        <w:rPr>
          <w:rFonts w:cs="Times New Roman"/>
        </w:rPr>
        <w:t>to determine the relationship between revenues, expenses and rate base</w:t>
      </w:r>
      <w:r w:rsidR="00B47A05" w:rsidRPr="00D335A3">
        <w:rPr>
          <w:rFonts w:cs="Times New Roman"/>
        </w:rPr>
        <w:t xml:space="preserve">.  </w:t>
      </w:r>
      <w:r w:rsidR="00CB5731" w:rsidRPr="00D335A3">
        <w:rPr>
          <w:rFonts w:cs="Times New Roman"/>
        </w:rPr>
        <w:t>As the Commission has explained:</w:t>
      </w:r>
    </w:p>
    <w:p w:rsidR="00836406" w:rsidRPr="00D335A3" w:rsidRDefault="00836406" w:rsidP="00836406">
      <w:pPr>
        <w:spacing w:after="0" w:line="240" w:lineRule="auto"/>
        <w:ind w:left="720"/>
        <w:rPr>
          <w:rFonts w:cs="Times New Roman"/>
        </w:rPr>
      </w:pPr>
      <w:r w:rsidRPr="00D335A3">
        <w:rPr>
          <w:rFonts w:cs="Times New Roman"/>
        </w:rPr>
        <w:t>The purpose of a test year, and of restating and pro forma adjustments to test year data is to develop a “normal” level of expenses that is expected to match the Company’s expenses in the rate year.  Once set, levels of expenses vary, and are expected to vary, from those established.  If expenses reach a level where the Company cannot earn a reasonable return, then the Company may file for a rate increase.</w:t>
      </w:r>
      <w:r w:rsidRPr="00D335A3">
        <w:rPr>
          <w:rStyle w:val="FootnoteReference"/>
          <w:rFonts w:cs="Times New Roman"/>
        </w:rPr>
        <w:footnoteReference w:id="44"/>
      </w:r>
    </w:p>
    <w:p w:rsidR="00836406" w:rsidRPr="00D335A3" w:rsidRDefault="00836406" w:rsidP="00836406">
      <w:pPr>
        <w:spacing w:after="0" w:line="240" w:lineRule="auto"/>
        <w:ind w:left="720"/>
        <w:rPr>
          <w:rFonts w:cs="Times New Roman"/>
        </w:rPr>
      </w:pPr>
    </w:p>
    <w:p w:rsidR="00836406" w:rsidRPr="00D335A3" w:rsidRDefault="00836406" w:rsidP="00836406">
      <w:pPr>
        <w:pStyle w:val="ListParagraph"/>
        <w:numPr>
          <w:ilvl w:val="0"/>
          <w:numId w:val="1"/>
        </w:numPr>
        <w:spacing w:after="0" w:line="480" w:lineRule="auto"/>
        <w:ind w:left="0"/>
        <w:rPr>
          <w:rFonts w:cs="Times New Roman"/>
        </w:rPr>
      </w:pPr>
      <w:r w:rsidRPr="00D335A3">
        <w:rPr>
          <w:rFonts w:cs="Times New Roman"/>
        </w:rPr>
        <w:tab/>
      </w:r>
      <w:r w:rsidR="00B47A05" w:rsidRPr="00D335A3">
        <w:rPr>
          <w:rFonts w:cs="Times New Roman"/>
        </w:rPr>
        <w:t>This means that</w:t>
      </w:r>
      <w:r w:rsidR="00CB5731" w:rsidRPr="00D335A3">
        <w:rPr>
          <w:rFonts w:cs="Times New Roman"/>
        </w:rPr>
        <w:t xml:space="preserve"> </w:t>
      </w:r>
      <w:r w:rsidR="00957B84" w:rsidRPr="00D335A3">
        <w:rPr>
          <w:rFonts w:cs="Times New Roman"/>
        </w:rPr>
        <w:t xml:space="preserve">as a result of the </w:t>
      </w:r>
      <w:r w:rsidR="00CB5731" w:rsidRPr="00D335A3">
        <w:rPr>
          <w:rFonts w:cs="Times New Roman"/>
        </w:rPr>
        <w:t xml:space="preserve">general ratemaking process, there is no expectation that the utility </w:t>
      </w:r>
      <w:r w:rsidR="001312FC" w:rsidRPr="00D335A3">
        <w:rPr>
          <w:rFonts w:cs="Times New Roman"/>
        </w:rPr>
        <w:t xml:space="preserve">will </w:t>
      </w:r>
      <w:r w:rsidR="00CB5731" w:rsidRPr="00D335A3">
        <w:rPr>
          <w:rFonts w:cs="Times New Roman"/>
        </w:rPr>
        <w:t>recover specific expense or revenue items</w:t>
      </w:r>
      <w:r w:rsidR="0036249E" w:rsidRPr="00D335A3">
        <w:rPr>
          <w:rFonts w:cs="Times New Roman"/>
        </w:rPr>
        <w:t>.  Th</w:t>
      </w:r>
      <w:r w:rsidR="00452A64" w:rsidRPr="00D335A3">
        <w:rPr>
          <w:rFonts w:cs="Times New Roman"/>
        </w:rPr>
        <w:t>is removes the underpinnings of PacifiCorp’ retroactive ratemaking theory, and renders irrelevant the</w:t>
      </w:r>
      <w:r w:rsidR="00B47A05" w:rsidRPr="00D335A3">
        <w:rPr>
          <w:rFonts w:cs="Times New Roman"/>
        </w:rPr>
        <w:t xml:space="preserve"> </w:t>
      </w:r>
      <w:r w:rsidR="00487877" w:rsidRPr="00D335A3">
        <w:rPr>
          <w:rFonts w:cs="Times New Roman"/>
        </w:rPr>
        <w:t xml:space="preserve">new </w:t>
      </w:r>
      <w:r w:rsidR="00CB5731" w:rsidRPr="00D335A3">
        <w:rPr>
          <w:rFonts w:cs="Times New Roman"/>
        </w:rPr>
        <w:t xml:space="preserve">“facts” the Company wants to </w:t>
      </w:r>
      <w:r w:rsidR="00AB779E">
        <w:rPr>
          <w:rFonts w:cs="Times New Roman"/>
        </w:rPr>
        <w:t xml:space="preserve">burden </w:t>
      </w:r>
      <w:r w:rsidR="00CB5731" w:rsidRPr="00D335A3">
        <w:rPr>
          <w:rFonts w:cs="Times New Roman"/>
        </w:rPr>
        <w:t xml:space="preserve">the record </w:t>
      </w:r>
      <w:r w:rsidR="00AB779E">
        <w:rPr>
          <w:rFonts w:cs="Times New Roman"/>
        </w:rPr>
        <w:t xml:space="preserve">with </w:t>
      </w:r>
      <w:r w:rsidR="00CB5731" w:rsidRPr="00D335A3">
        <w:rPr>
          <w:rFonts w:cs="Times New Roman"/>
        </w:rPr>
        <w:t xml:space="preserve">regarding its prior booking of </w:t>
      </w:r>
      <w:r w:rsidR="00070729" w:rsidRPr="00D335A3">
        <w:rPr>
          <w:rFonts w:cs="Times New Roman"/>
        </w:rPr>
        <w:t xml:space="preserve">REC </w:t>
      </w:r>
      <w:r w:rsidR="00CB5731" w:rsidRPr="00D335A3">
        <w:rPr>
          <w:rFonts w:cs="Times New Roman"/>
        </w:rPr>
        <w:t>revenues.</w:t>
      </w:r>
    </w:p>
    <w:p w:rsidR="00836406" w:rsidRPr="00D335A3" w:rsidRDefault="00836406" w:rsidP="00836406">
      <w:pPr>
        <w:pStyle w:val="ListParagraph"/>
        <w:numPr>
          <w:ilvl w:val="0"/>
          <w:numId w:val="1"/>
        </w:numPr>
        <w:spacing w:after="0" w:line="480" w:lineRule="auto"/>
        <w:ind w:left="0"/>
        <w:rPr>
          <w:rFonts w:cs="Times New Roman"/>
        </w:rPr>
      </w:pPr>
      <w:r w:rsidRPr="00D335A3">
        <w:rPr>
          <w:rFonts w:cs="Times New Roman"/>
        </w:rPr>
        <w:tab/>
      </w:r>
      <w:r w:rsidR="00CB5731" w:rsidRPr="00D335A3">
        <w:rPr>
          <w:rFonts w:cs="Times New Roman"/>
        </w:rPr>
        <w:t xml:space="preserve">At issue in this case is the Commission’s decision to treat RECs apart from the </w:t>
      </w:r>
      <w:r w:rsidR="00957B84" w:rsidRPr="00D335A3">
        <w:rPr>
          <w:rFonts w:cs="Times New Roman"/>
        </w:rPr>
        <w:t>usual rate</w:t>
      </w:r>
      <w:r w:rsidR="00836FAC" w:rsidRPr="00D335A3">
        <w:rPr>
          <w:rFonts w:cs="Times New Roman"/>
        </w:rPr>
        <w:t>-setting</w:t>
      </w:r>
      <w:r w:rsidR="00957B84" w:rsidRPr="00D335A3">
        <w:rPr>
          <w:rFonts w:cs="Times New Roman"/>
        </w:rPr>
        <w:t xml:space="preserve"> process.  Again, the Company does not contest the </w:t>
      </w:r>
      <w:r w:rsidR="00452A64" w:rsidRPr="00D335A3">
        <w:rPr>
          <w:rFonts w:cs="Times New Roman"/>
        </w:rPr>
        <w:t>premise</w:t>
      </w:r>
      <w:r w:rsidR="000112A9">
        <w:rPr>
          <w:rFonts w:cs="Times New Roman"/>
        </w:rPr>
        <w:t xml:space="preserve"> that</w:t>
      </w:r>
      <w:r w:rsidR="00452A64" w:rsidRPr="00D335A3">
        <w:rPr>
          <w:rFonts w:cs="Times New Roman"/>
        </w:rPr>
        <w:t xml:space="preserve"> </w:t>
      </w:r>
      <w:r w:rsidR="00957B84" w:rsidRPr="00D335A3">
        <w:rPr>
          <w:rFonts w:cs="Times New Roman"/>
        </w:rPr>
        <w:t>ratepayers</w:t>
      </w:r>
      <w:r w:rsidR="000112A9">
        <w:rPr>
          <w:rFonts w:cs="Times New Roman"/>
        </w:rPr>
        <w:t xml:space="preserve"> are</w:t>
      </w:r>
      <w:r w:rsidR="00957B84" w:rsidRPr="00D335A3">
        <w:rPr>
          <w:rFonts w:cs="Times New Roman"/>
        </w:rPr>
        <w:t xml:space="preserve"> </w:t>
      </w:r>
      <w:r w:rsidR="00957B84" w:rsidRPr="00D335A3">
        <w:rPr>
          <w:rFonts w:cs="Times New Roman"/>
        </w:rPr>
        <w:lastRenderedPageBreak/>
        <w:t xml:space="preserve">entitlement to this money, </w:t>
      </w:r>
      <w:r w:rsidR="00B47A05" w:rsidRPr="00D335A3">
        <w:rPr>
          <w:rFonts w:cs="Times New Roman"/>
        </w:rPr>
        <w:t xml:space="preserve">and </w:t>
      </w:r>
      <w:r w:rsidR="0036249E" w:rsidRPr="00D335A3">
        <w:rPr>
          <w:rFonts w:cs="Times New Roman"/>
        </w:rPr>
        <w:t xml:space="preserve">a return of that money </w:t>
      </w:r>
      <w:r w:rsidR="00B47A05" w:rsidRPr="00D335A3">
        <w:rPr>
          <w:rFonts w:cs="Times New Roman"/>
        </w:rPr>
        <w:t>via a credit</w:t>
      </w:r>
      <w:r w:rsidR="0036249E" w:rsidRPr="00D335A3">
        <w:rPr>
          <w:rFonts w:cs="Times New Roman"/>
        </w:rPr>
        <w:t>; rather, PacifiCorp challenges the</w:t>
      </w:r>
      <w:r w:rsidR="00957B84" w:rsidRPr="00D335A3">
        <w:rPr>
          <w:rFonts w:cs="Times New Roman"/>
        </w:rPr>
        <w:t xml:space="preserve"> starting point for calculating the amount.</w:t>
      </w:r>
    </w:p>
    <w:p w:rsidR="00836406" w:rsidRPr="00D335A3" w:rsidRDefault="00836406" w:rsidP="00836406">
      <w:pPr>
        <w:pStyle w:val="ListParagraph"/>
        <w:numPr>
          <w:ilvl w:val="0"/>
          <w:numId w:val="1"/>
        </w:numPr>
        <w:spacing w:after="0" w:line="480" w:lineRule="auto"/>
        <w:ind w:left="0"/>
        <w:rPr>
          <w:rFonts w:cs="Times New Roman"/>
        </w:rPr>
      </w:pPr>
      <w:r w:rsidRPr="00D335A3">
        <w:rPr>
          <w:rFonts w:cs="Times New Roman"/>
        </w:rPr>
        <w:tab/>
      </w:r>
      <w:r w:rsidR="007B59DF" w:rsidRPr="00D335A3">
        <w:rPr>
          <w:rFonts w:cs="Times New Roman"/>
        </w:rPr>
        <w:t>I</w:t>
      </w:r>
      <w:r w:rsidR="00957B84" w:rsidRPr="00D335A3">
        <w:rPr>
          <w:rFonts w:cs="Times New Roman"/>
        </w:rPr>
        <w:t xml:space="preserve">n prior pleadings, </w:t>
      </w:r>
      <w:r w:rsidR="0036249E" w:rsidRPr="00D335A3">
        <w:rPr>
          <w:rFonts w:cs="Times New Roman"/>
        </w:rPr>
        <w:t xml:space="preserve">we provided the </w:t>
      </w:r>
      <w:r w:rsidR="00957B84" w:rsidRPr="00D335A3">
        <w:rPr>
          <w:rFonts w:cs="Times New Roman"/>
        </w:rPr>
        <w:t xml:space="preserve">Commission </w:t>
      </w:r>
      <w:r w:rsidR="0036249E" w:rsidRPr="00D335A3">
        <w:rPr>
          <w:rFonts w:cs="Times New Roman"/>
        </w:rPr>
        <w:t xml:space="preserve">numerous examples where the Commission has </w:t>
      </w:r>
      <w:r w:rsidR="00957B84" w:rsidRPr="00D335A3">
        <w:rPr>
          <w:rFonts w:cs="Times New Roman"/>
        </w:rPr>
        <w:t>departed from the usual test year ratemaking process.</w:t>
      </w:r>
      <w:r w:rsidR="00FB69FE" w:rsidRPr="00D335A3">
        <w:rPr>
          <w:rStyle w:val="FootnoteReference"/>
          <w:rFonts w:cs="Times New Roman"/>
        </w:rPr>
        <w:footnoteReference w:id="45"/>
      </w:r>
      <w:r w:rsidR="00957B84" w:rsidRPr="00D335A3">
        <w:rPr>
          <w:rFonts w:cs="Times New Roman"/>
        </w:rPr>
        <w:t xml:space="preserve">  In each </w:t>
      </w:r>
      <w:r w:rsidR="0036249E" w:rsidRPr="00D335A3">
        <w:rPr>
          <w:rFonts w:cs="Times New Roman"/>
        </w:rPr>
        <w:t xml:space="preserve">example, such </w:t>
      </w:r>
      <w:r w:rsidR="00957B84" w:rsidRPr="00D335A3">
        <w:rPr>
          <w:rFonts w:cs="Times New Roman"/>
        </w:rPr>
        <w:t xml:space="preserve">departure worked in the utility’s favor.  </w:t>
      </w:r>
      <w:r w:rsidR="0036249E" w:rsidRPr="00D335A3">
        <w:rPr>
          <w:rFonts w:cs="Times New Roman"/>
        </w:rPr>
        <w:t xml:space="preserve">We will not repeat </w:t>
      </w:r>
      <w:r w:rsidR="009E4855" w:rsidRPr="00D335A3">
        <w:rPr>
          <w:rFonts w:cs="Times New Roman"/>
        </w:rPr>
        <w:t xml:space="preserve">each </w:t>
      </w:r>
      <w:r w:rsidR="0036249E" w:rsidRPr="00D335A3">
        <w:rPr>
          <w:rFonts w:cs="Times New Roman"/>
        </w:rPr>
        <w:t>of the examples</w:t>
      </w:r>
      <w:r w:rsidR="001F40E8" w:rsidRPr="00D335A3">
        <w:rPr>
          <w:rFonts w:cs="Times New Roman"/>
        </w:rPr>
        <w:t xml:space="preserve"> here</w:t>
      </w:r>
      <w:r w:rsidR="0036249E" w:rsidRPr="00D335A3">
        <w:rPr>
          <w:rFonts w:cs="Times New Roman"/>
        </w:rPr>
        <w:t xml:space="preserve">, but </w:t>
      </w:r>
      <w:r w:rsidR="007B59DF" w:rsidRPr="00D335A3">
        <w:rPr>
          <w:rFonts w:cs="Times New Roman"/>
        </w:rPr>
        <w:t>we will focus on</w:t>
      </w:r>
      <w:r w:rsidR="00C174F1" w:rsidRPr="00D335A3">
        <w:rPr>
          <w:rFonts w:cs="Times New Roman"/>
        </w:rPr>
        <w:t xml:space="preserve"> p</w:t>
      </w:r>
      <w:r w:rsidR="00957B84" w:rsidRPr="00D335A3">
        <w:rPr>
          <w:rFonts w:cs="Times New Roman"/>
        </w:rPr>
        <w:t xml:space="preserve">erhaps the simplest </w:t>
      </w:r>
      <w:r w:rsidR="000112A9">
        <w:rPr>
          <w:rFonts w:cs="Times New Roman"/>
        </w:rPr>
        <w:t>one</w:t>
      </w:r>
      <w:r w:rsidR="00960915" w:rsidRPr="00D335A3">
        <w:rPr>
          <w:rFonts w:cs="Times New Roman"/>
        </w:rPr>
        <w:t>.</w:t>
      </w:r>
    </w:p>
    <w:p w:rsidR="00836406" w:rsidRPr="00D335A3" w:rsidRDefault="00836406" w:rsidP="00836406">
      <w:pPr>
        <w:pStyle w:val="ListParagraph"/>
        <w:numPr>
          <w:ilvl w:val="0"/>
          <w:numId w:val="1"/>
        </w:numPr>
        <w:spacing w:after="0" w:line="480" w:lineRule="auto"/>
        <w:ind w:left="0"/>
        <w:rPr>
          <w:rFonts w:cs="Times New Roman"/>
        </w:rPr>
      </w:pPr>
      <w:r w:rsidRPr="00D335A3">
        <w:rPr>
          <w:rFonts w:cs="Times New Roman"/>
        </w:rPr>
        <w:tab/>
      </w:r>
      <w:r w:rsidR="00960915" w:rsidRPr="00D335A3">
        <w:rPr>
          <w:rFonts w:cs="Times New Roman"/>
        </w:rPr>
        <w:t>That example</w:t>
      </w:r>
      <w:r w:rsidR="00957B84" w:rsidRPr="00D335A3">
        <w:rPr>
          <w:rFonts w:cs="Times New Roman"/>
        </w:rPr>
        <w:t xml:space="preserve"> deal</w:t>
      </w:r>
      <w:r w:rsidR="00B47A05" w:rsidRPr="00D335A3">
        <w:rPr>
          <w:rFonts w:cs="Times New Roman"/>
        </w:rPr>
        <w:t>s</w:t>
      </w:r>
      <w:r w:rsidR="00957B84" w:rsidRPr="00D335A3">
        <w:rPr>
          <w:rFonts w:cs="Times New Roman"/>
        </w:rPr>
        <w:t xml:space="preserve"> with the information technology (IT) expenses Avista incurred to address possible computer problems related to the year 2000</w:t>
      </w:r>
      <w:r w:rsidR="0036249E" w:rsidRPr="00D335A3">
        <w:rPr>
          <w:rFonts w:cs="Times New Roman"/>
        </w:rPr>
        <w:t xml:space="preserve"> (</w:t>
      </w:r>
      <w:r w:rsidR="001312FC" w:rsidRPr="00D335A3">
        <w:rPr>
          <w:rFonts w:cs="Times New Roman"/>
        </w:rPr>
        <w:t>hence the moniker</w:t>
      </w:r>
      <w:r w:rsidR="0036249E" w:rsidRPr="00D335A3">
        <w:rPr>
          <w:rFonts w:cs="Times New Roman"/>
        </w:rPr>
        <w:t>:</w:t>
      </w:r>
      <w:r w:rsidR="001312FC" w:rsidRPr="00D335A3">
        <w:rPr>
          <w:rFonts w:cs="Times New Roman"/>
        </w:rPr>
        <w:t xml:space="preserve"> </w:t>
      </w:r>
      <w:r w:rsidR="007E2519" w:rsidRPr="00D335A3">
        <w:rPr>
          <w:rFonts w:cs="Times New Roman"/>
        </w:rPr>
        <w:t xml:space="preserve"> </w:t>
      </w:r>
      <w:r w:rsidR="001312FC" w:rsidRPr="00D335A3">
        <w:rPr>
          <w:rFonts w:cs="Times New Roman"/>
        </w:rPr>
        <w:t>“Y2K” expenses</w:t>
      </w:r>
      <w:r w:rsidR="0036249E" w:rsidRPr="00D335A3">
        <w:rPr>
          <w:rFonts w:cs="Times New Roman"/>
        </w:rPr>
        <w:t>)</w:t>
      </w:r>
      <w:r w:rsidR="00957B84" w:rsidRPr="00D335A3">
        <w:rPr>
          <w:rFonts w:cs="Times New Roman"/>
        </w:rPr>
        <w:t>.</w:t>
      </w:r>
      <w:r w:rsidR="00ED6BA2" w:rsidRPr="00D335A3">
        <w:rPr>
          <w:rFonts w:cs="Times New Roman"/>
        </w:rPr>
        <w:t xml:space="preserve">  </w:t>
      </w:r>
      <w:r w:rsidR="00487877" w:rsidRPr="00D335A3">
        <w:rPr>
          <w:rFonts w:cs="Times New Roman"/>
        </w:rPr>
        <w:t xml:space="preserve">Because of </w:t>
      </w:r>
      <w:r w:rsidR="00960915" w:rsidRPr="00D335A3">
        <w:rPr>
          <w:rFonts w:cs="Times New Roman"/>
        </w:rPr>
        <w:t xml:space="preserve">this </w:t>
      </w:r>
      <w:r w:rsidR="007E2519" w:rsidRPr="00D335A3">
        <w:rPr>
          <w:rFonts w:cs="Times New Roman"/>
        </w:rPr>
        <w:t xml:space="preserve">alleged </w:t>
      </w:r>
      <w:r w:rsidR="00487877" w:rsidRPr="00D335A3">
        <w:rPr>
          <w:rFonts w:cs="Times New Roman"/>
        </w:rPr>
        <w:t xml:space="preserve">Y2K problem, </w:t>
      </w:r>
      <w:r w:rsidR="00957B84" w:rsidRPr="00D335A3">
        <w:rPr>
          <w:rFonts w:cs="Times New Roman"/>
        </w:rPr>
        <w:t xml:space="preserve">Avista incurred an unusually high level of </w:t>
      </w:r>
      <w:r w:rsidR="00487877" w:rsidRPr="00D335A3">
        <w:rPr>
          <w:rFonts w:cs="Times New Roman"/>
        </w:rPr>
        <w:t>IT</w:t>
      </w:r>
      <w:r w:rsidR="00B47A05" w:rsidRPr="00D335A3">
        <w:rPr>
          <w:rFonts w:cs="Times New Roman"/>
        </w:rPr>
        <w:t xml:space="preserve"> </w:t>
      </w:r>
      <w:r w:rsidR="00957B84" w:rsidRPr="00D335A3">
        <w:rPr>
          <w:rFonts w:cs="Times New Roman"/>
        </w:rPr>
        <w:t xml:space="preserve">expenses </w:t>
      </w:r>
      <w:r w:rsidR="00487877" w:rsidRPr="00D335A3">
        <w:rPr>
          <w:rFonts w:cs="Times New Roman"/>
        </w:rPr>
        <w:t>in the test year.</w:t>
      </w:r>
      <w:r w:rsidR="00B47A05" w:rsidRPr="00D335A3">
        <w:rPr>
          <w:rFonts w:cs="Times New Roman"/>
        </w:rPr>
        <w:t xml:space="preserve">  </w:t>
      </w:r>
      <w:r w:rsidR="00487877" w:rsidRPr="00D335A3">
        <w:rPr>
          <w:rFonts w:cs="Times New Roman"/>
        </w:rPr>
        <w:t xml:space="preserve">Despite the fact </w:t>
      </w:r>
      <w:r w:rsidR="001F40E8" w:rsidRPr="00D335A3">
        <w:rPr>
          <w:rFonts w:cs="Times New Roman"/>
        </w:rPr>
        <w:t xml:space="preserve">the </w:t>
      </w:r>
      <w:r w:rsidR="00ED6BA2" w:rsidRPr="00D335A3">
        <w:rPr>
          <w:rFonts w:cs="Times New Roman"/>
        </w:rPr>
        <w:t xml:space="preserve">Company </w:t>
      </w:r>
      <w:r w:rsidR="000112A9">
        <w:rPr>
          <w:rFonts w:cs="Times New Roman"/>
        </w:rPr>
        <w:t xml:space="preserve">finished incurring </w:t>
      </w:r>
      <w:r w:rsidR="001F40E8" w:rsidRPr="00D335A3">
        <w:rPr>
          <w:rFonts w:cs="Times New Roman"/>
        </w:rPr>
        <w:t xml:space="preserve">Y2K </w:t>
      </w:r>
      <w:r w:rsidR="000112A9">
        <w:rPr>
          <w:rFonts w:cs="Times New Roman"/>
        </w:rPr>
        <w:t>costs</w:t>
      </w:r>
      <w:r w:rsidR="001312FC" w:rsidRPr="00D335A3">
        <w:rPr>
          <w:rFonts w:cs="Times New Roman"/>
        </w:rPr>
        <w:t xml:space="preserve"> during the test </w:t>
      </w:r>
      <w:r w:rsidR="00C90964">
        <w:rPr>
          <w:rFonts w:cs="Times New Roman"/>
        </w:rPr>
        <w:t>year</w:t>
      </w:r>
      <w:r w:rsidR="001F40E8" w:rsidRPr="00D335A3">
        <w:rPr>
          <w:rFonts w:cs="Times New Roman"/>
        </w:rPr>
        <w:t xml:space="preserve">, </w:t>
      </w:r>
      <w:r w:rsidR="007B59DF" w:rsidRPr="00D335A3">
        <w:rPr>
          <w:rFonts w:cs="Times New Roman"/>
        </w:rPr>
        <w:t>t</w:t>
      </w:r>
      <w:r w:rsidR="00957B84" w:rsidRPr="00D335A3">
        <w:rPr>
          <w:rFonts w:cs="Times New Roman"/>
        </w:rPr>
        <w:t xml:space="preserve">he Commission allowed Avista </w:t>
      </w:r>
      <w:r w:rsidR="007E2519" w:rsidRPr="00D335A3">
        <w:rPr>
          <w:rFonts w:cs="Times New Roman"/>
        </w:rPr>
        <w:t xml:space="preserve">to </w:t>
      </w:r>
      <w:r w:rsidR="00957B84" w:rsidRPr="00D335A3">
        <w:rPr>
          <w:rFonts w:cs="Times New Roman"/>
        </w:rPr>
        <w:t xml:space="preserve">amortize these </w:t>
      </w:r>
      <w:r w:rsidR="001312FC" w:rsidRPr="00D335A3">
        <w:rPr>
          <w:rFonts w:cs="Times New Roman"/>
        </w:rPr>
        <w:t xml:space="preserve">Y2K </w:t>
      </w:r>
      <w:r w:rsidR="00957B84" w:rsidRPr="00D335A3">
        <w:rPr>
          <w:rFonts w:cs="Times New Roman"/>
        </w:rPr>
        <w:t xml:space="preserve">expenses over </w:t>
      </w:r>
      <w:r w:rsidR="001F40E8" w:rsidRPr="00D335A3">
        <w:rPr>
          <w:rFonts w:cs="Times New Roman"/>
        </w:rPr>
        <w:t xml:space="preserve">the ensuing </w:t>
      </w:r>
      <w:r w:rsidR="00AC4A08" w:rsidRPr="00D335A3">
        <w:rPr>
          <w:rFonts w:cs="Times New Roman"/>
        </w:rPr>
        <w:t xml:space="preserve">five </w:t>
      </w:r>
      <w:r w:rsidR="00957B84" w:rsidRPr="00D335A3">
        <w:rPr>
          <w:rFonts w:cs="Times New Roman"/>
        </w:rPr>
        <w:t>years.</w:t>
      </w:r>
      <w:r w:rsidR="001312FC" w:rsidRPr="00D335A3">
        <w:rPr>
          <w:rStyle w:val="FootnoteReference"/>
          <w:rFonts w:cs="Times New Roman"/>
        </w:rPr>
        <w:footnoteReference w:id="46"/>
      </w:r>
      <w:r w:rsidR="00153F8A">
        <w:rPr>
          <w:rFonts w:cs="Times New Roman"/>
        </w:rPr>
        <w:t xml:space="preserve">  No accounting petition was involved.</w:t>
      </w:r>
      <w:r w:rsidR="00D91E76">
        <w:rPr>
          <w:rFonts w:cs="Times New Roman"/>
        </w:rPr>
        <w:t xml:space="preserve"> </w:t>
      </w:r>
    </w:p>
    <w:p w:rsidR="00836406" w:rsidRPr="00D335A3" w:rsidRDefault="00836406" w:rsidP="00836406">
      <w:pPr>
        <w:pStyle w:val="ListParagraph"/>
        <w:numPr>
          <w:ilvl w:val="0"/>
          <w:numId w:val="1"/>
        </w:numPr>
        <w:spacing w:after="0" w:line="480" w:lineRule="auto"/>
        <w:ind w:left="0"/>
        <w:rPr>
          <w:rFonts w:cs="Times New Roman"/>
        </w:rPr>
      </w:pPr>
      <w:r w:rsidRPr="00D335A3">
        <w:rPr>
          <w:rFonts w:cs="Times New Roman"/>
        </w:rPr>
        <w:tab/>
      </w:r>
      <w:r w:rsidR="00957B84" w:rsidRPr="00D335A3">
        <w:rPr>
          <w:rFonts w:cs="Times New Roman"/>
        </w:rPr>
        <w:t>Applying PacifiCorp’s theory, the Commission</w:t>
      </w:r>
      <w:r w:rsidR="00ED6BA2" w:rsidRPr="00D335A3">
        <w:rPr>
          <w:rFonts w:cs="Times New Roman"/>
        </w:rPr>
        <w:t xml:space="preserve">’s </w:t>
      </w:r>
      <w:r w:rsidR="0036249E" w:rsidRPr="00D335A3">
        <w:rPr>
          <w:rFonts w:cs="Times New Roman"/>
        </w:rPr>
        <w:t xml:space="preserve">granting of that amortization </w:t>
      </w:r>
      <w:r w:rsidR="00ED6BA2" w:rsidRPr="00D335A3">
        <w:rPr>
          <w:rFonts w:cs="Times New Roman"/>
        </w:rPr>
        <w:t xml:space="preserve">was illegal retroactive ratemaking in </w:t>
      </w:r>
      <w:r w:rsidR="00957B84" w:rsidRPr="00D335A3">
        <w:rPr>
          <w:rFonts w:cs="Times New Roman"/>
        </w:rPr>
        <w:t>violat</w:t>
      </w:r>
      <w:r w:rsidR="00ED6BA2" w:rsidRPr="00D335A3">
        <w:rPr>
          <w:rFonts w:cs="Times New Roman"/>
        </w:rPr>
        <w:t>ion of</w:t>
      </w:r>
      <w:r w:rsidR="00957B84" w:rsidRPr="00D335A3">
        <w:rPr>
          <w:rFonts w:cs="Times New Roman"/>
        </w:rPr>
        <w:t xml:space="preserve"> the filed rate doctrine</w:t>
      </w:r>
      <w:r w:rsidR="00ED6BA2" w:rsidRPr="00D335A3">
        <w:rPr>
          <w:rFonts w:cs="Times New Roman"/>
        </w:rPr>
        <w:t xml:space="preserve"> and </w:t>
      </w:r>
      <w:r w:rsidR="00957B84" w:rsidRPr="00D335A3">
        <w:rPr>
          <w:rFonts w:cs="Times New Roman"/>
        </w:rPr>
        <w:t xml:space="preserve">the Constitution, </w:t>
      </w:r>
      <w:r w:rsidR="00ED6BA2" w:rsidRPr="00D335A3">
        <w:rPr>
          <w:rFonts w:cs="Times New Roman"/>
        </w:rPr>
        <w:t xml:space="preserve">because </w:t>
      </w:r>
      <w:r w:rsidR="001E5466" w:rsidRPr="00D335A3">
        <w:rPr>
          <w:rFonts w:cs="Times New Roman"/>
        </w:rPr>
        <w:t>the test period was a historical period, and the Commissi</w:t>
      </w:r>
      <w:bookmarkStart w:id="0" w:name="_GoBack"/>
      <w:bookmarkEnd w:id="0"/>
      <w:r w:rsidR="001E5466" w:rsidRPr="00D335A3">
        <w:rPr>
          <w:rFonts w:cs="Times New Roman"/>
        </w:rPr>
        <w:t>on cannot take those historical amounts and treat them as current amounts</w:t>
      </w:r>
      <w:r w:rsidR="00960915" w:rsidRPr="00D335A3">
        <w:rPr>
          <w:rFonts w:cs="Times New Roman"/>
        </w:rPr>
        <w:t xml:space="preserve"> over the next five years</w:t>
      </w:r>
      <w:r w:rsidR="000112A9">
        <w:rPr>
          <w:rFonts w:cs="Times New Roman"/>
        </w:rPr>
        <w:t>, absent a Commission-approved accounting petition</w:t>
      </w:r>
      <w:r w:rsidR="001E5466" w:rsidRPr="00D335A3">
        <w:rPr>
          <w:rFonts w:cs="Times New Roman"/>
        </w:rPr>
        <w:t>.</w:t>
      </w:r>
      <w:r w:rsidR="001E5466" w:rsidRPr="00D335A3">
        <w:rPr>
          <w:rStyle w:val="FootnoteReference"/>
          <w:rFonts w:cs="Times New Roman"/>
        </w:rPr>
        <w:footnoteReference w:id="47"/>
      </w:r>
    </w:p>
    <w:p w:rsidR="00836406" w:rsidRPr="00D335A3" w:rsidRDefault="00836406" w:rsidP="00836406">
      <w:pPr>
        <w:pStyle w:val="ListParagraph"/>
        <w:numPr>
          <w:ilvl w:val="0"/>
          <w:numId w:val="1"/>
        </w:numPr>
        <w:spacing w:after="0" w:line="480" w:lineRule="auto"/>
        <w:ind w:left="0"/>
        <w:rPr>
          <w:rFonts w:cs="Times New Roman"/>
        </w:rPr>
      </w:pPr>
      <w:r w:rsidRPr="00D335A3">
        <w:rPr>
          <w:rFonts w:cs="Times New Roman"/>
        </w:rPr>
        <w:lastRenderedPageBreak/>
        <w:tab/>
      </w:r>
      <w:r w:rsidR="00ED6BA2" w:rsidRPr="00D335A3">
        <w:rPr>
          <w:rFonts w:cs="Times New Roman"/>
        </w:rPr>
        <w:t xml:space="preserve">Staff’s theory is that </w:t>
      </w:r>
      <w:r w:rsidR="001E5466" w:rsidRPr="00D335A3">
        <w:rPr>
          <w:rFonts w:cs="Times New Roman"/>
        </w:rPr>
        <w:t xml:space="preserve">Avista placed at issue its test period expenses, </w:t>
      </w:r>
      <w:r w:rsidR="001312FC" w:rsidRPr="00D335A3">
        <w:rPr>
          <w:rFonts w:cs="Times New Roman"/>
        </w:rPr>
        <w:t xml:space="preserve">which </w:t>
      </w:r>
      <w:r w:rsidR="001E5466" w:rsidRPr="00D335A3">
        <w:rPr>
          <w:rFonts w:cs="Times New Roman"/>
        </w:rPr>
        <w:t>includ</w:t>
      </w:r>
      <w:r w:rsidR="001312FC" w:rsidRPr="00D335A3">
        <w:rPr>
          <w:rFonts w:cs="Times New Roman"/>
        </w:rPr>
        <w:t>ed</w:t>
      </w:r>
      <w:r w:rsidR="001E5466" w:rsidRPr="00D335A3">
        <w:rPr>
          <w:rFonts w:cs="Times New Roman"/>
        </w:rPr>
        <w:t xml:space="preserve"> its IT-related expenses.  T</w:t>
      </w:r>
      <w:r w:rsidR="00ED6BA2" w:rsidRPr="00D335A3">
        <w:rPr>
          <w:rFonts w:cs="Times New Roman"/>
        </w:rPr>
        <w:t xml:space="preserve">he Commission found </w:t>
      </w:r>
      <w:r w:rsidR="00B47A05" w:rsidRPr="00D335A3">
        <w:rPr>
          <w:rFonts w:cs="Times New Roman"/>
        </w:rPr>
        <w:t xml:space="preserve">in the test period an </w:t>
      </w:r>
      <w:r w:rsidR="00ED6BA2" w:rsidRPr="00D335A3">
        <w:rPr>
          <w:rFonts w:cs="Times New Roman"/>
        </w:rPr>
        <w:t xml:space="preserve">unusual </w:t>
      </w:r>
      <w:r w:rsidR="00B47A05" w:rsidRPr="00D335A3">
        <w:rPr>
          <w:rFonts w:cs="Times New Roman"/>
        </w:rPr>
        <w:t xml:space="preserve">level of IT </w:t>
      </w:r>
      <w:r w:rsidR="00ED6BA2" w:rsidRPr="00D335A3">
        <w:rPr>
          <w:rFonts w:cs="Times New Roman"/>
        </w:rPr>
        <w:t xml:space="preserve">expense </w:t>
      </w:r>
      <w:r w:rsidR="00B47A05" w:rsidRPr="00D335A3">
        <w:rPr>
          <w:rFonts w:cs="Times New Roman"/>
        </w:rPr>
        <w:t xml:space="preserve">related to Y2K, </w:t>
      </w:r>
      <w:r w:rsidR="00ED6BA2" w:rsidRPr="00D335A3">
        <w:rPr>
          <w:rFonts w:cs="Times New Roman"/>
        </w:rPr>
        <w:t xml:space="preserve">and for policy reasons, </w:t>
      </w:r>
      <w:r w:rsidR="001312FC" w:rsidRPr="00D335A3">
        <w:rPr>
          <w:rFonts w:cs="Times New Roman"/>
        </w:rPr>
        <w:t xml:space="preserve">lawfully </w:t>
      </w:r>
      <w:r w:rsidR="00ED6BA2" w:rsidRPr="00D335A3">
        <w:rPr>
          <w:rFonts w:cs="Times New Roman"/>
        </w:rPr>
        <w:t xml:space="preserve">decided the Company should recover </w:t>
      </w:r>
      <w:r w:rsidR="00B47A05" w:rsidRPr="00D335A3">
        <w:rPr>
          <w:rFonts w:cs="Times New Roman"/>
        </w:rPr>
        <w:t xml:space="preserve">those expenses </w:t>
      </w:r>
      <w:r w:rsidR="00ED6BA2" w:rsidRPr="00D335A3">
        <w:rPr>
          <w:rFonts w:cs="Times New Roman"/>
        </w:rPr>
        <w:t>via an amortization.</w:t>
      </w:r>
      <w:r w:rsidR="0036249E" w:rsidRPr="00D335A3">
        <w:rPr>
          <w:rFonts w:cs="Times New Roman"/>
        </w:rPr>
        <w:t xml:space="preserve">  This is but one of </w:t>
      </w:r>
      <w:r w:rsidR="00C174F1" w:rsidRPr="00D335A3">
        <w:rPr>
          <w:rFonts w:cs="Times New Roman"/>
        </w:rPr>
        <w:t xml:space="preserve">many </w:t>
      </w:r>
      <w:r w:rsidR="001E5466" w:rsidRPr="00D335A3">
        <w:rPr>
          <w:rFonts w:cs="Times New Roman"/>
        </w:rPr>
        <w:t xml:space="preserve">examples </w:t>
      </w:r>
      <w:r w:rsidR="00B47A05" w:rsidRPr="00D335A3">
        <w:rPr>
          <w:rFonts w:cs="Times New Roman"/>
        </w:rPr>
        <w:t xml:space="preserve">where commissions have </w:t>
      </w:r>
      <w:r w:rsidR="001E5466" w:rsidRPr="00D335A3">
        <w:rPr>
          <w:rFonts w:cs="Times New Roman"/>
        </w:rPr>
        <w:t>similar</w:t>
      </w:r>
      <w:r w:rsidR="00B47A05" w:rsidRPr="00D335A3">
        <w:rPr>
          <w:rFonts w:cs="Times New Roman"/>
        </w:rPr>
        <w:t>ly</w:t>
      </w:r>
      <w:r w:rsidR="001E5466" w:rsidRPr="00D335A3">
        <w:rPr>
          <w:rFonts w:cs="Times New Roman"/>
        </w:rPr>
        <w:t xml:space="preserve"> </w:t>
      </w:r>
      <w:r w:rsidR="00B47A05" w:rsidRPr="00D335A3">
        <w:rPr>
          <w:rFonts w:cs="Times New Roman"/>
        </w:rPr>
        <w:t xml:space="preserve">allowed actual test year </w:t>
      </w:r>
      <w:r w:rsidR="002E14F7">
        <w:rPr>
          <w:rFonts w:cs="Times New Roman"/>
        </w:rPr>
        <w:t xml:space="preserve">amounts </w:t>
      </w:r>
      <w:r w:rsidR="00B47A05" w:rsidRPr="00D335A3">
        <w:rPr>
          <w:rFonts w:cs="Times New Roman"/>
        </w:rPr>
        <w:t xml:space="preserve">for </w:t>
      </w:r>
      <w:r w:rsidR="00C174F1" w:rsidRPr="00D335A3">
        <w:rPr>
          <w:rFonts w:cs="Times New Roman"/>
        </w:rPr>
        <w:t xml:space="preserve">certain </w:t>
      </w:r>
      <w:r w:rsidR="00B47A05" w:rsidRPr="00D335A3">
        <w:rPr>
          <w:rFonts w:cs="Times New Roman"/>
        </w:rPr>
        <w:t>items</w:t>
      </w:r>
      <w:r w:rsidR="001E5466" w:rsidRPr="00D335A3">
        <w:rPr>
          <w:rFonts w:cs="Times New Roman"/>
        </w:rPr>
        <w:t>.</w:t>
      </w:r>
      <w:r w:rsidR="001E5466" w:rsidRPr="00D335A3">
        <w:rPr>
          <w:rStyle w:val="FootnoteReference"/>
          <w:rFonts w:cs="Times New Roman"/>
        </w:rPr>
        <w:footnoteReference w:id="48"/>
      </w:r>
    </w:p>
    <w:p w:rsidR="00836406" w:rsidRPr="00D335A3" w:rsidRDefault="00836406" w:rsidP="00E856C7">
      <w:pPr>
        <w:pStyle w:val="ListParagraph"/>
        <w:numPr>
          <w:ilvl w:val="0"/>
          <w:numId w:val="1"/>
        </w:numPr>
        <w:spacing w:after="0" w:line="480" w:lineRule="auto"/>
        <w:ind w:left="0"/>
        <w:rPr>
          <w:rFonts w:cs="Times New Roman"/>
        </w:rPr>
      </w:pPr>
      <w:r w:rsidRPr="00D335A3">
        <w:rPr>
          <w:rFonts w:cs="Times New Roman"/>
        </w:rPr>
        <w:tab/>
      </w:r>
      <w:r w:rsidR="001312FC" w:rsidRPr="00D335A3">
        <w:rPr>
          <w:rFonts w:cs="Times New Roman"/>
        </w:rPr>
        <w:t xml:space="preserve">In </w:t>
      </w:r>
      <w:r w:rsidR="00DE753D">
        <w:rPr>
          <w:rFonts w:cs="Times New Roman"/>
        </w:rPr>
        <w:t>sum</w:t>
      </w:r>
      <w:r w:rsidR="001312FC" w:rsidRPr="00D335A3">
        <w:rPr>
          <w:rFonts w:cs="Times New Roman"/>
        </w:rPr>
        <w:t xml:space="preserve">, </w:t>
      </w:r>
      <w:r w:rsidR="00D86587" w:rsidRPr="00D335A3">
        <w:rPr>
          <w:rFonts w:cs="Times New Roman"/>
        </w:rPr>
        <w:t xml:space="preserve">try as it might, </w:t>
      </w:r>
      <w:r w:rsidR="001312FC" w:rsidRPr="00D335A3">
        <w:rPr>
          <w:rFonts w:cs="Times New Roman"/>
        </w:rPr>
        <w:t>PacifiCorp</w:t>
      </w:r>
      <w:r w:rsidR="00D86587" w:rsidRPr="00D335A3">
        <w:rPr>
          <w:rFonts w:cs="Times New Roman"/>
        </w:rPr>
        <w:t xml:space="preserve"> cannot reconcile its </w:t>
      </w:r>
      <w:r w:rsidR="001312FC" w:rsidRPr="00D335A3">
        <w:rPr>
          <w:rFonts w:cs="Times New Roman"/>
        </w:rPr>
        <w:t xml:space="preserve">theory in this case with common regulatory treatment of test period items.  </w:t>
      </w:r>
      <w:r w:rsidR="003C25A7" w:rsidRPr="00D335A3">
        <w:rPr>
          <w:rFonts w:cs="Times New Roman"/>
        </w:rPr>
        <w:t xml:space="preserve">If there </w:t>
      </w:r>
      <w:r w:rsidR="001312FC" w:rsidRPr="00D335A3">
        <w:rPr>
          <w:rFonts w:cs="Times New Roman"/>
        </w:rPr>
        <w:t>is a</w:t>
      </w:r>
      <w:r w:rsidR="00E82C64" w:rsidRPr="00D335A3">
        <w:rPr>
          <w:rFonts w:cs="Times New Roman"/>
        </w:rPr>
        <w:t>nything un</w:t>
      </w:r>
      <w:r w:rsidR="00487877" w:rsidRPr="00D335A3">
        <w:rPr>
          <w:rFonts w:cs="Times New Roman"/>
        </w:rPr>
        <w:t xml:space="preserve">common </w:t>
      </w:r>
      <w:r w:rsidR="00E82C64" w:rsidRPr="00D335A3">
        <w:rPr>
          <w:rFonts w:cs="Times New Roman"/>
        </w:rPr>
        <w:t>here</w:t>
      </w:r>
      <w:r w:rsidR="003C25A7" w:rsidRPr="00D335A3">
        <w:rPr>
          <w:rFonts w:cs="Times New Roman"/>
        </w:rPr>
        <w:t xml:space="preserve">, it is that </w:t>
      </w:r>
      <w:r w:rsidR="007E2519" w:rsidRPr="00D335A3">
        <w:rPr>
          <w:rFonts w:cs="Times New Roman"/>
        </w:rPr>
        <w:t xml:space="preserve">this time, the test period item </w:t>
      </w:r>
      <w:r w:rsidR="001312FC" w:rsidRPr="00D335A3">
        <w:rPr>
          <w:rFonts w:cs="Times New Roman"/>
        </w:rPr>
        <w:t xml:space="preserve">favors the ratepayer, rather than the utility.  </w:t>
      </w:r>
      <w:r w:rsidR="000A0840" w:rsidRPr="00D335A3">
        <w:rPr>
          <w:rFonts w:cs="Times New Roman"/>
        </w:rPr>
        <w:t>Certainly</w:t>
      </w:r>
      <w:r w:rsidR="003C25A7" w:rsidRPr="00D335A3">
        <w:rPr>
          <w:rFonts w:cs="Times New Roman"/>
        </w:rPr>
        <w:t>, t</w:t>
      </w:r>
      <w:r w:rsidR="001312FC" w:rsidRPr="00D335A3">
        <w:rPr>
          <w:rFonts w:cs="Times New Roman"/>
        </w:rPr>
        <w:t xml:space="preserve">hat difference should not dictate </w:t>
      </w:r>
      <w:r w:rsidR="00E82C64" w:rsidRPr="00D335A3">
        <w:rPr>
          <w:rFonts w:cs="Times New Roman"/>
        </w:rPr>
        <w:t xml:space="preserve">a different </w:t>
      </w:r>
      <w:r w:rsidR="001312FC" w:rsidRPr="00D335A3">
        <w:rPr>
          <w:rFonts w:cs="Times New Roman"/>
        </w:rPr>
        <w:t>outcome.</w:t>
      </w:r>
      <w:r w:rsidR="00ED6BA2" w:rsidRPr="00D335A3">
        <w:rPr>
          <w:rFonts w:cs="Times New Roman"/>
        </w:rPr>
        <w:t xml:space="preserve"> </w:t>
      </w:r>
    </w:p>
    <w:p w:rsidR="00ED6BA2" w:rsidRPr="00D335A3" w:rsidRDefault="00FF330B" w:rsidP="00836406">
      <w:pPr>
        <w:pStyle w:val="ListParagraph"/>
        <w:spacing w:after="0" w:line="480" w:lineRule="auto"/>
        <w:ind w:left="0"/>
        <w:rPr>
          <w:rFonts w:cs="Times New Roman"/>
        </w:rPr>
      </w:pPr>
      <w:r w:rsidRPr="00D335A3">
        <w:rPr>
          <w:rFonts w:cs="Times New Roman"/>
          <w:b/>
        </w:rPr>
        <w:t>E</w:t>
      </w:r>
      <w:r w:rsidR="00E856C7" w:rsidRPr="00D335A3">
        <w:rPr>
          <w:rFonts w:cs="Times New Roman"/>
          <w:b/>
        </w:rPr>
        <w:t>.</w:t>
      </w:r>
      <w:r w:rsidR="00E856C7" w:rsidRPr="00D335A3">
        <w:rPr>
          <w:rFonts w:cs="Times New Roman"/>
          <w:b/>
        </w:rPr>
        <w:tab/>
      </w:r>
      <w:r w:rsidR="0071424D" w:rsidRPr="00D335A3">
        <w:rPr>
          <w:rFonts w:cs="Times New Roman"/>
          <w:b/>
        </w:rPr>
        <w:t xml:space="preserve">PacifiCorp’s Rate of Return Argument is </w:t>
      </w:r>
      <w:r w:rsidR="00ED00F8" w:rsidRPr="00D335A3">
        <w:rPr>
          <w:rFonts w:cs="Times New Roman"/>
          <w:b/>
        </w:rPr>
        <w:t xml:space="preserve">Built </w:t>
      </w:r>
      <w:r w:rsidR="0071424D" w:rsidRPr="00D335A3">
        <w:rPr>
          <w:rFonts w:cs="Times New Roman"/>
          <w:b/>
        </w:rPr>
        <w:t>on a False Premise</w:t>
      </w:r>
    </w:p>
    <w:p w:rsidR="00836406" w:rsidRPr="00D335A3" w:rsidRDefault="00E856C7" w:rsidP="00836406">
      <w:pPr>
        <w:pStyle w:val="ListParagraph"/>
        <w:numPr>
          <w:ilvl w:val="0"/>
          <w:numId w:val="1"/>
        </w:numPr>
        <w:spacing w:after="0" w:line="480" w:lineRule="auto"/>
        <w:ind w:left="0"/>
        <w:rPr>
          <w:rFonts w:cs="Times New Roman"/>
        </w:rPr>
      </w:pPr>
      <w:r w:rsidRPr="00D335A3">
        <w:rPr>
          <w:rFonts w:cs="Times New Roman"/>
        </w:rPr>
        <w:tab/>
      </w:r>
      <w:r w:rsidR="0071424D" w:rsidRPr="00D335A3">
        <w:rPr>
          <w:rFonts w:cs="Times New Roman"/>
        </w:rPr>
        <w:t xml:space="preserve">PacifiCorp </w:t>
      </w:r>
      <w:r w:rsidR="001F40E8" w:rsidRPr="00D335A3">
        <w:rPr>
          <w:rFonts w:cs="Times New Roman"/>
        </w:rPr>
        <w:t xml:space="preserve">once </w:t>
      </w:r>
      <w:r w:rsidR="0071424D" w:rsidRPr="00D335A3">
        <w:rPr>
          <w:rFonts w:cs="Times New Roman"/>
        </w:rPr>
        <w:t xml:space="preserve">again </w:t>
      </w:r>
      <w:r w:rsidR="00C174F1" w:rsidRPr="00D335A3">
        <w:rPr>
          <w:rFonts w:cs="Times New Roman"/>
        </w:rPr>
        <w:t>argues</w:t>
      </w:r>
      <w:r w:rsidR="0071424D" w:rsidRPr="00D335A3">
        <w:rPr>
          <w:rFonts w:cs="Times New Roman"/>
        </w:rPr>
        <w:t xml:space="preserve"> that unless it gets every penny of REC revenues for 2009 and 2010, it will not earn a fair return.</w:t>
      </w:r>
      <w:r w:rsidR="0071424D" w:rsidRPr="00D335A3">
        <w:rPr>
          <w:rStyle w:val="FootnoteReference"/>
          <w:rFonts w:cs="Times New Roman"/>
        </w:rPr>
        <w:footnoteReference w:id="49"/>
      </w:r>
      <w:r w:rsidR="0071424D" w:rsidRPr="00D335A3">
        <w:rPr>
          <w:rFonts w:cs="Times New Roman"/>
        </w:rPr>
        <w:t xml:space="preserve">  However, this argument presupposes PacifiCorp is entitled to REC revenues in the first place, which is a false </w:t>
      </w:r>
      <w:r w:rsidR="00B47A05" w:rsidRPr="00D335A3">
        <w:rPr>
          <w:rFonts w:cs="Times New Roman"/>
        </w:rPr>
        <w:t>premise; these dollars belong to ratepayers</w:t>
      </w:r>
      <w:r w:rsidR="0071424D" w:rsidRPr="00D335A3">
        <w:rPr>
          <w:rFonts w:cs="Times New Roman"/>
        </w:rPr>
        <w:t>.</w:t>
      </w:r>
    </w:p>
    <w:p w:rsidR="00C90964" w:rsidRDefault="00836406" w:rsidP="00836406">
      <w:pPr>
        <w:pStyle w:val="ListParagraph"/>
        <w:numPr>
          <w:ilvl w:val="0"/>
          <w:numId w:val="1"/>
        </w:numPr>
        <w:spacing w:after="0" w:line="480" w:lineRule="auto"/>
        <w:ind w:left="0"/>
        <w:rPr>
          <w:rFonts w:cs="Times New Roman"/>
        </w:rPr>
      </w:pPr>
      <w:r w:rsidRPr="00D335A3">
        <w:rPr>
          <w:rFonts w:cs="Times New Roman"/>
        </w:rPr>
        <w:tab/>
      </w:r>
      <w:r w:rsidR="00DD5021" w:rsidRPr="00D335A3">
        <w:rPr>
          <w:rFonts w:cs="Times New Roman"/>
        </w:rPr>
        <w:t xml:space="preserve">The Company employs this false premise when it </w:t>
      </w:r>
      <w:r w:rsidR="007E2519" w:rsidRPr="00D335A3">
        <w:rPr>
          <w:rFonts w:cs="Times New Roman"/>
        </w:rPr>
        <w:t xml:space="preserve">calculates that </w:t>
      </w:r>
      <w:r w:rsidR="00DD5021" w:rsidRPr="00D335A3">
        <w:rPr>
          <w:rFonts w:cs="Times New Roman"/>
        </w:rPr>
        <w:t xml:space="preserve">its earned returns would be </w:t>
      </w:r>
      <w:r w:rsidR="007E2519" w:rsidRPr="00D335A3">
        <w:rPr>
          <w:rFonts w:cs="Times New Roman"/>
        </w:rPr>
        <w:t xml:space="preserve">adversely </w:t>
      </w:r>
      <w:r w:rsidR="00DD5021" w:rsidRPr="00D335A3">
        <w:rPr>
          <w:rFonts w:cs="Times New Roman"/>
        </w:rPr>
        <w:t>affected if the Company cannot keep REC revenue.</w:t>
      </w:r>
      <w:r w:rsidR="007E2519" w:rsidRPr="00D335A3">
        <w:rPr>
          <w:rStyle w:val="FootnoteReference"/>
          <w:rFonts w:cs="Times New Roman"/>
        </w:rPr>
        <w:footnoteReference w:id="50"/>
      </w:r>
      <w:r w:rsidR="00DD5021" w:rsidRPr="00D335A3">
        <w:rPr>
          <w:rFonts w:cs="Times New Roman"/>
        </w:rPr>
        <w:t xml:space="preserve"> </w:t>
      </w:r>
      <w:r w:rsidR="007E2519" w:rsidRPr="00D335A3">
        <w:rPr>
          <w:rFonts w:cs="Times New Roman"/>
        </w:rPr>
        <w:t xml:space="preserve"> </w:t>
      </w:r>
      <w:r w:rsidR="00DD5021" w:rsidRPr="00D335A3">
        <w:rPr>
          <w:rFonts w:cs="Times New Roman"/>
        </w:rPr>
        <w:t xml:space="preserve">We note that in </w:t>
      </w:r>
      <w:r w:rsidR="007E2519" w:rsidRPr="00D335A3">
        <w:rPr>
          <w:rFonts w:cs="Times New Roman"/>
        </w:rPr>
        <w:t xml:space="preserve">no prior rate case did the Commission consider the REC proceeds at issue in this case.  Moreover, in </w:t>
      </w:r>
      <w:r w:rsidR="00DD5021" w:rsidRPr="00D335A3">
        <w:rPr>
          <w:rFonts w:cs="Times New Roman"/>
        </w:rPr>
        <w:t>the prior phase of this docket and in Docket UE-111190, all REC revenue was removed before determining the revenue requirement.</w:t>
      </w:r>
      <w:r w:rsidR="00DD5021" w:rsidRPr="00D335A3">
        <w:rPr>
          <w:rStyle w:val="FootnoteReference"/>
          <w:rFonts w:cs="Times New Roman"/>
        </w:rPr>
        <w:footnoteReference w:id="51"/>
      </w:r>
      <w:r w:rsidR="00DD5021" w:rsidRPr="00D335A3">
        <w:rPr>
          <w:rFonts w:cs="Times New Roman"/>
        </w:rPr>
        <w:t xml:space="preserve">  </w:t>
      </w:r>
    </w:p>
    <w:p w:rsidR="00B47A05" w:rsidRPr="00D335A3" w:rsidRDefault="00C90964" w:rsidP="00836406">
      <w:pPr>
        <w:pStyle w:val="ListParagraph"/>
        <w:numPr>
          <w:ilvl w:val="0"/>
          <w:numId w:val="1"/>
        </w:numPr>
        <w:spacing w:after="0" w:line="480" w:lineRule="auto"/>
        <w:ind w:left="0"/>
        <w:rPr>
          <w:rFonts w:cs="Times New Roman"/>
        </w:rPr>
      </w:pPr>
      <w:r>
        <w:rPr>
          <w:rFonts w:cs="Times New Roman"/>
        </w:rPr>
        <w:lastRenderedPageBreak/>
        <w:tab/>
      </w:r>
      <w:r w:rsidR="00153F8A">
        <w:rPr>
          <w:rFonts w:cs="Times New Roman"/>
        </w:rPr>
        <w:t>The bottom line is that w</w:t>
      </w:r>
      <w:r w:rsidR="00DE753D">
        <w:rPr>
          <w:rFonts w:cs="Times New Roman"/>
        </w:rPr>
        <w:t xml:space="preserve">henever </w:t>
      </w:r>
      <w:r w:rsidR="00DD5021" w:rsidRPr="00D335A3">
        <w:rPr>
          <w:rFonts w:cs="Times New Roman"/>
        </w:rPr>
        <w:t xml:space="preserve">the Company </w:t>
      </w:r>
      <w:r w:rsidR="007E2519" w:rsidRPr="00D335A3">
        <w:rPr>
          <w:rFonts w:cs="Times New Roman"/>
        </w:rPr>
        <w:t>think</w:t>
      </w:r>
      <w:r w:rsidR="005B77DF">
        <w:rPr>
          <w:rFonts w:cs="Times New Roman"/>
        </w:rPr>
        <w:t>s</w:t>
      </w:r>
      <w:r w:rsidR="007E2519" w:rsidRPr="00D335A3">
        <w:rPr>
          <w:rFonts w:cs="Times New Roman"/>
        </w:rPr>
        <w:t xml:space="preserve"> it </w:t>
      </w:r>
      <w:r w:rsidR="00DD5021" w:rsidRPr="00D335A3">
        <w:rPr>
          <w:rFonts w:cs="Times New Roman"/>
        </w:rPr>
        <w:t>can</w:t>
      </w:r>
      <w:r w:rsidR="005B77DF">
        <w:rPr>
          <w:rFonts w:cs="Times New Roman"/>
        </w:rPr>
        <w:t>not</w:t>
      </w:r>
      <w:r w:rsidR="00DD5021" w:rsidRPr="00D335A3">
        <w:rPr>
          <w:rFonts w:cs="Times New Roman"/>
        </w:rPr>
        <w:t xml:space="preserve"> earn a satisfactory return under </w:t>
      </w:r>
      <w:r w:rsidR="002B6694">
        <w:rPr>
          <w:rFonts w:cs="Times New Roman"/>
        </w:rPr>
        <w:t xml:space="preserve">the </w:t>
      </w:r>
      <w:r w:rsidR="00DD5021" w:rsidRPr="00D335A3">
        <w:rPr>
          <w:rFonts w:cs="Times New Roman"/>
        </w:rPr>
        <w:t>rates</w:t>
      </w:r>
      <w:r w:rsidR="002B6694">
        <w:rPr>
          <w:rFonts w:cs="Times New Roman"/>
        </w:rPr>
        <w:t xml:space="preserve"> existing at th</w:t>
      </w:r>
      <w:r w:rsidR="005B77DF">
        <w:rPr>
          <w:rFonts w:cs="Times New Roman"/>
        </w:rPr>
        <w:t>at</w:t>
      </w:r>
      <w:r w:rsidR="002B6694">
        <w:rPr>
          <w:rFonts w:cs="Times New Roman"/>
        </w:rPr>
        <w:t xml:space="preserve"> time</w:t>
      </w:r>
      <w:r w:rsidR="00C174F1" w:rsidRPr="00D335A3">
        <w:rPr>
          <w:rFonts w:cs="Times New Roman"/>
        </w:rPr>
        <w:t xml:space="preserve">, its recourse is to </w:t>
      </w:r>
      <w:r w:rsidR="00DE753D">
        <w:rPr>
          <w:rFonts w:cs="Times New Roman"/>
        </w:rPr>
        <w:t xml:space="preserve">become more efficient or </w:t>
      </w:r>
      <w:r w:rsidR="00C174F1" w:rsidRPr="00D335A3">
        <w:rPr>
          <w:rFonts w:cs="Times New Roman"/>
        </w:rPr>
        <w:t xml:space="preserve">file a rate case, not to </w:t>
      </w:r>
      <w:r w:rsidR="00364955" w:rsidRPr="00D335A3">
        <w:rPr>
          <w:rFonts w:cs="Times New Roman"/>
        </w:rPr>
        <w:t xml:space="preserve">keep </w:t>
      </w:r>
      <w:r w:rsidR="00DD5021" w:rsidRPr="00D335A3">
        <w:rPr>
          <w:rFonts w:cs="Times New Roman"/>
        </w:rPr>
        <w:t>REC monies that belong to ratepayers</w:t>
      </w:r>
      <w:r w:rsidR="00364955" w:rsidRPr="00D335A3">
        <w:rPr>
          <w:rFonts w:cs="Times New Roman"/>
        </w:rPr>
        <w:t>.</w:t>
      </w:r>
    </w:p>
    <w:p w:rsidR="001F40E8" w:rsidRPr="00D335A3" w:rsidRDefault="00FF330B" w:rsidP="001F40E8">
      <w:pPr>
        <w:pStyle w:val="ListParagraph"/>
        <w:spacing w:after="0" w:line="480" w:lineRule="auto"/>
        <w:ind w:left="0"/>
        <w:rPr>
          <w:rFonts w:cs="Times New Roman"/>
          <w:b/>
        </w:rPr>
      </w:pPr>
      <w:r w:rsidRPr="00D335A3">
        <w:rPr>
          <w:rFonts w:cs="Times New Roman"/>
          <w:b/>
        </w:rPr>
        <w:t>F</w:t>
      </w:r>
      <w:r w:rsidR="001F40E8" w:rsidRPr="00D335A3">
        <w:rPr>
          <w:rFonts w:cs="Times New Roman"/>
          <w:b/>
        </w:rPr>
        <w:t>.</w:t>
      </w:r>
      <w:r w:rsidR="001F40E8" w:rsidRPr="00D335A3">
        <w:rPr>
          <w:rFonts w:cs="Times New Roman"/>
          <w:b/>
        </w:rPr>
        <w:tab/>
        <w:t>Calculation Issues</w:t>
      </w:r>
    </w:p>
    <w:p w:rsidR="00836406" w:rsidRPr="00D335A3" w:rsidRDefault="00840D4C" w:rsidP="002351A0">
      <w:pPr>
        <w:pStyle w:val="ListParagraph"/>
        <w:numPr>
          <w:ilvl w:val="0"/>
          <w:numId w:val="1"/>
        </w:numPr>
        <w:spacing w:after="0" w:line="480" w:lineRule="auto"/>
        <w:ind w:left="0"/>
        <w:rPr>
          <w:rFonts w:cs="Times New Roman"/>
        </w:rPr>
      </w:pPr>
      <w:r w:rsidRPr="00D335A3">
        <w:rPr>
          <w:rFonts w:cs="Times New Roman"/>
        </w:rPr>
        <w:tab/>
      </w:r>
      <w:r w:rsidR="00386C8A" w:rsidRPr="00D335A3">
        <w:rPr>
          <w:rFonts w:cs="Times New Roman"/>
        </w:rPr>
        <w:t xml:space="preserve">The specific calculation </w:t>
      </w:r>
      <w:r w:rsidR="009E4855" w:rsidRPr="00D335A3">
        <w:rPr>
          <w:rFonts w:cs="Times New Roman"/>
        </w:rPr>
        <w:t xml:space="preserve">issue </w:t>
      </w:r>
      <w:r w:rsidR="00386C8A" w:rsidRPr="00D335A3">
        <w:rPr>
          <w:rFonts w:cs="Times New Roman"/>
        </w:rPr>
        <w:t xml:space="preserve">PacifiCorp challenges </w:t>
      </w:r>
      <w:r w:rsidR="00A17DF8" w:rsidRPr="00D335A3">
        <w:rPr>
          <w:rFonts w:cs="Times New Roman"/>
        </w:rPr>
        <w:t xml:space="preserve">on reconsideration </w:t>
      </w:r>
      <w:r w:rsidR="00386C8A" w:rsidRPr="00D335A3">
        <w:rPr>
          <w:rFonts w:cs="Times New Roman"/>
        </w:rPr>
        <w:t xml:space="preserve">is the </w:t>
      </w:r>
      <w:r w:rsidR="001F40E8" w:rsidRPr="00D335A3">
        <w:rPr>
          <w:rFonts w:cs="Times New Roman"/>
        </w:rPr>
        <w:t xml:space="preserve">Commission’s decision to impute 100 percent of the value of </w:t>
      </w:r>
      <w:r w:rsidR="00836FAC" w:rsidRPr="00D335A3">
        <w:rPr>
          <w:rFonts w:cs="Times New Roman"/>
        </w:rPr>
        <w:t xml:space="preserve">imputed RECs; i.e., the </w:t>
      </w:r>
      <w:r w:rsidR="001F40E8" w:rsidRPr="00D335A3">
        <w:rPr>
          <w:rFonts w:cs="Times New Roman"/>
        </w:rPr>
        <w:t>Washington RECs PacifiCorp held for compliance in other states.</w:t>
      </w:r>
      <w:r w:rsidR="001F40E8" w:rsidRPr="00D335A3">
        <w:rPr>
          <w:rStyle w:val="FootnoteReference"/>
          <w:rFonts w:cs="Times New Roman"/>
        </w:rPr>
        <w:footnoteReference w:id="52"/>
      </w:r>
      <w:r w:rsidR="001F40E8" w:rsidRPr="00D335A3">
        <w:rPr>
          <w:rFonts w:cs="Times New Roman"/>
        </w:rPr>
        <w:t xml:space="preserve">  </w:t>
      </w:r>
      <w:r w:rsidR="00B90FFB" w:rsidRPr="00D335A3">
        <w:rPr>
          <w:rFonts w:cs="Times New Roman"/>
        </w:rPr>
        <w:t xml:space="preserve">In Order 10, the Commission ruled that because </w:t>
      </w:r>
      <w:r w:rsidR="001F40E8" w:rsidRPr="00D335A3">
        <w:rPr>
          <w:rFonts w:cs="Times New Roman"/>
        </w:rPr>
        <w:t>PacifiCorp had effectively transferred Washington-allocated value to other states, compensation to Washington is required.</w:t>
      </w:r>
      <w:r w:rsidR="001F40E8" w:rsidRPr="00D335A3">
        <w:rPr>
          <w:rStyle w:val="FootnoteReference"/>
          <w:rFonts w:cs="Times New Roman"/>
        </w:rPr>
        <w:footnoteReference w:id="53"/>
      </w:r>
      <w:r w:rsidR="001F40E8" w:rsidRPr="00D335A3">
        <w:rPr>
          <w:rFonts w:cs="Times New Roman"/>
        </w:rPr>
        <w:t xml:space="preserve">  </w:t>
      </w:r>
      <w:r w:rsidR="00404C1D" w:rsidRPr="00D335A3">
        <w:rPr>
          <w:rFonts w:cs="Times New Roman"/>
        </w:rPr>
        <w:t xml:space="preserve">However, Staff’s calculation </w:t>
      </w:r>
      <w:r w:rsidR="00836FAC" w:rsidRPr="00D335A3">
        <w:rPr>
          <w:rFonts w:cs="Times New Roman"/>
        </w:rPr>
        <w:t xml:space="preserve">of the value of imputed RECs </w:t>
      </w:r>
      <w:r w:rsidR="00404C1D" w:rsidRPr="00D335A3">
        <w:rPr>
          <w:rFonts w:cs="Times New Roman"/>
        </w:rPr>
        <w:t xml:space="preserve">is consistent with </w:t>
      </w:r>
      <w:r w:rsidR="00836FAC" w:rsidRPr="00D335A3">
        <w:rPr>
          <w:rFonts w:cs="Times New Roman"/>
        </w:rPr>
        <w:t xml:space="preserve">this </w:t>
      </w:r>
      <w:r w:rsidR="00153F8A">
        <w:rPr>
          <w:rFonts w:cs="Times New Roman"/>
        </w:rPr>
        <w:t>ruling</w:t>
      </w:r>
      <w:r w:rsidR="00836FAC" w:rsidRPr="00D335A3">
        <w:rPr>
          <w:rFonts w:cs="Times New Roman"/>
        </w:rPr>
        <w:t>.  Staff’s calculation considered the fact that h</w:t>
      </w:r>
      <w:r w:rsidR="00A17DF8" w:rsidRPr="00D335A3">
        <w:rPr>
          <w:rFonts w:cs="Times New Roman"/>
        </w:rPr>
        <w:t>istorically, PacifiCorp was not able to sell all RECs.</w:t>
      </w:r>
      <w:r w:rsidR="00A17DF8" w:rsidRPr="00D335A3">
        <w:rPr>
          <w:rStyle w:val="FootnoteReference"/>
          <w:rFonts w:cs="Times New Roman"/>
        </w:rPr>
        <w:footnoteReference w:id="54"/>
      </w:r>
      <w:r w:rsidR="00A17DF8" w:rsidRPr="00D335A3">
        <w:rPr>
          <w:rFonts w:cs="Times New Roman"/>
        </w:rPr>
        <w:t xml:space="preserve">  </w:t>
      </w:r>
      <w:r w:rsidR="0008423C" w:rsidRPr="00D335A3">
        <w:rPr>
          <w:rFonts w:cs="Times New Roman"/>
        </w:rPr>
        <w:t xml:space="preserve">In other words, </w:t>
      </w:r>
      <w:r w:rsidR="001F40E8" w:rsidRPr="00D335A3">
        <w:rPr>
          <w:rFonts w:cs="Times New Roman"/>
        </w:rPr>
        <w:t>Staff</w:t>
      </w:r>
      <w:r w:rsidR="00386C8A" w:rsidRPr="00D335A3">
        <w:rPr>
          <w:rFonts w:cs="Times New Roman"/>
        </w:rPr>
        <w:t xml:space="preserve">’s </w:t>
      </w:r>
      <w:r w:rsidR="00A17DF8" w:rsidRPr="00D335A3">
        <w:rPr>
          <w:rFonts w:cs="Times New Roman"/>
        </w:rPr>
        <w:t xml:space="preserve">calculation </w:t>
      </w:r>
      <w:r w:rsidR="001F40E8" w:rsidRPr="00D335A3">
        <w:rPr>
          <w:rFonts w:cs="Times New Roman"/>
        </w:rPr>
        <w:t>consider</w:t>
      </w:r>
      <w:r w:rsidR="00774DE1" w:rsidRPr="00D335A3">
        <w:rPr>
          <w:rFonts w:cs="Times New Roman"/>
        </w:rPr>
        <w:t xml:space="preserve">ed all RECs </w:t>
      </w:r>
      <w:r w:rsidR="00B90FFB" w:rsidRPr="00D335A3">
        <w:rPr>
          <w:rFonts w:cs="Times New Roman"/>
        </w:rPr>
        <w:t xml:space="preserve">properly allocated to Washington </w:t>
      </w:r>
      <w:r w:rsidR="00774DE1" w:rsidRPr="00D335A3">
        <w:rPr>
          <w:rFonts w:cs="Times New Roman"/>
        </w:rPr>
        <w:t xml:space="preserve">and </w:t>
      </w:r>
      <w:r w:rsidR="0008423C" w:rsidRPr="00D335A3">
        <w:rPr>
          <w:rFonts w:cs="Times New Roman"/>
        </w:rPr>
        <w:t xml:space="preserve">properly </w:t>
      </w:r>
      <w:r w:rsidR="00774DE1" w:rsidRPr="00D335A3">
        <w:rPr>
          <w:rFonts w:cs="Times New Roman"/>
        </w:rPr>
        <w:t>determined the</w:t>
      </w:r>
      <w:r w:rsidR="00B90FFB" w:rsidRPr="00D335A3">
        <w:rPr>
          <w:rFonts w:cs="Times New Roman"/>
        </w:rPr>
        <w:t>ir</w:t>
      </w:r>
      <w:r w:rsidR="00774DE1" w:rsidRPr="00D335A3">
        <w:rPr>
          <w:rFonts w:cs="Times New Roman"/>
        </w:rPr>
        <w:t xml:space="preserve"> value.</w:t>
      </w:r>
      <w:r w:rsidR="001F40E8" w:rsidRPr="00D335A3">
        <w:rPr>
          <w:rFonts w:cs="Times New Roman"/>
        </w:rPr>
        <w:t xml:space="preserve"> </w:t>
      </w:r>
      <w:r w:rsidR="00774DE1" w:rsidRPr="00D335A3">
        <w:rPr>
          <w:rFonts w:cs="Times New Roman"/>
        </w:rPr>
        <w:t xml:space="preserve"> Staff therefore recommends the Commission grant PacifiCorp’s Petition to that </w:t>
      </w:r>
      <w:r w:rsidR="00153F8A">
        <w:rPr>
          <w:rFonts w:cs="Times New Roman"/>
        </w:rPr>
        <w:t xml:space="preserve">limited </w:t>
      </w:r>
      <w:r w:rsidR="00774DE1" w:rsidRPr="00D335A3">
        <w:rPr>
          <w:rFonts w:cs="Times New Roman"/>
        </w:rPr>
        <w:t>extent.</w:t>
      </w:r>
    </w:p>
    <w:p w:rsidR="00836406" w:rsidRPr="00D335A3" w:rsidRDefault="00836406" w:rsidP="00836406">
      <w:pPr>
        <w:pStyle w:val="ListParagraph"/>
        <w:spacing w:after="0" w:line="480" w:lineRule="auto"/>
        <w:ind w:left="0"/>
        <w:jc w:val="center"/>
        <w:rPr>
          <w:rFonts w:cs="Times New Roman"/>
          <w:b/>
        </w:rPr>
      </w:pPr>
      <w:r w:rsidRPr="00D335A3">
        <w:rPr>
          <w:rFonts w:cs="Times New Roman"/>
          <w:b/>
        </w:rPr>
        <w:t>IV.</w:t>
      </w:r>
      <w:r w:rsidRPr="00D335A3">
        <w:rPr>
          <w:rFonts w:cs="Times New Roman"/>
          <w:b/>
        </w:rPr>
        <w:tab/>
        <w:t xml:space="preserve">STAFF RESPONSE TO MOTION TO REOPEN THE RECORD </w:t>
      </w:r>
    </w:p>
    <w:p w:rsidR="00836406" w:rsidRPr="00D335A3" w:rsidRDefault="00836406" w:rsidP="002351A0">
      <w:pPr>
        <w:pStyle w:val="ListParagraph"/>
        <w:numPr>
          <w:ilvl w:val="0"/>
          <w:numId w:val="1"/>
        </w:numPr>
        <w:spacing w:after="0" w:line="480" w:lineRule="auto"/>
        <w:ind w:left="0"/>
        <w:rPr>
          <w:rFonts w:cs="Times New Roman"/>
        </w:rPr>
      </w:pPr>
      <w:r w:rsidRPr="00D335A3">
        <w:rPr>
          <w:rFonts w:cs="Times New Roman"/>
        </w:rPr>
        <w:tab/>
      </w:r>
      <w:r w:rsidR="00EE1402" w:rsidRPr="00D335A3">
        <w:rPr>
          <w:rFonts w:cs="Times New Roman"/>
        </w:rPr>
        <w:t xml:space="preserve">PacifiCorp includes with its Petition a Motion to Reopen Record (Motion to Reopen) and offers </w:t>
      </w:r>
      <w:r w:rsidR="003C531F" w:rsidRPr="00D335A3">
        <w:rPr>
          <w:rFonts w:cs="Times New Roman"/>
        </w:rPr>
        <w:t>a</w:t>
      </w:r>
      <w:r w:rsidR="00EE1402" w:rsidRPr="00D335A3">
        <w:rPr>
          <w:rFonts w:cs="Times New Roman"/>
        </w:rPr>
        <w:t xml:space="preserve"> Declaration of Andrea L. Kelly</w:t>
      </w:r>
      <w:r w:rsidR="003C531F" w:rsidRPr="00D335A3">
        <w:rPr>
          <w:rFonts w:cs="Times New Roman"/>
        </w:rPr>
        <w:t>.</w:t>
      </w:r>
      <w:r w:rsidR="00EE1402" w:rsidRPr="00D335A3">
        <w:rPr>
          <w:rStyle w:val="FootnoteReference"/>
          <w:rFonts w:cs="Times New Roman"/>
        </w:rPr>
        <w:footnoteReference w:id="55"/>
      </w:r>
      <w:r w:rsidR="00EE1402" w:rsidRPr="00D335A3">
        <w:rPr>
          <w:rFonts w:cs="Times New Roman"/>
        </w:rPr>
        <w:t xml:space="preserve">  For the re</w:t>
      </w:r>
      <w:r w:rsidR="00836FAC" w:rsidRPr="00D335A3">
        <w:rPr>
          <w:rFonts w:cs="Times New Roman"/>
        </w:rPr>
        <w:t>a</w:t>
      </w:r>
      <w:r w:rsidR="00EE1402" w:rsidRPr="00D335A3">
        <w:rPr>
          <w:rFonts w:cs="Times New Roman"/>
        </w:rPr>
        <w:t xml:space="preserve">sons stated below, the Commission should deny the </w:t>
      </w:r>
      <w:r w:rsidR="00960915" w:rsidRPr="00D335A3">
        <w:rPr>
          <w:rFonts w:cs="Times New Roman"/>
        </w:rPr>
        <w:t xml:space="preserve">Company’s </w:t>
      </w:r>
      <w:r w:rsidR="00EE1402" w:rsidRPr="00D335A3">
        <w:rPr>
          <w:rFonts w:cs="Times New Roman"/>
        </w:rPr>
        <w:t>Motion to Reopen.</w:t>
      </w:r>
    </w:p>
    <w:p w:rsidR="00836406" w:rsidRPr="00D335A3" w:rsidRDefault="00836406" w:rsidP="002351A0">
      <w:pPr>
        <w:pStyle w:val="ListParagraph"/>
        <w:numPr>
          <w:ilvl w:val="0"/>
          <w:numId w:val="1"/>
        </w:numPr>
        <w:spacing w:after="0" w:line="480" w:lineRule="auto"/>
        <w:ind w:left="0"/>
        <w:rPr>
          <w:rFonts w:cs="Times New Roman"/>
        </w:rPr>
      </w:pPr>
      <w:r w:rsidRPr="00D335A3">
        <w:rPr>
          <w:rFonts w:cs="Times New Roman"/>
        </w:rPr>
        <w:tab/>
      </w:r>
      <w:r w:rsidR="003C531F" w:rsidRPr="00D335A3">
        <w:rPr>
          <w:rFonts w:cs="Times New Roman"/>
        </w:rPr>
        <w:t xml:space="preserve">Kelly </w:t>
      </w:r>
      <w:r w:rsidR="007F2806" w:rsidRPr="00D335A3">
        <w:rPr>
          <w:rFonts w:cs="Times New Roman"/>
        </w:rPr>
        <w:t xml:space="preserve">Declaration </w:t>
      </w:r>
      <w:r w:rsidR="00EE1402" w:rsidRPr="00D335A3">
        <w:rPr>
          <w:rFonts w:cs="Times New Roman"/>
        </w:rPr>
        <w:t>Paragraph</w:t>
      </w:r>
      <w:r w:rsidR="007F2806" w:rsidRPr="00D335A3">
        <w:rPr>
          <w:rFonts w:cs="Times New Roman"/>
        </w:rPr>
        <w:t>s</w:t>
      </w:r>
      <w:r w:rsidR="00EE1402" w:rsidRPr="00D335A3">
        <w:rPr>
          <w:rFonts w:cs="Times New Roman"/>
        </w:rPr>
        <w:t xml:space="preserve"> 3-9 address how the Company has booked REC revenues in past years.  </w:t>
      </w:r>
      <w:r w:rsidR="00C174F1" w:rsidRPr="00D335A3">
        <w:rPr>
          <w:rFonts w:cs="Times New Roman"/>
        </w:rPr>
        <w:t>T</w:t>
      </w:r>
      <w:r w:rsidR="007F2806" w:rsidRPr="00D335A3">
        <w:rPr>
          <w:rFonts w:cs="Times New Roman"/>
        </w:rPr>
        <w:t>his information is not relevant</w:t>
      </w:r>
      <w:r w:rsidR="00C174F1" w:rsidRPr="00D335A3">
        <w:rPr>
          <w:rFonts w:cs="Times New Roman"/>
        </w:rPr>
        <w:t xml:space="preserve"> or necessary</w:t>
      </w:r>
      <w:r w:rsidR="00090988" w:rsidRPr="00D335A3">
        <w:rPr>
          <w:rFonts w:cs="Times New Roman"/>
        </w:rPr>
        <w:t>,</w:t>
      </w:r>
      <w:r w:rsidR="007F2806" w:rsidRPr="00D335A3">
        <w:rPr>
          <w:rFonts w:cs="Times New Roman"/>
        </w:rPr>
        <w:t xml:space="preserve"> </w:t>
      </w:r>
      <w:r w:rsidR="00836FAC" w:rsidRPr="00D335A3">
        <w:rPr>
          <w:rFonts w:cs="Times New Roman"/>
        </w:rPr>
        <w:t xml:space="preserve">as we explained </w:t>
      </w:r>
      <w:r w:rsidR="000471BE">
        <w:rPr>
          <w:rFonts w:cs="Times New Roman"/>
        </w:rPr>
        <w:t>earlier.</w:t>
      </w:r>
      <w:r w:rsidR="000471BE">
        <w:rPr>
          <w:rStyle w:val="FootnoteReference"/>
          <w:rFonts w:cs="Times New Roman"/>
        </w:rPr>
        <w:footnoteReference w:id="56"/>
      </w:r>
    </w:p>
    <w:p w:rsidR="00836406" w:rsidRPr="00D335A3" w:rsidRDefault="00836406" w:rsidP="002351A0">
      <w:pPr>
        <w:pStyle w:val="ListParagraph"/>
        <w:numPr>
          <w:ilvl w:val="0"/>
          <w:numId w:val="1"/>
        </w:numPr>
        <w:spacing w:after="0" w:line="480" w:lineRule="auto"/>
        <w:ind w:left="0"/>
        <w:rPr>
          <w:rFonts w:cs="Times New Roman"/>
        </w:rPr>
      </w:pPr>
      <w:r w:rsidRPr="00D335A3">
        <w:rPr>
          <w:rFonts w:cs="Times New Roman"/>
        </w:rPr>
        <w:lastRenderedPageBreak/>
        <w:tab/>
      </w:r>
      <w:r w:rsidR="003C531F" w:rsidRPr="00D335A3">
        <w:rPr>
          <w:rFonts w:cs="Times New Roman"/>
        </w:rPr>
        <w:t xml:space="preserve">Kelly </w:t>
      </w:r>
      <w:r w:rsidR="007F2806" w:rsidRPr="00D335A3">
        <w:rPr>
          <w:rFonts w:cs="Times New Roman"/>
        </w:rPr>
        <w:t xml:space="preserve">Declaration Paragraph 10 refers to treatment of RECs for Avista, but the Commission </w:t>
      </w:r>
      <w:r w:rsidR="00C174F1" w:rsidRPr="00D335A3">
        <w:rPr>
          <w:rFonts w:cs="Times New Roman"/>
        </w:rPr>
        <w:t xml:space="preserve">has yet to issue an order </w:t>
      </w:r>
      <w:r w:rsidR="002B6694">
        <w:rPr>
          <w:rFonts w:cs="Times New Roman"/>
        </w:rPr>
        <w:t xml:space="preserve">ruling on the appropriate treatment of </w:t>
      </w:r>
      <w:r w:rsidR="007F2806" w:rsidRPr="00D335A3">
        <w:rPr>
          <w:rFonts w:cs="Times New Roman"/>
        </w:rPr>
        <w:t>Avista’s REC</w:t>
      </w:r>
      <w:r w:rsidR="002B6694">
        <w:rPr>
          <w:rFonts w:cs="Times New Roman"/>
        </w:rPr>
        <w:t xml:space="preserve"> sale</w:t>
      </w:r>
      <w:r w:rsidR="007F2806" w:rsidRPr="00D335A3">
        <w:rPr>
          <w:rFonts w:cs="Times New Roman"/>
        </w:rPr>
        <w:t xml:space="preserve">s, </w:t>
      </w:r>
      <w:r w:rsidR="00C174F1" w:rsidRPr="00D335A3">
        <w:rPr>
          <w:rFonts w:cs="Times New Roman"/>
        </w:rPr>
        <w:t>s</w:t>
      </w:r>
      <w:r w:rsidR="007F2806" w:rsidRPr="00D335A3">
        <w:rPr>
          <w:rFonts w:cs="Times New Roman"/>
        </w:rPr>
        <w:t xml:space="preserve">o this information is </w:t>
      </w:r>
      <w:r w:rsidR="00960915" w:rsidRPr="00D335A3">
        <w:rPr>
          <w:rFonts w:cs="Times New Roman"/>
        </w:rPr>
        <w:t>decidedly un</w:t>
      </w:r>
      <w:r w:rsidRPr="00D335A3">
        <w:rPr>
          <w:rFonts w:cs="Times New Roman"/>
        </w:rPr>
        <w:t>helpful.</w:t>
      </w:r>
    </w:p>
    <w:p w:rsidR="00836406" w:rsidRPr="00D335A3" w:rsidRDefault="00836406" w:rsidP="002351A0">
      <w:pPr>
        <w:pStyle w:val="ListParagraph"/>
        <w:numPr>
          <w:ilvl w:val="0"/>
          <w:numId w:val="1"/>
        </w:numPr>
        <w:spacing w:after="0" w:line="480" w:lineRule="auto"/>
        <w:ind w:left="0"/>
        <w:rPr>
          <w:rFonts w:cs="Times New Roman"/>
        </w:rPr>
      </w:pPr>
      <w:r w:rsidRPr="00D335A3">
        <w:rPr>
          <w:rFonts w:cs="Times New Roman"/>
        </w:rPr>
        <w:tab/>
      </w:r>
      <w:r w:rsidR="003C531F" w:rsidRPr="00D335A3">
        <w:rPr>
          <w:rFonts w:cs="Times New Roman"/>
        </w:rPr>
        <w:t xml:space="preserve">Kelly </w:t>
      </w:r>
      <w:r w:rsidR="007F2806" w:rsidRPr="00D335A3">
        <w:rPr>
          <w:rFonts w:cs="Times New Roman"/>
        </w:rPr>
        <w:t>Declaration Paragraph 11 refers to RECs not being depreciable.  However, as we have explained, that is not relevant</w:t>
      </w:r>
      <w:r w:rsidR="002B6694">
        <w:rPr>
          <w:rFonts w:cs="Times New Roman"/>
        </w:rPr>
        <w:t>,</w:t>
      </w:r>
      <w:r w:rsidR="002B6694" w:rsidRPr="00D335A3">
        <w:rPr>
          <w:rStyle w:val="FootnoteReference"/>
          <w:rFonts w:cs="Times New Roman"/>
        </w:rPr>
        <w:footnoteReference w:id="57"/>
      </w:r>
      <w:r w:rsidR="002B6694">
        <w:rPr>
          <w:rFonts w:cs="Times New Roman"/>
        </w:rPr>
        <w:t xml:space="preserve"> and to the extent this relates to the nature of RECs, PacifiCorp had the opportunity to offer this earlier</w:t>
      </w:r>
      <w:r w:rsidR="007F2806" w:rsidRPr="00D335A3">
        <w:rPr>
          <w:rFonts w:cs="Times New Roman"/>
        </w:rPr>
        <w:t>.</w:t>
      </w:r>
    </w:p>
    <w:p w:rsidR="00836406" w:rsidRPr="00D335A3" w:rsidRDefault="00836406" w:rsidP="002351A0">
      <w:pPr>
        <w:pStyle w:val="ListParagraph"/>
        <w:numPr>
          <w:ilvl w:val="0"/>
          <w:numId w:val="1"/>
        </w:numPr>
        <w:spacing w:after="0" w:line="480" w:lineRule="auto"/>
        <w:ind w:left="0"/>
        <w:rPr>
          <w:rFonts w:cs="Times New Roman"/>
        </w:rPr>
      </w:pPr>
      <w:r w:rsidRPr="00D335A3">
        <w:rPr>
          <w:rFonts w:cs="Times New Roman"/>
        </w:rPr>
        <w:tab/>
      </w:r>
      <w:r w:rsidR="003C531F" w:rsidRPr="00D335A3">
        <w:rPr>
          <w:rFonts w:cs="Times New Roman"/>
        </w:rPr>
        <w:t xml:space="preserve">Kelly </w:t>
      </w:r>
      <w:r w:rsidR="007F2806" w:rsidRPr="00D335A3">
        <w:rPr>
          <w:rFonts w:cs="Times New Roman"/>
        </w:rPr>
        <w:t>Declaration Paragraph 12 states that the Company’s sales of held RECs are “extremely limited in volume and price</w:t>
      </w:r>
      <w:r w:rsidR="00CC2521" w:rsidRPr="00D335A3">
        <w:rPr>
          <w:rFonts w:cs="Times New Roman"/>
        </w:rPr>
        <w:t>.</w:t>
      </w:r>
      <w:r w:rsidR="007F2806" w:rsidRPr="00D335A3">
        <w:rPr>
          <w:rFonts w:cs="Times New Roman"/>
        </w:rPr>
        <w:t>”  This is not relevant either, because it does not change the character of RECs</w:t>
      </w:r>
      <w:r w:rsidR="00836FAC" w:rsidRPr="00D335A3">
        <w:rPr>
          <w:rFonts w:cs="Times New Roman"/>
        </w:rPr>
        <w:t xml:space="preserve"> as rights to claim the environmental attributes of renewable facilities</w:t>
      </w:r>
      <w:r w:rsidR="007F2806" w:rsidRPr="00D335A3">
        <w:rPr>
          <w:rFonts w:cs="Times New Roman"/>
        </w:rPr>
        <w:t>.</w:t>
      </w:r>
      <w:r w:rsidR="002B6694">
        <w:rPr>
          <w:rFonts w:cs="Times New Roman"/>
        </w:rPr>
        <w:t xml:space="preserve">  </w:t>
      </w:r>
      <w:r w:rsidR="00D91E76">
        <w:rPr>
          <w:rFonts w:cs="Times New Roman"/>
        </w:rPr>
        <w:t>Moreover, t</w:t>
      </w:r>
      <w:r w:rsidR="002B6694">
        <w:rPr>
          <w:rFonts w:cs="Times New Roman"/>
        </w:rPr>
        <w:t>o the extent this relates to the nature of RECs, PacifiCorp had the opportunity to offer this earlier</w:t>
      </w:r>
    </w:p>
    <w:p w:rsidR="00836406" w:rsidRPr="002B6694" w:rsidRDefault="00836406" w:rsidP="00836406">
      <w:pPr>
        <w:pStyle w:val="ListParagraph"/>
        <w:numPr>
          <w:ilvl w:val="0"/>
          <w:numId w:val="1"/>
        </w:numPr>
        <w:spacing w:after="0" w:line="480" w:lineRule="auto"/>
        <w:ind w:left="0"/>
        <w:rPr>
          <w:rFonts w:cs="Times New Roman"/>
        </w:rPr>
      </w:pPr>
      <w:r w:rsidRPr="00D335A3">
        <w:rPr>
          <w:rFonts w:cs="Times New Roman"/>
        </w:rPr>
        <w:tab/>
      </w:r>
      <w:r w:rsidR="007F2806" w:rsidRPr="00D335A3">
        <w:rPr>
          <w:rFonts w:cs="Times New Roman"/>
        </w:rPr>
        <w:t xml:space="preserve">More generally, the </w:t>
      </w:r>
      <w:r w:rsidR="003C531F" w:rsidRPr="00D335A3">
        <w:rPr>
          <w:rFonts w:cs="Times New Roman"/>
        </w:rPr>
        <w:t xml:space="preserve">Kelly </w:t>
      </w:r>
      <w:r w:rsidR="007F2806" w:rsidRPr="00D335A3">
        <w:rPr>
          <w:rFonts w:cs="Times New Roman"/>
        </w:rPr>
        <w:t xml:space="preserve">Declaration contains statements that assume that if a utility files </w:t>
      </w:r>
      <w:r w:rsidR="00960915" w:rsidRPr="00D335A3">
        <w:rPr>
          <w:rFonts w:cs="Times New Roman"/>
        </w:rPr>
        <w:t xml:space="preserve">a document </w:t>
      </w:r>
      <w:r w:rsidR="007F2806" w:rsidRPr="00D335A3">
        <w:rPr>
          <w:rFonts w:cs="Times New Roman"/>
        </w:rPr>
        <w:t>with the Commission, th</w:t>
      </w:r>
      <w:r w:rsidR="00836FAC" w:rsidRPr="00D335A3">
        <w:rPr>
          <w:rFonts w:cs="Times New Roman"/>
        </w:rPr>
        <w:t xml:space="preserve">en </w:t>
      </w:r>
      <w:r w:rsidR="00C174F1" w:rsidRPr="00D335A3">
        <w:rPr>
          <w:rFonts w:cs="Times New Roman"/>
        </w:rPr>
        <w:t xml:space="preserve">the Commission has accepted </w:t>
      </w:r>
      <w:r w:rsidR="00960915" w:rsidRPr="00D335A3">
        <w:rPr>
          <w:rFonts w:cs="Times New Roman"/>
        </w:rPr>
        <w:t xml:space="preserve">every figure on that document </w:t>
      </w:r>
      <w:r w:rsidR="007F2806" w:rsidRPr="00D335A3">
        <w:rPr>
          <w:rFonts w:cs="Times New Roman"/>
        </w:rPr>
        <w:t>as a verity</w:t>
      </w:r>
      <w:r w:rsidR="00F105FF" w:rsidRPr="00D335A3">
        <w:rPr>
          <w:rFonts w:cs="Times New Roman"/>
        </w:rPr>
        <w:t xml:space="preserve">, regardless whether the Commission actually considers </w:t>
      </w:r>
      <w:r w:rsidR="002B6694">
        <w:rPr>
          <w:rFonts w:cs="Times New Roman"/>
        </w:rPr>
        <w:t xml:space="preserve">and rules on </w:t>
      </w:r>
      <w:r w:rsidR="00F105FF" w:rsidRPr="00D335A3">
        <w:rPr>
          <w:rFonts w:cs="Times New Roman"/>
        </w:rPr>
        <w:t>each figure on its merits</w:t>
      </w:r>
      <w:r w:rsidR="007F2806" w:rsidRPr="00D335A3">
        <w:rPr>
          <w:rFonts w:cs="Times New Roman"/>
        </w:rPr>
        <w:t>.</w:t>
      </w:r>
      <w:r w:rsidR="007F2806" w:rsidRPr="00D335A3">
        <w:rPr>
          <w:rStyle w:val="FootnoteReference"/>
          <w:rFonts w:cs="Times New Roman"/>
        </w:rPr>
        <w:footnoteReference w:id="58"/>
      </w:r>
      <w:r w:rsidR="007F2806" w:rsidRPr="00D335A3">
        <w:rPr>
          <w:rFonts w:cs="Times New Roman"/>
        </w:rPr>
        <w:t xml:space="preserve">  There is no legal basis </w:t>
      </w:r>
      <w:r w:rsidR="00836FAC" w:rsidRPr="00D335A3">
        <w:rPr>
          <w:rFonts w:cs="Times New Roman"/>
        </w:rPr>
        <w:t xml:space="preserve">for that </w:t>
      </w:r>
      <w:r w:rsidR="00F105FF" w:rsidRPr="00D335A3">
        <w:rPr>
          <w:rFonts w:cs="Times New Roman"/>
        </w:rPr>
        <w:t>assumption</w:t>
      </w:r>
      <w:r w:rsidR="007F2806" w:rsidRPr="00D335A3">
        <w:rPr>
          <w:rFonts w:cs="Times New Roman"/>
        </w:rPr>
        <w:t xml:space="preserve">, </w:t>
      </w:r>
      <w:r w:rsidR="00836FAC" w:rsidRPr="00D335A3">
        <w:rPr>
          <w:rFonts w:cs="Times New Roman"/>
        </w:rPr>
        <w:t xml:space="preserve">which </w:t>
      </w:r>
      <w:r w:rsidR="007F2806" w:rsidRPr="00D335A3">
        <w:rPr>
          <w:rFonts w:cs="Times New Roman"/>
        </w:rPr>
        <w:t>mak</w:t>
      </w:r>
      <w:r w:rsidR="00090988" w:rsidRPr="00D335A3">
        <w:rPr>
          <w:rFonts w:cs="Times New Roman"/>
        </w:rPr>
        <w:t>es</w:t>
      </w:r>
      <w:r w:rsidR="007F2806" w:rsidRPr="00D335A3">
        <w:rPr>
          <w:rFonts w:cs="Times New Roman"/>
        </w:rPr>
        <w:t xml:space="preserve"> these statements </w:t>
      </w:r>
      <w:r w:rsidR="00836FAC" w:rsidRPr="00D335A3">
        <w:rPr>
          <w:rFonts w:cs="Times New Roman"/>
        </w:rPr>
        <w:t xml:space="preserve">in the Kelly Declaration </w:t>
      </w:r>
      <w:r w:rsidR="003C531F" w:rsidRPr="00D335A3">
        <w:rPr>
          <w:rFonts w:cs="Times New Roman"/>
        </w:rPr>
        <w:t xml:space="preserve">inappropriate </w:t>
      </w:r>
      <w:r w:rsidR="00C174F1" w:rsidRPr="00D335A3">
        <w:rPr>
          <w:rFonts w:cs="Times New Roman"/>
        </w:rPr>
        <w:t xml:space="preserve">as well as </w:t>
      </w:r>
      <w:r w:rsidR="003C531F" w:rsidRPr="00D335A3">
        <w:rPr>
          <w:rFonts w:cs="Times New Roman"/>
        </w:rPr>
        <w:t>irrelevant</w:t>
      </w:r>
      <w:r w:rsidRPr="00D335A3">
        <w:rPr>
          <w:rFonts w:cs="Times New Roman"/>
        </w:rPr>
        <w:t>.</w:t>
      </w:r>
      <w:r w:rsidR="003C531F" w:rsidRPr="00D335A3">
        <w:rPr>
          <w:rStyle w:val="FootnoteReference"/>
          <w:rFonts w:cs="Times New Roman"/>
        </w:rPr>
        <w:footnoteReference w:id="59"/>
      </w:r>
      <w:r w:rsidRPr="002B6694">
        <w:rPr>
          <w:rFonts w:cs="Times New Roman"/>
        </w:rPr>
        <w:t>/</w:t>
      </w:r>
    </w:p>
    <w:p w:rsidR="00836406" w:rsidRPr="00D335A3" w:rsidRDefault="00836406" w:rsidP="00955C80">
      <w:pPr>
        <w:spacing w:after="0" w:line="480" w:lineRule="auto"/>
        <w:jc w:val="center"/>
        <w:rPr>
          <w:rFonts w:cs="Times New Roman"/>
          <w:b/>
        </w:rPr>
      </w:pPr>
      <w:r w:rsidRPr="00D335A3">
        <w:rPr>
          <w:rFonts w:cs="Times New Roman"/>
          <w:b/>
        </w:rPr>
        <w:t>V.</w:t>
      </w:r>
      <w:r w:rsidRPr="00D335A3">
        <w:rPr>
          <w:rFonts w:cs="Times New Roman"/>
          <w:b/>
        </w:rPr>
        <w:tab/>
        <w:t>CONCLUSION</w:t>
      </w:r>
    </w:p>
    <w:p w:rsidR="00EB58AD" w:rsidRPr="00237252" w:rsidRDefault="00836406" w:rsidP="00237252">
      <w:pPr>
        <w:pStyle w:val="ListParagraph"/>
        <w:numPr>
          <w:ilvl w:val="0"/>
          <w:numId w:val="1"/>
        </w:numPr>
        <w:spacing w:after="0" w:line="480" w:lineRule="auto"/>
        <w:ind w:left="0"/>
        <w:rPr>
          <w:rFonts w:cs="Times New Roman"/>
        </w:rPr>
      </w:pPr>
      <w:r w:rsidRPr="00237252">
        <w:rPr>
          <w:rFonts w:cs="Times New Roman"/>
        </w:rPr>
        <w:tab/>
      </w:r>
      <w:r w:rsidR="003C531F" w:rsidRPr="00237252">
        <w:rPr>
          <w:rFonts w:cs="Times New Roman"/>
        </w:rPr>
        <w:t>For the reasons stated above, the Commission should deny PacifiCorp’s Motion for Stay</w:t>
      </w:r>
      <w:r w:rsidR="009B50FF" w:rsidRPr="00237252">
        <w:rPr>
          <w:rFonts w:cs="Times New Roman"/>
        </w:rPr>
        <w:t xml:space="preserve"> and </w:t>
      </w:r>
      <w:r w:rsidR="003C531F" w:rsidRPr="00237252">
        <w:rPr>
          <w:rFonts w:cs="Times New Roman"/>
        </w:rPr>
        <w:t xml:space="preserve">PacifiCorp’s Motion to Reopen, and Grant PacifiCorp’s Petition </w:t>
      </w:r>
      <w:r w:rsidR="009B50FF" w:rsidRPr="00237252">
        <w:rPr>
          <w:rFonts w:cs="Times New Roman"/>
        </w:rPr>
        <w:t xml:space="preserve">for </w:t>
      </w:r>
    </w:p>
    <w:p w:rsidR="00EB58AD" w:rsidRDefault="00EB58AD">
      <w:pPr>
        <w:rPr>
          <w:rFonts w:cs="Times New Roman"/>
        </w:rPr>
      </w:pPr>
      <w:r>
        <w:rPr>
          <w:rFonts w:cs="Times New Roman"/>
        </w:rPr>
        <w:br w:type="page"/>
      </w:r>
    </w:p>
    <w:p w:rsidR="003C531F" w:rsidRPr="00D335A3" w:rsidRDefault="009B50FF" w:rsidP="00EB58AD">
      <w:pPr>
        <w:pStyle w:val="ListParagraph"/>
        <w:spacing w:after="0" w:line="480" w:lineRule="auto"/>
        <w:ind w:left="0"/>
        <w:rPr>
          <w:rFonts w:cs="Times New Roman"/>
        </w:rPr>
      </w:pPr>
      <w:r w:rsidRPr="00D335A3">
        <w:rPr>
          <w:rFonts w:cs="Times New Roman"/>
        </w:rPr>
        <w:lastRenderedPageBreak/>
        <w:t xml:space="preserve">Reconsideration </w:t>
      </w:r>
      <w:r w:rsidR="003C531F" w:rsidRPr="00D335A3">
        <w:rPr>
          <w:rFonts w:cs="Times New Roman"/>
        </w:rPr>
        <w:t>only to the extent of the valuation of Washington-allocated RECs the Company held for compliance in other states.</w:t>
      </w:r>
    </w:p>
    <w:p w:rsidR="005139D2" w:rsidRPr="00D335A3" w:rsidRDefault="005139D2" w:rsidP="005139D2">
      <w:pPr>
        <w:spacing w:after="0" w:line="240" w:lineRule="auto"/>
        <w:ind w:left="720"/>
        <w:rPr>
          <w:rFonts w:cs="Times New Roman"/>
        </w:rPr>
      </w:pPr>
      <w:r w:rsidRPr="00D335A3">
        <w:rPr>
          <w:rFonts w:cs="Times New Roman"/>
        </w:rPr>
        <w:t xml:space="preserve">DATED this </w:t>
      </w:r>
      <w:r w:rsidR="00E856C7" w:rsidRPr="00D335A3">
        <w:rPr>
          <w:rFonts w:cs="Times New Roman"/>
        </w:rPr>
        <w:t>26</w:t>
      </w:r>
      <w:r w:rsidR="00E856C7" w:rsidRPr="00D335A3">
        <w:rPr>
          <w:rFonts w:cs="Times New Roman"/>
          <w:vertAlign w:val="superscript"/>
        </w:rPr>
        <w:t>th</w:t>
      </w:r>
      <w:r w:rsidR="00E856C7" w:rsidRPr="00D335A3">
        <w:rPr>
          <w:rFonts w:cs="Times New Roman"/>
        </w:rPr>
        <w:t xml:space="preserve"> </w:t>
      </w:r>
      <w:r w:rsidRPr="00D335A3">
        <w:rPr>
          <w:rFonts w:cs="Times New Roman"/>
        </w:rPr>
        <w:t xml:space="preserve">day of </w:t>
      </w:r>
      <w:r w:rsidR="00E856C7" w:rsidRPr="00D335A3">
        <w:rPr>
          <w:rFonts w:cs="Times New Roman"/>
        </w:rPr>
        <w:t>September</w:t>
      </w:r>
      <w:r w:rsidRPr="00D335A3">
        <w:rPr>
          <w:rFonts w:cs="Times New Roman"/>
        </w:rPr>
        <w:t xml:space="preserve"> 2012.</w:t>
      </w:r>
    </w:p>
    <w:p w:rsidR="005139D2" w:rsidRPr="00D335A3" w:rsidRDefault="005139D2" w:rsidP="005139D2">
      <w:pPr>
        <w:spacing w:after="0" w:line="240" w:lineRule="auto"/>
        <w:ind w:left="720"/>
        <w:rPr>
          <w:rFonts w:cs="Times New Roman"/>
        </w:rPr>
      </w:pPr>
    </w:p>
    <w:p w:rsidR="005139D2" w:rsidRPr="00D335A3" w:rsidRDefault="005139D2" w:rsidP="005139D2">
      <w:pPr>
        <w:spacing w:after="0" w:line="240" w:lineRule="auto"/>
        <w:ind w:left="720"/>
        <w:rPr>
          <w:rFonts w:cs="Times New Roman"/>
        </w:rPr>
      </w:pPr>
      <w:r w:rsidRPr="00D335A3">
        <w:rPr>
          <w:rFonts w:cs="Times New Roman"/>
        </w:rPr>
        <w:tab/>
      </w:r>
      <w:r w:rsidRPr="00D335A3">
        <w:rPr>
          <w:rFonts w:cs="Times New Roman"/>
        </w:rPr>
        <w:tab/>
      </w:r>
      <w:r w:rsidRPr="00D335A3">
        <w:rPr>
          <w:rFonts w:cs="Times New Roman"/>
        </w:rPr>
        <w:tab/>
      </w:r>
      <w:r w:rsidRPr="00D335A3">
        <w:rPr>
          <w:rFonts w:cs="Times New Roman"/>
        </w:rPr>
        <w:tab/>
      </w:r>
      <w:r w:rsidRPr="00D335A3">
        <w:rPr>
          <w:rFonts w:cs="Times New Roman"/>
        </w:rPr>
        <w:tab/>
      </w:r>
      <w:r w:rsidRPr="00D335A3">
        <w:rPr>
          <w:rFonts w:cs="Times New Roman"/>
        </w:rPr>
        <w:tab/>
        <w:t xml:space="preserve">Respectfully submitted, </w:t>
      </w:r>
    </w:p>
    <w:p w:rsidR="005139D2" w:rsidRPr="00D335A3" w:rsidRDefault="005139D2" w:rsidP="005139D2">
      <w:pPr>
        <w:pStyle w:val="BodyTextIndent2"/>
        <w:rPr>
          <w:rFonts w:ascii="Times New Roman" w:hAnsi="Times New Roman"/>
        </w:rPr>
      </w:pPr>
    </w:p>
    <w:p w:rsidR="005139D2" w:rsidRPr="00D335A3" w:rsidRDefault="005139D2" w:rsidP="005139D2">
      <w:pPr>
        <w:spacing w:after="0" w:line="240" w:lineRule="auto"/>
        <w:ind w:left="5040"/>
        <w:jc w:val="both"/>
        <w:rPr>
          <w:rFonts w:cs="Times New Roman"/>
        </w:rPr>
      </w:pPr>
      <w:r w:rsidRPr="00D335A3">
        <w:rPr>
          <w:rFonts w:cs="Times New Roman"/>
        </w:rPr>
        <w:t xml:space="preserve">ROBERT M. MCKENNA </w:t>
      </w:r>
    </w:p>
    <w:p w:rsidR="005139D2" w:rsidRPr="00D335A3" w:rsidRDefault="005139D2" w:rsidP="005139D2">
      <w:pPr>
        <w:spacing w:after="0" w:line="240" w:lineRule="auto"/>
        <w:ind w:firstLine="5040"/>
        <w:jc w:val="both"/>
        <w:rPr>
          <w:rFonts w:cs="Times New Roman"/>
        </w:rPr>
      </w:pPr>
      <w:r w:rsidRPr="00D335A3">
        <w:rPr>
          <w:rFonts w:cs="Times New Roman"/>
        </w:rPr>
        <w:t>Attorney General</w:t>
      </w:r>
    </w:p>
    <w:p w:rsidR="005139D2" w:rsidRPr="00D335A3" w:rsidRDefault="005139D2" w:rsidP="005139D2">
      <w:pPr>
        <w:spacing w:after="0" w:line="240" w:lineRule="auto"/>
        <w:jc w:val="both"/>
        <w:rPr>
          <w:rFonts w:cs="Times New Roman"/>
        </w:rPr>
      </w:pPr>
    </w:p>
    <w:p w:rsidR="005139D2" w:rsidRPr="00D335A3" w:rsidRDefault="005139D2" w:rsidP="005139D2">
      <w:pPr>
        <w:spacing w:after="0" w:line="240" w:lineRule="auto"/>
        <w:jc w:val="both"/>
        <w:rPr>
          <w:rFonts w:cs="Times New Roman"/>
        </w:rPr>
      </w:pPr>
    </w:p>
    <w:p w:rsidR="005139D2" w:rsidRPr="00D335A3" w:rsidRDefault="005139D2" w:rsidP="005139D2">
      <w:pPr>
        <w:spacing w:after="0" w:line="240" w:lineRule="auto"/>
        <w:jc w:val="both"/>
        <w:rPr>
          <w:rFonts w:cs="Times New Roman"/>
        </w:rPr>
      </w:pPr>
    </w:p>
    <w:p w:rsidR="005139D2" w:rsidRPr="00D335A3" w:rsidRDefault="005139D2" w:rsidP="005139D2">
      <w:pPr>
        <w:spacing w:after="0" w:line="240" w:lineRule="auto"/>
        <w:ind w:left="1440" w:firstLine="3600"/>
        <w:jc w:val="both"/>
        <w:rPr>
          <w:rFonts w:cs="Times New Roman"/>
        </w:rPr>
      </w:pPr>
      <w:r w:rsidRPr="00D335A3">
        <w:rPr>
          <w:rFonts w:cs="Times New Roman"/>
        </w:rPr>
        <w:t>______________________________</w:t>
      </w:r>
    </w:p>
    <w:p w:rsidR="005139D2" w:rsidRPr="00D335A3" w:rsidRDefault="005139D2" w:rsidP="005139D2">
      <w:pPr>
        <w:spacing w:after="0" w:line="240" w:lineRule="auto"/>
        <w:ind w:firstLine="5040"/>
        <w:jc w:val="both"/>
        <w:rPr>
          <w:rFonts w:cs="Times New Roman"/>
        </w:rPr>
      </w:pPr>
      <w:r w:rsidRPr="00D335A3">
        <w:rPr>
          <w:rFonts w:cs="Times New Roman"/>
        </w:rPr>
        <w:t xml:space="preserve">DONALD T. TROTTER </w:t>
      </w:r>
    </w:p>
    <w:p w:rsidR="005139D2" w:rsidRPr="00D335A3" w:rsidRDefault="005139D2" w:rsidP="005139D2">
      <w:pPr>
        <w:spacing w:after="0" w:line="240" w:lineRule="auto"/>
        <w:ind w:left="1440" w:firstLine="3600"/>
        <w:jc w:val="both"/>
        <w:rPr>
          <w:rFonts w:cs="Times New Roman"/>
        </w:rPr>
      </w:pPr>
      <w:r w:rsidRPr="00D335A3">
        <w:rPr>
          <w:rFonts w:cs="Times New Roman"/>
        </w:rPr>
        <w:t>Assistant Attorney General</w:t>
      </w:r>
    </w:p>
    <w:p w:rsidR="005139D2" w:rsidRPr="00D335A3" w:rsidRDefault="005139D2" w:rsidP="005139D2">
      <w:pPr>
        <w:spacing w:after="0" w:line="240" w:lineRule="auto"/>
        <w:ind w:left="2160" w:firstLine="2880"/>
        <w:jc w:val="both"/>
        <w:rPr>
          <w:rFonts w:cs="Times New Roman"/>
        </w:rPr>
      </w:pPr>
      <w:r w:rsidRPr="00D335A3">
        <w:rPr>
          <w:rFonts w:cs="Times New Roman"/>
        </w:rPr>
        <w:t>Counsel for Washington Utilities and</w:t>
      </w:r>
    </w:p>
    <w:p w:rsidR="00644698" w:rsidRPr="00D335A3" w:rsidRDefault="005139D2" w:rsidP="00955C80">
      <w:pPr>
        <w:spacing w:after="0" w:line="240" w:lineRule="auto"/>
        <w:ind w:left="2880" w:firstLine="2160"/>
        <w:jc w:val="both"/>
        <w:rPr>
          <w:rFonts w:cs="Times New Roman"/>
        </w:rPr>
      </w:pPr>
      <w:r w:rsidRPr="00D335A3">
        <w:rPr>
          <w:rFonts w:cs="Times New Roman"/>
        </w:rPr>
        <w:t>Transportation Commission Staff</w:t>
      </w:r>
    </w:p>
    <w:sectPr w:rsidR="00644698" w:rsidRPr="00D335A3" w:rsidSect="00836406">
      <w:footerReference w:type="default" r:id="rId10"/>
      <w:pgSz w:w="12240" w:h="15840"/>
      <w:pgMar w:top="1440" w:right="1440" w:bottom="1440" w:left="1872"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9B5" w:rsidRDefault="001929B5" w:rsidP="00D564A6">
      <w:pPr>
        <w:spacing w:after="0" w:line="240" w:lineRule="auto"/>
      </w:pPr>
      <w:r>
        <w:separator/>
      </w:r>
    </w:p>
  </w:endnote>
  <w:endnote w:type="continuationSeparator" w:id="0">
    <w:p w:rsidR="001929B5" w:rsidRDefault="001929B5" w:rsidP="00D56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9B5" w:rsidRDefault="001929B5">
    <w:pPr>
      <w:pStyle w:val="Footer"/>
      <w:rPr>
        <w:sz w:val="20"/>
        <w:szCs w:val="20"/>
      </w:rPr>
    </w:pPr>
  </w:p>
  <w:p w:rsidR="001929B5" w:rsidRPr="00FF330B" w:rsidRDefault="001929B5">
    <w:pPr>
      <w:pStyle w:val="Footer"/>
      <w:rPr>
        <w:sz w:val="22"/>
        <w:szCs w:val="22"/>
      </w:rPr>
    </w:pPr>
    <w:r w:rsidRPr="00FF330B">
      <w:rPr>
        <w:sz w:val="22"/>
        <w:szCs w:val="22"/>
      </w:rPr>
      <w:t xml:space="preserve">COMMISSION STAFF RESPONSE - </w:t>
    </w:r>
    <w:r w:rsidRPr="00F95ED7">
      <w:rPr>
        <w:sz w:val="22"/>
        <w:szCs w:val="22"/>
      </w:rPr>
      <w:fldChar w:fldCharType="begin"/>
    </w:r>
    <w:r w:rsidRPr="00F95ED7">
      <w:rPr>
        <w:sz w:val="22"/>
        <w:szCs w:val="22"/>
      </w:rPr>
      <w:instrText xml:space="preserve"> PAGE   \* MERGEFORMAT </w:instrText>
    </w:r>
    <w:r w:rsidRPr="00F95ED7">
      <w:rPr>
        <w:sz w:val="22"/>
        <w:szCs w:val="22"/>
      </w:rPr>
      <w:fldChar w:fldCharType="separate"/>
    </w:r>
    <w:r w:rsidR="00A06493">
      <w:rPr>
        <w:noProof/>
        <w:sz w:val="22"/>
        <w:szCs w:val="22"/>
      </w:rPr>
      <w:t>iv</w:t>
    </w:r>
    <w:r w:rsidRPr="00F95ED7">
      <w:rPr>
        <w:noProof/>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9B5" w:rsidRDefault="001929B5">
    <w:pPr>
      <w:pStyle w:val="Footer"/>
      <w:rPr>
        <w:sz w:val="20"/>
        <w:szCs w:val="20"/>
      </w:rPr>
    </w:pPr>
  </w:p>
  <w:p w:rsidR="001929B5" w:rsidRPr="00FF330B" w:rsidRDefault="001929B5">
    <w:pPr>
      <w:pStyle w:val="Footer"/>
      <w:rPr>
        <w:sz w:val="22"/>
        <w:szCs w:val="22"/>
      </w:rPr>
    </w:pPr>
    <w:r w:rsidRPr="00FF330B">
      <w:rPr>
        <w:sz w:val="22"/>
        <w:szCs w:val="22"/>
      </w:rPr>
      <w:t xml:space="preserve">COMMISSION STAFF RESPONSE - </w:t>
    </w:r>
    <w:r w:rsidRPr="00FF330B">
      <w:rPr>
        <w:sz w:val="22"/>
        <w:szCs w:val="22"/>
      </w:rPr>
      <w:fldChar w:fldCharType="begin"/>
    </w:r>
    <w:r w:rsidRPr="00FF330B">
      <w:rPr>
        <w:sz w:val="22"/>
        <w:szCs w:val="22"/>
      </w:rPr>
      <w:instrText xml:space="preserve"> PAGE   \* MERGEFORMAT </w:instrText>
    </w:r>
    <w:r w:rsidRPr="00FF330B">
      <w:rPr>
        <w:sz w:val="22"/>
        <w:szCs w:val="22"/>
      </w:rPr>
      <w:fldChar w:fldCharType="separate"/>
    </w:r>
    <w:r w:rsidR="00A06493">
      <w:rPr>
        <w:noProof/>
        <w:sz w:val="22"/>
        <w:szCs w:val="22"/>
      </w:rPr>
      <w:t>13</w:t>
    </w:r>
    <w:r w:rsidRPr="00FF330B">
      <w:rPr>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9B5" w:rsidRDefault="001929B5" w:rsidP="00D564A6">
      <w:pPr>
        <w:spacing w:after="0" w:line="240" w:lineRule="auto"/>
      </w:pPr>
      <w:r>
        <w:separator/>
      </w:r>
    </w:p>
  </w:footnote>
  <w:footnote w:type="continuationSeparator" w:id="0">
    <w:p w:rsidR="001929B5" w:rsidRDefault="001929B5" w:rsidP="00D564A6">
      <w:pPr>
        <w:spacing w:after="0" w:line="240" w:lineRule="auto"/>
      </w:pPr>
      <w:r>
        <w:continuationSeparator/>
      </w:r>
    </w:p>
  </w:footnote>
  <w:footnote w:id="1">
    <w:p w:rsidR="001929B5" w:rsidRDefault="001929B5" w:rsidP="0036249E">
      <w:pPr>
        <w:pStyle w:val="FootnoteText"/>
      </w:pPr>
      <w:r>
        <w:rPr>
          <w:rStyle w:val="FootnoteReference"/>
        </w:rPr>
        <w:footnoteRef/>
      </w:r>
      <w:r>
        <w:t xml:space="preserve"> Du</w:t>
      </w:r>
      <w:r w:rsidR="00404002">
        <w:t xml:space="preserve">vall, Exh. No. </w:t>
      </w:r>
      <w:proofErr w:type="spellStart"/>
      <w:proofErr w:type="gramStart"/>
      <w:r w:rsidR="00404002">
        <w:t>GND-5T</w:t>
      </w:r>
      <w:proofErr w:type="spellEnd"/>
      <w:r w:rsidR="00404002">
        <w:t>) at 8:3-6</w:t>
      </w:r>
      <w:r>
        <w:t>.</w:t>
      </w:r>
      <w:proofErr w:type="gramEnd"/>
      <w:r>
        <w:t xml:space="preserve">  PacifiCorp challenges only the inclusion of 2009 and 2010 revenues in the credit:  See, e.g., PacifiCorp Reply Brief (November 18, 2011) at 21-22, </w:t>
      </w:r>
      <w:r>
        <w:rPr>
          <w:rFonts w:cs="Times New Roman"/>
        </w:rPr>
        <w:t>¶</w:t>
      </w:r>
      <w:r>
        <w:t xml:space="preserve"> 50.</w:t>
      </w:r>
    </w:p>
  </w:footnote>
  <w:footnote w:id="2">
    <w:p w:rsidR="001929B5" w:rsidRDefault="001929B5" w:rsidP="00EE1402">
      <w:pPr>
        <w:pStyle w:val="FootnoteText"/>
      </w:pPr>
      <w:r>
        <w:rPr>
          <w:rStyle w:val="FootnoteReference"/>
        </w:rPr>
        <w:footnoteRef/>
      </w:r>
      <w:r>
        <w:t xml:space="preserve"> Motion for Stay of Order 10 (September 4, 2012) (Motion for Stay).</w:t>
      </w:r>
    </w:p>
  </w:footnote>
  <w:footnote w:id="3">
    <w:p w:rsidR="001929B5" w:rsidRDefault="001929B5" w:rsidP="00EE1402">
      <w:pPr>
        <w:pStyle w:val="FootnoteText"/>
      </w:pPr>
      <w:r>
        <w:rPr>
          <w:rStyle w:val="FootnoteReference"/>
        </w:rPr>
        <w:footnoteRef/>
      </w:r>
      <w:r>
        <w:t xml:space="preserve"> </w:t>
      </w:r>
      <w:r>
        <w:rPr>
          <w:i/>
        </w:rPr>
        <w:t xml:space="preserve">Utilities and Transp. Comm’n v. </w:t>
      </w:r>
      <w:r w:rsidRPr="000945C8">
        <w:rPr>
          <w:i/>
        </w:rPr>
        <w:t>Sno-King Garbage Co., Inc</w:t>
      </w:r>
      <w:r w:rsidRPr="000945C8">
        <w:t>.</w:t>
      </w:r>
      <w:r w:rsidRPr="00556004">
        <w:t>,</w:t>
      </w:r>
      <w:r>
        <w:t xml:space="preserve"> </w:t>
      </w:r>
      <w:r>
        <w:rPr>
          <w:i/>
        </w:rPr>
        <w:t>G-126, et al.</w:t>
      </w:r>
      <w:r w:rsidRPr="00F16D36">
        <w:t xml:space="preserve">, </w:t>
      </w:r>
      <w:r w:rsidRPr="00CD7C28">
        <w:t>Docket</w:t>
      </w:r>
      <w:r>
        <w:t xml:space="preserve"> </w:t>
      </w:r>
      <w:r w:rsidRPr="00CD7C28">
        <w:t>TG-900657, Fifth Supp</w:t>
      </w:r>
      <w:r>
        <w:t xml:space="preserve">lemental </w:t>
      </w:r>
      <w:r w:rsidRPr="00CD7C28">
        <w:t xml:space="preserve">Order </w:t>
      </w:r>
      <w:r>
        <w:t xml:space="preserve">(December 19, 1991), </w:t>
      </w:r>
      <w:r w:rsidRPr="00CD7C28">
        <w:t>at 2.</w:t>
      </w:r>
    </w:p>
  </w:footnote>
  <w:footnote w:id="4">
    <w:p w:rsidR="001929B5" w:rsidRDefault="001929B5" w:rsidP="00EE1402">
      <w:pPr>
        <w:pStyle w:val="FootnoteText"/>
      </w:pPr>
      <w:r>
        <w:rPr>
          <w:rStyle w:val="FootnoteReference"/>
        </w:rPr>
        <w:footnoteRef/>
      </w:r>
      <w:r>
        <w:t xml:space="preserve"> Id.</w:t>
      </w:r>
    </w:p>
  </w:footnote>
  <w:footnote w:id="5">
    <w:p w:rsidR="001929B5" w:rsidRDefault="001929B5" w:rsidP="00EE1402">
      <w:pPr>
        <w:pStyle w:val="FootnoteText"/>
      </w:pPr>
      <w:r>
        <w:rPr>
          <w:rStyle w:val="FootnoteReference"/>
        </w:rPr>
        <w:footnoteRef/>
      </w:r>
      <w:r>
        <w:t xml:space="preserve"> Order 10 at 22-23, ¶¶ 74-75, Ordering </w:t>
      </w:r>
      <w:r>
        <w:rPr>
          <w:rFonts w:cs="Times New Roman"/>
        </w:rPr>
        <w:t>¶¶</w:t>
      </w:r>
      <w:r>
        <w:t xml:space="preserve"> 1 and 2.</w:t>
      </w:r>
    </w:p>
  </w:footnote>
  <w:footnote w:id="6">
    <w:p w:rsidR="001929B5" w:rsidRDefault="001929B5" w:rsidP="00EE1402">
      <w:pPr>
        <w:pStyle w:val="FootnoteText"/>
      </w:pPr>
      <w:r>
        <w:rPr>
          <w:rStyle w:val="FootnoteReference"/>
        </w:rPr>
        <w:footnoteRef/>
      </w:r>
      <w:r>
        <w:t xml:space="preserve"> Duvall, Exh. No. (GND-5T) at 8:3-6.</w:t>
      </w:r>
      <w:r w:rsidDel="006E6756">
        <w:t xml:space="preserve"> </w:t>
      </w:r>
    </w:p>
  </w:footnote>
  <w:footnote w:id="7">
    <w:p w:rsidR="001929B5" w:rsidRDefault="001929B5" w:rsidP="00EE1402">
      <w:pPr>
        <w:pStyle w:val="FootnoteText"/>
      </w:pPr>
      <w:r>
        <w:rPr>
          <w:rStyle w:val="FootnoteReference"/>
        </w:rPr>
        <w:footnoteRef/>
      </w:r>
      <w:r>
        <w:t xml:space="preserve"> Motion for Stay at 3, ¶ 8.</w:t>
      </w:r>
    </w:p>
  </w:footnote>
  <w:footnote w:id="8">
    <w:p w:rsidR="001929B5" w:rsidRDefault="001929B5" w:rsidP="007C4693">
      <w:pPr>
        <w:pStyle w:val="FootnoteText"/>
      </w:pPr>
      <w:r>
        <w:rPr>
          <w:rStyle w:val="FootnoteReference"/>
        </w:rPr>
        <w:footnoteRef/>
      </w:r>
      <w:r>
        <w:t xml:space="preserve"> In any event, PacifiCorp’s lament about the burden to comply with Order 10 is undercut by PacifiCorp’s offer to place the REC monies at issue in a deferred account.  See Motion for Stay at 2, ¶ 4.  That is, in order to place the correct amounts of REC revenues in the account, PacifiCorp will need to make the calculation the Company otherwise suggests is too onerous and wasteful.</w:t>
      </w:r>
    </w:p>
  </w:footnote>
  <w:footnote w:id="9">
    <w:p w:rsidR="001929B5" w:rsidRPr="002B1A5C" w:rsidRDefault="001929B5" w:rsidP="005A584A">
      <w:pPr>
        <w:pStyle w:val="FootnoteText"/>
        <w:tabs>
          <w:tab w:val="left" w:pos="810"/>
        </w:tabs>
        <w:ind w:right="-187"/>
      </w:pPr>
      <w:r w:rsidRPr="002B1A5C">
        <w:rPr>
          <w:rStyle w:val="FootnoteReference"/>
        </w:rPr>
        <w:footnoteRef/>
      </w:r>
      <w:r>
        <w:t xml:space="preserve"> </w:t>
      </w:r>
      <w:r w:rsidRPr="002B1A5C">
        <w:rPr>
          <w:i/>
        </w:rPr>
        <w:t xml:space="preserve">In re the Matter of the Application of Avista Corp. for Authority to Sell Its Interest in the Coal-Fired Centralia Power Plant, </w:t>
      </w:r>
      <w:r w:rsidRPr="002B1A5C">
        <w:t>Docket</w:t>
      </w:r>
      <w:r>
        <w:t xml:space="preserve"> </w:t>
      </w:r>
      <w:r w:rsidRPr="002B1A5C">
        <w:t>UE-991255 et al., Fourth Supp</w:t>
      </w:r>
      <w:r>
        <w:t xml:space="preserve">lemental </w:t>
      </w:r>
      <w:r w:rsidRPr="002B1A5C">
        <w:t>Order</w:t>
      </w:r>
      <w:r>
        <w:t xml:space="preserve"> </w:t>
      </w:r>
      <w:r w:rsidRPr="002B1A5C">
        <w:t>(Apr</w:t>
      </w:r>
      <w:r>
        <w:t>il</w:t>
      </w:r>
      <w:r w:rsidRPr="002B1A5C">
        <w:t>. 21, 2000)</w:t>
      </w:r>
      <w:r>
        <w:t xml:space="preserve"> at 9, </w:t>
      </w:r>
      <w:r w:rsidRPr="002B1A5C">
        <w:t>¶ 40</w:t>
      </w:r>
      <w:r>
        <w:t>.</w:t>
      </w:r>
      <w:r w:rsidRPr="002B1A5C">
        <w:t xml:space="preserve">  </w:t>
      </w:r>
    </w:p>
  </w:footnote>
  <w:footnote w:id="10">
    <w:p w:rsidR="001929B5" w:rsidRPr="002772BC" w:rsidRDefault="001929B5">
      <w:pPr>
        <w:pStyle w:val="FootnoteText"/>
        <w:rPr>
          <w:i/>
        </w:rPr>
      </w:pPr>
      <w:r>
        <w:rPr>
          <w:rStyle w:val="FootnoteReference"/>
        </w:rPr>
        <w:footnoteRef/>
      </w:r>
      <w:r>
        <w:t xml:space="preserve"> </w:t>
      </w:r>
      <w:r>
        <w:rPr>
          <w:i/>
        </w:rPr>
        <w:t>In re Amended Petition of Puget Sound Energy, Inc. for an Order Authorizing the Use of Proceeds from the Sale of Renewable Energy Credits and Carbon Financial Instruments,</w:t>
      </w:r>
      <w:r>
        <w:t xml:space="preserve"> Docket UE-070725, Order 03 (May 20, 2010) (PSE REC Order).</w:t>
      </w:r>
    </w:p>
  </w:footnote>
  <w:footnote w:id="11">
    <w:p w:rsidR="001929B5" w:rsidRDefault="001929B5">
      <w:pPr>
        <w:pStyle w:val="FootnoteText"/>
      </w:pPr>
      <w:r>
        <w:rPr>
          <w:rStyle w:val="FootnoteReference"/>
        </w:rPr>
        <w:footnoteRef/>
      </w:r>
      <w:r>
        <w:t xml:space="preserve"> Order 10 at 3-4, </w:t>
      </w:r>
      <w:r>
        <w:rPr>
          <w:rFonts w:cs="Times New Roman"/>
        </w:rPr>
        <w:t>¶</w:t>
      </w:r>
      <w:r>
        <w:t xml:space="preserve"> 10.</w:t>
      </w:r>
    </w:p>
  </w:footnote>
  <w:footnote w:id="12">
    <w:p w:rsidR="001929B5" w:rsidRDefault="001929B5">
      <w:pPr>
        <w:pStyle w:val="FootnoteText"/>
      </w:pPr>
      <w:r>
        <w:rPr>
          <w:rStyle w:val="FootnoteReference"/>
        </w:rPr>
        <w:footnoteRef/>
      </w:r>
      <w:r>
        <w:t xml:space="preserve"> Id. at 3, </w:t>
      </w:r>
      <w:r>
        <w:rPr>
          <w:rFonts w:cs="Times New Roman"/>
        </w:rPr>
        <w:t>¶</w:t>
      </w:r>
      <w:r>
        <w:t xml:space="preserve"> 9.</w:t>
      </w:r>
    </w:p>
  </w:footnote>
  <w:footnote w:id="13">
    <w:p w:rsidR="001929B5" w:rsidRDefault="001929B5">
      <w:pPr>
        <w:pStyle w:val="FootnoteText"/>
      </w:pPr>
      <w:r>
        <w:rPr>
          <w:rStyle w:val="FootnoteReference"/>
        </w:rPr>
        <w:footnoteRef/>
      </w:r>
      <w:r>
        <w:t xml:space="preserve"> Foisy, Exh. No. MDF-1CT at 9:20 – 10:3. </w:t>
      </w:r>
    </w:p>
  </w:footnote>
  <w:footnote w:id="14">
    <w:p w:rsidR="001929B5" w:rsidRDefault="001929B5">
      <w:pPr>
        <w:pStyle w:val="FootnoteText"/>
      </w:pPr>
      <w:r>
        <w:rPr>
          <w:rStyle w:val="FootnoteReference"/>
        </w:rPr>
        <w:footnoteRef/>
      </w:r>
      <w:r>
        <w:t xml:space="preserve"> Petition at 3-6, </w:t>
      </w:r>
      <w:r>
        <w:rPr>
          <w:rFonts w:cs="Times New Roman"/>
        </w:rPr>
        <w:t>¶¶</w:t>
      </w:r>
      <w:r>
        <w:t xml:space="preserve"> 4-8.</w:t>
      </w:r>
    </w:p>
  </w:footnote>
  <w:footnote w:id="15">
    <w:p w:rsidR="001929B5" w:rsidRDefault="001929B5">
      <w:pPr>
        <w:pStyle w:val="FootnoteText"/>
      </w:pPr>
      <w:r>
        <w:rPr>
          <w:rStyle w:val="FootnoteReference"/>
        </w:rPr>
        <w:footnoteRef/>
      </w:r>
      <w:r>
        <w:t xml:space="preserve"> Petition at 3, </w:t>
      </w:r>
      <w:r>
        <w:rPr>
          <w:rFonts w:cs="Times New Roman"/>
        </w:rPr>
        <w:t>¶</w:t>
      </w:r>
      <w:r>
        <w:t xml:space="preserve"> 9.</w:t>
      </w:r>
    </w:p>
  </w:footnote>
  <w:footnote w:id="16">
    <w:p w:rsidR="001929B5" w:rsidRDefault="001929B5">
      <w:pPr>
        <w:pStyle w:val="FootnoteText"/>
      </w:pPr>
      <w:r>
        <w:rPr>
          <w:rStyle w:val="FootnoteReference"/>
        </w:rPr>
        <w:footnoteRef/>
      </w:r>
      <w:r>
        <w:t xml:space="preserve"> PSE REC Order at 15-18, </w:t>
      </w:r>
      <w:r>
        <w:rPr>
          <w:rFonts w:cs="Times New Roman"/>
        </w:rPr>
        <w:t>¶¶</w:t>
      </w:r>
      <w:r>
        <w:t xml:space="preserve"> 40-43.  PacifiCorp erroneously equates the “benefits and burdens test” to the “matching principle”.</w:t>
      </w:r>
      <w:r>
        <w:rPr>
          <w:rStyle w:val="FootnoteReference"/>
        </w:rPr>
        <w:footnoteRef/>
      </w:r>
      <w:r>
        <w:t xml:space="preserve">  In fact, these concepts are not the same.  The benefits and burdens test is the test enunciated in the case most often cited for the treatment of utility sales of property.  See </w:t>
      </w:r>
      <w:r>
        <w:rPr>
          <w:i/>
        </w:rPr>
        <w:t xml:space="preserve">Democratic Cent. Comm. v. Wash. Metro. Transit Comm’n, </w:t>
      </w:r>
      <w:r>
        <w:t xml:space="preserve">485 F.2d 786, 806, (D.C. Cir. 1973), </w:t>
      </w:r>
      <w:r>
        <w:rPr>
          <w:i/>
        </w:rPr>
        <w:t>cert. denied</w:t>
      </w:r>
      <w:r w:rsidRPr="00F16D36">
        <w:t xml:space="preserve">, </w:t>
      </w:r>
      <w:r>
        <w:t>415 U.S. 935 (1973).</w:t>
      </w:r>
    </w:p>
  </w:footnote>
  <w:footnote w:id="17">
    <w:p w:rsidR="001929B5" w:rsidRDefault="001929B5" w:rsidP="00CE6680">
      <w:pPr>
        <w:pStyle w:val="FootnoteText"/>
      </w:pPr>
      <w:r>
        <w:rPr>
          <w:rStyle w:val="FootnoteReference"/>
        </w:rPr>
        <w:footnoteRef/>
      </w:r>
      <w:r>
        <w:t xml:space="preserve"> Petition at 4-5, </w:t>
      </w:r>
      <w:r>
        <w:rPr>
          <w:rFonts w:cs="Times New Roman"/>
        </w:rPr>
        <w:t>¶ 6.</w:t>
      </w:r>
      <w:r>
        <w:t xml:space="preserve"> </w:t>
      </w:r>
    </w:p>
  </w:footnote>
  <w:footnote w:id="18">
    <w:p w:rsidR="001929B5" w:rsidRDefault="001929B5" w:rsidP="004F4C4F">
      <w:pPr>
        <w:pStyle w:val="FootnoteText"/>
      </w:pPr>
      <w:r>
        <w:rPr>
          <w:rStyle w:val="FootnoteReference"/>
        </w:rPr>
        <w:footnoteRef/>
      </w:r>
      <w:r>
        <w:t xml:space="preserve"> Foisy, Exh. No. MDF-1CT at 9:20 – 10:3 (emphasis added).</w:t>
      </w:r>
    </w:p>
  </w:footnote>
  <w:footnote w:id="19">
    <w:p w:rsidR="001929B5" w:rsidRDefault="001929B5" w:rsidP="007E4BAB">
      <w:pPr>
        <w:pStyle w:val="FootnoteText"/>
      </w:pPr>
      <w:r>
        <w:rPr>
          <w:rStyle w:val="FootnoteReference"/>
        </w:rPr>
        <w:footnoteRef/>
      </w:r>
      <w:r>
        <w:t xml:space="preserve"> Petition at 7-10, </w:t>
      </w:r>
      <w:r>
        <w:rPr>
          <w:rFonts w:cs="Times New Roman"/>
        </w:rPr>
        <w:t>¶¶</w:t>
      </w:r>
      <w:r>
        <w:t xml:space="preserve"> 11-17.</w:t>
      </w:r>
    </w:p>
  </w:footnote>
  <w:footnote w:id="20">
    <w:p w:rsidR="001929B5" w:rsidRDefault="001929B5" w:rsidP="007E4BAB">
      <w:pPr>
        <w:pStyle w:val="FootnoteText"/>
      </w:pPr>
      <w:r>
        <w:rPr>
          <w:rStyle w:val="FootnoteReference"/>
        </w:rPr>
        <w:footnoteRef/>
      </w:r>
      <w:r>
        <w:t xml:space="preserve"> Order 10 at 9, </w:t>
      </w:r>
      <w:r>
        <w:rPr>
          <w:rFonts w:cs="Times New Roman"/>
        </w:rPr>
        <w:t>¶</w:t>
      </w:r>
      <w:r>
        <w:t xml:space="preserve"> 24.</w:t>
      </w:r>
    </w:p>
  </w:footnote>
  <w:footnote w:id="21">
    <w:p w:rsidR="001929B5" w:rsidRDefault="001929B5" w:rsidP="007E4BAB">
      <w:pPr>
        <w:pStyle w:val="FootnoteText"/>
      </w:pPr>
      <w:r>
        <w:rPr>
          <w:rStyle w:val="FootnoteReference"/>
        </w:rPr>
        <w:footnoteRef/>
      </w:r>
      <w:r>
        <w:t xml:space="preserve"> </w:t>
      </w:r>
      <w:r w:rsidRPr="003B72F5">
        <w:rPr>
          <w:rFonts w:cs="Times New Roman"/>
        </w:rPr>
        <w:t xml:space="preserve">PacifiCorp’s “commodity” argument is </w:t>
      </w:r>
      <w:r>
        <w:rPr>
          <w:rFonts w:cs="Times New Roman"/>
        </w:rPr>
        <w:t>additionally</w:t>
      </w:r>
      <w:r w:rsidRPr="003B72F5">
        <w:rPr>
          <w:rFonts w:cs="Times New Roman"/>
        </w:rPr>
        <w:t xml:space="preserve"> unhelpful, because the term “commodity” is overbroad, making the term </w:t>
      </w:r>
      <w:r>
        <w:rPr>
          <w:rFonts w:cs="Times New Roman"/>
        </w:rPr>
        <w:t xml:space="preserve">too </w:t>
      </w:r>
      <w:r w:rsidRPr="003B72F5">
        <w:rPr>
          <w:rFonts w:cs="Times New Roman"/>
        </w:rPr>
        <w:t>ambiguous to apply here.  For example, the legal definition of the term “commodity” “embraces only tangible goods, such as products or merchandise, as distinguished from services.”</w:t>
      </w:r>
      <w:r>
        <w:rPr>
          <w:rFonts w:cs="Times New Roman"/>
        </w:rPr>
        <w:t xml:space="preserve">  </w:t>
      </w:r>
      <w:r>
        <w:t xml:space="preserve">Bryan A. Garner, </w:t>
      </w:r>
      <w:r w:rsidRPr="00E74D03">
        <w:rPr>
          <w:i/>
        </w:rPr>
        <w:t>Black’s Law Dictionary</w:t>
      </w:r>
      <w:r>
        <w:t xml:space="preserve"> (7</w:t>
      </w:r>
      <w:r w:rsidRPr="00E74D03">
        <w:rPr>
          <w:vertAlign w:val="superscript"/>
        </w:rPr>
        <w:t>th</w:t>
      </w:r>
      <w:r>
        <w:t xml:space="preserve"> edition) at 267 (definition of “commodity”).  </w:t>
      </w:r>
      <w:r w:rsidRPr="003B72F5">
        <w:rPr>
          <w:rFonts w:cs="Times New Roman"/>
        </w:rPr>
        <w:t>RECs are not tangible goods.</w:t>
      </w:r>
    </w:p>
  </w:footnote>
  <w:footnote w:id="22">
    <w:p w:rsidR="001929B5" w:rsidRDefault="001929B5" w:rsidP="007E4BAB">
      <w:pPr>
        <w:pStyle w:val="FootnoteText"/>
      </w:pPr>
      <w:r>
        <w:rPr>
          <w:rStyle w:val="FootnoteReference"/>
        </w:rPr>
        <w:footnoteRef/>
      </w:r>
      <w:r>
        <w:t xml:space="preserve"> Petition at 10, </w:t>
      </w:r>
      <w:r>
        <w:rPr>
          <w:rFonts w:cs="Times New Roman"/>
        </w:rPr>
        <w:t>¶ 17.</w:t>
      </w:r>
    </w:p>
  </w:footnote>
  <w:footnote w:id="23">
    <w:p w:rsidR="001929B5" w:rsidRDefault="001929B5">
      <w:pPr>
        <w:pStyle w:val="FootnoteText"/>
      </w:pPr>
      <w:r>
        <w:rPr>
          <w:rStyle w:val="FootnoteReference"/>
        </w:rPr>
        <w:footnoteRef/>
      </w:r>
      <w:r>
        <w:t xml:space="preserve"> </w:t>
      </w:r>
      <w:r>
        <w:rPr>
          <w:rFonts w:cs="Times New Roman"/>
        </w:rPr>
        <w:t>Indeed, the value of RECs can differ depending on the facilities that give rise to them</w:t>
      </w:r>
      <w:r w:rsidR="00304C09">
        <w:rPr>
          <w:rFonts w:cs="Times New Roman"/>
        </w:rPr>
        <w:t xml:space="preserve">. </w:t>
      </w:r>
      <w:r>
        <w:rPr>
          <w:rFonts w:cs="Times New Roman"/>
        </w:rPr>
        <w:t xml:space="preserve"> For example, RECs </w:t>
      </w:r>
      <w:r w:rsidR="00304C09">
        <w:rPr>
          <w:rFonts w:cs="Times New Roman"/>
        </w:rPr>
        <w:t xml:space="preserve">related to </w:t>
      </w:r>
      <w:r>
        <w:rPr>
          <w:rFonts w:cs="Times New Roman"/>
        </w:rPr>
        <w:t xml:space="preserve">a facility that is eligible for compliance </w:t>
      </w:r>
      <w:r w:rsidR="00304C09">
        <w:rPr>
          <w:rFonts w:cs="Times New Roman"/>
        </w:rPr>
        <w:t xml:space="preserve">in only one </w:t>
      </w:r>
      <w:r>
        <w:rPr>
          <w:rFonts w:cs="Times New Roman"/>
        </w:rPr>
        <w:t xml:space="preserve">state may </w:t>
      </w:r>
      <w:r w:rsidR="00304C09">
        <w:rPr>
          <w:rFonts w:cs="Times New Roman"/>
        </w:rPr>
        <w:t>be valued in the marke</w:t>
      </w:r>
      <w:r w:rsidR="002E7C0C">
        <w:rPr>
          <w:rFonts w:cs="Times New Roman"/>
        </w:rPr>
        <w:t>t</w:t>
      </w:r>
      <w:r w:rsidR="00304C09">
        <w:rPr>
          <w:rFonts w:cs="Times New Roman"/>
        </w:rPr>
        <w:t xml:space="preserve"> differently than  RECs related to </w:t>
      </w:r>
      <w:r>
        <w:rPr>
          <w:rFonts w:cs="Times New Roman"/>
        </w:rPr>
        <w:t xml:space="preserve">a facility that is eligible for compliance </w:t>
      </w:r>
      <w:r w:rsidR="00304C09">
        <w:rPr>
          <w:rFonts w:cs="Times New Roman"/>
        </w:rPr>
        <w:t>in several</w:t>
      </w:r>
      <w:r>
        <w:rPr>
          <w:rFonts w:cs="Times New Roman"/>
        </w:rPr>
        <w:t xml:space="preserve"> states.</w:t>
      </w:r>
    </w:p>
  </w:footnote>
  <w:footnote w:id="24">
    <w:p w:rsidR="001929B5" w:rsidRDefault="001929B5" w:rsidP="005A584A">
      <w:pPr>
        <w:pStyle w:val="FootnoteText"/>
      </w:pPr>
      <w:r>
        <w:rPr>
          <w:rStyle w:val="FootnoteReference"/>
        </w:rPr>
        <w:footnoteRef/>
      </w:r>
      <w:r>
        <w:t xml:space="preserve"> </w:t>
      </w:r>
      <w:r w:rsidRPr="002B1A5C">
        <w:rPr>
          <w:i/>
        </w:rPr>
        <w:t xml:space="preserve">In </w:t>
      </w:r>
      <w:r>
        <w:rPr>
          <w:i/>
        </w:rPr>
        <w:t>re</w:t>
      </w:r>
      <w:r w:rsidRPr="002B1A5C">
        <w:rPr>
          <w:i/>
        </w:rPr>
        <w:t xml:space="preserve"> Application of </w:t>
      </w:r>
      <w:r>
        <w:rPr>
          <w:i/>
        </w:rPr>
        <w:t>PacifiCorp a</w:t>
      </w:r>
      <w:r w:rsidRPr="002B1A5C">
        <w:rPr>
          <w:i/>
        </w:rPr>
        <w:t>nd Scottish Power PLC for an Order (1) Disclaiming Jurisdiction or, in the Alternative, Authorizing the Acquisition of Control of PacifiCorp by Scottish Power and (2) Affirming Compliance with RCW 80.08.040 for PacifiCorp’s Issuance of Stock in Connection with the Transaction</w:t>
      </w:r>
      <w:r w:rsidRPr="002B1A5C">
        <w:t>,</w:t>
      </w:r>
      <w:r>
        <w:t xml:space="preserve"> </w:t>
      </w:r>
      <w:r w:rsidRPr="002B1A5C">
        <w:t>Docket UE-981627</w:t>
      </w:r>
      <w:r>
        <w:t xml:space="preserve">, Second Supplemental Order (March 16, </w:t>
      </w:r>
      <w:r w:rsidRPr="002B1A5C">
        <w:t>1999)</w:t>
      </w:r>
      <w:r>
        <w:t xml:space="preserve"> at 12.</w:t>
      </w:r>
    </w:p>
  </w:footnote>
  <w:footnote w:id="25">
    <w:p w:rsidR="001929B5" w:rsidRDefault="001929B5" w:rsidP="005A584A">
      <w:pPr>
        <w:pStyle w:val="FootnoteText"/>
      </w:pPr>
      <w:r>
        <w:rPr>
          <w:rStyle w:val="FootnoteReference"/>
        </w:rPr>
        <w:footnoteRef/>
      </w:r>
      <w:r>
        <w:t xml:space="preserve"> </w:t>
      </w:r>
      <w:r w:rsidRPr="002B1A5C">
        <w:rPr>
          <w:i/>
        </w:rPr>
        <w:t xml:space="preserve">In </w:t>
      </w:r>
      <w:r>
        <w:rPr>
          <w:i/>
        </w:rPr>
        <w:t>re</w:t>
      </w:r>
      <w:r w:rsidRPr="002B1A5C">
        <w:rPr>
          <w:i/>
        </w:rPr>
        <w:t xml:space="preserve"> Petition of PacifiCorp Seeking Blanket Authorization for the Sale of Surplus Sulfur Dioxide Emission Allowances</w:t>
      </w:r>
      <w:r w:rsidRPr="002B1A5C">
        <w:t>, Docket</w:t>
      </w:r>
      <w:r>
        <w:t xml:space="preserve"> </w:t>
      </w:r>
      <w:r w:rsidRPr="002B1A5C">
        <w:t>UE-940466</w:t>
      </w:r>
      <w:r>
        <w:t>, Petition for Sales Approval</w:t>
      </w:r>
      <w:r w:rsidDel="00556004">
        <w:t xml:space="preserve"> </w:t>
      </w:r>
      <w:r>
        <w:t xml:space="preserve"> (April 7, 1994) (filing date) at 2, quoting 42 U.S.C. § 7651a(3).</w:t>
      </w:r>
    </w:p>
  </w:footnote>
  <w:footnote w:id="26">
    <w:p w:rsidR="001929B5" w:rsidRDefault="001929B5" w:rsidP="005A584A">
      <w:pPr>
        <w:pStyle w:val="FootnoteText"/>
      </w:pPr>
      <w:r>
        <w:rPr>
          <w:rStyle w:val="FootnoteReference"/>
        </w:rPr>
        <w:footnoteRef/>
      </w:r>
      <w:r>
        <w:t xml:space="preserve"> Id.</w:t>
      </w:r>
      <w:r w:rsidRPr="002B1A5C">
        <w:fldChar w:fldCharType="begin"/>
      </w:r>
      <w:r w:rsidRPr="002B1A5C">
        <w:instrText xml:space="preserve"> TA \l "</w:instrText>
      </w:r>
      <w:r w:rsidRPr="002B1A5C">
        <w:rPr>
          <w:i/>
        </w:rPr>
        <w:instrText>In the Matter of the Petition of PacifiCorp Seeking Blanket Authorization for the Sale of Surplus Sulfur Dioxide Emission Allowances</w:instrText>
      </w:r>
      <w:r w:rsidRPr="002B1A5C">
        <w:instrText xml:space="preserve">, Docket No. UE-940466" \s "In the Matter of the Petition of PacifiCorp Seeking Blanket Authorization for the Sale of Surplus Sulfur Dioxide Emission Allowances, Docket No. UE-940466" \c 6 </w:instrText>
      </w:r>
      <w:r w:rsidRPr="002B1A5C">
        <w:fldChar w:fldCharType="end"/>
      </w:r>
      <w:r w:rsidRPr="002B1A5C">
        <w:t>, Decision and Order Granting Authorization</w:t>
      </w:r>
      <w:r>
        <w:t xml:space="preserve"> (April 13, 1994) at 3</w:t>
      </w:r>
      <w:r w:rsidRPr="002B1A5C">
        <w:t>.</w:t>
      </w:r>
    </w:p>
  </w:footnote>
  <w:footnote w:id="27">
    <w:p w:rsidR="001929B5" w:rsidRDefault="001929B5" w:rsidP="00EB58AD">
      <w:pPr>
        <w:spacing w:after="0" w:line="240" w:lineRule="auto"/>
      </w:pPr>
      <w:r w:rsidRPr="00771989">
        <w:rPr>
          <w:rStyle w:val="FootnoteReference"/>
          <w:sz w:val="20"/>
          <w:szCs w:val="20"/>
        </w:rPr>
        <w:footnoteRef/>
      </w:r>
      <w:r w:rsidRPr="00771989">
        <w:rPr>
          <w:sz w:val="20"/>
          <w:szCs w:val="20"/>
        </w:rPr>
        <w:t xml:space="preserve"> </w:t>
      </w:r>
      <w:r w:rsidRPr="00771989">
        <w:rPr>
          <w:i/>
          <w:sz w:val="20"/>
          <w:szCs w:val="20"/>
        </w:rPr>
        <w:t xml:space="preserve">In re Application of PacifiCorp Requesting Approval of Sale of Renewable Energy Credits, </w:t>
      </w:r>
      <w:r w:rsidRPr="00771989">
        <w:rPr>
          <w:sz w:val="20"/>
          <w:szCs w:val="20"/>
        </w:rPr>
        <w:t xml:space="preserve">Order 10-201 </w:t>
      </w:r>
      <w:r>
        <w:rPr>
          <w:sz w:val="20"/>
          <w:szCs w:val="20"/>
        </w:rPr>
        <w:t>Oregon Public Utilities Commission (OPUC) (</w:t>
      </w:r>
      <w:r w:rsidRPr="00771989">
        <w:rPr>
          <w:sz w:val="20"/>
          <w:szCs w:val="20"/>
        </w:rPr>
        <w:t>June 9, 2010)</w:t>
      </w:r>
      <w:r>
        <w:rPr>
          <w:sz w:val="20"/>
          <w:szCs w:val="20"/>
        </w:rPr>
        <w:t xml:space="preserve">.  The Commission can find this order </w:t>
      </w:r>
      <w:r w:rsidRPr="00771989">
        <w:rPr>
          <w:sz w:val="20"/>
          <w:szCs w:val="20"/>
        </w:rPr>
        <w:t>at:</w:t>
      </w:r>
      <w:r>
        <w:rPr>
          <w:sz w:val="20"/>
          <w:szCs w:val="20"/>
        </w:rPr>
        <w:t xml:space="preserve"> </w:t>
      </w:r>
      <w:hyperlink r:id="rId1" w:history="1">
        <w:r w:rsidRPr="00771989">
          <w:rPr>
            <w:rStyle w:val="Hyperlink"/>
            <w:sz w:val="20"/>
            <w:szCs w:val="20"/>
          </w:rPr>
          <w:t>http://apps.puc.state.or.us/orders/2010ords/10-210.pdf</w:t>
        </w:r>
      </w:hyperlink>
    </w:p>
  </w:footnote>
  <w:footnote w:id="28">
    <w:p w:rsidR="001929B5" w:rsidRDefault="001929B5" w:rsidP="00B90FFB">
      <w:pPr>
        <w:pStyle w:val="FootnoteText"/>
      </w:pPr>
      <w:r>
        <w:rPr>
          <w:rStyle w:val="FootnoteReference"/>
        </w:rPr>
        <w:footnoteRef/>
      </w:r>
      <w:r>
        <w:t xml:space="preserve"> ORS </w:t>
      </w:r>
      <w:r>
        <w:rPr>
          <w:rFonts w:cs="Times New Roman"/>
        </w:rPr>
        <w:t>§</w:t>
      </w:r>
      <w:r>
        <w:t>757.480(</w:t>
      </w:r>
      <w:r w:rsidRPr="00365A7C">
        <w:t>1)(a) states, in pertinent part: “A public utility … shall not, without first obtaining the [O</w:t>
      </w:r>
      <w:r>
        <w:t>PUC’s</w:t>
      </w:r>
      <w:r w:rsidRPr="00365A7C">
        <w:t>] approval of such transaction: … sell … the property of such public utility necessary or useful in the performance of its duties to the public or any part thereof …”</w:t>
      </w:r>
      <w:r>
        <w:t>.</w:t>
      </w:r>
    </w:p>
    <w:p w:rsidR="001929B5" w:rsidRPr="00365A7C" w:rsidRDefault="001929B5" w:rsidP="00B90FFB">
      <w:pPr>
        <w:pStyle w:val="FootnoteText"/>
      </w:pPr>
      <w:r>
        <w:tab/>
      </w:r>
      <w:r w:rsidRPr="00365A7C">
        <w:t>RCW 80.12.020 states, in pertinent part: “No public service company shall sell … the whole or any part of its … properties … whatsoever, which are necessary or necessary or useful in the performance of its duties to the public …”</w:t>
      </w:r>
      <w:r>
        <w:t>.  If anything, RCW 80.12.020 is the more encompassing statute, due to its reference to “any properties whatsoever”.</w:t>
      </w:r>
    </w:p>
  </w:footnote>
  <w:footnote w:id="29">
    <w:p w:rsidR="001929B5" w:rsidRDefault="001929B5" w:rsidP="00B90FFB">
      <w:pPr>
        <w:spacing w:after="0" w:line="240" w:lineRule="auto"/>
        <w:rPr>
          <w:sz w:val="20"/>
          <w:szCs w:val="20"/>
        </w:rPr>
      </w:pPr>
      <w:r w:rsidRPr="00365A7C">
        <w:rPr>
          <w:rStyle w:val="FootnoteReference"/>
          <w:sz w:val="20"/>
          <w:szCs w:val="20"/>
        </w:rPr>
        <w:footnoteRef/>
      </w:r>
      <w:r w:rsidRPr="00365A7C">
        <w:rPr>
          <w:sz w:val="20"/>
          <w:szCs w:val="20"/>
        </w:rPr>
        <w:t xml:space="preserve"> Our legal division considered whether</w:t>
      </w:r>
      <w:r>
        <w:rPr>
          <w:sz w:val="20"/>
          <w:szCs w:val="20"/>
        </w:rPr>
        <w:t xml:space="preserve"> </w:t>
      </w:r>
      <w:r w:rsidRPr="00365A7C">
        <w:rPr>
          <w:sz w:val="20"/>
          <w:szCs w:val="20"/>
        </w:rPr>
        <w:t>the Commission’s transfer of property statute</w:t>
      </w:r>
      <w:r>
        <w:rPr>
          <w:sz w:val="20"/>
          <w:szCs w:val="20"/>
        </w:rPr>
        <w:t xml:space="preserve"> (RCW 80.12)</w:t>
      </w:r>
      <w:r w:rsidRPr="00365A7C">
        <w:rPr>
          <w:sz w:val="20"/>
          <w:szCs w:val="20"/>
        </w:rPr>
        <w:t xml:space="preserve"> applied to RECs, thus triggering the property transfer application </w:t>
      </w:r>
      <w:r>
        <w:rPr>
          <w:sz w:val="20"/>
          <w:szCs w:val="20"/>
        </w:rPr>
        <w:t xml:space="preserve">and approval </w:t>
      </w:r>
      <w:r w:rsidRPr="00365A7C">
        <w:rPr>
          <w:sz w:val="20"/>
          <w:szCs w:val="20"/>
        </w:rPr>
        <w:t xml:space="preserve">process.  We concluded that the RECs being sold were excess to the utility’s system, and thus met the exception in RCW 80.12.020, </w:t>
      </w:r>
      <w:r>
        <w:rPr>
          <w:sz w:val="20"/>
          <w:szCs w:val="20"/>
        </w:rPr>
        <w:t xml:space="preserve">i.e., </w:t>
      </w:r>
      <w:r w:rsidRPr="00365A7C">
        <w:rPr>
          <w:sz w:val="20"/>
          <w:szCs w:val="20"/>
        </w:rPr>
        <w:t xml:space="preserve">they were not “necessary or useful in the performance of </w:t>
      </w:r>
      <w:r>
        <w:rPr>
          <w:sz w:val="20"/>
          <w:szCs w:val="20"/>
        </w:rPr>
        <w:t>[the utility’s]</w:t>
      </w:r>
      <w:r w:rsidRPr="00365A7C">
        <w:rPr>
          <w:sz w:val="20"/>
          <w:szCs w:val="20"/>
        </w:rPr>
        <w:t xml:space="preserve"> duties to the public”.</w:t>
      </w:r>
    </w:p>
    <w:p w:rsidR="001929B5" w:rsidRPr="00365A7C" w:rsidRDefault="001929B5" w:rsidP="00B90FFB">
      <w:pPr>
        <w:spacing w:after="0" w:line="240" w:lineRule="auto"/>
        <w:rPr>
          <w:sz w:val="20"/>
          <w:szCs w:val="20"/>
        </w:rPr>
      </w:pPr>
      <w:r w:rsidRPr="00365A7C">
        <w:rPr>
          <w:sz w:val="20"/>
          <w:szCs w:val="20"/>
        </w:rPr>
        <w:tab/>
        <w:t>We note that O</w:t>
      </w:r>
      <w:r>
        <w:rPr>
          <w:sz w:val="20"/>
          <w:szCs w:val="20"/>
        </w:rPr>
        <w:t>PUC</w:t>
      </w:r>
      <w:r w:rsidRPr="00365A7C">
        <w:rPr>
          <w:sz w:val="20"/>
          <w:szCs w:val="20"/>
        </w:rPr>
        <w:t xml:space="preserve"> apparently takes a different view, </w:t>
      </w:r>
      <w:r>
        <w:rPr>
          <w:sz w:val="20"/>
          <w:szCs w:val="20"/>
        </w:rPr>
        <w:t xml:space="preserve">because it treats sales of surplus RECs as subject to the transfer of property statute, </w:t>
      </w:r>
      <w:r w:rsidRPr="00365A7C">
        <w:rPr>
          <w:sz w:val="20"/>
          <w:szCs w:val="20"/>
        </w:rPr>
        <w:t xml:space="preserve">though </w:t>
      </w:r>
      <w:r>
        <w:rPr>
          <w:sz w:val="20"/>
          <w:szCs w:val="20"/>
        </w:rPr>
        <w:t xml:space="preserve">we could not find an OPUC order in which the OPUC specifically addressed the same “necessary or useful” term that is found in both ORS 757.480(1)(a) and RCW 80.12.020.  </w:t>
      </w:r>
      <w:r w:rsidRPr="00365A7C">
        <w:rPr>
          <w:sz w:val="20"/>
          <w:szCs w:val="20"/>
        </w:rPr>
        <w:t xml:space="preserve">We also </w:t>
      </w:r>
      <w:r>
        <w:rPr>
          <w:sz w:val="20"/>
          <w:szCs w:val="20"/>
        </w:rPr>
        <w:t xml:space="preserve">recognize </w:t>
      </w:r>
      <w:r w:rsidRPr="00365A7C">
        <w:rPr>
          <w:sz w:val="20"/>
          <w:szCs w:val="20"/>
        </w:rPr>
        <w:t xml:space="preserve">the </w:t>
      </w:r>
      <w:r>
        <w:rPr>
          <w:sz w:val="20"/>
          <w:szCs w:val="20"/>
        </w:rPr>
        <w:t>UTC</w:t>
      </w:r>
      <w:r w:rsidRPr="00365A7C">
        <w:rPr>
          <w:sz w:val="20"/>
          <w:szCs w:val="20"/>
        </w:rPr>
        <w:t xml:space="preserve"> did not </w:t>
      </w:r>
      <w:r>
        <w:rPr>
          <w:sz w:val="20"/>
          <w:szCs w:val="20"/>
        </w:rPr>
        <w:t xml:space="preserve">formally </w:t>
      </w:r>
      <w:r w:rsidRPr="00365A7C">
        <w:rPr>
          <w:sz w:val="20"/>
          <w:szCs w:val="20"/>
        </w:rPr>
        <w:t xml:space="preserve">decide the applicability of RCW 80.12 in its order.  </w:t>
      </w:r>
      <w:r>
        <w:rPr>
          <w:sz w:val="20"/>
          <w:szCs w:val="20"/>
        </w:rPr>
        <w:t xml:space="preserve">Order 10 at 9, n.23.  </w:t>
      </w:r>
      <w:r w:rsidRPr="00365A7C">
        <w:rPr>
          <w:sz w:val="20"/>
          <w:szCs w:val="20"/>
        </w:rPr>
        <w:t>Th</w:t>
      </w:r>
      <w:r>
        <w:rPr>
          <w:sz w:val="20"/>
          <w:szCs w:val="20"/>
        </w:rPr>
        <w:t xml:space="preserve">e Commission may decide to request </w:t>
      </w:r>
      <w:r w:rsidRPr="00365A7C">
        <w:rPr>
          <w:sz w:val="20"/>
          <w:szCs w:val="20"/>
        </w:rPr>
        <w:t xml:space="preserve">additional </w:t>
      </w:r>
      <w:r>
        <w:rPr>
          <w:sz w:val="20"/>
          <w:szCs w:val="20"/>
        </w:rPr>
        <w:t xml:space="preserve">legal </w:t>
      </w:r>
      <w:r w:rsidRPr="00365A7C">
        <w:rPr>
          <w:sz w:val="20"/>
          <w:szCs w:val="20"/>
        </w:rPr>
        <w:t>briefing</w:t>
      </w:r>
      <w:r>
        <w:rPr>
          <w:sz w:val="20"/>
          <w:szCs w:val="20"/>
        </w:rPr>
        <w:t xml:space="preserve"> on this issue, </w:t>
      </w:r>
      <w:r w:rsidRPr="00365A7C">
        <w:rPr>
          <w:sz w:val="20"/>
          <w:szCs w:val="20"/>
        </w:rPr>
        <w:t xml:space="preserve">because if property transfer applications </w:t>
      </w:r>
      <w:r>
        <w:rPr>
          <w:sz w:val="20"/>
          <w:szCs w:val="20"/>
        </w:rPr>
        <w:t xml:space="preserve">under RCW 80.12 </w:t>
      </w:r>
      <w:r w:rsidRPr="00365A7C">
        <w:rPr>
          <w:sz w:val="20"/>
          <w:szCs w:val="20"/>
        </w:rPr>
        <w:t>are required for RECs, as they are in Oregon, the utilities in this state will need to comply.</w:t>
      </w:r>
    </w:p>
  </w:footnote>
  <w:footnote w:id="30">
    <w:p w:rsidR="001929B5" w:rsidRDefault="001929B5">
      <w:pPr>
        <w:pStyle w:val="FootnoteText"/>
      </w:pPr>
      <w:r>
        <w:rPr>
          <w:rStyle w:val="FootnoteReference"/>
        </w:rPr>
        <w:footnoteRef/>
      </w:r>
      <w:r>
        <w:t xml:space="preserve"> Order 10 at 9, </w:t>
      </w:r>
      <w:r>
        <w:rPr>
          <w:rFonts w:cs="Times New Roman"/>
        </w:rPr>
        <w:t>¶</w:t>
      </w:r>
      <w:r>
        <w:t xml:space="preserve"> 23.</w:t>
      </w:r>
    </w:p>
  </w:footnote>
  <w:footnote w:id="31">
    <w:p w:rsidR="001929B5" w:rsidRDefault="001929B5" w:rsidP="000044AC">
      <w:pPr>
        <w:pStyle w:val="FootnoteText"/>
      </w:pPr>
      <w:r>
        <w:rPr>
          <w:rStyle w:val="FootnoteReference"/>
        </w:rPr>
        <w:footnoteRef/>
      </w:r>
      <w:r>
        <w:t xml:space="preserve"> Petition at 10-13, </w:t>
      </w:r>
      <w:r>
        <w:rPr>
          <w:rFonts w:cs="Times New Roman"/>
        </w:rPr>
        <w:t>¶¶</w:t>
      </w:r>
      <w:r>
        <w:t xml:space="preserve"> 18-25.</w:t>
      </w:r>
    </w:p>
  </w:footnote>
  <w:footnote w:id="32">
    <w:p w:rsidR="001929B5" w:rsidRDefault="001929B5">
      <w:pPr>
        <w:pStyle w:val="FootnoteText"/>
      </w:pPr>
      <w:r>
        <w:rPr>
          <w:rStyle w:val="FootnoteReference"/>
        </w:rPr>
        <w:footnoteRef/>
      </w:r>
      <w:r>
        <w:t xml:space="preserve"> Duvall, Exh. No. (GND-5T) at 8:3-6.  PacifiCorp challenges only the inclusion of 2009 and 2010 revenues in the credit:  See e.g., PacifiCorp Reply Brief (November 18, 2011), at 21-22, </w:t>
      </w:r>
      <w:r>
        <w:rPr>
          <w:rFonts w:cs="Times New Roman"/>
        </w:rPr>
        <w:t>¶</w:t>
      </w:r>
      <w:r>
        <w:t xml:space="preserve"> 50.</w:t>
      </w:r>
    </w:p>
  </w:footnote>
  <w:footnote w:id="33">
    <w:p w:rsidR="001929B5" w:rsidRPr="0057340D" w:rsidRDefault="001929B5">
      <w:pPr>
        <w:pStyle w:val="FootnoteText"/>
      </w:pPr>
      <w:r>
        <w:rPr>
          <w:rStyle w:val="FootnoteReference"/>
        </w:rPr>
        <w:footnoteRef/>
      </w:r>
      <w:r>
        <w:t xml:space="preserve"> Petition at 15; </w:t>
      </w:r>
      <w:r>
        <w:rPr>
          <w:i/>
        </w:rPr>
        <w:t xml:space="preserve">Utilities and Transp. Comm’n v. Am. Water Resources, Inc., </w:t>
      </w:r>
      <w:r>
        <w:t>Docket UW-980072 et al., Fifth Supplemental Order (November 24, 1998).</w:t>
      </w:r>
    </w:p>
  </w:footnote>
  <w:footnote w:id="34">
    <w:p w:rsidR="001929B5" w:rsidRDefault="001929B5">
      <w:pPr>
        <w:pStyle w:val="FootnoteText"/>
      </w:pPr>
      <w:r>
        <w:rPr>
          <w:rStyle w:val="FootnoteReference"/>
        </w:rPr>
        <w:footnoteRef/>
      </w:r>
      <w:r>
        <w:t xml:space="preserve"> Id. at 16, </w:t>
      </w:r>
      <w:r>
        <w:rPr>
          <w:rFonts w:cs="Times New Roman"/>
        </w:rPr>
        <w:t>¶</w:t>
      </w:r>
      <w:r>
        <w:t xml:space="preserve"> 31; </w:t>
      </w:r>
      <w:r>
        <w:rPr>
          <w:i/>
        </w:rPr>
        <w:t xml:space="preserve">Utilities and Transp. Comm’n v. Olympic Pipe Line Co., </w:t>
      </w:r>
      <w:r>
        <w:t>Docket TO-011472, 20</w:t>
      </w:r>
      <w:r w:rsidRPr="000945C8">
        <w:rPr>
          <w:vertAlign w:val="superscript"/>
        </w:rPr>
        <w:t>th</w:t>
      </w:r>
      <w:r>
        <w:t xml:space="preserve"> Supplemental Order (September 27, 2002).</w:t>
      </w:r>
    </w:p>
  </w:footnote>
  <w:footnote w:id="35">
    <w:p w:rsidR="001929B5" w:rsidRDefault="001929B5" w:rsidP="00235532">
      <w:pPr>
        <w:spacing w:after="0" w:line="240" w:lineRule="auto"/>
        <w:rPr>
          <w:rFonts w:cs="Times New Roman"/>
          <w:sz w:val="20"/>
          <w:szCs w:val="20"/>
        </w:rPr>
      </w:pPr>
      <w:r w:rsidRPr="000945C8">
        <w:rPr>
          <w:rStyle w:val="FootnoteReference"/>
          <w:sz w:val="20"/>
          <w:szCs w:val="20"/>
        </w:rPr>
        <w:footnoteRef/>
      </w:r>
      <w:r w:rsidRPr="000945C8">
        <w:rPr>
          <w:sz w:val="20"/>
          <w:szCs w:val="20"/>
        </w:rPr>
        <w:t xml:space="preserve"> </w:t>
      </w:r>
      <w:r w:rsidRPr="000945C8">
        <w:rPr>
          <w:rFonts w:cs="Times New Roman"/>
          <w:sz w:val="20"/>
          <w:szCs w:val="20"/>
        </w:rPr>
        <w:tab/>
        <w:t>PacifiCorp takes umbrage at the Commission comment about how a “piece of paper” affect</w:t>
      </w:r>
      <w:r>
        <w:rPr>
          <w:rFonts w:cs="Times New Roman"/>
          <w:sz w:val="20"/>
          <w:szCs w:val="20"/>
        </w:rPr>
        <w:t>s</w:t>
      </w:r>
      <w:r w:rsidRPr="000945C8">
        <w:rPr>
          <w:rFonts w:cs="Times New Roman"/>
          <w:sz w:val="20"/>
          <w:szCs w:val="20"/>
        </w:rPr>
        <w:t xml:space="preserve"> </w:t>
      </w:r>
      <w:r>
        <w:rPr>
          <w:rFonts w:cs="Times New Roman"/>
          <w:sz w:val="20"/>
          <w:szCs w:val="20"/>
        </w:rPr>
        <w:t xml:space="preserve">PacifiCorp’s application of the retroactive ratemaking rule.  </w:t>
      </w:r>
      <w:r w:rsidRPr="000945C8">
        <w:rPr>
          <w:rFonts w:cs="Times New Roman"/>
          <w:sz w:val="20"/>
          <w:szCs w:val="20"/>
        </w:rPr>
        <w:t xml:space="preserve">Petition at 17-18, ¶ 36.  </w:t>
      </w:r>
      <w:r>
        <w:rPr>
          <w:rFonts w:cs="Times New Roman"/>
          <w:sz w:val="20"/>
          <w:szCs w:val="20"/>
        </w:rPr>
        <w:t xml:space="preserve">However, </w:t>
      </w:r>
      <w:r w:rsidRPr="000945C8">
        <w:rPr>
          <w:rFonts w:cs="Times New Roman"/>
          <w:sz w:val="20"/>
          <w:szCs w:val="20"/>
        </w:rPr>
        <w:t>it would be challenging to explain to anyone outside the regulatory circle that retroactive ratemaking legally bars a utility from collecting a past cost in future rates, except i</w:t>
      </w:r>
      <w:r>
        <w:rPr>
          <w:rFonts w:cs="Times New Roman"/>
          <w:sz w:val="20"/>
          <w:szCs w:val="20"/>
        </w:rPr>
        <w:t>f</w:t>
      </w:r>
      <w:r w:rsidRPr="000945C8">
        <w:rPr>
          <w:rFonts w:cs="Times New Roman"/>
          <w:sz w:val="20"/>
          <w:szCs w:val="20"/>
        </w:rPr>
        <w:t xml:space="preserve"> the utility mails in a piece of paper (e.g., a petition) and gains an agency’s approval to do exactly that. </w:t>
      </w:r>
    </w:p>
    <w:p w:rsidR="001929B5" w:rsidRDefault="001929B5" w:rsidP="009C688D">
      <w:pPr>
        <w:spacing w:after="0" w:line="240" w:lineRule="auto"/>
        <w:rPr>
          <w:sz w:val="20"/>
          <w:szCs w:val="20"/>
        </w:rPr>
      </w:pPr>
      <w:r>
        <w:rPr>
          <w:rFonts w:cs="Times New Roman"/>
          <w:sz w:val="20"/>
          <w:szCs w:val="20"/>
        </w:rPr>
        <w:tab/>
      </w:r>
      <w:r w:rsidRPr="000044AC">
        <w:rPr>
          <w:sz w:val="20"/>
          <w:szCs w:val="20"/>
        </w:rPr>
        <w:t xml:space="preserve">We </w:t>
      </w:r>
      <w:r>
        <w:rPr>
          <w:sz w:val="20"/>
          <w:szCs w:val="20"/>
        </w:rPr>
        <w:t xml:space="preserve">also </w:t>
      </w:r>
      <w:r w:rsidRPr="000044AC">
        <w:rPr>
          <w:sz w:val="20"/>
          <w:szCs w:val="20"/>
        </w:rPr>
        <w:t xml:space="preserve">note PacifiCorp persists in saying the Commission strictly applies the retroactive ratemaking rule, but </w:t>
      </w:r>
      <w:r>
        <w:rPr>
          <w:sz w:val="20"/>
          <w:szCs w:val="20"/>
        </w:rPr>
        <w:t>t</w:t>
      </w:r>
      <w:r w:rsidRPr="000044AC">
        <w:rPr>
          <w:sz w:val="20"/>
          <w:szCs w:val="20"/>
        </w:rPr>
        <w:t xml:space="preserve">he Company is only partly </w:t>
      </w:r>
      <w:r>
        <w:rPr>
          <w:sz w:val="20"/>
          <w:szCs w:val="20"/>
        </w:rPr>
        <w:t>correct</w:t>
      </w:r>
      <w:r w:rsidRPr="000044AC">
        <w:rPr>
          <w:sz w:val="20"/>
          <w:szCs w:val="20"/>
        </w:rPr>
        <w:t xml:space="preserve">.  Prior to 1988, the Commission </w:t>
      </w:r>
      <w:r>
        <w:rPr>
          <w:sz w:val="20"/>
          <w:szCs w:val="20"/>
        </w:rPr>
        <w:t xml:space="preserve">did strictly </w:t>
      </w:r>
      <w:r w:rsidRPr="000044AC">
        <w:rPr>
          <w:sz w:val="20"/>
          <w:szCs w:val="20"/>
        </w:rPr>
        <w:t>appl</w:t>
      </w:r>
      <w:r>
        <w:rPr>
          <w:sz w:val="20"/>
          <w:szCs w:val="20"/>
        </w:rPr>
        <w:t>y</w:t>
      </w:r>
      <w:r w:rsidRPr="000044AC">
        <w:rPr>
          <w:sz w:val="20"/>
          <w:szCs w:val="20"/>
        </w:rPr>
        <w:t xml:space="preserve"> the retroactive ratemaking rule, </w:t>
      </w:r>
      <w:r>
        <w:rPr>
          <w:sz w:val="20"/>
          <w:szCs w:val="20"/>
        </w:rPr>
        <w:t xml:space="preserve">e.g., </w:t>
      </w:r>
      <w:r>
        <w:rPr>
          <w:i/>
          <w:sz w:val="20"/>
          <w:szCs w:val="20"/>
        </w:rPr>
        <w:t>In r</w:t>
      </w:r>
      <w:r w:rsidRPr="000044AC">
        <w:rPr>
          <w:i/>
          <w:sz w:val="20"/>
          <w:szCs w:val="20"/>
        </w:rPr>
        <w:t xml:space="preserve">e </w:t>
      </w:r>
      <w:r>
        <w:rPr>
          <w:i/>
          <w:sz w:val="20"/>
          <w:szCs w:val="20"/>
        </w:rPr>
        <w:t xml:space="preserve">Petition of </w:t>
      </w:r>
      <w:r w:rsidRPr="000044AC">
        <w:rPr>
          <w:i/>
          <w:sz w:val="20"/>
          <w:szCs w:val="20"/>
        </w:rPr>
        <w:t>Puget Sound Power &amp; Light Co</w:t>
      </w:r>
      <w:r w:rsidRPr="000044AC">
        <w:rPr>
          <w:sz w:val="20"/>
          <w:szCs w:val="20"/>
        </w:rPr>
        <w:t>.</w:t>
      </w:r>
      <w:r>
        <w:rPr>
          <w:sz w:val="20"/>
          <w:szCs w:val="20"/>
        </w:rPr>
        <w:t xml:space="preserve"> </w:t>
      </w:r>
      <w:r w:rsidRPr="001929B5">
        <w:rPr>
          <w:i/>
          <w:sz w:val="20"/>
          <w:szCs w:val="20"/>
        </w:rPr>
        <w:t>for Deferred</w:t>
      </w:r>
      <w:r>
        <w:rPr>
          <w:sz w:val="20"/>
          <w:szCs w:val="20"/>
        </w:rPr>
        <w:t xml:space="preserve"> </w:t>
      </w:r>
      <w:r>
        <w:rPr>
          <w:i/>
          <w:sz w:val="20"/>
          <w:szCs w:val="20"/>
        </w:rPr>
        <w:t>Accounting Treatment and Amortization in Regard to Certain Power Costs and Credits</w:t>
      </w:r>
      <w:r w:rsidRPr="000044AC">
        <w:rPr>
          <w:sz w:val="20"/>
          <w:szCs w:val="20"/>
        </w:rPr>
        <w:t>, Cause U-79-73, Order (December 31, 1979)</w:t>
      </w:r>
      <w:r>
        <w:rPr>
          <w:sz w:val="20"/>
          <w:szCs w:val="20"/>
        </w:rPr>
        <w:t xml:space="preserve">.  In that case, </w:t>
      </w:r>
      <w:r w:rsidRPr="000044AC">
        <w:rPr>
          <w:sz w:val="20"/>
          <w:szCs w:val="20"/>
        </w:rPr>
        <w:t xml:space="preserve">the Commission rejected as unlawful retroactive ratemaking a power cost adjustment </w:t>
      </w:r>
      <w:r w:rsidRPr="00836FAC">
        <w:rPr>
          <w:sz w:val="20"/>
          <w:szCs w:val="20"/>
        </w:rPr>
        <w:t xml:space="preserve">tariff on the </w:t>
      </w:r>
      <w:r w:rsidRPr="002351A0">
        <w:rPr>
          <w:sz w:val="20"/>
          <w:szCs w:val="20"/>
        </w:rPr>
        <w:t>basis it included a deferral and true-up provision.  The Commission reasoned that because the true-up occurred after service was rendered, it affected the price of the electricity previously provided.  According to the Commission, this also would violate RCW 80.28.020, which requires a utility’s rates be specified in a tariff at the time service is provided.  Order in Cause U-79-73</w:t>
      </w:r>
      <w:r>
        <w:rPr>
          <w:sz w:val="20"/>
          <w:szCs w:val="20"/>
        </w:rPr>
        <w:t>,</w:t>
      </w:r>
      <w:r w:rsidRPr="002351A0">
        <w:rPr>
          <w:sz w:val="20"/>
          <w:szCs w:val="20"/>
        </w:rPr>
        <w:t xml:space="preserve"> at 2-3.  </w:t>
      </w:r>
    </w:p>
    <w:p w:rsidR="001929B5" w:rsidRDefault="001929B5" w:rsidP="009C688D">
      <w:pPr>
        <w:spacing w:after="0" w:line="240" w:lineRule="auto"/>
        <w:rPr>
          <w:sz w:val="20"/>
          <w:szCs w:val="20"/>
        </w:rPr>
      </w:pPr>
      <w:r>
        <w:rPr>
          <w:sz w:val="20"/>
          <w:szCs w:val="20"/>
        </w:rPr>
        <w:tab/>
        <w:t>However, in 1988</w:t>
      </w:r>
      <w:r w:rsidRPr="002351A0">
        <w:rPr>
          <w:sz w:val="20"/>
          <w:szCs w:val="20"/>
        </w:rPr>
        <w:t xml:space="preserve">, the Commission </w:t>
      </w:r>
      <w:r>
        <w:rPr>
          <w:sz w:val="20"/>
          <w:szCs w:val="20"/>
        </w:rPr>
        <w:t xml:space="preserve">implicitly reversed that 1979 decision when it </w:t>
      </w:r>
      <w:r w:rsidRPr="002351A0">
        <w:rPr>
          <w:sz w:val="20"/>
          <w:szCs w:val="20"/>
        </w:rPr>
        <w:t xml:space="preserve">approved a </w:t>
      </w:r>
      <w:r>
        <w:rPr>
          <w:sz w:val="20"/>
          <w:szCs w:val="20"/>
        </w:rPr>
        <w:t xml:space="preserve">similar </w:t>
      </w:r>
      <w:r w:rsidRPr="002351A0">
        <w:rPr>
          <w:sz w:val="20"/>
          <w:szCs w:val="20"/>
        </w:rPr>
        <w:t>power cost adjustment mechanism</w:t>
      </w:r>
      <w:r>
        <w:rPr>
          <w:sz w:val="20"/>
          <w:szCs w:val="20"/>
        </w:rPr>
        <w:t xml:space="preserve">, and </w:t>
      </w:r>
      <w:r w:rsidRPr="002351A0">
        <w:rPr>
          <w:sz w:val="20"/>
          <w:szCs w:val="20"/>
        </w:rPr>
        <w:t xml:space="preserve">ruled that </w:t>
      </w:r>
      <w:r>
        <w:rPr>
          <w:sz w:val="20"/>
          <w:szCs w:val="20"/>
        </w:rPr>
        <w:t xml:space="preserve">the </w:t>
      </w:r>
      <w:r w:rsidRPr="002351A0">
        <w:rPr>
          <w:sz w:val="20"/>
          <w:szCs w:val="20"/>
        </w:rPr>
        <w:t xml:space="preserve">deferral and true-up feature did not constitute retroactive ratemaking.  </w:t>
      </w:r>
      <w:r w:rsidRPr="002351A0">
        <w:rPr>
          <w:i/>
          <w:sz w:val="20"/>
          <w:szCs w:val="20"/>
        </w:rPr>
        <w:t>Utilities and Transp. Comm’n v. Puget Sound Power &amp; Light Co</w:t>
      </w:r>
      <w:r w:rsidRPr="002351A0">
        <w:rPr>
          <w:sz w:val="20"/>
          <w:szCs w:val="20"/>
        </w:rPr>
        <w:t xml:space="preserve">., Docket U-81-41, Sixth Supplemental Order (December 19, 1988) at 16-19. </w:t>
      </w:r>
    </w:p>
    <w:p w:rsidR="001929B5" w:rsidRDefault="001929B5" w:rsidP="009C688D">
      <w:pPr>
        <w:spacing w:after="0" w:line="240" w:lineRule="auto"/>
      </w:pPr>
      <w:r w:rsidRPr="00C150A4">
        <w:rPr>
          <w:sz w:val="20"/>
          <w:szCs w:val="20"/>
        </w:rPr>
        <w:tab/>
        <w:t xml:space="preserve">Of course, a court could </w:t>
      </w:r>
      <w:r>
        <w:rPr>
          <w:sz w:val="20"/>
          <w:szCs w:val="20"/>
        </w:rPr>
        <w:t xml:space="preserve">strictly </w:t>
      </w:r>
      <w:r w:rsidRPr="00C150A4">
        <w:rPr>
          <w:sz w:val="20"/>
          <w:szCs w:val="20"/>
        </w:rPr>
        <w:t xml:space="preserve">apply the retroactive ratemaking rule, </w:t>
      </w:r>
      <w:r>
        <w:rPr>
          <w:sz w:val="20"/>
          <w:szCs w:val="20"/>
        </w:rPr>
        <w:t xml:space="preserve">i.e., in the manner the Commission applied the rule before 1988, </w:t>
      </w:r>
      <w:r w:rsidRPr="00C150A4">
        <w:rPr>
          <w:sz w:val="20"/>
          <w:szCs w:val="20"/>
        </w:rPr>
        <w:t xml:space="preserve">which would </w:t>
      </w:r>
      <w:r>
        <w:rPr>
          <w:sz w:val="20"/>
          <w:szCs w:val="20"/>
        </w:rPr>
        <w:t xml:space="preserve">put an end to </w:t>
      </w:r>
      <w:r w:rsidRPr="00C150A4">
        <w:rPr>
          <w:sz w:val="20"/>
          <w:szCs w:val="20"/>
        </w:rPr>
        <w:t>the deferred accounting PacifiCorp has enjoyed in the past</w:t>
      </w:r>
      <w:r>
        <w:rPr>
          <w:sz w:val="20"/>
          <w:szCs w:val="20"/>
        </w:rPr>
        <w:t xml:space="preserve">, as well as </w:t>
      </w:r>
      <w:r w:rsidRPr="00C150A4">
        <w:rPr>
          <w:sz w:val="20"/>
          <w:szCs w:val="20"/>
        </w:rPr>
        <w:t xml:space="preserve">the Company’s quest for a </w:t>
      </w:r>
      <w:r>
        <w:rPr>
          <w:sz w:val="20"/>
          <w:szCs w:val="20"/>
        </w:rPr>
        <w:t>power cost adjustment mechanism</w:t>
      </w:r>
      <w:r w:rsidRPr="00C150A4">
        <w:rPr>
          <w:sz w:val="20"/>
          <w:szCs w:val="20"/>
        </w:rPr>
        <w:t>.</w:t>
      </w:r>
      <w:r>
        <w:t xml:space="preserve"> </w:t>
      </w:r>
    </w:p>
  </w:footnote>
  <w:footnote w:id="36">
    <w:p w:rsidR="001929B5" w:rsidRDefault="001929B5">
      <w:pPr>
        <w:pStyle w:val="FootnoteText"/>
      </w:pPr>
      <w:r>
        <w:rPr>
          <w:rStyle w:val="FootnoteReference"/>
        </w:rPr>
        <w:footnoteRef/>
      </w:r>
      <w:r>
        <w:t xml:space="preserve"> Petition at 13-17, </w:t>
      </w:r>
      <w:r>
        <w:rPr>
          <w:rFonts w:cs="Times New Roman"/>
        </w:rPr>
        <w:t>¶¶</w:t>
      </w:r>
      <w:r>
        <w:t xml:space="preserve"> 26-34.</w:t>
      </w:r>
    </w:p>
  </w:footnote>
  <w:footnote w:id="37">
    <w:p w:rsidR="001929B5" w:rsidRDefault="001929B5">
      <w:pPr>
        <w:pStyle w:val="FootnoteText"/>
      </w:pPr>
      <w:r>
        <w:rPr>
          <w:rStyle w:val="FootnoteReference"/>
        </w:rPr>
        <w:footnoteRef/>
      </w:r>
      <w:r>
        <w:t xml:space="preserve"> PacifiCorp Petition at 17, </w:t>
      </w:r>
      <w:r>
        <w:rPr>
          <w:rFonts w:cs="Times New Roman"/>
        </w:rPr>
        <w:t>¶</w:t>
      </w:r>
      <w:r>
        <w:t xml:space="preserve"> 35. </w:t>
      </w:r>
    </w:p>
  </w:footnote>
  <w:footnote w:id="38">
    <w:p w:rsidR="001929B5" w:rsidRPr="003C25A7" w:rsidRDefault="001929B5" w:rsidP="004B4780">
      <w:pPr>
        <w:pStyle w:val="FootnoteText"/>
      </w:pPr>
      <w:r>
        <w:rPr>
          <w:rStyle w:val="FootnoteReference"/>
        </w:rPr>
        <w:footnoteRef/>
      </w:r>
      <w:r>
        <w:t xml:space="preserve"> Id., quoting </w:t>
      </w:r>
      <w:r>
        <w:rPr>
          <w:i/>
        </w:rPr>
        <w:t>In re Petition of PacifiCorp for an Accounting Order Authorizing Deferral of Excess Net Power Costs</w:t>
      </w:r>
      <w:r>
        <w:t xml:space="preserve">, Docket UE-020417, Third Supplemental Order (September 27, 2002) at 8, </w:t>
      </w:r>
      <w:r>
        <w:rPr>
          <w:rFonts w:cs="Times New Roman"/>
        </w:rPr>
        <w:t>¶</w:t>
      </w:r>
      <w:r>
        <w:t xml:space="preserve"> 25. </w:t>
      </w:r>
    </w:p>
  </w:footnote>
  <w:footnote w:id="39">
    <w:p w:rsidR="001929B5" w:rsidRDefault="001929B5">
      <w:pPr>
        <w:pStyle w:val="FootnoteText"/>
      </w:pPr>
      <w:r>
        <w:rPr>
          <w:rStyle w:val="FootnoteReference"/>
        </w:rPr>
        <w:footnoteRef/>
      </w:r>
      <w:r>
        <w:t xml:space="preserve"> PacifiCorp Petition at 18, </w:t>
      </w:r>
      <w:r>
        <w:rPr>
          <w:rFonts w:cs="Times New Roman"/>
        </w:rPr>
        <w:t>¶</w:t>
      </w:r>
      <w:r>
        <w:t xml:space="preserve"> 38.</w:t>
      </w:r>
    </w:p>
  </w:footnote>
  <w:footnote w:id="40">
    <w:p w:rsidR="001929B5" w:rsidRDefault="001929B5">
      <w:pPr>
        <w:pStyle w:val="FootnoteText"/>
      </w:pPr>
      <w:r>
        <w:rPr>
          <w:rStyle w:val="FootnoteReference"/>
        </w:rPr>
        <w:footnoteRef/>
      </w:r>
      <w:r>
        <w:t xml:space="preserve"> </w:t>
      </w:r>
      <w:r>
        <w:rPr>
          <w:i/>
        </w:rPr>
        <w:t xml:space="preserve">Utilities and Transp. Comm’n v. Avista Corp., </w:t>
      </w:r>
      <w:r>
        <w:t>Dockets UE-991606 and UG-991607, Third Supplemental Order (September 29, 2000) at 5</w:t>
      </w:r>
      <w:r w:rsidRPr="000044AC">
        <w:rPr>
          <w:rFonts w:cs="Times New Roman"/>
        </w:rPr>
        <w:t xml:space="preserve">7, </w:t>
      </w:r>
      <m:oMath>
        <m:r>
          <w:rPr>
            <w:rFonts w:ascii="Cambria Math" w:hAnsi="Cambria Math" w:cs="Times New Roman"/>
          </w:rPr>
          <m:t>¶ 207.</m:t>
        </m:r>
      </m:oMath>
    </w:p>
  </w:footnote>
  <w:footnote w:id="41">
    <w:p w:rsidR="001929B5" w:rsidRDefault="001929B5">
      <w:pPr>
        <w:pStyle w:val="FootnoteText"/>
      </w:pPr>
      <w:r>
        <w:rPr>
          <w:rStyle w:val="FootnoteReference"/>
        </w:rPr>
        <w:footnoteRef/>
      </w:r>
      <w:r>
        <w:t xml:space="preserve"> PacifiCorp Petition at 18, </w:t>
      </w:r>
      <w:r>
        <w:rPr>
          <w:rFonts w:cs="Times New Roman"/>
        </w:rPr>
        <w:t>¶</w:t>
      </w:r>
      <w:r>
        <w:t xml:space="preserve"> 37.</w:t>
      </w:r>
    </w:p>
  </w:footnote>
  <w:footnote w:id="42">
    <w:p w:rsidR="001929B5" w:rsidRPr="00070729" w:rsidRDefault="001929B5">
      <w:pPr>
        <w:pStyle w:val="FootnoteText"/>
      </w:pPr>
      <w:r>
        <w:rPr>
          <w:rStyle w:val="FootnoteReference"/>
        </w:rPr>
        <w:footnoteRef/>
      </w:r>
      <w:r>
        <w:t xml:space="preserve"> </w:t>
      </w:r>
      <w:r>
        <w:rPr>
          <w:i/>
        </w:rPr>
        <w:t>In re Petition of PacifiCorp for an Order Approving Deferral of Costs Related to Hydro Generation</w:t>
      </w:r>
      <w:r>
        <w:t xml:space="preserve">, Docket UE-050412, Petition at 11, </w:t>
      </w:r>
      <w:r>
        <w:rPr>
          <w:rFonts w:cs="Times New Roman"/>
        </w:rPr>
        <w:t>¶</w:t>
      </w:r>
      <w:r>
        <w:t xml:space="preserve"> 24 (requesting deferral as of the date of filing the petition (March 18, 2005)..</w:t>
      </w:r>
    </w:p>
  </w:footnote>
  <w:footnote w:id="43">
    <w:p w:rsidR="001929B5" w:rsidRDefault="001929B5">
      <w:pPr>
        <w:pStyle w:val="FootnoteText"/>
      </w:pPr>
      <w:r>
        <w:rPr>
          <w:rStyle w:val="FootnoteReference"/>
        </w:rPr>
        <w:footnoteRef/>
      </w:r>
      <w:r w:rsidRPr="00D335A3">
        <w:rPr>
          <w:rFonts w:cs="Times New Roman"/>
        </w:rPr>
        <w:t xml:space="preserve"> </w:t>
      </w:r>
      <w:r>
        <w:rPr>
          <w:rFonts w:cs="Times New Roman"/>
        </w:rPr>
        <w:t xml:space="preserve">After the Company later filed a rate case including a PCAM </w:t>
      </w:r>
      <w:r w:rsidRPr="00D335A3">
        <w:rPr>
          <w:rFonts w:cs="Times New Roman"/>
        </w:rPr>
        <w:t>(Docket UE-050684)</w:t>
      </w:r>
      <w:r>
        <w:rPr>
          <w:rFonts w:cs="Times New Roman"/>
        </w:rPr>
        <w:t>, t</w:t>
      </w:r>
      <w:r w:rsidRPr="00D335A3">
        <w:rPr>
          <w:rFonts w:cs="Times New Roman"/>
        </w:rPr>
        <w:t xml:space="preserve">he Commission </w:t>
      </w:r>
      <w:r>
        <w:rPr>
          <w:rFonts w:cs="Times New Roman"/>
        </w:rPr>
        <w:t>consolidated the petition with the rate case and resolved the issue there.</w:t>
      </w:r>
    </w:p>
  </w:footnote>
  <w:footnote w:id="44">
    <w:p w:rsidR="001929B5" w:rsidRPr="00CB5731" w:rsidRDefault="001929B5" w:rsidP="00836406">
      <w:pPr>
        <w:pStyle w:val="FootnoteText"/>
      </w:pPr>
      <w:r>
        <w:rPr>
          <w:rStyle w:val="FootnoteReference"/>
        </w:rPr>
        <w:footnoteRef/>
      </w:r>
      <w:r>
        <w:t xml:space="preserve"> </w:t>
      </w:r>
      <w:r>
        <w:rPr>
          <w:i/>
        </w:rPr>
        <w:t xml:space="preserve">Utilities and Transp. Comm’n v. Avista Corp., </w:t>
      </w:r>
      <w:r>
        <w:t>Dockets UE-991606 and UG-991607, Third Supplemental Order (September 29, 2000)</w:t>
      </w:r>
      <w:r w:rsidRPr="007E2519">
        <w:rPr>
          <w:rFonts w:cs="Times New Roman"/>
        </w:rPr>
        <w:t xml:space="preserve"> </w:t>
      </w:r>
      <w:r w:rsidRPr="00090988">
        <w:rPr>
          <w:rFonts w:cs="Times New Roman"/>
        </w:rPr>
        <w:t xml:space="preserve">at 57, </w:t>
      </w:r>
      <m:oMath>
        <m:r>
          <w:rPr>
            <w:rFonts w:ascii="Cambria Math" w:hAnsi="Cambria Math" w:cs="Times New Roman"/>
          </w:rPr>
          <m:t>¶ 205.</m:t>
        </m:r>
      </m:oMath>
    </w:p>
  </w:footnote>
  <w:footnote w:id="45">
    <w:p w:rsidR="001929B5" w:rsidRDefault="001929B5" w:rsidP="00235532">
      <w:pPr>
        <w:tabs>
          <w:tab w:val="left" w:pos="720"/>
          <w:tab w:val="left" w:pos="1440"/>
          <w:tab w:val="left" w:pos="2160"/>
          <w:tab w:val="right" w:leader="dot" w:pos="8910"/>
        </w:tabs>
        <w:spacing w:after="0" w:line="240" w:lineRule="auto"/>
        <w:ind w:right="18"/>
      </w:pPr>
      <w:r w:rsidRPr="00CD7249">
        <w:rPr>
          <w:rStyle w:val="FootnoteReference"/>
          <w:sz w:val="20"/>
          <w:szCs w:val="20"/>
        </w:rPr>
        <w:footnoteRef/>
      </w:r>
      <w:r w:rsidRPr="00CD7249">
        <w:rPr>
          <w:sz w:val="20"/>
          <w:szCs w:val="20"/>
        </w:rPr>
        <w:t xml:space="preserve"> Post-Hea</w:t>
      </w:r>
      <w:r w:rsidRPr="009A4B1E">
        <w:rPr>
          <w:sz w:val="20"/>
          <w:szCs w:val="20"/>
        </w:rPr>
        <w:t xml:space="preserve">ring Brief on Behalf of Commission Staff (November </w:t>
      </w:r>
      <w:r>
        <w:rPr>
          <w:sz w:val="20"/>
          <w:szCs w:val="20"/>
        </w:rPr>
        <w:t>4</w:t>
      </w:r>
      <w:r w:rsidRPr="009A4B1E">
        <w:rPr>
          <w:sz w:val="20"/>
          <w:szCs w:val="20"/>
        </w:rPr>
        <w:t xml:space="preserve">, 2011) at 5-9 </w:t>
      </w:r>
      <w:r w:rsidRPr="009A4B1E">
        <w:rPr>
          <w:rFonts w:cs="Times New Roman"/>
          <w:sz w:val="20"/>
          <w:szCs w:val="20"/>
        </w:rPr>
        <w:t>¶¶</w:t>
      </w:r>
      <w:r w:rsidRPr="009A4B1E">
        <w:rPr>
          <w:sz w:val="20"/>
          <w:szCs w:val="20"/>
        </w:rPr>
        <w:t xml:space="preserve"> 12-21.  These and other examples are chronicled by Professor </w:t>
      </w:r>
      <w:r w:rsidRPr="009A4B1E">
        <w:rPr>
          <w:rFonts w:eastAsia="Times New Roman" w:cs="Times New Roman"/>
          <w:bCs/>
          <w:sz w:val="20"/>
          <w:szCs w:val="20"/>
        </w:rPr>
        <w:t xml:space="preserve">Stephan H. Krieger in the article we have cited previously: </w:t>
      </w:r>
      <w:r w:rsidRPr="00CD7249">
        <w:rPr>
          <w:rFonts w:eastAsia="Times New Roman" w:cs="Times New Roman"/>
          <w:bCs/>
          <w:i/>
          <w:sz w:val="20"/>
          <w:szCs w:val="20"/>
        </w:rPr>
        <w:t>The Ghost of Regulation Past:  Current Applications of the Rule Against Retroactive Ratemaking in Public Utility Proceedings</w:t>
      </w:r>
      <w:r>
        <w:rPr>
          <w:rFonts w:eastAsia="Times New Roman" w:cs="Times New Roman"/>
          <w:bCs/>
          <w:i/>
          <w:sz w:val="20"/>
          <w:szCs w:val="20"/>
        </w:rPr>
        <w:t xml:space="preserve">, </w:t>
      </w:r>
      <w:r w:rsidRPr="00CD7249">
        <w:rPr>
          <w:rFonts w:eastAsia="Times New Roman" w:cs="Times New Roman"/>
          <w:bCs/>
          <w:sz w:val="20"/>
          <w:szCs w:val="20"/>
        </w:rPr>
        <w:t>1991 U. Ill. L. Rev. 983 (1991).</w:t>
      </w:r>
      <w:r>
        <w:rPr>
          <w:rFonts w:eastAsia="Times New Roman" w:cs="Times New Roman"/>
          <w:bCs/>
          <w:sz w:val="20"/>
          <w:szCs w:val="20"/>
        </w:rPr>
        <w:t xml:space="preserve">  See also Reply Brief on Behalf of Commission Staff (November 18, 2011) at 1-2, ¶¶ 4-6.  </w:t>
      </w:r>
    </w:p>
  </w:footnote>
  <w:footnote w:id="46">
    <w:p w:rsidR="001929B5" w:rsidRDefault="001929B5">
      <w:pPr>
        <w:pStyle w:val="FootnoteText"/>
      </w:pPr>
      <w:r>
        <w:rPr>
          <w:rStyle w:val="FootnoteReference"/>
        </w:rPr>
        <w:footnoteRef/>
      </w:r>
      <w:r>
        <w:t xml:space="preserve"> </w:t>
      </w:r>
      <w:r>
        <w:rPr>
          <w:i/>
        </w:rPr>
        <w:t xml:space="preserve">Utilities and Transp. Comm’n v. Avista Corp., </w:t>
      </w:r>
      <w:r>
        <w:t xml:space="preserve">Dockets UE-991606 and UG-991607, Third Supplemental Order (September 29, 2000) at </w:t>
      </w:r>
      <w:r w:rsidRPr="007E2519">
        <w:rPr>
          <w:rFonts w:cs="Times New Roman"/>
        </w:rPr>
        <w:t xml:space="preserve">63, </w:t>
      </w:r>
      <m:oMath>
        <m:r>
          <w:rPr>
            <w:rFonts w:ascii="Cambria Math" w:hAnsi="Cambria Math" w:cs="Times New Roman"/>
          </w:rPr>
          <m:t>¶ 234.</m:t>
        </m:r>
      </m:oMath>
    </w:p>
  </w:footnote>
  <w:footnote w:id="47">
    <w:p w:rsidR="001929B5" w:rsidRDefault="001929B5">
      <w:pPr>
        <w:pStyle w:val="FootnoteText"/>
      </w:pPr>
      <w:r>
        <w:rPr>
          <w:rStyle w:val="FootnoteReference"/>
        </w:rPr>
        <w:footnoteRef/>
      </w:r>
      <w:r>
        <w:t xml:space="preserve"> The Company would also apply a “corollary” to its central argument, to argue that the Commission violated the law in the Avista case by using the test period actual level of Y2K expenses, because this retroactively changed the prior IT expense level that was “in rates”.  (</w:t>
      </w:r>
      <w:r w:rsidRPr="00490CD9">
        <w:rPr>
          <w:rFonts w:cs="Times New Roman"/>
        </w:rPr>
        <w:t>It is safe to assume Avista regularly incur</w:t>
      </w:r>
      <w:r>
        <w:rPr>
          <w:rFonts w:cs="Times New Roman"/>
        </w:rPr>
        <w:t xml:space="preserve">red </w:t>
      </w:r>
      <w:r w:rsidRPr="00490CD9">
        <w:rPr>
          <w:rFonts w:cs="Times New Roman"/>
        </w:rPr>
        <w:t>IT expenses</w:t>
      </w:r>
      <w:r>
        <w:rPr>
          <w:rFonts w:cs="Times New Roman"/>
        </w:rPr>
        <w:t xml:space="preserve"> before the test period in that case</w:t>
      </w:r>
      <w:r w:rsidRPr="00490CD9">
        <w:rPr>
          <w:rFonts w:cs="Times New Roman"/>
        </w:rPr>
        <w:t>.</w:t>
      </w:r>
      <w:r>
        <w:rPr>
          <w:rFonts w:cs="Times New Roman"/>
        </w:rPr>
        <w:t xml:space="preserve">)  </w:t>
      </w:r>
      <w:r>
        <w:t>If the Commission had applied PacifiCorp’s way of thinking, it would have</w:t>
      </w:r>
      <w:r w:rsidR="00A06493">
        <w:t xml:space="preserve"> denied the Y2K amortization.  </w:t>
      </w:r>
      <w:r>
        <w:t xml:space="preserve">We </w:t>
      </w:r>
      <w:r w:rsidR="00A06493">
        <w:t>debunked</w:t>
      </w:r>
      <w:r>
        <w:t xml:space="preserve"> this “corollary” in our</w:t>
      </w:r>
      <w:r>
        <w:rPr>
          <w:rFonts w:eastAsia="Times New Roman" w:cs="Times New Roman"/>
          <w:bCs/>
        </w:rPr>
        <w:t xml:space="preserve"> Reply Brief on Behalf of Commission Staff (November 18, 2011) at 1-2, ¶¶ 4-6.</w:t>
      </w:r>
    </w:p>
  </w:footnote>
  <w:footnote w:id="48">
    <w:p w:rsidR="001929B5" w:rsidRDefault="001929B5">
      <w:pPr>
        <w:pStyle w:val="FootnoteText"/>
      </w:pPr>
      <w:r>
        <w:rPr>
          <w:rStyle w:val="FootnoteReference"/>
        </w:rPr>
        <w:footnoteRef/>
      </w:r>
      <w:r>
        <w:t xml:space="preserve"> </w:t>
      </w:r>
      <w:r>
        <w:rPr>
          <w:i/>
        </w:rPr>
        <w:t xml:space="preserve">E.g., Pa.. Pub. Utilities Comm’n v. Pa. Elec. Co., </w:t>
      </w:r>
      <w:r>
        <w:t>25 PUR 4</w:t>
      </w:r>
      <w:r w:rsidRPr="001063B5">
        <w:rPr>
          <w:vertAlign w:val="superscript"/>
        </w:rPr>
        <w:t>th</w:t>
      </w:r>
      <w:r>
        <w:t xml:space="preserve"> 342, 357-58 (Pa. PUC 1978) (allowing amortization of test year actual flooding loss); </w:t>
      </w:r>
      <w:r>
        <w:rPr>
          <w:i/>
        </w:rPr>
        <w:t>In re United Illuminating Co.,</w:t>
      </w:r>
      <w:r w:rsidRPr="000F136A">
        <w:t xml:space="preserve"> 7</w:t>
      </w:r>
      <w:r>
        <w:t xml:space="preserve"> </w:t>
      </w:r>
      <w:r w:rsidRPr="000F136A">
        <w:t>PUR 4</w:t>
      </w:r>
      <w:r w:rsidRPr="000F136A">
        <w:rPr>
          <w:vertAlign w:val="superscript"/>
        </w:rPr>
        <w:t>th</w:t>
      </w:r>
      <w:r w:rsidRPr="000F136A">
        <w:t xml:space="preserve"> 417</w:t>
      </w:r>
      <w:r>
        <w:t xml:space="preserve">, 435 (Conn. PUC 1974) and </w:t>
      </w:r>
      <w:r>
        <w:rPr>
          <w:i/>
        </w:rPr>
        <w:t xml:space="preserve">In re Southern Bell Tel. &amp; Tel. Co, </w:t>
      </w:r>
      <w:r>
        <w:t>66 PUR 3d 1, 62-63 (Fla. PSC 1966) (allowing amortization of test year actual storm damage expenses that exceeded normal levels).  Many other examples are provided in Professor Krieger’s article cited in footnote 45 above.</w:t>
      </w:r>
    </w:p>
  </w:footnote>
  <w:footnote w:id="49">
    <w:p w:rsidR="001929B5" w:rsidRDefault="001929B5">
      <w:pPr>
        <w:pStyle w:val="FootnoteText"/>
      </w:pPr>
      <w:r>
        <w:rPr>
          <w:rStyle w:val="FootnoteReference"/>
        </w:rPr>
        <w:footnoteRef/>
      </w:r>
      <w:r>
        <w:t xml:space="preserve"> Petition at 21, </w:t>
      </w:r>
      <w:r>
        <w:rPr>
          <w:rFonts w:cs="Times New Roman"/>
        </w:rPr>
        <w:t>¶¶</w:t>
      </w:r>
      <w:r>
        <w:t xml:space="preserve"> 41-43.</w:t>
      </w:r>
    </w:p>
  </w:footnote>
  <w:footnote w:id="50">
    <w:p w:rsidR="001929B5" w:rsidRDefault="001929B5">
      <w:pPr>
        <w:pStyle w:val="FootnoteText"/>
      </w:pPr>
      <w:r>
        <w:rPr>
          <w:rStyle w:val="FootnoteReference"/>
        </w:rPr>
        <w:footnoteRef/>
      </w:r>
      <w:r>
        <w:t xml:space="preserve"> Id.</w:t>
      </w:r>
    </w:p>
  </w:footnote>
  <w:footnote w:id="51">
    <w:p w:rsidR="001929B5" w:rsidRPr="00B20423" w:rsidRDefault="001929B5" w:rsidP="00DD5021">
      <w:pPr>
        <w:pStyle w:val="FootnoteText"/>
      </w:pPr>
      <w:r>
        <w:rPr>
          <w:rStyle w:val="FootnoteReference"/>
        </w:rPr>
        <w:footnoteRef/>
      </w:r>
      <w:r>
        <w:t xml:space="preserve"> </w:t>
      </w:r>
      <w:r>
        <w:rPr>
          <w:i/>
        </w:rPr>
        <w:t>Utilities and Transp. Comm’n v. PacifiCorp,</w:t>
      </w:r>
      <w:r>
        <w:t xml:space="preserve"> Docket UE-100749, Order 06 (March 25, 2011) at Appendix A; </w:t>
      </w:r>
      <w:r>
        <w:rPr>
          <w:i/>
        </w:rPr>
        <w:t>Utilities and Transp. Comm’n v. PacifiCorp,</w:t>
      </w:r>
      <w:r>
        <w:t xml:space="preserve"> Docket UE-111190, Order 07 (March 30, 2012), at 6, </w:t>
      </w:r>
      <w:r>
        <w:rPr>
          <w:rFonts w:cs="Times New Roman"/>
        </w:rPr>
        <w:t>¶</w:t>
      </w:r>
      <w:r>
        <w:t xml:space="preserve"> 14. </w:t>
      </w:r>
    </w:p>
  </w:footnote>
  <w:footnote w:id="52">
    <w:p w:rsidR="001929B5" w:rsidRDefault="001929B5">
      <w:pPr>
        <w:pStyle w:val="FootnoteText"/>
      </w:pPr>
      <w:r>
        <w:rPr>
          <w:rStyle w:val="FootnoteReference"/>
        </w:rPr>
        <w:footnoteRef/>
      </w:r>
      <w:r>
        <w:t xml:space="preserve"> Petition at 19, </w:t>
      </w:r>
      <w:r>
        <w:rPr>
          <w:rFonts w:cs="Times New Roman"/>
        </w:rPr>
        <w:t>¶</w:t>
      </w:r>
      <w:r>
        <w:t xml:space="preserve"> 40.</w:t>
      </w:r>
    </w:p>
  </w:footnote>
  <w:footnote w:id="53">
    <w:p w:rsidR="001929B5" w:rsidRDefault="001929B5">
      <w:pPr>
        <w:pStyle w:val="FootnoteText"/>
      </w:pPr>
      <w:r>
        <w:rPr>
          <w:rStyle w:val="FootnoteReference"/>
        </w:rPr>
        <w:footnoteRef/>
      </w:r>
      <w:r>
        <w:t xml:space="preserve"> Order 10 at 15, </w:t>
      </w:r>
      <w:r>
        <w:rPr>
          <w:rFonts w:cs="Times New Roman"/>
        </w:rPr>
        <w:t>¶</w:t>
      </w:r>
      <w:r>
        <w:t xml:space="preserve"> 44.</w:t>
      </w:r>
    </w:p>
  </w:footnote>
  <w:footnote w:id="54">
    <w:p w:rsidR="001929B5" w:rsidRDefault="001929B5" w:rsidP="00A17DF8">
      <w:pPr>
        <w:pStyle w:val="FootnoteText"/>
      </w:pPr>
      <w:r>
        <w:rPr>
          <w:rStyle w:val="FootnoteReference"/>
        </w:rPr>
        <w:footnoteRef/>
      </w:r>
      <w:r>
        <w:t xml:space="preserve"> Id. and Breda, Exh. No. KHB-8C at 1:4.</w:t>
      </w:r>
    </w:p>
  </w:footnote>
  <w:footnote w:id="55">
    <w:p w:rsidR="001929B5" w:rsidRDefault="001929B5">
      <w:pPr>
        <w:pStyle w:val="FootnoteText"/>
      </w:pPr>
      <w:r>
        <w:rPr>
          <w:rStyle w:val="FootnoteReference"/>
        </w:rPr>
        <w:footnoteRef/>
      </w:r>
      <w:r>
        <w:t xml:space="preserve"> Declaration of Andrea L. Kelly in Support of Petition for Reconsideration (September 4, 2012) (Kelly Declaration).</w:t>
      </w:r>
    </w:p>
  </w:footnote>
  <w:footnote w:id="56">
    <w:p w:rsidR="001929B5" w:rsidRDefault="001929B5">
      <w:pPr>
        <w:pStyle w:val="FootnoteText"/>
      </w:pPr>
      <w:r>
        <w:rPr>
          <w:rStyle w:val="FootnoteReference"/>
        </w:rPr>
        <w:footnoteRef/>
      </w:r>
      <w:r>
        <w:t xml:space="preserve"> See </w:t>
      </w:r>
      <w:r>
        <w:rPr>
          <w:rFonts w:cs="Times New Roman"/>
        </w:rPr>
        <w:t>¶¶ 28-32 above</w:t>
      </w:r>
      <w:r w:rsidRPr="00D335A3">
        <w:rPr>
          <w:rFonts w:cs="Times New Roman"/>
        </w:rPr>
        <w:t>.</w:t>
      </w:r>
    </w:p>
  </w:footnote>
  <w:footnote w:id="57">
    <w:p w:rsidR="001929B5" w:rsidRDefault="001929B5" w:rsidP="002B6694">
      <w:pPr>
        <w:pStyle w:val="FootnoteText"/>
      </w:pPr>
      <w:r>
        <w:rPr>
          <w:rStyle w:val="FootnoteReference"/>
        </w:rPr>
        <w:footnoteRef/>
      </w:r>
      <w:r>
        <w:t xml:space="preserve"> See </w:t>
      </w:r>
      <w:r>
        <w:rPr>
          <w:rFonts w:cs="Times New Roman"/>
        </w:rPr>
        <w:t>¶¶ 16-19 above</w:t>
      </w:r>
      <w:r>
        <w:t>.</w:t>
      </w:r>
    </w:p>
  </w:footnote>
  <w:footnote w:id="58">
    <w:p w:rsidR="001929B5" w:rsidRDefault="001929B5">
      <w:pPr>
        <w:pStyle w:val="FootnoteText"/>
      </w:pPr>
      <w:r>
        <w:rPr>
          <w:rStyle w:val="FootnoteReference"/>
        </w:rPr>
        <w:footnoteRef/>
      </w:r>
      <w:r>
        <w:t xml:space="preserve"> E.g., Kelly Declaration at </w:t>
      </w:r>
      <w:r>
        <w:rPr>
          <w:rFonts w:cs="Times New Roman"/>
        </w:rPr>
        <w:t>¶¶</w:t>
      </w:r>
      <w:r>
        <w:t xml:space="preserve"> 8 and 9.</w:t>
      </w:r>
    </w:p>
  </w:footnote>
  <w:footnote w:id="59">
    <w:p w:rsidR="001929B5" w:rsidRDefault="001929B5">
      <w:pPr>
        <w:pStyle w:val="FootnoteText"/>
      </w:pPr>
      <w:r>
        <w:rPr>
          <w:rStyle w:val="FootnoteReference"/>
        </w:rPr>
        <w:footnoteRef/>
      </w:r>
      <w:r>
        <w:t xml:space="preserve"> For example, assume in an annual regulatory filing or a rate case filing, PacifiCorp booked an expense to a plant account, or plant to an expense account, or booked charitable contributions in an above–the-line account, and no party or the Commission “caught” any of it.  According to the Declaration, this sort of non-action would imply Commission approval of such bookings, which is nonsensical.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3C2152"/>
    <w:lvl w:ilvl="0">
      <w:start w:val="1"/>
      <w:numFmt w:val="decimal"/>
      <w:lvlText w:val="%1."/>
      <w:lvlJc w:val="left"/>
      <w:pPr>
        <w:tabs>
          <w:tab w:val="num" w:pos="1800"/>
        </w:tabs>
        <w:ind w:left="1800" w:hanging="360"/>
      </w:pPr>
    </w:lvl>
  </w:abstractNum>
  <w:abstractNum w:abstractNumId="1">
    <w:nsid w:val="FFFFFF7D"/>
    <w:multiLevelType w:val="singleLevel"/>
    <w:tmpl w:val="7C368EC2"/>
    <w:lvl w:ilvl="0">
      <w:start w:val="1"/>
      <w:numFmt w:val="decimal"/>
      <w:lvlText w:val="%1."/>
      <w:lvlJc w:val="left"/>
      <w:pPr>
        <w:tabs>
          <w:tab w:val="num" w:pos="1440"/>
        </w:tabs>
        <w:ind w:left="1440" w:hanging="360"/>
      </w:pPr>
    </w:lvl>
  </w:abstractNum>
  <w:abstractNum w:abstractNumId="2">
    <w:nsid w:val="FFFFFF7E"/>
    <w:multiLevelType w:val="singleLevel"/>
    <w:tmpl w:val="F640B8E8"/>
    <w:lvl w:ilvl="0">
      <w:start w:val="1"/>
      <w:numFmt w:val="decimal"/>
      <w:lvlText w:val="%1."/>
      <w:lvlJc w:val="left"/>
      <w:pPr>
        <w:tabs>
          <w:tab w:val="num" w:pos="1080"/>
        </w:tabs>
        <w:ind w:left="1080" w:hanging="360"/>
      </w:pPr>
    </w:lvl>
  </w:abstractNum>
  <w:abstractNum w:abstractNumId="3">
    <w:nsid w:val="FFFFFF7F"/>
    <w:multiLevelType w:val="singleLevel"/>
    <w:tmpl w:val="24B4675C"/>
    <w:lvl w:ilvl="0">
      <w:start w:val="1"/>
      <w:numFmt w:val="decimal"/>
      <w:lvlText w:val="%1."/>
      <w:lvlJc w:val="left"/>
      <w:pPr>
        <w:tabs>
          <w:tab w:val="num" w:pos="720"/>
        </w:tabs>
        <w:ind w:left="720" w:hanging="360"/>
      </w:pPr>
    </w:lvl>
  </w:abstractNum>
  <w:abstractNum w:abstractNumId="4">
    <w:nsid w:val="FFFFFF80"/>
    <w:multiLevelType w:val="singleLevel"/>
    <w:tmpl w:val="604238E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6D4321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D9E8A9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A7A214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024FC8C"/>
    <w:lvl w:ilvl="0">
      <w:start w:val="1"/>
      <w:numFmt w:val="decimal"/>
      <w:lvlText w:val="%1."/>
      <w:lvlJc w:val="left"/>
      <w:pPr>
        <w:tabs>
          <w:tab w:val="num" w:pos="360"/>
        </w:tabs>
        <w:ind w:left="360" w:hanging="360"/>
      </w:pPr>
    </w:lvl>
  </w:abstractNum>
  <w:abstractNum w:abstractNumId="9">
    <w:nsid w:val="FFFFFF89"/>
    <w:multiLevelType w:val="singleLevel"/>
    <w:tmpl w:val="15082F2C"/>
    <w:lvl w:ilvl="0">
      <w:start w:val="1"/>
      <w:numFmt w:val="bullet"/>
      <w:lvlText w:val=""/>
      <w:lvlJc w:val="left"/>
      <w:pPr>
        <w:tabs>
          <w:tab w:val="num" w:pos="360"/>
        </w:tabs>
        <w:ind w:left="360" w:hanging="360"/>
      </w:pPr>
      <w:rPr>
        <w:rFonts w:ascii="Symbol" w:hAnsi="Symbol" w:hint="default"/>
      </w:rPr>
    </w:lvl>
  </w:abstractNum>
  <w:abstractNum w:abstractNumId="10">
    <w:nsid w:val="03FA3A81"/>
    <w:multiLevelType w:val="hybridMultilevel"/>
    <w:tmpl w:val="066A58E8"/>
    <w:lvl w:ilvl="0" w:tplc="DCBCDB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7282E71"/>
    <w:multiLevelType w:val="hybridMultilevel"/>
    <w:tmpl w:val="F702B970"/>
    <w:lvl w:ilvl="0" w:tplc="29E239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8BE047A"/>
    <w:multiLevelType w:val="hybridMultilevel"/>
    <w:tmpl w:val="E2FA0F90"/>
    <w:lvl w:ilvl="0" w:tplc="D206D386">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8E43F5E"/>
    <w:multiLevelType w:val="hybridMultilevel"/>
    <w:tmpl w:val="82489EBC"/>
    <w:lvl w:ilvl="0" w:tplc="FFC4A4DA">
      <w:start w:val="1"/>
      <w:numFmt w:val="decimal"/>
      <w:lvlText w:val="%1"/>
      <w:lvlJc w:val="left"/>
      <w:pPr>
        <w:ind w:left="1440" w:hanging="36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06F299F"/>
    <w:multiLevelType w:val="hybridMultilevel"/>
    <w:tmpl w:val="3CF60B26"/>
    <w:lvl w:ilvl="0" w:tplc="B43E2E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10D562FC"/>
    <w:multiLevelType w:val="hybridMultilevel"/>
    <w:tmpl w:val="ECB4482E"/>
    <w:lvl w:ilvl="0" w:tplc="A45E39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131F427E"/>
    <w:multiLevelType w:val="hybridMultilevel"/>
    <w:tmpl w:val="12E89D38"/>
    <w:lvl w:ilvl="0" w:tplc="1C60F156">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17444567"/>
    <w:multiLevelType w:val="hybridMultilevel"/>
    <w:tmpl w:val="786C488C"/>
    <w:lvl w:ilvl="0" w:tplc="4AC6FD04">
      <w:start w:val="1"/>
      <w:numFmt w:val="decimal"/>
      <w:lvlText w:val="%1"/>
      <w:lvlJc w:val="left"/>
      <w:pPr>
        <w:tabs>
          <w:tab w:val="num" w:pos="720"/>
        </w:tabs>
        <w:ind w:left="0" w:hanging="720"/>
      </w:pPr>
      <w:rPr>
        <w:rFonts w:ascii="Times New Roman" w:hAnsi="Times New Roman"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82B6B00"/>
    <w:multiLevelType w:val="hybridMultilevel"/>
    <w:tmpl w:val="85F0AE16"/>
    <w:lvl w:ilvl="0" w:tplc="0F602984">
      <w:start w:val="1"/>
      <w:numFmt w:val="decimal"/>
      <w:lvlText w:val="%1"/>
      <w:lvlJc w:val="left"/>
      <w:pPr>
        <w:ind w:left="720" w:hanging="720"/>
      </w:pPr>
      <w:rPr>
        <w:rFonts w:ascii="Times New Roman" w:hAnsi="Times New Roman" w:hint="default"/>
        <w:b w:val="0"/>
        <w:i/>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1ABA0C67"/>
    <w:multiLevelType w:val="hybridMultilevel"/>
    <w:tmpl w:val="F20E959E"/>
    <w:lvl w:ilvl="0" w:tplc="D206D386">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7CE4B02"/>
    <w:multiLevelType w:val="hybridMultilevel"/>
    <w:tmpl w:val="09BE0174"/>
    <w:lvl w:ilvl="0" w:tplc="433836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641E7D"/>
    <w:multiLevelType w:val="hybridMultilevel"/>
    <w:tmpl w:val="2ECCB740"/>
    <w:lvl w:ilvl="0" w:tplc="46DA97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36C85791"/>
    <w:multiLevelType w:val="hybridMultilevel"/>
    <w:tmpl w:val="30966404"/>
    <w:lvl w:ilvl="0" w:tplc="FFC4A4DA">
      <w:start w:val="1"/>
      <w:numFmt w:val="decimal"/>
      <w:lvlText w:val="%1"/>
      <w:lvlJc w:val="left"/>
      <w:pPr>
        <w:ind w:left="1440" w:hanging="36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AC25AAB"/>
    <w:multiLevelType w:val="hybridMultilevel"/>
    <w:tmpl w:val="BA4810B2"/>
    <w:lvl w:ilvl="0" w:tplc="D206D386">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300ABB"/>
    <w:multiLevelType w:val="hybridMultilevel"/>
    <w:tmpl w:val="FCFCED80"/>
    <w:lvl w:ilvl="0" w:tplc="FFC4A4DA">
      <w:start w:val="1"/>
      <w:numFmt w:val="decimal"/>
      <w:lvlText w:val="%1"/>
      <w:lvlJc w:val="left"/>
      <w:pPr>
        <w:ind w:left="1800" w:hanging="360"/>
      </w:pPr>
      <w:rPr>
        <w:rFonts w:ascii="Times New Roman" w:hAnsi="Times New Roman" w:hint="default"/>
        <w:b w:val="0"/>
        <w:i/>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49452762"/>
    <w:multiLevelType w:val="hybridMultilevel"/>
    <w:tmpl w:val="1E68E6D2"/>
    <w:lvl w:ilvl="0" w:tplc="D206D386">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BF288C"/>
    <w:multiLevelType w:val="hybridMultilevel"/>
    <w:tmpl w:val="20ACE2CA"/>
    <w:lvl w:ilvl="0" w:tplc="68EEE0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A94217"/>
    <w:multiLevelType w:val="hybridMultilevel"/>
    <w:tmpl w:val="46B26AAE"/>
    <w:lvl w:ilvl="0" w:tplc="FFC4A4DA">
      <w:start w:val="1"/>
      <w:numFmt w:val="decimal"/>
      <w:lvlText w:val="%1"/>
      <w:lvlJc w:val="left"/>
      <w:pPr>
        <w:ind w:left="1440" w:hanging="36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33C74FF"/>
    <w:multiLevelType w:val="hybridMultilevel"/>
    <w:tmpl w:val="2408D2B0"/>
    <w:lvl w:ilvl="0" w:tplc="A376719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548B2087"/>
    <w:multiLevelType w:val="hybridMultilevel"/>
    <w:tmpl w:val="E38CF538"/>
    <w:lvl w:ilvl="0" w:tplc="9FAAE3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5BB32EFC"/>
    <w:multiLevelType w:val="hybridMultilevel"/>
    <w:tmpl w:val="8C867120"/>
    <w:lvl w:ilvl="0" w:tplc="B9D48B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DD3780"/>
    <w:multiLevelType w:val="hybridMultilevel"/>
    <w:tmpl w:val="B9DC9F0A"/>
    <w:lvl w:ilvl="0" w:tplc="FFC4A4DA">
      <w:start w:val="1"/>
      <w:numFmt w:val="decimal"/>
      <w:lvlText w:val="%1"/>
      <w:lvlJc w:val="left"/>
      <w:pPr>
        <w:ind w:left="1440" w:hanging="36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F5628E1"/>
    <w:multiLevelType w:val="hybridMultilevel"/>
    <w:tmpl w:val="1730F6BE"/>
    <w:lvl w:ilvl="0" w:tplc="FFC4A4DA">
      <w:start w:val="1"/>
      <w:numFmt w:val="decimal"/>
      <w:lvlText w:val="%1"/>
      <w:lvlJc w:val="left"/>
      <w:pPr>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15120A5"/>
    <w:multiLevelType w:val="hybridMultilevel"/>
    <w:tmpl w:val="1C622F22"/>
    <w:lvl w:ilvl="0" w:tplc="D206D386">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931D5B"/>
    <w:multiLevelType w:val="hybridMultilevel"/>
    <w:tmpl w:val="49549A78"/>
    <w:lvl w:ilvl="0" w:tplc="F5E014C2">
      <w:start w:val="1"/>
      <w:numFmt w:val="decimal"/>
      <w:pStyle w:val="WUTCParagraph"/>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9233292"/>
    <w:multiLevelType w:val="hybridMultilevel"/>
    <w:tmpl w:val="2E445B40"/>
    <w:lvl w:ilvl="0" w:tplc="7C16D8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A371873"/>
    <w:multiLevelType w:val="hybridMultilevel"/>
    <w:tmpl w:val="3CF60B26"/>
    <w:lvl w:ilvl="0" w:tplc="B43E2E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7359729C"/>
    <w:multiLevelType w:val="hybridMultilevel"/>
    <w:tmpl w:val="4014B2FC"/>
    <w:lvl w:ilvl="0" w:tplc="FFC4A4DA">
      <w:start w:val="1"/>
      <w:numFmt w:val="decimal"/>
      <w:lvlText w:val="%1"/>
      <w:lvlJc w:val="left"/>
      <w:pPr>
        <w:ind w:left="1440" w:hanging="36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B001003"/>
    <w:multiLevelType w:val="singleLevel"/>
    <w:tmpl w:val="E3C228AC"/>
    <w:lvl w:ilvl="0">
      <w:start w:val="1"/>
      <w:numFmt w:val="decimal"/>
      <w:pStyle w:val="ParNumber"/>
      <w:lvlText w:val="%1."/>
      <w:lvlJc w:val="left"/>
      <w:pPr>
        <w:tabs>
          <w:tab w:val="num" w:pos="360"/>
        </w:tabs>
        <w:ind w:left="360" w:hanging="360"/>
      </w:pPr>
      <w:rPr>
        <w:i/>
      </w:rPr>
    </w:lvl>
  </w:abstractNum>
  <w:num w:numId="1">
    <w:abstractNumId w:val="18"/>
  </w:num>
  <w:num w:numId="2">
    <w:abstractNumId w:val="28"/>
  </w:num>
  <w:num w:numId="3">
    <w:abstractNumId w:val="29"/>
  </w:num>
  <w:num w:numId="4">
    <w:abstractNumId w:val="36"/>
  </w:num>
  <w:num w:numId="5">
    <w:abstractNumId w:val="14"/>
  </w:num>
  <w:num w:numId="6">
    <w:abstractNumId w:val="17"/>
  </w:num>
  <w:num w:numId="7">
    <w:abstractNumId w:val="23"/>
  </w:num>
  <w:num w:numId="8">
    <w:abstractNumId w:val="19"/>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33"/>
  </w:num>
  <w:num w:numId="20">
    <w:abstractNumId w:val="12"/>
  </w:num>
  <w:num w:numId="21">
    <w:abstractNumId w:val="25"/>
  </w:num>
  <w:num w:numId="22">
    <w:abstractNumId w:val="26"/>
  </w:num>
  <w:num w:numId="23">
    <w:abstractNumId w:val="20"/>
  </w:num>
  <w:num w:numId="24">
    <w:abstractNumId w:val="11"/>
  </w:num>
  <w:num w:numId="25">
    <w:abstractNumId w:val="22"/>
  </w:num>
  <w:num w:numId="26">
    <w:abstractNumId w:val="32"/>
  </w:num>
  <w:num w:numId="27">
    <w:abstractNumId w:val="37"/>
  </w:num>
  <w:num w:numId="28">
    <w:abstractNumId w:val="31"/>
  </w:num>
  <w:num w:numId="29">
    <w:abstractNumId w:val="21"/>
  </w:num>
  <w:num w:numId="30">
    <w:abstractNumId w:val="16"/>
  </w:num>
  <w:num w:numId="31">
    <w:abstractNumId w:val="24"/>
  </w:num>
  <w:num w:numId="32">
    <w:abstractNumId w:val="13"/>
  </w:num>
  <w:num w:numId="33">
    <w:abstractNumId w:val="27"/>
  </w:num>
  <w:num w:numId="34">
    <w:abstractNumId w:val="38"/>
  </w:num>
  <w:num w:numId="35">
    <w:abstractNumId w:val="34"/>
  </w:num>
  <w:num w:numId="36">
    <w:abstractNumId w:val="30"/>
  </w:num>
  <w:num w:numId="37">
    <w:abstractNumId w:val="10"/>
  </w:num>
  <w:num w:numId="38">
    <w:abstractNumId w:val="15"/>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F30"/>
    <w:rsid w:val="000044AC"/>
    <w:rsid w:val="00010312"/>
    <w:rsid w:val="000112A9"/>
    <w:rsid w:val="00014A5B"/>
    <w:rsid w:val="00017A73"/>
    <w:rsid w:val="000324D9"/>
    <w:rsid w:val="000471BE"/>
    <w:rsid w:val="00067075"/>
    <w:rsid w:val="00070729"/>
    <w:rsid w:val="0008423C"/>
    <w:rsid w:val="00090988"/>
    <w:rsid w:val="000945C8"/>
    <w:rsid w:val="000A0840"/>
    <w:rsid w:val="000A5397"/>
    <w:rsid w:val="000B6161"/>
    <w:rsid w:val="00100EDB"/>
    <w:rsid w:val="0010560D"/>
    <w:rsid w:val="001312FC"/>
    <w:rsid w:val="00153F8A"/>
    <w:rsid w:val="00181C17"/>
    <w:rsid w:val="001929B5"/>
    <w:rsid w:val="0019404E"/>
    <w:rsid w:val="001E5466"/>
    <w:rsid w:val="001F40E8"/>
    <w:rsid w:val="0022791F"/>
    <w:rsid w:val="002351A0"/>
    <w:rsid w:val="00235532"/>
    <w:rsid w:val="00237252"/>
    <w:rsid w:val="00244B53"/>
    <w:rsid w:val="00247C69"/>
    <w:rsid w:val="00254CCD"/>
    <w:rsid w:val="00270AF2"/>
    <w:rsid w:val="002772BC"/>
    <w:rsid w:val="00280E1F"/>
    <w:rsid w:val="002814F0"/>
    <w:rsid w:val="002B1F32"/>
    <w:rsid w:val="002B6694"/>
    <w:rsid w:val="002E14F7"/>
    <w:rsid w:val="002E7C0C"/>
    <w:rsid w:val="002F432E"/>
    <w:rsid w:val="00301AD5"/>
    <w:rsid w:val="00304C09"/>
    <w:rsid w:val="003077BC"/>
    <w:rsid w:val="00323D78"/>
    <w:rsid w:val="00346812"/>
    <w:rsid w:val="003504E3"/>
    <w:rsid w:val="0036249E"/>
    <w:rsid w:val="00364955"/>
    <w:rsid w:val="00365A7C"/>
    <w:rsid w:val="00384D43"/>
    <w:rsid w:val="00386C8A"/>
    <w:rsid w:val="003B72F5"/>
    <w:rsid w:val="003B7EE2"/>
    <w:rsid w:val="003C25A7"/>
    <w:rsid w:val="003C531F"/>
    <w:rsid w:val="00404002"/>
    <w:rsid w:val="00404C1D"/>
    <w:rsid w:val="0042496B"/>
    <w:rsid w:val="00444A9F"/>
    <w:rsid w:val="00451EC6"/>
    <w:rsid w:val="00452A64"/>
    <w:rsid w:val="0045457E"/>
    <w:rsid w:val="00475A51"/>
    <w:rsid w:val="00487877"/>
    <w:rsid w:val="00487C24"/>
    <w:rsid w:val="00490CD9"/>
    <w:rsid w:val="00496738"/>
    <w:rsid w:val="004A52CA"/>
    <w:rsid w:val="004A6508"/>
    <w:rsid w:val="004B4780"/>
    <w:rsid w:val="004B4C60"/>
    <w:rsid w:val="004B6CAF"/>
    <w:rsid w:val="004C7E93"/>
    <w:rsid w:val="004F058B"/>
    <w:rsid w:val="004F4C4F"/>
    <w:rsid w:val="00505A1C"/>
    <w:rsid w:val="00506836"/>
    <w:rsid w:val="005139D2"/>
    <w:rsid w:val="005150D9"/>
    <w:rsid w:val="0051633C"/>
    <w:rsid w:val="00532775"/>
    <w:rsid w:val="0054621B"/>
    <w:rsid w:val="00556004"/>
    <w:rsid w:val="0057102E"/>
    <w:rsid w:val="00573037"/>
    <w:rsid w:val="0057340D"/>
    <w:rsid w:val="00575420"/>
    <w:rsid w:val="005779FC"/>
    <w:rsid w:val="005A0DE6"/>
    <w:rsid w:val="005A584A"/>
    <w:rsid w:val="005B77DF"/>
    <w:rsid w:val="005D55C1"/>
    <w:rsid w:val="005E1452"/>
    <w:rsid w:val="005F0394"/>
    <w:rsid w:val="005F4A18"/>
    <w:rsid w:val="006131A2"/>
    <w:rsid w:val="00616B79"/>
    <w:rsid w:val="0064029E"/>
    <w:rsid w:val="00644698"/>
    <w:rsid w:val="00651F30"/>
    <w:rsid w:val="00670E3F"/>
    <w:rsid w:val="00685A08"/>
    <w:rsid w:val="006A1FC5"/>
    <w:rsid w:val="006A4E20"/>
    <w:rsid w:val="006D1EB4"/>
    <w:rsid w:val="006E6756"/>
    <w:rsid w:val="0071424D"/>
    <w:rsid w:val="00725957"/>
    <w:rsid w:val="007264B3"/>
    <w:rsid w:val="0076337B"/>
    <w:rsid w:val="00771989"/>
    <w:rsid w:val="00774DE1"/>
    <w:rsid w:val="007B59DF"/>
    <w:rsid w:val="007C0D89"/>
    <w:rsid w:val="007C4693"/>
    <w:rsid w:val="007D2D33"/>
    <w:rsid w:val="007D7E1F"/>
    <w:rsid w:val="007E241A"/>
    <w:rsid w:val="007E250B"/>
    <w:rsid w:val="007E2519"/>
    <w:rsid w:val="007E4BAB"/>
    <w:rsid w:val="007E708D"/>
    <w:rsid w:val="007F2806"/>
    <w:rsid w:val="00836406"/>
    <w:rsid w:val="00836FAC"/>
    <w:rsid w:val="00837B80"/>
    <w:rsid w:val="00840D4C"/>
    <w:rsid w:val="00867AA3"/>
    <w:rsid w:val="00884CD3"/>
    <w:rsid w:val="00885FF8"/>
    <w:rsid w:val="008864C2"/>
    <w:rsid w:val="00887956"/>
    <w:rsid w:val="008A125B"/>
    <w:rsid w:val="008D54C0"/>
    <w:rsid w:val="008F23B0"/>
    <w:rsid w:val="009134F1"/>
    <w:rsid w:val="0092649E"/>
    <w:rsid w:val="00954F69"/>
    <w:rsid w:val="00955C80"/>
    <w:rsid w:val="00957029"/>
    <w:rsid w:val="00957B84"/>
    <w:rsid w:val="0096012B"/>
    <w:rsid w:val="00960915"/>
    <w:rsid w:val="00964A8C"/>
    <w:rsid w:val="00994886"/>
    <w:rsid w:val="009A4B1E"/>
    <w:rsid w:val="009B3082"/>
    <w:rsid w:val="009B4605"/>
    <w:rsid w:val="009B50FF"/>
    <w:rsid w:val="009B5A01"/>
    <w:rsid w:val="009C688D"/>
    <w:rsid w:val="009D2610"/>
    <w:rsid w:val="009E4855"/>
    <w:rsid w:val="00A06493"/>
    <w:rsid w:val="00A109EF"/>
    <w:rsid w:val="00A17DF8"/>
    <w:rsid w:val="00A81AB0"/>
    <w:rsid w:val="00A831B7"/>
    <w:rsid w:val="00AA5ADD"/>
    <w:rsid w:val="00AB383C"/>
    <w:rsid w:val="00AB779E"/>
    <w:rsid w:val="00AC4A08"/>
    <w:rsid w:val="00B27D0C"/>
    <w:rsid w:val="00B47A05"/>
    <w:rsid w:val="00B75CA3"/>
    <w:rsid w:val="00B83C5E"/>
    <w:rsid w:val="00B90FFB"/>
    <w:rsid w:val="00B962DB"/>
    <w:rsid w:val="00B96B80"/>
    <w:rsid w:val="00BA16FD"/>
    <w:rsid w:val="00BE4C2D"/>
    <w:rsid w:val="00C037AF"/>
    <w:rsid w:val="00C059BA"/>
    <w:rsid w:val="00C150A4"/>
    <w:rsid w:val="00C174F1"/>
    <w:rsid w:val="00C36300"/>
    <w:rsid w:val="00C46490"/>
    <w:rsid w:val="00C6461D"/>
    <w:rsid w:val="00C90964"/>
    <w:rsid w:val="00C90E0B"/>
    <w:rsid w:val="00CB5731"/>
    <w:rsid w:val="00CC2521"/>
    <w:rsid w:val="00CD2432"/>
    <w:rsid w:val="00CD7249"/>
    <w:rsid w:val="00CE6680"/>
    <w:rsid w:val="00D054AF"/>
    <w:rsid w:val="00D10835"/>
    <w:rsid w:val="00D26754"/>
    <w:rsid w:val="00D335A3"/>
    <w:rsid w:val="00D45C78"/>
    <w:rsid w:val="00D564A6"/>
    <w:rsid w:val="00D86587"/>
    <w:rsid w:val="00D91D47"/>
    <w:rsid w:val="00D91E76"/>
    <w:rsid w:val="00DB7121"/>
    <w:rsid w:val="00DD5021"/>
    <w:rsid w:val="00DE753D"/>
    <w:rsid w:val="00DF4638"/>
    <w:rsid w:val="00DF7D2F"/>
    <w:rsid w:val="00E043A6"/>
    <w:rsid w:val="00E10099"/>
    <w:rsid w:val="00E52526"/>
    <w:rsid w:val="00E66134"/>
    <w:rsid w:val="00E74D03"/>
    <w:rsid w:val="00E75ED9"/>
    <w:rsid w:val="00E816CD"/>
    <w:rsid w:val="00E82C64"/>
    <w:rsid w:val="00E856C7"/>
    <w:rsid w:val="00EB58AD"/>
    <w:rsid w:val="00EC0767"/>
    <w:rsid w:val="00EC705D"/>
    <w:rsid w:val="00ED00F8"/>
    <w:rsid w:val="00ED6BA2"/>
    <w:rsid w:val="00EE1402"/>
    <w:rsid w:val="00EE1905"/>
    <w:rsid w:val="00EF1C5F"/>
    <w:rsid w:val="00EF6295"/>
    <w:rsid w:val="00F01B2A"/>
    <w:rsid w:val="00F105FF"/>
    <w:rsid w:val="00F16AC1"/>
    <w:rsid w:val="00F16D36"/>
    <w:rsid w:val="00F17DC6"/>
    <w:rsid w:val="00F473BD"/>
    <w:rsid w:val="00F72194"/>
    <w:rsid w:val="00F95ED7"/>
    <w:rsid w:val="00FA6D21"/>
    <w:rsid w:val="00FB69FE"/>
    <w:rsid w:val="00FE7E3B"/>
    <w:rsid w:val="00FF3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City"/>
  <w:smartTagType w:namespaceuri="urn:schemas-microsoft-com:office:smarttags" w:name="Street"/>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Calibr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A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1,ALTS FOOTNO"/>
    <w:basedOn w:val="Normal"/>
    <w:link w:val="FootnoteTextChar"/>
    <w:uiPriority w:val="99"/>
    <w:unhideWhenUsed/>
    <w:rsid w:val="009C688D"/>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9C688D"/>
    <w:rPr>
      <w:sz w:val="20"/>
      <w:szCs w:val="20"/>
    </w:rPr>
  </w:style>
  <w:style w:type="character" w:styleId="FootnoteReference">
    <w:name w:val="footnote reference"/>
    <w:aliases w:val="o,fr,Style 3"/>
    <w:basedOn w:val="DefaultParagraphFont"/>
    <w:uiPriority w:val="99"/>
    <w:unhideWhenUsed/>
    <w:rsid w:val="00D564A6"/>
    <w:rPr>
      <w:vertAlign w:val="superscript"/>
    </w:rPr>
  </w:style>
  <w:style w:type="paragraph" w:styleId="ListParagraph">
    <w:name w:val="List Paragraph"/>
    <w:basedOn w:val="Normal"/>
    <w:uiPriority w:val="34"/>
    <w:qFormat/>
    <w:rsid w:val="00884CD3"/>
    <w:pPr>
      <w:ind w:left="720"/>
      <w:contextualSpacing/>
    </w:pPr>
  </w:style>
  <w:style w:type="character" w:styleId="PlaceholderText">
    <w:name w:val="Placeholder Text"/>
    <w:basedOn w:val="DefaultParagraphFont"/>
    <w:uiPriority w:val="99"/>
    <w:semiHidden/>
    <w:rsid w:val="00CB5731"/>
    <w:rPr>
      <w:color w:val="808080"/>
    </w:rPr>
  </w:style>
  <w:style w:type="paragraph" w:styleId="BalloonText">
    <w:name w:val="Balloon Text"/>
    <w:basedOn w:val="Normal"/>
    <w:link w:val="BalloonTextChar"/>
    <w:uiPriority w:val="99"/>
    <w:semiHidden/>
    <w:unhideWhenUsed/>
    <w:rsid w:val="00CB57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731"/>
    <w:rPr>
      <w:rFonts w:ascii="Tahoma" w:hAnsi="Tahoma" w:cs="Tahoma"/>
      <w:sz w:val="16"/>
      <w:szCs w:val="16"/>
    </w:rPr>
  </w:style>
  <w:style w:type="paragraph" w:styleId="BodyTextIndent2">
    <w:name w:val="Body Text Indent 2"/>
    <w:basedOn w:val="Normal"/>
    <w:link w:val="BodyTextIndent2Char"/>
    <w:rsid w:val="005139D2"/>
    <w:pPr>
      <w:spacing w:after="0" w:line="240" w:lineRule="auto"/>
      <w:ind w:left="686"/>
    </w:pPr>
    <w:rPr>
      <w:rFonts w:ascii="Palatino Linotype" w:eastAsia="Times New Roman" w:hAnsi="Palatino Linotype" w:cs="Times New Roman"/>
    </w:rPr>
  </w:style>
  <w:style w:type="character" w:customStyle="1" w:styleId="BodyTextIndent2Char">
    <w:name w:val="Body Text Indent 2 Char"/>
    <w:basedOn w:val="DefaultParagraphFont"/>
    <w:link w:val="BodyTextIndent2"/>
    <w:rsid w:val="005139D2"/>
    <w:rPr>
      <w:rFonts w:ascii="Palatino Linotype" w:eastAsia="Times New Roman" w:hAnsi="Palatino Linotype" w:cs="Times New Roman"/>
      <w:szCs w:val="24"/>
    </w:rPr>
  </w:style>
  <w:style w:type="paragraph" w:styleId="Header">
    <w:name w:val="header"/>
    <w:basedOn w:val="Normal"/>
    <w:link w:val="HeaderChar"/>
    <w:uiPriority w:val="99"/>
    <w:unhideWhenUsed/>
    <w:rsid w:val="00E856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6C7"/>
  </w:style>
  <w:style w:type="paragraph" w:styleId="Footer">
    <w:name w:val="footer"/>
    <w:basedOn w:val="Normal"/>
    <w:link w:val="FooterChar"/>
    <w:uiPriority w:val="99"/>
    <w:unhideWhenUsed/>
    <w:rsid w:val="00E856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6C7"/>
  </w:style>
  <w:style w:type="character" w:styleId="Hyperlink">
    <w:name w:val="Hyperlink"/>
    <w:basedOn w:val="DefaultParagraphFont"/>
    <w:uiPriority w:val="99"/>
    <w:semiHidden/>
    <w:unhideWhenUsed/>
    <w:rsid w:val="00771989"/>
    <w:rPr>
      <w:color w:val="0000FF"/>
      <w:u w:val="single"/>
    </w:rPr>
  </w:style>
  <w:style w:type="character" w:styleId="CommentReference">
    <w:name w:val="annotation reference"/>
    <w:basedOn w:val="DefaultParagraphFont"/>
    <w:uiPriority w:val="99"/>
    <w:semiHidden/>
    <w:unhideWhenUsed/>
    <w:rsid w:val="007E250B"/>
    <w:rPr>
      <w:sz w:val="16"/>
      <w:szCs w:val="16"/>
    </w:rPr>
  </w:style>
  <w:style w:type="paragraph" w:styleId="CommentText">
    <w:name w:val="annotation text"/>
    <w:basedOn w:val="Normal"/>
    <w:link w:val="CommentTextChar"/>
    <w:uiPriority w:val="99"/>
    <w:semiHidden/>
    <w:unhideWhenUsed/>
    <w:rsid w:val="007E250B"/>
    <w:pPr>
      <w:spacing w:line="240" w:lineRule="auto"/>
    </w:pPr>
    <w:rPr>
      <w:sz w:val="20"/>
      <w:szCs w:val="20"/>
    </w:rPr>
  </w:style>
  <w:style w:type="character" w:customStyle="1" w:styleId="CommentTextChar">
    <w:name w:val="Comment Text Char"/>
    <w:basedOn w:val="DefaultParagraphFont"/>
    <w:link w:val="CommentText"/>
    <w:uiPriority w:val="99"/>
    <w:semiHidden/>
    <w:rsid w:val="007E250B"/>
    <w:rPr>
      <w:sz w:val="20"/>
      <w:szCs w:val="20"/>
    </w:rPr>
  </w:style>
  <w:style w:type="paragraph" w:styleId="CommentSubject">
    <w:name w:val="annotation subject"/>
    <w:basedOn w:val="CommentText"/>
    <w:next w:val="CommentText"/>
    <w:link w:val="CommentSubjectChar"/>
    <w:uiPriority w:val="99"/>
    <w:semiHidden/>
    <w:unhideWhenUsed/>
    <w:rsid w:val="007E250B"/>
    <w:rPr>
      <w:b/>
      <w:bCs/>
    </w:rPr>
  </w:style>
  <w:style w:type="character" w:customStyle="1" w:styleId="CommentSubjectChar">
    <w:name w:val="Comment Subject Char"/>
    <w:basedOn w:val="CommentTextChar"/>
    <w:link w:val="CommentSubject"/>
    <w:uiPriority w:val="99"/>
    <w:semiHidden/>
    <w:rsid w:val="007E250B"/>
    <w:rPr>
      <w:b/>
      <w:bCs/>
      <w:sz w:val="20"/>
      <w:szCs w:val="20"/>
    </w:rPr>
  </w:style>
  <w:style w:type="paragraph" w:customStyle="1" w:styleId="ParNumber">
    <w:name w:val="ParNumber"/>
    <w:basedOn w:val="Normal"/>
    <w:rsid w:val="005A584A"/>
    <w:pPr>
      <w:numPr>
        <w:numId w:val="34"/>
      </w:numPr>
      <w:tabs>
        <w:tab w:val="left" w:pos="720"/>
      </w:tabs>
      <w:spacing w:after="0" w:line="240" w:lineRule="exact"/>
    </w:pPr>
    <w:rPr>
      <w:rFonts w:eastAsia="Times New Roman" w:cs="Times New Roman"/>
      <w:szCs w:val="20"/>
    </w:rPr>
  </w:style>
  <w:style w:type="paragraph" w:customStyle="1" w:styleId="WUTCParagraph">
    <w:name w:val="WUTC Paragraph"/>
    <w:basedOn w:val="Normal"/>
    <w:rsid w:val="00EE1402"/>
    <w:pPr>
      <w:numPr>
        <w:numId w:val="35"/>
      </w:numPr>
      <w:tabs>
        <w:tab w:val="clear" w:pos="0"/>
        <w:tab w:val="left" w:pos="1440"/>
      </w:tabs>
      <w:spacing w:after="0" w:line="480" w:lineRule="auto"/>
    </w:pPr>
    <w:rPr>
      <w:rFonts w:eastAsia="Times New Roman" w:cs="Times New Roman"/>
    </w:rPr>
  </w:style>
  <w:style w:type="paragraph" w:styleId="BodyTextIndent">
    <w:name w:val="Body Text Indent"/>
    <w:basedOn w:val="Normal"/>
    <w:link w:val="BodyTextIndentChar"/>
    <w:uiPriority w:val="99"/>
    <w:unhideWhenUsed/>
    <w:rsid w:val="00C037AF"/>
    <w:pPr>
      <w:spacing w:after="120" w:line="240" w:lineRule="auto"/>
      <w:ind w:left="360"/>
    </w:pPr>
    <w:rPr>
      <w:rFonts w:cs="Times New Roman"/>
    </w:rPr>
  </w:style>
  <w:style w:type="character" w:customStyle="1" w:styleId="BodyTextIndentChar">
    <w:name w:val="Body Text Indent Char"/>
    <w:basedOn w:val="DefaultParagraphFont"/>
    <w:link w:val="BodyTextIndent"/>
    <w:uiPriority w:val="99"/>
    <w:rsid w:val="00C037A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Calibr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A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1,ALTS FOOTNO"/>
    <w:basedOn w:val="Normal"/>
    <w:link w:val="FootnoteTextChar"/>
    <w:uiPriority w:val="99"/>
    <w:unhideWhenUsed/>
    <w:rsid w:val="009C688D"/>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9C688D"/>
    <w:rPr>
      <w:sz w:val="20"/>
      <w:szCs w:val="20"/>
    </w:rPr>
  </w:style>
  <w:style w:type="character" w:styleId="FootnoteReference">
    <w:name w:val="footnote reference"/>
    <w:aliases w:val="o,fr,Style 3"/>
    <w:basedOn w:val="DefaultParagraphFont"/>
    <w:uiPriority w:val="99"/>
    <w:unhideWhenUsed/>
    <w:rsid w:val="00D564A6"/>
    <w:rPr>
      <w:vertAlign w:val="superscript"/>
    </w:rPr>
  </w:style>
  <w:style w:type="paragraph" w:styleId="ListParagraph">
    <w:name w:val="List Paragraph"/>
    <w:basedOn w:val="Normal"/>
    <w:uiPriority w:val="34"/>
    <w:qFormat/>
    <w:rsid w:val="00884CD3"/>
    <w:pPr>
      <w:ind w:left="720"/>
      <w:contextualSpacing/>
    </w:pPr>
  </w:style>
  <w:style w:type="character" w:styleId="PlaceholderText">
    <w:name w:val="Placeholder Text"/>
    <w:basedOn w:val="DefaultParagraphFont"/>
    <w:uiPriority w:val="99"/>
    <w:semiHidden/>
    <w:rsid w:val="00CB5731"/>
    <w:rPr>
      <w:color w:val="808080"/>
    </w:rPr>
  </w:style>
  <w:style w:type="paragraph" w:styleId="BalloonText">
    <w:name w:val="Balloon Text"/>
    <w:basedOn w:val="Normal"/>
    <w:link w:val="BalloonTextChar"/>
    <w:uiPriority w:val="99"/>
    <w:semiHidden/>
    <w:unhideWhenUsed/>
    <w:rsid w:val="00CB57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731"/>
    <w:rPr>
      <w:rFonts w:ascii="Tahoma" w:hAnsi="Tahoma" w:cs="Tahoma"/>
      <w:sz w:val="16"/>
      <w:szCs w:val="16"/>
    </w:rPr>
  </w:style>
  <w:style w:type="paragraph" w:styleId="BodyTextIndent2">
    <w:name w:val="Body Text Indent 2"/>
    <w:basedOn w:val="Normal"/>
    <w:link w:val="BodyTextIndent2Char"/>
    <w:rsid w:val="005139D2"/>
    <w:pPr>
      <w:spacing w:after="0" w:line="240" w:lineRule="auto"/>
      <w:ind w:left="686"/>
    </w:pPr>
    <w:rPr>
      <w:rFonts w:ascii="Palatino Linotype" w:eastAsia="Times New Roman" w:hAnsi="Palatino Linotype" w:cs="Times New Roman"/>
    </w:rPr>
  </w:style>
  <w:style w:type="character" w:customStyle="1" w:styleId="BodyTextIndent2Char">
    <w:name w:val="Body Text Indent 2 Char"/>
    <w:basedOn w:val="DefaultParagraphFont"/>
    <w:link w:val="BodyTextIndent2"/>
    <w:rsid w:val="005139D2"/>
    <w:rPr>
      <w:rFonts w:ascii="Palatino Linotype" w:eastAsia="Times New Roman" w:hAnsi="Palatino Linotype" w:cs="Times New Roman"/>
      <w:szCs w:val="24"/>
    </w:rPr>
  </w:style>
  <w:style w:type="paragraph" w:styleId="Header">
    <w:name w:val="header"/>
    <w:basedOn w:val="Normal"/>
    <w:link w:val="HeaderChar"/>
    <w:uiPriority w:val="99"/>
    <w:unhideWhenUsed/>
    <w:rsid w:val="00E856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6C7"/>
  </w:style>
  <w:style w:type="paragraph" w:styleId="Footer">
    <w:name w:val="footer"/>
    <w:basedOn w:val="Normal"/>
    <w:link w:val="FooterChar"/>
    <w:uiPriority w:val="99"/>
    <w:unhideWhenUsed/>
    <w:rsid w:val="00E856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6C7"/>
  </w:style>
  <w:style w:type="character" w:styleId="Hyperlink">
    <w:name w:val="Hyperlink"/>
    <w:basedOn w:val="DefaultParagraphFont"/>
    <w:uiPriority w:val="99"/>
    <w:semiHidden/>
    <w:unhideWhenUsed/>
    <w:rsid w:val="00771989"/>
    <w:rPr>
      <w:color w:val="0000FF"/>
      <w:u w:val="single"/>
    </w:rPr>
  </w:style>
  <w:style w:type="character" w:styleId="CommentReference">
    <w:name w:val="annotation reference"/>
    <w:basedOn w:val="DefaultParagraphFont"/>
    <w:uiPriority w:val="99"/>
    <w:semiHidden/>
    <w:unhideWhenUsed/>
    <w:rsid w:val="007E250B"/>
    <w:rPr>
      <w:sz w:val="16"/>
      <w:szCs w:val="16"/>
    </w:rPr>
  </w:style>
  <w:style w:type="paragraph" w:styleId="CommentText">
    <w:name w:val="annotation text"/>
    <w:basedOn w:val="Normal"/>
    <w:link w:val="CommentTextChar"/>
    <w:uiPriority w:val="99"/>
    <w:semiHidden/>
    <w:unhideWhenUsed/>
    <w:rsid w:val="007E250B"/>
    <w:pPr>
      <w:spacing w:line="240" w:lineRule="auto"/>
    </w:pPr>
    <w:rPr>
      <w:sz w:val="20"/>
      <w:szCs w:val="20"/>
    </w:rPr>
  </w:style>
  <w:style w:type="character" w:customStyle="1" w:styleId="CommentTextChar">
    <w:name w:val="Comment Text Char"/>
    <w:basedOn w:val="DefaultParagraphFont"/>
    <w:link w:val="CommentText"/>
    <w:uiPriority w:val="99"/>
    <w:semiHidden/>
    <w:rsid w:val="007E250B"/>
    <w:rPr>
      <w:sz w:val="20"/>
      <w:szCs w:val="20"/>
    </w:rPr>
  </w:style>
  <w:style w:type="paragraph" w:styleId="CommentSubject">
    <w:name w:val="annotation subject"/>
    <w:basedOn w:val="CommentText"/>
    <w:next w:val="CommentText"/>
    <w:link w:val="CommentSubjectChar"/>
    <w:uiPriority w:val="99"/>
    <w:semiHidden/>
    <w:unhideWhenUsed/>
    <w:rsid w:val="007E250B"/>
    <w:rPr>
      <w:b/>
      <w:bCs/>
    </w:rPr>
  </w:style>
  <w:style w:type="character" w:customStyle="1" w:styleId="CommentSubjectChar">
    <w:name w:val="Comment Subject Char"/>
    <w:basedOn w:val="CommentTextChar"/>
    <w:link w:val="CommentSubject"/>
    <w:uiPriority w:val="99"/>
    <w:semiHidden/>
    <w:rsid w:val="007E250B"/>
    <w:rPr>
      <w:b/>
      <w:bCs/>
      <w:sz w:val="20"/>
      <w:szCs w:val="20"/>
    </w:rPr>
  </w:style>
  <w:style w:type="paragraph" w:customStyle="1" w:styleId="ParNumber">
    <w:name w:val="ParNumber"/>
    <w:basedOn w:val="Normal"/>
    <w:rsid w:val="005A584A"/>
    <w:pPr>
      <w:numPr>
        <w:numId w:val="34"/>
      </w:numPr>
      <w:tabs>
        <w:tab w:val="left" w:pos="720"/>
      </w:tabs>
      <w:spacing w:after="0" w:line="240" w:lineRule="exact"/>
    </w:pPr>
    <w:rPr>
      <w:rFonts w:eastAsia="Times New Roman" w:cs="Times New Roman"/>
      <w:szCs w:val="20"/>
    </w:rPr>
  </w:style>
  <w:style w:type="paragraph" w:customStyle="1" w:styleId="WUTCParagraph">
    <w:name w:val="WUTC Paragraph"/>
    <w:basedOn w:val="Normal"/>
    <w:rsid w:val="00EE1402"/>
    <w:pPr>
      <w:numPr>
        <w:numId w:val="35"/>
      </w:numPr>
      <w:tabs>
        <w:tab w:val="clear" w:pos="0"/>
        <w:tab w:val="left" w:pos="1440"/>
      </w:tabs>
      <w:spacing w:after="0" w:line="480" w:lineRule="auto"/>
    </w:pPr>
    <w:rPr>
      <w:rFonts w:eastAsia="Times New Roman" w:cs="Times New Roman"/>
    </w:rPr>
  </w:style>
  <w:style w:type="paragraph" w:styleId="BodyTextIndent">
    <w:name w:val="Body Text Indent"/>
    <w:basedOn w:val="Normal"/>
    <w:link w:val="BodyTextIndentChar"/>
    <w:uiPriority w:val="99"/>
    <w:unhideWhenUsed/>
    <w:rsid w:val="00C037AF"/>
    <w:pPr>
      <w:spacing w:after="120" w:line="240" w:lineRule="auto"/>
      <w:ind w:left="360"/>
    </w:pPr>
    <w:rPr>
      <w:rFonts w:cs="Times New Roman"/>
    </w:rPr>
  </w:style>
  <w:style w:type="character" w:customStyle="1" w:styleId="BodyTextIndentChar">
    <w:name w:val="Body Text Indent Char"/>
    <w:basedOn w:val="DefaultParagraphFont"/>
    <w:link w:val="BodyTextIndent"/>
    <w:uiPriority w:val="99"/>
    <w:rsid w:val="00C037A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26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apps.puc.state.or.us/orders/2010ords/10-2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2012-09-26T07:00:00+00:00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CF9504E-057B-4593-A776-5220528CC28D}"/>
</file>

<file path=customXml/itemProps2.xml><?xml version="1.0" encoding="utf-8"?>
<ds:datastoreItem xmlns:ds="http://schemas.openxmlformats.org/officeDocument/2006/customXml" ds:itemID="{DAFFC5DA-339E-4DFD-A3A6-8DA57B561E8E}"/>
</file>

<file path=customXml/itemProps3.xml><?xml version="1.0" encoding="utf-8"?>
<ds:datastoreItem xmlns:ds="http://schemas.openxmlformats.org/officeDocument/2006/customXml" ds:itemID="{E37451DA-E610-4126-9703-B9D1358F5241}"/>
</file>

<file path=customXml/itemProps4.xml><?xml version="1.0" encoding="utf-8"?>
<ds:datastoreItem xmlns:ds="http://schemas.openxmlformats.org/officeDocument/2006/customXml" ds:itemID="{64043242-6B42-491E-A0DF-7C00F3F45E95}"/>
</file>

<file path=customXml/itemProps5.xml><?xml version="1.0" encoding="utf-8"?>
<ds:datastoreItem xmlns:ds="http://schemas.openxmlformats.org/officeDocument/2006/customXml" ds:itemID="{67D74B46-E309-4EC9-B928-AFB8286D5F0F}"/>
</file>

<file path=docProps/app.xml><?xml version="1.0" encoding="utf-8"?>
<Properties xmlns="http://schemas.openxmlformats.org/officeDocument/2006/extended-properties" xmlns:vt="http://schemas.openxmlformats.org/officeDocument/2006/docPropsVTypes">
  <Template>Normal.dotm</Template>
  <TotalTime>3</TotalTime>
  <Pages>22</Pages>
  <Words>4235</Words>
  <Characters>24140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28319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Trotter</dc:creator>
  <cp:lastModifiedBy>Krista Gross</cp:lastModifiedBy>
  <cp:revision>6</cp:revision>
  <cp:lastPrinted>2012-09-26T15:42:00Z</cp:lastPrinted>
  <dcterms:created xsi:type="dcterms:W3CDTF">2012-09-26T17:02:00Z</dcterms:created>
  <dcterms:modified xsi:type="dcterms:W3CDTF">2012-09-26T20:49:00Z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0x0101006E56B4D1795A2E4DB2F0B01679ED314A0096E45178E737B2439E5D7C497507581C</vt:lpwstr>
  </property>
  <property fmtid="{D5CDD505-2E9C-101B-9397-08002B2CF9AE}" pid="3" name="_docset_NoMedatataSyncRequired">
    <vt:lpwstr>False</vt:lpwstr>
  </property>
</Properties>
</file>