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94" w:rsidRPr="006F145B" w:rsidRDefault="00847F94" w:rsidP="00847F94">
      <w:pPr>
        <w:jc w:val="center"/>
        <w:rPr>
          <w:rFonts w:ascii="Arial" w:hAnsi="Arial" w:cs="Arial"/>
          <w:b/>
          <w:sz w:val="24"/>
          <w:szCs w:val="24"/>
        </w:rPr>
      </w:pPr>
      <w:bookmarkStart w:id="0" w:name="_GoBack"/>
      <w:bookmarkEnd w:id="0"/>
      <w:r w:rsidRPr="006F145B">
        <w:rPr>
          <w:rFonts w:ascii="Arial" w:hAnsi="Arial" w:cs="Arial"/>
          <w:b/>
          <w:sz w:val="24"/>
          <w:szCs w:val="24"/>
        </w:rPr>
        <w:t>Interconnection Rulemaking</w:t>
      </w:r>
    </w:p>
    <w:p w:rsidR="00847F94" w:rsidRPr="006F145B" w:rsidRDefault="00847F94" w:rsidP="00847F94">
      <w:pPr>
        <w:jc w:val="center"/>
        <w:rPr>
          <w:rFonts w:ascii="Arial" w:hAnsi="Arial" w:cs="Arial"/>
          <w:b/>
          <w:sz w:val="24"/>
          <w:szCs w:val="24"/>
        </w:rPr>
      </w:pPr>
      <w:r w:rsidRPr="006F145B">
        <w:rPr>
          <w:rFonts w:ascii="Arial" w:hAnsi="Arial" w:cs="Arial"/>
          <w:b/>
          <w:sz w:val="24"/>
          <w:szCs w:val="24"/>
        </w:rPr>
        <w:t>Docket UE-112133</w:t>
      </w:r>
    </w:p>
    <w:p w:rsidR="00847F94" w:rsidRPr="006F145B" w:rsidRDefault="00847F94" w:rsidP="00847F94">
      <w:pPr>
        <w:jc w:val="center"/>
        <w:rPr>
          <w:rFonts w:ascii="Arial" w:hAnsi="Arial" w:cs="Arial"/>
          <w:b/>
          <w:sz w:val="24"/>
          <w:szCs w:val="24"/>
        </w:rPr>
      </w:pPr>
      <w:r w:rsidRPr="006F145B">
        <w:rPr>
          <w:rFonts w:ascii="Arial" w:hAnsi="Arial" w:cs="Arial"/>
          <w:b/>
          <w:sz w:val="24"/>
          <w:szCs w:val="24"/>
        </w:rPr>
        <w:t xml:space="preserve">Comment Summary – </w:t>
      </w:r>
      <w:r w:rsidR="00466753" w:rsidRPr="006F145B">
        <w:rPr>
          <w:rFonts w:ascii="Arial" w:hAnsi="Arial" w:cs="Arial"/>
          <w:b/>
          <w:sz w:val="24"/>
          <w:szCs w:val="24"/>
        </w:rPr>
        <w:t>December 21, 2012</w:t>
      </w:r>
    </w:p>
    <w:p w:rsidR="00847F94" w:rsidRPr="006F145B" w:rsidRDefault="00847F94" w:rsidP="00847F94">
      <w:pPr>
        <w:jc w:val="center"/>
        <w:rPr>
          <w:rFonts w:ascii="Arial" w:hAnsi="Arial" w:cs="Arial"/>
          <w:b/>
          <w:sz w:val="24"/>
          <w:szCs w:val="24"/>
        </w:rPr>
      </w:pPr>
    </w:p>
    <w:tbl>
      <w:tblPr>
        <w:tblStyle w:val="TableGrid"/>
        <w:tblW w:w="5000" w:type="pct"/>
        <w:tblLayout w:type="fixed"/>
        <w:tblLook w:val="04A0" w:firstRow="1" w:lastRow="0" w:firstColumn="1" w:lastColumn="0" w:noHBand="0" w:noVBand="1"/>
      </w:tblPr>
      <w:tblGrid>
        <w:gridCol w:w="1348"/>
        <w:gridCol w:w="1507"/>
        <w:gridCol w:w="11761"/>
      </w:tblGrid>
      <w:tr w:rsidR="00466753" w:rsidRPr="006F145B" w:rsidTr="00466753">
        <w:trPr>
          <w:cantSplit/>
          <w:tblHeader/>
        </w:trPr>
        <w:tc>
          <w:tcPr>
            <w:tcW w:w="1348" w:type="dxa"/>
            <w:shd w:val="clear" w:color="auto" w:fill="D9D9D9" w:themeFill="background1" w:themeFillShade="D9"/>
          </w:tcPr>
          <w:p w:rsidR="00466753" w:rsidRPr="006F145B" w:rsidRDefault="00466753" w:rsidP="00EF02FE">
            <w:pPr>
              <w:jc w:val="center"/>
              <w:rPr>
                <w:rFonts w:ascii="Times New Roman" w:hAnsi="Times New Roman" w:cs="Times New Roman"/>
                <w:b/>
                <w:sz w:val="24"/>
                <w:szCs w:val="24"/>
              </w:rPr>
            </w:pPr>
            <w:r w:rsidRPr="006F145B">
              <w:rPr>
                <w:rFonts w:ascii="Times New Roman" w:hAnsi="Times New Roman" w:cs="Times New Roman"/>
                <w:b/>
                <w:sz w:val="24"/>
                <w:szCs w:val="24"/>
              </w:rPr>
              <w:t xml:space="preserve">WAC </w:t>
            </w:r>
          </w:p>
          <w:p w:rsidR="00466753" w:rsidRPr="006F145B" w:rsidRDefault="00466753" w:rsidP="00EF02FE">
            <w:pPr>
              <w:jc w:val="center"/>
              <w:rPr>
                <w:rFonts w:ascii="Times New Roman" w:hAnsi="Times New Roman" w:cs="Times New Roman"/>
                <w:b/>
                <w:sz w:val="24"/>
                <w:szCs w:val="24"/>
              </w:rPr>
            </w:pPr>
            <w:r w:rsidRPr="006F145B">
              <w:rPr>
                <w:rFonts w:ascii="Times New Roman" w:hAnsi="Times New Roman" w:cs="Times New Roman"/>
                <w:b/>
                <w:sz w:val="24"/>
                <w:szCs w:val="24"/>
              </w:rPr>
              <w:t>480-108 /  Topic</w:t>
            </w:r>
          </w:p>
        </w:tc>
        <w:tc>
          <w:tcPr>
            <w:tcW w:w="1507" w:type="dxa"/>
            <w:shd w:val="clear" w:color="auto" w:fill="D9D9D9" w:themeFill="background1" w:themeFillShade="D9"/>
            <w:vAlign w:val="bottom"/>
          </w:tcPr>
          <w:p w:rsidR="00466753" w:rsidRPr="006F145B" w:rsidRDefault="00466753" w:rsidP="00231BD7">
            <w:pPr>
              <w:jc w:val="center"/>
              <w:rPr>
                <w:rFonts w:ascii="Times New Roman" w:hAnsi="Times New Roman" w:cs="Times New Roman"/>
                <w:b/>
                <w:sz w:val="24"/>
                <w:szCs w:val="24"/>
              </w:rPr>
            </w:pPr>
            <w:r w:rsidRPr="006F145B">
              <w:rPr>
                <w:rFonts w:ascii="Times New Roman" w:hAnsi="Times New Roman" w:cs="Times New Roman"/>
                <w:b/>
                <w:sz w:val="24"/>
                <w:szCs w:val="24"/>
              </w:rPr>
              <w:t>Commenter</w:t>
            </w:r>
          </w:p>
        </w:tc>
        <w:tc>
          <w:tcPr>
            <w:tcW w:w="11761" w:type="dxa"/>
            <w:shd w:val="clear" w:color="auto" w:fill="D9D9D9" w:themeFill="background1" w:themeFillShade="D9"/>
            <w:vAlign w:val="bottom"/>
          </w:tcPr>
          <w:p w:rsidR="00466753" w:rsidRPr="006F145B" w:rsidRDefault="00466753" w:rsidP="00231BD7">
            <w:pPr>
              <w:jc w:val="center"/>
              <w:rPr>
                <w:rFonts w:ascii="Times New Roman" w:hAnsi="Times New Roman" w:cs="Times New Roman"/>
                <w:b/>
                <w:sz w:val="24"/>
                <w:szCs w:val="24"/>
              </w:rPr>
            </w:pPr>
            <w:r w:rsidRPr="006F145B">
              <w:rPr>
                <w:rFonts w:ascii="Times New Roman" w:hAnsi="Times New Roman" w:cs="Times New Roman"/>
                <w:b/>
                <w:sz w:val="24"/>
                <w:szCs w:val="24"/>
              </w:rPr>
              <w:t>Comment</w:t>
            </w:r>
          </w:p>
        </w:tc>
      </w:tr>
      <w:tr w:rsidR="00C65CF0" w:rsidRPr="006F145B" w:rsidTr="00BC6E5E">
        <w:trPr>
          <w:cantSplit/>
        </w:trPr>
        <w:tc>
          <w:tcPr>
            <w:tcW w:w="14616" w:type="dxa"/>
            <w:gridSpan w:val="3"/>
          </w:tcPr>
          <w:p w:rsidR="00C65CF0" w:rsidRPr="006F145B" w:rsidRDefault="00C65CF0" w:rsidP="00C65CF0">
            <w:pPr>
              <w:jc w:val="center"/>
              <w:rPr>
                <w:rFonts w:ascii="Times New Roman" w:hAnsi="Times New Roman" w:cs="Times New Roman"/>
                <w:b/>
                <w:sz w:val="24"/>
                <w:szCs w:val="24"/>
              </w:rPr>
            </w:pPr>
            <w:r w:rsidRPr="006F145B">
              <w:rPr>
                <w:rFonts w:ascii="Times New Roman" w:hAnsi="Times New Roman" w:cs="Times New Roman"/>
                <w:b/>
                <w:sz w:val="24"/>
                <w:szCs w:val="24"/>
              </w:rPr>
              <w:t>Major Issues</w:t>
            </w:r>
          </w:p>
        </w:tc>
      </w:tr>
      <w:tr w:rsidR="007846CF" w:rsidRPr="006F145B" w:rsidTr="00466753">
        <w:trPr>
          <w:cantSplit/>
        </w:trPr>
        <w:tc>
          <w:tcPr>
            <w:tcW w:w="1348" w:type="dxa"/>
            <w:vMerge w:val="restart"/>
          </w:tcPr>
          <w:p w:rsidR="007846CF" w:rsidRPr="006F145B" w:rsidRDefault="007846CF" w:rsidP="00847F94">
            <w:pPr>
              <w:rPr>
                <w:rFonts w:ascii="Times New Roman" w:hAnsi="Times New Roman" w:cs="Times New Roman"/>
                <w:sz w:val="24"/>
                <w:szCs w:val="24"/>
              </w:rPr>
            </w:pPr>
            <w:r w:rsidRPr="006F145B">
              <w:rPr>
                <w:rFonts w:ascii="Times New Roman" w:hAnsi="Times New Roman" w:cs="Times New Roman"/>
                <w:sz w:val="24"/>
                <w:szCs w:val="24"/>
              </w:rPr>
              <w:t>010</w:t>
            </w:r>
          </w:p>
          <w:p w:rsidR="007846CF" w:rsidRPr="006F145B" w:rsidRDefault="007846CF" w:rsidP="00847F94">
            <w:pPr>
              <w:rPr>
                <w:rFonts w:ascii="Times New Roman" w:hAnsi="Times New Roman" w:cs="Times New Roman"/>
                <w:sz w:val="24"/>
                <w:szCs w:val="24"/>
              </w:rPr>
            </w:pPr>
          </w:p>
          <w:p w:rsidR="007846CF" w:rsidRPr="006F145B" w:rsidRDefault="007846CF" w:rsidP="00847F94">
            <w:pPr>
              <w:rPr>
                <w:rFonts w:ascii="Times New Roman" w:hAnsi="Times New Roman" w:cs="Times New Roman"/>
                <w:sz w:val="24"/>
                <w:szCs w:val="24"/>
              </w:rPr>
            </w:pPr>
            <w:r w:rsidRPr="006F145B">
              <w:rPr>
                <w:rFonts w:ascii="Times New Roman" w:hAnsi="Times New Roman" w:cs="Times New Roman"/>
                <w:sz w:val="24"/>
                <w:szCs w:val="24"/>
              </w:rPr>
              <w:t>Third Party Ownership of Net Metered Systems</w:t>
            </w:r>
          </w:p>
        </w:tc>
        <w:tc>
          <w:tcPr>
            <w:tcW w:w="1507" w:type="dxa"/>
          </w:tcPr>
          <w:p w:rsidR="007846CF" w:rsidRPr="006F145B" w:rsidRDefault="007846CF" w:rsidP="004029E5">
            <w:pPr>
              <w:rPr>
                <w:rFonts w:ascii="Times New Roman" w:hAnsi="Times New Roman" w:cs="Times New Roman"/>
                <w:sz w:val="24"/>
                <w:szCs w:val="24"/>
              </w:rPr>
            </w:pPr>
            <w:r w:rsidRPr="006F145B">
              <w:rPr>
                <w:rFonts w:ascii="Times New Roman" w:hAnsi="Times New Roman" w:cs="Times New Roman"/>
                <w:sz w:val="24"/>
                <w:szCs w:val="24"/>
              </w:rPr>
              <w:t>PacifiCorp</w:t>
            </w:r>
          </w:p>
        </w:tc>
        <w:tc>
          <w:tcPr>
            <w:tcW w:w="11761" w:type="dxa"/>
          </w:tcPr>
          <w:p w:rsidR="007846CF" w:rsidRPr="006F145B" w:rsidRDefault="007846CF" w:rsidP="00FC1953">
            <w:pPr>
              <w:rPr>
                <w:rFonts w:ascii="Times New Roman" w:hAnsi="Times New Roman" w:cs="Times New Roman"/>
                <w:sz w:val="24"/>
                <w:szCs w:val="24"/>
              </w:rPr>
            </w:pPr>
            <w:r w:rsidRPr="006F145B">
              <w:rPr>
                <w:rFonts w:ascii="Times New Roman" w:hAnsi="Times New Roman" w:cs="Times New Roman"/>
                <w:sz w:val="24"/>
                <w:szCs w:val="24"/>
              </w:rPr>
              <w:t>Third-party ownership may not be legal under Washington law.  State law may require the UTC to regulate a third-party owner of a renewable energy system as an electrical company.  PacifiCorp foresees significant problems if utilities are required to enter into contractual arrangements with third-party owners; the net-metering relationship should remain between the utility and the customer.</w:t>
            </w:r>
          </w:p>
        </w:tc>
      </w:tr>
      <w:tr w:rsidR="007846CF" w:rsidRPr="006F145B" w:rsidTr="00466753">
        <w:trPr>
          <w:cantSplit/>
        </w:trPr>
        <w:tc>
          <w:tcPr>
            <w:tcW w:w="1348" w:type="dxa"/>
            <w:vMerge/>
          </w:tcPr>
          <w:p w:rsidR="007846CF" w:rsidRPr="006F145B" w:rsidRDefault="007846CF" w:rsidP="00847F94">
            <w:pPr>
              <w:rPr>
                <w:rFonts w:ascii="Times New Roman" w:hAnsi="Times New Roman" w:cs="Times New Roman"/>
                <w:sz w:val="24"/>
                <w:szCs w:val="24"/>
              </w:rPr>
            </w:pPr>
          </w:p>
        </w:tc>
        <w:tc>
          <w:tcPr>
            <w:tcW w:w="1507" w:type="dxa"/>
          </w:tcPr>
          <w:p w:rsidR="007846CF" w:rsidRPr="006F145B" w:rsidRDefault="007846CF" w:rsidP="004029E5">
            <w:pPr>
              <w:rPr>
                <w:rFonts w:ascii="Times New Roman" w:hAnsi="Times New Roman" w:cs="Times New Roman"/>
                <w:sz w:val="24"/>
                <w:szCs w:val="24"/>
              </w:rPr>
            </w:pPr>
            <w:r w:rsidRPr="006F145B">
              <w:rPr>
                <w:rFonts w:ascii="Times New Roman" w:hAnsi="Times New Roman" w:cs="Times New Roman"/>
                <w:sz w:val="24"/>
                <w:szCs w:val="24"/>
              </w:rPr>
              <w:t>Renewable Northwest Project and  Northwest SEED</w:t>
            </w:r>
          </w:p>
        </w:tc>
        <w:tc>
          <w:tcPr>
            <w:tcW w:w="11761" w:type="dxa"/>
          </w:tcPr>
          <w:p w:rsidR="007846CF" w:rsidRPr="006F145B" w:rsidRDefault="007846CF" w:rsidP="004029E5">
            <w:pPr>
              <w:rPr>
                <w:rFonts w:ascii="Times New Roman" w:hAnsi="Times New Roman" w:cs="Times New Roman"/>
                <w:sz w:val="24"/>
                <w:szCs w:val="24"/>
              </w:rPr>
            </w:pPr>
            <w:r w:rsidRPr="006F145B">
              <w:rPr>
                <w:rFonts w:ascii="Times New Roman" w:hAnsi="Times New Roman" w:cs="Times New Roman"/>
                <w:sz w:val="24"/>
                <w:szCs w:val="24"/>
              </w:rPr>
              <w:t xml:space="preserve">Clarifying that the third-party ownership of net metering is permissible is the most important change that can be made in this rulemaking.  A key barrier to further deployment of third-party financing models is the absence of a clear statement that third-party ownership is allowed in Washington, and that third-party owners are </w:t>
            </w:r>
            <w:r w:rsidR="006F145B" w:rsidRPr="006F145B">
              <w:rPr>
                <w:rFonts w:ascii="Times New Roman" w:hAnsi="Times New Roman" w:cs="Times New Roman"/>
                <w:sz w:val="24"/>
                <w:szCs w:val="24"/>
              </w:rPr>
              <w:t xml:space="preserve">not </w:t>
            </w:r>
            <w:r w:rsidRPr="006F145B">
              <w:rPr>
                <w:rFonts w:ascii="Times New Roman" w:hAnsi="Times New Roman" w:cs="Times New Roman"/>
                <w:sz w:val="24"/>
                <w:szCs w:val="24"/>
              </w:rPr>
              <w:t>subject to Commission jurisdiction as an “electric company.”</w:t>
            </w:r>
          </w:p>
        </w:tc>
      </w:tr>
      <w:tr w:rsidR="007846CF" w:rsidRPr="006F145B" w:rsidTr="00466753">
        <w:trPr>
          <w:cantSplit/>
        </w:trPr>
        <w:tc>
          <w:tcPr>
            <w:tcW w:w="1348" w:type="dxa"/>
            <w:vMerge/>
          </w:tcPr>
          <w:p w:rsidR="007846CF" w:rsidRPr="006F145B" w:rsidRDefault="007846CF" w:rsidP="00847F94">
            <w:pPr>
              <w:rPr>
                <w:rFonts w:ascii="Times New Roman" w:hAnsi="Times New Roman" w:cs="Times New Roman"/>
                <w:sz w:val="24"/>
                <w:szCs w:val="24"/>
              </w:rPr>
            </w:pPr>
          </w:p>
        </w:tc>
        <w:tc>
          <w:tcPr>
            <w:tcW w:w="1507" w:type="dxa"/>
          </w:tcPr>
          <w:p w:rsidR="007846CF" w:rsidRPr="006F145B" w:rsidRDefault="007846CF" w:rsidP="005968DD">
            <w:pPr>
              <w:rPr>
                <w:rFonts w:ascii="Times New Roman" w:hAnsi="Times New Roman" w:cs="Times New Roman"/>
                <w:sz w:val="24"/>
                <w:szCs w:val="24"/>
              </w:rPr>
            </w:pPr>
            <w:r w:rsidRPr="006F145B">
              <w:rPr>
                <w:rFonts w:ascii="Times New Roman" w:hAnsi="Times New Roman" w:cs="Times New Roman"/>
                <w:sz w:val="24"/>
                <w:szCs w:val="24"/>
              </w:rPr>
              <w:t xml:space="preserve">Dave Warren and Richard </w:t>
            </w:r>
            <w:proofErr w:type="spellStart"/>
            <w:r w:rsidRPr="006F145B">
              <w:rPr>
                <w:rFonts w:ascii="Times New Roman" w:hAnsi="Times New Roman" w:cs="Times New Roman"/>
                <w:sz w:val="24"/>
                <w:szCs w:val="24"/>
              </w:rPr>
              <w:t>Damino</w:t>
            </w:r>
            <w:proofErr w:type="spellEnd"/>
          </w:p>
        </w:tc>
        <w:tc>
          <w:tcPr>
            <w:tcW w:w="11761" w:type="dxa"/>
          </w:tcPr>
          <w:p w:rsidR="007846CF" w:rsidRPr="006F145B" w:rsidRDefault="007846CF" w:rsidP="006F145B">
            <w:pPr>
              <w:rPr>
                <w:rFonts w:ascii="Times New Roman" w:hAnsi="Times New Roman" w:cs="Times New Roman"/>
                <w:sz w:val="24"/>
                <w:szCs w:val="24"/>
              </w:rPr>
            </w:pPr>
            <w:r w:rsidRPr="006F145B">
              <w:rPr>
                <w:rFonts w:ascii="Times New Roman" w:hAnsi="Times New Roman" w:cs="Times New Roman"/>
                <w:sz w:val="24"/>
                <w:szCs w:val="24"/>
              </w:rPr>
              <w:t xml:space="preserve">The concept is not ripe for addition at this time and </w:t>
            </w:r>
            <w:r w:rsidR="006F145B" w:rsidRPr="006F145B">
              <w:rPr>
                <w:rFonts w:ascii="Times New Roman" w:hAnsi="Times New Roman" w:cs="Times New Roman"/>
                <w:sz w:val="24"/>
                <w:szCs w:val="24"/>
              </w:rPr>
              <w:t>this</w:t>
            </w:r>
            <w:r w:rsidRPr="006F145B">
              <w:rPr>
                <w:rFonts w:ascii="Times New Roman" w:hAnsi="Times New Roman" w:cs="Times New Roman"/>
                <w:sz w:val="24"/>
                <w:szCs w:val="24"/>
              </w:rPr>
              <w:t xml:space="preserve"> change should not be made in this rulemaking.</w:t>
            </w:r>
          </w:p>
        </w:tc>
      </w:tr>
      <w:tr w:rsidR="007846CF" w:rsidRPr="006F145B" w:rsidTr="00466753">
        <w:trPr>
          <w:cantSplit/>
        </w:trPr>
        <w:tc>
          <w:tcPr>
            <w:tcW w:w="1348" w:type="dxa"/>
            <w:vMerge/>
          </w:tcPr>
          <w:p w:rsidR="007846CF" w:rsidRPr="006F145B" w:rsidRDefault="007846CF" w:rsidP="00847F94">
            <w:pPr>
              <w:rPr>
                <w:rFonts w:ascii="Times New Roman" w:hAnsi="Times New Roman" w:cs="Times New Roman"/>
                <w:sz w:val="24"/>
                <w:szCs w:val="24"/>
              </w:rPr>
            </w:pPr>
          </w:p>
        </w:tc>
        <w:tc>
          <w:tcPr>
            <w:tcW w:w="1507" w:type="dxa"/>
          </w:tcPr>
          <w:p w:rsidR="007846CF" w:rsidRPr="006F145B" w:rsidRDefault="007846CF" w:rsidP="00BD0229">
            <w:pPr>
              <w:rPr>
                <w:rFonts w:ascii="Times New Roman" w:hAnsi="Times New Roman" w:cs="Times New Roman"/>
                <w:sz w:val="24"/>
                <w:szCs w:val="24"/>
              </w:rPr>
            </w:pPr>
            <w:r w:rsidRPr="006F145B">
              <w:rPr>
                <w:rFonts w:ascii="Times New Roman" w:hAnsi="Times New Roman" w:cs="Times New Roman"/>
                <w:sz w:val="24"/>
                <w:szCs w:val="24"/>
              </w:rPr>
              <w:t>Avista</w:t>
            </w:r>
          </w:p>
        </w:tc>
        <w:tc>
          <w:tcPr>
            <w:tcW w:w="11761" w:type="dxa"/>
          </w:tcPr>
          <w:p w:rsidR="007846CF" w:rsidRPr="006F145B" w:rsidRDefault="007846CF" w:rsidP="004662A0">
            <w:pPr>
              <w:rPr>
                <w:rFonts w:ascii="Times New Roman" w:hAnsi="Times New Roman" w:cs="Times New Roman"/>
                <w:sz w:val="24"/>
                <w:szCs w:val="24"/>
              </w:rPr>
            </w:pPr>
            <w:r w:rsidRPr="006F145B">
              <w:rPr>
                <w:rFonts w:ascii="Times New Roman" w:hAnsi="Times New Roman" w:cs="Times New Roman"/>
                <w:sz w:val="24"/>
                <w:szCs w:val="24"/>
              </w:rPr>
              <w:t>“It is also not fully understood whether the Commission can allow for a third party ownership of a generations [sic] facility by simply changing the definition” of interconnection customer in these rules.  Avista argues that a third party is not the user of a net metering system.  Avista is concerned that it is unclear what compliance responsibilities may be assigned to another party under the draft rules. Avista argues that the definition of “Generating facility” which states “a source of electricity owned by the Interconnection Customer” is not consistent with the new definition of Interconnection Customer</w:t>
            </w:r>
            <w:r w:rsidR="006F145B" w:rsidRPr="006F145B">
              <w:rPr>
                <w:rFonts w:ascii="Times New Roman" w:hAnsi="Times New Roman" w:cs="Times New Roman"/>
                <w:sz w:val="24"/>
                <w:szCs w:val="24"/>
              </w:rPr>
              <w:t>,</w:t>
            </w:r>
            <w:r w:rsidRPr="006F145B">
              <w:rPr>
                <w:rFonts w:ascii="Times New Roman" w:hAnsi="Times New Roman" w:cs="Times New Roman"/>
                <w:sz w:val="24"/>
                <w:szCs w:val="24"/>
              </w:rPr>
              <w:t xml:space="preserve"> which now allows third party ownership.</w:t>
            </w:r>
          </w:p>
        </w:tc>
      </w:tr>
      <w:tr w:rsidR="00240B9B" w:rsidRPr="006F145B" w:rsidTr="00240B9B">
        <w:trPr>
          <w:cantSplit/>
          <w:trHeight w:val="512"/>
        </w:trPr>
        <w:tc>
          <w:tcPr>
            <w:tcW w:w="1348" w:type="dxa"/>
            <w:vMerge/>
          </w:tcPr>
          <w:p w:rsidR="00240B9B" w:rsidRPr="006F145B" w:rsidRDefault="00240B9B" w:rsidP="00847F94">
            <w:pPr>
              <w:rPr>
                <w:rFonts w:ascii="Times New Roman" w:hAnsi="Times New Roman" w:cs="Times New Roman"/>
                <w:sz w:val="24"/>
                <w:szCs w:val="24"/>
              </w:rPr>
            </w:pPr>
          </w:p>
        </w:tc>
        <w:tc>
          <w:tcPr>
            <w:tcW w:w="1507" w:type="dxa"/>
          </w:tcPr>
          <w:p w:rsidR="00240B9B" w:rsidRPr="006F145B" w:rsidRDefault="00240B9B" w:rsidP="00BD0229">
            <w:pPr>
              <w:rPr>
                <w:rFonts w:ascii="Times New Roman" w:hAnsi="Times New Roman" w:cs="Times New Roman"/>
                <w:sz w:val="24"/>
                <w:szCs w:val="24"/>
              </w:rPr>
            </w:pPr>
            <w:r w:rsidRPr="006F145B">
              <w:rPr>
                <w:rFonts w:ascii="Times New Roman" w:hAnsi="Times New Roman" w:cs="Times New Roman"/>
                <w:sz w:val="24"/>
                <w:szCs w:val="24"/>
              </w:rPr>
              <w:t>Snohomish PUD</w:t>
            </w:r>
          </w:p>
        </w:tc>
        <w:tc>
          <w:tcPr>
            <w:tcW w:w="11761" w:type="dxa"/>
          </w:tcPr>
          <w:p w:rsidR="00240B9B" w:rsidRPr="006F145B" w:rsidRDefault="00240B9B" w:rsidP="00BD0229">
            <w:pPr>
              <w:rPr>
                <w:rFonts w:ascii="Times New Roman" w:hAnsi="Times New Roman" w:cs="Times New Roman"/>
                <w:sz w:val="24"/>
                <w:szCs w:val="24"/>
              </w:rPr>
            </w:pPr>
            <w:r w:rsidRPr="006F145B">
              <w:rPr>
                <w:rFonts w:ascii="Times New Roman" w:hAnsi="Times New Roman" w:cs="Times New Roman"/>
                <w:sz w:val="24"/>
                <w:szCs w:val="24"/>
              </w:rPr>
              <w:t>Snohomish PUD is concerned about adverse ratepayer impacts due to the interconnection of more net metering systems.</w:t>
            </w:r>
          </w:p>
        </w:tc>
      </w:tr>
      <w:tr w:rsidR="007846CF" w:rsidRPr="006F145B" w:rsidTr="00466753">
        <w:trPr>
          <w:cantSplit/>
        </w:trPr>
        <w:tc>
          <w:tcPr>
            <w:tcW w:w="1348" w:type="dxa"/>
            <w:vMerge/>
          </w:tcPr>
          <w:p w:rsidR="007846CF" w:rsidRPr="006F145B" w:rsidRDefault="007846CF" w:rsidP="00847F94">
            <w:pPr>
              <w:rPr>
                <w:rFonts w:ascii="Times New Roman" w:hAnsi="Times New Roman" w:cs="Times New Roman"/>
                <w:sz w:val="24"/>
                <w:szCs w:val="24"/>
              </w:rPr>
            </w:pPr>
          </w:p>
        </w:tc>
        <w:tc>
          <w:tcPr>
            <w:tcW w:w="1507" w:type="dxa"/>
          </w:tcPr>
          <w:p w:rsidR="007846CF" w:rsidRPr="006F145B" w:rsidRDefault="00DE75B8" w:rsidP="00DE75B8">
            <w:pPr>
              <w:rPr>
                <w:rFonts w:ascii="Times New Roman" w:hAnsi="Times New Roman" w:cs="Times New Roman"/>
                <w:sz w:val="24"/>
                <w:szCs w:val="24"/>
              </w:rPr>
            </w:pPr>
            <w:r w:rsidRPr="006F145B">
              <w:rPr>
                <w:rFonts w:ascii="Times New Roman" w:hAnsi="Times New Roman" w:cs="Times New Roman"/>
                <w:sz w:val="24"/>
                <w:szCs w:val="24"/>
              </w:rPr>
              <w:t xml:space="preserve">Cascade Power Group, IREC, </w:t>
            </w:r>
            <w:proofErr w:type="spellStart"/>
            <w:r w:rsidR="007846CF" w:rsidRPr="006F145B">
              <w:rPr>
                <w:rFonts w:ascii="Times New Roman" w:hAnsi="Times New Roman" w:cs="Times New Roman"/>
                <w:sz w:val="24"/>
                <w:szCs w:val="24"/>
              </w:rPr>
              <w:t>SolarCity</w:t>
            </w:r>
            <w:proofErr w:type="spellEnd"/>
            <w:r w:rsidRPr="006F145B">
              <w:rPr>
                <w:rFonts w:ascii="Times New Roman" w:hAnsi="Times New Roman" w:cs="Times New Roman"/>
                <w:sz w:val="24"/>
                <w:szCs w:val="24"/>
              </w:rPr>
              <w:t xml:space="preserve"> </w:t>
            </w:r>
          </w:p>
        </w:tc>
        <w:tc>
          <w:tcPr>
            <w:tcW w:w="11761" w:type="dxa"/>
          </w:tcPr>
          <w:p w:rsidR="007846CF" w:rsidRPr="006F145B" w:rsidRDefault="00DE75B8" w:rsidP="006F145B">
            <w:pPr>
              <w:rPr>
                <w:rFonts w:ascii="Times New Roman" w:hAnsi="Times New Roman" w:cs="Times New Roman"/>
                <w:sz w:val="24"/>
                <w:szCs w:val="24"/>
              </w:rPr>
            </w:pPr>
            <w:r w:rsidRPr="006F145B">
              <w:rPr>
                <w:rFonts w:ascii="Times New Roman" w:hAnsi="Times New Roman" w:cs="Times New Roman"/>
                <w:sz w:val="24"/>
                <w:szCs w:val="24"/>
              </w:rPr>
              <w:t xml:space="preserve">Supports the changes proposed in the draft rules. </w:t>
            </w:r>
            <w:r w:rsidR="007846CF" w:rsidRPr="006F145B">
              <w:rPr>
                <w:rFonts w:ascii="Times New Roman" w:hAnsi="Times New Roman" w:cs="Times New Roman"/>
                <w:sz w:val="24"/>
                <w:szCs w:val="24"/>
              </w:rPr>
              <w:t>Amend the definition of “Interconnection customer” to allow for third-party ownership of net-metered systems.  Use IREC</w:t>
            </w:r>
            <w:r w:rsidR="006F145B" w:rsidRPr="006F145B">
              <w:rPr>
                <w:rFonts w:ascii="Times New Roman" w:hAnsi="Times New Roman" w:cs="Times New Roman"/>
                <w:sz w:val="24"/>
                <w:szCs w:val="24"/>
              </w:rPr>
              <w:t xml:space="preserve">’s recommended language.  </w:t>
            </w:r>
            <w:r w:rsidRPr="006F145B">
              <w:rPr>
                <w:rFonts w:ascii="Times New Roman" w:hAnsi="Times New Roman" w:cs="Times New Roman"/>
                <w:sz w:val="24"/>
                <w:szCs w:val="24"/>
              </w:rPr>
              <w:t xml:space="preserve">IREC suggests </w:t>
            </w:r>
            <w:r w:rsidR="006F145B" w:rsidRPr="006F145B">
              <w:rPr>
                <w:rFonts w:ascii="Times New Roman" w:hAnsi="Times New Roman" w:cs="Times New Roman"/>
                <w:sz w:val="24"/>
                <w:szCs w:val="24"/>
              </w:rPr>
              <w:t xml:space="preserve">minor </w:t>
            </w:r>
            <w:r w:rsidRPr="006F145B">
              <w:rPr>
                <w:rFonts w:ascii="Times New Roman" w:hAnsi="Times New Roman" w:cs="Times New Roman"/>
                <w:sz w:val="24"/>
                <w:szCs w:val="24"/>
              </w:rPr>
              <w:t xml:space="preserve">modifications to the </w:t>
            </w:r>
            <w:r w:rsidR="006F145B" w:rsidRPr="006F145B">
              <w:rPr>
                <w:rFonts w:ascii="Times New Roman" w:hAnsi="Times New Roman" w:cs="Times New Roman"/>
                <w:sz w:val="24"/>
                <w:szCs w:val="24"/>
              </w:rPr>
              <w:t xml:space="preserve">proposed </w:t>
            </w:r>
            <w:r w:rsidRPr="006F145B">
              <w:rPr>
                <w:rFonts w:ascii="Times New Roman" w:hAnsi="Times New Roman" w:cs="Times New Roman"/>
                <w:sz w:val="24"/>
                <w:szCs w:val="24"/>
              </w:rPr>
              <w:t>language.</w:t>
            </w:r>
          </w:p>
        </w:tc>
      </w:tr>
      <w:tr w:rsidR="00DE75B8" w:rsidRPr="006F145B" w:rsidTr="00DE75B8">
        <w:trPr>
          <w:cantSplit/>
          <w:trHeight w:val="521"/>
        </w:trPr>
        <w:tc>
          <w:tcPr>
            <w:tcW w:w="1348" w:type="dxa"/>
            <w:vMerge/>
          </w:tcPr>
          <w:p w:rsidR="00DE75B8" w:rsidRPr="006F145B" w:rsidRDefault="00DE75B8" w:rsidP="00847F94">
            <w:pPr>
              <w:rPr>
                <w:rFonts w:ascii="Times New Roman" w:hAnsi="Times New Roman" w:cs="Times New Roman"/>
                <w:sz w:val="24"/>
                <w:szCs w:val="24"/>
              </w:rPr>
            </w:pPr>
          </w:p>
        </w:tc>
        <w:tc>
          <w:tcPr>
            <w:tcW w:w="1507" w:type="dxa"/>
          </w:tcPr>
          <w:p w:rsidR="00DE75B8" w:rsidRPr="006F145B" w:rsidRDefault="00DE75B8" w:rsidP="00BD0229">
            <w:pPr>
              <w:rPr>
                <w:rFonts w:ascii="Times New Roman" w:hAnsi="Times New Roman" w:cs="Times New Roman"/>
                <w:sz w:val="24"/>
                <w:szCs w:val="24"/>
              </w:rPr>
            </w:pPr>
            <w:r w:rsidRPr="006F145B">
              <w:rPr>
                <w:rFonts w:ascii="Times New Roman" w:hAnsi="Times New Roman" w:cs="Times New Roman"/>
                <w:sz w:val="24"/>
                <w:szCs w:val="24"/>
              </w:rPr>
              <w:t>Puget Sound Energy</w:t>
            </w:r>
          </w:p>
        </w:tc>
        <w:tc>
          <w:tcPr>
            <w:tcW w:w="11761" w:type="dxa"/>
          </w:tcPr>
          <w:p w:rsidR="00DE75B8" w:rsidRPr="006F145B" w:rsidRDefault="00DE75B8" w:rsidP="005B5FAB">
            <w:pPr>
              <w:rPr>
                <w:rFonts w:ascii="Times New Roman" w:hAnsi="Times New Roman" w:cs="Times New Roman"/>
                <w:sz w:val="24"/>
                <w:szCs w:val="24"/>
              </w:rPr>
            </w:pPr>
            <w:r w:rsidRPr="006F145B">
              <w:rPr>
                <w:rFonts w:ascii="Times New Roman" w:hAnsi="Times New Roman" w:cs="Times New Roman"/>
                <w:sz w:val="24"/>
                <w:szCs w:val="24"/>
              </w:rPr>
              <w:t>Add “if allowed by Washington state law” to the provision allowing third-party ownership.</w:t>
            </w:r>
          </w:p>
        </w:tc>
      </w:tr>
      <w:tr w:rsidR="00240B9B" w:rsidRPr="006F145B" w:rsidTr="00240B9B">
        <w:trPr>
          <w:cantSplit/>
          <w:trHeight w:val="773"/>
        </w:trPr>
        <w:tc>
          <w:tcPr>
            <w:tcW w:w="1348" w:type="dxa"/>
            <w:vMerge w:val="restart"/>
          </w:tcPr>
          <w:p w:rsidR="00240B9B" w:rsidRPr="006F145B" w:rsidRDefault="00240B9B" w:rsidP="00847F94">
            <w:pPr>
              <w:rPr>
                <w:rFonts w:ascii="Times New Roman" w:hAnsi="Times New Roman" w:cs="Times New Roman"/>
                <w:sz w:val="24"/>
                <w:szCs w:val="24"/>
              </w:rPr>
            </w:pPr>
            <w:r w:rsidRPr="006F145B">
              <w:rPr>
                <w:rFonts w:ascii="Times New Roman" w:hAnsi="Times New Roman" w:cs="Times New Roman"/>
                <w:sz w:val="24"/>
                <w:szCs w:val="24"/>
              </w:rPr>
              <w:lastRenderedPageBreak/>
              <w:t>BBB</w:t>
            </w:r>
          </w:p>
          <w:p w:rsidR="00240B9B" w:rsidRPr="006F145B" w:rsidRDefault="00240B9B" w:rsidP="00847F94">
            <w:pPr>
              <w:rPr>
                <w:rFonts w:ascii="Times New Roman" w:hAnsi="Times New Roman" w:cs="Times New Roman"/>
                <w:sz w:val="24"/>
                <w:szCs w:val="24"/>
              </w:rPr>
            </w:pPr>
          </w:p>
          <w:p w:rsidR="00240B9B" w:rsidRPr="006F145B" w:rsidRDefault="00240B9B" w:rsidP="00847F94">
            <w:pPr>
              <w:rPr>
                <w:rFonts w:ascii="Times New Roman" w:hAnsi="Times New Roman" w:cs="Times New Roman"/>
                <w:sz w:val="24"/>
                <w:szCs w:val="24"/>
              </w:rPr>
            </w:pPr>
            <w:r w:rsidRPr="006F145B">
              <w:rPr>
                <w:rFonts w:ascii="Times New Roman" w:hAnsi="Times New Roman" w:cs="Times New Roman"/>
                <w:sz w:val="24"/>
                <w:szCs w:val="24"/>
              </w:rPr>
              <w:t>Disconnect Switch</w:t>
            </w:r>
          </w:p>
        </w:tc>
        <w:tc>
          <w:tcPr>
            <w:tcW w:w="1507" w:type="dxa"/>
          </w:tcPr>
          <w:p w:rsidR="00240B9B" w:rsidRPr="006F145B" w:rsidRDefault="00240B9B" w:rsidP="00847F94">
            <w:pPr>
              <w:rPr>
                <w:rFonts w:ascii="Times New Roman" w:hAnsi="Times New Roman" w:cs="Times New Roman"/>
                <w:sz w:val="24"/>
                <w:szCs w:val="24"/>
              </w:rPr>
            </w:pPr>
            <w:r w:rsidRPr="006F145B">
              <w:rPr>
                <w:rFonts w:ascii="Times New Roman" w:hAnsi="Times New Roman" w:cs="Times New Roman"/>
                <w:sz w:val="24"/>
                <w:szCs w:val="24"/>
              </w:rPr>
              <w:t>PacifiCorp, Snohomish PUD</w:t>
            </w:r>
          </w:p>
        </w:tc>
        <w:tc>
          <w:tcPr>
            <w:tcW w:w="11761" w:type="dxa"/>
          </w:tcPr>
          <w:p w:rsidR="00240B9B" w:rsidRPr="006F145B" w:rsidRDefault="00240B9B" w:rsidP="0081450E">
            <w:pPr>
              <w:rPr>
                <w:rFonts w:ascii="Times New Roman" w:hAnsi="Times New Roman" w:cs="Times New Roman"/>
                <w:sz w:val="24"/>
                <w:szCs w:val="24"/>
              </w:rPr>
            </w:pPr>
            <w:r w:rsidRPr="006F145B">
              <w:rPr>
                <w:rFonts w:ascii="Times New Roman" w:hAnsi="Times New Roman" w:cs="Times New Roman"/>
                <w:sz w:val="24"/>
                <w:szCs w:val="24"/>
              </w:rPr>
              <w:t>Utilities suggest that a disconnect switch should be required unless agreed to by the utility.</w:t>
            </w:r>
          </w:p>
        </w:tc>
      </w:tr>
      <w:tr w:rsidR="00466753" w:rsidRPr="006F145B" w:rsidTr="00466753">
        <w:trPr>
          <w:cantSplit/>
        </w:trPr>
        <w:tc>
          <w:tcPr>
            <w:tcW w:w="1348" w:type="dxa"/>
            <w:vMerge/>
          </w:tcPr>
          <w:p w:rsidR="00466753" w:rsidRPr="006F145B" w:rsidRDefault="00466753" w:rsidP="00847F94">
            <w:pPr>
              <w:rPr>
                <w:rFonts w:ascii="Times New Roman" w:hAnsi="Times New Roman" w:cs="Times New Roman"/>
                <w:sz w:val="24"/>
                <w:szCs w:val="24"/>
              </w:rPr>
            </w:pPr>
          </w:p>
        </w:tc>
        <w:tc>
          <w:tcPr>
            <w:tcW w:w="1507" w:type="dxa"/>
          </w:tcPr>
          <w:p w:rsidR="00466753" w:rsidRPr="006F145B" w:rsidRDefault="00466753" w:rsidP="00847F94">
            <w:pPr>
              <w:rPr>
                <w:rFonts w:ascii="Times New Roman" w:hAnsi="Times New Roman" w:cs="Times New Roman"/>
                <w:sz w:val="24"/>
                <w:szCs w:val="24"/>
              </w:rPr>
            </w:pPr>
            <w:r w:rsidRPr="006F145B">
              <w:rPr>
                <w:rFonts w:ascii="Times New Roman" w:hAnsi="Times New Roman" w:cs="Times New Roman"/>
                <w:sz w:val="24"/>
                <w:szCs w:val="24"/>
              </w:rPr>
              <w:t>Undisclosed Commenter</w:t>
            </w:r>
          </w:p>
        </w:tc>
        <w:tc>
          <w:tcPr>
            <w:tcW w:w="11761" w:type="dxa"/>
          </w:tcPr>
          <w:p w:rsidR="00466753" w:rsidRPr="006F145B" w:rsidRDefault="00466753" w:rsidP="00466753">
            <w:pPr>
              <w:rPr>
                <w:rFonts w:ascii="Times New Roman" w:hAnsi="Times New Roman" w:cs="Times New Roman"/>
                <w:sz w:val="24"/>
                <w:szCs w:val="24"/>
              </w:rPr>
            </w:pPr>
            <w:r w:rsidRPr="006F145B">
              <w:rPr>
                <w:rFonts w:ascii="Times New Roman" w:hAnsi="Times New Roman" w:cs="Times New Roman"/>
                <w:sz w:val="24"/>
                <w:szCs w:val="24"/>
              </w:rPr>
              <w:t>The revised rule is a step backwards.  The lockable AC Disconnect Switch is now required where in the past it could be waived.  The 15% limits, annual testing, and other restrictions are arbitrary and capricious.  The rules should just state that if an installation passes electrical code inspection it automatically meets all utility standards, especially for Tier 1 installations.</w:t>
            </w:r>
          </w:p>
        </w:tc>
      </w:tr>
      <w:tr w:rsidR="00FC1953" w:rsidRPr="006F145B" w:rsidTr="00466753">
        <w:trPr>
          <w:cantSplit/>
        </w:trPr>
        <w:tc>
          <w:tcPr>
            <w:tcW w:w="1348" w:type="dxa"/>
            <w:vMerge w:val="restart"/>
          </w:tcPr>
          <w:p w:rsidR="00FC1953" w:rsidRPr="006F145B" w:rsidRDefault="00FC1953" w:rsidP="00847F94">
            <w:pPr>
              <w:rPr>
                <w:rFonts w:ascii="Times New Roman" w:hAnsi="Times New Roman" w:cs="Times New Roman"/>
                <w:sz w:val="24"/>
                <w:szCs w:val="24"/>
              </w:rPr>
            </w:pPr>
            <w:r w:rsidRPr="006F145B">
              <w:rPr>
                <w:rFonts w:ascii="Times New Roman" w:hAnsi="Times New Roman" w:cs="Times New Roman"/>
                <w:sz w:val="24"/>
                <w:szCs w:val="24"/>
              </w:rPr>
              <w:t>FFF</w:t>
            </w:r>
          </w:p>
          <w:p w:rsidR="00FC1953" w:rsidRPr="006F145B" w:rsidRDefault="00FC1953" w:rsidP="00847F94">
            <w:pPr>
              <w:rPr>
                <w:rFonts w:ascii="Times New Roman" w:hAnsi="Times New Roman" w:cs="Times New Roman"/>
                <w:sz w:val="24"/>
                <w:szCs w:val="24"/>
              </w:rPr>
            </w:pPr>
          </w:p>
          <w:p w:rsidR="00FC1953" w:rsidRPr="006F145B" w:rsidRDefault="00FC1953" w:rsidP="00847F94">
            <w:pPr>
              <w:rPr>
                <w:rFonts w:ascii="Times New Roman" w:hAnsi="Times New Roman" w:cs="Times New Roman"/>
                <w:sz w:val="24"/>
                <w:szCs w:val="24"/>
              </w:rPr>
            </w:pPr>
            <w:r w:rsidRPr="006F145B">
              <w:rPr>
                <w:rFonts w:ascii="Times New Roman" w:hAnsi="Times New Roman" w:cs="Times New Roman"/>
                <w:sz w:val="24"/>
                <w:szCs w:val="24"/>
              </w:rPr>
              <w:t>Insurance</w:t>
            </w:r>
          </w:p>
        </w:tc>
        <w:tc>
          <w:tcPr>
            <w:tcW w:w="1507" w:type="dxa"/>
          </w:tcPr>
          <w:p w:rsidR="00FC1953" w:rsidRPr="006F145B" w:rsidRDefault="00FC1953" w:rsidP="00847F94">
            <w:pPr>
              <w:rPr>
                <w:rFonts w:ascii="Times New Roman" w:hAnsi="Times New Roman" w:cs="Times New Roman"/>
                <w:sz w:val="24"/>
                <w:szCs w:val="24"/>
              </w:rPr>
            </w:pPr>
            <w:r w:rsidRPr="006F145B">
              <w:rPr>
                <w:rFonts w:ascii="Times New Roman" w:hAnsi="Times New Roman" w:cs="Times New Roman"/>
                <w:sz w:val="24"/>
                <w:szCs w:val="24"/>
              </w:rPr>
              <w:t>Avista</w:t>
            </w:r>
          </w:p>
        </w:tc>
        <w:tc>
          <w:tcPr>
            <w:tcW w:w="11761" w:type="dxa"/>
          </w:tcPr>
          <w:p w:rsidR="00FC1953" w:rsidRPr="006F145B" w:rsidRDefault="00FC1953" w:rsidP="00A55D57">
            <w:pPr>
              <w:rPr>
                <w:rFonts w:ascii="Times New Roman" w:hAnsi="Times New Roman" w:cs="Times New Roman"/>
                <w:sz w:val="24"/>
                <w:szCs w:val="24"/>
              </w:rPr>
            </w:pPr>
            <w:r w:rsidRPr="006F145B">
              <w:rPr>
                <w:rFonts w:ascii="Times New Roman" w:hAnsi="Times New Roman" w:cs="Times New Roman"/>
                <w:sz w:val="24"/>
                <w:szCs w:val="24"/>
              </w:rPr>
              <w:t>Insurance requirements should be addressed outside of this rulemaking.</w:t>
            </w:r>
          </w:p>
        </w:tc>
      </w:tr>
      <w:tr w:rsidR="00F41F04" w:rsidRPr="006F145B" w:rsidTr="00466753">
        <w:trPr>
          <w:cantSplit/>
        </w:trPr>
        <w:tc>
          <w:tcPr>
            <w:tcW w:w="1348" w:type="dxa"/>
            <w:vMerge/>
          </w:tcPr>
          <w:p w:rsidR="00F41F04" w:rsidRPr="006F145B" w:rsidRDefault="00F41F04" w:rsidP="00847F94">
            <w:pPr>
              <w:rPr>
                <w:rFonts w:ascii="Times New Roman" w:hAnsi="Times New Roman" w:cs="Times New Roman"/>
                <w:sz w:val="24"/>
                <w:szCs w:val="24"/>
              </w:rPr>
            </w:pPr>
          </w:p>
        </w:tc>
        <w:tc>
          <w:tcPr>
            <w:tcW w:w="1507" w:type="dxa"/>
          </w:tcPr>
          <w:p w:rsidR="00F41F04" w:rsidRPr="006F145B" w:rsidRDefault="00F41F04" w:rsidP="00847F94">
            <w:pPr>
              <w:rPr>
                <w:rFonts w:ascii="Times New Roman" w:hAnsi="Times New Roman" w:cs="Times New Roman"/>
                <w:sz w:val="24"/>
                <w:szCs w:val="24"/>
              </w:rPr>
            </w:pPr>
            <w:r w:rsidRPr="006F145B">
              <w:rPr>
                <w:rFonts w:ascii="Times New Roman" w:hAnsi="Times New Roman" w:cs="Times New Roman"/>
                <w:sz w:val="24"/>
                <w:szCs w:val="24"/>
              </w:rPr>
              <w:t>Dept. of Commerce</w:t>
            </w:r>
          </w:p>
        </w:tc>
        <w:tc>
          <w:tcPr>
            <w:tcW w:w="11761" w:type="dxa"/>
          </w:tcPr>
          <w:p w:rsidR="00F41F04" w:rsidRPr="006F145B" w:rsidRDefault="00F41F04" w:rsidP="00A55D57">
            <w:pPr>
              <w:rPr>
                <w:rFonts w:ascii="Times New Roman" w:hAnsi="Times New Roman" w:cs="Times New Roman"/>
                <w:sz w:val="24"/>
                <w:szCs w:val="24"/>
              </w:rPr>
            </w:pPr>
            <w:r w:rsidRPr="006F145B">
              <w:rPr>
                <w:rFonts w:ascii="Times New Roman" w:hAnsi="Times New Roman" w:cs="Times New Roman"/>
                <w:sz w:val="24"/>
                <w:szCs w:val="24"/>
              </w:rPr>
              <w:t xml:space="preserve">Dept. of Commerce and the Commission should host a meeting with utility risk managers, current utility insurers, distributed generation companies, and </w:t>
            </w:r>
            <w:r w:rsidR="006F145B" w:rsidRPr="006F145B">
              <w:rPr>
                <w:rFonts w:ascii="Times New Roman" w:hAnsi="Times New Roman" w:cs="Times New Roman"/>
                <w:sz w:val="24"/>
                <w:szCs w:val="24"/>
              </w:rPr>
              <w:t xml:space="preserve">the </w:t>
            </w:r>
            <w:r w:rsidRPr="006F145B">
              <w:rPr>
                <w:rFonts w:ascii="Times New Roman" w:hAnsi="Times New Roman" w:cs="Times New Roman"/>
                <w:sz w:val="24"/>
                <w:szCs w:val="24"/>
              </w:rPr>
              <w:t>Surplus Line Association of Washington to discuss how to improve access to affordable insurance for distributed generation projects.</w:t>
            </w:r>
          </w:p>
        </w:tc>
      </w:tr>
      <w:tr w:rsidR="00240B9B" w:rsidRPr="006F145B" w:rsidTr="00240B9B">
        <w:trPr>
          <w:cantSplit/>
          <w:trHeight w:val="755"/>
        </w:trPr>
        <w:tc>
          <w:tcPr>
            <w:tcW w:w="1348" w:type="dxa"/>
            <w:vMerge/>
          </w:tcPr>
          <w:p w:rsidR="00240B9B" w:rsidRPr="006F145B" w:rsidRDefault="00240B9B" w:rsidP="00847F94">
            <w:pPr>
              <w:rPr>
                <w:rFonts w:ascii="Times New Roman" w:hAnsi="Times New Roman" w:cs="Times New Roman"/>
                <w:sz w:val="24"/>
                <w:szCs w:val="24"/>
              </w:rPr>
            </w:pPr>
          </w:p>
        </w:tc>
        <w:tc>
          <w:tcPr>
            <w:tcW w:w="1507" w:type="dxa"/>
          </w:tcPr>
          <w:p w:rsidR="00240B9B" w:rsidRPr="006F145B" w:rsidRDefault="00240B9B" w:rsidP="00847F94">
            <w:pPr>
              <w:rPr>
                <w:rFonts w:ascii="Times New Roman" w:hAnsi="Times New Roman" w:cs="Times New Roman"/>
                <w:sz w:val="24"/>
                <w:szCs w:val="24"/>
              </w:rPr>
            </w:pPr>
            <w:r w:rsidRPr="006F145B">
              <w:rPr>
                <w:rFonts w:ascii="Times New Roman" w:hAnsi="Times New Roman" w:cs="Times New Roman"/>
                <w:sz w:val="24"/>
                <w:szCs w:val="24"/>
              </w:rPr>
              <w:t>IREC</w:t>
            </w:r>
          </w:p>
        </w:tc>
        <w:tc>
          <w:tcPr>
            <w:tcW w:w="11761" w:type="dxa"/>
          </w:tcPr>
          <w:p w:rsidR="00240B9B" w:rsidRPr="006F145B" w:rsidRDefault="00240B9B" w:rsidP="007846CF">
            <w:pPr>
              <w:rPr>
                <w:rFonts w:ascii="Times New Roman" w:hAnsi="Times New Roman" w:cs="Times New Roman"/>
                <w:sz w:val="24"/>
                <w:szCs w:val="24"/>
              </w:rPr>
            </w:pPr>
            <w:r w:rsidRPr="006F145B">
              <w:rPr>
                <w:rFonts w:ascii="Times New Roman" w:hAnsi="Times New Roman" w:cs="Times New Roman"/>
                <w:sz w:val="24"/>
                <w:szCs w:val="24"/>
              </w:rPr>
              <w:t xml:space="preserve">IREC proposes that the Commission modify </w:t>
            </w:r>
            <w:r w:rsidR="006F145B" w:rsidRPr="006F145B">
              <w:rPr>
                <w:rFonts w:ascii="Times New Roman" w:hAnsi="Times New Roman" w:cs="Times New Roman"/>
                <w:sz w:val="24"/>
                <w:szCs w:val="24"/>
              </w:rPr>
              <w:t>FFF</w:t>
            </w:r>
            <w:r w:rsidRPr="006F145B">
              <w:rPr>
                <w:rFonts w:ascii="Times New Roman" w:hAnsi="Times New Roman" w:cs="Times New Roman"/>
                <w:sz w:val="24"/>
                <w:szCs w:val="24"/>
              </w:rPr>
              <w:t xml:space="preserve"> (proposed language underlined): “(12) No additional insurance is necessary for a generating facility under 100 kW </w:t>
            </w:r>
            <w:r w:rsidRPr="006F145B">
              <w:rPr>
                <w:rFonts w:ascii="Times New Roman" w:hAnsi="Times New Roman" w:cs="Times New Roman"/>
                <w:sz w:val="24"/>
                <w:szCs w:val="24"/>
                <w:u w:val="single"/>
              </w:rPr>
              <w:t>or for any facility that is a net metering facility and exempt from an insurance</w:t>
            </w:r>
            <w:r w:rsidRPr="006F145B">
              <w:rPr>
                <w:rFonts w:ascii="Times New Roman" w:hAnsi="Times New Roman" w:cs="Times New Roman"/>
                <w:sz w:val="24"/>
                <w:szCs w:val="24"/>
              </w:rPr>
              <w:t xml:space="preserve"> </w:t>
            </w:r>
            <w:r w:rsidRPr="006F145B">
              <w:rPr>
                <w:rFonts w:ascii="Times New Roman" w:hAnsi="Times New Roman" w:cs="Times New Roman"/>
                <w:sz w:val="24"/>
                <w:szCs w:val="24"/>
                <w:u w:val="single"/>
              </w:rPr>
              <w:t>requirement pursuant to Chapter 80.60 RCW.</w:t>
            </w:r>
          </w:p>
        </w:tc>
      </w:tr>
      <w:tr w:rsidR="00FC1953" w:rsidRPr="006F145B" w:rsidTr="00466753">
        <w:trPr>
          <w:cantSplit/>
        </w:trPr>
        <w:tc>
          <w:tcPr>
            <w:tcW w:w="1348" w:type="dxa"/>
            <w:vMerge/>
          </w:tcPr>
          <w:p w:rsidR="00FC1953" w:rsidRPr="006F145B" w:rsidRDefault="00FC1953" w:rsidP="00847F94">
            <w:pPr>
              <w:rPr>
                <w:rFonts w:ascii="Times New Roman" w:hAnsi="Times New Roman" w:cs="Times New Roman"/>
                <w:sz w:val="24"/>
                <w:szCs w:val="24"/>
              </w:rPr>
            </w:pPr>
          </w:p>
        </w:tc>
        <w:tc>
          <w:tcPr>
            <w:tcW w:w="1507" w:type="dxa"/>
          </w:tcPr>
          <w:p w:rsidR="00FC1953" w:rsidRPr="006F145B" w:rsidRDefault="00FC1953" w:rsidP="00847F94">
            <w:pPr>
              <w:rPr>
                <w:rFonts w:ascii="Times New Roman" w:hAnsi="Times New Roman" w:cs="Times New Roman"/>
                <w:sz w:val="24"/>
                <w:szCs w:val="24"/>
              </w:rPr>
            </w:pPr>
            <w:r w:rsidRPr="006F145B">
              <w:rPr>
                <w:rFonts w:ascii="Times New Roman" w:hAnsi="Times New Roman" w:cs="Times New Roman"/>
                <w:sz w:val="24"/>
                <w:szCs w:val="24"/>
              </w:rPr>
              <w:t>Puget Sound Energy</w:t>
            </w:r>
          </w:p>
        </w:tc>
        <w:tc>
          <w:tcPr>
            <w:tcW w:w="11761" w:type="dxa"/>
          </w:tcPr>
          <w:p w:rsidR="00FC1953" w:rsidRPr="006F145B" w:rsidRDefault="00FC1953" w:rsidP="00A2428B">
            <w:pPr>
              <w:rPr>
                <w:rFonts w:ascii="Times New Roman" w:hAnsi="Times New Roman" w:cs="Times New Roman"/>
                <w:sz w:val="24"/>
                <w:szCs w:val="24"/>
              </w:rPr>
            </w:pPr>
            <w:r w:rsidRPr="006F145B">
              <w:rPr>
                <w:rFonts w:ascii="Times New Roman" w:hAnsi="Times New Roman" w:cs="Times New Roman"/>
                <w:sz w:val="24"/>
                <w:szCs w:val="24"/>
              </w:rPr>
              <w:t>Reinstate insurance requirement for generating facilities at or below 100 kW. The elimination of insurance could result in unknown costs, possibility exceeding millions of dollars, to ratepayers due to accidents involving death or disability from such generating facilities.</w:t>
            </w:r>
          </w:p>
        </w:tc>
      </w:tr>
      <w:tr w:rsidR="00AD6F0B" w:rsidRPr="006F145B" w:rsidTr="00AD6F0B">
        <w:trPr>
          <w:cantSplit/>
          <w:trHeight w:val="1070"/>
        </w:trPr>
        <w:tc>
          <w:tcPr>
            <w:tcW w:w="1348" w:type="dxa"/>
          </w:tcPr>
          <w:p w:rsidR="00AD6F0B" w:rsidRPr="006F145B" w:rsidRDefault="00AD6F0B" w:rsidP="003813C9">
            <w:pPr>
              <w:rPr>
                <w:rFonts w:ascii="Times New Roman" w:hAnsi="Times New Roman" w:cs="Times New Roman"/>
                <w:sz w:val="24"/>
                <w:szCs w:val="24"/>
              </w:rPr>
            </w:pPr>
            <w:r w:rsidRPr="006F145B">
              <w:rPr>
                <w:rFonts w:ascii="Times New Roman" w:hAnsi="Times New Roman" w:cs="Times New Roman"/>
                <w:sz w:val="24"/>
                <w:szCs w:val="24"/>
              </w:rPr>
              <w:t>Voltage Regulation</w:t>
            </w:r>
          </w:p>
        </w:tc>
        <w:tc>
          <w:tcPr>
            <w:tcW w:w="1507" w:type="dxa"/>
          </w:tcPr>
          <w:p w:rsidR="00AD6F0B" w:rsidRPr="006F145B" w:rsidRDefault="00AD6F0B" w:rsidP="00847F94">
            <w:pPr>
              <w:rPr>
                <w:rFonts w:ascii="Times New Roman" w:hAnsi="Times New Roman" w:cs="Times New Roman"/>
                <w:sz w:val="24"/>
                <w:szCs w:val="24"/>
              </w:rPr>
            </w:pPr>
            <w:r w:rsidRPr="006F145B">
              <w:rPr>
                <w:rFonts w:ascii="Times New Roman" w:hAnsi="Times New Roman" w:cs="Times New Roman"/>
                <w:sz w:val="24"/>
                <w:szCs w:val="24"/>
              </w:rPr>
              <w:t>IREC</w:t>
            </w:r>
          </w:p>
        </w:tc>
        <w:tc>
          <w:tcPr>
            <w:tcW w:w="11761" w:type="dxa"/>
          </w:tcPr>
          <w:p w:rsidR="00AD6F0B" w:rsidRPr="006F145B" w:rsidRDefault="00AD6F0B" w:rsidP="00AD6F0B">
            <w:pPr>
              <w:rPr>
                <w:rFonts w:ascii="Times New Roman" w:hAnsi="Times New Roman" w:cs="Times New Roman"/>
                <w:sz w:val="24"/>
                <w:szCs w:val="24"/>
              </w:rPr>
            </w:pPr>
            <w:r w:rsidRPr="006F145B">
              <w:rPr>
                <w:rFonts w:ascii="Times New Roman" w:hAnsi="Times New Roman" w:cs="Times New Roman"/>
                <w:sz w:val="24"/>
                <w:szCs w:val="24"/>
              </w:rPr>
              <w:t>IREC recognizes a need for voltage control to allow interconnection facilities the ability to export power to the electric system in cases of where the electric system is run at a high voltage.  IREC recommends that electric companies maintain voltage levels at or below 122 volts, a level similar to that set by conservation voltage programs, which would assure generating facilities the ability to export power onto the electric system almost all the time.</w:t>
            </w:r>
          </w:p>
        </w:tc>
      </w:tr>
      <w:tr w:rsidR="00C65CF0" w:rsidRPr="006F145B" w:rsidTr="00F46AD0">
        <w:trPr>
          <w:cantSplit/>
        </w:trPr>
        <w:tc>
          <w:tcPr>
            <w:tcW w:w="14616" w:type="dxa"/>
            <w:gridSpan w:val="3"/>
          </w:tcPr>
          <w:p w:rsidR="00C65CF0" w:rsidRPr="006F145B" w:rsidRDefault="00C65CF0" w:rsidP="00C65CF0">
            <w:pPr>
              <w:jc w:val="center"/>
              <w:rPr>
                <w:rFonts w:ascii="Times New Roman" w:hAnsi="Times New Roman" w:cs="Times New Roman"/>
                <w:b/>
                <w:sz w:val="24"/>
                <w:szCs w:val="24"/>
              </w:rPr>
            </w:pPr>
            <w:r w:rsidRPr="006F145B">
              <w:rPr>
                <w:rFonts w:ascii="Times New Roman" w:hAnsi="Times New Roman" w:cs="Times New Roman"/>
                <w:b/>
                <w:sz w:val="24"/>
                <w:szCs w:val="24"/>
              </w:rPr>
              <w:t>Other Issues</w:t>
            </w:r>
          </w:p>
        </w:tc>
      </w:tr>
      <w:tr w:rsidR="00466753" w:rsidRPr="006F145B" w:rsidTr="00466753">
        <w:trPr>
          <w:cantSplit/>
        </w:trPr>
        <w:tc>
          <w:tcPr>
            <w:tcW w:w="1348" w:type="dxa"/>
          </w:tcPr>
          <w:p w:rsidR="00466753" w:rsidRPr="006F145B" w:rsidRDefault="00466753" w:rsidP="00847F94">
            <w:pPr>
              <w:rPr>
                <w:rFonts w:ascii="Times New Roman" w:hAnsi="Times New Roman" w:cs="Times New Roman"/>
                <w:sz w:val="24"/>
                <w:szCs w:val="24"/>
              </w:rPr>
            </w:pPr>
            <w:r w:rsidRPr="006F145B">
              <w:rPr>
                <w:rFonts w:ascii="Times New Roman" w:hAnsi="Times New Roman" w:cs="Times New Roman"/>
                <w:sz w:val="24"/>
                <w:szCs w:val="24"/>
              </w:rPr>
              <w:t>General</w:t>
            </w:r>
          </w:p>
        </w:tc>
        <w:tc>
          <w:tcPr>
            <w:tcW w:w="1507" w:type="dxa"/>
          </w:tcPr>
          <w:p w:rsidR="00466753" w:rsidRPr="006F145B" w:rsidRDefault="00466753" w:rsidP="00847F94">
            <w:pPr>
              <w:rPr>
                <w:rFonts w:ascii="Times New Roman" w:hAnsi="Times New Roman" w:cs="Times New Roman"/>
                <w:sz w:val="24"/>
                <w:szCs w:val="24"/>
              </w:rPr>
            </w:pPr>
            <w:r w:rsidRPr="006F145B">
              <w:rPr>
                <w:rFonts w:ascii="Times New Roman" w:hAnsi="Times New Roman" w:cs="Times New Roman"/>
                <w:sz w:val="24"/>
                <w:szCs w:val="24"/>
              </w:rPr>
              <w:t xml:space="preserve">Robert </w:t>
            </w:r>
            <w:proofErr w:type="spellStart"/>
            <w:r w:rsidRPr="006F145B">
              <w:rPr>
                <w:rFonts w:ascii="Times New Roman" w:hAnsi="Times New Roman" w:cs="Times New Roman"/>
                <w:sz w:val="24"/>
                <w:szCs w:val="24"/>
              </w:rPr>
              <w:t>Monsen</w:t>
            </w:r>
            <w:proofErr w:type="spellEnd"/>
          </w:p>
        </w:tc>
        <w:tc>
          <w:tcPr>
            <w:tcW w:w="11761" w:type="dxa"/>
          </w:tcPr>
          <w:p w:rsidR="00466753" w:rsidRPr="006F145B" w:rsidRDefault="00466753" w:rsidP="00A55D57">
            <w:pPr>
              <w:rPr>
                <w:rFonts w:ascii="Times New Roman" w:hAnsi="Times New Roman" w:cs="Times New Roman"/>
                <w:sz w:val="24"/>
                <w:szCs w:val="24"/>
              </w:rPr>
            </w:pPr>
            <w:r w:rsidRPr="006F145B">
              <w:rPr>
                <w:rFonts w:ascii="Times New Roman" w:hAnsi="Times New Roman" w:cs="Times New Roman"/>
                <w:sz w:val="24"/>
                <w:szCs w:val="24"/>
              </w:rPr>
              <w:t>Comment favoring expediting and simplifying the interconnection process for solar power to connect to the Grid.</w:t>
            </w:r>
          </w:p>
        </w:tc>
      </w:tr>
      <w:tr w:rsidR="00061613" w:rsidRPr="006F145B" w:rsidTr="00466753">
        <w:trPr>
          <w:cantSplit/>
        </w:trPr>
        <w:tc>
          <w:tcPr>
            <w:tcW w:w="1348" w:type="dxa"/>
          </w:tcPr>
          <w:p w:rsidR="00061613" w:rsidRPr="006F145B" w:rsidRDefault="00061613" w:rsidP="00847F94">
            <w:pPr>
              <w:rPr>
                <w:rFonts w:ascii="Times New Roman" w:hAnsi="Times New Roman" w:cs="Times New Roman"/>
                <w:sz w:val="24"/>
                <w:szCs w:val="24"/>
              </w:rPr>
            </w:pPr>
            <w:r w:rsidRPr="006F145B">
              <w:rPr>
                <w:rFonts w:ascii="Times New Roman" w:hAnsi="Times New Roman" w:cs="Times New Roman"/>
                <w:sz w:val="24"/>
                <w:szCs w:val="24"/>
              </w:rPr>
              <w:t>General</w:t>
            </w:r>
          </w:p>
        </w:tc>
        <w:tc>
          <w:tcPr>
            <w:tcW w:w="1507" w:type="dxa"/>
          </w:tcPr>
          <w:p w:rsidR="00061613" w:rsidRPr="006F145B" w:rsidRDefault="00061613" w:rsidP="00847F94">
            <w:pPr>
              <w:rPr>
                <w:rFonts w:ascii="Times New Roman" w:hAnsi="Times New Roman" w:cs="Times New Roman"/>
                <w:sz w:val="24"/>
                <w:szCs w:val="24"/>
              </w:rPr>
            </w:pPr>
            <w:r w:rsidRPr="006F145B">
              <w:rPr>
                <w:rFonts w:ascii="Times New Roman" w:hAnsi="Times New Roman" w:cs="Times New Roman"/>
                <w:sz w:val="24"/>
                <w:szCs w:val="24"/>
              </w:rPr>
              <w:t>Dept. of Commerce</w:t>
            </w:r>
          </w:p>
        </w:tc>
        <w:tc>
          <w:tcPr>
            <w:tcW w:w="11761" w:type="dxa"/>
          </w:tcPr>
          <w:p w:rsidR="00061613" w:rsidRPr="006F145B" w:rsidRDefault="00061613" w:rsidP="00061613">
            <w:pPr>
              <w:rPr>
                <w:rFonts w:ascii="Times New Roman" w:hAnsi="Times New Roman" w:cs="Times New Roman"/>
                <w:sz w:val="24"/>
                <w:szCs w:val="24"/>
              </w:rPr>
            </w:pPr>
            <w:r w:rsidRPr="006F145B">
              <w:rPr>
                <w:rFonts w:ascii="Times New Roman" w:hAnsi="Times New Roman" w:cs="Times New Roman"/>
                <w:sz w:val="24"/>
                <w:szCs w:val="24"/>
              </w:rPr>
              <w:t>Urges the Commission to adopt a three-year update cycle for interconnection rules. Proposes the Commission work with the Northwest Power Planning Council to develop a consistent tracking system for generation resources.</w:t>
            </w:r>
          </w:p>
        </w:tc>
      </w:tr>
      <w:tr w:rsidR="005B4C19" w:rsidRPr="006F145B" w:rsidTr="00466753">
        <w:trPr>
          <w:cantSplit/>
        </w:trPr>
        <w:tc>
          <w:tcPr>
            <w:tcW w:w="1348" w:type="dxa"/>
          </w:tcPr>
          <w:p w:rsidR="005B4C19" w:rsidRPr="006F145B" w:rsidRDefault="005B4C19" w:rsidP="00847F94">
            <w:pPr>
              <w:rPr>
                <w:rFonts w:ascii="Times New Roman" w:hAnsi="Times New Roman" w:cs="Times New Roman"/>
                <w:sz w:val="24"/>
                <w:szCs w:val="24"/>
              </w:rPr>
            </w:pPr>
            <w:r w:rsidRPr="006F145B">
              <w:rPr>
                <w:rFonts w:ascii="Times New Roman" w:hAnsi="Times New Roman" w:cs="Times New Roman"/>
                <w:sz w:val="24"/>
                <w:szCs w:val="24"/>
              </w:rPr>
              <w:t>General</w:t>
            </w:r>
          </w:p>
        </w:tc>
        <w:tc>
          <w:tcPr>
            <w:tcW w:w="1507" w:type="dxa"/>
          </w:tcPr>
          <w:p w:rsidR="005B4C19" w:rsidRPr="006F145B" w:rsidRDefault="005B4C19" w:rsidP="00847F94">
            <w:pPr>
              <w:rPr>
                <w:rFonts w:ascii="Times New Roman" w:hAnsi="Times New Roman" w:cs="Times New Roman"/>
                <w:sz w:val="24"/>
                <w:szCs w:val="24"/>
              </w:rPr>
            </w:pPr>
            <w:r w:rsidRPr="006F145B">
              <w:rPr>
                <w:rFonts w:ascii="Times New Roman" w:hAnsi="Times New Roman" w:cs="Times New Roman"/>
                <w:sz w:val="24"/>
                <w:szCs w:val="24"/>
              </w:rPr>
              <w:t>Evergreen State Solar Partnership</w:t>
            </w:r>
          </w:p>
        </w:tc>
        <w:tc>
          <w:tcPr>
            <w:tcW w:w="11761" w:type="dxa"/>
          </w:tcPr>
          <w:p w:rsidR="005B4C19" w:rsidRPr="006F145B" w:rsidRDefault="00DE75B8" w:rsidP="00DE75B8">
            <w:pPr>
              <w:rPr>
                <w:rFonts w:ascii="Times New Roman" w:hAnsi="Times New Roman" w:cs="Times New Roman"/>
                <w:sz w:val="24"/>
                <w:szCs w:val="24"/>
              </w:rPr>
            </w:pPr>
            <w:r w:rsidRPr="006F145B">
              <w:rPr>
                <w:rFonts w:ascii="Times New Roman" w:hAnsi="Times New Roman" w:cs="Times New Roman"/>
                <w:sz w:val="24"/>
                <w:szCs w:val="24"/>
              </w:rPr>
              <w:t>The p</w:t>
            </w:r>
            <w:r w:rsidR="005B4C19" w:rsidRPr="006F145B">
              <w:rPr>
                <w:rFonts w:ascii="Times New Roman" w:hAnsi="Times New Roman" w:cs="Times New Roman"/>
                <w:sz w:val="24"/>
                <w:szCs w:val="24"/>
              </w:rPr>
              <w:t>artnership supports standard interconnection application forms</w:t>
            </w:r>
            <w:r w:rsidR="00797B13" w:rsidRPr="006F145B">
              <w:rPr>
                <w:rFonts w:ascii="Times New Roman" w:hAnsi="Times New Roman" w:cs="Times New Roman"/>
                <w:sz w:val="24"/>
                <w:szCs w:val="24"/>
              </w:rPr>
              <w:t>, the ability to submit applications online, and a single point of contact on the web for all questions relating to interconnection.</w:t>
            </w:r>
          </w:p>
        </w:tc>
      </w:tr>
    </w:tbl>
    <w:p w:rsidR="006F145B" w:rsidRPr="006F145B" w:rsidRDefault="006F145B">
      <w:r w:rsidRPr="006F145B">
        <w:br w:type="page"/>
      </w:r>
    </w:p>
    <w:tbl>
      <w:tblPr>
        <w:tblStyle w:val="TableGrid"/>
        <w:tblW w:w="5000" w:type="pct"/>
        <w:tblLayout w:type="fixed"/>
        <w:tblLook w:val="04A0" w:firstRow="1" w:lastRow="0" w:firstColumn="1" w:lastColumn="0" w:noHBand="0" w:noVBand="1"/>
      </w:tblPr>
      <w:tblGrid>
        <w:gridCol w:w="1348"/>
        <w:gridCol w:w="1507"/>
        <w:gridCol w:w="11761"/>
      </w:tblGrid>
      <w:tr w:rsidR="00756C12" w:rsidRPr="006F145B" w:rsidTr="00466753">
        <w:trPr>
          <w:cantSplit/>
        </w:trPr>
        <w:tc>
          <w:tcPr>
            <w:tcW w:w="1348" w:type="dxa"/>
            <w:vMerge w:val="restart"/>
          </w:tcPr>
          <w:p w:rsidR="00756C12" w:rsidRPr="006F145B" w:rsidRDefault="00756C12" w:rsidP="00847F94">
            <w:pPr>
              <w:rPr>
                <w:rFonts w:ascii="Times New Roman" w:hAnsi="Times New Roman" w:cs="Times New Roman"/>
                <w:sz w:val="24"/>
                <w:szCs w:val="24"/>
              </w:rPr>
            </w:pPr>
            <w:r w:rsidRPr="006F145B">
              <w:rPr>
                <w:rFonts w:ascii="Times New Roman" w:hAnsi="Times New Roman" w:cs="Times New Roman"/>
                <w:sz w:val="24"/>
                <w:szCs w:val="24"/>
              </w:rPr>
              <w:lastRenderedPageBreak/>
              <w:t>010</w:t>
            </w:r>
          </w:p>
          <w:p w:rsidR="00756C12" w:rsidRPr="006F145B" w:rsidRDefault="00756C12" w:rsidP="00847F94">
            <w:pPr>
              <w:rPr>
                <w:rFonts w:ascii="Times New Roman" w:hAnsi="Times New Roman" w:cs="Times New Roman"/>
                <w:sz w:val="24"/>
                <w:szCs w:val="24"/>
              </w:rPr>
            </w:pPr>
          </w:p>
          <w:p w:rsidR="00756C12" w:rsidRPr="006F145B" w:rsidRDefault="00756C12" w:rsidP="00847F94">
            <w:pPr>
              <w:rPr>
                <w:rFonts w:ascii="Times New Roman" w:hAnsi="Times New Roman" w:cs="Times New Roman"/>
                <w:sz w:val="24"/>
                <w:szCs w:val="24"/>
              </w:rPr>
            </w:pPr>
            <w:r w:rsidRPr="006F145B">
              <w:rPr>
                <w:rFonts w:ascii="Times New Roman" w:hAnsi="Times New Roman" w:cs="Times New Roman"/>
                <w:sz w:val="24"/>
                <w:szCs w:val="24"/>
              </w:rPr>
              <w:t>Nameplate Capacity</w:t>
            </w:r>
          </w:p>
        </w:tc>
        <w:tc>
          <w:tcPr>
            <w:tcW w:w="1507" w:type="dxa"/>
          </w:tcPr>
          <w:p w:rsidR="00756C12" w:rsidRPr="006F145B" w:rsidRDefault="00756C12" w:rsidP="005B5FAB">
            <w:pPr>
              <w:rPr>
                <w:rFonts w:ascii="Times New Roman" w:hAnsi="Times New Roman" w:cs="Times New Roman"/>
                <w:sz w:val="24"/>
                <w:szCs w:val="24"/>
              </w:rPr>
            </w:pPr>
            <w:r w:rsidRPr="006F145B">
              <w:rPr>
                <w:rFonts w:ascii="Times New Roman" w:hAnsi="Times New Roman" w:cs="Times New Roman"/>
                <w:sz w:val="24"/>
                <w:szCs w:val="24"/>
              </w:rPr>
              <w:t>PacifiCorp</w:t>
            </w:r>
          </w:p>
        </w:tc>
        <w:tc>
          <w:tcPr>
            <w:tcW w:w="11761" w:type="dxa"/>
          </w:tcPr>
          <w:p w:rsidR="00756C12" w:rsidRPr="006F145B" w:rsidRDefault="00756C12" w:rsidP="00756C12">
            <w:pPr>
              <w:rPr>
                <w:rFonts w:ascii="Times New Roman" w:hAnsi="Times New Roman" w:cs="Times New Roman"/>
                <w:sz w:val="24"/>
                <w:szCs w:val="24"/>
              </w:rPr>
            </w:pPr>
            <w:r w:rsidRPr="006F145B">
              <w:rPr>
                <w:rFonts w:ascii="Times New Roman" w:hAnsi="Times New Roman" w:cs="Times New Roman"/>
                <w:sz w:val="24"/>
                <w:szCs w:val="24"/>
              </w:rPr>
              <w:t>For non-inverter-based systems, the nameplate AC output rating should be used.  For inverter-bases systems, the DC nameplate value should be used.</w:t>
            </w:r>
          </w:p>
        </w:tc>
      </w:tr>
      <w:tr w:rsidR="007846CF" w:rsidRPr="006F145B" w:rsidTr="00466753">
        <w:trPr>
          <w:cantSplit/>
        </w:trPr>
        <w:tc>
          <w:tcPr>
            <w:tcW w:w="1348" w:type="dxa"/>
            <w:vMerge/>
          </w:tcPr>
          <w:p w:rsidR="007846CF" w:rsidRPr="006F145B" w:rsidRDefault="007846CF" w:rsidP="00847F94">
            <w:pPr>
              <w:rPr>
                <w:rFonts w:ascii="Times New Roman" w:hAnsi="Times New Roman" w:cs="Times New Roman"/>
                <w:sz w:val="24"/>
                <w:szCs w:val="24"/>
              </w:rPr>
            </w:pPr>
          </w:p>
        </w:tc>
        <w:tc>
          <w:tcPr>
            <w:tcW w:w="1507" w:type="dxa"/>
          </w:tcPr>
          <w:p w:rsidR="007846CF" w:rsidRPr="006F145B" w:rsidRDefault="007846CF" w:rsidP="005B5FAB">
            <w:pPr>
              <w:rPr>
                <w:rFonts w:ascii="Times New Roman" w:hAnsi="Times New Roman" w:cs="Times New Roman"/>
                <w:sz w:val="24"/>
                <w:szCs w:val="24"/>
              </w:rPr>
            </w:pPr>
            <w:r w:rsidRPr="006F145B">
              <w:rPr>
                <w:rFonts w:ascii="Times New Roman" w:hAnsi="Times New Roman" w:cs="Times New Roman"/>
                <w:sz w:val="24"/>
                <w:szCs w:val="24"/>
              </w:rPr>
              <w:t>IREC</w:t>
            </w:r>
          </w:p>
        </w:tc>
        <w:tc>
          <w:tcPr>
            <w:tcW w:w="11761" w:type="dxa"/>
          </w:tcPr>
          <w:p w:rsidR="007846CF" w:rsidRPr="006F145B" w:rsidRDefault="007846CF" w:rsidP="007846CF">
            <w:pPr>
              <w:rPr>
                <w:rFonts w:ascii="Times New Roman" w:hAnsi="Times New Roman" w:cs="Times New Roman"/>
                <w:sz w:val="24"/>
                <w:szCs w:val="24"/>
              </w:rPr>
            </w:pPr>
            <w:r w:rsidRPr="006F145B">
              <w:rPr>
                <w:rFonts w:ascii="Times New Roman" w:hAnsi="Times New Roman" w:cs="Times New Roman"/>
                <w:sz w:val="24"/>
                <w:szCs w:val="24"/>
              </w:rPr>
              <w:t xml:space="preserve">IREC proposes the following definition: “Nameplate rating” means the manufacturers output rating of the generating facility. For a system that uses an inverter to change DC energy supplied to an AC quantity, the nameplate rating will be the manufacturer’s AC output rating for that </w:t>
            </w:r>
            <w:r w:rsidR="006F145B">
              <w:rPr>
                <w:rFonts w:ascii="Times New Roman" w:hAnsi="Times New Roman" w:cs="Times New Roman"/>
                <w:sz w:val="24"/>
                <w:szCs w:val="24"/>
              </w:rPr>
              <w:t>inverter.</w:t>
            </w:r>
          </w:p>
        </w:tc>
      </w:tr>
      <w:tr w:rsidR="00240B9B" w:rsidRPr="006F145B" w:rsidTr="00240B9B">
        <w:trPr>
          <w:cantSplit/>
          <w:trHeight w:val="503"/>
        </w:trPr>
        <w:tc>
          <w:tcPr>
            <w:tcW w:w="1348" w:type="dxa"/>
            <w:vMerge/>
          </w:tcPr>
          <w:p w:rsidR="00240B9B" w:rsidRPr="006F145B" w:rsidRDefault="00240B9B" w:rsidP="00847F94">
            <w:pPr>
              <w:rPr>
                <w:rFonts w:ascii="Times New Roman" w:hAnsi="Times New Roman" w:cs="Times New Roman"/>
                <w:sz w:val="24"/>
                <w:szCs w:val="24"/>
              </w:rPr>
            </w:pPr>
          </w:p>
        </w:tc>
        <w:tc>
          <w:tcPr>
            <w:tcW w:w="1507" w:type="dxa"/>
          </w:tcPr>
          <w:p w:rsidR="00240B9B" w:rsidRPr="006F145B" w:rsidRDefault="00240B9B" w:rsidP="005B5FAB">
            <w:pPr>
              <w:rPr>
                <w:rFonts w:ascii="Times New Roman" w:hAnsi="Times New Roman" w:cs="Times New Roman"/>
                <w:sz w:val="24"/>
                <w:szCs w:val="24"/>
              </w:rPr>
            </w:pPr>
            <w:r w:rsidRPr="006F145B">
              <w:rPr>
                <w:rFonts w:ascii="Times New Roman" w:hAnsi="Times New Roman" w:cs="Times New Roman"/>
                <w:sz w:val="24"/>
                <w:szCs w:val="24"/>
              </w:rPr>
              <w:t>Snohomish PUD</w:t>
            </w:r>
          </w:p>
        </w:tc>
        <w:tc>
          <w:tcPr>
            <w:tcW w:w="11761" w:type="dxa"/>
          </w:tcPr>
          <w:p w:rsidR="00240B9B" w:rsidRPr="006F145B" w:rsidRDefault="00240B9B" w:rsidP="0081450E">
            <w:pPr>
              <w:rPr>
                <w:rFonts w:ascii="Times New Roman" w:hAnsi="Times New Roman" w:cs="Times New Roman"/>
                <w:sz w:val="24"/>
                <w:szCs w:val="24"/>
              </w:rPr>
            </w:pPr>
            <w:r w:rsidRPr="006F145B">
              <w:rPr>
                <w:rFonts w:ascii="Times New Roman" w:hAnsi="Times New Roman" w:cs="Times New Roman"/>
                <w:sz w:val="24"/>
                <w:szCs w:val="24"/>
              </w:rPr>
              <w:t>A definition of “nameplate rating” is required. In WAC 480-108</w:t>
            </w:r>
            <w:r w:rsidR="006F145B">
              <w:rPr>
                <w:rFonts w:ascii="Times New Roman" w:hAnsi="Times New Roman" w:cs="Times New Roman"/>
                <w:sz w:val="24"/>
                <w:szCs w:val="24"/>
              </w:rPr>
              <w:t>-</w:t>
            </w:r>
            <w:proofErr w:type="gramStart"/>
            <w:r w:rsidR="006F145B">
              <w:rPr>
                <w:rFonts w:ascii="Times New Roman" w:hAnsi="Times New Roman" w:cs="Times New Roman"/>
                <w:sz w:val="24"/>
                <w:szCs w:val="24"/>
              </w:rPr>
              <w:t>EEE(</w:t>
            </w:r>
            <w:proofErr w:type="gramEnd"/>
            <w:r w:rsidR="006F145B">
              <w:rPr>
                <w:rFonts w:ascii="Times New Roman" w:hAnsi="Times New Roman" w:cs="Times New Roman"/>
                <w:sz w:val="24"/>
                <w:szCs w:val="24"/>
              </w:rPr>
              <w:t>2)(c),</w:t>
            </w:r>
            <w:r w:rsidRPr="006F145B">
              <w:rPr>
                <w:rFonts w:ascii="Times New Roman" w:hAnsi="Times New Roman" w:cs="Times New Roman"/>
                <w:sz w:val="24"/>
                <w:szCs w:val="24"/>
              </w:rPr>
              <w:t xml:space="preserve"> replace “certify” with “verify the performance of,” </w:t>
            </w:r>
            <w:r w:rsidR="006F145B">
              <w:rPr>
                <w:rFonts w:ascii="Times New Roman" w:hAnsi="Times New Roman" w:cs="Times New Roman"/>
                <w:sz w:val="24"/>
                <w:szCs w:val="24"/>
              </w:rPr>
              <w:t xml:space="preserve">and </w:t>
            </w:r>
            <w:r w:rsidRPr="006F145B">
              <w:rPr>
                <w:rFonts w:ascii="Times New Roman" w:hAnsi="Times New Roman" w:cs="Times New Roman"/>
                <w:sz w:val="24"/>
                <w:szCs w:val="24"/>
              </w:rPr>
              <w:t>define WECC as “Western Electricity Coordinating Council”.</w:t>
            </w:r>
          </w:p>
        </w:tc>
      </w:tr>
      <w:tr w:rsidR="00756C12" w:rsidRPr="006F145B" w:rsidTr="00466753">
        <w:trPr>
          <w:cantSplit/>
        </w:trPr>
        <w:tc>
          <w:tcPr>
            <w:tcW w:w="1348" w:type="dxa"/>
            <w:vMerge/>
          </w:tcPr>
          <w:p w:rsidR="00756C12" w:rsidRPr="006F145B" w:rsidRDefault="00756C12" w:rsidP="00847F94">
            <w:pPr>
              <w:rPr>
                <w:rFonts w:ascii="Times New Roman" w:hAnsi="Times New Roman" w:cs="Times New Roman"/>
                <w:sz w:val="24"/>
                <w:szCs w:val="24"/>
              </w:rPr>
            </w:pPr>
          </w:p>
        </w:tc>
        <w:tc>
          <w:tcPr>
            <w:tcW w:w="1507" w:type="dxa"/>
          </w:tcPr>
          <w:p w:rsidR="00756C12" w:rsidRPr="006F145B" w:rsidRDefault="00756C12" w:rsidP="00847F94">
            <w:pPr>
              <w:rPr>
                <w:rFonts w:ascii="Times New Roman" w:hAnsi="Times New Roman" w:cs="Times New Roman"/>
                <w:sz w:val="24"/>
                <w:szCs w:val="24"/>
              </w:rPr>
            </w:pPr>
            <w:r w:rsidRPr="006F145B">
              <w:rPr>
                <w:rFonts w:ascii="Times New Roman" w:hAnsi="Times New Roman" w:cs="Times New Roman"/>
                <w:sz w:val="24"/>
                <w:szCs w:val="24"/>
              </w:rPr>
              <w:t>Puget Sound Energy and Avista</w:t>
            </w:r>
          </w:p>
        </w:tc>
        <w:tc>
          <w:tcPr>
            <w:tcW w:w="11761" w:type="dxa"/>
          </w:tcPr>
          <w:p w:rsidR="00756C12" w:rsidRPr="006F145B" w:rsidRDefault="00756C12" w:rsidP="002806E8">
            <w:pPr>
              <w:rPr>
                <w:rFonts w:ascii="Times New Roman" w:hAnsi="Times New Roman" w:cs="Times New Roman"/>
                <w:sz w:val="24"/>
                <w:szCs w:val="24"/>
              </w:rPr>
            </w:pPr>
            <w:r w:rsidRPr="006F145B">
              <w:rPr>
                <w:rFonts w:ascii="Times New Roman" w:hAnsi="Times New Roman" w:cs="Times New Roman"/>
                <w:sz w:val="24"/>
                <w:szCs w:val="24"/>
              </w:rPr>
              <w:t>Nameplate capacity definition needs clarification to be the largest rating of the inverter, storage system, or energy conservation apparatus. Avista is concerned that the proposed definition requires a consistent means to convert a DC rating to an AC demand</w:t>
            </w:r>
          </w:p>
        </w:tc>
      </w:tr>
      <w:tr w:rsidR="00D447CF" w:rsidRPr="006F145B" w:rsidTr="00466753">
        <w:trPr>
          <w:cantSplit/>
        </w:trPr>
        <w:tc>
          <w:tcPr>
            <w:tcW w:w="1348" w:type="dxa"/>
          </w:tcPr>
          <w:p w:rsidR="00D447CF" w:rsidRPr="006F145B" w:rsidRDefault="00D447CF" w:rsidP="0081450E">
            <w:pPr>
              <w:rPr>
                <w:rFonts w:ascii="Times New Roman" w:hAnsi="Times New Roman" w:cs="Times New Roman"/>
                <w:sz w:val="24"/>
                <w:szCs w:val="24"/>
              </w:rPr>
            </w:pPr>
            <w:r w:rsidRPr="006F145B">
              <w:rPr>
                <w:rFonts w:ascii="Times New Roman" w:hAnsi="Times New Roman" w:cs="Times New Roman"/>
                <w:sz w:val="24"/>
                <w:szCs w:val="24"/>
              </w:rPr>
              <w:t>015</w:t>
            </w:r>
          </w:p>
        </w:tc>
        <w:tc>
          <w:tcPr>
            <w:tcW w:w="1507" w:type="dxa"/>
          </w:tcPr>
          <w:p w:rsidR="00D447CF" w:rsidRPr="006F145B" w:rsidRDefault="00D447CF" w:rsidP="00847F94">
            <w:pPr>
              <w:rPr>
                <w:rFonts w:ascii="Times New Roman" w:hAnsi="Times New Roman" w:cs="Times New Roman"/>
                <w:sz w:val="24"/>
                <w:szCs w:val="24"/>
              </w:rPr>
            </w:pPr>
            <w:r w:rsidRPr="006F145B">
              <w:rPr>
                <w:rFonts w:ascii="Times New Roman" w:hAnsi="Times New Roman" w:cs="Times New Roman"/>
                <w:sz w:val="24"/>
                <w:szCs w:val="24"/>
              </w:rPr>
              <w:t>PacifiCorp</w:t>
            </w:r>
          </w:p>
        </w:tc>
        <w:tc>
          <w:tcPr>
            <w:tcW w:w="11761" w:type="dxa"/>
          </w:tcPr>
          <w:p w:rsidR="00D447CF" w:rsidRPr="006F145B" w:rsidRDefault="00D447CF" w:rsidP="00223BB7">
            <w:pPr>
              <w:rPr>
                <w:rFonts w:ascii="Times New Roman" w:hAnsi="Times New Roman" w:cs="Times New Roman"/>
                <w:sz w:val="24"/>
                <w:szCs w:val="24"/>
              </w:rPr>
            </w:pPr>
            <w:r w:rsidRPr="006F145B">
              <w:rPr>
                <w:rFonts w:ascii="Times New Roman" w:hAnsi="Times New Roman" w:cs="Times New Roman"/>
                <w:sz w:val="24"/>
                <w:szCs w:val="24"/>
              </w:rPr>
              <w:t>PacifiCorp proposes modifications in language of the rule to prohibit all “islanding.”</w:t>
            </w:r>
          </w:p>
        </w:tc>
      </w:tr>
      <w:tr w:rsidR="00ED0095" w:rsidRPr="006F145B" w:rsidTr="00466753">
        <w:trPr>
          <w:cantSplit/>
        </w:trPr>
        <w:tc>
          <w:tcPr>
            <w:tcW w:w="1348" w:type="dxa"/>
            <w:vMerge w:val="restart"/>
          </w:tcPr>
          <w:p w:rsidR="00ED0095" w:rsidRPr="006F145B" w:rsidRDefault="00ED0095" w:rsidP="0081450E">
            <w:pPr>
              <w:rPr>
                <w:rFonts w:ascii="Times New Roman" w:hAnsi="Times New Roman" w:cs="Times New Roman"/>
                <w:sz w:val="24"/>
                <w:szCs w:val="24"/>
              </w:rPr>
            </w:pPr>
            <w:r w:rsidRPr="006F145B">
              <w:rPr>
                <w:rFonts w:ascii="Times New Roman" w:hAnsi="Times New Roman" w:cs="Times New Roman"/>
                <w:sz w:val="24"/>
                <w:szCs w:val="24"/>
              </w:rPr>
              <w:t>AAA</w:t>
            </w:r>
          </w:p>
          <w:p w:rsidR="00ED0095" w:rsidRPr="006F145B" w:rsidRDefault="00ED0095" w:rsidP="0081450E">
            <w:pPr>
              <w:rPr>
                <w:rFonts w:ascii="Times New Roman" w:hAnsi="Times New Roman" w:cs="Times New Roman"/>
                <w:sz w:val="24"/>
                <w:szCs w:val="24"/>
              </w:rPr>
            </w:pPr>
          </w:p>
          <w:p w:rsidR="00ED0095" w:rsidRPr="006F145B" w:rsidRDefault="00ED0095" w:rsidP="0081450E">
            <w:pPr>
              <w:rPr>
                <w:rFonts w:ascii="Times New Roman" w:hAnsi="Times New Roman" w:cs="Times New Roman"/>
                <w:sz w:val="24"/>
                <w:szCs w:val="24"/>
              </w:rPr>
            </w:pPr>
            <w:r w:rsidRPr="006F145B">
              <w:rPr>
                <w:rFonts w:ascii="Times New Roman" w:hAnsi="Times New Roman" w:cs="Times New Roman"/>
                <w:sz w:val="24"/>
                <w:szCs w:val="24"/>
              </w:rPr>
              <w:t>Fees</w:t>
            </w:r>
          </w:p>
        </w:tc>
        <w:tc>
          <w:tcPr>
            <w:tcW w:w="1507" w:type="dxa"/>
          </w:tcPr>
          <w:p w:rsidR="00ED0095" w:rsidRPr="006F145B" w:rsidRDefault="00ED0095" w:rsidP="00847F94">
            <w:pPr>
              <w:rPr>
                <w:rFonts w:ascii="Times New Roman" w:hAnsi="Times New Roman" w:cs="Times New Roman"/>
                <w:sz w:val="24"/>
                <w:szCs w:val="24"/>
              </w:rPr>
            </w:pPr>
            <w:r w:rsidRPr="006F145B">
              <w:rPr>
                <w:rFonts w:ascii="Times New Roman" w:hAnsi="Times New Roman" w:cs="Times New Roman"/>
                <w:sz w:val="24"/>
                <w:szCs w:val="24"/>
              </w:rPr>
              <w:t>Avista</w:t>
            </w:r>
          </w:p>
        </w:tc>
        <w:tc>
          <w:tcPr>
            <w:tcW w:w="11761" w:type="dxa"/>
          </w:tcPr>
          <w:p w:rsidR="00ED0095" w:rsidRPr="006F145B" w:rsidRDefault="00ED0095" w:rsidP="00223BB7">
            <w:pPr>
              <w:rPr>
                <w:rFonts w:ascii="Times New Roman" w:hAnsi="Times New Roman" w:cs="Times New Roman"/>
                <w:b/>
                <w:sz w:val="24"/>
                <w:szCs w:val="24"/>
              </w:rPr>
            </w:pPr>
            <w:r w:rsidRPr="006F145B">
              <w:rPr>
                <w:rFonts w:ascii="Times New Roman" w:hAnsi="Times New Roman" w:cs="Times New Roman"/>
                <w:sz w:val="24"/>
                <w:szCs w:val="24"/>
              </w:rPr>
              <w:t>Avista recommends new application fee structure of: $100 for systems under 100 kW, $500 for system 101 – 500 kW, and $1,000 for systems 501 kW – 20 MW.</w:t>
            </w:r>
          </w:p>
        </w:tc>
      </w:tr>
      <w:tr w:rsidR="00ED0095" w:rsidRPr="006F145B" w:rsidTr="00466753">
        <w:trPr>
          <w:cantSplit/>
        </w:trPr>
        <w:tc>
          <w:tcPr>
            <w:tcW w:w="1348" w:type="dxa"/>
            <w:vMerge/>
          </w:tcPr>
          <w:p w:rsidR="00ED0095" w:rsidRPr="006F145B" w:rsidRDefault="00ED0095" w:rsidP="00847F94">
            <w:pPr>
              <w:rPr>
                <w:rFonts w:ascii="Times New Roman" w:hAnsi="Times New Roman" w:cs="Times New Roman"/>
                <w:sz w:val="24"/>
                <w:szCs w:val="24"/>
              </w:rPr>
            </w:pPr>
          </w:p>
        </w:tc>
        <w:tc>
          <w:tcPr>
            <w:tcW w:w="1507" w:type="dxa"/>
          </w:tcPr>
          <w:p w:rsidR="00ED0095" w:rsidRPr="006F145B" w:rsidRDefault="00ED0095" w:rsidP="00847F94">
            <w:pPr>
              <w:rPr>
                <w:rFonts w:ascii="Times New Roman" w:hAnsi="Times New Roman" w:cs="Times New Roman"/>
                <w:sz w:val="24"/>
                <w:szCs w:val="24"/>
              </w:rPr>
            </w:pPr>
            <w:r w:rsidRPr="006F145B">
              <w:rPr>
                <w:rFonts w:ascii="Times New Roman" w:hAnsi="Times New Roman" w:cs="Times New Roman"/>
                <w:sz w:val="24"/>
                <w:szCs w:val="24"/>
              </w:rPr>
              <w:t>PacifiCorp</w:t>
            </w:r>
          </w:p>
        </w:tc>
        <w:tc>
          <w:tcPr>
            <w:tcW w:w="11761" w:type="dxa"/>
          </w:tcPr>
          <w:p w:rsidR="00ED0095" w:rsidRPr="006F145B" w:rsidRDefault="00ED0095" w:rsidP="0042745B">
            <w:pPr>
              <w:ind w:left="25"/>
              <w:rPr>
                <w:rFonts w:ascii="Times New Roman" w:hAnsi="Times New Roman" w:cs="Times New Roman"/>
                <w:sz w:val="24"/>
                <w:szCs w:val="24"/>
              </w:rPr>
            </w:pPr>
            <w:r w:rsidRPr="006F145B">
              <w:rPr>
                <w:rFonts w:ascii="Times New Roman" w:hAnsi="Times New Roman" w:cs="Times New Roman"/>
                <w:sz w:val="24"/>
                <w:szCs w:val="24"/>
              </w:rPr>
              <w:t xml:space="preserve">PacifiCorp recommends </w:t>
            </w:r>
            <w:r w:rsidR="0042745B" w:rsidRPr="006F145B">
              <w:rPr>
                <w:rFonts w:ascii="Times New Roman" w:hAnsi="Times New Roman" w:cs="Times New Roman"/>
                <w:sz w:val="24"/>
                <w:szCs w:val="24"/>
              </w:rPr>
              <w:t>adopting</w:t>
            </w:r>
            <w:r w:rsidRPr="006F145B">
              <w:rPr>
                <w:rFonts w:ascii="Times New Roman" w:hAnsi="Times New Roman" w:cs="Times New Roman"/>
                <w:sz w:val="24"/>
                <w:szCs w:val="24"/>
              </w:rPr>
              <w:t xml:space="preserve"> Utah’s approach to Tier 3 fees</w:t>
            </w:r>
            <w:r w:rsidR="0042745B" w:rsidRPr="006F145B">
              <w:rPr>
                <w:rFonts w:ascii="Times New Roman" w:hAnsi="Times New Roman" w:cs="Times New Roman"/>
                <w:sz w:val="24"/>
                <w:szCs w:val="24"/>
              </w:rPr>
              <w:t xml:space="preserve">: </w:t>
            </w:r>
            <w:r w:rsidRPr="006F145B">
              <w:rPr>
                <w:rFonts w:ascii="Times New Roman" w:hAnsi="Times New Roman" w:cs="Times New Roman"/>
                <w:sz w:val="24"/>
                <w:szCs w:val="24"/>
              </w:rPr>
              <w:t>an initial fee of $500 plus two dollars per kW of proposed nameplate capacity.</w:t>
            </w:r>
          </w:p>
        </w:tc>
      </w:tr>
      <w:tr w:rsidR="0032791C" w:rsidRPr="006F145B" w:rsidTr="00466753">
        <w:trPr>
          <w:cantSplit/>
        </w:trPr>
        <w:tc>
          <w:tcPr>
            <w:tcW w:w="1348" w:type="dxa"/>
          </w:tcPr>
          <w:p w:rsidR="0032791C" w:rsidRDefault="0032791C" w:rsidP="00847F94">
            <w:pPr>
              <w:rPr>
                <w:rFonts w:ascii="Times New Roman" w:hAnsi="Times New Roman" w:cs="Times New Roman"/>
                <w:sz w:val="24"/>
                <w:szCs w:val="24"/>
              </w:rPr>
            </w:pPr>
            <w:r w:rsidRPr="006F145B">
              <w:rPr>
                <w:rFonts w:ascii="Times New Roman" w:hAnsi="Times New Roman" w:cs="Times New Roman"/>
                <w:sz w:val="24"/>
                <w:szCs w:val="24"/>
              </w:rPr>
              <w:t>AAA</w:t>
            </w:r>
          </w:p>
          <w:p w:rsidR="006F145B" w:rsidRPr="006F145B" w:rsidRDefault="006F145B" w:rsidP="00847F94">
            <w:pPr>
              <w:rPr>
                <w:rFonts w:ascii="Times New Roman" w:hAnsi="Times New Roman" w:cs="Times New Roman"/>
                <w:sz w:val="24"/>
                <w:szCs w:val="24"/>
              </w:rPr>
            </w:pPr>
            <w:r>
              <w:rPr>
                <w:rFonts w:ascii="Times New Roman" w:hAnsi="Times New Roman" w:cs="Times New Roman"/>
                <w:sz w:val="24"/>
                <w:szCs w:val="24"/>
              </w:rPr>
              <w:t>Timeline</w:t>
            </w:r>
          </w:p>
        </w:tc>
        <w:tc>
          <w:tcPr>
            <w:tcW w:w="1507" w:type="dxa"/>
          </w:tcPr>
          <w:p w:rsidR="0032791C" w:rsidRPr="006F145B" w:rsidRDefault="0032791C" w:rsidP="00847F94">
            <w:pPr>
              <w:rPr>
                <w:rFonts w:ascii="Times New Roman" w:hAnsi="Times New Roman" w:cs="Times New Roman"/>
                <w:sz w:val="24"/>
                <w:szCs w:val="24"/>
              </w:rPr>
            </w:pPr>
            <w:r w:rsidRPr="006F145B">
              <w:rPr>
                <w:rFonts w:ascii="Times New Roman" w:hAnsi="Times New Roman" w:cs="Times New Roman"/>
                <w:sz w:val="24"/>
                <w:szCs w:val="24"/>
              </w:rPr>
              <w:t>Avista</w:t>
            </w:r>
            <w:r w:rsidR="00B4735E" w:rsidRPr="006F145B">
              <w:rPr>
                <w:rFonts w:ascii="Times New Roman" w:hAnsi="Times New Roman" w:cs="Times New Roman"/>
                <w:sz w:val="24"/>
                <w:szCs w:val="24"/>
              </w:rPr>
              <w:t xml:space="preserve"> and PacifiCorp</w:t>
            </w:r>
          </w:p>
        </w:tc>
        <w:tc>
          <w:tcPr>
            <w:tcW w:w="11761" w:type="dxa"/>
          </w:tcPr>
          <w:p w:rsidR="0032791C" w:rsidRPr="006F145B" w:rsidRDefault="0032791C" w:rsidP="0032791C">
            <w:pPr>
              <w:ind w:left="720" w:hanging="720"/>
              <w:rPr>
                <w:rFonts w:ascii="Times New Roman" w:hAnsi="Times New Roman" w:cs="Times New Roman"/>
                <w:sz w:val="24"/>
                <w:szCs w:val="24"/>
              </w:rPr>
            </w:pPr>
            <w:r w:rsidRPr="006F145B">
              <w:rPr>
                <w:rFonts w:ascii="Times New Roman" w:hAnsi="Times New Roman" w:cs="Times New Roman"/>
                <w:sz w:val="24"/>
                <w:szCs w:val="24"/>
              </w:rPr>
              <w:t xml:space="preserve">The timeline should start when the application and fees/deposits are received. </w:t>
            </w:r>
          </w:p>
        </w:tc>
      </w:tr>
      <w:tr w:rsidR="00466753" w:rsidRPr="006F145B" w:rsidTr="00466753">
        <w:trPr>
          <w:cantSplit/>
        </w:trPr>
        <w:tc>
          <w:tcPr>
            <w:tcW w:w="1348" w:type="dxa"/>
          </w:tcPr>
          <w:p w:rsidR="005B5FAB" w:rsidRPr="006F145B" w:rsidRDefault="00466753" w:rsidP="00847F94">
            <w:pPr>
              <w:rPr>
                <w:rFonts w:ascii="Times New Roman" w:hAnsi="Times New Roman" w:cs="Times New Roman"/>
                <w:sz w:val="24"/>
                <w:szCs w:val="24"/>
              </w:rPr>
            </w:pPr>
            <w:r w:rsidRPr="006F145B">
              <w:rPr>
                <w:rFonts w:ascii="Times New Roman" w:hAnsi="Times New Roman" w:cs="Times New Roman"/>
                <w:sz w:val="24"/>
                <w:szCs w:val="24"/>
              </w:rPr>
              <w:t>BBB</w:t>
            </w:r>
          </w:p>
          <w:p w:rsidR="009232DC" w:rsidRPr="006F145B" w:rsidRDefault="009232DC" w:rsidP="00847F94">
            <w:pPr>
              <w:rPr>
                <w:rFonts w:ascii="Times New Roman" w:hAnsi="Times New Roman" w:cs="Times New Roman"/>
                <w:sz w:val="24"/>
                <w:szCs w:val="24"/>
              </w:rPr>
            </w:pPr>
          </w:p>
          <w:p w:rsidR="005B5FAB" w:rsidRPr="006F145B" w:rsidRDefault="005B5FAB" w:rsidP="00847F94">
            <w:pPr>
              <w:rPr>
                <w:rFonts w:ascii="Times New Roman" w:hAnsi="Times New Roman" w:cs="Times New Roman"/>
                <w:sz w:val="24"/>
                <w:szCs w:val="24"/>
              </w:rPr>
            </w:pPr>
            <w:r w:rsidRPr="006F145B">
              <w:rPr>
                <w:rFonts w:ascii="Times New Roman" w:hAnsi="Times New Roman" w:cs="Times New Roman"/>
                <w:sz w:val="24"/>
                <w:szCs w:val="24"/>
              </w:rPr>
              <w:t>Tier 1 size limit</w:t>
            </w:r>
          </w:p>
        </w:tc>
        <w:tc>
          <w:tcPr>
            <w:tcW w:w="1507" w:type="dxa"/>
          </w:tcPr>
          <w:p w:rsidR="00466753" w:rsidRPr="006F145B" w:rsidRDefault="005B5FAB" w:rsidP="00847F94">
            <w:pPr>
              <w:rPr>
                <w:rFonts w:ascii="Times New Roman" w:hAnsi="Times New Roman" w:cs="Times New Roman"/>
                <w:sz w:val="24"/>
                <w:szCs w:val="24"/>
              </w:rPr>
            </w:pPr>
            <w:r w:rsidRPr="006F145B">
              <w:rPr>
                <w:rFonts w:ascii="Times New Roman" w:hAnsi="Times New Roman" w:cs="Times New Roman"/>
                <w:sz w:val="24"/>
                <w:szCs w:val="24"/>
              </w:rPr>
              <w:t>Puget Sound Energy</w:t>
            </w:r>
            <w:r w:rsidR="00D447CF" w:rsidRPr="006F145B">
              <w:rPr>
                <w:rFonts w:ascii="Times New Roman" w:hAnsi="Times New Roman" w:cs="Times New Roman"/>
                <w:sz w:val="24"/>
                <w:szCs w:val="24"/>
              </w:rPr>
              <w:t xml:space="preserve">, </w:t>
            </w:r>
            <w:proofErr w:type="spellStart"/>
            <w:r w:rsidR="00D447CF" w:rsidRPr="006F145B">
              <w:rPr>
                <w:rFonts w:ascii="Times New Roman" w:hAnsi="Times New Roman" w:cs="Times New Roman"/>
                <w:sz w:val="24"/>
                <w:szCs w:val="24"/>
              </w:rPr>
              <w:t>Avista</w:t>
            </w:r>
            <w:proofErr w:type="spellEnd"/>
            <w:r w:rsidR="00D447CF" w:rsidRPr="006F145B">
              <w:rPr>
                <w:rFonts w:ascii="Times New Roman" w:hAnsi="Times New Roman" w:cs="Times New Roman"/>
                <w:sz w:val="24"/>
                <w:szCs w:val="24"/>
              </w:rPr>
              <w:t>, PacifiCorp</w:t>
            </w:r>
            <w:r w:rsidR="007846CF" w:rsidRPr="006F145B">
              <w:rPr>
                <w:rFonts w:ascii="Times New Roman" w:hAnsi="Times New Roman" w:cs="Times New Roman"/>
                <w:sz w:val="24"/>
                <w:szCs w:val="24"/>
              </w:rPr>
              <w:t>, IREC</w:t>
            </w:r>
            <w:r w:rsidR="00F41F04" w:rsidRPr="006F145B">
              <w:rPr>
                <w:rFonts w:ascii="Times New Roman" w:hAnsi="Times New Roman" w:cs="Times New Roman"/>
                <w:sz w:val="24"/>
                <w:szCs w:val="24"/>
              </w:rPr>
              <w:t>, Dept. of Commerce</w:t>
            </w:r>
            <w:r w:rsidR="00797B13" w:rsidRPr="006F145B">
              <w:rPr>
                <w:rFonts w:ascii="Times New Roman" w:hAnsi="Times New Roman" w:cs="Times New Roman"/>
                <w:sz w:val="24"/>
                <w:szCs w:val="24"/>
              </w:rPr>
              <w:t>, Evergreen State Solar Partnership</w:t>
            </w:r>
          </w:p>
        </w:tc>
        <w:tc>
          <w:tcPr>
            <w:tcW w:w="11761" w:type="dxa"/>
          </w:tcPr>
          <w:p w:rsidR="00466753" w:rsidRPr="006F145B" w:rsidRDefault="005B5FAB" w:rsidP="00EF3F12">
            <w:pPr>
              <w:rPr>
                <w:rFonts w:ascii="Times New Roman" w:hAnsi="Times New Roman" w:cs="Times New Roman"/>
                <w:sz w:val="24"/>
                <w:szCs w:val="24"/>
              </w:rPr>
            </w:pPr>
            <w:r w:rsidRPr="006F145B">
              <w:rPr>
                <w:rFonts w:ascii="Times New Roman" w:hAnsi="Times New Roman" w:cs="Times New Roman"/>
                <w:sz w:val="24"/>
                <w:szCs w:val="24"/>
              </w:rPr>
              <w:t>Size limit should be 25 kW.</w:t>
            </w:r>
          </w:p>
        </w:tc>
      </w:tr>
      <w:tr w:rsidR="00524504" w:rsidRPr="006F145B" w:rsidTr="00466753">
        <w:trPr>
          <w:cantSplit/>
        </w:trPr>
        <w:tc>
          <w:tcPr>
            <w:tcW w:w="1348" w:type="dxa"/>
          </w:tcPr>
          <w:p w:rsidR="00524504" w:rsidRPr="006F145B" w:rsidRDefault="00524504" w:rsidP="00847F94">
            <w:pPr>
              <w:rPr>
                <w:rFonts w:ascii="Times New Roman" w:hAnsi="Times New Roman" w:cs="Times New Roman"/>
                <w:sz w:val="24"/>
                <w:szCs w:val="24"/>
              </w:rPr>
            </w:pPr>
            <w:r w:rsidRPr="006F145B">
              <w:rPr>
                <w:rFonts w:ascii="Times New Roman" w:hAnsi="Times New Roman" w:cs="Times New Roman"/>
                <w:sz w:val="24"/>
                <w:szCs w:val="24"/>
              </w:rPr>
              <w:t>BBB</w:t>
            </w:r>
          </w:p>
        </w:tc>
        <w:tc>
          <w:tcPr>
            <w:tcW w:w="1507" w:type="dxa"/>
          </w:tcPr>
          <w:p w:rsidR="00524504" w:rsidRPr="006F145B" w:rsidRDefault="00524504" w:rsidP="00847F94">
            <w:pPr>
              <w:rPr>
                <w:rFonts w:ascii="Times New Roman" w:hAnsi="Times New Roman" w:cs="Times New Roman"/>
                <w:sz w:val="24"/>
                <w:szCs w:val="24"/>
              </w:rPr>
            </w:pPr>
            <w:r w:rsidRPr="006F145B">
              <w:rPr>
                <w:rFonts w:ascii="Times New Roman" w:hAnsi="Times New Roman" w:cs="Times New Roman"/>
                <w:sz w:val="24"/>
                <w:szCs w:val="24"/>
              </w:rPr>
              <w:t>Cascade Power Group</w:t>
            </w:r>
          </w:p>
        </w:tc>
        <w:tc>
          <w:tcPr>
            <w:tcW w:w="11761" w:type="dxa"/>
          </w:tcPr>
          <w:p w:rsidR="00524504" w:rsidRPr="006F145B" w:rsidRDefault="00524504" w:rsidP="003B0501">
            <w:pPr>
              <w:rPr>
                <w:rFonts w:ascii="Times New Roman" w:hAnsi="Times New Roman" w:cs="Times New Roman"/>
                <w:sz w:val="24"/>
                <w:szCs w:val="24"/>
              </w:rPr>
            </w:pPr>
            <w:r w:rsidRPr="006F145B">
              <w:rPr>
                <w:rFonts w:ascii="Times New Roman" w:hAnsi="Times New Roman" w:cs="Times New Roman"/>
                <w:sz w:val="24"/>
                <w:szCs w:val="24"/>
              </w:rPr>
              <w:t xml:space="preserve">If a synchronous </w:t>
            </w:r>
            <w:r w:rsidR="003B0501" w:rsidRPr="006F145B">
              <w:rPr>
                <w:rFonts w:ascii="Times New Roman" w:hAnsi="Times New Roman" w:cs="Times New Roman"/>
                <w:sz w:val="24"/>
                <w:szCs w:val="24"/>
              </w:rPr>
              <w:t>generating facility</w:t>
            </w:r>
            <w:r w:rsidRPr="006F145B">
              <w:rPr>
                <w:rFonts w:ascii="Times New Roman" w:hAnsi="Times New Roman" w:cs="Times New Roman"/>
                <w:sz w:val="24"/>
                <w:szCs w:val="24"/>
              </w:rPr>
              <w:t xml:space="preserve"> has an inverter, the generating facility should not automatically </w:t>
            </w:r>
            <w:r w:rsidR="003B0501" w:rsidRPr="006F145B">
              <w:rPr>
                <w:rFonts w:ascii="Times New Roman" w:hAnsi="Times New Roman" w:cs="Times New Roman"/>
                <w:sz w:val="24"/>
                <w:szCs w:val="24"/>
              </w:rPr>
              <w:t xml:space="preserve">fall under </w:t>
            </w:r>
            <w:r w:rsidRPr="006F145B">
              <w:rPr>
                <w:rFonts w:ascii="Times New Roman" w:hAnsi="Times New Roman" w:cs="Times New Roman"/>
                <w:sz w:val="24"/>
                <w:szCs w:val="24"/>
              </w:rPr>
              <w:t>Tier 2</w:t>
            </w:r>
            <w:r w:rsidR="003B0501" w:rsidRPr="006F145B">
              <w:rPr>
                <w:rFonts w:ascii="Times New Roman" w:hAnsi="Times New Roman" w:cs="Times New Roman"/>
                <w:sz w:val="24"/>
                <w:szCs w:val="24"/>
              </w:rPr>
              <w:t xml:space="preserve"> procedures</w:t>
            </w:r>
            <w:r w:rsidRPr="006F145B">
              <w:rPr>
                <w:rFonts w:ascii="Times New Roman" w:hAnsi="Times New Roman" w:cs="Times New Roman"/>
                <w:sz w:val="24"/>
                <w:szCs w:val="24"/>
              </w:rPr>
              <w:t xml:space="preserve">. Any </w:t>
            </w:r>
            <w:r w:rsidR="003B0501" w:rsidRPr="006F145B">
              <w:rPr>
                <w:rFonts w:ascii="Times New Roman" w:hAnsi="Times New Roman" w:cs="Times New Roman"/>
                <w:sz w:val="24"/>
                <w:szCs w:val="24"/>
              </w:rPr>
              <w:t>generating facility</w:t>
            </w:r>
            <w:r w:rsidRPr="006F145B">
              <w:rPr>
                <w:rFonts w:ascii="Times New Roman" w:hAnsi="Times New Roman" w:cs="Times New Roman"/>
                <w:sz w:val="24"/>
                <w:szCs w:val="24"/>
              </w:rPr>
              <w:t xml:space="preserve"> that is </w:t>
            </w:r>
            <w:proofErr w:type="gramStart"/>
            <w:r w:rsidR="003B0501" w:rsidRPr="006F145B">
              <w:rPr>
                <w:rFonts w:ascii="Times New Roman" w:hAnsi="Times New Roman" w:cs="Times New Roman"/>
                <w:sz w:val="24"/>
                <w:szCs w:val="24"/>
              </w:rPr>
              <w:t>under</w:t>
            </w:r>
            <w:proofErr w:type="gramEnd"/>
            <w:r w:rsidR="003B0501" w:rsidRPr="006F145B">
              <w:rPr>
                <w:rFonts w:ascii="Times New Roman" w:hAnsi="Times New Roman" w:cs="Times New Roman"/>
                <w:sz w:val="24"/>
                <w:szCs w:val="24"/>
              </w:rPr>
              <w:t xml:space="preserve"> 500 kW and </w:t>
            </w:r>
            <w:r w:rsidRPr="006F145B">
              <w:rPr>
                <w:rFonts w:ascii="Times New Roman" w:hAnsi="Times New Roman" w:cs="Times New Roman"/>
                <w:sz w:val="24"/>
                <w:szCs w:val="24"/>
              </w:rPr>
              <w:t xml:space="preserve">connected to an inverter should fall </w:t>
            </w:r>
            <w:r w:rsidR="003B0501" w:rsidRPr="006F145B">
              <w:rPr>
                <w:rFonts w:ascii="Times New Roman" w:hAnsi="Times New Roman" w:cs="Times New Roman"/>
                <w:sz w:val="24"/>
                <w:szCs w:val="24"/>
              </w:rPr>
              <w:t>under</w:t>
            </w:r>
            <w:r w:rsidRPr="006F145B">
              <w:rPr>
                <w:rFonts w:ascii="Times New Roman" w:hAnsi="Times New Roman" w:cs="Times New Roman"/>
                <w:sz w:val="24"/>
                <w:szCs w:val="24"/>
              </w:rPr>
              <w:t xml:space="preserve"> Tier 1</w:t>
            </w:r>
            <w:r w:rsidR="003B0501" w:rsidRPr="006F145B">
              <w:rPr>
                <w:rFonts w:ascii="Times New Roman" w:hAnsi="Times New Roman" w:cs="Times New Roman"/>
                <w:sz w:val="24"/>
                <w:szCs w:val="24"/>
              </w:rPr>
              <w:t xml:space="preserve"> procedures</w:t>
            </w:r>
            <w:r w:rsidRPr="006F145B">
              <w:rPr>
                <w:rFonts w:ascii="Times New Roman" w:hAnsi="Times New Roman" w:cs="Times New Roman"/>
                <w:sz w:val="24"/>
                <w:szCs w:val="24"/>
              </w:rPr>
              <w:t>.</w:t>
            </w:r>
          </w:p>
        </w:tc>
      </w:tr>
      <w:tr w:rsidR="0081450E" w:rsidRPr="006F145B" w:rsidTr="00466753">
        <w:trPr>
          <w:cantSplit/>
        </w:trPr>
        <w:tc>
          <w:tcPr>
            <w:tcW w:w="1348" w:type="dxa"/>
          </w:tcPr>
          <w:p w:rsidR="0081450E" w:rsidRPr="006F145B" w:rsidRDefault="0081450E" w:rsidP="00847F94">
            <w:pPr>
              <w:rPr>
                <w:rFonts w:ascii="Times New Roman" w:hAnsi="Times New Roman" w:cs="Times New Roman"/>
                <w:sz w:val="24"/>
                <w:szCs w:val="24"/>
              </w:rPr>
            </w:pPr>
            <w:r w:rsidRPr="006F145B">
              <w:rPr>
                <w:rFonts w:ascii="Times New Roman" w:hAnsi="Times New Roman" w:cs="Times New Roman"/>
                <w:sz w:val="24"/>
                <w:szCs w:val="24"/>
              </w:rPr>
              <w:t>BBB</w:t>
            </w:r>
          </w:p>
          <w:p w:rsidR="0081450E" w:rsidRPr="006F145B" w:rsidRDefault="0081450E" w:rsidP="00847F94">
            <w:pPr>
              <w:rPr>
                <w:rFonts w:ascii="Times New Roman" w:hAnsi="Times New Roman" w:cs="Times New Roman"/>
                <w:sz w:val="24"/>
                <w:szCs w:val="24"/>
              </w:rPr>
            </w:pPr>
            <w:r w:rsidRPr="006F145B">
              <w:rPr>
                <w:rFonts w:ascii="Times New Roman" w:hAnsi="Times New Roman" w:cs="Times New Roman"/>
                <w:sz w:val="24"/>
                <w:szCs w:val="24"/>
              </w:rPr>
              <w:t>Tier 3</w:t>
            </w:r>
          </w:p>
        </w:tc>
        <w:tc>
          <w:tcPr>
            <w:tcW w:w="1507" w:type="dxa"/>
          </w:tcPr>
          <w:p w:rsidR="0081450E" w:rsidRPr="006F145B" w:rsidRDefault="0081450E" w:rsidP="00847F94">
            <w:pPr>
              <w:rPr>
                <w:rFonts w:ascii="Times New Roman" w:hAnsi="Times New Roman" w:cs="Times New Roman"/>
                <w:sz w:val="24"/>
                <w:szCs w:val="24"/>
              </w:rPr>
            </w:pPr>
            <w:r w:rsidRPr="006F145B">
              <w:rPr>
                <w:rFonts w:ascii="Times New Roman" w:hAnsi="Times New Roman" w:cs="Times New Roman"/>
                <w:sz w:val="24"/>
                <w:szCs w:val="24"/>
              </w:rPr>
              <w:t>Snohomish PUD</w:t>
            </w:r>
          </w:p>
        </w:tc>
        <w:tc>
          <w:tcPr>
            <w:tcW w:w="11761" w:type="dxa"/>
          </w:tcPr>
          <w:p w:rsidR="0081450E" w:rsidRPr="006F145B" w:rsidRDefault="0081450E" w:rsidP="0081450E">
            <w:pPr>
              <w:rPr>
                <w:rFonts w:ascii="Times New Roman" w:hAnsi="Times New Roman" w:cs="Times New Roman"/>
                <w:sz w:val="24"/>
                <w:szCs w:val="24"/>
              </w:rPr>
            </w:pPr>
            <w:r w:rsidRPr="006F145B">
              <w:rPr>
                <w:rFonts w:ascii="Times New Roman" w:hAnsi="Times New Roman" w:cs="Times New Roman"/>
                <w:sz w:val="24"/>
                <w:szCs w:val="24"/>
              </w:rPr>
              <w:t>Consider reinstating the process and technical requirements for Tier 3 found in the model rule.</w:t>
            </w:r>
          </w:p>
        </w:tc>
      </w:tr>
      <w:tr w:rsidR="00B36D2C" w:rsidRPr="006F145B" w:rsidTr="00466753">
        <w:trPr>
          <w:cantSplit/>
        </w:trPr>
        <w:tc>
          <w:tcPr>
            <w:tcW w:w="1348" w:type="dxa"/>
            <w:vMerge w:val="restart"/>
          </w:tcPr>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BBB</w:t>
            </w:r>
          </w:p>
          <w:p w:rsidR="00B36D2C" w:rsidRPr="006F145B" w:rsidRDefault="00B36D2C" w:rsidP="00847F94">
            <w:pPr>
              <w:rPr>
                <w:rFonts w:ascii="Times New Roman" w:hAnsi="Times New Roman" w:cs="Times New Roman"/>
                <w:sz w:val="24"/>
                <w:szCs w:val="24"/>
              </w:rPr>
            </w:pPr>
          </w:p>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Spot Networks</w:t>
            </w:r>
          </w:p>
        </w:tc>
        <w:tc>
          <w:tcPr>
            <w:tcW w:w="1507" w:type="dxa"/>
          </w:tcPr>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Avista</w:t>
            </w:r>
          </w:p>
        </w:tc>
        <w:tc>
          <w:tcPr>
            <w:tcW w:w="11761" w:type="dxa"/>
          </w:tcPr>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 xml:space="preserve">Avista recommends deleting: </w:t>
            </w:r>
          </w:p>
          <w:p w:rsidR="00B36D2C" w:rsidRPr="006F145B" w:rsidRDefault="00B36D2C" w:rsidP="00847F94">
            <w:pPr>
              <w:rPr>
                <w:rFonts w:ascii="Times New Roman" w:hAnsi="Times New Roman" w:cs="Times New Roman"/>
                <w:sz w:val="10"/>
                <w:szCs w:val="10"/>
              </w:rPr>
            </w:pPr>
          </w:p>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 xml:space="preserve">“The aggregate nameplate capacity of all inverter based systems must not exceed the smallest of five percent of a spot network’s maximum load or 50 kW,” </w:t>
            </w:r>
          </w:p>
          <w:p w:rsidR="00B36D2C" w:rsidRPr="006F145B" w:rsidRDefault="00B36D2C" w:rsidP="00847F94">
            <w:pPr>
              <w:ind w:left="720"/>
              <w:rPr>
                <w:rFonts w:ascii="Times New Roman" w:hAnsi="Times New Roman" w:cs="Times New Roman"/>
                <w:sz w:val="10"/>
                <w:szCs w:val="10"/>
              </w:rPr>
            </w:pPr>
          </w:p>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 xml:space="preserve">and replacing it with: </w:t>
            </w:r>
          </w:p>
          <w:p w:rsidR="00B36D2C" w:rsidRPr="006F145B" w:rsidRDefault="00B36D2C" w:rsidP="00847F94">
            <w:pPr>
              <w:rPr>
                <w:rFonts w:ascii="Times New Roman" w:hAnsi="Times New Roman" w:cs="Times New Roman"/>
                <w:sz w:val="10"/>
                <w:szCs w:val="10"/>
              </w:rPr>
            </w:pPr>
          </w:p>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“must not exceed the minimum load on any phase at any given time.”</w:t>
            </w:r>
          </w:p>
        </w:tc>
      </w:tr>
      <w:tr w:rsidR="0045798C" w:rsidRPr="006F145B" w:rsidTr="00466753">
        <w:trPr>
          <w:cantSplit/>
        </w:trPr>
        <w:tc>
          <w:tcPr>
            <w:tcW w:w="1348" w:type="dxa"/>
            <w:vMerge/>
          </w:tcPr>
          <w:p w:rsidR="0045798C" w:rsidRPr="006F145B" w:rsidRDefault="0045798C" w:rsidP="00847F94">
            <w:pPr>
              <w:rPr>
                <w:rFonts w:ascii="Times New Roman" w:hAnsi="Times New Roman" w:cs="Times New Roman"/>
                <w:sz w:val="24"/>
                <w:szCs w:val="24"/>
              </w:rPr>
            </w:pPr>
          </w:p>
        </w:tc>
        <w:tc>
          <w:tcPr>
            <w:tcW w:w="1507" w:type="dxa"/>
          </w:tcPr>
          <w:p w:rsidR="0045798C" w:rsidRPr="006F145B" w:rsidRDefault="0045798C" w:rsidP="00847F94">
            <w:pPr>
              <w:rPr>
                <w:rFonts w:ascii="Times New Roman" w:hAnsi="Times New Roman" w:cs="Times New Roman"/>
                <w:sz w:val="24"/>
                <w:szCs w:val="24"/>
              </w:rPr>
            </w:pPr>
            <w:r w:rsidRPr="006F145B">
              <w:rPr>
                <w:rFonts w:ascii="Times New Roman" w:hAnsi="Times New Roman" w:cs="Times New Roman"/>
                <w:sz w:val="24"/>
                <w:szCs w:val="24"/>
              </w:rPr>
              <w:t>Northwest Clean Energy Application Center</w:t>
            </w:r>
          </w:p>
        </w:tc>
        <w:tc>
          <w:tcPr>
            <w:tcW w:w="11761" w:type="dxa"/>
          </w:tcPr>
          <w:p w:rsidR="0045798C" w:rsidRPr="006F145B" w:rsidRDefault="0045798C" w:rsidP="00847F94">
            <w:pPr>
              <w:rPr>
                <w:rFonts w:ascii="Times New Roman" w:hAnsi="Times New Roman" w:cs="Times New Roman"/>
                <w:sz w:val="24"/>
                <w:szCs w:val="24"/>
              </w:rPr>
            </w:pPr>
            <w:r w:rsidRPr="006F145B">
              <w:rPr>
                <w:rFonts w:ascii="Times New Roman" w:hAnsi="Times New Roman" w:cs="Times New Roman"/>
                <w:sz w:val="24"/>
                <w:szCs w:val="24"/>
              </w:rPr>
              <w:t>The draft rules improve the ability to interconnect within spot network distribution systems.</w:t>
            </w:r>
          </w:p>
        </w:tc>
      </w:tr>
      <w:tr w:rsidR="00B36D2C" w:rsidRPr="006F145B" w:rsidTr="00466753">
        <w:trPr>
          <w:cantSplit/>
        </w:trPr>
        <w:tc>
          <w:tcPr>
            <w:tcW w:w="1348" w:type="dxa"/>
            <w:vMerge/>
          </w:tcPr>
          <w:p w:rsidR="00B36D2C" w:rsidRPr="006F145B" w:rsidRDefault="00B36D2C" w:rsidP="00847F94">
            <w:pPr>
              <w:rPr>
                <w:rFonts w:ascii="Times New Roman" w:hAnsi="Times New Roman" w:cs="Times New Roman"/>
                <w:sz w:val="24"/>
                <w:szCs w:val="24"/>
              </w:rPr>
            </w:pPr>
          </w:p>
        </w:tc>
        <w:tc>
          <w:tcPr>
            <w:tcW w:w="1507" w:type="dxa"/>
          </w:tcPr>
          <w:p w:rsidR="00B36D2C" w:rsidRPr="006F145B" w:rsidRDefault="00B36D2C" w:rsidP="00847F94">
            <w:pPr>
              <w:rPr>
                <w:rFonts w:ascii="Times New Roman" w:hAnsi="Times New Roman" w:cs="Times New Roman"/>
                <w:sz w:val="24"/>
                <w:szCs w:val="24"/>
              </w:rPr>
            </w:pPr>
            <w:r w:rsidRPr="006F145B">
              <w:rPr>
                <w:rFonts w:ascii="Times New Roman" w:hAnsi="Times New Roman" w:cs="Times New Roman"/>
                <w:sz w:val="24"/>
                <w:szCs w:val="24"/>
              </w:rPr>
              <w:t>Cascade Power Group</w:t>
            </w:r>
          </w:p>
        </w:tc>
        <w:tc>
          <w:tcPr>
            <w:tcW w:w="11761" w:type="dxa"/>
          </w:tcPr>
          <w:p w:rsidR="00B36D2C" w:rsidRPr="006F145B" w:rsidRDefault="00B36D2C" w:rsidP="001F2590">
            <w:pPr>
              <w:rPr>
                <w:rFonts w:ascii="Times New Roman" w:hAnsi="Times New Roman" w:cs="Times New Roman"/>
                <w:sz w:val="24"/>
                <w:szCs w:val="24"/>
              </w:rPr>
            </w:pPr>
            <w:r w:rsidRPr="006F145B">
              <w:rPr>
                <w:rFonts w:ascii="Times New Roman" w:hAnsi="Times New Roman" w:cs="Times New Roman"/>
                <w:sz w:val="24"/>
                <w:szCs w:val="24"/>
              </w:rPr>
              <w:t xml:space="preserve">Cascade </w:t>
            </w:r>
            <w:r w:rsidR="001F2590">
              <w:rPr>
                <w:rFonts w:ascii="Times New Roman" w:hAnsi="Times New Roman" w:cs="Times New Roman"/>
                <w:sz w:val="24"/>
                <w:szCs w:val="24"/>
              </w:rPr>
              <w:t>opposes</w:t>
            </w:r>
            <w:r w:rsidRPr="006F145B">
              <w:rPr>
                <w:rFonts w:ascii="Times New Roman" w:hAnsi="Times New Roman" w:cs="Times New Roman"/>
                <w:sz w:val="24"/>
                <w:szCs w:val="24"/>
              </w:rPr>
              <w:t xml:space="preserve"> the requirement that interconnections on spot network “not to exceed the smaller of 5 percent . . .  or 50 kW”</w:t>
            </w:r>
          </w:p>
        </w:tc>
      </w:tr>
      <w:tr w:rsidR="006F145B" w:rsidRPr="006F145B" w:rsidTr="00466753">
        <w:trPr>
          <w:cantSplit/>
        </w:trPr>
        <w:tc>
          <w:tcPr>
            <w:tcW w:w="1348" w:type="dxa"/>
            <w:vMerge w:val="restart"/>
          </w:tcPr>
          <w:p w:rsidR="006F145B" w:rsidRDefault="006F145B" w:rsidP="00847F94">
            <w:pPr>
              <w:rPr>
                <w:rFonts w:ascii="Times New Roman" w:hAnsi="Times New Roman" w:cs="Times New Roman"/>
                <w:sz w:val="24"/>
                <w:szCs w:val="24"/>
              </w:rPr>
            </w:pPr>
            <w:r w:rsidRPr="006F145B">
              <w:rPr>
                <w:rFonts w:ascii="Times New Roman" w:hAnsi="Times New Roman" w:cs="Times New Roman"/>
                <w:sz w:val="24"/>
                <w:szCs w:val="24"/>
              </w:rPr>
              <w:t>CCC</w:t>
            </w:r>
          </w:p>
          <w:p w:rsidR="006F145B" w:rsidRDefault="006F145B" w:rsidP="00847F94">
            <w:pPr>
              <w:rPr>
                <w:rFonts w:ascii="Times New Roman" w:hAnsi="Times New Roman" w:cs="Times New Roman"/>
                <w:sz w:val="24"/>
                <w:szCs w:val="24"/>
              </w:rPr>
            </w:pPr>
          </w:p>
          <w:p w:rsidR="006F145B" w:rsidRPr="006F145B" w:rsidRDefault="006F145B" w:rsidP="00847F94">
            <w:pPr>
              <w:rPr>
                <w:rFonts w:ascii="Times New Roman" w:hAnsi="Times New Roman" w:cs="Times New Roman"/>
                <w:sz w:val="24"/>
                <w:szCs w:val="24"/>
              </w:rPr>
            </w:pPr>
            <w:r>
              <w:rPr>
                <w:rFonts w:ascii="Times New Roman" w:hAnsi="Times New Roman" w:cs="Times New Roman"/>
                <w:sz w:val="24"/>
                <w:szCs w:val="24"/>
              </w:rPr>
              <w:t>Timeline</w:t>
            </w:r>
          </w:p>
        </w:tc>
        <w:tc>
          <w:tcPr>
            <w:tcW w:w="1507" w:type="dxa"/>
          </w:tcPr>
          <w:p w:rsidR="006F145B" w:rsidRPr="006F145B" w:rsidRDefault="006F145B" w:rsidP="007D2DC0">
            <w:pPr>
              <w:rPr>
                <w:rFonts w:ascii="Times New Roman" w:hAnsi="Times New Roman" w:cs="Times New Roman"/>
                <w:sz w:val="24"/>
                <w:szCs w:val="24"/>
              </w:rPr>
            </w:pPr>
            <w:r w:rsidRPr="006F145B">
              <w:rPr>
                <w:rFonts w:ascii="Times New Roman" w:hAnsi="Times New Roman" w:cs="Times New Roman"/>
                <w:sz w:val="24"/>
                <w:szCs w:val="24"/>
              </w:rPr>
              <w:t>Avista, PacifiCorp, Puget Sound Energy</w:t>
            </w:r>
          </w:p>
        </w:tc>
        <w:tc>
          <w:tcPr>
            <w:tcW w:w="11761" w:type="dxa"/>
          </w:tcPr>
          <w:p w:rsidR="006F145B" w:rsidRPr="006F145B" w:rsidRDefault="006F145B" w:rsidP="0032791C">
            <w:pPr>
              <w:rPr>
                <w:rFonts w:ascii="Times New Roman" w:hAnsi="Times New Roman" w:cs="Times New Roman"/>
                <w:sz w:val="24"/>
                <w:szCs w:val="24"/>
              </w:rPr>
            </w:pPr>
            <w:r w:rsidRPr="006F145B">
              <w:rPr>
                <w:rFonts w:ascii="Times New Roman" w:hAnsi="Times New Roman" w:cs="Times New Roman"/>
                <w:sz w:val="24"/>
                <w:szCs w:val="24"/>
              </w:rPr>
              <w:t>Adopt consistent timelines and list them in one location throughout the rule.</w:t>
            </w:r>
          </w:p>
        </w:tc>
      </w:tr>
      <w:tr w:rsidR="006F145B" w:rsidRPr="006F145B" w:rsidTr="00466753">
        <w:trPr>
          <w:cantSplit/>
        </w:trPr>
        <w:tc>
          <w:tcPr>
            <w:tcW w:w="1348" w:type="dxa"/>
            <w:vMerge/>
          </w:tcPr>
          <w:p w:rsidR="006F145B" w:rsidRPr="006F145B" w:rsidRDefault="006F145B" w:rsidP="00847F94">
            <w:pPr>
              <w:rPr>
                <w:rFonts w:ascii="Times New Roman" w:hAnsi="Times New Roman" w:cs="Times New Roman"/>
                <w:sz w:val="24"/>
                <w:szCs w:val="24"/>
              </w:rPr>
            </w:pPr>
          </w:p>
        </w:tc>
        <w:tc>
          <w:tcPr>
            <w:tcW w:w="1507" w:type="dxa"/>
          </w:tcPr>
          <w:p w:rsidR="006F145B" w:rsidRPr="006F145B" w:rsidRDefault="006F145B" w:rsidP="00847F94">
            <w:pPr>
              <w:rPr>
                <w:rFonts w:ascii="Times New Roman" w:hAnsi="Times New Roman" w:cs="Times New Roman"/>
                <w:sz w:val="24"/>
                <w:szCs w:val="24"/>
              </w:rPr>
            </w:pPr>
            <w:r w:rsidRPr="006F145B">
              <w:rPr>
                <w:rFonts w:ascii="Times New Roman" w:hAnsi="Times New Roman" w:cs="Times New Roman"/>
                <w:sz w:val="24"/>
                <w:szCs w:val="24"/>
              </w:rPr>
              <w:t>Cascade Power Group, Northwest Clean Energy Application Center, IREC</w:t>
            </w:r>
          </w:p>
        </w:tc>
        <w:tc>
          <w:tcPr>
            <w:tcW w:w="11761" w:type="dxa"/>
          </w:tcPr>
          <w:p w:rsidR="006F145B" w:rsidRPr="006F145B" w:rsidRDefault="006F145B" w:rsidP="007846CF">
            <w:pPr>
              <w:rPr>
                <w:rFonts w:ascii="Times New Roman" w:hAnsi="Times New Roman" w:cs="Times New Roman"/>
                <w:sz w:val="24"/>
                <w:szCs w:val="24"/>
              </w:rPr>
            </w:pPr>
            <w:r w:rsidRPr="006F145B">
              <w:rPr>
                <w:rFonts w:ascii="Times New Roman" w:hAnsi="Times New Roman" w:cs="Times New Roman"/>
                <w:sz w:val="24"/>
                <w:szCs w:val="24"/>
              </w:rPr>
              <w:t>Provide firm timelines for Tier 3 application procedures.</w:t>
            </w:r>
          </w:p>
        </w:tc>
      </w:tr>
      <w:tr w:rsidR="009232DC" w:rsidRPr="006F145B" w:rsidTr="009232DC">
        <w:trPr>
          <w:cantSplit/>
          <w:trHeight w:val="521"/>
        </w:trPr>
        <w:tc>
          <w:tcPr>
            <w:tcW w:w="1348" w:type="dxa"/>
          </w:tcPr>
          <w:p w:rsidR="009232DC" w:rsidRPr="006F145B" w:rsidRDefault="009232DC" w:rsidP="00847F94">
            <w:pPr>
              <w:rPr>
                <w:rFonts w:ascii="Times New Roman" w:hAnsi="Times New Roman" w:cs="Times New Roman"/>
                <w:sz w:val="24"/>
                <w:szCs w:val="24"/>
              </w:rPr>
            </w:pPr>
            <w:r w:rsidRPr="006F145B">
              <w:rPr>
                <w:rFonts w:ascii="Times New Roman" w:hAnsi="Times New Roman" w:cs="Times New Roman"/>
                <w:sz w:val="24"/>
                <w:szCs w:val="24"/>
              </w:rPr>
              <w:t>035</w:t>
            </w:r>
          </w:p>
        </w:tc>
        <w:tc>
          <w:tcPr>
            <w:tcW w:w="1507" w:type="dxa"/>
          </w:tcPr>
          <w:p w:rsidR="009232DC" w:rsidRPr="006F145B" w:rsidRDefault="009232DC" w:rsidP="00847F94">
            <w:pPr>
              <w:rPr>
                <w:rFonts w:ascii="Times New Roman" w:hAnsi="Times New Roman" w:cs="Times New Roman"/>
                <w:sz w:val="24"/>
                <w:szCs w:val="24"/>
              </w:rPr>
            </w:pPr>
            <w:r w:rsidRPr="006F145B">
              <w:rPr>
                <w:rFonts w:ascii="Times New Roman" w:hAnsi="Times New Roman" w:cs="Times New Roman"/>
                <w:sz w:val="24"/>
                <w:szCs w:val="24"/>
              </w:rPr>
              <w:t>Snohomish PUD</w:t>
            </w:r>
          </w:p>
        </w:tc>
        <w:tc>
          <w:tcPr>
            <w:tcW w:w="11761" w:type="dxa"/>
          </w:tcPr>
          <w:p w:rsidR="009232DC" w:rsidRPr="006F145B" w:rsidRDefault="009232DC" w:rsidP="00847F94">
            <w:pPr>
              <w:rPr>
                <w:rFonts w:ascii="Times New Roman" w:hAnsi="Times New Roman" w:cs="Times New Roman"/>
                <w:sz w:val="24"/>
                <w:szCs w:val="24"/>
              </w:rPr>
            </w:pPr>
            <w:r w:rsidRPr="006F145B">
              <w:rPr>
                <w:rFonts w:ascii="Times New Roman" w:hAnsi="Times New Roman" w:cs="Times New Roman"/>
                <w:sz w:val="24"/>
                <w:szCs w:val="24"/>
              </w:rPr>
              <w:t>A utility should retain full responsibility for evaluating the feasibility and potential impacts of interconnections.</w:t>
            </w:r>
          </w:p>
        </w:tc>
      </w:tr>
      <w:tr w:rsidR="00D447CF" w:rsidRPr="006F145B" w:rsidTr="00466753">
        <w:trPr>
          <w:cantSplit/>
        </w:trPr>
        <w:tc>
          <w:tcPr>
            <w:tcW w:w="1348" w:type="dxa"/>
          </w:tcPr>
          <w:p w:rsidR="00D447CF" w:rsidRPr="006F145B" w:rsidRDefault="00D447CF" w:rsidP="00847F94">
            <w:pPr>
              <w:rPr>
                <w:rFonts w:ascii="Times New Roman" w:hAnsi="Times New Roman" w:cs="Times New Roman"/>
                <w:sz w:val="24"/>
                <w:szCs w:val="24"/>
              </w:rPr>
            </w:pPr>
            <w:r w:rsidRPr="006F145B">
              <w:rPr>
                <w:rFonts w:ascii="Times New Roman" w:hAnsi="Times New Roman" w:cs="Times New Roman"/>
                <w:sz w:val="24"/>
                <w:szCs w:val="24"/>
              </w:rPr>
              <w:t>FFF(9)</w:t>
            </w:r>
          </w:p>
        </w:tc>
        <w:tc>
          <w:tcPr>
            <w:tcW w:w="1507" w:type="dxa"/>
          </w:tcPr>
          <w:p w:rsidR="00D447CF" w:rsidRPr="006F145B" w:rsidRDefault="00D447CF" w:rsidP="00847F94">
            <w:pPr>
              <w:rPr>
                <w:rFonts w:ascii="Times New Roman" w:hAnsi="Times New Roman" w:cs="Times New Roman"/>
                <w:sz w:val="24"/>
                <w:szCs w:val="24"/>
              </w:rPr>
            </w:pPr>
            <w:r w:rsidRPr="006F145B">
              <w:rPr>
                <w:rFonts w:ascii="Times New Roman" w:hAnsi="Times New Roman" w:cs="Times New Roman"/>
                <w:sz w:val="24"/>
                <w:szCs w:val="24"/>
              </w:rPr>
              <w:t>PacifiCorp</w:t>
            </w:r>
          </w:p>
        </w:tc>
        <w:tc>
          <w:tcPr>
            <w:tcW w:w="11761" w:type="dxa"/>
          </w:tcPr>
          <w:p w:rsidR="00D447CF" w:rsidRPr="006F145B" w:rsidRDefault="00D447CF" w:rsidP="00D447CF">
            <w:pPr>
              <w:rPr>
                <w:rFonts w:ascii="Times New Roman" w:hAnsi="Times New Roman" w:cs="Times New Roman"/>
                <w:sz w:val="24"/>
                <w:szCs w:val="24"/>
              </w:rPr>
            </w:pPr>
            <w:r w:rsidRPr="006F145B">
              <w:rPr>
                <w:rFonts w:ascii="Times New Roman" w:hAnsi="Times New Roman" w:cs="Times New Roman"/>
                <w:sz w:val="24"/>
                <w:szCs w:val="24"/>
              </w:rPr>
              <w:t>Suggests the rule reference IEEE Standard 1547 Table 1 and Table 2 rather than explain similar technical standards in the rule.</w:t>
            </w:r>
          </w:p>
        </w:tc>
      </w:tr>
    </w:tbl>
    <w:p w:rsidR="00E5446E" w:rsidRPr="006F145B" w:rsidRDefault="00E5446E" w:rsidP="00AD3312">
      <w:pPr>
        <w:rPr>
          <w:rFonts w:ascii="Times New Roman" w:hAnsi="Times New Roman" w:cs="Times New Roman"/>
          <w:sz w:val="24"/>
          <w:szCs w:val="24"/>
        </w:rPr>
      </w:pPr>
    </w:p>
    <w:sectPr w:rsidR="00E5446E" w:rsidRPr="006F145B" w:rsidSect="00D21045">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9B" w:rsidRDefault="00240B9B" w:rsidP="00A670D3">
      <w:r>
        <w:separator/>
      </w:r>
    </w:p>
  </w:endnote>
  <w:endnote w:type="continuationSeparator" w:id="0">
    <w:p w:rsidR="00240B9B" w:rsidRDefault="00240B9B"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18758"/>
      <w:docPartObj>
        <w:docPartGallery w:val="Page Numbers (Bottom of Page)"/>
        <w:docPartUnique/>
      </w:docPartObj>
    </w:sdtPr>
    <w:sdtEndPr>
      <w:rPr>
        <w:noProof/>
      </w:rPr>
    </w:sdtEndPr>
    <w:sdtContent>
      <w:p w:rsidR="00240B9B" w:rsidRDefault="00240B9B">
        <w:pPr>
          <w:pStyle w:val="Footer"/>
          <w:jc w:val="center"/>
        </w:pPr>
        <w:r>
          <w:fldChar w:fldCharType="begin"/>
        </w:r>
        <w:r>
          <w:instrText xml:space="preserve"> PAGE   \* MERGEFORMAT </w:instrText>
        </w:r>
        <w:r>
          <w:fldChar w:fldCharType="separate"/>
        </w:r>
        <w:r w:rsidR="006063ED">
          <w:rPr>
            <w:noProof/>
          </w:rPr>
          <w:t>1</w:t>
        </w:r>
        <w:r>
          <w:rPr>
            <w:noProof/>
          </w:rPr>
          <w:fldChar w:fldCharType="end"/>
        </w:r>
      </w:p>
    </w:sdtContent>
  </w:sdt>
  <w:p w:rsidR="00240B9B" w:rsidRDefault="00240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9B" w:rsidRDefault="00240B9B" w:rsidP="00A670D3">
      <w:r>
        <w:separator/>
      </w:r>
    </w:p>
  </w:footnote>
  <w:footnote w:type="continuationSeparator" w:id="0">
    <w:p w:rsidR="00240B9B" w:rsidRDefault="00240B9B" w:rsidP="00A67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0FD1"/>
    <w:multiLevelType w:val="hybridMultilevel"/>
    <w:tmpl w:val="B54CC360"/>
    <w:lvl w:ilvl="0" w:tplc="AF9C6502">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594490"/>
    <w:multiLevelType w:val="hybridMultilevel"/>
    <w:tmpl w:val="057A71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3B5241"/>
    <w:multiLevelType w:val="hybridMultilevel"/>
    <w:tmpl w:val="7F22C318"/>
    <w:lvl w:ilvl="0" w:tplc="1CA2F8A8">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58752E"/>
    <w:multiLevelType w:val="hybridMultilevel"/>
    <w:tmpl w:val="7E1A45FC"/>
    <w:lvl w:ilvl="0" w:tplc="22C682F0">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DC2864"/>
    <w:multiLevelType w:val="hybridMultilevel"/>
    <w:tmpl w:val="3BDA93E2"/>
    <w:lvl w:ilvl="0" w:tplc="CC9AC1D0">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D8364B"/>
    <w:multiLevelType w:val="hybridMultilevel"/>
    <w:tmpl w:val="7736C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A32911"/>
    <w:multiLevelType w:val="hybridMultilevel"/>
    <w:tmpl w:val="18F25734"/>
    <w:lvl w:ilvl="0" w:tplc="F0D8483C">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4C7EB3"/>
    <w:multiLevelType w:val="hybridMultilevel"/>
    <w:tmpl w:val="DBF852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4A5AF1"/>
    <w:multiLevelType w:val="hybridMultilevel"/>
    <w:tmpl w:val="AEEE8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6374C6"/>
    <w:multiLevelType w:val="hybridMultilevel"/>
    <w:tmpl w:val="9C0ABB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8"/>
  </w:num>
  <w:num w:numId="4">
    <w:abstractNumId w:val="7"/>
  </w:num>
  <w:num w:numId="5">
    <w:abstractNumId w:val="1"/>
  </w:num>
  <w:num w:numId="6">
    <w:abstractNumId w:val="0"/>
  </w:num>
  <w:num w:numId="7">
    <w:abstractNumId w:val="2"/>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6E"/>
    <w:rsid w:val="0002695A"/>
    <w:rsid w:val="00040E67"/>
    <w:rsid w:val="00061613"/>
    <w:rsid w:val="000C1215"/>
    <w:rsid w:val="000E640C"/>
    <w:rsid w:val="000F08A4"/>
    <w:rsid w:val="000F7DAB"/>
    <w:rsid w:val="001871AE"/>
    <w:rsid w:val="00192EAD"/>
    <w:rsid w:val="001A30DE"/>
    <w:rsid w:val="001C5AB1"/>
    <w:rsid w:val="001D5869"/>
    <w:rsid w:val="001E1D7A"/>
    <w:rsid w:val="001E7DB8"/>
    <w:rsid w:val="001F2590"/>
    <w:rsid w:val="00205A25"/>
    <w:rsid w:val="00223BB7"/>
    <w:rsid w:val="00227BE7"/>
    <w:rsid w:val="00231BD7"/>
    <w:rsid w:val="00240B9B"/>
    <w:rsid w:val="002722D6"/>
    <w:rsid w:val="002806E8"/>
    <w:rsid w:val="00290A51"/>
    <w:rsid w:val="002C039A"/>
    <w:rsid w:val="00316699"/>
    <w:rsid w:val="003175C3"/>
    <w:rsid w:val="0032791C"/>
    <w:rsid w:val="00377242"/>
    <w:rsid w:val="003813C9"/>
    <w:rsid w:val="003930C3"/>
    <w:rsid w:val="003B0501"/>
    <w:rsid w:val="004029E5"/>
    <w:rsid w:val="004205E7"/>
    <w:rsid w:val="00421EFD"/>
    <w:rsid w:val="0042745B"/>
    <w:rsid w:val="00433607"/>
    <w:rsid w:val="0045798C"/>
    <w:rsid w:val="00462F60"/>
    <w:rsid w:val="004662A0"/>
    <w:rsid w:val="00466753"/>
    <w:rsid w:val="00517CAA"/>
    <w:rsid w:val="00524504"/>
    <w:rsid w:val="00526935"/>
    <w:rsid w:val="00552600"/>
    <w:rsid w:val="00563FC9"/>
    <w:rsid w:val="00594125"/>
    <w:rsid w:val="005968DD"/>
    <w:rsid w:val="005A6C74"/>
    <w:rsid w:val="005B4C19"/>
    <w:rsid w:val="005B5FAB"/>
    <w:rsid w:val="005F1B5D"/>
    <w:rsid w:val="006063ED"/>
    <w:rsid w:val="00606A82"/>
    <w:rsid w:val="0062756B"/>
    <w:rsid w:val="006418DB"/>
    <w:rsid w:val="00672F7B"/>
    <w:rsid w:val="00674EE4"/>
    <w:rsid w:val="006A41EE"/>
    <w:rsid w:val="006E70B6"/>
    <w:rsid w:val="006F145B"/>
    <w:rsid w:val="00756C12"/>
    <w:rsid w:val="007846CF"/>
    <w:rsid w:val="0078501A"/>
    <w:rsid w:val="00797B13"/>
    <w:rsid w:val="007B0218"/>
    <w:rsid w:val="007D2DC0"/>
    <w:rsid w:val="007D7ED4"/>
    <w:rsid w:val="0081450E"/>
    <w:rsid w:val="00841AC3"/>
    <w:rsid w:val="00847F94"/>
    <w:rsid w:val="0085072A"/>
    <w:rsid w:val="00851E8C"/>
    <w:rsid w:val="00867C91"/>
    <w:rsid w:val="00872463"/>
    <w:rsid w:val="008846D7"/>
    <w:rsid w:val="00894ED7"/>
    <w:rsid w:val="0089675C"/>
    <w:rsid w:val="008B2DEA"/>
    <w:rsid w:val="008C04A9"/>
    <w:rsid w:val="008D5B79"/>
    <w:rsid w:val="009232DC"/>
    <w:rsid w:val="00942CAE"/>
    <w:rsid w:val="00960598"/>
    <w:rsid w:val="00977282"/>
    <w:rsid w:val="00A2428B"/>
    <w:rsid w:val="00A354B2"/>
    <w:rsid w:val="00A4660F"/>
    <w:rsid w:val="00A55D57"/>
    <w:rsid w:val="00A670D3"/>
    <w:rsid w:val="00A84C2A"/>
    <w:rsid w:val="00A8629C"/>
    <w:rsid w:val="00AD3312"/>
    <w:rsid w:val="00AD6312"/>
    <w:rsid w:val="00AD6F0B"/>
    <w:rsid w:val="00AE2148"/>
    <w:rsid w:val="00AE273E"/>
    <w:rsid w:val="00B0799A"/>
    <w:rsid w:val="00B13041"/>
    <w:rsid w:val="00B14E42"/>
    <w:rsid w:val="00B16D84"/>
    <w:rsid w:val="00B260E7"/>
    <w:rsid w:val="00B348A5"/>
    <w:rsid w:val="00B36D2C"/>
    <w:rsid w:val="00B4735E"/>
    <w:rsid w:val="00BD0229"/>
    <w:rsid w:val="00C456E9"/>
    <w:rsid w:val="00C65CF0"/>
    <w:rsid w:val="00C97CD4"/>
    <w:rsid w:val="00CA4A42"/>
    <w:rsid w:val="00CE6912"/>
    <w:rsid w:val="00CF4DF8"/>
    <w:rsid w:val="00D21045"/>
    <w:rsid w:val="00D212BB"/>
    <w:rsid w:val="00D447CF"/>
    <w:rsid w:val="00DA1B86"/>
    <w:rsid w:val="00DA326A"/>
    <w:rsid w:val="00DB69ED"/>
    <w:rsid w:val="00DC64C2"/>
    <w:rsid w:val="00DD2A47"/>
    <w:rsid w:val="00DE75B8"/>
    <w:rsid w:val="00E07851"/>
    <w:rsid w:val="00E10290"/>
    <w:rsid w:val="00E23031"/>
    <w:rsid w:val="00E5446E"/>
    <w:rsid w:val="00E73F3E"/>
    <w:rsid w:val="00E762B0"/>
    <w:rsid w:val="00E828AC"/>
    <w:rsid w:val="00E87D0E"/>
    <w:rsid w:val="00EA08B6"/>
    <w:rsid w:val="00ED0095"/>
    <w:rsid w:val="00EF02FE"/>
    <w:rsid w:val="00EF3F12"/>
    <w:rsid w:val="00F002BF"/>
    <w:rsid w:val="00F21B68"/>
    <w:rsid w:val="00F41F04"/>
    <w:rsid w:val="00F855B9"/>
    <w:rsid w:val="00F972CC"/>
    <w:rsid w:val="00FC1953"/>
    <w:rsid w:val="00FC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466753"/>
    <w:rPr>
      <w:sz w:val="16"/>
      <w:szCs w:val="16"/>
    </w:rPr>
  </w:style>
  <w:style w:type="paragraph" w:styleId="CommentText">
    <w:name w:val="annotation text"/>
    <w:basedOn w:val="Normal"/>
    <w:link w:val="CommentTextChar"/>
    <w:uiPriority w:val="99"/>
    <w:semiHidden/>
    <w:unhideWhenUsed/>
    <w:rsid w:val="00466753"/>
    <w:pPr>
      <w:spacing w:after="200"/>
    </w:pPr>
    <w:rPr>
      <w:sz w:val="20"/>
      <w:szCs w:val="20"/>
    </w:rPr>
  </w:style>
  <w:style w:type="character" w:customStyle="1" w:styleId="CommentTextChar">
    <w:name w:val="Comment Text Char"/>
    <w:basedOn w:val="DefaultParagraphFont"/>
    <w:link w:val="CommentText"/>
    <w:uiPriority w:val="99"/>
    <w:semiHidden/>
    <w:rsid w:val="004667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466753"/>
    <w:rPr>
      <w:sz w:val="16"/>
      <w:szCs w:val="16"/>
    </w:rPr>
  </w:style>
  <w:style w:type="paragraph" w:styleId="CommentText">
    <w:name w:val="annotation text"/>
    <w:basedOn w:val="Normal"/>
    <w:link w:val="CommentTextChar"/>
    <w:uiPriority w:val="99"/>
    <w:semiHidden/>
    <w:unhideWhenUsed/>
    <w:rsid w:val="00466753"/>
    <w:pPr>
      <w:spacing w:after="200"/>
    </w:pPr>
    <w:rPr>
      <w:sz w:val="20"/>
      <w:szCs w:val="20"/>
    </w:rPr>
  </w:style>
  <w:style w:type="character" w:customStyle="1" w:styleId="CommentTextChar">
    <w:name w:val="Comment Text Char"/>
    <w:basedOn w:val="DefaultParagraphFont"/>
    <w:link w:val="CommentText"/>
    <w:uiPriority w:val="99"/>
    <w:semiHidden/>
    <w:rsid w:val="004667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6097E5-318D-45CB-AB2E-93F791780E10}"/>
</file>

<file path=customXml/itemProps2.xml><?xml version="1.0" encoding="utf-8"?>
<ds:datastoreItem xmlns:ds="http://schemas.openxmlformats.org/officeDocument/2006/customXml" ds:itemID="{5E185178-A46C-4F5E-B298-BFB27A2C74DB}"/>
</file>

<file path=customXml/itemProps3.xml><?xml version="1.0" encoding="utf-8"?>
<ds:datastoreItem xmlns:ds="http://schemas.openxmlformats.org/officeDocument/2006/customXml" ds:itemID="{2A5BCA5B-C9E3-4CE9-B036-256BBDF057C6}"/>
</file>

<file path=customXml/itemProps4.xml><?xml version="1.0" encoding="utf-8"?>
<ds:datastoreItem xmlns:ds="http://schemas.openxmlformats.org/officeDocument/2006/customXml" ds:itemID="{637F2AB0-C9C5-4A96-A11F-72A28471AB44}"/>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2013-04-12T18:09:00Z</dcterms:created>
  <dcterms:modified xsi:type="dcterms:W3CDTF">2013-04-12T18:09:00Z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