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1F9" w:rsidRDefault="006D6562">
      <w:pPr>
        <w:spacing w:after="200" w:line="276" w:lineRule="auto"/>
      </w:pPr>
      <w:bookmarkStart w:id="0" w:name="_Toc234046346"/>
      <w:bookmarkStart w:id="1" w:name="_Toc165107947"/>
      <w:bookmarkStart w:id="2" w:name="_Ref165107126"/>
      <w:r>
        <w:rPr>
          <w:noProof/>
          <w:lang w:eastAsia="en-US"/>
        </w:rPr>
        <w:drawing>
          <wp:inline distT="0" distB="0" distL="0" distR="0">
            <wp:extent cx="2853546" cy="549537"/>
            <wp:effectExtent l="19050" t="0" r="3954" b="0"/>
            <wp:docPr id="3" name="Picture 2" descr="http://idoc.pacificorp.us/content/dam/intranet/image/cn/in_the_news/cccc/logos/PacifiCorp-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doc.pacificorp.us/content/dam/intranet/image/cn/in_the_news/cccc/logos/PacifiCorp-newlogo.jpg"/>
                    <pic:cNvPicPr>
                      <a:picLocks noChangeAspect="1" noChangeArrowheads="1"/>
                    </pic:cNvPicPr>
                  </pic:nvPicPr>
                  <pic:blipFill>
                    <a:blip r:embed="rId7"/>
                    <a:srcRect/>
                    <a:stretch>
                      <a:fillRect/>
                    </a:stretch>
                  </pic:blipFill>
                  <pic:spPr bwMode="auto">
                    <a:xfrm>
                      <a:off x="0" y="0"/>
                      <a:ext cx="2854481" cy="549717"/>
                    </a:xfrm>
                    <a:prstGeom prst="rect">
                      <a:avLst/>
                    </a:prstGeom>
                    <a:noFill/>
                    <a:ln w="9525">
                      <a:noFill/>
                      <a:miter lim="800000"/>
                      <a:headEnd/>
                      <a:tailEnd/>
                    </a:ln>
                  </pic:spPr>
                </pic:pic>
              </a:graphicData>
            </a:graphic>
          </wp:inline>
        </w:drawing>
      </w:r>
    </w:p>
    <w:p w:rsidR="00E061F9" w:rsidRDefault="00E061F9">
      <w:pPr>
        <w:spacing w:after="200" w:line="276" w:lineRule="auto"/>
      </w:pPr>
    </w:p>
    <w:p w:rsidR="00E061F9" w:rsidRDefault="00E061F9">
      <w:pPr>
        <w:spacing w:after="200" w:line="276" w:lineRule="auto"/>
      </w:pPr>
    </w:p>
    <w:p w:rsidR="00E061F9" w:rsidRDefault="00E061F9">
      <w:pPr>
        <w:spacing w:after="200" w:line="276" w:lineRule="auto"/>
      </w:pPr>
    </w:p>
    <w:p w:rsidR="006D6562" w:rsidRDefault="006D6562">
      <w:pPr>
        <w:spacing w:after="200" w:line="276" w:lineRule="auto"/>
      </w:pPr>
    </w:p>
    <w:p w:rsidR="006D6562" w:rsidRDefault="006D6562">
      <w:pPr>
        <w:spacing w:after="200" w:line="276" w:lineRule="auto"/>
      </w:pPr>
    </w:p>
    <w:p w:rsidR="00E061F9" w:rsidRPr="002F738C" w:rsidRDefault="00E061F9" w:rsidP="00E061F9">
      <w:pPr>
        <w:spacing w:after="200"/>
        <w:contextualSpacing/>
        <w:jc w:val="center"/>
        <w:rPr>
          <w:sz w:val="72"/>
          <w:szCs w:val="72"/>
        </w:rPr>
      </w:pPr>
      <w:r w:rsidRPr="002F738C">
        <w:rPr>
          <w:sz w:val="72"/>
          <w:szCs w:val="72"/>
        </w:rPr>
        <w:t>2010</w:t>
      </w:r>
      <w:r w:rsidR="00670568">
        <w:rPr>
          <w:sz w:val="72"/>
          <w:szCs w:val="72"/>
        </w:rPr>
        <w:t>-</w:t>
      </w:r>
      <w:r w:rsidRPr="002F738C">
        <w:rPr>
          <w:sz w:val="72"/>
          <w:szCs w:val="72"/>
        </w:rPr>
        <w:t xml:space="preserve">2011 </w:t>
      </w:r>
    </w:p>
    <w:p w:rsidR="00E061F9" w:rsidRPr="002F738C" w:rsidRDefault="00E061F9" w:rsidP="00E061F9">
      <w:pPr>
        <w:spacing w:after="200"/>
        <w:contextualSpacing/>
        <w:jc w:val="center"/>
        <w:rPr>
          <w:sz w:val="72"/>
          <w:szCs w:val="72"/>
        </w:rPr>
      </w:pPr>
      <w:r w:rsidRPr="002F738C">
        <w:rPr>
          <w:sz w:val="72"/>
          <w:szCs w:val="72"/>
        </w:rPr>
        <w:t xml:space="preserve">Biennial Conservation Report </w:t>
      </w:r>
    </w:p>
    <w:p w:rsidR="00E061F9" w:rsidRPr="002F738C" w:rsidRDefault="00E061F9" w:rsidP="00E061F9">
      <w:pPr>
        <w:spacing w:after="200"/>
        <w:contextualSpacing/>
        <w:jc w:val="center"/>
        <w:rPr>
          <w:sz w:val="72"/>
          <w:szCs w:val="72"/>
        </w:rPr>
      </w:pPr>
    </w:p>
    <w:p w:rsidR="00E061F9" w:rsidRPr="00E061F9" w:rsidRDefault="00E061F9" w:rsidP="00E061F9">
      <w:pPr>
        <w:spacing w:after="200"/>
        <w:contextualSpacing/>
        <w:jc w:val="center"/>
        <w:rPr>
          <w:sz w:val="80"/>
          <w:szCs w:val="80"/>
        </w:rPr>
      </w:pPr>
      <w:r w:rsidRPr="002F738C">
        <w:rPr>
          <w:sz w:val="72"/>
          <w:szCs w:val="72"/>
        </w:rPr>
        <w:t>Washington</w:t>
      </w:r>
    </w:p>
    <w:p w:rsidR="00E061F9" w:rsidRDefault="00E061F9">
      <w:r>
        <w:br w:type="page"/>
      </w:r>
    </w:p>
    <w:p w:rsidR="00E061F9" w:rsidRPr="00E061F9" w:rsidRDefault="00E061F9">
      <w:pPr>
        <w:spacing w:after="200" w:line="276" w:lineRule="auto"/>
      </w:pPr>
    </w:p>
    <w:sdt>
      <w:sdtPr>
        <w:rPr>
          <w:rFonts w:ascii="Times New Roman" w:eastAsia="MS Mincho" w:hAnsi="Times New Roman" w:cs="Times New Roman"/>
          <w:b w:val="0"/>
          <w:bCs w:val="0"/>
          <w:color w:val="auto"/>
          <w:sz w:val="24"/>
          <w:szCs w:val="24"/>
          <w:lang w:eastAsia="ja-JP"/>
        </w:rPr>
        <w:id w:val="74496571"/>
        <w:docPartObj>
          <w:docPartGallery w:val="Table of Contents"/>
          <w:docPartUnique/>
        </w:docPartObj>
      </w:sdtPr>
      <w:sdtContent>
        <w:p w:rsidR="00A32AFB" w:rsidRDefault="00A32AFB">
          <w:pPr>
            <w:pStyle w:val="TOCHeading"/>
          </w:pPr>
          <w:r>
            <w:t>Table of Contents</w:t>
          </w:r>
        </w:p>
        <w:p w:rsidR="005E683C" w:rsidRDefault="00EC7E7D">
          <w:pPr>
            <w:pStyle w:val="TOC1"/>
            <w:tabs>
              <w:tab w:val="right" w:leader="dot" w:pos="8630"/>
            </w:tabs>
            <w:rPr>
              <w:rFonts w:asciiTheme="minorHAnsi" w:eastAsiaTheme="minorEastAsia" w:hAnsiTheme="minorHAnsi" w:cstheme="minorBidi"/>
              <w:noProof/>
              <w:sz w:val="22"/>
              <w:szCs w:val="22"/>
              <w:lang w:eastAsia="en-US"/>
            </w:rPr>
          </w:pPr>
          <w:r>
            <w:fldChar w:fldCharType="begin"/>
          </w:r>
          <w:r w:rsidR="00A32AFB">
            <w:instrText xml:space="preserve"> TOC \o "1-3" \h \z \u </w:instrText>
          </w:r>
          <w:r>
            <w:fldChar w:fldCharType="separate"/>
          </w:r>
          <w:hyperlink w:anchor="_Toc325017665" w:history="1">
            <w:r w:rsidR="005E683C" w:rsidRPr="0081423F">
              <w:rPr>
                <w:rStyle w:val="Hyperlink"/>
                <w:noProof/>
              </w:rPr>
              <w:t>Introduction</w:t>
            </w:r>
            <w:r w:rsidR="005E683C">
              <w:rPr>
                <w:noProof/>
                <w:webHidden/>
              </w:rPr>
              <w:tab/>
            </w:r>
            <w:r>
              <w:rPr>
                <w:noProof/>
                <w:webHidden/>
              </w:rPr>
              <w:fldChar w:fldCharType="begin"/>
            </w:r>
            <w:r w:rsidR="005E683C">
              <w:rPr>
                <w:noProof/>
                <w:webHidden/>
              </w:rPr>
              <w:instrText xml:space="preserve"> PAGEREF _Toc325017665 \h </w:instrText>
            </w:r>
            <w:r>
              <w:rPr>
                <w:noProof/>
                <w:webHidden/>
              </w:rPr>
            </w:r>
            <w:r>
              <w:rPr>
                <w:noProof/>
                <w:webHidden/>
              </w:rPr>
              <w:fldChar w:fldCharType="separate"/>
            </w:r>
            <w:r w:rsidR="005E683C">
              <w:rPr>
                <w:noProof/>
                <w:webHidden/>
              </w:rPr>
              <w:t>3</w:t>
            </w:r>
            <w:r>
              <w:rPr>
                <w:noProof/>
                <w:webHidden/>
              </w:rPr>
              <w:fldChar w:fldCharType="end"/>
            </w:r>
          </w:hyperlink>
        </w:p>
        <w:p w:rsidR="005E683C" w:rsidRDefault="00EC7E7D">
          <w:pPr>
            <w:pStyle w:val="TOC1"/>
            <w:tabs>
              <w:tab w:val="right" w:leader="dot" w:pos="8630"/>
            </w:tabs>
            <w:rPr>
              <w:rFonts w:asciiTheme="minorHAnsi" w:eastAsiaTheme="minorEastAsia" w:hAnsiTheme="minorHAnsi" w:cstheme="minorBidi"/>
              <w:noProof/>
              <w:sz w:val="22"/>
              <w:szCs w:val="22"/>
              <w:lang w:eastAsia="en-US"/>
            </w:rPr>
          </w:pPr>
          <w:hyperlink w:anchor="_Toc325017666" w:history="1">
            <w:r w:rsidR="005E683C" w:rsidRPr="0081423F">
              <w:rPr>
                <w:rStyle w:val="Hyperlink"/>
                <w:noProof/>
              </w:rPr>
              <w:t>Executive Summary</w:t>
            </w:r>
            <w:r w:rsidR="005E683C">
              <w:rPr>
                <w:noProof/>
                <w:webHidden/>
              </w:rPr>
              <w:tab/>
            </w:r>
            <w:r>
              <w:rPr>
                <w:noProof/>
                <w:webHidden/>
              </w:rPr>
              <w:fldChar w:fldCharType="begin"/>
            </w:r>
            <w:r w:rsidR="005E683C">
              <w:rPr>
                <w:noProof/>
                <w:webHidden/>
              </w:rPr>
              <w:instrText xml:space="preserve"> PAGEREF _Toc325017666 \h </w:instrText>
            </w:r>
            <w:r>
              <w:rPr>
                <w:noProof/>
                <w:webHidden/>
              </w:rPr>
            </w:r>
            <w:r>
              <w:rPr>
                <w:noProof/>
                <w:webHidden/>
              </w:rPr>
              <w:fldChar w:fldCharType="separate"/>
            </w:r>
            <w:r w:rsidR="005E683C">
              <w:rPr>
                <w:noProof/>
                <w:webHidden/>
              </w:rPr>
              <w:t>4</w:t>
            </w:r>
            <w:r>
              <w:rPr>
                <w:noProof/>
                <w:webHidden/>
              </w:rPr>
              <w:fldChar w:fldCharType="end"/>
            </w:r>
          </w:hyperlink>
        </w:p>
        <w:p w:rsidR="005E683C" w:rsidRDefault="00EC7E7D">
          <w:pPr>
            <w:pStyle w:val="TOC1"/>
            <w:tabs>
              <w:tab w:val="right" w:leader="dot" w:pos="8630"/>
            </w:tabs>
            <w:rPr>
              <w:rFonts w:asciiTheme="minorHAnsi" w:eastAsiaTheme="minorEastAsia" w:hAnsiTheme="minorHAnsi" w:cstheme="minorBidi"/>
              <w:noProof/>
              <w:sz w:val="22"/>
              <w:szCs w:val="22"/>
              <w:lang w:eastAsia="en-US"/>
            </w:rPr>
          </w:pPr>
          <w:hyperlink w:anchor="_Toc325017667" w:history="1">
            <w:r w:rsidR="005E683C" w:rsidRPr="0081423F">
              <w:rPr>
                <w:rStyle w:val="Hyperlink"/>
                <w:noProof/>
                <w:lang w:eastAsia="en-US"/>
              </w:rPr>
              <w:t>Energy Independence Act (I-937) Commerce Conservation Report</w:t>
            </w:r>
            <w:r w:rsidR="005E683C">
              <w:rPr>
                <w:noProof/>
                <w:webHidden/>
              </w:rPr>
              <w:tab/>
            </w:r>
            <w:r>
              <w:rPr>
                <w:noProof/>
                <w:webHidden/>
              </w:rPr>
              <w:fldChar w:fldCharType="begin"/>
            </w:r>
            <w:r w:rsidR="005E683C">
              <w:rPr>
                <w:noProof/>
                <w:webHidden/>
              </w:rPr>
              <w:instrText xml:space="preserve"> PAGEREF _Toc325017667 \h </w:instrText>
            </w:r>
            <w:r>
              <w:rPr>
                <w:noProof/>
                <w:webHidden/>
              </w:rPr>
            </w:r>
            <w:r>
              <w:rPr>
                <w:noProof/>
                <w:webHidden/>
              </w:rPr>
              <w:fldChar w:fldCharType="separate"/>
            </w:r>
            <w:r w:rsidR="005E683C">
              <w:rPr>
                <w:noProof/>
                <w:webHidden/>
              </w:rPr>
              <w:t>5</w:t>
            </w:r>
            <w:r>
              <w:rPr>
                <w:noProof/>
                <w:webHidden/>
              </w:rPr>
              <w:fldChar w:fldCharType="end"/>
            </w:r>
          </w:hyperlink>
        </w:p>
        <w:p w:rsidR="005E683C" w:rsidRDefault="00EC7E7D">
          <w:pPr>
            <w:pStyle w:val="TOC1"/>
            <w:tabs>
              <w:tab w:val="right" w:leader="dot" w:pos="8630"/>
            </w:tabs>
            <w:rPr>
              <w:rFonts w:asciiTheme="minorHAnsi" w:eastAsiaTheme="minorEastAsia" w:hAnsiTheme="minorHAnsi" w:cstheme="minorBidi"/>
              <w:noProof/>
              <w:sz w:val="22"/>
              <w:szCs w:val="22"/>
              <w:lang w:eastAsia="en-US"/>
            </w:rPr>
          </w:pPr>
          <w:hyperlink w:anchor="_Toc325017668" w:history="1">
            <w:r w:rsidR="005E683C" w:rsidRPr="0081423F">
              <w:rPr>
                <w:rStyle w:val="Hyperlink"/>
                <w:noProof/>
              </w:rPr>
              <w:t>Biennial Target Compared to Actual</w:t>
            </w:r>
            <w:r w:rsidR="005E683C">
              <w:rPr>
                <w:noProof/>
                <w:webHidden/>
              </w:rPr>
              <w:tab/>
            </w:r>
            <w:r>
              <w:rPr>
                <w:noProof/>
                <w:webHidden/>
              </w:rPr>
              <w:fldChar w:fldCharType="begin"/>
            </w:r>
            <w:r w:rsidR="005E683C">
              <w:rPr>
                <w:noProof/>
                <w:webHidden/>
              </w:rPr>
              <w:instrText xml:space="preserve"> PAGEREF _Toc325017668 \h </w:instrText>
            </w:r>
            <w:r>
              <w:rPr>
                <w:noProof/>
                <w:webHidden/>
              </w:rPr>
            </w:r>
            <w:r>
              <w:rPr>
                <w:noProof/>
                <w:webHidden/>
              </w:rPr>
              <w:fldChar w:fldCharType="separate"/>
            </w:r>
            <w:r w:rsidR="005E683C">
              <w:rPr>
                <w:noProof/>
                <w:webHidden/>
              </w:rPr>
              <w:t>7</w:t>
            </w:r>
            <w:r>
              <w:rPr>
                <w:noProof/>
                <w:webHidden/>
              </w:rPr>
              <w:fldChar w:fldCharType="end"/>
            </w:r>
          </w:hyperlink>
        </w:p>
        <w:p w:rsidR="005E683C" w:rsidRDefault="00EC7E7D">
          <w:pPr>
            <w:pStyle w:val="TOC1"/>
            <w:tabs>
              <w:tab w:val="right" w:leader="dot" w:pos="8630"/>
            </w:tabs>
            <w:rPr>
              <w:rFonts w:asciiTheme="minorHAnsi" w:eastAsiaTheme="minorEastAsia" w:hAnsiTheme="minorHAnsi" w:cstheme="minorBidi"/>
              <w:noProof/>
              <w:sz w:val="22"/>
              <w:szCs w:val="22"/>
              <w:lang w:eastAsia="en-US"/>
            </w:rPr>
          </w:pPr>
          <w:hyperlink w:anchor="_Toc325017669" w:history="1">
            <w:r w:rsidR="005E683C" w:rsidRPr="0081423F">
              <w:rPr>
                <w:rStyle w:val="Hyperlink"/>
                <w:noProof/>
              </w:rPr>
              <w:t>Savings Reporting Adjustments</w:t>
            </w:r>
            <w:r w:rsidR="005E683C">
              <w:rPr>
                <w:noProof/>
                <w:webHidden/>
              </w:rPr>
              <w:tab/>
            </w:r>
            <w:r>
              <w:rPr>
                <w:noProof/>
                <w:webHidden/>
              </w:rPr>
              <w:fldChar w:fldCharType="begin"/>
            </w:r>
            <w:r w:rsidR="005E683C">
              <w:rPr>
                <w:noProof/>
                <w:webHidden/>
              </w:rPr>
              <w:instrText xml:space="preserve"> PAGEREF _Toc325017669 \h </w:instrText>
            </w:r>
            <w:r>
              <w:rPr>
                <w:noProof/>
                <w:webHidden/>
              </w:rPr>
            </w:r>
            <w:r>
              <w:rPr>
                <w:noProof/>
                <w:webHidden/>
              </w:rPr>
              <w:fldChar w:fldCharType="separate"/>
            </w:r>
            <w:r w:rsidR="005E683C">
              <w:rPr>
                <w:noProof/>
                <w:webHidden/>
              </w:rPr>
              <w:t>10</w:t>
            </w:r>
            <w:r>
              <w:rPr>
                <w:noProof/>
                <w:webHidden/>
              </w:rPr>
              <w:fldChar w:fldCharType="end"/>
            </w:r>
          </w:hyperlink>
        </w:p>
        <w:p w:rsidR="005E683C" w:rsidRDefault="00EC7E7D">
          <w:pPr>
            <w:pStyle w:val="TOC1"/>
            <w:tabs>
              <w:tab w:val="right" w:leader="dot" w:pos="8630"/>
            </w:tabs>
            <w:rPr>
              <w:rFonts w:asciiTheme="minorHAnsi" w:eastAsiaTheme="minorEastAsia" w:hAnsiTheme="minorHAnsi" w:cstheme="minorBidi"/>
              <w:noProof/>
              <w:sz w:val="22"/>
              <w:szCs w:val="22"/>
              <w:lang w:eastAsia="en-US"/>
            </w:rPr>
          </w:pPr>
          <w:hyperlink w:anchor="_Toc325017670" w:history="1">
            <w:r w:rsidR="005E683C" w:rsidRPr="0081423F">
              <w:rPr>
                <w:rStyle w:val="Hyperlink"/>
                <w:noProof/>
              </w:rPr>
              <w:t>Supporting Documents for Conservation</w:t>
            </w:r>
            <w:r w:rsidR="005E683C">
              <w:rPr>
                <w:noProof/>
                <w:webHidden/>
              </w:rPr>
              <w:tab/>
            </w:r>
            <w:r>
              <w:rPr>
                <w:noProof/>
                <w:webHidden/>
              </w:rPr>
              <w:fldChar w:fldCharType="begin"/>
            </w:r>
            <w:r w:rsidR="005E683C">
              <w:rPr>
                <w:noProof/>
                <w:webHidden/>
              </w:rPr>
              <w:instrText xml:space="preserve"> PAGEREF _Toc325017670 \h </w:instrText>
            </w:r>
            <w:r>
              <w:rPr>
                <w:noProof/>
                <w:webHidden/>
              </w:rPr>
            </w:r>
            <w:r>
              <w:rPr>
                <w:noProof/>
                <w:webHidden/>
              </w:rPr>
              <w:fldChar w:fldCharType="separate"/>
            </w:r>
            <w:r w:rsidR="005E683C">
              <w:rPr>
                <w:noProof/>
                <w:webHidden/>
              </w:rPr>
              <w:t>17</w:t>
            </w:r>
            <w:r>
              <w:rPr>
                <w:noProof/>
                <w:webHidden/>
              </w:rPr>
              <w:fldChar w:fldCharType="end"/>
            </w:r>
          </w:hyperlink>
        </w:p>
        <w:p w:rsidR="005E683C" w:rsidRDefault="00EC7E7D">
          <w:pPr>
            <w:pStyle w:val="TOC1"/>
            <w:tabs>
              <w:tab w:val="right" w:leader="dot" w:pos="8630"/>
            </w:tabs>
            <w:rPr>
              <w:rFonts w:asciiTheme="minorHAnsi" w:eastAsiaTheme="minorEastAsia" w:hAnsiTheme="minorHAnsi" w:cstheme="minorBidi"/>
              <w:noProof/>
              <w:sz w:val="22"/>
              <w:szCs w:val="22"/>
              <w:lang w:eastAsia="en-US"/>
            </w:rPr>
          </w:pPr>
          <w:hyperlink w:anchor="_Toc325017671" w:history="1">
            <w:r w:rsidR="005E683C" w:rsidRPr="0081423F">
              <w:rPr>
                <w:rStyle w:val="Hyperlink"/>
                <w:noProof/>
              </w:rPr>
              <w:t>Appendices</w:t>
            </w:r>
            <w:r w:rsidR="005E683C">
              <w:rPr>
                <w:noProof/>
                <w:webHidden/>
              </w:rPr>
              <w:tab/>
            </w:r>
            <w:r>
              <w:rPr>
                <w:noProof/>
                <w:webHidden/>
              </w:rPr>
              <w:fldChar w:fldCharType="begin"/>
            </w:r>
            <w:r w:rsidR="005E683C">
              <w:rPr>
                <w:noProof/>
                <w:webHidden/>
              </w:rPr>
              <w:instrText xml:space="preserve"> PAGEREF _Toc325017671 \h </w:instrText>
            </w:r>
            <w:r>
              <w:rPr>
                <w:noProof/>
                <w:webHidden/>
              </w:rPr>
            </w:r>
            <w:r>
              <w:rPr>
                <w:noProof/>
                <w:webHidden/>
              </w:rPr>
              <w:fldChar w:fldCharType="separate"/>
            </w:r>
            <w:r w:rsidR="005E683C">
              <w:rPr>
                <w:noProof/>
                <w:webHidden/>
              </w:rPr>
              <w:t>18</w:t>
            </w:r>
            <w:r>
              <w:rPr>
                <w:noProof/>
                <w:webHidden/>
              </w:rPr>
              <w:fldChar w:fldCharType="end"/>
            </w:r>
          </w:hyperlink>
        </w:p>
        <w:p w:rsidR="005E683C" w:rsidRDefault="00EC7E7D">
          <w:pPr>
            <w:pStyle w:val="TOC2"/>
            <w:tabs>
              <w:tab w:val="right" w:leader="dot" w:pos="8630"/>
            </w:tabs>
            <w:rPr>
              <w:rFonts w:asciiTheme="minorHAnsi" w:eastAsiaTheme="minorEastAsia" w:hAnsiTheme="minorHAnsi" w:cstheme="minorBidi"/>
              <w:noProof/>
            </w:rPr>
          </w:pPr>
          <w:hyperlink w:anchor="_Toc325017672" w:history="1">
            <w:r w:rsidR="005E683C" w:rsidRPr="0081423F">
              <w:rPr>
                <w:rStyle w:val="Hyperlink"/>
                <w:rFonts w:ascii="Times New Roman" w:hAnsi="Times New Roman" w:cs="Times New Roman"/>
                <w:noProof/>
              </w:rPr>
              <w:t>Appendix 1 – NEEA Memorandum of 2010-2011 Final Savings</w:t>
            </w:r>
            <w:r w:rsidR="005E683C">
              <w:rPr>
                <w:noProof/>
                <w:webHidden/>
              </w:rPr>
              <w:tab/>
            </w:r>
            <w:r>
              <w:rPr>
                <w:noProof/>
                <w:webHidden/>
              </w:rPr>
              <w:fldChar w:fldCharType="begin"/>
            </w:r>
            <w:r w:rsidR="005E683C">
              <w:rPr>
                <w:noProof/>
                <w:webHidden/>
              </w:rPr>
              <w:instrText xml:space="preserve"> PAGEREF _Toc325017672 \h </w:instrText>
            </w:r>
            <w:r>
              <w:rPr>
                <w:noProof/>
                <w:webHidden/>
              </w:rPr>
            </w:r>
            <w:r>
              <w:rPr>
                <w:noProof/>
                <w:webHidden/>
              </w:rPr>
              <w:fldChar w:fldCharType="separate"/>
            </w:r>
            <w:r w:rsidR="005E683C">
              <w:rPr>
                <w:noProof/>
                <w:webHidden/>
              </w:rPr>
              <w:t>18</w:t>
            </w:r>
            <w:r>
              <w:rPr>
                <w:noProof/>
                <w:webHidden/>
              </w:rPr>
              <w:fldChar w:fldCharType="end"/>
            </w:r>
          </w:hyperlink>
        </w:p>
        <w:p w:rsidR="005E683C" w:rsidRDefault="00EC7E7D">
          <w:pPr>
            <w:pStyle w:val="TOC2"/>
            <w:tabs>
              <w:tab w:val="right" w:leader="dot" w:pos="8630"/>
            </w:tabs>
            <w:rPr>
              <w:rFonts w:asciiTheme="minorHAnsi" w:eastAsiaTheme="minorEastAsia" w:hAnsiTheme="minorHAnsi" w:cstheme="minorBidi"/>
              <w:noProof/>
            </w:rPr>
          </w:pPr>
          <w:hyperlink w:anchor="_Toc325017673" w:history="1">
            <w:r w:rsidR="005E683C" w:rsidRPr="0081423F">
              <w:rPr>
                <w:rStyle w:val="Hyperlink"/>
                <w:rFonts w:ascii="Times New Roman" w:hAnsi="Times New Roman" w:cs="Times New Roman"/>
                <w:noProof/>
              </w:rPr>
              <w:t>Appendix 2 – 2010-2011 Plan Condition Requirements and Compliance</w:t>
            </w:r>
            <w:r w:rsidR="005E683C">
              <w:rPr>
                <w:noProof/>
                <w:webHidden/>
              </w:rPr>
              <w:tab/>
            </w:r>
            <w:r>
              <w:rPr>
                <w:noProof/>
                <w:webHidden/>
              </w:rPr>
              <w:fldChar w:fldCharType="begin"/>
            </w:r>
            <w:r w:rsidR="005E683C">
              <w:rPr>
                <w:noProof/>
                <w:webHidden/>
              </w:rPr>
              <w:instrText xml:space="preserve"> PAGEREF _Toc325017673 \h </w:instrText>
            </w:r>
            <w:r>
              <w:rPr>
                <w:noProof/>
                <w:webHidden/>
              </w:rPr>
            </w:r>
            <w:r>
              <w:rPr>
                <w:noProof/>
                <w:webHidden/>
              </w:rPr>
              <w:fldChar w:fldCharType="separate"/>
            </w:r>
            <w:r w:rsidR="005E683C">
              <w:rPr>
                <w:noProof/>
                <w:webHidden/>
              </w:rPr>
              <w:t>18</w:t>
            </w:r>
            <w:r>
              <w:rPr>
                <w:noProof/>
                <w:webHidden/>
              </w:rPr>
              <w:fldChar w:fldCharType="end"/>
            </w:r>
          </w:hyperlink>
        </w:p>
        <w:p w:rsidR="005E683C" w:rsidRDefault="00EC7E7D">
          <w:pPr>
            <w:pStyle w:val="TOC2"/>
            <w:tabs>
              <w:tab w:val="right" w:leader="dot" w:pos="8630"/>
            </w:tabs>
            <w:rPr>
              <w:rFonts w:asciiTheme="minorHAnsi" w:eastAsiaTheme="minorEastAsia" w:hAnsiTheme="minorHAnsi" w:cstheme="minorBidi"/>
              <w:noProof/>
            </w:rPr>
          </w:pPr>
          <w:hyperlink w:anchor="_Toc325017674" w:history="1">
            <w:r w:rsidR="005E683C" w:rsidRPr="0081423F">
              <w:rPr>
                <w:rStyle w:val="Hyperlink"/>
                <w:rFonts w:ascii="Times New Roman" w:hAnsi="Times New Roman" w:cs="Times New Roman"/>
                <w:noProof/>
              </w:rPr>
              <w:t>Appendix 3 – PacifiCorp Measure Installation Verifications</w:t>
            </w:r>
            <w:r w:rsidR="005E683C">
              <w:rPr>
                <w:noProof/>
                <w:webHidden/>
              </w:rPr>
              <w:tab/>
            </w:r>
            <w:r>
              <w:rPr>
                <w:noProof/>
                <w:webHidden/>
              </w:rPr>
              <w:fldChar w:fldCharType="begin"/>
            </w:r>
            <w:r w:rsidR="005E683C">
              <w:rPr>
                <w:noProof/>
                <w:webHidden/>
              </w:rPr>
              <w:instrText xml:space="preserve"> PAGEREF _Toc325017674 \h </w:instrText>
            </w:r>
            <w:r>
              <w:rPr>
                <w:noProof/>
                <w:webHidden/>
              </w:rPr>
            </w:r>
            <w:r>
              <w:rPr>
                <w:noProof/>
                <w:webHidden/>
              </w:rPr>
              <w:fldChar w:fldCharType="separate"/>
            </w:r>
            <w:r w:rsidR="005E683C">
              <w:rPr>
                <w:noProof/>
                <w:webHidden/>
              </w:rPr>
              <w:t>18</w:t>
            </w:r>
            <w:r>
              <w:rPr>
                <w:noProof/>
                <w:webHidden/>
              </w:rPr>
              <w:fldChar w:fldCharType="end"/>
            </w:r>
          </w:hyperlink>
        </w:p>
        <w:p w:rsidR="00A32AFB" w:rsidRDefault="00EC7E7D">
          <w:r>
            <w:fldChar w:fldCharType="end"/>
          </w:r>
        </w:p>
      </w:sdtContent>
    </w:sdt>
    <w:p w:rsidR="008C6BDB" w:rsidRPr="00B34E9C" w:rsidRDefault="008C6BDB">
      <w:pPr>
        <w:pStyle w:val="TOCHeading"/>
        <w:rPr>
          <w:rFonts w:ascii="Times New Roman" w:eastAsia="MS Mincho" w:hAnsi="Times New Roman" w:cs="Times New Roman"/>
          <w:b w:val="0"/>
          <w:bCs w:val="0"/>
          <w:color w:val="auto"/>
          <w:sz w:val="24"/>
          <w:szCs w:val="24"/>
          <w:lang w:eastAsia="ja-JP"/>
        </w:rPr>
      </w:pPr>
    </w:p>
    <w:p w:rsidR="007765CC" w:rsidRPr="00B34E9C" w:rsidRDefault="007765CC" w:rsidP="007765CC">
      <w:pPr>
        <w:rPr>
          <w:sz w:val="28"/>
          <w:szCs w:val="28"/>
        </w:rPr>
      </w:pPr>
    </w:p>
    <w:p w:rsidR="002D4FB2" w:rsidRDefault="002D4FB2" w:rsidP="00594CCE">
      <w:pPr>
        <w:rPr>
          <w:b/>
          <w:sz w:val="32"/>
          <w:szCs w:val="32"/>
        </w:rPr>
      </w:pPr>
    </w:p>
    <w:p w:rsidR="00D74261" w:rsidRDefault="00D74261">
      <w:pPr>
        <w:rPr>
          <w:b/>
          <w:sz w:val="32"/>
          <w:szCs w:val="32"/>
        </w:rPr>
      </w:pPr>
      <w:r>
        <w:rPr>
          <w:b/>
          <w:sz w:val="32"/>
          <w:szCs w:val="32"/>
        </w:rPr>
        <w:br w:type="page"/>
      </w:r>
    </w:p>
    <w:p w:rsidR="008C6BDB" w:rsidRPr="005F6583" w:rsidRDefault="00D74261" w:rsidP="002D4FB2">
      <w:pPr>
        <w:pStyle w:val="Heading1"/>
        <w:rPr>
          <w:rFonts w:ascii="Times New Roman" w:hAnsi="Times New Roman" w:cs="Times New Roman"/>
        </w:rPr>
      </w:pPr>
      <w:bookmarkStart w:id="3" w:name="_Toc325017665"/>
      <w:bookmarkEnd w:id="0"/>
      <w:bookmarkEnd w:id="1"/>
      <w:bookmarkEnd w:id="2"/>
      <w:r>
        <w:rPr>
          <w:rFonts w:ascii="Times New Roman" w:hAnsi="Times New Roman" w:cs="Times New Roman"/>
        </w:rPr>
        <w:lastRenderedPageBreak/>
        <w:t>Introduction</w:t>
      </w:r>
      <w:bookmarkEnd w:id="3"/>
    </w:p>
    <w:p w:rsidR="008C6BDB" w:rsidRPr="00B34E9C" w:rsidRDefault="008C6BDB" w:rsidP="002810D1">
      <w:pPr>
        <w:jc w:val="both"/>
      </w:pPr>
    </w:p>
    <w:p w:rsidR="004B75D8" w:rsidRDefault="00CC6FA8" w:rsidP="004B75D8">
      <w:pPr>
        <w:jc w:val="both"/>
      </w:pPr>
      <w:r>
        <w:t>PacifiCorp’s</w:t>
      </w:r>
      <w:r w:rsidR="00B36AA5">
        <w:t>, d.b.a. Pacific Power &amp; Light Company</w:t>
      </w:r>
      <w:r>
        <w:t xml:space="preserve"> </w:t>
      </w:r>
      <w:r w:rsidR="00E0147F" w:rsidRPr="00304CFD">
        <w:t>(</w:t>
      </w:r>
      <w:r w:rsidR="00715914" w:rsidRPr="00304CFD">
        <w:t>“Pacifi</w:t>
      </w:r>
      <w:r w:rsidR="006D6562">
        <w:t>Corp</w:t>
      </w:r>
      <w:r w:rsidR="00715914">
        <w:t xml:space="preserve">” </w:t>
      </w:r>
      <w:r w:rsidR="00594CCE" w:rsidRPr="00B34E9C">
        <w:t xml:space="preserve">or </w:t>
      </w:r>
      <w:r w:rsidR="00E0147F" w:rsidRPr="00B34E9C">
        <w:t xml:space="preserve">the “Company”) </w:t>
      </w:r>
      <w:r w:rsidR="00D74261">
        <w:t>2010-2011 Biennial Con</w:t>
      </w:r>
      <w:r w:rsidR="00FB2D71">
        <w:t>serv</w:t>
      </w:r>
      <w:r w:rsidR="00D74261">
        <w:t xml:space="preserve">ation Report is </w:t>
      </w:r>
      <w:r w:rsidR="002E6923">
        <w:t>being submitted to the Washington Department of Commerce (“Commerce”) and Washington Utilities and Transportation Commission (“</w:t>
      </w:r>
      <w:r w:rsidR="0097267D">
        <w:t>Commission</w:t>
      </w:r>
      <w:r w:rsidR="002E6923">
        <w:t xml:space="preserve">”) </w:t>
      </w:r>
      <w:r w:rsidR="00D74261">
        <w:t xml:space="preserve">in response to </w:t>
      </w:r>
      <w:r w:rsidR="00BD0346">
        <w:t>reporting</w:t>
      </w:r>
      <w:r w:rsidR="002E6923">
        <w:t xml:space="preserve"> requirements</w:t>
      </w:r>
      <w:r w:rsidR="00BD0346">
        <w:t xml:space="preserve"> established as part</w:t>
      </w:r>
      <w:r w:rsidR="002E6923">
        <w:t xml:space="preserve"> of the Energy Independence Act.   The report </w:t>
      </w:r>
      <w:r w:rsidR="00BD0346">
        <w:t xml:space="preserve">is consistent with </w:t>
      </w:r>
      <w:r w:rsidR="002E6923">
        <w:t xml:space="preserve">chapter </w:t>
      </w:r>
      <w:r w:rsidR="00BD0346">
        <w:t>19.285</w:t>
      </w:r>
      <w:r w:rsidR="002E6923">
        <w:t xml:space="preserve"> RCW,</w:t>
      </w:r>
      <w:r w:rsidR="00BD0346">
        <w:t xml:space="preserve"> </w:t>
      </w:r>
      <w:r w:rsidR="004B75D8">
        <w:t xml:space="preserve">section </w:t>
      </w:r>
      <w:r w:rsidR="002E6923">
        <w:t>70</w:t>
      </w:r>
      <w:r w:rsidR="004B75D8">
        <w:t xml:space="preserve"> which states: </w:t>
      </w:r>
    </w:p>
    <w:p w:rsidR="004B75D8" w:rsidRDefault="004B75D8" w:rsidP="004B75D8">
      <w:pPr>
        <w:jc w:val="both"/>
      </w:pPr>
    </w:p>
    <w:p w:rsidR="004B75D8" w:rsidRPr="004B75D8" w:rsidRDefault="004B75D8" w:rsidP="002E6923">
      <w:pPr>
        <w:pStyle w:val="ListParagraph"/>
        <w:numPr>
          <w:ilvl w:val="0"/>
          <w:numId w:val="40"/>
        </w:numPr>
        <w:jc w:val="both"/>
      </w:pPr>
      <w:r w:rsidRPr="002E6923">
        <w:rPr>
          <w:i/>
        </w:rPr>
        <w:t>O</w:t>
      </w:r>
      <w:r w:rsidR="00BD0346" w:rsidRPr="002E6923">
        <w:rPr>
          <w:i/>
        </w:rPr>
        <w:t xml:space="preserve">n or before </w:t>
      </w:r>
      <w:r w:rsidRPr="002E6923">
        <w:rPr>
          <w:i/>
        </w:rPr>
        <w:t>June 1, 2012, and annually thereafter, each qualifying utility shall report to the department on its progress in the preceding year in meeting the targets established in RCS 19.285.40, including expected electricity savings from the biennial conservation target, expenditures on conservation, actual electricity savings results, the utility’s annual load for the prior two years, the amount of megawatt-hours needed to meet the annual renewable energy target, the amount of megawatt-hours of each type of eligible renewable resource acquired, the type and amount of renewable energy credits acquired, and the percent of its total annual retail revenue requirement invested in the incremental cost of eligible renewable resources and the cost of renewable energy credits.”</w:t>
      </w:r>
      <w:r>
        <w:t xml:space="preserve">  </w:t>
      </w:r>
    </w:p>
    <w:p w:rsidR="004B75D8" w:rsidRDefault="004B75D8" w:rsidP="004B75D8">
      <w:pPr>
        <w:jc w:val="both"/>
      </w:pPr>
    </w:p>
    <w:p w:rsidR="006014D5" w:rsidRDefault="006014D5" w:rsidP="002810D1">
      <w:pPr>
        <w:jc w:val="both"/>
      </w:pPr>
    </w:p>
    <w:p w:rsidR="00D74261" w:rsidRDefault="00CC6FA8" w:rsidP="002810D1">
      <w:pPr>
        <w:jc w:val="both"/>
      </w:pPr>
      <w:r>
        <w:t>This report is also consistent with the g</w:t>
      </w:r>
      <w:r w:rsidR="00A31667">
        <w:t xml:space="preserve">uidelines </w:t>
      </w:r>
      <w:r w:rsidR="002E6923">
        <w:t xml:space="preserve">set forth in </w:t>
      </w:r>
      <w:r w:rsidR="00720B68">
        <w:t xml:space="preserve">WAC </w:t>
      </w:r>
      <w:r w:rsidR="002E6923">
        <w:t>480-109</w:t>
      </w:r>
      <w:r w:rsidR="00720B68">
        <w:t>-040(1)</w:t>
      </w:r>
      <w:r w:rsidR="00FB2D71">
        <w:t xml:space="preserve"> and </w:t>
      </w:r>
      <w:r w:rsidR="00140D48">
        <w:t xml:space="preserve">Condition (8)(h) in Docket UE-100170, Order 02, </w:t>
      </w:r>
      <w:r w:rsidR="002E6923">
        <w:t>addressing annual reporting requirements</w:t>
      </w:r>
      <w:r>
        <w:t>.</w:t>
      </w:r>
    </w:p>
    <w:p w:rsidR="002E6923" w:rsidRDefault="002E6923" w:rsidP="002810D1">
      <w:pPr>
        <w:jc w:val="both"/>
      </w:pPr>
    </w:p>
    <w:p w:rsidR="002E6923" w:rsidRDefault="00CC6FA8" w:rsidP="002810D1">
      <w:pPr>
        <w:jc w:val="both"/>
      </w:pPr>
      <w:r>
        <w:t xml:space="preserve">As directed in </w:t>
      </w:r>
      <w:r w:rsidR="00B44B26">
        <w:t>Docket UE-100523 memorandum dated May 4, 2012</w:t>
      </w:r>
      <w:r w:rsidR="001D55D5">
        <w:t>,</w:t>
      </w:r>
      <w:r w:rsidR="00B44B26">
        <w:t xml:space="preserve"> two separate filings will be submitted for “Conservation” and “Renewables”.  This report is addressing the Conservation target and savings.</w:t>
      </w:r>
    </w:p>
    <w:p w:rsidR="00024B54" w:rsidRDefault="00024B54" w:rsidP="00024B54">
      <w:pPr>
        <w:jc w:val="both"/>
      </w:pPr>
    </w:p>
    <w:p w:rsidR="0065125E" w:rsidRDefault="00024B54">
      <w:pPr>
        <w:jc w:val="both"/>
      </w:pPr>
      <w:r>
        <w:t xml:space="preserve">Consistent with the requirement to pursue all cost-effective, reliable and feasible conservation, the </w:t>
      </w:r>
      <w:r w:rsidR="00720B68">
        <w:t xml:space="preserve">Company </w:t>
      </w:r>
      <w:r>
        <w:t xml:space="preserve">completed a comprehensive conservation potential assessment followed by economic resource screening and selection through the Company’s Integrated Resource Planning process. The resulting ten-year conservation forecast and biennial target was filed with and approved by the </w:t>
      </w:r>
      <w:r w:rsidR="0097267D">
        <w:t xml:space="preserve">Commission </w:t>
      </w:r>
      <w:r>
        <w:t xml:space="preserve">in Docket UE-100170. </w:t>
      </w:r>
    </w:p>
    <w:p w:rsidR="00024B54" w:rsidRDefault="00024B54" w:rsidP="002810D1">
      <w:pPr>
        <w:jc w:val="both"/>
      </w:pPr>
    </w:p>
    <w:p w:rsidR="00D74261" w:rsidRDefault="00D74261" w:rsidP="002810D1">
      <w:pPr>
        <w:jc w:val="both"/>
      </w:pPr>
    </w:p>
    <w:p w:rsidR="00A31667" w:rsidRDefault="00A31667">
      <w:pPr>
        <w:rPr>
          <w:b/>
          <w:bCs/>
          <w:kern w:val="32"/>
          <w:sz w:val="32"/>
          <w:szCs w:val="32"/>
        </w:rPr>
      </w:pPr>
      <w:bookmarkStart w:id="4" w:name="_Toc234046347"/>
      <w:bookmarkStart w:id="5" w:name="_Toc288484123"/>
      <w:bookmarkStart w:id="6" w:name="_Toc289064242"/>
      <w:r>
        <w:br w:type="page"/>
      </w:r>
    </w:p>
    <w:p w:rsidR="00FC0DA2" w:rsidRPr="00B44B26" w:rsidRDefault="00FC0DA2" w:rsidP="00B44B26">
      <w:pPr>
        <w:pStyle w:val="Heading1"/>
        <w:rPr>
          <w:rFonts w:ascii="Times New Roman" w:hAnsi="Times New Roman" w:cs="Times New Roman"/>
          <w:sz w:val="28"/>
          <w:szCs w:val="28"/>
        </w:rPr>
      </w:pPr>
      <w:bookmarkStart w:id="7" w:name="_Toc325017666"/>
      <w:bookmarkEnd w:id="4"/>
      <w:bookmarkEnd w:id="5"/>
      <w:bookmarkEnd w:id="6"/>
      <w:r w:rsidRPr="00B44B26">
        <w:rPr>
          <w:rFonts w:ascii="Times New Roman" w:hAnsi="Times New Roman" w:cs="Times New Roman"/>
          <w:sz w:val="28"/>
          <w:szCs w:val="28"/>
        </w:rPr>
        <w:t>Executive Summary</w:t>
      </w:r>
      <w:bookmarkEnd w:id="7"/>
    </w:p>
    <w:p w:rsidR="006014D5" w:rsidRDefault="006014D5" w:rsidP="002810D1">
      <w:pPr>
        <w:jc w:val="both"/>
      </w:pPr>
    </w:p>
    <w:p w:rsidR="00743E0C" w:rsidRDefault="00CC6FA8" w:rsidP="002810D1">
      <w:pPr>
        <w:jc w:val="both"/>
      </w:pPr>
      <w:r>
        <w:t xml:space="preserve">The Company </w:t>
      </w:r>
      <w:r w:rsidR="00743E0C">
        <w:t>has achieved its 2010-2011 Biennial Conservation Target as set forth in Docket UE-100170</w:t>
      </w:r>
      <w:r w:rsidR="004A4BA9">
        <w:t>,</w:t>
      </w:r>
      <w:r w:rsidR="00743E0C">
        <w:t xml:space="preserve"> PacifiCorp’s Ten-Year Conservation Potential and 2010-2011 Biennial Conservation Target.</w:t>
      </w:r>
    </w:p>
    <w:p w:rsidR="00743E0C" w:rsidRDefault="00743E0C" w:rsidP="002810D1">
      <w:pPr>
        <w:jc w:val="both"/>
      </w:pPr>
    </w:p>
    <w:p w:rsidR="00FC0DA2" w:rsidRDefault="00743E0C" w:rsidP="002810D1">
      <w:pPr>
        <w:jc w:val="both"/>
      </w:pPr>
      <w:r>
        <w:t>A summary of 2010-2011 electric conservation targets, expenditures and savings results are provided below.</w:t>
      </w:r>
    </w:p>
    <w:p w:rsidR="006D6562" w:rsidRDefault="006D6562" w:rsidP="002810D1">
      <w:pPr>
        <w:jc w:val="both"/>
      </w:pPr>
    </w:p>
    <w:p w:rsidR="006D6562" w:rsidRDefault="006D6562" w:rsidP="002810D1">
      <w:pPr>
        <w:jc w:val="both"/>
      </w:pPr>
    </w:p>
    <w:p w:rsidR="007E2539" w:rsidRDefault="006D6562">
      <w:pPr>
        <w:rPr>
          <w:b/>
          <w:bCs/>
          <w:kern w:val="32"/>
        </w:rPr>
      </w:pPr>
      <w:r>
        <w:rPr>
          <w:b/>
          <w:bCs/>
          <w:kern w:val="32"/>
        </w:rPr>
        <w:t xml:space="preserve">        </w:t>
      </w:r>
      <w:r w:rsidRPr="006D6562">
        <w:rPr>
          <w:noProof/>
          <w:lang w:eastAsia="en-US"/>
        </w:rPr>
        <w:drawing>
          <wp:inline distT="0" distB="0" distL="0" distR="0">
            <wp:extent cx="4785863" cy="1101254"/>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4787431" cy="1101615"/>
                    </a:xfrm>
                    <a:prstGeom prst="rect">
                      <a:avLst/>
                    </a:prstGeom>
                    <a:noFill/>
                    <a:ln w="9525">
                      <a:noFill/>
                      <a:miter lim="800000"/>
                      <a:headEnd/>
                      <a:tailEnd/>
                    </a:ln>
                  </pic:spPr>
                </pic:pic>
              </a:graphicData>
            </a:graphic>
          </wp:inline>
        </w:drawing>
      </w:r>
    </w:p>
    <w:p w:rsidR="006D6562" w:rsidRDefault="006D6562">
      <w:pPr>
        <w:rPr>
          <w:b/>
          <w:bCs/>
          <w:kern w:val="32"/>
        </w:rPr>
      </w:pPr>
    </w:p>
    <w:p w:rsidR="006D6562" w:rsidRDefault="006D6562">
      <w:pPr>
        <w:rPr>
          <w:b/>
          <w:bCs/>
          <w:kern w:val="32"/>
        </w:rPr>
      </w:pPr>
    </w:p>
    <w:p w:rsidR="006D6562" w:rsidRPr="00743E0C" w:rsidRDefault="006D6562">
      <w:pPr>
        <w:rPr>
          <w:b/>
          <w:bCs/>
          <w:kern w:val="32"/>
        </w:rPr>
      </w:pPr>
    </w:p>
    <w:p w:rsidR="00743E0C" w:rsidRDefault="00C666E2" w:rsidP="001F3BDA">
      <w:pPr>
        <w:jc w:val="both"/>
        <w:rPr>
          <w:lang w:eastAsia="en-US"/>
        </w:rPr>
      </w:pPr>
      <w:r>
        <w:rPr>
          <w:lang w:eastAsia="en-US"/>
        </w:rPr>
        <w:t xml:space="preserve">Consistent with the conditions established by the </w:t>
      </w:r>
      <w:r w:rsidR="00B36AA5">
        <w:rPr>
          <w:lang w:eastAsia="en-US"/>
        </w:rPr>
        <w:t xml:space="preserve">Commission in </w:t>
      </w:r>
      <w:r>
        <w:rPr>
          <w:lang w:eastAsia="en-US"/>
        </w:rPr>
        <w:t xml:space="preserve">Docket </w:t>
      </w:r>
      <w:r w:rsidR="00E07DDB">
        <w:rPr>
          <w:lang w:eastAsia="en-US"/>
        </w:rPr>
        <w:t>UE-100170 Order 02</w:t>
      </w:r>
      <w:r>
        <w:rPr>
          <w:lang w:eastAsia="en-US"/>
        </w:rPr>
        <w:t>, the cost</w:t>
      </w:r>
      <w:r w:rsidR="00B36AA5">
        <w:rPr>
          <w:lang w:eastAsia="en-US"/>
        </w:rPr>
        <w:t>-</w:t>
      </w:r>
      <w:r>
        <w:rPr>
          <w:lang w:eastAsia="en-US"/>
        </w:rPr>
        <w:t xml:space="preserve">effectiveness has been determined based on the </w:t>
      </w:r>
      <w:r w:rsidR="00743E0C" w:rsidRPr="00743E0C">
        <w:rPr>
          <w:lang w:eastAsia="en-US"/>
        </w:rPr>
        <w:t xml:space="preserve">Total Resource Cost (TRC) test incorporating the 10 percent conservation benefit and risk adder consistent with the </w:t>
      </w:r>
      <w:r w:rsidR="00B36AA5">
        <w:rPr>
          <w:lang w:eastAsia="en-US"/>
        </w:rPr>
        <w:t>Northwest Power</w:t>
      </w:r>
      <w:r w:rsidR="00F015F2">
        <w:rPr>
          <w:lang w:eastAsia="en-US"/>
        </w:rPr>
        <w:t xml:space="preserve"> and Conservation</w:t>
      </w:r>
      <w:r w:rsidR="00B36AA5">
        <w:rPr>
          <w:lang w:eastAsia="en-US"/>
        </w:rPr>
        <w:t xml:space="preserve"> </w:t>
      </w:r>
      <w:r w:rsidR="00743E0C" w:rsidRPr="00743E0C">
        <w:rPr>
          <w:lang w:eastAsia="en-US"/>
        </w:rPr>
        <w:t>Council’s approach</w:t>
      </w:r>
      <w:r w:rsidR="00743E0C">
        <w:rPr>
          <w:lang w:eastAsia="en-US"/>
        </w:rPr>
        <w:t xml:space="preserve">.   Using this test, the benefit to cost ratio for the </w:t>
      </w:r>
      <w:r w:rsidR="0003426C">
        <w:rPr>
          <w:lang w:eastAsia="en-US"/>
        </w:rPr>
        <w:t xml:space="preserve">Company’s </w:t>
      </w:r>
      <w:r w:rsidR="00743E0C">
        <w:rPr>
          <w:lang w:eastAsia="en-US"/>
        </w:rPr>
        <w:t xml:space="preserve">2010-2011 Biennial Conservation </w:t>
      </w:r>
      <w:r w:rsidR="0003426C">
        <w:rPr>
          <w:lang w:eastAsia="en-US"/>
        </w:rPr>
        <w:t xml:space="preserve">savings </w:t>
      </w:r>
      <w:r w:rsidR="00743E0C">
        <w:rPr>
          <w:lang w:eastAsia="en-US"/>
        </w:rPr>
        <w:t xml:space="preserve">was </w:t>
      </w:r>
      <w:r w:rsidR="00500329" w:rsidRPr="00500329">
        <w:rPr>
          <w:lang w:eastAsia="en-US"/>
        </w:rPr>
        <w:t>3.0</w:t>
      </w:r>
      <w:r w:rsidR="00743E0C" w:rsidRPr="00500329">
        <w:rPr>
          <w:lang w:eastAsia="en-US"/>
        </w:rPr>
        <w:t>.</w:t>
      </w:r>
    </w:p>
    <w:p w:rsidR="00743E0C" w:rsidRDefault="00743E0C">
      <w:pPr>
        <w:rPr>
          <w:lang w:eastAsia="en-US"/>
        </w:rPr>
      </w:pPr>
    </w:p>
    <w:p w:rsidR="00743E0C" w:rsidRPr="001F3BDA" w:rsidRDefault="00C666E2" w:rsidP="001F3BDA">
      <w:r>
        <w:rPr>
          <w:lang w:eastAsia="en-US"/>
        </w:rPr>
        <w:t>Working in partnership with its customers</w:t>
      </w:r>
      <w:r w:rsidR="009E6A45">
        <w:rPr>
          <w:lang w:eastAsia="en-US"/>
        </w:rPr>
        <w:t>, Commission staff, and demand side management advisory group members</w:t>
      </w:r>
      <w:r>
        <w:rPr>
          <w:lang w:eastAsia="en-US"/>
        </w:rPr>
        <w:t xml:space="preserve"> the Company achieved these results </w:t>
      </w:r>
      <w:r w:rsidR="009E6A45">
        <w:rPr>
          <w:lang w:eastAsia="en-US"/>
        </w:rPr>
        <w:t xml:space="preserve">while adhering to </w:t>
      </w:r>
      <w:r>
        <w:rPr>
          <w:lang w:eastAsia="en-US"/>
        </w:rPr>
        <w:t xml:space="preserve">the conditions established by the </w:t>
      </w:r>
      <w:r w:rsidR="00B36AA5">
        <w:rPr>
          <w:lang w:eastAsia="en-US"/>
        </w:rPr>
        <w:t xml:space="preserve">Commission </w:t>
      </w:r>
      <w:r>
        <w:rPr>
          <w:lang w:eastAsia="en-US"/>
        </w:rPr>
        <w:t xml:space="preserve">in Docket </w:t>
      </w:r>
      <w:r w:rsidR="009E6A45">
        <w:t>UE-100170</w:t>
      </w:r>
      <w:r>
        <w:rPr>
          <w:lang w:eastAsia="en-US"/>
        </w:rPr>
        <w:t xml:space="preserve">. Appendix 2 summarizes the Company’s </w:t>
      </w:r>
      <w:r w:rsidR="00B36AA5">
        <w:rPr>
          <w:lang w:eastAsia="en-US"/>
        </w:rPr>
        <w:t>compliance</w:t>
      </w:r>
      <w:r>
        <w:rPr>
          <w:lang w:eastAsia="en-US"/>
        </w:rPr>
        <w:t xml:space="preserve">.  </w:t>
      </w:r>
      <w:r w:rsidR="00743E0C" w:rsidRPr="00743E0C">
        <w:rPr>
          <w:lang w:eastAsia="en-US"/>
        </w:rPr>
        <w:br w:type="page"/>
      </w:r>
    </w:p>
    <w:p w:rsidR="007E2539" w:rsidRDefault="007E2539" w:rsidP="007E2539">
      <w:pPr>
        <w:pStyle w:val="Heading1"/>
        <w:rPr>
          <w:rFonts w:ascii="Times New Roman" w:hAnsi="Times New Roman" w:cs="Times New Roman"/>
          <w:sz w:val="28"/>
          <w:szCs w:val="28"/>
          <w:lang w:eastAsia="en-US"/>
        </w:rPr>
      </w:pPr>
      <w:bookmarkStart w:id="8" w:name="_Toc325017667"/>
      <w:r w:rsidRPr="007E2539">
        <w:rPr>
          <w:rFonts w:ascii="Times New Roman" w:hAnsi="Times New Roman" w:cs="Times New Roman"/>
          <w:sz w:val="28"/>
          <w:szCs w:val="28"/>
          <w:lang w:eastAsia="en-US"/>
        </w:rPr>
        <w:t>Energy Independence Act (I-937) Commerce Conservation Report</w:t>
      </w:r>
      <w:bookmarkEnd w:id="8"/>
      <w:r w:rsidRPr="007E2539">
        <w:rPr>
          <w:rFonts w:ascii="Times New Roman" w:hAnsi="Times New Roman" w:cs="Times New Roman"/>
          <w:sz w:val="28"/>
          <w:szCs w:val="28"/>
          <w:lang w:eastAsia="en-US"/>
        </w:rPr>
        <w:t xml:space="preserve"> </w:t>
      </w:r>
    </w:p>
    <w:p w:rsidR="007E2539" w:rsidRPr="007E2539" w:rsidRDefault="007E2539" w:rsidP="007E2539">
      <w:pPr>
        <w:rPr>
          <w:lang w:eastAsia="en-US"/>
        </w:rPr>
      </w:pPr>
    </w:p>
    <w:p w:rsidR="006E37F8" w:rsidRPr="007E2539" w:rsidRDefault="00500329" w:rsidP="006E37F8">
      <w:pPr>
        <w:pStyle w:val="Heading1"/>
        <w:rPr>
          <w:rFonts w:ascii="Times New Roman" w:hAnsi="Times New Roman" w:cs="Times New Roman"/>
          <w:b w:val="0"/>
          <w:sz w:val="24"/>
          <w:szCs w:val="24"/>
        </w:rPr>
      </w:pPr>
      <w:r w:rsidRPr="00500329">
        <w:rPr>
          <w:noProof/>
          <w:szCs w:val="24"/>
          <w:lang w:eastAsia="en-US"/>
        </w:rPr>
        <w:drawing>
          <wp:inline distT="0" distB="0" distL="0" distR="0">
            <wp:extent cx="5486400" cy="6970619"/>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486400" cy="6970619"/>
                    </a:xfrm>
                    <a:prstGeom prst="rect">
                      <a:avLst/>
                    </a:prstGeom>
                    <a:noFill/>
                    <a:ln w="9525">
                      <a:noFill/>
                      <a:miter lim="800000"/>
                      <a:headEnd/>
                      <a:tailEnd/>
                    </a:ln>
                  </pic:spPr>
                </pic:pic>
              </a:graphicData>
            </a:graphic>
          </wp:inline>
        </w:drawing>
      </w:r>
    </w:p>
    <w:p w:rsidR="00FC0DA2" w:rsidRDefault="00FC0DA2" w:rsidP="002810D1">
      <w:pPr>
        <w:jc w:val="both"/>
        <w:rPr>
          <w:b/>
        </w:rPr>
      </w:pPr>
    </w:p>
    <w:p w:rsidR="006E37F8" w:rsidRPr="007E2539" w:rsidRDefault="006E37F8" w:rsidP="002810D1">
      <w:pPr>
        <w:jc w:val="both"/>
      </w:pPr>
    </w:p>
    <w:p w:rsidR="007E2539" w:rsidRDefault="007E2539">
      <w:pPr>
        <w:rPr>
          <w:b/>
        </w:rPr>
      </w:pPr>
      <w:r>
        <w:rPr>
          <w:b/>
        </w:rPr>
        <w:br w:type="page"/>
      </w:r>
    </w:p>
    <w:p w:rsidR="007E2539" w:rsidRDefault="007E2539" w:rsidP="002810D1">
      <w:pPr>
        <w:jc w:val="both"/>
        <w:rPr>
          <w:b/>
        </w:rPr>
      </w:pPr>
    </w:p>
    <w:p w:rsidR="006E37F8" w:rsidRDefault="007E2539" w:rsidP="002810D1">
      <w:pPr>
        <w:jc w:val="both"/>
        <w:rPr>
          <w:b/>
        </w:rPr>
      </w:pPr>
      <w:r w:rsidRPr="007E2539">
        <w:rPr>
          <w:noProof/>
          <w:lang w:eastAsia="en-US"/>
        </w:rPr>
        <w:drawing>
          <wp:inline distT="0" distB="0" distL="0" distR="0">
            <wp:extent cx="5924550" cy="3725058"/>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930524" cy="3728814"/>
                    </a:xfrm>
                    <a:prstGeom prst="rect">
                      <a:avLst/>
                    </a:prstGeom>
                    <a:noFill/>
                    <a:ln w="9525">
                      <a:noFill/>
                      <a:miter lim="800000"/>
                      <a:headEnd/>
                      <a:tailEnd/>
                    </a:ln>
                  </pic:spPr>
                </pic:pic>
              </a:graphicData>
            </a:graphic>
          </wp:inline>
        </w:drawing>
      </w:r>
    </w:p>
    <w:p w:rsidR="007E2539" w:rsidRDefault="007E2539">
      <w:pPr>
        <w:rPr>
          <w:sz w:val="28"/>
          <w:szCs w:val="28"/>
        </w:rPr>
      </w:pPr>
    </w:p>
    <w:p w:rsidR="007E2539" w:rsidRDefault="007E2539">
      <w:pPr>
        <w:rPr>
          <w:b/>
          <w:bCs/>
          <w:kern w:val="32"/>
          <w:sz w:val="28"/>
          <w:szCs w:val="28"/>
        </w:rPr>
      </w:pPr>
      <w:r>
        <w:rPr>
          <w:sz w:val="28"/>
          <w:szCs w:val="28"/>
        </w:rPr>
        <w:br w:type="page"/>
      </w:r>
    </w:p>
    <w:p w:rsidR="002D70F8" w:rsidRPr="002D70F8" w:rsidRDefault="00743E0C" w:rsidP="002D70F8">
      <w:pPr>
        <w:pStyle w:val="Heading1"/>
      </w:pPr>
      <w:bookmarkStart w:id="9" w:name="_Toc325017668"/>
      <w:r>
        <w:rPr>
          <w:rFonts w:ascii="Times New Roman" w:hAnsi="Times New Roman" w:cs="Times New Roman"/>
          <w:sz w:val="28"/>
          <w:szCs w:val="28"/>
        </w:rPr>
        <w:t>B</w:t>
      </w:r>
      <w:r w:rsidR="007E2539">
        <w:rPr>
          <w:rFonts w:ascii="Times New Roman" w:hAnsi="Times New Roman" w:cs="Times New Roman"/>
          <w:sz w:val="28"/>
          <w:szCs w:val="28"/>
        </w:rPr>
        <w:t xml:space="preserve">iennial </w:t>
      </w:r>
      <w:r w:rsidR="005E683C">
        <w:rPr>
          <w:rFonts w:ascii="Times New Roman" w:hAnsi="Times New Roman" w:cs="Times New Roman"/>
          <w:sz w:val="28"/>
          <w:szCs w:val="28"/>
        </w:rPr>
        <w:t xml:space="preserve">Target </w:t>
      </w:r>
      <w:r w:rsidR="006E37F8">
        <w:rPr>
          <w:rFonts w:ascii="Times New Roman" w:hAnsi="Times New Roman" w:cs="Times New Roman"/>
          <w:sz w:val="28"/>
          <w:szCs w:val="28"/>
        </w:rPr>
        <w:t>Compared to Actual</w:t>
      </w:r>
      <w:bookmarkEnd w:id="9"/>
    </w:p>
    <w:p w:rsidR="007E2539" w:rsidRDefault="007E2539">
      <w:pPr>
        <w:rPr>
          <w:sz w:val="28"/>
          <w:szCs w:val="28"/>
        </w:rPr>
      </w:pPr>
    </w:p>
    <w:p w:rsidR="002D70F8" w:rsidRDefault="00E07DDB">
      <w:pPr>
        <w:rPr>
          <w:b/>
          <w:bCs/>
          <w:kern w:val="32"/>
          <w:sz w:val="28"/>
          <w:szCs w:val="28"/>
        </w:rPr>
      </w:pPr>
      <w:r w:rsidRPr="00E07DDB">
        <w:rPr>
          <w:noProof/>
          <w:szCs w:val="28"/>
          <w:lang w:eastAsia="en-US"/>
        </w:rPr>
        <w:drawing>
          <wp:inline distT="0" distB="0" distL="0" distR="0">
            <wp:extent cx="5243064" cy="747047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244159" cy="7472035"/>
                    </a:xfrm>
                    <a:prstGeom prst="rect">
                      <a:avLst/>
                    </a:prstGeom>
                    <a:noFill/>
                    <a:ln w="9525">
                      <a:noFill/>
                      <a:miter lim="800000"/>
                      <a:headEnd/>
                      <a:tailEnd/>
                    </a:ln>
                  </pic:spPr>
                </pic:pic>
              </a:graphicData>
            </a:graphic>
          </wp:inline>
        </w:drawing>
      </w:r>
    </w:p>
    <w:p w:rsidR="002F738C" w:rsidRDefault="002F738C">
      <w:pPr>
        <w:rPr>
          <w:b/>
          <w:bCs/>
          <w:kern w:val="32"/>
          <w:sz w:val="28"/>
          <w:szCs w:val="28"/>
        </w:rPr>
      </w:pPr>
    </w:p>
    <w:p w:rsidR="002F738C" w:rsidRDefault="00E07DDB">
      <w:pPr>
        <w:rPr>
          <w:b/>
          <w:bCs/>
          <w:kern w:val="32"/>
          <w:sz w:val="28"/>
          <w:szCs w:val="28"/>
        </w:rPr>
      </w:pPr>
      <w:r w:rsidRPr="00E07DDB">
        <w:rPr>
          <w:noProof/>
          <w:szCs w:val="28"/>
          <w:lang w:eastAsia="en-US"/>
        </w:rPr>
        <w:drawing>
          <wp:inline distT="0" distB="0" distL="0" distR="0">
            <wp:extent cx="5330116" cy="6985527"/>
            <wp:effectExtent l="19050" t="0" r="3884"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334919" cy="6991821"/>
                    </a:xfrm>
                    <a:prstGeom prst="rect">
                      <a:avLst/>
                    </a:prstGeom>
                    <a:noFill/>
                    <a:ln w="9525">
                      <a:noFill/>
                      <a:miter lim="800000"/>
                      <a:headEnd/>
                      <a:tailEnd/>
                    </a:ln>
                  </pic:spPr>
                </pic:pic>
              </a:graphicData>
            </a:graphic>
          </wp:inline>
        </w:drawing>
      </w:r>
    </w:p>
    <w:p w:rsidR="002F738C" w:rsidRDefault="002F738C">
      <w:pPr>
        <w:rPr>
          <w:sz w:val="28"/>
          <w:szCs w:val="28"/>
        </w:rPr>
      </w:pPr>
    </w:p>
    <w:p w:rsidR="002F738C" w:rsidRDefault="002F738C">
      <w:pPr>
        <w:rPr>
          <w:sz w:val="28"/>
          <w:szCs w:val="28"/>
        </w:rPr>
      </w:pPr>
    </w:p>
    <w:p w:rsidR="002F738C" w:rsidRDefault="002F738C">
      <w:pPr>
        <w:rPr>
          <w:sz w:val="28"/>
          <w:szCs w:val="28"/>
        </w:rPr>
      </w:pPr>
      <w:r>
        <w:rPr>
          <w:sz w:val="28"/>
          <w:szCs w:val="28"/>
        </w:rPr>
        <w:br w:type="page"/>
      </w:r>
    </w:p>
    <w:p w:rsidR="0033371C" w:rsidRDefault="00E07DDB">
      <w:pPr>
        <w:rPr>
          <w:u w:val="single"/>
        </w:rPr>
      </w:pPr>
      <w:r w:rsidRPr="00E07DDB">
        <w:rPr>
          <w:noProof/>
          <w:lang w:eastAsia="en-US"/>
        </w:rPr>
        <w:drawing>
          <wp:inline distT="0" distB="0" distL="0" distR="0">
            <wp:extent cx="5341393" cy="7451965"/>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5344123" cy="7455774"/>
                    </a:xfrm>
                    <a:prstGeom prst="rect">
                      <a:avLst/>
                    </a:prstGeom>
                    <a:noFill/>
                    <a:ln w="9525">
                      <a:noFill/>
                      <a:miter lim="800000"/>
                      <a:headEnd/>
                      <a:tailEnd/>
                    </a:ln>
                  </pic:spPr>
                </pic:pic>
              </a:graphicData>
            </a:graphic>
          </wp:inline>
        </w:drawing>
      </w:r>
      <w:r w:rsidR="0033371C">
        <w:rPr>
          <w:u w:val="single"/>
        </w:rPr>
        <w:br w:type="page"/>
      </w:r>
    </w:p>
    <w:p w:rsidR="00DC2045" w:rsidRPr="00B44B26" w:rsidRDefault="007A002D" w:rsidP="007A002D">
      <w:pPr>
        <w:pStyle w:val="Heading1"/>
        <w:spacing w:line="360" w:lineRule="auto"/>
        <w:rPr>
          <w:rFonts w:ascii="Times New Roman" w:hAnsi="Times New Roman" w:cs="Times New Roman"/>
          <w:sz w:val="28"/>
          <w:szCs w:val="28"/>
        </w:rPr>
      </w:pPr>
      <w:bookmarkStart w:id="10" w:name="_Toc325017669"/>
      <w:r>
        <w:rPr>
          <w:rFonts w:ascii="Times New Roman" w:hAnsi="Times New Roman" w:cs="Times New Roman"/>
          <w:sz w:val="28"/>
          <w:szCs w:val="28"/>
        </w:rPr>
        <w:t>Savings Reporting</w:t>
      </w:r>
      <w:r w:rsidR="00DC2045" w:rsidRPr="00B44B26">
        <w:rPr>
          <w:rFonts w:ascii="Times New Roman" w:hAnsi="Times New Roman" w:cs="Times New Roman"/>
          <w:sz w:val="28"/>
          <w:szCs w:val="28"/>
        </w:rPr>
        <w:t xml:space="preserve"> Adjustments</w:t>
      </w:r>
      <w:bookmarkEnd w:id="10"/>
    </w:p>
    <w:p w:rsidR="007A002D" w:rsidRDefault="007A002D" w:rsidP="007A002D">
      <w:pPr>
        <w:contextualSpacing/>
        <w:jc w:val="both"/>
      </w:pPr>
      <w:r>
        <w:t>During the 2011 Washington Conservation Working Group, parties agreed “</w:t>
      </w:r>
      <w:r w:rsidR="00E81BB2">
        <w:t>t</w:t>
      </w:r>
      <w:r>
        <w:t>o the extent practicable, t</w:t>
      </w:r>
      <w:r w:rsidRPr="00877C2C">
        <w:t xml:space="preserve">here should be </w:t>
      </w:r>
      <w:r>
        <w:t>consistency</w:t>
      </w:r>
      <w:r w:rsidRPr="00877C2C">
        <w:t xml:space="preserve"> between the </w:t>
      </w:r>
      <w:r>
        <w:t xml:space="preserve">use of prescriptive unit energy </w:t>
      </w:r>
      <w:r w:rsidRPr="00877C2C" w:rsidDel="00C00366">
        <w:t>savings</w:t>
      </w:r>
      <w:r>
        <w:t xml:space="preserve"> estimates in</w:t>
      </w:r>
      <w:r w:rsidRPr="00877C2C">
        <w:t xml:space="preserve"> the establishment of the </w:t>
      </w:r>
      <w:r>
        <w:t xml:space="preserve">biennial </w:t>
      </w:r>
      <w:r w:rsidRPr="00877C2C">
        <w:t>target</w:t>
      </w:r>
      <w:r>
        <w:t xml:space="preserve"> </w:t>
      </w:r>
      <w:r w:rsidRPr="00877C2C">
        <w:t xml:space="preserve">and the reliance on those same savings estimates in the utility’s demonstration that it met the </w:t>
      </w:r>
      <w:r>
        <w:t xml:space="preserve">biennial </w:t>
      </w:r>
      <w:r w:rsidRPr="00877C2C">
        <w:t>target.</w:t>
      </w:r>
      <w:r>
        <w:t>”</w:t>
      </w:r>
      <w:r>
        <w:rPr>
          <w:rStyle w:val="FootnoteReference"/>
        </w:rPr>
        <w:footnoteReference w:id="1"/>
      </w:r>
      <w:r>
        <w:t xml:space="preserve"> Consistent with this approach, </w:t>
      </w:r>
      <w:r w:rsidR="00E81BB2">
        <w:t xml:space="preserve">the results provided in the Company’s 2010 and 2011 reports have been adjusted incorporating the </w:t>
      </w:r>
      <w:r>
        <w:t>key planning assumptions used in establish</w:t>
      </w:r>
      <w:r w:rsidR="00E81BB2">
        <w:t>ing</w:t>
      </w:r>
      <w:r>
        <w:t xml:space="preserve"> the 2010-2011 target</w:t>
      </w:r>
      <w:r w:rsidR="00E81BB2">
        <w:t xml:space="preserve">. </w:t>
      </w:r>
      <w:r>
        <w:t xml:space="preserve"> </w:t>
      </w:r>
      <w:r w:rsidR="00E81BB2">
        <w:t xml:space="preserve">The adjustments are discussed in detail in the following sections. </w:t>
      </w:r>
    </w:p>
    <w:p w:rsidR="007A002D" w:rsidRDefault="007A002D" w:rsidP="007A002D">
      <w:pPr>
        <w:jc w:val="both"/>
      </w:pPr>
    </w:p>
    <w:p w:rsidR="006D6562" w:rsidRDefault="006D6562" w:rsidP="007A002D">
      <w:pPr>
        <w:jc w:val="both"/>
      </w:pPr>
    </w:p>
    <w:p w:rsidR="007A002D" w:rsidRPr="00DB599E" w:rsidRDefault="007A002D" w:rsidP="007A002D">
      <w:pPr>
        <w:jc w:val="both"/>
        <w:rPr>
          <w:u w:val="single"/>
        </w:rPr>
      </w:pPr>
      <w:r w:rsidRPr="00DB599E">
        <w:rPr>
          <w:u w:val="single"/>
        </w:rPr>
        <w:t>Appliance Recycling</w:t>
      </w:r>
    </w:p>
    <w:p w:rsidR="007A002D" w:rsidRDefault="007A002D" w:rsidP="007A002D">
      <w:pPr>
        <w:jc w:val="both"/>
        <w:rPr>
          <w:i/>
        </w:rPr>
      </w:pPr>
    </w:p>
    <w:p w:rsidR="007A002D" w:rsidRDefault="007A002D" w:rsidP="007A002D">
      <w:pPr>
        <w:jc w:val="both"/>
      </w:pPr>
      <w:r>
        <w:t xml:space="preserve">The 2007 potential study utilized a simulation model for prototype residential dwellings; single family, multi-family and manufactured homes to estimate consumption of refrigerators and freezers in the home. Savings from this measure is the same as the consumption since the appliance is removed to generate the savings.  The savings by appliance type varied slightly by home type based on the final calibration of all end use consumption. For the purpose of this analysis, savings by appliance type from all three </w:t>
      </w:r>
      <w:r w:rsidR="00B36AA5">
        <w:t xml:space="preserve">types of </w:t>
      </w:r>
      <w:r>
        <w:t>home is averaged and is provided in Table 1.   These unit energy savings are different than those used for reporting.</w:t>
      </w:r>
    </w:p>
    <w:p w:rsidR="007A002D" w:rsidRDefault="007A002D" w:rsidP="007A002D">
      <w:r w:rsidRPr="009003AC">
        <w:t xml:space="preserve"> </w:t>
      </w:r>
      <w:r>
        <w:t xml:space="preserve"> </w:t>
      </w:r>
    </w:p>
    <w:p w:rsidR="007A002D" w:rsidRPr="000611D9" w:rsidRDefault="007A002D" w:rsidP="007A002D">
      <w:pPr>
        <w:jc w:val="center"/>
        <w:rPr>
          <w:b/>
        </w:rPr>
      </w:pPr>
      <w:r w:rsidRPr="000611D9">
        <w:rPr>
          <w:b/>
        </w:rPr>
        <w:t xml:space="preserve">Table </w:t>
      </w:r>
      <w:r>
        <w:rPr>
          <w:b/>
        </w:rPr>
        <w:t xml:space="preserve">1  </w:t>
      </w:r>
    </w:p>
    <w:p w:rsidR="007A002D" w:rsidRDefault="007A002D" w:rsidP="007A002D">
      <w:pPr>
        <w:jc w:val="center"/>
        <w:rPr>
          <w:b/>
        </w:rPr>
      </w:pPr>
      <w:r>
        <w:rPr>
          <w:b/>
        </w:rPr>
        <w:t xml:space="preserve">Unit Energy Savings (UES) by Appliance and Home Type </w:t>
      </w:r>
    </w:p>
    <w:p w:rsidR="007A002D" w:rsidRDefault="007A002D" w:rsidP="007A002D">
      <w:pPr>
        <w:jc w:val="center"/>
        <w:rPr>
          <w:b/>
        </w:rPr>
      </w:pPr>
      <w:r>
        <w:rPr>
          <w:b/>
        </w:rPr>
        <w:t xml:space="preserve">from 2007 Potential Study  </w:t>
      </w:r>
    </w:p>
    <w:p w:rsidR="007A002D" w:rsidRDefault="007A002D" w:rsidP="007A002D">
      <w:pPr>
        <w:jc w:val="center"/>
        <w:rPr>
          <w:b/>
        </w:rPr>
      </w:pPr>
    </w:p>
    <w:p w:rsidR="007A002D" w:rsidRDefault="007A002D" w:rsidP="007A002D">
      <w:pPr>
        <w:jc w:val="center"/>
        <w:rPr>
          <w:b/>
        </w:rPr>
      </w:pPr>
      <w:r w:rsidRPr="00490A01">
        <w:rPr>
          <w:noProof/>
          <w:lang w:eastAsia="en-US"/>
        </w:rPr>
        <w:drawing>
          <wp:inline distT="0" distB="0" distL="0" distR="0">
            <wp:extent cx="4140835" cy="974725"/>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srcRect/>
                    <a:stretch>
                      <a:fillRect/>
                    </a:stretch>
                  </pic:blipFill>
                  <pic:spPr bwMode="auto">
                    <a:xfrm>
                      <a:off x="0" y="0"/>
                      <a:ext cx="4140835" cy="974725"/>
                    </a:xfrm>
                    <a:prstGeom prst="rect">
                      <a:avLst/>
                    </a:prstGeom>
                    <a:noFill/>
                    <a:ln w="9525">
                      <a:noFill/>
                      <a:miter lim="800000"/>
                      <a:headEnd/>
                      <a:tailEnd/>
                    </a:ln>
                  </pic:spPr>
                </pic:pic>
              </a:graphicData>
            </a:graphic>
          </wp:inline>
        </w:drawing>
      </w:r>
    </w:p>
    <w:p w:rsidR="007A002D" w:rsidRDefault="007A002D" w:rsidP="007A002D">
      <w:pPr>
        <w:jc w:val="center"/>
        <w:rPr>
          <w:b/>
        </w:rPr>
      </w:pPr>
    </w:p>
    <w:p w:rsidR="007A002D" w:rsidRDefault="007A002D" w:rsidP="007A002D">
      <w:pPr>
        <w:jc w:val="center"/>
        <w:rPr>
          <w:b/>
        </w:rPr>
      </w:pPr>
    </w:p>
    <w:p w:rsidR="007A002D" w:rsidRDefault="007A002D" w:rsidP="007A002D">
      <w:pPr>
        <w:jc w:val="center"/>
        <w:rPr>
          <w:b/>
        </w:rPr>
      </w:pPr>
    </w:p>
    <w:p w:rsidR="007A002D" w:rsidRDefault="007A002D" w:rsidP="007A002D">
      <w:pPr>
        <w:jc w:val="both"/>
        <w:rPr>
          <w:b/>
        </w:rPr>
      </w:pPr>
      <w:r>
        <w:t xml:space="preserve">As a result, the Company is adjusting the reported savings from these measures to reflect the savings assumed in the 2007 potential study savings assumptions. The impact on savings reporting adjustments is provided in Tables 2 and 3 below.   </w:t>
      </w:r>
    </w:p>
    <w:p w:rsidR="007A002D" w:rsidRDefault="007A002D" w:rsidP="007A002D">
      <w:pPr>
        <w:spacing w:after="200"/>
        <w:contextualSpacing/>
        <w:jc w:val="center"/>
        <w:rPr>
          <w:b/>
        </w:rPr>
      </w:pPr>
      <w:r>
        <w:rPr>
          <w:b/>
        </w:rPr>
        <w:br w:type="page"/>
      </w:r>
      <w:r w:rsidRPr="000611D9">
        <w:rPr>
          <w:b/>
        </w:rPr>
        <w:t xml:space="preserve">Table </w:t>
      </w:r>
      <w:r>
        <w:rPr>
          <w:b/>
        </w:rPr>
        <w:t>2</w:t>
      </w:r>
    </w:p>
    <w:p w:rsidR="007A002D" w:rsidRDefault="007A002D" w:rsidP="007A002D">
      <w:pPr>
        <w:spacing w:after="200"/>
        <w:contextualSpacing/>
        <w:jc w:val="center"/>
        <w:rPr>
          <w:b/>
        </w:rPr>
      </w:pPr>
      <w:r>
        <w:rPr>
          <w:b/>
        </w:rPr>
        <w:t>2010 Appliance Recycling Adjustment Calculations</w:t>
      </w:r>
    </w:p>
    <w:p w:rsidR="007A002D" w:rsidRDefault="007A002D" w:rsidP="007A002D">
      <w:pPr>
        <w:rPr>
          <w:u w:val="single"/>
        </w:rPr>
      </w:pPr>
      <w:r w:rsidRPr="00490A01">
        <w:rPr>
          <w:noProof/>
          <w:lang w:eastAsia="en-US"/>
        </w:rPr>
        <w:drawing>
          <wp:inline distT="0" distB="0" distL="0" distR="0">
            <wp:extent cx="5797837" cy="3614468"/>
            <wp:effectExtent l="19050" t="0" r="0"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5809490" cy="3621733"/>
                    </a:xfrm>
                    <a:prstGeom prst="rect">
                      <a:avLst/>
                    </a:prstGeom>
                    <a:noFill/>
                    <a:ln w="9525">
                      <a:noFill/>
                      <a:miter lim="800000"/>
                      <a:headEnd/>
                      <a:tailEnd/>
                    </a:ln>
                  </pic:spPr>
                </pic:pic>
              </a:graphicData>
            </a:graphic>
          </wp:inline>
        </w:drawing>
      </w:r>
    </w:p>
    <w:p w:rsidR="007A002D" w:rsidRDefault="007A002D" w:rsidP="007A002D">
      <w:pPr>
        <w:rPr>
          <w:u w:val="single"/>
        </w:rPr>
      </w:pPr>
    </w:p>
    <w:p w:rsidR="007A002D" w:rsidRPr="000611D9" w:rsidRDefault="007A002D" w:rsidP="007A002D">
      <w:pPr>
        <w:jc w:val="center"/>
        <w:rPr>
          <w:b/>
        </w:rPr>
      </w:pPr>
      <w:r w:rsidRPr="000611D9">
        <w:rPr>
          <w:b/>
        </w:rPr>
        <w:t xml:space="preserve">Table </w:t>
      </w:r>
      <w:r>
        <w:rPr>
          <w:b/>
        </w:rPr>
        <w:t xml:space="preserve">3 </w:t>
      </w:r>
    </w:p>
    <w:p w:rsidR="007A002D" w:rsidRDefault="007A002D" w:rsidP="007A002D">
      <w:pPr>
        <w:jc w:val="center"/>
        <w:rPr>
          <w:u w:val="single"/>
        </w:rPr>
      </w:pPr>
      <w:r>
        <w:rPr>
          <w:b/>
        </w:rPr>
        <w:t xml:space="preserve">2011 Appliance Recycling Adjustment Calculations </w:t>
      </w:r>
    </w:p>
    <w:p w:rsidR="007A002D" w:rsidRDefault="007A002D" w:rsidP="007A002D">
      <w:pPr>
        <w:rPr>
          <w:u w:val="single"/>
        </w:rPr>
      </w:pPr>
      <w:r w:rsidRPr="00490A01">
        <w:rPr>
          <w:noProof/>
          <w:lang w:eastAsia="en-US"/>
        </w:rPr>
        <w:drawing>
          <wp:inline distT="0" distB="0" distL="0" distR="0">
            <wp:extent cx="5841898" cy="3657600"/>
            <wp:effectExtent l="19050" t="0" r="6452"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srcRect/>
                    <a:stretch>
                      <a:fillRect/>
                    </a:stretch>
                  </pic:blipFill>
                  <pic:spPr bwMode="auto">
                    <a:xfrm>
                      <a:off x="0" y="0"/>
                      <a:ext cx="5847067" cy="3660837"/>
                    </a:xfrm>
                    <a:prstGeom prst="rect">
                      <a:avLst/>
                    </a:prstGeom>
                    <a:noFill/>
                    <a:ln w="9525">
                      <a:noFill/>
                      <a:miter lim="800000"/>
                      <a:headEnd/>
                      <a:tailEnd/>
                    </a:ln>
                  </pic:spPr>
                </pic:pic>
              </a:graphicData>
            </a:graphic>
          </wp:inline>
        </w:drawing>
      </w:r>
    </w:p>
    <w:p w:rsidR="007A002D" w:rsidRPr="00490A01" w:rsidRDefault="007A002D" w:rsidP="007A002D">
      <w:pPr>
        <w:rPr>
          <w:u w:val="single"/>
        </w:rPr>
      </w:pPr>
      <w:r w:rsidRPr="00EB282A">
        <w:rPr>
          <w:u w:val="single"/>
        </w:rPr>
        <w:t xml:space="preserve">Compact Florescent Lamps (“CFL”) </w:t>
      </w:r>
      <w:r>
        <w:rPr>
          <w:u w:val="single"/>
        </w:rPr>
        <w:t xml:space="preserve"> </w:t>
      </w:r>
    </w:p>
    <w:p w:rsidR="007A002D" w:rsidRDefault="007A002D" w:rsidP="007A002D">
      <w:pPr>
        <w:rPr>
          <w:i/>
        </w:rPr>
      </w:pPr>
    </w:p>
    <w:p w:rsidR="007A002D" w:rsidRDefault="007A002D" w:rsidP="007A002D">
      <w:pPr>
        <w:jc w:val="both"/>
      </w:pPr>
      <w:r>
        <w:t>The 2007 potential study estimated overall residential lighting savings on a lighting power density basis using the prototype residential models for single family, multi-family and manufactured homes. Unit energy savings for a typical socket were developed so measure levelized costs could be estimated. Unit energy savings for reporting were calculated on a wattage specific basis using 2.3 hours per day and a 20 percent storage factor.  For the purposes of this analysis, the average per lamp savings used for reporting were calculated and compared to the average per lamp savings used for planning purposes. The reported average savings were different than those used for planning.</w:t>
      </w:r>
      <w:r w:rsidRPr="006A1F6C">
        <w:t xml:space="preserve"> </w:t>
      </w:r>
    </w:p>
    <w:p w:rsidR="007A002D" w:rsidRDefault="007A002D" w:rsidP="007A002D">
      <w:pPr>
        <w:jc w:val="both"/>
      </w:pPr>
    </w:p>
    <w:p w:rsidR="007A002D" w:rsidRDefault="007A002D" w:rsidP="007A002D">
      <w:pPr>
        <w:jc w:val="both"/>
      </w:pPr>
      <w:r>
        <w:t xml:space="preserve">As a result, the Company is adjusting the reported savings from these measures to reflect the savings assumed in the 2007 potential study. The typical socket assumptions and calculation of the planning CFL UES are shown in Table 4. This estimate does not include the effect of the storage factors which is a delivery, not a planning assumption. </w:t>
      </w:r>
    </w:p>
    <w:p w:rsidR="007A002D" w:rsidRDefault="007A002D" w:rsidP="007A002D"/>
    <w:p w:rsidR="007A002D" w:rsidRDefault="007A002D" w:rsidP="007A002D"/>
    <w:p w:rsidR="007A002D" w:rsidRDefault="007A002D" w:rsidP="007A002D"/>
    <w:p w:rsidR="007A002D" w:rsidRDefault="007A002D" w:rsidP="007A002D">
      <w:pPr>
        <w:jc w:val="center"/>
        <w:rPr>
          <w:rFonts w:eastAsia="Times New Roman"/>
          <w:b/>
          <w:color w:val="000000"/>
          <w:lang w:eastAsia="en-US"/>
        </w:rPr>
      </w:pPr>
      <w:r>
        <w:rPr>
          <w:rFonts w:eastAsia="Times New Roman"/>
          <w:b/>
          <w:color w:val="000000"/>
          <w:lang w:eastAsia="en-US"/>
        </w:rPr>
        <w:t>Table 4</w:t>
      </w:r>
    </w:p>
    <w:p w:rsidR="007A002D" w:rsidRPr="00610F0B" w:rsidRDefault="007A002D" w:rsidP="007A002D">
      <w:pPr>
        <w:jc w:val="center"/>
        <w:rPr>
          <w:rFonts w:eastAsia="Times New Roman"/>
          <w:b/>
          <w:color w:val="000000"/>
          <w:lang w:eastAsia="en-US"/>
        </w:rPr>
      </w:pPr>
      <w:r w:rsidRPr="00610F0B">
        <w:rPr>
          <w:rFonts w:eastAsia="Times New Roman"/>
          <w:b/>
          <w:color w:val="000000"/>
          <w:lang w:eastAsia="en-US"/>
        </w:rPr>
        <w:t>Calculation of CFL UES from 2007 potential study values</w:t>
      </w:r>
    </w:p>
    <w:p w:rsidR="007A002D" w:rsidRDefault="007A002D" w:rsidP="007A002D">
      <w:pPr>
        <w:jc w:val="center"/>
      </w:pPr>
    </w:p>
    <w:p w:rsidR="007A002D" w:rsidRDefault="007A002D" w:rsidP="007A002D">
      <w:pPr>
        <w:jc w:val="center"/>
      </w:pPr>
      <w:r w:rsidRPr="00490A01">
        <w:rPr>
          <w:noProof/>
          <w:lang w:eastAsia="en-US"/>
        </w:rPr>
        <w:drawing>
          <wp:inline distT="0" distB="0" distL="0" distR="0">
            <wp:extent cx="4399280" cy="2846705"/>
            <wp:effectExtent l="19050" t="0" r="127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srcRect/>
                    <a:stretch>
                      <a:fillRect/>
                    </a:stretch>
                  </pic:blipFill>
                  <pic:spPr bwMode="auto">
                    <a:xfrm>
                      <a:off x="0" y="0"/>
                      <a:ext cx="4399280" cy="2846705"/>
                    </a:xfrm>
                    <a:prstGeom prst="rect">
                      <a:avLst/>
                    </a:prstGeom>
                    <a:noFill/>
                    <a:ln w="9525">
                      <a:noFill/>
                      <a:miter lim="800000"/>
                      <a:headEnd/>
                      <a:tailEnd/>
                    </a:ln>
                  </pic:spPr>
                </pic:pic>
              </a:graphicData>
            </a:graphic>
          </wp:inline>
        </w:drawing>
      </w:r>
    </w:p>
    <w:p w:rsidR="007A002D" w:rsidRDefault="007A002D" w:rsidP="007A002D">
      <w:pPr>
        <w:pStyle w:val="ListParagraph"/>
      </w:pPr>
      <w:r>
        <w:t xml:space="preserve"> </w:t>
      </w:r>
    </w:p>
    <w:p w:rsidR="007A002D" w:rsidRDefault="007A002D" w:rsidP="007A002D">
      <w:pPr>
        <w:pStyle w:val="ListParagraph"/>
      </w:pPr>
    </w:p>
    <w:p w:rsidR="007A002D" w:rsidRDefault="007A002D" w:rsidP="007A002D">
      <w:pPr>
        <w:pStyle w:val="ListParagraph"/>
      </w:pPr>
      <w:r>
        <w:t xml:space="preserve"> </w:t>
      </w:r>
    </w:p>
    <w:p w:rsidR="007A002D" w:rsidRDefault="007A002D" w:rsidP="007A002D">
      <w:r>
        <w:t xml:space="preserve"> </w:t>
      </w:r>
    </w:p>
    <w:p w:rsidR="007A002D" w:rsidRDefault="007A002D" w:rsidP="007A002D"/>
    <w:p w:rsidR="007A002D" w:rsidRDefault="007A002D" w:rsidP="007A002D"/>
    <w:p w:rsidR="007A002D" w:rsidRDefault="007A002D" w:rsidP="007A002D"/>
    <w:p w:rsidR="007A002D" w:rsidRDefault="007A002D" w:rsidP="007A002D">
      <w:pPr>
        <w:jc w:val="both"/>
      </w:pPr>
      <w:r>
        <w:t xml:space="preserve">The impact on savings reporting adjustments is provided in Tables 5 and 6 below. Adjustments to reported CFL savings is utilizing the planning UES assumption and the impact and storage factor.   </w:t>
      </w:r>
      <w:r w:rsidRPr="00B20294">
        <w:t xml:space="preserve">  </w:t>
      </w:r>
      <w:r>
        <w:t xml:space="preserve"> </w:t>
      </w:r>
    </w:p>
    <w:p w:rsidR="007A002D" w:rsidRDefault="007A002D" w:rsidP="007A002D">
      <w:pPr>
        <w:jc w:val="center"/>
        <w:rPr>
          <w:b/>
        </w:rPr>
      </w:pPr>
    </w:p>
    <w:p w:rsidR="007A002D" w:rsidRDefault="007A002D" w:rsidP="007A002D">
      <w:pPr>
        <w:jc w:val="center"/>
        <w:rPr>
          <w:b/>
        </w:rPr>
      </w:pPr>
    </w:p>
    <w:p w:rsidR="007A002D" w:rsidRDefault="007A002D" w:rsidP="007A002D">
      <w:pPr>
        <w:jc w:val="center"/>
        <w:rPr>
          <w:b/>
        </w:rPr>
      </w:pPr>
    </w:p>
    <w:p w:rsidR="007A002D" w:rsidRPr="000611D9" w:rsidRDefault="007A002D" w:rsidP="007A002D">
      <w:pPr>
        <w:jc w:val="center"/>
        <w:rPr>
          <w:b/>
        </w:rPr>
      </w:pPr>
      <w:r w:rsidRPr="000611D9">
        <w:rPr>
          <w:b/>
        </w:rPr>
        <w:t xml:space="preserve">Table </w:t>
      </w:r>
      <w:r>
        <w:rPr>
          <w:b/>
        </w:rPr>
        <w:t xml:space="preserve">5 </w:t>
      </w:r>
    </w:p>
    <w:p w:rsidR="007A002D" w:rsidRDefault="007A002D" w:rsidP="007A002D">
      <w:pPr>
        <w:jc w:val="center"/>
        <w:rPr>
          <w:b/>
        </w:rPr>
      </w:pPr>
      <w:r>
        <w:rPr>
          <w:b/>
        </w:rPr>
        <w:t xml:space="preserve">2010 CFL adjustment calculations </w:t>
      </w:r>
    </w:p>
    <w:p w:rsidR="007A002D" w:rsidRDefault="007A002D" w:rsidP="007A002D">
      <w:pPr>
        <w:jc w:val="center"/>
        <w:rPr>
          <w:b/>
        </w:rPr>
      </w:pPr>
    </w:p>
    <w:p w:rsidR="007A002D" w:rsidRDefault="007A002D" w:rsidP="007A002D">
      <w:r w:rsidRPr="008816A4">
        <w:rPr>
          <w:noProof/>
          <w:lang w:eastAsia="en-US"/>
        </w:rPr>
        <w:drawing>
          <wp:inline distT="0" distB="0" distL="0" distR="0">
            <wp:extent cx="5943600" cy="4382681"/>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srcRect/>
                    <a:stretch>
                      <a:fillRect/>
                    </a:stretch>
                  </pic:blipFill>
                  <pic:spPr bwMode="auto">
                    <a:xfrm>
                      <a:off x="0" y="0"/>
                      <a:ext cx="5943600" cy="4382681"/>
                    </a:xfrm>
                    <a:prstGeom prst="rect">
                      <a:avLst/>
                    </a:prstGeom>
                    <a:noFill/>
                    <a:ln w="9525">
                      <a:noFill/>
                      <a:miter lim="800000"/>
                      <a:headEnd/>
                      <a:tailEnd/>
                    </a:ln>
                  </pic:spPr>
                </pic:pic>
              </a:graphicData>
            </a:graphic>
          </wp:inline>
        </w:drawing>
      </w:r>
    </w:p>
    <w:p w:rsidR="007A002D" w:rsidRDefault="007A002D" w:rsidP="007A002D"/>
    <w:p w:rsidR="007A002D" w:rsidRDefault="007A002D" w:rsidP="007A002D">
      <w:pPr>
        <w:jc w:val="center"/>
        <w:rPr>
          <w:b/>
        </w:rPr>
      </w:pPr>
    </w:p>
    <w:p w:rsidR="007A002D" w:rsidRDefault="007A002D" w:rsidP="007A002D">
      <w:pPr>
        <w:jc w:val="center"/>
        <w:rPr>
          <w:b/>
        </w:rPr>
      </w:pPr>
    </w:p>
    <w:p w:rsidR="007A002D" w:rsidRDefault="007A002D" w:rsidP="007A002D">
      <w:pPr>
        <w:jc w:val="center"/>
        <w:rPr>
          <w:b/>
        </w:rPr>
      </w:pPr>
    </w:p>
    <w:p w:rsidR="007A002D" w:rsidRDefault="007A002D" w:rsidP="007A002D">
      <w:pPr>
        <w:jc w:val="center"/>
        <w:rPr>
          <w:b/>
        </w:rPr>
      </w:pPr>
    </w:p>
    <w:p w:rsidR="007A002D" w:rsidRDefault="007A002D" w:rsidP="007A002D">
      <w:pPr>
        <w:jc w:val="center"/>
        <w:rPr>
          <w:b/>
        </w:rPr>
      </w:pPr>
    </w:p>
    <w:p w:rsidR="007A002D" w:rsidRDefault="007A002D" w:rsidP="007A002D">
      <w:pPr>
        <w:jc w:val="center"/>
        <w:rPr>
          <w:b/>
        </w:rPr>
      </w:pPr>
    </w:p>
    <w:p w:rsidR="007A002D" w:rsidRDefault="007A002D" w:rsidP="007A002D">
      <w:pPr>
        <w:jc w:val="center"/>
        <w:rPr>
          <w:b/>
        </w:rPr>
      </w:pPr>
    </w:p>
    <w:p w:rsidR="007A002D" w:rsidRDefault="007A002D" w:rsidP="007A002D">
      <w:pPr>
        <w:jc w:val="center"/>
        <w:rPr>
          <w:b/>
        </w:rPr>
      </w:pPr>
    </w:p>
    <w:p w:rsidR="007A002D" w:rsidRDefault="007A002D" w:rsidP="007A002D">
      <w:pPr>
        <w:jc w:val="center"/>
        <w:rPr>
          <w:b/>
        </w:rPr>
      </w:pPr>
    </w:p>
    <w:p w:rsidR="007A002D" w:rsidRDefault="007A002D" w:rsidP="007A002D">
      <w:pPr>
        <w:jc w:val="center"/>
        <w:rPr>
          <w:b/>
        </w:rPr>
      </w:pPr>
    </w:p>
    <w:p w:rsidR="007A002D" w:rsidRDefault="007A002D" w:rsidP="007A002D">
      <w:pPr>
        <w:jc w:val="center"/>
        <w:rPr>
          <w:b/>
        </w:rPr>
      </w:pPr>
    </w:p>
    <w:p w:rsidR="007A002D" w:rsidRPr="000611D9" w:rsidRDefault="007A002D" w:rsidP="007A002D">
      <w:pPr>
        <w:jc w:val="center"/>
        <w:rPr>
          <w:b/>
        </w:rPr>
      </w:pPr>
      <w:r w:rsidRPr="000611D9">
        <w:rPr>
          <w:b/>
        </w:rPr>
        <w:t xml:space="preserve">Table </w:t>
      </w:r>
      <w:r>
        <w:rPr>
          <w:b/>
        </w:rPr>
        <w:t>6</w:t>
      </w:r>
    </w:p>
    <w:p w:rsidR="007A002D" w:rsidRDefault="007A002D" w:rsidP="007A002D">
      <w:pPr>
        <w:jc w:val="center"/>
        <w:rPr>
          <w:b/>
        </w:rPr>
      </w:pPr>
      <w:r>
        <w:rPr>
          <w:b/>
        </w:rPr>
        <w:t xml:space="preserve">2011 CFL Adjustment calculations </w:t>
      </w:r>
    </w:p>
    <w:p w:rsidR="007A002D" w:rsidRDefault="007A002D" w:rsidP="007A002D"/>
    <w:p w:rsidR="007A002D" w:rsidRDefault="007A002D" w:rsidP="007A002D">
      <w:r w:rsidRPr="008816A4">
        <w:rPr>
          <w:noProof/>
          <w:lang w:eastAsia="en-US"/>
        </w:rPr>
        <w:drawing>
          <wp:inline distT="0" distB="0" distL="0" distR="0">
            <wp:extent cx="5943600" cy="4256730"/>
            <wp:effectExtent l="1905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9" cstate="print"/>
                    <a:srcRect/>
                    <a:stretch>
                      <a:fillRect/>
                    </a:stretch>
                  </pic:blipFill>
                  <pic:spPr bwMode="auto">
                    <a:xfrm>
                      <a:off x="0" y="0"/>
                      <a:ext cx="5943600" cy="4256730"/>
                    </a:xfrm>
                    <a:prstGeom prst="rect">
                      <a:avLst/>
                    </a:prstGeom>
                    <a:noFill/>
                    <a:ln w="9525">
                      <a:noFill/>
                      <a:miter lim="800000"/>
                      <a:headEnd/>
                      <a:tailEnd/>
                    </a:ln>
                  </pic:spPr>
                </pic:pic>
              </a:graphicData>
            </a:graphic>
          </wp:inline>
        </w:drawing>
      </w:r>
    </w:p>
    <w:p w:rsidR="007A002D" w:rsidRDefault="007A002D" w:rsidP="007A002D"/>
    <w:p w:rsidR="007A002D" w:rsidRDefault="007A002D" w:rsidP="007A002D"/>
    <w:p w:rsidR="007A002D" w:rsidRPr="00305500" w:rsidRDefault="007A002D" w:rsidP="007A002D">
      <w:pPr>
        <w:jc w:val="both"/>
      </w:pPr>
      <w:r>
        <w:t>The difference in reported UES’s</w:t>
      </w:r>
      <w:r w:rsidRPr="00305500">
        <w:t xml:space="preserve"> </w:t>
      </w:r>
      <w:r>
        <w:t xml:space="preserve">is attributable to differences in CFL wattages that moved through the retail buy down channel during the period(s). </w:t>
      </w:r>
      <w:r w:rsidRPr="00305500">
        <w:t xml:space="preserve"> </w:t>
      </w:r>
    </w:p>
    <w:p w:rsidR="007A002D" w:rsidRDefault="007A002D" w:rsidP="007A002D">
      <w:pPr>
        <w:spacing w:after="200" w:line="276" w:lineRule="auto"/>
        <w:rPr>
          <w:u w:val="single"/>
        </w:rPr>
      </w:pPr>
    </w:p>
    <w:p w:rsidR="007A002D" w:rsidRDefault="007A002D" w:rsidP="007A002D">
      <w:pPr>
        <w:spacing w:after="200" w:line="276" w:lineRule="auto"/>
        <w:rPr>
          <w:u w:val="single"/>
        </w:rPr>
      </w:pPr>
      <w:r>
        <w:rPr>
          <w:u w:val="single"/>
        </w:rPr>
        <w:t>Northwest Energy Efficiency Alliance (“NEEA”)</w:t>
      </w:r>
    </w:p>
    <w:p w:rsidR="007A002D" w:rsidRDefault="007A002D" w:rsidP="007A002D">
      <w:pPr>
        <w:jc w:val="both"/>
      </w:pPr>
      <w:r>
        <w:t>In the Company’s 2010 Annual Report on Conservation Acquisition in Washington (filed</w:t>
      </w:r>
      <w:r w:rsidR="00E8287F">
        <w:t xml:space="preserve"> on</w:t>
      </w:r>
      <w:r>
        <w:t xml:space="preserve"> March 31, 2011), the Company reported a 57 percent negative variance between forecasted savings and reported savings associated with the Company’s investments in NEEA. The variance was the result of NEEA adjusting </w:t>
      </w:r>
      <w:r w:rsidR="00E8287F">
        <w:t xml:space="preserve">its </w:t>
      </w:r>
      <w:r>
        <w:t xml:space="preserve">savings baseline used to calculate gross regional savings for the year, post the April 2010 forecast </w:t>
      </w:r>
      <w:r w:rsidR="00E8287F">
        <w:t xml:space="preserve">it </w:t>
      </w:r>
      <w:r>
        <w:t>provided</w:t>
      </w:r>
      <w:r w:rsidR="00E8287F">
        <w:t xml:space="preserve"> to</w:t>
      </w:r>
      <w:r>
        <w:t xml:space="preserve"> PacifiCorp of expected 2010 and 2011 savings contributions</w:t>
      </w:r>
    </w:p>
    <w:p w:rsidR="007A002D" w:rsidRDefault="007A002D" w:rsidP="007A002D">
      <w:pPr>
        <w:jc w:val="both"/>
      </w:pPr>
    </w:p>
    <w:p w:rsidR="007A002D" w:rsidRDefault="007A002D" w:rsidP="007A002D">
      <w:pPr>
        <w:jc w:val="both"/>
      </w:pPr>
      <w:r>
        <w:t xml:space="preserve">Utilizing the NEEA baseline assumptions relied upon in setting the Company’s 2010 and 2011 biennial target, NEEA’s revised results for 2010 are closer to the initial forecast provided PacifiCorp in April, 2010. The consensus agreement regarding frozen planning assumptions was in place when the Company prepared the 2011 Report on Conservation Acquisition in Washington (filed </w:t>
      </w:r>
      <w:r w:rsidR="00E8287F">
        <w:t xml:space="preserve">on </w:t>
      </w:r>
      <w:r>
        <w:t xml:space="preserve">March 31, 2012) however, NEEA had yet to finalize </w:t>
      </w:r>
      <w:r w:rsidR="00E8287F">
        <w:t xml:space="preserve">its </w:t>
      </w:r>
      <w:r>
        <w:t xml:space="preserve">2011 </w:t>
      </w:r>
      <w:r w:rsidR="00D7527F">
        <w:t xml:space="preserve">results.  PacifiCorp’s reported NEEA savings in the 2011 Report on Conservation reflected this by noting the savings as “preliminary”. </w:t>
      </w:r>
    </w:p>
    <w:p w:rsidR="007A002D" w:rsidRDefault="007A002D" w:rsidP="007A002D">
      <w:pPr>
        <w:jc w:val="both"/>
      </w:pPr>
    </w:p>
    <w:p w:rsidR="007A002D" w:rsidRDefault="007A002D" w:rsidP="007A002D">
      <w:pPr>
        <w:jc w:val="both"/>
      </w:pPr>
      <w:r>
        <w:t xml:space="preserve">The following table documents the adjustments to the Company’s NEEA savings initially reported in the 2010 and 2011 reports on conservation acquisitions filed in March, 2010 and 2011, respectively. The revised savings were provided by NEEA to </w:t>
      </w:r>
      <w:r w:rsidR="00F015F2">
        <w:t>PacifiCorp</w:t>
      </w:r>
      <w:r>
        <w:t xml:space="preserve"> in a May 8, 2012, Memorandum, which explains the adjustment to the baseline</w:t>
      </w:r>
      <w:r w:rsidR="00F015F2">
        <w:t>,</w:t>
      </w:r>
      <w:r>
        <w:t xml:space="preserve"> actions taken to correct</w:t>
      </w:r>
      <w:r w:rsidR="00F015F2">
        <w:t xml:space="preserve"> the baseline</w:t>
      </w:r>
      <w:r>
        <w:t>, and the impact on final reported savings. See Appendix 1 for detail.</w:t>
      </w:r>
    </w:p>
    <w:p w:rsidR="007A002D" w:rsidRDefault="007A002D" w:rsidP="007A002D">
      <w:pPr>
        <w:jc w:val="both"/>
      </w:pPr>
    </w:p>
    <w:p w:rsidR="007A002D" w:rsidRPr="00B976D2" w:rsidRDefault="007A002D" w:rsidP="007A002D">
      <w:pPr>
        <w:jc w:val="center"/>
        <w:rPr>
          <w:b/>
        </w:rPr>
      </w:pPr>
      <w:r w:rsidRPr="00B976D2">
        <w:rPr>
          <w:b/>
        </w:rPr>
        <w:t>Table 7</w:t>
      </w:r>
    </w:p>
    <w:p w:rsidR="007A002D" w:rsidRDefault="007A002D" w:rsidP="007A002D">
      <w:pPr>
        <w:jc w:val="center"/>
        <w:rPr>
          <w:b/>
        </w:rPr>
      </w:pPr>
      <w:r w:rsidRPr="00B976D2">
        <w:rPr>
          <w:b/>
        </w:rPr>
        <w:t>Revised NEEA savings 2010 and 2011 (</w:t>
      </w:r>
      <w:r w:rsidR="006D6562">
        <w:rPr>
          <w:b/>
        </w:rPr>
        <w:t>M</w:t>
      </w:r>
      <w:r w:rsidRPr="00B976D2">
        <w:rPr>
          <w:b/>
        </w:rPr>
        <w:t>Wh)</w:t>
      </w:r>
    </w:p>
    <w:p w:rsidR="00A27114" w:rsidRDefault="00A27114" w:rsidP="007A002D">
      <w:pPr>
        <w:jc w:val="center"/>
        <w:rPr>
          <w:b/>
        </w:rPr>
      </w:pPr>
    </w:p>
    <w:p w:rsidR="00A27114" w:rsidRDefault="00E07DDB" w:rsidP="00A27114">
      <w:pPr>
        <w:jc w:val="center"/>
        <w:rPr>
          <w:b/>
        </w:rPr>
      </w:pPr>
      <w:r>
        <w:rPr>
          <w:noProof/>
          <w:lang w:eastAsia="en-US"/>
        </w:rPr>
        <w:drawing>
          <wp:inline distT="0" distB="0" distL="0" distR="0">
            <wp:extent cx="3916680" cy="1087120"/>
            <wp:effectExtent l="19050" t="0" r="762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3916680" cy="1087120"/>
                    </a:xfrm>
                    <a:prstGeom prst="rect">
                      <a:avLst/>
                    </a:prstGeom>
                    <a:noFill/>
                    <a:ln w="9525">
                      <a:noFill/>
                      <a:miter lim="800000"/>
                      <a:headEnd/>
                      <a:tailEnd/>
                    </a:ln>
                  </pic:spPr>
                </pic:pic>
              </a:graphicData>
            </a:graphic>
          </wp:inline>
        </w:drawing>
      </w:r>
    </w:p>
    <w:p w:rsidR="00A27114" w:rsidRDefault="00A27114" w:rsidP="007A002D">
      <w:pPr>
        <w:jc w:val="center"/>
        <w:rPr>
          <w:b/>
        </w:rPr>
      </w:pPr>
    </w:p>
    <w:p w:rsidR="007A002D" w:rsidRDefault="007A002D" w:rsidP="007A002D">
      <w:pPr>
        <w:jc w:val="both"/>
      </w:pPr>
      <w:r>
        <w:tab/>
      </w:r>
    </w:p>
    <w:p w:rsidR="007A002D" w:rsidRDefault="007A002D" w:rsidP="007A002D">
      <w:pPr>
        <w:spacing w:after="200" w:line="276" w:lineRule="auto"/>
        <w:jc w:val="both"/>
      </w:pPr>
      <w:r>
        <w:t>The net effect of all adjustments applied to the 2010-2011 biennial</w:t>
      </w:r>
      <w:r w:rsidR="00F015F2">
        <w:t xml:space="preserve"> targets</w:t>
      </w:r>
      <w:r>
        <w:t xml:space="preserve"> is an increase of 1,159 </w:t>
      </w:r>
      <w:r w:rsidR="00E81BB2">
        <w:t>M</w:t>
      </w:r>
      <w:r>
        <w:t>Wh or 0.13 aMW. These adjustments include the effects of line losses</w:t>
      </w:r>
      <w:r w:rsidR="00F015F2">
        <w:t>.</w:t>
      </w:r>
      <w:r>
        <w:rPr>
          <w:rStyle w:val="FootnoteReference"/>
        </w:rPr>
        <w:footnoteReference w:id="2"/>
      </w:r>
      <w:r>
        <w:t xml:space="preserve">   Table 8 provides detail by adjustment type and reporting year.  </w:t>
      </w:r>
    </w:p>
    <w:p w:rsidR="007A002D" w:rsidRDefault="007A002D" w:rsidP="007A002D"/>
    <w:p w:rsidR="007A002D" w:rsidRPr="000611D9" w:rsidRDefault="007A002D" w:rsidP="007A002D">
      <w:pPr>
        <w:jc w:val="center"/>
        <w:rPr>
          <w:b/>
        </w:rPr>
      </w:pPr>
      <w:r w:rsidRPr="000611D9">
        <w:rPr>
          <w:b/>
        </w:rPr>
        <w:t xml:space="preserve">Table </w:t>
      </w:r>
      <w:r>
        <w:rPr>
          <w:b/>
        </w:rPr>
        <w:t xml:space="preserve">8 </w:t>
      </w:r>
    </w:p>
    <w:p w:rsidR="007A002D" w:rsidRDefault="007A002D" w:rsidP="007A002D">
      <w:pPr>
        <w:jc w:val="center"/>
        <w:rPr>
          <w:b/>
        </w:rPr>
      </w:pPr>
      <w:r>
        <w:rPr>
          <w:b/>
        </w:rPr>
        <w:t>Adjustments by Type and Year (</w:t>
      </w:r>
      <w:r w:rsidR="00E81BB2">
        <w:rPr>
          <w:b/>
        </w:rPr>
        <w:t>M</w:t>
      </w:r>
      <w:r>
        <w:rPr>
          <w:b/>
        </w:rPr>
        <w:t>Wh)</w:t>
      </w:r>
    </w:p>
    <w:p w:rsidR="007A002D" w:rsidRDefault="007A002D" w:rsidP="007A002D">
      <w:pPr>
        <w:jc w:val="center"/>
        <w:rPr>
          <w:b/>
        </w:rPr>
      </w:pPr>
    </w:p>
    <w:p w:rsidR="007A002D" w:rsidRDefault="007A002D" w:rsidP="007A002D">
      <w:pPr>
        <w:jc w:val="center"/>
        <w:rPr>
          <w:b/>
        </w:rPr>
      </w:pPr>
      <w:r w:rsidRPr="00E71091">
        <w:rPr>
          <w:noProof/>
          <w:lang w:eastAsia="en-US"/>
        </w:rPr>
        <w:drawing>
          <wp:inline distT="0" distB="0" distL="0" distR="0">
            <wp:extent cx="3234690" cy="1828800"/>
            <wp:effectExtent l="19050" t="0" r="381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1"/>
                    <a:srcRect/>
                    <a:stretch>
                      <a:fillRect/>
                    </a:stretch>
                  </pic:blipFill>
                  <pic:spPr bwMode="auto">
                    <a:xfrm>
                      <a:off x="0" y="0"/>
                      <a:ext cx="3234690" cy="1828800"/>
                    </a:xfrm>
                    <a:prstGeom prst="rect">
                      <a:avLst/>
                    </a:prstGeom>
                    <a:noFill/>
                    <a:ln w="9525">
                      <a:noFill/>
                      <a:miter lim="800000"/>
                      <a:headEnd/>
                      <a:tailEnd/>
                    </a:ln>
                  </pic:spPr>
                </pic:pic>
              </a:graphicData>
            </a:graphic>
          </wp:inline>
        </w:drawing>
      </w:r>
    </w:p>
    <w:p w:rsidR="007A002D" w:rsidRDefault="007A002D" w:rsidP="007A002D">
      <w:pPr>
        <w:jc w:val="center"/>
        <w:rPr>
          <w:b/>
        </w:rPr>
      </w:pPr>
    </w:p>
    <w:p w:rsidR="00D7527F" w:rsidRDefault="00D7527F" w:rsidP="007A002D"/>
    <w:p w:rsidR="00D7527F" w:rsidRDefault="00D7527F" w:rsidP="007A002D"/>
    <w:p w:rsidR="00D7527F" w:rsidRDefault="00D7527F" w:rsidP="007A002D"/>
    <w:p w:rsidR="007A002D" w:rsidRDefault="007A002D" w:rsidP="007A002D">
      <w:pPr>
        <w:rPr>
          <w:b/>
        </w:rPr>
      </w:pPr>
      <w:r>
        <w:t xml:space="preserve">Table 9 provides detail by adjustment type in kWh and reporting year.  </w:t>
      </w:r>
      <w:r>
        <w:rPr>
          <w:b/>
        </w:rPr>
        <w:t xml:space="preserve"> </w:t>
      </w:r>
    </w:p>
    <w:p w:rsidR="007A002D" w:rsidRDefault="007A002D" w:rsidP="007A002D">
      <w:pPr>
        <w:jc w:val="center"/>
        <w:rPr>
          <w:b/>
        </w:rPr>
      </w:pPr>
    </w:p>
    <w:p w:rsidR="00D7527F" w:rsidRDefault="00D7527F" w:rsidP="007A002D">
      <w:pPr>
        <w:jc w:val="center"/>
        <w:rPr>
          <w:b/>
        </w:rPr>
      </w:pPr>
    </w:p>
    <w:p w:rsidR="007A002D" w:rsidRPr="000611D9" w:rsidRDefault="007A002D" w:rsidP="007A002D">
      <w:pPr>
        <w:jc w:val="center"/>
        <w:rPr>
          <w:b/>
        </w:rPr>
      </w:pPr>
      <w:r w:rsidRPr="000611D9">
        <w:rPr>
          <w:b/>
        </w:rPr>
        <w:t xml:space="preserve">Table </w:t>
      </w:r>
      <w:r>
        <w:rPr>
          <w:b/>
        </w:rPr>
        <w:t xml:space="preserve">9 </w:t>
      </w:r>
    </w:p>
    <w:p w:rsidR="007A002D" w:rsidRDefault="007A002D" w:rsidP="007A002D">
      <w:pPr>
        <w:jc w:val="center"/>
        <w:rPr>
          <w:b/>
        </w:rPr>
      </w:pPr>
      <w:r>
        <w:rPr>
          <w:b/>
        </w:rPr>
        <w:t>Adjustments by Type and Year (kWh)</w:t>
      </w:r>
    </w:p>
    <w:p w:rsidR="007A002D" w:rsidRDefault="007A002D" w:rsidP="007A002D">
      <w:pPr>
        <w:jc w:val="center"/>
        <w:rPr>
          <w:b/>
        </w:rPr>
      </w:pPr>
    </w:p>
    <w:p w:rsidR="007A002D" w:rsidRDefault="007A002D" w:rsidP="007A002D">
      <w:pPr>
        <w:jc w:val="center"/>
        <w:rPr>
          <w:b/>
        </w:rPr>
      </w:pPr>
      <w:r w:rsidRPr="00E71091">
        <w:rPr>
          <w:noProof/>
          <w:lang w:eastAsia="en-US"/>
        </w:rPr>
        <w:drawing>
          <wp:inline distT="0" distB="0" distL="0" distR="0">
            <wp:extent cx="3804285" cy="1621790"/>
            <wp:effectExtent l="19050" t="0" r="571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2"/>
                    <a:srcRect/>
                    <a:stretch>
                      <a:fillRect/>
                    </a:stretch>
                  </pic:blipFill>
                  <pic:spPr bwMode="auto">
                    <a:xfrm>
                      <a:off x="0" y="0"/>
                      <a:ext cx="3804285" cy="1621790"/>
                    </a:xfrm>
                    <a:prstGeom prst="rect">
                      <a:avLst/>
                    </a:prstGeom>
                    <a:noFill/>
                    <a:ln w="9525">
                      <a:noFill/>
                      <a:miter lim="800000"/>
                      <a:headEnd/>
                      <a:tailEnd/>
                    </a:ln>
                  </pic:spPr>
                </pic:pic>
              </a:graphicData>
            </a:graphic>
          </wp:inline>
        </w:drawing>
      </w:r>
    </w:p>
    <w:p w:rsidR="007A002D" w:rsidRDefault="007A002D" w:rsidP="007A002D">
      <w:pPr>
        <w:jc w:val="center"/>
        <w:rPr>
          <w:b/>
        </w:rPr>
      </w:pPr>
    </w:p>
    <w:p w:rsidR="007A002D" w:rsidRDefault="007A002D" w:rsidP="007A002D"/>
    <w:p w:rsidR="00FC0DA2" w:rsidRPr="00DC2045" w:rsidRDefault="00FC0DA2" w:rsidP="002810D1">
      <w:pPr>
        <w:jc w:val="both"/>
      </w:pPr>
    </w:p>
    <w:p w:rsidR="002F738C" w:rsidRDefault="002F738C">
      <w:pPr>
        <w:rPr>
          <w:b/>
          <w:bCs/>
          <w:kern w:val="32"/>
          <w:sz w:val="28"/>
          <w:szCs w:val="28"/>
        </w:rPr>
      </w:pPr>
      <w:r>
        <w:rPr>
          <w:sz w:val="28"/>
          <w:szCs w:val="28"/>
        </w:rPr>
        <w:br w:type="page"/>
      </w:r>
    </w:p>
    <w:p w:rsidR="006014D5" w:rsidRPr="00B44B26" w:rsidRDefault="006E37F8" w:rsidP="006E37F8">
      <w:pPr>
        <w:pStyle w:val="Heading1"/>
        <w:spacing w:line="360" w:lineRule="auto"/>
        <w:contextualSpacing/>
        <w:rPr>
          <w:rFonts w:ascii="Times New Roman" w:hAnsi="Times New Roman" w:cs="Times New Roman"/>
          <w:sz w:val="28"/>
          <w:szCs w:val="28"/>
        </w:rPr>
      </w:pPr>
      <w:bookmarkStart w:id="11" w:name="_Toc325017670"/>
      <w:r>
        <w:rPr>
          <w:rFonts w:ascii="Times New Roman" w:hAnsi="Times New Roman" w:cs="Times New Roman"/>
          <w:sz w:val="28"/>
          <w:szCs w:val="28"/>
        </w:rPr>
        <w:t>Supporting Documents for Conservation</w:t>
      </w:r>
      <w:bookmarkEnd w:id="11"/>
    </w:p>
    <w:p w:rsidR="00FC0DA2" w:rsidRDefault="006E37F8" w:rsidP="006E37F8">
      <w:pPr>
        <w:jc w:val="both"/>
      </w:pPr>
      <w:r>
        <w:t>Provided below are links to supporting documents relied upon in support of the Company’s planning assumptions and associated reporting of actual savings results for the 2010-2011 Biennial Conservation.</w:t>
      </w:r>
    </w:p>
    <w:p w:rsidR="006E37F8" w:rsidRPr="006E37F8" w:rsidRDefault="006E37F8" w:rsidP="006E37F8">
      <w:pPr>
        <w:jc w:val="both"/>
      </w:pPr>
    </w:p>
    <w:p w:rsidR="006E37F8" w:rsidRPr="006E37F8" w:rsidRDefault="006E37F8" w:rsidP="002D70F8">
      <w:pPr>
        <w:pStyle w:val="ListParagraph"/>
        <w:numPr>
          <w:ilvl w:val="0"/>
          <w:numId w:val="41"/>
        </w:numPr>
        <w:contextualSpacing w:val="0"/>
        <w:jc w:val="both"/>
      </w:pPr>
      <w:r w:rsidRPr="006E37F8">
        <w:t>Assessment of Long-Term, System-Wide Potential for Demand-Side and Other Supplemental Resources, Volumes I and II (</w:t>
      </w:r>
      <w:r>
        <w:t>July 11, 2007</w:t>
      </w:r>
      <w:r w:rsidRPr="006E37F8">
        <w:t xml:space="preserve">) – </w:t>
      </w:r>
      <w:r>
        <w:t xml:space="preserve">Conservation </w:t>
      </w:r>
      <w:r w:rsidRPr="006E37F8">
        <w:t xml:space="preserve">Potential </w:t>
      </w:r>
      <w:r>
        <w:t>Assessment</w:t>
      </w:r>
    </w:p>
    <w:p w:rsidR="006E37F8" w:rsidRPr="006E37F8" w:rsidRDefault="006E37F8" w:rsidP="006E37F8"/>
    <w:p w:rsidR="006E37F8" w:rsidRPr="006E37F8" w:rsidRDefault="006E37F8" w:rsidP="006E37F8">
      <w:r w:rsidRPr="006E37F8">
        <w:t>          </w:t>
      </w:r>
      <w:hyperlink r:id="rId23" w:history="1">
        <w:r w:rsidRPr="006E37F8">
          <w:rPr>
            <w:rStyle w:val="Hyperlink"/>
          </w:rPr>
          <w:t>http://www.pacificorp.com/es/dsm.html</w:t>
        </w:r>
      </w:hyperlink>
    </w:p>
    <w:p w:rsidR="006E37F8" w:rsidRPr="006E37F8" w:rsidRDefault="006E37F8" w:rsidP="006E37F8"/>
    <w:p w:rsidR="006E37F8" w:rsidRPr="006E37F8" w:rsidRDefault="006E37F8" w:rsidP="006E37F8">
      <w:pPr>
        <w:pStyle w:val="ListParagraph"/>
        <w:numPr>
          <w:ilvl w:val="0"/>
          <w:numId w:val="41"/>
        </w:numPr>
        <w:contextualSpacing w:val="0"/>
      </w:pPr>
      <w:r w:rsidRPr="006E37F8">
        <w:t>2010 and 2011 Annual Report(s) on Conservation Acquisition</w:t>
      </w:r>
    </w:p>
    <w:p w:rsidR="006E37F8" w:rsidRPr="006E37F8" w:rsidRDefault="006E37F8" w:rsidP="006E37F8"/>
    <w:p w:rsidR="006E37F8" w:rsidRPr="006E37F8" w:rsidRDefault="006E37F8" w:rsidP="006E37F8">
      <w:r w:rsidRPr="006E37F8">
        <w:t>          </w:t>
      </w:r>
      <w:hyperlink r:id="rId24" w:history="1">
        <w:r w:rsidRPr="006E37F8">
          <w:rPr>
            <w:rStyle w:val="Hyperlink"/>
          </w:rPr>
          <w:t>http://www.pacificorp.com/es/dsm/washington.html</w:t>
        </w:r>
      </w:hyperlink>
    </w:p>
    <w:p w:rsidR="006E37F8" w:rsidRPr="006E37F8" w:rsidRDefault="006E37F8" w:rsidP="006E37F8"/>
    <w:p w:rsidR="006E37F8" w:rsidRPr="006E37F8" w:rsidRDefault="006E37F8" w:rsidP="002D70F8">
      <w:pPr>
        <w:pStyle w:val="ListParagraph"/>
        <w:numPr>
          <w:ilvl w:val="0"/>
          <w:numId w:val="41"/>
        </w:numPr>
        <w:contextualSpacing w:val="0"/>
        <w:jc w:val="both"/>
      </w:pPr>
      <w:r w:rsidRPr="006E37F8">
        <w:t>Revised Report on its Ten-year Achievable Conservation Potential and its Biennial Conservation Target for 2010 and 2011, filed in Docket UE-100170 on July 2, 2010</w:t>
      </w:r>
    </w:p>
    <w:p w:rsidR="006E37F8" w:rsidRPr="006E37F8" w:rsidRDefault="006E37F8" w:rsidP="006E37F8"/>
    <w:p w:rsidR="006E37F8" w:rsidRPr="006E37F8" w:rsidRDefault="00EC7E7D" w:rsidP="006E37F8">
      <w:pPr>
        <w:pStyle w:val="ListParagraph"/>
      </w:pPr>
      <w:hyperlink r:id="rId25" w:history="1">
        <w:r w:rsidR="006E37F8" w:rsidRPr="006E37F8">
          <w:rPr>
            <w:rStyle w:val="Hyperlink"/>
          </w:rPr>
          <w:t>http://www.utc.wa.gov/docs/Pages/FilingIdBrowser.aspx</w:t>
        </w:r>
      </w:hyperlink>
    </w:p>
    <w:p w:rsidR="006E37F8" w:rsidRPr="006E37F8" w:rsidRDefault="006E37F8" w:rsidP="006E37F8">
      <w:pPr>
        <w:pStyle w:val="ListParagraph"/>
      </w:pPr>
    </w:p>
    <w:p w:rsidR="006E37F8" w:rsidRPr="006E37F8" w:rsidRDefault="006E37F8" w:rsidP="006E37F8">
      <w:pPr>
        <w:pStyle w:val="ListParagraph"/>
        <w:numPr>
          <w:ilvl w:val="0"/>
          <w:numId w:val="41"/>
        </w:numPr>
        <w:contextualSpacing w:val="0"/>
      </w:pPr>
      <w:r w:rsidRPr="006E37F8">
        <w:t>Demand-side Management Business Plan – Washington, November 2010 Update filed November 1, 2010 in Docket UE-100170.</w:t>
      </w:r>
    </w:p>
    <w:p w:rsidR="006E37F8" w:rsidRPr="006E37F8" w:rsidRDefault="006E37F8" w:rsidP="006E37F8">
      <w:pPr>
        <w:pStyle w:val="ListParagraph"/>
      </w:pPr>
    </w:p>
    <w:p w:rsidR="006E37F8" w:rsidRPr="006E37F8" w:rsidRDefault="00EC7E7D" w:rsidP="006E37F8">
      <w:pPr>
        <w:pStyle w:val="ListParagraph"/>
      </w:pPr>
      <w:hyperlink r:id="rId26" w:history="1">
        <w:r w:rsidR="006E37F8" w:rsidRPr="006E37F8">
          <w:rPr>
            <w:rStyle w:val="Hyperlink"/>
          </w:rPr>
          <w:t>http://www.utc.wa.gov/docs/Pages/FilingIdBrowser.aspx</w:t>
        </w:r>
      </w:hyperlink>
    </w:p>
    <w:p w:rsidR="006E37F8" w:rsidRPr="006E37F8" w:rsidRDefault="006E37F8" w:rsidP="006E37F8"/>
    <w:p w:rsidR="006E37F8" w:rsidRPr="006E37F8" w:rsidRDefault="006E37F8" w:rsidP="002D70F8">
      <w:pPr>
        <w:pStyle w:val="ListParagraph"/>
        <w:numPr>
          <w:ilvl w:val="0"/>
          <w:numId w:val="41"/>
        </w:numPr>
        <w:contextualSpacing w:val="0"/>
        <w:jc w:val="both"/>
      </w:pPr>
      <w:r w:rsidRPr="006E37F8">
        <w:t xml:space="preserve">Independent third-party </w:t>
      </w:r>
      <w:r>
        <w:t xml:space="preserve">process and impact </w:t>
      </w:r>
      <w:r w:rsidRPr="006E37F8">
        <w:t>evaluations completed during the 2010-2011 biennium</w:t>
      </w:r>
      <w:r>
        <w:t xml:space="preserve">, </w:t>
      </w:r>
      <w:r w:rsidR="002D70F8">
        <w:t>validating</w:t>
      </w:r>
      <w:r w:rsidR="002D70F8" w:rsidRPr="006E37F8">
        <w:t xml:space="preserve"> </w:t>
      </w:r>
      <w:r w:rsidRPr="006E37F8">
        <w:t xml:space="preserve">program </w:t>
      </w:r>
      <w:r w:rsidR="002D70F8">
        <w:t>results, assessing ex-post program savings</w:t>
      </w:r>
      <w:r w:rsidR="002D70F8" w:rsidRPr="006E37F8">
        <w:t xml:space="preserve"> </w:t>
      </w:r>
      <w:r w:rsidRPr="006E37F8">
        <w:t>and providing information used to inform future conservation potential assessments</w:t>
      </w:r>
      <w:r w:rsidR="002D70F8">
        <w:t xml:space="preserve">, conservation </w:t>
      </w:r>
      <w:r w:rsidRPr="006E37F8">
        <w:t>forecasts</w:t>
      </w:r>
      <w:r w:rsidR="002D70F8">
        <w:t xml:space="preserve"> and the establishment of targets</w:t>
      </w:r>
      <w:r w:rsidRPr="006E37F8">
        <w:t>.</w:t>
      </w:r>
      <w:r w:rsidR="002D70F8">
        <w:t xml:space="preserve"> See Appendix 3 for more information on verification of measure installations.</w:t>
      </w:r>
    </w:p>
    <w:p w:rsidR="006E37F8" w:rsidRPr="006E37F8" w:rsidRDefault="006E37F8" w:rsidP="006E37F8">
      <w:pPr>
        <w:pStyle w:val="ListParagraph"/>
      </w:pPr>
    </w:p>
    <w:p w:rsidR="006E37F8" w:rsidRPr="006E37F8" w:rsidRDefault="006E37F8" w:rsidP="006E37F8">
      <w:r w:rsidRPr="006E37F8">
        <w:t xml:space="preserve">          </w:t>
      </w:r>
      <w:hyperlink r:id="rId27" w:history="1">
        <w:r w:rsidRPr="006E37F8">
          <w:rPr>
            <w:rStyle w:val="Hyperlink"/>
          </w:rPr>
          <w:t>http://www.pacificorp.com/es/dsm/washington.html</w:t>
        </w:r>
      </w:hyperlink>
    </w:p>
    <w:p w:rsidR="006E37F8" w:rsidRDefault="006E37F8" w:rsidP="006E37F8"/>
    <w:p w:rsidR="006E37F8" w:rsidRPr="006E37F8" w:rsidRDefault="006E37F8" w:rsidP="002D70F8">
      <w:pPr>
        <w:ind w:left="720"/>
      </w:pPr>
    </w:p>
    <w:p w:rsidR="006E37F8" w:rsidRPr="006E37F8" w:rsidRDefault="006E37F8" w:rsidP="002D70F8">
      <w:pPr>
        <w:pStyle w:val="ListParagraph"/>
        <w:numPr>
          <w:ilvl w:val="0"/>
          <w:numId w:val="41"/>
        </w:numPr>
        <w:contextualSpacing w:val="0"/>
        <w:jc w:val="both"/>
      </w:pPr>
      <w:r w:rsidRPr="006E37F8">
        <w:t xml:space="preserve">Collaborative group documents completed last summer demonstrating </w:t>
      </w:r>
      <w:r>
        <w:t>Company</w:t>
      </w:r>
      <w:r w:rsidRPr="006E37F8">
        <w:t>’s and other utilities</w:t>
      </w:r>
      <w:r w:rsidR="00F015F2">
        <w:t>’</w:t>
      </w:r>
      <w:r w:rsidRPr="006E37F8">
        <w:t xml:space="preserve"> alignment with planning methodologies used by the Northwest Power and Conservation Council – Reference Appendix 3</w:t>
      </w:r>
      <w:r>
        <w:t xml:space="preserve"> Comparison of Regional Methodologies</w:t>
      </w:r>
      <w:r w:rsidRPr="006E37F8">
        <w:t xml:space="preserve"> of the Company’s Ten-year Achievable Conservation Potential and its Biennial Conservation Target for 2012 and 2013, filed in Docket UE-111880 on January 31, 2012.</w:t>
      </w:r>
    </w:p>
    <w:p w:rsidR="006E37F8" w:rsidRPr="006E37F8" w:rsidRDefault="006E37F8" w:rsidP="006E37F8">
      <w:pPr>
        <w:pStyle w:val="ListParagraph"/>
      </w:pPr>
    </w:p>
    <w:p w:rsidR="006E37F8" w:rsidRPr="006E37F8" w:rsidRDefault="006E37F8" w:rsidP="006E37F8">
      <w:r w:rsidRPr="006E37F8">
        <w:t>          </w:t>
      </w:r>
      <w:hyperlink r:id="rId28" w:history="1">
        <w:r w:rsidRPr="006E37F8">
          <w:rPr>
            <w:rStyle w:val="Hyperlink"/>
          </w:rPr>
          <w:t>http://www.utc.wa.gov/docs/Pages/FilingIdBrowser.aspx</w:t>
        </w:r>
      </w:hyperlink>
    </w:p>
    <w:p w:rsidR="007E2539" w:rsidRDefault="006E37F8">
      <w:r w:rsidRPr="006E37F8">
        <w:t>     </w:t>
      </w:r>
      <w:r w:rsidR="007E2539">
        <w:br w:type="page"/>
      </w:r>
    </w:p>
    <w:p w:rsidR="003402DC" w:rsidRPr="00B34E9C" w:rsidRDefault="003402DC" w:rsidP="003402DC">
      <w:r w:rsidRPr="00B34E9C">
        <w:t>________________________________________________________________</w:t>
      </w:r>
    </w:p>
    <w:p w:rsidR="0004620C" w:rsidRPr="00E40049" w:rsidRDefault="0004620C" w:rsidP="002D4FB2">
      <w:pPr>
        <w:pStyle w:val="Heading1"/>
        <w:rPr>
          <w:rFonts w:ascii="Times New Roman" w:hAnsi="Times New Roman" w:cs="Times New Roman"/>
        </w:rPr>
      </w:pPr>
      <w:bookmarkStart w:id="12" w:name="_Toc257793524"/>
      <w:bookmarkStart w:id="13" w:name="_Toc289064249"/>
      <w:bookmarkStart w:id="14" w:name="_Toc325017671"/>
      <w:r w:rsidRPr="00E40049">
        <w:rPr>
          <w:rFonts w:ascii="Times New Roman" w:hAnsi="Times New Roman" w:cs="Times New Roman"/>
        </w:rPr>
        <w:t>Appendices</w:t>
      </w:r>
      <w:bookmarkEnd w:id="12"/>
      <w:bookmarkEnd w:id="13"/>
      <w:bookmarkEnd w:id="14"/>
    </w:p>
    <w:p w:rsidR="0004620C" w:rsidRPr="00B34E9C" w:rsidRDefault="0004620C" w:rsidP="0004620C">
      <w:pPr>
        <w:ind w:left="720"/>
      </w:pPr>
    </w:p>
    <w:p w:rsidR="0004620C" w:rsidRPr="007E2539" w:rsidRDefault="0004620C" w:rsidP="007E2539">
      <w:pPr>
        <w:pStyle w:val="Heading2"/>
        <w:ind w:left="720"/>
        <w:rPr>
          <w:rFonts w:ascii="Times New Roman" w:hAnsi="Times New Roman" w:cs="Times New Roman"/>
          <w:b w:val="0"/>
          <w:color w:val="auto"/>
          <w:sz w:val="24"/>
          <w:szCs w:val="24"/>
        </w:rPr>
      </w:pPr>
      <w:bookmarkStart w:id="15" w:name="_Toc325017672"/>
      <w:r w:rsidRPr="007E2539">
        <w:rPr>
          <w:rFonts w:ascii="Times New Roman" w:hAnsi="Times New Roman" w:cs="Times New Roman"/>
          <w:b w:val="0"/>
          <w:color w:val="auto"/>
          <w:sz w:val="24"/>
          <w:szCs w:val="24"/>
        </w:rPr>
        <w:t xml:space="preserve">Appendix 1 – </w:t>
      </w:r>
      <w:r w:rsidR="001F3BDA">
        <w:rPr>
          <w:rFonts w:ascii="Times New Roman" w:hAnsi="Times New Roman" w:cs="Times New Roman"/>
          <w:b w:val="0"/>
          <w:color w:val="auto"/>
          <w:sz w:val="24"/>
          <w:szCs w:val="24"/>
        </w:rPr>
        <w:t>NEEA Memorandum of 2010-2011 Final Savings</w:t>
      </w:r>
      <w:bookmarkEnd w:id="15"/>
    </w:p>
    <w:p w:rsidR="007E2539" w:rsidRDefault="007E2539" w:rsidP="007E2539">
      <w:pPr>
        <w:pStyle w:val="Heading2"/>
        <w:ind w:left="720"/>
        <w:rPr>
          <w:rFonts w:ascii="Times New Roman" w:hAnsi="Times New Roman" w:cs="Times New Roman"/>
          <w:b w:val="0"/>
          <w:color w:val="auto"/>
          <w:sz w:val="24"/>
          <w:szCs w:val="24"/>
        </w:rPr>
      </w:pPr>
      <w:bookmarkStart w:id="16" w:name="_Toc325017673"/>
      <w:r w:rsidRPr="007E2539">
        <w:rPr>
          <w:rFonts w:ascii="Times New Roman" w:hAnsi="Times New Roman" w:cs="Times New Roman"/>
          <w:b w:val="0"/>
          <w:color w:val="auto"/>
          <w:sz w:val="24"/>
          <w:szCs w:val="24"/>
        </w:rPr>
        <w:t>Appendix 2 – 2010-2011 Plan Condition Requirements and Compliance</w:t>
      </w:r>
      <w:bookmarkEnd w:id="16"/>
    </w:p>
    <w:p w:rsidR="002D70F8" w:rsidRPr="002D70F8" w:rsidRDefault="002D70F8" w:rsidP="002D70F8">
      <w:pPr>
        <w:pStyle w:val="Heading2"/>
        <w:ind w:left="720"/>
        <w:rPr>
          <w:rFonts w:ascii="Times New Roman" w:hAnsi="Times New Roman" w:cs="Times New Roman"/>
          <w:b w:val="0"/>
          <w:color w:val="auto"/>
          <w:sz w:val="24"/>
          <w:szCs w:val="24"/>
        </w:rPr>
      </w:pPr>
      <w:bookmarkStart w:id="17" w:name="_Toc325017674"/>
      <w:r w:rsidRPr="002D70F8">
        <w:rPr>
          <w:rFonts w:ascii="Times New Roman" w:hAnsi="Times New Roman" w:cs="Times New Roman"/>
          <w:b w:val="0"/>
          <w:color w:val="auto"/>
          <w:sz w:val="24"/>
          <w:szCs w:val="24"/>
        </w:rPr>
        <w:t>Appendix 3 – PacifiCorp Measure Installation Verifications</w:t>
      </w:r>
      <w:bookmarkEnd w:id="17"/>
    </w:p>
    <w:p w:rsidR="0004620C" w:rsidRPr="002D70F8" w:rsidRDefault="0004620C" w:rsidP="00D02848">
      <w:pPr>
        <w:pStyle w:val="memoaddress"/>
        <w:rPr>
          <w:rFonts w:ascii="Times New Roman" w:hAnsi="Times New Roman"/>
          <w:b w:val="0"/>
          <w:sz w:val="24"/>
          <w:szCs w:val="24"/>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sectPr w:rsidR="0004620C" w:rsidSect="000F136B">
      <w:headerReference w:type="even" r:id="rId29"/>
      <w:headerReference w:type="default" r:id="rId30"/>
      <w:footerReference w:type="even" r:id="rId31"/>
      <w:footerReference w:type="default" r:id="rId32"/>
      <w:headerReference w:type="first" r:id="rId33"/>
      <w:footerReference w:type="first" r:id="rId3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329" w:rsidRDefault="00500329" w:rsidP="00972D86">
      <w:r>
        <w:separator/>
      </w:r>
    </w:p>
  </w:endnote>
  <w:endnote w:type="continuationSeparator" w:id="0">
    <w:p w:rsidR="00500329" w:rsidRDefault="00500329" w:rsidP="00972D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329" w:rsidRDefault="005003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21220"/>
      <w:docPartObj>
        <w:docPartGallery w:val="Page Numbers (Bottom of Page)"/>
        <w:docPartUnique/>
      </w:docPartObj>
    </w:sdtPr>
    <w:sdtContent>
      <w:p w:rsidR="00500329" w:rsidRDefault="00EC7E7D">
        <w:pPr>
          <w:pStyle w:val="Footer"/>
          <w:jc w:val="center"/>
        </w:pPr>
        <w:r w:rsidRPr="00864DCF">
          <w:rPr>
            <w:rFonts w:ascii="Arial" w:hAnsi="Arial" w:cs="Arial"/>
          </w:rPr>
          <w:fldChar w:fldCharType="begin"/>
        </w:r>
        <w:r w:rsidR="00500329" w:rsidRPr="00864DCF">
          <w:rPr>
            <w:rFonts w:ascii="Arial" w:hAnsi="Arial" w:cs="Arial"/>
          </w:rPr>
          <w:instrText xml:space="preserve"> PAGE   \* MERGEFORMAT </w:instrText>
        </w:r>
        <w:r w:rsidRPr="00864DCF">
          <w:rPr>
            <w:rFonts w:ascii="Arial" w:hAnsi="Arial" w:cs="Arial"/>
          </w:rPr>
          <w:fldChar w:fldCharType="separate"/>
        </w:r>
        <w:r w:rsidR="00FD74C0">
          <w:rPr>
            <w:rFonts w:ascii="Arial" w:hAnsi="Arial" w:cs="Arial"/>
            <w:noProof/>
          </w:rPr>
          <w:t>1</w:t>
        </w:r>
        <w:r w:rsidRPr="00864DCF">
          <w:rPr>
            <w:rFonts w:ascii="Arial" w:hAnsi="Arial" w:cs="Arial"/>
          </w:rPr>
          <w:fldChar w:fldCharType="end"/>
        </w:r>
      </w:p>
    </w:sdtContent>
  </w:sdt>
  <w:p w:rsidR="00500329" w:rsidRDefault="005003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329" w:rsidRDefault="005003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329" w:rsidRDefault="00500329" w:rsidP="00972D86">
      <w:r>
        <w:separator/>
      </w:r>
    </w:p>
  </w:footnote>
  <w:footnote w:type="continuationSeparator" w:id="0">
    <w:p w:rsidR="00500329" w:rsidRDefault="00500329" w:rsidP="00972D86">
      <w:r>
        <w:continuationSeparator/>
      </w:r>
    </w:p>
  </w:footnote>
  <w:footnote w:id="1">
    <w:p w:rsidR="00500329" w:rsidRDefault="00500329" w:rsidP="007A002D">
      <w:pPr>
        <w:pStyle w:val="FootnoteText"/>
      </w:pPr>
      <w:r>
        <w:rPr>
          <w:rStyle w:val="FootnoteReference"/>
        </w:rPr>
        <w:footnoteRef/>
      </w:r>
      <w:r>
        <w:t xml:space="preserve"> Washington Conservation Working Group Consensus Document as of June 30, 2011. </w:t>
      </w:r>
    </w:p>
  </w:footnote>
  <w:footnote w:id="2">
    <w:p w:rsidR="00500329" w:rsidRDefault="00500329" w:rsidP="007A002D">
      <w:pPr>
        <w:pStyle w:val="FootnoteText"/>
      </w:pPr>
      <w:r>
        <w:rPr>
          <w:rStyle w:val="FootnoteReference"/>
        </w:rPr>
        <w:footnoteRef/>
      </w:r>
      <w:r>
        <w:t xml:space="preserve"> Except for NEEA where the planning target and reported results are both based on site values.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329" w:rsidRDefault="005003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329" w:rsidRDefault="005003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329" w:rsidRDefault="005003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751A"/>
    <w:multiLevelType w:val="singleLevel"/>
    <w:tmpl w:val="436ABFDA"/>
    <w:lvl w:ilvl="0">
      <w:start w:val="1"/>
      <w:numFmt w:val="bullet"/>
      <w:pStyle w:val="b"/>
      <w:lvlText w:val=""/>
      <w:lvlJc w:val="left"/>
      <w:pPr>
        <w:tabs>
          <w:tab w:val="num" w:pos="360"/>
        </w:tabs>
        <w:ind w:left="360" w:hanging="360"/>
      </w:pPr>
      <w:rPr>
        <w:rFonts w:ascii="Wingdings" w:hAnsi="Wingdings" w:hint="default"/>
      </w:rPr>
    </w:lvl>
  </w:abstractNum>
  <w:abstractNum w:abstractNumId="1">
    <w:nsid w:val="02B34301"/>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1A39AE"/>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52916CD"/>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CE02781"/>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E463D71"/>
    <w:multiLevelType w:val="hybridMultilevel"/>
    <w:tmpl w:val="ABB6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0739DD"/>
    <w:multiLevelType w:val="hybridMultilevel"/>
    <w:tmpl w:val="99AA7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442B8"/>
    <w:multiLevelType w:val="hybridMultilevel"/>
    <w:tmpl w:val="800E0E8C"/>
    <w:lvl w:ilvl="0" w:tplc="ABD6A38E">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B22B3E"/>
    <w:multiLevelType w:val="hybridMultilevel"/>
    <w:tmpl w:val="67F6BF6C"/>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18C158CD"/>
    <w:multiLevelType w:val="hybridMultilevel"/>
    <w:tmpl w:val="CD886B06"/>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0">
    <w:nsid w:val="219D40F2"/>
    <w:multiLevelType w:val="hybridMultilevel"/>
    <w:tmpl w:val="8D8225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3047B4E"/>
    <w:multiLevelType w:val="hybridMultilevel"/>
    <w:tmpl w:val="6ACEE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9A60DC0"/>
    <w:multiLevelType w:val="hybridMultilevel"/>
    <w:tmpl w:val="FD8435F6"/>
    <w:lvl w:ilvl="0" w:tplc="204E983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654630"/>
    <w:multiLevelType w:val="hybridMultilevel"/>
    <w:tmpl w:val="E3D4C3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1FC3C0C"/>
    <w:multiLevelType w:val="hybridMultilevel"/>
    <w:tmpl w:val="6D44333E"/>
    <w:lvl w:ilvl="0" w:tplc="A6544E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2CE34AE"/>
    <w:multiLevelType w:val="hybridMultilevel"/>
    <w:tmpl w:val="962A6E28"/>
    <w:lvl w:ilvl="0" w:tplc="D4A8C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0E4BDD"/>
    <w:multiLevelType w:val="hybridMultilevel"/>
    <w:tmpl w:val="1D7EF4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6A17FA4"/>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86A0760"/>
    <w:multiLevelType w:val="hybridMultilevel"/>
    <w:tmpl w:val="1DFCA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AEA70D1"/>
    <w:multiLevelType w:val="hybridMultilevel"/>
    <w:tmpl w:val="638AF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DD1402"/>
    <w:multiLevelType w:val="hybridMultilevel"/>
    <w:tmpl w:val="AFEC9C20"/>
    <w:lvl w:ilvl="0" w:tplc="C8944E3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1">
    <w:nsid w:val="44176EDF"/>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6DD3CCE"/>
    <w:multiLevelType w:val="hybridMultilevel"/>
    <w:tmpl w:val="DB54E21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3">
    <w:nsid w:val="4A0F60CB"/>
    <w:multiLevelType w:val="hybridMultilevel"/>
    <w:tmpl w:val="4F5833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BA77E14"/>
    <w:multiLevelType w:val="hybridMultilevel"/>
    <w:tmpl w:val="21A86EA8"/>
    <w:lvl w:ilvl="0" w:tplc="1A92BC9E">
      <w:start w:val="1"/>
      <w:numFmt w:val="bullet"/>
      <w:lvlText w:val=""/>
      <w:lvlJc w:val="left"/>
      <w:pPr>
        <w:tabs>
          <w:tab w:val="num" w:pos="720"/>
        </w:tabs>
        <w:ind w:left="720" w:hanging="360"/>
      </w:pPr>
      <w:rPr>
        <w:rFonts w:ascii="Symbol" w:hAnsi="Symbol" w:cs="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5">
    <w:nsid w:val="4DA57028"/>
    <w:multiLevelType w:val="hybridMultilevel"/>
    <w:tmpl w:val="03AC28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nsid w:val="51B9764C"/>
    <w:multiLevelType w:val="hybridMultilevel"/>
    <w:tmpl w:val="5EF66B4C"/>
    <w:lvl w:ilvl="0" w:tplc="F19A6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BD28FD"/>
    <w:multiLevelType w:val="hybridMultilevel"/>
    <w:tmpl w:val="35B27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E7C09D1"/>
    <w:multiLevelType w:val="hybridMultilevel"/>
    <w:tmpl w:val="1840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4F35C1"/>
    <w:multiLevelType w:val="hybridMultilevel"/>
    <w:tmpl w:val="EC2044B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nsid w:val="600329A1"/>
    <w:multiLevelType w:val="hybridMultilevel"/>
    <w:tmpl w:val="7CD450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nsid w:val="642A71A9"/>
    <w:multiLevelType w:val="hybridMultilevel"/>
    <w:tmpl w:val="25767FCC"/>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66C43CF8"/>
    <w:multiLevelType w:val="hybridMultilevel"/>
    <w:tmpl w:val="13ACFF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nsid w:val="6BA90432"/>
    <w:multiLevelType w:val="hybridMultilevel"/>
    <w:tmpl w:val="6816B332"/>
    <w:lvl w:ilvl="0" w:tplc="C8944E3C">
      <w:start w:val="1"/>
      <w:numFmt w:val="bullet"/>
      <w:lvlText w:val=""/>
      <w:lvlJc w:val="left"/>
      <w:pPr>
        <w:tabs>
          <w:tab w:val="num" w:pos="720"/>
        </w:tabs>
        <w:ind w:left="720" w:hanging="360"/>
      </w:pPr>
      <w:rPr>
        <w:rFonts w:ascii="Symbol" w:hAnsi="Symbol" w:cs="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E3A6D5E"/>
    <w:multiLevelType w:val="hybridMultilevel"/>
    <w:tmpl w:val="F5683B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nsid w:val="74DD0C53"/>
    <w:multiLevelType w:val="hybridMultilevel"/>
    <w:tmpl w:val="2626ED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5395EAB"/>
    <w:multiLevelType w:val="hybridMultilevel"/>
    <w:tmpl w:val="3A7036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nsid w:val="77BE1322"/>
    <w:multiLevelType w:val="hybridMultilevel"/>
    <w:tmpl w:val="A58802BE"/>
    <w:lvl w:ilvl="0" w:tplc="E5F44926">
      <w:start w:val="1"/>
      <w:numFmt w:val="decimal"/>
      <w:lvlText w:val="%1."/>
      <w:lvlJc w:val="left"/>
      <w:pPr>
        <w:ind w:left="180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192D08"/>
    <w:multiLevelType w:val="hybridMultilevel"/>
    <w:tmpl w:val="743230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nsid w:val="7D771488"/>
    <w:multiLevelType w:val="hybridMultilevel"/>
    <w:tmpl w:val="AE822F7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20"/>
  </w:num>
  <w:num w:numId="2">
    <w:abstractNumId w:val="24"/>
  </w:num>
  <w:num w:numId="3">
    <w:abstractNumId w:val="33"/>
  </w:num>
  <w:num w:numId="4">
    <w:abstractNumId w:val="1"/>
  </w:num>
  <w:num w:numId="5">
    <w:abstractNumId w:val="8"/>
  </w:num>
  <w:num w:numId="6">
    <w:abstractNumId w:val="37"/>
  </w:num>
  <w:num w:numId="7">
    <w:abstractNumId w:val="2"/>
  </w:num>
  <w:num w:numId="8">
    <w:abstractNumId w:val="3"/>
  </w:num>
  <w:num w:numId="9">
    <w:abstractNumId w:val="21"/>
  </w:num>
  <w:num w:numId="10">
    <w:abstractNumId w:val="17"/>
  </w:num>
  <w:num w:numId="11">
    <w:abstractNumId w:val="7"/>
  </w:num>
  <w:num w:numId="12">
    <w:abstractNumId w:val="29"/>
  </w:num>
  <w:num w:numId="13">
    <w:abstractNumId w:val="36"/>
  </w:num>
  <w:num w:numId="14">
    <w:abstractNumId w:val="25"/>
  </w:num>
  <w:num w:numId="15">
    <w:abstractNumId w:val="4"/>
  </w:num>
  <w:num w:numId="16">
    <w:abstractNumId w:val="35"/>
  </w:num>
  <w:num w:numId="17">
    <w:abstractNumId w:val="15"/>
  </w:num>
  <w:num w:numId="18">
    <w:abstractNumId w:val="14"/>
  </w:num>
  <w:num w:numId="19">
    <w:abstractNumId w:val="6"/>
  </w:num>
  <w:num w:numId="20">
    <w:abstractNumId w:val="19"/>
  </w:num>
  <w:num w:numId="21">
    <w:abstractNumId w:val="34"/>
  </w:num>
  <w:num w:numId="22">
    <w:abstractNumId w:val="30"/>
  </w:num>
  <w:num w:numId="23">
    <w:abstractNumId w:val="32"/>
  </w:num>
  <w:num w:numId="24">
    <w:abstractNumId w:val="39"/>
  </w:num>
  <w:num w:numId="25">
    <w:abstractNumId w:val="38"/>
  </w:num>
  <w:num w:numId="26">
    <w:abstractNumId w:val="5"/>
  </w:num>
  <w:num w:numId="27">
    <w:abstractNumId w:val="28"/>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2"/>
  </w:num>
  <w:num w:numId="33">
    <w:abstractNumId w:val="40"/>
  </w:num>
  <w:num w:numId="34">
    <w:abstractNumId w:val="9"/>
  </w:num>
  <w:num w:numId="35">
    <w:abstractNumId w:val="27"/>
  </w:num>
  <w:num w:numId="36">
    <w:abstractNumId w:val="11"/>
  </w:num>
  <w:num w:numId="37">
    <w:abstractNumId w:val="18"/>
  </w:num>
  <w:num w:numId="38">
    <w:abstractNumId w:val="0"/>
  </w:num>
  <w:num w:numId="39">
    <w:abstractNumId w:val="26"/>
  </w:num>
  <w:num w:numId="40">
    <w:abstractNumId w:val="12"/>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embedSystemFonts/>
  <w:defaultTabStop w:val="720"/>
  <w:drawingGridHorizontalSpacing w:val="12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972D86"/>
    <w:rsid w:val="00000765"/>
    <w:rsid w:val="00003D96"/>
    <w:rsid w:val="00004B3F"/>
    <w:rsid w:val="000051BB"/>
    <w:rsid w:val="000065BB"/>
    <w:rsid w:val="00007047"/>
    <w:rsid w:val="00011AFB"/>
    <w:rsid w:val="0001500C"/>
    <w:rsid w:val="00015D20"/>
    <w:rsid w:val="000177BC"/>
    <w:rsid w:val="00020FFF"/>
    <w:rsid w:val="00021E03"/>
    <w:rsid w:val="00023F63"/>
    <w:rsid w:val="000244A9"/>
    <w:rsid w:val="000247CE"/>
    <w:rsid w:val="00024B54"/>
    <w:rsid w:val="00027800"/>
    <w:rsid w:val="00031E0D"/>
    <w:rsid w:val="00032623"/>
    <w:rsid w:val="0003426C"/>
    <w:rsid w:val="00043A16"/>
    <w:rsid w:val="0004620C"/>
    <w:rsid w:val="000467FE"/>
    <w:rsid w:val="00052592"/>
    <w:rsid w:val="000546B4"/>
    <w:rsid w:val="00054F60"/>
    <w:rsid w:val="000554E0"/>
    <w:rsid w:val="00061D82"/>
    <w:rsid w:val="00064106"/>
    <w:rsid w:val="00065C99"/>
    <w:rsid w:val="00071762"/>
    <w:rsid w:val="00076AB2"/>
    <w:rsid w:val="00077366"/>
    <w:rsid w:val="000825A1"/>
    <w:rsid w:val="00083A77"/>
    <w:rsid w:val="00084249"/>
    <w:rsid w:val="00085A44"/>
    <w:rsid w:val="000877A3"/>
    <w:rsid w:val="000877CE"/>
    <w:rsid w:val="00091278"/>
    <w:rsid w:val="00095336"/>
    <w:rsid w:val="000A204B"/>
    <w:rsid w:val="000B4E14"/>
    <w:rsid w:val="000C317B"/>
    <w:rsid w:val="000C3D6F"/>
    <w:rsid w:val="000C4259"/>
    <w:rsid w:val="000D290A"/>
    <w:rsid w:val="000D3281"/>
    <w:rsid w:val="000D3857"/>
    <w:rsid w:val="000D51E3"/>
    <w:rsid w:val="000E05BE"/>
    <w:rsid w:val="000E3A57"/>
    <w:rsid w:val="000E5172"/>
    <w:rsid w:val="000F0807"/>
    <w:rsid w:val="000F136B"/>
    <w:rsid w:val="000F2E88"/>
    <w:rsid w:val="000F316C"/>
    <w:rsid w:val="000F50EE"/>
    <w:rsid w:val="000F542D"/>
    <w:rsid w:val="00101F00"/>
    <w:rsid w:val="00102531"/>
    <w:rsid w:val="00104615"/>
    <w:rsid w:val="00104BF2"/>
    <w:rsid w:val="0011091F"/>
    <w:rsid w:val="00111899"/>
    <w:rsid w:val="00113953"/>
    <w:rsid w:val="00114A65"/>
    <w:rsid w:val="0011671F"/>
    <w:rsid w:val="00123418"/>
    <w:rsid w:val="001247E0"/>
    <w:rsid w:val="00134374"/>
    <w:rsid w:val="001356E3"/>
    <w:rsid w:val="001357FB"/>
    <w:rsid w:val="001368CB"/>
    <w:rsid w:val="00137599"/>
    <w:rsid w:val="00140D48"/>
    <w:rsid w:val="001453DC"/>
    <w:rsid w:val="00145A9F"/>
    <w:rsid w:val="00146AE9"/>
    <w:rsid w:val="00151F84"/>
    <w:rsid w:val="00153C08"/>
    <w:rsid w:val="001540B6"/>
    <w:rsid w:val="00160CE2"/>
    <w:rsid w:val="00160CEE"/>
    <w:rsid w:val="00163050"/>
    <w:rsid w:val="00163304"/>
    <w:rsid w:val="00163F80"/>
    <w:rsid w:val="00164E1E"/>
    <w:rsid w:val="001663D7"/>
    <w:rsid w:val="00167F79"/>
    <w:rsid w:val="00170CF5"/>
    <w:rsid w:val="0017244A"/>
    <w:rsid w:val="00176128"/>
    <w:rsid w:val="00182223"/>
    <w:rsid w:val="00192761"/>
    <w:rsid w:val="00193A2D"/>
    <w:rsid w:val="001948CA"/>
    <w:rsid w:val="0019716C"/>
    <w:rsid w:val="001976A6"/>
    <w:rsid w:val="00197E7A"/>
    <w:rsid w:val="001A0D41"/>
    <w:rsid w:val="001A3026"/>
    <w:rsid w:val="001A62AA"/>
    <w:rsid w:val="001A7162"/>
    <w:rsid w:val="001A7ABE"/>
    <w:rsid w:val="001B2C79"/>
    <w:rsid w:val="001B692B"/>
    <w:rsid w:val="001B6B2F"/>
    <w:rsid w:val="001C1FFD"/>
    <w:rsid w:val="001D1A43"/>
    <w:rsid w:val="001D4C2F"/>
    <w:rsid w:val="001D55D5"/>
    <w:rsid w:val="001D6671"/>
    <w:rsid w:val="001D7359"/>
    <w:rsid w:val="001D78A2"/>
    <w:rsid w:val="001E05FF"/>
    <w:rsid w:val="001E1072"/>
    <w:rsid w:val="001E5693"/>
    <w:rsid w:val="001E57C7"/>
    <w:rsid w:val="001F0042"/>
    <w:rsid w:val="001F054D"/>
    <w:rsid w:val="001F215E"/>
    <w:rsid w:val="001F32F5"/>
    <w:rsid w:val="001F3BDA"/>
    <w:rsid w:val="001F5FCC"/>
    <w:rsid w:val="002020A8"/>
    <w:rsid w:val="00202DD4"/>
    <w:rsid w:val="0021128B"/>
    <w:rsid w:val="00215976"/>
    <w:rsid w:val="002170E0"/>
    <w:rsid w:val="00217934"/>
    <w:rsid w:val="00221893"/>
    <w:rsid w:val="0022553A"/>
    <w:rsid w:val="002267BC"/>
    <w:rsid w:val="00226ED4"/>
    <w:rsid w:val="00230A66"/>
    <w:rsid w:val="00230B50"/>
    <w:rsid w:val="0023306D"/>
    <w:rsid w:val="00234EE4"/>
    <w:rsid w:val="00240150"/>
    <w:rsid w:val="00242158"/>
    <w:rsid w:val="0024317F"/>
    <w:rsid w:val="0024323A"/>
    <w:rsid w:val="00245255"/>
    <w:rsid w:val="0025011F"/>
    <w:rsid w:val="002507DB"/>
    <w:rsid w:val="00250FFB"/>
    <w:rsid w:val="002624C1"/>
    <w:rsid w:val="00264E3A"/>
    <w:rsid w:val="00274012"/>
    <w:rsid w:val="00275474"/>
    <w:rsid w:val="00276AA7"/>
    <w:rsid w:val="00277E13"/>
    <w:rsid w:val="002810D1"/>
    <w:rsid w:val="00282D61"/>
    <w:rsid w:val="00285815"/>
    <w:rsid w:val="0028681B"/>
    <w:rsid w:val="002925E5"/>
    <w:rsid w:val="00292CD8"/>
    <w:rsid w:val="002940D7"/>
    <w:rsid w:val="002A3770"/>
    <w:rsid w:val="002B49A1"/>
    <w:rsid w:val="002B6EFB"/>
    <w:rsid w:val="002B7003"/>
    <w:rsid w:val="002B77B9"/>
    <w:rsid w:val="002B7C25"/>
    <w:rsid w:val="002C0E28"/>
    <w:rsid w:val="002C316F"/>
    <w:rsid w:val="002C5163"/>
    <w:rsid w:val="002D1060"/>
    <w:rsid w:val="002D4186"/>
    <w:rsid w:val="002D4FB2"/>
    <w:rsid w:val="002D66DD"/>
    <w:rsid w:val="002D70F8"/>
    <w:rsid w:val="002E208B"/>
    <w:rsid w:val="002E38C1"/>
    <w:rsid w:val="002E6923"/>
    <w:rsid w:val="002F06E4"/>
    <w:rsid w:val="002F37D2"/>
    <w:rsid w:val="002F738C"/>
    <w:rsid w:val="00302C12"/>
    <w:rsid w:val="0030355D"/>
    <w:rsid w:val="003040BB"/>
    <w:rsid w:val="00304CFD"/>
    <w:rsid w:val="00314AB0"/>
    <w:rsid w:val="0032034C"/>
    <w:rsid w:val="00320BF6"/>
    <w:rsid w:val="003253C4"/>
    <w:rsid w:val="00327081"/>
    <w:rsid w:val="00332CC0"/>
    <w:rsid w:val="0033371C"/>
    <w:rsid w:val="00335772"/>
    <w:rsid w:val="003368C0"/>
    <w:rsid w:val="003402DC"/>
    <w:rsid w:val="00340DC8"/>
    <w:rsid w:val="00344CD3"/>
    <w:rsid w:val="003453B7"/>
    <w:rsid w:val="00346990"/>
    <w:rsid w:val="00346D89"/>
    <w:rsid w:val="00347579"/>
    <w:rsid w:val="0035306A"/>
    <w:rsid w:val="003543A7"/>
    <w:rsid w:val="00354B2F"/>
    <w:rsid w:val="0035642A"/>
    <w:rsid w:val="00357902"/>
    <w:rsid w:val="00357DF8"/>
    <w:rsid w:val="00366B62"/>
    <w:rsid w:val="00367BFA"/>
    <w:rsid w:val="00367ECF"/>
    <w:rsid w:val="003720D8"/>
    <w:rsid w:val="00373D0B"/>
    <w:rsid w:val="003831A4"/>
    <w:rsid w:val="00385E43"/>
    <w:rsid w:val="00394E76"/>
    <w:rsid w:val="003A03B2"/>
    <w:rsid w:val="003A348C"/>
    <w:rsid w:val="003B1F7F"/>
    <w:rsid w:val="003C073E"/>
    <w:rsid w:val="003C6802"/>
    <w:rsid w:val="003C7CBF"/>
    <w:rsid w:val="003D087A"/>
    <w:rsid w:val="003D60AE"/>
    <w:rsid w:val="003D62EE"/>
    <w:rsid w:val="003E1EBE"/>
    <w:rsid w:val="003E7946"/>
    <w:rsid w:val="003F2D35"/>
    <w:rsid w:val="004003DF"/>
    <w:rsid w:val="004015D6"/>
    <w:rsid w:val="0040561A"/>
    <w:rsid w:val="00413179"/>
    <w:rsid w:val="004159DA"/>
    <w:rsid w:val="00415E86"/>
    <w:rsid w:val="00421179"/>
    <w:rsid w:val="0042432E"/>
    <w:rsid w:val="00431422"/>
    <w:rsid w:val="0043243D"/>
    <w:rsid w:val="00433192"/>
    <w:rsid w:val="0043447D"/>
    <w:rsid w:val="00436BC7"/>
    <w:rsid w:val="004403B9"/>
    <w:rsid w:val="0045036B"/>
    <w:rsid w:val="0045100F"/>
    <w:rsid w:val="004542DD"/>
    <w:rsid w:val="004575FF"/>
    <w:rsid w:val="00461965"/>
    <w:rsid w:val="004619EB"/>
    <w:rsid w:val="00461EDB"/>
    <w:rsid w:val="00463EE3"/>
    <w:rsid w:val="00464416"/>
    <w:rsid w:val="0046528F"/>
    <w:rsid w:val="00470A58"/>
    <w:rsid w:val="00470B16"/>
    <w:rsid w:val="004713FF"/>
    <w:rsid w:val="004717D7"/>
    <w:rsid w:val="00472F55"/>
    <w:rsid w:val="00473159"/>
    <w:rsid w:val="00481C50"/>
    <w:rsid w:val="00481D24"/>
    <w:rsid w:val="00484352"/>
    <w:rsid w:val="00491BF1"/>
    <w:rsid w:val="00493079"/>
    <w:rsid w:val="00495ABF"/>
    <w:rsid w:val="00497729"/>
    <w:rsid w:val="004A4BA9"/>
    <w:rsid w:val="004A6A35"/>
    <w:rsid w:val="004B0235"/>
    <w:rsid w:val="004B28C7"/>
    <w:rsid w:val="004B4C95"/>
    <w:rsid w:val="004B75D8"/>
    <w:rsid w:val="004B7C60"/>
    <w:rsid w:val="004C018C"/>
    <w:rsid w:val="004C3518"/>
    <w:rsid w:val="004C5071"/>
    <w:rsid w:val="004C5A53"/>
    <w:rsid w:val="004C5D4E"/>
    <w:rsid w:val="004D1AAB"/>
    <w:rsid w:val="004D4F2F"/>
    <w:rsid w:val="004D5E43"/>
    <w:rsid w:val="004D6826"/>
    <w:rsid w:val="004D781B"/>
    <w:rsid w:val="004E024B"/>
    <w:rsid w:val="004E7695"/>
    <w:rsid w:val="004F0137"/>
    <w:rsid w:val="004F0984"/>
    <w:rsid w:val="004F0990"/>
    <w:rsid w:val="004F23CC"/>
    <w:rsid w:val="004F2A95"/>
    <w:rsid w:val="004F4B69"/>
    <w:rsid w:val="004F6900"/>
    <w:rsid w:val="004F693A"/>
    <w:rsid w:val="00500329"/>
    <w:rsid w:val="005003A0"/>
    <w:rsid w:val="005009D4"/>
    <w:rsid w:val="0050223F"/>
    <w:rsid w:val="00505492"/>
    <w:rsid w:val="00511EF2"/>
    <w:rsid w:val="00515802"/>
    <w:rsid w:val="00521757"/>
    <w:rsid w:val="00526AF5"/>
    <w:rsid w:val="005435F3"/>
    <w:rsid w:val="00544CDF"/>
    <w:rsid w:val="00552DE2"/>
    <w:rsid w:val="00553AE0"/>
    <w:rsid w:val="00554B86"/>
    <w:rsid w:val="00555241"/>
    <w:rsid w:val="00556E90"/>
    <w:rsid w:val="005608EF"/>
    <w:rsid w:val="00561FFB"/>
    <w:rsid w:val="00563EC2"/>
    <w:rsid w:val="00566A0D"/>
    <w:rsid w:val="005670BA"/>
    <w:rsid w:val="005675FF"/>
    <w:rsid w:val="00567933"/>
    <w:rsid w:val="005705B7"/>
    <w:rsid w:val="0057214B"/>
    <w:rsid w:val="005818A9"/>
    <w:rsid w:val="005837C8"/>
    <w:rsid w:val="00587C0A"/>
    <w:rsid w:val="00591A05"/>
    <w:rsid w:val="0059332B"/>
    <w:rsid w:val="00594CCE"/>
    <w:rsid w:val="00594EE9"/>
    <w:rsid w:val="00595016"/>
    <w:rsid w:val="005A1110"/>
    <w:rsid w:val="005A6CF9"/>
    <w:rsid w:val="005A730D"/>
    <w:rsid w:val="005B62D5"/>
    <w:rsid w:val="005B62E5"/>
    <w:rsid w:val="005B64C9"/>
    <w:rsid w:val="005B65BA"/>
    <w:rsid w:val="005B7123"/>
    <w:rsid w:val="005C185A"/>
    <w:rsid w:val="005C43FC"/>
    <w:rsid w:val="005C5105"/>
    <w:rsid w:val="005C575E"/>
    <w:rsid w:val="005C5BE2"/>
    <w:rsid w:val="005D0562"/>
    <w:rsid w:val="005D3D8A"/>
    <w:rsid w:val="005D7594"/>
    <w:rsid w:val="005E0A13"/>
    <w:rsid w:val="005E20A4"/>
    <w:rsid w:val="005E2476"/>
    <w:rsid w:val="005E4629"/>
    <w:rsid w:val="005E683C"/>
    <w:rsid w:val="005F418C"/>
    <w:rsid w:val="005F525B"/>
    <w:rsid w:val="005F6583"/>
    <w:rsid w:val="006014D5"/>
    <w:rsid w:val="006032C0"/>
    <w:rsid w:val="00606B5C"/>
    <w:rsid w:val="00612D14"/>
    <w:rsid w:val="00615ABA"/>
    <w:rsid w:val="0062137B"/>
    <w:rsid w:val="00623BA0"/>
    <w:rsid w:val="00627563"/>
    <w:rsid w:val="006312DD"/>
    <w:rsid w:val="0063196E"/>
    <w:rsid w:val="00633AF4"/>
    <w:rsid w:val="00641762"/>
    <w:rsid w:val="00641C59"/>
    <w:rsid w:val="00641E04"/>
    <w:rsid w:val="006426EC"/>
    <w:rsid w:val="00643AB1"/>
    <w:rsid w:val="00643C50"/>
    <w:rsid w:val="0064683B"/>
    <w:rsid w:val="00647C85"/>
    <w:rsid w:val="0065125E"/>
    <w:rsid w:val="00653A8A"/>
    <w:rsid w:val="00654E1C"/>
    <w:rsid w:val="00655D1A"/>
    <w:rsid w:val="0065692B"/>
    <w:rsid w:val="00660C45"/>
    <w:rsid w:val="00664519"/>
    <w:rsid w:val="006645C5"/>
    <w:rsid w:val="0066765E"/>
    <w:rsid w:val="00670568"/>
    <w:rsid w:val="0067080E"/>
    <w:rsid w:val="00672D72"/>
    <w:rsid w:val="00674601"/>
    <w:rsid w:val="006775A9"/>
    <w:rsid w:val="00682923"/>
    <w:rsid w:val="00684B39"/>
    <w:rsid w:val="00685B34"/>
    <w:rsid w:val="00690641"/>
    <w:rsid w:val="00691528"/>
    <w:rsid w:val="00692167"/>
    <w:rsid w:val="00692C79"/>
    <w:rsid w:val="006960B6"/>
    <w:rsid w:val="006A1B37"/>
    <w:rsid w:val="006A3786"/>
    <w:rsid w:val="006A4B44"/>
    <w:rsid w:val="006A5BB4"/>
    <w:rsid w:val="006A6C39"/>
    <w:rsid w:val="006B1048"/>
    <w:rsid w:val="006B147E"/>
    <w:rsid w:val="006B4284"/>
    <w:rsid w:val="006B451D"/>
    <w:rsid w:val="006B5D7B"/>
    <w:rsid w:val="006D54B5"/>
    <w:rsid w:val="006D604D"/>
    <w:rsid w:val="006D6562"/>
    <w:rsid w:val="006E0554"/>
    <w:rsid w:val="006E37F8"/>
    <w:rsid w:val="006F6D50"/>
    <w:rsid w:val="006F74A5"/>
    <w:rsid w:val="00700962"/>
    <w:rsid w:val="007013AC"/>
    <w:rsid w:val="00715914"/>
    <w:rsid w:val="00716268"/>
    <w:rsid w:val="00720B68"/>
    <w:rsid w:val="00724576"/>
    <w:rsid w:val="0072661D"/>
    <w:rsid w:val="00726DFB"/>
    <w:rsid w:val="00732FDB"/>
    <w:rsid w:val="00734E52"/>
    <w:rsid w:val="007430D9"/>
    <w:rsid w:val="00743E0C"/>
    <w:rsid w:val="007468A3"/>
    <w:rsid w:val="00746F9D"/>
    <w:rsid w:val="00747998"/>
    <w:rsid w:val="007513BE"/>
    <w:rsid w:val="00754D00"/>
    <w:rsid w:val="007569FB"/>
    <w:rsid w:val="00756E25"/>
    <w:rsid w:val="00757C1B"/>
    <w:rsid w:val="0076088A"/>
    <w:rsid w:val="00764BC6"/>
    <w:rsid w:val="0076500F"/>
    <w:rsid w:val="00766CF7"/>
    <w:rsid w:val="00766D70"/>
    <w:rsid w:val="007707C4"/>
    <w:rsid w:val="00773830"/>
    <w:rsid w:val="00773F2F"/>
    <w:rsid w:val="007765CC"/>
    <w:rsid w:val="00776EBC"/>
    <w:rsid w:val="0078204A"/>
    <w:rsid w:val="0078254A"/>
    <w:rsid w:val="00782745"/>
    <w:rsid w:val="007A002D"/>
    <w:rsid w:val="007A33CC"/>
    <w:rsid w:val="007A5B33"/>
    <w:rsid w:val="007A5C8F"/>
    <w:rsid w:val="007A612D"/>
    <w:rsid w:val="007A65CF"/>
    <w:rsid w:val="007A7004"/>
    <w:rsid w:val="007A758B"/>
    <w:rsid w:val="007B1485"/>
    <w:rsid w:val="007B14DF"/>
    <w:rsid w:val="007B2CCE"/>
    <w:rsid w:val="007B35F2"/>
    <w:rsid w:val="007B4B6E"/>
    <w:rsid w:val="007B5472"/>
    <w:rsid w:val="007B656B"/>
    <w:rsid w:val="007B6579"/>
    <w:rsid w:val="007B76B3"/>
    <w:rsid w:val="007C43B6"/>
    <w:rsid w:val="007C4933"/>
    <w:rsid w:val="007C4F6A"/>
    <w:rsid w:val="007C7B2E"/>
    <w:rsid w:val="007D25E3"/>
    <w:rsid w:val="007D4061"/>
    <w:rsid w:val="007E0C8A"/>
    <w:rsid w:val="007E0FB1"/>
    <w:rsid w:val="007E170E"/>
    <w:rsid w:val="007E2539"/>
    <w:rsid w:val="007E2FBC"/>
    <w:rsid w:val="007E5D02"/>
    <w:rsid w:val="007E604E"/>
    <w:rsid w:val="007E669D"/>
    <w:rsid w:val="007F1E3D"/>
    <w:rsid w:val="007F26DB"/>
    <w:rsid w:val="008001B7"/>
    <w:rsid w:val="00800811"/>
    <w:rsid w:val="00800FE3"/>
    <w:rsid w:val="00804A45"/>
    <w:rsid w:val="0080658E"/>
    <w:rsid w:val="00810E06"/>
    <w:rsid w:val="0081268D"/>
    <w:rsid w:val="0081391C"/>
    <w:rsid w:val="008148B1"/>
    <w:rsid w:val="00821049"/>
    <w:rsid w:val="00824375"/>
    <w:rsid w:val="00825EB0"/>
    <w:rsid w:val="00833A95"/>
    <w:rsid w:val="00833DBD"/>
    <w:rsid w:val="008343A1"/>
    <w:rsid w:val="00834B4C"/>
    <w:rsid w:val="00842013"/>
    <w:rsid w:val="008422F3"/>
    <w:rsid w:val="0084541D"/>
    <w:rsid w:val="008473E8"/>
    <w:rsid w:val="00847514"/>
    <w:rsid w:val="008509CA"/>
    <w:rsid w:val="00851FD7"/>
    <w:rsid w:val="00852CDB"/>
    <w:rsid w:val="00853A7A"/>
    <w:rsid w:val="00853AE9"/>
    <w:rsid w:val="00854F5D"/>
    <w:rsid w:val="0085608E"/>
    <w:rsid w:val="008569A0"/>
    <w:rsid w:val="00862460"/>
    <w:rsid w:val="0086342D"/>
    <w:rsid w:val="00863E03"/>
    <w:rsid w:val="00864DCF"/>
    <w:rsid w:val="0086634F"/>
    <w:rsid w:val="00866511"/>
    <w:rsid w:val="0087015C"/>
    <w:rsid w:val="008736E1"/>
    <w:rsid w:val="00882026"/>
    <w:rsid w:val="00882294"/>
    <w:rsid w:val="00885C95"/>
    <w:rsid w:val="0088610D"/>
    <w:rsid w:val="00892C55"/>
    <w:rsid w:val="008936C6"/>
    <w:rsid w:val="0089558A"/>
    <w:rsid w:val="00896E16"/>
    <w:rsid w:val="008A03EF"/>
    <w:rsid w:val="008A6C42"/>
    <w:rsid w:val="008B3498"/>
    <w:rsid w:val="008B43EF"/>
    <w:rsid w:val="008B487D"/>
    <w:rsid w:val="008B7400"/>
    <w:rsid w:val="008C4BFD"/>
    <w:rsid w:val="008C6BDB"/>
    <w:rsid w:val="008C74EC"/>
    <w:rsid w:val="008D0C9B"/>
    <w:rsid w:val="008D2217"/>
    <w:rsid w:val="008D5EBD"/>
    <w:rsid w:val="008E0B0E"/>
    <w:rsid w:val="008E1453"/>
    <w:rsid w:val="008E2F78"/>
    <w:rsid w:val="008F2726"/>
    <w:rsid w:val="008F302F"/>
    <w:rsid w:val="008F72BD"/>
    <w:rsid w:val="00900399"/>
    <w:rsid w:val="00900B67"/>
    <w:rsid w:val="00902CA7"/>
    <w:rsid w:val="00903DF7"/>
    <w:rsid w:val="0090469A"/>
    <w:rsid w:val="00905F3C"/>
    <w:rsid w:val="009108C5"/>
    <w:rsid w:val="00912468"/>
    <w:rsid w:val="009129FF"/>
    <w:rsid w:val="00915479"/>
    <w:rsid w:val="00922932"/>
    <w:rsid w:val="00924003"/>
    <w:rsid w:val="009248A0"/>
    <w:rsid w:val="00925A66"/>
    <w:rsid w:val="00930C5A"/>
    <w:rsid w:val="0093517A"/>
    <w:rsid w:val="00935803"/>
    <w:rsid w:val="00943F5E"/>
    <w:rsid w:val="00945517"/>
    <w:rsid w:val="00952A6B"/>
    <w:rsid w:val="00954E03"/>
    <w:rsid w:val="0096055C"/>
    <w:rsid w:val="00960712"/>
    <w:rsid w:val="00970A4B"/>
    <w:rsid w:val="00970B99"/>
    <w:rsid w:val="0097267D"/>
    <w:rsid w:val="00972D86"/>
    <w:rsid w:val="009739AF"/>
    <w:rsid w:val="009764E7"/>
    <w:rsid w:val="00976ECA"/>
    <w:rsid w:val="00982521"/>
    <w:rsid w:val="00982846"/>
    <w:rsid w:val="00986C19"/>
    <w:rsid w:val="00987A20"/>
    <w:rsid w:val="00990D6C"/>
    <w:rsid w:val="009946EF"/>
    <w:rsid w:val="00994969"/>
    <w:rsid w:val="0099695C"/>
    <w:rsid w:val="00997125"/>
    <w:rsid w:val="009A125E"/>
    <w:rsid w:val="009A18D4"/>
    <w:rsid w:val="009A5332"/>
    <w:rsid w:val="009A63CD"/>
    <w:rsid w:val="009B138E"/>
    <w:rsid w:val="009B3182"/>
    <w:rsid w:val="009B456B"/>
    <w:rsid w:val="009B6E2F"/>
    <w:rsid w:val="009B7AC9"/>
    <w:rsid w:val="009C086C"/>
    <w:rsid w:val="009C271A"/>
    <w:rsid w:val="009C3896"/>
    <w:rsid w:val="009C3FB6"/>
    <w:rsid w:val="009C4369"/>
    <w:rsid w:val="009C4A21"/>
    <w:rsid w:val="009D3919"/>
    <w:rsid w:val="009D3CB8"/>
    <w:rsid w:val="009D445B"/>
    <w:rsid w:val="009D7516"/>
    <w:rsid w:val="009E4B63"/>
    <w:rsid w:val="009E6A45"/>
    <w:rsid w:val="009F0E86"/>
    <w:rsid w:val="009F3B5E"/>
    <w:rsid w:val="009F79A2"/>
    <w:rsid w:val="009F7E13"/>
    <w:rsid w:val="009F7E14"/>
    <w:rsid w:val="00A00B9B"/>
    <w:rsid w:val="00A02D50"/>
    <w:rsid w:val="00A0422D"/>
    <w:rsid w:val="00A056C6"/>
    <w:rsid w:val="00A05DFB"/>
    <w:rsid w:val="00A07A1B"/>
    <w:rsid w:val="00A12548"/>
    <w:rsid w:val="00A2546B"/>
    <w:rsid w:val="00A27114"/>
    <w:rsid w:val="00A31667"/>
    <w:rsid w:val="00A32AFB"/>
    <w:rsid w:val="00A33573"/>
    <w:rsid w:val="00A34C36"/>
    <w:rsid w:val="00A40B31"/>
    <w:rsid w:val="00A434A2"/>
    <w:rsid w:val="00A44632"/>
    <w:rsid w:val="00A473F5"/>
    <w:rsid w:val="00A52294"/>
    <w:rsid w:val="00A54217"/>
    <w:rsid w:val="00A54468"/>
    <w:rsid w:val="00A559BF"/>
    <w:rsid w:val="00A57B52"/>
    <w:rsid w:val="00A63615"/>
    <w:rsid w:val="00A6368B"/>
    <w:rsid w:val="00A646B0"/>
    <w:rsid w:val="00A6483F"/>
    <w:rsid w:val="00A72455"/>
    <w:rsid w:val="00A819BB"/>
    <w:rsid w:val="00A86F10"/>
    <w:rsid w:val="00A91B57"/>
    <w:rsid w:val="00A92942"/>
    <w:rsid w:val="00A97154"/>
    <w:rsid w:val="00AA1F0F"/>
    <w:rsid w:val="00AA3573"/>
    <w:rsid w:val="00AA6AC1"/>
    <w:rsid w:val="00AA7192"/>
    <w:rsid w:val="00AB04B0"/>
    <w:rsid w:val="00AB162B"/>
    <w:rsid w:val="00AB2236"/>
    <w:rsid w:val="00AB5965"/>
    <w:rsid w:val="00AB75EF"/>
    <w:rsid w:val="00AC1AC2"/>
    <w:rsid w:val="00AD1DD7"/>
    <w:rsid w:val="00AD5971"/>
    <w:rsid w:val="00AE06AF"/>
    <w:rsid w:val="00AE1AA7"/>
    <w:rsid w:val="00AE1D65"/>
    <w:rsid w:val="00AE2010"/>
    <w:rsid w:val="00AE4412"/>
    <w:rsid w:val="00AE4904"/>
    <w:rsid w:val="00AE652C"/>
    <w:rsid w:val="00AF4078"/>
    <w:rsid w:val="00AF4536"/>
    <w:rsid w:val="00AF5014"/>
    <w:rsid w:val="00B0040E"/>
    <w:rsid w:val="00B006F4"/>
    <w:rsid w:val="00B06329"/>
    <w:rsid w:val="00B06D35"/>
    <w:rsid w:val="00B1088A"/>
    <w:rsid w:val="00B15B2E"/>
    <w:rsid w:val="00B17D4D"/>
    <w:rsid w:val="00B17F48"/>
    <w:rsid w:val="00B20127"/>
    <w:rsid w:val="00B2067E"/>
    <w:rsid w:val="00B23FD1"/>
    <w:rsid w:val="00B24748"/>
    <w:rsid w:val="00B251D0"/>
    <w:rsid w:val="00B345F4"/>
    <w:rsid w:val="00B34E9C"/>
    <w:rsid w:val="00B35FD0"/>
    <w:rsid w:val="00B36AA5"/>
    <w:rsid w:val="00B36E01"/>
    <w:rsid w:val="00B40784"/>
    <w:rsid w:val="00B41C9A"/>
    <w:rsid w:val="00B432A1"/>
    <w:rsid w:val="00B43B5B"/>
    <w:rsid w:val="00B44B26"/>
    <w:rsid w:val="00B4732E"/>
    <w:rsid w:val="00B47496"/>
    <w:rsid w:val="00B509F7"/>
    <w:rsid w:val="00B563D2"/>
    <w:rsid w:val="00B65D53"/>
    <w:rsid w:val="00B70ACD"/>
    <w:rsid w:val="00B70E5A"/>
    <w:rsid w:val="00B761CF"/>
    <w:rsid w:val="00B77427"/>
    <w:rsid w:val="00B81F6D"/>
    <w:rsid w:val="00B8407B"/>
    <w:rsid w:val="00B84188"/>
    <w:rsid w:val="00B865F5"/>
    <w:rsid w:val="00B91174"/>
    <w:rsid w:val="00B9578B"/>
    <w:rsid w:val="00B9754B"/>
    <w:rsid w:val="00B97FC7"/>
    <w:rsid w:val="00BA2D26"/>
    <w:rsid w:val="00BA35C8"/>
    <w:rsid w:val="00BA3FA2"/>
    <w:rsid w:val="00BA6008"/>
    <w:rsid w:val="00BA76F8"/>
    <w:rsid w:val="00BA7AAC"/>
    <w:rsid w:val="00BB06DB"/>
    <w:rsid w:val="00BB5973"/>
    <w:rsid w:val="00BD00ED"/>
    <w:rsid w:val="00BD0346"/>
    <w:rsid w:val="00BD218C"/>
    <w:rsid w:val="00BD3FD7"/>
    <w:rsid w:val="00BE0A84"/>
    <w:rsid w:val="00BE2FBD"/>
    <w:rsid w:val="00BE3047"/>
    <w:rsid w:val="00BE4427"/>
    <w:rsid w:val="00BE5441"/>
    <w:rsid w:val="00BF6872"/>
    <w:rsid w:val="00C03A82"/>
    <w:rsid w:val="00C06FAB"/>
    <w:rsid w:val="00C11B05"/>
    <w:rsid w:val="00C12DAB"/>
    <w:rsid w:val="00C1321D"/>
    <w:rsid w:val="00C13E86"/>
    <w:rsid w:val="00C14C45"/>
    <w:rsid w:val="00C16511"/>
    <w:rsid w:val="00C246A9"/>
    <w:rsid w:val="00C24C11"/>
    <w:rsid w:val="00C27914"/>
    <w:rsid w:val="00C3009B"/>
    <w:rsid w:val="00C32C33"/>
    <w:rsid w:val="00C34E22"/>
    <w:rsid w:val="00C409BE"/>
    <w:rsid w:val="00C42C62"/>
    <w:rsid w:val="00C43C88"/>
    <w:rsid w:val="00C43FD6"/>
    <w:rsid w:val="00C46EC1"/>
    <w:rsid w:val="00C47E0D"/>
    <w:rsid w:val="00C5087B"/>
    <w:rsid w:val="00C516E9"/>
    <w:rsid w:val="00C553E3"/>
    <w:rsid w:val="00C6122E"/>
    <w:rsid w:val="00C62E2C"/>
    <w:rsid w:val="00C666E2"/>
    <w:rsid w:val="00C74860"/>
    <w:rsid w:val="00C77F83"/>
    <w:rsid w:val="00C81A94"/>
    <w:rsid w:val="00C81E4D"/>
    <w:rsid w:val="00C83C30"/>
    <w:rsid w:val="00C849EF"/>
    <w:rsid w:val="00C916C9"/>
    <w:rsid w:val="00C92F44"/>
    <w:rsid w:val="00C94516"/>
    <w:rsid w:val="00C95843"/>
    <w:rsid w:val="00C97BDB"/>
    <w:rsid w:val="00CA2359"/>
    <w:rsid w:val="00CA52F0"/>
    <w:rsid w:val="00CA52FF"/>
    <w:rsid w:val="00CA5814"/>
    <w:rsid w:val="00CA7B76"/>
    <w:rsid w:val="00CB28B8"/>
    <w:rsid w:val="00CB2C6D"/>
    <w:rsid w:val="00CB3116"/>
    <w:rsid w:val="00CB3356"/>
    <w:rsid w:val="00CB4CD1"/>
    <w:rsid w:val="00CC3FE4"/>
    <w:rsid w:val="00CC6FA8"/>
    <w:rsid w:val="00CC7138"/>
    <w:rsid w:val="00CD1A4B"/>
    <w:rsid w:val="00CD3103"/>
    <w:rsid w:val="00CD612B"/>
    <w:rsid w:val="00CD7823"/>
    <w:rsid w:val="00CE2B16"/>
    <w:rsid w:val="00CE3F03"/>
    <w:rsid w:val="00CE42BC"/>
    <w:rsid w:val="00CE76C1"/>
    <w:rsid w:val="00CF05F7"/>
    <w:rsid w:val="00CF174D"/>
    <w:rsid w:val="00CF26C3"/>
    <w:rsid w:val="00CF2F29"/>
    <w:rsid w:val="00CF3E98"/>
    <w:rsid w:val="00CF574F"/>
    <w:rsid w:val="00CF5C11"/>
    <w:rsid w:val="00D02848"/>
    <w:rsid w:val="00D0336A"/>
    <w:rsid w:val="00D0508C"/>
    <w:rsid w:val="00D07D2B"/>
    <w:rsid w:val="00D10F79"/>
    <w:rsid w:val="00D111DD"/>
    <w:rsid w:val="00D2145C"/>
    <w:rsid w:val="00D26BC7"/>
    <w:rsid w:val="00D27154"/>
    <w:rsid w:val="00D302C8"/>
    <w:rsid w:val="00D3372D"/>
    <w:rsid w:val="00D34088"/>
    <w:rsid w:val="00D34AF2"/>
    <w:rsid w:val="00D352B9"/>
    <w:rsid w:val="00D35A5F"/>
    <w:rsid w:val="00D36DBC"/>
    <w:rsid w:val="00D45ACF"/>
    <w:rsid w:val="00D464BB"/>
    <w:rsid w:val="00D46A1F"/>
    <w:rsid w:val="00D47764"/>
    <w:rsid w:val="00D47CDE"/>
    <w:rsid w:val="00D506E0"/>
    <w:rsid w:val="00D52B1B"/>
    <w:rsid w:val="00D534EE"/>
    <w:rsid w:val="00D535DD"/>
    <w:rsid w:val="00D57476"/>
    <w:rsid w:val="00D61F34"/>
    <w:rsid w:val="00D641B6"/>
    <w:rsid w:val="00D649F1"/>
    <w:rsid w:val="00D664AC"/>
    <w:rsid w:val="00D70312"/>
    <w:rsid w:val="00D70A6F"/>
    <w:rsid w:val="00D714A9"/>
    <w:rsid w:val="00D737F5"/>
    <w:rsid w:val="00D74261"/>
    <w:rsid w:val="00D750F4"/>
    <w:rsid w:val="00D7527F"/>
    <w:rsid w:val="00D774F4"/>
    <w:rsid w:val="00D7772A"/>
    <w:rsid w:val="00D836AA"/>
    <w:rsid w:val="00D836F0"/>
    <w:rsid w:val="00D9196A"/>
    <w:rsid w:val="00D931E2"/>
    <w:rsid w:val="00D95CF7"/>
    <w:rsid w:val="00DA079E"/>
    <w:rsid w:val="00DA168A"/>
    <w:rsid w:val="00DA34F5"/>
    <w:rsid w:val="00DA4465"/>
    <w:rsid w:val="00DA605D"/>
    <w:rsid w:val="00DA63F4"/>
    <w:rsid w:val="00DA6986"/>
    <w:rsid w:val="00DB0459"/>
    <w:rsid w:val="00DB211C"/>
    <w:rsid w:val="00DB37A3"/>
    <w:rsid w:val="00DB4080"/>
    <w:rsid w:val="00DB597D"/>
    <w:rsid w:val="00DB5F5D"/>
    <w:rsid w:val="00DB6F35"/>
    <w:rsid w:val="00DC08B0"/>
    <w:rsid w:val="00DC0D0A"/>
    <w:rsid w:val="00DC2045"/>
    <w:rsid w:val="00DC3EE6"/>
    <w:rsid w:val="00DC4781"/>
    <w:rsid w:val="00DD126D"/>
    <w:rsid w:val="00DD6058"/>
    <w:rsid w:val="00DD6AF1"/>
    <w:rsid w:val="00DD6BFB"/>
    <w:rsid w:val="00DD7048"/>
    <w:rsid w:val="00DE1B81"/>
    <w:rsid w:val="00DE49EF"/>
    <w:rsid w:val="00DE5C48"/>
    <w:rsid w:val="00DF07DD"/>
    <w:rsid w:val="00DF456D"/>
    <w:rsid w:val="00E0147F"/>
    <w:rsid w:val="00E02DC0"/>
    <w:rsid w:val="00E061F9"/>
    <w:rsid w:val="00E07D79"/>
    <w:rsid w:val="00E07DDB"/>
    <w:rsid w:val="00E12F71"/>
    <w:rsid w:val="00E14DFB"/>
    <w:rsid w:val="00E14EB9"/>
    <w:rsid w:val="00E21D30"/>
    <w:rsid w:val="00E21DEA"/>
    <w:rsid w:val="00E24391"/>
    <w:rsid w:val="00E33F13"/>
    <w:rsid w:val="00E3458D"/>
    <w:rsid w:val="00E3599A"/>
    <w:rsid w:val="00E359A7"/>
    <w:rsid w:val="00E35F88"/>
    <w:rsid w:val="00E3641B"/>
    <w:rsid w:val="00E40049"/>
    <w:rsid w:val="00E407FF"/>
    <w:rsid w:val="00E44119"/>
    <w:rsid w:val="00E448F5"/>
    <w:rsid w:val="00E44A52"/>
    <w:rsid w:val="00E46729"/>
    <w:rsid w:val="00E46D67"/>
    <w:rsid w:val="00E46F3D"/>
    <w:rsid w:val="00E5240C"/>
    <w:rsid w:val="00E611B4"/>
    <w:rsid w:val="00E643C7"/>
    <w:rsid w:val="00E65306"/>
    <w:rsid w:val="00E768B3"/>
    <w:rsid w:val="00E81BB2"/>
    <w:rsid w:val="00E825B7"/>
    <w:rsid w:val="00E8287F"/>
    <w:rsid w:val="00E832E1"/>
    <w:rsid w:val="00E8462C"/>
    <w:rsid w:val="00E84ADF"/>
    <w:rsid w:val="00E86160"/>
    <w:rsid w:val="00E86ACE"/>
    <w:rsid w:val="00E87BD1"/>
    <w:rsid w:val="00E87CC2"/>
    <w:rsid w:val="00E95B74"/>
    <w:rsid w:val="00E96884"/>
    <w:rsid w:val="00E978BE"/>
    <w:rsid w:val="00E97EF8"/>
    <w:rsid w:val="00EA4068"/>
    <w:rsid w:val="00EA4261"/>
    <w:rsid w:val="00EA4B09"/>
    <w:rsid w:val="00EA5215"/>
    <w:rsid w:val="00EA6CB8"/>
    <w:rsid w:val="00EB1DC9"/>
    <w:rsid w:val="00EB29D0"/>
    <w:rsid w:val="00EB4322"/>
    <w:rsid w:val="00EC1594"/>
    <w:rsid w:val="00EC3546"/>
    <w:rsid w:val="00EC3625"/>
    <w:rsid w:val="00EC7E7D"/>
    <w:rsid w:val="00ED060D"/>
    <w:rsid w:val="00ED22E0"/>
    <w:rsid w:val="00ED2B67"/>
    <w:rsid w:val="00ED4024"/>
    <w:rsid w:val="00EE1205"/>
    <w:rsid w:val="00EE459B"/>
    <w:rsid w:val="00EE53F9"/>
    <w:rsid w:val="00EE7787"/>
    <w:rsid w:val="00EF1EA5"/>
    <w:rsid w:val="00EF5CAF"/>
    <w:rsid w:val="00F015F2"/>
    <w:rsid w:val="00F021F5"/>
    <w:rsid w:val="00F02C3E"/>
    <w:rsid w:val="00F04415"/>
    <w:rsid w:val="00F1423E"/>
    <w:rsid w:val="00F142EE"/>
    <w:rsid w:val="00F16792"/>
    <w:rsid w:val="00F2709C"/>
    <w:rsid w:val="00F34CCC"/>
    <w:rsid w:val="00F37E37"/>
    <w:rsid w:val="00F427B5"/>
    <w:rsid w:val="00F46735"/>
    <w:rsid w:val="00F46F8E"/>
    <w:rsid w:val="00F50C69"/>
    <w:rsid w:val="00F521F1"/>
    <w:rsid w:val="00F569C3"/>
    <w:rsid w:val="00F56A05"/>
    <w:rsid w:val="00F6065C"/>
    <w:rsid w:val="00F60719"/>
    <w:rsid w:val="00F6447B"/>
    <w:rsid w:val="00F64A1F"/>
    <w:rsid w:val="00F71B19"/>
    <w:rsid w:val="00F74519"/>
    <w:rsid w:val="00F74639"/>
    <w:rsid w:val="00F7701E"/>
    <w:rsid w:val="00F86024"/>
    <w:rsid w:val="00F871EC"/>
    <w:rsid w:val="00F9455D"/>
    <w:rsid w:val="00FA0CF0"/>
    <w:rsid w:val="00FA1FFA"/>
    <w:rsid w:val="00FA3438"/>
    <w:rsid w:val="00FA6262"/>
    <w:rsid w:val="00FA62E7"/>
    <w:rsid w:val="00FB026D"/>
    <w:rsid w:val="00FB2D71"/>
    <w:rsid w:val="00FB587C"/>
    <w:rsid w:val="00FB6786"/>
    <w:rsid w:val="00FB68FC"/>
    <w:rsid w:val="00FC0069"/>
    <w:rsid w:val="00FC0DA2"/>
    <w:rsid w:val="00FC1A1E"/>
    <w:rsid w:val="00FC43DB"/>
    <w:rsid w:val="00FC5E06"/>
    <w:rsid w:val="00FC6956"/>
    <w:rsid w:val="00FD121C"/>
    <w:rsid w:val="00FD1BBA"/>
    <w:rsid w:val="00FD259A"/>
    <w:rsid w:val="00FD3AC1"/>
    <w:rsid w:val="00FD49FC"/>
    <w:rsid w:val="00FD500B"/>
    <w:rsid w:val="00FD74C0"/>
    <w:rsid w:val="00FE0FF7"/>
    <w:rsid w:val="00FE46B6"/>
    <w:rsid w:val="00FF0B7A"/>
    <w:rsid w:val="00FF75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uiPriority="0" w:unhideWhenUsed="0"/>
    <w:lsdException w:name="header" w:unhideWhenUsed="0"/>
    <w:lsdException w:name="footer" w:unhideWhenUsed="0"/>
    <w:lsdException w:name="caption" w:uiPriority="0" w:qFormat="1"/>
    <w:lsdException w:name="footnote reference" w:uiPriority="0"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72D86"/>
    <w:rPr>
      <w:rFonts w:ascii="Times New Roman" w:eastAsia="MS Mincho" w:hAnsi="Times New Roman"/>
      <w:sz w:val="24"/>
      <w:szCs w:val="24"/>
      <w:lang w:eastAsia="ja-JP"/>
    </w:rPr>
  </w:style>
  <w:style w:type="paragraph" w:styleId="Heading1">
    <w:name w:val="heading 1"/>
    <w:basedOn w:val="Normal"/>
    <w:next w:val="Normal"/>
    <w:link w:val="Heading1Char"/>
    <w:qFormat/>
    <w:rsid w:val="00972D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7E25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D86"/>
    <w:rPr>
      <w:rFonts w:ascii="Arial" w:eastAsia="MS Mincho" w:hAnsi="Arial" w:cs="Arial"/>
      <w:b/>
      <w:bCs/>
      <w:kern w:val="32"/>
      <w:sz w:val="32"/>
      <w:szCs w:val="32"/>
      <w:lang w:eastAsia="ja-JP"/>
    </w:rPr>
  </w:style>
  <w:style w:type="paragraph" w:customStyle="1" w:styleId="tabletitle">
    <w:name w:val="table title"/>
    <w:basedOn w:val="Normal"/>
    <w:rsid w:val="00972D86"/>
    <w:pPr>
      <w:keepNext/>
      <w:spacing w:before="180" w:after="60"/>
      <w:jc w:val="center"/>
    </w:pPr>
    <w:rPr>
      <w:rFonts w:eastAsia="Times New Roman"/>
      <w:b/>
      <w:bCs/>
      <w:lang w:eastAsia="en-US"/>
    </w:rPr>
  </w:style>
  <w:style w:type="paragraph" w:styleId="FootnoteText">
    <w:name w:val="footnote text"/>
    <w:basedOn w:val="Normal"/>
    <w:link w:val="FootnoteTextChar"/>
    <w:semiHidden/>
    <w:rsid w:val="00972D86"/>
    <w:rPr>
      <w:sz w:val="20"/>
      <w:szCs w:val="20"/>
    </w:rPr>
  </w:style>
  <w:style w:type="character" w:customStyle="1" w:styleId="FootnoteTextChar">
    <w:name w:val="Footnote Text Char"/>
    <w:basedOn w:val="DefaultParagraphFont"/>
    <w:link w:val="FootnoteText"/>
    <w:semiHidden/>
    <w:rsid w:val="00972D86"/>
    <w:rPr>
      <w:rFonts w:ascii="Times New Roman" w:eastAsia="MS Mincho" w:hAnsi="Times New Roman" w:cs="Times New Roman"/>
      <w:sz w:val="20"/>
      <w:szCs w:val="20"/>
      <w:lang w:eastAsia="ja-JP"/>
    </w:rPr>
  </w:style>
  <w:style w:type="character" w:styleId="FootnoteReference">
    <w:name w:val="footnote reference"/>
    <w:basedOn w:val="DefaultParagraphFont"/>
    <w:semiHidden/>
    <w:rsid w:val="00972D86"/>
    <w:rPr>
      <w:vertAlign w:val="superscript"/>
    </w:rPr>
  </w:style>
  <w:style w:type="table" w:styleId="TableGrid">
    <w:name w:val="Table Grid"/>
    <w:basedOn w:val="TableNormal"/>
    <w:uiPriority w:val="99"/>
    <w:rsid w:val="00972D86"/>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Normal"/>
    <w:uiPriority w:val="99"/>
    <w:rsid w:val="00972D86"/>
    <w:pPr>
      <w:spacing w:after="160" w:line="240" w:lineRule="exact"/>
    </w:pPr>
    <w:rPr>
      <w:rFonts w:ascii="CG Times" w:eastAsia="Times New Roman" w:hAnsi="CG Times" w:cs="CG Times"/>
      <w:sz w:val="20"/>
      <w:szCs w:val="20"/>
      <w:lang w:eastAsia="en-US"/>
    </w:rPr>
  </w:style>
  <w:style w:type="paragraph" w:styleId="BalloonText">
    <w:name w:val="Balloon Text"/>
    <w:basedOn w:val="Normal"/>
    <w:link w:val="BalloonTextChar"/>
    <w:uiPriority w:val="99"/>
    <w:semiHidden/>
    <w:rsid w:val="00905F3C"/>
    <w:rPr>
      <w:rFonts w:ascii="Tahoma" w:hAnsi="Tahoma" w:cs="Tahoma"/>
      <w:sz w:val="16"/>
      <w:szCs w:val="16"/>
    </w:rPr>
  </w:style>
  <w:style w:type="character" w:customStyle="1" w:styleId="BalloonTextChar">
    <w:name w:val="Balloon Text Char"/>
    <w:basedOn w:val="DefaultParagraphFont"/>
    <w:link w:val="BalloonText"/>
    <w:uiPriority w:val="99"/>
    <w:semiHidden/>
    <w:rsid w:val="00905F3C"/>
    <w:rPr>
      <w:rFonts w:ascii="Tahoma" w:eastAsia="MS Mincho" w:hAnsi="Tahoma" w:cs="Tahoma"/>
      <w:sz w:val="16"/>
      <w:szCs w:val="16"/>
      <w:lang w:eastAsia="ja-JP"/>
    </w:rPr>
  </w:style>
  <w:style w:type="character" w:styleId="Hyperlink">
    <w:name w:val="Hyperlink"/>
    <w:basedOn w:val="DefaultParagraphFont"/>
    <w:uiPriority w:val="99"/>
    <w:rsid w:val="00E44119"/>
    <w:rPr>
      <w:color w:val="0000FF"/>
      <w:u w:val="single"/>
    </w:rPr>
  </w:style>
  <w:style w:type="paragraph" w:customStyle="1" w:styleId="CharChar21">
    <w:name w:val="Char Char21"/>
    <w:basedOn w:val="Normal"/>
    <w:uiPriority w:val="99"/>
    <w:rsid w:val="00E44119"/>
    <w:pPr>
      <w:spacing w:after="160" w:line="240" w:lineRule="exact"/>
    </w:pPr>
    <w:rPr>
      <w:rFonts w:ascii="CG Times" w:eastAsia="Times New Roman" w:hAnsi="CG Times" w:cs="CG Times"/>
      <w:sz w:val="20"/>
      <w:szCs w:val="20"/>
      <w:lang w:eastAsia="en-US"/>
    </w:rPr>
  </w:style>
  <w:style w:type="paragraph" w:styleId="ListParagraph">
    <w:name w:val="List Paragraph"/>
    <w:basedOn w:val="Normal"/>
    <w:uiPriority w:val="34"/>
    <w:qFormat/>
    <w:rsid w:val="00F021F5"/>
    <w:pPr>
      <w:ind w:left="720"/>
      <w:contextualSpacing/>
    </w:pPr>
  </w:style>
  <w:style w:type="paragraph" w:styleId="Header">
    <w:name w:val="header"/>
    <w:basedOn w:val="Normal"/>
    <w:link w:val="HeaderChar"/>
    <w:uiPriority w:val="99"/>
    <w:semiHidden/>
    <w:rsid w:val="002E208B"/>
    <w:pPr>
      <w:tabs>
        <w:tab w:val="center" w:pos="4680"/>
        <w:tab w:val="right" w:pos="9360"/>
      </w:tabs>
    </w:pPr>
  </w:style>
  <w:style w:type="character" w:customStyle="1" w:styleId="HeaderChar">
    <w:name w:val="Header Char"/>
    <w:basedOn w:val="DefaultParagraphFont"/>
    <w:link w:val="Header"/>
    <w:uiPriority w:val="99"/>
    <w:semiHidden/>
    <w:rsid w:val="002E208B"/>
    <w:rPr>
      <w:rFonts w:ascii="Times New Roman" w:eastAsia="MS Mincho" w:hAnsi="Times New Roman" w:cs="Times New Roman"/>
      <w:sz w:val="24"/>
      <w:szCs w:val="24"/>
      <w:lang w:eastAsia="ja-JP"/>
    </w:rPr>
  </w:style>
  <w:style w:type="paragraph" w:styleId="Footer">
    <w:name w:val="footer"/>
    <w:basedOn w:val="Normal"/>
    <w:link w:val="FooterChar"/>
    <w:uiPriority w:val="99"/>
    <w:rsid w:val="002E208B"/>
    <w:pPr>
      <w:tabs>
        <w:tab w:val="center" w:pos="4680"/>
        <w:tab w:val="right" w:pos="9360"/>
      </w:tabs>
    </w:pPr>
  </w:style>
  <w:style w:type="character" w:customStyle="1" w:styleId="FooterChar">
    <w:name w:val="Footer Char"/>
    <w:basedOn w:val="DefaultParagraphFont"/>
    <w:link w:val="Footer"/>
    <w:uiPriority w:val="99"/>
    <w:rsid w:val="002E208B"/>
    <w:rPr>
      <w:rFonts w:ascii="Times New Roman" w:eastAsia="MS Mincho" w:hAnsi="Times New Roman" w:cs="Times New Roman"/>
      <w:sz w:val="24"/>
      <w:szCs w:val="24"/>
      <w:lang w:eastAsia="ja-JP"/>
    </w:rPr>
  </w:style>
  <w:style w:type="paragraph" w:customStyle="1" w:styleId="tabletext">
    <w:name w:val="table text"/>
    <w:basedOn w:val="Normal"/>
    <w:rsid w:val="00264E3A"/>
    <w:pPr>
      <w:spacing w:before="20" w:after="20"/>
    </w:pPr>
    <w:rPr>
      <w:rFonts w:ascii="Arial Narrow" w:eastAsia="Times New Roman" w:hAnsi="Arial Narrow" w:cs="Arial Narrow"/>
      <w:sz w:val="20"/>
      <w:szCs w:val="20"/>
      <w:lang w:eastAsia="en-US"/>
    </w:rPr>
  </w:style>
  <w:style w:type="paragraph" w:styleId="NoSpacing">
    <w:name w:val="No Spacing"/>
    <w:link w:val="NoSpacingChar"/>
    <w:uiPriority w:val="1"/>
    <w:qFormat/>
    <w:rsid w:val="003D60AE"/>
    <w:rPr>
      <w:rFonts w:eastAsia="Times New Roman" w:cs="Calibri"/>
    </w:rPr>
  </w:style>
  <w:style w:type="character" w:customStyle="1" w:styleId="NoSpacingChar">
    <w:name w:val="No Spacing Char"/>
    <w:basedOn w:val="DefaultParagraphFont"/>
    <w:link w:val="NoSpacing"/>
    <w:uiPriority w:val="1"/>
    <w:rsid w:val="003D60AE"/>
    <w:rPr>
      <w:rFonts w:eastAsia="Times New Roman"/>
      <w:sz w:val="22"/>
      <w:szCs w:val="22"/>
      <w:lang w:val="en-US" w:eastAsia="en-US"/>
    </w:rPr>
  </w:style>
  <w:style w:type="paragraph" w:styleId="TOCHeading">
    <w:name w:val="TOC Heading"/>
    <w:basedOn w:val="Heading1"/>
    <w:next w:val="Normal"/>
    <w:uiPriority w:val="39"/>
    <w:qFormat/>
    <w:rsid w:val="003D60AE"/>
    <w:pPr>
      <w:keepLines/>
      <w:spacing w:before="480" w:after="0" w:line="276" w:lineRule="auto"/>
      <w:outlineLvl w:val="9"/>
    </w:pPr>
    <w:rPr>
      <w:rFonts w:ascii="Cambria" w:eastAsia="Times New Roman" w:hAnsi="Cambria" w:cs="Cambria"/>
      <w:color w:val="365F91"/>
      <w:kern w:val="0"/>
      <w:sz w:val="28"/>
      <w:szCs w:val="28"/>
      <w:lang w:eastAsia="en-US"/>
    </w:rPr>
  </w:style>
  <w:style w:type="paragraph" w:styleId="TOC1">
    <w:name w:val="toc 1"/>
    <w:basedOn w:val="Normal"/>
    <w:next w:val="Normal"/>
    <w:autoRedefine/>
    <w:uiPriority w:val="39"/>
    <w:rsid w:val="003D60AE"/>
    <w:pPr>
      <w:spacing w:after="100"/>
    </w:pPr>
  </w:style>
  <w:style w:type="paragraph" w:styleId="TOC2">
    <w:name w:val="toc 2"/>
    <w:basedOn w:val="Normal"/>
    <w:next w:val="Normal"/>
    <w:autoRedefine/>
    <w:uiPriority w:val="39"/>
    <w:rsid w:val="003D60AE"/>
    <w:pPr>
      <w:spacing w:after="100" w:line="276" w:lineRule="auto"/>
      <w:ind w:left="220"/>
    </w:pPr>
    <w:rPr>
      <w:rFonts w:ascii="Calibri" w:eastAsia="Times New Roman" w:hAnsi="Calibri" w:cs="Calibri"/>
      <w:sz w:val="22"/>
      <w:szCs w:val="22"/>
      <w:lang w:eastAsia="en-US"/>
    </w:rPr>
  </w:style>
  <w:style w:type="paragraph" w:styleId="TOC3">
    <w:name w:val="toc 3"/>
    <w:basedOn w:val="Normal"/>
    <w:next w:val="Normal"/>
    <w:autoRedefine/>
    <w:uiPriority w:val="99"/>
    <w:semiHidden/>
    <w:rsid w:val="003D60AE"/>
    <w:pPr>
      <w:spacing w:after="100" w:line="276" w:lineRule="auto"/>
      <w:ind w:left="440"/>
    </w:pPr>
    <w:rPr>
      <w:rFonts w:ascii="Calibri" w:eastAsia="Times New Roman" w:hAnsi="Calibri" w:cs="Calibri"/>
      <w:sz w:val="22"/>
      <w:szCs w:val="22"/>
      <w:lang w:eastAsia="en-US"/>
    </w:rPr>
  </w:style>
  <w:style w:type="paragraph" w:styleId="Revision">
    <w:name w:val="Revision"/>
    <w:hidden/>
    <w:uiPriority w:val="99"/>
    <w:semiHidden/>
    <w:rsid w:val="00C5087B"/>
    <w:rPr>
      <w:rFonts w:ascii="Times New Roman" w:eastAsia="MS Mincho" w:hAnsi="Times New Roman"/>
      <w:sz w:val="24"/>
      <w:szCs w:val="24"/>
      <w:lang w:eastAsia="ja-JP"/>
    </w:rPr>
  </w:style>
  <w:style w:type="character" w:styleId="FollowedHyperlink">
    <w:name w:val="FollowedHyperlink"/>
    <w:basedOn w:val="DefaultParagraphFont"/>
    <w:uiPriority w:val="99"/>
    <w:semiHidden/>
    <w:rsid w:val="009739AF"/>
    <w:rPr>
      <w:color w:val="800080"/>
      <w:u w:val="single"/>
    </w:rPr>
  </w:style>
  <w:style w:type="character" w:styleId="Strong">
    <w:name w:val="Strong"/>
    <w:basedOn w:val="DefaultParagraphFont"/>
    <w:uiPriority w:val="99"/>
    <w:qFormat/>
    <w:rsid w:val="006312DD"/>
    <w:rPr>
      <w:b/>
      <w:bCs/>
    </w:rPr>
  </w:style>
  <w:style w:type="character" w:styleId="CommentReference">
    <w:name w:val="annotation reference"/>
    <w:basedOn w:val="DefaultParagraphFont"/>
    <w:uiPriority w:val="99"/>
    <w:semiHidden/>
    <w:rsid w:val="00A91B57"/>
    <w:rPr>
      <w:sz w:val="16"/>
      <w:szCs w:val="16"/>
    </w:rPr>
  </w:style>
  <w:style w:type="paragraph" w:styleId="CommentText">
    <w:name w:val="annotation text"/>
    <w:basedOn w:val="Normal"/>
    <w:link w:val="CommentTextChar"/>
    <w:rsid w:val="00A91B57"/>
    <w:rPr>
      <w:sz w:val="20"/>
      <w:szCs w:val="20"/>
    </w:rPr>
  </w:style>
  <w:style w:type="character" w:customStyle="1" w:styleId="CommentTextChar">
    <w:name w:val="Comment Text Char"/>
    <w:basedOn w:val="DefaultParagraphFont"/>
    <w:link w:val="CommentText"/>
    <w:rsid w:val="00A91B57"/>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rsid w:val="00A91B57"/>
    <w:rPr>
      <w:b/>
      <w:bCs/>
    </w:rPr>
  </w:style>
  <w:style w:type="character" w:customStyle="1" w:styleId="CommentSubjectChar">
    <w:name w:val="Comment Subject Char"/>
    <w:basedOn w:val="CommentTextChar"/>
    <w:link w:val="CommentSubject"/>
    <w:uiPriority w:val="99"/>
    <w:semiHidden/>
    <w:rsid w:val="00A91B57"/>
    <w:rPr>
      <w:b/>
      <w:bCs/>
    </w:rPr>
  </w:style>
  <w:style w:type="paragraph" w:styleId="EndnoteText">
    <w:name w:val="endnote text"/>
    <w:basedOn w:val="Normal"/>
    <w:link w:val="EndnoteTextChar"/>
    <w:uiPriority w:val="99"/>
    <w:semiHidden/>
    <w:rsid w:val="0080658E"/>
    <w:rPr>
      <w:sz w:val="20"/>
      <w:szCs w:val="20"/>
    </w:rPr>
  </w:style>
  <w:style w:type="character" w:customStyle="1" w:styleId="EndnoteTextChar">
    <w:name w:val="Endnote Text Char"/>
    <w:basedOn w:val="DefaultParagraphFont"/>
    <w:link w:val="EndnoteText"/>
    <w:uiPriority w:val="99"/>
    <w:semiHidden/>
    <w:rsid w:val="0080658E"/>
    <w:rPr>
      <w:rFonts w:ascii="Times New Roman" w:eastAsia="MS Mincho" w:hAnsi="Times New Roman" w:cs="Times New Roman"/>
      <w:sz w:val="20"/>
      <w:szCs w:val="20"/>
      <w:lang w:eastAsia="ja-JP"/>
    </w:rPr>
  </w:style>
  <w:style w:type="character" w:styleId="EndnoteReference">
    <w:name w:val="endnote reference"/>
    <w:basedOn w:val="DefaultParagraphFont"/>
    <w:uiPriority w:val="99"/>
    <w:semiHidden/>
    <w:rsid w:val="0080658E"/>
    <w:rPr>
      <w:vertAlign w:val="superscript"/>
    </w:rPr>
  </w:style>
  <w:style w:type="paragraph" w:styleId="TableofFigures">
    <w:name w:val="table of figures"/>
    <w:basedOn w:val="Normal"/>
    <w:next w:val="Normal"/>
    <w:uiPriority w:val="99"/>
    <w:unhideWhenUsed/>
    <w:rsid w:val="00903DF7"/>
  </w:style>
  <w:style w:type="paragraph" w:customStyle="1" w:styleId="memoaddress">
    <w:name w:val="memo address"/>
    <w:next w:val="FootnoteText"/>
    <w:rsid w:val="00D02848"/>
    <w:pPr>
      <w:tabs>
        <w:tab w:val="left" w:pos="1350"/>
      </w:tabs>
      <w:spacing w:before="120" w:after="120"/>
    </w:pPr>
    <w:rPr>
      <w:rFonts w:ascii="Arial" w:eastAsia="Times New Roman" w:hAnsi="Arial"/>
      <w:b/>
      <w:szCs w:val="20"/>
    </w:rPr>
  </w:style>
  <w:style w:type="paragraph" w:styleId="Caption">
    <w:name w:val="caption"/>
    <w:basedOn w:val="Normal"/>
    <w:next w:val="Normal"/>
    <w:qFormat/>
    <w:rsid w:val="00D02848"/>
    <w:pPr>
      <w:keepNext/>
      <w:spacing w:before="180" w:after="60"/>
      <w:jc w:val="center"/>
    </w:pPr>
    <w:rPr>
      <w:rFonts w:eastAsia="Times New Roman"/>
      <w:b/>
      <w:bCs/>
      <w:lang w:eastAsia="en-US"/>
    </w:rPr>
  </w:style>
  <w:style w:type="paragraph" w:styleId="BodyTextIndent">
    <w:name w:val="Body Text Indent"/>
    <w:basedOn w:val="Normal"/>
    <w:link w:val="BodyTextIndentChar"/>
    <w:uiPriority w:val="99"/>
    <w:semiHidden/>
    <w:unhideWhenUsed/>
    <w:rsid w:val="00D02848"/>
    <w:pPr>
      <w:spacing w:after="120"/>
      <w:ind w:left="360"/>
    </w:pPr>
  </w:style>
  <w:style w:type="character" w:customStyle="1" w:styleId="BodyTextIndentChar">
    <w:name w:val="Body Text Indent Char"/>
    <w:basedOn w:val="DefaultParagraphFont"/>
    <w:link w:val="BodyTextIndent"/>
    <w:uiPriority w:val="99"/>
    <w:semiHidden/>
    <w:rsid w:val="00D02848"/>
    <w:rPr>
      <w:rFonts w:ascii="Times New Roman" w:eastAsia="MS Mincho" w:hAnsi="Times New Roman"/>
      <w:sz w:val="24"/>
      <w:szCs w:val="24"/>
      <w:lang w:eastAsia="ja-JP"/>
    </w:rPr>
  </w:style>
  <w:style w:type="paragraph" w:customStyle="1" w:styleId="Default">
    <w:name w:val="Default"/>
    <w:rsid w:val="0023306D"/>
    <w:pPr>
      <w:autoSpaceDE w:val="0"/>
      <w:autoSpaceDN w:val="0"/>
      <w:adjustRightInd w:val="0"/>
    </w:pPr>
    <w:rPr>
      <w:rFonts w:eastAsia="Times New Roman" w:cs="Calibri"/>
      <w:color w:val="000000"/>
      <w:sz w:val="24"/>
      <w:szCs w:val="24"/>
    </w:rPr>
  </w:style>
  <w:style w:type="paragraph" w:customStyle="1" w:styleId="b">
    <w:name w:val="b"/>
    <w:aliases w:val="bullet"/>
    <w:basedOn w:val="Normal"/>
    <w:link w:val="bChar"/>
    <w:rsid w:val="0023306D"/>
    <w:pPr>
      <w:numPr>
        <w:numId w:val="38"/>
      </w:numPr>
      <w:spacing w:after="120" w:line="264" w:lineRule="auto"/>
    </w:pPr>
    <w:rPr>
      <w:rFonts w:ascii="Calibri" w:eastAsia="Times New Roman" w:hAnsi="Calibri" w:cs="Arial"/>
      <w:sz w:val="22"/>
      <w:szCs w:val="22"/>
      <w:lang w:eastAsia="en-US"/>
    </w:rPr>
  </w:style>
  <w:style w:type="character" w:customStyle="1" w:styleId="bChar">
    <w:name w:val="b Char"/>
    <w:aliases w:val="bullet Char,bullet Char Char"/>
    <w:basedOn w:val="DefaultParagraphFont"/>
    <w:link w:val="b"/>
    <w:rsid w:val="0023306D"/>
    <w:rPr>
      <w:rFonts w:eastAsia="Times New Roman" w:cs="Arial"/>
    </w:rPr>
  </w:style>
  <w:style w:type="paragraph" w:customStyle="1" w:styleId="in">
    <w:name w:val="in"/>
    <w:aliases w:val="into bullet"/>
    <w:basedOn w:val="Normal"/>
    <w:link w:val="inChar"/>
    <w:rsid w:val="0023306D"/>
    <w:pPr>
      <w:spacing w:after="120" w:line="264" w:lineRule="auto"/>
      <w:ind w:left="360"/>
    </w:pPr>
    <w:rPr>
      <w:rFonts w:ascii="Calibri" w:eastAsia="Times New Roman" w:hAnsi="Calibri" w:cs="Arial"/>
      <w:sz w:val="22"/>
      <w:szCs w:val="22"/>
      <w:lang w:eastAsia="en-US"/>
    </w:rPr>
  </w:style>
  <w:style w:type="character" w:customStyle="1" w:styleId="inChar">
    <w:name w:val="in Char"/>
    <w:aliases w:val="into bullet Char"/>
    <w:basedOn w:val="DefaultParagraphFont"/>
    <w:link w:val="in"/>
    <w:rsid w:val="0023306D"/>
    <w:rPr>
      <w:rFonts w:eastAsia="Times New Roman" w:cs="Arial"/>
    </w:rPr>
  </w:style>
  <w:style w:type="paragraph" w:customStyle="1" w:styleId="t">
    <w:name w:val="t"/>
    <w:aliases w:val="text"/>
    <w:basedOn w:val="Normal"/>
    <w:link w:val="tChar"/>
    <w:rsid w:val="0023306D"/>
    <w:pPr>
      <w:spacing w:after="240" w:line="264" w:lineRule="auto"/>
      <w:ind w:left="360"/>
    </w:pPr>
    <w:rPr>
      <w:rFonts w:ascii="Calibri" w:eastAsia="Times New Roman" w:hAnsi="Calibri" w:cs="Arial"/>
      <w:sz w:val="22"/>
      <w:szCs w:val="22"/>
      <w:lang w:eastAsia="en-US"/>
    </w:rPr>
  </w:style>
  <w:style w:type="character" w:customStyle="1" w:styleId="tChar">
    <w:name w:val="t Char"/>
    <w:aliases w:val="text Char Char"/>
    <w:basedOn w:val="DefaultParagraphFont"/>
    <w:link w:val="t"/>
    <w:rsid w:val="0023306D"/>
    <w:rPr>
      <w:rFonts w:eastAsia="Times New Roman" w:cs="Arial"/>
    </w:rPr>
  </w:style>
  <w:style w:type="character" w:customStyle="1" w:styleId="st1">
    <w:name w:val="st1"/>
    <w:basedOn w:val="DefaultParagraphFont"/>
    <w:rsid w:val="00863E03"/>
  </w:style>
  <w:style w:type="character" w:customStyle="1" w:styleId="Heading2Char">
    <w:name w:val="Heading 2 Char"/>
    <w:basedOn w:val="DefaultParagraphFont"/>
    <w:link w:val="Heading2"/>
    <w:uiPriority w:val="9"/>
    <w:rsid w:val="007E2539"/>
    <w:rPr>
      <w:rFonts w:asciiTheme="majorHAnsi" w:eastAsiaTheme="majorEastAsia" w:hAnsiTheme="majorHAnsi" w:cstheme="majorBidi"/>
      <w:b/>
      <w:bCs/>
      <w:color w:val="4F81BD" w:themeColor="accent1"/>
      <w:sz w:val="26"/>
      <w:szCs w:val="26"/>
      <w:lang w:eastAsia="ja-JP"/>
    </w:rPr>
  </w:style>
</w:styles>
</file>

<file path=word/webSettings.xml><?xml version="1.0" encoding="utf-8"?>
<w:webSettings xmlns:r="http://schemas.openxmlformats.org/officeDocument/2006/relationships" xmlns:w="http://schemas.openxmlformats.org/wordprocessingml/2006/main">
  <w:divs>
    <w:div w:id="62259689">
      <w:bodyDiv w:val="1"/>
      <w:marLeft w:val="0"/>
      <w:marRight w:val="0"/>
      <w:marTop w:val="0"/>
      <w:marBottom w:val="0"/>
      <w:divBdr>
        <w:top w:val="none" w:sz="0" w:space="0" w:color="auto"/>
        <w:left w:val="none" w:sz="0" w:space="0" w:color="auto"/>
        <w:bottom w:val="none" w:sz="0" w:space="0" w:color="auto"/>
        <w:right w:val="none" w:sz="0" w:space="0" w:color="auto"/>
      </w:divBdr>
    </w:div>
    <w:div w:id="122163065">
      <w:bodyDiv w:val="1"/>
      <w:marLeft w:val="0"/>
      <w:marRight w:val="0"/>
      <w:marTop w:val="0"/>
      <w:marBottom w:val="0"/>
      <w:divBdr>
        <w:top w:val="none" w:sz="0" w:space="0" w:color="auto"/>
        <w:left w:val="none" w:sz="0" w:space="0" w:color="auto"/>
        <w:bottom w:val="none" w:sz="0" w:space="0" w:color="auto"/>
        <w:right w:val="none" w:sz="0" w:space="0" w:color="auto"/>
      </w:divBdr>
    </w:div>
    <w:div w:id="154104917">
      <w:marLeft w:val="0"/>
      <w:marRight w:val="0"/>
      <w:marTop w:val="0"/>
      <w:marBottom w:val="0"/>
      <w:divBdr>
        <w:top w:val="none" w:sz="0" w:space="0" w:color="auto"/>
        <w:left w:val="none" w:sz="0" w:space="0" w:color="auto"/>
        <w:bottom w:val="none" w:sz="0" w:space="0" w:color="auto"/>
        <w:right w:val="none" w:sz="0" w:space="0" w:color="auto"/>
      </w:divBdr>
    </w:div>
    <w:div w:id="154104918">
      <w:marLeft w:val="0"/>
      <w:marRight w:val="0"/>
      <w:marTop w:val="0"/>
      <w:marBottom w:val="0"/>
      <w:divBdr>
        <w:top w:val="none" w:sz="0" w:space="0" w:color="auto"/>
        <w:left w:val="none" w:sz="0" w:space="0" w:color="auto"/>
        <w:bottom w:val="none" w:sz="0" w:space="0" w:color="auto"/>
        <w:right w:val="none" w:sz="0" w:space="0" w:color="auto"/>
      </w:divBdr>
    </w:div>
    <w:div w:id="154104919">
      <w:marLeft w:val="0"/>
      <w:marRight w:val="0"/>
      <w:marTop w:val="0"/>
      <w:marBottom w:val="0"/>
      <w:divBdr>
        <w:top w:val="none" w:sz="0" w:space="0" w:color="auto"/>
        <w:left w:val="none" w:sz="0" w:space="0" w:color="auto"/>
        <w:bottom w:val="none" w:sz="0" w:space="0" w:color="auto"/>
        <w:right w:val="none" w:sz="0" w:space="0" w:color="auto"/>
      </w:divBdr>
    </w:div>
    <w:div w:id="154104920">
      <w:marLeft w:val="0"/>
      <w:marRight w:val="0"/>
      <w:marTop w:val="0"/>
      <w:marBottom w:val="0"/>
      <w:divBdr>
        <w:top w:val="none" w:sz="0" w:space="0" w:color="auto"/>
        <w:left w:val="none" w:sz="0" w:space="0" w:color="auto"/>
        <w:bottom w:val="none" w:sz="0" w:space="0" w:color="auto"/>
        <w:right w:val="none" w:sz="0" w:space="0" w:color="auto"/>
      </w:divBdr>
    </w:div>
    <w:div w:id="154104921">
      <w:marLeft w:val="0"/>
      <w:marRight w:val="0"/>
      <w:marTop w:val="0"/>
      <w:marBottom w:val="0"/>
      <w:divBdr>
        <w:top w:val="none" w:sz="0" w:space="0" w:color="auto"/>
        <w:left w:val="none" w:sz="0" w:space="0" w:color="auto"/>
        <w:bottom w:val="none" w:sz="0" w:space="0" w:color="auto"/>
        <w:right w:val="none" w:sz="0" w:space="0" w:color="auto"/>
      </w:divBdr>
    </w:div>
    <w:div w:id="154104922">
      <w:marLeft w:val="0"/>
      <w:marRight w:val="0"/>
      <w:marTop w:val="0"/>
      <w:marBottom w:val="0"/>
      <w:divBdr>
        <w:top w:val="none" w:sz="0" w:space="0" w:color="auto"/>
        <w:left w:val="none" w:sz="0" w:space="0" w:color="auto"/>
        <w:bottom w:val="none" w:sz="0" w:space="0" w:color="auto"/>
        <w:right w:val="none" w:sz="0" w:space="0" w:color="auto"/>
      </w:divBdr>
    </w:div>
    <w:div w:id="154104923">
      <w:marLeft w:val="0"/>
      <w:marRight w:val="0"/>
      <w:marTop w:val="0"/>
      <w:marBottom w:val="0"/>
      <w:divBdr>
        <w:top w:val="none" w:sz="0" w:space="0" w:color="auto"/>
        <w:left w:val="none" w:sz="0" w:space="0" w:color="auto"/>
        <w:bottom w:val="none" w:sz="0" w:space="0" w:color="auto"/>
        <w:right w:val="none" w:sz="0" w:space="0" w:color="auto"/>
      </w:divBdr>
    </w:div>
    <w:div w:id="154104924">
      <w:marLeft w:val="0"/>
      <w:marRight w:val="0"/>
      <w:marTop w:val="0"/>
      <w:marBottom w:val="0"/>
      <w:divBdr>
        <w:top w:val="none" w:sz="0" w:space="0" w:color="auto"/>
        <w:left w:val="none" w:sz="0" w:space="0" w:color="auto"/>
        <w:bottom w:val="none" w:sz="0" w:space="0" w:color="auto"/>
        <w:right w:val="none" w:sz="0" w:space="0" w:color="auto"/>
      </w:divBdr>
    </w:div>
    <w:div w:id="154104925">
      <w:marLeft w:val="0"/>
      <w:marRight w:val="0"/>
      <w:marTop w:val="0"/>
      <w:marBottom w:val="0"/>
      <w:divBdr>
        <w:top w:val="none" w:sz="0" w:space="0" w:color="auto"/>
        <w:left w:val="none" w:sz="0" w:space="0" w:color="auto"/>
        <w:bottom w:val="none" w:sz="0" w:space="0" w:color="auto"/>
        <w:right w:val="none" w:sz="0" w:space="0" w:color="auto"/>
      </w:divBdr>
    </w:div>
    <w:div w:id="154104926">
      <w:marLeft w:val="0"/>
      <w:marRight w:val="0"/>
      <w:marTop w:val="0"/>
      <w:marBottom w:val="0"/>
      <w:divBdr>
        <w:top w:val="none" w:sz="0" w:space="0" w:color="auto"/>
        <w:left w:val="none" w:sz="0" w:space="0" w:color="auto"/>
        <w:bottom w:val="none" w:sz="0" w:space="0" w:color="auto"/>
        <w:right w:val="none" w:sz="0" w:space="0" w:color="auto"/>
      </w:divBdr>
    </w:div>
    <w:div w:id="154104927">
      <w:marLeft w:val="0"/>
      <w:marRight w:val="0"/>
      <w:marTop w:val="0"/>
      <w:marBottom w:val="0"/>
      <w:divBdr>
        <w:top w:val="none" w:sz="0" w:space="0" w:color="auto"/>
        <w:left w:val="none" w:sz="0" w:space="0" w:color="auto"/>
        <w:bottom w:val="none" w:sz="0" w:space="0" w:color="auto"/>
        <w:right w:val="none" w:sz="0" w:space="0" w:color="auto"/>
      </w:divBdr>
    </w:div>
    <w:div w:id="154104928">
      <w:marLeft w:val="0"/>
      <w:marRight w:val="0"/>
      <w:marTop w:val="0"/>
      <w:marBottom w:val="0"/>
      <w:divBdr>
        <w:top w:val="none" w:sz="0" w:space="0" w:color="auto"/>
        <w:left w:val="none" w:sz="0" w:space="0" w:color="auto"/>
        <w:bottom w:val="none" w:sz="0" w:space="0" w:color="auto"/>
        <w:right w:val="none" w:sz="0" w:space="0" w:color="auto"/>
      </w:divBdr>
    </w:div>
    <w:div w:id="154104929">
      <w:marLeft w:val="0"/>
      <w:marRight w:val="0"/>
      <w:marTop w:val="0"/>
      <w:marBottom w:val="0"/>
      <w:divBdr>
        <w:top w:val="none" w:sz="0" w:space="0" w:color="auto"/>
        <w:left w:val="none" w:sz="0" w:space="0" w:color="auto"/>
        <w:bottom w:val="none" w:sz="0" w:space="0" w:color="auto"/>
        <w:right w:val="none" w:sz="0" w:space="0" w:color="auto"/>
      </w:divBdr>
    </w:div>
    <w:div w:id="180440779">
      <w:bodyDiv w:val="1"/>
      <w:marLeft w:val="0"/>
      <w:marRight w:val="0"/>
      <w:marTop w:val="0"/>
      <w:marBottom w:val="0"/>
      <w:divBdr>
        <w:top w:val="none" w:sz="0" w:space="0" w:color="auto"/>
        <w:left w:val="none" w:sz="0" w:space="0" w:color="auto"/>
        <w:bottom w:val="none" w:sz="0" w:space="0" w:color="auto"/>
        <w:right w:val="none" w:sz="0" w:space="0" w:color="auto"/>
      </w:divBdr>
    </w:div>
    <w:div w:id="341056132">
      <w:bodyDiv w:val="1"/>
      <w:marLeft w:val="0"/>
      <w:marRight w:val="0"/>
      <w:marTop w:val="0"/>
      <w:marBottom w:val="0"/>
      <w:divBdr>
        <w:top w:val="none" w:sz="0" w:space="0" w:color="auto"/>
        <w:left w:val="none" w:sz="0" w:space="0" w:color="auto"/>
        <w:bottom w:val="none" w:sz="0" w:space="0" w:color="auto"/>
        <w:right w:val="none" w:sz="0" w:space="0" w:color="auto"/>
      </w:divBdr>
    </w:div>
    <w:div w:id="453789034">
      <w:bodyDiv w:val="1"/>
      <w:marLeft w:val="0"/>
      <w:marRight w:val="0"/>
      <w:marTop w:val="0"/>
      <w:marBottom w:val="0"/>
      <w:divBdr>
        <w:top w:val="none" w:sz="0" w:space="0" w:color="auto"/>
        <w:left w:val="none" w:sz="0" w:space="0" w:color="auto"/>
        <w:bottom w:val="none" w:sz="0" w:space="0" w:color="auto"/>
        <w:right w:val="none" w:sz="0" w:space="0" w:color="auto"/>
      </w:divBdr>
    </w:div>
    <w:div w:id="542795576">
      <w:bodyDiv w:val="1"/>
      <w:marLeft w:val="0"/>
      <w:marRight w:val="0"/>
      <w:marTop w:val="0"/>
      <w:marBottom w:val="0"/>
      <w:divBdr>
        <w:top w:val="none" w:sz="0" w:space="0" w:color="auto"/>
        <w:left w:val="none" w:sz="0" w:space="0" w:color="auto"/>
        <w:bottom w:val="none" w:sz="0" w:space="0" w:color="auto"/>
        <w:right w:val="none" w:sz="0" w:space="0" w:color="auto"/>
      </w:divBdr>
    </w:div>
    <w:div w:id="658382733">
      <w:bodyDiv w:val="1"/>
      <w:marLeft w:val="0"/>
      <w:marRight w:val="0"/>
      <w:marTop w:val="0"/>
      <w:marBottom w:val="0"/>
      <w:divBdr>
        <w:top w:val="none" w:sz="0" w:space="0" w:color="auto"/>
        <w:left w:val="none" w:sz="0" w:space="0" w:color="auto"/>
        <w:bottom w:val="none" w:sz="0" w:space="0" w:color="auto"/>
        <w:right w:val="none" w:sz="0" w:space="0" w:color="auto"/>
      </w:divBdr>
    </w:div>
    <w:div w:id="794911987">
      <w:bodyDiv w:val="1"/>
      <w:marLeft w:val="0"/>
      <w:marRight w:val="0"/>
      <w:marTop w:val="0"/>
      <w:marBottom w:val="0"/>
      <w:divBdr>
        <w:top w:val="none" w:sz="0" w:space="0" w:color="auto"/>
        <w:left w:val="none" w:sz="0" w:space="0" w:color="auto"/>
        <w:bottom w:val="none" w:sz="0" w:space="0" w:color="auto"/>
        <w:right w:val="none" w:sz="0" w:space="0" w:color="auto"/>
      </w:divBdr>
    </w:div>
    <w:div w:id="868445313">
      <w:bodyDiv w:val="1"/>
      <w:marLeft w:val="0"/>
      <w:marRight w:val="0"/>
      <w:marTop w:val="0"/>
      <w:marBottom w:val="0"/>
      <w:divBdr>
        <w:top w:val="none" w:sz="0" w:space="0" w:color="auto"/>
        <w:left w:val="none" w:sz="0" w:space="0" w:color="auto"/>
        <w:bottom w:val="none" w:sz="0" w:space="0" w:color="auto"/>
        <w:right w:val="none" w:sz="0" w:space="0" w:color="auto"/>
      </w:divBdr>
    </w:div>
    <w:div w:id="982127231">
      <w:bodyDiv w:val="1"/>
      <w:marLeft w:val="0"/>
      <w:marRight w:val="0"/>
      <w:marTop w:val="0"/>
      <w:marBottom w:val="0"/>
      <w:divBdr>
        <w:top w:val="none" w:sz="0" w:space="0" w:color="auto"/>
        <w:left w:val="none" w:sz="0" w:space="0" w:color="auto"/>
        <w:bottom w:val="none" w:sz="0" w:space="0" w:color="auto"/>
        <w:right w:val="none" w:sz="0" w:space="0" w:color="auto"/>
      </w:divBdr>
    </w:div>
    <w:div w:id="1303851876">
      <w:bodyDiv w:val="1"/>
      <w:marLeft w:val="0"/>
      <w:marRight w:val="0"/>
      <w:marTop w:val="0"/>
      <w:marBottom w:val="0"/>
      <w:divBdr>
        <w:top w:val="none" w:sz="0" w:space="0" w:color="auto"/>
        <w:left w:val="none" w:sz="0" w:space="0" w:color="auto"/>
        <w:bottom w:val="none" w:sz="0" w:space="0" w:color="auto"/>
        <w:right w:val="none" w:sz="0" w:space="0" w:color="auto"/>
      </w:divBdr>
    </w:div>
    <w:div w:id="1366365302">
      <w:bodyDiv w:val="1"/>
      <w:marLeft w:val="0"/>
      <w:marRight w:val="0"/>
      <w:marTop w:val="0"/>
      <w:marBottom w:val="0"/>
      <w:divBdr>
        <w:top w:val="none" w:sz="0" w:space="0" w:color="auto"/>
        <w:left w:val="none" w:sz="0" w:space="0" w:color="auto"/>
        <w:bottom w:val="none" w:sz="0" w:space="0" w:color="auto"/>
        <w:right w:val="none" w:sz="0" w:space="0" w:color="auto"/>
      </w:divBdr>
    </w:div>
    <w:div w:id="1430001271">
      <w:bodyDiv w:val="1"/>
      <w:marLeft w:val="0"/>
      <w:marRight w:val="0"/>
      <w:marTop w:val="0"/>
      <w:marBottom w:val="0"/>
      <w:divBdr>
        <w:top w:val="none" w:sz="0" w:space="0" w:color="auto"/>
        <w:left w:val="none" w:sz="0" w:space="0" w:color="auto"/>
        <w:bottom w:val="none" w:sz="0" w:space="0" w:color="auto"/>
        <w:right w:val="none" w:sz="0" w:space="0" w:color="auto"/>
      </w:divBdr>
    </w:div>
    <w:div w:id="1434280882">
      <w:bodyDiv w:val="1"/>
      <w:marLeft w:val="0"/>
      <w:marRight w:val="0"/>
      <w:marTop w:val="0"/>
      <w:marBottom w:val="0"/>
      <w:divBdr>
        <w:top w:val="none" w:sz="0" w:space="0" w:color="auto"/>
        <w:left w:val="none" w:sz="0" w:space="0" w:color="auto"/>
        <w:bottom w:val="none" w:sz="0" w:space="0" w:color="auto"/>
        <w:right w:val="none" w:sz="0" w:space="0" w:color="auto"/>
      </w:divBdr>
    </w:div>
    <w:div w:id="1549798724">
      <w:bodyDiv w:val="1"/>
      <w:marLeft w:val="0"/>
      <w:marRight w:val="0"/>
      <w:marTop w:val="0"/>
      <w:marBottom w:val="0"/>
      <w:divBdr>
        <w:top w:val="none" w:sz="0" w:space="0" w:color="auto"/>
        <w:left w:val="none" w:sz="0" w:space="0" w:color="auto"/>
        <w:bottom w:val="none" w:sz="0" w:space="0" w:color="auto"/>
        <w:right w:val="none" w:sz="0" w:space="0" w:color="auto"/>
      </w:divBdr>
    </w:div>
    <w:div w:id="1559899156">
      <w:bodyDiv w:val="1"/>
      <w:marLeft w:val="0"/>
      <w:marRight w:val="0"/>
      <w:marTop w:val="0"/>
      <w:marBottom w:val="0"/>
      <w:divBdr>
        <w:top w:val="none" w:sz="0" w:space="0" w:color="auto"/>
        <w:left w:val="none" w:sz="0" w:space="0" w:color="auto"/>
        <w:bottom w:val="none" w:sz="0" w:space="0" w:color="auto"/>
        <w:right w:val="none" w:sz="0" w:space="0" w:color="auto"/>
      </w:divBdr>
    </w:div>
    <w:div w:id="1829395477">
      <w:bodyDiv w:val="1"/>
      <w:marLeft w:val="0"/>
      <w:marRight w:val="0"/>
      <w:marTop w:val="0"/>
      <w:marBottom w:val="0"/>
      <w:divBdr>
        <w:top w:val="none" w:sz="0" w:space="0" w:color="auto"/>
        <w:left w:val="none" w:sz="0" w:space="0" w:color="auto"/>
        <w:bottom w:val="none" w:sz="0" w:space="0" w:color="auto"/>
        <w:right w:val="none" w:sz="0" w:space="0" w:color="auto"/>
      </w:divBdr>
    </w:div>
    <w:div w:id="1838231831">
      <w:bodyDiv w:val="1"/>
      <w:marLeft w:val="0"/>
      <w:marRight w:val="0"/>
      <w:marTop w:val="0"/>
      <w:marBottom w:val="0"/>
      <w:divBdr>
        <w:top w:val="none" w:sz="0" w:space="0" w:color="auto"/>
        <w:left w:val="none" w:sz="0" w:space="0" w:color="auto"/>
        <w:bottom w:val="none" w:sz="0" w:space="0" w:color="auto"/>
        <w:right w:val="none" w:sz="0" w:space="0" w:color="auto"/>
      </w:divBdr>
    </w:div>
    <w:div w:id="1856455426">
      <w:bodyDiv w:val="1"/>
      <w:marLeft w:val="0"/>
      <w:marRight w:val="0"/>
      <w:marTop w:val="0"/>
      <w:marBottom w:val="0"/>
      <w:divBdr>
        <w:top w:val="none" w:sz="0" w:space="0" w:color="auto"/>
        <w:left w:val="none" w:sz="0" w:space="0" w:color="auto"/>
        <w:bottom w:val="none" w:sz="0" w:space="0" w:color="auto"/>
        <w:right w:val="none" w:sz="0" w:space="0" w:color="auto"/>
      </w:divBdr>
    </w:div>
    <w:div w:id="1906720708">
      <w:bodyDiv w:val="1"/>
      <w:marLeft w:val="0"/>
      <w:marRight w:val="0"/>
      <w:marTop w:val="0"/>
      <w:marBottom w:val="0"/>
      <w:divBdr>
        <w:top w:val="none" w:sz="0" w:space="0" w:color="auto"/>
        <w:left w:val="none" w:sz="0" w:space="0" w:color="auto"/>
        <w:bottom w:val="none" w:sz="0" w:space="0" w:color="auto"/>
        <w:right w:val="none" w:sz="0" w:space="0" w:color="auto"/>
      </w:divBdr>
    </w:div>
    <w:div w:id="202207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hyperlink" Target="http://www.utc.wa.gov/docs/Pages/FilingIdBrowser.aspx" TargetMode="External"/><Relationship Id="rId39" Type="http://schemas.openxmlformats.org/officeDocument/2006/relationships/customXml" Target="../customXml/item3.xml"/><Relationship Id="rId21" Type="http://schemas.openxmlformats.org/officeDocument/2006/relationships/image" Target="media/image15.wmf"/><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hyperlink" Target="http://www.utc.wa.gov/docs/Pages/FilingIdBrowser.aspx" TargetMode="External"/><Relationship Id="rId33" Type="http://schemas.openxmlformats.org/officeDocument/2006/relationships/header" Target="header3.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e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yperlink" Target="http://www.pacificorp.com/es/dsm/washington.html" TargetMode="External"/><Relationship Id="rId32" Type="http://schemas.openxmlformats.org/officeDocument/2006/relationships/footer" Target="footer2.xml"/><Relationship Id="rId37" Type="http://schemas.openxmlformats.org/officeDocument/2006/relationships/customXml" Target="../customXml/item1.xml"/><Relationship Id="rId40"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hyperlink" Target="http://www.pacificorp.com/es/dsm.html" TargetMode="External"/><Relationship Id="rId28" Type="http://schemas.openxmlformats.org/officeDocument/2006/relationships/hyperlink" Target="http://www.utc.wa.gov/docs/Pages/FilingIdBrowser.aspx" TargetMode="External"/><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hyperlink" Target="http://www.pacificorp.com/es/dsm/washington.html"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2012-06-01T07:00:00+00:00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100170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BE089650263A4BBB0BF02FB6333EAD" ma:contentTypeVersion="131" ma:contentTypeDescription="" ma:contentTypeScope="" ma:versionID="f8b6365998eca13bd4bdc0a7e77349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043015C-8652-4883-8E2B-1517FDCBABED}"/>
</file>

<file path=customXml/itemProps2.xml><?xml version="1.0" encoding="utf-8"?>
<ds:datastoreItem xmlns:ds="http://schemas.openxmlformats.org/officeDocument/2006/customXml" ds:itemID="{96CB808E-4C48-4BF3-BB8C-1F4D7E59E278}"/>
</file>

<file path=customXml/itemProps3.xml><?xml version="1.0" encoding="utf-8"?>
<ds:datastoreItem xmlns:ds="http://schemas.openxmlformats.org/officeDocument/2006/customXml" ds:itemID="{BDEA0C1C-7D56-4156-8ACA-5E02F25E73BE}"/>
</file>

<file path=customXml/itemProps4.xml><?xml version="1.0" encoding="utf-8"?>
<ds:datastoreItem xmlns:ds="http://schemas.openxmlformats.org/officeDocument/2006/customXml" ds:itemID="{6EF44012-C541-4856-A995-E53E08853CC3}"/>
</file>

<file path=docProps/app.xml><?xml version="1.0" encoding="utf-8"?>
<Properties xmlns="http://schemas.openxmlformats.org/officeDocument/2006/extended-properties" xmlns:vt="http://schemas.openxmlformats.org/officeDocument/2006/docPropsVTypes">
  <Template>Normal.dotm</Template>
  <TotalTime>0</TotalTime>
  <Pages>18</Pages>
  <Words>1560</Words>
  <Characters>10738</Characters>
  <Application>Microsoft Office Word</Application>
  <DocSecurity>0</DocSecurity>
  <Lines>89</Lines>
  <Paragraphs>24</Paragraphs>
  <ScaleCrop>false</ScaleCrop>
  <Company/>
  <LinksUpToDate>false</LinksUpToDate>
  <CharactersWithSpaces>12274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2012-06-01T18:07:00Z</dcterms:created>
  <dcterms:modified xsi:type="dcterms:W3CDTF">2012-06-01T18:07:00Z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0x0101006E56B4D1795A2E4DB2F0B01679ED314A004EBE089650263A4BBB0BF02FB6333EAD</vt:lpwstr>
  </property>
  <property fmtid="{D5CDD505-2E9C-101B-9397-08002B2CF9AE}" pid="4" name="_docset_NoMedatataSyncRequired">
    <vt:lpwstr>False</vt:lpwstr>
  </property>
</Properties>
</file>