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6FA88" w14:textId="7DE0D788" w:rsidR="002B32C9" w:rsidRPr="00744085" w:rsidRDefault="00F41430" w:rsidP="00E0560D">
      <w:bookmarkStart w:id="0" w:name="_GoBack"/>
      <w:bookmarkEnd w:id="0"/>
      <w:r>
        <w:rPr>
          <w:b/>
          <w:bCs/>
          <w:sz w:val="23"/>
          <w:szCs w:val="23"/>
        </w:rPr>
        <w:t xml:space="preserve">Bench Request No. </w:t>
      </w:r>
      <w:r w:rsidR="00E0560D">
        <w:rPr>
          <w:b/>
          <w:bCs/>
          <w:sz w:val="23"/>
          <w:szCs w:val="23"/>
        </w:rPr>
        <w:t>14</w:t>
      </w:r>
      <w:r w:rsidR="00744085" w:rsidRPr="00744085">
        <w:rPr>
          <w:b/>
          <w:bCs/>
          <w:sz w:val="23"/>
          <w:szCs w:val="23"/>
        </w:rPr>
        <w:t xml:space="preserve">: </w:t>
      </w:r>
      <w:r w:rsidR="00744085">
        <w:rPr>
          <w:b/>
          <w:bCs/>
          <w:sz w:val="23"/>
          <w:szCs w:val="23"/>
        </w:rPr>
        <w:t xml:space="preserve"> </w:t>
      </w:r>
      <w:r w:rsidR="00E0560D" w:rsidRPr="00E0560D">
        <w:rPr>
          <w:bCs/>
          <w:sz w:val="23"/>
          <w:szCs w:val="23"/>
        </w:rPr>
        <w:t>Staff: With regard to Staff response to bench request No. 8, please reconcile the net operating income, rate base, and revenue requirement impacts provided in the response to the amounts shown in Mr. Hancock’s exhibits CSH-2 at page 10, column 4.01 and CSH-3 at page 9, column 4.01.</w:t>
      </w:r>
    </w:p>
    <w:p w14:paraId="04A6FA89" w14:textId="3B5A8D2B" w:rsidR="002B32C9" w:rsidRDefault="00744085" w:rsidP="00DE73E1">
      <w:r>
        <w:rPr>
          <w:b/>
        </w:rPr>
        <w:t>Response:</w:t>
      </w:r>
      <w:r>
        <w:t xml:space="preserve">  </w:t>
      </w:r>
    </w:p>
    <w:p w14:paraId="47083FDD" w14:textId="1ABC37E1" w:rsidR="00BE6B93" w:rsidRDefault="00BE6B93" w:rsidP="00B16059">
      <w:r>
        <w:t xml:space="preserve">Mr. Hancock </w:t>
      </w:r>
      <w:r w:rsidR="00821255">
        <w:t>used</w:t>
      </w:r>
      <w:r>
        <w:t xml:space="preserve"> column headings</w:t>
      </w:r>
      <w:r w:rsidR="00821255">
        <w:t xml:space="preserve"> in the response to Bench Request 8 that are inconsistent with those in exhibits CSH-2 and CSH-3</w:t>
      </w:r>
      <w:r>
        <w:t>.</w:t>
      </w:r>
      <w:r w:rsidR="00821255">
        <w:t xml:space="preserve"> He apologizes for this inconsistency.</w:t>
      </w:r>
      <w:r>
        <w:t xml:space="preserve"> To clarify, the headings</w:t>
      </w:r>
      <w:r w:rsidR="00821255" w:rsidRPr="00821255">
        <w:t xml:space="preserve"> in the response to Bench Request 8 </w:t>
      </w:r>
      <w:r>
        <w:t xml:space="preserve">may be translated as: </w:t>
      </w:r>
    </w:p>
    <w:p w14:paraId="0783F648" w14:textId="62FAB70F" w:rsidR="00BE6B93" w:rsidRDefault="00BE6B93">
      <w:pPr>
        <w:pStyle w:val="ListParagraph"/>
        <w:numPr>
          <w:ilvl w:val="0"/>
          <w:numId w:val="5"/>
        </w:numPr>
        <w:pPrChange w:id="1" w:author="Schooley, Thomas (UTC)" w:date="2015-10-26T14:47:00Z">
          <w:pPr>
            <w:pStyle w:val="ListParagraph"/>
            <w:numPr>
              <w:numId w:val="5"/>
            </w:numPr>
            <w:ind w:left="1440" w:hanging="360"/>
          </w:pPr>
        </w:pPrChange>
      </w:pPr>
      <w:r>
        <w:t>“Rev – Exp” is net operating income;</w:t>
      </w:r>
    </w:p>
    <w:p w14:paraId="74B889BD" w14:textId="41B88276" w:rsidR="00BE6B93" w:rsidRDefault="00BE6B93">
      <w:pPr>
        <w:pStyle w:val="ListParagraph"/>
        <w:numPr>
          <w:ilvl w:val="0"/>
          <w:numId w:val="5"/>
        </w:numPr>
        <w:pPrChange w:id="2" w:author="Schooley, Thomas (UTC)" w:date="2015-10-26T14:47:00Z">
          <w:pPr>
            <w:pStyle w:val="ListParagraph"/>
            <w:numPr>
              <w:numId w:val="5"/>
            </w:numPr>
            <w:ind w:left="1440" w:hanging="360"/>
          </w:pPr>
        </w:pPrChange>
      </w:pPr>
      <w:r>
        <w:t xml:space="preserve">“Rate Base impact” is </w:t>
      </w:r>
      <w:r w:rsidR="00C20D9E">
        <w:t>the change in r</w:t>
      </w:r>
      <w:r>
        <w:t>ate base; and</w:t>
      </w:r>
    </w:p>
    <w:p w14:paraId="34C706A3" w14:textId="5E71CCE5" w:rsidR="00BE6B93" w:rsidRDefault="00BE6B93">
      <w:pPr>
        <w:pStyle w:val="ListParagraph"/>
        <w:numPr>
          <w:ilvl w:val="0"/>
          <w:numId w:val="5"/>
        </w:numPr>
        <w:pPrChange w:id="3" w:author="Schooley, Thomas (UTC)" w:date="2015-10-26T14:47:00Z">
          <w:pPr>
            <w:pStyle w:val="ListParagraph"/>
            <w:numPr>
              <w:numId w:val="5"/>
            </w:numPr>
            <w:ind w:left="1440" w:hanging="360"/>
          </w:pPr>
        </w:pPrChange>
      </w:pPr>
      <w:r>
        <w:t>“NOI impact” is the sum of net operating income plus the return on the rate base</w:t>
      </w:r>
      <w:r w:rsidR="00477831">
        <w:t xml:space="preserve">. This </w:t>
      </w:r>
      <w:r w:rsidR="00E121DB">
        <w:t>sum</w:t>
      </w:r>
      <w:r w:rsidR="00477831">
        <w:t xml:space="preserve"> may be considered as the amount required to yield the authorized rate of return</w:t>
      </w:r>
      <w:r>
        <w:t>.</w:t>
      </w:r>
    </w:p>
    <w:p w14:paraId="0A4D8A15" w14:textId="2B14EDBC" w:rsidR="00BE6B93" w:rsidRDefault="00BE6B93">
      <w:pPr>
        <w:pStyle w:val="ListParagraph"/>
        <w:numPr>
          <w:ilvl w:val="0"/>
          <w:numId w:val="5"/>
        </w:numPr>
        <w:pPrChange w:id="4" w:author="Schooley, Thomas (UTC)" w:date="2015-10-26T14:47:00Z">
          <w:pPr>
            <w:pStyle w:val="ListParagraph"/>
            <w:numPr>
              <w:numId w:val="5"/>
            </w:numPr>
            <w:ind w:left="1440" w:hanging="360"/>
          </w:pPr>
        </w:pPrChange>
      </w:pPr>
      <w:r>
        <w:t xml:space="preserve">“Revenue requirement impact” is the </w:t>
      </w:r>
      <w:r w:rsidR="00477831">
        <w:t>revenue requirement</w:t>
      </w:r>
      <w:r w:rsidR="00FE423A">
        <w:t>.</w:t>
      </w:r>
    </w:p>
    <w:p w14:paraId="1E41320F" w14:textId="7A95E8EB" w:rsidR="00821255" w:rsidRDefault="00F42348" w:rsidP="00BE6B93">
      <w:r>
        <w:t>“Net Operating Income”, as used in CSH-2 and CSH-3, is revenue minus expenses, prior to accounting for the effects of rate base changes. “NOI impact”, as used in the response to Bench Request 8, does take into consideration the effects of rate base changes.</w:t>
      </w:r>
      <w:r w:rsidR="005A6619">
        <w:t xml:space="preserve"> This latter definition is useful because it produces the amount that is “grossed up” to determine the revenue requirement.</w:t>
      </w:r>
      <w:r>
        <w:t xml:space="preserve"> The Commission typically uses </w:t>
      </w:r>
      <w:r w:rsidR="005A6619">
        <w:t>the definition adopted</w:t>
      </w:r>
      <w:r>
        <w:t xml:space="preserve"> in CSH-2 and CSH-3.</w:t>
      </w:r>
    </w:p>
    <w:p w14:paraId="4F843FCA" w14:textId="23495506" w:rsidR="00B16059" w:rsidRDefault="00FE423A" w:rsidP="00B16059">
      <w:r>
        <w:t xml:space="preserve">Bench Request 8 only requested the impacts of Staff’s proposed 14 capital additions. </w:t>
      </w:r>
      <w:r w:rsidR="00B16059">
        <w:t xml:space="preserve">CSH-2 (Electric) Adjustment 4.01 consists of </w:t>
      </w:r>
      <w:r>
        <w:t xml:space="preserve">those </w:t>
      </w:r>
      <w:r w:rsidR="00B16059">
        <w:t>fourteen capital projects</w:t>
      </w:r>
      <w:r w:rsidR="002A4E43">
        <w:t xml:space="preserve"> </w:t>
      </w:r>
      <w:r>
        <w:t>plus</w:t>
      </w:r>
      <w:r w:rsidR="00B16059">
        <w:t xml:space="preserve"> two other items of relatively minor size: a reduction in rate base of $738</w:t>
      </w:r>
      <w:r w:rsidR="0078714A">
        <w:t>,000 related to CDA Legal Costs</w:t>
      </w:r>
      <w:r>
        <w:t>;</w:t>
      </w:r>
      <w:r w:rsidR="0078714A" w:rsidRPr="00C443B5">
        <w:rPr>
          <w:rStyle w:val="FootnoteReference"/>
        </w:rPr>
        <w:footnoteReference w:id="2"/>
      </w:r>
      <w:r w:rsidR="00D81317">
        <w:t xml:space="preserve"> and a</w:t>
      </w:r>
      <w:r w:rsidR="00B16059">
        <w:t xml:space="preserve"> </w:t>
      </w:r>
      <w:r w:rsidR="00D81317">
        <w:t>tax</w:t>
      </w:r>
      <w:r w:rsidR="00B16059">
        <w:t xml:space="preserve"> expense titled Amortization ITC</w:t>
      </w:r>
      <w:r w:rsidR="0078714A">
        <w:t xml:space="preserve"> – Noxon</w:t>
      </w:r>
      <w:r>
        <w:t>.</w:t>
      </w:r>
      <w:r w:rsidR="0078714A" w:rsidRPr="00C443B5">
        <w:rPr>
          <w:rStyle w:val="FootnoteReference"/>
        </w:rPr>
        <w:footnoteReference w:id="3"/>
      </w:r>
      <w:r w:rsidR="00B16059">
        <w:t xml:space="preserve"> Collectively, these amount to a $20,078 change in </w:t>
      </w:r>
      <w:r>
        <w:t>n</w:t>
      </w:r>
      <w:r w:rsidR="005454D5">
        <w:t xml:space="preserve">et </w:t>
      </w:r>
      <w:r>
        <w:t>o</w:t>
      </w:r>
      <w:r w:rsidR="005454D5">
        <w:t xml:space="preserve">perating </w:t>
      </w:r>
      <w:r>
        <w:t>i</w:t>
      </w:r>
      <w:r w:rsidR="005454D5">
        <w:t>ncome</w:t>
      </w:r>
      <w:r w:rsidR="002A4E43">
        <w:t>,</w:t>
      </w:r>
      <w:r w:rsidR="002A4E43" w:rsidRPr="002A4E43">
        <w:t xml:space="preserve"> </w:t>
      </w:r>
      <w:r w:rsidR="002A4E43">
        <w:t>CSH-2, page 10, line 30</w:t>
      </w:r>
      <w:r w:rsidR="005454D5">
        <w:t xml:space="preserve">. </w:t>
      </w:r>
      <w:r>
        <w:t xml:space="preserve">When combined with the </w:t>
      </w:r>
      <w:r w:rsidR="00E121DB">
        <w:t xml:space="preserve">return on the </w:t>
      </w:r>
      <w:r>
        <w:t>reduction in rate base</w:t>
      </w:r>
      <w:r w:rsidR="00477831">
        <w:t xml:space="preserve"> of $738,000,</w:t>
      </w:r>
      <w:r>
        <w:t xml:space="preserve"> the </w:t>
      </w:r>
      <w:r w:rsidR="00477831">
        <w:t xml:space="preserve">result is </w:t>
      </w:r>
      <w:r w:rsidR="0016124A">
        <w:t xml:space="preserve">an </w:t>
      </w:r>
      <w:r w:rsidR="00232F33">
        <w:t>“</w:t>
      </w:r>
      <w:r w:rsidR="002A4E43">
        <w:t>NOI impact</w:t>
      </w:r>
      <w:r w:rsidR="0016124A">
        <w:t>” of -$73,878.</w:t>
      </w:r>
    </w:p>
    <w:p w14:paraId="740B06DB" w14:textId="4F4F7F73" w:rsidR="00B16059" w:rsidRPr="00B16059" w:rsidRDefault="00B16059" w:rsidP="00B16059">
      <w:pPr>
        <w:jc w:val="center"/>
        <w:rPr>
          <w:i/>
        </w:rPr>
      </w:pPr>
      <w:r w:rsidRPr="00C443B5">
        <w:rPr>
          <w:noProof/>
        </w:rPr>
        <w:lastRenderedPageBreak/>
        <w:drawing>
          <wp:inline distT="0" distB="0" distL="0" distR="0" wp14:anchorId="112CE4D1" wp14:editId="0252EF82">
            <wp:extent cx="5058481" cy="99073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sc csh2 items.png"/>
                    <pic:cNvPicPr/>
                  </pic:nvPicPr>
                  <pic:blipFill>
                    <a:blip r:embed="rId11">
                      <a:extLst>
                        <a:ext uri="{28A0092B-C50C-407E-A947-70E740481C1C}">
                          <a14:useLocalDpi xmlns:a14="http://schemas.microsoft.com/office/drawing/2010/main" val="0"/>
                        </a:ext>
                      </a:extLst>
                    </a:blip>
                    <a:stretch>
                      <a:fillRect/>
                    </a:stretch>
                  </pic:blipFill>
                  <pic:spPr>
                    <a:xfrm>
                      <a:off x="0" y="0"/>
                      <a:ext cx="5058481" cy="990738"/>
                    </a:xfrm>
                    <a:prstGeom prst="rect">
                      <a:avLst/>
                    </a:prstGeom>
                  </pic:spPr>
                </pic:pic>
              </a:graphicData>
            </a:graphic>
          </wp:inline>
        </w:drawing>
      </w:r>
      <w:r>
        <w:br/>
      </w:r>
    </w:p>
    <w:p w14:paraId="66130381" w14:textId="6BC6E178" w:rsidR="00B16059" w:rsidRDefault="00B16059" w:rsidP="00B16059">
      <w:r>
        <w:t>Bench Request 8 only displayed the impacts of the 14 capital additions, and not these two relatively minor items</w:t>
      </w:r>
      <w:r w:rsidR="005A6619">
        <w:t xml:space="preserve"> present in electric Adjustment 4.01</w:t>
      </w:r>
      <w:r>
        <w:t>. This explains the difference between the NET OPERATING INCOME figure on CSH-2, page 10, line 30, and the “Rev – Exp” column in the response to the Bench Request</w:t>
      </w:r>
      <w:r w:rsidR="0016124A">
        <w:t>.</w:t>
      </w:r>
      <w:r>
        <w:t xml:space="preserve"> </w:t>
      </w:r>
      <w:r w:rsidR="0016124A">
        <w:t xml:space="preserve">This also explains </w:t>
      </w:r>
      <w:r>
        <w:t>the differen</w:t>
      </w:r>
      <w:r w:rsidR="0016124A">
        <w:t>ce between the total “Rate base impact” figure in the response to Bench Request 8 and the figure provided in CSH-2, page 10, line 48 (titled “Total Rate Base”)</w:t>
      </w:r>
      <w:r>
        <w:t xml:space="preserve">. Because the revenue requirement calculation is ultimately dependent on </w:t>
      </w:r>
      <w:r w:rsidR="0016124A">
        <w:t>net operating income and</w:t>
      </w:r>
      <w:r w:rsidR="00D65D15">
        <w:t xml:space="preserve"> </w:t>
      </w:r>
      <w:r w:rsidR="0016124A">
        <w:t>rate base</w:t>
      </w:r>
      <w:r>
        <w:t>, a different revenue requirement figure resulted</w:t>
      </w:r>
      <w:r w:rsidR="00E0280F">
        <w:t xml:space="preserve"> as well</w:t>
      </w:r>
      <w:r>
        <w:t>.</w:t>
      </w:r>
    </w:p>
    <w:p w14:paraId="027A6720" w14:textId="77777777" w:rsidR="00B16059" w:rsidRDefault="00B16059" w:rsidP="00B16059">
      <w:r>
        <w:t xml:space="preserve">To reiterate, CSH-2, Adjustment 4.01 includes the 14 capital additions as well as these two minor items. Bench Request 8 addressed </w:t>
      </w:r>
      <w:r w:rsidRPr="00562709">
        <w:rPr>
          <w:u w:val="single"/>
        </w:rPr>
        <w:t>only</w:t>
      </w:r>
      <w:r>
        <w:t xml:space="preserve"> the 14 capital additions.</w:t>
      </w:r>
    </w:p>
    <w:p w14:paraId="3143A671" w14:textId="070321F2" w:rsidR="00B16059" w:rsidRDefault="005A6619" w:rsidP="00B16059">
      <w:r>
        <w:t>T</w:t>
      </w:r>
      <w:r w:rsidR="00B16059">
        <w:t>he orange cells in the images below</w:t>
      </w:r>
      <w:r>
        <w:t xml:space="preserve"> show the reader the</w:t>
      </w:r>
      <w:r w:rsidR="00B16059">
        <w:t xml:space="preserve"> $20,000 difference in </w:t>
      </w:r>
      <w:r w:rsidR="000D4CFC">
        <w:t>“Rev – Exp” in the response to Bench Request 8, and CSH-2, page 10, line 30</w:t>
      </w:r>
      <w:r w:rsidR="00B16059">
        <w:t>:</w:t>
      </w:r>
    </w:p>
    <w:p w14:paraId="585C5185" w14:textId="0E463997" w:rsidR="00B16059" w:rsidRPr="00B16059" w:rsidRDefault="00B16059" w:rsidP="00B16059">
      <w:pPr>
        <w:jc w:val="center"/>
        <w:rPr>
          <w:i/>
        </w:rPr>
      </w:pPr>
      <w:r w:rsidRPr="00C443B5">
        <w:rPr>
          <w:noProof/>
        </w:rPr>
        <w:drawing>
          <wp:inline distT="0" distB="0" distL="0" distR="0" wp14:anchorId="23816E32" wp14:editId="376D3CEC">
            <wp:extent cx="4763165" cy="401058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I CSH-2.png"/>
                    <pic:cNvPicPr/>
                  </pic:nvPicPr>
                  <pic:blipFill>
                    <a:blip r:embed="rId12">
                      <a:extLst>
                        <a:ext uri="{28A0092B-C50C-407E-A947-70E740481C1C}">
                          <a14:useLocalDpi xmlns:a14="http://schemas.microsoft.com/office/drawing/2010/main" val="0"/>
                        </a:ext>
                      </a:extLst>
                    </a:blip>
                    <a:stretch>
                      <a:fillRect/>
                    </a:stretch>
                  </pic:blipFill>
                  <pic:spPr>
                    <a:xfrm>
                      <a:off x="0" y="0"/>
                      <a:ext cx="4763165" cy="4010585"/>
                    </a:xfrm>
                    <a:prstGeom prst="rect">
                      <a:avLst/>
                    </a:prstGeom>
                  </pic:spPr>
                </pic:pic>
              </a:graphicData>
            </a:graphic>
          </wp:inline>
        </w:drawing>
      </w:r>
      <w:r>
        <w:br/>
      </w:r>
      <w:r w:rsidRPr="00B16059">
        <w:rPr>
          <w:i/>
        </w:rPr>
        <w:t>From CSH-2, page 10</w:t>
      </w:r>
    </w:p>
    <w:p w14:paraId="68B03959" w14:textId="77777777" w:rsidR="00B16059" w:rsidRDefault="00B16059" w:rsidP="00B16059">
      <w:r>
        <w:t xml:space="preserve"> </w:t>
      </w:r>
    </w:p>
    <w:p w14:paraId="4B9509F6" w14:textId="6F318A7D" w:rsidR="00B16059" w:rsidRPr="00B16059" w:rsidRDefault="00B16059" w:rsidP="00B16059">
      <w:pPr>
        <w:jc w:val="center"/>
        <w:rPr>
          <w:i/>
        </w:rPr>
      </w:pPr>
      <w:r w:rsidRPr="00C443B5">
        <w:rPr>
          <w:noProof/>
        </w:rPr>
        <w:drawing>
          <wp:inline distT="0" distB="0" distL="0" distR="0" wp14:anchorId="569C440E" wp14:editId="7587A63A">
            <wp:extent cx="5943600" cy="23183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exp_br8.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2318385"/>
                    </a:xfrm>
                    <a:prstGeom prst="rect">
                      <a:avLst/>
                    </a:prstGeom>
                  </pic:spPr>
                </pic:pic>
              </a:graphicData>
            </a:graphic>
          </wp:inline>
        </w:drawing>
      </w:r>
      <w:r w:rsidRPr="00B16059">
        <w:rPr>
          <w:i/>
        </w:rPr>
        <w:t>From Bench Request 8 response</w:t>
      </w:r>
    </w:p>
    <w:p w14:paraId="34268AF2" w14:textId="77777777" w:rsidR="00B16059" w:rsidRDefault="000D4CFC" w:rsidP="00B16059">
      <w:r>
        <w:t>The image below reconciles the response to Bench Request 8 and CSH-2, page 10:</w:t>
      </w:r>
    </w:p>
    <w:p w14:paraId="68A19813" w14:textId="5E055260" w:rsidR="0078714A" w:rsidRDefault="00E32F4F">
      <w:pPr>
        <w:jc w:val="center"/>
        <w:rPr>
          <w:b/>
          <w:caps/>
        </w:rPr>
        <w:pPrChange w:id="5" w:author="Hancock, Christopher (UTC)" w:date="2015-10-26T14:47:00Z">
          <w:pPr>
            <w:jc w:val="center"/>
          </w:pPr>
        </w:pPrChange>
      </w:pPr>
      <w:r w:rsidRPr="00C443B5">
        <w:rPr>
          <w:noProof/>
        </w:rPr>
        <w:drawing>
          <wp:inline distT="0" distB="0" distL="0" distR="0" wp14:anchorId="4A6FDDFA" wp14:editId="0706DCFE">
            <wp:extent cx="5943600" cy="38976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897630"/>
                    </a:xfrm>
                    <a:prstGeom prst="rect">
                      <a:avLst/>
                    </a:prstGeom>
                    <a:noFill/>
                    <a:ln>
                      <a:noFill/>
                    </a:ln>
                  </pic:spPr>
                </pic:pic>
              </a:graphicData>
            </a:graphic>
          </wp:inline>
        </w:drawing>
      </w:r>
    </w:p>
    <w:p w14:paraId="60BE5468" w14:textId="77777777" w:rsidR="00B050B3" w:rsidRDefault="00B050B3">
      <w:pPr>
        <w:jc w:val="center"/>
        <w:rPr>
          <w:b/>
          <w:caps/>
        </w:rPr>
        <w:pPrChange w:id="6" w:author="Hancock, Christopher (UTC)" w:date="2015-10-26T14:47:00Z">
          <w:pPr>
            <w:jc w:val="center"/>
          </w:pPr>
        </w:pPrChange>
      </w:pPr>
    </w:p>
    <w:p w14:paraId="0375C664" w14:textId="21565053" w:rsidR="00B16059" w:rsidRDefault="000D4CFC" w:rsidP="00B16059">
      <w:r>
        <w:t>The image below reconciles the response to Bench Request 8 and CSH-3, page 9:</w:t>
      </w:r>
      <w:r w:rsidRPr="00E32F4F" w:rsidDel="000D4CFC">
        <w:rPr>
          <w:b/>
          <w:caps/>
        </w:rPr>
        <w:t xml:space="preserve"> </w:t>
      </w:r>
    </w:p>
    <w:p w14:paraId="729053E3" w14:textId="0754362E" w:rsidR="00B16059" w:rsidRPr="00E32F4F" w:rsidRDefault="00E32F4F" w:rsidP="00E32F4F">
      <w:pPr>
        <w:jc w:val="center"/>
        <w:rPr>
          <w:i/>
        </w:rPr>
      </w:pPr>
      <w:r w:rsidRPr="00C443B5">
        <w:rPr>
          <w:noProof/>
        </w:rPr>
        <w:drawing>
          <wp:inline distT="0" distB="0" distL="0" distR="0" wp14:anchorId="68467275" wp14:editId="34766B59">
            <wp:extent cx="5943600" cy="36442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644265"/>
                    </a:xfrm>
                    <a:prstGeom prst="rect">
                      <a:avLst/>
                    </a:prstGeom>
                    <a:noFill/>
                    <a:ln>
                      <a:noFill/>
                    </a:ln>
                  </pic:spPr>
                </pic:pic>
              </a:graphicData>
            </a:graphic>
          </wp:inline>
        </w:drawing>
      </w:r>
    </w:p>
    <w:p w14:paraId="25EF27EC" w14:textId="77777777" w:rsidR="00B16059" w:rsidRDefault="00B16059" w:rsidP="00B16059"/>
    <w:p w14:paraId="62DB5755" w14:textId="77777777" w:rsidR="00B16059" w:rsidRPr="00E32F4F" w:rsidRDefault="00B16059" w:rsidP="00B16059">
      <w:pPr>
        <w:rPr>
          <w:b/>
          <w:caps/>
        </w:rPr>
      </w:pPr>
      <w:r w:rsidRPr="00E32F4F">
        <w:rPr>
          <w:b/>
          <w:caps/>
        </w:rPr>
        <w:t>Summary</w:t>
      </w:r>
    </w:p>
    <w:p w14:paraId="13B2467A" w14:textId="77777777" w:rsidR="00B16059" w:rsidRDefault="00B16059" w:rsidP="00B16059">
      <w:r>
        <w:t>To summarize, the differences in the figures in the response to Bench Request 8 and those figures in exhibits CSH-2 and CSH-3 are due to the following:</w:t>
      </w:r>
    </w:p>
    <w:p w14:paraId="39466DB1" w14:textId="49030DE2" w:rsidR="00B16059" w:rsidRDefault="00B16059" w:rsidP="00E32F4F">
      <w:pPr>
        <w:pStyle w:val="ListParagraph"/>
        <w:numPr>
          <w:ilvl w:val="0"/>
          <w:numId w:val="4"/>
        </w:numPr>
      </w:pPr>
      <w:r>
        <w:t xml:space="preserve">Bench Request 8 only addressed the 14 capital additions endorsed by Staff, whereas </w:t>
      </w:r>
      <w:r w:rsidR="00013FA1">
        <w:t xml:space="preserve">electric </w:t>
      </w:r>
      <w:r>
        <w:t>Adjustment 4.01 includes those 14 projects and two minor items;</w:t>
      </w:r>
    </w:p>
    <w:p w14:paraId="42CCA8B5" w14:textId="44AF34C3" w:rsidR="00E0560D" w:rsidRDefault="00B16059" w:rsidP="00E32F4F">
      <w:pPr>
        <w:pStyle w:val="ListParagraph"/>
        <w:numPr>
          <w:ilvl w:val="0"/>
          <w:numId w:val="4"/>
        </w:numPr>
      </w:pPr>
      <w:r>
        <w:t>Two different formulations of the term net operating income were used, one of which include</w:t>
      </w:r>
      <w:r w:rsidR="00D708E2">
        <w:t>d</w:t>
      </w:r>
      <w:r>
        <w:t xml:space="preserve"> </w:t>
      </w:r>
      <w:r w:rsidR="00D708E2">
        <w:t xml:space="preserve">return on </w:t>
      </w:r>
      <w:r>
        <w:t>rate base effects.</w:t>
      </w:r>
    </w:p>
    <w:sectPr w:rsidR="00E0560D">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71701" w14:textId="77777777" w:rsidR="00215E63" w:rsidRDefault="00215E63" w:rsidP="00527D74">
      <w:pPr>
        <w:spacing w:after="0" w:line="240" w:lineRule="auto"/>
      </w:pPr>
      <w:r>
        <w:separator/>
      </w:r>
    </w:p>
  </w:endnote>
  <w:endnote w:type="continuationSeparator" w:id="0">
    <w:p w14:paraId="13B20ADD" w14:textId="77777777" w:rsidR="00215E63" w:rsidRDefault="00215E63" w:rsidP="00527D74">
      <w:pPr>
        <w:spacing w:after="0" w:line="240" w:lineRule="auto"/>
      </w:pPr>
      <w:r>
        <w:continuationSeparator/>
      </w:r>
    </w:p>
  </w:endnote>
  <w:endnote w:type="continuationNotice" w:id="1">
    <w:p w14:paraId="25E9D28C" w14:textId="77777777" w:rsidR="00215E63" w:rsidRDefault="00215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BFD6D" w14:textId="77777777" w:rsidR="00215E63" w:rsidRDefault="00215E63" w:rsidP="00527D74">
      <w:pPr>
        <w:spacing w:after="0" w:line="240" w:lineRule="auto"/>
      </w:pPr>
      <w:r>
        <w:separator/>
      </w:r>
    </w:p>
  </w:footnote>
  <w:footnote w:type="continuationSeparator" w:id="0">
    <w:p w14:paraId="38E12DED" w14:textId="77777777" w:rsidR="00215E63" w:rsidRDefault="00215E63" w:rsidP="00527D74">
      <w:pPr>
        <w:spacing w:after="0" w:line="240" w:lineRule="auto"/>
      </w:pPr>
      <w:r>
        <w:continuationSeparator/>
      </w:r>
    </w:p>
  </w:footnote>
  <w:footnote w:type="continuationNotice" w:id="1">
    <w:p w14:paraId="1FCEA26B" w14:textId="77777777" w:rsidR="00215E63" w:rsidRDefault="00215E63">
      <w:pPr>
        <w:spacing w:after="0" w:line="240" w:lineRule="auto"/>
      </w:pPr>
    </w:p>
  </w:footnote>
  <w:footnote w:id="2">
    <w:p w14:paraId="6149EA9E" w14:textId="77777777" w:rsidR="00215E63" w:rsidRDefault="00215E63" w:rsidP="0078714A">
      <w:pPr>
        <w:pStyle w:val="FootnoteText"/>
      </w:pPr>
      <w:r>
        <w:rPr>
          <w:rStyle w:val="FootnoteReference"/>
        </w:rPr>
        <w:footnoteRef/>
      </w:r>
      <w:r>
        <w:t xml:space="preserve"> See Bench Request 9 response, filename </w:t>
      </w:r>
      <w:r w:rsidRPr="008B4E06">
        <w:t xml:space="preserve">BR 9 WP - 1) CAP SUMMARY-WA </w:t>
      </w:r>
      <w:r>
        <w:t>–</w:t>
      </w:r>
      <w:r w:rsidRPr="008B4E06">
        <w:t xml:space="preserve"> CSH</w:t>
      </w:r>
      <w:r>
        <w:t>.xlsx, worksheet E-CAP SUMMARY, cell W26.</w:t>
      </w:r>
    </w:p>
  </w:footnote>
  <w:footnote w:id="3">
    <w:p w14:paraId="26F7A406" w14:textId="77777777" w:rsidR="00215E63" w:rsidRDefault="00215E63" w:rsidP="0078714A">
      <w:pPr>
        <w:pStyle w:val="FootnoteText"/>
      </w:pPr>
      <w:r>
        <w:rPr>
          <w:rStyle w:val="FootnoteReference"/>
        </w:rPr>
        <w:footnoteRef/>
      </w:r>
      <w:r>
        <w:t xml:space="preserve"> See CSH-2, page 10, line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DD1A8" w14:textId="77777777" w:rsidR="00215E63" w:rsidRDefault="00215E63" w:rsidP="001C0B34">
    <w:pPr>
      <w:tabs>
        <w:tab w:val="center" w:pos="4680"/>
      </w:tabs>
      <w:spacing w:after="0"/>
      <w:jc w:val="center"/>
    </w:pPr>
    <w:r>
      <w:t>WASHINGTON UTILITIES AND TRANSPORTATION COMMISSION STAFF</w:t>
    </w:r>
  </w:p>
  <w:p w14:paraId="3A30FCF0" w14:textId="77777777" w:rsidR="00215E63" w:rsidRDefault="00215E63" w:rsidP="001C0B34">
    <w:pPr>
      <w:tabs>
        <w:tab w:val="center" w:pos="4680"/>
      </w:tabs>
      <w:spacing w:after="0"/>
      <w:jc w:val="center"/>
    </w:pPr>
    <w:r>
      <w:t>RESPONSE TO DATA REQUEST</w:t>
    </w:r>
  </w:p>
  <w:p w14:paraId="0464540A" w14:textId="77777777" w:rsidR="00215E63" w:rsidRDefault="00215E63" w:rsidP="001C0B34">
    <w:pPr>
      <w:spacing w:after="0"/>
    </w:pPr>
  </w:p>
  <w:tbl>
    <w:tblPr>
      <w:tblW w:w="9720" w:type="dxa"/>
      <w:tblLayout w:type="fixed"/>
      <w:tblCellMar>
        <w:left w:w="0" w:type="dxa"/>
        <w:right w:w="0" w:type="dxa"/>
      </w:tblCellMar>
      <w:tblLook w:val="04A0" w:firstRow="1" w:lastRow="0" w:firstColumn="1" w:lastColumn="0" w:noHBand="0" w:noVBand="1"/>
    </w:tblPr>
    <w:tblGrid>
      <w:gridCol w:w="4680"/>
      <w:gridCol w:w="720"/>
      <w:gridCol w:w="4320"/>
    </w:tblGrid>
    <w:tr w:rsidR="00215E63" w14:paraId="4B315EF8" w14:textId="77777777" w:rsidTr="008811A0">
      <w:tc>
        <w:tcPr>
          <w:tcW w:w="4680" w:type="dxa"/>
        </w:tcPr>
        <w:p w14:paraId="17F8B6BD" w14:textId="10880392" w:rsidR="00215E63" w:rsidRDefault="00215E63" w:rsidP="001C0B34">
          <w:pPr>
            <w:tabs>
              <w:tab w:val="left" w:pos="-1440"/>
            </w:tabs>
            <w:spacing w:after="0"/>
            <w:ind w:left="2160" w:hanging="2160"/>
          </w:pPr>
          <w:r>
            <w:t>DATE PREPARED:</w:t>
          </w:r>
          <w:r>
            <w:tab/>
            <w:t>October 26, 2015</w:t>
          </w:r>
        </w:p>
        <w:p w14:paraId="3B871F7E" w14:textId="77777777" w:rsidR="00215E63" w:rsidRDefault="00215E63" w:rsidP="008811A0">
          <w:pPr>
            <w:tabs>
              <w:tab w:val="left" w:pos="-1440"/>
            </w:tabs>
            <w:spacing w:after="0"/>
            <w:ind w:left="2160" w:hanging="2160"/>
          </w:pPr>
          <w:r>
            <w:t>DOCKET:</w:t>
          </w:r>
          <w:r>
            <w:tab/>
            <w:t>UE-150204/UG-150205</w:t>
          </w:r>
        </w:p>
        <w:p w14:paraId="49CFEC68" w14:textId="412BA289" w:rsidR="00215E63" w:rsidRDefault="00215E63" w:rsidP="008811A0">
          <w:pPr>
            <w:spacing w:after="0"/>
            <w:ind w:left="2160" w:hanging="2160"/>
          </w:pPr>
          <w:r>
            <w:t>REQUESTER:</w:t>
          </w:r>
          <w:r>
            <w:tab/>
            <w:t>Bench</w:t>
          </w:r>
        </w:p>
        <w:p w14:paraId="48AD1E22" w14:textId="77777777" w:rsidR="00215E63" w:rsidRDefault="00215E63" w:rsidP="001C0B34">
          <w:pPr>
            <w:spacing w:after="0"/>
          </w:pPr>
        </w:p>
      </w:tc>
      <w:tc>
        <w:tcPr>
          <w:tcW w:w="720" w:type="dxa"/>
        </w:tcPr>
        <w:p w14:paraId="3469DBB7" w14:textId="77777777" w:rsidR="00215E63" w:rsidRDefault="00215E63" w:rsidP="001C0B34">
          <w:pPr>
            <w:spacing w:after="0"/>
          </w:pPr>
        </w:p>
      </w:tc>
      <w:tc>
        <w:tcPr>
          <w:tcW w:w="4320" w:type="dxa"/>
        </w:tcPr>
        <w:p w14:paraId="5C1EBB65" w14:textId="77777777" w:rsidR="00215E63" w:rsidRDefault="00215E63" w:rsidP="00744085">
          <w:pPr>
            <w:tabs>
              <w:tab w:val="left" w:pos="-1440"/>
            </w:tabs>
            <w:spacing w:after="0"/>
            <w:ind w:left="1710" w:hanging="1710"/>
          </w:pPr>
          <w:r>
            <w:t>WITNESS:</w:t>
          </w:r>
          <w:r>
            <w:tab/>
            <w:t>Christopher Hancock</w:t>
          </w:r>
        </w:p>
        <w:p w14:paraId="2207E936" w14:textId="77777777" w:rsidR="00215E63" w:rsidRDefault="00215E63" w:rsidP="00744085">
          <w:pPr>
            <w:spacing w:after="0"/>
            <w:ind w:left="1710" w:hanging="1710"/>
          </w:pPr>
          <w:r>
            <w:t xml:space="preserve">RESPONDER:  </w:t>
          </w:r>
          <w:r>
            <w:tab/>
            <w:t>Christopher Hancock</w:t>
          </w:r>
        </w:p>
        <w:p w14:paraId="248A7617" w14:textId="77777777" w:rsidR="00215E63" w:rsidRDefault="00215E63" w:rsidP="00744085">
          <w:pPr>
            <w:spacing w:after="0"/>
            <w:ind w:left="1710" w:hanging="1710"/>
          </w:pPr>
          <w:r>
            <w:t xml:space="preserve">TELEPHONE:  </w:t>
          </w:r>
          <w:r>
            <w:tab/>
            <w:t>(360) 664-1312</w:t>
          </w:r>
        </w:p>
        <w:p w14:paraId="6EE1100B" w14:textId="77777777" w:rsidR="00215E63" w:rsidRDefault="00215E63" w:rsidP="001C0B34">
          <w:pPr>
            <w:spacing w:after="0"/>
          </w:pPr>
        </w:p>
      </w:tc>
    </w:tr>
  </w:tbl>
  <w:p w14:paraId="40153C5E" w14:textId="77777777" w:rsidR="00215E63" w:rsidRDefault="00215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A572B"/>
    <w:multiLevelType w:val="hybridMultilevel"/>
    <w:tmpl w:val="C79E9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350FE"/>
    <w:multiLevelType w:val="hybridMultilevel"/>
    <w:tmpl w:val="6BB45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E7B35"/>
    <w:multiLevelType w:val="hybridMultilevel"/>
    <w:tmpl w:val="F572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1289B"/>
    <w:multiLevelType w:val="hybridMultilevel"/>
    <w:tmpl w:val="D8387D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AA13997"/>
    <w:multiLevelType w:val="hybridMultilevel"/>
    <w:tmpl w:val="A8DA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ooley, Thomas (UTC)">
    <w15:presenceInfo w15:providerId="AD" w15:userId="S-1-5-21-1844237615-1844823847-839522115-12045"/>
  </w15:person>
  <w15:person w15:author="Hancock, Christopher (UTC)">
    <w15:presenceInfo w15:providerId="AD" w15:userId="S-1-5-21-1844237615-1844823847-839522115-46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5"/>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F1"/>
    <w:rsid w:val="00013FA1"/>
    <w:rsid w:val="0004218E"/>
    <w:rsid w:val="000A642F"/>
    <w:rsid w:val="000C5217"/>
    <w:rsid w:val="000D4CFC"/>
    <w:rsid w:val="00102FDB"/>
    <w:rsid w:val="00120367"/>
    <w:rsid w:val="0013288D"/>
    <w:rsid w:val="00142DC3"/>
    <w:rsid w:val="00152EBD"/>
    <w:rsid w:val="0016124A"/>
    <w:rsid w:val="001B1D9F"/>
    <w:rsid w:val="001C03A0"/>
    <w:rsid w:val="001C0B34"/>
    <w:rsid w:val="001C15A7"/>
    <w:rsid w:val="001D28B7"/>
    <w:rsid w:val="001D54F1"/>
    <w:rsid w:val="00215E63"/>
    <w:rsid w:val="00232F33"/>
    <w:rsid w:val="00244EB1"/>
    <w:rsid w:val="002A4E43"/>
    <w:rsid w:val="002B32C9"/>
    <w:rsid w:val="002C4AF7"/>
    <w:rsid w:val="00340BF4"/>
    <w:rsid w:val="00391555"/>
    <w:rsid w:val="00392B76"/>
    <w:rsid w:val="003E48C5"/>
    <w:rsid w:val="003F400B"/>
    <w:rsid w:val="00430A79"/>
    <w:rsid w:val="0043166B"/>
    <w:rsid w:val="00444A76"/>
    <w:rsid w:val="00447D61"/>
    <w:rsid w:val="004516A2"/>
    <w:rsid w:val="00453EDC"/>
    <w:rsid w:val="00466D8C"/>
    <w:rsid w:val="00477831"/>
    <w:rsid w:val="004A1A6B"/>
    <w:rsid w:val="004A267F"/>
    <w:rsid w:val="00507163"/>
    <w:rsid w:val="00522A04"/>
    <w:rsid w:val="00527D74"/>
    <w:rsid w:val="00532809"/>
    <w:rsid w:val="005454D5"/>
    <w:rsid w:val="005513CE"/>
    <w:rsid w:val="005615C6"/>
    <w:rsid w:val="00562709"/>
    <w:rsid w:val="0058248F"/>
    <w:rsid w:val="005A6619"/>
    <w:rsid w:val="005B4B6A"/>
    <w:rsid w:val="005B5ACC"/>
    <w:rsid w:val="005C5E2E"/>
    <w:rsid w:val="00611DF0"/>
    <w:rsid w:val="00662975"/>
    <w:rsid w:val="00690D99"/>
    <w:rsid w:val="006A72C7"/>
    <w:rsid w:val="006B6AAB"/>
    <w:rsid w:val="006C76CF"/>
    <w:rsid w:val="006D41E1"/>
    <w:rsid w:val="006D600B"/>
    <w:rsid w:val="007138E3"/>
    <w:rsid w:val="00744085"/>
    <w:rsid w:val="00750F17"/>
    <w:rsid w:val="00771EA6"/>
    <w:rsid w:val="0077338D"/>
    <w:rsid w:val="0078714A"/>
    <w:rsid w:val="007927B1"/>
    <w:rsid w:val="007C73A2"/>
    <w:rsid w:val="00821255"/>
    <w:rsid w:val="0084619A"/>
    <w:rsid w:val="008730E2"/>
    <w:rsid w:val="00876C51"/>
    <w:rsid w:val="008811A0"/>
    <w:rsid w:val="008C27C1"/>
    <w:rsid w:val="008C701E"/>
    <w:rsid w:val="0091115D"/>
    <w:rsid w:val="009122D4"/>
    <w:rsid w:val="00933764"/>
    <w:rsid w:val="009714E7"/>
    <w:rsid w:val="00976FCA"/>
    <w:rsid w:val="00986F49"/>
    <w:rsid w:val="009B1B74"/>
    <w:rsid w:val="009B6BDA"/>
    <w:rsid w:val="009D01AE"/>
    <w:rsid w:val="009E07CA"/>
    <w:rsid w:val="00A03194"/>
    <w:rsid w:val="00A118FC"/>
    <w:rsid w:val="00A1197F"/>
    <w:rsid w:val="00A44BF7"/>
    <w:rsid w:val="00A50B8B"/>
    <w:rsid w:val="00A75F82"/>
    <w:rsid w:val="00A800D8"/>
    <w:rsid w:val="00AA6D7B"/>
    <w:rsid w:val="00AE1528"/>
    <w:rsid w:val="00AE2C9F"/>
    <w:rsid w:val="00B050B3"/>
    <w:rsid w:val="00B0631E"/>
    <w:rsid w:val="00B07BEC"/>
    <w:rsid w:val="00B14257"/>
    <w:rsid w:val="00B16059"/>
    <w:rsid w:val="00B4345C"/>
    <w:rsid w:val="00B57420"/>
    <w:rsid w:val="00B727D5"/>
    <w:rsid w:val="00B90609"/>
    <w:rsid w:val="00BB497F"/>
    <w:rsid w:val="00BE6B93"/>
    <w:rsid w:val="00BF6924"/>
    <w:rsid w:val="00C00E3A"/>
    <w:rsid w:val="00C20D9E"/>
    <w:rsid w:val="00C5516E"/>
    <w:rsid w:val="00C604EC"/>
    <w:rsid w:val="00C7789D"/>
    <w:rsid w:val="00CB5F91"/>
    <w:rsid w:val="00D2198C"/>
    <w:rsid w:val="00D248F0"/>
    <w:rsid w:val="00D644C4"/>
    <w:rsid w:val="00D65D15"/>
    <w:rsid w:val="00D708E2"/>
    <w:rsid w:val="00D81317"/>
    <w:rsid w:val="00D92F6C"/>
    <w:rsid w:val="00DC73D2"/>
    <w:rsid w:val="00DE01EF"/>
    <w:rsid w:val="00DE73E1"/>
    <w:rsid w:val="00E0280F"/>
    <w:rsid w:val="00E0560D"/>
    <w:rsid w:val="00E121DB"/>
    <w:rsid w:val="00E139B0"/>
    <w:rsid w:val="00E16625"/>
    <w:rsid w:val="00E25083"/>
    <w:rsid w:val="00E32F4F"/>
    <w:rsid w:val="00E435FE"/>
    <w:rsid w:val="00E60400"/>
    <w:rsid w:val="00E866CC"/>
    <w:rsid w:val="00EA7460"/>
    <w:rsid w:val="00EC15E1"/>
    <w:rsid w:val="00ED0A99"/>
    <w:rsid w:val="00F00A2E"/>
    <w:rsid w:val="00F41430"/>
    <w:rsid w:val="00F42348"/>
    <w:rsid w:val="00F928F9"/>
    <w:rsid w:val="00FA28FA"/>
    <w:rsid w:val="00FE423A"/>
    <w:rsid w:val="00FF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4A6FA79"/>
  <w15:chartTrackingRefBased/>
  <w15:docId w15:val="{6098C9C6-EE58-4953-8DDF-C102EDDD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8F0"/>
    <w:pPr>
      <w:ind w:left="720"/>
      <w:contextualSpacing/>
    </w:pPr>
  </w:style>
  <w:style w:type="paragraph" w:styleId="FootnoteText">
    <w:name w:val="footnote text"/>
    <w:basedOn w:val="Normal"/>
    <w:link w:val="FootnoteTextChar"/>
    <w:uiPriority w:val="99"/>
    <w:semiHidden/>
    <w:unhideWhenUsed/>
    <w:rsid w:val="00527D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D74"/>
    <w:rPr>
      <w:sz w:val="20"/>
      <w:szCs w:val="20"/>
    </w:rPr>
  </w:style>
  <w:style w:type="character" w:styleId="FootnoteReference">
    <w:name w:val="footnote reference"/>
    <w:basedOn w:val="DefaultParagraphFont"/>
    <w:uiPriority w:val="99"/>
    <w:semiHidden/>
    <w:unhideWhenUsed/>
    <w:rsid w:val="00527D74"/>
    <w:rPr>
      <w:vertAlign w:val="superscript"/>
    </w:rPr>
  </w:style>
  <w:style w:type="paragraph" w:styleId="Header">
    <w:name w:val="header"/>
    <w:basedOn w:val="Normal"/>
    <w:link w:val="HeaderChar"/>
    <w:uiPriority w:val="99"/>
    <w:unhideWhenUsed/>
    <w:rsid w:val="001C0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B34"/>
  </w:style>
  <w:style w:type="paragraph" w:styleId="Footer">
    <w:name w:val="footer"/>
    <w:basedOn w:val="Normal"/>
    <w:link w:val="FooterChar"/>
    <w:uiPriority w:val="99"/>
    <w:unhideWhenUsed/>
    <w:rsid w:val="001C0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B34"/>
  </w:style>
  <w:style w:type="character" w:styleId="CommentReference">
    <w:name w:val="annotation reference"/>
    <w:basedOn w:val="DefaultParagraphFont"/>
    <w:uiPriority w:val="99"/>
    <w:semiHidden/>
    <w:unhideWhenUsed/>
    <w:rsid w:val="00507163"/>
    <w:rPr>
      <w:sz w:val="16"/>
      <w:szCs w:val="16"/>
    </w:rPr>
  </w:style>
  <w:style w:type="paragraph" w:styleId="CommentText">
    <w:name w:val="annotation text"/>
    <w:basedOn w:val="Normal"/>
    <w:link w:val="CommentTextChar"/>
    <w:uiPriority w:val="99"/>
    <w:semiHidden/>
    <w:unhideWhenUsed/>
    <w:rsid w:val="00507163"/>
    <w:pPr>
      <w:spacing w:line="240" w:lineRule="auto"/>
    </w:pPr>
    <w:rPr>
      <w:sz w:val="20"/>
      <w:szCs w:val="20"/>
    </w:rPr>
  </w:style>
  <w:style w:type="character" w:customStyle="1" w:styleId="CommentTextChar">
    <w:name w:val="Comment Text Char"/>
    <w:basedOn w:val="DefaultParagraphFont"/>
    <w:link w:val="CommentText"/>
    <w:uiPriority w:val="99"/>
    <w:semiHidden/>
    <w:rsid w:val="00507163"/>
    <w:rPr>
      <w:sz w:val="20"/>
      <w:szCs w:val="20"/>
    </w:rPr>
  </w:style>
  <w:style w:type="paragraph" w:styleId="CommentSubject">
    <w:name w:val="annotation subject"/>
    <w:basedOn w:val="CommentText"/>
    <w:next w:val="CommentText"/>
    <w:link w:val="CommentSubjectChar"/>
    <w:uiPriority w:val="99"/>
    <w:semiHidden/>
    <w:unhideWhenUsed/>
    <w:rsid w:val="00507163"/>
    <w:rPr>
      <w:b/>
      <w:bCs/>
    </w:rPr>
  </w:style>
  <w:style w:type="character" w:customStyle="1" w:styleId="CommentSubjectChar">
    <w:name w:val="Comment Subject Char"/>
    <w:basedOn w:val="CommentTextChar"/>
    <w:link w:val="CommentSubject"/>
    <w:uiPriority w:val="99"/>
    <w:semiHidden/>
    <w:rsid w:val="00507163"/>
    <w:rPr>
      <w:b/>
      <w:bCs/>
      <w:sz w:val="20"/>
      <w:szCs w:val="20"/>
    </w:rPr>
  </w:style>
  <w:style w:type="paragraph" w:styleId="BalloonText">
    <w:name w:val="Balloon Text"/>
    <w:basedOn w:val="Normal"/>
    <w:link w:val="BalloonTextChar"/>
    <w:uiPriority w:val="99"/>
    <w:semiHidden/>
    <w:unhideWhenUsed/>
    <w:rsid w:val="00507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163"/>
    <w:rPr>
      <w:rFonts w:ascii="Segoe UI" w:hAnsi="Segoe UI" w:cs="Segoe UI"/>
      <w:sz w:val="18"/>
      <w:szCs w:val="18"/>
    </w:rPr>
  </w:style>
  <w:style w:type="paragraph" w:customStyle="1" w:styleId="Default">
    <w:name w:val="Default"/>
    <w:rsid w:val="00F41430"/>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4017">
      <w:bodyDiv w:val="1"/>
      <w:marLeft w:val="0"/>
      <w:marRight w:val="0"/>
      <w:marTop w:val="0"/>
      <w:marBottom w:val="0"/>
      <w:divBdr>
        <w:top w:val="none" w:sz="0" w:space="0" w:color="auto"/>
        <w:left w:val="none" w:sz="0" w:space="0" w:color="auto"/>
        <w:bottom w:val="none" w:sz="0" w:space="0" w:color="auto"/>
        <w:right w:val="none" w:sz="0" w:space="0" w:color="auto"/>
      </w:divBdr>
    </w:div>
    <w:div w:id="469593827">
      <w:bodyDiv w:val="1"/>
      <w:marLeft w:val="0"/>
      <w:marRight w:val="0"/>
      <w:marTop w:val="0"/>
      <w:marBottom w:val="0"/>
      <w:divBdr>
        <w:top w:val="none" w:sz="0" w:space="0" w:color="auto"/>
        <w:left w:val="none" w:sz="0" w:space="0" w:color="auto"/>
        <w:bottom w:val="none" w:sz="0" w:space="0" w:color="auto"/>
        <w:right w:val="none" w:sz="0" w:space="0" w:color="auto"/>
      </w:divBdr>
    </w:div>
    <w:div w:id="475269881">
      <w:bodyDiv w:val="1"/>
      <w:marLeft w:val="0"/>
      <w:marRight w:val="0"/>
      <w:marTop w:val="0"/>
      <w:marBottom w:val="0"/>
      <w:divBdr>
        <w:top w:val="none" w:sz="0" w:space="0" w:color="auto"/>
        <w:left w:val="none" w:sz="0" w:space="0" w:color="auto"/>
        <w:bottom w:val="none" w:sz="0" w:space="0" w:color="auto"/>
        <w:right w:val="none" w:sz="0" w:space="0" w:color="auto"/>
      </w:divBdr>
    </w:div>
    <w:div w:id="18200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2015-10-26T23:35:00+00:00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38092-0D5C-4D30-AEB1-DE47E6D92308}"/>
</file>

<file path=customXml/itemProps2.xml><?xml version="1.0" encoding="utf-8"?>
<ds:datastoreItem xmlns:ds="http://schemas.openxmlformats.org/officeDocument/2006/customXml" ds:itemID="{290B81BB-EB53-479A-ACE5-592FEC032EB6}"/>
</file>

<file path=customXml/itemProps3.xml><?xml version="1.0" encoding="utf-8"?>
<ds:datastoreItem xmlns:ds="http://schemas.openxmlformats.org/officeDocument/2006/customXml" ds:itemID="{552C3E59-875D-44FA-A60F-202CD7E9D183}"/>
</file>

<file path=customXml/itemProps4.xml><?xml version="1.0" encoding="utf-8"?>
<ds:datastoreItem xmlns:ds="http://schemas.openxmlformats.org/officeDocument/2006/customXml" ds:itemID="{A71262B3-830D-4B89-BE7C-AAB3AE1C5FB7}"/>
</file>

<file path=customXml/itemProps5.xml><?xml version="1.0" encoding="utf-8"?>
<ds:datastoreItem xmlns:ds="http://schemas.openxmlformats.org/officeDocument/2006/customXml" ds:itemID="{79E7C395-1E46-4743-AD92-F49E7EFB21CA}"/>
</file>

<file path=docProps/app.xml><?xml version="1.0" encoding="utf-8"?>
<Properties xmlns="http://schemas.openxmlformats.org/officeDocument/2006/extended-properties" xmlns:vt="http://schemas.openxmlformats.org/officeDocument/2006/docPropsVTypes">
  <Template>Normal.dotm</Template>
  <TotalTime>203</TotalTime>
  <Pages>5</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BR 14 Response</vt:lpstr>
    </vt:vector>
  </TitlesOfParts>
  <Company>Washington Utilities and Transportation Commission</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 14 Response</dc:title>
  <dc:subject/>
  <dc:creator>Ball, Jason (UTC)</dc:creator>
  <cp:keywords/>
  <dc:description/>
  <cp:lastModifiedBy>Gross, Krista (UTC)</cp:lastModifiedBy>
  <cp:revision>28</cp:revision>
  <cp:lastPrinted>2015-10-26T21:46:00Z</cp:lastPrinted>
  <dcterms:created xsi:type="dcterms:W3CDTF">2015-10-23T22:48:00Z</dcterms:created>
  <dcterms:modified xsi:type="dcterms:W3CDTF">2015-10-26T21:47:00Z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