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C8195" w14:textId="1D3D3A38" w:rsidR="007B7439" w:rsidRPr="007B7439" w:rsidRDefault="007B7439" w:rsidP="00A21621">
      <w:pPr>
        <w:pStyle w:val="Header"/>
        <w:tabs>
          <w:tab w:val="clear" w:pos="4320"/>
          <w:tab w:val="clear" w:pos="8640"/>
        </w:tabs>
        <w:spacing w:line="240" w:lineRule="exact"/>
        <w:jc w:val="center"/>
        <w:rPr>
          <w:sz w:val="24"/>
          <w:szCs w:val="24"/>
        </w:rPr>
      </w:pPr>
      <w:r w:rsidRPr="007B7439">
        <w:rPr>
          <w:sz w:val="24"/>
          <w:szCs w:val="24"/>
        </w:rPr>
        <w:t>BEFORE THE</w:t>
      </w:r>
    </w:p>
    <w:p w14:paraId="5BB64D61" w14:textId="56D3FA7C" w:rsidR="007B7439" w:rsidRPr="007B7439" w:rsidRDefault="007B7439" w:rsidP="00A21621">
      <w:pPr>
        <w:pStyle w:val="Header"/>
        <w:tabs>
          <w:tab w:val="clear" w:pos="4320"/>
          <w:tab w:val="clear" w:pos="8640"/>
        </w:tabs>
        <w:spacing w:line="240" w:lineRule="exact"/>
        <w:jc w:val="center"/>
        <w:rPr>
          <w:sz w:val="24"/>
          <w:szCs w:val="24"/>
        </w:rPr>
      </w:pPr>
      <w:r w:rsidRPr="007B7439">
        <w:rPr>
          <w:sz w:val="24"/>
          <w:szCs w:val="24"/>
        </w:rPr>
        <w:t>WASHINGTON UTILITIES AND TRANSPORTATION COMMISSION</w:t>
      </w:r>
    </w:p>
    <w:p w14:paraId="7BC35ED9" w14:textId="77777777" w:rsidR="007B7439" w:rsidRPr="007B7439" w:rsidRDefault="007B7439" w:rsidP="00A21621">
      <w:pPr>
        <w:pStyle w:val="Header"/>
        <w:spacing w:line="240" w:lineRule="exact"/>
        <w:rPr>
          <w:sz w:val="24"/>
          <w:szCs w:val="24"/>
        </w:rPr>
      </w:pPr>
    </w:p>
    <w:p w14:paraId="111AAF29" w14:textId="77777777" w:rsidR="007B7439" w:rsidRPr="007B7439" w:rsidRDefault="007B7439" w:rsidP="00A21621">
      <w:pPr>
        <w:pStyle w:val="Header"/>
        <w:spacing w:line="240" w:lineRule="exact"/>
        <w:rPr>
          <w:sz w:val="24"/>
          <w:szCs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7B7439" w:rsidRPr="007B7439" w14:paraId="60E286A3" w14:textId="77777777" w:rsidTr="00E84CCA">
        <w:tc>
          <w:tcPr>
            <w:tcW w:w="4590" w:type="dxa"/>
            <w:tcBorders>
              <w:top w:val="single" w:sz="6" w:space="0" w:color="FFFFFF"/>
              <w:left w:val="single" w:sz="6" w:space="0" w:color="FFFFFF"/>
              <w:bottom w:val="single" w:sz="7" w:space="0" w:color="000000"/>
              <w:right w:val="single" w:sz="6" w:space="0" w:color="FFFFFF"/>
            </w:tcBorders>
          </w:tcPr>
          <w:p w14:paraId="47BE62FA"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WASHINGTON UTILITIES AND TRANSPORTATION COMMISSION,</w:t>
            </w:r>
          </w:p>
          <w:p w14:paraId="6DE7FBAA" w14:textId="77777777" w:rsidR="007B7439" w:rsidRPr="007B7439" w:rsidRDefault="007B7439" w:rsidP="00A21621">
            <w:pPr>
              <w:pStyle w:val="Header"/>
              <w:tabs>
                <w:tab w:val="left" w:pos="681"/>
                <w:tab w:val="left" w:pos="1401"/>
              </w:tabs>
              <w:spacing w:line="240" w:lineRule="exact"/>
              <w:rPr>
                <w:sz w:val="24"/>
                <w:szCs w:val="24"/>
              </w:rPr>
            </w:pPr>
          </w:p>
          <w:p w14:paraId="77AEA9B5"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ab/>
            </w:r>
            <w:r w:rsidRPr="007B7439">
              <w:rPr>
                <w:sz w:val="24"/>
                <w:szCs w:val="24"/>
              </w:rPr>
              <w:tab/>
              <w:t>Complainant,</w:t>
            </w:r>
          </w:p>
          <w:p w14:paraId="02B175D3" w14:textId="77777777" w:rsidR="007B7439" w:rsidRPr="007B7439" w:rsidRDefault="007B7439" w:rsidP="00A21621">
            <w:pPr>
              <w:pStyle w:val="Header"/>
              <w:tabs>
                <w:tab w:val="left" w:pos="681"/>
                <w:tab w:val="left" w:pos="1401"/>
              </w:tabs>
              <w:spacing w:line="240" w:lineRule="exact"/>
              <w:rPr>
                <w:sz w:val="24"/>
                <w:szCs w:val="24"/>
              </w:rPr>
            </w:pPr>
          </w:p>
          <w:p w14:paraId="6D01D6DF"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v.</w:t>
            </w:r>
          </w:p>
          <w:p w14:paraId="7A9D2431" w14:textId="77777777" w:rsidR="007B7439" w:rsidRPr="007B7439" w:rsidRDefault="007B7439" w:rsidP="00A21621">
            <w:pPr>
              <w:pStyle w:val="Header"/>
              <w:tabs>
                <w:tab w:val="left" w:pos="681"/>
                <w:tab w:val="left" w:pos="1401"/>
              </w:tabs>
              <w:spacing w:line="240" w:lineRule="exact"/>
              <w:rPr>
                <w:sz w:val="24"/>
                <w:szCs w:val="24"/>
              </w:rPr>
            </w:pPr>
          </w:p>
          <w:p w14:paraId="79827464"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 xml:space="preserve">PACIFIC POWER &amp; LIGHT COMPANY, a division of PacifiCorp, </w:t>
            </w:r>
          </w:p>
          <w:p w14:paraId="1CB825A1" w14:textId="77777777" w:rsidR="007B7439" w:rsidRPr="007B7439" w:rsidRDefault="007B7439" w:rsidP="00A21621">
            <w:pPr>
              <w:pStyle w:val="Header"/>
              <w:tabs>
                <w:tab w:val="left" w:pos="681"/>
                <w:tab w:val="left" w:pos="1401"/>
              </w:tabs>
              <w:spacing w:line="240" w:lineRule="exact"/>
              <w:rPr>
                <w:sz w:val="24"/>
                <w:szCs w:val="24"/>
              </w:rPr>
            </w:pPr>
          </w:p>
          <w:p w14:paraId="5F884A5B"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ab/>
            </w:r>
            <w:r w:rsidRPr="007B7439">
              <w:rPr>
                <w:sz w:val="24"/>
                <w:szCs w:val="24"/>
              </w:rPr>
              <w:tab/>
              <w:t>Respondent.</w:t>
            </w:r>
          </w:p>
          <w:p w14:paraId="0A998018"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____________________________________</w:t>
            </w:r>
          </w:p>
          <w:p w14:paraId="3DD3D5F0" w14:textId="77777777" w:rsidR="007B7439" w:rsidRPr="007B7439" w:rsidRDefault="007B7439" w:rsidP="00A21621">
            <w:pPr>
              <w:pStyle w:val="Header"/>
              <w:tabs>
                <w:tab w:val="left" w:pos="681"/>
                <w:tab w:val="left" w:pos="1401"/>
              </w:tabs>
              <w:spacing w:line="240" w:lineRule="exact"/>
              <w:rPr>
                <w:sz w:val="24"/>
                <w:szCs w:val="24"/>
              </w:rPr>
            </w:pPr>
          </w:p>
          <w:p w14:paraId="02C31B07"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 xml:space="preserve">In the Matter of </w:t>
            </w:r>
          </w:p>
          <w:p w14:paraId="11F08FEC" w14:textId="77777777" w:rsidR="007B7439" w:rsidRPr="007B7439" w:rsidRDefault="007B7439" w:rsidP="00A21621">
            <w:pPr>
              <w:pStyle w:val="Header"/>
              <w:tabs>
                <w:tab w:val="left" w:pos="681"/>
                <w:tab w:val="left" w:pos="1401"/>
              </w:tabs>
              <w:spacing w:line="240" w:lineRule="exact"/>
              <w:rPr>
                <w:sz w:val="24"/>
                <w:szCs w:val="24"/>
              </w:rPr>
            </w:pPr>
          </w:p>
          <w:p w14:paraId="54CE02F0"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 xml:space="preserve">PACIFIC POWER &amp; LIGHT COMPANY </w:t>
            </w:r>
          </w:p>
          <w:p w14:paraId="7E53967D" w14:textId="77777777" w:rsidR="007B7439" w:rsidRPr="007B7439" w:rsidRDefault="007B7439" w:rsidP="00A21621">
            <w:pPr>
              <w:pStyle w:val="Header"/>
              <w:tabs>
                <w:tab w:val="left" w:pos="681"/>
                <w:tab w:val="left" w:pos="1401"/>
              </w:tabs>
              <w:spacing w:line="240" w:lineRule="exact"/>
              <w:rPr>
                <w:sz w:val="24"/>
                <w:szCs w:val="24"/>
              </w:rPr>
            </w:pPr>
          </w:p>
          <w:p w14:paraId="67C1296D"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 xml:space="preserve">Petition for an Order Approving Deferral of the Washington-Allocated Revenue Requirement Associated with the Merwin Fish Collector. </w:t>
            </w:r>
          </w:p>
          <w:p w14:paraId="785F29B7"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____________________________________</w:t>
            </w:r>
          </w:p>
          <w:p w14:paraId="75D039A1" w14:textId="77777777" w:rsidR="007B7439" w:rsidRPr="007B7439" w:rsidRDefault="007B7439" w:rsidP="00A21621">
            <w:pPr>
              <w:pStyle w:val="Header"/>
              <w:tabs>
                <w:tab w:val="left" w:pos="681"/>
                <w:tab w:val="left" w:pos="1401"/>
              </w:tabs>
              <w:spacing w:line="240" w:lineRule="exact"/>
              <w:rPr>
                <w:sz w:val="24"/>
                <w:szCs w:val="24"/>
              </w:rPr>
            </w:pPr>
          </w:p>
          <w:p w14:paraId="503FC1E9"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 xml:space="preserve">In the Matter of </w:t>
            </w:r>
          </w:p>
          <w:p w14:paraId="38FEDB31" w14:textId="77777777" w:rsidR="007B7439" w:rsidRPr="007B7439" w:rsidRDefault="007B7439" w:rsidP="00A21621">
            <w:pPr>
              <w:pStyle w:val="Header"/>
              <w:tabs>
                <w:tab w:val="left" w:pos="681"/>
                <w:tab w:val="left" w:pos="1401"/>
              </w:tabs>
              <w:spacing w:line="240" w:lineRule="exact"/>
              <w:rPr>
                <w:sz w:val="24"/>
                <w:szCs w:val="24"/>
              </w:rPr>
            </w:pPr>
          </w:p>
          <w:p w14:paraId="242BAE96"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 xml:space="preserve">PACIFICORP d/b/a PACIFIC POWER &amp; LIGHT COMPANY </w:t>
            </w:r>
          </w:p>
          <w:p w14:paraId="3AD5646B" w14:textId="77777777" w:rsidR="007B7439" w:rsidRPr="007B7439" w:rsidRDefault="007B7439" w:rsidP="00A21621">
            <w:pPr>
              <w:pStyle w:val="Header"/>
              <w:tabs>
                <w:tab w:val="left" w:pos="681"/>
                <w:tab w:val="left" w:pos="1401"/>
              </w:tabs>
              <w:spacing w:line="240" w:lineRule="exact"/>
              <w:rPr>
                <w:sz w:val="24"/>
                <w:szCs w:val="24"/>
              </w:rPr>
            </w:pPr>
          </w:p>
          <w:p w14:paraId="277A31FE"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 xml:space="preserve">Petition for an Order Approving Deferral of costs Related to Colstrip Outage.  </w:t>
            </w:r>
          </w:p>
          <w:p w14:paraId="15DC9DF1"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____________________________________</w:t>
            </w:r>
          </w:p>
          <w:p w14:paraId="4BA3D0A9" w14:textId="77777777" w:rsidR="007B7439" w:rsidRPr="007B7439" w:rsidRDefault="007B7439" w:rsidP="00A21621">
            <w:pPr>
              <w:pStyle w:val="Header"/>
              <w:tabs>
                <w:tab w:val="left" w:pos="681"/>
                <w:tab w:val="left" w:pos="1401"/>
              </w:tabs>
              <w:spacing w:line="240" w:lineRule="exact"/>
              <w:rPr>
                <w:sz w:val="24"/>
                <w:szCs w:val="24"/>
              </w:rPr>
            </w:pPr>
          </w:p>
          <w:p w14:paraId="6688C061"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 xml:space="preserve">In the Matter of </w:t>
            </w:r>
          </w:p>
          <w:p w14:paraId="2749330A" w14:textId="77777777" w:rsidR="007B7439" w:rsidRPr="007B7439" w:rsidRDefault="007B7439" w:rsidP="00A21621">
            <w:pPr>
              <w:pStyle w:val="Header"/>
              <w:tabs>
                <w:tab w:val="left" w:pos="681"/>
                <w:tab w:val="left" w:pos="1401"/>
              </w:tabs>
              <w:spacing w:line="240" w:lineRule="exact"/>
              <w:rPr>
                <w:sz w:val="24"/>
                <w:szCs w:val="24"/>
              </w:rPr>
            </w:pPr>
          </w:p>
          <w:p w14:paraId="3E37CC64"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 xml:space="preserve">PACIFICORP d/b/a PACIFIC POWER &amp; LIGHT COMPANY </w:t>
            </w:r>
          </w:p>
          <w:p w14:paraId="7DA8F649" w14:textId="77777777" w:rsidR="007B7439" w:rsidRPr="007B7439" w:rsidRDefault="007B7439" w:rsidP="00A21621">
            <w:pPr>
              <w:pStyle w:val="Header"/>
              <w:tabs>
                <w:tab w:val="left" w:pos="681"/>
                <w:tab w:val="left" w:pos="1401"/>
              </w:tabs>
              <w:spacing w:line="240" w:lineRule="exact"/>
              <w:rPr>
                <w:sz w:val="24"/>
                <w:szCs w:val="24"/>
              </w:rPr>
            </w:pPr>
          </w:p>
          <w:p w14:paraId="55FD462E" w14:textId="77777777" w:rsidR="007B7439" w:rsidRPr="007B7439" w:rsidRDefault="007B7439" w:rsidP="00A21621">
            <w:pPr>
              <w:pStyle w:val="Header"/>
              <w:tabs>
                <w:tab w:val="left" w:pos="681"/>
                <w:tab w:val="left" w:pos="1401"/>
              </w:tabs>
              <w:spacing w:line="240" w:lineRule="exact"/>
              <w:rPr>
                <w:sz w:val="24"/>
                <w:szCs w:val="24"/>
              </w:rPr>
            </w:pPr>
            <w:r w:rsidRPr="007B7439">
              <w:rPr>
                <w:sz w:val="24"/>
                <w:szCs w:val="24"/>
              </w:rPr>
              <w:t>Petition for an Order Approving Deferral of Costs Related to Declining Hydro Generation.</w:t>
            </w:r>
          </w:p>
          <w:p w14:paraId="707A2FB2" w14:textId="77777777" w:rsidR="007B7439" w:rsidRPr="007B7439" w:rsidRDefault="007B7439" w:rsidP="00A21621">
            <w:pPr>
              <w:pStyle w:val="Header"/>
              <w:tabs>
                <w:tab w:val="left" w:pos="681"/>
                <w:tab w:val="left" w:pos="1401"/>
              </w:tabs>
              <w:spacing w:line="240" w:lineRule="exact"/>
              <w:rPr>
                <w:sz w:val="24"/>
                <w:szCs w:val="24"/>
              </w:rPr>
            </w:pPr>
          </w:p>
        </w:tc>
        <w:tc>
          <w:tcPr>
            <w:tcW w:w="4590" w:type="dxa"/>
            <w:tcBorders>
              <w:top w:val="single" w:sz="6" w:space="0" w:color="FFFFFF"/>
              <w:left w:val="single" w:sz="7" w:space="0" w:color="000000"/>
              <w:bottom w:val="single" w:sz="6" w:space="0" w:color="FFFFFF"/>
              <w:right w:val="single" w:sz="6" w:space="0" w:color="FFFFFF"/>
            </w:tcBorders>
          </w:tcPr>
          <w:p w14:paraId="1A84A977" w14:textId="77777777" w:rsidR="007B7439" w:rsidRPr="007B7439" w:rsidRDefault="007B7439" w:rsidP="00A21621">
            <w:pPr>
              <w:pStyle w:val="Header"/>
              <w:spacing w:line="240" w:lineRule="exact"/>
              <w:ind w:left="416"/>
              <w:rPr>
                <w:sz w:val="24"/>
                <w:szCs w:val="24"/>
              </w:rPr>
            </w:pPr>
            <w:r w:rsidRPr="007B7439">
              <w:rPr>
                <w:sz w:val="24"/>
                <w:szCs w:val="24"/>
              </w:rPr>
              <w:t>DOCKET UE-140762 and UE-140617 (</w:t>
            </w:r>
            <w:r w:rsidRPr="007B7439">
              <w:rPr>
                <w:i/>
                <w:sz w:val="24"/>
                <w:szCs w:val="24"/>
              </w:rPr>
              <w:t>consolidated</w:t>
            </w:r>
            <w:r w:rsidRPr="007B7439">
              <w:rPr>
                <w:sz w:val="24"/>
                <w:szCs w:val="24"/>
              </w:rPr>
              <w:t>)</w:t>
            </w:r>
          </w:p>
          <w:p w14:paraId="6E65FFFC" w14:textId="77777777" w:rsidR="007B7439" w:rsidRPr="007B7439" w:rsidRDefault="007B7439" w:rsidP="00A21621">
            <w:pPr>
              <w:pStyle w:val="Header"/>
              <w:spacing w:line="240" w:lineRule="exact"/>
              <w:ind w:left="416"/>
              <w:rPr>
                <w:sz w:val="24"/>
                <w:szCs w:val="24"/>
              </w:rPr>
            </w:pPr>
          </w:p>
          <w:p w14:paraId="5A1A6ADE" w14:textId="77777777" w:rsidR="007B7439" w:rsidRPr="007B7439" w:rsidRDefault="007B7439" w:rsidP="00A21621">
            <w:pPr>
              <w:pStyle w:val="Header"/>
              <w:spacing w:line="240" w:lineRule="exact"/>
              <w:ind w:left="416"/>
              <w:rPr>
                <w:sz w:val="24"/>
                <w:szCs w:val="24"/>
              </w:rPr>
            </w:pPr>
          </w:p>
          <w:p w14:paraId="4282BE75" w14:textId="77777777" w:rsidR="007B7439" w:rsidRPr="007B7439" w:rsidRDefault="007B7439" w:rsidP="00A21621">
            <w:pPr>
              <w:pStyle w:val="Header"/>
              <w:spacing w:line="240" w:lineRule="exact"/>
              <w:ind w:left="416"/>
              <w:rPr>
                <w:sz w:val="24"/>
                <w:szCs w:val="24"/>
              </w:rPr>
            </w:pPr>
          </w:p>
          <w:p w14:paraId="2CD1795A" w14:textId="77777777" w:rsidR="007B7439" w:rsidRPr="007B7439" w:rsidRDefault="007B7439" w:rsidP="00A21621">
            <w:pPr>
              <w:pStyle w:val="Header"/>
              <w:spacing w:line="240" w:lineRule="exact"/>
              <w:ind w:left="416"/>
              <w:rPr>
                <w:sz w:val="24"/>
                <w:szCs w:val="24"/>
              </w:rPr>
            </w:pPr>
          </w:p>
          <w:p w14:paraId="7B294C48" w14:textId="77777777" w:rsidR="007B7439" w:rsidRPr="007B7439" w:rsidRDefault="007B7439" w:rsidP="00A21621">
            <w:pPr>
              <w:pStyle w:val="Header"/>
              <w:spacing w:line="240" w:lineRule="exact"/>
              <w:ind w:left="416"/>
              <w:rPr>
                <w:sz w:val="24"/>
                <w:szCs w:val="24"/>
              </w:rPr>
            </w:pPr>
          </w:p>
          <w:p w14:paraId="7A605725" w14:textId="77777777" w:rsidR="007B7439" w:rsidRPr="007B7439" w:rsidRDefault="007B7439" w:rsidP="00A21621">
            <w:pPr>
              <w:pStyle w:val="Header"/>
              <w:spacing w:line="240" w:lineRule="exact"/>
              <w:ind w:left="416"/>
              <w:rPr>
                <w:sz w:val="24"/>
                <w:szCs w:val="24"/>
              </w:rPr>
            </w:pPr>
          </w:p>
          <w:p w14:paraId="5CFC2358" w14:textId="77777777" w:rsidR="007B7439" w:rsidRPr="007B7439" w:rsidRDefault="007B7439" w:rsidP="00A21621">
            <w:pPr>
              <w:pStyle w:val="Header"/>
              <w:spacing w:line="240" w:lineRule="exact"/>
              <w:ind w:left="416"/>
              <w:rPr>
                <w:sz w:val="24"/>
                <w:szCs w:val="24"/>
              </w:rPr>
            </w:pPr>
          </w:p>
          <w:p w14:paraId="4FE4DF61" w14:textId="77777777" w:rsidR="007B7439" w:rsidRPr="007B7439" w:rsidRDefault="007B7439" w:rsidP="00A21621">
            <w:pPr>
              <w:pStyle w:val="Header"/>
              <w:spacing w:line="240" w:lineRule="exact"/>
              <w:ind w:left="416"/>
              <w:rPr>
                <w:sz w:val="24"/>
                <w:szCs w:val="24"/>
              </w:rPr>
            </w:pPr>
          </w:p>
          <w:p w14:paraId="1A5A621C" w14:textId="77777777" w:rsidR="007B7439" w:rsidRPr="007B7439" w:rsidRDefault="007B7439" w:rsidP="00A21621">
            <w:pPr>
              <w:pStyle w:val="Header"/>
              <w:spacing w:line="240" w:lineRule="exact"/>
              <w:ind w:left="416"/>
              <w:rPr>
                <w:sz w:val="24"/>
                <w:szCs w:val="24"/>
              </w:rPr>
            </w:pPr>
          </w:p>
          <w:p w14:paraId="187285CB" w14:textId="77777777" w:rsidR="007B7439" w:rsidRPr="007B7439" w:rsidRDefault="007B7439" w:rsidP="00A21621">
            <w:pPr>
              <w:pStyle w:val="Header"/>
              <w:spacing w:line="240" w:lineRule="exact"/>
              <w:ind w:left="416"/>
              <w:rPr>
                <w:sz w:val="24"/>
                <w:szCs w:val="24"/>
              </w:rPr>
            </w:pPr>
          </w:p>
          <w:p w14:paraId="7C838A5E" w14:textId="77777777" w:rsidR="007B7439" w:rsidRPr="007B7439" w:rsidRDefault="007B7439" w:rsidP="00A21621">
            <w:pPr>
              <w:pStyle w:val="Header"/>
              <w:spacing w:line="240" w:lineRule="exact"/>
              <w:ind w:left="416"/>
              <w:rPr>
                <w:sz w:val="24"/>
                <w:szCs w:val="24"/>
              </w:rPr>
            </w:pPr>
          </w:p>
          <w:p w14:paraId="5D603F3E" w14:textId="77777777" w:rsidR="007B7439" w:rsidRPr="007B7439" w:rsidRDefault="007B7439" w:rsidP="00A21621">
            <w:pPr>
              <w:pStyle w:val="Header"/>
              <w:spacing w:line="240" w:lineRule="exact"/>
              <w:ind w:left="416"/>
              <w:rPr>
                <w:sz w:val="24"/>
                <w:szCs w:val="24"/>
              </w:rPr>
            </w:pPr>
          </w:p>
          <w:p w14:paraId="50671A8B" w14:textId="77777777" w:rsidR="007B7439" w:rsidRPr="007B7439" w:rsidRDefault="007B7439" w:rsidP="00A21621">
            <w:pPr>
              <w:pStyle w:val="Header"/>
              <w:spacing w:line="240" w:lineRule="exact"/>
              <w:ind w:left="416"/>
              <w:rPr>
                <w:sz w:val="24"/>
                <w:szCs w:val="24"/>
              </w:rPr>
            </w:pPr>
          </w:p>
          <w:p w14:paraId="1E722B5A" w14:textId="77777777" w:rsidR="007B7439" w:rsidRPr="007B7439" w:rsidRDefault="007B7439" w:rsidP="00A21621">
            <w:pPr>
              <w:pStyle w:val="Header"/>
              <w:spacing w:line="240" w:lineRule="exact"/>
              <w:ind w:left="416"/>
              <w:rPr>
                <w:sz w:val="24"/>
                <w:szCs w:val="24"/>
              </w:rPr>
            </w:pPr>
          </w:p>
          <w:p w14:paraId="1CF5E1E8" w14:textId="77777777" w:rsidR="007B7439" w:rsidRPr="007B7439" w:rsidRDefault="007B7439" w:rsidP="00A21621">
            <w:pPr>
              <w:pStyle w:val="Header"/>
              <w:spacing w:line="240" w:lineRule="exact"/>
              <w:ind w:left="416"/>
              <w:rPr>
                <w:sz w:val="24"/>
                <w:szCs w:val="24"/>
              </w:rPr>
            </w:pPr>
          </w:p>
          <w:p w14:paraId="1FE83C54" w14:textId="77777777" w:rsidR="007B7439" w:rsidRPr="007B7439" w:rsidRDefault="007B7439" w:rsidP="00A21621">
            <w:pPr>
              <w:pStyle w:val="Header"/>
              <w:spacing w:line="240" w:lineRule="exact"/>
              <w:ind w:left="416"/>
              <w:rPr>
                <w:sz w:val="24"/>
                <w:szCs w:val="24"/>
              </w:rPr>
            </w:pPr>
          </w:p>
          <w:p w14:paraId="2B5F1B17" w14:textId="77777777" w:rsidR="007B7439" w:rsidRPr="007B7439" w:rsidRDefault="007B7439" w:rsidP="00A21621">
            <w:pPr>
              <w:pStyle w:val="Header"/>
              <w:spacing w:line="240" w:lineRule="exact"/>
              <w:ind w:left="416"/>
              <w:rPr>
                <w:sz w:val="24"/>
                <w:szCs w:val="24"/>
              </w:rPr>
            </w:pPr>
          </w:p>
          <w:p w14:paraId="7A9EFA26" w14:textId="77777777" w:rsidR="007B7439" w:rsidRPr="007B7439" w:rsidRDefault="007B7439" w:rsidP="00A21621">
            <w:pPr>
              <w:pStyle w:val="Header"/>
              <w:spacing w:line="240" w:lineRule="exact"/>
              <w:ind w:left="416"/>
              <w:rPr>
                <w:sz w:val="24"/>
                <w:szCs w:val="24"/>
              </w:rPr>
            </w:pPr>
          </w:p>
          <w:p w14:paraId="3FEF77DE" w14:textId="77777777" w:rsidR="007B7439" w:rsidRPr="007B7439" w:rsidRDefault="007B7439" w:rsidP="00A21621">
            <w:pPr>
              <w:pStyle w:val="Header"/>
              <w:spacing w:line="240" w:lineRule="exact"/>
              <w:ind w:left="416"/>
              <w:rPr>
                <w:sz w:val="24"/>
                <w:szCs w:val="24"/>
              </w:rPr>
            </w:pPr>
          </w:p>
          <w:p w14:paraId="60D6676C" w14:textId="77777777" w:rsidR="007B7439" w:rsidRDefault="007B7439" w:rsidP="00A21621">
            <w:pPr>
              <w:pStyle w:val="Header"/>
              <w:spacing w:line="240" w:lineRule="exact"/>
              <w:ind w:left="416"/>
              <w:rPr>
                <w:sz w:val="24"/>
                <w:szCs w:val="24"/>
              </w:rPr>
            </w:pPr>
          </w:p>
          <w:p w14:paraId="3AA8BDA6" w14:textId="77777777" w:rsidR="0050053B" w:rsidRPr="007B7439" w:rsidRDefault="0050053B" w:rsidP="00A21621">
            <w:pPr>
              <w:pStyle w:val="Header"/>
              <w:spacing w:line="240" w:lineRule="exact"/>
              <w:ind w:left="416"/>
              <w:rPr>
                <w:sz w:val="24"/>
                <w:szCs w:val="24"/>
              </w:rPr>
            </w:pPr>
          </w:p>
          <w:p w14:paraId="729E08AE" w14:textId="77777777" w:rsidR="007B7439" w:rsidRPr="007B7439" w:rsidRDefault="007B7439" w:rsidP="0050053B">
            <w:pPr>
              <w:pStyle w:val="Header"/>
              <w:spacing w:line="240" w:lineRule="exact"/>
              <w:ind w:left="416"/>
              <w:rPr>
                <w:sz w:val="24"/>
                <w:szCs w:val="24"/>
              </w:rPr>
            </w:pPr>
            <w:r w:rsidRPr="007B7439">
              <w:rPr>
                <w:sz w:val="24"/>
                <w:szCs w:val="24"/>
              </w:rPr>
              <w:t>DOCKET U E-131384</w:t>
            </w:r>
          </w:p>
          <w:p w14:paraId="33BFE8C2" w14:textId="77777777" w:rsidR="007B7439" w:rsidRPr="007B7439" w:rsidRDefault="007B7439" w:rsidP="0050053B">
            <w:pPr>
              <w:pStyle w:val="Header"/>
              <w:spacing w:line="240" w:lineRule="exact"/>
              <w:ind w:left="416"/>
              <w:rPr>
                <w:sz w:val="24"/>
                <w:szCs w:val="24"/>
              </w:rPr>
            </w:pPr>
          </w:p>
          <w:p w14:paraId="64512388" w14:textId="77777777" w:rsidR="007B7439" w:rsidRPr="007B7439" w:rsidRDefault="007B7439" w:rsidP="0050053B">
            <w:pPr>
              <w:pStyle w:val="Header"/>
              <w:spacing w:line="240" w:lineRule="exact"/>
              <w:ind w:left="416"/>
              <w:rPr>
                <w:sz w:val="24"/>
                <w:szCs w:val="24"/>
              </w:rPr>
            </w:pPr>
          </w:p>
          <w:p w14:paraId="17CCF612" w14:textId="77777777" w:rsidR="007B7439" w:rsidRPr="007B7439" w:rsidRDefault="007B7439" w:rsidP="0050053B">
            <w:pPr>
              <w:pStyle w:val="Header"/>
              <w:spacing w:line="240" w:lineRule="exact"/>
              <w:ind w:left="416"/>
              <w:rPr>
                <w:sz w:val="24"/>
                <w:szCs w:val="24"/>
              </w:rPr>
            </w:pPr>
          </w:p>
          <w:p w14:paraId="2D08C5F7" w14:textId="77777777" w:rsidR="007B7439" w:rsidRPr="007B7439" w:rsidRDefault="007B7439" w:rsidP="0050053B">
            <w:pPr>
              <w:pStyle w:val="Header"/>
              <w:spacing w:line="240" w:lineRule="exact"/>
              <w:ind w:left="416"/>
              <w:rPr>
                <w:sz w:val="24"/>
                <w:szCs w:val="24"/>
              </w:rPr>
            </w:pPr>
          </w:p>
          <w:p w14:paraId="449F5BC3" w14:textId="77777777" w:rsidR="007B7439" w:rsidRPr="007B7439" w:rsidRDefault="007B7439" w:rsidP="0050053B">
            <w:pPr>
              <w:pStyle w:val="Header"/>
              <w:spacing w:line="240" w:lineRule="exact"/>
              <w:ind w:left="416"/>
              <w:rPr>
                <w:sz w:val="24"/>
                <w:szCs w:val="24"/>
              </w:rPr>
            </w:pPr>
          </w:p>
          <w:p w14:paraId="3090292C" w14:textId="77777777" w:rsidR="007B7439" w:rsidRPr="007B7439" w:rsidRDefault="007B7439" w:rsidP="0050053B">
            <w:pPr>
              <w:pStyle w:val="Header"/>
              <w:spacing w:line="240" w:lineRule="exact"/>
              <w:ind w:left="416"/>
              <w:rPr>
                <w:sz w:val="24"/>
                <w:szCs w:val="24"/>
              </w:rPr>
            </w:pPr>
          </w:p>
          <w:p w14:paraId="7A2FD18E" w14:textId="77777777" w:rsidR="007B7439" w:rsidRPr="007B7439" w:rsidRDefault="007B7439" w:rsidP="0050053B">
            <w:pPr>
              <w:pStyle w:val="Header"/>
              <w:spacing w:line="240" w:lineRule="exact"/>
              <w:ind w:left="416"/>
              <w:rPr>
                <w:sz w:val="24"/>
                <w:szCs w:val="24"/>
              </w:rPr>
            </w:pPr>
          </w:p>
          <w:p w14:paraId="21491738" w14:textId="77777777" w:rsidR="007B7439" w:rsidRPr="007B7439" w:rsidRDefault="007B7439" w:rsidP="0050053B">
            <w:pPr>
              <w:pStyle w:val="Header"/>
              <w:spacing w:line="240" w:lineRule="exact"/>
              <w:ind w:left="416"/>
              <w:rPr>
                <w:sz w:val="24"/>
                <w:szCs w:val="24"/>
              </w:rPr>
            </w:pPr>
          </w:p>
          <w:p w14:paraId="17872847" w14:textId="77777777" w:rsidR="007B7439" w:rsidRPr="007B7439" w:rsidRDefault="007B7439" w:rsidP="0050053B">
            <w:pPr>
              <w:pStyle w:val="Header"/>
              <w:spacing w:line="240" w:lineRule="exact"/>
              <w:ind w:left="416"/>
              <w:rPr>
                <w:sz w:val="24"/>
                <w:szCs w:val="24"/>
              </w:rPr>
            </w:pPr>
            <w:r w:rsidRPr="007B7439">
              <w:rPr>
                <w:sz w:val="24"/>
                <w:szCs w:val="24"/>
              </w:rPr>
              <w:t>DOCKET UE-140094</w:t>
            </w:r>
          </w:p>
          <w:p w14:paraId="3720F0A7" w14:textId="77777777" w:rsidR="007B7439" w:rsidRPr="007B7439" w:rsidRDefault="007B7439" w:rsidP="0050053B">
            <w:pPr>
              <w:pStyle w:val="Header"/>
              <w:spacing w:line="240" w:lineRule="exact"/>
              <w:ind w:left="416"/>
              <w:rPr>
                <w:sz w:val="24"/>
                <w:szCs w:val="24"/>
              </w:rPr>
            </w:pPr>
          </w:p>
          <w:p w14:paraId="57472EFD" w14:textId="63D6494C" w:rsidR="007B7439" w:rsidRPr="007B7439" w:rsidRDefault="007B7439" w:rsidP="0050053B">
            <w:pPr>
              <w:spacing w:line="240" w:lineRule="exact"/>
              <w:ind w:left="416"/>
              <w:rPr>
                <w:szCs w:val="24"/>
              </w:rPr>
            </w:pPr>
            <w:r w:rsidRPr="007B7439">
              <w:rPr>
                <w:szCs w:val="24"/>
              </w:rPr>
              <w:t xml:space="preserve">COMMISSION STAFF’S </w:t>
            </w:r>
            <w:r w:rsidR="004E4F07">
              <w:rPr>
                <w:szCs w:val="24"/>
              </w:rPr>
              <w:t>RESPONSE TO COMMISSION QUESTIONS IN ORDER 08</w:t>
            </w:r>
          </w:p>
        </w:tc>
      </w:tr>
    </w:tbl>
    <w:p w14:paraId="6D53F62D" w14:textId="77777777" w:rsidR="007B7439" w:rsidRPr="003215A3" w:rsidRDefault="007B7439" w:rsidP="007B7439">
      <w:pPr>
        <w:pStyle w:val="Header"/>
      </w:pPr>
    </w:p>
    <w:p w14:paraId="2D71192F" w14:textId="6F35C9CF" w:rsidR="004E4F07" w:rsidRDefault="00D45D51" w:rsidP="00731111">
      <w:pPr>
        <w:pStyle w:val="WUTCParagraph"/>
        <w:tabs>
          <w:tab w:val="clear" w:pos="1440"/>
        </w:tabs>
      </w:pPr>
      <w:r w:rsidRPr="004E4F07">
        <w:rPr>
          <w:lang w:val="en-US"/>
        </w:rPr>
        <w:tab/>
      </w:r>
      <w:r w:rsidR="004E4F07">
        <w:t>In Order 08, Dockets UE-140762</w:t>
      </w:r>
      <w:r w:rsidR="004E4F07">
        <w:rPr>
          <w:lang w:val="en-US"/>
        </w:rPr>
        <w:t>,</w:t>
      </w:r>
      <w:r w:rsidR="004E4F07">
        <w:t xml:space="preserve"> et al. </w:t>
      </w:r>
      <w:r w:rsidR="004E4F07" w:rsidRPr="004E4F07">
        <w:t>(</w:t>
      </w:r>
      <w:r w:rsidR="004E4F07">
        <w:rPr>
          <w:i/>
          <w:lang w:val="en-US"/>
        </w:rPr>
        <w:t>c</w:t>
      </w:r>
      <w:r w:rsidR="004E4F07">
        <w:rPr>
          <w:i/>
        </w:rPr>
        <w:t>onsolidated</w:t>
      </w:r>
      <w:r w:rsidR="004E4F07">
        <w:rPr>
          <w:lang w:val="en-US"/>
        </w:rPr>
        <w:t>)</w:t>
      </w:r>
      <w:r w:rsidR="004E4F07">
        <w:t>,</w:t>
      </w:r>
      <w:r w:rsidR="004E4F07" w:rsidRPr="004E4F07">
        <w:rPr>
          <w:i/>
        </w:rPr>
        <w:t xml:space="preserve"> </w:t>
      </w:r>
      <w:r w:rsidR="004E4F07">
        <w:t xml:space="preserve">the Utilities and Transportation Commission (Commission), required Pacific Power &amp; Light (Pacific Power or Company) </w:t>
      </w:r>
      <w:r w:rsidR="004E4F07" w:rsidRPr="00133EDA">
        <w:t xml:space="preserve">to implement a properly designed </w:t>
      </w:r>
      <w:r w:rsidR="004E4F07">
        <w:t>PCAM</w:t>
      </w:r>
      <w:r w:rsidR="004E4F07" w:rsidRPr="00133EDA">
        <w:t xml:space="preserve">.  </w:t>
      </w:r>
      <w:r w:rsidR="004B7241">
        <w:rPr>
          <w:lang w:val="en-US"/>
        </w:rPr>
        <w:t>T</w:t>
      </w:r>
      <w:r w:rsidR="004B7241">
        <w:t>he</w:t>
      </w:r>
      <w:bookmarkStart w:id="0" w:name="_GoBack"/>
      <w:bookmarkEnd w:id="0"/>
      <w:r w:rsidR="004E4F07">
        <w:t xml:space="preserve"> Commission</w:t>
      </w:r>
      <w:r w:rsidR="004B7241">
        <w:rPr>
          <w:lang w:val="en-US"/>
        </w:rPr>
        <w:t>’s order also</w:t>
      </w:r>
      <w:r w:rsidR="004E4F07">
        <w:t xml:space="preserve"> </w:t>
      </w:r>
      <w:r w:rsidR="004E4F07">
        <w:lastRenderedPageBreak/>
        <w:t xml:space="preserve">scheduled a brief proceeding to </w:t>
      </w:r>
      <w:r w:rsidR="004E4F07" w:rsidRPr="00133EDA">
        <w:t xml:space="preserve">determine the details required </w:t>
      </w:r>
      <w:r w:rsidR="004E4F07">
        <w:t>to effectuate implementation of Pacific Power’s PCAM</w:t>
      </w:r>
      <w:r w:rsidR="004E4F07" w:rsidRPr="00133EDA">
        <w:t>.</w:t>
      </w:r>
      <w:r w:rsidR="004E4F07">
        <w:t xml:space="preserve">  In preparation of this proceeding, Staff was directed by the Commission to address the following four questions in order to further develop the record in this matter.</w:t>
      </w:r>
      <w:r w:rsidR="004E4F07">
        <w:rPr>
          <w:rStyle w:val="FootnoteReference"/>
        </w:rPr>
        <w:footnoteReference w:id="1"/>
      </w:r>
      <w:r w:rsidR="004E4F07">
        <w:t xml:space="preserve">  Staff addresses each of the questions in the Q&amp;A below.</w:t>
      </w:r>
    </w:p>
    <w:p w14:paraId="66DFE7DA" w14:textId="73765E80" w:rsidR="004E4F07" w:rsidRPr="00F2250F" w:rsidRDefault="004E4F07" w:rsidP="004E4F07">
      <w:pPr>
        <w:pStyle w:val="WUTCParagraph"/>
        <w:tabs>
          <w:tab w:val="clear" w:pos="1440"/>
          <w:tab w:val="left" w:pos="720"/>
        </w:tabs>
        <w:rPr>
          <w:b/>
        </w:rPr>
      </w:pPr>
      <w:r>
        <w:tab/>
      </w:r>
      <w:r w:rsidRPr="00F2250F">
        <w:rPr>
          <w:b/>
        </w:rPr>
        <w:t>Q.</w:t>
      </w:r>
      <w:r w:rsidRPr="00F2250F">
        <w:rPr>
          <w:b/>
          <w:lang w:val="en-US"/>
        </w:rPr>
        <w:t xml:space="preserve">  </w:t>
      </w:r>
      <w:r w:rsidRPr="00F2250F">
        <w:rPr>
          <w:b/>
        </w:rPr>
        <w:t>Is it appropriate to use the Western Control Area Inter-Jurisdictional Allocation Methodology (WCA) as the jurisdictional divide for wholesale power costs?</w:t>
      </w:r>
    </w:p>
    <w:p w14:paraId="36CE96D9" w14:textId="65B280CC" w:rsidR="004E4F07" w:rsidRPr="007340A8" w:rsidRDefault="004E4F07" w:rsidP="004E4F07">
      <w:pPr>
        <w:pStyle w:val="WUTCParagraph"/>
        <w:tabs>
          <w:tab w:val="clear" w:pos="1440"/>
          <w:tab w:val="left" w:pos="720"/>
        </w:tabs>
      </w:pPr>
      <w:r>
        <w:tab/>
      </w:r>
      <w:r w:rsidRPr="00A83CA8">
        <w:t>A.</w:t>
      </w:r>
      <w:r>
        <w:t xml:space="preserve"> </w:t>
      </w:r>
      <w:r>
        <w:rPr>
          <w:lang w:val="en-US"/>
        </w:rPr>
        <w:t xml:space="preserve"> </w:t>
      </w:r>
      <w:r w:rsidRPr="007340A8">
        <w:t xml:space="preserve">Yes.  It is not only appropriate, but essential, that both base and actual Net Power Costs (NPC) in Pacific Power’s PCAM be calculated from the basis of the WCA.  The WCA consists of generation and transmission resources that are </w:t>
      </w:r>
      <w:r>
        <w:t xml:space="preserve">either </w:t>
      </w:r>
      <w:r w:rsidRPr="007340A8">
        <w:t>located within Pacific Power’s West balancing authority (PACW) or have the physical capability to deliver energy into the WCA.</w:t>
      </w:r>
      <w:r w:rsidRPr="007340A8">
        <w:rPr>
          <w:rStyle w:val="FootnoteReference"/>
          <w:bCs/>
        </w:rPr>
        <w:footnoteReference w:id="2"/>
      </w:r>
      <w:r w:rsidRPr="007340A8">
        <w:t xml:space="preserve">  The WCA isolates the costs associated with these assets</w:t>
      </w:r>
      <w:r>
        <w:t xml:space="preserve"> and </w:t>
      </w:r>
      <w:r w:rsidRPr="007340A8">
        <w:t>purchases and sales, and allocates to Washington a proportionate share of the costs based on Washington's relative contribution to the WCA's demand and energy requirements.</w:t>
      </w:r>
      <w:r w:rsidRPr="007340A8">
        <w:rPr>
          <w:rStyle w:val="FootnoteReference"/>
          <w:bCs/>
        </w:rPr>
        <w:footnoteReference w:id="3"/>
      </w:r>
      <w:r w:rsidRPr="007340A8">
        <w:t xml:space="preserve">  The PCAM’s deferral amounts will be calculated first from the WCA whole and then allocated to Washington using the appropriate factor for each FERC account.  </w:t>
      </w:r>
    </w:p>
    <w:p w14:paraId="2E7DD7F4" w14:textId="338F2DC3" w:rsidR="004E4F07" w:rsidRPr="007340A8" w:rsidRDefault="004E4F07" w:rsidP="004E4F07">
      <w:pPr>
        <w:pStyle w:val="WUTCParagraph"/>
        <w:tabs>
          <w:tab w:val="clear" w:pos="1440"/>
          <w:tab w:val="left" w:pos="720"/>
        </w:tabs>
      </w:pPr>
      <w:r>
        <w:tab/>
      </w:r>
      <w:r w:rsidRPr="007340A8">
        <w:t xml:space="preserve">Staff understands the term “wholesale power costs”, within the context of Pacific Power’s PCAM, to mean both Sales for Resale – FERC Account No. 447 and Purchased Power – FERC Account No. 555.  Account 447 would include the East Area Sales (WCA Sale) </w:t>
      </w:r>
      <w:r>
        <w:t xml:space="preserve">which will be treated </w:t>
      </w:r>
      <w:r w:rsidRPr="007340A8">
        <w:t>the same as any Fixed Price/Firm Energy Power Purchase Agreement.  Account No. 555 would exclude any BPA residential exchange credit pass-</w:t>
      </w:r>
      <w:r w:rsidRPr="007340A8">
        <w:lastRenderedPageBreak/>
        <w:t xml:space="preserve">through which Staff understands is accounted for elsewhere and not included in the calculation of NPC.  </w:t>
      </w:r>
    </w:p>
    <w:p w14:paraId="2CD26C4E" w14:textId="1323ABB3" w:rsidR="004E4F07" w:rsidRPr="007340A8" w:rsidRDefault="004E4F07" w:rsidP="004E4F07">
      <w:pPr>
        <w:pStyle w:val="WUTCParagraph"/>
        <w:tabs>
          <w:tab w:val="left" w:pos="720"/>
        </w:tabs>
      </w:pPr>
      <w:r>
        <w:tab/>
      </w:r>
      <w:r w:rsidRPr="007340A8">
        <w:t>In UE-130043</w:t>
      </w:r>
      <w:r w:rsidRPr="007340A8">
        <w:rPr>
          <w:rStyle w:val="FootnoteReference"/>
          <w:bCs/>
        </w:rPr>
        <w:footnoteReference w:id="4"/>
      </w:r>
      <w:r w:rsidRPr="007340A8">
        <w:t>, the Company removed a significant cost-calculation hurdle by abandoning the use of “pseudo actual, computer-generated” data to calculate actual NPC in favor of actual NPC per the books and records of the Company.  Assets or proportions of assets included in the reporting of actual NPC will be consistent with the WCA used to determine normalized NPC in the Company’s general rate cases.  To the extent an energy imbalance exists after accounting for actual loads and resources, the Company will account for the difference by reducing actual short-term balancing purchase or sales transactions, leaving actual, per books.</w:t>
      </w:r>
    </w:p>
    <w:p w14:paraId="1F91BCD0" w14:textId="7B2503A9" w:rsidR="004E4F07" w:rsidRPr="00F2250F" w:rsidRDefault="004E4F07" w:rsidP="004E4F07">
      <w:pPr>
        <w:pStyle w:val="WUTCParagraph"/>
        <w:tabs>
          <w:tab w:val="left" w:pos="720"/>
        </w:tabs>
        <w:rPr>
          <w:b/>
        </w:rPr>
      </w:pPr>
      <w:r>
        <w:tab/>
      </w:r>
      <w:r w:rsidRPr="00F2250F">
        <w:rPr>
          <w:b/>
        </w:rPr>
        <w:t>Q.</w:t>
      </w:r>
      <w:r w:rsidRPr="00F2250F">
        <w:rPr>
          <w:b/>
          <w:lang w:val="en-US"/>
        </w:rPr>
        <w:t xml:space="preserve">  </w:t>
      </w:r>
      <w:r w:rsidRPr="00F2250F">
        <w:rPr>
          <w:b/>
        </w:rPr>
        <w:t>Is $25 million the appropriate dead band and how did Staff determine this amount?</w:t>
      </w:r>
    </w:p>
    <w:p w14:paraId="35052E30" w14:textId="689FA1A4" w:rsidR="004E4F07" w:rsidRDefault="004E4F07" w:rsidP="004E4F07">
      <w:pPr>
        <w:pStyle w:val="WUTCParagraph"/>
        <w:widowControl w:val="0"/>
        <w:tabs>
          <w:tab w:val="left" w:pos="720"/>
        </w:tabs>
      </w:pPr>
      <w:r>
        <w:tab/>
      </w:r>
      <w:r w:rsidRPr="00A83CA8">
        <w:t>A</w:t>
      </w:r>
      <w:r>
        <w:t>.</w:t>
      </w:r>
      <w:r>
        <w:rPr>
          <w:lang w:val="en-US"/>
        </w:rPr>
        <w:t xml:space="preserve">  </w:t>
      </w:r>
      <w:r w:rsidRPr="007340A8">
        <w:t>Yes.  Staff arrived at a $25 million dead band by averaging both the Company’s Base and Actual NPC, on a WCA basis, as reported by Mr. Duvall in UE-130043 Exhibit No.___ (GND-6)</w:t>
      </w:r>
      <w:r w:rsidRPr="007340A8">
        <w:rPr>
          <w:rStyle w:val="FootnoteReference"/>
          <w:bCs/>
        </w:rPr>
        <w:footnoteReference w:id="5"/>
      </w:r>
      <w:r w:rsidRPr="007340A8">
        <w:t xml:space="preserve"> and NPC data derived from Avista’s annual ERM filings.  The NPC data for both companies are provided in Table 1 below.  Staff divided Avista’s existing deadband amount by the average of both Adjusted Actual and Authorized Net NPC for the years shown in Table 1.  The results are shown in Table 2.</w:t>
      </w:r>
      <w:r w:rsidRPr="007340A8">
        <w:rPr>
          <w:rStyle w:val="FootnoteReference"/>
          <w:bCs/>
        </w:rPr>
        <w:footnoteReference w:id="6"/>
      </w:r>
      <w:r w:rsidRPr="007340A8">
        <w:t xml:space="preserve">  The same was done with the average of Pacific Power’s Base and Actual NPC amounts.  These results are also show in Table 2 </w:t>
      </w:r>
      <w:r w:rsidRPr="007340A8">
        <w:lastRenderedPageBreak/>
        <w:t>below.  As a result of this analysis, Staff therefore established 5 percent as a reasonable starting point for Pacific Power’s deadband.</w:t>
      </w:r>
      <w:r w:rsidRPr="007340A8">
        <w:rPr>
          <w:rStyle w:val="FootnoteReference"/>
          <w:bCs/>
        </w:rPr>
        <w:footnoteReference w:id="7"/>
      </w:r>
      <w:r w:rsidRPr="007340A8">
        <w:t xml:space="preserve"> </w:t>
      </w:r>
    </w:p>
    <w:p w14:paraId="5371C1AC" w14:textId="77777777" w:rsidR="0050053B" w:rsidRPr="0050053B" w:rsidRDefault="0050053B" w:rsidP="0050053B">
      <w:pPr>
        <w:pStyle w:val="WUTCParagraph"/>
        <w:numPr>
          <w:ilvl w:val="0"/>
          <w:numId w:val="0"/>
        </w:numPr>
        <w:jc w:val="center"/>
        <w:rPr>
          <w:b/>
        </w:rPr>
      </w:pPr>
      <w:r w:rsidRPr="0050053B">
        <w:rPr>
          <w:b/>
        </w:rPr>
        <w:t xml:space="preserve">Table </w:t>
      </w:r>
      <w:r w:rsidRPr="0050053B">
        <w:rPr>
          <w:b/>
        </w:rPr>
        <w:fldChar w:fldCharType="begin"/>
      </w:r>
      <w:r w:rsidRPr="0050053B">
        <w:rPr>
          <w:b/>
        </w:rPr>
        <w:instrText xml:space="preserve"> SEQ Table \* ARABIC </w:instrText>
      </w:r>
      <w:r w:rsidRPr="0050053B">
        <w:rPr>
          <w:b/>
        </w:rPr>
        <w:fldChar w:fldCharType="separate"/>
      </w:r>
      <w:r w:rsidRPr="0050053B">
        <w:rPr>
          <w:b/>
          <w:noProof/>
        </w:rPr>
        <w:t>1</w:t>
      </w:r>
      <w:r w:rsidRPr="0050053B">
        <w:rPr>
          <w:b/>
        </w:rPr>
        <w:fldChar w:fldCharType="end"/>
      </w:r>
      <w:r w:rsidRPr="0050053B">
        <w:rPr>
          <w:b/>
        </w:rPr>
        <w:t xml:space="preserve"> Historical NPC</w:t>
      </w:r>
    </w:p>
    <w:tbl>
      <w:tblPr>
        <w:tblW w:w="5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8"/>
        <w:gridCol w:w="857"/>
        <w:gridCol w:w="946"/>
        <w:gridCol w:w="858"/>
        <w:gridCol w:w="860"/>
        <w:gridCol w:w="860"/>
        <w:gridCol w:w="860"/>
        <w:gridCol w:w="856"/>
      </w:tblGrid>
      <w:tr w:rsidR="004E4F07" w:rsidRPr="006241FF" w14:paraId="64AA0B4F" w14:textId="77777777" w:rsidTr="0050053B">
        <w:trPr>
          <w:trHeight w:val="300"/>
          <w:jc w:val="center"/>
        </w:trPr>
        <w:tc>
          <w:tcPr>
            <w:tcW w:w="1830" w:type="pct"/>
            <w:shd w:val="clear" w:color="auto" w:fill="auto"/>
            <w:noWrap/>
            <w:vAlign w:val="bottom"/>
            <w:hideMark/>
          </w:tcPr>
          <w:p w14:paraId="22C9AAE0" w14:textId="77777777" w:rsidR="004E4F07" w:rsidRPr="006773C6" w:rsidRDefault="004E4F07" w:rsidP="004E4F07">
            <w:pPr>
              <w:widowControl w:val="0"/>
              <w:rPr>
                <w:b/>
                <w:bCs/>
                <w:sz w:val="18"/>
                <w:szCs w:val="18"/>
              </w:rPr>
            </w:pPr>
          </w:p>
        </w:tc>
        <w:tc>
          <w:tcPr>
            <w:tcW w:w="3170" w:type="pct"/>
            <w:gridSpan w:val="7"/>
            <w:shd w:val="clear" w:color="auto" w:fill="auto"/>
            <w:noWrap/>
            <w:vAlign w:val="bottom"/>
            <w:hideMark/>
          </w:tcPr>
          <w:p w14:paraId="2DAD1922" w14:textId="77777777" w:rsidR="004E4F07" w:rsidRPr="006773C6" w:rsidRDefault="004E4F07" w:rsidP="004E4F07">
            <w:pPr>
              <w:widowControl w:val="0"/>
              <w:jc w:val="center"/>
              <w:rPr>
                <w:b/>
                <w:bCs/>
                <w:sz w:val="18"/>
                <w:szCs w:val="18"/>
              </w:rPr>
            </w:pPr>
            <w:r w:rsidRPr="006241FF">
              <w:rPr>
                <w:b/>
                <w:bCs/>
                <w:sz w:val="18"/>
                <w:szCs w:val="18"/>
              </w:rPr>
              <w:t>In millions</w:t>
            </w:r>
          </w:p>
        </w:tc>
      </w:tr>
      <w:tr w:rsidR="004E4F07" w:rsidRPr="006241FF" w14:paraId="1A7CDDC0" w14:textId="77777777" w:rsidTr="0050053B">
        <w:trPr>
          <w:trHeight w:val="323"/>
          <w:jc w:val="center"/>
        </w:trPr>
        <w:tc>
          <w:tcPr>
            <w:tcW w:w="1830" w:type="pct"/>
            <w:shd w:val="clear" w:color="auto" w:fill="auto"/>
            <w:noWrap/>
            <w:vAlign w:val="bottom"/>
            <w:hideMark/>
          </w:tcPr>
          <w:p w14:paraId="6A80CD5C" w14:textId="77777777" w:rsidR="004E4F07" w:rsidRPr="006773C6" w:rsidRDefault="004E4F07" w:rsidP="004E4F07">
            <w:pPr>
              <w:widowControl w:val="0"/>
              <w:rPr>
                <w:b/>
                <w:bCs/>
                <w:sz w:val="18"/>
                <w:szCs w:val="18"/>
              </w:rPr>
            </w:pPr>
            <w:r w:rsidRPr="006773C6">
              <w:rPr>
                <w:b/>
                <w:bCs/>
                <w:sz w:val="18"/>
                <w:szCs w:val="18"/>
              </w:rPr>
              <w:t> Avista ERM</w:t>
            </w:r>
          </w:p>
        </w:tc>
        <w:tc>
          <w:tcPr>
            <w:tcW w:w="446" w:type="pct"/>
            <w:shd w:val="clear" w:color="auto" w:fill="auto"/>
            <w:noWrap/>
            <w:vAlign w:val="bottom"/>
            <w:hideMark/>
          </w:tcPr>
          <w:p w14:paraId="6A531F55" w14:textId="77777777" w:rsidR="004E4F07" w:rsidRPr="006773C6" w:rsidRDefault="004E4F07" w:rsidP="004E4F07">
            <w:pPr>
              <w:widowControl w:val="0"/>
              <w:jc w:val="center"/>
              <w:rPr>
                <w:b/>
                <w:bCs/>
                <w:sz w:val="18"/>
                <w:szCs w:val="18"/>
              </w:rPr>
            </w:pPr>
            <w:r w:rsidRPr="006773C6">
              <w:rPr>
                <w:b/>
                <w:bCs/>
                <w:sz w:val="18"/>
                <w:szCs w:val="18"/>
              </w:rPr>
              <w:t>2007</w:t>
            </w:r>
          </w:p>
        </w:tc>
        <w:tc>
          <w:tcPr>
            <w:tcW w:w="492" w:type="pct"/>
            <w:shd w:val="clear" w:color="auto" w:fill="auto"/>
            <w:noWrap/>
            <w:vAlign w:val="bottom"/>
            <w:hideMark/>
          </w:tcPr>
          <w:p w14:paraId="11E5E2B6" w14:textId="77777777" w:rsidR="004E4F07" w:rsidRPr="006773C6" w:rsidRDefault="004E4F07" w:rsidP="004E4F07">
            <w:pPr>
              <w:widowControl w:val="0"/>
              <w:jc w:val="center"/>
              <w:rPr>
                <w:b/>
                <w:bCs/>
                <w:sz w:val="18"/>
                <w:szCs w:val="18"/>
              </w:rPr>
            </w:pPr>
            <w:r w:rsidRPr="006773C6">
              <w:rPr>
                <w:b/>
                <w:bCs/>
                <w:sz w:val="18"/>
                <w:szCs w:val="18"/>
              </w:rPr>
              <w:t>2008</w:t>
            </w:r>
          </w:p>
        </w:tc>
        <w:tc>
          <w:tcPr>
            <w:tcW w:w="446" w:type="pct"/>
            <w:shd w:val="clear" w:color="auto" w:fill="auto"/>
            <w:noWrap/>
            <w:vAlign w:val="bottom"/>
            <w:hideMark/>
          </w:tcPr>
          <w:p w14:paraId="3B3729FF" w14:textId="77777777" w:rsidR="004E4F07" w:rsidRPr="006773C6" w:rsidRDefault="004E4F07" w:rsidP="004E4F07">
            <w:pPr>
              <w:widowControl w:val="0"/>
              <w:jc w:val="center"/>
              <w:rPr>
                <w:b/>
                <w:bCs/>
                <w:sz w:val="18"/>
                <w:szCs w:val="18"/>
              </w:rPr>
            </w:pPr>
            <w:r w:rsidRPr="006773C6">
              <w:rPr>
                <w:b/>
                <w:bCs/>
                <w:sz w:val="18"/>
                <w:szCs w:val="18"/>
              </w:rPr>
              <w:t>2009</w:t>
            </w:r>
          </w:p>
        </w:tc>
        <w:tc>
          <w:tcPr>
            <w:tcW w:w="447" w:type="pct"/>
            <w:shd w:val="clear" w:color="auto" w:fill="auto"/>
            <w:noWrap/>
            <w:vAlign w:val="bottom"/>
            <w:hideMark/>
          </w:tcPr>
          <w:p w14:paraId="4E52F939" w14:textId="77777777" w:rsidR="004E4F07" w:rsidRPr="006773C6" w:rsidRDefault="004E4F07" w:rsidP="004E4F07">
            <w:pPr>
              <w:widowControl w:val="0"/>
              <w:jc w:val="center"/>
              <w:rPr>
                <w:b/>
                <w:bCs/>
                <w:sz w:val="18"/>
                <w:szCs w:val="18"/>
              </w:rPr>
            </w:pPr>
            <w:r w:rsidRPr="006773C6">
              <w:rPr>
                <w:b/>
                <w:bCs/>
                <w:sz w:val="18"/>
                <w:szCs w:val="18"/>
              </w:rPr>
              <w:t>2010</w:t>
            </w:r>
            <w:r w:rsidRPr="006241FF">
              <w:rPr>
                <w:rStyle w:val="FootnoteReference"/>
                <w:b/>
                <w:bCs/>
                <w:sz w:val="18"/>
                <w:szCs w:val="18"/>
              </w:rPr>
              <w:footnoteReference w:id="8"/>
            </w:r>
          </w:p>
        </w:tc>
        <w:tc>
          <w:tcPr>
            <w:tcW w:w="447" w:type="pct"/>
            <w:shd w:val="clear" w:color="auto" w:fill="auto"/>
            <w:noWrap/>
            <w:vAlign w:val="bottom"/>
            <w:hideMark/>
          </w:tcPr>
          <w:p w14:paraId="602FD486" w14:textId="77777777" w:rsidR="004E4F07" w:rsidRPr="006773C6" w:rsidRDefault="004E4F07" w:rsidP="004E4F07">
            <w:pPr>
              <w:widowControl w:val="0"/>
              <w:jc w:val="center"/>
              <w:rPr>
                <w:b/>
                <w:bCs/>
                <w:sz w:val="18"/>
                <w:szCs w:val="18"/>
              </w:rPr>
            </w:pPr>
            <w:r w:rsidRPr="006773C6">
              <w:rPr>
                <w:b/>
                <w:bCs/>
                <w:sz w:val="18"/>
                <w:szCs w:val="18"/>
              </w:rPr>
              <w:t>2011</w:t>
            </w:r>
          </w:p>
        </w:tc>
        <w:tc>
          <w:tcPr>
            <w:tcW w:w="447" w:type="pct"/>
            <w:shd w:val="clear" w:color="auto" w:fill="auto"/>
            <w:noWrap/>
            <w:vAlign w:val="bottom"/>
            <w:hideMark/>
          </w:tcPr>
          <w:p w14:paraId="25F90A33" w14:textId="77777777" w:rsidR="004E4F07" w:rsidRPr="006773C6" w:rsidRDefault="004E4F07" w:rsidP="004E4F07">
            <w:pPr>
              <w:widowControl w:val="0"/>
              <w:jc w:val="center"/>
              <w:rPr>
                <w:b/>
                <w:bCs/>
                <w:sz w:val="18"/>
                <w:szCs w:val="18"/>
              </w:rPr>
            </w:pPr>
            <w:r w:rsidRPr="006773C6">
              <w:rPr>
                <w:b/>
                <w:bCs/>
                <w:sz w:val="18"/>
                <w:szCs w:val="18"/>
              </w:rPr>
              <w:t>2012</w:t>
            </w:r>
          </w:p>
        </w:tc>
        <w:tc>
          <w:tcPr>
            <w:tcW w:w="444" w:type="pct"/>
            <w:shd w:val="clear" w:color="auto" w:fill="auto"/>
            <w:noWrap/>
            <w:vAlign w:val="bottom"/>
            <w:hideMark/>
          </w:tcPr>
          <w:p w14:paraId="5E09011F" w14:textId="77777777" w:rsidR="004E4F07" w:rsidRPr="006773C6" w:rsidRDefault="004E4F07" w:rsidP="004E4F07">
            <w:pPr>
              <w:widowControl w:val="0"/>
              <w:jc w:val="center"/>
              <w:rPr>
                <w:b/>
                <w:bCs/>
                <w:sz w:val="18"/>
                <w:szCs w:val="18"/>
              </w:rPr>
            </w:pPr>
            <w:r w:rsidRPr="006773C6">
              <w:rPr>
                <w:b/>
                <w:bCs/>
                <w:sz w:val="18"/>
                <w:szCs w:val="18"/>
              </w:rPr>
              <w:t>2013</w:t>
            </w:r>
          </w:p>
        </w:tc>
      </w:tr>
      <w:tr w:rsidR="004E4F07" w:rsidRPr="006241FF" w14:paraId="28FE9C0C" w14:textId="77777777" w:rsidTr="0050053B">
        <w:trPr>
          <w:trHeight w:val="300"/>
          <w:jc w:val="center"/>
        </w:trPr>
        <w:tc>
          <w:tcPr>
            <w:tcW w:w="1830" w:type="pct"/>
            <w:shd w:val="clear" w:color="auto" w:fill="auto"/>
            <w:noWrap/>
            <w:vAlign w:val="bottom"/>
            <w:hideMark/>
          </w:tcPr>
          <w:p w14:paraId="4353E046" w14:textId="77777777" w:rsidR="004E4F07" w:rsidRPr="006773C6" w:rsidRDefault="004E4F07" w:rsidP="004E4F07">
            <w:pPr>
              <w:widowControl w:val="0"/>
              <w:rPr>
                <w:sz w:val="18"/>
                <w:szCs w:val="18"/>
              </w:rPr>
            </w:pPr>
            <w:r w:rsidRPr="006241FF">
              <w:rPr>
                <w:sz w:val="18"/>
                <w:szCs w:val="18"/>
              </w:rPr>
              <w:t xml:space="preserve">NPC, </w:t>
            </w:r>
            <w:r w:rsidRPr="006773C6">
              <w:rPr>
                <w:sz w:val="18"/>
                <w:szCs w:val="18"/>
              </w:rPr>
              <w:t>Adjusted Actual Net Expense (System)</w:t>
            </w:r>
          </w:p>
        </w:tc>
        <w:tc>
          <w:tcPr>
            <w:tcW w:w="446" w:type="pct"/>
            <w:shd w:val="clear" w:color="auto" w:fill="auto"/>
            <w:noWrap/>
            <w:vAlign w:val="bottom"/>
            <w:hideMark/>
          </w:tcPr>
          <w:p w14:paraId="03CFA8E3" w14:textId="77777777" w:rsidR="004E4F07" w:rsidRPr="006773C6" w:rsidRDefault="004E4F07" w:rsidP="004E4F07">
            <w:pPr>
              <w:widowControl w:val="0"/>
              <w:jc w:val="right"/>
              <w:rPr>
                <w:sz w:val="18"/>
                <w:szCs w:val="18"/>
              </w:rPr>
            </w:pPr>
            <w:r w:rsidRPr="006773C6">
              <w:rPr>
                <w:sz w:val="18"/>
                <w:szCs w:val="18"/>
              </w:rPr>
              <w:t>$161.92</w:t>
            </w:r>
          </w:p>
        </w:tc>
        <w:tc>
          <w:tcPr>
            <w:tcW w:w="492" w:type="pct"/>
            <w:shd w:val="clear" w:color="auto" w:fill="auto"/>
            <w:noWrap/>
            <w:vAlign w:val="bottom"/>
            <w:hideMark/>
          </w:tcPr>
          <w:p w14:paraId="508EBC91" w14:textId="77777777" w:rsidR="004E4F07" w:rsidRPr="006773C6" w:rsidRDefault="004E4F07" w:rsidP="004E4F07">
            <w:pPr>
              <w:widowControl w:val="0"/>
              <w:jc w:val="right"/>
              <w:rPr>
                <w:sz w:val="18"/>
                <w:szCs w:val="18"/>
              </w:rPr>
            </w:pPr>
            <w:r w:rsidRPr="006773C6">
              <w:rPr>
                <w:sz w:val="18"/>
                <w:szCs w:val="18"/>
              </w:rPr>
              <w:t>$174.11</w:t>
            </w:r>
          </w:p>
        </w:tc>
        <w:tc>
          <w:tcPr>
            <w:tcW w:w="446" w:type="pct"/>
            <w:shd w:val="clear" w:color="auto" w:fill="auto"/>
            <w:noWrap/>
            <w:vAlign w:val="bottom"/>
            <w:hideMark/>
          </w:tcPr>
          <w:p w14:paraId="0EE4F80C" w14:textId="77777777" w:rsidR="004E4F07" w:rsidRPr="006773C6" w:rsidRDefault="004E4F07" w:rsidP="004E4F07">
            <w:pPr>
              <w:widowControl w:val="0"/>
              <w:jc w:val="right"/>
              <w:rPr>
                <w:sz w:val="18"/>
                <w:szCs w:val="18"/>
              </w:rPr>
            </w:pPr>
            <w:r w:rsidRPr="006773C6">
              <w:rPr>
                <w:sz w:val="18"/>
                <w:szCs w:val="18"/>
              </w:rPr>
              <w:t>$161.23</w:t>
            </w:r>
          </w:p>
        </w:tc>
        <w:tc>
          <w:tcPr>
            <w:tcW w:w="447" w:type="pct"/>
            <w:shd w:val="clear" w:color="auto" w:fill="auto"/>
            <w:noWrap/>
            <w:vAlign w:val="bottom"/>
            <w:hideMark/>
          </w:tcPr>
          <w:p w14:paraId="010C9105" w14:textId="77777777" w:rsidR="004E4F07" w:rsidRPr="006773C6" w:rsidRDefault="004E4F07" w:rsidP="004E4F07">
            <w:pPr>
              <w:widowControl w:val="0"/>
              <w:jc w:val="center"/>
              <w:rPr>
                <w:sz w:val="18"/>
                <w:szCs w:val="18"/>
              </w:rPr>
            </w:pPr>
            <w:r>
              <w:rPr>
                <w:sz w:val="18"/>
                <w:szCs w:val="18"/>
              </w:rPr>
              <w:t>-</w:t>
            </w:r>
          </w:p>
        </w:tc>
        <w:tc>
          <w:tcPr>
            <w:tcW w:w="447" w:type="pct"/>
            <w:shd w:val="clear" w:color="auto" w:fill="auto"/>
            <w:noWrap/>
            <w:vAlign w:val="bottom"/>
            <w:hideMark/>
          </w:tcPr>
          <w:p w14:paraId="5A242A2E" w14:textId="77777777" w:rsidR="004E4F07" w:rsidRPr="006773C6" w:rsidRDefault="004E4F07" w:rsidP="004E4F07">
            <w:pPr>
              <w:widowControl w:val="0"/>
              <w:jc w:val="right"/>
              <w:rPr>
                <w:sz w:val="18"/>
                <w:szCs w:val="18"/>
              </w:rPr>
            </w:pPr>
            <w:r w:rsidRPr="006773C6">
              <w:rPr>
                <w:sz w:val="18"/>
                <w:szCs w:val="18"/>
              </w:rPr>
              <w:t>$129.16</w:t>
            </w:r>
          </w:p>
        </w:tc>
        <w:tc>
          <w:tcPr>
            <w:tcW w:w="447" w:type="pct"/>
            <w:shd w:val="clear" w:color="auto" w:fill="auto"/>
            <w:noWrap/>
            <w:vAlign w:val="bottom"/>
            <w:hideMark/>
          </w:tcPr>
          <w:p w14:paraId="38731DD9" w14:textId="77777777" w:rsidR="004E4F07" w:rsidRPr="006773C6" w:rsidRDefault="004E4F07" w:rsidP="004E4F07">
            <w:pPr>
              <w:widowControl w:val="0"/>
              <w:jc w:val="right"/>
              <w:rPr>
                <w:sz w:val="18"/>
                <w:szCs w:val="18"/>
              </w:rPr>
            </w:pPr>
            <w:r w:rsidRPr="006773C6">
              <w:rPr>
                <w:sz w:val="18"/>
                <w:szCs w:val="18"/>
              </w:rPr>
              <w:t>$170.59</w:t>
            </w:r>
          </w:p>
        </w:tc>
        <w:tc>
          <w:tcPr>
            <w:tcW w:w="444" w:type="pct"/>
            <w:shd w:val="clear" w:color="auto" w:fill="auto"/>
            <w:noWrap/>
            <w:vAlign w:val="bottom"/>
            <w:hideMark/>
          </w:tcPr>
          <w:p w14:paraId="334CEBCB" w14:textId="77777777" w:rsidR="004E4F07" w:rsidRPr="006773C6" w:rsidRDefault="004E4F07" w:rsidP="004E4F07">
            <w:pPr>
              <w:widowControl w:val="0"/>
              <w:jc w:val="right"/>
              <w:rPr>
                <w:sz w:val="18"/>
                <w:szCs w:val="18"/>
              </w:rPr>
            </w:pPr>
            <w:r w:rsidRPr="006773C6">
              <w:rPr>
                <w:sz w:val="18"/>
                <w:szCs w:val="18"/>
              </w:rPr>
              <w:t>$200.75</w:t>
            </w:r>
          </w:p>
        </w:tc>
      </w:tr>
      <w:tr w:rsidR="004E4F07" w:rsidRPr="006241FF" w14:paraId="553EB3B8" w14:textId="77777777" w:rsidTr="0050053B">
        <w:trPr>
          <w:trHeight w:val="300"/>
          <w:jc w:val="center"/>
        </w:trPr>
        <w:tc>
          <w:tcPr>
            <w:tcW w:w="1830" w:type="pct"/>
            <w:shd w:val="clear" w:color="auto" w:fill="auto"/>
            <w:noWrap/>
            <w:vAlign w:val="bottom"/>
            <w:hideMark/>
          </w:tcPr>
          <w:p w14:paraId="4AB52EE8" w14:textId="77777777" w:rsidR="004E4F07" w:rsidRPr="006773C6" w:rsidRDefault="004E4F07" w:rsidP="004E4F07">
            <w:pPr>
              <w:widowControl w:val="0"/>
              <w:rPr>
                <w:sz w:val="18"/>
                <w:szCs w:val="18"/>
              </w:rPr>
            </w:pPr>
            <w:r w:rsidRPr="006241FF">
              <w:rPr>
                <w:sz w:val="18"/>
                <w:szCs w:val="18"/>
              </w:rPr>
              <w:t xml:space="preserve">NPC, </w:t>
            </w:r>
            <w:r w:rsidRPr="006773C6">
              <w:rPr>
                <w:sz w:val="18"/>
                <w:szCs w:val="18"/>
              </w:rPr>
              <w:t>Authorized Net Expense (System)</w:t>
            </w:r>
          </w:p>
        </w:tc>
        <w:tc>
          <w:tcPr>
            <w:tcW w:w="446" w:type="pct"/>
            <w:shd w:val="clear" w:color="auto" w:fill="auto"/>
            <w:noWrap/>
            <w:vAlign w:val="bottom"/>
            <w:hideMark/>
          </w:tcPr>
          <w:p w14:paraId="23D55D1D" w14:textId="77777777" w:rsidR="004E4F07" w:rsidRPr="006773C6" w:rsidRDefault="004E4F07" w:rsidP="004E4F07">
            <w:pPr>
              <w:widowControl w:val="0"/>
              <w:jc w:val="right"/>
              <w:rPr>
                <w:sz w:val="18"/>
                <w:szCs w:val="18"/>
              </w:rPr>
            </w:pPr>
            <w:r w:rsidRPr="006773C6">
              <w:rPr>
                <w:sz w:val="18"/>
                <w:szCs w:val="18"/>
              </w:rPr>
              <w:t>$108.03</w:t>
            </w:r>
          </w:p>
        </w:tc>
        <w:tc>
          <w:tcPr>
            <w:tcW w:w="492" w:type="pct"/>
            <w:shd w:val="clear" w:color="auto" w:fill="auto"/>
            <w:noWrap/>
            <w:vAlign w:val="bottom"/>
            <w:hideMark/>
          </w:tcPr>
          <w:p w14:paraId="4B61EB6A" w14:textId="77777777" w:rsidR="004E4F07" w:rsidRPr="006773C6" w:rsidRDefault="004E4F07" w:rsidP="004E4F07">
            <w:pPr>
              <w:widowControl w:val="0"/>
              <w:jc w:val="right"/>
              <w:rPr>
                <w:sz w:val="18"/>
                <w:szCs w:val="18"/>
              </w:rPr>
            </w:pPr>
            <w:r w:rsidRPr="006773C6">
              <w:rPr>
                <w:sz w:val="18"/>
                <w:szCs w:val="18"/>
              </w:rPr>
              <w:t>$163.56</w:t>
            </w:r>
          </w:p>
        </w:tc>
        <w:tc>
          <w:tcPr>
            <w:tcW w:w="446" w:type="pct"/>
            <w:shd w:val="clear" w:color="auto" w:fill="auto"/>
            <w:noWrap/>
            <w:vAlign w:val="bottom"/>
            <w:hideMark/>
          </w:tcPr>
          <w:p w14:paraId="06911F19" w14:textId="77777777" w:rsidR="004E4F07" w:rsidRPr="006773C6" w:rsidRDefault="004E4F07" w:rsidP="004E4F07">
            <w:pPr>
              <w:widowControl w:val="0"/>
              <w:jc w:val="right"/>
              <w:rPr>
                <w:sz w:val="18"/>
                <w:szCs w:val="18"/>
              </w:rPr>
            </w:pPr>
            <w:r w:rsidRPr="006773C6">
              <w:rPr>
                <w:sz w:val="18"/>
                <w:szCs w:val="18"/>
              </w:rPr>
              <w:t>$189.80</w:t>
            </w:r>
          </w:p>
        </w:tc>
        <w:tc>
          <w:tcPr>
            <w:tcW w:w="447" w:type="pct"/>
            <w:shd w:val="clear" w:color="auto" w:fill="auto"/>
            <w:noWrap/>
            <w:vAlign w:val="bottom"/>
            <w:hideMark/>
          </w:tcPr>
          <w:p w14:paraId="0862B08B" w14:textId="77777777" w:rsidR="004E4F07" w:rsidRPr="006773C6" w:rsidRDefault="004E4F07" w:rsidP="004E4F07">
            <w:pPr>
              <w:widowControl w:val="0"/>
              <w:jc w:val="center"/>
              <w:rPr>
                <w:sz w:val="18"/>
                <w:szCs w:val="18"/>
              </w:rPr>
            </w:pPr>
            <w:r>
              <w:rPr>
                <w:sz w:val="18"/>
                <w:szCs w:val="18"/>
              </w:rPr>
              <w:t>-</w:t>
            </w:r>
          </w:p>
        </w:tc>
        <w:tc>
          <w:tcPr>
            <w:tcW w:w="447" w:type="pct"/>
            <w:shd w:val="clear" w:color="auto" w:fill="auto"/>
            <w:noWrap/>
            <w:vAlign w:val="bottom"/>
            <w:hideMark/>
          </w:tcPr>
          <w:p w14:paraId="4D1B6949" w14:textId="77777777" w:rsidR="004E4F07" w:rsidRPr="006773C6" w:rsidRDefault="004E4F07" w:rsidP="004E4F07">
            <w:pPr>
              <w:widowControl w:val="0"/>
              <w:jc w:val="right"/>
              <w:rPr>
                <w:sz w:val="18"/>
                <w:szCs w:val="18"/>
              </w:rPr>
            </w:pPr>
            <w:r w:rsidRPr="006773C6">
              <w:rPr>
                <w:sz w:val="18"/>
                <w:szCs w:val="18"/>
              </w:rPr>
              <w:t>$141.31</w:t>
            </w:r>
          </w:p>
        </w:tc>
        <w:tc>
          <w:tcPr>
            <w:tcW w:w="447" w:type="pct"/>
            <w:shd w:val="clear" w:color="auto" w:fill="auto"/>
            <w:noWrap/>
            <w:vAlign w:val="bottom"/>
            <w:hideMark/>
          </w:tcPr>
          <w:p w14:paraId="2FA2F67A" w14:textId="77777777" w:rsidR="004E4F07" w:rsidRPr="006773C6" w:rsidRDefault="004E4F07" w:rsidP="004E4F07">
            <w:pPr>
              <w:widowControl w:val="0"/>
              <w:jc w:val="right"/>
              <w:rPr>
                <w:sz w:val="18"/>
                <w:szCs w:val="18"/>
              </w:rPr>
            </w:pPr>
            <w:r w:rsidRPr="006773C6">
              <w:rPr>
                <w:sz w:val="18"/>
                <w:szCs w:val="18"/>
              </w:rPr>
              <w:t>$197.87</w:t>
            </w:r>
          </w:p>
        </w:tc>
        <w:tc>
          <w:tcPr>
            <w:tcW w:w="444" w:type="pct"/>
            <w:shd w:val="clear" w:color="auto" w:fill="auto"/>
            <w:noWrap/>
            <w:vAlign w:val="bottom"/>
            <w:hideMark/>
          </w:tcPr>
          <w:p w14:paraId="19D681CF" w14:textId="77777777" w:rsidR="004E4F07" w:rsidRPr="006773C6" w:rsidRDefault="004E4F07" w:rsidP="004E4F07">
            <w:pPr>
              <w:widowControl w:val="0"/>
              <w:jc w:val="right"/>
              <w:rPr>
                <w:sz w:val="18"/>
                <w:szCs w:val="18"/>
              </w:rPr>
            </w:pPr>
            <w:r w:rsidRPr="006773C6">
              <w:rPr>
                <w:sz w:val="18"/>
                <w:szCs w:val="18"/>
              </w:rPr>
              <w:t>$181.24</w:t>
            </w:r>
          </w:p>
        </w:tc>
      </w:tr>
      <w:tr w:rsidR="004E4F07" w:rsidRPr="006241FF" w14:paraId="57066CC9" w14:textId="77777777" w:rsidTr="0050053B">
        <w:trPr>
          <w:trHeight w:val="165"/>
          <w:jc w:val="center"/>
        </w:trPr>
        <w:tc>
          <w:tcPr>
            <w:tcW w:w="1830" w:type="pct"/>
            <w:shd w:val="clear" w:color="auto" w:fill="auto"/>
            <w:noWrap/>
            <w:vAlign w:val="bottom"/>
            <w:hideMark/>
          </w:tcPr>
          <w:p w14:paraId="61818BA8" w14:textId="77777777" w:rsidR="004E4F07" w:rsidRPr="006773C6" w:rsidRDefault="004E4F07" w:rsidP="004E4F07">
            <w:pPr>
              <w:widowControl w:val="0"/>
              <w:jc w:val="right"/>
              <w:rPr>
                <w:sz w:val="18"/>
                <w:szCs w:val="18"/>
              </w:rPr>
            </w:pPr>
          </w:p>
        </w:tc>
        <w:tc>
          <w:tcPr>
            <w:tcW w:w="446" w:type="pct"/>
            <w:shd w:val="clear" w:color="auto" w:fill="auto"/>
            <w:noWrap/>
            <w:vAlign w:val="bottom"/>
            <w:hideMark/>
          </w:tcPr>
          <w:p w14:paraId="41D7A8DD" w14:textId="77777777" w:rsidR="004E4F07" w:rsidRPr="006773C6" w:rsidRDefault="004E4F07" w:rsidP="004E4F07">
            <w:pPr>
              <w:widowControl w:val="0"/>
              <w:rPr>
                <w:sz w:val="18"/>
                <w:szCs w:val="18"/>
              </w:rPr>
            </w:pPr>
          </w:p>
        </w:tc>
        <w:tc>
          <w:tcPr>
            <w:tcW w:w="492" w:type="pct"/>
            <w:shd w:val="clear" w:color="auto" w:fill="auto"/>
            <w:noWrap/>
            <w:vAlign w:val="bottom"/>
            <w:hideMark/>
          </w:tcPr>
          <w:p w14:paraId="0975F14B" w14:textId="77777777" w:rsidR="004E4F07" w:rsidRPr="006773C6" w:rsidRDefault="004E4F07" w:rsidP="004E4F07">
            <w:pPr>
              <w:widowControl w:val="0"/>
              <w:rPr>
                <w:sz w:val="18"/>
                <w:szCs w:val="18"/>
              </w:rPr>
            </w:pPr>
          </w:p>
        </w:tc>
        <w:tc>
          <w:tcPr>
            <w:tcW w:w="446" w:type="pct"/>
            <w:shd w:val="clear" w:color="auto" w:fill="auto"/>
            <w:noWrap/>
            <w:vAlign w:val="bottom"/>
            <w:hideMark/>
          </w:tcPr>
          <w:p w14:paraId="0CB676E8" w14:textId="77777777" w:rsidR="004E4F07" w:rsidRPr="006773C6" w:rsidRDefault="004E4F07" w:rsidP="004E4F07">
            <w:pPr>
              <w:widowControl w:val="0"/>
              <w:rPr>
                <w:sz w:val="18"/>
                <w:szCs w:val="18"/>
              </w:rPr>
            </w:pPr>
          </w:p>
        </w:tc>
        <w:tc>
          <w:tcPr>
            <w:tcW w:w="447" w:type="pct"/>
            <w:shd w:val="clear" w:color="auto" w:fill="auto"/>
            <w:noWrap/>
            <w:vAlign w:val="bottom"/>
            <w:hideMark/>
          </w:tcPr>
          <w:p w14:paraId="4EFC5FA6" w14:textId="77777777" w:rsidR="004E4F07" w:rsidRPr="006773C6" w:rsidRDefault="004E4F07" w:rsidP="004E4F07">
            <w:pPr>
              <w:widowControl w:val="0"/>
              <w:rPr>
                <w:sz w:val="18"/>
                <w:szCs w:val="18"/>
              </w:rPr>
            </w:pPr>
          </w:p>
        </w:tc>
        <w:tc>
          <w:tcPr>
            <w:tcW w:w="447" w:type="pct"/>
            <w:shd w:val="clear" w:color="auto" w:fill="auto"/>
            <w:noWrap/>
            <w:vAlign w:val="bottom"/>
            <w:hideMark/>
          </w:tcPr>
          <w:p w14:paraId="42EE3414" w14:textId="77777777" w:rsidR="004E4F07" w:rsidRPr="006773C6" w:rsidRDefault="004E4F07" w:rsidP="004E4F07">
            <w:pPr>
              <w:widowControl w:val="0"/>
              <w:rPr>
                <w:sz w:val="18"/>
                <w:szCs w:val="18"/>
              </w:rPr>
            </w:pPr>
          </w:p>
        </w:tc>
        <w:tc>
          <w:tcPr>
            <w:tcW w:w="447" w:type="pct"/>
            <w:shd w:val="clear" w:color="auto" w:fill="auto"/>
            <w:noWrap/>
            <w:vAlign w:val="bottom"/>
            <w:hideMark/>
          </w:tcPr>
          <w:p w14:paraId="4750B5C3" w14:textId="77777777" w:rsidR="004E4F07" w:rsidRPr="006773C6" w:rsidRDefault="004E4F07" w:rsidP="004E4F07">
            <w:pPr>
              <w:widowControl w:val="0"/>
              <w:rPr>
                <w:sz w:val="18"/>
                <w:szCs w:val="18"/>
              </w:rPr>
            </w:pPr>
          </w:p>
        </w:tc>
        <w:tc>
          <w:tcPr>
            <w:tcW w:w="444" w:type="pct"/>
            <w:shd w:val="clear" w:color="auto" w:fill="auto"/>
            <w:noWrap/>
            <w:vAlign w:val="bottom"/>
            <w:hideMark/>
          </w:tcPr>
          <w:p w14:paraId="7E59D327" w14:textId="77777777" w:rsidR="004E4F07" w:rsidRPr="006773C6" w:rsidRDefault="004E4F07" w:rsidP="004E4F07">
            <w:pPr>
              <w:widowControl w:val="0"/>
              <w:rPr>
                <w:sz w:val="18"/>
                <w:szCs w:val="18"/>
              </w:rPr>
            </w:pPr>
          </w:p>
        </w:tc>
      </w:tr>
      <w:tr w:rsidR="004E4F07" w:rsidRPr="006241FF" w14:paraId="0AAEBDF6" w14:textId="77777777" w:rsidTr="0050053B">
        <w:trPr>
          <w:trHeight w:val="300"/>
          <w:jc w:val="center"/>
        </w:trPr>
        <w:tc>
          <w:tcPr>
            <w:tcW w:w="1830" w:type="pct"/>
            <w:shd w:val="clear" w:color="auto" w:fill="auto"/>
            <w:noWrap/>
            <w:vAlign w:val="bottom"/>
            <w:hideMark/>
          </w:tcPr>
          <w:p w14:paraId="2C885155" w14:textId="77777777" w:rsidR="004E4F07" w:rsidRPr="006773C6" w:rsidRDefault="004E4F07" w:rsidP="004E4F07">
            <w:pPr>
              <w:widowControl w:val="0"/>
              <w:rPr>
                <w:b/>
                <w:bCs/>
                <w:sz w:val="18"/>
                <w:szCs w:val="18"/>
              </w:rPr>
            </w:pPr>
            <w:r w:rsidRPr="006773C6">
              <w:rPr>
                <w:b/>
                <w:bCs/>
                <w:sz w:val="18"/>
                <w:szCs w:val="18"/>
              </w:rPr>
              <w:t>Pacific Power PCAM</w:t>
            </w:r>
            <w:r w:rsidRPr="006241FF">
              <w:rPr>
                <w:rStyle w:val="FootnoteReference"/>
                <w:b/>
                <w:bCs/>
                <w:sz w:val="18"/>
                <w:szCs w:val="18"/>
              </w:rPr>
              <w:footnoteReference w:id="9"/>
            </w:r>
          </w:p>
        </w:tc>
        <w:tc>
          <w:tcPr>
            <w:tcW w:w="446" w:type="pct"/>
            <w:shd w:val="clear" w:color="auto" w:fill="auto"/>
            <w:noWrap/>
            <w:vAlign w:val="bottom"/>
            <w:hideMark/>
          </w:tcPr>
          <w:p w14:paraId="04A4FC74" w14:textId="77777777" w:rsidR="004E4F07" w:rsidRPr="006773C6" w:rsidRDefault="004E4F07" w:rsidP="004E4F07">
            <w:pPr>
              <w:widowControl w:val="0"/>
              <w:jc w:val="center"/>
              <w:rPr>
                <w:b/>
                <w:bCs/>
                <w:sz w:val="18"/>
                <w:szCs w:val="18"/>
              </w:rPr>
            </w:pPr>
            <w:r w:rsidRPr="006773C6">
              <w:rPr>
                <w:b/>
                <w:bCs/>
                <w:sz w:val="18"/>
                <w:szCs w:val="18"/>
              </w:rPr>
              <w:t>2007</w:t>
            </w:r>
          </w:p>
        </w:tc>
        <w:tc>
          <w:tcPr>
            <w:tcW w:w="492" w:type="pct"/>
            <w:shd w:val="clear" w:color="auto" w:fill="auto"/>
            <w:noWrap/>
            <w:vAlign w:val="bottom"/>
            <w:hideMark/>
          </w:tcPr>
          <w:p w14:paraId="4875A80F" w14:textId="77777777" w:rsidR="004E4F07" w:rsidRPr="006773C6" w:rsidRDefault="004E4F07" w:rsidP="004E4F07">
            <w:pPr>
              <w:widowControl w:val="0"/>
              <w:jc w:val="center"/>
              <w:rPr>
                <w:b/>
                <w:bCs/>
                <w:sz w:val="18"/>
                <w:szCs w:val="18"/>
              </w:rPr>
            </w:pPr>
            <w:r w:rsidRPr="006773C6">
              <w:rPr>
                <w:b/>
                <w:bCs/>
                <w:sz w:val="18"/>
                <w:szCs w:val="18"/>
              </w:rPr>
              <w:t>2008</w:t>
            </w:r>
          </w:p>
        </w:tc>
        <w:tc>
          <w:tcPr>
            <w:tcW w:w="446" w:type="pct"/>
            <w:shd w:val="clear" w:color="auto" w:fill="auto"/>
            <w:noWrap/>
            <w:vAlign w:val="bottom"/>
            <w:hideMark/>
          </w:tcPr>
          <w:p w14:paraId="64BD30F2" w14:textId="77777777" w:rsidR="004E4F07" w:rsidRPr="006773C6" w:rsidRDefault="004E4F07" w:rsidP="004E4F07">
            <w:pPr>
              <w:widowControl w:val="0"/>
              <w:jc w:val="center"/>
              <w:rPr>
                <w:b/>
                <w:bCs/>
                <w:sz w:val="18"/>
                <w:szCs w:val="18"/>
              </w:rPr>
            </w:pPr>
            <w:r w:rsidRPr="006773C6">
              <w:rPr>
                <w:b/>
                <w:bCs/>
                <w:sz w:val="18"/>
                <w:szCs w:val="18"/>
              </w:rPr>
              <w:t>2009</w:t>
            </w:r>
          </w:p>
        </w:tc>
        <w:tc>
          <w:tcPr>
            <w:tcW w:w="447" w:type="pct"/>
            <w:shd w:val="clear" w:color="auto" w:fill="auto"/>
            <w:noWrap/>
            <w:vAlign w:val="bottom"/>
            <w:hideMark/>
          </w:tcPr>
          <w:p w14:paraId="490BAA86" w14:textId="77777777" w:rsidR="004E4F07" w:rsidRPr="006773C6" w:rsidRDefault="004E4F07" w:rsidP="004E4F07">
            <w:pPr>
              <w:widowControl w:val="0"/>
              <w:jc w:val="center"/>
              <w:rPr>
                <w:b/>
                <w:bCs/>
                <w:sz w:val="18"/>
                <w:szCs w:val="18"/>
              </w:rPr>
            </w:pPr>
            <w:r w:rsidRPr="006773C6">
              <w:rPr>
                <w:b/>
                <w:bCs/>
                <w:sz w:val="18"/>
                <w:szCs w:val="18"/>
              </w:rPr>
              <w:t>2010</w:t>
            </w:r>
          </w:p>
        </w:tc>
        <w:tc>
          <w:tcPr>
            <w:tcW w:w="447" w:type="pct"/>
            <w:shd w:val="clear" w:color="auto" w:fill="auto"/>
            <w:noWrap/>
            <w:vAlign w:val="bottom"/>
            <w:hideMark/>
          </w:tcPr>
          <w:p w14:paraId="5F99C51F" w14:textId="77777777" w:rsidR="004E4F07" w:rsidRPr="006773C6" w:rsidRDefault="004E4F07" w:rsidP="004E4F07">
            <w:pPr>
              <w:widowControl w:val="0"/>
              <w:jc w:val="center"/>
              <w:rPr>
                <w:b/>
                <w:bCs/>
                <w:sz w:val="18"/>
                <w:szCs w:val="18"/>
              </w:rPr>
            </w:pPr>
            <w:r w:rsidRPr="006773C6">
              <w:rPr>
                <w:b/>
                <w:bCs/>
                <w:sz w:val="18"/>
                <w:szCs w:val="18"/>
              </w:rPr>
              <w:t>2011</w:t>
            </w:r>
          </w:p>
        </w:tc>
        <w:tc>
          <w:tcPr>
            <w:tcW w:w="447" w:type="pct"/>
            <w:shd w:val="clear" w:color="auto" w:fill="auto"/>
            <w:noWrap/>
            <w:vAlign w:val="bottom"/>
            <w:hideMark/>
          </w:tcPr>
          <w:p w14:paraId="292C2C6D" w14:textId="77777777" w:rsidR="004E4F07" w:rsidRPr="006773C6" w:rsidRDefault="004E4F07" w:rsidP="004E4F07">
            <w:pPr>
              <w:widowControl w:val="0"/>
              <w:jc w:val="center"/>
              <w:rPr>
                <w:b/>
                <w:bCs/>
                <w:sz w:val="18"/>
                <w:szCs w:val="18"/>
              </w:rPr>
            </w:pPr>
            <w:r w:rsidRPr="006773C6">
              <w:rPr>
                <w:b/>
                <w:bCs/>
                <w:sz w:val="18"/>
                <w:szCs w:val="18"/>
              </w:rPr>
              <w:t>2012</w:t>
            </w:r>
          </w:p>
        </w:tc>
        <w:tc>
          <w:tcPr>
            <w:tcW w:w="444" w:type="pct"/>
            <w:shd w:val="clear" w:color="auto" w:fill="auto"/>
            <w:noWrap/>
            <w:vAlign w:val="bottom"/>
            <w:hideMark/>
          </w:tcPr>
          <w:p w14:paraId="1EB1163C" w14:textId="77777777" w:rsidR="004E4F07" w:rsidRPr="006773C6" w:rsidRDefault="004E4F07" w:rsidP="004E4F07">
            <w:pPr>
              <w:widowControl w:val="0"/>
              <w:jc w:val="center"/>
              <w:rPr>
                <w:b/>
                <w:bCs/>
                <w:sz w:val="18"/>
                <w:szCs w:val="18"/>
              </w:rPr>
            </w:pPr>
            <w:r w:rsidRPr="006773C6">
              <w:rPr>
                <w:b/>
                <w:bCs/>
                <w:sz w:val="18"/>
                <w:szCs w:val="18"/>
              </w:rPr>
              <w:t>2013</w:t>
            </w:r>
          </w:p>
        </w:tc>
      </w:tr>
      <w:tr w:rsidR="004E4F07" w:rsidRPr="006241FF" w14:paraId="1F5AC731" w14:textId="77777777" w:rsidTr="0050053B">
        <w:trPr>
          <w:trHeight w:val="300"/>
          <w:jc w:val="center"/>
        </w:trPr>
        <w:tc>
          <w:tcPr>
            <w:tcW w:w="1830" w:type="pct"/>
            <w:shd w:val="clear" w:color="auto" w:fill="auto"/>
            <w:noWrap/>
            <w:vAlign w:val="bottom"/>
            <w:hideMark/>
          </w:tcPr>
          <w:p w14:paraId="6CBA48C0" w14:textId="77777777" w:rsidR="004E4F07" w:rsidRPr="006773C6" w:rsidRDefault="004E4F07" w:rsidP="004E4F07">
            <w:pPr>
              <w:widowControl w:val="0"/>
              <w:rPr>
                <w:sz w:val="18"/>
                <w:szCs w:val="18"/>
              </w:rPr>
            </w:pPr>
            <w:r w:rsidRPr="006773C6">
              <w:rPr>
                <w:sz w:val="18"/>
                <w:szCs w:val="18"/>
              </w:rPr>
              <w:t>WCA NPC (Base)</w:t>
            </w:r>
          </w:p>
        </w:tc>
        <w:tc>
          <w:tcPr>
            <w:tcW w:w="446" w:type="pct"/>
            <w:shd w:val="clear" w:color="auto" w:fill="auto"/>
            <w:noWrap/>
            <w:vAlign w:val="bottom"/>
            <w:hideMark/>
          </w:tcPr>
          <w:p w14:paraId="4185EB68" w14:textId="77777777" w:rsidR="004E4F07" w:rsidRPr="006773C6" w:rsidRDefault="004E4F07" w:rsidP="004E4F07">
            <w:pPr>
              <w:widowControl w:val="0"/>
              <w:jc w:val="right"/>
              <w:rPr>
                <w:sz w:val="18"/>
                <w:szCs w:val="18"/>
              </w:rPr>
            </w:pPr>
            <w:r w:rsidRPr="006773C6">
              <w:rPr>
                <w:sz w:val="18"/>
                <w:szCs w:val="18"/>
              </w:rPr>
              <w:t>$410.02</w:t>
            </w:r>
          </w:p>
        </w:tc>
        <w:tc>
          <w:tcPr>
            <w:tcW w:w="492" w:type="pct"/>
            <w:shd w:val="clear" w:color="auto" w:fill="auto"/>
            <w:noWrap/>
            <w:vAlign w:val="bottom"/>
            <w:hideMark/>
          </w:tcPr>
          <w:p w14:paraId="49A4BFC9" w14:textId="77777777" w:rsidR="004E4F07" w:rsidRPr="006773C6" w:rsidRDefault="004E4F07" w:rsidP="004E4F07">
            <w:pPr>
              <w:widowControl w:val="0"/>
              <w:jc w:val="right"/>
              <w:rPr>
                <w:sz w:val="18"/>
                <w:szCs w:val="18"/>
              </w:rPr>
            </w:pPr>
            <w:r w:rsidRPr="006773C6">
              <w:rPr>
                <w:sz w:val="18"/>
                <w:szCs w:val="18"/>
              </w:rPr>
              <w:t>$414.47</w:t>
            </w:r>
          </w:p>
        </w:tc>
        <w:tc>
          <w:tcPr>
            <w:tcW w:w="446" w:type="pct"/>
            <w:shd w:val="clear" w:color="auto" w:fill="auto"/>
            <w:noWrap/>
            <w:vAlign w:val="bottom"/>
            <w:hideMark/>
          </w:tcPr>
          <w:p w14:paraId="505E550A" w14:textId="77777777" w:rsidR="004E4F07" w:rsidRPr="006773C6" w:rsidRDefault="004E4F07" w:rsidP="004E4F07">
            <w:pPr>
              <w:widowControl w:val="0"/>
              <w:jc w:val="right"/>
              <w:rPr>
                <w:sz w:val="18"/>
                <w:szCs w:val="18"/>
              </w:rPr>
            </w:pPr>
            <w:r w:rsidRPr="006773C6">
              <w:rPr>
                <w:sz w:val="18"/>
                <w:szCs w:val="18"/>
              </w:rPr>
              <w:t>$430.88</w:t>
            </w:r>
          </w:p>
        </w:tc>
        <w:tc>
          <w:tcPr>
            <w:tcW w:w="447" w:type="pct"/>
            <w:shd w:val="clear" w:color="auto" w:fill="auto"/>
            <w:noWrap/>
            <w:vAlign w:val="bottom"/>
            <w:hideMark/>
          </w:tcPr>
          <w:p w14:paraId="4DF1445D" w14:textId="77777777" w:rsidR="004E4F07" w:rsidRPr="006773C6" w:rsidRDefault="004E4F07" w:rsidP="004E4F07">
            <w:pPr>
              <w:widowControl w:val="0"/>
              <w:jc w:val="right"/>
              <w:rPr>
                <w:sz w:val="18"/>
                <w:szCs w:val="18"/>
              </w:rPr>
            </w:pPr>
            <w:r w:rsidRPr="006773C6">
              <w:rPr>
                <w:sz w:val="18"/>
                <w:szCs w:val="18"/>
              </w:rPr>
              <w:t>$514.92</w:t>
            </w:r>
          </w:p>
        </w:tc>
        <w:tc>
          <w:tcPr>
            <w:tcW w:w="447" w:type="pct"/>
            <w:shd w:val="clear" w:color="auto" w:fill="auto"/>
            <w:noWrap/>
            <w:vAlign w:val="bottom"/>
            <w:hideMark/>
          </w:tcPr>
          <w:p w14:paraId="3BD8748F" w14:textId="77777777" w:rsidR="004E4F07" w:rsidRPr="006773C6" w:rsidRDefault="004E4F07" w:rsidP="004E4F07">
            <w:pPr>
              <w:widowControl w:val="0"/>
              <w:jc w:val="right"/>
              <w:rPr>
                <w:sz w:val="18"/>
                <w:szCs w:val="18"/>
              </w:rPr>
            </w:pPr>
            <w:r w:rsidRPr="006773C6">
              <w:rPr>
                <w:sz w:val="18"/>
                <w:szCs w:val="18"/>
              </w:rPr>
              <w:t>$529.78</w:t>
            </w:r>
          </w:p>
        </w:tc>
        <w:tc>
          <w:tcPr>
            <w:tcW w:w="447" w:type="pct"/>
            <w:shd w:val="clear" w:color="auto" w:fill="auto"/>
            <w:noWrap/>
            <w:vAlign w:val="bottom"/>
            <w:hideMark/>
          </w:tcPr>
          <w:p w14:paraId="79FC6471" w14:textId="77777777" w:rsidR="004E4F07" w:rsidRPr="006773C6" w:rsidRDefault="004E4F07" w:rsidP="004E4F07">
            <w:pPr>
              <w:widowControl w:val="0"/>
              <w:jc w:val="right"/>
              <w:rPr>
                <w:sz w:val="18"/>
                <w:szCs w:val="18"/>
              </w:rPr>
            </w:pPr>
            <w:r w:rsidRPr="006773C6">
              <w:rPr>
                <w:sz w:val="18"/>
                <w:szCs w:val="18"/>
              </w:rPr>
              <w:t>$543.73</w:t>
            </w:r>
          </w:p>
        </w:tc>
        <w:tc>
          <w:tcPr>
            <w:tcW w:w="444" w:type="pct"/>
            <w:shd w:val="clear" w:color="auto" w:fill="auto"/>
            <w:noWrap/>
            <w:vAlign w:val="bottom"/>
            <w:hideMark/>
          </w:tcPr>
          <w:p w14:paraId="62A642BA" w14:textId="77777777" w:rsidR="004E4F07" w:rsidRPr="006773C6" w:rsidRDefault="004E4F07" w:rsidP="004E4F07">
            <w:pPr>
              <w:widowControl w:val="0"/>
              <w:jc w:val="right"/>
              <w:rPr>
                <w:sz w:val="18"/>
                <w:szCs w:val="18"/>
              </w:rPr>
            </w:pPr>
            <w:r w:rsidRPr="006773C6">
              <w:rPr>
                <w:sz w:val="18"/>
                <w:szCs w:val="18"/>
              </w:rPr>
              <w:t>$547.10</w:t>
            </w:r>
          </w:p>
        </w:tc>
      </w:tr>
      <w:tr w:rsidR="004E4F07" w:rsidRPr="006241FF" w14:paraId="2D346BAB" w14:textId="77777777" w:rsidTr="0050053B">
        <w:trPr>
          <w:trHeight w:val="300"/>
          <w:jc w:val="center"/>
        </w:trPr>
        <w:tc>
          <w:tcPr>
            <w:tcW w:w="1830" w:type="pct"/>
            <w:shd w:val="clear" w:color="auto" w:fill="auto"/>
            <w:noWrap/>
            <w:vAlign w:val="bottom"/>
            <w:hideMark/>
          </w:tcPr>
          <w:p w14:paraId="789872AC" w14:textId="108B242A" w:rsidR="004E4F07" w:rsidRPr="006773C6" w:rsidRDefault="004E4F07" w:rsidP="004E4F07">
            <w:pPr>
              <w:widowControl w:val="0"/>
              <w:rPr>
                <w:sz w:val="18"/>
                <w:szCs w:val="18"/>
              </w:rPr>
            </w:pPr>
            <w:r w:rsidRPr="006773C6">
              <w:rPr>
                <w:sz w:val="18"/>
                <w:szCs w:val="18"/>
              </w:rPr>
              <w:t>WCA NPC (Actual)</w:t>
            </w:r>
          </w:p>
        </w:tc>
        <w:tc>
          <w:tcPr>
            <w:tcW w:w="446" w:type="pct"/>
            <w:shd w:val="clear" w:color="auto" w:fill="auto"/>
            <w:noWrap/>
            <w:vAlign w:val="bottom"/>
            <w:hideMark/>
          </w:tcPr>
          <w:p w14:paraId="0B742274" w14:textId="77777777" w:rsidR="004E4F07" w:rsidRPr="006773C6" w:rsidRDefault="004E4F07" w:rsidP="004E4F07">
            <w:pPr>
              <w:widowControl w:val="0"/>
              <w:jc w:val="right"/>
              <w:rPr>
                <w:sz w:val="18"/>
                <w:szCs w:val="18"/>
              </w:rPr>
            </w:pPr>
            <w:r w:rsidRPr="006773C6">
              <w:rPr>
                <w:sz w:val="18"/>
                <w:szCs w:val="18"/>
              </w:rPr>
              <w:t>$498.73</w:t>
            </w:r>
          </w:p>
        </w:tc>
        <w:tc>
          <w:tcPr>
            <w:tcW w:w="492" w:type="pct"/>
            <w:shd w:val="clear" w:color="auto" w:fill="auto"/>
            <w:noWrap/>
            <w:vAlign w:val="bottom"/>
            <w:hideMark/>
          </w:tcPr>
          <w:p w14:paraId="015A7A43" w14:textId="77777777" w:rsidR="004E4F07" w:rsidRPr="006773C6" w:rsidRDefault="004E4F07" w:rsidP="004E4F07">
            <w:pPr>
              <w:widowControl w:val="0"/>
              <w:jc w:val="right"/>
              <w:rPr>
                <w:sz w:val="18"/>
                <w:szCs w:val="18"/>
              </w:rPr>
            </w:pPr>
            <w:r w:rsidRPr="006773C6">
              <w:rPr>
                <w:sz w:val="18"/>
                <w:szCs w:val="18"/>
              </w:rPr>
              <w:t>$518.48</w:t>
            </w:r>
          </w:p>
        </w:tc>
        <w:tc>
          <w:tcPr>
            <w:tcW w:w="446" w:type="pct"/>
            <w:shd w:val="clear" w:color="auto" w:fill="auto"/>
            <w:noWrap/>
            <w:vAlign w:val="bottom"/>
            <w:hideMark/>
          </w:tcPr>
          <w:p w14:paraId="0710FFB6" w14:textId="77777777" w:rsidR="004E4F07" w:rsidRPr="006773C6" w:rsidRDefault="004E4F07" w:rsidP="004E4F07">
            <w:pPr>
              <w:widowControl w:val="0"/>
              <w:jc w:val="right"/>
              <w:rPr>
                <w:sz w:val="18"/>
                <w:szCs w:val="18"/>
              </w:rPr>
            </w:pPr>
            <w:r w:rsidRPr="006773C6">
              <w:rPr>
                <w:sz w:val="18"/>
                <w:szCs w:val="18"/>
              </w:rPr>
              <w:t>$479.98</w:t>
            </w:r>
          </w:p>
        </w:tc>
        <w:tc>
          <w:tcPr>
            <w:tcW w:w="447" w:type="pct"/>
            <w:shd w:val="clear" w:color="auto" w:fill="auto"/>
            <w:noWrap/>
            <w:vAlign w:val="bottom"/>
            <w:hideMark/>
          </w:tcPr>
          <w:p w14:paraId="322E9268" w14:textId="77777777" w:rsidR="004E4F07" w:rsidRPr="006773C6" w:rsidRDefault="004E4F07" w:rsidP="004E4F07">
            <w:pPr>
              <w:widowControl w:val="0"/>
              <w:jc w:val="right"/>
              <w:rPr>
                <w:sz w:val="18"/>
                <w:szCs w:val="18"/>
              </w:rPr>
            </w:pPr>
            <w:r w:rsidRPr="006773C6">
              <w:rPr>
                <w:sz w:val="18"/>
                <w:szCs w:val="18"/>
              </w:rPr>
              <w:t>$493.76</w:t>
            </w:r>
          </w:p>
        </w:tc>
        <w:tc>
          <w:tcPr>
            <w:tcW w:w="447" w:type="pct"/>
            <w:shd w:val="clear" w:color="auto" w:fill="auto"/>
            <w:noWrap/>
            <w:vAlign w:val="bottom"/>
            <w:hideMark/>
          </w:tcPr>
          <w:p w14:paraId="3FB361FB" w14:textId="77777777" w:rsidR="004E4F07" w:rsidRPr="006773C6" w:rsidRDefault="004E4F07" w:rsidP="004E4F07">
            <w:pPr>
              <w:widowControl w:val="0"/>
              <w:jc w:val="right"/>
              <w:rPr>
                <w:sz w:val="18"/>
                <w:szCs w:val="18"/>
              </w:rPr>
            </w:pPr>
            <w:r w:rsidRPr="006773C6">
              <w:rPr>
                <w:sz w:val="18"/>
                <w:szCs w:val="18"/>
              </w:rPr>
              <w:t>$546.79</w:t>
            </w:r>
          </w:p>
        </w:tc>
        <w:tc>
          <w:tcPr>
            <w:tcW w:w="447" w:type="pct"/>
            <w:shd w:val="clear" w:color="auto" w:fill="auto"/>
            <w:noWrap/>
            <w:vAlign w:val="bottom"/>
            <w:hideMark/>
          </w:tcPr>
          <w:p w14:paraId="5FC2B33C" w14:textId="77777777" w:rsidR="004E4F07" w:rsidRPr="006773C6" w:rsidRDefault="004E4F07" w:rsidP="004E4F07">
            <w:pPr>
              <w:widowControl w:val="0"/>
              <w:jc w:val="right"/>
              <w:rPr>
                <w:sz w:val="18"/>
                <w:szCs w:val="18"/>
              </w:rPr>
            </w:pPr>
            <w:r w:rsidRPr="006773C6">
              <w:rPr>
                <w:sz w:val="18"/>
                <w:szCs w:val="18"/>
              </w:rPr>
              <w:t>$532.14</w:t>
            </w:r>
          </w:p>
        </w:tc>
        <w:tc>
          <w:tcPr>
            <w:tcW w:w="444" w:type="pct"/>
            <w:shd w:val="clear" w:color="auto" w:fill="auto"/>
            <w:noWrap/>
            <w:vAlign w:val="bottom"/>
            <w:hideMark/>
          </w:tcPr>
          <w:p w14:paraId="4B62ED3F" w14:textId="77777777" w:rsidR="004E4F07" w:rsidRPr="006773C6" w:rsidRDefault="004E4F07" w:rsidP="004E4F07">
            <w:pPr>
              <w:widowControl w:val="0"/>
              <w:jc w:val="right"/>
              <w:rPr>
                <w:sz w:val="18"/>
                <w:szCs w:val="18"/>
              </w:rPr>
            </w:pPr>
            <w:r w:rsidRPr="006773C6">
              <w:rPr>
                <w:sz w:val="18"/>
                <w:szCs w:val="18"/>
              </w:rPr>
              <w:t>$580.30</w:t>
            </w:r>
          </w:p>
        </w:tc>
      </w:tr>
    </w:tbl>
    <w:p w14:paraId="3A43A970" w14:textId="77777777" w:rsidR="004E4F07" w:rsidRDefault="004E4F07" w:rsidP="004E4F07">
      <w:pPr>
        <w:pStyle w:val="WUTCParagraph"/>
        <w:widowControl w:val="0"/>
        <w:numPr>
          <w:ilvl w:val="0"/>
          <w:numId w:val="0"/>
        </w:numPr>
        <w:spacing w:line="240" w:lineRule="auto"/>
      </w:pPr>
    </w:p>
    <w:p w14:paraId="0A5CBC90" w14:textId="77777777" w:rsidR="0050053B" w:rsidRPr="0050053B" w:rsidRDefault="0050053B" w:rsidP="0050053B">
      <w:pPr>
        <w:pStyle w:val="WUTCParagraph"/>
        <w:widowControl w:val="0"/>
        <w:numPr>
          <w:ilvl w:val="0"/>
          <w:numId w:val="0"/>
        </w:numPr>
        <w:tabs>
          <w:tab w:val="clear" w:pos="1440"/>
        </w:tabs>
        <w:spacing w:line="240" w:lineRule="auto"/>
        <w:jc w:val="center"/>
        <w:rPr>
          <w:b/>
        </w:rPr>
      </w:pPr>
      <w:r w:rsidRPr="0050053B">
        <w:rPr>
          <w:b/>
        </w:rPr>
        <w:t xml:space="preserve">Table </w:t>
      </w:r>
      <w:r w:rsidRPr="0050053B">
        <w:rPr>
          <w:b/>
        </w:rPr>
        <w:fldChar w:fldCharType="begin"/>
      </w:r>
      <w:r w:rsidRPr="0050053B">
        <w:rPr>
          <w:b/>
        </w:rPr>
        <w:instrText xml:space="preserve"> SEQ Table \* ARABIC </w:instrText>
      </w:r>
      <w:r w:rsidRPr="0050053B">
        <w:rPr>
          <w:b/>
        </w:rPr>
        <w:fldChar w:fldCharType="separate"/>
      </w:r>
      <w:r w:rsidRPr="0050053B">
        <w:rPr>
          <w:b/>
        </w:rPr>
        <w:t>2</w:t>
      </w:r>
      <w:r w:rsidRPr="0050053B">
        <w:rPr>
          <w:b/>
        </w:rPr>
        <w:fldChar w:fldCharType="end"/>
      </w:r>
      <w:r w:rsidRPr="0050053B">
        <w:rPr>
          <w:b/>
        </w:rPr>
        <w:t>, Deadband Design</w:t>
      </w:r>
    </w:p>
    <w:p w14:paraId="7C416D51" w14:textId="77777777" w:rsidR="0050053B" w:rsidRPr="00EA6E35" w:rsidRDefault="0050053B" w:rsidP="004E4F07">
      <w:pPr>
        <w:pStyle w:val="WUTCParagraph"/>
        <w:widowControl w:val="0"/>
        <w:numPr>
          <w:ilvl w:val="0"/>
          <w:numId w:val="0"/>
        </w:numPr>
        <w:spacing w:line="240" w:lineRule="auto"/>
      </w:pPr>
    </w:p>
    <w:tbl>
      <w:tblPr>
        <w:tblW w:w="8280" w:type="dxa"/>
        <w:jc w:val="center"/>
        <w:tblLook w:val="04A0" w:firstRow="1" w:lastRow="0" w:firstColumn="1" w:lastColumn="0" w:noHBand="0" w:noVBand="1"/>
      </w:tblPr>
      <w:tblGrid>
        <w:gridCol w:w="4410"/>
        <w:gridCol w:w="1800"/>
        <w:gridCol w:w="2070"/>
      </w:tblGrid>
      <w:tr w:rsidR="004E4F07" w:rsidRPr="003A6ACC" w14:paraId="2CDC945C" w14:textId="77777777" w:rsidTr="005134E9">
        <w:trPr>
          <w:trHeight w:val="575"/>
          <w:jc w:val="center"/>
        </w:trPr>
        <w:tc>
          <w:tcPr>
            <w:tcW w:w="4410" w:type="dxa"/>
            <w:tcBorders>
              <w:top w:val="single" w:sz="4" w:space="0" w:color="auto"/>
              <w:left w:val="nil"/>
              <w:bottom w:val="single" w:sz="4" w:space="0" w:color="auto"/>
              <w:right w:val="nil"/>
            </w:tcBorders>
            <w:shd w:val="clear" w:color="auto" w:fill="auto"/>
            <w:noWrap/>
            <w:vAlign w:val="bottom"/>
            <w:hideMark/>
          </w:tcPr>
          <w:p w14:paraId="34850453" w14:textId="77777777" w:rsidR="004E4F07" w:rsidRPr="003A6ACC" w:rsidRDefault="004E4F07" w:rsidP="004E4F07">
            <w:pPr>
              <w:widowControl w:val="0"/>
              <w:rPr>
                <w:b/>
                <w:bCs/>
                <w:sz w:val="18"/>
                <w:szCs w:val="18"/>
              </w:rPr>
            </w:pPr>
            <w:r>
              <w:rPr>
                <w:szCs w:val="24"/>
              </w:rPr>
              <w:t xml:space="preserve"> </w:t>
            </w:r>
          </w:p>
        </w:tc>
        <w:tc>
          <w:tcPr>
            <w:tcW w:w="1800" w:type="dxa"/>
            <w:tcBorders>
              <w:top w:val="single" w:sz="4" w:space="0" w:color="auto"/>
              <w:left w:val="nil"/>
              <w:bottom w:val="single" w:sz="4" w:space="0" w:color="auto"/>
              <w:right w:val="single" w:sz="4" w:space="0" w:color="auto"/>
            </w:tcBorders>
            <w:shd w:val="clear" w:color="auto" w:fill="auto"/>
            <w:hideMark/>
          </w:tcPr>
          <w:p w14:paraId="6E03B3B9" w14:textId="77777777" w:rsidR="004E4F07" w:rsidRPr="003A6ACC" w:rsidRDefault="004E4F07" w:rsidP="004E4F07">
            <w:pPr>
              <w:widowControl w:val="0"/>
              <w:rPr>
                <w:sz w:val="18"/>
                <w:szCs w:val="18"/>
              </w:rPr>
            </w:pPr>
            <w:r w:rsidRPr="003A6ACC">
              <w:rPr>
                <w:sz w:val="18"/>
                <w:szCs w:val="18"/>
              </w:rPr>
              <w:t>Deadband as a percent of NPC Avg.</w:t>
            </w:r>
            <w:r>
              <w:rPr>
                <w:sz w:val="18"/>
                <w:szCs w:val="18"/>
              </w:rPr>
              <w:t xml:space="preserve"> 2007 - 2013</w:t>
            </w:r>
          </w:p>
        </w:tc>
        <w:tc>
          <w:tcPr>
            <w:tcW w:w="2070" w:type="dxa"/>
            <w:tcBorders>
              <w:top w:val="single" w:sz="4" w:space="0" w:color="auto"/>
              <w:left w:val="single" w:sz="4" w:space="0" w:color="auto"/>
              <w:bottom w:val="single" w:sz="4" w:space="0" w:color="auto"/>
              <w:right w:val="nil"/>
            </w:tcBorders>
            <w:shd w:val="clear" w:color="auto" w:fill="auto"/>
            <w:hideMark/>
          </w:tcPr>
          <w:p w14:paraId="1F12BCAA" w14:textId="77777777" w:rsidR="004E4F07" w:rsidRPr="003A6ACC" w:rsidRDefault="004E4F07" w:rsidP="004E4F07">
            <w:pPr>
              <w:widowControl w:val="0"/>
              <w:rPr>
                <w:sz w:val="18"/>
                <w:szCs w:val="18"/>
              </w:rPr>
            </w:pPr>
            <w:r w:rsidRPr="003A6ACC">
              <w:rPr>
                <w:sz w:val="18"/>
                <w:szCs w:val="18"/>
              </w:rPr>
              <w:t>Amount in millions when percentage is applied to NPC Avg.</w:t>
            </w:r>
            <w:r>
              <w:rPr>
                <w:sz w:val="18"/>
                <w:szCs w:val="18"/>
              </w:rPr>
              <w:t xml:space="preserve"> 2007 - 2013</w:t>
            </w:r>
          </w:p>
        </w:tc>
      </w:tr>
      <w:tr w:rsidR="004E4F07" w:rsidRPr="003A6ACC" w14:paraId="3A0AF842" w14:textId="77777777" w:rsidTr="005134E9">
        <w:trPr>
          <w:trHeight w:val="300"/>
          <w:jc w:val="center"/>
        </w:trPr>
        <w:tc>
          <w:tcPr>
            <w:tcW w:w="4410" w:type="dxa"/>
            <w:tcBorders>
              <w:top w:val="nil"/>
              <w:left w:val="nil"/>
              <w:bottom w:val="single" w:sz="4" w:space="0" w:color="auto"/>
              <w:right w:val="nil"/>
            </w:tcBorders>
            <w:shd w:val="clear" w:color="auto" w:fill="auto"/>
            <w:noWrap/>
            <w:vAlign w:val="bottom"/>
            <w:hideMark/>
          </w:tcPr>
          <w:p w14:paraId="253455A8" w14:textId="77777777" w:rsidR="004E4F07" w:rsidRPr="003A6ACC" w:rsidRDefault="004E4F07" w:rsidP="004E4F07">
            <w:pPr>
              <w:widowControl w:val="0"/>
              <w:rPr>
                <w:b/>
                <w:bCs/>
                <w:sz w:val="18"/>
                <w:szCs w:val="18"/>
              </w:rPr>
            </w:pPr>
            <w:r w:rsidRPr="003A6ACC">
              <w:rPr>
                <w:b/>
                <w:bCs/>
                <w:sz w:val="18"/>
                <w:szCs w:val="18"/>
              </w:rPr>
              <w:t> Avista ERM @ $4 million deadband</w:t>
            </w:r>
            <w:r>
              <w:rPr>
                <w:b/>
                <w:bCs/>
                <w:sz w:val="18"/>
                <w:szCs w:val="18"/>
              </w:rPr>
              <w:t xml:space="preserve"> – 2006 to present</w:t>
            </w:r>
          </w:p>
        </w:tc>
        <w:tc>
          <w:tcPr>
            <w:tcW w:w="1800" w:type="dxa"/>
            <w:tcBorders>
              <w:top w:val="nil"/>
              <w:left w:val="nil"/>
              <w:bottom w:val="nil"/>
              <w:right w:val="single" w:sz="4" w:space="0" w:color="auto"/>
            </w:tcBorders>
            <w:shd w:val="clear" w:color="auto" w:fill="auto"/>
            <w:noWrap/>
            <w:vAlign w:val="bottom"/>
            <w:hideMark/>
          </w:tcPr>
          <w:p w14:paraId="63C6C567" w14:textId="77777777" w:rsidR="004E4F07" w:rsidRPr="003A6ACC" w:rsidRDefault="004E4F07" w:rsidP="004E4F07">
            <w:pPr>
              <w:widowControl w:val="0"/>
              <w:rPr>
                <w:b/>
                <w:bCs/>
                <w:sz w:val="18"/>
                <w:szCs w:val="18"/>
              </w:rPr>
            </w:pPr>
          </w:p>
        </w:tc>
        <w:tc>
          <w:tcPr>
            <w:tcW w:w="2070" w:type="dxa"/>
            <w:tcBorders>
              <w:top w:val="nil"/>
              <w:left w:val="single" w:sz="4" w:space="0" w:color="auto"/>
              <w:bottom w:val="nil"/>
              <w:right w:val="nil"/>
            </w:tcBorders>
            <w:shd w:val="clear" w:color="auto" w:fill="auto"/>
            <w:noWrap/>
            <w:vAlign w:val="bottom"/>
            <w:hideMark/>
          </w:tcPr>
          <w:p w14:paraId="5B8FE32C" w14:textId="77777777" w:rsidR="004E4F07" w:rsidRPr="003A6ACC" w:rsidRDefault="004E4F07" w:rsidP="004E4F07">
            <w:pPr>
              <w:widowControl w:val="0"/>
              <w:rPr>
                <w:sz w:val="18"/>
                <w:szCs w:val="18"/>
              </w:rPr>
            </w:pPr>
          </w:p>
        </w:tc>
      </w:tr>
      <w:tr w:rsidR="004E4F07" w:rsidRPr="003A6ACC" w14:paraId="083695FA" w14:textId="77777777" w:rsidTr="005134E9">
        <w:trPr>
          <w:trHeight w:val="300"/>
          <w:jc w:val="center"/>
        </w:trPr>
        <w:tc>
          <w:tcPr>
            <w:tcW w:w="4410" w:type="dxa"/>
            <w:tcBorders>
              <w:top w:val="single" w:sz="4" w:space="0" w:color="auto"/>
              <w:left w:val="nil"/>
              <w:bottom w:val="single" w:sz="4" w:space="0" w:color="auto"/>
              <w:right w:val="nil"/>
            </w:tcBorders>
            <w:shd w:val="clear" w:color="auto" w:fill="auto"/>
            <w:noWrap/>
            <w:vAlign w:val="bottom"/>
            <w:hideMark/>
          </w:tcPr>
          <w:p w14:paraId="51E2DDAF" w14:textId="77777777" w:rsidR="004E4F07" w:rsidRPr="003A6ACC" w:rsidRDefault="004E4F07" w:rsidP="004E4F07">
            <w:pPr>
              <w:widowControl w:val="0"/>
              <w:rPr>
                <w:sz w:val="18"/>
                <w:szCs w:val="18"/>
              </w:rPr>
            </w:pPr>
            <w:r w:rsidRPr="003A6ACC">
              <w:rPr>
                <w:sz w:val="18"/>
                <w:szCs w:val="18"/>
              </w:rPr>
              <w:t>Adjusted Actual Net Expense (System)</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75F5706" w14:textId="77777777" w:rsidR="004E4F07" w:rsidRPr="003A6ACC" w:rsidRDefault="004E4F07" w:rsidP="004E4F07">
            <w:pPr>
              <w:widowControl w:val="0"/>
              <w:jc w:val="right"/>
              <w:rPr>
                <w:sz w:val="18"/>
                <w:szCs w:val="18"/>
              </w:rPr>
            </w:pPr>
            <w:r w:rsidRPr="003A6ACC">
              <w:rPr>
                <w:sz w:val="18"/>
                <w:szCs w:val="18"/>
              </w:rPr>
              <w:t>2.4%</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6F9A297D" w14:textId="77777777" w:rsidR="004E4F07" w:rsidRPr="003A6ACC" w:rsidRDefault="004E4F07" w:rsidP="004E4F07">
            <w:pPr>
              <w:widowControl w:val="0"/>
              <w:jc w:val="right"/>
              <w:rPr>
                <w:sz w:val="18"/>
                <w:szCs w:val="18"/>
              </w:rPr>
            </w:pPr>
            <w:r w:rsidRPr="003A6ACC">
              <w:rPr>
                <w:sz w:val="18"/>
                <w:szCs w:val="18"/>
              </w:rPr>
              <w:t>$3.99</w:t>
            </w:r>
          </w:p>
        </w:tc>
      </w:tr>
      <w:tr w:rsidR="004E4F07" w:rsidRPr="003A6ACC" w14:paraId="3FC173AE" w14:textId="77777777" w:rsidTr="005134E9">
        <w:trPr>
          <w:trHeight w:val="300"/>
          <w:jc w:val="center"/>
        </w:trPr>
        <w:tc>
          <w:tcPr>
            <w:tcW w:w="4410" w:type="dxa"/>
            <w:tcBorders>
              <w:top w:val="nil"/>
              <w:left w:val="nil"/>
              <w:bottom w:val="single" w:sz="4" w:space="0" w:color="auto"/>
              <w:right w:val="nil"/>
            </w:tcBorders>
            <w:shd w:val="clear" w:color="auto" w:fill="auto"/>
            <w:noWrap/>
            <w:vAlign w:val="bottom"/>
            <w:hideMark/>
          </w:tcPr>
          <w:p w14:paraId="31244B26" w14:textId="77777777" w:rsidR="004E4F07" w:rsidRPr="003A6ACC" w:rsidRDefault="004E4F07" w:rsidP="004E4F07">
            <w:pPr>
              <w:widowControl w:val="0"/>
              <w:rPr>
                <w:sz w:val="18"/>
                <w:szCs w:val="18"/>
              </w:rPr>
            </w:pPr>
            <w:r w:rsidRPr="003A6ACC">
              <w:rPr>
                <w:sz w:val="18"/>
                <w:szCs w:val="18"/>
              </w:rPr>
              <w:t>Authorized Net Expense (System)</w:t>
            </w:r>
          </w:p>
        </w:tc>
        <w:tc>
          <w:tcPr>
            <w:tcW w:w="1800" w:type="dxa"/>
            <w:tcBorders>
              <w:top w:val="nil"/>
              <w:left w:val="nil"/>
              <w:bottom w:val="single" w:sz="4" w:space="0" w:color="auto"/>
              <w:right w:val="single" w:sz="4" w:space="0" w:color="auto"/>
            </w:tcBorders>
            <w:shd w:val="clear" w:color="auto" w:fill="auto"/>
            <w:noWrap/>
            <w:vAlign w:val="bottom"/>
            <w:hideMark/>
          </w:tcPr>
          <w:p w14:paraId="5863B48A" w14:textId="77777777" w:rsidR="004E4F07" w:rsidRPr="003A6ACC" w:rsidRDefault="004E4F07" w:rsidP="004E4F07">
            <w:pPr>
              <w:widowControl w:val="0"/>
              <w:jc w:val="right"/>
              <w:rPr>
                <w:sz w:val="18"/>
                <w:szCs w:val="18"/>
              </w:rPr>
            </w:pPr>
            <w:r w:rsidRPr="003A6ACC">
              <w:rPr>
                <w:sz w:val="18"/>
                <w:szCs w:val="18"/>
              </w:rPr>
              <w:t>2.4%</w:t>
            </w:r>
          </w:p>
        </w:tc>
        <w:tc>
          <w:tcPr>
            <w:tcW w:w="2070" w:type="dxa"/>
            <w:tcBorders>
              <w:top w:val="nil"/>
              <w:left w:val="single" w:sz="4" w:space="0" w:color="auto"/>
              <w:bottom w:val="single" w:sz="4" w:space="0" w:color="auto"/>
              <w:right w:val="nil"/>
            </w:tcBorders>
            <w:shd w:val="clear" w:color="auto" w:fill="auto"/>
            <w:noWrap/>
            <w:vAlign w:val="bottom"/>
            <w:hideMark/>
          </w:tcPr>
          <w:p w14:paraId="0411F3C5" w14:textId="77777777" w:rsidR="004E4F07" w:rsidRPr="003A6ACC" w:rsidRDefault="004E4F07" w:rsidP="004E4F07">
            <w:pPr>
              <w:widowControl w:val="0"/>
              <w:jc w:val="right"/>
              <w:rPr>
                <w:sz w:val="18"/>
                <w:szCs w:val="18"/>
              </w:rPr>
            </w:pPr>
            <w:r w:rsidRPr="003A6ACC">
              <w:rPr>
                <w:sz w:val="18"/>
                <w:szCs w:val="18"/>
              </w:rPr>
              <w:t>$3.93</w:t>
            </w:r>
          </w:p>
        </w:tc>
      </w:tr>
      <w:tr w:rsidR="004E4F07" w:rsidRPr="003A6ACC" w14:paraId="510774DE" w14:textId="77777777" w:rsidTr="005134E9">
        <w:trPr>
          <w:trHeight w:val="345"/>
          <w:jc w:val="center"/>
        </w:trPr>
        <w:tc>
          <w:tcPr>
            <w:tcW w:w="4410" w:type="dxa"/>
            <w:tcBorders>
              <w:top w:val="nil"/>
              <w:left w:val="nil"/>
              <w:bottom w:val="nil"/>
              <w:right w:val="nil"/>
            </w:tcBorders>
            <w:shd w:val="clear" w:color="auto" w:fill="auto"/>
            <w:noWrap/>
            <w:vAlign w:val="bottom"/>
            <w:hideMark/>
          </w:tcPr>
          <w:p w14:paraId="7B7FAD01" w14:textId="77777777" w:rsidR="004E4F07" w:rsidRPr="003A6ACC" w:rsidRDefault="004E4F07" w:rsidP="004E4F07">
            <w:pPr>
              <w:widowControl w:val="0"/>
              <w:rPr>
                <w:b/>
                <w:bCs/>
                <w:sz w:val="18"/>
                <w:szCs w:val="18"/>
              </w:rPr>
            </w:pPr>
            <w:r w:rsidRPr="003A6ACC">
              <w:rPr>
                <w:b/>
                <w:bCs/>
                <w:sz w:val="18"/>
                <w:szCs w:val="18"/>
              </w:rPr>
              <w:t>Avista ERM @ $9 million deadband</w:t>
            </w:r>
            <w:r>
              <w:rPr>
                <w:b/>
                <w:bCs/>
                <w:sz w:val="18"/>
                <w:szCs w:val="18"/>
              </w:rPr>
              <w:t xml:space="preserve"> – 2002 to 2006</w:t>
            </w:r>
          </w:p>
        </w:tc>
        <w:tc>
          <w:tcPr>
            <w:tcW w:w="1800" w:type="dxa"/>
            <w:tcBorders>
              <w:top w:val="nil"/>
              <w:left w:val="nil"/>
              <w:bottom w:val="nil"/>
              <w:right w:val="single" w:sz="4" w:space="0" w:color="auto"/>
            </w:tcBorders>
            <w:shd w:val="clear" w:color="auto" w:fill="auto"/>
            <w:vAlign w:val="bottom"/>
            <w:hideMark/>
          </w:tcPr>
          <w:p w14:paraId="6C1CF48C" w14:textId="77777777" w:rsidR="004E4F07" w:rsidRPr="003A6ACC" w:rsidRDefault="004E4F07" w:rsidP="004E4F07">
            <w:pPr>
              <w:widowControl w:val="0"/>
              <w:jc w:val="center"/>
              <w:rPr>
                <w:b/>
                <w:bCs/>
                <w:sz w:val="18"/>
                <w:szCs w:val="18"/>
              </w:rPr>
            </w:pPr>
          </w:p>
        </w:tc>
        <w:tc>
          <w:tcPr>
            <w:tcW w:w="2070" w:type="dxa"/>
            <w:tcBorders>
              <w:top w:val="nil"/>
              <w:left w:val="single" w:sz="4" w:space="0" w:color="auto"/>
              <w:bottom w:val="nil"/>
              <w:right w:val="nil"/>
            </w:tcBorders>
            <w:shd w:val="clear" w:color="auto" w:fill="auto"/>
            <w:noWrap/>
            <w:vAlign w:val="bottom"/>
            <w:hideMark/>
          </w:tcPr>
          <w:p w14:paraId="2DDEA25C" w14:textId="77777777" w:rsidR="004E4F07" w:rsidRPr="003A6ACC" w:rsidRDefault="004E4F07" w:rsidP="004E4F07">
            <w:pPr>
              <w:widowControl w:val="0"/>
              <w:rPr>
                <w:sz w:val="18"/>
                <w:szCs w:val="18"/>
              </w:rPr>
            </w:pPr>
          </w:p>
        </w:tc>
      </w:tr>
      <w:tr w:rsidR="004E4F07" w:rsidRPr="003A6ACC" w14:paraId="76594E11" w14:textId="77777777" w:rsidTr="005134E9">
        <w:trPr>
          <w:trHeight w:val="300"/>
          <w:jc w:val="center"/>
        </w:trPr>
        <w:tc>
          <w:tcPr>
            <w:tcW w:w="4410" w:type="dxa"/>
            <w:tcBorders>
              <w:top w:val="single" w:sz="4" w:space="0" w:color="auto"/>
              <w:left w:val="nil"/>
              <w:bottom w:val="single" w:sz="4" w:space="0" w:color="auto"/>
              <w:right w:val="nil"/>
            </w:tcBorders>
            <w:shd w:val="clear" w:color="auto" w:fill="auto"/>
            <w:noWrap/>
            <w:vAlign w:val="bottom"/>
            <w:hideMark/>
          </w:tcPr>
          <w:p w14:paraId="261B5380" w14:textId="77777777" w:rsidR="004E4F07" w:rsidRPr="003A6ACC" w:rsidRDefault="004E4F07" w:rsidP="004E4F07">
            <w:pPr>
              <w:widowControl w:val="0"/>
              <w:rPr>
                <w:sz w:val="18"/>
                <w:szCs w:val="18"/>
              </w:rPr>
            </w:pPr>
            <w:r w:rsidRPr="003A6ACC">
              <w:rPr>
                <w:sz w:val="18"/>
                <w:szCs w:val="18"/>
              </w:rPr>
              <w:t>Adjusted Actual Net Expense (System)</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15F09BB" w14:textId="77777777" w:rsidR="004E4F07" w:rsidRPr="003A6ACC" w:rsidRDefault="004E4F07" w:rsidP="004E4F07">
            <w:pPr>
              <w:widowControl w:val="0"/>
              <w:jc w:val="right"/>
              <w:rPr>
                <w:sz w:val="18"/>
                <w:szCs w:val="18"/>
              </w:rPr>
            </w:pPr>
            <w:r w:rsidRPr="003A6ACC">
              <w:rPr>
                <w:sz w:val="18"/>
                <w:szCs w:val="18"/>
              </w:rPr>
              <w:t>5.4%</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3604EF33" w14:textId="77777777" w:rsidR="004E4F07" w:rsidRPr="003A6ACC" w:rsidRDefault="004E4F07" w:rsidP="004E4F07">
            <w:pPr>
              <w:widowControl w:val="0"/>
              <w:jc w:val="right"/>
              <w:rPr>
                <w:sz w:val="18"/>
                <w:szCs w:val="18"/>
              </w:rPr>
            </w:pPr>
            <w:r w:rsidRPr="003A6ACC">
              <w:rPr>
                <w:sz w:val="18"/>
                <w:szCs w:val="18"/>
              </w:rPr>
              <w:t>$8.98</w:t>
            </w:r>
          </w:p>
        </w:tc>
      </w:tr>
      <w:tr w:rsidR="004E4F07" w:rsidRPr="003A6ACC" w14:paraId="1CF9E31F" w14:textId="77777777" w:rsidTr="005134E9">
        <w:trPr>
          <w:trHeight w:val="300"/>
          <w:jc w:val="center"/>
        </w:trPr>
        <w:tc>
          <w:tcPr>
            <w:tcW w:w="4410" w:type="dxa"/>
            <w:tcBorders>
              <w:top w:val="nil"/>
              <w:left w:val="nil"/>
              <w:bottom w:val="single" w:sz="4" w:space="0" w:color="auto"/>
              <w:right w:val="nil"/>
            </w:tcBorders>
            <w:shd w:val="clear" w:color="auto" w:fill="auto"/>
            <w:noWrap/>
            <w:vAlign w:val="bottom"/>
            <w:hideMark/>
          </w:tcPr>
          <w:p w14:paraId="5B14E5F9" w14:textId="77777777" w:rsidR="004E4F07" w:rsidRPr="003A6ACC" w:rsidRDefault="004E4F07" w:rsidP="004E4F07">
            <w:pPr>
              <w:widowControl w:val="0"/>
              <w:rPr>
                <w:sz w:val="18"/>
                <w:szCs w:val="18"/>
              </w:rPr>
            </w:pPr>
            <w:r w:rsidRPr="003A6ACC">
              <w:rPr>
                <w:sz w:val="18"/>
                <w:szCs w:val="18"/>
              </w:rPr>
              <w:t>Authorized Net Expense (System)</w:t>
            </w:r>
          </w:p>
        </w:tc>
        <w:tc>
          <w:tcPr>
            <w:tcW w:w="1800" w:type="dxa"/>
            <w:tcBorders>
              <w:top w:val="nil"/>
              <w:left w:val="nil"/>
              <w:bottom w:val="single" w:sz="4" w:space="0" w:color="auto"/>
              <w:right w:val="single" w:sz="4" w:space="0" w:color="auto"/>
            </w:tcBorders>
            <w:shd w:val="clear" w:color="auto" w:fill="auto"/>
            <w:noWrap/>
            <w:vAlign w:val="bottom"/>
            <w:hideMark/>
          </w:tcPr>
          <w:p w14:paraId="4BC76EC7" w14:textId="77777777" w:rsidR="004E4F07" w:rsidRPr="003A6ACC" w:rsidRDefault="004E4F07" w:rsidP="004E4F07">
            <w:pPr>
              <w:widowControl w:val="0"/>
              <w:jc w:val="right"/>
              <w:rPr>
                <w:sz w:val="18"/>
                <w:szCs w:val="18"/>
              </w:rPr>
            </w:pPr>
            <w:r w:rsidRPr="003A6ACC">
              <w:rPr>
                <w:sz w:val="18"/>
                <w:szCs w:val="18"/>
              </w:rPr>
              <w:t>5.5%</w:t>
            </w:r>
          </w:p>
        </w:tc>
        <w:tc>
          <w:tcPr>
            <w:tcW w:w="2070" w:type="dxa"/>
            <w:tcBorders>
              <w:top w:val="nil"/>
              <w:left w:val="single" w:sz="4" w:space="0" w:color="auto"/>
              <w:bottom w:val="single" w:sz="4" w:space="0" w:color="auto"/>
              <w:right w:val="nil"/>
            </w:tcBorders>
            <w:shd w:val="clear" w:color="auto" w:fill="auto"/>
            <w:noWrap/>
            <w:vAlign w:val="bottom"/>
            <w:hideMark/>
          </w:tcPr>
          <w:p w14:paraId="3CF1A2A8" w14:textId="77777777" w:rsidR="004E4F07" w:rsidRPr="003A6ACC" w:rsidRDefault="004E4F07" w:rsidP="004E4F07">
            <w:pPr>
              <w:widowControl w:val="0"/>
              <w:jc w:val="right"/>
              <w:rPr>
                <w:sz w:val="18"/>
                <w:szCs w:val="18"/>
              </w:rPr>
            </w:pPr>
            <w:r w:rsidRPr="003A6ACC">
              <w:rPr>
                <w:sz w:val="18"/>
                <w:szCs w:val="18"/>
              </w:rPr>
              <w:t>$9.00</w:t>
            </w:r>
          </w:p>
        </w:tc>
      </w:tr>
      <w:tr w:rsidR="004E4F07" w:rsidRPr="003A6ACC" w14:paraId="0C07DAD4" w14:textId="77777777" w:rsidTr="005134E9">
        <w:trPr>
          <w:trHeight w:val="300"/>
          <w:jc w:val="center"/>
        </w:trPr>
        <w:tc>
          <w:tcPr>
            <w:tcW w:w="4410" w:type="dxa"/>
            <w:tcBorders>
              <w:top w:val="nil"/>
              <w:left w:val="nil"/>
              <w:bottom w:val="single" w:sz="4" w:space="0" w:color="auto"/>
              <w:right w:val="nil"/>
            </w:tcBorders>
            <w:shd w:val="clear" w:color="auto" w:fill="auto"/>
            <w:noWrap/>
            <w:vAlign w:val="bottom"/>
            <w:hideMark/>
          </w:tcPr>
          <w:p w14:paraId="398AD8CE" w14:textId="77777777" w:rsidR="004E4F07" w:rsidRPr="003A6ACC" w:rsidRDefault="004E4F07" w:rsidP="004E4F07">
            <w:pPr>
              <w:widowControl w:val="0"/>
              <w:rPr>
                <w:b/>
                <w:bCs/>
                <w:sz w:val="18"/>
                <w:szCs w:val="18"/>
              </w:rPr>
            </w:pPr>
            <w:r w:rsidRPr="003A6ACC">
              <w:rPr>
                <w:b/>
                <w:bCs/>
                <w:sz w:val="18"/>
                <w:szCs w:val="18"/>
              </w:rPr>
              <w:t>Pacific Power PCAM</w:t>
            </w:r>
            <w:r>
              <w:rPr>
                <w:b/>
                <w:bCs/>
                <w:sz w:val="18"/>
                <w:szCs w:val="18"/>
              </w:rPr>
              <w:t xml:space="preserve"> @ $25 million deadband </w:t>
            </w:r>
          </w:p>
        </w:tc>
        <w:tc>
          <w:tcPr>
            <w:tcW w:w="1800" w:type="dxa"/>
            <w:tcBorders>
              <w:top w:val="nil"/>
              <w:left w:val="nil"/>
              <w:bottom w:val="nil"/>
              <w:right w:val="single" w:sz="4" w:space="0" w:color="auto"/>
            </w:tcBorders>
            <w:shd w:val="clear" w:color="auto" w:fill="auto"/>
            <w:vAlign w:val="bottom"/>
            <w:hideMark/>
          </w:tcPr>
          <w:p w14:paraId="1EAC27B0" w14:textId="77777777" w:rsidR="004E4F07" w:rsidRPr="003A6ACC" w:rsidRDefault="004E4F07" w:rsidP="004E4F07">
            <w:pPr>
              <w:widowControl w:val="0"/>
              <w:jc w:val="center"/>
              <w:rPr>
                <w:b/>
                <w:bCs/>
                <w:sz w:val="18"/>
                <w:szCs w:val="18"/>
              </w:rPr>
            </w:pPr>
          </w:p>
        </w:tc>
        <w:tc>
          <w:tcPr>
            <w:tcW w:w="2070" w:type="dxa"/>
            <w:tcBorders>
              <w:top w:val="nil"/>
              <w:left w:val="single" w:sz="4" w:space="0" w:color="auto"/>
              <w:bottom w:val="nil"/>
              <w:right w:val="nil"/>
            </w:tcBorders>
            <w:shd w:val="clear" w:color="auto" w:fill="auto"/>
            <w:noWrap/>
            <w:vAlign w:val="bottom"/>
            <w:hideMark/>
          </w:tcPr>
          <w:p w14:paraId="4D7B3E0A" w14:textId="77777777" w:rsidR="004E4F07" w:rsidRPr="003A6ACC" w:rsidRDefault="004E4F07" w:rsidP="004E4F07">
            <w:pPr>
              <w:widowControl w:val="0"/>
              <w:rPr>
                <w:sz w:val="18"/>
                <w:szCs w:val="18"/>
              </w:rPr>
            </w:pPr>
          </w:p>
        </w:tc>
      </w:tr>
      <w:tr w:rsidR="004E4F07" w:rsidRPr="003A6ACC" w14:paraId="065746C2" w14:textId="77777777" w:rsidTr="005134E9">
        <w:trPr>
          <w:trHeight w:val="300"/>
          <w:jc w:val="center"/>
        </w:trPr>
        <w:tc>
          <w:tcPr>
            <w:tcW w:w="4410" w:type="dxa"/>
            <w:tcBorders>
              <w:top w:val="single" w:sz="4" w:space="0" w:color="auto"/>
              <w:left w:val="nil"/>
              <w:bottom w:val="single" w:sz="4" w:space="0" w:color="auto"/>
              <w:right w:val="nil"/>
            </w:tcBorders>
            <w:shd w:val="clear" w:color="auto" w:fill="auto"/>
            <w:noWrap/>
            <w:vAlign w:val="bottom"/>
            <w:hideMark/>
          </w:tcPr>
          <w:p w14:paraId="2462BEA6" w14:textId="77777777" w:rsidR="004E4F07" w:rsidRPr="003A6ACC" w:rsidRDefault="004E4F07" w:rsidP="004E4F07">
            <w:pPr>
              <w:widowControl w:val="0"/>
              <w:rPr>
                <w:sz w:val="18"/>
                <w:szCs w:val="18"/>
              </w:rPr>
            </w:pPr>
            <w:r w:rsidRPr="003A6ACC">
              <w:rPr>
                <w:sz w:val="18"/>
                <w:szCs w:val="18"/>
              </w:rPr>
              <w:t>WCA NPC (Base)</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B38B2A7" w14:textId="77777777" w:rsidR="004E4F07" w:rsidRPr="003A6ACC" w:rsidRDefault="004E4F07" w:rsidP="004E4F07">
            <w:pPr>
              <w:widowControl w:val="0"/>
              <w:jc w:val="right"/>
              <w:rPr>
                <w:sz w:val="18"/>
                <w:szCs w:val="18"/>
              </w:rPr>
            </w:pPr>
            <w:r w:rsidRPr="003A6ACC">
              <w:rPr>
                <w:sz w:val="18"/>
                <w:szCs w:val="18"/>
              </w:rPr>
              <w:t>5.2%</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492AB464" w14:textId="77777777" w:rsidR="004E4F07" w:rsidRPr="003A6ACC" w:rsidRDefault="004E4F07" w:rsidP="004E4F07">
            <w:pPr>
              <w:widowControl w:val="0"/>
              <w:jc w:val="right"/>
              <w:rPr>
                <w:sz w:val="18"/>
                <w:szCs w:val="18"/>
              </w:rPr>
            </w:pPr>
            <w:r w:rsidRPr="003A6ACC">
              <w:rPr>
                <w:sz w:val="18"/>
                <w:szCs w:val="18"/>
              </w:rPr>
              <w:t>$24.22</w:t>
            </w:r>
          </w:p>
        </w:tc>
      </w:tr>
      <w:tr w:rsidR="004E4F07" w:rsidRPr="003A6ACC" w14:paraId="225F6ECC" w14:textId="77777777" w:rsidTr="005134E9">
        <w:trPr>
          <w:trHeight w:val="300"/>
          <w:jc w:val="center"/>
        </w:trPr>
        <w:tc>
          <w:tcPr>
            <w:tcW w:w="4410" w:type="dxa"/>
            <w:tcBorders>
              <w:top w:val="nil"/>
              <w:left w:val="nil"/>
              <w:bottom w:val="single" w:sz="4" w:space="0" w:color="auto"/>
              <w:right w:val="nil"/>
            </w:tcBorders>
            <w:shd w:val="clear" w:color="auto" w:fill="auto"/>
            <w:noWrap/>
            <w:vAlign w:val="bottom"/>
            <w:hideMark/>
          </w:tcPr>
          <w:p w14:paraId="5D423F91" w14:textId="77777777" w:rsidR="004E4F07" w:rsidRPr="003A6ACC" w:rsidRDefault="004E4F07" w:rsidP="004E4F07">
            <w:pPr>
              <w:widowControl w:val="0"/>
              <w:rPr>
                <w:sz w:val="18"/>
                <w:szCs w:val="18"/>
              </w:rPr>
            </w:pPr>
            <w:r w:rsidRPr="003A6ACC">
              <w:rPr>
                <w:sz w:val="18"/>
                <w:szCs w:val="18"/>
              </w:rPr>
              <w:t>WCA NPC (Actual)</w:t>
            </w:r>
          </w:p>
        </w:tc>
        <w:tc>
          <w:tcPr>
            <w:tcW w:w="1800" w:type="dxa"/>
            <w:tcBorders>
              <w:top w:val="nil"/>
              <w:left w:val="nil"/>
              <w:bottom w:val="single" w:sz="4" w:space="0" w:color="auto"/>
              <w:right w:val="single" w:sz="4" w:space="0" w:color="auto"/>
            </w:tcBorders>
            <w:shd w:val="clear" w:color="auto" w:fill="auto"/>
            <w:noWrap/>
            <w:vAlign w:val="bottom"/>
            <w:hideMark/>
          </w:tcPr>
          <w:p w14:paraId="518D7544" w14:textId="77777777" w:rsidR="004E4F07" w:rsidRPr="003A6ACC" w:rsidRDefault="004E4F07" w:rsidP="004E4F07">
            <w:pPr>
              <w:widowControl w:val="0"/>
              <w:jc w:val="right"/>
              <w:rPr>
                <w:sz w:val="18"/>
                <w:szCs w:val="18"/>
              </w:rPr>
            </w:pPr>
            <w:r w:rsidRPr="003A6ACC">
              <w:rPr>
                <w:sz w:val="18"/>
                <w:szCs w:val="18"/>
              </w:rPr>
              <w:t>4.8%</w:t>
            </w:r>
          </w:p>
        </w:tc>
        <w:tc>
          <w:tcPr>
            <w:tcW w:w="2070" w:type="dxa"/>
            <w:tcBorders>
              <w:top w:val="nil"/>
              <w:left w:val="single" w:sz="4" w:space="0" w:color="auto"/>
              <w:bottom w:val="single" w:sz="4" w:space="0" w:color="auto"/>
              <w:right w:val="nil"/>
            </w:tcBorders>
            <w:shd w:val="clear" w:color="auto" w:fill="auto"/>
            <w:noWrap/>
            <w:vAlign w:val="bottom"/>
            <w:hideMark/>
          </w:tcPr>
          <w:p w14:paraId="3AD89881" w14:textId="77777777" w:rsidR="004E4F07" w:rsidRPr="003A6ACC" w:rsidRDefault="004E4F07" w:rsidP="004E4F07">
            <w:pPr>
              <w:widowControl w:val="0"/>
              <w:jc w:val="right"/>
              <w:rPr>
                <w:sz w:val="18"/>
                <w:szCs w:val="18"/>
              </w:rPr>
            </w:pPr>
            <w:r w:rsidRPr="003A6ACC">
              <w:rPr>
                <w:sz w:val="18"/>
                <w:szCs w:val="18"/>
              </w:rPr>
              <w:t>$26.07</w:t>
            </w:r>
          </w:p>
        </w:tc>
      </w:tr>
    </w:tbl>
    <w:p w14:paraId="2FAF08FA" w14:textId="77777777" w:rsidR="004E4F07" w:rsidRDefault="004E4F07" w:rsidP="004E4F07">
      <w:pPr>
        <w:pStyle w:val="WUTCParagraph"/>
        <w:widowControl w:val="0"/>
        <w:numPr>
          <w:ilvl w:val="0"/>
          <w:numId w:val="0"/>
        </w:numPr>
        <w:spacing w:line="240" w:lineRule="auto"/>
      </w:pPr>
    </w:p>
    <w:p w14:paraId="68F81D4F" w14:textId="77777777" w:rsidR="004E4F07" w:rsidRDefault="004E4F07" w:rsidP="004E4F07">
      <w:pPr>
        <w:pStyle w:val="WUTCParagraph"/>
        <w:widowControl w:val="0"/>
        <w:numPr>
          <w:ilvl w:val="0"/>
          <w:numId w:val="0"/>
        </w:numPr>
        <w:spacing w:line="240" w:lineRule="auto"/>
      </w:pPr>
    </w:p>
    <w:p w14:paraId="6B8FC064" w14:textId="74662655" w:rsidR="004E4F07" w:rsidRPr="00F2250F" w:rsidRDefault="004E4F07" w:rsidP="004E4F07">
      <w:pPr>
        <w:pStyle w:val="WUTCParagraph"/>
        <w:widowControl w:val="0"/>
        <w:tabs>
          <w:tab w:val="clear" w:pos="1440"/>
          <w:tab w:val="left" w:pos="720"/>
        </w:tabs>
        <w:rPr>
          <w:b/>
        </w:rPr>
      </w:pPr>
      <w:r>
        <w:tab/>
      </w:r>
      <w:r w:rsidRPr="00F2250F">
        <w:rPr>
          <w:b/>
        </w:rPr>
        <w:t>Q.</w:t>
      </w:r>
      <w:r w:rsidRPr="00F2250F">
        <w:rPr>
          <w:b/>
          <w:lang w:val="en-US"/>
        </w:rPr>
        <w:t xml:space="preserve">  </w:t>
      </w:r>
      <w:r w:rsidRPr="00F2250F">
        <w:rPr>
          <w:b/>
        </w:rPr>
        <w:t>Does $25 million reflect normalized variability in power costs?</w:t>
      </w:r>
    </w:p>
    <w:p w14:paraId="04D4B305" w14:textId="6D8898A6" w:rsidR="004E4F07" w:rsidRDefault="004E4F07" w:rsidP="004E4F07">
      <w:pPr>
        <w:pStyle w:val="WUTCParagraph"/>
        <w:widowControl w:val="0"/>
        <w:tabs>
          <w:tab w:val="clear" w:pos="1440"/>
          <w:tab w:val="left" w:pos="720"/>
        </w:tabs>
      </w:pPr>
      <w:r>
        <w:tab/>
        <w:t>A.</w:t>
      </w:r>
      <w:r>
        <w:rPr>
          <w:lang w:val="en-US"/>
        </w:rPr>
        <w:t xml:space="preserve">  </w:t>
      </w:r>
      <w:r>
        <w:t>Yes.  As articulated by the Company, the WCA is used “to determine normalized NPC [Base] in the Company’s rates.”</w:t>
      </w:r>
      <w:r>
        <w:rPr>
          <w:rStyle w:val="FootnoteReference"/>
          <w:bCs/>
        </w:rPr>
        <w:footnoteReference w:id="10"/>
      </w:r>
      <w:r>
        <w:t xml:space="preserve">  Furthermore, in this most recent case, the Company </w:t>
      </w:r>
      <w:r>
        <w:lastRenderedPageBreak/>
        <w:t>testified that it believes that its Generation and Regulatory Initiative Decision Tools model (GRID) “is a reasonable tool for developing normalized power costs [NPC] specific to [Pacific Power’s] unique system.”</w:t>
      </w:r>
      <w:r>
        <w:rPr>
          <w:rStyle w:val="FootnoteReference"/>
          <w:bCs/>
        </w:rPr>
        <w:footnoteReference w:id="11"/>
      </w:r>
      <w:r>
        <w:t xml:space="preserve">  Therefore, the normalization process employed by the Company at arriving at its pro-forma estimates of NPC for inclusion in rates and from which the PCAM will derive its base NPC already accounts for and adjusts for non-normal variability between periods.  Staff’s believes that the deadband is designed </w:t>
      </w:r>
      <w:r w:rsidRPr="00265F64">
        <w:t xml:space="preserve">to recover or refund </w:t>
      </w:r>
      <w:r>
        <w:t xml:space="preserve">only when </w:t>
      </w:r>
      <w:r w:rsidRPr="00265F64">
        <w:t xml:space="preserve">significant, unexpected variations in power costs </w:t>
      </w:r>
      <w:r>
        <w:t xml:space="preserve">occur </w:t>
      </w:r>
      <w:r w:rsidRPr="00265F64">
        <w:t>that clearly have not been included in the “normalization” process</w:t>
      </w:r>
      <w:r>
        <w:t>.  The nearly identical resulting ratios for both companies, when both the normalized base NPC average and actual NPC average is divided by the $25 million deadband, are mostly the result of back-to-back yearly rate cases since 2008.  Since the baseline has been reset each time a rate case is completed, the ability to observe the capability of the Company’s normalization process and the performance of the bands is limited.  Nonetheless, Staff believes we are at an acceptable starting point.</w:t>
      </w:r>
    </w:p>
    <w:p w14:paraId="6EE46F80" w14:textId="6A2F348E" w:rsidR="004E4F07" w:rsidRPr="00F2250F" w:rsidRDefault="004E4F07" w:rsidP="004E4F07">
      <w:pPr>
        <w:pStyle w:val="WUTCParagraph"/>
        <w:tabs>
          <w:tab w:val="left" w:pos="720"/>
        </w:tabs>
        <w:rPr>
          <w:b/>
        </w:rPr>
      </w:pPr>
      <w:r>
        <w:tab/>
      </w:r>
      <w:r w:rsidRPr="00F2250F">
        <w:rPr>
          <w:b/>
        </w:rPr>
        <w:t>Q.</w:t>
      </w:r>
      <w:r w:rsidRPr="00F2250F">
        <w:rPr>
          <w:b/>
          <w:lang w:val="en-US"/>
        </w:rPr>
        <w:t xml:space="preserve">  </w:t>
      </w:r>
      <w:r w:rsidRPr="00F2250F">
        <w:rPr>
          <w:b/>
        </w:rPr>
        <w:t>How exactly did Staff arrive at its recommendation for a 50/50 sharing between the Company and its customers for under recoveries of NPC that exceed the dead band and a 25/75 sharing for over recoveries, in favor of customers?</w:t>
      </w:r>
    </w:p>
    <w:p w14:paraId="4C96738A" w14:textId="0D97A45B" w:rsidR="004E4F07" w:rsidRDefault="004E4F07" w:rsidP="004E4F07">
      <w:pPr>
        <w:pStyle w:val="WUTCParagraph"/>
        <w:tabs>
          <w:tab w:val="left" w:pos="720"/>
        </w:tabs>
      </w:pPr>
      <w:r>
        <w:tab/>
        <w:t>A.</w:t>
      </w:r>
      <w:r>
        <w:rPr>
          <w:lang w:val="en-US"/>
        </w:rPr>
        <w:t xml:space="preserve">  </w:t>
      </w:r>
      <w:r>
        <w:t>Staff was primarily guided by the Commission’s Order 08 in Docket UE-061546, Paragraphs 85 through 87:</w:t>
      </w:r>
    </w:p>
    <w:p w14:paraId="42DB60A8" w14:textId="3CDC6D66" w:rsidR="004E4F07" w:rsidRPr="00C51D06" w:rsidRDefault="004E4F07" w:rsidP="0050053B">
      <w:pPr>
        <w:pStyle w:val="WUTCParagraph"/>
        <w:numPr>
          <w:ilvl w:val="0"/>
          <w:numId w:val="0"/>
        </w:numPr>
        <w:tabs>
          <w:tab w:val="left" w:pos="720"/>
        </w:tabs>
        <w:spacing w:line="240" w:lineRule="auto"/>
        <w:ind w:left="720"/>
      </w:pPr>
      <w:r>
        <w:t>“</w:t>
      </w:r>
      <w:r w:rsidRPr="00C51D06">
        <w:t xml:space="preserve">This case illuminates a point not analyzed in our prior consideration of PCAMs--the distribution of net power costs may not be symmetrical, but skewed and not statistically normal.  For example, in this record the distribution of net power costs is skewed toward higher costs, in part because poor hydropower is correlated with higher wholesale power costs and higher fuel costs.  Staff finds that 60 percent of the variability in the Company’s power costs is on the “high side.”  This means that any symmetrical PCAM design will shift some level of risk to ratepayers, because the probabilistic benefit ratepayers receive from good water conditions does not equal the probabilistic risk customers will incur from poor hydrologic conditions.  </w:t>
      </w:r>
    </w:p>
    <w:p w14:paraId="7517D99B" w14:textId="5253AB6C" w:rsidR="004E4F07" w:rsidRDefault="004E4F07" w:rsidP="0050053B">
      <w:pPr>
        <w:pStyle w:val="WUTCParagraph"/>
        <w:numPr>
          <w:ilvl w:val="0"/>
          <w:numId w:val="0"/>
        </w:numPr>
        <w:tabs>
          <w:tab w:val="left" w:pos="720"/>
        </w:tabs>
        <w:spacing w:line="240" w:lineRule="auto"/>
        <w:ind w:left="720"/>
      </w:pPr>
      <w:r w:rsidRPr="00C51D06">
        <w:lastRenderedPageBreak/>
        <w:t xml:space="preserve">An optimally designed PCAM would recognize the inequality between upside and downside risk in its design of deadbands and sharing bands.  For example, to equally balance risk with benefit, the deadband and sharing bands should be set at lower levels on the “lower cost” side of base costs to increase the expected value of customer benefits enough to balance the expected value of customer risks on the “high side” of base costs.   The parties in this proceeding have not proposed such a design.  </w:t>
      </w:r>
    </w:p>
    <w:p w14:paraId="44CB9D05" w14:textId="77777777" w:rsidR="0050053B" w:rsidRPr="00C51D06" w:rsidRDefault="0050053B" w:rsidP="0050053B">
      <w:pPr>
        <w:pStyle w:val="WUTCParagraph"/>
        <w:numPr>
          <w:ilvl w:val="0"/>
          <w:numId w:val="0"/>
        </w:numPr>
        <w:tabs>
          <w:tab w:val="left" w:pos="720"/>
        </w:tabs>
        <w:spacing w:line="240" w:lineRule="auto"/>
        <w:ind w:left="720"/>
      </w:pPr>
    </w:p>
    <w:p w14:paraId="3BF74682" w14:textId="4BD1C621" w:rsidR="004E4F07" w:rsidRPr="0050053B" w:rsidRDefault="004E4F07" w:rsidP="0050053B">
      <w:pPr>
        <w:pStyle w:val="WUTCParagraph"/>
        <w:numPr>
          <w:ilvl w:val="0"/>
          <w:numId w:val="0"/>
        </w:numPr>
        <w:tabs>
          <w:tab w:val="left" w:pos="720"/>
        </w:tabs>
        <w:spacing w:line="240" w:lineRule="auto"/>
        <w:ind w:left="720"/>
      </w:pPr>
      <w:r w:rsidRPr="00C51D06">
        <w:t>All three PCAM designs present in this case entail a shift in risk that arguably needs to be accompanied by a modification to the Company’s return to compensate for that shift.  In the alternative, a PCAM design that recognizes the asymmetry in risk would not produce a risk-shift and might not require any adjustment to the Company’s allowed return.  In light of the record in this proceeding, it is evident that recognition of potential asymmetry in risk in any PCAM design represents a significant refinement that must be considered as we review PCAMs in the future.</w:t>
      </w:r>
      <w:r>
        <w:t>”</w:t>
      </w:r>
    </w:p>
    <w:p w14:paraId="4D3DB0FC" w14:textId="77777777" w:rsidR="0050053B" w:rsidRPr="004E4F07" w:rsidRDefault="0050053B" w:rsidP="0050053B">
      <w:pPr>
        <w:pStyle w:val="WUTCParagraph"/>
        <w:numPr>
          <w:ilvl w:val="0"/>
          <w:numId w:val="0"/>
        </w:numPr>
        <w:tabs>
          <w:tab w:val="left" w:pos="720"/>
        </w:tabs>
        <w:spacing w:line="240" w:lineRule="auto"/>
      </w:pPr>
    </w:p>
    <w:p w14:paraId="2558FAFE" w14:textId="77777777" w:rsidR="004E4F07" w:rsidRDefault="004E4F07" w:rsidP="004E4F07">
      <w:pPr>
        <w:pStyle w:val="WUTCParagraph"/>
        <w:tabs>
          <w:tab w:val="left" w:pos="720"/>
        </w:tabs>
      </w:pPr>
      <w:r>
        <w:tab/>
        <w:t>Consequently, any design for the sharing band for an over recovery cannot reflect an equal split (50/50) and therefore must be asymmetric.  This is because any benefit in the rebate direction must be proportioned to reflect the added risks absorbed by ratepayers in the surcharge direction.  Rather than propose a more advantageous split at let’s say 10 percent for the Company and 90 percent for the Customer, Staff’s proposal for a “25/75” split reflects a more reasonable starting point.</w:t>
      </w:r>
    </w:p>
    <w:p w14:paraId="744AD118" w14:textId="17D2A16C" w:rsidR="00913457" w:rsidRDefault="009D1DB0" w:rsidP="004E4F07">
      <w:pPr>
        <w:pStyle w:val="WUTCParagraph"/>
        <w:numPr>
          <w:ilvl w:val="0"/>
          <w:numId w:val="0"/>
        </w:numPr>
        <w:tabs>
          <w:tab w:val="left" w:pos="720"/>
        </w:tabs>
      </w:pPr>
      <w:r>
        <w:tab/>
      </w:r>
      <w:r w:rsidR="00302751" w:rsidRPr="00E80CA0">
        <w:t xml:space="preserve">Dated this </w:t>
      </w:r>
      <w:r w:rsidR="004E4F07">
        <w:rPr>
          <w:lang w:val="en-US"/>
        </w:rPr>
        <w:t>9</w:t>
      </w:r>
      <w:r w:rsidRPr="009D1DB0">
        <w:rPr>
          <w:vertAlign w:val="superscript"/>
          <w:lang w:val="en-US"/>
        </w:rPr>
        <w:t>th</w:t>
      </w:r>
      <w:r>
        <w:rPr>
          <w:lang w:val="en-US"/>
        </w:rPr>
        <w:t xml:space="preserve"> </w:t>
      </w:r>
      <w:r w:rsidR="00302751" w:rsidRPr="00E80CA0">
        <w:t xml:space="preserve">day of </w:t>
      </w:r>
      <w:r w:rsidR="004E4F07">
        <w:rPr>
          <w:lang w:val="en-US"/>
        </w:rPr>
        <w:t>April,</w:t>
      </w:r>
      <w:r w:rsidR="00302751" w:rsidRPr="00E80CA0">
        <w:t xml:space="preserve"> 20</w:t>
      </w:r>
      <w:r w:rsidR="00302751">
        <w:t>1</w:t>
      </w:r>
      <w:r w:rsidR="004E4F07">
        <w:rPr>
          <w:lang w:val="en-US"/>
        </w:rPr>
        <w:t>5</w:t>
      </w:r>
      <w:r w:rsidR="00302751" w:rsidRPr="00E80CA0">
        <w:t>.</w:t>
      </w:r>
    </w:p>
    <w:p w14:paraId="2175678F" w14:textId="77777777" w:rsidR="00A21621" w:rsidRPr="003215A3" w:rsidRDefault="00A21621" w:rsidP="00A21621">
      <w:pPr>
        <w:ind w:left="720"/>
      </w:pPr>
      <w:r w:rsidRPr="003215A3">
        <w:tab/>
      </w:r>
      <w:r w:rsidRPr="003215A3">
        <w:tab/>
      </w:r>
      <w:r w:rsidRPr="003215A3">
        <w:tab/>
      </w:r>
      <w:r w:rsidRPr="003215A3">
        <w:tab/>
      </w:r>
      <w:r w:rsidRPr="003215A3">
        <w:tab/>
      </w:r>
      <w:r w:rsidRPr="003215A3">
        <w:tab/>
        <w:t xml:space="preserve">Respectfully submitted, </w:t>
      </w:r>
    </w:p>
    <w:p w14:paraId="3012A65A" w14:textId="77777777" w:rsidR="00A21621" w:rsidRPr="003215A3" w:rsidRDefault="00A21621" w:rsidP="00A21621">
      <w:pPr>
        <w:pStyle w:val="BodyTextIndent2"/>
        <w:rPr>
          <w:rFonts w:ascii="Times New Roman" w:hAnsi="Times New Roman"/>
        </w:rPr>
      </w:pPr>
    </w:p>
    <w:p w14:paraId="56849686" w14:textId="77777777" w:rsidR="00A21621" w:rsidRPr="003215A3" w:rsidRDefault="00A21621" w:rsidP="00A21621">
      <w:pPr>
        <w:ind w:left="5040"/>
        <w:jc w:val="both"/>
      </w:pPr>
      <w:r w:rsidRPr="003215A3">
        <w:t xml:space="preserve">ROBERT </w:t>
      </w:r>
      <w:r>
        <w:t>W. FERGUSON</w:t>
      </w:r>
    </w:p>
    <w:p w14:paraId="378F65A0" w14:textId="77777777" w:rsidR="00A21621" w:rsidRPr="003215A3" w:rsidRDefault="00A21621" w:rsidP="00A21621">
      <w:pPr>
        <w:ind w:firstLine="5040"/>
        <w:jc w:val="both"/>
      </w:pPr>
      <w:r w:rsidRPr="003215A3">
        <w:t>Attorney General</w:t>
      </w:r>
    </w:p>
    <w:p w14:paraId="133A87E4" w14:textId="77777777" w:rsidR="00A21621" w:rsidRDefault="00A21621" w:rsidP="00A21621">
      <w:pPr>
        <w:jc w:val="both"/>
      </w:pPr>
    </w:p>
    <w:p w14:paraId="477BE45C" w14:textId="77777777" w:rsidR="00A21621" w:rsidRDefault="00A21621" w:rsidP="00A21621">
      <w:pPr>
        <w:ind w:left="1440" w:firstLine="3600"/>
        <w:jc w:val="both"/>
      </w:pPr>
    </w:p>
    <w:p w14:paraId="76F46F8A" w14:textId="77777777" w:rsidR="00A21621" w:rsidRPr="003215A3" w:rsidRDefault="00A21621" w:rsidP="00A21621">
      <w:pPr>
        <w:ind w:left="1440" w:firstLine="3600"/>
        <w:jc w:val="both"/>
      </w:pPr>
      <w:r w:rsidRPr="003215A3">
        <w:t>______________________________</w:t>
      </w:r>
    </w:p>
    <w:p w14:paraId="1A680456" w14:textId="77777777" w:rsidR="00A21621" w:rsidRPr="003215A3" w:rsidRDefault="00A21621" w:rsidP="00A21621">
      <w:pPr>
        <w:ind w:firstLine="5040"/>
        <w:jc w:val="both"/>
      </w:pPr>
      <w:r>
        <w:t xml:space="preserve">PATRICK J. OSHIE </w:t>
      </w:r>
    </w:p>
    <w:p w14:paraId="237B0CD1" w14:textId="77777777" w:rsidR="00A21621" w:rsidRPr="003215A3" w:rsidRDefault="00A21621" w:rsidP="00A21621">
      <w:pPr>
        <w:ind w:left="1440" w:firstLine="3600"/>
        <w:jc w:val="both"/>
      </w:pPr>
      <w:r w:rsidRPr="003215A3">
        <w:t>Assistant Attorney General</w:t>
      </w:r>
    </w:p>
    <w:p w14:paraId="42A782E5" w14:textId="77777777" w:rsidR="00A21621" w:rsidRPr="003215A3" w:rsidRDefault="00A21621" w:rsidP="00A21621">
      <w:pPr>
        <w:ind w:left="2160" w:firstLine="2880"/>
        <w:jc w:val="both"/>
      </w:pPr>
      <w:r w:rsidRPr="003215A3">
        <w:t xml:space="preserve">Counsel for </w:t>
      </w:r>
      <w:smartTag w:uri="urn:schemas-microsoft-com:office:smarttags" w:element="City">
        <w:smartTag w:uri="urn:schemas-microsoft-com:office:smarttags" w:element="PostalCode">
          <w:r w:rsidRPr="003215A3">
            <w:t>Washington</w:t>
          </w:r>
        </w:smartTag>
      </w:smartTag>
      <w:r w:rsidRPr="003215A3">
        <w:t xml:space="preserve"> Utilities and</w:t>
      </w:r>
    </w:p>
    <w:p w14:paraId="613E9B58" w14:textId="116A7E68" w:rsidR="00144A93" w:rsidRPr="00D46B46" w:rsidRDefault="00A21621" w:rsidP="00D46B46">
      <w:pPr>
        <w:ind w:left="2880" w:firstLine="2160"/>
        <w:jc w:val="both"/>
      </w:pPr>
      <w:r w:rsidRPr="003215A3">
        <w:t>Transportation Commission Staff</w:t>
      </w:r>
    </w:p>
    <w:p w14:paraId="6BBF9215" w14:textId="77777777" w:rsidR="009D1DB0" w:rsidRDefault="009D1DB0" w:rsidP="009D1DB0">
      <w:pPr>
        <w:pStyle w:val="WUTCParagraph"/>
        <w:numPr>
          <w:ilvl w:val="0"/>
          <w:numId w:val="0"/>
        </w:numPr>
      </w:pPr>
    </w:p>
    <w:sectPr w:rsidR="009D1DB0" w:rsidSect="007B7439">
      <w:footerReference w:type="default" r:id="rId11"/>
      <w:pgSz w:w="12240" w:h="15840" w:code="1"/>
      <w:pgMar w:top="1440" w:right="1440" w:bottom="1440" w:left="1872"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DC66D" w14:textId="77777777" w:rsidR="000D2823" w:rsidRDefault="000D2823" w:rsidP="00302751">
      <w:r>
        <w:separator/>
      </w:r>
    </w:p>
  </w:endnote>
  <w:endnote w:type="continuationSeparator" w:id="0">
    <w:p w14:paraId="47B3EB6F" w14:textId="77777777" w:rsidR="000D2823" w:rsidRDefault="000D2823" w:rsidP="0030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DA086" w14:textId="77777777" w:rsidR="007B7439" w:rsidRPr="007B7439" w:rsidRDefault="007B7439" w:rsidP="007B7439">
    <w:pPr>
      <w:pStyle w:val="Footer"/>
      <w:rPr>
        <w:sz w:val="20"/>
      </w:rPr>
    </w:pPr>
  </w:p>
  <w:p w14:paraId="75C48E6A" w14:textId="77777777" w:rsidR="004E4F07" w:rsidRPr="004E4F07" w:rsidRDefault="004E4F07">
    <w:pPr>
      <w:pStyle w:val="Footer"/>
      <w:rPr>
        <w:sz w:val="22"/>
        <w:szCs w:val="22"/>
      </w:rPr>
    </w:pPr>
    <w:r w:rsidRPr="004E4F07">
      <w:rPr>
        <w:sz w:val="22"/>
        <w:szCs w:val="22"/>
      </w:rPr>
      <w:t>COMMISSION STAFF’S RESPONSE TO</w:t>
    </w:r>
  </w:p>
  <w:p w14:paraId="117D6992" w14:textId="2512E89A" w:rsidR="007B7439" w:rsidRPr="004E4F07" w:rsidRDefault="004E4F07">
    <w:pPr>
      <w:pStyle w:val="Footer"/>
      <w:rPr>
        <w:sz w:val="22"/>
        <w:szCs w:val="22"/>
      </w:rPr>
    </w:pPr>
    <w:r w:rsidRPr="004E4F07">
      <w:rPr>
        <w:sz w:val="22"/>
        <w:szCs w:val="22"/>
      </w:rPr>
      <w:t>COMMISSION QUESTIONS IN ORDER 08</w:t>
    </w:r>
    <w:r>
      <w:rPr>
        <w:sz w:val="22"/>
        <w:szCs w:val="22"/>
      </w:rPr>
      <w:t xml:space="preserve"> </w:t>
    </w:r>
    <w:r w:rsidR="007B7439" w:rsidRPr="004E4F07">
      <w:rPr>
        <w:sz w:val="22"/>
        <w:szCs w:val="22"/>
      </w:rPr>
      <w:t xml:space="preserve">- </w:t>
    </w:r>
    <w:r w:rsidR="007B7439" w:rsidRPr="004E4F07">
      <w:rPr>
        <w:sz w:val="22"/>
        <w:szCs w:val="22"/>
      </w:rPr>
      <w:fldChar w:fldCharType="begin"/>
    </w:r>
    <w:r w:rsidR="007B7439" w:rsidRPr="004E4F07">
      <w:rPr>
        <w:sz w:val="22"/>
        <w:szCs w:val="22"/>
      </w:rPr>
      <w:instrText xml:space="preserve"> PAGE   \* MERGEFORMAT </w:instrText>
    </w:r>
    <w:r w:rsidR="007B7439" w:rsidRPr="004E4F07">
      <w:rPr>
        <w:sz w:val="22"/>
        <w:szCs w:val="22"/>
      </w:rPr>
      <w:fldChar w:fldCharType="separate"/>
    </w:r>
    <w:r w:rsidR="004B7241">
      <w:rPr>
        <w:noProof/>
        <w:sz w:val="22"/>
        <w:szCs w:val="22"/>
      </w:rPr>
      <w:t>1</w:t>
    </w:r>
    <w:r w:rsidR="007B7439" w:rsidRPr="004E4F07">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13956" w14:textId="77777777" w:rsidR="000D2823" w:rsidRDefault="000D2823" w:rsidP="00302751">
      <w:r>
        <w:separator/>
      </w:r>
    </w:p>
  </w:footnote>
  <w:footnote w:type="continuationSeparator" w:id="0">
    <w:p w14:paraId="469410AD" w14:textId="77777777" w:rsidR="000D2823" w:rsidRDefault="000D2823" w:rsidP="00302751">
      <w:r>
        <w:continuationSeparator/>
      </w:r>
    </w:p>
  </w:footnote>
  <w:footnote w:id="1">
    <w:p w14:paraId="632D0555" w14:textId="77777777" w:rsidR="004E4F07" w:rsidRPr="00DC1D3C" w:rsidRDefault="004E4F07" w:rsidP="004E4F07">
      <w:pPr>
        <w:pStyle w:val="FootnoteText"/>
      </w:pPr>
      <w:r>
        <w:rPr>
          <w:rStyle w:val="FootnoteReference"/>
        </w:rPr>
        <w:footnoteRef/>
      </w:r>
      <w:r>
        <w:t xml:space="preserve"> </w:t>
      </w:r>
      <w:r>
        <w:rPr>
          <w:i/>
        </w:rPr>
        <w:t xml:space="preserve">See </w:t>
      </w:r>
      <w:r>
        <w:t xml:space="preserve">Docket UE-140762, Order 08, </w:t>
      </w:r>
      <w:r>
        <w:rPr>
          <w:rFonts w:cstheme="minorHAnsi"/>
        </w:rPr>
        <w:t>¶</w:t>
      </w:r>
      <w:r>
        <w:t xml:space="preserve"> 123.</w:t>
      </w:r>
    </w:p>
  </w:footnote>
  <w:footnote w:id="2">
    <w:p w14:paraId="51328337" w14:textId="77777777" w:rsidR="004E4F07" w:rsidRPr="0075358A" w:rsidRDefault="004E4F07" w:rsidP="004E4F07">
      <w:pPr>
        <w:pStyle w:val="FootnoteText"/>
      </w:pPr>
      <w:r>
        <w:rPr>
          <w:rStyle w:val="FootnoteReference"/>
        </w:rPr>
        <w:footnoteRef/>
      </w:r>
      <w:r w:rsidRPr="00B678E6">
        <w:t xml:space="preserve"> </w:t>
      </w:r>
      <w:r w:rsidRPr="00764191">
        <w:rPr>
          <w:i/>
        </w:rPr>
        <w:t>WUTC v. Pacifi</w:t>
      </w:r>
      <w:r>
        <w:rPr>
          <w:i/>
        </w:rPr>
        <w:t>c Power</w:t>
      </w:r>
      <w:r w:rsidRPr="00764191">
        <w:t>,</w:t>
      </w:r>
      <w:r>
        <w:t xml:space="preserve"> </w:t>
      </w:r>
      <w:r w:rsidRPr="00B678E6">
        <w:t>UE-140762, Siores</w:t>
      </w:r>
      <w:r>
        <w:t>,</w:t>
      </w:r>
      <w:r w:rsidRPr="00B678E6">
        <w:t xml:space="preserve"> Exhibit No. </w:t>
      </w:r>
      <w:r w:rsidRPr="0075358A">
        <w:t>__ (NCS-5), Page 2.</w:t>
      </w:r>
    </w:p>
  </w:footnote>
  <w:footnote w:id="3">
    <w:p w14:paraId="19E0C00E" w14:textId="77777777" w:rsidR="004E4F07" w:rsidRPr="0075358A" w:rsidRDefault="004E4F07" w:rsidP="004E4F07">
      <w:pPr>
        <w:pStyle w:val="FootnoteText"/>
      </w:pPr>
      <w:r>
        <w:rPr>
          <w:rStyle w:val="FootnoteReference"/>
        </w:rPr>
        <w:footnoteRef/>
      </w:r>
      <w:r w:rsidRPr="0075358A">
        <w:t xml:space="preserve"> Siores Exhibit No. __ (NCS-5), Page 3.</w:t>
      </w:r>
    </w:p>
  </w:footnote>
  <w:footnote w:id="4">
    <w:p w14:paraId="5E34A237" w14:textId="77777777" w:rsidR="004E4F07" w:rsidRDefault="004E4F07" w:rsidP="004E4F07">
      <w:pPr>
        <w:pStyle w:val="FootnoteText"/>
      </w:pPr>
      <w:r>
        <w:rPr>
          <w:rStyle w:val="FootnoteReference"/>
        </w:rPr>
        <w:footnoteRef/>
      </w:r>
      <w:r>
        <w:t xml:space="preserve"> </w:t>
      </w:r>
      <w:r w:rsidRPr="00764191">
        <w:rPr>
          <w:i/>
        </w:rPr>
        <w:t>WUTC v. Pacifi</w:t>
      </w:r>
      <w:r>
        <w:rPr>
          <w:i/>
        </w:rPr>
        <w:t>c Power</w:t>
      </w:r>
      <w:r w:rsidRPr="00764191">
        <w:t>,</w:t>
      </w:r>
      <w:r>
        <w:t xml:space="preserve"> UE-130043, Duvall, Exhibit No. __ (GND-1CT), Page 46: 3-12.</w:t>
      </w:r>
    </w:p>
  </w:footnote>
  <w:footnote w:id="5">
    <w:p w14:paraId="243FFC9C" w14:textId="77777777" w:rsidR="004E4F07" w:rsidRDefault="004E4F07" w:rsidP="004E4F07">
      <w:pPr>
        <w:pStyle w:val="FootnoteText"/>
      </w:pPr>
      <w:r>
        <w:rPr>
          <w:rStyle w:val="FootnoteReference"/>
        </w:rPr>
        <w:footnoteRef/>
      </w:r>
      <w:r>
        <w:t xml:space="preserve"> In UE-130043, Public Counsel’s data request No. 133 asked Pacific Power to update the data in the workpapers to the exhibit to include 2012 actuals. Staff, as part of an informal data request in the consolidated docket to UE-140762; UE-140094 (Hydro Deferral Petition), asked the Company to update the exhibit with 2013 data. </w:t>
      </w:r>
    </w:p>
  </w:footnote>
  <w:footnote w:id="6">
    <w:p w14:paraId="45CAC457" w14:textId="77777777" w:rsidR="004E4F07" w:rsidRDefault="004E4F07" w:rsidP="004E4F07">
      <w:pPr>
        <w:pStyle w:val="FootnoteText"/>
      </w:pPr>
      <w:r>
        <w:rPr>
          <w:rStyle w:val="FootnoteReference"/>
        </w:rPr>
        <w:footnoteRef/>
      </w:r>
      <w:r>
        <w:t xml:space="preserve"> On page 5 of the settlement stipulation in </w:t>
      </w:r>
      <w:r w:rsidRPr="005176A8">
        <w:rPr>
          <w:i/>
        </w:rPr>
        <w:t>WUTC v. Avista Corporation</w:t>
      </w:r>
      <w:r w:rsidRPr="005176A8">
        <w:t xml:space="preserve">, UE-011595, </w:t>
      </w:r>
      <w:r>
        <w:t xml:space="preserve">approved by the Commission in its Fourth </w:t>
      </w:r>
      <w:r w:rsidRPr="005176A8">
        <w:t xml:space="preserve">Supplemental Order </w:t>
      </w:r>
      <w:r>
        <w:t xml:space="preserve">of </w:t>
      </w:r>
      <w:r w:rsidRPr="005176A8">
        <w:t>June 18, 2002</w:t>
      </w:r>
      <w:r>
        <w:t>; established $9 million as the ERM’s deadband</w:t>
      </w:r>
      <w:r w:rsidRPr="005176A8">
        <w:t>.</w:t>
      </w:r>
      <w:r>
        <w:t xml:space="preserve">  A subsequent settlement was approved by the Commission in UE-060181, Order 03 (June 16, 2006), reducing the deadband to its current level of $4 million.</w:t>
      </w:r>
    </w:p>
  </w:footnote>
  <w:footnote w:id="7">
    <w:p w14:paraId="0EDB0504" w14:textId="77777777" w:rsidR="004E4F07" w:rsidRDefault="004E4F07" w:rsidP="004E4F07">
      <w:pPr>
        <w:pStyle w:val="FootnoteText"/>
      </w:pPr>
      <w:r>
        <w:rPr>
          <w:rStyle w:val="FootnoteReference"/>
        </w:rPr>
        <w:footnoteRef/>
      </w:r>
      <w:r>
        <w:t xml:space="preserve"> Staff also compared the results of its analysis with the various PCAM proposals offered in UE-061546 which are summarized in the Commission’s Order 08 in UE-061546, </w:t>
      </w:r>
      <w:r>
        <w:rPr>
          <w:rFonts w:cstheme="minorHAnsi"/>
        </w:rPr>
        <w:t>¶</w:t>
      </w:r>
      <w:r>
        <w:t xml:space="preserve"> 66, Table 2.  The deadband figures in the order are on a Washington allocated basis.</w:t>
      </w:r>
    </w:p>
  </w:footnote>
  <w:footnote w:id="8">
    <w:p w14:paraId="035C21E7" w14:textId="77777777" w:rsidR="004E4F07" w:rsidRDefault="004E4F07" w:rsidP="004E4F07">
      <w:pPr>
        <w:pStyle w:val="FootnoteText"/>
      </w:pPr>
      <w:r>
        <w:rPr>
          <w:rStyle w:val="FootnoteReference"/>
        </w:rPr>
        <w:footnoteRef/>
      </w:r>
      <w:r>
        <w:t xml:space="preserve"> </w:t>
      </w:r>
      <w:r w:rsidRPr="00EA6E35">
        <w:t>For the year 2010, there were no ERM deferral entries.  Per the Stipulation approved in Order No. 7 in Docket UE-100467, no ERM deferral entries were made in 2010.</w:t>
      </w:r>
    </w:p>
  </w:footnote>
  <w:footnote w:id="9">
    <w:p w14:paraId="008D5E48" w14:textId="77777777" w:rsidR="004E4F07" w:rsidRDefault="004E4F07" w:rsidP="004E4F07">
      <w:pPr>
        <w:pStyle w:val="FootnoteText"/>
      </w:pPr>
      <w:r>
        <w:rPr>
          <w:rStyle w:val="FootnoteReference"/>
        </w:rPr>
        <w:footnoteRef/>
      </w:r>
      <w:r>
        <w:t xml:space="preserve"> The NPC data provided by Pacific Power does not include the </w:t>
      </w:r>
      <w:r w:rsidRPr="0021168B">
        <w:t>East Area Sales (WCA Sale)</w:t>
      </w:r>
      <w:r>
        <w:t xml:space="preserve"> amounts which would be included in the Company’s actual calculation of both Base and Actual NPC.</w:t>
      </w:r>
    </w:p>
  </w:footnote>
  <w:footnote w:id="10">
    <w:p w14:paraId="4A66AEF2" w14:textId="77777777" w:rsidR="004E4F07" w:rsidRDefault="004E4F07" w:rsidP="004E4F07">
      <w:pPr>
        <w:pStyle w:val="FootnoteText"/>
      </w:pPr>
      <w:r>
        <w:rPr>
          <w:rStyle w:val="FootnoteReference"/>
        </w:rPr>
        <w:footnoteRef/>
      </w:r>
      <w:r>
        <w:t xml:space="preserve"> </w:t>
      </w:r>
      <w:r w:rsidRPr="00E1562C">
        <w:rPr>
          <w:i/>
        </w:rPr>
        <w:t>WUTC v. Pacific Power</w:t>
      </w:r>
      <w:r w:rsidRPr="00E1562C">
        <w:t xml:space="preserve">, UE-130043, Duvall, Exhibit No. __ (GND-1CT), Page 46: </w:t>
      </w:r>
      <w:r>
        <w:t>6</w:t>
      </w:r>
      <w:r w:rsidRPr="00E1562C">
        <w:t>-</w:t>
      </w:r>
      <w:r>
        <w:t>7</w:t>
      </w:r>
      <w:r w:rsidRPr="00E1562C">
        <w:t>.</w:t>
      </w:r>
    </w:p>
  </w:footnote>
  <w:footnote w:id="11">
    <w:p w14:paraId="60525BFF" w14:textId="77777777" w:rsidR="004E4F07" w:rsidRDefault="004E4F07" w:rsidP="004E4F07">
      <w:pPr>
        <w:pStyle w:val="FootnoteText"/>
      </w:pPr>
      <w:r>
        <w:rPr>
          <w:rStyle w:val="FootnoteReference"/>
        </w:rPr>
        <w:footnoteRef/>
      </w:r>
      <w:r>
        <w:t xml:space="preserve"> </w:t>
      </w:r>
      <w:r w:rsidRPr="00E1562C">
        <w:rPr>
          <w:i/>
        </w:rPr>
        <w:t>WUTC v. Pacific Power</w:t>
      </w:r>
      <w:r w:rsidRPr="00E1562C">
        <w:t>, UE-1</w:t>
      </w:r>
      <w:r>
        <w:t>40762</w:t>
      </w:r>
      <w:r w:rsidRPr="00E1562C">
        <w:t xml:space="preserve">, Duvall, Exhibit No. __ (GND-1CT), Page </w:t>
      </w:r>
      <w:r>
        <w:t>37</w:t>
      </w:r>
      <w:r w:rsidRPr="00E1562C">
        <w:t xml:space="preserve">: </w:t>
      </w:r>
      <w:r>
        <w:t>16</w:t>
      </w:r>
      <w:r w:rsidRPr="00E1562C">
        <w:t>-</w:t>
      </w:r>
      <w:r>
        <w:t>17</w:t>
      </w:r>
      <w:r w:rsidRPr="00E1562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13537"/>
    <w:multiLevelType w:val="hybridMultilevel"/>
    <w:tmpl w:val="F9B4211A"/>
    <w:lvl w:ilvl="0" w:tplc="6B308CE0">
      <w:start w:val="1"/>
      <w:numFmt w:val="upperRoman"/>
      <w:lvlText w:val="%1."/>
      <w:lvlJc w:val="left"/>
      <w:pPr>
        <w:ind w:left="90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E576D7"/>
    <w:multiLevelType w:val="hybridMultilevel"/>
    <w:tmpl w:val="AD9CAA38"/>
    <w:lvl w:ilvl="0" w:tplc="594646C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D740FBF"/>
    <w:multiLevelType w:val="hybridMultilevel"/>
    <w:tmpl w:val="8468207C"/>
    <w:lvl w:ilvl="0" w:tplc="C55C04C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A22D2A"/>
    <w:multiLevelType w:val="hybridMultilevel"/>
    <w:tmpl w:val="2B6C5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8931D5B"/>
    <w:multiLevelType w:val="hybridMultilevel"/>
    <w:tmpl w:val="F68E2D7E"/>
    <w:lvl w:ilvl="0" w:tplc="C23268B0">
      <w:start w:val="1"/>
      <w:numFmt w:val="decimal"/>
      <w:pStyle w:val="WUTCParagraph"/>
      <w:lvlText w:val="%1"/>
      <w:lvlJc w:val="left"/>
      <w:pPr>
        <w:tabs>
          <w:tab w:val="num" w:pos="3870"/>
        </w:tabs>
        <w:ind w:left="3870" w:hanging="720"/>
      </w:pPr>
      <w:rPr>
        <w:rFonts w:ascii="Times New Roman" w:hAnsi="Times New Roman" w:cs="Times New Roman" w:hint="default"/>
        <w:b w:val="0"/>
        <w:i/>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4"/>
    <w:lvlOverride w:ilvl="0">
      <w:startOverride w:val="3"/>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51"/>
    <w:rsid w:val="0000196E"/>
    <w:rsid w:val="000322F9"/>
    <w:rsid w:val="0008792E"/>
    <w:rsid w:val="000B2113"/>
    <w:rsid w:val="000D2823"/>
    <w:rsid w:val="000E2497"/>
    <w:rsid w:val="001133D1"/>
    <w:rsid w:val="00136DFE"/>
    <w:rsid w:val="00144A93"/>
    <w:rsid w:val="00161753"/>
    <w:rsid w:val="00191483"/>
    <w:rsid w:val="001D08EC"/>
    <w:rsid w:val="001E06F6"/>
    <w:rsid w:val="001F7B36"/>
    <w:rsid w:val="00211639"/>
    <w:rsid w:val="00226616"/>
    <w:rsid w:val="00231620"/>
    <w:rsid w:val="0024244B"/>
    <w:rsid w:val="0024537E"/>
    <w:rsid w:val="00263BA2"/>
    <w:rsid w:val="00286AE9"/>
    <w:rsid w:val="002A39A2"/>
    <w:rsid w:val="00302751"/>
    <w:rsid w:val="003267F0"/>
    <w:rsid w:val="00355770"/>
    <w:rsid w:val="00381B10"/>
    <w:rsid w:val="003A059A"/>
    <w:rsid w:val="003C1844"/>
    <w:rsid w:val="004001B0"/>
    <w:rsid w:val="004257BE"/>
    <w:rsid w:val="00450CDF"/>
    <w:rsid w:val="00453983"/>
    <w:rsid w:val="004B6439"/>
    <w:rsid w:val="004B65EF"/>
    <w:rsid w:val="004B7241"/>
    <w:rsid w:val="004C0472"/>
    <w:rsid w:val="004E46FB"/>
    <w:rsid w:val="004E4F07"/>
    <w:rsid w:val="004F21D2"/>
    <w:rsid w:val="004F3B3A"/>
    <w:rsid w:val="0050053B"/>
    <w:rsid w:val="00545D12"/>
    <w:rsid w:val="00563D17"/>
    <w:rsid w:val="005864D8"/>
    <w:rsid w:val="00596274"/>
    <w:rsid w:val="00596B6C"/>
    <w:rsid w:val="0059793D"/>
    <w:rsid w:val="005A0CB4"/>
    <w:rsid w:val="005A207B"/>
    <w:rsid w:val="005C0838"/>
    <w:rsid w:val="005C2909"/>
    <w:rsid w:val="005C2D88"/>
    <w:rsid w:val="005D14B9"/>
    <w:rsid w:val="005D55FA"/>
    <w:rsid w:val="005D79B1"/>
    <w:rsid w:val="006113A2"/>
    <w:rsid w:val="00627847"/>
    <w:rsid w:val="00654B38"/>
    <w:rsid w:val="00681078"/>
    <w:rsid w:val="0069775D"/>
    <w:rsid w:val="0072050E"/>
    <w:rsid w:val="00766A87"/>
    <w:rsid w:val="00766D38"/>
    <w:rsid w:val="007B7439"/>
    <w:rsid w:val="007E74CC"/>
    <w:rsid w:val="00852525"/>
    <w:rsid w:val="00854C2F"/>
    <w:rsid w:val="00861222"/>
    <w:rsid w:val="00877965"/>
    <w:rsid w:val="0088013E"/>
    <w:rsid w:val="00891C60"/>
    <w:rsid w:val="008B799C"/>
    <w:rsid w:val="00913457"/>
    <w:rsid w:val="00971160"/>
    <w:rsid w:val="00971999"/>
    <w:rsid w:val="0098285B"/>
    <w:rsid w:val="009C7F8F"/>
    <w:rsid w:val="009D1DB0"/>
    <w:rsid w:val="009D1E41"/>
    <w:rsid w:val="00A10C18"/>
    <w:rsid w:val="00A21621"/>
    <w:rsid w:val="00A723DB"/>
    <w:rsid w:val="00AA292F"/>
    <w:rsid w:val="00AB3111"/>
    <w:rsid w:val="00B11966"/>
    <w:rsid w:val="00B461C5"/>
    <w:rsid w:val="00B95A1C"/>
    <w:rsid w:val="00BC2704"/>
    <w:rsid w:val="00BE418D"/>
    <w:rsid w:val="00BE4B5C"/>
    <w:rsid w:val="00C3379B"/>
    <w:rsid w:val="00C72AC3"/>
    <w:rsid w:val="00C86BE4"/>
    <w:rsid w:val="00CA0C94"/>
    <w:rsid w:val="00CD287F"/>
    <w:rsid w:val="00D01D4A"/>
    <w:rsid w:val="00D334D5"/>
    <w:rsid w:val="00D45D51"/>
    <w:rsid w:val="00D46B46"/>
    <w:rsid w:val="00D50577"/>
    <w:rsid w:val="00D708B2"/>
    <w:rsid w:val="00D75D90"/>
    <w:rsid w:val="00D76811"/>
    <w:rsid w:val="00D76BA4"/>
    <w:rsid w:val="00DA6021"/>
    <w:rsid w:val="00DB2D62"/>
    <w:rsid w:val="00DB43C0"/>
    <w:rsid w:val="00DC3FEE"/>
    <w:rsid w:val="00DD0DB7"/>
    <w:rsid w:val="00DF02A6"/>
    <w:rsid w:val="00E05E5E"/>
    <w:rsid w:val="00E12A72"/>
    <w:rsid w:val="00E50757"/>
    <w:rsid w:val="00E703BB"/>
    <w:rsid w:val="00EC0454"/>
    <w:rsid w:val="00EC287E"/>
    <w:rsid w:val="00EC7F8B"/>
    <w:rsid w:val="00F2250F"/>
    <w:rsid w:val="00F22831"/>
    <w:rsid w:val="00F33FA0"/>
    <w:rsid w:val="00F455D2"/>
    <w:rsid w:val="00F45BFE"/>
    <w:rsid w:val="00F46F73"/>
    <w:rsid w:val="00F47E1E"/>
    <w:rsid w:val="00F56D96"/>
    <w:rsid w:val="00FA59B7"/>
    <w:rsid w:val="00FB2338"/>
    <w:rsid w:val="00FC4186"/>
    <w:rsid w:val="00FD0D24"/>
    <w:rsid w:val="00FD62BC"/>
    <w:rsid w:val="00FE19C5"/>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hapeDefaults>
    <o:shapedefaults v:ext="edit" spidmax="22529"/>
    <o:shapelayout v:ext="edit">
      <o:idmap v:ext="edit" data="1"/>
    </o:shapelayout>
  </w:shapeDefaults>
  <w:decimalSymbol w:val="."/>
  <w:listSeparator w:val=","/>
  <w14:docId w14:val="70E5F826"/>
  <w15:docId w15:val="{B4DC4571-4DF5-4B13-B64D-060F23AC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51"/>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302751"/>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751"/>
    <w:rPr>
      <w:rFonts w:ascii="Times New Roman" w:eastAsia="Times New Roman" w:hAnsi="Times New Roman" w:cs="Times New Roman"/>
      <w:b/>
      <w:snapToGrid w:val="0"/>
      <w:sz w:val="28"/>
      <w:szCs w:val="20"/>
    </w:rPr>
  </w:style>
  <w:style w:type="paragraph" w:styleId="Header">
    <w:name w:val="header"/>
    <w:basedOn w:val="Normal"/>
    <w:link w:val="HeaderChar"/>
    <w:rsid w:val="00302751"/>
    <w:pPr>
      <w:tabs>
        <w:tab w:val="center" w:pos="4320"/>
        <w:tab w:val="right" w:pos="8640"/>
      </w:tabs>
    </w:pPr>
    <w:rPr>
      <w:color w:val="auto"/>
      <w:sz w:val="20"/>
    </w:rPr>
  </w:style>
  <w:style w:type="character" w:customStyle="1" w:styleId="HeaderChar">
    <w:name w:val="Header Char"/>
    <w:basedOn w:val="DefaultParagraphFont"/>
    <w:link w:val="Header"/>
    <w:rsid w:val="00302751"/>
    <w:rPr>
      <w:rFonts w:ascii="Times New Roman" w:eastAsia="Times New Roman" w:hAnsi="Times New Roman" w:cs="Times New Roman"/>
      <w:sz w:val="20"/>
      <w:szCs w:val="20"/>
    </w:rPr>
  </w:style>
  <w:style w:type="paragraph" w:customStyle="1" w:styleId="WUTCParagraph">
    <w:name w:val="WUTC Paragraph"/>
    <w:basedOn w:val="Normal"/>
    <w:link w:val="WUTCParagraphChar"/>
    <w:qFormat/>
    <w:rsid w:val="00302751"/>
    <w:pPr>
      <w:numPr>
        <w:numId w:val="1"/>
      </w:numPr>
      <w:tabs>
        <w:tab w:val="clear" w:pos="3870"/>
        <w:tab w:val="left" w:pos="1440"/>
      </w:tabs>
      <w:spacing w:line="480" w:lineRule="auto"/>
      <w:ind w:left="0"/>
    </w:pPr>
    <w:rPr>
      <w:color w:val="auto"/>
      <w:szCs w:val="24"/>
      <w:lang w:val="x-none" w:eastAsia="x-none"/>
    </w:rPr>
  </w:style>
  <w:style w:type="character" w:customStyle="1" w:styleId="WUTCParagraphChar">
    <w:name w:val="WUTC Paragraph Char"/>
    <w:link w:val="WUTCParagraph"/>
    <w:rsid w:val="00302751"/>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uiPriority w:val="99"/>
    <w:semiHidden/>
    <w:rsid w:val="00302751"/>
    <w:rPr>
      <w:sz w:val="20"/>
    </w:rPr>
  </w:style>
  <w:style w:type="character" w:customStyle="1" w:styleId="FootnoteTextChar">
    <w:name w:val="Footnote Text Char"/>
    <w:basedOn w:val="DefaultParagraphFont"/>
    <w:link w:val="FootnoteText"/>
    <w:uiPriority w:val="99"/>
    <w:semiHidden/>
    <w:rsid w:val="00302751"/>
    <w:rPr>
      <w:rFonts w:ascii="Times New Roman" w:eastAsia="Times New Roman" w:hAnsi="Times New Roman" w:cs="Times New Roman"/>
      <w:color w:val="000000"/>
      <w:sz w:val="20"/>
      <w:szCs w:val="20"/>
    </w:rPr>
  </w:style>
  <w:style w:type="character" w:styleId="FootnoteReference">
    <w:name w:val="footnote reference"/>
    <w:uiPriority w:val="99"/>
    <w:semiHidden/>
    <w:rsid w:val="00302751"/>
    <w:rPr>
      <w:vertAlign w:val="superscript"/>
    </w:rPr>
  </w:style>
  <w:style w:type="paragraph" w:customStyle="1" w:styleId="center">
    <w:name w:val="center"/>
    <w:basedOn w:val="Normal"/>
    <w:rsid w:val="00302751"/>
    <w:pPr>
      <w:keepLines/>
      <w:spacing w:before="240" w:line="240" w:lineRule="atLeast"/>
      <w:jc w:val="center"/>
    </w:pPr>
    <w:rPr>
      <w:color w:val="auto"/>
      <w:lang w:eastAsia="zh-CN"/>
    </w:rPr>
  </w:style>
  <w:style w:type="paragraph" w:styleId="Footer">
    <w:name w:val="footer"/>
    <w:basedOn w:val="Normal"/>
    <w:link w:val="FooterChar"/>
    <w:uiPriority w:val="99"/>
    <w:unhideWhenUsed/>
    <w:rsid w:val="004F21D2"/>
    <w:pPr>
      <w:tabs>
        <w:tab w:val="center" w:pos="4680"/>
        <w:tab w:val="right" w:pos="9360"/>
      </w:tabs>
    </w:pPr>
  </w:style>
  <w:style w:type="character" w:customStyle="1" w:styleId="FooterChar">
    <w:name w:val="Footer Char"/>
    <w:basedOn w:val="DefaultParagraphFont"/>
    <w:link w:val="Footer"/>
    <w:uiPriority w:val="99"/>
    <w:rsid w:val="004F21D2"/>
    <w:rPr>
      <w:rFonts w:ascii="Times New Roman" w:eastAsia="Times New Roman" w:hAnsi="Times New Roman" w:cs="Times New Roman"/>
      <w:color w:val="000000"/>
      <w:sz w:val="24"/>
      <w:szCs w:val="20"/>
    </w:rPr>
  </w:style>
  <w:style w:type="character" w:styleId="CommentReference">
    <w:name w:val="annotation reference"/>
    <w:basedOn w:val="DefaultParagraphFont"/>
    <w:uiPriority w:val="99"/>
    <w:semiHidden/>
    <w:unhideWhenUsed/>
    <w:rsid w:val="00453983"/>
    <w:rPr>
      <w:sz w:val="16"/>
      <w:szCs w:val="16"/>
    </w:rPr>
  </w:style>
  <w:style w:type="paragraph" w:styleId="CommentText">
    <w:name w:val="annotation text"/>
    <w:basedOn w:val="Normal"/>
    <w:link w:val="CommentTextChar"/>
    <w:uiPriority w:val="99"/>
    <w:semiHidden/>
    <w:unhideWhenUsed/>
    <w:rsid w:val="00453983"/>
    <w:rPr>
      <w:sz w:val="20"/>
    </w:rPr>
  </w:style>
  <w:style w:type="character" w:customStyle="1" w:styleId="CommentTextChar">
    <w:name w:val="Comment Text Char"/>
    <w:basedOn w:val="DefaultParagraphFont"/>
    <w:link w:val="CommentText"/>
    <w:uiPriority w:val="99"/>
    <w:semiHidden/>
    <w:rsid w:val="0045398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53983"/>
    <w:rPr>
      <w:b/>
      <w:bCs/>
    </w:rPr>
  </w:style>
  <w:style w:type="character" w:customStyle="1" w:styleId="CommentSubjectChar">
    <w:name w:val="Comment Subject Char"/>
    <w:basedOn w:val="CommentTextChar"/>
    <w:link w:val="CommentSubject"/>
    <w:uiPriority w:val="99"/>
    <w:semiHidden/>
    <w:rsid w:val="00453983"/>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539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983"/>
    <w:rPr>
      <w:rFonts w:ascii="Segoe UI" w:eastAsia="Times New Roman" w:hAnsi="Segoe UI" w:cs="Segoe UI"/>
      <w:color w:val="000000"/>
      <w:sz w:val="18"/>
      <w:szCs w:val="18"/>
    </w:rPr>
  </w:style>
  <w:style w:type="paragraph" w:styleId="BodyTextIndent2">
    <w:name w:val="Body Text Indent 2"/>
    <w:basedOn w:val="Normal"/>
    <w:link w:val="BodyTextIndent2Char"/>
    <w:rsid w:val="007B7439"/>
    <w:pPr>
      <w:ind w:left="686"/>
    </w:pPr>
    <w:rPr>
      <w:rFonts w:ascii="Palatino Linotype" w:hAnsi="Palatino Linotype"/>
      <w:color w:val="auto"/>
      <w:szCs w:val="24"/>
    </w:rPr>
  </w:style>
  <w:style w:type="character" w:customStyle="1" w:styleId="BodyTextIndent2Char">
    <w:name w:val="Body Text Indent 2 Char"/>
    <w:basedOn w:val="DefaultParagraphFont"/>
    <w:link w:val="BodyTextIndent2"/>
    <w:rsid w:val="007B7439"/>
    <w:rPr>
      <w:rFonts w:ascii="Palatino Linotype" w:eastAsia="Times New Roman" w:hAnsi="Palatino Linotype" w:cs="Times New Roman"/>
      <w:sz w:val="24"/>
      <w:szCs w:val="24"/>
    </w:rPr>
  </w:style>
  <w:style w:type="paragraph" w:styleId="BodyTextIndent">
    <w:name w:val="Body Text Indent"/>
    <w:basedOn w:val="Normal"/>
    <w:link w:val="BodyTextIndentChar"/>
    <w:uiPriority w:val="99"/>
    <w:semiHidden/>
    <w:unhideWhenUsed/>
    <w:rsid w:val="004E4F07"/>
    <w:pPr>
      <w:spacing w:after="120"/>
      <w:ind w:left="360"/>
    </w:pPr>
  </w:style>
  <w:style w:type="character" w:customStyle="1" w:styleId="BodyTextIndentChar">
    <w:name w:val="Body Text Indent Char"/>
    <w:basedOn w:val="DefaultParagraphFont"/>
    <w:link w:val="BodyTextIndent"/>
    <w:uiPriority w:val="99"/>
    <w:semiHidden/>
    <w:rsid w:val="004E4F07"/>
    <w:rPr>
      <w:rFonts w:ascii="Times New Roman" w:eastAsia="Times New Roman" w:hAnsi="Times New Roman" w:cs="Times New Roman"/>
      <w:color w:val="000000"/>
      <w:sz w:val="24"/>
      <w:szCs w:val="20"/>
    </w:rPr>
  </w:style>
  <w:style w:type="paragraph" w:styleId="Caption">
    <w:name w:val="caption"/>
    <w:basedOn w:val="Normal"/>
    <w:next w:val="Normal"/>
    <w:uiPriority w:val="35"/>
    <w:unhideWhenUsed/>
    <w:qFormat/>
    <w:rsid w:val="004E4F07"/>
    <w:pPr>
      <w:spacing w:after="200"/>
    </w:pPr>
    <w:rPr>
      <w:rFonts w:asciiTheme="minorHAnsi" w:eastAsia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2015-04-09T23:11:22+00:00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1BF0280-23C9-44A7-84D4-3E9AEBBA1B12}"/>
</file>

<file path=customXml/itemProps2.xml><?xml version="1.0" encoding="utf-8"?>
<ds:datastoreItem xmlns:ds="http://schemas.openxmlformats.org/officeDocument/2006/customXml" ds:itemID="{7D45AD5F-E6F6-45E6-9353-022F397297DD}"/>
</file>

<file path=customXml/itemProps3.xml><?xml version="1.0" encoding="utf-8"?>
<ds:datastoreItem xmlns:ds="http://schemas.openxmlformats.org/officeDocument/2006/customXml" ds:itemID="{EBEE18EA-7FCE-4532-A37E-016D5E891E98}"/>
</file>

<file path=customXml/itemProps4.xml><?xml version="1.0" encoding="utf-8"?>
<ds:datastoreItem xmlns:ds="http://schemas.openxmlformats.org/officeDocument/2006/customXml" ds:itemID="{BCB5B74C-41E8-4924-8EA3-F1F53278073D}"/>
</file>

<file path=customXml/itemProps5.xml><?xml version="1.0" encoding="utf-8"?>
<ds:datastoreItem xmlns:ds="http://schemas.openxmlformats.org/officeDocument/2006/customXml" ds:itemID="{A53C0DF9-2BE1-4408-A38F-BECE0F23494E}"/>
</file>

<file path=docProps/app.xml><?xml version="1.0" encoding="utf-8"?>
<Properties xmlns="http://schemas.openxmlformats.org/officeDocument/2006/extended-properties" xmlns:vt="http://schemas.openxmlformats.org/officeDocument/2006/docPropsVTypes">
  <Template>Normal</Template>
  <TotalTime>20</TotalTime>
  <Pages>6</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Jesse O. Gorsuch</dc:creator>
  <cp:lastModifiedBy>Oshie, Patrick (UTC)</cp:lastModifiedBy>
  <cp:revision>7</cp:revision>
  <cp:lastPrinted>2014-11-25T21:42:00Z</cp:lastPrinted>
  <dcterms:created xsi:type="dcterms:W3CDTF">2015-04-09T22:26:00Z</dcterms:created>
  <dcterms:modified xsi:type="dcterms:W3CDTF">2015-04-09T22:49:00Z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