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center"/>
        <w:rPr>
          <w:sz w:val="28"/>
          <w:szCs w:val="28"/>
        </w:rPr>
      </w:pPr>
    </w:p>
    <w:p w:rsidR="009F0C75" w:rsidRDefault="009F0C75"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A00338" w:rsidRDefault="00A00338" w:rsidP="009F0C75">
      <w:pPr>
        <w:tabs>
          <w:tab w:val="left" w:pos="1260"/>
        </w:tabs>
        <w:spacing w:line="480" w:lineRule="auto"/>
        <w:ind w:firstLine="720"/>
        <w:jc w:val="center"/>
        <w:rPr>
          <w:rStyle w:val="LineNumber"/>
        </w:rPr>
      </w:pPr>
    </w:p>
    <w:p w:rsidR="009F0C75" w:rsidRDefault="009F0C75" w:rsidP="009F0C75">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rsidR="009F0C75" w:rsidRDefault="009F0C75" w:rsidP="009F0C75">
      <w:pPr>
        <w:tabs>
          <w:tab w:val="left" w:pos="1260"/>
        </w:tabs>
        <w:spacing w:line="480" w:lineRule="auto"/>
      </w:pPr>
    </w:p>
    <w:p w:rsidR="009F0C75" w:rsidRDefault="000F1579" w:rsidP="009F0C75">
      <w:pPr>
        <w:tabs>
          <w:tab w:val="left" w:pos="1260"/>
        </w:tabs>
        <w:jc w:val="center"/>
      </w:pPr>
      <w:r>
        <w:t>DOCKET NO. UE-100176</w:t>
      </w:r>
      <w:r w:rsidR="009F0C75">
        <w:t xml:space="preserve"> </w:t>
      </w:r>
    </w:p>
    <w:p w:rsidR="009F0C75" w:rsidRDefault="009F0C75" w:rsidP="009F0C75">
      <w:pPr>
        <w:tabs>
          <w:tab w:val="left" w:pos="1260"/>
        </w:tabs>
        <w:jc w:val="center"/>
      </w:pPr>
    </w:p>
    <w:p w:rsidR="009F0C75" w:rsidRDefault="009F0C75" w:rsidP="009F0C75">
      <w:pPr>
        <w:tabs>
          <w:tab w:val="left" w:pos="1260"/>
        </w:tabs>
        <w:spacing w:line="480" w:lineRule="auto"/>
        <w:ind w:firstLine="720"/>
        <w:jc w:val="center"/>
      </w:pPr>
    </w:p>
    <w:p w:rsidR="009F0C75" w:rsidRDefault="009F0C75" w:rsidP="009F0C75">
      <w:pPr>
        <w:tabs>
          <w:tab w:val="left" w:pos="1260"/>
        </w:tabs>
        <w:spacing w:line="480" w:lineRule="auto"/>
        <w:jc w:val="center"/>
      </w:pPr>
      <w:r>
        <w:t xml:space="preserve">DIRECT TESTIMONY OF </w:t>
      </w:r>
    </w:p>
    <w:p w:rsidR="009F0C75" w:rsidRDefault="00085340" w:rsidP="009F0C75">
      <w:pPr>
        <w:tabs>
          <w:tab w:val="left" w:pos="1260"/>
        </w:tabs>
        <w:spacing w:line="480" w:lineRule="auto"/>
        <w:jc w:val="center"/>
      </w:pPr>
      <w:r>
        <w:t>LORI B. HERMANSON</w:t>
      </w:r>
    </w:p>
    <w:p w:rsidR="009F0C75" w:rsidRDefault="009F0C75" w:rsidP="009F0C75">
      <w:pPr>
        <w:tabs>
          <w:tab w:val="left" w:pos="1260"/>
        </w:tabs>
        <w:spacing w:line="480" w:lineRule="auto"/>
        <w:jc w:val="center"/>
      </w:pPr>
      <w:r>
        <w:t>REPRESENTING AVISTA CORPORATION</w:t>
      </w:r>
    </w:p>
    <w:p w:rsidR="009F0C75" w:rsidRDefault="009F0C75" w:rsidP="009F0C75">
      <w:pPr>
        <w:tabs>
          <w:tab w:val="left" w:pos="1260"/>
        </w:tabs>
      </w:pPr>
    </w:p>
    <w:p w:rsidR="009F0C75" w:rsidRDefault="009F0C75" w:rsidP="009F0C75">
      <w:pPr>
        <w:tabs>
          <w:tab w:val="left" w:pos="1260"/>
        </w:tabs>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rPr>
          <w:rFonts w:ascii="Palatino Linotype" w:hAnsi="Palatino Linotype" w:cs="Palatino Linotype"/>
        </w:rPr>
      </w:pPr>
    </w:p>
    <w:p w:rsidR="00182994" w:rsidRDefault="00182994">
      <w:pPr>
        <w:tabs>
          <w:tab w:val="left" w:pos="1260"/>
        </w:tabs>
        <w:spacing w:line="480" w:lineRule="auto"/>
        <w:ind w:firstLine="720"/>
        <w:jc w:val="center"/>
      </w:pPr>
    </w:p>
    <w:p w:rsidR="00182994" w:rsidRDefault="00182994">
      <w:pPr>
        <w:tabs>
          <w:tab w:val="left" w:pos="1260"/>
        </w:tabs>
        <w:spacing w:line="480" w:lineRule="auto"/>
        <w:ind w:firstLine="720"/>
        <w:jc w:val="both"/>
      </w:pPr>
    </w:p>
    <w:p w:rsidR="00182994" w:rsidRDefault="00182994">
      <w:pPr>
        <w:tabs>
          <w:tab w:val="left" w:pos="1260"/>
        </w:tabs>
        <w:spacing w:line="480" w:lineRule="auto"/>
        <w:ind w:firstLine="720"/>
        <w:jc w:val="both"/>
        <w:sectPr w:rsidR="00182994" w:rsidSect="00FE4718">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BA001D" w:rsidRPr="00BA001D" w:rsidRDefault="00434C8F" w:rsidP="00BA001D">
      <w:pPr>
        <w:pStyle w:val="Heading5"/>
        <w:rPr>
          <w:rStyle w:val="PageNumber"/>
          <w:u w:val="single"/>
        </w:rPr>
      </w:pPr>
      <w:r>
        <w:rPr>
          <w:rStyle w:val="PageNumber"/>
          <w:u w:val="single"/>
        </w:rPr>
        <w:lastRenderedPageBreak/>
        <w:t xml:space="preserve">I.  </w:t>
      </w:r>
      <w:r w:rsidR="00BA001D" w:rsidRPr="00BA001D">
        <w:rPr>
          <w:rStyle w:val="PageNumber"/>
          <w:u w:val="single"/>
        </w:rPr>
        <w:t>INTRODUCTION</w:t>
      </w:r>
    </w:p>
    <w:p w:rsidR="00BA001D" w:rsidRPr="00BA001D" w:rsidRDefault="00BA001D" w:rsidP="00BA001D">
      <w:pPr>
        <w:tabs>
          <w:tab w:val="left" w:pos="1260"/>
        </w:tabs>
        <w:spacing w:line="480" w:lineRule="auto"/>
        <w:ind w:firstLine="720"/>
        <w:jc w:val="both"/>
        <w:rPr>
          <w:b/>
          <w:bCs/>
        </w:rPr>
      </w:pPr>
      <w:r w:rsidRPr="00BA001D">
        <w:rPr>
          <w:b/>
          <w:bCs/>
        </w:rPr>
        <w:t>Q.</w:t>
      </w:r>
      <w:r w:rsidRPr="00BA001D">
        <w:rPr>
          <w:b/>
          <w:bCs/>
        </w:rPr>
        <w:tab/>
      </w:r>
      <w:r w:rsidRPr="00BA001D">
        <w:rPr>
          <w:b/>
          <w:bCs/>
        </w:rPr>
        <w:tab/>
        <w:t>Please state your name, employer and business address.</w:t>
      </w:r>
    </w:p>
    <w:p w:rsidR="00BA001D" w:rsidRPr="00BA001D" w:rsidRDefault="00BA001D" w:rsidP="00BA001D">
      <w:pPr>
        <w:suppressAutoHyphens/>
        <w:spacing w:line="480" w:lineRule="auto"/>
        <w:ind w:firstLine="720"/>
        <w:jc w:val="both"/>
      </w:pPr>
      <w:r w:rsidRPr="00BA001D">
        <w:t>A.</w:t>
      </w:r>
      <w:r w:rsidRPr="00BA001D">
        <w:tab/>
        <w:t xml:space="preserve">My name is </w:t>
      </w:r>
      <w:r w:rsidR="00085340">
        <w:t>Lori Hermanson</w:t>
      </w:r>
      <w:r w:rsidRPr="00BA001D">
        <w:t>.  I am e</w:t>
      </w:r>
      <w:r w:rsidR="00763E80">
        <w:t xml:space="preserve">mployed by Avista as </w:t>
      </w:r>
      <w:r w:rsidR="00085340">
        <w:t>a</w:t>
      </w:r>
      <w:r w:rsidR="00763E80">
        <w:t xml:space="preserve"> </w:t>
      </w:r>
      <w:r w:rsidR="00085340">
        <w:t>Senior Utility Resource Analyst</w:t>
      </w:r>
      <w:r w:rsidR="00763E80">
        <w:t xml:space="preserve">.  </w:t>
      </w:r>
      <w:r w:rsidRPr="00BA001D">
        <w:t xml:space="preserve">My business address is 1411 </w:t>
      </w:r>
      <w:r w:rsidR="00B818AE">
        <w:t xml:space="preserve">East </w:t>
      </w:r>
      <w:r w:rsidRPr="00BA001D">
        <w:t xml:space="preserve">Mission Avenue, Spokane, Washington.  </w:t>
      </w:r>
    </w:p>
    <w:p w:rsidR="00BA001D" w:rsidRPr="00BA001D" w:rsidRDefault="00BA001D" w:rsidP="00BA001D">
      <w:pPr>
        <w:suppressAutoHyphens/>
        <w:spacing w:line="480" w:lineRule="auto"/>
        <w:jc w:val="both"/>
        <w:rPr>
          <w:b/>
          <w:bCs/>
        </w:rPr>
      </w:pPr>
      <w:r w:rsidRPr="00BA001D">
        <w:rPr>
          <w:b/>
          <w:bCs/>
        </w:rPr>
        <w:tab/>
        <w:t>Q.</w:t>
      </w:r>
      <w:r w:rsidRPr="00BA001D">
        <w:rPr>
          <w:b/>
          <w:bCs/>
        </w:rPr>
        <w:tab/>
        <w:t>Would you please describe your education and business experience?</w:t>
      </w:r>
    </w:p>
    <w:p w:rsidR="00BA001D" w:rsidRPr="00BA001D" w:rsidRDefault="00BA001D" w:rsidP="00BA001D">
      <w:pPr>
        <w:suppressAutoHyphens/>
        <w:spacing w:line="480" w:lineRule="auto"/>
        <w:jc w:val="both"/>
      </w:pPr>
      <w:r w:rsidRPr="00BA001D">
        <w:tab/>
        <w:t>A.</w:t>
      </w:r>
      <w:r w:rsidRPr="00BA001D">
        <w:tab/>
        <w:t xml:space="preserve">I graduated from </w:t>
      </w:r>
      <w:r w:rsidR="00085340">
        <w:t xml:space="preserve">Walla </w:t>
      </w:r>
      <w:proofErr w:type="spellStart"/>
      <w:r w:rsidR="00085340">
        <w:t>Walla</w:t>
      </w:r>
      <w:proofErr w:type="spellEnd"/>
      <w:r w:rsidR="00085340">
        <w:t xml:space="preserve"> University</w:t>
      </w:r>
      <w:r w:rsidRPr="00BA001D">
        <w:t xml:space="preserve"> in 19</w:t>
      </w:r>
      <w:r w:rsidR="00085340">
        <w:t>94</w:t>
      </w:r>
      <w:r w:rsidRPr="00BA001D">
        <w:t xml:space="preserve"> with Bachelor of </w:t>
      </w:r>
      <w:r w:rsidR="00085340">
        <w:t>Science in Business Administration</w:t>
      </w:r>
      <w:r w:rsidR="005906BF">
        <w:t>,</w:t>
      </w:r>
      <w:r w:rsidR="006A0DC2">
        <w:t xml:space="preserve"> with a concentration in Accounting</w:t>
      </w:r>
      <w:r w:rsidRPr="00BA001D">
        <w:t xml:space="preserve">.  I received a Masters in Business Administration degree from </w:t>
      </w:r>
      <w:r w:rsidR="00085340">
        <w:t xml:space="preserve">Eastern Washington University </w:t>
      </w:r>
      <w:r w:rsidRPr="00BA001D">
        <w:t>in 19</w:t>
      </w:r>
      <w:r w:rsidR="00085340">
        <w:t>99</w:t>
      </w:r>
      <w:r w:rsidRPr="00BA001D">
        <w:t>.</w:t>
      </w:r>
    </w:p>
    <w:p w:rsidR="002019CA" w:rsidRDefault="00BA001D" w:rsidP="00DE2F6E">
      <w:pPr>
        <w:suppressAutoHyphens/>
        <w:spacing w:line="480" w:lineRule="auto"/>
        <w:ind w:firstLine="720"/>
        <w:jc w:val="both"/>
      </w:pPr>
      <w:r w:rsidRPr="00BA001D">
        <w:t xml:space="preserve">  I joined the Company in 199</w:t>
      </w:r>
      <w:r w:rsidR="00085340">
        <w:t>7</w:t>
      </w:r>
      <w:r w:rsidRPr="00BA001D">
        <w:t xml:space="preserve"> in the </w:t>
      </w:r>
      <w:r w:rsidR="00085340">
        <w:t>Budget, Forecasting and Analysis</w:t>
      </w:r>
      <w:r w:rsidRPr="00BA001D">
        <w:t xml:space="preserve"> Department.  My duties included work associated with </w:t>
      </w:r>
      <w:r w:rsidR="00085340">
        <w:t>corporate Operations and Ma</w:t>
      </w:r>
      <w:r w:rsidR="00CB15F6">
        <w:t>intenance</w:t>
      </w:r>
      <w:r w:rsidR="00085340">
        <w:t xml:space="preserve"> as well as Capital budgets.</w:t>
      </w:r>
      <w:r w:rsidRPr="00BA001D">
        <w:t xml:space="preserve"> In 200</w:t>
      </w:r>
      <w:r w:rsidR="008E440C">
        <w:t>0</w:t>
      </w:r>
      <w:r w:rsidRPr="00BA001D">
        <w:t xml:space="preserve">, I </w:t>
      </w:r>
      <w:r w:rsidR="008E440C">
        <w:t>transferred to the Energy Delivery Accounting Department</w:t>
      </w:r>
      <w:r w:rsidR="005906BF">
        <w:t>,</w:t>
      </w:r>
      <w:r w:rsidR="008E440C">
        <w:t xml:space="preserve"> where my responsibilities included financial and accounting </w:t>
      </w:r>
      <w:r w:rsidR="006A0DC2">
        <w:t xml:space="preserve">lead </w:t>
      </w:r>
      <w:r w:rsidR="008E440C">
        <w:t>for Demand-Side Management (DSM)</w:t>
      </w:r>
      <w:r w:rsidRPr="00B25236">
        <w:t xml:space="preserve">.  I </w:t>
      </w:r>
      <w:r w:rsidR="00B25236">
        <w:t xml:space="preserve">joined the DSM </w:t>
      </w:r>
      <w:r w:rsidR="00B25236" w:rsidRPr="00B25236">
        <w:t xml:space="preserve">team in </w:t>
      </w:r>
      <w:r w:rsidR="008E440C">
        <w:t xml:space="preserve">June </w:t>
      </w:r>
      <w:r w:rsidR="00B25236" w:rsidRPr="00B25236">
        <w:t>200</w:t>
      </w:r>
      <w:r w:rsidR="008E440C">
        <w:t>4</w:t>
      </w:r>
      <w:r w:rsidR="00B25236" w:rsidRPr="00B25236">
        <w:t xml:space="preserve"> </w:t>
      </w:r>
      <w:r w:rsidR="00B25236">
        <w:t xml:space="preserve">to assist in </w:t>
      </w:r>
      <w:r w:rsidR="008E440C">
        <w:t>cost-effectiveness analys</w:t>
      </w:r>
      <w:r w:rsidR="006A0DC2">
        <w:t>i</w:t>
      </w:r>
      <w:r w:rsidR="008E440C">
        <w:t>s and reporting</w:t>
      </w:r>
      <w:r w:rsidR="00B25236">
        <w:t xml:space="preserve">.  I am now </w:t>
      </w:r>
      <w:r w:rsidR="00711659">
        <w:t>managing external Evaluation, Measurement and Verification (EM&amp;V)</w:t>
      </w:r>
      <w:r w:rsidR="00CB15F6">
        <w:t xml:space="preserve"> activities</w:t>
      </w:r>
      <w:r w:rsidR="00711659">
        <w:t xml:space="preserve"> to include process, impact and market studies.  </w:t>
      </w:r>
    </w:p>
    <w:p w:rsidR="00BA001D" w:rsidRPr="00C12BA8" w:rsidRDefault="00BA001D" w:rsidP="00C12BA8">
      <w:pPr>
        <w:pStyle w:val="BodyText2"/>
        <w:ind w:firstLine="720"/>
        <w:rPr>
          <w:b/>
        </w:rPr>
      </w:pPr>
      <w:r w:rsidRPr="00C12BA8">
        <w:rPr>
          <w:b/>
        </w:rPr>
        <w:t>Q.</w:t>
      </w:r>
      <w:r w:rsidRPr="00C12BA8">
        <w:rPr>
          <w:b/>
        </w:rPr>
        <w:tab/>
        <w:t>What is the scope of your testimony in this proceeding?</w:t>
      </w:r>
    </w:p>
    <w:p w:rsidR="00BA001D" w:rsidRDefault="00BA001D" w:rsidP="00C12BA8">
      <w:pPr>
        <w:pStyle w:val="BodyText2"/>
        <w:ind w:firstLine="720"/>
      </w:pPr>
      <w:r w:rsidRPr="00FC20E7">
        <w:t>A.</w:t>
      </w:r>
      <w:r w:rsidRPr="00FC20E7">
        <w:tab/>
      </w:r>
      <w:r w:rsidR="00015017" w:rsidRPr="00FC20E7">
        <w:t xml:space="preserve">I </w:t>
      </w:r>
      <w:r w:rsidR="00FC20E7" w:rsidRPr="00FC20E7">
        <w:t xml:space="preserve">will </w:t>
      </w:r>
      <w:r w:rsidR="00015017" w:rsidRPr="00FC20E7">
        <w:t xml:space="preserve">report on </w:t>
      </w:r>
      <w:r w:rsidR="00B818AE">
        <w:t xml:space="preserve">regulatory </w:t>
      </w:r>
      <w:r w:rsidR="002019CA">
        <w:t>prudence</w:t>
      </w:r>
      <w:r w:rsidR="00FC20E7" w:rsidRPr="00FC20E7">
        <w:t xml:space="preserve"> of the 2010-2011 electric and natural gas DSM portfolio, </w:t>
      </w:r>
      <w:r w:rsidR="00E10E68" w:rsidRPr="002019CA">
        <w:t>Schedules 91 and 191 tariff rider balances along with annual true-up adjustments,</w:t>
      </w:r>
      <w:r w:rsidR="00E10E68">
        <w:t xml:space="preserve"> </w:t>
      </w:r>
      <w:r w:rsidR="00CB15F6">
        <w:t xml:space="preserve">the </w:t>
      </w:r>
      <w:r w:rsidR="00FC20E7" w:rsidRPr="00FC20E7">
        <w:t>ret</w:t>
      </w:r>
      <w:r w:rsidR="002019CA">
        <w:t>ention</w:t>
      </w:r>
      <w:r w:rsidR="00FC20E7" w:rsidRPr="00FC20E7">
        <w:t xml:space="preserve"> and management of external</w:t>
      </w:r>
      <w:r w:rsidR="00CB15F6">
        <w:t xml:space="preserve"> </w:t>
      </w:r>
      <w:r w:rsidR="00FC20E7" w:rsidRPr="00FC20E7">
        <w:t xml:space="preserve">EM&amp;V activities, internal </w:t>
      </w:r>
      <w:r w:rsidR="00FC20E7" w:rsidRPr="00FC20E7">
        <w:lastRenderedPageBreak/>
        <w:t xml:space="preserve">evaluations and finally, the resulting cost-effectiveness based on the external, independent evaluation.  </w:t>
      </w:r>
    </w:p>
    <w:p w:rsidR="00F407B6" w:rsidRPr="00DD1D21" w:rsidRDefault="00F407B6" w:rsidP="00685CDA">
      <w:pPr>
        <w:pStyle w:val="BodyText2"/>
        <w:ind w:firstLine="720"/>
        <w:rPr>
          <w:b/>
        </w:rPr>
      </w:pPr>
      <w:r w:rsidRPr="00DD1D21">
        <w:rPr>
          <w:b/>
        </w:rPr>
        <w:t>Q.</w:t>
      </w:r>
      <w:r w:rsidRPr="00DD1D21">
        <w:rPr>
          <w:b/>
        </w:rPr>
        <w:tab/>
      </w:r>
      <w:r>
        <w:rPr>
          <w:b/>
        </w:rPr>
        <w:t xml:space="preserve">Are you sponsoring any exhibits in this proceeding? </w:t>
      </w:r>
    </w:p>
    <w:p w:rsidR="00F407B6" w:rsidRDefault="00F407B6" w:rsidP="00F407B6">
      <w:pPr>
        <w:pStyle w:val="BodyText2"/>
        <w:ind w:firstLine="720"/>
      </w:pPr>
      <w:r>
        <w:t>A.</w:t>
      </w:r>
      <w:r>
        <w:tab/>
      </w:r>
      <w:r w:rsidRPr="00B818AE">
        <w:t xml:space="preserve">Yes.  </w:t>
      </w:r>
      <w:r>
        <w:t xml:space="preserve">I am sponsoring Exhibit </w:t>
      </w:r>
      <w:r w:rsidR="002019CA">
        <w:t>No.___ (</w:t>
      </w:r>
      <w:r>
        <w:t>LBH-2</w:t>
      </w:r>
      <w:r w:rsidR="002019CA">
        <w:t>)</w:t>
      </w:r>
      <w:r w:rsidR="005906BF">
        <w:t>,</w:t>
      </w:r>
      <w:r>
        <w:t xml:space="preserve"> which summarizes DSM energy savings and </w:t>
      </w:r>
      <w:proofErr w:type="spellStart"/>
      <w:r>
        <w:t>levelized</w:t>
      </w:r>
      <w:proofErr w:type="spellEnd"/>
      <w:r>
        <w:t xml:space="preserve"> costs as well as Washington-specific cost-effectiven</w:t>
      </w:r>
      <w:r w:rsidR="00411544">
        <w:t xml:space="preserve">ess by regular and low income. </w:t>
      </w:r>
      <w:r w:rsidR="003F070C" w:rsidRPr="002019CA">
        <w:t xml:space="preserve">I am also sponsoring </w:t>
      </w:r>
      <w:r w:rsidR="00411544" w:rsidRPr="002019CA">
        <w:t xml:space="preserve">Exhibit </w:t>
      </w:r>
      <w:r w:rsidR="002019CA" w:rsidRPr="002019CA">
        <w:t>No.___</w:t>
      </w:r>
      <w:r w:rsidR="002019CA">
        <w:t>(</w:t>
      </w:r>
      <w:r w:rsidR="00411544" w:rsidRPr="002019CA">
        <w:t>LBH-3</w:t>
      </w:r>
      <w:r w:rsidR="002019CA">
        <w:t>),</w:t>
      </w:r>
      <w:r w:rsidR="00411544" w:rsidRPr="002019CA">
        <w:t xml:space="preserve"> the Company’s 2011 DSM Annual Report</w:t>
      </w:r>
      <w:r w:rsidR="009879C2">
        <w:rPr>
          <w:rStyle w:val="FootnoteReference"/>
        </w:rPr>
        <w:footnoteReference w:id="1"/>
      </w:r>
      <w:r w:rsidR="00B965D2">
        <w:t xml:space="preserve"> and Exhibit No.___(LBH-4), a memo from NEEA summarizing Avista’s share of the “</w:t>
      </w:r>
      <w:r w:rsidR="00B965D2" w:rsidRPr="00B965D2">
        <w:t>Draft 2010 &amp; 2011 6</w:t>
      </w:r>
      <w:r w:rsidR="00B965D2" w:rsidRPr="00B965D2">
        <w:rPr>
          <w:vertAlign w:val="superscript"/>
        </w:rPr>
        <w:t>th</w:t>
      </w:r>
      <w:r w:rsidR="00B965D2" w:rsidRPr="00B965D2">
        <w:t xml:space="preserve"> Power Plan Savings Report.</w:t>
      </w:r>
      <w:r w:rsidR="00B965D2">
        <w:t>”</w:t>
      </w:r>
      <w:r w:rsidR="00411544">
        <w:t xml:space="preserve"> </w:t>
      </w:r>
    </w:p>
    <w:p w:rsidR="003F070C" w:rsidRDefault="003F070C" w:rsidP="00F407B6">
      <w:pPr>
        <w:pStyle w:val="BodyText2"/>
        <w:ind w:firstLine="720"/>
      </w:pPr>
    </w:p>
    <w:p w:rsidR="003F5E86" w:rsidRPr="00BA001D" w:rsidRDefault="00434C8F" w:rsidP="003F5E86">
      <w:pPr>
        <w:pStyle w:val="Heading5"/>
        <w:rPr>
          <w:rStyle w:val="PageNumber"/>
          <w:u w:val="single"/>
        </w:rPr>
      </w:pPr>
      <w:r>
        <w:rPr>
          <w:rStyle w:val="PageNumber"/>
          <w:u w:val="single"/>
        </w:rPr>
        <w:t>II</w:t>
      </w:r>
      <w:proofErr w:type="gramStart"/>
      <w:r>
        <w:rPr>
          <w:rStyle w:val="PageNumber"/>
          <w:u w:val="single"/>
        </w:rPr>
        <w:t xml:space="preserve">.  </w:t>
      </w:r>
      <w:r w:rsidR="009B41B9">
        <w:rPr>
          <w:rStyle w:val="PageNumber"/>
          <w:u w:val="single"/>
        </w:rPr>
        <w:t>PRUDENCE</w:t>
      </w:r>
      <w:proofErr w:type="gramEnd"/>
      <w:r w:rsidR="009B41B9">
        <w:rPr>
          <w:rStyle w:val="PageNumber"/>
          <w:u w:val="single"/>
        </w:rPr>
        <w:t xml:space="preserve"> OF INCURRED DSM COSTS</w:t>
      </w:r>
    </w:p>
    <w:p w:rsidR="003F5E86" w:rsidRPr="00DD1D21" w:rsidRDefault="00DD1D21" w:rsidP="00D14AA6">
      <w:pPr>
        <w:pStyle w:val="BodyText2"/>
        <w:rPr>
          <w:b/>
        </w:rPr>
      </w:pPr>
      <w:r w:rsidRPr="00DD1D21">
        <w:rPr>
          <w:b/>
        </w:rPr>
        <w:tab/>
      </w:r>
      <w:bookmarkStart w:id="0" w:name="OLE_LINK5"/>
      <w:bookmarkStart w:id="1" w:name="OLE_LINK6"/>
      <w:proofErr w:type="gramStart"/>
      <w:r w:rsidRPr="00DD1D21">
        <w:rPr>
          <w:b/>
        </w:rPr>
        <w:t>Q.</w:t>
      </w:r>
      <w:r w:rsidRPr="00DD1D21">
        <w:rPr>
          <w:b/>
        </w:rPr>
        <w:tab/>
      </w:r>
      <w:r w:rsidR="009B41B9">
        <w:rPr>
          <w:b/>
        </w:rPr>
        <w:t>Would you please explain the Company’s request for finding of prudence in this case?</w:t>
      </w:r>
      <w:proofErr w:type="gramEnd"/>
      <w:r w:rsidR="00434C8F">
        <w:rPr>
          <w:b/>
        </w:rPr>
        <w:t xml:space="preserve"> </w:t>
      </w:r>
    </w:p>
    <w:p w:rsidR="008F4EDB" w:rsidRPr="005906BF" w:rsidRDefault="00424342" w:rsidP="005906BF">
      <w:pPr>
        <w:suppressAutoHyphens/>
        <w:spacing w:line="480" w:lineRule="auto"/>
        <w:ind w:firstLine="720"/>
        <w:jc w:val="both"/>
        <w:rPr>
          <w:bCs/>
        </w:rPr>
      </w:pPr>
      <w:r>
        <w:t>A.</w:t>
      </w:r>
      <w:r>
        <w:tab/>
      </w:r>
      <w:r w:rsidR="009B41B9" w:rsidRPr="00B818AE">
        <w:t xml:space="preserve">Yes.  </w:t>
      </w:r>
      <w:proofErr w:type="gramStart"/>
      <w:r w:rsidR="009B41B9" w:rsidRPr="00B818AE">
        <w:rPr>
          <w:bCs/>
        </w:rPr>
        <w:t xml:space="preserve">When the Commission approved the Company’s energy efficiency </w:t>
      </w:r>
      <w:bookmarkEnd w:id="0"/>
      <w:bookmarkEnd w:id="1"/>
      <w:r w:rsidR="009B41B9" w:rsidRPr="00B818AE">
        <w:rPr>
          <w:bCs/>
        </w:rPr>
        <w:t>programs in 1995 (in Docket Nos.</w:t>
      </w:r>
      <w:proofErr w:type="gramEnd"/>
      <w:r w:rsidR="009B41B9" w:rsidRPr="00B818AE">
        <w:rPr>
          <w:bCs/>
        </w:rPr>
        <w:t xml:space="preserve"> </w:t>
      </w:r>
      <w:proofErr w:type="gramStart"/>
      <w:r w:rsidR="009B41B9" w:rsidRPr="00B818AE">
        <w:rPr>
          <w:bCs/>
        </w:rPr>
        <w:t>UE-941377 and UG-941379), Avista committed to demonstrating the prudence of program expenditures in future general rate cases.</w:t>
      </w:r>
      <w:proofErr w:type="gramEnd"/>
      <w:r w:rsidR="009B41B9" w:rsidRPr="00B818AE">
        <w:rPr>
          <w:bCs/>
        </w:rPr>
        <w:t xml:space="preserve">  In the Company’s 20</w:t>
      </w:r>
      <w:r w:rsidR="00CB15F6" w:rsidRPr="00B818AE">
        <w:rPr>
          <w:bCs/>
        </w:rPr>
        <w:t>10</w:t>
      </w:r>
      <w:r w:rsidR="009B41B9" w:rsidRPr="00B818AE">
        <w:rPr>
          <w:bCs/>
        </w:rPr>
        <w:t xml:space="preserve"> general electric and natural gas rate cases (Docket Nos. UE-</w:t>
      </w:r>
      <w:r w:rsidR="00CB15F6" w:rsidRPr="00B818AE">
        <w:rPr>
          <w:bCs/>
        </w:rPr>
        <w:t>100467</w:t>
      </w:r>
      <w:r w:rsidR="009B41B9" w:rsidRPr="00B818AE">
        <w:rPr>
          <w:bCs/>
        </w:rPr>
        <w:t xml:space="preserve"> and UG-</w:t>
      </w:r>
      <w:r w:rsidR="00CB15F6" w:rsidRPr="00B818AE">
        <w:rPr>
          <w:bCs/>
        </w:rPr>
        <w:t>100468</w:t>
      </w:r>
      <w:r w:rsidR="009B41B9" w:rsidRPr="00B818AE">
        <w:rPr>
          <w:bCs/>
        </w:rPr>
        <w:t xml:space="preserve">), the Commission issued a finding in Order No. </w:t>
      </w:r>
      <w:r w:rsidR="00CB15F6" w:rsidRPr="00B818AE">
        <w:rPr>
          <w:bCs/>
        </w:rPr>
        <w:t>7</w:t>
      </w:r>
      <w:r w:rsidR="009B41B9" w:rsidRPr="00B818AE">
        <w:rPr>
          <w:bCs/>
        </w:rPr>
        <w:t xml:space="preserve"> that electric and natural gas expenditures through December 31, 2009 were prudently incurred.  </w:t>
      </w:r>
    </w:p>
    <w:p w:rsidR="00EF4015" w:rsidRDefault="008F4EDB" w:rsidP="0018318C">
      <w:pPr>
        <w:pStyle w:val="Header"/>
        <w:tabs>
          <w:tab w:val="clear" w:pos="4320"/>
          <w:tab w:val="clear" w:pos="8640"/>
        </w:tabs>
        <w:autoSpaceDE/>
        <w:autoSpaceDN/>
        <w:spacing w:line="480" w:lineRule="auto"/>
        <w:ind w:firstLine="720"/>
        <w:jc w:val="both"/>
      </w:pPr>
      <w:r>
        <w:t xml:space="preserve">The Energy Independence Act, RCW Chapter 19.285 (EIA or I-937), requires large electric utilities, such as Avista, to set and meet targets for the conservation of electricity. In Order 01 in Docket UE-100176, the Commission found that it was in the </w:t>
      </w:r>
      <w:r>
        <w:lastRenderedPageBreak/>
        <w:t xml:space="preserve">public interest to approve Avista’s Revised Ten-Year Achievable Conservation Potential and 2010-2011 Biennial Conservation Target, subject to certain conditions, as consistent with the requirements of the EIA.  </w:t>
      </w:r>
      <w:proofErr w:type="gramStart"/>
      <w:r w:rsidRPr="00C87E5A">
        <w:t xml:space="preserve">As part of the </w:t>
      </w:r>
      <w:r>
        <w:t>conditions</w:t>
      </w:r>
      <w:r w:rsidRPr="00C87E5A">
        <w:t xml:space="preserve"> approved by the Commission in Docket No</w:t>
      </w:r>
      <w:r>
        <w:t>.</w:t>
      </w:r>
      <w:proofErr w:type="gramEnd"/>
      <w:r>
        <w:t xml:space="preserve"> UE-100176, Order No. 01, paragraph 62 (a) “Avista must demonstrate the prudence and cost-effectiveness of its conservation programs to the Commission after the savings are achieved.</w:t>
      </w:r>
      <w:r w:rsidR="0085329B">
        <w:t xml:space="preserve"> </w:t>
      </w:r>
      <w:r w:rsidR="005906BF">
        <w:t>“</w:t>
      </w:r>
      <w:r>
        <w:t>The Commission</w:t>
      </w:r>
      <w:r w:rsidR="00A53830">
        <w:t xml:space="preserve"> granted a “Motion Clarifying Forum for Resolution of DSM Prudence</w:t>
      </w:r>
      <w:r w:rsidR="005906BF">
        <w:t>,”</w:t>
      </w:r>
      <w:r w:rsidR="00A53830">
        <w:t xml:space="preserve"> in Docket Nos. UE-110876 and UG-110877 (consolidated), Order 05, paragraph 4</w:t>
      </w:r>
      <w:r w:rsidR="005906BF">
        <w:t>,</w:t>
      </w:r>
      <w:r w:rsidR="00A53830">
        <w:t xml:space="preserve"> stating “</w:t>
      </w:r>
      <w:r w:rsidR="00A53830" w:rsidRPr="00ED1D45">
        <w:t>On June 1, 2012, Avista would file testimony and supporting evidence in separate dockets to demonstrate the prudency of its electric and natural gas DSM expenditures for the prior two years.</w:t>
      </w:r>
      <w:r w:rsidR="00A53830">
        <w:t>”</w:t>
      </w:r>
    </w:p>
    <w:p w:rsidR="009B41B9" w:rsidRDefault="009B41B9" w:rsidP="009B41B9">
      <w:pPr>
        <w:suppressAutoHyphens/>
        <w:spacing w:line="480" w:lineRule="auto"/>
        <w:ind w:firstLine="720"/>
        <w:jc w:val="both"/>
        <w:rPr>
          <w:bCs/>
        </w:rPr>
      </w:pPr>
      <w:r w:rsidRPr="00B818AE">
        <w:rPr>
          <w:bCs/>
        </w:rPr>
        <w:t>At this time, the Company requests that the Commission issue a finding that electric and natural gas energy efficiency expenditures from January 1, 2010 through December 31, 2011 were prudently incurred.</w:t>
      </w:r>
    </w:p>
    <w:p w:rsidR="004F5BE1" w:rsidRPr="00DD1D21" w:rsidRDefault="004F5BE1" w:rsidP="004F5BE1">
      <w:pPr>
        <w:pStyle w:val="BodyText2"/>
        <w:rPr>
          <w:b/>
        </w:rPr>
      </w:pPr>
      <w:proofErr w:type="gramStart"/>
      <w:r w:rsidRPr="00DD1D21">
        <w:rPr>
          <w:b/>
        </w:rPr>
        <w:t>Q.</w:t>
      </w:r>
      <w:r w:rsidRPr="00DD1D21">
        <w:rPr>
          <w:b/>
        </w:rPr>
        <w:tab/>
      </w:r>
      <w:r>
        <w:rPr>
          <w:b/>
        </w:rPr>
        <w:t xml:space="preserve">Would you please summarize the Company’s </w:t>
      </w:r>
      <w:r w:rsidR="00F255FF">
        <w:rPr>
          <w:b/>
        </w:rPr>
        <w:t xml:space="preserve">Washington </w:t>
      </w:r>
      <w:r>
        <w:rPr>
          <w:b/>
        </w:rPr>
        <w:t>energy efficiency expenditures for this time period.</w:t>
      </w:r>
      <w:proofErr w:type="gramEnd"/>
      <w:r>
        <w:rPr>
          <w:b/>
        </w:rPr>
        <w:t xml:space="preserve">   </w:t>
      </w:r>
    </w:p>
    <w:p w:rsidR="004F5BE1" w:rsidRPr="009C464E" w:rsidRDefault="004F5BE1" w:rsidP="009B41B9">
      <w:pPr>
        <w:suppressAutoHyphens/>
        <w:spacing w:line="480" w:lineRule="auto"/>
        <w:ind w:firstLine="720"/>
        <w:jc w:val="both"/>
      </w:pPr>
      <w:r>
        <w:t>A.</w:t>
      </w:r>
      <w:r>
        <w:tab/>
      </w:r>
      <w:r w:rsidRPr="009C464E">
        <w:t xml:space="preserve">Yes.  </w:t>
      </w:r>
      <w:r>
        <w:t>During th</w:t>
      </w:r>
      <w:r w:rsidR="00DE2F6E">
        <w:t>e 2010-2011 B</w:t>
      </w:r>
      <w:r w:rsidR="00A3525F">
        <w:t>iennium</w:t>
      </w:r>
      <w:r>
        <w:t>, the Company incurred</w:t>
      </w:r>
      <w:r w:rsidR="00A3525F">
        <w:t xml:space="preserve"> over </w:t>
      </w:r>
      <w:r w:rsidRPr="00BA29E2">
        <w:t>$</w:t>
      </w:r>
      <w:r w:rsidR="00A3525F">
        <w:t>29</w:t>
      </w:r>
      <w:r w:rsidR="00F255FF">
        <w:t>.</w:t>
      </w:r>
      <w:r w:rsidR="007C3847">
        <w:t>4</w:t>
      </w:r>
      <w:r>
        <w:t xml:space="preserve"> million in electric</w:t>
      </w:r>
      <w:r w:rsidR="00DE2F6E">
        <w:t xml:space="preserve"> expenditures</w:t>
      </w:r>
      <w:r>
        <w:t xml:space="preserve"> and </w:t>
      </w:r>
      <w:r w:rsidR="00A3525F">
        <w:t xml:space="preserve">more than </w:t>
      </w:r>
      <w:r w:rsidR="00F255FF">
        <w:t>$</w:t>
      </w:r>
      <w:r w:rsidR="00A3525F">
        <w:t>11.</w:t>
      </w:r>
      <w:r w:rsidR="007C3847">
        <w:t>1</w:t>
      </w:r>
      <w:r>
        <w:t xml:space="preserve"> million in natural gas expenditures, for a total of</w:t>
      </w:r>
      <w:r w:rsidR="00A3525F">
        <w:t xml:space="preserve"> more than</w:t>
      </w:r>
      <w:r>
        <w:t xml:space="preserve"> </w:t>
      </w:r>
      <w:r w:rsidR="00F255FF">
        <w:t>$</w:t>
      </w:r>
      <w:r w:rsidR="00F24378">
        <w:t>40.</w:t>
      </w:r>
      <w:r w:rsidR="007C3847">
        <w:t>5</w:t>
      </w:r>
      <w:r>
        <w:t xml:space="preserve"> million </w:t>
      </w:r>
      <w:r w:rsidR="00F24378">
        <w:t>supporting</w:t>
      </w:r>
      <w:r>
        <w:t xml:space="preserve"> energy efficiency.</w:t>
      </w:r>
      <w:r w:rsidR="00A3525F">
        <w:t xml:space="preserve">  Of this amount, more than $</w:t>
      </w:r>
      <w:r w:rsidR="00EB0102">
        <w:t>2</w:t>
      </w:r>
      <w:r w:rsidR="00CB3719">
        <w:t>.2</w:t>
      </w:r>
      <w:r w:rsidR="00A3525F">
        <w:t xml:space="preserve"> million was contributed to the Northwest Energy Efficiency Alliance in support of </w:t>
      </w:r>
      <w:r w:rsidR="00DE2F6E">
        <w:t>its</w:t>
      </w:r>
      <w:r w:rsidR="00A3525F">
        <w:t xml:space="preserve"> market transformation </w:t>
      </w:r>
      <w:r w:rsidR="00293E5D">
        <w:t>ventures</w:t>
      </w:r>
      <w:r w:rsidR="00A3525F">
        <w:t xml:space="preserve">.  </w:t>
      </w:r>
      <w:r>
        <w:t xml:space="preserve">Approximately, </w:t>
      </w:r>
      <w:r w:rsidR="00CB3719">
        <w:t>71</w:t>
      </w:r>
      <w:r>
        <w:t xml:space="preserve">% of electric expenditures and </w:t>
      </w:r>
      <w:r w:rsidR="00F255FF">
        <w:t>7</w:t>
      </w:r>
      <w:r w:rsidR="00A3525F">
        <w:t>9</w:t>
      </w:r>
      <w:r>
        <w:t xml:space="preserve">% </w:t>
      </w:r>
      <w:r w:rsidR="00F24378">
        <w:t xml:space="preserve">of </w:t>
      </w:r>
      <w:r>
        <w:t xml:space="preserve">natural gas expenditures were returned to ratepayers in the form of incentives.  In addition, </w:t>
      </w:r>
      <w:r w:rsidR="00780EC2">
        <w:t>over</w:t>
      </w:r>
      <w:r w:rsidR="00674798">
        <w:t xml:space="preserve"> $1.</w:t>
      </w:r>
      <w:r w:rsidR="005652A0">
        <w:t>6</w:t>
      </w:r>
      <w:r>
        <w:t xml:space="preserve"> million</w:t>
      </w:r>
      <w:r w:rsidR="006A0DC2">
        <w:t xml:space="preserve">, or </w:t>
      </w:r>
      <w:r w:rsidR="005652A0">
        <w:t>4.</w:t>
      </w:r>
      <w:r w:rsidR="00EB0102">
        <w:t>3</w:t>
      </w:r>
      <w:r w:rsidR="00674798">
        <w:t>%</w:t>
      </w:r>
      <w:r w:rsidR="006A0DC2" w:rsidRPr="006A0DC2">
        <w:t xml:space="preserve"> of </w:t>
      </w:r>
      <w:r w:rsidR="00674798">
        <w:t>$</w:t>
      </w:r>
      <w:r w:rsidR="00441A8F">
        <w:t>3</w:t>
      </w:r>
      <w:r w:rsidR="00EB0102">
        <w:t>7</w:t>
      </w:r>
      <w:r w:rsidR="00441A8F">
        <w:t>.</w:t>
      </w:r>
      <w:r w:rsidR="00EB0102">
        <w:t>6</w:t>
      </w:r>
      <w:r w:rsidR="00674798">
        <w:t xml:space="preserve"> million Washington </w:t>
      </w:r>
      <w:r w:rsidR="00674798">
        <w:lastRenderedPageBreak/>
        <w:t>electric</w:t>
      </w:r>
      <w:r w:rsidR="00441A8F">
        <w:t xml:space="preserve"> and natural gas</w:t>
      </w:r>
      <w:r w:rsidR="00674798">
        <w:t xml:space="preserve"> DSM budget</w:t>
      </w:r>
      <w:r w:rsidR="006A0DC2" w:rsidRPr="006A0DC2">
        <w:t>,</w:t>
      </w:r>
      <w:r>
        <w:t xml:space="preserve"> was spent on evaluation of our energy efficiency programs in an effort to continually improve on the design and implementation of our program offerings.</w:t>
      </w:r>
      <w:r w:rsidR="00EB0102">
        <w:t xml:space="preserve">  Specific to I-937, over $1.1 million, or 3.9% of the $26.8 million Washington electric budget was spent on EM&amp;V.</w:t>
      </w:r>
      <w:r>
        <w:t xml:space="preserve">  </w:t>
      </w:r>
    </w:p>
    <w:p w:rsidR="00B07637" w:rsidRPr="009C464E" w:rsidRDefault="000E3C21" w:rsidP="000E3C21">
      <w:pPr>
        <w:pStyle w:val="BodyTextIndent2"/>
        <w:tabs>
          <w:tab w:val="clear" w:pos="1260"/>
          <w:tab w:val="left" w:pos="360"/>
        </w:tabs>
        <w:ind w:left="0" w:firstLine="0"/>
        <w:rPr>
          <w:b/>
          <w:bCs/>
        </w:rPr>
      </w:pPr>
      <w:r>
        <w:rPr>
          <w:b/>
          <w:bCs/>
        </w:rPr>
        <w:tab/>
      </w:r>
      <w:proofErr w:type="gramStart"/>
      <w:r w:rsidR="00B07637" w:rsidRPr="009C464E">
        <w:rPr>
          <w:b/>
          <w:bCs/>
        </w:rPr>
        <w:t>Q.</w:t>
      </w:r>
      <w:r w:rsidR="005652A0">
        <w:rPr>
          <w:b/>
          <w:bCs/>
        </w:rPr>
        <w:t xml:space="preserve">  </w:t>
      </w:r>
      <w:r w:rsidR="00B07637" w:rsidRPr="009C464E">
        <w:rPr>
          <w:b/>
          <w:bCs/>
        </w:rPr>
        <w:t>Would you please summarize the Comp</w:t>
      </w:r>
      <w:r>
        <w:rPr>
          <w:b/>
          <w:bCs/>
        </w:rPr>
        <w:t xml:space="preserve">any’s energy efficiency-related </w:t>
      </w:r>
      <w:r w:rsidR="00B07637" w:rsidRPr="009C464E">
        <w:rPr>
          <w:b/>
          <w:bCs/>
        </w:rPr>
        <w:t>savings for this time period?</w:t>
      </w:r>
      <w:proofErr w:type="gramEnd"/>
    </w:p>
    <w:p w:rsidR="00BD540B" w:rsidRDefault="00B07637" w:rsidP="000E3C21">
      <w:pPr>
        <w:suppressAutoHyphens/>
        <w:spacing w:line="480" w:lineRule="auto"/>
        <w:ind w:firstLine="360"/>
        <w:jc w:val="both"/>
      </w:pPr>
      <w:r w:rsidRPr="009C464E">
        <w:t>A.</w:t>
      </w:r>
      <w:r w:rsidRPr="009C464E">
        <w:tab/>
      </w:r>
      <w:r>
        <w:t xml:space="preserve">Yes. </w:t>
      </w:r>
      <w:r w:rsidRPr="009C464E">
        <w:t xml:space="preserve">As shown in </w:t>
      </w:r>
      <w:r w:rsidRPr="00915C7C">
        <w:t>Exhibit No.</w:t>
      </w:r>
      <w:r w:rsidR="00097ABF">
        <w:t>__</w:t>
      </w:r>
      <w:proofErr w:type="gramStart"/>
      <w:r w:rsidR="00097ABF">
        <w:t>_(</w:t>
      </w:r>
      <w:proofErr w:type="gramEnd"/>
      <w:r w:rsidR="00DD687B" w:rsidRPr="00915C7C">
        <w:t>LBH</w:t>
      </w:r>
      <w:r w:rsidRPr="00915C7C">
        <w:t>-</w:t>
      </w:r>
      <w:r w:rsidR="00915C7C">
        <w:t>2</w:t>
      </w:r>
      <w:r w:rsidR="00097ABF">
        <w:t>)</w:t>
      </w:r>
      <w:r w:rsidRPr="00915C7C">
        <w:t>,</w:t>
      </w:r>
      <w:r w:rsidRPr="009C464E">
        <w:t xml:space="preserve"> from </w:t>
      </w:r>
      <w:r w:rsidRPr="00B07637">
        <w:rPr>
          <w:bCs/>
        </w:rPr>
        <w:t>J</w:t>
      </w:r>
      <w:r w:rsidR="000E3C21">
        <w:rPr>
          <w:bCs/>
        </w:rPr>
        <w:t xml:space="preserve">anuary 1, 2010 through December </w:t>
      </w:r>
      <w:r w:rsidRPr="00B07637">
        <w:rPr>
          <w:bCs/>
        </w:rPr>
        <w:t>31, 201</w:t>
      </w:r>
      <w:r>
        <w:rPr>
          <w:bCs/>
        </w:rPr>
        <w:t>1</w:t>
      </w:r>
      <w:r w:rsidRPr="009C464E">
        <w:t xml:space="preserve">, over </w:t>
      </w:r>
      <w:r w:rsidR="006A627A">
        <w:t>172,341</w:t>
      </w:r>
      <w:r w:rsidRPr="005652A0">
        <w:t xml:space="preserve"> </w:t>
      </w:r>
      <w:r w:rsidR="00DE2F6E">
        <w:t xml:space="preserve">first-year </w:t>
      </w:r>
      <w:r w:rsidRPr="005652A0">
        <w:t xml:space="preserve">MWh and </w:t>
      </w:r>
      <w:bookmarkStart w:id="2" w:name="OLE_LINK1"/>
      <w:bookmarkStart w:id="3" w:name="OLE_LINK2"/>
      <w:r w:rsidR="005652A0" w:rsidRPr="005652A0">
        <w:t xml:space="preserve">over </w:t>
      </w:r>
      <w:r w:rsidR="00915C7C">
        <w:t>2.</w:t>
      </w:r>
      <w:r w:rsidR="00BB0E1D">
        <w:t>5</w:t>
      </w:r>
      <w:r w:rsidRPr="005652A0">
        <w:t xml:space="preserve"> </w:t>
      </w:r>
      <w:bookmarkEnd w:id="2"/>
      <w:bookmarkEnd w:id="3"/>
      <w:r w:rsidRPr="005652A0">
        <w:t>million</w:t>
      </w:r>
      <w:r w:rsidR="00DE2F6E">
        <w:t xml:space="preserve"> first-year</w:t>
      </w:r>
      <w:r w:rsidRPr="005652A0">
        <w:t xml:space="preserve"> therms of energy</w:t>
      </w:r>
      <w:r w:rsidRPr="009C464E">
        <w:t xml:space="preserve"> savings were </w:t>
      </w:r>
      <w:r>
        <w:t>acquired from Washington DSM projects</w:t>
      </w:r>
      <w:r w:rsidRPr="009C464E">
        <w:t>.</w:t>
      </w:r>
      <w:r w:rsidR="00D27C03">
        <w:t xml:space="preserve">  </w:t>
      </w:r>
      <w:r w:rsidR="006A627A">
        <w:t>The 172,341 MWh includes</w:t>
      </w:r>
      <w:r w:rsidR="00D27C03">
        <w:t xml:space="preserve"> the Company’s Washington portion of NEEA savings </w:t>
      </w:r>
      <w:r w:rsidR="006A627A">
        <w:t xml:space="preserve">of 47,129 MWh </w:t>
      </w:r>
      <w:r w:rsidR="00D27C03">
        <w:t>for this time period.</w:t>
      </w:r>
      <w:r w:rsidR="005652A0">
        <w:t xml:space="preserve">  </w:t>
      </w:r>
      <w:r w:rsidR="0043619E">
        <w:t xml:space="preserve">All </w:t>
      </w:r>
      <w:r w:rsidR="00D27C03">
        <w:t>local</w:t>
      </w:r>
      <w:r w:rsidR="0043619E">
        <w:t xml:space="preserve"> acquisition amounts are evaluated </w:t>
      </w:r>
      <w:r w:rsidR="00097ABF">
        <w:t xml:space="preserve">as </w:t>
      </w:r>
      <w:r w:rsidR="0043619E">
        <w:t>gross savings amounts consistent with I-937</w:t>
      </w:r>
      <w:r w:rsidR="00DD687B">
        <w:t xml:space="preserve"> and the </w:t>
      </w:r>
      <w:r w:rsidR="00DD687B" w:rsidRPr="00F24378">
        <w:rPr>
          <w:i/>
        </w:rPr>
        <w:t xml:space="preserve">6th </w:t>
      </w:r>
      <w:r w:rsidR="00BB0E1D">
        <w:rPr>
          <w:i/>
        </w:rPr>
        <w:t xml:space="preserve">Power </w:t>
      </w:r>
      <w:r w:rsidR="00DD687B" w:rsidRPr="00F24378">
        <w:rPr>
          <w:i/>
        </w:rPr>
        <w:t>Plan</w:t>
      </w:r>
      <w:r w:rsidR="0043619E">
        <w:t>.</w:t>
      </w:r>
      <w:r w:rsidR="005652A0">
        <w:t xml:space="preserve">  </w:t>
      </w:r>
      <w:r w:rsidRPr="009C464E">
        <w:t xml:space="preserve">  Page</w:t>
      </w:r>
      <w:r>
        <w:t>s</w:t>
      </w:r>
      <w:r w:rsidRPr="009C464E">
        <w:t xml:space="preserve"> </w:t>
      </w:r>
      <w:r w:rsidR="00915C7C">
        <w:t>2</w:t>
      </w:r>
      <w:r>
        <w:t xml:space="preserve"> and </w:t>
      </w:r>
      <w:r w:rsidR="00915C7C">
        <w:t>3</w:t>
      </w:r>
      <w:r w:rsidRPr="009C464E">
        <w:t xml:space="preserve"> of </w:t>
      </w:r>
      <w:r w:rsidRPr="00EB0102">
        <w:t>Exhibit No.</w:t>
      </w:r>
      <w:r w:rsidR="00097ABF">
        <w:t>__</w:t>
      </w:r>
      <w:proofErr w:type="gramStart"/>
      <w:r w:rsidR="00097ABF">
        <w:t>_(</w:t>
      </w:r>
      <w:proofErr w:type="gramEnd"/>
      <w:r w:rsidR="00DD687B" w:rsidRPr="00EB0102">
        <w:t>LBH</w:t>
      </w:r>
      <w:r w:rsidRPr="00EB0102">
        <w:t>-</w:t>
      </w:r>
      <w:r w:rsidR="00915C7C">
        <w:t>2</w:t>
      </w:r>
      <w:r w:rsidR="00097ABF">
        <w:t>)</w:t>
      </w:r>
      <w:r>
        <w:t xml:space="preserve"> detail</w:t>
      </w:r>
      <w:r w:rsidR="00915C7C">
        <w:t>s</w:t>
      </w:r>
      <w:r w:rsidRPr="009C464E">
        <w:t xml:space="preserve"> the energy savings by regular and low-income portfolios for both </w:t>
      </w:r>
      <w:r>
        <w:t xml:space="preserve">Washington </w:t>
      </w:r>
      <w:r w:rsidRPr="009C464E">
        <w:t>electri</w:t>
      </w:r>
      <w:r>
        <w:t>c and natural gas DSM programs.</w:t>
      </w:r>
      <w:r w:rsidR="00411544">
        <w:t xml:space="preserve">  </w:t>
      </w:r>
    </w:p>
    <w:p w:rsidR="00411544" w:rsidRDefault="00411544" w:rsidP="000E3C21">
      <w:pPr>
        <w:suppressAutoHyphens/>
        <w:spacing w:line="480" w:lineRule="auto"/>
        <w:ind w:firstLine="360"/>
        <w:jc w:val="both"/>
      </w:pPr>
      <w:r>
        <w:tab/>
      </w:r>
      <w:r w:rsidRPr="00097ABF">
        <w:t>Please refer to Exhibit</w:t>
      </w:r>
      <w:r w:rsidR="00097ABF">
        <w:t xml:space="preserve"> No.__</w:t>
      </w:r>
      <w:proofErr w:type="gramStart"/>
      <w:r w:rsidR="00097ABF">
        <w:t>_(</w:t>
      </w:r>
      <w:proofErr w:type="gramEnd"/>
      <w:r w:rsidRPr="00097ABF">
        <w:t>LBH-3</w:t>
      </w:r>
      <w:r w:rsidR="00097ABF">
        <w:t>)</w:t>
      </w:r>
      <w:r w:rsidRPr="00097ABF">
        <w:t xml:space="preserve">, 2011 DSM Annual Report for more detail on the Company’s 2011 energy efficiency operations.  </w:t>
      </w:r>
    </w:p>
    <w:p w:rsidR="00B07637" w:rsidRPr="009C464E" w:rsidRDefault="00B07637" w:rsidP="00B07637">
      <w:pPr>
        <w:suppressAutoHyphens/>
        <w:spacing w:line="480" w:lineRule="auto"/>
        <w:ind w:firstLine="720"/>
        <w:jc w:val="both"/>
        <w:rPr>
          <w:b/>
          <w:bCs/>
        </w:rPr>
      </w:pPr>
      <w:proofErr w:type="gramStart"/>
      <w:r w:rsidRPr="009C464E">
        <w:rPr>
          <w:b/>
          <w:bCs/>
        </w:rPr>
        <w:t>Q.</w:t>
      </w:r>
      <w:r w:rsidRPr="009C464E">
        <w:rPr>
          <w:b/>
          <w:bCs/>
        </w:rPr>
        <w:tab/>
      </w:r>
      <w:r w:rsidR="00915C7C">
        <w:rPr>
          <w:b/>
          <w:bCs/>
        </w:rPr>
        <w:t>Were</w:t>
      </w:r>
      <w:r w:rsidRPr="009C464E">
        <w:rPr>
          <w:b/>
          <w:bCs/>
        </w:rPr>
        <w:t xml:space="preserve"> the Company’s DSM programs cost-effective?</w:t>
      </w:r>
      <w:proofErr w:type="gramEnd"/>
    </w:p>
    <w:p w:rsidR="00B07637" w:rsidRPr="00915C7C" w:rsidRDefault="00B07637" w:rsidP="00B07637">
      <w:pPr>
        <w:pStyle w:val="BodyText3"/>
        <w:spacing w:line="480" w:lineRule="auto"/>
        <w:jc w:val="both"/>
        <w:rPr>
          <w:sz w:val="24"/>
          <w:szCs w:val="24"/>
          <w:highlight w:val="yellow"/>
        </w:rPr>
      </w:pPr>
      <w:r w:rsidRPr="009C464E">
        <w:rPr>
          <w:sz w:val="24"/>
          <w:szCs w:val="24"/>
        </w:rPr>
        <w:tab/>
        <w:t>A.</w:t>
      </w:r>
      <w:r w:rsidRPr="009C464E">
        <w:rPr>
          <w:sz w:val="24"/>
          <w:szCs w:val="24"/>
        </w:rPr>
        <w:tab/>
        <w:t xml:space="preserve">Yes. </w:t>
      </w:r>
      <w:r>
        <w:rPr>
          <w:sz w:val="24"/>
          <w:szCs w:val="24"/>
        </w:rPr>
        <w:t>Washington</w:t>
      </w:r>
      <w:r w:rsidRPr="009C464E">
        <w:rPr>
          <w:sz w:val="24"/>
          <w:szCs w:val="24"/>
        </w:rPr>
        <w:t xml:space="preserve"> electric programs have been cost-effective from both Total Resource Cost (TRC)</w:t>
      </w:r>
      <w:r w:rsidR="00DE2F6E">
        <w:rPr>
          <w:sz w:val="24"/>
          <w:szCs w:val="24"/>
        </w:rPr>
        <w:t xml:space="preserve"> test</w:t>
      </w:r>
      <w:r w:rsidRPr="009C464E">
        <w:rPr>
          <w:sz w:val="24"/>
          <w:szCs w:val="24"/>
        </w:rPr>
        <w:t xml:space="preserve"> and Program Administrator Cost (PAC</w:t>
      </w:r>
      <w:r>
        <w:rPr>
          <w:sz w:val="24"/>
          <w:szCs w:val="24"/>
        </w:rPr>
        <w:t xml:space="preserve">) </w:t>
      </w:r>
      <w:r w:rsidR="00915C7C">
        <w:rPr>
          <w:sz w:val="24"/>
          <w:szCs w:val="24"/>
        </w:rPr>
        <w:t xml:space="preserve">test </w:t>
      </w:r>
      <w:r>
        <w:rPr>
          <w:sz w:val="24"/>
          <w:szCs w:val="24"/>
        </w:rPr>
        <w:t>perspective</w:t>
      </w:r>
      <w:r w:rsidR="00A526C6">
        <w:rPr>
          <w:sz w:val="24"/>
          <w:szCs w:val="24"/>
        </w:rPr>
        <w:t>s</w:t>
      </w:r>
      <w:r>
        <w:rPr>
          <w:sz w:val="24"/>
          <w:szCs w:val="24"/>
        </w:rPr>
        <w:t xml:space="preserve">.  Page </w:t>
      </w:r>
      <w:r w:rsidR="00915C7C">
        <w:rPr>
          <w:sz w:val="24"/>
          <w:szCs w:val="24"/>
        </w:rPr>
        <w:t>2</w:t>
      </w:r>
      <w:r>
        <w:rPr>
          <w:sz w:val="24"/>
          <w:szCs w:val="24"/>
        </w:rPr>
        <w:t xml:space="preserve"> </w:t>
      </w:r>
      <w:r w:rsidRPr="009C464E">
        <w:rPr>
          <w:sz w:val="24"/>
          <w:szCs w:val="24"/>
        </w:rPr>
        <w:t xml:space="preserve">of </w:t>
      </w:r>
      <w:r w:rsidRPr="00EB0102">
        <w:rPr>
          <w:sz w:val="24"/>
          <w:szCs w:val="24"/>
        </w:rPr>
        <w:t>Exhibit No.</w:t>
      </w:r>
      <w:r w:rsidR="00097ABF">
        <w:rPr>
          <w:sz w:val="24"/>
          <w:szCs w:val="24"/>
        </w:rPr>
        <w:t>__</w:t>
      </w:r>
      <w:proofErr w:type="gramStart"/>
      <w:r w:rsidR="00097ABF">
        <w:rPr>
          <w:sz w:val="24"/>
          <w:szCs w:val="24"/>
        </w:rPr>
        <w:t>_(</w:t>
      </w:r>
      <w:proofErr w:type="gramEnd"/>
      <w:r w:rsidR="00DD687B" w:rsidRPr="00EB0102">
        <w:rPr>
          <w:sz w:val="24"/>
          <w:szCs w:val="24"/>
        </w:rPr>
        <w:t>LBH</w:t>
      </w:r>
      <w:r w:rsidR="00EB0102" w:rsidRPr="00EB0102">
        <w:rPr>
          <w:sz w:val="24"/>
          <w:szCs w:val="24"/>
        </w:rPr>
        <w:t>-2</w:t>
      </w:r>
      <w:r w:rsidR="00097ABF">
        <w:rPr>
          <w:sz w:val="24"/>
          <w:szCs w:val="24"/>
        </w:rPr>
        <w:t>)</w:t>
      </w:r>
      <w:r>
        <w:rPr>
          <w:sz w:val="24"/>
          <w:szCs w:val="24"/>
        </w:rPr>
        <w:t xml:space="preserve"> show</w:t>
      </w:r>
      <w:r w:rsidR="00915C7C">
        <w:rPr>
          <w:sz w:val="24"/>
          <w:szCs w:val="24"/>
        </w:rPr>
        <w:t>s</w:t>
      </w:r>
      <w:r w:rsidRPr="009C464E">
        <w:rPr>
          <w:sz w:val="24"/>
          <w:szCs w:val="24"/>
        </w:rPr>
        <w:t xml:space="preserve"> that the </w:t>
      </w:r>
      <w:r>
        <w:rPr>
          <w:sz w:val="24"/>
          <w:szCs w:val="24"/>
        </w:rPr>
        <w:t>2010-2011</w:t>
      </w:r>
      <w:r w:rsidRPr="009C464E">
        <w:rPr>
          <w:sz w:val="24"/>
          <w:szCs w:val="24"/>
        </w:rPr>
        <w:t xml:space="preserve"> TRC benefit-to-cost ratio of </w:t>
      </w:r>
      <w:r w:rsidR="0043619E">
        <w:rPr>
          <w:sz w:val="24"/>
          <w:szCs w:val="24"/>
        </w:rPr>
        <w:t>1.</w:t>
      </w:r>
      <w:r w:rsidR="00BB0E1D">
        <w:rPr>
          <w:sz w:val="24"/>
          <w:szCs w:val="24"/>
        </w:rPr>
        <w:t>58</w:t>
      </w:r>
      <w:r w:rsidRPr="009C464E">
        <w:rPr>
          <w:sz w:val="24"/>
          <w:szCs w:val="24"/>
        </w:rPr>
        <w:t xml:space="preserve">, for </w:t>
      </w:r>
      <w:r>
        <w:rPr>
          <w:sz w:val="24"/>
          <w:szCs w:val="24"/>
        </w:rPr>
        <w:t>the Washington</w:t>
      </w:r>
      <w:r w:rsidRPr="009C464E">
        <w:rPr>
          <w:sz w:val="24"/>
          <w:szCs w:val="24"/>
        </w:rPr>
        <w:t xml:space="preserve"> electric DSM program portfolio</w:t>
      </w:r>
      <w:r>
        <w:rPr>
          <w:sz w:val="24"/>
          <w:szCs w:val="24"/>
        </w:rPr>
        <w:t>,</w:t>
      </w:r>
      <w:r w:rsidRPr="009C464E">
        <w:rPr>
          <w:sz w:val="24"/>
          <w:szCs w:val="24"/>
        </w:rPr>
        <w:t xml:space="preserve"> is cost-effective, with a net TRC benefit to customers of over </w:t>
      </w:r>
      <w:r w:rsidR="0043619E">
        <w:rPr>
          <w:sz w:val="24"/>
          <w:szCs w:val="24"/>
        </w:rPr>
        <w:t>$</w:t>
      </w:r>
      <w:r w:rsidR="00BB0E1D">
        <w:rPr>
          <w:sz w:val="24"/>
          <w:szCs w:val="24"/>
        </w:rPr>
        <w:t>33.6</w:t>
      </w:r>
      <w:r w:rsidR="0043619E">
        <w:rPr>
          <w:sz w:val="24"/>
          <w:szCs w:val="24"/>
        </w:rPr>
        <w:t xml:space="preserve"> million</w:t>
      </w:r>
      <w:r w:rsidRPr="009C464E">
        <w:rPr>
          <w:sz w:val="24"/>
          <w:szCs w:val="24"/>
        </w:rPr>
        <w:t xml:space="preserve">.  The </w:t>
      </w:r>
      <w:r>
        <w:rPr>
          <w:sz w:val="24"/>
          <w:szCs w:val="24"/>
        </w:rPr>
        <w:t>2010-</w:t>
      </w:r>
      <w:r>
        <w:rPr>
          <w:sz w:val="24"/>
          <w:szCs w:val="24"/>
        </w:rPr>
        <w:lastRenderedPageBreak/>
        <w:t>2011</w:t>
      </w:r>
      <w:r w:rsidRPr="009C464E">
        <w:rPr>
          <w:sz w:val="24"/>
          <w:szCs w:val="24"/>
        </w:rPr>
        <w:t xml:space="preserve"> PAC benefit-to-cost ratio</w:t>
      </w:r>
      <w:r w:rsidR="00A526C6">
        <w:rPr>
          <w:sz w:val="24"/>
          <w:szCs w:val="24"/>
        </w:rPr>
        <w:t xml:space="preserve"> of 3.</w:t>
      </w:r>
      <w:r w:rsidR="00BB0E1D">
        <w:rPr>
          <w:sz w:val="24"/>
          <w:szCs w:val="24"/>
        </w:rPr>
        <w:t>6</w:t>
      </w:r>
      <w:r w:rsidRPr="009C464E">
        <w:rPr>
          <w:sz w:val="24"/>
          <w:szCs w:val="24"/>
        </w:rPr>
        <w:t xml:space="preserve"> is </w:t>
      </w:r>
      <w:r w:rsidR="00A526C6">
        <w:rPr>
          <w:sz w:val="24"/>
          <w:szCs w:val="24"/>
        </w:rPr>
        <w:t xml:space="preserve">also </w:t>
      </w:r>
      <w:r w:rsidRPr="009C464E">
        <w:rPr>
          <w:sz w:val="24"/>
          <w:szCs w:val="24"/>
        </w:rPr>
        <w:t>cost-effective</w:t>
      </w:r>
      <w:r w:rsidR="00A526C6">
        <w:rPr>
          <w:sz w:val="24"/>
          <w:szCs w:val="24"/>
        </w:rPr>
        <w:t>,</w:t>
      </w:r>
      <w:r w:rsidRPr="009C464E">
        <w:rPr>
          <w:sz w:val="24"/>
          <w:szCs w:val="24"/>
        </w:rPr>
        <w:t xml:space="preserve"> with a net PAC benefit of over </w:t>
      </w:r>
      <w:r w:rsidR="0043619E">
        <w:rPr>
          <w:sz w:val="24"/>
          <w:szCs w:val="24"/>
        </w:rPr>
        <w:t>$6</w:t>
      </w:r>
      <w:r w:rsidR="00BB0E1D">
        <w:rPr>
          <w:sz w:val="24"/>
          <w:szCs w:val="24"/>
        </w:rPr>
        <w:t>5.4</w:t>
      </w:r>
      <w:r w:rsidR="0043619E">
        <w:rPr>
          <w:sz w:val="24"/>
          <w:szCs w:val="24"/>
        </w:rPr>
        <w:t xml:space="preserve"> million.</w:t>
      </w:r>
      <w:r w:rsidRPr="009C464E">
        <w:rPr>
          <w:sz w:val="24"/>
          <w:szCs w:val="24"/>
        </w:rPr>
        <w:t xml:space="preserve">  The </w:t>
      </w:r>
      <w:proofErr w:type="spellStart"/>
      <w:r w:rsidRPr="009C464E">
        <w:rPr>
          <w:sz w:val="24"/>
          <w:szCs w:val="24"/>
        </w:rPr>
        <w:t>levelized</w:t>
      </w:r>
      <w:proofErr w:type="spellEnd"/>
      <w:r w:rsidRPr="009C464E">
        <w:rPr>
          <w:sz w:val="24"/>
          <w:szCs w:val="24"/>
        </w:rPr>
        <w:t xml:space="preserve"> TRC and PAC </w:t>
      </w:r>
      <w:r w:rsidRPr="00280796">
        <w:rPr>
          <w:sz w:val="24"/>
          <w:szCs w:val="24"/>
        </w:rPr>
        <w:t>cost</w:t>
      </w:r>
      <w:r w:rsidR="00A526C6">
        <w:rPr>
          <w:sz w:val="24"/>
          <w:szCs w:val="24"/>
        </w:rPr>
        <w:t>s</w:t>
      </w:r>
      <w:r w:rsidRPr="00280796">
        <w:rPr>
          <w:sz w:val="24"/>
          <w:szCs w:val="24"/>
        </w:rPr>
        <w:t xml:space="preserve"> </w:t>
      </w:r>
      <w:r w:rsidR="00A526C6">
        <w:rPr>
          <w:sz w:val="24"/>
          <w:szCs w:val="24"/>
        </w:rPr>
        <w:t>are</w:t>
      </w:r>
      <w:r w:rsidRPr="00280796">
        <w:rPr>
          <w:sz w:val="24"/>
          <w:szCs w:val="24"/>
        </w:rPr>
        <w:t xml:space="preserve"> </w:t>
      </w:r>
      <w:r w:rsidRPr="00915C7C">
        <w:rPr>
          <w:sz w:val="24"/>
          <w:szCs w:val="24"/>
        </w:rPr>
        <w:t>$</w:t>
      </w:r>
      <w:r w:rsidR="009E020F">
        <w:rPr>
          <w:sz w:val="24"/>
          <w:szCs w:val="24"/>
        </w:rPr>
        <w:t>42.</w:t>
      </w:r>
      <w:r w:rsidR="00BB0E1D">
        <w:rPr>
          <w:sz w:val="24"/>
          <w:szCs w:val="24"/>
        </w:rPr>
        <w:t>48</w:t>
      </w:r>
      <w:r w:rsidRPr="00915C7C">
        <w:rPr>
          <w:sz w:val="24"/>
          <w:szCs w:val="24"/>
        </w:rPr>
        <w:t xml:space="preserve"> and $</w:t>
      </w:r>
      <w:r w:rsidR="009E020F">
        <w:rPr>
          <w:sz w:val="24"/>
          <w:szCs w:val="24"/>
        </w:rPr>
        <w:t>18.</w:t>
      </w:r>
      <w:r w:rsidR="00BB0E1D">
        <w:rPr>
          <w:sz w:val="24"/>
          <w:szCs w:val="24"/>
        </w:rPr>
        <w:t>33</w:t>
      </w:r>
      <w:r w:rsidR="00F24378">
        <w:rPr>
          <w:sz w:val="24"/>
          <w:szCs w:val="24"/>
        </w:rPr>
        <w:t xml:space="preserve"> per </w:t>
      </w:r>
      <w:r w:rsidRPr="00915C7C">
        <w:rPr>
          <w:sz w:val="24"/>
          <w:szCs w:val="24"/>
        </w:rPr>
        <w:t>MWh</w:t>
      </w:r>
      <w:r w:rsidR="00A526C6">
        <w:rPr>
          <w:sz w:val="24"/>
          <w:szCs w:val="24"/>
        </w:rPr>
        <w:t>, respectively,</w:t>
      </w:r>
      <w:r w:rsidR="00915C7C">
        <w:rPr>
          <w:sz w:val="24"/>
          <w:szCs w:val="24"/>
        </w:rPr>
        <w:t xml:space="preserve"> as shown on </w:t>
      </w:r>
      <w:r w:rsidR="00F24378">
        <w:rPr>
          <w:sz w:val="24"/>
          <w:szCs w:val="24"/>
        </w:rPr>
        <w:t>P</w:t>
      </w:r>
      <w:r w:rsidR="00915C7C">
        <w:rPr>
          <w:sz w:val="24"/>
          <w:szCs w:val="24"/>
        </w:rPr>
        <w:t xml:space="preserve">age 1 of Exhibit </w:t>
      </w:r>
      <w:r w:rsidR="00097ABF">
        <w:rPr>
          <w:sz w:val="24"/>
          <w:szCs w:val="24"/>
        </w:rPr>
        <w:t>No.__</w:t>
      </w:r>
      <w:proofErr w:type="gramStart"/>
      <w:r w:rsidR="00097ABF">
        <w:rPr>
          <w:sz w:val="24"/>
          <w:szCs w:val="24"/>
        </w:rPr>
        <w:t>_(</w:t>
      </w:r>
      <w:proofErr w:type="gramEnd"/>
      <w:r w:rsidR="00915C7C">
        <w:rPr>
          <w:sz w:val="24"/>
          <w:szCs w:val="24"/>
        </w:rPr>
        <w:t>LBH-2</w:t>
      </w:r>
      <w:r w:rsidR="00097ABF">
        <w:rPr>
          <w:sz w:val="24"/>
          <w:szCs w:val="24"/>
        </w:rPr>
        <w:t>)</w:t>
      </w:r>
      <w:r w:rsidRPr="00280796">
        <w:rPr>
          <w:sz w:val="24"/>
          <w:szCs w:val="24"/>
        </w:rPr>
        <w:t>.</w:t>
      </w:r>
      <w:r w:rsidR="00F24378">
        <w:rPr>
          <w:sz w:val="24"/>
          <w:szCs w:val="24"/>
        </w:rPr>
        <w:t xml:space="preserve"> T</w:t>
      </w:r>
      <w:r w:rsidRPr="009C464E">
        <w:rPr>
          <w:sz w:val="24"/>
          <w:szCs w:val="24"/>
        </w:rPr>
        <w:t xml:space="preserve">he overall portfolio of measures has a weighted average measure life of </w:t>
      </w:r>
      <w:r w:rsidR="00293E5D">
        <w:rPr>
          <w:sz w:val="24"/>
          <w:szCs w:val="24"/>
        </w:rPr>
        <w:t>12</w:t>
      </w:r>
      <w:r w:rsidRPr="00915C7C">
        <w:rPr>
          <w:sz w:val="24"/>
          <w:szCs w:val="24"/>
        </w:rPr>
        <w:t xml:space="preserve"> years</w:t>
      </w:r>
      <w:r>
        <w:rPr>
          <w:sz w:val="24"/>
          <w:szCs w:val="24"/>
        </w:rPr>
        <w:t xml:space="preserve"> for 2010-2011</w:t>
      </w:r>
      <w:r w:rsidR="00A526C6">
        <w:rPr>
          <w:sz w:val="24"/>
          <w:szCs w:val="24"/>
        </w:rPr>
        <w:t xml:space="preserve">.  (Please note that Program Administrator costs reported in Exhibit </w:t>
      </w:r>
      <w:r w:rsidR="00097ABF">
        <w:rPr>
          <w:sz w:val="24"/>
          <w:szCs w:val="24"/>
        </w:rPr>
        <w:t>No.__</w:t>
      </w:r>
      <w:proofErr w:type="gramStart"/>
      <w:r w:rsidR="00097ABF">
        <w:rPr>
          <w:sz w:val="24"/>
          <w:szCs w:val="24"/>
        </w:rPr>
        <w:t>_(</w:t>
      </w:r>
      <w:proofErr w:type="gramEnd"/>
      <w:r w:rsidR="00A526C6">
        <w:rPr>
          <w:sz w:val="24"/>
          <w:szCs w:val="24"/>
        </w:rPr>
        <w:t>LBH-2</w:t>
      </w:r>
      <w:r w:rsidR="00097ABF">
        <w:rPr>
          <w:sz w:val="24"/>
          <w:szCs w:val="24"/>
        </w:rPr>
        <w:t>)</w:t>
      </w:r>
      <w:r w:rsidR="00A526C6">
        <w:rPr>
          <w:sz w:val="24"/>
          <w:szCs w:val="24"/>
        </w:rPr>
        <w:t xml:space="preserve"> are net of NEEA expenditures and for those projects completed during 2010-2011 and, therefore, differ from the expenditures actually incurred dur</w:t>
      </w:r>
      <w:r w:rsidR="00CB3719">
        <w:rPr>
          <w:sz w:val="24"/>
          <w:szCs w:val="24"/>
        </w:rPr>
        <w:t>ing 2010-2011 as shown on page 3 of my testimony and page 8</w:t>
      </w:r>
      <w:r w:rsidR="00A526C6">
        <w:rPr>
          <w:sz w:val="24"/>
          <w:szCs w:val="24"/>
        </w:rPr>
        <w:t xml:space="preserve"> of Mr. Folsom’s testimony.)</w:t>
      </w:r>
    </w:p>
    <w:p w:rsidR="006D0CD6" w:rsidRPr="00915C7C" w:rsidRDefault="00B07637" w:rsidP="00095E99">
      <w:pPr>
        <w:pStyle w:val="BodyText3"/>
        <w:spacing w:line="480" w:lineRule="auto"/>
        <w:ind w:firstLine="720"/>
        <w:jc w:val="both"/>
        <w:rPr>
          <w:sz w:val="24"/>
          <w:szCs w:val="24"/>
          <w:highlight w:val="yellow"/>
        </w:rPr>
      </w:pPr>
      <w:r w:rsidRPr="00915C7C">
        <w:rPr>
          <w:sz w:val="24"/>
          <w:szCs w:val="24"/>
        </w:rPr>
        <w:t>Page</w:t>
      </w:r>
      <w:r w:rsidR="00915C7C" w:rsidRPr="00915C7C">
        <w:rPr>
          <w:sz w:val="24"/>
          <w:szCs w:val="24"/>
        </w:rPr>
        <w:t xml:space="preserve"> 3</w:t>
      </w:r>
      <w:r w:rsidR="00F24378">
        <w:rPr>
          <w:sz w:val="24"/>
          <w:szCs w:val="24"/>
        </w:rPr>
        <w:t xml:space="preserve"> </w:t>
      </w:r>
      <w:r w:rsidRPr="00915C7C">
        <w:rPr>
          <w:sz w:val="24"/>
          <w:szCs w:val="24"/>
        </w:rPr>
        <w:t>of Exhibit No.</w:t>
      </w:r>
      <w:r w:rsidR="00097ABF">
        <w:rPr>
          <w:sz w:val="24"/>
          <w:szCs w:val="24"/>
        </w:rPr>
        <w:t>__</w:t>
      </w:r>
      <w:proofErr w:type="gramStart"/>
      <w:r w:rsidR="00097ABF">
        <w:rPr>
          <w:sz w:val="24"/>
          <w:szCs w:val="24"/>
        </w:rPr>
        <w:t>_(</w:t>
      </w:r>
      <w:proofErr w:type="gramEnd"/>
      <w:r w:rsidR="00915C7C" w:rsidRPr="00915C7C">
        <w:rPr>
          <w:sz w:val="24"/>
          <w:szCs w:val="24"/>
        </w:rPr>
        <w:t>LBH</w:t>
      </w:r>
      <w:r w:rsidRPr="00915C7C">
        <w:rPr>
          <w:sz w:val="24"/>
          <w:szCs w:val="24"/>
        </w:rPr>
        <w:t>-2</w:t>
      </w:r>
      <w:r w:rsidR="00097ABF">
        <w:rPr>
          <w:sz w:val="24"/>
          <w:szCs w:val="24"/>
        </w:rPr>
        <w:t>)</w:t>
      </w:r>
      <w:r w:rsidRPr="00A64976">
        <w:rPr>
          <w:sz w:val="24"/>
          <w:szCs w:val="24"/>
        </w:rPr>
        <w:t xml:space="preserve"> illustrate</w:t>
      </w:r>
      <w:r w:rsidR="00915C7C">
        <w:rPr>
          <w:sz w:val="24"/>
          <w:szCs w:val="24"/>
        </w:rPr>
        <w:t>s</w:t>
      </w:r>
      <w:r w:rsidRPr="00A64976">
        <w:rPr>
          <w:sz w:val="24"/>
          <w:szCs w:val="24"/>
        </w:rPr>
        <w:t xml:space="preserve"> Washington natural gas DSM program portfolio cost-effectiveness </w:t>
      </w:r>
      <w:r w:rsidR="0043619E">
        <w:rPr>
          <w:sz w:val="24"/>
          <w:szCs w:val="24"/>
        </w:rPr>
        <w:t xml:space="preserve">under </w:t>
      </w:r>
      <w:r w:rsidRPr="00A64976">
        <w:rPr>
          <w:sz w:val="24"/>
          <w:szCs w:val="24"/>
        </w:rPr>
        <w:t>both the TRC and PAC tests.  The Company’s 2010</w:t>
      </w:r>
      <w:r>
        <w:rPr>
          <w:sz w:val="24"/>
          <w:szCs w:val="24"/>
        </w:rPr>
        <w:t>-2011</w:t>
      </w:r>
      <w:r w:rsidRPr="00A64976">
        <w:rPr>
          <w:sz w:val="24"/>
          <w:szCs w:val="24"/>
        </w:rPr>
        <w:t xml:space="preserve"> TRC </w:t>
      </w:r>
      <w:r w:rsidR="009E020F">
        <w:rPr>
          <w:sz w:val="24"/>
          <w:szCs w:val="24"/>
        </w:rPr>
        <w:t xml:space="preserve">benefit-cost </w:t>
      </w:r>
      <w:proofErr w:type="gramStart"/>
      <w:r w:rsidRPr="00A64976">
        <w:rPr>
          <w:sz w:val="24"/>
          <w:szCs w:val="24"/>
        </w:rPr>
        <w:t>ratio</w:t>
      </w:r>
      <w:proofErr w:type="gramEnd"/>
      <w:r w:rsidRPr="00A64976">
        <w:rPr>
          <w:sz w:val="24"/>
          <w:szCs w:val="24"/>
        </w:rPr>
        <w:t xml:space="preserve"> was </w:t>
      </w:r>
      <w:r w:rsidR="00BB0E1D">
        <w:rPr>
          <w:sz w:val="24"/>
          <w:szCs w:val="24"/>
        </w:rPr>
        <w:t>1.19</w:t>
      </w:r>
      <w:r w:rsidRPr="00A64976">
        <w:rPr>
          <w:sz w:val="24"/>
          <w:szCs w:val="24"/>
        </w:rPr>
        <w:t>.  The 2010</w:t>
      </w:r>
      <w:r>
        <w:rPr>
          <w:sz w:val="24"/>
          <w:szCs w:val="24"/>
        </w:rPr>
        <w:t>-2011</w:t>
      </w:r>
      <w:r w:rsidRPr="00A64976">
        <w:rPr>
          <w:sz w:val="24"/>
          <w:szCs w:val="24"/>
        </w:rPr>
        <w:t xml:space="preserve"> PAC benefit cost ratio is</w:t>
      </w:r>
      <w:r w:rsidR="00BB0E1D">
        <w:rPr>
          <w:sz w:val="24"/>
          <w:szCs w:val="24"/>
        </w:rPr>
        <w:t xml:space="preserve"> 3.02</w:t>
      </w:r>
      <w:r w:rsidRPr="00A64976">
        <w:rPr>
          <w:sz w:val="24"/>
          <w:szCs w:val="24"/>
        </w:rPr>
        <w:t>.  Therefore, the Washington natural gas DSM portfolio passes the PAC test in 2010</w:t>
      </w:r>
      <w:r>
        <w:rPr>
          <w:sz w:val="24"/>
          <w:szCs w:val="24"/>
        </w:rPr>
        <w:t>-2011</w:t>
      </w:r>
      <w:r w:rsidRPr="00A64976">
        <w:rPr>
          <w:sz w:val="24"/>
          <w:szCs w:val="24"/>
        </w:rPr>
        <w:t xml:space="preserve">.  The </w:t>
      </w:r>
      <w:proofErr w:type="spellStart"/>
      <w:r w:rsidRPr="00A64976">
        <w:rPr>
          <w:sz w:val="24"/>
          <w:szCs w:val="24"/>
        </w:rPr>
        <w:t>levelized</w:t>
      </w:r>
      <w:proofErr w:type="spellEnd"/>
      <w:r w:rsidRPr="00A64976">
        <w:rPr>
          <w:sz w:val="24"/>
          <w:szCs w:val="24"/>
        </w:rPr>
        <w:t xml:space="preserve"> TRC and PAC cost</w:t>
      </w:r>
      <w:r w:rsidR="006D0CD6">
        <w:rPr>
          <w:sz w:val="24"/>
          <w:szCs w:val="24"/>
        </w:rPr>
        <w:t>s</w:t>
      </w:r>
      <w:r w:rsidRPr="00A64976">
        <w:rPr>
          <w:sz w:val="24"/>
          <w:szCs w:val="24"/>
        </w:rPr>
        <w:t xml:space="preserve"> </w:t>
      </w:r>
      <w:r w:rsidR="006D0CD6">
        <w:rPr>
          <w:sz w:val="24"/>
          <w:szCs w:val="24"/>
        </w:rPr>
        <w:t>are</w:t>
      </w:r>
      <w:r w:rsidRPr="00A64976">
        <w:rPr>
          <w:sz w:val="24"/>
          <w:szCs w:val="24"/>
        </w:rPr>
        <w:t xml:space="preserve"> </w:t>
      </w:r>
      <w:r w:rsidR="00BB0E1D">
        <w:rPr>
          <w:sz w:val="24"/>
          <w:szCs w:val="24"/>
        </w:rPr>
        <w:t>$1.07</w:t>
      </w:r>
      <w:r w:rsidRPr="00871DE8">
        <w:rPr>
          <w:sz w:val="24"/>
          <w:szCs w:val="24"/>
        </w:rPr>
        <w:t xml:space="preserve"> and </w:t>
      </w:r>
      <w:r w:rsidR="00BB0E1D">
        <w:rPr>
          <w:sz w:val="24"/>
          <w:szCs w:val="24"/>
        </w:rPr>
        <w:t>41.5</w:t>
      </w:r>
      <w:r w:rsidRPr="00871DE8">
        <w:rPr>
          <w:sz w:val="24"/>
          <w:szCs w:val="24"/>
        </w:rPr>
        <w:t xml:space="preserve"> cents</w:t>
      </w:r>
      <w:r w:rsidRPr="00A64976">
        <w:rPr>
          <w:sz w:val="24"/>
          <w:szCs w:val="24"/>
        </w:rPr>
        <w:t xml:space="preserve"> per therm</w:t>
      </w:r>
      <w:r w:rsidR="006D0CD6">
        <w:rPr>
          <w:sz w:val="24"/>
          <w:szCs w:val="24"/>
        </w:rPr>
        <w:t>, respectively,</w:t>
      </w:r>
      <w:r w:rsidR="00871DE8">
        <w:rPr>
          <w:sz w:val="24"/>
          <w:szCs w:val="24"/>
        </w:rPr>
        <w:t xml:space="preserve"> as shown on Page 1 of Exhibit No</w:t>
      </w:r>
      <w:r w:rsidR="00097ABF">
        <w:rPr>
          <w:sz w:val="24"/>
          <w:szCs w:val="24"/>
        </w:rPr>
        <w:t>.__</w:t>
      </w:r>
      <w:proofErr w:type="gramStart"/>
      <w:r w:rsidR="00097ABF">
        <w:rPr>
          <w:sz w:val="24"/>
          <w:szCs w:val="24"/>
        </w:rPr>
        <w:t>_(</w:t>
      </w:r>
      <w:proofErr w:type="gramEnd"/>
      <w:r w:rsidR="00871DE8">
        <w:rPr>
          <w:sz w:val="24"/>
          <w:szCs w:val="24"/>
        </w:rPr>
        <w:t>LBH-2</w:t>
      </w:r>
      <w:r w:rsidR="00097ABF">
        <w:rPr>
          <w:sz w:val="24"/>
          <w:szCs w:val="24"/>
        </w:rPr>
        <w:t>)</w:t>
      </w:r>
      <w:r w:rsidRPr="00A64976">
        <w:rPr>
          <w:sz w:val="24"/>
          <w:szCs w:val="24"/>
        </w:rPr>
        <w:t xml:space="preserve">. The overall portfolio of measures has a weighted average measure life of </w:t>
      </w:r>
      <w:r w:rsidR="00293E5D">
        <w:rPr>
          <w:sz w:val="24"/>
          <w:szCs w:val="24"/>
        </w:rPr>
        <w:t>21</w:t>
      </w:r>
      <w:r w:rsidRPr="00871DE8">
        <w:rPr>
          <w:sz w:val="24"/>
          <w:szCs w:val="24"/>
        </w:rPr>
        <w:t xml:space="preserve"> years</w:t>
      </w:r>
      <w:r w:rsidRPr="00A64976">
        <w:rPr>
          <w:sz w:val="24"/>
          <w:szCs w:val="24"/>
        </w:rPr>
        <w:t xml:space="preserve"> for 2010</w:t>
      </w:r>
      <w:r>
        <w:rPr>
          <w:sz w:val="24"/>
          <w:szCs w:val="24"/>
        </w:rPr>
        <w:t>-2011</w:t>
      </w:r>
      <w:r w:rsidRPr="00A64976">
        <w:rPr>
          <w:sz w:val="24"/>
          <w:szCs w:val="24"/>
        </w:rPr>
        <w:t>.</w:t>
      </w:r>
      <w:r>
        <w:rPr>
          <w:sz w:val="24"/>
          <w:szCs w:val="24"/>
        </w:rPr>
        <w:t xml:space="preserve">  </w:t>
      </w:r>
      <w:r w:rsidR="006D0CD6">
        <w:rPr>
          <w:sz w:val="24"/>
          <w:szCs w:val="24"/>
        </w:rPr>
        <w:t xml:space="preserve">(Please note that Program Administrator costs reported in Exhibit </w:t>
      </w:r>
      <w:r w:rsidR="00097ABF">
        <w:rPr>
          <w:sz w:val="24"/>
          <w:szCs w:val="24"/>
        </w:rPr>
        <w:t>No.__</w:t>
      </w:r>
      <w:proofErr w:type="gramStart"/>
      <w:r w:rsidR="00097ABF">
        <w:rPr>
          <w:sz w:val="24"/>
          <w:szCs w:val="24"/>
        </w:rPr>
        <w:t>_(</w:t>
      </w:r>
      <w:proofErr w:type="gramEnd"/>
      <w:r w:rsidR="006D0CD6">
        <w:rPr>
          <w:sz w:val="24"/>
          <w:szCs w:val="24"/>
        </w:rPr>
        <w:t>LBH-2</w:t>
      </w:r>
      <w:r w:rsidR="00097ABF">
        <w:rPr>
          <w:sz w:val="24"/>
          <w:szCs w:val="24"/>
        </w:rPr>
        <w:t>)</w:t>
      </w:r>
      <w:r w:rsidR="006D0CD6">
        <w:rPr>
          <w:sz w:val="24"/>
          <w:szCs w:val="24"/>
        </w:rPr>
        <w:t xml:space="preserve"> are for those projects completed during 2010-2011 and, therefore, differ from the expenditures actually incurred dur</w:t>
      </w:r>
      <w:r w:rsidR="00CB3719">
        <w:rPr>
          <w:sz w:val="24"/>
          <w:szCs w:val="24"/>
        </w:rPr>
        <w:t>ing 2010-2011 as shown on page 3</w:t>
      </w:r>
      <w:r w:rsidR="006D0CD6">
        <w:rPr>
          <w:sz w:val="24"/>
          <w:szCs w:val="24"/>
        </w:rPr>
        <w:t xml:space="preserve"> of my testimony and pa</w:t>
      </w:r>
      <w:r w:rsidR="00CB3719">
        <w:rPr>
          <w:sz w:val="24"/>
          <w:szCs w:val="24"/>
        </w:rPr>
        <w:t>ge 8</w:t>
      </w:r>
      <w:r w:rsidR="006D0CD6">
        <w:rPr>
          <w:sz w:val="24"/>
          <w:szCs w:val="24"/>
        </w:rPr>
        <w:t xml:space="preserve"> of Mr. Folsom’s testimony.)</w:t>
      </w:r>
    </w:p>
    <w:p w:rsidR="00293E5D" w:rsidRDefault="00293E5D" w:rsidP="00293E5D">
      <w:pPr>
        <w:pStyle w:val="BodyText3"/>
        <w:spacing w:line="480" w:lineRule="auto"/>
        <w:ind w:firstLine="720"/>
        <w:jc w:val="both"/>
        <w:rPr>
          <w:sz w:val="24"/>
          <w:szCs w:val="24"/>
        </w:rPr>
      </w:pPr>
      <w:r>
        <w:rPr>
          <w:sz w:val="24"/>
          <w:szCs w:val="24"/>
        </w:rPr>
        <w:t xml:space="preserve">For cost-effectiveness, the Company includes only those non-energy benefits that are documented and quantifiable and is, therefore, a conservative estimate.  There </w:t>
      </w:r>
      <w:r>
        <w:rPr>
          <w:sz w:val="24"/>
          <w:szCs w:val="24"/>
        </w:rPr>
        <w:lastRenderedPageBreak/>
        <w:t xml:space="preserve">are a number of legitimate non-energy TRC benefits that the Company was unable to quantify with sufficient rigor in order to include within the cost-effectiveness analysis.  </w:t>
      </w:r>
    </w:p>
    <w:p w:rsidR="00871DE8" w:rsidRDefault="0043619E" w:rsidP="00B07637">
      <w:pPr>
        <w:pStyle w:val="BodyText3"/>
        <w:spacing w:line="480" w:lineRule="auto"/>
        <w:jc w:val="both"/>
        <w:rPr>
          <w:sz w:val="24"/>
          <w:szCs w:val="24"/>
        </w:rPr>
      </w:pPr>
      <w:r>
        <w:rPr>
          <w:sz w:val="24"/>
          <w:szCs w:val="24"/>
        </w:rPr>
        <w:tab/>
      </w:r>
      <w:r w:rsidR="00871DE8">
        <w:rPr>
          <w:sz w:val="24"/>
          <w:szCs w:val="24"/>
        </w:rPr>
        <w:t>Electric and natural gas</w:t>
      </w:r>
      <w:r>
        <w:rPr>
          <w:sz w:val="24"/>
          <w:szCs w:val="24"/>
        </w:rPr>
        <w:t xml:space="preserve"> cost-effective</w:t>
      </w:r>
      <w:r w:rsidR="00F24378">
        <w:rPr>
          <w:sz w:val="24"/>
          <w:szCs w:val="24"/>
        </w:rPr>
        <w:t>ness</w:t>
      </w:r>
      <w:r>
        <w:rPr>
          <w:sz w:val="24"/>
          <w:szCs w:val="24"/>
        </w:rPr>
        <w:t xml:space="preserve"> results are based on evaluated results</w:t>
      </w:r>
      <w:r w:rsidR="00DF6ADB">
        <w:rPr>
          <w:sz w:val="24"/>
          <w:szCs w:val="24"/>
        </w:rPr>
        <w:t xml:space="preserve"> of the 2010-2011 Biennium</w:t>
      </w:r>
      <w:r w:rsidR="00871DE8">
        <w:rPr>
          <w:sz w:val="24"/>
          <w:szCs w:val="24"/>
        </w:rPr>
        <w:t xml:space="preserve"> </w:t>
      </w:r>
      <w:proofErr w:type="gramStart"/>
      <w:r w:rsidR="00DF6ADB">
        <w:rPr>
          <w:sz w:val="24"/>
          <w:szCs w:val="24"/>
        </w:rPr>
        <w:t>portfolio</w:t>
      </w:r>
      <w:proofErr w:type="gramEnd"/>
      <w:r>
        <w:rPr>
          <w:sz w:val="24"/>
          <w:szCs w:val="24"/>
        </w:rPr>
        <w:t xml:space="preserve">.  Past DSM cost-effectiveness reporting has been due </w:t>
      </w:r>
      <w:r w:rsidR="00F24378">
        <w:rPr>
          <w:sz w:val="24"/>
          <w:szCs w:val="24"/>
        </w:rPr>
        <w:t xml:space="preserve">in the </w:t>
      </w:r>
      <w:r>
        <w:rPr>
          <w:sz w:val="24"/>
          <w:szCs w:val="24"/>
        </w:rPr>
        <w:t>first quarter of each year</w:t>
      </w:r>
      <w:r w:rsidR="00DF6ADB">
        <w:rPr>
          <w:sz w:val="24"/>
          <w:szCs w:val="24"/>
        </w:rPr>
        <w:t xml:space="preserve"> and included realization rates from the most recent impact evaluations on some individual programs</w:t>
      </w:r>
      <w:r>
        <w:rPr>
          <w:sz w:val="24"/>
          <w:szCs w:val="24"/>
        </w:rPr>
        <w:t xml:space="preserve">.  With the implementation of I-937, </w:t>
      </w:r>
      <w:r w:rsidR="00F24378">
        <w:rPr>
          <w:sz w:val="24"/>
          <w:szCs w:val="24"/>
        </w:rPr>
        <w:t>the Company’s</w:t>
      </w:r>
      <w:r>
        <w:rPr>
          <w:sz w:val="24"/>
          <w:szCs w:val="24"/>
        </w:rPr>
        <w:t xml:space="preserve"> annual report due date has been moved to June 1</w:t>
      </w:r>
      <w:r w:rsidRPr="0043619E">
        <w:rPr>
          <w:sz w:val="24"/>
          <w:szCs w:val="24"/>
          <w:vertAlign w:val="superscript"/>
        </w:rPr>
        <w:t>st</w:t>
      </w:r>
      <w:r>
        <w:rPr>
          <w:sz w:val="24"/>
          <w:szCs w:val="24"/>
        </w:rPr>
        <w:t xml:space="preserve"> enabling the Company to provide cost-effectiveness on verified savings</w:t>
      </w:r>
      <w:r w:rsidR="00780EC2">
        <w:rPr>
          <w:sz w:val="24"/>
          <w:szCs w:val="24"/>
        </w:rPr>
        <w:t xml:space="preserve"> of the entire portfolio</w:t>
      </w:r>
      <w:r>
        <w:rPr>
          <w:sz w:val="24"/>
          <w:szCs w:val="24"/>
        </w:rPr>
        <w:t xml:space="preserve">.  </w:t>
      </w:r>
    </w:p>
    <w:p w:rsidR="00B07637" w:rsidRPr="00FD6832" w:rsidRDefault="00871DE8" w:rsidP="00FD6832">
      <w:pPr>
        <w:pStyle w:val="BodyText3"/>
        <w:spacing w:line="480" w:lineRule="auto"/>
        <w:jc w:val="both"/>
        <w:rPr>
          <w:b/>
          <w:bCs/>
          <w:sz w:val="24"/>
          <w:szCs w:val="24"/>
        </w:rPr>
      </w:pPr>
      <w:r>
        <w:rPr>
          <w:sz w:val="24"/>
          <w:szCs w:val="24"/>
        </w:rPr>
        <w:tab/>
      </w:r>
      <w:proofErr w:type="gramStart"/>
      <w:r w:rsidR="00B07637" w:rsidRPr="00FD6832">
        <w:rPr>
          <w:b/>
          <w:bCs/>
          <w:sz w:val="24"/>
          <w:szCs w:val="24"/>
        </w:rPr>
        <w:t>Q.</w:t>
      </w:r>
      <w:r w:rsidR="00B07637" w:rsidRPr="00FD6832">
        <w:rPr>
          <w:b/>
          <w:bCs/>
          <w:sz w:val="24"/>
          <w:szCs w:val="24"/>
        </w:rPr>
        <w:tab/>
        <w:t>Please summarize the Company’s conclusions</w:t>
      </w:r>
      <w:r w:rsidR="00097ABF">
        <w:rPr>
          <w:b/>
          <w:bCs/>
          <w:sz w:val="24"/>
          <w:szCs w:val="24"/>
        </w:rPr>
        <w:t xml:space="preserve"> on prudence</w:t>
      </w:r>
      <w:r w:rsidR="006A0DC2" w:rsidRPr="00FD6832">
        <w:rPr>
          <w:b/>
          <w:bCs/>
          <w:sz w:val="24"/>
          <w:szCs w:val="24"/>
        </w:rPr>
        <w:t xml:space="preserve"> and cost-effectiveness</w:t>
      </w:r>
      <w:r w:rsidR="00B07637" w:rsidRPr="00FD6832">
        <w:rPr>
          <w:b/>
          <w:bCs/>
          <w:sz w:val="24"/>
          <w:szCs w:val="24"/>
        </w:rPr>
        <w:t>.</w:t>
      </w:r>
      <w:proofErr w:type="gramEnd"/>
    </w:p>
    <w:p w:rsidR="00B07637" w:rsidRPr="009C464E" w:rsidRDefault="00B07637" w:rsidP="00B07637">
      <w:pPr>
        <w:suppressAutoHyphens/>
        <w:spacing w:line="480" w:lineRule="auto"/>
        <w:ind w:firstLine="720"/>
        <w:jc w:val="both"/>
      </w:pPr>
      <w:r w:rsidRPr="009C464E">
        <w:t>A.</w:t>
      </w:r>
      <w:r w:rsidRPr="009C464E">
        <w:tab/>
        <w:t xml:space="preserve">The Company’s expenditure of tariff rider revenue has been reasonable and prudent.  </w:t>
      </w:r>
      <w:r>
        <w:t xml:space="preserve">The Washington </w:t>
      </w:r>
      <w:r w:rsidRPr="009C464E">
        <w:t xml:space="preserve">portfolio of programs covering all customer classes has been offered with a total savings of over </w:t>
      </w:r>
      <w:r w:rsidR="00BB0E1D">
        <w:t xml:space="preserve">172,341 </w:t>
      </w:r>
      <w:r w:rsidR="00EF1B5D">
        <w:t>MWh</w:t>
      </w:r>
      <w:r w:rsidRPr="00081B45">
        <w:t xml:space="preserve"> </w:t>
      </w:r>
      <w:r w:rsidR="009879C2" w:rsidRPr="009879C2">
        <w:t>(169,467 MWh Washington gross achieved from local and NEEA programs</w:t>
      </w:r>
      <w:r w:rsidR="009879C2">
        <w:t>,</w:t>
      </w:r>
      <w:r w:rsidR="009879C2" w:rsidRPr="009879C2">
        <w:t xml:space="preserve"> plus 2,874 </w:t>
      </w:r>
      <w:r w:rsidR="00EF1B5D">
        <w:t>MWh</w:t>
      </w:r>
      <w:r w:rsidR="009879C2">
        <w:t xml:space="preserve"> </w:t>
      </w:r>
      <w:r w:rsidR="009879C2" w:rsidRPr="009879C2">
        <w:t xml:space="preserve">from fuel conversions beyond </w:t>
      </w:r>
      <w:r w:rsidR="009879C2">
        <w:t xml:space="preserve">the </w:t>
      </w:r>
      <w:r w:rsidR="009879C2" w:rsidRPr="009879C2">
        <w:t xml:space="preserve">2,621 MWh </w:t>
      </w:r>
      <w:r w:rsidR="009879C2">
        <w:t>maximum allowed toward I-937 acquisition</w:t>
      </w:r>
      <w:r w:rsidR="009879C2" w:rsidRPr="009879C2">
        <w:t>)</w:t>
      </w:r>
      <w:r w:rsidR="009879C2">
        <w:t xml:space="preserve"> </w:t>
      </w:r>
      <w:r w:rsidRPr="00081B45">
        <w:t xml:space="preserve">and over </w:t>
      </w:r>
      <w:r w:rsidR="00780EC2">
        <w:t>2.</w:t>
      </w:r>
      <w:r w:rsidR="00BB0E1D">
        <w:t>5</w:t>
      </w:r>
      <w:r w:rsidRPr="00081B45">
        <w:t xml:space="preserve"> million therms</w:t>
      </w:r>
      <w:r w:rsidRPr="009C464E">
        <w:t xml:space="preserve"> </w:t>
      </w:r>
      <w:r w:rsidR="00081B45">
        <w:t>during this biennium</w:t>
      </w:r>
      <w:r w:rsidRPr="009C464E">
        <w:t xml:space="preserve">.  </w:t>
      </w:r>
      <w:r>
        <w:t xml:space="preserve">This was achieved at a </w:t>
      </w:r>
      <w:proofErr w:type="spellStart"/>
      <w:r w:rsidRPr="00C8389A">
        <w:t>levelized</w:t>
      </w:r>
      <w:proofErr w:type="spellEnd"/>
      <w:r w:rsidRPr="00C8389A">
        <w:t xml:space="preserve"> TRC cost </w:t>
      </w:r>
      <w:r w:rsidRPr="00780EC2">
        <w:t xml:space="preserve">of </w:t>
      </w:r>
      <w:r w:rsidR="00780EC2" w:rsidRPr="00780EC2">
        <w:t>$</w:t>
      </w:r>
      <w:r w:rsidR="00BB0E1D">
        <w:t>42.48</w:t>
      </w:r>
      <w:r w:rsidRPr="00780EC2">
        <w:t xml:space="preserve"> per MWh and </w:t>
      </w:r>
      <w:r w:rsidR="00BB0E1D">
        <w:t>$1.07</w:t>
      </w:r>
      <w:r w:rsidRPr="00780EC2">
        <w:t xml:space="preserve"> per therm.  </w:t>
      </w:r>
    </w:p>
    <w:p w:rsidR="00B07637" w:rsidRPr="009C464E" w:rsidRDefault="00B07637" w:rsidP="00B07637">
      <w:pPr>
        <w:pStyle w:val="BodyText2"/>
        <w:ind w:firstLine="720"/>
      </w:pPr>
      <w:r w:rsidRPr="009C464E">
        <w:t>The Tariff Rider and energy efficiency programs have been successful.  Participating customers have benefited through lower</w:t>
      </w:r>
      <w:r w:rsidR="00F24378">
        <w:t xml:space="preserve"> energy</w:t>
      </w:r>
      <w:r w:rsidRPr="009C464E">
        <w:t xml:space="preserve"> bills.  Non-participating customers have benefited from the Company having acquired lower cost resources </w:t>
      </w:r>
      <w:r>
        <w:t xml:space="preserve">in the form of DSM, </w:t>
      </w:r>
      <w:r w:rsidRPr="009C464E">
        <w:t xml:space="preserve">as well as maintaining the energy efficiency message and infrastructure for the benefit of our service territory.  </w:t>
      </w:r>
    </w:p>
    <w:p w:rsidR="00CF0931" w:rsidRDefault="00B07637" w:rsidP="009879C2">
      <w:pPr>
        <w:suppressAutoHyphens/>
        <w:spacing w:line="480" w:lineRule="auto"/>
        <w:ind w:firstLine="720"/>
        <w:jc w:val="both"/>
      </w:pPr>
      <w:r w:rsidRPr="009C464E">
        <w:lastRenderedPageBreak/>
        <w:t xml:space="preserve">Avista respectfully requests that the Commission issue a finding of prudence for energy efficiency expenditures </w:t>
      </w:r>
      <w:r w:rsidR="00081B45">
        <w:t xml:space="preserve">for this period of </w:t>
      </w:r>
      <w:r w:rsidRPr="009C464E">
        <w:rPr>
          <w:bCs/>
        </w:rPr>
        <w:t>Jan</w:t>
      </w:r>
      <w:r>
        <w:rPr>
          <w:bCs/>
        </w:rPr>
        <w:t>uary 1, 2010 through December 31, 2011</w:t>
      </w:r>
      <w:r w:rsidRPr="009C464E">
        <w:t>.</w:t>
      </w:r>
    </w:p>
    <w:p w:rsidR="00097ABF" w:rsidRPr="00097ABF" w:rsidRDefault="00097ABF" w:rsidP="00097ABF">
      <w:pPr>
        <w:suppressAutoHyphens/>
        <w:spacing w:line="480" w:lineRule="auto"/>
        <w:ind w:firstLine="720"/>
        <w:jc w:val="center"/>
        <w:rPr>
          <w:b/>
          <w:u w:val="single"/>
        </w:rPr>
      </w:pPr>
      <w:r w:rsidRPr="00097ABF">
        <w:rPr>
          <w:b/>
          <w:u w:val="single"/>
        </w:rPr>
        <w:t>III.</w:t>
      </w:r>
      <w:r w:rsidRPr="00097ABF">
        <w:rPr>
          <w:b/>
          <w:u w:val="single"/>
        </w:rPr>
        <w:tab/>
        <w:t>TARIFF RIDER BALANCES</w:t>
      </w:r>
    </w:p>
    <w:p w:rsidR="00E10E68" w:rsidRPr="00097ABF" w:rsidRDefault="00E10E68" w:rsidP="00E10E68">
      <w:pPr>
        <w:pStyle w:val="BodyText2"/>
        <w:ind w:firstLine="720"/>
        <w:rPr>
          <w:b/>
        </w:rPr>
      </w:pPr>
      <w:r w:rsidRPr="00097ABF">
        <w:rPr>
          <w:b/>
        </w:rPr>
        <w:t>Q.</w:t>
      </w:r>
      <w:r w:rsidRPr="00097ABF">
        <w:rPr>
          <w:b/>
        </w:rPr>
        <w:tab/>
        <w:t>What are the current Schedule 91 and 191 tariff rider balances?</w:t>
      </w:r>
    </w:p>
    <w:p w:rsidR="0067178D" w:rsidRPr="00097ABF" w:rsidRDefault="00E10E68" w:rsidP="0067178D">
      <w:pPr>
        <w:pStyle w:val="BodyText2"/>
        <w:ind w:firstLine="720"/>
      </w:pPr>
      <w:r w:rsidRPr="00097ABF">
        <w:t>A.</w:t>
      </w:r>
      <w:r w:rsidRPr="00097ABF">
        <w:tab/>
      </w:r>
      <w:r w:rsidR="0067178D">
        <w:t xml:space="preserve">The Company’s tariff </w:t>
      </w:r>
      <w:r w:rsidR="0067178D" w:rsidRPr="00D87736">
        <w:t>rider</w:t>
      </w:r>
      <w:r w:rsidR="0067178D">
        <w:t xml:space="preserve"> mechanism is </w:t>
      </w:r>
      <w:r w:rsidR="0067178D" w:rsidRPr="00D87736">
        <w:t>designed to match future revenue</w:t>
      </w:r>
      <w:r w:rsidR="0067178D">
        <w:t xml:space="preserve"> </w:t>
      </w:r>
      <w:r w:rsidR="0067178D" w:rsidRPr="00D87736">
        <w:t xml:space="preserve">with </w:t>
      </w:r>
      <w:r w:rsidR="0067178D">
        <w:t>budgeted</w:t>
      </w:r>
      <w:r w:rsidR="0067178D" w:rsidRPr="00D87736">
        <w:t xml:space="preserve"> expend</w:t>
      </w:r>
      <w:r w:rsidR="0067178D">
        <w:t>itures</w:t>
      </w:r>
      <w:r w:rsidR="0067178D" w:rsidRPr="00D87736">
        <w:t xml:space="preserve">. </w:t>
      </w:r>
      <w:r w:rsidR="0067178D">
        <w:t>To ensure appropriate recovery, the mechanism includes a true-up feature that reconciles the previous periods’ actual expenditures and collections.</w:t>
      </w:r>
    </w:p>
    <w:p w:rsidR="00046DF9" w:rsidRPr="00097ABF" w:rsidRDefault="00E10E68" w:rsidP="00E10E68">
      <w:pPr>
        <w:pStyle w:val="BodyText2"/>
        <w:ind w:firstLine="720"/>
      </w:pPr>
      <w:r w:rsidRPr="00097ABF">
        <w:t xml:space="preserve">As of March 31, 2012, the current Schedule 91 (electric) and 191 (natural gas) tariff rider balances </w:t>
      </w:r>
      <w:r w:rsidR="00097ABF">
        <w:t>were</w:t>
      </w:r>
      <w:r w:rsidRPr="00097ABF">
        <w:t xml:space="preserve"> over $2.4 million overfunded and $741</w:t>
      </w:r>
      <w:r w:rsidR="00774D04">
        <w:t>,000</w:t>
      </w:r>
      <w:r w:rsidRPr="00097ABF">
        <w:t xml:space="preserve"> overfunded respectively.  Overfunded balances indicate that more tariff rider funding was collected than necessary to fund the on-going DSM operations.</w:t>
      </w:r>
      <w:r w:rsidR="00046DF9" w:rsidRPr="00097ABF">
        <w:t xml:space="preserve">  In addition, for Schedule 91, the Company incurs a 10 percent interest on any overfunded balances. </w:t>
      </w:r>
    </w:p>
    <w:p w:rsidR="009B4ABF" w:rsidRPr="00097ABF" w:rsidRDefault="00097ABF" w:rsidP="00774D04">
      <w:pPr>
        <w:pStyle w:val="BodyText2"/>
        <w:ind w:firstLine="720"/>
      </w:pPr>
      <w:r>
        <w:t>In t</w:t>
      </w:r>
      <w:r w:rsidR="00046DF9" w:rsidRPr="00097ABF">
        <w:t>he past</w:t>
      </w:r>
      <w:r>
        <w:t>, the</w:t>
      </w:r>
      <w:r w:rsidR="00046DF9" w:rsidRPr="00097ABF">
        <w:t xml:space="preserve"> increase to Schedules 91 and 191 allowed for adequate revenue to both fund current energy efficiency operations as well as reduce the accumulation of underfunded tariff rider balances for these Schedules.  The tariff rider adjustments proposed </w:t>
      </w:r>
      <w:r w:rsidR="0067178D">
        <w:t>in</w:t>
      </w:r>
      <w:r w:rsidR="00046DF9" w:rsidRPr="00097ABF">
        <w:t xml:space="preserve"> </w:t>
      </w:r>
      <w:r w:rsidR="005906BF">
        <w:t xml:space="preserve">a </w:t>
      </w:r>
      <w:r w:rsidR="00CF0931">
        <w:t>separate</w:t>
      </w:r>
      <w:r w:rsidR="00046DF9" w:rsidRPr="00097ABF">
        <w:t xml:space="preserve"> filing would</w:t>
      </w:r>
      <w:r w:rsidR="00CF0931">
        <w:t>, but coincident with this filing,</w:t>
      </w:r>
      <w:r w:rsidR="00046DF9" w:rsidRPr="00097ABF">
        <w:t xml:space="preserve"> reduce the </w:t>
      </w:r>
      <w:r w:rsidR="00CF0931">
        <w:t>over</w:t>
      </w:r>
      <w:r w:rsidR="00046DF9" w:rsidRPr="00097ABF">
        <w:t>funded balance</w:t>
      </w:r>
      <w:r w:rsidR="009B4ABF" w:rsidRPr="00097ABF">
        <w:t xml:space="preserve">, </w:t>
      </w:r>
      <w:r w:rsidR="00CF0931">
        <w:t>and provide</w:t>
      </w:r>
      <w:r w:rsidR="009B4ABF" w:rsidRPr="00097ABF">
        <w:t xml:space="preserve"> for </w:t>
      </w:r>
      <w:r w:rsidR="00CF0931">
        <w:t>approximately</w:t>
      </w:r>
      <w:r w:rsidR="009B4ABF" w:rsidRPr="00097ABF">
        <w:t xml:space="preserve"> $12.3 million and $4.4 million in annual revenue to fund on-going electric and natural gas efficiency</w:t>
      </w:r>
      <w:r w:rsidR="00CF0931">
        <w:t>,</w:t>
      </w:r>
      <w:r w:rsidR="009B4ABF" w:rsidRPr="00097ABF">
        <w:t xml:space="preserve"> respectively.  </w:t>
      </w:r>
      <w:r w:rsidR="00CA588D" w:rsidRPr="00097ABF">
        <w:t xml:space="preserve"> </w:t>
      </w:r>
      <w:r w:rsidR="009B4ABF" w:rsidRPr="00097ABF">
        <w:t xml:space="preserve">  </w:t>
      </w:r>
    </w:p>
    <w:p w:rsidR="00CF0931" w:rsidRDefault="00CF0931" w:rsidP="009879C2">
      <w:pPr>
        <w:spacing w:line="480" w:lineRule="auto"/>
        <w:rPr>
          <w:b/>
          <w:u w:val="single"/>
        </w:rPr>
      </w:pPr>
    </w:p>
    <w:p w:rsidR="009879C2" w:rsidRDefault="009879C2" w:rsidP="009879C2">
      <w:pPr>
        <w:spacing w:line="480" w:lineRule="auto"/>
        <w:rPr>
          <w:b/>
          <w:u w:val="single"/>
        </w:rPr>
      </w:pPr>
    </w:p>
    <w:p w:rsidR="00F522DF" w:rsidRPr="00F522DF" w:rsidRDefault="00097ABF" w:rsidP="00F522DF">
      <w:pPr>
        <w:spacing w:line="480" w:lineRule="auto"/>
        <w:jc w:val="center"/>
        <w:rPr>
          <w:b/>
          <w:u w:val="single"/>
        </w:rPr>
      </w:pPr>
      <w:r>
        <w:rPr>
          <w:b/>
          <w:u w:val="single"/>
        </w:rPr>
        <w:lastRenderedPageBreak/>
        <w:t>IV</w:t>
      </w:r>
      <w:proofErr w:type="gramStart"/>
      <w:r w:rsidR="00E57C33">
        <w:rPr>
          <w:b/>
          <w:u w:val="single"/>
        </w:rPr>
        <w:t>.  EVALUATION</w:t>
      </w:r>
      <w:proofErr w:type="gramEnd"/>
      <w:r w:rsidR="00E57C33">
        <w:rPr>
          <w:b/>
          <w:u w:val="single"/>
        </w:rPr>
        <w:t>, MEASUREMENT &amp; VERIFICATION</w:t>
      </w:r>
    </w:p>
    <w:p w:rsidR="00905F96" w:rsidRPr="00B35A29" w:rsidRDefault="00905F96" w:rsidP="004B465D">
      <w:pPr>
        <w:spacing w:line="480" w:lineRule="auto"/>
        <w:ind w:firstLine="720"/>
        <w:contextualSpacing/>
        <w:jc w:val="both"/>
        <w:rPr>
          <w:b/>
        </w:rPr>
      </w:pPr>
      <w:bookmarkStart w:id="4" w:name="OLE_LINK3"/>
      <w:bookmarkStart w:id="5" w:name="OLE_LINK4"/>
      <w:r w:rsidRPr="00916C0B">
        <w:rPr>
          <w:b/>
        </w:rPr>
        <w:t>Q.</w:t>
      </w:r>
      <w:r w:rsidRPr="00916C0B">
        <w:rPr>
          <w:b/>
        </w:rPr>
        <w:tab/>
      </w:r>
      <w:r w:rsidR="00490012">
        <w:rPr>
          <w:b/>
        </w:rPr>
        <w:t xml:space="preserve">Mr. </w:t>
      </w:r>
      <w:r w:rsidR="008A45B9">
        <w:rPr>
          <w:b/>
        </w:rPr>
        <w:t>Folsom described in his testimony the C</w:t>
      </w:r>
      <w:r w:rsidR="00E57C33">
        <w:rPr>
          <w:b/>
        </w:rPr>
        <w:t xml:space="preserve">ompany’s </w:t>
      </w:r>
      <w:r w:rsidR="00AE25A7">
        <w:rPr>
          <w:b/>
        </w:rPr>
        <w:t>2010 EM&amp;V Collaborative and the resulting EM&amp;V Framework.</w:t>
      </w:r>
      <w:r w:rsidR="008A45B9">
        <w:rPr>
          <w:b/>
        </w:rPr>
        <w:t xml:space="preserve">  Please describe how the Company’s EM&amp;V Framework was implemented.</w:t>
      </w:r>
    </w:p>
    <w:p w:rsidR="009D2E99" w:rsidRDefault="00905F96" w:rsidP="008A45B9">
      <w:pPr>
        <w:spacing w:line="480" w:lineRule="auto"/>
        <w:ind w:firstLine="720"/>
        <w:jc w:val="both"/>
      </w:pPr>
      <w:r>
        <w:t>A.</w:t>
      </w:r>
      <w:r>
        <w:tab/>
      </w:r>
      <w:r w:rsidRPr="00E5223B">
        <w:t xml:space="preserve"> </w:t>
      </w:r>
      <w:r w:rsidR="008A45B9">
        <w:t>The Company’s EM&amp;V Framework</w:t>
      </w:r>
      <w:r w:rsidR="0081187E">
        <w:t xml:space="preserve"> </w:t>
      </w:r>
      <w:r w:rsidR="005906BF">
        <w:t xml:space="preserve">was </w:t>
      </w:r>
      <w:r w:rsidR="0081187E">
        <w:t>filed on September 1, 2010</w:t>
      </w:r>
      <w:r w:rsidR="005906BF">
        <w:t>,</w:t>
      </w:r>
      <w:r w:rsidR="0081187E">
        <w:t xml:space="preserve"> after an EM&amp;V Collaborative (per Docket No. UG-090135) consisting of eight all-day meetings as well as numerous conference calls with ten stakeholder organizations.  This Framework is an overarching forty-page document that </w:t>
      </w:r>
      <w:r w:rsidR="00CB15F6">
        <w:t xml:space="preserve">defines methods used to perform EM&amp;V on </w:t>
      </w:r>
      <w:r w:rsidR="0081187E">
        <w:t>the Company’s</w:t>
      </w:r>
      <w:r w:rsidR="00CB15F6">
        <w:t xml:space="preserve"> DSM programs</w:t>
      </w:r>
      <w:r w:rsidR="000F1579">
        <w:t xml:space="preserve"> and is provided in the Company’s workpapers</w:t>
      </w:r>
      <w:r w:rsidR="00CB15F6">
        <w:t>.</w:t>
      </w:r>
      <w:r w:rsidR="005906BF">
        <w:t xml:space="preserve"> </w:t>
      </w:r>
      <w:r w:rsidR="00CB15F6">
        <w:t>Consequently, industry standard principles of operation and best practices are used by internal or external evaluators in order to evaluate, verify and document savings acquired through the Company’s energy efficiency programs and the processes used to acquire those savings.</w:t>
      </w:r>
      <w:r w:rsidR="009D2E99">
        <w:t xml:space="preserve">  The Framework guides the development of annual EM&amp;V and research plans for specific evaluation activities.  It also provides</w:t>
      </w:r>
      <w:r w:rsidR="005906BF">
        <w:t xml:space="preserve"> a mechanism for the Commission</w:t>
      </w:r>
      <w:r w:rsidR="009D2E99">
        <w:t xml:space="preserve"> and interested parties to understand and comment on the Company’s overall evaluation approach.</w:t>
      </w:r>
      <w:r w:rsidR="00CB15F6">
        <w:t xml:space="preserve">  </w:t>
      </w:r>
    </w:p>
    <w:p w:rsidR="00D04CFF" w:rsidRDefault="009D2E99" w:rsidP="008A45B9">
      <w:pPr>
        <w:spacing w:line="480" w:lineRule="auto"/>
        <w:ind w:firstLine="720"/>
        <w:jc w:val="both"/>
      </w:pPr>
      <w:r>
        <w:t>The EM&amp;V Frame</w:t>
      </w:r>
      <w:r w:rsidR="0081187E">
        <w:t>work</w:t>
      </w:r>
      <w:r>
        <w:t xml:space="preserve"> </w:t>
      </w:r>
      <w:r w:rsidR="005906BF">
        <w:t>provides</w:t>
      </w:r>
      <w:r>
        <w:t xml:space="preserve"> that the Company will work closely with its Advisory Group to establish </w:t>
      </w:r>
      <w:r w:rsidR="0081187E">
        <w:t>its</w:t>
      </w:r>
      <w:r>
        <w:t xml:space="preserve"> annual EM&amp;V Plans</w:t>
      </w:r>
      <w:r w:rsidR="00FD3176">
        <w:t>.</w:t>
      </w:r>
      <w:r w:rsidR="00B1334D">
        <w:t xml:space="preserve">  </w:t>
      </w:r>
      <w:r w:rsidR="006A2C02">
        <w:t xml:space="preserve">The Framework </w:t>
      </w:r>
      <w:r w:rsidR="005906BF">
        <w:t>also provides</w:t>
      </w:r>
      <w:r w:rsidR="006A2C02">
        <w:t xml:space="preserve"> </w:t>
      </w:r>
      <w:r w:rsidR="008A45B9">
        <w:t xml:space="preserve">that evaluations will be performed by external, independent </w:t>
      </w:r>
      <w:r w:rsidR="005B5A34">
        <w:t>evaluators working through an independent</w:t>
      </w:r>
      <w:r w:rsidR="00DE2F6E">
        <w:t>,</w:t>
      </w:r>
      <w:r w:rsidR="005B5A34">
        <w:t xml:space="preserve"> internal evaluation team to determine savings resulting from the Company’s electric and natural gas </w:t>
      </w:r>
      <w:r w:rsidR="0081187E">
        <w:t xml:space="preserve">DSM </w:t>
      </w:r>
      <w:r w:rsidR="005B5A34">
        <w:t xml:space="preserve">portfolio.  This entire process is </w:t>
      </w:r>
      <w:r w:rsidR="00293E5D">
        <w:t>highly</w:t>
      </w:r>
      <w:r w:rsidR="005B5A34">
        <w:t xml:space="preserve"> transparent</w:t>
      </w:r>
      <w:r w:rsidR="005906BF">
        <w:t>,</w:t>
      </w:r>
      <w:r w:rsidR="005B5A34">
        <w:t xml:space="preserve"> providing stakeholders with numerous opportunities to review EM&amp;V </w:t>
      </w:r>
      <w:r w:rsidR="005B5A34">
        <w:lastRenderedPageBreak/>
        <w:t>processes</w:t>
      </w:r>
      <w:r w:rsidR="00DE2F6E">
        <w:t xml:space="preserve"> and</w:t>
      </w:r>
      <w:r w:rsidR="005B5A34">
        <w:t xml:space="preserve"> the annual EM&amp;V plan</w:t>
      </w:r>
      <w:r w:rsidR="00DE2F6E">
        <w:t>,</w:t>
      </w:r>
      <w:r w:rsidR="005B5A34">
        <w:t xml:space="preserve"> as </w:t>
      </w:r>
      <w:bookmarkEnd w:id="4"/>
      <w:bookmarkEnd w:id="5"/>
      <w:r w:rsidR="005B5A34">
        <w:t xml:space="preserve">well as specific EM&amp;V activities at appropriate </w:t>
      </w:r>
      <w:r w:rsidR="00DE2F6E">
        <w:t>time</w:t>
      </w:r>
      <w:r w:rsidR="005B5A34">
        <w:t>s.</w:t>
      </w:r>
      <w:r w:rsidR="008D4F43">
        <w:t xml:space="preserve">  In addition, the </w:t>
      </w:r>
      <w:r w:rsidR="00F24378">
        <w:t>F</w:t>
      </w:r>
      <w:r w:rsidR="008D4F43">
        <w:t xml:space="preserve">ramework </w:t>
      </w:r>
      <w:r>
        <w:t>recognized</w:t>
      </w:r>
      <w:r w:rsidR="008D4F43">
        <w:t xml:space="preserve"> </w:t>
      </w:r>
      <w:r>
        <w:t>that the Company would develop and utilize</w:t>
      </w:r>
      <w:r w:rsidR="008D4F43">
        <w:t xml:space="preserve"> a Technical Reference Manual (TRM)</w:t>
      </w:r>
      <w:r>
        <w:t xml:space="preserve"> </w:t>
      </w:r>
      <w:r w:rsidR="0081187E">
        <w:t>to include</w:t>
      </w:r>
      <w:r w:rsidR="008D4F43">
        <w:t xml:space="preserve"> </w:t>
      </w:r>
      <w:r>
        <w:t>Unit E</w:t>
      </w:r>
      <w:r w:rsidR="008D4F43">
        <w:t xml:space="preserve">nergy </w:t>
      </w:r>
      <w:r>
        <w:t>Sa</w:t>
      </w:r>
      <w:r w:rsidR="008D4F43">
        <w:t>vings</w:t>
      </w:r>
      <w:r>
        <w:t xml:space="preserve"> (UES),</w:t>
      </w:r>
      <w:r w:rsidR="008D4F43">
        <w:t xml:space="preserve"> assumptions and documented sources</w:t>
      </w:r>
      <w:r>
        <w:t xml:space="preserve"> for </w:t>
      </w:r>
      <w:r w:rsidR="005906BF">
        <w:t>prescriptive-</w:t>
      </w:r>
      <w:r w:rsidR="0081187E">
        <w:t>type measures</w:t>
      </w:r>
      <w:r w:rsidR="008D4F43">
        <w:t xml:space="preserve">.  </w:t>
      </w:r>
      <w:r w:rsidR="005B5A34">
        <w:t xml:space="preserve">  </w:t>
      </w:r>
    </w:p>
    <w:p w:rsidR="00E856D6" w:rsidRDefault="00FD3176" w:rsidP="008A45B9">
      <w:pPr>
        <w:spacing w:line="480" w:lineRule="auto"/>
        <w:ind w:firstLine="720"/>
        <w:jc w:val="both"/>
      </w:pPr>
      <w:r>
        <w:t>The Company’s 2011 EM&amp;V Plan was filed with the Commission on November 1, 2010.</w:t>
      </w:r>
      <w:r w:rsidR="00490012">
        <w:t xml:space="preserve"> </w:t>
      </w:r>
      <w:r>
        <w:t>F</w:t>
      </w:r>
      <w:r w:rsidR="006A2C02">
        <w:t>ollowing the filing of its EM&amp;V Annual Plan</w:t>
      </w:r>
      <w:r w:rsidR="00E33DCC">
        <w:t xml:space="preserve">, the Company issued a </w:t>
      </w:r>
      <w:r w:rsidR="00293E5D">
        <w:t>comprehensive</w:t>
      </w:r>
      <w:r w:rsidR="006A2C02">
        <w:t xml:space="preserve"> </w:t>
      </w:r>
      <w:r w:rsidR="00E33DCC">
        <w:t>Request for Proposal (RFP) for EM&amp;V services for its 2010-2011 electric and natural gas DSM portfolio.  Over twenty prospective bidders participated in a conference call</w:t>
      </w:r>
      <w:r w:rsidR="005906BF">
        <w:t>,</w:t>
      </w:r>
      <w:r w:rsidR="00E33DCC">
        <w:t xml:space="preserve"> with five bidders </w:t>
      </w:r>
      <w:r w:rsidR="005906BF">
        <w:t xml:space="preserve">actually </w:t>
      </w:r>
      <w:r w:rsidR="00F821BD">
        <w:t xml:space="preserve">submitting </w:t>
      </w:r>
      <w:r w:rsidR="006A0DC2">
        <w:t>proposals</w:t>
      </w:r>
      <w:r w:rsidR="00F821BD">
        <w:t xml:space="preserve"> by the December 27, 2010 due date.</w:t>
      </w:r>
      <w:r w:rsidR="00A74056">
        <w:t xml:space="preserve">  The Company conducted detailed interviews by phone with two bidders being selected for second interviews on-site.  The Cadmus Group (Cadmus) was the awarded the independent EM&amp;V contract based on its detailed evaluation approach following best practices</w:t>
      </w:r>
      <w:r w:rsidR="00DD1E49">
        <w:t>,</w:t>
      </w:r>
      <w:r w:rsidR="00A74056">
        <w:t xml:space="preserve"> coupl</w:t>
      </w:r>
      <w:r w:rsidR="006A0DC2">
        <w:t>ed</w:t>
      </w:r>
      <w:r w:rsidR="00A74056">
        <w:t xml:space="preserve"> with its strong regional and national reputation.  In addition, Cadmus had a sizeable and diverse complement </w:t>
      </w:r>
      <w:r w:rsidR="00DD1E49">
        <w:t xml:space="preserve">of employees </w:t>
      </w:r>
      <w:r w:rsidR="00A74056">
        <w:t xml:space="preserve">which made it possible for multiple teams to be immediately </w:t>
      </w:r>
      <w:r w:rsidR="006A0DC2">
        <w:t>deployed</w:t>
      </w:r>
      <w:r w:rsidR="00A74056">
        <w:t xml:space="preserve"> </w:t>
      </w:r>
      <w:r w:rsidR="00154979">
        <w:t>on</w:t>
      </w:r>
      <w:r w:rsidR="00A74056">
        <w:t xml:space="preserve"> various tasks</w:t>
      </w:r>
      <w:r w:rsidR="00F24378">
        <w:t>,</w:t>
      </w:r>
      <w:r w:rsidR="00A74056">
        <w:t xml:space="preserve"> such as the TRM review and natural gas measurement and verification</w:t>
      </w:r>
      <w:r w:rsidR="00F24378">
        <w:t>,</w:t>
      </w:r>
      <w:r w:rsidR="00A74056">
        <w:t xml:space="preserve"> in order to meet regulatory deadlines. </w:t>
      </w:r>
    </w:p>
    <w:p w:rsidR="00E856D6" w:rsidRPr="00B35A29" w:rsidRDefault="00E856D6" w:rsidP="00E856D6">
      <w:pPr>
        <w:spacing w:line="480" w:lineRule="auto"/>
        <w:ind w:firstLine="720"/>
        <w:contextualSpacing/>
        <w:jc w:val="both"/>
        <w:rPr>
          <w:b/>
        </w:rPr>
      </w:pPr>
      <w:r w:rsidRPr="00916C0B">
        <w:rPr>
          <w:b/>
        </w:rPr>
        <w:t>Q.</w:t>
      </w:r>
      <w:r w:rsidRPr="00916C0B">
        <w:rPr>
          <w:b/>
        </w:rPr>
        <w:tab/>
      </w:r>
      <w:r>
        <w:rPr>
          <w:b/>
        </w:rPr>
        <w:t xml:space="preserve">Your testimony notes </w:t>
      </w:r>
      <w:r w:rsidR="00F24378">
        <w:rPr>
          <w:b/>
        </w:rPr>
        <w:t>“</w:t>
      </w:r>
      <w:r>
        <w:rPr>
          <w:b/>
        </w:rPr>
        <w:t>transparency along with numerous opportunities for stakeholders to review EM&amp;V activities and processes.</w:t>
      </w:r>
      <w:r w:rsidR="00F24378">
        <w:rPr>
          <w:b/>
        </w:rPr>
        <w:t>”</w:t>
      </w:r>
      <w:r>
        <w:rPr>
          <w:b/>
        </w:rPr>
        <w:t xml:space="preserve">  Can you please elaborate on this transparency for stakeholders</w:t>
      </w:r>
      <w:r w:rsidR="0081187E">
        <w:rPr>
          <w:b/>
        </w:rPr>
        <w:t>?</w:t>
      </w:r>
    </w:p>
    <w:p w:rsidR="008D4F43" w:rsidRDefault="00E856D6" w:rsidP="00E856D6">
      <w:pPr>
        <w:spacing w:line="480" w:lineRule="auto"/>
        <w:ind w:firstLine="720"/>
        <w:jc w:val="both"/>
      </w:pPr>
      <w:r>
        <w:t>A.</w:t>
      </w:r>
      <w:r>
        <w:tab/>
      </w:r>
      <w:r w:rsidRPr="00E5223B">
        <w:t xml:space="preserve"> </w:t>
      </w:r>
      <w:r>
        <w:t xml:space="preserve">Yes.  During this </w:t>
      </w:r>
      <w:r w:rsidR="00FD3176">
        <w:t>review process</w:t>
      </w:r>
      <w:r>
        <w:t>, the Company met with its Advisory Group, comprised of stakeholders</w:t>
      </w:r>
      <w:r w:rsidR="00B1334D">
        <w:t xml:space="preserve"> from ten different organizations</w:t>
      </w:r>
      <w:r>
        <w:t xml:space="preserve">, through in person </w:t>
      </w:r>
      <w:r>
        <w:lastRenderedPageBreak/>
        <w:t>meetings, webinars, conference calls, newsletter</w:t>
      </w:r>
      <w:r w:rsidR="00FD3176">
        <w:t>s</w:t>
      </w:r>
      <w:r>
        <w:t xml:space="preserve"> and email updates.  At Advisory Group meeting</w:t>
      </w:r>
      <w:r w:rsidR="00B1334D">
        <w:t>s</w:t>
      </w:r>
      <w:r>
        <w:t>, stakeholders were provided updates by the independent evaluators on the progress of EM&amp;V activities.  Stakeholders were also given opportunities to comment on work plan</w:t>
      </w:r>
      <w:r w:rsidR="00AC7262">
        <w:t>s</w:t>
      </w:r>
      <w:r>
        <w:t xml:space="preserve"> for each year as well as other components of the evaluation (e.g. whether or not to </w:t>
      </w:r>
      <w:r w:rsidR="00293E5D">
        <w:t>perform a detailed impact evaluation</w:t>
      </w:r>
      <w:r>
        <w:t xml:space="preserve"> on residential window replacement</w:t>
      </w:r>
      <w:r w:rsidR="00293E5D">
        <w:t xml:space="preserve"> program scheduled for termination</w:t>
      </w:r>
      <w:r w:rsidR="00FD3176">
        <w:t>)</w:t>
      </w:r>
      <w:r>
        <w:t xml:space="preserve">.  </w:t>
      </w:r>
    </w:p>
    <w:p w:rsidR="00E856D6" w:rsidRDefault="00257FD3" w:rsidP="00E856D6">
      <w:pPr>
        <w:spacing w:line="480" w:lineRule="auto"/>
        <w:ind w:firstLine="720"/>
        <w:jc w:val="both"/>
      </w:pPr>
      <w:r>
        <w:t>Please refer to Mr. Folsom’s Exhibit No.__</w:t>
      </w:r>
      <w:proofErr w:type="gramStart"/>
      <w:r>
        <w:t>_(</w:t>
      </w:r>
      <w:proofErr w:type="gramEnd"/>
      <w:r>
        <w:t>BWF-3) f</w:t>
      </w:r>
      <w:r w:rsidR="00FD3176">
        <w:t xml:space="preserve">or additional information regarding the </w:t>
      </w:r>
      <w:r w:rsidR="009C78A5">
        <w:t xml:space="preserve">level of communication </w:t>
      </w:r>
      <w:r>
        <w:t>and involvement of stakeholders.</w:t>
      </w:r>
      <w:r w:rsidR="009C78A5">
        <w:t xml:space="preserve">  </w:t>
      </w:r>
    </w:p>
    <w:p w:rsidR="00DE2186" w:rsidRDefault="00905F96" w:rsidP="00674798">
      <w:pPr>
        <w:spacing w:line="480" w:lineRule="auto"/>
        <w:contextualSpacing/>
        <w:jc w:val="both"/>
        <w:rPr>
          <w:b/>
        </w:rPr>
      </w:pPr>
      <w:r w:rsidRPr="00E35005">
        <w:rPr>
          <w:b/>
        </w:rPr>
        <w:tab/>
      </w:r>
      <w:r w:rsidR="00E01F09" w:rsidRPr="00DE2186">
        <w:rPr>
          <w:b/>
        </w:rPr>
        <w:t>Q.</w:t>
      </w:r>
      <w:r w:rsidR="00E01F09" w:rsidRPr="00DE2186">
        <w:rPr>
          <w:b/>
        </w:rPr>
        <w:tab/>
      </w:r>
      <w:r w:rsidR="00154979">
        <w:rPr>
          <w:b/>
        </w:rPr>
        <w:t>Please describe the evaluation activities that The Cadmus Group was hired to conduct.</w:t>
      </w:r>
      <w:r w:rsidR="00DE2186">
        <w:rPr>
          <w:b/>
        </w:rPr>
        <w:t xml:space="preserve">  </w:t>
      </w:r>
    </w:p>
    <w:p w:rsidR="00E856D6" w:rsidRDefault="00DE2186" w:rsidP="00CC3151">
      <w:pPr>
        <w:pStyle w:val="BodyText2"/>
        <w:ind w:firstLine="720"/>
      </w:pPr>
      <w:r>
        <w:t>A.</w:t>
      </w:r>
      <w:r>
        <w:tab/>
      </w:r>
      <w:r w:rsidR="009C23B5">
        <w:t xml:space="preserve">Cadmus was hired to conduct </w:t>
      </w:r>
      <w:r w:rsidR="00655930">
        <w:t xml:space="preserve">independent </w:t>
      </w:r>
      <w:r w:rsidR="009C23B5">
        <w:t>process and impact evaluation</w:t>
      </w:r>
      <w:r w:rsidR="00F24378">
        <w:t>s</w:t>
      </w:r>
      <w:r w:rsidR="009C23B5">
        <w:t xml:space="preserve"> on calendar year</w:t>
      </w:r>
      <w:r w:rsidR="00674798">
        <w:t>s</w:t>
      </w:r>
      <w:r w:rsidR="009C23B5">
        <w:t xml:space="preserve"> 2010 and 2011 electric </w:t>
      </w:r>
      <w:r w:rsidR="00655930">
        <w:t xml:space="preserve">and natural gas DSM portfolio, evaluate the deemed savings and underlying assumptions of the Company’s TRM, </w:t>
      </w:r>
      <w:r w:rsidR="00F24378">
        <w:t>and</w:t>
      </w:r>
      <w:r w:rsidR="00674798">
        <w:t xml:space="preserve"> provide a high-level assessment of the Company’s EM&amp;V resources</w:t>
      </w:r>
      <w:r w:rsidR="00257FD3">
        <w:t>,</w:t>
      </w:r>
      <w:r w:rsidR="00674798">
        <w:t xml:space="preserve"> and provide a gap analysis of potential areas that may need strengthening</w:t>
      </w:r>
      <w:r w:rsidR="00441A8F">
        <w:t xml:space="preserve"> through increased evaluation in future years</w:t>
      </w:r>
      <w:r w:rsidR="00674798">
        <w:t>.</w:t>
      </w:r>
    </w:p>
    <w:p w:rsidR="00E8471B" w:rsidRDefault="00E856D6" w:rsidP="00CC3151">
      <w:pPr>
        <w:pStyle w:val="BodyText2"/>
        <w:ind w:firstLine="720"/>
      </w:pPr>
      <w:r>
        <w:t>Cadmus’ evaluation efforts included billing analysis</w:t>
      </w:r>
      <w:r w:rsidR="00257FD3">
        <w:t>,</w:t>
      </w:r>
      <w:r>
        <w:t xml:space="preserve"> as appropriate</w:t>
      </w:r>
      <w:r w:rsidR="00257FD3">
        <w:t>,</w:t>
      </w:r>
      <w:r w:rsidR="00293E5D">
        <w:t xml:space="preserve"> and </w:t>
      </w:r>
      <w:r>
        <w:t xml:space="preserve">actual </w:t>
      </w:r>
      <w:r w:rsidR="00F24378">
        <w:t xml:space="preserve">field </w:t>
      </w:r>
      <w:r>
        <w:t>measurement</w:t>
      </w:r>
      <w:r w:rsidR="00257FD3">
        <w:t>,</w:t>
      </w:r>
      <w:r>
        <w:t xml:space="preserve"> </w:t>
      </w:r>
      <w:r w:rsidR="00293E5D">
        <w:t>where necessary and feasible</w:t>
      </w:r>
      <w:r>
        <w:t>.  In addition, the team provided process evaluation on the portfolio and market evaluation o</w:t>
      </w:r>
      <w:r w:rsidR="00293E5D">
        <w:t>f</w:t>
      </w:r>
      <w:r>
        <w:t xml:space="preserve"> some key programs.  </w:t>
      </w:r>
      <w:r w:rsidR="00674798">
        <w:t xml:space="preserve"> </w:t>
      </w:r>
      <w:r w:rsidR="00CC7863">
        <w:t xml:space="preserve"> </w:t>
      </w:r>
    </w:p>
    <w:p w:rsidR="00441A8F" w:rsidRDefault="00E01F09" w:rsidP="00441A8F">
      <w:pPr>
        <w:spacing w:line="480" w:lineRule="auto"/>
        <w:contextualSpacing/>
        <w:jc w:val="both"/>
        <w:rPr>
          <w:b/>
        </w:rPr>
      </w:pPr>
      <w:r>
        <w:rPr>
          <w:b/>
        </w:rPr>
        <w:tab/>
      </w:r>
      <w:r w:rsidR="00441A8F" w:rsidRPr="00DE2186">
        <w:rPr>
          <w:b/>
        </w:rPr>
        <w:t>Q.</w:t>
      </w:r>
      <w:r w:rsidR="00441A8F" w:rsidRPr="00DE2186">
        <w:rPr>
          <w:b/>
        </w:rPr>
        <w:tab/>
      </w:r>
      <w:r w:rsidR="00441A8F">
        <w:rPr>
          <w:b/>
        </w:rPr>
        <w:t xml:space="preserve">Can you describe additional EM&amp;V activities performed during this time frame? </w:t>
      </w:r>
    </w:p>
    <w:p w:rsidR="00441A8F" w:rsidRDefault="00441A8F" w:rsidP="00441A8F">
      <w:pPr>
        <w:pStyle w:val="BodyText2"/>
        <w:ind w:firstLine="720"/>
      </w:pPr>
      <w:r>
        <w:lastRenderedPageBreak/>
        <w:t>A.</w:t>
      </w:r>
      <w:r>
        <w:tab/>
        <w:t>Yes.  In addition to the work performed by Cadmus, the Company also retained Global Energy Partners to perform an independent electric and natural gas Conservation Potential Assessment (CPA)</w:t>
      </w:r>
      <w:r w:rsidR="00F30A41">
        <w:t xml:space="preserve"> as requested by Washington Utilities </w:t>
      </w:r>
      <w:r w:rsidR="00257FD3">
        <w:t>and Transportation Commission (</w:t>
      </w:r>
      <w:r w:rsidR="00490012">
        <w:t>U</w:t>
      </w:r>
      <w:r w:rsidR="00F30A41">
        <w:t>TC) staff</w:t>
      </w:r>
      <w:r w:rsidR="00D5187C">
        <w:t>.  In addition, the Company</w:t>
      </w:r>
      <w:r>
        <w:t xml:space="preserve"> participated in the Northwest Energy Efficiency Alliance’s (NEEA) Residential Building Stock Assessment (RBSA).  The natural gas CPA and the RBSA are still in pro</w:t>
      </w:r>
      <w:r w:rsidR="00415E80">
        <w:t>gre</w:t>
      </w:r>
      <w:r>
        <w:t>ss.  Moss</w:t>
      </w:r>
      <w:r w:rsidR="00F30A41">
        <w:t xml:space="preserve"> Adams</w:t>
      </w:r>
      <w:r w:rsidR="00DD1E49">
        <w:t>, an accounting firm,</w:t>
      </w:r>
      <w:r w:rsidR="00F30A41">
        <w:t xml:space="preserve"> conducted a portfolio</w:t>
      </w:r>
      <w:r w:rsidR="00D5187C">
        <w:t>-</w:t>
      </w:r>
      <w:r w:rsidR="00F30A41">
        <w:t>level evaluation o</w:t>
      </w:r>
      <w:r w:rsidR="00D5187C">
        <w:t>f</w:t>
      </w:r>
      <w:r w:rsidR="00F30A41">
        <w:t xml:space="preserve"> data management</w:t>
      </w:r>
      <w:r w:rsidR="00D5187C">
        <w:t xml:space="preserve"> practices</w:t>
      </w:r>
      <w:r w:rsidR="00490012">
        <w:t xml:space="preserve"> </w:t>
      </w:r>
      <w:r w:rsidR="00F30A41">
        <w:t>in 2010</w:t>
      </w:r>
      <w:r w:rsidR="00490012">
        <w:t xml:space="preserve">, </w:t>
      </w:r>
      <w:proofErr w:type="spellStart"/>
      <w:r w:rsidR="00415E80">
        <w:t>Ecotope</w:t>
      </w:r>
      <w:proofErr w:type="spellEnd"/>
      <w:r w:rsidR="00415E80">
        <w:t xml:space="preserve"> </w:t>
      </w:r>
      <w:r w:rsidR="00490012">
        <w:t>executed</w:t>
      </w:r>
      <w:r w:rsidR="00415E80">
        <w:t xml:space="preserve"> impact evaluation</w:t>
      </w:r>
      <w:r w:rsidR="00490012">
        <w:t>s</w:t>
      </w:r>
      <w:r w:rsidR="00415E80">
        <w:t xml:space="preserve"> on specific</w:t>
      </w:r>
      <w:r w:rsidR="00FC20E7">
        <w:t xml:space="preserve"> residential and low income</w:t>
      </w:r>
      <w:r w:rsidR="00415E80">
        <w:t xml:space="preserve"> measures</w:t>
      </w:r>
      <w:r w:rsidR="00DE2F6E">
        <w:t>,</w:t>
      </w:r>
      <w:r w:rsidR="00490012">
        <w:t xml:space="preserve"> and the Company completed a comprehensive review of its rebate processing all</w:t>
      </w:r>
      <w:r w:rsidR="00415E80">
        <w:t xml:space="preserve"> </w:t>
      </w:r>
      <w:r w:rsidR="00F30A41">
        <w:t xml:space="preserve">in response to </w:t>
      </w:r>
      <w:r w:rsidR="00490012">
        <w:t xml:space="preserve">settlement </w:t>
      </w:r>
      <w:r w:rsidR="00F30A41">
        <w:t xml:space="preserve">stipulations from </w:t>
      </w:r>
      <w:r w:rsidR="00415E80">
        <w:t>the 2009 General Rate Case (GRC).</w:t>
      </w:r>
      <w:r w:rsidR="00257FD3">
        <w:t xml:space="preserve"> </w:t>
      </w:r>
      <w:r w:rsidR="00D43F71">
        <w:t>The results of these evaluations are provided in the Company’s workpapers included in this filing.</w:t>
      </w:r>
    </w:p>
    <w:p w:rsidR="00FC20E7" w:rsidRDefault="00382498" w:rsidP="00441A8F">
      <w:pPr>
        <w:pStyle w:val="BodyText2"/>
        <w:ind w:firstLine="720"/>
      </w:pPr>
      <w:r>
        <w:t>Between the time of the development of the 2010 Annual</w:t>
      </w:r>
      <w:r w:rsidR="00DF6ADB">
        <w:t xml:space="preserve"> EM&amp;V</w:t>
      </w:r>
      <w:r>
        <w:t xml:space="preserve"> Plan and the issuance of the RFP for Evaluation, Measurement and Verification on the Company’s DSM programs, it was </w:t>
      </w:r>
      <w:r w:rsidR="00293E5D">
        <w:t>deemed to be preferable to complete a comprehensive review of all programs</w:t>
      </w:r>
      <w:r w:rsidR="00DD1E49">
        <w:t>,</w:t>
      </w:r>
      <w:r w:rsidR="00293E5D">
        <w:t xml:space="preserve"> rather than schedule individual programs for review every three years.  </w:t>
      </w:r>
      <w:r>
        <w:t xml:space="preserve">  This entailed </w:t>
      </w:r>
      <w:r w:rsidR="00293E5D">
        <w:t>an increased number of site visits and metering for larger programs but</w:t>
      </w:r>
      <w:r>
        <w:t xml:space="preserve"> allowed for evaluation of all programs regardless of size.  Due to this change in approach, some smaller internal evaluations were not pursued</w:t>
      </w:r>
      <w:r w:rsidR="00DD1E49">
        <w:t>,</w:t>
      </w:r>
      <w:r>
        <w:t xml:space="preserve"> since Cadmus would be evaluating them within the scope of </w:t>
      </w:r>
      <w:r w:rsidR="00293E5D">
        <w:t>the external third-party evaluation</w:t>
      </w:r>
      <w:r>
        <w:t>.</w:t>
      </w:r>
    </w:p>
    <w:p w:rsidR="00490012" w:rsidRPr="00C408E4" w:rsidRDefault="00490012" w:rsidP="00490012">
      <w:pPr>
        <w:pStyle w:val="BodyText2"/>
        <w:ind w:firstLine="720"/>
        <w:rPr>
          <w:b/>
        </w:rPr>
      </w:pPr>
      <w:r w:rsidRPr="00C408E4">
        <w:rPr>
          <w:b/>
        </w:rPr>
        <w:t>Q.</w:t>
      </w:r>
      <w:r w:rsidRPr="00C408E4">
        <w:rPr>
          <w:b/>
        </w:rPr>
        <w:tab/>
      </w:r>
      <w:r>
        <w:rPr>
          <w:b/>
        </w:rPr>
        <w:t xml:space="preserve">For residential fuel conversions, does the Company report </w:t>
      </w:r>
      <w:r w:rsidR="00293E5D">
        <w:rPr>
          <w:b/>
        </w:rPr>
        <w:t xml:space="preserve">(cross-fuel) </w:t>
      </w:r>
      <w:r>
        <w:rPr>
          <w:b/>
        </w:rPr>
        <w:t>interactive effects</w:t>
      </w:r>
      <w:r w:rsidR="00DD1E49">
        <w:rPr>
          <w:b/>
        </w:rPr>
        <w:t>,</w:t>
      </w:r>
      <w:r>
        <w:rPr>
          <w:b/>
        </w:rPr>
        <w:t xml:space="preserve"> as it does for other energy efficiency measures</w:t>
      </w:r>
      <w:r w:rsidRPr="00C408E4">
        <w:rPr>
          <w:b/>
        </w:rPr>
        <w:t>?</w:t>
      </w:r>
    </w:p>
    <w:p w:rsidR="00490012" w:rsidRPr="002B2924" w:rsidRDefault="00490012" w:rsidP="00490012">
      <w:pPr>
        <w:pStyle w:val="BodyText2"/>
        <w:ind w:firstLine="720"/>
      </w:pPr>
      <w:r>
        <w:lastRenderedPageBreak/>
        <w:t>A.</w:t>
      </w:r>
      <w:r>
        <w:tab/>
      </w:r>
      <w:r w:rsidRPr="009C464E">
        <w:t>Yes.</w:t>
      </w:r>
      <w:r>
        <w:t xml:space="preserve">  Cadmus’ review of the Company’s TRM revealed that</w:t>
      </w:r>
      <w:r w:rsidR="00293E5D">
        <w:t xml:space="preserve"> cross-fuel</w:t>
      </w:r>
      <w:r>
        <w:t xml:space="preserve"> interactive effects were not being reported on residential fuel conversions as they had been for non-residential.  For this biennium, the Company has included </w:t>
      </w:r>
      <w:r w:rsidR="00293E5D">
        <w:t>cross-</w:t>
      </w:r>
      <w:r w:rsidR="00065760">
        <w:t>fuel</w:t>
      </w:r>
      <w:r w:rsidR="00293E5D">
        <w:t xml:space="preserve"> </w:t>
      </w:r>
      <w:r>
        <w:t xml:space="preserve">interactive effects for this residential measure as well as included its impact in cost-effectiveness.  </w:t>
      </w:r>
      <w:r w:rsidRPr="009C464E">
        <w:rPr>
          <w:b/>
        </w:rPr>
        <w:tab/>
      </w:r>
    </w:p>
    <w:p w:rsidR="00CE2103" w:rsidRPr="00C408E4" w:rsidRDefault="00CE2103" w:rsidP="00CE2103">
      <w:pPr>
        <w:pStyle w:val="BodyText2"/>
        <w:ind w:firstLine="720"/>
        <w:rPr>
          <w:b/>
        </w:rPr>
      </w:pPr>
      <w:r w:rsidRPr="00C408E4">
        <w:rPr>
          <w:b/>
        </w:rPr>
        <w:t>Q.</w:t>
      </w:r>
      <w:r w:rsidRPr="00C408E4">
        <w:rPr>
          <w:b/>
        </w:rPr>
        <w:tab/>
      </w:r>
      <w:r>
        <w:rPr>
          <w:b/>
        </w:rPr>
        <w:t>What is the Company’s policy when a project from a previous year is discovered to not have been claimed</w:t>
      </w:r>
      <w:r w:rsidRPr="00C408E4">
        <w:rPr>
          <w:b/>
        </w:rPr>
        <w:t>?</w:t>
      </w:r>
    </w:p>
    <w:p w:rsidR="00CE2103" w:rsidRPr="00CE2103" w:rsidRDefault="00CE2103" w:rsidP="00CE2103">
      <w:pPr>
        <w:pStyle w:val="BodyText2"/>
        <w:ind w:firstLine="720"/>
      </w:pPr>
      <w:r>
        <w:t>A.</w:t>
      </w:r>
      <w:r>
        <w:tab/>
        <w:t>Occasionally</w:t>
      </w:r>
      <w:r w:rsidRPr="00CE2103">
        <w:t>, a project</w:t>
      </w:r>
      <w:r>
        <w:t xml:space="preserve"> is discovered that was no</w:t>
      </w:r>
      <w:r w:rsidR="00D51ACD">
        <w:t xml:space="preserve">t marked “completed” in the tracking database and consequently savings were not claimed.  The Company’s policy has always been to include these in the annual report and cost-effectiveness of the year discovered.  This is a clean approach rather than having to “reopen” and “restate” previous years’ annual reports.  In addition, due to the size of the Company’s portfolio, when these projects have been discovered they have not materially impacted cost-effectiveness or savings claims.  Finally, these anomalies are noted and have been provided to the evaluation team.  </w:t>
      </w:r>
    </w:p>
    <w:p w:rsidR="00BA001D" w:rsidRPr="00C408E4" w:rsidRDefault="00C408E4" w:rsidP="004B465D">
      <w:pPr>
        <w:pStyle w:val="BodyText2"/>
        <w:ind w:firstLine="720"/>
        <w:rPr>
          <w:b/>
        </w:rPr>
      </w:pPr>
      <w:r w:rsidRPr="00C408E4">
        <w:rPr>
          <w:b/>
        </w:rPr>
        <w:t>Q.</w:t>
      </w:r>
      <w:r w:rsidRPr="00C408E4">
        <w:rPr>
          <w:b/>
        </w:rPr>
        <w:tab/>
      </w:r>
      <w:r w:rsidR="00BA001D" w:rsidRPr="00C408E4">
        <w:rPr>
          <w:b/>
        </w:rPr>
        <w:t>Does that complete your pre-filed direct testimony?</w:t>
      </w:r>
    </w:p>
    <w:p w:rsidR="002B2924" w:rsidRPr="002B2924" w:rsidRDefault="00C408E4" w:rsidP="004B465D">
      <w:pPr>
        <w:pStyle w:val="BodyText2"/>
        <w:ind w:firstLine="720"/>
      </w:pPr>
      <w:r>
        <w:t>A.</w:t>
      </w:r>
      <w:r>
        <w:tab/>
      </w:r>
      <w:r w:rsidR="00BA001D" w:rsidRPr="009C464E">
        <w:t>Yes, it does.</w:t>
      </w:r>
      <w:r w:rsidR="00BA001D" w:rsidRPr="009C464E">
        <w:rPr>
          <w:b/>
        </w:rPr>
        <w:tab/>
      </w:r>
    </w:p>
    <w:sectPr w:rsidR="002B2924" w:rsidRPr="002B2924" w:rsidSect="007D6C6B">
      <w:pgSz w:w="12240" w:h="15840" w:code="1"/>
      <w:pgMar w:top="1440" w:right="1008" w:bottom="2160" w:left="2736" w:header="720" w:footer="36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9C2" w:rsidRDefault="009879C2">
      <w:r>
        <w:separator/>
      </w:r>
    </w:p>
  </w:endnote>
  <w:endnote w:type="continuationSeparator" w:id="0">
    <w:p w:rsidR="009879C2" w:rsidRDefault="009879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9C2" w:rsidRPr="006A627A" w:rsidRDefault="009879C2" w:rsidP="00875820">
    <w:pPr>
      <w:pStyle w:val="Footer"/>
      <w:tabs>
        <w:tab w:val="clear" w:pos="4320"/>
        <w:tab w:val="clear" w:pos="8640"/>
        <w:tab w:val="left" w:pos="180"/>
        <w:tab w:val="right" w:pos="8460"/>
      </w:tabs>
    </w:pPr>
    <w:r w:rsidRPr="006A627A">
      <w:t>Direct Testimony of Lori B. Hermanson</w:t>
    </w:r>
    <w:r w:rsidRPr="006A627A">
      <w:tab/>
    </w:r>
  </w:p>
  <w:p w:rsidR="009879C2" w:rsidRPr="006A627A" w:rsidRDefault="009879C2">
    <w:pPr>
      <w:pStyle w:val="Footer"/>
      <w:tabs>
        <w:tab w:val="clear" w:pos="4320"/>
        <w:tab w:val="clear" w:pos="8640"/>
        <w:tab w:val="left" w:pos="180"/>
        <w:tab w:val="right" w:pos="9360"/>
      </w:tabs>
      <w:rPr>
        <w:lang w:val="fr-FR"/>
      </w:rPr>
    </w:pPr>
    <w:r w:rsidRPr="006A627A">
      <w:rPr>
        <w:lang w:val="fr-FR"/>
      </w:rPr>
      <w:t>Avista Corporation</w:t>
    </w:r>
  </w:p>
  <w:p w:rsidR="009879C2" w:rsidRPr="006A627A" w:rsidRDefault="006A627A" w:rsidP="00875820">
    <w:pPr>
      <w:pStyle w:val="Footer"/>
      <w:tabs>
        <w:tab w:val="clear" w:pos="4320"/>
        <w:tab w:val="clear" w:pos="8640"/>
        <w:tab w:val="left" w:pos="180"/>
        <w:tab w:val="right" w:pos="8280"/>
      </w:tabs>
      <w:rPr>
        <w:rStyle w:val="PageNumber"/>
        <w:rFonts w:ascii="Palatino Linotype" w:hAnsi="Palatino Linotype" w:cs="Palatino Linotype"/>
        <w:lang w:val="fr-FR"/>
      </w:rPr>
    </w:pPr>
    <w:r w:rsidRPr="006A627A">
      <w:rPr>
        <w:lang w:val="fr-FR"/>
      </w:rPr>
      <w:t>Docket No</w:t>
    </w:r>
    <w:r w:rsidR="009879C2" w:rsidRPr="006A627A">
      <w:rPr>
        <w:lang w:val="fr-FR"/>
      </w:rPr>
      <w:t>. UE-100176</w:t>
    </w:r>
    <w:r w:rsidR="009879C2" w:rsidRPr="006A627A">
      <w:rPr>
        <w:lang w:val="fr-FR"/>
      </w:rPr>
      <w:tab/>
      <w:t>Page</w:t>
    </w:r>
    <w:r w:rsidR="009879C2" w:rsidRPr="006A627A">
      <w:rPr>
        <w:rFonts w:ascii="Palatino Linotype" w:hAnsi="Palatino Linotype" w:cs="Palatino Linotype"/>
        <w:lang w:val="fr-FR"/>
      </w:rPr>
      <w:t xml:space="preserve"> </w:t>
    </w:r>
    <w:r w:rsidR="009879C2" w:rsidRPr="006A627A">
      <w:rPr>
        <w:rStyle w:val="PageNumber"/>
        <w:rFonts w:ascii="Palatino Linotype" w:hAnsi="Palatino Linotype" w:cs="Palatino Linotype"/>
      </w:rPr>
      <w:fldChar w:fldCharType="begin"/>
    </w:r>
    <w:r w:rsidR="009879C2" w:rsidRPr="006A627A">
      <w:rPr>
        <w:rStyle w:val="PageNumber"/>
        <w:rFonts w:ascii="Palatino Linotype" w:hAnsi="Palatino Linotype" w:cs="Palatino Linotype"/>
        <w:lang w:val="fr-FR"/>
      </w:rPr>
      <w:instrText xml:space="preserve"> PAGE </w:instrText>
    </w:r>
    <w:r w:rsidR="009879C2" w:rsidRPr="006A627A">
      <w:rPr>
        <w:rStyle w:val="PageNumber"/>
        <w:rFonts w:ascii="Palatino Linotype" w:hAnsi="Palatino Linotype" w:cs="Palatino Linotype"/>
      </w:rPr>
      <w:fldChar w:fldCharType="separate"/>
    </w:r>
    <w:r>
      <w:rPr>
        <w:rStyle w:val="PageNumber"/>
        <w:rFonts w:ascii="Palatino Linotype" w:hAnsi="Palatino Linotype" w:cs="Palatino Linotype"/>
        <w:noProof/>
        <w:lang w:val="fr-FR"/>
      </w:rPr>
      <w:t>3</w:t>
    </w:r>
    <w:r w:rsidR="009879C2" w:rsidRPr="006A627A">
      <w:rPr>
        <w:rStyle w:val="PageNumber"/>
        <w:rFonts w:ascii="Palatino Linotype" w:hAnsi="Palatino Linotype" w:cs="Palatino Linotype"/>
      </w:rPr>
      <w:fldChar w:fldCharType="end"/>
    </w:r>
  </w:p>
  <w:p w:rsidR="009879C2" w:rsidRDefault="009879C2">
    <w:pPr>
      <w:pStyle w:val="Footer"/>
      <w:tabs>
        <w:tab w:val="clear" w:pos="4320"/>
        <w:tab w:val="clear" w:pos="8640"/>
        <w:tab w:val="left" w:pos="180"/>
        <w:tab w:val="right" w:pos="9360"/>
      </w:tabs>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9C2" w:rsidRDefault="009879C2">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9C2" w:rsidRDefault="009879C2">
      <w:r>
        <w:separator/>
      </w:r>
    </w:p>
  </w:footnote>
  <w:footnote w:type="continuationSeparator" w:id="0">
    <w:p w:rsidR="009879C2" w:rsidRDefault="009879C2">
      <w:r>
        <w:continuationSeparator/>
      </w:r>
    </w:p>
  </w:footnote>
  <w:footnote w:id="1">
    <w:p w:rsidR="009879C2" w:rsidRDefault="009879C2">
      <w:pPr>
        <w:pStyle w:val="FootnoteText"/>
      </w:pPr>
      <w:r>
        <w:rPr>
          <w:rStyle w:val="FootnoteReference"/>
        </w:rPr>
        <w:footnoteRef/>
      </w:r>
      <w:r>
        <w:t xml:space="preserve"> The 2010 Annual Report, filed in Docket No. UE-100176 in December 2010 is provided as part of the Company’s workpapers.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9C2" w:rsidRDefault="009879C2">
    <w:pPr>
      <w:pStyle w:val="Header"/>
      <w:jc w:val="right"/>
    </w:pPr>
    <w:r>
      <w:t>Exhibit No. __</w:t>
    </w:r>
    <w:proofErr w:type="gramStart"/>
    <w:r>
      <w:t>_(</w:t>
    </w:r>
    <w:proofErr w:type="gramEnd"/>
    <w:r>
      <w:t>LBH-1T)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9C2" w:rsidRDefault="009879C2">
    <w:pPr>
      <w:pStyle w:val="Header"/>
    </w:pPr>
    <w:r>
      <w:tab/>
    </w:r>
    <w:r>
      <w:tab/>
      <w:t>Exhibit No. __</w:t>
    </w:r>
    <w:proofErr w:type="gramStart"/>
    <w:r>
      <w:t>_(</w:t>
    </w:r>
    <w:proofErr w:type="gramEnd"/>
    <w:r>
      <w:t>LBH-1T)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37A5"/>
    <w:multiLevelType w:val="hybridMultilevel"/>
    <w:tmpl w:val="38E628D2"/>
    <w:lvl w:ilvl="0" w:tplc="26B8D822">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33893"/>
    <w:multiLevelType w:val="hybridMultilevel"/>
    <w:tmpl w:val="FEAA7012"/>
    <w:lvl w:ilvl="0" w:tplc="83AE36A6">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60A2013"/>
    <w:multiLevelType w:val="hybridMultilevel"/>
    <w:tmpl w:val="A4E42B34"/>
    <w:lvl w:ilvl="0" w:tplc="B6BE1442">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31C34"/>
    <w:multiLevelType w:val="hybridMultilevel"/>
    <w:tmpl w:val="4AE6D866"/>
    <w:lvl w:ilvl="0" w:tplc="2BBC3B2C">
      <w:numFmt w:val="bullet"/>
      <w:lvlText w:val=""/>
      <w:lvlJc w:val="left"/>
      <w:pPr>
        <w:tabs>
          <w:tab w:val="num" w:pos="1260"/>
        </w:tabs>
        <w:ind w:left="1260" w:hanging="720"/>
      </w:pPr>
      <w:rPr>
        <w:rFonts w:ascii="Symbol" w:eastAsia="Times New Roman" w:hAnsi="Symbol" w:hint="default"/>
      </w:rPr>
    </w:lvl>
    <w:lvl w:ilvl="1" w:tplc="3626A462">
      <w:start w:val="1"/>
      <w:numFmt w:val="bullet"/>
      <w:lvlText w:val="–"/>
      <w:lvlJc w:val="left"/>
      <w:pPr>
        <w:tabs>
          <w:tab w:val="num" w:pos="1440"/>
        </w:tabs>
        <w:ind w:left="1440" w:hanging="360"/>
      </w:pPr>
      <w:rPr>
        <w:rFonts w:ascii="Times New Roman" w:hAnsi="Times New Roman"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8BF3A8D"/>
    <w:multiLevelType w:val="hybridMultilevel"/>
    <w:tmpl w:val="7C344E4E"/>
    <w:lvl w:ilvl="0" w:tplc="7A905844">
      <w:start w:val="1"/>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251C72"/>
    <w:multiLevelType w:val="hybridMultilevel"/>
    <w:tmpl w:val="012C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7">
    <w:nsid w:val="414C3263"/>
    <w:multiLevelType w:val="hybridMultilevel"/>
    <w:tmpl w:val="9F0E4710"/>
    <w:lvl w:ilvl="0" w:tplc="E38E7660">
      <w:start w:val="17"/>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43862B6F"/>
    <w:multiLevelType w:val="hybridMultilevel"/>
    <w:tmpl w:val="671E83CC"/>
    <w:lvl w:ilvl="0" w:tplc="FE326DE4">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44426492"/>
    <w:multiLevelType w:val="hybridMultilevel"/>
    <w:tmpl w:val="51CC9734"/>
    <w:lvl w:ilvl="0" w:tplc="2BBC3B2C">
      <w:numFmt w:val="bullet"/>
      <w:lvlText w:val=""/>
      <w:lvlJc w:val="left"/>
      <w:pPr>
        <w:tabs>
          <w:tab w:val="num" w:pos="1260"/>
        </w:tabs>
        <w:ind w:left="126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7A12957"/>
    <w:multiLevelType w:val="hybridMultilevel"/>
    <w:tmpl w:val="6DA24ACA"/>
    <w:lvl w:ilvl="0" w:tplc="4744732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7DF706A"/>
    <w:multiLevelType w:val="hybridMultilevel"/>
    <w:tmpl w:val="269484F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7B6CED"/>
    <w:multiLevelType w:val="hybridMultilevel"/>
    <w:tmpl w:val="37204C70"/>
    <w:lvl w:ilvl="0" w:tplc="60BEC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BF5BD5"/>
    <w:multiLevelType w:val="hybridMultilevel"/>
    <w:tmpl w:val="E166C8F0"/>
    <w:lvl w:ilvl="0" w:tplc="B59CC28A">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4BCE6162"/>
    <w:multiLevelType w:val="hybridMultilevel"/>
    <w:tmpl w:val="8A2C2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FE7ACC"/>
    <w:multiLevelType w:val="hybridMultilevel"/>
    <w:tmpl w:val="0448B9AC"/>
    <w:lvl w:ilvl="0" w:tplc="705614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DC79BD"/>
    <w:multiLevelType w:val="hybridMultilevel"/>
    <w:tmpl w:val="3E2A1DC6"/>
    <w:lvl w:ilvl="0" w:tplc="D222FA6E">
      <w:start w:val="1"/>
      <w:numFmt w:val="decimal"/>
      <w:lvlText w:val="%1"/>
      <w:lvlJc w:val="left"/>
      <w:pPr>
        <w:tabs>
          <w:tab w:val="num" w:pos="834"/>
        </w:tabs>
        <w:ind w:left="834" w:hanging="816"/>
      </w:pPr>
      <w:rPr>
        <w:rFonts w:cs="Times New Roman" w:hint="default"/>
        <w:b w:val="0"/>
        <w:bCs w:val="0"/>
        <w:i/>
        <w:iCs/>
        <w:sz w:val="18"/>
        <w:szCs w:val="18"/>
      </w:rPr>
    </w:lvl>
    <w:lvl w:ilvl="1" w:tplc="04090019">
      <w:start w:val="1"/>
      <w:numFmt w:val="lowerLetter"/>
      <w:lvlText w:val="%2."/>
      <w:lvlJc w:val="left"/>
      <w:pPr>
        <w:tabs>
          <w:tab w:val="num" w:pos="1554"/>
        </w:tabs>
        <w:ind w:left="1554" w:hanging="360"/>
      </w:pPr>
      <w:rPr>
        <w:rFonts w:cs="Times New Roman"/>
      </w:rPr>
    </w:lvl>
    <w:lvl w:ilvl="2" w:tplc="0409001B">
      <w:start w:val="1"/>
      <w:numFmt w:val="lowerRoman"/>
      <w:lvlText w:val="%3."/>
      <w:lvlJc w:val="right"/>
      <w:pPr>
        <w:tabs>
          <w:tab w:val="num" w:pos="2274"/>
        </w:tabs>
        <w:ind w:left="2274" w:hanging="180"/>
      </w:pPr>
      <w:rPr>
        <w:rFonts w:cs="Times New Roman"/>
      </w:rPr>
    </w:lvl>
    <w:lvl w:ilvl="3" w:tplc="0409000F">
      <w:start w:val="1"/>
      <w:numFmt w:val="decimal"/>
      <w:lvlText w:val="%4."/>
      <w:lvlJc w:val="left"/>
      <w:pPr>
        <w:tabs>
          <w:tab w:val="num" w:pos="2994"/>
        </w:tabs>
        <w:ind w:left="2994" w:hanging="360"/>
      </w:pPr>
      <w:rPr>
        <w:rFonts w:cs="Times New Roman"/>
      </w:rPr>
    </w:lvl>
    <w:lvl w:ilvl="4" w:tplc="04090019">
      <w:start w:val="1"/>
      <w:numFmt w:val="lowerLetter"/>
      <w:lvlText w:val="%5."/>
      <w:lvlJc w:val="left"/>
      <w:pPr>
        <w:tabs>
          <w:tab w:val="num" w:pos="3714"/>
        </w:tabs>
        <w:ind w:left="3714" w:hanging="360"/>
      </w:pPr>
      <w:rPr>
        <w:rFonts w:cs="Times New Roman"/>
      </w:rPr>
    </w:lvl>
    <w:lvl w:ilvl="5" w:tplc="0409001B">
      <w:start w:val="1"/>
      <w:numFmt w:val="lowerRoman"/>
      <w:lvlText w:val="%6."/>
      <w:lvlJc w:val="right"/>
      <w:pPr>
        <w:tabs>
          <w:tab w:val="num" w:pos="4434"/>
        </w:tabs>
        <w:ind w:left="4434" w:hanging="180"/>
      </w:pPr>
      <w:rPr>
        <w:rFonts w:cs="Times New Roman"/>
      </w:rPr>
    </w:lvl>
    <w:lvl w:ilvl="6" w:tplc="0409000F">
      <w:start w:val="1"/>
      <w:numFmt w:val="decimal"/>
      <w:lvlText w:val="%7."/>
      <w:lvlJc w:val="left"/>
      <w:pPr>
        <w:tabs>
          <w:tab w:val="num" w:pos="5154"/>
        </w:tabs>
        <w:ind w:left="5154" w:hanging="360"/>
      </w:pPr>
      <w:rPr>
        <w:rFonts w:cs="Times New Roman"/>
      </w:rPr>
    </w:lvl>
    <w:lvl w:ilvl="7" w:tplc="04090019">
      <w:start w:val="1"/>
      <w:numFmt w:val="lowerLetter"/>
      <w:lvlText w:val="%8."/>
      <w:lvlJc w:val="left"/>
      <w:pPr>
        <w:tabs>
          <w:tab w:val="num" w:pos="5874"/>
        </w:tabs>
        <w:ind w:left="5874" w:hanging="360"/>
      </w:pPr>
      <w:rPr>
        <w:rFonts w:cs="Times New Roman"/>
      </w:rPr>
    </w:lvl>
    <w:lvl w:ilvl="8" w:tplc="0409001B">
      <w:start w:val="1"/>
      <w:numFmt w:val="lowerRoman"/>
      <w:lvlText w:val="%9."/>
      <w:lvlJc w:val="right"/>
      <w:pPr>
        <w:tabs>
          <w:tab w:val="num" w:pos="6594"/>
        </w:tabs>
        <w:ind w:left="6594" w:hanging="180"/>
      </w:pPr>
      <w:rPr>
        <w:rFonts w:cs="Times New Roman"/>
      </w:rPr>
    </w:lvl>
  </w:abstractNum>
  <w:abstractNum w:abstractNumId="17">
    <w:nsid w:val="59E1631F"/>
    <w:multiLevelType w:val="hybridMultilevel"/>
    <w:tmpl w:val="A096393E"/>
    <w:lvl w:ilvl="0" w:tplc="E91086D8">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60091763"/>
    <w:multiLevelType w:val="hybridMultilevel"/>
    <w:tmpl w:val="B4EEAC0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F925FB"/>
    <w:multiLevelType w:val="hybridMultilevel"/>
    <w:tmpl w:val="007CD8A0"/>
    <w:lvl w:ilvl="0" w:tplc="C854E2EC">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3"/>
  </w:num>
  <w:num w:numId="5">
    <w:abstractNumId w:val="17"/>
  </w:num>
  <w:num w:numId="6">
    <w:abstractNumId w:val="7"/>
  </w:num>
  <w:num w:numId="7">
    <w:abstractNumId w:val="19"/>
  </w:num>
  <w:num w:numId="8">
    <w:abstractNumId w:val="10"/>
  </w:num>
  <w:num w:numId="9">
    <w:abstractNumId w:val="8"/>
  </w:num>
  <w:num w:numId="10">
    <w:abstractNumId w:val="1"/>
  </w:num>
  <w:num w:numId="11">
    <w:abstractNumId w:val="4"/>
  </w:num>
  <w:num w:numId="12">
    <w:abstractNumId w:val="20"/>
  </w:num>
  <w:num w:numId="13">
    <w:abstractNumId w:val="2"/>
  </w:num>
  <w:num w:numId="14">
    <w:abstractNumId w:val="14"/>
  </w:num>
  <w:num w:numId="15">
    <w:abstractNumId w:val="11"/>
  </w:num>
  <w:num w:numId="16">
    <w:abstractNumId w:val="5"/>
  </w:num>
  <w:num w:numId="17">
    <w:abstractNumId w:val="18"/>
  </w:num>
  <w:num w:numId="18">
    <w:abstractNumId w:val="15"/>
  </w:num>
  <w:num w:numId="19">
    <w:abstractNumId w:val="0"/>
  </w:num>
  <w:num w:numId="20">
    <w:abstractNumId w:val="12"/>
  </w:num>
  <w:num w:numId="21">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182994"/>
    <w:rsid w:val="00006573"/>
    <w:rsid w:val="000136E3"/>
    <w:rsid w:val="00015017"/>
    <w:rsid w:val="00027F3D"/>
    <w:rsid w:val="0003076B"/>
    <w:rsid w:val="00030C4B"/>
    <w:rsid w:val="0003377A"/>
    <w:rsid w:val="0003721F"/>
    <w:rsid w:val="00046DF9"/>
    <w:rsid w:val="00057524"/>
    <w:rsid w:val="000624F2"/>
    <w:rsid w:val="00064A2D"/>
    <w:rsid w:val="00065760"/>
    <w:rsid w:val="00071FF7"/>
    <w:rsid w:val="00075241"/>
    <w:rsid w:val="000758F4"/>
    <w:rsid w:val="00081B45"/>
    <w:rsid w:val="00085340"/>
    <w:rsid w:val="0008651B"/>
    <w:rsid w:val="00095E99"/>
    <w:rsid w:val="00097ABF"/>
    <w:rsid w:val="000A732D"/>
    <w:rsid w:val="000B12A4"/>
    <w:rsid w:val="000D4A16"/>
    <w:rsid w:val="000E3C21"/>
    <w:rsid w:val="000F1579"/>
    <w:rsid w:val="000F1660"/>
    <w:rsid w:val="000F19B0"/>
    <w:rsid w:val="000F2EF9"/>
    <w:rsid w:val="00104FDA"/>
    <w:rsid w:val="00112B0B"/>
    <w:rsid w:val="00120064"/>
    <w:rsid w:val="001207AD"/>
    <w:rsid w:val="00133B1B"/>
    <w:rsid w:val="001417CA"/>
    <w:rsid w:val="00143110"/>
    <w:rsid w:val="00154979"/>
    <w:rsid w:val="00155AE7"/>
    <w:rsid w:val="00155DDE"/>
    <w:rsid w:val="00164F13"/>
    <w:rsid w:val="001659B7"/>
    <w:rsid w:val="00166E02"/>
    <w:rsid w:val="00173891"/>
    <w:rsid w:val="00182994"/>
    <w:rsid w:val="0018318C"/>
    <w:rsid w:val="001831B7"/>
    <w:rsid w:val="00184FB2"/>
    <w:rsid w:val="0018648B"/>
    <w:rsid w:val="00186A22"/>
    <w:rsid w:val="001901E6"/>
    <w:rsid w:val="001B2789"/>
    <w:rsid w:val="001B2833"/>
    <w:rsid w:val="001B4D7A"/>
    <w:rsid w:val="001C5741"/>
    <w:rsid w:val="001C5FFA"/>
    <w:rsid w:val="001E474C"/>
    <w:rsid w:val="00200A34"/>
    <w:rsid w:val="00201375"/>
    <w:rsid w:val="002019CA"/>
    <w:rsid w:val="00213128"/>
    <w:rsid w:val="00215701"/>
    <w:rsid w:val="00222835"/>
    <w:rsid w:val="00227A41"/>
    <w:rsid w:val="00232B29"/>
    <w:rsid w:val="00233E36"/>
    <w:rsid w:val="002414C0"/>
    <w:rsid w:val="002415AD"/>
    <w:rsid w:val="002416B7"/>
    <w:rsid w:val="00251CCB"/>
    <w:rsid w:val="0025572C"/>
    <w:rsid w:val="00256EC0"/>
    <w:rsid w:val="00257FD3"/>
    <w:rsid w:val="0026382F"/>
    <w:rsid w:val="00272190"/>
    <w:rsid w:val="00293E5D"/>
    <w:rsid w:val="00294D01"/>
    <w:rsid w:val="00296B19"/>
    <w:rsid w:val="002A6D68"/>
    <w:rsid w:val="002B1BB9"/>
    <w:rsid w:val="002B2924"/>
    <w:rsid w:val="002B66A8"/>
    <w:rsid w:val="002C3713"/>
    <w:rsid w:val="002D16DA"/>
    <w:rsid w:val="002F6A07"/>
    <w:rsid w:val="0030058D"/>
    <w:rsid w:val="003072ED"/>
    <w:rsid w:val="0031046F"/>
    <w:rsid w:val="003108D8"/>
    <w:rsid w:val="00310E07"/>
    <w:rsid w:val="00314F29"/>
    <w:rsid w:val="00321942"/>
    <w:rsid w:val="00331C80"/>
    <w:rsid w:val="003328FC"/>
    <w:rsid w:val="0033304C"/>
    <w:rsid w:val="00336966"/>
    <w:rsid w:val="0034108B"/>
    <w:rsid w:val="00343C9F"/>
    <w:rsid w:val="00350D7F"/>
    <w:rsid w:val="00352CED"/>
    <w:rsid w:val="00365FC4"/>
    <w:rsid w:val="0037345B"/>
    <w:rsid w:val="003741AC"/>
    <w:rsid w:val="00376CC7"/>
    <w:rsid w:val="00382498"/>
    <w:rsid w:val="00384C87"/>
    <w:rsid w:val="00391AC7"/>
    <w:rsid w:val="00394838"/>
    <w:rsid w:val="00397DD2"/>
    <w:rsid w:val="003A0C49"/>
    <w:rsid w:val="003B02D3"/>
    <w:rsid w:val="003B0386"/>
    <w:rsid w:val="003D214C"/>
    <w:rsid w:val="003E419E"/>
    <w:rsid w:val="003E4646"/>
    <w:rsid w:val="003F070C"/>
    <w:rsid w:val="003F21B9"/>
    <w:rsid w:val="003F5E86"/>
    <w:rsid w:val="003F643E"/>
    <w:rsid w:val="00401074"/>
    <w:rsid w:val="00402E71"/>
    <w:rsid w:val="00403F4F"/>
    <w:rsid w:val="00410B7D"/>
    <w:rsid w:val="00411544"/>
    <w:rsid w:val="0041552B"/>
    <w:rsid w:val="00415C63"/>
    <w:rsid w:val="00415E80"/>
    <w:rsid w:val="0042262B"/>
    <w:rsid w:val="00424342"/>
    <w:rsid w:val="00434C8F"/>
    <w:rsid w:val="0043619E"/>
    <w:rsid w:val="004419A0"/>
    <w:rsid w:val="00441A8F"/>
    <w:rsid w:val="0044788C"/>
    <w:rsid w:val="00447DB0"/>
    <w:rsid w:val="00450455"/>
    <w:rsid w:val="0046306C"/>
    <w:rsid w:val="00490012"/>
    <w:rsid w:val="004A28B9"/>
    <w:rsid w:val="004A7110"/>
    <w:rsid w:val="004B465D"/>
    <w:rsid w:val="004B7258"/>
    <w:rsid w:val="004C2C07"/>
    <w:rsid w:val="004D39EE"/>
    <w:rsid w:val="004D4F2D"/>
    <w:rsid w:val="004E2CC7"/>
    <w:rsid w:val="004E4687"/>
    <w:rsid w:val="004E5CD7"/>
    <w:rsid w:val="004F05DE"/>
    <w:rsid w:val="004F5BE1"/>
    <w:rsid w:val="005000B4"/>
    <w:rsid w:val="00511567"/>
    <w:rsid w:val="00537669"/>
    <w:rsid w:val="005403F5"/>
    <w:rsid w:val="00553109"/>
    <w:rsid w:val="00557055"/>
    <w:rsid w:val="00562A7E"/>
    <w:rsid w:val="00563272"/>
    <w:rsid w:val="005652A0"/>
    <w:rsid w:val="00572CD4"/>
    <w:rsid w:val="005810A7"/>
    <w:rsid w:val="00581E91"/>
    <w:rsid w:val="005906BF"/>
    <w:rsid w:val="00592088"/>
    <w:rsid w:val="005B0823"/>
    <w:rsid w:val="005B2908"/>
    <w:rsid w:val="005B3556"/>
    <w:rsid w:val="005B5A34"/>
    <w:rsid w:val="005C466E"/>
    <w:rsid w:val="005C5978"/>
    <w:rsid w:val="005F23C0"/>
    <w:rsid w:val="00602DED"/>
    <w:rsid w:val="0060416B"/>
    <w:rsid w:val="0060447E"/>
    <w:rsid w:val="006115D7"/>
    <w:rsid w:val="006123A9"/>
    <w:rsid w:val="006136E9"/>
    <w:rsid w:val="00614745"/>
    <w:rsid w:val="00620C9A"/>
    <w:rsid w:val="00621866"/>
    <w:rsid w:val="00623EB0"/>
    <w:rsid w:val="00626E61"/>
    <w:rsid w:val="00630ECD"/>
    <w:rsid w:val="00633073"/>
    <w:rsid w:val="00640659"/>
    <w:rsid w:val="00640CC7"/>
    <w:rsid w:val="00642AE3"/>
    <w:rsid w:val="006543BF"/>
    <w:rsid w:val="00655930"/>
    <w:rsid w:val="00655D65"/>
    <w:rsid w:val="00662B8A"/>
    <w:rsid w:val="00666B23"/>
    <w:rsid w:val="0067178D"/>
    <w:rsid w:val="006741FE"/>
    <w:rsid w:val="00674798"/>
    <w:rsid w:val="006758B6"/>
    <w:rsid w:val="00675DD5"/>
    <w:rsid w:val="0067612D"/>
    <w:rsid w:val="00676AD7"/>
    <w:rsid w:val="00684F1B"/>
    <w:rsid w:val="00685CDA"/>
    <w:rsid w:val="006A0DC2"/>
    <w:rsid w:val="006A2C02"/>
    <w:rsid w:val="006A627A"/>
    <w:rsid w:val="006B475D"/>
    <w:rsid w:val="006B4C03"/>
    <w:rsid w:val="006B62CA"/>
    <w:rsid w:val="006B7CEB"/>
    <w:rsid w:val="006C2B3A"/>
    <w:rsid w:val="006D00EF"/>
    <w:rsid w:val="006D0CD6"/>
    <w:rsid w:val="006D5303"/>
    <w:rsid w:val="006D5526"/>
    <w:rsid w:val="006F527F"/>
    <w:rsid w:val="00710740"/>
    <w:rsid w:val="00710BC8"/>
    <w:rsid w:val="00711659"/>
    <w:rsid w:val="00711FDA"/>
    <w:rsid w:val="007123F8"/>
    <w:rsid w:val="00716DF2"/>
    <w:rsid w:val="007206AA"/>
    <w:rsid w:val="00722D42"/>
    <w:rsid w:val="00727B0B"/>
    <w:rsid w:val="00727B71"/>
    <w:rsid w:val="00727DD0"/>
    <w:rsid w:val="00730353"/>
    <w:rsid w:val="00732695"/>
    <w:rsid w:val="00741D17"/>
    <w:rsid w:val="007429F0"/>
    <w:rsid w:val="007542BC"/>
    <w:rsid w:val="00755BDF"/>
    <w:rsid w:val="00757121"/>
    <w:rsid w:val="00763E80"/>
    <w:rsid w:val="00772FF5"/>
    <w:rsid w:val="007748D5"/>
    <w:rsid w:val="00774D04"/>
    <w:rsid w:val="00776434"/>
    <w:rsid w:val="00780EC2"/>
    <w:rsid w:val="00783403"/>
    <w:rsid w:val="00784377"/>
    <w:rsid w:val="00790F3A"/>
    <w:rsid w:val="00791F3C"/>
    <w:rsid w:val="007952AD"/>
    <w:rsid w:val="0079603F"/>
    <w:rsid w:val="00796254"/>
    <w:rsid w:val="00797096"/>
    <w:rsid w:val="007B28E5"/>
    <w:rsid w:val="007B5DDA"/>
    <w:rsid w:val="007C3847"/>
    <w:rsid w:val="007C3EAF"/>
    <w:rsid w:val="007D220F"/>
    <w:rsid w:val="007D6C6B"/>
    <w:rsid w:val="007E6CC3"/>
    <w:rsid w:val="007E773D"/>
    <w:rsid w:val="007F2DD8"/>
    <w:rsid w:val="0080613E"/>
    <w:rsid w:val="0081187E"/>
    <w:rsid w:val="00822ED5"/>
    <w:rsid w:val="00844B88"/>
    <w:rsid w:val="0085329B"/>
    <w:rsid w:val="00865A53"/>
    <w:rsid w:val="008677B5"/>
    <w:rsid w:val="00871DE8"/>
    <w:rsid w:val="0087578E"/>
    <w:rsid w:val="00875820"/>
    <w:rsid w:val="008861AE"/>
    <w:rsid w:val="00887B21"/>
    <w:rsid w:val="00887EA5"/>
    <w:rsid w:val="008A45B9"/>
    <w:rsid w:val="008B0516"/>
    <w:rsid w:val="008B0818"/>
    <w:rsid w:val="008D2CA6"/>
    <w:rsid w:val="008D4F43"/>
    <w:rsid w:val="008D65C6"/>
    <w:rsid w:val="008D78A1"/>
    <w:rsid w:val="008E1970"/>
    <w:rsid w:val="008E2CE0"/>
    <w:rsid w:val="008E440C"/>
    <w:rsid w:val="008E53B5"/>
    <w:rsid w:val="008F1CA2"/>
    <w:rsid w:val="008F4EDB"/>
    <w:rsid w:val="00905F96"/>
    <w:rsid w:val="0090617A"/>
    <w:rsid w:val="00907F24"/>
    <w:rsid w:val="0091139D"/>
    <w:rsid w:val="009143AB"/>
    <w:rsid w:val="00915C7C"/>
    <w:rsid w:val="00916C0B"/>
    <w:rsid w:val="00917BCD"/>
    <w:rsid w:val="0092254D"/>
    <w:rsid w:val="009236A1"/>
    <w:rsid w:val="00924428"/>
    <w:rsid w:val="00927FC0"/>
    <w:rsid w:val="00937812"/>
    <w:rsid w:val="00943303"/>
    <w:rsid w:val="00946BCA"/>
    <w:rsid w:val="00946F70"/>
    <w:rsid w:val="00950C53"/>
    <w:rsid w:val="00953395"/>
    <w:rsid w:val="009535F5"/>
    <w:rsid w:val="0095714C"/>
    <w:rsid w:val="009621B2"/>
    <w:rsid w:val="00962AB9"/>
    <w:rsid w:val="00963131"/>
    <w:rsid w:val="00963172"/>
    <w:rsid w:val="00975B1C"/>
    <w:rsid w:val="00986963"/>
    <w:rsid w:val="00987291"/>
    <w:rsid w:val="009879C2"/>
    <w:rsid w:val="00991BBA"/>
    <w:rsid w:val="00992182"/>
    <w:rsid w:val="0099790C"/>
    <w:rsid w:val="009A7FB2"/>
    <w:rsid w:val="009B41B9"/>
    <w:rsid w:val="009B4ABF"/>
    <w:rsid w:val="009B576A"/>
    <w:rsid w:val="009B6893"/>
    <w:rsid w:val="009C23B5"/>
    <w:rsid w:val="009C464E"/>
    <w:rsid w:val="009C78A5"/>
    <w:rsid w:val="009D2E99"/>
    <w:rsid w:val="009D6768"/>
    <w:rsid w:val="009E020F"/>
    <w:rsid w:val="009E3323"/>
    <w:rsid w:val="009E45FE"/>
    <w:rsid w:val="009E675A"/>
    <w:rsid w:val="009F0C75"/>
    <w:rsid w:val="009F3D41"/>
    <w:rsid w:val="00A00338"/>
    <w:rsid w:val="00A02FA3"/>
    <w:rsid w:val="00A136B9"/>
    <w:rsid w:val="00A22D1B"/>
    <w:rsid w:val="00A279E4"/>
    <w:rsid w:val="00A3525F"/>
    <w:rsid w:val="00A42A4D"/>
    <w:rsid w:val="00A44E30"/>
    <w:rsid w:val="00A526C6"/>
    <w:rsid w:val="00A53830"/>
    <w:rsid w:val="00A5404A"/>
    <w:rsid w:val="00A55A2E"/>
    <w:rsid w:val="00A66EA8"/>
    <w:rsid w:val="00A74056"/>
    <w:rsid w:val="00A844DE"/>
    <w:rsid w:val="00A84E8B"/>
    <w:rsid w:val="00A91670"/>
    <w:rsid w:val="00A93BFD"/>
    <w:rsid w:val="00A97000"/>
    <w:rsid w:val="00A97D0C"/>
    <w:rsid w:val="00AB500D"/>
    <w:rsid w:val="00AC21B3"/>
    <w:rsid w:val="00AC3937"/>
    <w:rsid w:val="00AC5055"/>
    <w:rsid w:val="00AC7262"/>
    <w:rsid w:val="00AC7D32"/>
    <w:rsid w:val="00AD4904"/>
    <w:rsid w:val="00AD62B3"/>
    <w:rsid w:val="00AD7CDD"/>
    <w:rsid w:val="00AE25A7"/>
    <w:rsid w:val="00B023FA"/>
    <w:rsid w:val="00B02FAC"/>
    <w:rsid w:val="00B07637"/>
    <w:rsid w:val="00B1295E"/>
    <w:rsid w:val="00B1334D"/>
    <w:rsid w:val="00B25236"/>
    <w:rsid w:val="00B3129B"/>
    <w:rsid w:val="00B31FF1"/>
    <w:rsid w:val="00B355DA"/>
    <w:rsid w:val="00B35A29"/>
    <w:rsid w:val="00B362FF"/>
    <w:rsid w:val="00B41AF2"/>
    <w:rsid w:val="00B61B1F"/>
    <w:rsid w:val="00B66CC9"/>
    <w:rsid w:val="00B70D6C"/>
    <w:rsid w:val="00B72749"/>
    <w:rsid w:val="00B818AE"/>
    <w:rsid w:val="00B8384D"/>
    <w:rsid w:val="00B957CA"/>
    <w:rsid w:val="00B965D2"/>
    <w:rsid w:val="00B96E76"/>
    <w:rsid w:val="00B97F32"/>
    <w:rsid w:val="00BA001D"/>
    <w:rsid w:val="00BA1D51"/>
    <w:rsid w:val="00BA29E2"/>
    <w:rsid w:val="00BB0E1D"/>
    <w:rsid w:val="00BB257C"/>
    <w:rsid w:val="00BB340E"/>
    <w:rsid w:val="00BC2A11"/>
    <w:rsid w:val="00BC387D"/>
    <w:rsid w:val="00BD02BB"/>
    <w:rsid w:val="00BD30B0"/>
    <w:rsid w:val="00BD3937"/>
    <w:rsid w:val="00BD540B"/>
    <w:rsid w:val="00BE2D81"/>
    <w:rsid w:val="00C01B02"/>
    <w:rsid w:val="00C12BA8"/>
    <w:rsid w:val="00C133EB"/>
    <w:rsid w:val="00C136BA"/>
    <w:rsid w:val="00C15A48"/>
    <w:rsid w:val="00C16512"/>
    <w:rsid w:val="00C22353"/>
    <w:rsid w:val="00C22CDF"/>
    <w:rsid w:val="00C2351E"/>
    <w:rsid w:val="00C240B4"/>
    <w:rsid w:val="00C25B19"/>
    <w:rsid w:val="00C30C85"/>
    <w:rsid w:val="00C3125B"/>
    <w:rsid w:val="00C37A73"/>
    <w:rsid w:val="00C408E4"/>
    <w:rsid w:val="00C41640"/>
    <w:rsid w:val="00C7389F"/>
    <w:rsid w:val="00C75738"/>
    <w:rsid w:val="00C76057"/>
    <w:rsid w:val="00C77DED"/>
    <w:rsid w:val="00C90B02"/>
    <w:rsid w:val="00C90C39"/>
    <w:rsid w:val="00C969D5"/>
    <w:rsid w:val="00C97E75"/>
    <w:rsid w:val="00CA17F8"/>
    <w:rsid w:val="00CA588D"/>
    <w:rsid w:val="00CB02CA"/>
    <w:rsid w:val="00CB15F6"/>
    <w:rsid w:val="00CB18D8"/>
    <w:rsid w:val="00CB3719"/>
    <w:rsid w:val="00CB57A1"/>
    <w:rsid w:val="00CC1591"/>
    <w:rsid w:val="00CC3151"/>
    <w:rsid w:val="00CC5F9E"/>
    <w:rsid w:val="00CC7863"/>
    <w:rsid w:val="00CE0F6F"/>
    <w:rsid w:val="00CE2103"/>
    <w:rsid w:val="00CE2522"/>
    <w:rsid w:val="00CE495E"/>
    <w:rsid w:val="00CE4E05"/>
    <w:rsid w:val="00CE6446"/>
    <w:rsid w:val="00CF0619"/>
    <w:rsid w:val="00CF0931"/>
    <w:rsid w:val="00CF10D8"/>
    <w:rsid w:val="00D00BCD"/>
    <w:rsid w:val="00D03202"/>
    <w:rsid w:val="00D0462E"/>
    <w:rsid w:val="00D04CFF"/>
    <w:rsid w:val="00D11509"/>
    <w:rsid w:val="00D14AA6"/>
    <w:rsid w:val="00D201A3"/>
    <w:rsid w:val="00D27C03"/>
    <w:rsid w:val="00D4013E"/>
    <w:rsid w:val="00D43F71"/>
    <w:rsid w:val="00D5187C"/>
    <w:rsid w:val="00D51ACD"/>
    <w:rsid w:val="00D52617"/>
    <w:rsid w:val="00D62131"/>
    <w:rsid w:val="00D62575"/>
    <w:rsid w:val="00D634F1"/>
    <w:rsid w:val="00D676EF"/>
    <w:rsid w:val="00D73928"/>
    <w:rsid w:val="00D817DE"/>
    <w:rsid w:val="00D87C3D"/>
    <w:rsid w:val="00D900BF"/>
    <w:rsid w:val="00D904D6"/>
    <w:rsid w:val="00D91BFA"/>
    <w:rsid w:val="00DA5DCD"/>
    <w:rsid w:val="00DA5F6F"/>
    <w:rsid w:val="00DB1BB6"/>
    <w:rsid w:val="00DC43B6"/>
    <w:rsid w:val="00DD02C6"/>
    <w:rsid w:val="00DD0C31"/>
    <w:rsid w:val="00DD1D21"/>
    <w:rsid w:val="00DD1E49"/>
    <w:rsid w:val="00DD5286"/>
    <w:rsid w:val="00DD687B"/>
    <w:rsid w:val="00DE0124"/>
    <w:rsid w:val="00DE2186"/>
    <w:rsid w:val="00DE2F6E"/>
    <w:rsid w:val="00DF1341"/>
    <w:rsid w:val="00DF326D"/>
    <w:rsid w:val="00DF6ADB"/>
    <w:rsid w:val="00E00E8E"/>
    <w:rsid w:val="00E01F09"/>
    <w:rsid w:val="00E06CF2"/>
    <w:rsid w:val="00E0716E"/>
    <w:rsid w:val="00E10E68"/>
    <w:rsid w:val="00E15856"/>
    <w:rsid w:val="00E20A8C"/>
    <w:rsid w:val="00E2188D"/>
    <w:rsid w:val="00E25BBA"/>
    <w:rsid w:val="00E33DCC"/>
    <w:rsid w:val="00E35005"/>
    <w:rsid w:val="00E35A65"/>
    <w:rsid w:val="00E4353A"/>
    <w:rsid w:val="00E46752"/>
    <w:rsid w:val="00E531F6"/>
    <w:rsid w:val="00E538DB"/>
    <w:rsid w:val="00E57C33"/>
    <w:rsid w:val="00E6005A"/>
    <w:rsid w:val="00E61F48"/>
    <w:rsid w:val="00E66E1F"/>
    <w:rsid w:val="00E7293D"/>
    <w:rsid w:val="00E74B15"/>
    <w:rsid w:val="00E83176"/>
    <w:rsid w:val="00E843F3"/>
    <w:rsid w:val="00E8471B"/>
    <w:rsid w:val="00E856D6"/>
    <w:rsid w:val="00E90748"/>
    <w:rsid w:val="00E921E7"/>
    <w:rsid w:val="00E954E4"/>
    <w:rsid w:val="00EA266C"/>
    <w:rsid w:val="00EA2DA0"/>
    <w:rsid w:val="00EA579E"/>
    <w:rsid w:val="00EA5FD0"/>
    <w:rsid w:val="00EB0102"/>
    <w:rsid w:val="00EB0C78"/>
    <w:rsid w:val="00EB5F37"/>
    <w:rsid w:val="00EB605D"/>
    <w:rsid w:val="00EB6804"/>
    <w:rsid w:val="00EB7272"/>
    <w:rsid w:val="00EC4A8A"/>
    <w:rsid w:val="00ED55A7"/>
    <w:rsid w:val="00EF097A"/>
    <w:rsid w:val="00EF1B5D"/>
    <w:rsid w:val="00EF4015"/>
    <w:rsid w:val="00EF610B"/>
    <w:rsid w:val="00F000FC"/>
    <w:rsid w:val="00F01F0F"/>
    <w:rsid w:val="00F03BEA"/>
    <w:rsid w:val="00F16CF0"/>
    <w:rsid w:val="00F17870"/>
    <w:rsid w:val="00F24378"/>
    <w:rsid w:val="00F255FF"/>
    <w:rsid w:val="00F30A41"/>
    <w:rsid w:val="00F34DA0"/>
    <w:rsid w:val="00F407B6"/>
    <w:rsid w:val="00F431BD"/>
    <w:rsid w:val="00F46CB2"/>
    <w:rsid w:val="00F51D55"/>
    <w:rsid w:val="00F522DF"/>
    <w:rsid w:val="00F548EC"/>
    <w:rsid w:val="00F62511"/>
    <w:rsid w:val="00F62DF2"/>
    <w:rsid w:val="00F6346E"/>
    <w:rsid w:val="00F821BD"/>
    <w:rsid w:val="00F92273"/>
    <w:rsid w:val="00F93DDE"/>
    <w:rsid w:val="00FA232D"/>
    <w:rsid w:val="00FA4288"/>
    <w:rsid w:val="00FA4C46"/>
    <w:rsid w:val="00FA4E6C"/>
    <w:rsid w:val="00FB13FA"/>
    <w:rsid w:val="00FB5EDC"/>
    <w:rsid w:val="00FB763E"/>
    <w:rsid w:val="00FC20E7"/>
    <w:rsid w:val="00FC56E3"/>
    <w:rsid w:val="00FC5F75"/>
    <w:rsid w:val="00FD3176"/>
    <w:rsid w:val="00FD6832"/>
    <w:rsid w:val="00FE4718"/>
    <w:rsid w:val="00FF42A9"/>
    <w:rsid w:val="00FF7011"/>
    <w:rsid w:val="00FF7217"/>
    <w:rsid w:val="00FF7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904"/>
    <w:pPr>
      <w:autoSpaceDE w:val="0"/>
      <w:autoSpaceDN w:val="0"/>
    </w:pPr>
    <w:rPr>
      <w:sz w:val="24"/>
      <w:szCs w:val="24"/>
    </w:rPr>
  </w:style>
  <w:style w:type="paragraph" w:styleId="Heading1">
    <w:name w:val="heading 1"/>
    <w:basedOn w:val="Normal"/>
    <w:next w:val="Normal"/>
    <w:qFormat/>
    <w:rsid w:val="00AD49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D49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D49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D49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D4904"/>
    <w:pPr>
      <w:keepNext/>
      <w:spacing w:line="480" w:lineRule="auto"/>
      <w:jc w:val="center"/>
      <w:outlineLvl w:val="4"/>
    </w:pPr>
    <w:rPr>
      <w:b/>
      <w:bCs/>
    </w:rPr>
  </w:style>
  <w:style w:type="paragraph" w:styleId="Heading6">
    <w:name w:val="heading 6"/>
    <w:basedOn w:val="Normal"/>
    <w:next w:val="Normal"/>
    <w:qFormat/>
    <w:rsid w:val="00AD49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D4904"/>
    <w:pPr>
      <w:keepNext/>
      <w:tabs>
        <w:tab w:val="left" w:pos="1260"/>
      </w:tabs>
      <w:jc w:val="right"/>
      <w:outlineLvl w:val="6"/>
    </w:pPr>
    <w:rPr>
      <w:sz w:val="20"/>
      <w:szCs w:val="20"/>
    </w:rPr>
  </w:style>
  <w:style w:type="paragraph" w:styleId="Heading8">
    <w:name w:val="heading 8"/>
    <w:basedOn w:val="Normal"/>
    <w:next w:val="Normal"/>
    <w:qFormat/>
    <w:rsid w:val="00AD49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D49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4904"/>
    <w:pPr>
      <w:tabs>
        <w:tab w:val="center" w:pos="4320"/>
        <w:tab w:val="right" w:pos="8640"/>
      </w:tabs>
    </w:pPr>
  </w:style>
  <w:style w:type="paragraph" w:styleId="Footer">
    <w:name w:val="footer"/>
    <w:basedOn w:val="Normal"/>
    <w:link w:val="FooterChar"/>
    <w:uiPriority w:val="99"/>
    <w:rsid w:val="00AD4904"/>
    <w:pPr>
      <w:tabs>
        <w:tab w:val="center" w:pos="4320"/>
        <w:tab w:val="right" w:pos="8640"/>
      </w:tabs>
    </w:pPr>
  </w:style>
  <w:style w:type="character" w:styleId="PageNumber">
    <w:name w:val="page number"/>
    <w:basedOn w:val="DefaultParagraphFont"/>
    <w:rsid w:val="00AD4904"/>
    <w:rPr>
      <w:rFonts w:ascii="Times New Roman" w:hAnsi="Times New Roman" w:cs="Times New Roman"/>
      <w:sz w:val="24"/>
      <w:szCs w:val="24"/>
    </w:rPr>
  </w:style>
  <w:style w:type="character" w:styleId="LineNumber">
    <w:name w:val="line number"/>
    <w:basedOn w:val="DefaultParagraphFont"/>
    <w:rsid w:val="00AD4904"/>
    <w:rPr>
      <w:rFonts w:ascii="Times New Roman" w:hAnsi="Times New Roman" w:cs="Times New Roman"/>
      <w:sz w:val="24"/>
      <w:szCs w:val="24"/>
    </w:rPr>
  </w:style>
  <w:style w:type="paragraph" w:styleId="BodyText2">
    <w:name w:val="Body Text 2"/>
    <w:basedOn w:val="Normal"/>
    <w:link w:val="BodyText2Char"/>
    <w:rsid w:val="0018648B"/>
    <w:pPr>
      <w:spacing w:line="480" w:lineRule="auto"/>
      <w:jc w:val="both"/>
    </w:pPr>
  </w:style>
  <w:style w:type="paragraph" w:styleId="BodyTextIndent2">
    <w:name w:val="Body Text Indent 2"/>
    <w:basedOn w:val="Normal"/>
    <w:rsid w:val="00AD4904"/>
    <w:pPr>
      <w:tabs>
        <w:tab w:val="left" w:pos="1260"/>
      </w:tabs>
      <w:spacing w:line="480" w:lineRule="auto"/>
      <w:ind w:left="540" w:hanging="540"/>
      <w:jc w:val="both"/>
    </w:pPr>
  </w:style>
  <w:style w:type="paragraph" w:styleId="BodyTextIndent3">
    <w:name w:val="Body Text Indent 3"/>
    <w:basedOn w:val="Normal"/>
    <w:rsid w:val="00AD4904"/>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AD4904"/>
    <w:rPr>
      <w:sz w:val="20"/>
      <w:szCs w:val="20"/>
    </w:rPr>
  </w:style>
  <w:style w:type="character" w:styleId="FootnoteReference">
    <w:name w:val="footnote reference"/>
    <w:basedOn w:val="DefaultParagraphFont"/>
    <w:uiPriority w:val="99"/>
    <w:rsid w:val="00AD4904"/>
    <w:rPr>
      <w:rFonts w:cs="Times New Roman"/>
      <w:vertAlign w:val="superscript"/>
    </w:rPr>
  </w:style>
  <w:style w:type="paragraph" w:styleId="BodyText">
    <w:name w:val="Body Text"/>
    <w:basedOn w:val="Normal"/>
    <w:rsid w:val="00AD4904"/>
    <w:pPr>
      <w:spacing w:line="360" w:lineRule="auto"/>
      <w:jc w:val="center"/>
    </w:pPr>
    <w:rPr>
      <w:b/>
      <w:bCs/>
    </w:rPr>
  </w:style>
  <w:style w:type="paragraph" w:styleId="DocumentMap">
    <w:name w:val="Document Map"/>
    <w:basedOn w:val="Normal"/>
    <w:rsid w:val="00AD4904"/>
    <w:pPr>
      <w:shd w:val="clear" w:color="auto" w:fill="000080"/>
    </w:pPr>
    <w:rPr>
      <w:rFonts w:ascii="Tahoma" w:hAnsi="Tahoma" w:cs="Tahoma"/>
    </w:rPr>
  </w:style>
  <w:style w:type="paragraph" w:customStyle="1" w:styleId="TestBody">
    <w:name w:val="Test Body"/>
    <w:rsid w:val="00AD49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D4904"/>
    <w:pPr>
      <w:numPr>
        <w:numId w:val="1"/>
      </w:numPr>
    </w:pPr>
  </w:style>
  <w:style w:type="paragraph" w:styleId="BodyText3">
    <w:name w:val="Body Text 3"/>
    <w:basedOn w:val="Normal"/>
    <w:rsid w:val="009F0C75"/>
    <w:pPr>
      <w:spacing w:after="120"/>
    </w:pPr>
    <w:rPr>
      <w:sz w:val="16"/>
      <w:szCs w:val="16"/>
    </w:rPr>
  </w:style>
  <w:style w:type="paragraph" w:customStyle="1" w:styleId="TableBodyText">
    <w:name w:val="Table Body Text"/>
    <w:basedOn w:val="BodyText"/>
    <w:rsid w:val="009F0C75"/>
    <w:pPr>
      <w:autoSpaceDE/>
      <w:autoSpaceDN/>
      <w:spacing w:before="60" w:after="20" w:line="240" w:lineRule="auto"/>
      <w:jc w:val="left"/>
    </w:pPr>
    <w:rPr>
      <w:rFonts w:ascii="Trebuchet MS" w:hAnsi="Trebuchet MS" w:cs="Trebuchet MS"/>
      <w:b w:val="0"/>
      <w:bCs w:val="0"/>
      <w:sz w:val="18"/>
      <w:szCs w:val="18"/>
    </w:rPr>
  </w:style>
  <w:style w:type="paragraph" w:customStyle="1" w:styleId="Tablesubtitle">
    <w:name w:val="Table subtitle"/>
    <w:basedOn w:val="Heading6"/>
    <w:rsid w:val="009F0C75"/>
    <w:pPr>
      <w:tabs>
        <w:tab w:val="clear" w:pos="1260"/>
      </w:tabs>
      <w:autoSpaceDE/>
      <w:autoSpaceDN/>
      <w:spacing w:before="60" w:after="20" w:line="240" w:lineRule="auto"/>
      <w:jc w:val="left"/>
    </w:pPr>
    <w:rPr>
      <w:rFonts w:ascii="Trebuchet MS" w:hAnsi="Trebuchet MS" w:cs="Trebuchet MS"/>
      <w:spacing w:val="10"/>
      <w:sz w:val="16"/>
      <w:szCs w:val="16"/>
    </w:rPr>
  </w:style>
  <w:style w:type="table" w:styleId="TableGrid">
    <w:name w:val="Table Grid"/>
    <w:basedOn w:val="TableNormal"/>
    <w:rsid w:val="009F0C75"/>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2B66A8"/>
    <w:pPr>
      <w:autoSpaceDE/>
      <w:autoSpaceDN/>
    </w:pPr>
    <w:rPr>
      <w:rFonts w:ascii="Courier New" w:hAnsi="Courier New" w:cs="Courier New"/>
      <w:sz w:val="20"/>
      <w:szCs w:val="20"/>
    </w:rPr>
  </w:style>
  <w:style w:type="paragraph" w:styleId="NormalWeb">
    <w:name w:val="Normal (Web)"/>
    <w:basedOn w:val="Normal"/>
    <w:uiPriority w:val="99"/>
    <w:rsid w:val="0091139D"/>
    <w:pPr>
      <w:autoSpaceDE/>
      <w:autoSpaceDN/>
      <w:spacing w:before="100" w:beforeAutospacing="1" w:after="100" w:afterAutospacing="1"/>
    </w:pPr>
  </w:style>
  <w:style w:type="character" w:styleId="Hyperlink">
    <w:name w:val="Hyperlink"/>
    <w:basedOn w:val="DefaultParagraphFont"/>
    <w:rsid w:val="00BA001D"/>
    <w:rPr>
      <w:rFonts w:cs="Times New Roman"/>
      <w:color w:val="0000FF"/>
      <w:u w:val="single"/>
    </w:rPr>
  </w:style>
  <w:style w:type="paragraph" w:styleId="NoSpacing">
    <w:name w:val="No Spacing"/>
    <w:uiPriority w:val="1"/>
    <w:qFormat/>
    <w:rsid w:val="00C16512"/>
    <w:rPr>
      <w:rFonts w:ascii="Calibri" w:eastAsia="Calibri" w:hAnsi="Calibri"/>
      <w:sz w:val="22"/>
      <w:szCs w:val="22"/>
    </w:rPr>
  </w:style>
  <w:style w:type="paragraph" w:styleId="ListParagraph">
    <w:name w:val="List Paragraph"/>
    <w:basedOn w:val="Normal"/>
    <w:uiPriority w:val="34"/>
    <w:qFormat/>
    <w:rsid w:val="0037345B"/>
    <w:pPr>
      <w:autoSpaceDE/>
      <w:autoSpaceDN/>
      <w:ind w:left="720"/>
      <w:contextualSpacing/>
    </w:pPr>
  </w:style>
  <w:style w:type="paragraph" w:styleId="BalloonText">
    <w:name w:val="Balloon Text"/>
    <w:basedOn w:val="Normal"/>
    <w:link w:val="BalloonTextChar"/>
    <w:rsid w:val="00D62575"/>
    <w:rPr>
      <w:rFonts w:ascii="Tahoma" w:hAnsi="Tahoma" w:cs="Tahoma"/>
      <w:sz w:val="16"/>
      <w:szCs w:val="16"/>
    </w:rPr>
  </w:style>
  <w:style w:type="character" w:customStyle="1" w:styleId="BalloonTextChar">
    <w:name w:val="Balloon Text Char"/>
    <w:basedOn w:val="DefaultParagraphFont"/>
    <w:link w:val="BalloonText"/>
    <w:rsid w:val="00D62575"/>
    <w:rPr>
      <w:rFonts w:ascii="Tahoma" w:hAnsi="Tahoma" w:cs="Tahoma"/>
      <w:sz w:val="16"/>
      <w:szCs w:val="16"/>
    </w:rPr>
  </w:style>
  <w:style w:type="character" w:customStyle="1" w:styleId="FooterChar">
    <w:name w:val="Footer Char"/>
    <w:basedOn w:val="DefaultParagraphFont"/>
    <w:link w:val="Footer"/>
    <w:uiPriority w:val="99"/>
    <w:rsid w:val="00572CD4"/>
    <w:rPr>
      <w:sz w:val="24"/>
      <w:szCs w:val="24"/>
    </w:rPr>
  </w:style>
  <w:style w:type="character" w:customStyle="1" w:styleId="FootnoteTextChar">
    <w:name w:val="Footnote Text Char"/>
    <w:basedOn w:val="DefaultParagraphFont"/>
    <w:link w:val="FootnoteText"/>
    <w:uiPriority w:val="99"/>
    <w:rsid w:val="00975B1C"/>
  </w:style>
  <w:style w:type="character" w:customStyle="1" w:styleId="BodyText2Char">
    <w:name w:val="Body Text 2 Char"/>
    <w:basedOn w:val="DefaultParagraphFont"/>
    <w:link w:val="BodyText2"/>
    <w:rsid w:val="00BD540B"/>
    <w:rPr>
      <w:sz w:val="24"/>
      <w:szCs w:val="24"/>
    </w:rPr>
  </w:style>
  <w:style w:type="character" w:customStyle="1" w:styleId="HeaderChar">
    <w:name w:val="Header Char"/>
    <w:basedOn w:val="DefaultParagraphFont"/>
    <w:link w:val="Header"/>
    <w:uiPriority w:val="99"/>
    <w:rsid w:val="00EF4015"/>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722948458">
      <w:bodyDiv w:val="1"/>
      <w:marLeft w:val="0"/>
      <w:marRight w:val="0"/>
      <w:marTop w:val="0"/>
      <w:marBottom w:val="0"/>
      <w:divBdr>
        <w:top w:val="none" w:sz="0" w:space="0" w:color="auto"/>
        <w:left w:val="none" w:sz="0" w:space="0" w:color="auto"/>
        <w:bottom w:val="none" w:sz="0" w:space="0" w:color="auto"/>
        <w:right w:val="none" w:sz="0" w:space="0" w:color="auto"/>
      </w:divBdr>
    </w:div>
    <w:div w:id="1393196655">
      <w:bodyDiv w:val="1"/>
      <w:marLeft w:val="0"/>
      <w:marRight w:val="0"/>
      <w:marTop w:val="0"/>
      <w:marBottom w:val="0"/>
      <w:divBdr>
        <w:top w:val="none" w:sz="0" w:space="0" w:color="auto"/>
        <w:left w:val="none" w:sz="0" w:space="0" w:color="auto"/>
        <w:bottom w:val="none" w:sz="0" w:space="0" w:color="auto"/>
        <w:right w:val="none" w:sz="0" w:space="0" w:color="auto"/>
      </w:divBdr>
    </w:div>
    <w:div w:id="162380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2012-06-01T07:00:00+00:00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8FBA976-92DB-45E6-B998-45B9162A5648}"/>
</file>

<file path=customXml/itemProps2.xml><?xml version="1.0" encoding="utf-8"?>
<ds:datastoreItem xmlns:ds="http://schemas.openxmlformats.org/officeDocument/2006/customXml" ds:itemID="{EFC8F89B-0FDF-4A05-B067-76BDA8891D88}"/>
</file>

<file path=customXml/itemProps3.xml><?xml version="1.0" encoding="utf-8"?>
<ds:datastoreItem xmlns:ds="http://schemas.openxmlformats.org/officeDocument/2006/customXml" ds:itemID="{55C3EB89-451E-4CB2-A6CF-754B447291A9}"/>
</file>

<file path=customXml/itemProps4.xml><?xml version="1.0" encoding="utf-8"?>
<ds:datastoreItem xmlns:ds="http://schemas.openxmlformats.org/officeDocument/2006/customXml" ds:itemID="{8E1BB15F-D1E3-4215-9AEC-A492AEF09700}"/>
</file>

<file path=customXml/itemProps5.xml><?xml version="1.0" encoding="utf-8"?>
<ds:datastoreItem xmlns:ds="http://schemas.openxmlformats.org/officeDocument/2006/customXml" ds:itemID="{0193AFB8-1B6D-45BC-A81B-16A765EE4BC9}"/>
</file>

<file path=docProps/app.xml><?xml version="1.0" encoding="utf-8"?>
<Properties xmlns="http://schemas.openxmlformats.org/officeDocument/2006/extended-properties" xmlns:vt="http://schemas.openxmlformats.org/officeDocument/2006/docPropsVTypes">
  <Template>Normal.dotm</Template>
  <TotalTime>293</TotalTime>
  <Pages>13</Pages>
  <Words>2760</Words>
  <Characters>15931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18654</CharactersWithSpaces>
  <SharedDoc>false</SharedDoc>
  <HLinks>
    <vt:vector size="6" baseType="variant">
      <vt:variant>
        <vt:i4>5701633</vt:i4>
      </vt:variant>
      <vt:variant>
        <vt:i4>0</vt:i4>
      </vt:variant>
      <vt:variant>
        <vt:i4>0</vt:i4>
      </vt:variant>
      <vt:variant>
        <vt:i4>5</vt:i4>
      </vt:variant>
      <vt:variant>
        <vt:lpwstr>http://www.everylittebit.com/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cp:lastModifiedBy>Linda Gervais</cp:lastModifiedBy>
  <cp:revision>13</cp:revision>
  <cp:lastPrinted>2012-05-01T22:30:00Z</cp:lastPrinted>
  <dcterms:created xsi:type="dcterms:W3CDTF">2012-05-16T18:00:00Z</dcterms:created>
  <dcterms:modified xsi:type="dcterms:W3CDTF">2012-05-30T16:20:00Z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_docset_NoMedatataSyncRequired">
    <vt:lpwstr>False</vt:lpwstr>
  </property>
</Properties>
</file>