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E1E9" w14:textId="77777777" w:rsidR="00245AF9" w:rsidRPr="00E65580" w:rsidRDefault="00245AF9" w:rsidP="00BD1AD3"/>
    <w:p w14:paraId="60D26B65" w14:textId="05276679" w:rsidR="000B50AF" w:rsidRPr="00E65580" w:rsidRDefault="001F52CF" w:rsidP="00BD1AD3">
      <w:r>
        <w:t xml:space="preserve">May </w:t>
      </w:r>
      <w:r w:rsidR="00817C58">
        <w:t>2</w:t>
      </w:r>
      <w:r>
        <w:t>3</w:t>
      </w:r>
      <w:r w:rsidR="00311A32">
        <w:t>, 2017</w:t>
      </w:r>
    </w:p>
    <w:p w14:paraId="036EFADB" w14:textId="77777777" w:rsidR="000B50AF" w:rsidRPr="00E65580" w:rsidRDefault="000B50AF" w:rsidP="00BD1AD3"/>
    <w:p w14:paraId="539A4C05" w14:textId="77777777" w:rsidR="000B50AF" w:rsidRPr="00E65580" w:rsidRDefault="000B50AF" w:rsidP="00BD1AD3"/>
    <w:p w14:paraId="616338F3" w14:textId="77777777" w:rsidR="000B50AF" w:rsidRPr="00E65580" w:rsidRDefault="000B50AF" w:rsidP="00BD1AD3">
      <w:r w:rsidRPr="00E65580">
        <w:t>Steven V. King, Executive Director and Secretary</w:t>
      </w:r>
    </w:p>
    <w:p w14:paraId="368CBA03" w14:textId="77777777" w:rsidR="000B50AF" w:rsidRPr="00E65580" w:rsidRDefault="000B50AF" w:rsidP="00BD1AD3">
      <w:r w:rsidRPr="00E65580">
        <w:t>Washington Utilities and Transportation Commission</w:t>
      </w:r>
    </w:p>
    <w:p w14:paraId="4FC8E8F8" w14:textId="77777777" w:rsidR="000B50AF" w:rsidRPr="00E65580" w:rsidRDefault="000B50AF" w:rsidP="00BD1AD3">
      <w:r w:rsidRPr="00E65580">
        <w:t>1300 S. Evergreen Park Dr. SW</w:t>
      </w:r>
    </w:p>
    <w:p w14:paraId="699E50CD" w14:textId="374C5A21" w:rsidR="000B50AF" w:rsidRPr="00E65580" w:rsidRDefault="009A40FD" w:rsidP="00BD1AD3">
      <w:r>
        <w:t>P.</w:t>
      </w:r>
      <w:r w:rsidR="000B50AF" w:rsidRPr="00E65580">
        <w:t xml:space="preserve">O. Box 47250 </w:t>
      </w:r>
    </w:p>
    <w:p w14:paraId="735F816B" w14:textId="4C05A009" w:rsidR="000B50AF" w:rsidRPr="00E65580" w:rsidRDefault="000B50AF" w:rsidP="00246BA8">
      <w:pPr>
        <w:spacing w:after="240"/>
      </w:pPr>
      <w:r w:rsidRPr="00E65580">
        <w:t>Olympia, Washington  98504-7250</w:t>
      </w:r>
    </w:p>
    <w:p w14:paraId="31F4CC99" w14:textId="537F2566" w:rsidR="000B50AF" w:rsidRPr="00E65580" w:rsidRDefault="000B50AF" w:rsidP="00BD1AD3">
      <w:pPr>
        <w:ind w:left="720" w:hanging="720"/>
      </w:pPr>
      <w:r w:rsidRPr="00E65580">
        <w:t xml:space="preserve">RE: </w:t>
      </w:r>
      <w:r w:rsidRPr="00E65580">
        <w:tab/>
      </w:r>
      <w:r w:rsidRPr="00E65580">
        <w:rPr>
          <w:i/>
        </w:rPr>
        <w:t xml:space="preserve">Washington Utilities and Transportation Commission v. </w:t>
      </w:r>
      <w:r w:rsidR="0091092A">
        <w:rPr>
          <w:i/>
        </w:rPr>
        <w:t>Safe-To-Go-Movers,</w:t>
      </w:r>
      <w:r w:rsidR="003C1164">
        <w:rPr>
          <w:i/>
        </w:rPr>
        <w:t xml:space="preserve"> LLC</w:t>
      </w:r>
      <w:r w:rsidR="0091092A">
        <w:rPr>
          <w:i/>
        </w:rPr>
        <w:t xml:space="preserve"> d/b/a James &amp; John Movers</w:t>
      </w:r>
    </w:p>
    <w:p w14:paraId="1759E49F" w14:textId="2DDD7F33" w:rsidR="000B50AF" w:rsidRPr="00E65580" w:rsidRDefault="002721D3" w:rsidP="00BD1AD3">
      <w:pPr>
        <w:ind w:left="720"/>
      </w:pPr>
      <w:r w:rsidRPr="00E65580">
        <w:t>Commission</w:t>
      </w:r>
      <w:r w:rsidR="00817C58">
        <w:t xml:space="preserve"> Staff’s Response to Request for Commission Review of Mitigated </w:t>
      </w:r>
      <w:r w:rsidRPr="00E65580">
        <w:t>Penalties</w:t>
      </w:r>
    </w:p>
    <w:p w14:paraId="364976EC" w14:textId="2BE8AF39" w:rsidR="000B50AF" w:rsidRPr="00E65580" w:rsidRDefault="000B50AF" w:rsidP="00246BA8">
      <w:pPr>
        <w:spacing w:after="240"/>
        <w:ind w:left="720"/>
      </w:pPr>
      <w:r w:rsidRPr="00E65580">
        <w:t>Docket T</w:t>
      </w:r>
      <w:r w:rsidR="0091092A">
        <w:t>V-170233</w:t>
      </w:r>
    </w:p>
    <w:p w14:paraId="08C7C3A6" w14:textId="2A3E4447" w:rsidR="000B50AF" w:rsidRPr="00E65580" w:rsidRDefault="000B50AF" w:rsidP="00246BA8">
      <w:pPr>
        <w:spacing w:after="240"/>
      </w:pPr>
      <w:r w:rsidRPr="00E65580">
        <w:t>Dear Mr. King:</w:t>
      </w:r>
    </w:p>
    <w:p w14:paraId="0B1E5116" w14:textId="4C6C9DDE" w:rsidR="00E11E5B" w:rsidRDefault="009C1E93" w:rsidP="00E11E5B">
      <w:pPr>
        <w:spacing w:after="240"/>
      </w:pPr>
      <w:r>
        <w:t xml:space="preserve">On February 23, 2017, </w:t>
      </w:r>
      <w:r w:rsidR="00E11E5B" w:rsidRPr="00C2018A">
        <w:t>Motor Carrier Safety Investigator Sandi Yeomans conducted a compliance review invest</w:t>
      </w:r>
      <w:r w:rsidR="00E11E5B" w:rsidRPr="00F263C4">
        <w:t>igation, an in-depth examination of the motor carrier's compliance with regulations that the FMCSA has identified as “acute” or “critical.”</w:t>
      </w:r>
      <w:r w:rsidR="00E11E5B" w:rsidRPr="00F263C4">
        <w:rPr>
          <w:rStyle w:val="FootnoteReference"/>
          <w:sz w:val="24"/>
        </w:rPr>
        <w:footnoteReference w:id="1"/>
      </w:r>
      <w:r w:rsidR="00E11E5B" w:rsidRPr="00F263C4">
        <w:t xml:space="preserve"> Acute regulations are identified where non-compliance is so severe as to require immediate corrective action regardless of the overall safety posture of the motor carrier. Violations of critical regulations are generally indicative of breakdowns in a carrier's management controls. Non-compliance with acute regulations and patterns of non-compliance with critical regulations are quantitatively linked to inadequate safety management controls and unusually higher than average accident rates.</w:t>
      </w:r>
      <w:r w:rsidR="00E11E5B" w:rsidRPr="00F263C4">
        <w:rPr>
          <w:rStyle w:val="FootnoteReference"/>
          <w:sz w:val="24"/>
        </w:rPr>
        <w:footnoteReference w:id="2"/>
      </w:r>
      <w:r w:rsidR="00E11E5B">
        <w:t xml:space="preserve"> Ms. Yeomans</w:t>
      </w:r>
      <w:r w:rsidR="00E11E5B" w:rsidRPr="00F263C4">
        <w:t xml:space="preserve"> docume</w:t>
      </w:r>
      <w:r w:rsidR="00E11E5B" w:rsidRPr="000707D4">
        <w:t xml:space="preserve">nted </w:t>
      </w:r>
      <w:r w:rsidR="00E11E5B">
        <w:t>103</w:t>
      </w:r>
      <w:r w:rsidR="00E11E5B" w:rsidRPr="000707D4">
        <w:t xml:space="preserve"> violations of critical regulations, all of which were first-time violations, resulting in a </w:t>
      </w:r>
      <w:r w:rsidR="00E11E5B">
        <w:t>satisfactory</w:t>
      </w:r>
      <w:r w:rsidR="00E11E5B" w:rsidRPr="000707D4">
        <w:t xml:space="preserve"> safety rating.</w:t>
      </w:r>
    </w:p>
    <w:p w14:paraId="5A1159B7" w14:textId="229B60CE" w:rsidR="00E11E5B" w:rsidRDefault="00E11E5B" w:rsidP="00E11E5B">
      <w:pPr>
        <w:spacing w:after="240"/>
      </w:pPr>
      <w:r w:rsidRPr="000707D4">
        <w:t xml:space="preserve">The </w:t>
      </w:r>
      <w:r>
        <w:t xml:space="preserve">Washington Utilities and Transportation </w:t>
      </w:r>
      <w:r w:rsidRPr="000707D4">
        <w:t xml:space="preserve">Commission’s </w:t>
      </w:r>
      <w:r>
        <w:t xml:space="preserve">(Commission) </w:t>
      </w:r>
      <w:r w:rsidRPr="000707D4">
        <w:t>Enforcement Policy provides that some Commission requirements are so essential to safe operations that the Commission may issue penalties for a first-time violation,</w:t>
      </w:r>
      <w:r>
        <w:t xml:space="preserve"> even if </w:t>
      </w:r>
      <w:r w:rsidR="00817C58">
        <w:t>Commission S</w:t>
      </w:r>
      <w:r w:rsidRPr="000707D4">
        <w:t>taff</w:t>
      </w:r>
      <w:r w:rsidR="00817C58">
        <w:t xml:space="preserve"> (Staff)</w:t>
      </w:r>
      <w:r w:rsidRPr="000707D4">
        <w:t xml:space="preserve"> has not previously provided technical assistance on specific issues. The Commission will assess penalties for any repeat violations of critical regulations, including for each </w:t>
      </w:r>
      <w:r w:rsidRPr="00CA5C4D">
        <w:t>occurrence of a repeat violation.</w:t>
      </w:r>
      <w:r w:rsidRPr="00CA5C4D">
        <w:rPr>
          <w:rStyle w:val="FootnoteReference"/>
          <w:sz w:val="24"/>
        </w:rPr>
        <w:footnoteReference w:id="3"/>
      </w:r>
    </w:p>
    <w:p w14:paraId="7277A7A4" w14:textId="66AB97B9" w:rsidR="00E11E5B" w:rsidRPr="00BD72A4" w:rsidRDefault="00E11E5B" w:rsidP="00E11E5B">
      <w:pPr>
        <w:spacing w:after="240"/>
      </w:pPr>
      <w:r w:rsidRPr="006A2F95">
        <w:rPr>
          <w:bCs/>
        </w:rPr>
        <w:lastRenderedPageBreak/>
        <w:t>Revised</w:t>
      </w:r>
      <w:r w:rsidRPr="00BD72A4">
        <w:t xml:space="preserve"> Code of Washington (RCW) 8l.04.405 allows penalties of one hundred dollars</w:t>
      </w:r>
      <w:r>
        <w:t xml:space="preserve"> for each violation of </w:t>
      </w:r>
      <w:r w:rsidRPr="00BD72A4">
        <w:t xml:space="preserve">CFR Part 391 and </w:t>
      </w:r>
      <w:r>
        <w:t xml:space="preserve">CFR </w:t>
      </w:r>
      <w:r w:rsidRPr="00BD72A4">
        <w:t xml:space="preserve">Part 395. In the case of an ongoing violation, every day's continuance is considered a separate and distinct violation. </w:t>
      </w:r>
    </w:p>
    <w:p w14:paraId="1DFF9EB1" w14:textId="4FF9F3FE" w:rsidR="00E11E5B" w:rsidRPr="000707D4" w:rsidRDefault="00E11E5B" w:rsidP="00E11E5B">
      <w:pPr>
        <w:spacing w:after="240"/>
      </w:pPr>
      <w:r>
        <w:t>Safe-To-Go-Movers, LLC d/b/a James &amp; John Movers</w:t>
      </w:r>
      <w:r w:rsidRPr="00E65580">
        <w:t xml:space="preserve"> (</w:t>
      </w:r>
      <w:r>
        <w:t>Safe-To-Go-Movers or Company</w:t>
      </w:r>
      <w:r w:rsidRPr="00E65580">
        <w:t>)</w:t>
      </w:r>
      <w:r w:rsidR="00F5783A">
        <w:t xml:space="preserve"> </w:t>
      </w:r>
      <w:r w:rsidRPr="00AF4DCE">
        <w:t>operates as a household goods carrier under permi</w:t>
      </w:r>
      <w:r>
        <w:t>t number HG-66130</w:t>
      </w:r>
      <w:r w:rsidRPr="00AF4DCE">
        <w:t xml:space="preserve">. In its application for household goods moving authority filed with </w:t>
      </w:r>
      <w:r>
        <w:t>the Commission in September 2015</w:t>
      </w:r>
      <w:r w:rsidRPr="00AF4DCE">
        <w:t xml:space="preserve">, </w:t>
      </w:r>
      <w:r w:rsidRPr="00C2018A">
        <w:t>James Mwangi acknowledged the Company’s responsibility to understand and comply with applicable motor carrier safety rules and regulations. On March 17, 2016, Dartaniun Cox, an employee representing Safe-To-Go-Movers, attended household goods training prov</w:t>
      </w:r>
      <w:r w:rsidR="00817C58">
        <w:t>ided by Staff</w:t>
      </w:r>
      <w:r w:rsidRPr="00C2018A">
        <w:t>, and Mr. Cox acknowledged that training was received regarding motor carrier safety regulations.</w:t>
      </w:r>
      <w:r w:rsidRPr="00F263C4">
        <w:t xml:space="preserve"> </w:t>
      </w:r>
    </w:p>
    <w:p w14:paraId="0D6650B6" w14:textId="0F1A4EF3" w:rsidR="00966182" w:rsidRPr="00E65580" w:rsidRDefault="0091092A" w:rsidP="00246BA8">
      <w:pPr>
        <w:spacing w:after="240"/>
      </w:pPr>
      <w:r>
        <w:t>On April 19</w:t>
      </w:r>
      <w:r w:rsidR="00311A32" w:rsidRPr="00246BA8">
        <w:t>, 2017</w:t>
      </w:r>
      <w:r w:rsidR="0035014E" w:rsidRPr="00246BA8">
        <w:t>, the</w:t>
      </w:r>
      <w:r w:rsidR="00E11E5B">
        <w:t xml:space="preserve"> </w:t>
      </w:r>
      <w:r w:rsidR="00AB7979" w:rsidRPr="00246BA8">
        <w:t>C</w:t>
      </w:r>
      <w:r w:rsidR="00E11E5B">
        <w:t xml:space="preserve">ommission </w:t>
      </w:r>
      <w:r w:rsidR="000B50AF" w:rsidRPr="00246BA8">
        <w:t>issued Penalty Assessment T</w:t>
      </w:r>
      <w:r w:rsidR="003C1164">
        <w:t>V</w:t>
      </w:r>
      <w:r w:rsidR="000B50AF" w:rsidRPr="00E65580">
        <w:t>-</w:t>
      </w:r>
      <w:r>
        <w:t>170233</w:t>
      </w:r>
      <w:r w:rsidR="000B50AF" w:rsidRPr="00E65580">
        <w:t xml:space="preserve"> against </w:t>
      </w:r>
      <w:r>
        <w:t>Safe-To-Go-Movers</w:t>
      </w:r>
      <w:r w:rsidR="006C0239" w:rsidRPr="00E65580">
        <w:t xml:space="preserve"> in the amount of </w:t>
      </w:r>
      <w:r>
        <w:t>$10,2</w:t>
      </w:r>
      <w:r w:rsidR="00674499" w:rsidRPr="00E65580">
        <w:t>00</w:t>
      </w:r>
      <w:r w:rsidR="0035187E" w:rsidRPr="00E65580">
        <w:t xml:space="preserve"> </w:t>
      </w:r>
      <w:r w:rsidR="00EB0DD5">
        <w:t xml:space="preserve">for </w:t>
      </w:r>
      <w:r>
        <w:t>103</w:t>
      </w:r>
      <w:r w:rsidR="00DA21B3" w:rsidRPr="00E65580">
        <w:t xml:space="preserve"> </w:t>
      </w:r>
      <w:r w:rsidR="00555804" w:rsidRPr="00E65580">
        <w:t xml:space="preserve">critical </w:t>
      </w:r>
      <w:r w:rsidR="002B6420" w:rsidRPr="00E65580">
        <w:t>v</w:t>
      </w:r>
      <w:r w:rsidR="00245AF9" w:rsidRPr="00E65580">
        <w:t>iolation</w:t>
      </w:r>
      <w:r w:rsidR="00EC14C3" w:rsidRPr="00E65580">
        <w:t>s of</w:t>
      </w:r>
      <w:r w:rsidR="00EB0DD5">
        <w:t xml:space="preserve"> Washington Administrative Code (</w:t>
      </w:r>
      <w:r w:rsidR="00EC14C3" w:rsidRPr="00E65580">
        <w:t>WAC</w:t>
      </w:r>
      <w:r w:rsidR="00EB0DD5">
        <w:t>)</w:t>
      </w:r>
      <w:r w:rsidR="00EC14C3" w:rsidRPr="00E65580">
        <w:t xml:space="preserve"> </w:t>
      </w:r>
      <w:r w:rsidR="003C1164" w:rsidRPr="00E74D29">
        <w:t>480-</w:t>
      </w:r>
      <w:r w:rsidR="003C1164">
        <w:t>15</w:t>
      </w:r>
      <w:r w:rsidR="003C1164" w:rsidRPr="00E74D29">
        <w:t>-</w:t>
      </w:r>
      <w:r w:rsidR="003C1164">
        <w:t xml:space="preserve">570 Driver Safety Requirements, which requires household goods carriers to comply with </w:t>
      </w:r>
      <w:bookmarkStart w:id="0" w:name="_Hlk473274178"/>
      <w:r w:rsidR="003C1164">
        <w:t>Title 49 Code of Federal Regulations (CFR) Part 391 – Qualifications of Drivers, and CFR Part 395 – Hours of Service of Drivers</w:t>
      </w:r>
      <w:bookmarkEnd w:id="0"/>
      <w:r w:rsidR="0035187E" w:rsidRPr="00E65580">
        <w:rPr>
          <w:bCs/>
        </w:rPr>
        <w:t>, as follows:</w:t>
      </w:r>
    </w:p>
    <w:p w14:paraId="5F67D5B7" w14:textId="440DF870" w:rsidR="00D8149D" w:rsidRPr="009120B2" w:rsidRDefault="004E5F89" w:rsidP="00D8149D">
      <w:pPr>
        <w:pStyle w:val="ListParagraph"/>
        <w:numPr>
          <w:ilvl w:val="0"/>
          <w:numId w:val="14"/>
        </w:numPr>
        <w:spacing w:after="240"/>
        <w:contextualSpacing w:val="0"/>
      </w:pPr>
      <w:bookmarkStart w:id="1" w:name="_Hlk472514048"/>
      <w:bookmarkStart w:id="2" w:name="_Hlk472512478"/>
      <w:r>
        <w:rPr>
          <w:b/>
        </w:rPr>
        <w:t>One hundred one</w:t>
      </w:r>
      <w:r w:rsidR="00D8149D">
        <w:rPr>
          <w:b/>
        </w:rPr>
        <w:t xml:space="preserve"> violations </w:t>
      </w:r>
      <w:r w:rsidR="00D8149D" w:rsidRPr="009120B2">
        <w:rPr>
          <w:b/>
        </w:rPr>
        <w:t xml:space="preserve">of CFR 391.45(a) – Using a driver not medically examined and certified. </w:t>
      </w:r>
      <w:r w:rsidR="00D8149D" w:rsidRPr="009120B2">
        <w:t>Safe-To-Go-Movers allowed employee William Baker to drive on 101 occasions from August 1 to December 12, 2016</w:t>
      </w:r>
      <w:r w:rsidR="00D8149D">
        <w:t>,</w:t>
      </w:r>
      <w:r w:rsidR="00D8149D" w:rsidRPr="009120B2">
        <w:t xml:space="preserve"> without having been medically examined and certified.</w:t>
      </w:r>
    </w:p>
    <w:bookmarkEnd w:id="1"/>
    <w:p w14:paraId="2D7EA812" w14:textId="239BAC39" w:rsidR="00D8149D" w:rsidRPr="009120B2" w:rsidRDefault="004E5F89" w:rsidP="00D8149D">
      <w:pPr>
        <w:pStyle w:val="ListParagraph"/>
        <w:numPr>
          <w:ilvl w:val="0"/>
          <w:numId w:val="14"/>
        </w:numPr>
        <w:spacing w:after="240"/>
        <w:contextualSpacing w:val="0"/>
      </w:pPr>
      <w:r>
        <w:rPr>
          <w:b/>
        </w:rPr>
        <w:t>Two</w:t>
      </w:r>
      <w:r w:rsidR="00D8149D" w:rsidRPr="009120B2">
        <w:rPr>
          <w:b/>
        </w:rPr>
        <w:t xml:space="preserve"> violations of CFR 395.8(a) – Failing to require driver to make a record of duty status. </w:t>
      </w:r>
      <w:r w:rsidR="00D8149D" w:rsidRPr="009120B2">
        <w:t xml:space="preserve">Safe-To-Go-Movers allowed employees James Mwangi and William Baker to drive without making a record of duty status while not under short haul exemption on </w:t>
      </w:r>
      <w:r w:rsidR="00D8149D">
        <w:t>two</w:t>
      </w:r>
      <w:r w:rsidR="00D8149D" w:rsidRPr="009120B2">
        <w:t xml:space="preserve"> separate occasions. The violations occur</w:t>
      </w:r>
      <w:r w:rsidR="00D8149D">
        <w:t>red on December 12, 2016, and January 5, 2017.</w:t>
      </w:r>
    </w:p>
    <w:bookmarkEnd w:id="2"/>
    <w:p w14:paraId="50391947" w14:textId="7DEF395B" w:rsidR="00661B87" w:rsidRDefault="007436C2" w:rsidP="001574E8">
      <w:pPr>
        <w:spacing w:after="240"/>
      </w:pPr>
      <w:r w:rsidRPr="007436C2">
        <w:t xml:space="preserve">On </w:t>
      </w:r>
      <w:r w:rsidRPr="00AD157F">
        <w:t>April</w:t>
      </w:r>
      <w:r w:rsidR="009420CA" w:rsidRPr="00AD157F">
        <w:t xml:space="preserve"> 27</w:t>
      </w:r>
      <w:r w:rsidR="00A749C9" w:rsidRPr="00AD157F">
        <w:t>,</w:t>
      </w:r>
      <w:r w:rsidR="009420CA" w:rsidRPr="00AD157F">
        <w:t xml:space="preserve"> 2017</w:t>
      </w:r>
      <w:r w:rsidR="00126F07" w:rsidRPr="00AD157F">
        <w:t>,</w:t>
      </w:r>
      <w:r w:rsidR="00A749C9" w:rsidRPr="00AD157F">
        <w:t xml:space="preserve"> </w:t>
      </w:r>
      <w:r w:rsidRPr="00AD157F">
        <w:t>Safe-To-Go-Movers</w:t>
      </w:r>
      <w:r w:rsidR="00A749C9" w:rsidRPr="00AD157F">
        <w:t xml:space="preserve"> filed with the Commission its application for mitigation of pen</w:t>
      </w:r>
      <w:r w:rsidR="00A749C9" w:rsidRPr="00C2018A">
        <w:t xml:space="preserve">alties. </w:t>
      </w:r>
      <w:r w:rsidRPr="00C2018A">
        <w:t>James Mwangi</w:t>
      </w:r>
      <w:r w:rsidR="00AD157F" w:rsidRPr="00C2018A">
        <w:t>, general manager and owner of Safe-To-Go-Movers</w:t>
      </w:r>
      <w:r w:rsidR="00817C58">
        <w:t>, admitted</w:t>
      </w:r>
      <w:r w:rsidR="00C17FE6" w:rsidRPr="00C2018A">
        <w:t xml:space="preserve"> the violations, p</w:t>
      </w:r>
      <w:r w:rsidR="00817C58">
        <w:t>rovided</w:t>
      </w:r>
      <w:r w:rsidR="004E5F89" w:rsidRPr="00C2018A">
        <w:t xml:space="preserve"> an </w:t>
      </w:r>
      <w:r w:rsidR="00C17FE6" w:rsidRPr="00C2018A">
        <w:t>explanation of the correc</w:t>
      </w:r>
      <w:r w:rsidR="00A41356" w:rsidRPr="00C2018A">
        <w:t>tive action steps taken by the C</w:t>
      </w:r>
      <w:r w:rsidR="00C17FE6" w:rsidRPr="00C2018A">
        <w:t>ompany</w:t>
      </w:r>
      <w:r w:rsidR="004E5F89" w:rsidRPr="00C2018A">
        <w:t xml:space="preserve"> pertaining to the </w:t>
      </w:r>
      <w:r w:rsidR="001574E8">
        <w:t>medical certification</w:t>
      </w:r>
      <w:r w:rsidR="004E5F89" w:rsidRPr="00C2018A">
        <w:t xml:space="preserve"> violations</w:t>
      </w:r>
      <w:r w:rsidR="00817C58">
        <w:t>, and asked</w:t>
      </w:r>
      <w:r w:rsidR="00C17FE6" w:rsidRPr="00C2018A">
        <w:t xml:space="preserve"> that the penalties be reduced for</w:t>
      </w:r>
      <w:r w:rsidR="00292A40" w:rsidRPr="00C2018A">
        <w:t xml:space="preserve"> </w:t>
      </w:r>
      <w:r w:rsidR="00C17FE6" w:rsidRPr="00C2018A">
        <w:t>reasons set out in his response</w:t>
      </w:r>
      <w:r w:rsidR="00AF4DCE" w:rsidRPr="00C2018A">
        <w:t>.</w:t>
      </w:r>
    </w:p>
    <w:p w14:paraId="2C554789" w14:textId="7F262C2E" w:rsidR="00635727" w:rsidRDefault="00817C58" w:rsidP="0092134B">
      <w:pPr>
        <w:spacing w:after="240"/>
      </w:pPr>
      <w:r>
        <w:t xml:space="preserve">On May 3, 2017, </w:t>
      </w:r>
      <w:r w:rsidR="00BA0192">
        <w:t xml:space="preserve">Staff issued </w:t>
      </w:r>
      <w:r w:rsidR="0092134B">
        <w:t>a response</w:t>
      </w:r>
      <w:r w:rsidR="00BA0192">
        <w:t xml:space="preserve"> to the Commission regarding Safe-To-Go-Movers’ application for mitigation of penalties. In the letter</w:t>
      </w:r>
      <w:r w:rsidR="006F6F44">
        <w:t>,</w:t>
      </w:r>
      <w:r w:rsidR="00BA0192">
        <w:t xml:space="preserve"> Staff recommended that the </w:t>
      </w:r>
      <w:r w:rsidR="0092134B">
        <w:t xml:space="preserve">$10,100 assessed penalty </w:t>
      </w:r>
      <w:r w:rsidR="00BA0192">
        <w:t>for 101 occurrences of CFR 391.45(a)</w:t>
      </w:r>
      <w:r w:rsidR="0092134B">
        <w:t xml:space="preserve"> be reduced $5,000,</w:t>
      </w:r>
      <w:r w:rsidR="00A52866">
        <w:t xml:space="preserve"> and</w:t>
      </w:r>
      <w:r w:rsidR="00BA0192">
        <w:t xml:space="preserve"> recommended no mitigation of the $100 assessed penalty fo</w:t>
      </w:r>
      <w:r w:rsidR="00CC6639">
        <w:t>r 2 violations</w:t>
      </w:r>
      <w:r w:rsidR="0092134B">
        <w:t xml:space="preserve"> of CFR 395.8(a). Staff’s recommendation</w:t>
      </w:r>
      <w:r w:rsidR="005A4632">
        <w:t xml:space="preserve"> to the Commission</w:t>
      </w:r>
      <w:r w:rsidR="0092134B">
        <w:t xml:space="preserve"> was </w:t>
      </w:r>
      <w:r w:rsidR="00BA0192" w:rsidRPr="003A5E3C">
        <w:t xml:space="preserve">that the </w:t>
      </w:r>
      <w:r w:rsidR="005A4632">
        <w:t>assessed</w:t>
      </w:r>
      <w:r w:rsidR="00CC6639">
        <w:t xml:space="preserve"> </w:t>
      </w:r>
      <w:r w:rsidR="00BA0192" w:rsidRPr="003A5E3C">
        <w:t>penalty of $10,2</w:t>
      </w:r>
      <w:r w:rsidR="0092134B">
        <w:t>00 be reduced</w:t>
      </w:r>
      <w:r w:rsidR="00BA0192" w:rsidRPr="003A5E3C">
        <w:t xml:space="preserve"> to $5,200.</w:t>
      </w:r>
      <w:bookmarkStart w:id="3" w:name="_GoBack"/>
      <w:bookmarkEnd w:id="3"/>
    </w:p>
    <w:p w14:paraId="46ED2236" w14:textId="76F2226B" w:rsidR="0092134B" w:rsidRDefault="0092134B" w:rsidP="0092134B">
      <w:pPr>
        <w:spacing w:after="240"/>
      </w:pPr>
      <w:r>
        <w:t>On</w:t>
      </w:r>
      <w:r w:rsidR="00CC6639">
        <w:t xml:space="preserve"> May 8, 2017,</w:t>
      </w:r>
      <w:r>
        <w:t xml:space="preserve"> the C</w:t>
      </w:r>
      <w:r w:rsidR="00CC6639">
        <w:t>ommission issued an order</w:t>
      </w:r>
      <w:r>
        <w:t xml:space="preserve"> granting </w:t>
      </w:r>
      <w:r w:rsidR="00B83FF6">
        <w:t xml:space="preserve">mitigation to $5,200. </w:t>
      </w:r>
      <w:r w:rsidR="00CC6639">
        <w:t>In the order, Safe-To-Go-Movers was ordered to either pay the penalty or file jointly with Staff a proposed payment arrangement no later than May 19, 2017.</w:t>
      </w:r>
    </w:p>
    <w:p w14:paraId="58EA2EBD" w14:textId="39CF0F65" w:rsidR="00CC6639" w:rsidRDefault="00CC6639" w:rsidP="0092134B">
      <w:pPr>
        <w:spacing w:after="240"/>
      </w:pPr>
      <w:r>
        <w:lastRenderedPageBreak/>
        <w:t xml:space="preserve">On May 16, 2017, </w:t>
      </w:r>
      <w:r w:rsidR="00951E59">
        <w:t xml:space="preserve">James Mwangi of </w:t>
      </w:r>
      <w:r>
        <w:t xml:space="preserve">Safe-To-Go-Movers filed with the Commission a request </w:t>
      </w:r>
      <w:r w:rsidR="00B83FF6">
        <w:t xml:space="preserve">for review of Order 01. </w:t>
      </w:r>
      <w:r w:rsidR="00951E59">
        <w:t xml:space="preserve">In the request, the Company states that while it is grateful for the reduction of the penalty, it is still overwhelmed by the remaining amount due. </w:t>
      </w:r>
      <w:r w:rsidR="00EF2866">
        <w:t xml:space="preserve">Safe-To-Go-Movers asks the Commission to review the mitigated penalty amount, and asks for relief. </w:t>
      </w:r>
    </w:p>
    <w:p w14:paraId="5C0821D9" w14:textId="1CA83A86" w:rsidR="002D59C6" w:rsidRDefault="002D59C6" w:rsidP="002D59C6">
      <w:r w:rsidRPr="002D59C6">
        <w:rPr>
          <w:b/>
        </w:rPr>
        <w:t>Staff response:</w:t>
      </w:r>
      <w:r>
        <w:t xml:space="preserve"> Safe-To-Go-Movers allowed an emp</w:t>
      </w:r>
      <w:r w:rsidR="009344AF">
        <w:t>loyee to drive</w:t>
      </w:r>
      <w:r>
        <w:t xml:space="preserve"> without having been medically exa</w:t>
      </w:r>
      <w:r w:rsidR="009344AF">
        <w:t>mined and certified. These violations potentially exposed the traveling public to</w:t>
      </w:r>
      <w:r>
        <w:t xml:space="preserve"> significa</w:t>
      </w:r>
      <w:r w:rsidR="009344AF">
        <w:t xml:space="preserve">nt risks on 101 separate trips, as </w:t>
      </w:r>
      <w:r>
        <w:t xml:space="preserve">Mr. </w:t>
      </w:r>
      <w:r w:rsidR="009344AF">
        <w:t>Baker could have had</w:t>
      </w:r>
      <w:r w:rsidR="00C82309">
        <w:t xml:space="preserve"> a serious</w:t>
      </w:r>
      <w:r w:rsidR="009344AF">
        <w:t xml:space="preserve"> undiagnosed medical condition.</w:t>
      </w:r>
      <w:r w:rsidR="00C57DF3">
        <w:t xml:space="preserve"> It is for this reason that Staff believes the </w:t>
      </w:r>
      <w:r w:rsidR="00C82309">
        <w:t xml:space="preserve">mitigated penalty of $5,200 is sufficient, and does not warrant further reduction. The Company expressed a concern with the final penalty amount impacting its business, and Staff believes that payment arrangements would be a </w:t>
      </w:r>
      <w:r w:rsidR="00344DBE">
        <w:t>beneficial option for Safe-To-Go-Movers to lessen the financial burden of the penalty.</w:t>
      </w:r>
    </w:p>
    <w:p w14:paraId="3DC4A47E" w14:textId="77777777" w:rsidR="00C82309" w:rsidRPr="006F6D4C" w:rsidRDefault="00C82309" w:rsidP="00C82309"/>
    <w:p w14:paraId="7BE8728B" w14:textId="28B7380A" w:rsidR="00F8486F" w:rsidRPr="00E65580" w:rsidRDefault="000B50AF" w:rsidP="00BD1AD3">
      <w:pPr>
        <w:pStyle w:val="BodyText"/>
        <w:widowControl/>
      </w:pPr>
      <w:r w:rsidRPr="00E65580">
        <w:t xml:space="preserve">If you have any questions, please contact </w:t>
      </w:r>
      <w:r w:rsidR="00535796" w:rsidRPr="00E65580">
        <w:t>Jason Hoxit</w:t>
      </w:r>
      <w:r w:rsidRPr="00E65580">
        <w:t>, Compliance Investigator, Tra</w:t>
      </w:r>
      <w:r w:rsidR="00535796" w:rsidRPr="00E65580">
        <w:t>nsportation Safety, at 360-664-1320</w:t>
      </w:r>
      <w:r w:rsidRPr="00E65580">
        <w:t xml:space="preserve">, or by e-mail at </w:t>
      </w:r>
      <w:hyperlink r:id="rId12" w:history="1"/>
      <w:r w:rsidR="00535796" w:rsidRPr="00E65580">
        <w:t>JHoxit@utc.wa.gov.</w:t>
      </w:r>
    </w:p>
    <w:p w14:paraId="0396E7CE" w14:textId="1F7F2813" w:rsidR="000B50AF" w:rsidRPr="00E65580" w:rsidRDefault="000B50AF" w:rsidP="00BD1AD3">
      <w:pPr>
        <w:pStyle w:val="BodyText"/>
        <w:widowControl/>
      </w:pPr>
      <w:r w:rsidRPr="00E65580">
        <w:t xml:space="preserve"> </w:t>
      </w:r>
    </w:p>
    <w:p w14:paraId="4F477B10" w14:textId="77777777" w:rsidR="000B50AF" w:rsidRPr="00E65580" w:rsidRDefault="000B50AF" w:rsidP="00BD1AD3"/>
    <w:p w14:paraId="0448FB9E" w14:textId="77777777" w:rsidR="000B50AF" w:rsidRPr="00E65580" w:rsidRDefault="000B50AF" w:rsidP="00BD1AD3">
      <w:r w:rsidRPr="00E65580">
        <w:t>Sincerely,</w:t>
      </w:r>
    </w:p>
    <w:p w14:paraId="7EE997F7" w14:textId="77777777" w:rsidR="000B50AF" w:rsidRPr="00E65580" w:rsidRDefault="000B50AF" w:rsidP="00BD1AD3"/>
    <w:p w14:paraId="6277C814" w14:textId="77777777" w:rsidR="000B50AF" w:rsidRPr="00E65580" w:rsidRDefault="000B50AF" w:rsidP="00BD1AD3"/>
    <w:p w14:paraId="28439018" w14:textId="77777777" w:rsidR="000B50AF" w:rsidRPr="00E65580" w:rsidRDefault="000B50AF" w:rsidP="00BD1AD3"/>
    <w:p w14:paraId="42FBA09E" w14:textId="77777777" w:rsidR="000B50AF" w:rsidRPr="00E65580" w:rsidRDefault="000B50AF" w:rsidP="00BD1AD3">
      <w:r w:rsidRPr="00E65580">
        <w:t>David Pratt</w:t>
      </w:r>
    </w:p>
    <w:p w14:paraId="0363663C" w14:textId="3512F6DD" w:rsidR="004273E3" w:rsidRPr="00E65580" w:rsidRDefault="000B50AF" w:rsidP="00BD1AD3">
      <w:r w:rsidRPr="00E65580">
        <w:t>Assistant Director, Transportation Safety</w:t>
      </w:r>
    </w:p>
    <w:sectPr w:rsidR="004273E3" w:rsidRPr="00E65580" w:rsidSect="004F11FD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ADEB3" w14:textId="77777777" w:rsidR="00D1123C" w:rsidRDefault="00D1123C" w:rsidP="00AB61BF">
      <w:r>
        <w:separator/>
      </w:r>
    </w:p>
  </w:endnote>
  <w:endnote w:type="continuationSeparator" w:id="0">
    <w:p w14:paraId="4ADADB17" w14:textId="77777777" w:rsidR="00D1123C" w:rsidRDefault="00D1123C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C8EA" w14:textId="77777777" w:rsidR="004847F9" w:rsidRPr="00417016" w:rsidRDefault="004847F9" w:rsidP="004847F9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tab/>
    </w:r>
    <w:r>
      <w:rPr>
        <w:rFonts w:ascii="Arial" w:hAnsi="Arial" w:cs="Arial"/>
        <w:color w:val="008000"/>
        <w:sz w:val="18"/>
      </w:rPr>
      <w:t>Respect. Professionalism. Integrity. Accountability.</w:t>
    </w:r>
  </w:p>
  <w:p w14:paraId="11A7CAF6" w14:textId="4D791718" w:rsidR="004847F9" w:rsidRDefault="004847F9" w:rsidP="004847F9">
    <w:pPr>
      <w:pStyle w:val="Footer"/>
      <w:tabs>
        <w:tab w:val="clear" w:pos="4680"/>
        <w:tab w:val="clear" w:pos="9360"/>
        <w:tab w:val="left" w:pos="3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66B83" w14:textId="77777777" w:rsidR="00D1123C" w:rsidRDefault="00D1123C" w:rsidP="00AB61BF">
      <w:r>
        <w:separator/>
      </w:r>
    </w:p>
  </w:footnote>
  <w:footnote w:type="continuationSeparator" w:id="0">
    <w:p w14:paraId="65F074B6" w14:textId="77777777" w:rsidR="00D1123C" w:rsidRDefault="00D1123C" w:rsidP="00AB61BF">
      <w:r>
        <w:continuationSeparator/>
      </w:r>
    </w:p>
  </w:footnote>
  <w:footnote w:id="1">
    <w:p w14:paraId="25196234" w14:textId="77777777" w:rsidR="00E11E5B" w:rsidRDefault="00E11E5B" w:rsidP="00E11E5B">
      <w:pPr>
        <w:pStyle w:val="FootnoteText"/>
        <w:tabs>
          <w:tab w:val="left" w:pos="5544"/>
        </w:tabs>
      </w:pPr>
      <w:r>
        <w:rPr>
          <w:rStyle w:val="FootnoteReference"/>
        </w:rPr>
        <w:footnoteRef/>
      </w:r>
      <w:r>
        <w:t xml:space="preserve"> </w:t>
      </w:r>
      <w:r w:rsidRPr="007466D4">
        <w:rPr>
          <w:bCs/>
          <w:iCs/>
        </w:rPr>
        <w:t xml:space="preserve">Code of Federal Regulations, </w:t>
      </w:r>
      <w:r w:rsidRPr="002715FF">
        <w:rPr>
          <w:bCs/>
          <w:iCs/>
        </w:rPr>
        <w:t>Appendix B to Part 385—Explanation of safety rating process</w:t>
      </w:r>
    </w:p>
  </w:footnote>
  <w:footnote w:id="2">
    <w:p w14:paraId="59D93AFB" w14:textId="77777777" w:rsidR="00E11E5B" w:rsidRDefault="00E11E5B" w:rsidP="00E11E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3495">
        <w:rPr>
          <w:i/>
        </w:rPr>
        <w:t>Id.</w:t>
      </w:r>
    </w:p>
  </w:footnote>
  <w:footnote w:id="3">
    <w:p w14:paraId="7EA6C215" w14:textId="77777777" w:rsidR="00E11E5B" w:rsidRDefault="00E11E5B" w:rsidP="00E11E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66D4">
        <w:rPr>
          <w:bCs/>
          <w:iCs/>
        </w:rPr>
        <w:t>Docket A-120061 – Enforcement Policy of the Washington Utilities &amp; Transportation Commission – Section 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99D9" w14:textId="69893947" w:rsidR="00245AF9" w:rsidRPr="00987B4C" w:rsidRDefault="00245AF9">
    <w:pPr>
      <w:pStyle w:val="Header"/>
    </w:pPr>
    <w:r w:rsidRPr="00987B4C">
      <w:t>Steven King</w:t>
    </w:r>
  </w:p>
  <w:p w14:paraId="50675540" w14:textId="405BDE55" w:rsidR="00245AF9" w:rsidRPr="00987B4C" w:rsidRDefault="001F52CF">
    <w:pPr>
      <w:pStyle w:val="Header"/>
    </w:pPr>
    <w:r>
      <w:t xml:space="preserve">May </w:t>
    </w:r>
    <w:r w:rsidR="00817C58">
      <w:t>2</w:t>
    </w:r>
    <w:r>
      <w:t>3</w:t>
    </w:r>
    <w:r w:rsidR="00311A32">
      <w:t>, 2017</w:t>
    </w:r>
  </w:p>
  <w:p w14:paraId="1FF9850D" w14:textId="1BC347FE" w:rsidR="00982D29" w:rsidRDefault="00245AF9">
    <w:pPr>
      <w:pStyle w:val="Header"/>
      <w:rPr>
        <w:noProof/>
      </w:rPr>
    </w:pPr>
    <w:r w:rsidRPr="00987B4C">
      <w:t xml:space="preserve">Page </w:t>
    </w:r>
    <w:r w:rsidR="005C43E3" w:rsidRPr="00987B4C">
      <w:fldChar w:fldCharType="begin"/>
    </w:r>
    <w:r w:rsidR="005C43E3" w:rsidRPr="00987B4C">
      <w:instrText xml:space="preserve"> PAGE   \* MERGEFORMAT </w:instrText>
    </w:r>
    <w:r w:rsidR="005C43E3" w:rsidRPr="00987B4C">
      <w:fldChar w:fldCharType="separate"/>
    </w:r>
    <w:r w:rsidR="005A4632">
      <w:rPr>
        <w:noProof/>
      </w:rPr>
      <w:t>3</w:t>
    </w:r>
    <w:r w:rsidR="005C43E3" w:rsidRPr="00987B4C">
      <w:rPr>
        <w:noProof/>
      </w:rPr>
      <w:fldChar w:fldCharType="end"/>
    </w:r>
  </w:p>
  <w:p w14:paraId="623EB605" w14:textId="77777777" w:rsidR="00311A32" w:rsidRPr="002647F3" w:rsidRDefault="00311A32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A698" w14:textId="77777777" w:rsidR="004847F9" w:rsidRDefault="004847F9" w:rsidP="004847F9">
    <w:pPr>
      <w:jc w:val="center"/>
    </w:pPr>
    <w:r>
      <w:rPr>
        <w:noProof/>
      </w:rPr>
      <w:drawing>
        <wp:inline distT="0" distB="0" distL="0" distR="0" wp14:anchorId="5FF82C16" wp14:editId="4EC02AE6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D4F774" w14:textId="77777777" w:rsidR="004847F9" w:rsidRDefault="004847F9" w:rsidP="004847F9">
    <w:pPr>
      <w:rPr>
        <w:sz w:val="14"/>
      </w:rPr>
    </w:pPr>
  </w:p>
  <w:p w14:paraId="3F25D5A3" w14:textId="77777777" w:rsidR="004847F9" w:rsidRDefault="004847F9" w:rsidP="004847F9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2981A669" w14:textId="77777777" w:rsidR="004847F9" w:rsidRDefault="004847F9" w:rsidP="004847F9">
    <w:pPr>
      <w:jc w:val="center"/>
      <w:rPr>
        <w:color w:val="008000"/>
        <w:sz w:val="8"/>
      </w:rPr>
    </w:pPr>
  </w:p>
  <w:p w14:paraId="6DD9CC9A" w14:textId="77777777" w:rsidR="004847F9" w:rsidRDefault="004847F9" w:rsidP="004847F9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78B3491" w14:textId="77777777" w:rsidR="004847F9" w:rsidRDefault="004847F9" w:rsidP="004847F9">
    <w:pPr>
      <w:jc w:val="center"/>
      <w:rPr>
        <w:i/>
        <w:color w:val="008000"/>
        <w:sz w:val="8"/>
      </w:rPr>
    </w:pPr>
  </w:p>
  <w:p w14:paraId="126C8C00" w14:textId="77777777" w:rsidR="004847F9" w:rsidRDefault="004847F9" w:rsidP="004847F9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9438FFF" w14:textId="77777777" w:rsidR="004847F9" w:rsidRPr="00A603E7" w:rsidRDefault="004847F9" w:rsidP="004847F9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52F95807" w14:textId="77777777" w:rsidR="004847F9" w:rsidRDefault="00484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4858"/>
    <w:multiLevelType w:val="hybridMultilevel"/>
    <w:tmpl w:val="3B74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3D0"/>
    <w:multiLevelType w:val="hybridMultilevel"/>
    <w:tmpl w:val="B536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3E8D"/>
    <w:multiLevelType w:val="hybridMultilevel"/>
    <w:tmpl w:val="AACCE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B43B6"/>
    <w:multiLevelType w:val="hybridMultilevel"/>
    <w:tmpl w:val="13AC10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890755D"/>
    <w:multiLevelType w:val="hybridMultilevel"/>
    <w:tmpl w:val="A0960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11E8A"/>
    <w:multiLevelType w:val="hybridMultilevel"/>
    <w:tmpl w:val="77A4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A4F90"/>
    <w:multiLevelType w:val="hybridMultilevel"/>
    <w:tmpl w:val="AAA64F96"/>
    <w:lvl w:ilvl="0" w:tplc="C6508776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F4517"/>
    <w:multiLevelType w:val="hybridMultilevel"/>
    <w:tmpl w:val="AE84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24EFA"/>
    <w:multiLevelType w:val="hybridMultilevel"/>
    <w:tmpl w:val="3B8A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25A40"/>
    <w:multiLevelType w:val="hybridMultilevel"/>
    <w:tmpl w:val="3B325E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2CA1AD5"/>
    <w:multiLevelType w:val="hybridMultilevel"/>
    <w:tmpl w:val="233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8268F"/>
    <w:multiLevelType w:val="hybridMultilevel"/>
    <w:tmpl w:val="E134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73AA4"/>
    <w:multiLevelType w:val="hybridMultilevel"/>
    <w:tmpl w:val="D51E9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5D6713"/>
    <w:multiLevelType w:val="hybridMultilevel"/>
    <w:tmpl w:val="46940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14C8D"/>
    <w:rsid w:val="00021EC2"/>
    <w:rsid w:val="00035109"/>
    <w:rsid w:val="00040682"/>
    <w:rsid w:val="000527DD"/>
    <w:rsid w:val="00055875"/>
    <w:rsid w:val="000637E3"/>
    <w:rsid w:val="00063930"/>
    <w:rsid w:val="00064ADC"/>
    <w:rsid w:val="00064F4B"/>
    <w:rsid w:val="000707D4"/>
    <w:rsid w:val="00070A1E"/>
    <w:rsid w:val="00086389"/>
    <w:rsid w:val="000876F5"/>
    <w:rsid w:val="00087ECD"/>
    <w:rsid w:val="000954B8"/>
    <w:rsid w:val="00096996"/>
    <w:rsid w:val="0009784F"/>
    <w:rsid w:val="000A639A"/>
    <w:rsid w:val="000B20F1"/>
    <w:rsid w:val="000B3BFA"/>
    <w:rsid w:val="000B4264"/>
    <w:rsid w:val="000B50AF"/>
    <w:rsid w:val="000B778A"/>
    <w:rsid w:val="000C0F24"/>
    <w:rsid w:val="000C58B3"/>
    <w:rsid w:val="000C5D14"/>
    <w:rsid w:val="000C76D7"/>
    <w:rsid w:val="000D3D22"/>
    <w:rsid w:val="000D603A"/>
    <w:rsid w:val="000E11BD"/>
    <w:rsid w:val="000E1C73"/>
    <w:rsid w:val="000E1E5B"/>
    <w:rsid w:val="000E4875"/>
    <w:rsid w:val="000E7251"/>
    <w:rsid w:val="000F02C6"/>
    <w:rsid w:val="000F797D"/>
    <w:rsid w:val="00111248"/>
    <w:rsid w:val="00117D9F"/>
    <w:rsid w:val="00120217"/>
    <w:rsid w:val="00120C4D"/>
    <w:rsid w:val="00121610"/>
    <w:rsid w:val="00126F07"/>
    <w:rsid w:val="0013094C"/>
    <w:rsid w:val="00131099"/>
    <w:rsid w:val="00131730"/>
    <w:rsid w:val="001341EA"/>
    <w:rsid w:val="00134E6B"/>
    <w:rsid w:val="0013536A"/>
    <w:rsid w:val="001353BD"/>
    <w:rsid w:val="00136FC8"/>
    <w:rsid w:val="0014327C"/>
    <w:rsid w:val="00145982"/>
    <w:rsid w:val="0014617A"/>
    <w:rsid w:val="00147032"/>
    <w:rsid w:val="00147DB5"/>
    <w:rsid w:val="0015306D"/>
    <w:rsid w:val="001574E8"/>
    <w:rsid w:val="001614C8"/>
    <w:rsid w:val="00163C6B"/>
    <w:rsid w:val="001804DD"/>
    <w:rsid w:val="0018490A"/>
    <w:rsid w:val="001866B3"/>
    <w:rsid w:val="0019312D"/>
    <w:rsid w:val="0019417F"/>
    <w:rsid w:val="001A38CA"/>
    <w:rsid w:val="001B14D3"/>
    <w:rsid w:val="001C449E"/>
    <w:rsid w:val="001C6369"/>
    <w:rsid w:val="001C7559"/>
    <w:rsid w:val="001D1800"/>
    <w:rsid w:val="001D74ED"/>
    <w:rsid w:val="001E6629"/>
    <w:rsid w:val="001E77EB"/>
    <w:rsid w:val="001F31D2"/>
    <w:rsid w:val="001F52CF"/>
    <w:rsid w:val="00200F18"/>
    <w:rsid w:val="00205A8A"/>
    <w:rsid w:val="00212D1C"/>
    <w:rsid w:val="00213ED3"/>
    <w:rsid w:val="00216F02"/>
    <w:rsid w:val="0022412A"/>
    <w:rsid w:val="00224307"/>
    <w:rsid w:val="0022699B"/>
    <w:rsid w:val="00233D33"/>
    <w:rsid w:val="00234A85"/>
    <w:rsid w:val="00235C74"/>
    <w:rsid w:val="0023773E"/>
    <w:rsid w:val="00237F30"/>
    <w:rsid w:val="00245AF9"/>
    <w:rsid w:val="00246BA8"/>
    <w:rsid w:val="00250E07"/>
    <w:rsid w:val="00257F34"/>
    <w:rsid w:val="002628CB"/>
    <w:rsid w:val="002640EA"/>
    <w:rsid w:val="002647F3"/>
    <w:rsid w:val="0026627F"/>
    <w:rsid w:val="002712B3"/>
    <w:rsid w:val="002715FF"/>
    <w:rsid w:val="002721D3"/>
    <w:rsid w:val="00273D2C"/>
    <w:rsid w:val="00274B55"/>
    <w:rsid w:val="0027539A"/>
    <w:rsid w:val="00275591"/>
    <w:rsid w:val="00276CAD"/>
    <w:rsid w:val="00277148"/>
    <w:rsid w:val="002834FA"/>
    <w:rsid w:val="002839C4"/>
    <w:rsid w:val="00287B70"/>
    <w:rsid w:val="00292A40"/>
    <w:rsid w:val="002A39BD"/>
    <w:rsid w:val="002B24E4"/>
    <w:rsid w:val="002B6420"/>
    <w:rsid w:val="002B6E16"/>
    <w:rsid w:val="002C0657"/>
    <w:rsid w:val="002C620C"/>
    <w:rsid w:val="002C67BA"/>
    <w:rsid w:val="002D1439"/>
    <w:rsid w:val="002D2453"/>
    <w:rsid w:val="002D59C6"/>
    <w:rsid w:val="002D6081"/>
    <w:rsid w:val="002F03DE"/>
    <w:rsid w:val="0030044B"/>
    <w:rsid w:val="0030584B"/>
    <w:rsid w:val="00311A32"/>
    <w:rsid w:val="00322007"/>
    <w:rsid w:val="003225B5"/>
    <w:rsid w:val="00330C44"/>
    <w:rsid w:val="00343C1F"/>
    <w:rsid w:val="00344DBE"/>
    <w:rsid w:val="0035014E"/>
    <w:rsid w:val="0035187E"/>
    <w:rsid w:val="00353540"/>
    <w:rsid w:val="00354277"/>
    <w:rsid w:val="00355572"/>
    <w:rsid w:val="0035627B"/>
    <w:rsid w:val="00360924"/>
    <w:rsid w:val="003617CA"/>
    <w:rsid w:val="0036446F"/>
    <w:rsid w:val="00364DA6"/>
    <w:rsid w:val="003669F5"/>
    <w:rsid w:val="003819C4"/>
    <w:rsid w:val="0038696B"/>
    <w:rsid w:val="003A48D2"/>
    <w:rsid w:val="003A5E3C"/>
    <w:rsid w:val="003A6262"/>
    <w:rsid w:val="003B477D"/>
    <w:rsid w:val="003B74A9"/>
    <w:rsid w:val="003B78E8"/>
    <w:rsid w:val="003C1164"/>
    <w:rsid w:val="003C5AEE"/>
    <w:rsid w:val="003E034B"/>
    <w:rsid w:val="003E2E17"/>
    <w:rsid w:val="003E3CF5"/>
    <w:rsid w:val="003E50A3"/>
    <w:rsid w:val="003E63F7"/>
    <w:rsid w:val="003F7B40"/>
    <w:rsid w:val="00400676"/>
    <w:rsid w:val="00401576"/>
    <w:rsid w:val="00405161"/>
    <w:rsid w:val="00405E06"/>
    <w:rsid w:val="00405FF7"/>
    <w:rsid w:val="004060AA"/>
    <w:rsid w:val="004100F7"/>
    <w:rsid w:val="00414D74"/>
    <w:rsid w:val="00417016"/>
    <w:rsid w:val="004255B9"/>
    <w:rsid w:val="004273E3"/>
    <w:rsid w:val="00430622"/>
    <w:rsid w:val="00432EC3"/>
    <w:rsid w:val="00433DFE"/>
    <w:rsid w:val="004436A8"/>
    <w:rsid w:val="00444A09"/>
    <w:rsid w:val="0045135A"/>
    <w:rsid w:val="00456BD7"/>
    <w:rsid w:val="00456D30"/>
    <w:rsid w:val="00456EDF"/>
    <w:rsid w:val="004621D8"/>
    <w:rsid w:val="004645CB"/>
    <w:rsid w:val="00465E32"/>
    <w:rsid w:val="004673C1"/>
    <w:rsid w:val="00470F05"/>
    <w:rsid w:val="0048076E"/>
    <w:rsid w:val="004847F9"/>
    <w:rsid w:val="00487655"/>
    <w:rsid w:val="004943B3"/>
    <w:rsid w:val="0049612C"/>
    <w:rsid w:val="00497AE6"/>
    <w:rsid w:val="004A04C0"/>
    <w:rsid w:val="004A143B"/>
    <w:rsid w:val="004A1551"/>
    <w:rsid w:val="004A1B53"/>
    <w:rsid w:val="004A20AB"/>
    <w:rsid w:val="004A59E3"/>
    <w:rsid w:val="004B3992"/>
    <w:rsid w:val="004C18D8"/>
    <w:rsid w:val="004C1A29"/>
    <w:rsid w:val="004C3BD1"/>
    <w:rsid w:val="004D1436"/>
    <w:rsid w:val="004D36E9"/>
    <w:rsid w:val="004D6B37"/>
    <w:rsid w:val="004E5F89"/>
    <w:rsid w:val="004F0B44"/>
    <w:rsid w:val="004F11FD"/>
    <w:rsid w:val="004F68C9"/>
    <w:rsid w:val="004F75F4"/>
    <w:rsid w:val="0050319D"/>
    <w:rsid w:val="005162EF"/>
    <w:rsid w:val="00516521"/>
    <w:rsid w:val="00517073"/>
    <w:rsid w:val="005270C4"/>
    <w:rsid w:val="00531C07"/>
    <w:rsid w:val="00533DD6"/>
    <w:rsid w:val="00534FE3"/>
    <w:rsid w:val="00535796"/>
    <w:rsid w:val="00535863"/>
    <w:rsid w:val="00540372"/>
    <w:rsid w:val="005431AE"/>
    <w:rsid w:val="0054755F"/>
    <w:rsid w:val="00554DF4"/>
    <w:rsid w:val="00555804"/>
    <w:rsid w:val="0056452A"/>
    <w:rsid w:val="00572F1D"/>
    <w:rsid w:val="00572FF2"/>
    <w:rsid w:val="005737E3"/>
    <w:rsid w:val="00575A54"/>
    <w:rsid w:val="005763F7"/>
    <w:rsid w:val="0058130D"/>
    <w:rsid w:val="00583A71"/>
    <w:rsid w:val="00595A18"/>
    <w:rsid w:val="005A0A5D"/>
    <w:rsid w:val="005A4632"/>
    <w:rsid w:val="005A6A11"/>
    <w:rsid w:val="005B3230"/>
    <w:rsid w:val="005B4E86"/>
    <w:rsid w:val="005C3742"/>
    <w:rsid w:val="005C42C5"/>
    <w:rsid w:val="005C43E3"/>
    <w:rsid w:val="005C789C"/>
    <w:rsid w:val="005D33BE"/>
    <w:rsid w:val="005D7FF2"/>
    <w:rsid w:val="005E0D87"/>
    <w:rsid w:val="005E2C56"/>
    <w:rsid w:val="005E4873"/>
    <w:rsid w:val="005F2A13"/>
    <w:rsid w:val="005F32B2"/>
    <w:rsid w:val="005F3414"/>
    <w:rsid w:val="006032AE"/>
    <w:rsid w:val="00603E96"/>
    <w:rsid w:val="00604A73"/>
    <w:rsid w:val="006267CA"/>
    <w:rsid w:val="0063135F"/>
    <w:rsid w:val="00632A53"/>
    <w:rsid w:val="00635727"/>
    <w:rsid w:val="00637DAF"/>
    <w:rsid w:val="00640CE3"/>
    <w:rsid w:val="00640D77"/>
    <w:rsid w:val="0064615A"/>
    <w:rsid w:val="0065636B"/>
    <w:rsid w:val="006563B8"/>
    <w:rsid w:val="00657EB7"/>
    <w:rsid w:val="00660A2B"/>
    <w:rsid w:val="00661127"/>
    <w:rsid w:val="0066178D"/>
    <w:rsid w:val="00661B87"/>
    <w:rsid w:val="00662563"/>
    <w:rsid w:val="006659CD"/>
    <w:rsid w:val="0067173B"/>
    <w:rsid w:val="00674499"/>
    <w:rsid w:val="00674EAC"/>
    <w:rsid w:val="00690AE6"/>
    <w:rsid w:val="00694401"/>
    <w:rsid w:val="00694800"/>
    <w:rsid w:val="006956BB"/>
    <w:rsid w:val="00695FC5"/>
    <w:rsid w:val="00697458"/>
    <w:rsid w:val="006A2F95"/>
    <w:rsid w:val="006A3731"/>
    <w:rsid w:val="006A69FE"/>
    <w:rsid w:val="006B1CF0"/>
    <w:rsid w:val="006B35DA"/>
    <w:rsid w:val="006B702A"/>
    <w:rsid w:val="006C0239"/>
    <w:rsid w:val="006C600E"/>
    <w:rsid w:val="006D1375"/>
    <w:rsid w:val="006D3634"/>
    <w:rsid w:val="006D5484"/>
    <w:rsid w:val="006D733D"/>
    <w:rsid w:val="006E4C7A"/>
    <w:rsid w:val="006E57A7"/>
    <w:rsid w:val="006F408A"/>
    <w:rsid w:val="006F6D4C"/>
    <w:rsid w:val="006F6F44"/>
    <w:rsid w:val="006F76FD"/>
    <w:rsid w:val="006F79FF"/>
    <w:rsid w:val="00701C06"/>
    <w:rsid w:val="00702900"/>
    <w:rsid w:val="007034AF"/>
    <w:rsid w:val="0070773A"/>
    <w:rsid w:val="00715F88"/>
    <w:rsid w:val="00716032"/>
    <w:rsid w:val="007172B1"/>
    <w:rsid w:val="007305EA"/>
    <w:rsid w:val="00732F07"/>
    <w:rsid w:val="007352B5"/>
    <w:rsid w:val="00741F6B"/>
    <w:rsid w:val="007436C2"/>
    <w:rsid w:val="00743E7A"/>
    <w:rsid w:val="00745630"/>
    <w:rsid w:val="00745F8A"/>
    <w:rsid w:val="007466D4"/>
    <w:rsid w:val="00755695"/>
    <w:rsid w:val="007556E3"/>
    <w:rsid w:val="007571E6"/>
    <w:rsid w:val="00763902"/>
    <w:rsid w:val="00764424"/>
    <w:rsid w:val="00780553"/>
    <w:rsid w:val="007A2CAE"/>
    <w:rsid w:val="007A4CBE"/>
    <w:rsid w:val="007B57D8"/>
    <w:rsid w:val="007C34FC"/>
    <w:rsid w:val="007C5E20"/>
    <w:rsid w:val="007C6395"/>
    <w:rsid w:val="007C6AC7"/>
    <w:rsid w:val="007C7D9F"/>
    <w:rsid w:val="007D1C53"/>
    <w:rsid w:val="007E3551"/>
    <w:rsid w:val="007E5EDA"/>
    <w:rsid w:val="007F6D68"/>
    <w:rsid w:val="0080300E"/>
    <w:rsid w:val="00804378"/>
    <w:rsid w:val="008121A7"/>
    <w:rsid w:val="00817C58"/>
    <w:rsid w:val="008230E3"/>
    <w:rsid w:val="00826FEA"/>
    <w:rsid w:val="0083782A"/>
    <w:rsid w:val="00840B2D"/>
    <w:rsid w:val="0085010F"/>
    <w:rsid w:val="00856CAA"/>
    <w:rsid w:val="00857494"/>
    <w:rsid w:val="008669BE"/>
    <w:rsid w:val="0087041B"/>
    <w:rsid w:val="00880B33"/>
    <w:rsid w:val="00882A9B"/>
    <w:rsid w:val="00893825"/>
    <w:rsid w:val="00896D5C"/>
    <w:rsid w:val="008A04E8"/>
    <w:rsid w:val="008A22A3"/>
    <w:rsid w:val="008C283E"/>
    <w:rsid w:val="008C5ACD"/>
    <w:rsid w:val="008D33E2"/>
    <w:rsid w:val="008D4F02"/>
    <w:rsid w:val="008E22DB"/>
    <w:rsid w:val="008E7D29"/>
    <w:rsid w:val="008E7F84"/>
    <w:rsid w:val="008F1B59"/>
    <w:rsid w:val="008F6354"/>
    <w:rsid w:val="0091092A"/>
    <w:rsid w:val="0091182B"/>
    <w:rsid w:val="00916B67"/>
    <w:rsid w:val="00921301"/>
    <w:rsid w:val="0092134B"/>
    <w:rsid w:val="0092207D"/>
    <w:rsid w:val="00922785"/>
    <w:rsid w:val="009246E4"/>
    <w:rsid w:val="00932768"/>
    <w:rsid w:val="00932DB0"/>
    <w:rsid w:val="009344AF"/>
    <w:rsid w:val="009420CA"/>
    <w:rsid w:val="0094456E"/>
    <w:rsid w:val="00944B34"/>
    <w:rsid w:val="00951E59"/>
    <w:rsid w:val="00966182"/>
    <w:rsid w:val="009711AB"/>
    <w:rsid w:val="0097341B"/>
    <w:rsid w:val="00974BF6"/>
    <w:rsid w:val="009765B2"/>
    <w:rsid w:val="00982D29"/>
    <w:rsid w:val="0098326B"/>
    <w:rsid w:val="00987B4C"/>
    <w:rsid w:val="00995243"/>
    <w:rsid w:val="009A0759"/>
    <w:rsid w:val="009A40FD"/>
    <w:rsid w:val="009A6A43"/>
    <w:rsid w:val="009B152F"/>
    <w:rsid w:val="009B16E2"/>
    <w:rsid w:val="009C0629"/>
    <w:rsid w:val="009C1E93"/>
    <w:rsid w:val="009D0F33"/>
    <w:rsid w:val="009D14CC"/>
    <w:rsid w:val="009E46D7"/>
    <w:rsid w:val="009E4818"/>
    <w:rsid w:val="009F0A9E"/>
    <w:rsid w:val="009F496B"/>
    <w:rsid w:val="009F69BF"/>
    <w:rsid w:val="009F6D8C"/>
    <w:rsid w:val="00A00984"/>
    <w:rsid w:val="00A04586"/>
    <w:rsid w:val="00A11437"/>
    <w:rsid w:val="00A11808"/>
    <w:rsid w:val="00A22724"/>
    <w:rsid w:val="00A23455"/>
    <w:rsid w:val="00A37B18"/>
    <w:rsid w:val="00A37F05"/>
    <w:rsid w:val="00A41356"/>
    <w:rsid w:val="00A4394C"/>
    <w:rsid w:val="00A47619"/>
    <w:rsid w:val="00A52866"/>
    <w:rsid w:val="00A538E2"/>
    <w:rsid w:val="00A60745"/>
    <w:rsid w:val="00A62D29"/>
    <w:rsid w:val="00A7180B"/>
    <w:rsid w:val="00A72144"/>
    <w:rsid w:val="00A749C9"/>
    <w:rsid w:val="00A940E9"/>
    <w:rsid w:val="00A964FC"/>
    <w:rsid w:val="00A96DE4"/>
    <w:rsid w:val="00A9786F"/>
    <w:rsid w:val="00A97EF6"/>
    <w:rsid w:val="00AA4E90"/>
    <w:rsid w:val="00AA5851"/>
    <w:rsid w:val="00AA7C8D"/>
    <w:rsid w:val="00AB4CAA"/>
    <w:rsid w:val="00AB61BF"/>
    <w:rsid w:val="00AB7979"/>
    <w:rsid w:val="00AC4802"/>
    <w:rsid w:val="00AC48BF"/>
    <w:rsid w:val="00AD04FD"/>
    <w:rsid w:val="00AD10E7"/>
    <w:rsid w:val="00AD157F"/>
    <w:rsid w:val="00AD48B2"/>
    <w:rsid w:val="00AD69DD"/>
    <w:rsid w:val="00AE15E3"/>
    <w:rsid w:val="00AF4DCE"/>
    <w:rsid w:val="00B0438D"/>
    <w:rsid w:val="00B077A1"/>
    <w:rsid w:val="00B147A9"/>
    <w:rsid w:val="00B26E41"/>
    <w:rsid w:val="00B2703B"/>
    <w:rsid w:val="00B27BD0"/>
    <w:rsid w:val="00B3248B"/>
    <w:rsid w:val="00B34EDB"/>
    <w:rsid w:val="00B40AE0"/>
    <w:rsid w:val="00B52988"/>
    <w:rsid w:val="00B54BA4"/>
    <w:rsid w:val="00B6047C"/>
    <w:rsid w:val="00B639B4"/>
    <w:rsid w:val="00B66FF1"/>
    <w:rsid w:val="00B67EFF"/>
    <w:rsid w:val="00B706C6"/>
    <w:rsid w:val="00B722A9"/>
    <w:rsid w:val="00B74F35"/>
    <w:rsid w:val="00B76E9D"/>
    <w:rsid w:val="00B83FF6"/>
    <w:rsid w:val="00B853C1"/>
    <w:rsid w:val="00B87A4A"/>
    <w:rsid w:val="00B92B3A"/>
    <w:rsid w:val="00B92E80"/>
    <w:rsid w:val="00B9571C"/>
    <w:rsid w:val="00B96651"/>
    <w:rsid w:val="00BA0192"/>
    <w:rsid w:val="00BA381D"/>
    <w:rsid w:val="00BA5720"/>
    <w:rsid w:val="00BA7782"/>
    <w:rsid w:val="00BA7F02"/>
    <w:rsid w:val="00BB0A02"/>
    <w:rsid w:val="00BB64B6"/>
    <w:rsid w:val="00BC2647"/>
    <w:rsid w:val="00BC4229"/>
    <w:rsid w:val="00BC4721"/>
    <w:rsid w:val="00BD11FB"/>
    <w:rsid w:val="00BD1AD3"/>
    <w:rsid w:val="00BD23F4"/>
    <w:rsid w:val="00BD578E"/>
    <w:rsid w:val="00BE1DCA"/>
    <w:rsid w:val="00BE3E85"/>
    <w:rsid w:val="00BF1089"/>
    <w:rsid w:val="00BF2685"/>
    <w:rsid w:val="00BF32C1"/>
    <w:rsid w:val="00BF411F"/>
    <w:rsid w:val="00BF5304"/>
    <w:rsid w:val="00BF7611"/>
    <w:rsid w:val="00C00362"/>
    <w:rsid w:val="00C04E81"/>
    <w:rsid w:val="00C1387D"/>
    <w:rsid w:val="00C13BAF"/>
    <w:rsid w:val="00C14192"/>
    <w:rsid w:val="00C150EA"/>
    <w:rsid w:val="00C17FE6"/>
    <w:rsid w:val="00C2018A"/>
    <w:rsid w:val="00C27B37"/>
    <w:rsid w:val="00C27CEE"/>
    <w:rsid w:val="00C31482"/>
    <w:rsid w:val="00C36B9D"/>
    <w:rsid w:val="00C379FD"/>
    <w:rsid w:val="00C443C0"/>
    <w:rsid w:val="00C44A12"/>
    <w:rsid w:val="00C52104"/>
    <w:rsid w:val="00C561A8"/>
    <w:rsid w:val="00C57DF3"/>
    <w:rsid w:val="00C679D6"/>
    <w:rsid w:val="00C709C1"/>
    <w:rsid w:val="00C73FCA"/>
    <w:rsid w:val="00C82309"/>
    <w:rsid w:val="00C905EF"/>
    <w:rsid w:val="00C959D1"/>
    <w:rsid w:val="00C95D2B"/>
    <w:rsid w:val="00C9626E"/>
    <w:rsid w:val="00C97594"/>
    <w:rsid w:val="00CA017A"/>
    <w:rsid w:val="00CA0B37"/>
    <w:rsid w:val="00CA5C4D"/>
    <w:rsid w:val="00CB751F"/>
    <w:rsid w:val="00CC3D6F"/>
    <w:rsid w:val="00CC6639"/>
    <w:rsid w:val="00CD0182"/>
    <w:rsid w:val="00CE37D5"/>
    <w:rsid w:val="00CF0FD7"/>
    <w:rsid w:val="00CF33A3"/>
    <w:rsid w:val="00CF7C80"/>
    <w:rsid w:val="00D01D42"/>
    <w:rsid w:val="00D0272A"/>
    <w:rsid w:val="00D02E3E"/>
    <w:rsid w:val="00D07E7B"/>
    <w:rsid w:val="00D1123C"/>
    <w:rsid w:val="00D3220C"/>
    <w:rsid w:val="00D32561"/>
    <w:rsid w:val="00D32683"/>
    <w:rsid w:val="00D3745D"/>
    <w:rsid w:val="00D473CE"/>
    <w:rsid w:val="00D53B59"/>
    <w:rsid w:val="00D57864"/>
    <w:rsid w:val="00D75EF6"/>
    <w:rsid w:val="00D8149D"/>
    <w:rsid w:val="00D85376"/>
    <w:rsid w:val="00D9038D"/>
    <w:rsid w:val="00D91265"/>
    <w:rsid w:val="00DA21B3"/>
    <w:rsid w:val="00DA36C1"/>
    <w:rsid w:val="00DB7A1B"/>
    <w:rsid w:val="00DC014D"/>
    <w:rsid w:val="00DC2E69"/>
    <w:rsid w:val="00DF1994"/>
    <w:rsid w:val="00DF2D4A"/>
    <w:rsid w:val="00DF3C61"/>
    <w:rsid w:val="00DF64A3"/>
    <w:rsid w:val="00DF711D"/>
    <w:rsid w:val="00DF7ABB"/>
    <w:rsid w:val="00E11E5B"/>
    <w:rsid w:val="00E142E7"/>
    <w:rsid w:val="00E2047D"/>
    <w:rsid w:val="00E228DB"/>
    <w:rsid w:val="00E250E8"/>
    <w:rsid w:val="00E252B7"/>
    <w:rsid w:val="00E4706D"/>
    <w:rsid w:val="00E504FA"/>
    <w:rsid w:val="00E52825"/>
    <w:rsid w:val="00E52F87"/>
    <w:rsid w:val="00E6506C"/>
    <w:rsid w:val="00E65580"/>
    <w:rsid w:val="00E71259"/>
    <w:rsid w:val="00E7387A"/>
    <w:rsid w:val="00E77528"/>
    <w:rsid w:val="00E823B7"/>
    <w:rsid w:val="00E95575"/>
    <w:rsid w:val="00EA03FE"/>
    <w:rsid w:val="00EA200D"/>
    <w:rsid w:val="00EA2DF6"/>
    <w:rsid w:val="00EA3495"/>
    <w:rsid w:val="00EA385B"/>
    <w:rsid w:val="00EA7B9D"/>
    <w:rsid w:val="00EB0DD5"/>
    <w:rsid w:val="00EB4C3C"/>
    <w:rsid w:val="00EC14C3"/>
    <w:rsid w:val="00EC5D40"/>
    <w:rsid w:val="00ED138B"/>
    <w:rsid w:val="00ED1C3A"/>
    <w:rsid w:val="00EE231D"/>
    <w:rsid w:val="00EE5575"/>
    <w:rsid w:val="00EF2866"/>
    <w:rsid w:val="00EF79E8"/>
    <w:rsid w:val="00F0157C"/>
    <w:rsid w:val="00F03B5C"/>
    <w:rsid w:val="00F174C8"/>
    <w:rsid w:val="00F20DAD"/>
    <w:rsid w:val="00F263C4"/>
    <w:rsid w:val="00F315C9"/>
    <w:rsid w:val="00F32A6D"/>
    <w:rsid w:val="00F32ADC"/>
    <w:rsid w:val="00F377E3"/>
    <w:rsid w:val="00F40076"/>
    <w:rsid w:val="00F47C73"/>
    <w:rsid w:val="00F507CC"/>
    <w:rsid w:val="00F51C08"/>
    <w:rsid w:val="00F5783A"/>
    <w:rsid w:val="00F620CD"/>
    <w:rsid w:val="00F62232"/>
    <w:rsid w:val="00F65A9C"/>
    <w:rsid w:val="00F65ABE"/>
    <w:rsid w:val="00F74B20"/>
    <w:rsid w:val="00F8486F"/>
    <w:rsid w:val="00F84BFD"/>
    <w:rsid w:val="00F852CB"/>
    <w:rsid w:val="00F90B4E"/>
    <w:rsid w:val="00F9296D"/>
    <w:rsid w:val="00FA1297"/>
    <w:rsid w:val="00FA2D09"/>
    <w:rsid w:val="00FA561C"/>
    <w:rsid w:val="00FA5B6E"/>
    <w:rsid w:val="00FB12F8"/>
    <w:rsid w:val="00FB147C"/>
    <w:rsid w:val="00FB2D38"/>
    <w:rsid w:val="00FB6945"/>
    <w:rsid w:val="00FC33B9"/>
    <w:rsid w:val="00FD04EB"/>
    <w:rsid w:val="00FD74EB"/>
    <w:rsid w:val="00FE2FFC"/>
    <w:rsid w:val="00FE68D7"/>
    <w:rsid w:val="00FE6E9E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A30A07E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6D30"/>
    <w:pPr>
      <w:keepNext/>
      <w:autoSpaceDE w:val="0"/>
      <w:autoSpaceDN w:val="0"/>
      <w:spacing w:before="240" w:after="60"/>
      <w:outlineLvl w:val="1"/>
    </w:pPr>
    <w:rPr>
      <w:rFonts w:ascii="Calibri Light" w:eastAsiaTheme="minorHAnsi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rsid w:val="0049612C"/>
    <w:rPr>
      <w:strike w:val="0"/>
      <w:dstrike w:val="0"/>
      <w:sz w:val="20"/>
      <w:vertAlign w:val="superscript"/>
    </w:rPr>
  </w:style>
  <w:style w:type="paragraph" w:styleId="BodyText">
    <w:name w:val="Body Text"/>
    <w:basedOn w:val="Normal"/>
    <w:link w:val="BodyTextChar"/>
    <w:rsid w:val="000B50AF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0B50A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9612C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612C"/>
    <w:rPr>
      <w:rFonts w:ascii="Times New Roman" w:eastAsia="Times New Roman" w:hAnsi="Times New Roman" w:cs="Times New Roman"/>
      <w:sz w:val="20"/>
      <w:szCs w:val="20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D30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717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2FF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7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7E"/>
    <w:rPr>
      <w:rFonts w:ascii="Calibri" w:eastAsia="Calibri" w:hAnsi="Calibri" w:cs="Times New Roman"/>
      <w:b/>
      <w:bCs/>
      <w:sz w:val="20"/>
      <w:szCs w:val="20"/>
    </w:rPr>
  </w:style>
  <w:style w:type="paragraph" w:styleId="ListBullet">
    <w:name w:val="List Bullet"/>
    <w:basedOn w:val="ListParagraph"/>
    <w:rsid w:val="00B077A1"/>
    <w:pPr>
      <w:numPr>
        <w:numId w:val="12"/>
      </w:numPr>
      <w:spacing w:after="240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CB1AAEA2422942B84B5C0FFF986AD7" ma:contentTypeVersion="92" ma:contentTypeDescription="" ma:contentTypeScope="" ma:versionID="1aca73d3786fae5b26860d29e1c427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2017-04-05T07:00:00+00:00</OpenedDate>
    <Date1 xmlns="dc463f71-b30c-4ab2-9473-d307f9d35888">2017-05-23T17:55:30+00:00</Date1>
    <IsDocumentOrder xmlns="dc463f71-b30c-4ab2-9473-d307f9d35888" xsi:nil="true"/>
    <IsHighlyConfidential xmlns="dc463f71-b30c-4ab2-9473-d307f9d35888">false</IsHighlyConfidential>
    <CaseCompanyNames xmlns="dc463f71-b30c-4ab2-9473-d307f9d35888">Safe-To-Go-Movers, LLC</CaseCompanyNames>
    <DocketNumber xmlns="dc463f71-b30c-4ab2-9473-d307f9d35888">170233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B8C1-7D9E-459D-9858-9A9E0F419E2E}"/>
</file>

<file path=customXml/itemProps2.xml><?xml version="1.0" encoding="utf-8"?>
<ds:datastoreItem xmlns:ds="http://schemas.openxmlformats.org/officeDocument/2006/customXml" ds:itemID="{D736FB7B-4DDF-4C0D-ACF1-B23C53499926}"/>
</file>

<file path=customXml/itemProps3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21186-BB63-4DE9-8AF1-40396A9E1C44}">
  <ds:schemaRefs>
    <ds:schemaRef ds:uri="http://schemas.microsoft.com/office/2006/metadata/properties"/>
    <ds:schemaRef ds:uri="dc463f71-b30c-4ab2-9473-d307f9d35888"/>
  </ds:schemaRefs>
</ds:datastoreItem>
</file>

<file path=customXml/itemProps5.xml><?xml version="1.0" encoding="utf-8"?>
<ds:datastoreItem xmlns:ds="http://schemas.openxmlformats.org/officeDocument/2006/customXml" ds:itemID="{8290C594-C14C-4275-9F01-165FF71F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Hoxit, Jason (UTC)</cp:lastModifiedBy>
  <cp:revision>39</cp:revision>
  <cp:lastPrinted>2017-05-22T20:15:00Z</cp:lastPrinted>
  <dcterms:created xsi:type="dcterms:W3CDTF">2017-03-30T17:47:00Z</dcterms:created>
  <dcterms:modified xsi:type="dcterms:W3CDTF">2017-05-22T20:20:00Z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0x0101006E56B4D1795A2E4DB2F0B01679ED314A0040CB1AAEA2422942B84B5C0FFF986AD7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