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34B0C" w14:textId="77777777" w:rsidR="00517756" w:rsidRPr="005C0826" w:rsidRDefault="00517756" w:rsidP="00517756">
      <w:pPr>
        <w:spacing w:after="0" w:line="240" w:lineRule="auto"/>
        <w:ind w:right="-450"/>
        <w:rPr>
          <w:rFonts w:ascii="Modern No. 20" w:eastAsia="Cambria" w:hAnsi="Modern No. 20"/>
          <w:sz w:val="40"/>
          <w:szCs w:val="40"/>
        </w:rPr>
      </w:pPr>
      <w:r w:rsidRPr="005C0826">
        <w:rPr>
          <w:rFonts w:ascii="Modern No. 20" w:eastAsia="Cambria" w:hAnsi="Modern No. 20"/>
          <w:sz w:val="48"/>
          <w:szCs w:val="48"/>
        </w:rPr>
        <w:t>Sanger Law</w:t>
      </w:r>
      <w:r w:rsidRPr="005C0826">
        <w:rPr>
          <w:rFonts w:ascii="Modern No. 20" w:eastAsia="Cambria" w:hAnsi="Modern No. 20"/>
          <w:sz w:val="40"/>
          <w:szCs w:val="40"/>
        </w:rPr>
        <w:t xml:space="preserve"> </w:t>
      </w:r>
      <w:r w:rsidRPr="005C0826">
        <w:rPr>
          <w:rFonts w:ascii="Modern No. 20" w:eastAsia="Cambria" w:hAnsi="Modern No. 20"/>
        </w:rPr>
        <w:t>PC</w:t>
      </w:r>
    </w:p>
    <w:p w14:paraId="1562DB63" w14:textId="77777777" w:rsidR="00517756" w:rsidRPr="005C0826" w:rsidRDefault="00517756" w:rsidP="00517756">
      <w:pPr>
        <w:spacing w:after="0" w:line="240" w:lineRule="auto"/>
        <w:ind w:right="-450"/>
        <w:rPr>
          <w:rFonts w:ascii="Modern No. 20" w:eastAsia="GungsuhChe" w:hAnsi="Modern No. 20" w:cs="Cambria"/>
          <w:color w:val="404040"/>
          <w:sz w:val="16"/>
          <w:szCs w:val="15"/>
        </w:rPr>
      </w:pPr>
      <w:r w:rsidRPr="005C0826">
        <w:rPr>
          <w:rFonts w:ascii="Modern No. 20" w:eastAsia="GungsuhChe" w:hAnsi="Modern No. 20" w:cs="Cambria"/>
          <w:color w:val="404040"/>
          <w:sz w:val="16"/>
          <w:szCs w:val="15"/>
        </w:rPr>
        <w:t>1117 SE 53rd Ave. Portland, OR 97215                                                           tel (503) 756-7533    fax (503) 334-2235    irion@sanger-law.com</w:t>
      </w:r>
    </w:p>
    <w:p w14:paraId="0C871825" w14:textId="77777777" w:rsidR="00517756" w:rsidRPr="005C0826" w:rsidRDefault="00517756" w:rsidP="00517756">
      <w:pPr>
        <w:spacing w:after="0" w:line="240" w:lineRule="auto"/>
        <w:ind w:right="-450"/>
        <w:rPr>
          <w:rFonts w:eastAsia="GungsuhChe"/>
          <w:b/>
          <w:sz w:val="16"/>
          <w:szCs w:val="16"/>
          <w:u w:val="single"/>
        </w:rPr>
      </w:pPr>
      <w:r w:rsidRPr="005C0826">
        <w:rPr>
          <w:rFonts w:eastAsia="GungsuhChe"/>
          <w:b/>
          <w:sz w:val="10"/>
          <w:szCs w:val="10"/>
          <w:u w:val="single"/>
        </w:rPr>
        <w:t>__________________________________________________________________________________________________________________________________________________________________________________</w:t>
      </w:r>
    </w:p>
    <w:p w14:paraId="35B5F93E" w14:textId="77777777" w:rsidR="00517756" w:rsidRPr="005C0826" w:rsidRDefault="00517756" w:rsidP="00517756">
      <w:pPr>
        <w:spacing w:after="0" w:line="240" w:lineRule="auto"/>
        <w:ind w:right="-450"/>
        <w:rPr>
          <w:rFonts w:eastAsia="Cambria"/>
        </w:rPr>
      </w:pPr>
    </w:p>
    <w:p w14:paraId="21278309" w14:textId="2E659FC1" w:rsidR="00517756" w:rsidRPr="005C0826" w:rsidRDefault="00517756" w:rsidP="00517756">
      <w:pPr>
        <w:spacing w:after="0" w:line="240" w:lineRule="auto"/>
        <w:ind w:right="-450"/>
        <w:rPr>
          <w:rFonts w:eastAsia="Cambria"/>
          <w:b/>
        </w:rPr>
      </w:pPr>
      <w:r w:rsidRPr="005C0826">
        <w:rPr>
          <w:rFonts w:eastAsia="Cambria"/>
          <w:b/>
        </w:rPr>
        <w:t>Via Electronic Mail</w:t>
      </w:r>
    </w:p>
    <w:p w14:paraId="03DABD00" w14:textId="77777777" w:rsidR="00517756" w:rsidRPr="005C0826" w:rsidRDefault="00517756" w:rsidP="00517756">
      <w:pPr>
        <w:spacing w:after="0" w:line="240" w:lineRule="auto"/>
        <w:ind w:right="-450"/>
        <w:rPr>
          <w:rFonts w:eastAsia="Cambria"/>
        </w:rPr>
      </w:pPr>
    </w:p>
    <w:p w14:paraId="79915C79" w14:textId="5A0DBA3A" w:rsidR="00517756" w:rsidRPr="005C0826" w:rsidRDefault="00B903D6" w:rsidP="00517756">
      <w:pPr>
        <w:spacing w:after="0" w:line="240" w:lineRule="auto"/>
        <w:ind w:right="-450"/>
        <w:rPr>
          <w:rFonts w:eastAsia="Cambria"/>
        </w:rPr>
      </w:pPr>
      <w:r>
        <w:rPr>
          <w:rFonts w:eastAsia="Cambria"/>
        </w:rPr>
        <w:t>January 3, 2017</w:t>
      </w:r>
    </w:p>
    <w:p w14:paraId="589585FE" w14:textId="77777777" w:rsidR="00517756" w:rsidRDefault="00517756" w:rsidP="00517756">
      <w:pPr>
        <w:spacing w:after="0" w:line="240" w:lineRule="auto"/>
        <w:ind w:right="-450"/>
        <w:rPr>
          <w:rFonts w:eastAsia="Cambria"/>
        </w:rPr>
      </w:pPr>
    </w:p>
    <w:p w14:paraId="7B423ACF" w14:textId="77777777" w:rsidR="00517756" w:rsidRDefault="00517756" w:rsidP="00517756">
      <w:pPr>
        <w:spacing w:after="0" w:line="240" w:lineRule="auto"/>
        <w:ind w:right="-450"/>
        <w:rPr>
          <w:rFonts w:eastAsia="Cambria"/>
        </w:rPr>
      </w:pPr>
      <w:r>
        <w:rPr>
          <w:rFonts w:eastAsia="Cambria"/>
        </w:rPr>
        <w:t>Chairman David Danner</w:t>
      </w:r>
    </w:p>
    <w:p w14:paraId="36D719BA" w14:textId="77777777" w:rsidR="00517756" w:rsidRDefault="00517756" w:rsidP="00517756">
      <w:pPr>
        <w:spacing w:after="0" w:line="240" w:lineRule="auto"/>
        <w:ind w:right="-450"/>
        <w:rPr>
          <w:rFonts w:eastAsia="Cambria"/>
        </w:rPr>
      </w:pPr>
      <w:r>
        <w:rPr>
          <w:rFonts w:eastAsia="Cambria"/>
        </w:rPr>
        <w:t>Commissioner Philip Jones</w:t>
      </w:r>
    </w:p>
    <w:p w14:paraId="7502B83A" w14:textId="77777777" w:rsidR="00517756" w:rsidRDefault="00517756" w:rsidP="00517756">
      <w:pPr>
        <w:spacing w:after="0" w:line="240" w:lineRule="auto"/>
        <w:ind w:right="-450"/>
        <w:rPr>
          <w:rFonts w:eastAsia="Cambria"/>
        </w:rPr>
      </w:pPr>
      <w:r>
        <w:rPr>
          <w:rFonts w:eastAsia="Cambria"/>
        </w:rPr>
        <w:t>Commissioner Ann Rendahl</w:t>
      </w:r>
    </w:p>
    <w:p w14:paraId="04628A1A" w14:textId="77777777" w:rsidR="00517756" w:rsidRDefault="00517756" w:rsidP="00517756">
      <w:pPr>
        <w:spacing w:after="0" w:line="240" w:lineRule="auto"/>
        <w:ind w:right="-450"/>
        <w:rPr>
          <w:rFonts w:eastAsia="Cambria"/>
        </w:rPr>
      </w:pPr>
      <w:r>
        <w:rPr>
          <w:rFonts w:eastAsia="Cambria"/>
        </w:rPr>
        <w:t>Washington Utilities and Transportation Commission</w:t>
      </w:r>
    </w:p>
    <w:p w14:paraId="5358B2D4" w14:textId="7FB1B349" w:rsidR="00517756" w:rsidRDefault="00373E0A" w:rsidP="00517756">
      <w:pPr>
        <w:spacing w:after="0" w:line="240" w:lineRule="auto"/>
        <w:ind w:right="-450"/>
        <w:rPr>
          <w:rFonts w:eastAsia="Cambria"/>
        </w:rPr>
      </w:pPr>
      <w:r>
        <w:rPr>
          <w:rFonts w:eastAsia="Cambria"/>
        </w:rPr>
        <w:t>1300 S. Evergreen Park Dr. SW</w:t>
      </w:r>
      <w:r w:rsidR="00517756">
        <w:rPr>
          <w:rFonts w:eastAsia="Cambria"/>
        </w:rPr>
        <w:t xml:space="preserve"> </w:t>
      </w:r>
    </w:p>
    <w:p w14:paraId="0CD14F60" w14:textId="77777777" w:rsidR="00517756" w:rsidRDefault="00517756" w:rsidP="00517756">
      <w:pPr>
        <w:spacing w:after="0" w:line="240" w:lineRule="auto"/>
        <w:ind w:right="-450"/>
        <w:rPr>
          <w:rFonts w:eastAsia="Cambria"/>
        </w:rPr>
      </w:pPr>
      <w:r w:rsidRPr="00517756">
        <w:rPr>
          <w:rFonts w:eastAsia="Cambria"/>
        </w:rPr>
        <w:t xml:space="preserve">PO Box 47250 </w:t>
      </w:r>
    </w:p>
    <w:p w14:paraId="54DEDFFA" w14:textId="77777777" w:rsidR="00517756" w:rsidRPr="005C0826" w:rsidRDefault="00517756" w:rsidP="00517756">
      <w:pPr>
        <w:spacing w:after="0" w:line="240" w:lineRule="auto"/>
        <w:ind w:right="-450"/>
        <w:rPr>
          <w:rFonts w:eastAsia="Cambria"/>
        </w:rPr>
      </w:pPr>
      <w:r w:rsidRPr="00517756">
        <w:rPr>
          <w:rFonts w:eastAsia="Cambria"/>
        </w:rPr>
        <w:t>Olympia, WA 98504-7250</w:t>
      </w:r>
    </w:p>
    <w:p w14:paraId="05436C51" w14:textId="77777777" w:rsidR="00517756" w:rsidRDefault="00517756" w:rsidP="00517756">
      <w:pPr>
        <w:tabs>
          <w:tab w:val="left" w:pos="0"/>
        </w:tabs>
        <w:spacing w:after="0" w:line="240" w:lineRule="auto"/>
        <w:ind w:left="720" w:right="-450" w:hanging="720"/>
        <w:rPr>
          <w:rFonts w:eastAsia="Cambria"/>
        </w:rPr>
      </w:pPr>
    </w:p>
    <w:p w14:paraId="069F0186" w14:textId="469D9870" w:rsidR="00517756" w:rsidRPr="00092219" w:rsidRDefault="00517756" w:rsidP="00092219">
      <w:pPr>
        <w:widowControl w:val="0"/>
        <w:autoSpaceDE w:val="0"/>
        <w:autoSpaceDN w:val="0"/>
        <w:adjustRightInd w:val="0"/>
        <w:spacing w:after="0" w:line="240" w:lineRule="auto"/>
        <w:ind w:left="720" w:hanging="720"/>
        <w:rPr>
          <w:rFonts w:eastAsiaTheme="minorEastAsia"/>
          <w:lang w:eastAsia="ja-JP"/>
        </w:rPr>
      </w:pPr>
      <w:r w:rsidRPr="00C40845">
        <w:rPr>
          <w:rFonts w:eastAsia="Cambria"/>
        </w:rPr>
        <w:t xml:space="preserve">Re: </w:t>
      </w:r>
      <w:r w:rsidRPr="00C40845">
        <w:rPr>
          <w:rFonts w:eastAsia="Cambria"/>
        </w:rPr>
        <w:tab/>
      </w:r>
      <w:r w:rsidR="00092219">
        <w:rPr>
          <w:rFonts w:eastAsiaTheme="minorEastAsia"/>
          <w:lang w:eastAsia="ja-JP"/>
        </w:rPr>
        <w:t xml:space="preserve">Advice </w:t>
      </w:r>
      <w:r w:rsidR="003913C0">
        <w:rPr>
          <w:rFonts w:eastAsiaTheme="minorEastAsia"/>
          <w:lang w:eastAsia="ja-JP"/>
        </w:rPr>
        <w:t>2016-31</w:t>
      </w:r>
      <w:r w:rsidR="00092219">
        <w:rPr>
          <w:rFonts w:eastAsiaTheme="minorEastAsia"/>
          <w:lang w:eastAsia="ja-JP"/>
        </w:rPr>
        <w:t>—</w:t>
      </w:r>
      <w:r w:rsidR="008734CF">
        <w:rPr>
          <w:rFonts w:eastAsiaTheme="minorEastAsia"/>
          <w:lang w:eastAsia="ja-JP"/>
        </w:rPr>
        <w:t>Schedule 91 – Cogeneration and Small Power Production</w:t>
      </w:r>
    </w:p>
    <w:p w14:paraId="1D0A1799" w14:textId="0FB9C9A3" w:rsidR="00517756" w:rsidRPr="00C40845" w:rsidRDefault="00342135" w:rsidP="00517756">
      <w:pPr>
        <w:spacing w:after="0" w:line="240" w:lineRule="auto"/>
        <w:ind w:right="-450"/>
        <w:rPr>
          <w:rFonts w:eastAsia="Cambria"/>
        </w:rPr>
      </w:pPr>
      <w:r>
        <w:rPr>
          <w:rFonts w:eastAsia="Cambria"/>
        </w:rPr>
        <w:tab/>
        <w:t>Docket No. UE-</w:t>
      </w:r>
      <w:r w:rsidR="008734CF">
        <w:rPr>
          <w:rFonts w:eastAsia="Cambria"/>
        </w:rPr>
        <w:t>161240</w:t>
      </w:r>
    </w:p>
    <w:p w14:paraId="2737F89D" w14:textId="77777777" w:rsidR="00517756" w:rsidRPr="005C0826" w:rsidRDefault="00517756" w:rsidP="00517756">
      <w:pPr>
        <w:spacing w:after="0" w:line="240" w:lineRule="auto"/>
        <w:ind w:right="-450"/>
        <w:rPr>
          <w:rFonts w:eastAsia="Cambria"/>
        </w:rPr>
      </w:pPr>
    </w:p>
    <w:p w14:paraId="29496312" w14:textId="33A4E847" w:rsidR="00BB4A55" w:rsidRDefault="00517756" w:rsidP="00517756">
      <w:pPr>
        <w:ind w:right="-450"/>
        <w:rPr>
          <w:rFonts w:eastAsia="Cambria"/>
        </w:rPr>
      </w:pPr>
      <w:r>
        <w:rPr>
          <w:rFonts w:eastAsia="Cambria"/>
        </w:rPr>
        <w:t>Dear</w:t>
      </w:r>
      <w:r w:rsidR="00092219">
        <w:rPr>
          <w:rFonts w:eastAsia="Cambria"/>
        </w:rPr>
        <w:t xml:space="preserve"> Commissioners</w:t>
      </w:r>
      <w:r w:rsidR="008E3B28">
        <w:rPr>
          <w:rFonts w:eastAsia="Cambria"/>
        </w:rPr>
        <w:t>:</w:t>
      </w:r>
    </w:p>
    <w:p w14:paraId="5F18AF12" w14:textId="392374A2" w:rsidR="008734CF" w:rsidRDefault="00092219" w:rsidP="00517756">
      <w:pPr>
        <w:ind w:right="-450"/>
        <w:rPr>
          <w:rFonts w:eastAsia="Cambria"/>
        </w:rPr>
      </w:pPr>
      <w:r>
        <w:rPr>
          <w:rFonts w:eastAsia="Cambria"/>
        </w:rPr>
        <w:tab/>
        <w:t>The Renewable Energy Coalition (the “Coalition”) requests that the Washington Utilities and Transportation Commission (the</w:t>
      </w:r>
      <w:r w:rsidR="008E3B28">
        <w:rPr>
          <w:rFonts w:eastAsia="Cambria"/>
        </w:rPr>
        <w:t xml:space="preserve"> “Commission”</w:t>
      </w:r>
      <w:r>
        <w:rPr>
          <w:rFonts w:eastAsia="Cambria"/>
        </w:rPr>
        <w:t xml:space="preserve">) </w:t>
      </w:r>
      <w:r w:rsidR="009D1AA2">
        <w:rPr>
          <w:rFonts w:eastAsia="Cambria"/>
        </w:rPr>
        <w:t>reject, or in the alternative</w:t>
      </w:r>
      <w:r w:rsidR="008734CF">
        <w:rPr>
          <w:rFonts w:eastAsia="Cambria"/>
        </w:rPr>
        <w:t xml:space="preserve"> </w:t>
      </w:r>
      <w:r>
        <w:rPr>
          <w:rFonts w:eastAsia="Cambria"/>
        </w:rPr>
        <w:t>suspend and investigate</w:t>
      </w:r>
      <w:r w:rsidR="009D1AA2">
        <w:rPr>
          <w:rFonts w:eastAsia="Cambria"/>
        </w:rPr>
        <w:t>,</w:t>
      </w:r>
      <w:r>
        <w:rPr>
          <w:rFonts w:eastAsia="Cambria"/>
        </w:rPr>
        <w:t xml:space="preserve"> </w:t>
      </w:r>
      <w:r w:rsidR="008734CF">
        <w:rPr>
          <w:rFonts w:eastAsia="Cambria"/>
        </w:rPr>
        <w:t xml:space="preserve">Puget Sound Energy’s (“PSE”) advice filing that proposes significant changes in the methodology and pricing related to its </w:t>
      </w:r>
      <w:r>
        <w:rPr>
          <w:rFonts w:eastAsia="Cambria"/>
        </w:rPr>
        <w:t>avoided cost rates applicable to cogeneration and small power pro</w:t>
      </w:r>
      <w:r w:rsidR="00373E0A">
        <w:rPr>
          <w:rFonts w:eastAsia="Cambria"/>
        </w:rPr>
        <w:t>duction facilities</w:t>
      </w:r>
      <w:r>
        <w:rPr>
          <w:rFonts w:eastAsia="Cambria"/>
        </w:rPr>
        <w:t>.</w:t>
      </w:r>
      <w:r w:rsidR="008E3B28">
        <w:rPr>
          <w:rFonts w:eastAsia="Cambria"/>
        </w:rPr>
        <w:t xml:space="preserve"> </w:t>
      </w:r>
      <w:r>
        <w:rPr>
          <w:rFonts w:eastAsia="Cambria"/>
        </w:rPr>
        <w:t xml:space="preserve"> </w:t>
      </w:r>
      <w:r w:rsidR="008E3B28">
        <w:rPr>
          <w:rFonts w:eastAsia="Cambria"/>
        </w:rPr>
        <w:t xml:space="preserve">The Commission should not allow the filing to go into effect because it is inconsistent with the Commission’s policies, violates the Public Utility Regulatory Policies Act (“PURPA”), and will result in unjust and unreasonable rates for </w:t>
      </w:r>
      <w:r w:rsidR="008734CF">
        <w:rPr>
          <w:rFonts w:eastAsia="Cambria"/>
        </w:rPr>
        <w:t>small cogeneration and renewable qualifying facilities (“</w:t>
      </w:r>
      <w:r w:rsidR="008E3B28">
        <w:rPr>
          <w:rFonts w:eastAsia="Cambria"/>
        </w:rPr>
        <w:t>QFs</w:t>
      </w:r>
      <w:r w:rsidR="008734CF">
        <w:rPr>
          <w:rFonts w:eastAsia="Cambria"/>
        </w:rPr>
        <w:t>”)</w:t>
      </w:r>
      <w:r w:rsidR="008E3B28">
        <w:rPr>
          <w:rFonts w:eastAsia="Cambria"/>
        </w:rPr>
        <w:t xml:space="preserve"> and the company’s consumers. </w:t>
      </w:r>
      <w:r>
        <w:rPr>
          <w:rFonts w:eastAsia="Cambria"/>
        </w:rPr>
        <w:t xml:space="preserve"> </w:t>
      </w:r>
    </w:p>
    <w:p w14:paraId="3D8C5E28" w14:textId="3FCCED15" w:rsidR="00CB344A" w:rsidRDefault="008734CF" w:rsidP="00517756">
      <w:pPr>
        <w:ind w:right="-450"/>
        <w:rPr>
          <w:rFonts w:eastAsia="Cambria"/>
        </w:rPr>
      </w:pPr>
      <w:r>
        <w:rPr>
          <w:rFonts w:eastAsia="Cambria"/>
        </w:rPr>
        <w:tab/>
        <w:t>PSE</w:t>
      </w:r>
      <w:r w:rsidR="00092219">
        <w:rPr>
          <w:rFonts w:eastAsia="Cambria"/>
        </w:rPr>
        <w:t xml:space="preserve"> is proposing major</w:t>
      </w:r>
      <w:r w:rsidR="00373E0A">
        <w:rPr>
          <w:rFonts w:eastAsia="Cambria"/>
        </w:rPr>
        <w:t xml:space="preserve"> and unsupported revisions in its methodology for calculating</w:t>
      </w:r>
      <w:r>
        <w:rPr>
          <w:rFonts w:eastAsia="Cambria"/>
        </w:rPr>
        <w:t xml:space="preserve"> its </w:t>
      </w:r>
      <w:r w:rsidR="00342135">
        <w:rPr>
          <w:rFonts w:eastAsia="Cambria"/>
        </w:rPr>
        <w:t>avoided costs</w:t>
      </w:r>
      <w:r w:rsidR="00CE665C">
        <w:rPr>
          <w:rFonts w:eastAsia="Cambria"/>
        </w:rPr>
        <w:t xml:space="preserve"> that are</w:t>
      </w:r>
      <w:r>
        <w:rPr>
          <w:rFonts w:eastAsia="Cambria"/>
        </w:rPr>
        <w:t xml:space="preserve"> inconsistent with recent Commission direction</w:t>
      </w:r>
      <w:r w:rsidR="00CB3526">
        <w:rPr>
          <w:rFonts w:eastAsia="Cambria"/>
        </w:rPr>
        <w:t xml:space="preserve">.  </w:t>
      </w:r>
      <w:r w:rsidR="008C459A">
        <w:rPr>
          <w:rFonts w:eastAsia="Cambria"/>
        </w:rPr>
        <w:t xml:space="preserve">Specifically, </w:t>
      </w:r>
      <w:r>
        <w:rPr>
          <w:rFonts w:eastAsia="Cambria"/>
        </w:rPr>
        <w:t>PSE</w:t>
      </w:r>
      <w:r w:rsidR="00394278">
        <w:rPr>
          <w:rFonts w:eastAsia="Cambria"/>
        </w:rPr>
        <w:t xml:space="preserve">’s </w:t>
      </w:r>
      <w:r>
        <w:rPr>
          <w:rFonts w:eastAsia="Cambria"/>
        </w:rPr>
        <w:t>revised Schedule 91</w:t>
      </w:r>
      <w:r w:rsidR="00394278">
        <w:rPr>
          <w:rFonts w:eastAsia="Cambria"/>
        </w:rPr>
        <w:t xml:space="preserve"> w</w:t>
      </w:r>
      <w:r>
        <w:rPr>
          <w:rFonts w:eastAsia="Cambria"/>
        </w:rPr>
        <w:t>ill no longer pay QFs</w:t>
      </w:r>
      <w:r w:rsidR="008C459A">
        <w:rPr>
          <w:rFonts w:eastAsia="Cambria"/>
        </w:rPr>
        <w:t xml:space="preserve"> for the capacity value they provide to the company</w:t>
      </w:r>
      <w:r>
        <w:rPr>
          <w:rFonts w:eastAsia="Cambria"/>
        </w:rPr>
        <w:t xml:space="preserve"> during the years before PSE plans to acquire its next major combined cycle combustion turbine gas generation resource</w:t>
      </w:r>
      <w:r w:rsidR="008C459A">
        <w:rPr>
          <w:rFonts w:eastAsia="Cambria"/>
        </w:rPr>
        <w:t xml:space="preserve">.  </w:t>
      </w:r>
      <w:r w:rsidR="008A203C">
        <w:rPr>
          <w:rFonts w:eastAsia="Cambria"/>
        </w:rPr>
        <w:t>PSE did not notify the Commission of this major change, but a</w:t>
      </w:r>
      <w:r w:rsidR="000D0B11">
        <w:rPr>
          <w:rFonts w:eastAsia="Cambria"/>
        </w:rPr>
        <w:t>ppears to have snuck this</w:t>
      </w:r>
      <w:r w:rsidR="008A203C">
        <w:rPr>
          <w:rFonts w:eastAsia="Cambria"/>
        </w:rPr>
        <w:t xml:space="preserve"> into its filing in hopes that it would missed.  This may be because t</w:t>
      </w:r>
      <w:r>
        <w:rPr>
          <w:rFonts w:eastAsia="Cambria"/>
        </w:rPr>
        <w:t>he Commission recently rejected a similar proposal by PacifiCorp</w:t>
      </w:r>
      <w:r w:rsidR="008A203C">
        <w:rPr>
          <w:rFonts w:eastAsia="Cambria"/>
        </w:rPr>
        <w:t xml:space="preserve"> to elimin</w:t>
      </w:r>
      <w:r w:rsidR="00B903D6">
        <w:rPr>
          <w:rFonts w:eastAsia="Cambria"/>
        </w:rPr>
        <w:t>ate capacity payments because that proposal</w:t>
      </w:r>
      <w:r w:rsidR="008A203C">
        <w:rPr>
          <w:rFonts w:eastAsia="Cambria"/>
        </w:rPr>
        <w:t xml:space="preserve"> f</w:t>
      </w:r>
      <w:r w:rsidR="004428DF">
        <w:rPr>
          <w:rFonts w:eastAsia="Cambria"/>
        </w:rPr>
        <w:t>ailed to compensate QFs for the</w:t>
      </w:r>
      <w:r w:rsidR="000E4654">
        <w:rPr>
          <w:rFonts w:eastAsia="Cambria"/>
        </w:rPr>
        <w:t xml:space="preserve"> </w:t>
      </w:r>
      <w:r w:rsidR="008A203C">
        <w:rPr>
          <w:rFonts w:eastAsia="Cambria"/>
        </w:rPr>
        <w:t>value they</w:t>
      </w:r>
      <w:r w:rsidR="008E3B28">
        <w:rPr>
          <w:rFonts w:eastAsia="Cambria"/>
        </w:rPr>
        <w:t xml:space="preserve"> provide when displacing power that</w:t>
      </w:r>
      <w:r w:rsidR="000E4654">
        <w:rPr>
          <w:rFonts w:eastAsia="Cambria"/>
        </w:rPr>
        <w:t xml:space="preserve"> </w:t>
      </w:r>
      <w:r w:rsidR="004B4777">
        <w:rPr>
          <w:rFonts w:eastAsia="Cambria"/>
        </w:rPr>
        <w:t>utility</w:t>
      </w:r>
      <w:r w:rsidR="008E3B28">
        <w:rPr>
          <w:rFonts w:eastAsia="Cambria"/>
        </w:rPr>
        <w:t xml:space="preserve"> would otherwise generate or purchase</w:t>
      </w:r>
      <w:r w:rsidR="000E4654">
        <w:rPr>
          <w:rFonts w:eastAsia="Cambria"/>
        </w:rPr>
        <w:t>.</w:t>
      </w:r>
      <w:r>
        <w:rPr>
          <w:rFonts w:eastAsia="Cambria"/>
        </w:rPr>
        <w:t xml:space="preserve"> </w:t>
      </w:r>
      <w:r w:rsidR="008A203C">
        <w:rPr>
          <w:rFonts w:eastAsia="Cambria"/>
        </w:rPr>
        <w:t xml:space="preserve"> </w:t>
      </w:r>
      <w:r w:rsidR="00537174">
        <w:rPr>
          <w:rFonts w:eastAsia="Cambria"/>
        </w:rPr>
        <w:t>In addition to violating</w:t>
      </w:r>
      <w:r w:rsidR="00F5240A">
        <w:rPr>
          <w:rFonts w:eastAsia="Cambria"/>
        </w:rPr>
        <w:t xml:space="preserve"> </w:t>
      </w:r>
      <w:r w:rsidR="007801E1">
        <w:rPr>
          <w:rFonts w:eastAsia="Cambria"/>
        </w:rPr>
        <w:t>this</w:t>
      </w:r>
      <w:r w:rsidR="000762FD">
        <w:rPr>
          <w:rFonts w:eastAsia="Cambria"/>
        </w:rPr>
        <w:t xml:space="preserve"> Commission’s</w:t>
      </w:r>
      <w:r w:rsidR="007801E1">
        <w:rPr>
          <w:rFonts w:eastAsia="Cambria"/>
        </w:rPr>
        <w:t xml:space="preserve"> and the Federal Energy Regulatory Commission’s (“FERC”)</w:t>
      </w:r>
      <w:r w:rsidR="000762FD">
        <w:rPr>
          <w:rFonts w:eastAsia="Cambria"/>
        </w:rPr>
        <w:t xml:space="preserve"> substantive precedent</w:t>
      </w:r>
      <w:r w:rsidR="00501544">
        <w:rPr>
          <w:rFonts w:eastAsia="Cambria"/>
        </w:rPr>
        <w:t xml:space="preserve"> regarding capacity payments</w:t>
      </w:r>
      <w:r w:rsidR="000762FD">
        <w:rPr>
          <w:rFonts w:eastAsia="Cambria"/>
        </w:rPr>
        <w:t xml:space="preserve">, </w:t>
      </w:r>
      <w:r w:rsidR="000B108A">
        <w:rPr>
          <w:rFonts w:eastAsia="Cambria"/>
        </w:rPr>
        <w:t>PSE has also i</w:t>
      </w:r>
      <w:r w:rsidR="00537174">
        <w:rPr>
          <w:rFonts w:eastAsia="Cambria"/>
        </w:rPr>
        <w:t>gnored</w:t>
      </w:r>
      <w:r w:rsidR="000B108A">
        <w:rPr>
          <w:rFonts w:eastAsia="Cambria"/>
        </w:rPr>
        <w:t xml:space="preserve"> this</w:t>
      </w:r>
      <w:r w:rsidR="008A203C">
        <w:rPr>
          <w:rFonts w:eastAsia="Cambria"/>
        </w:rPr>
        <w:t xml:space="preserve"> Commission’s direction that this type of industry wide change </w:t>
      </w:r>
      <w:r w:rsidR="00577A34">
        <w:rPr>
          <w:rFonts w:eastAsia="Cambria"/>
        </w:rPr>
        <w:t xml:space="preserve">to the valuation of capacity </w:t>
      </w:r>
      <w:r w:rsidR="008A203C">
        <w:rPr>
          <w:rFonts w:eastAsia="Cambria"/>
        </w:rPr>
        <w:t>should occur in a broader proceeding</w:t>
      </w:r>
      <w:r w:rsidR="004F5A0C">
        <w:rPr>
          <w:rFonts w:eastAsia="Cambria"/>
        </w:rPr>
        <w:t xml:space="preserve"> that allows all regional stakeholders an opportunity to participate.  </w:t>
      </w:r>
      <w:r>
        <w:rPr>
          <w:rFonts w:eastAsia="Cambria"/>
        </w:rPr>
        <w:t xml:space="preserve"> </w:t>
      </w:r>
    </w:p>
    <w:p w14:paraId="07699F75" w14:textId="212DA757" w:rsidR="00AB2EA7" w:rsidRDefault="00CB344A" w:rsidP="00517756">
      <w:pPr>
        <w:ind w:right="-450"/>
        <w:rPr>
          <w:rFonts w:eastAsia="Cambria"/>
        </w:rPr>
      </w:pPr>
      <w:r>
        <w:rPr>
          <w:rFonts w:eastAsia="Cambria"/>
        </w:rPr>
        <w:lastRenderedPageBreak/>
        <w:tab/>
        <w:t>There are other changes in PSE’s filing that may inappropriately under compensate small QFs.  PSE has</w:t>
      </w:r>
      <w:r w:rsidR="008734CF">
        <w:rPr>
          <w:rFonts w:eastAsia="Cambria"/>
        </w:rPr>
        <w:t xml:space="preserve"> proposed a major reduction in the capacity payments to QFs after the date of its </w:t>
      </w:r>
      <w:r w:rsidR="00374663">
        <w:rPr>
          <w:rFonts w:eastAsia="Cambria"/>
        </w:rPr>
        <w:t>next major resource acquisition</w:t>
      </w:r>
      <w:r w:rsidR="0035292C">
        <w:rPr>
          <w:rFonts w:eastAsia="Cambria"/>
        </w:rPr>
        <w:t xml:space="preserve"> (2022)</w:t>
      </w:r>
      <w:r w:rsidR="00374663">
        <w:rPr>
          <w:rFonts w:eastAsia="Cambria"/>
        </w:rPr>
        <w:t>, which is not explained or supported.</w:t>
      </w:r>
      <w:r w:rsidR="000E4654">
        <w:rPr>
          <w:rFonts w:eastAsia="Cambria"/>
        </w:rPr>
        <w:t xml:space="preserve">  </w:t>
      </w:r>
      <w:r>
        <w:rPr>
          <w:rFonts w:eastAsia="Cambria"/>
        </w:rPr>
        <w:t>In addition, PSE has elected to use the lowest gas and market price forecasts from its integrated resource plan (“IRP”), which may not accurately forecast future energy prices.</w:t>
      </w:r>
      <w:r w:rsidR="00055DDE">
        <w:rPr>
          <w:rFonts w:eastAsia="Cambria"/>
        </w:rPr>
        <w:t xml:space="preserve"> </w:t>
      </w:r>
      <w:r>
        <w:rPr>
          <w:rFonts w:eastAsia="Cambria"/>
        </w:rPr>
        <w:t xml:space="preserve"> The Coalition has requested copies of PSE’s data responses provided to Staff and other parties, but PSE has yet to provide this basic information.  </w:t>
      </w:r>
      <w:r w:rsidR="008338BA">
        <w:rPr>
          <w:rFonts w:eastAsia="Cambria"/>
        </w:rPr>
        <w:t>Review of these responses as well as further analysis and discovery could identif</w:t>
      </w:r>
      <w:r w:rsidR="00B903D6">
        <w:rPr>
          <w:rFonts w:eastAsia="Cambria"/>
        </w:rPr>
        <w:t>y additional faulty assumptions and</w:t>
      </w:r>
      <w:r w:rsidR="008338BA">
        <w:rPr>
          <w:rFonts w:eastAsia="Cambria"/>
        </w:rPr>
        <w:t xml:space="preserve"> inappropriate methodolo</w:t>
      </w:r>
      <w:r w:rsidR="00B903D6">
        <w:rPr>
          <w:rFonts w:eastAsia="Cambria"/>
        </w:rPr>
        <w:t>gical changes</w:t>
      </w:r>
      <w:r w:rsidR="008338BA">
        <w:rPr>
          <w:rFonts w:eastAsia="Cambria"/>
        </w:rPr>
        <w:t xml:space="preserve">.  </w:t>
      </w:r>
    </w:p>
    <w:p w14:paraId="7A16FC6E" w14:textId="5EDEF940" w:rsidR="00AB2EA7" w:rsidRPr="00AB2EA7" w:rsidRDefault="00AB2EA7" w:rsidP="00517756">
      <w:pPr>
        <w:ind w:right="-450"/>
        <w:rPr>
          <w:rFonts w:eastAsia="Cambria"/>
          <w:b/>
        </w:rPr>
      </w:pPr>
      <w:r>
        <w:rPr>
          <w:rFonts w:eastAsia="Cambria"/>
          <w:b/>
        </w:rPr>
        <w:t>1.</w:t>
      </w:r>
      <w:r>
        <w:rPr>
          <w:rFonts w:eastAsia="Cambria"/>
          <w:b/>
        </w:rPr>
        <w:tab/>
        <w:t>The Renewable Energy Coalition</w:t>
      </w:r>
    </w:p>
    <w:p w14:paraId="5F6BCCC2" w14:textId="08AACF70" w:rsidR="004621C9" w:rsidRDefault="00FF649B" w:rsidP="00517756">
      <w:pPr>
        <w:ind w:right="-450"/>
      </w:pPr>
      <w:r>
        <w:rPr>
          <w:rFonts w:eastAsia="Cambria"/>
        </w:rPr>
        <w:tab/>
      </w:r>
      <w:r>
        <w:t xml:space="preserve">The Coalition </w:t>
      </w:r>
      <w:r w:rsidR="002B0FC4">
        <w:t xml:space="preserve">was established in 2009, and </w:t>
      </w:r>
      <w:r>
        <w:t xml:space="preserve">is comprised of over thirty members who own and operate </w:t>
      </w:r>
      <w:r w:rsidR="00D64A48">
        <w:t>about fifty</w:t>
      </w:r>
      <w:r w:rsidR="00CB344A">
        <w:t xml:space="preserve"> </w:t>
      </w:r>
      <w:r>
        <w:t>QFs in Oregon, Idaho, Washington, Utah, and Wyoming.  The Coalition’s membership includes several types</w:t>
      </w:r>
      <w:r w:rsidR="002B0FC4">
        <w:t xml:space="preserve"> of entities, including </w:t>
      </w:r>
      <w:r w:rsidR="00CB344A">
        <w:t>irrigation</w:t>
      </w:r>
      <w:r w:rsidR="00491063">
        <w:t xml:space="preserve"> districts</w:t>
      </w:r>
      <w:r w:rsidR="00CB344A">
        <w:t xml:space="preserve">, waste </w:t>
      </w:r>
      <w:r w:rsidR="00491063">
        <w:t xml:space="preserve">districts, </w:t>
      </w:r>
      <w:r>
        <w:t xml:space="preserve">water districts, </w:t>
      </w:r>
      <w:r w:rsidR="00CB344A">
        <w:t xml:space="preserve">small utilities, </w:t>
      </w:r>
      <w:r>
        <w:t xml:space="preserve">corporations, and individuals.  </w:t>
      </w:r>
      <w:r w:rsidR="00082F85">
        <w:t>The Coalition’s mem</w:t>
      </w:r>
      <w:r w:rsidR="00AC7E58">
        <w:t xml:space="preserve">bers are either selling power or seeking </w:t>
      </w:r>
      <w:r w:rsidR="00D64A48">
        <w:t xml:space="preserve">to enter into </w:t>
      </w:r>
      <w:r w:rsidR="00AC7E58">
        <w:t>power purchase agreements with regional utilities, including PSE, PacifiCorp, Portland General Electric Company, and Idaho Power</w:t>
      </w:r>
      <w:r w:rsidR="00E94DC3">
        <w:t xml:space="preserve"> Company</w:t>
      </w:r>
      <w:r w:rsidR="00AC7E58">
        <w:t>.  The Coalition represents their interests in regulatory proceedings regarding renewable energy, competitive markets, interconnection, integrated resource planning, and PURPA policies, including avoided cost rates.</w:t>
      </w:r>
      <w:r w:rsidR="00CE68D2">
        <w:t xml:space="preserve">  For example, the Coalition submitted comments and attended the workshop regarding integrated resource planning and avoided costs (UE-161024) and </w:t>
      </w:r>
      <w:r w:rsidR="00E94DC3">
        <w:t xml:space="preserve">participated in </w:t>
      </w:r>
      <w:r w:rsidR="00CE68D2">
        <w:t xml:space="preserve">PacifiCorp’s last contested avoided cost rate case (UE-141260). </w:t>
      </w:r>
    </w:p>
    <w:p w14:paraId="71D513B6" w14:textId="20637F6E" w:rsidR="00A55438" w:rsidRPr="00A55438" w:rsidRDefault="00AB60FC" w:rsidP="00517756">
      <w:pPr>
        <w:ind w:right="-450"/>
        <w:rPr>
          <w:b/>
        </w:rPr>
      </w:pPr>
      <w:r>
        <w:rPr>
          <w:b/>
        </w:rPr>
        <w:t>2.</w:t>
      </w:r>
      <w:r>
        <w:rPr>
          <w:b/>
        </w:rPr>
        <w:tab/>
        <w:t>PSE</w:t>
      </w:r>
      <w:r w:rsidR="00DB6BA3">
        <w:rPr>
          <w:b/>
        </w:rPr>
        <w:t>’s</w:t>
      </w:r>
      <w:r>
        <w:rPr>
          <w:b/>
        </w:rPr>
        <w:t xml:space="preserve"> Schedule 91</w:t>
      </w:r>
      <w:r w:rsidR="00A55438">
        <w:rPr>
          <w:b/>
        </w:rPr>
        <w:t xml:space="preserve"> Filing</w:t>
      </w:r>
    </w:p>
    <w:p w14:paraId="5A7CBEB0" w14:textId="2DC7BF73" w:rsidR="00095CB8" w:rsidRDefault="005F7865" w:rsidP="00517756">
      <w:pPr>
        <w:ind w:right="-450"/>
      </w:pPr>
      <w:r>
        <w:tab/>
      </w:r>
      <w:r w:rsidR="00834D4E">
        <w:t>PSE</w:t>
      </w:r>
      <w:r>
        <w:t xml:space="preserve"> has prop</w:t>
      </w:r>
      <w:r w:rsidR="00834D4E">
        <w:t xml:space="preserve">osed </w:t>
      </w:r>
      <w:r w:rsidR="00095CB8">
        <w:t>a significant reduction in its Schedule 91 avoided cost rates that is</w:t>
      </w:r>
      <w:r w:rsidR="000F63C1">
        <w:t xml:space="preserve"> both</w:t>
      </w:r>
      <w:r w:rsidR="00095CB8">
        <w:t xml:space="preserve"> inconsistent with rec</w:t>
      </w:r>
      <w:r w:rsidR="001B3616">
        <w:t xml:space="preserve">ent Commission precedent and </w:t>
      </w:r>
      <w:r w:rsidR="00095CB8">
        <w:t xml:space="preserve">not factually supported.  </w:t>
      </w:r>
      <w:r w:rsidR="001B3616">
        <w:t xml:space="preserve">As the Commission recently rejected a similar proposal by PacifiCorp to eliminate capacity payments during </w:t>
      </w:r>
      <w:r w:rsidR="004C25C6">
        <w:t xml:space="preserve">certain contract years, the Coalition recommends that PSE’s filing simply </w:t>
      </w:r>
      <w:r w:rsidR="00D64A48">
        <w:t xml:space="preserve">be rejected and </w:t>
      </w:r>
      <w:r w:rsidR="00232CA9">
        <w:t>that</w:t>
      </w:r>
      <w:r w:rsidR="00FF1C08">
        <w:t xml:space="preserve"> </w:t>
      </w:r>
      <w:r w:rsidR="00D64A48">
        <w:t>current rates</w:t>
      </w:r>
      <w:r w:rsidR="004C25C6">
        <w:t xml:space="preserve"> </w:t>
      </w:r>
      <w:r w:rsidR="00FF1C08">
        <w:t xml:space="preserve">be </w:t>
      </w:r>
      <w:r w:rsidR="004C25C6">
        <w:t>retained.  Alternatively, the Commission should open a proceeding to review the issue of capacity payments as well as other infirmities with PSE’s filing, including but not limited to lower market p</w:t>
      </w:r>
      <w:r w:rsidR="00E94DC3">
        <w:t>rices and reduced capacity payments</w:t>
      </w:r>
      <w:r w:rsidR="004C25C6">
        <w:t>.</w:t>
      </w:r>
    </w:p>
    <w:p w14:paraId="7C2B7100" w14:textId="0692487B" w:rsidR="00E44C7C" w:rsidRDefault="004C25C6" w:rsidP="00DD6A2C">
      <w:pPr>
        <w:ind w:right="-450"/>
      </w:pPr>
      <w:r>
        <w:tab/>
        <w:t>The Coalition understands that PSE has traditionally calcula</w:t>
      </w:r>
      <w:r w:rsidR="00D64A48">
        <w:t xml:space="preserve">ted its avoided cost rates in a manner that </w:t>
      </w:r>
      <w:r>
        <w:t xml:space="preserve">includes a full capacity payment during all years.  </w:t>
      </w:r>
      <w:r w:rsidR="00DD6A2C">
        <w:t>Current Schedule 91 rates include a $190.01 per kilowatt (“kW”) year capacity payment</w:t>
      </w:r>
      <w:r w:rsidR="00B903D6">
        <w:t xml:space="preserve"> in all years</w:t>
      </w:r>
      <w:r w:rsidR="00DD6A2C">
        <w:t xml:space="preserve">.  </w:t>
      </w:r>
      <w:r>
        <w:t xml:space="preserve">PSE’s </w:t>
      </w:r>
      <w:r w:rsidR="00F20066">
        <w:t>initial filing</w:t>
      </w:r>
      <w:r w:rsidR="00F20AE2">
        <w:t xml:space="preserve"> eliminated </w:t>
      </w:r>
      <w:r w:rsidR="00D64A48">
        <w:t xml:space="preserve">this </w:t>
      </w:r>
      <w:r w:rsidR="00B903D6">
        <w:t>capacity payment</w:t>
      </w:r>
      <w:r w:rsidR="00F20AE2">
        <w:t xml:space="preserve"> during the years 2017-2021.</w:t>
      </w:r>
      <w:r w:rsidR="00F20066">
        <w:t xml:space="preserve">  Notably, </w:t>
      </w:r>
      <w:r w:rsidR="002A4072">
        <w:t>despite claiming that “[t]he methodology used to update the fixed-price alternative is consistent with the approach used in the 2007 through 2015 annual filings</w:t>
      </w:r>
      <w:r w:rsidR="00CD3FBB">
        <w:t>,</w:t>
      </w:r>
      <w:r w:rsidR="002A4072">
        <w:t xml:space="preserve">” PSE did not list this </w:t>
      </w:r>
      <w:r w:rsidR="00D64A48">
        <w:t xml:space="preserve">major </w:t>
      </w:r>
      <w:r w:rsidR="002A4072">
        <w:t>change.</w:t>
      </w:r>
      <w:r w:rsidR="009832F0">
        <w:rPr>
          <w:rStyle w:val="FootnoteReference"/>
        </w:rPr>
        <w:footnoteReference w:id="1"/>
      </w:r>
      <w:r w:rsidR="002A4072">
        <w:t xml:space="preserve">  PSE’s advice letter identified three other major changes</w:t>
      </w:r>
      <w:r w:rsidR="00D64A48">
        <w:t>,</w:t>
      </w:r>
      <w:r w:rsidR="00D64A48">
        <w:rPr>
          <w:rStyle w:val="FootnoteReference"/>
        </w:rPr>
        <w:footnoteReference w:id="2"/>
      </w:r>
      <w:r w:rsidR="00D64A48">
        <w:t xml:space="preserve"> none of which rise to the</w:t>
      </w:r>
      <w:r w:rsidR="00B903D6">
        <w:t xml:space="preserve"> same</w:t>
      </w:r>
      <w:r w:rsidR="00D64A48">
        <w:t xml:space="preserve"> level of importance as eliminating capacity payments.</w:t>
      </w:r>
      <w:r w:rsidR="002A4072">
        <w:t xml:space="preserve">  </w:t>
      </w:r>
      <w:r w:rsidR="00DD6A2C">
        <w:t xml:space="preserve">After this significant unmentioned change was pointed out to PSE by Commission Staff, PSE re-filed its Schedule 91 rates with a </w:t>
      </w:r>
      <w:r w:rsidR="00D64A48">
        <w:t>near zero (</w:t>
      </w:r>
      <w:r w:rsidR="00DD6A2C">
        <w:t>$0.08 per kW-year</w:t>
      </w:r>
      <w:r w:rsidR="00D64A48">
        <w:t>)</w:t>
      </w:r>
      <w:r w:rsidR="00DD6A2C">
        <w:t xml:space="preserve"> instead of </w:t>
      </w:r>
      <w:r w:rsidR="00D64A48">
        <w:t xml:space="preserve">an actual </w:t>
      </w:r>
      <w:r w:rsidR="00DD6A2C">
        <w:t>zero capacity payment</w:t>
      </w:r>
      <w:r w:rsidR="00E94DC3">
        <w:t>.  This explained</w:t>
      </w:r>
      <w:r w:rsidR="00D64A48">
        <w:t xml:space="preserve"> that the rates</w:t>
      </w:r>
      <w:r w:rsidR="00DD6A2C">
        <w:t xml:space="preserve">: </w:t>
      </w:r>
      <w:r w:rsidR="00DD6A2C" w:rsidRPr="00DD6A2C">
        <w:t>“</w:t>
      </w:r>
      <w:r w:rsidR="001C0B6B" w:rsidRPr="001C0B6B">
        <w:t>include an avoided</w:t>
      </w:r>
      <w:r w:rsidR="00D64A48">
        <w:t xml:space="preserve"> </w:t>
      </w:r>
      <w:r w:rsidR="001C0B6B" w:rsidRPr="001C0B6B">
        <w:t>capacity cost associated with f</w:t>
      </w:r>
      <w:r w:rsidR="00486AE0">
        <w:t>ir</w:t>
      </w:r>
      <w:r w:rsidR="001C0B6B" w:rsidRPr="001C0B6B">
        <w:t>ming up short-term market purchases during the time period</w:t>
      </w:r>
      <w:r w:rsidR="001C0B6B">
        <w:t xml:space="preserve"> </w:t>
      </w:r>
      <w:r w:rsidR="001C0B6B" w:rsidRPr="001C0B6B">
        <w:t>before the Company's need to add capacity resources in 2022.</w:t>
      </w:r>
      <w:r w:rsidR="001C0B6B">
        <w:t>”</w:t>
      </w:r>
      <w:r w:rsidR="001C0B6B">
        <w:rPr>
          <w:rStyle w:val="FootnoteReference"/>
        </w:rPr>
        <w:footnoteReference w:id="3"/>
      </w:r>
      <w:r w:rsidR="00DD6A2C" w:rsidRPr="00DD6A2C">
        <w:t>  </w:t>
      </w:r>
      <w:r w:rsidR="00D64A48">
        <w:t>Despite this “payment,” QFs will</w:t>
      </w:r>
      <w:r w:rsidR="001C0B6B">
        <w:t xml:space="preserve"> essentially </w:t>
      </w:r>
      <w:r w:rsidR="00D64A48">
        <w:t xml:space="preserve">be paid nothing </w:t>
      </w:r>
      <w:r w:rsidR="00B903D6">
        <w:t xml:space="preserve">for capacity </w:t>
      </w:r>
      <w:r w:rsidR="001C0B6B">
        <w:t>during the 2017-2021 time period</w:t>
      </w:r>
      <w:r w:rsidR="003846AB">
        <w:t xml:space="preserve"> </w:t>
      </w:r>
      <w:r w:rsidR="001C0B6B">
        <w:t>(</w:t>
      </w:r>
      <w:r w:rsidR="00E94DC3">
        <w:t xml:space="preserve">down </w:t>
      </w:r>
      <w:r w:rsidR="001C0B6B">
        <w:t>from $190.01 per kW-year to $0.08 per kW-year)</w:t>
      </w:r>
      <w:r w:rsidR="003846AB">
        <w:t>.</w:t>
      </w:r>
      <w:r w:rsidR="00E44C7C">
        <w:t xml:space="preserve">  A change to move from compensating QFs for capacity based on a peaking plant to the </w:t>
      </w:r>
      <w:r w:rsidR="00E94DC3">
        <w:t xml:space="preserve">alleged </w:t>
      </w:r>
      <w:r w:rsidR="00E44C7C">
        <w:t>near zero costs to firm up market resources should only occur after notice and strong evidentiary support, both of which are lacking here.</w:t>
      </w:r>
    </w:p>
    <w:p w14:paraId="4EA99B5A" w14:textId="097EE083" w:rsidR="004F5A0C" w:rsidRDefault="004F5A0C" w:rsidP="00DD6A2C">
      <w:pPr>
        <w:ind w:right="-450"/>
      </w:pPr>
      <w:r>
        <w:tab/>
        <w:t xml:space="preserve">PSE </w:t>
      </w:r>
      <w:r w:rsidR="00E44C7C">
        <w:t xml:space="preserve">appears to have ignored the Commission’s recent direction </w:t>
      </w:r>
      <w:r w:rsidR="00F12A79">
        <w:t>in PacifiCorp’s</w:t>
      </w:r>
      <w:r w:rsidR="003B3EE8">
        <w:t xml:space="preserve"> avoided cost rate case in which it rejected PacifiCorp’s proposal </w:t>
      </w:r>
      <w:r w:rsidR="00FF025C">
        <w:t xml:space="preserve">to eliminate capacity payments </w:t>
      </w:r>
      <w:r w:rsidR="00F12A79">
        <w:t xml:space="preserve">that had been </w:t>
      </w:r>
      <w:r w:rsidR="00FF025C">
        <w:t>based</w:t>
      </w:r>
      <w:r w:rsidR="00F12A79">
        <w:t xml:space="preserve"> for years</w:t>
      </w:r>
      <w:r w:rsidR="00FF025C">
        <w:t xml:space="preserve"> on the capital costs of a simple cycle combustion turbine</w:t>
      </w:r>
      <w:r w:rsidR="00042262">
        <w:t xml:space="preserve"> (“SCCT”)</w:t>
      </w:r>
      <w:r w:rsidR="00F12A79">
        <w:t>.</w:t>
      </w:r>
      <w:r w:rsidR="00F12A79">
        <w:rPr>
          <w:rStyle w:val="FootnoteReference"/>
        </w:rPr>
        <w:footnoteReference w:id="4"/>
      </w:r>
      <w:r w:rsidR="00F12A79">
        <w:t xml:space="preserve">  The Commission instead decided</w:t>
      </w:r>
      <w:r w:rsidR="00844588">
        <w:t xml:space="preserve"> to maintain the status quo until an industry wide investigation can be completed</w:t>
      </w:r>
      <w:r w:rsidR="00FF025C">
        <w:t>.</w:t>
      </w:r>
      <w:r w:rsidR="00FF025C">
        <w:rPr>
          <w:rStyle w:val="FootnoteReference"/>
        </w:rPr>
        <w:footnoteReference w:id="5"/>
      </w:r>
      <w:r w:rsidR="00240F3E">
        <w:t xml:space="preserve">  PacifiCorp</w:t>
      </w:r>
      <w:r w:rsidR="00D8667F">
        <w:t xml:space="preserve"> </w:t>
      </w:r>
      <w:r w:rsidR="00240F3E">
        <w:t>had a capacity need, but proposed to replace the pa</w:t>
      </w:r>
      <w:r w:rsidR="0061473F">
        <w:t>yment to QFs from the SCCT to forward market prices</w:t>
      </w:r>
      <w:r w:rsidR="00240F3E">
        <w:t xml:space="preserve"> because PacifiCorp</w:t>
      </w:r>
      <w:r w:rsidR="00F12A79">
        <w:t>’s next major thermal resource wa</w:t>
      </w:r>
      <w:r w:rsidR="00240F3E">
        <w:t>s</w:t>
      </w:r>
      <w:r w:rsidR="00F12A79">
        <w:t xml:space="preserve"> allegedly</w:t>
      </w:r>
      <w:r w:rsidR="00240F3E">
        <w:t xml:space="preserve"> planned to occur in 2027.</w:t>
      </w:r>
      <w:r w:rsidR="00240F3E">
        <w:rPr>
          <w:rStyle w:val="FootnoteReference"/>
        </w:rPr>
        <w:footnoteReference w:id="6"/>
      </w:r>
      <w:r w:rsidR="0061473F">
        <w:t xml:space="preserve">  </w:t>
      </w:r>
      <w:r w:rsidR="00D8667F">
        <w:t xml:space="preserve">PSE also has a capacity need during the years 2017-2021, and has proposed </w:t>
      </w:r>
      <w:r w:rsidR="00745089">
        <w:t xml:space="preserve">to replace the costs of </w:t>
      </w:r>
      <w:r w:rsidR="00FA2C20">
        <w:t>a frame combustion turbine with firm market purchases.  After discovery, testimony and full briefing, t</w:t>
      </w:r>
      <w:r w:rsidR="0061473F">
        <w:t>he Commission rejected PacifiCorp’s argument that PacifiCorp’s projected forward</w:t>
      </w:r>
      <w:r w:rsidR="00B903D6">
        <w:t xml:space="preserve"> market</w:t>
      </w:r>
      <w:r w:rsidR="0061473F">
        <w:t xml:space="preserve"> prices r</w:t>
      </w:r>
      <w:r w:rsidR="00042262">
        <w:t>easonably account for that utility</w:t>
      </w:r>
      <w:r w:rsidR="0061473F">
        <w:t xml:space="preserve">’s avoided </w:t>
      </w:r>
      <w:r w:rsidR="008A203C">
        <w:t xml:space="preserve">capacity </w:t>
      </w:r>
      <w:r w:rsidR="0061473F">
        <w:t>costs</w:t>
      </w:r>
      <w:r w:rsidR="008A203C">
        <w:t>.</w:t>
      </w:r>
      <w:r w:rsidR="0061473F">
        <w:rPr>
          <w:rStyle w:val="FootnoteReference"/>
        </w:rPr>
        <w:footnoteReference w:id="7"/>
      </w:r>
      <w:r w:rsidR="00FA2C20">
        <w:t xml:space="preserve"> </w:t>
      </w:r>
      <w:r w:rsidR="008A203C">
        <w:t xml:space="preserve"> </w:t>
      </w:r>
      <w:r w:rsidR="00042262">
        <w:t>The Commission should also reject PSE’s proposal because neither utility should</w:t>
      </w:r>
      <w:r w:rsidR="00691639">
        <w:t xml:space="preserve"> account for</w:t>
      </w:r>
      <w:r w:rsidR="00B903D6">
        <w:t xml:space="preserve"> </w:t>
      </w:r>
      <w:r w:rsidR="00691639">
        <w:t>capacity costs using</w:t>
      </w:r>
      <w:r w:rsidR="008A203C">
        <w:t xml:space="preserve"> projected forward market prices.  </w:t>
      </w:r>
    </w:p>
    <w:p w14:paraId="78CD6D16" w14:textId="2F8C5B23" w:rsidR="009F204F" w:rsidRPr="009F204F" w:rsidRDefault="004F5A0C" w:rsidP="009F204F">
      <w:pPr>
        <w:ind w:right="-450"/>
      </w:pPr>
      <w:r>
        <w:tab/>
      </w:r>
      <w:r w:rsidR="009A11B6">
        <w:t xml:space="preserve">As well as making a recommendation that is inconsistent with the substantive merits of the Commission’s order, </w:t>
      </w:r>
      <w:r w:rsidR="00075595">
        <w:t>PSE also disregarded the Commission’s guidance regarding how it wants to</w:t>
      </w:r>
      <w:r w:rsidR="009A11B6">
        <w:t xml:space="preserve"> </w:t>
      </w:r>
      <w:r w:rsidR="00075595">
        <w:t xml:space="preserve">address and resolve the question of valuing capacity payments for QFs.  In the PacifiCorp proceeding, </w:t>
      </w:r>
      <w:r w:rsidR="0061473F">
        <w:t>Staff proposed, and the Coalition supported, a full capacity payment whenever PacifiCorp has an avoidable capacity acquisition during its ten-year planning horizon using the Commission’s renewable portfolio standard incremental cost methodology.</w:t>
      </w:r>
      <w:r w:rsidR="0061473F">
        <w:rPr>
          <w:rStyle w:val="FootnoteReference"/>
        </w:rPr>
        <w:footnoteReference w:id="8"/>
      </w:r>
      <w:r w:rsidR="00075595">
        <w:t xml:space="preserve">  While remarking positively upon Staff’s proposal, the Commission declined to make any changes </w:t>
      </w:r>
      <w:r w:rsidR="009F204F">
        <w:t>because of the industry wide implications and the desire to consider information from a broader group of stakeholders.  Specifically</w:t>
      </w:r>
      <w:r w:rsidR="009832F0">
        <w:t>,</w:t>
      </w:r>
      <w:r w:rsidR="009F204F">
        <w:t xml:space="preserve"> the Commission concluded that:</w:t>
      </w:r>
    </w:p>
    <w:p w14:paraId="7BDEE75D" w14:textId="6880F1B6" w:rsidR="009F204F" w:rsidRPr="009F204F" w:rsidRDefault="009F204F" w:rsidP="009F204F">
      <w:pPr>
        <w:ind w:left="720" w:right="720"/>
        <w:jc w:val="both"/>
      </w:pPr>
      <w:r w:rsidRPr="009F204F">
        <w:t xml:space="preserve">because the implications of doing so would </w:t>
      </w:r>
      <w:r w:rsidRPr="009A11B6">
        <w:rPr>
          <w:b/>
          <w:u w:val="single"/>
        </w:rPr>
        <w:t>resonate industry wide</w:t>
      </w:r>
      <w:r w:rsidRPr="009F204F">
        <w:t xml:space="preserve">, we do not adopt Staff’s recommendation in this case. </w:t>
      </w:r>
      <w:r w:rsidRPr="009A11B6">
        <w:rPr>
          <w:b/>
          <w:u w:val="single"/>
        </w:rPr>
        <w:t>Policy initiatives of such breadth are better undertaken in proceedings that are not as narrow as this one.</w:t>
      </w:r>
      <w:r w:rsidRPr="009F204F">
        <w:t xml:space="preserve"> We intend, therefore, to initiate a workshop or other suitable form of proceeding during 2016 so that Staff’s ideas, and those </w:t>
      </w:r>
      <w:r w:rsidRPr="009A11B6">
        <w:rPr>
          <w:b/>
          <w:u w:val="single"/>
        </w:rPr>
        <w:t>that may be brought forward by other stakeholders, can be fully developed and considered</w:t>
      </w:r>
      <w:r w:rsidRPr="009F204F">
        <w:t>.</w:t>
      </w:r>
      <w:r>
        <w:rPr>
          <w:rStyle w:val="FootnoteReference"/>
        </w:rPr>
        <w:footnoteReference w:id="9"/>
      </w:r>
      <w:r w:rsidRPr="009F204F">
        <w:t> </w:t>
      </w:r>
    </w:p>
    <w:p w14:paraId="63262ECE" w14:textId="675D21C7" w:rsidR="00C05479" w:rsidRDefault="009A11B6" w:rsidP="00DD6A2C">
      <w:pPr>
        <w:ind w:right="-450"/>
      </w:pPr>
      <w:r>
        <w:tab/>
        <w:t xml:space="preserve">The Commission </w:t>
      </w:r>
      <w:r w:rsidR="009F204F">
        <w:t>opened a generic rulemaking proceeding this year that, among other things,</w:t>
      </w:r>
      <w:r>
        <w:t xml:space="preserve"> is supposed to address</w:t>
      </w:r>
      <w:r w:rsidR="009F204F">
        <w:t xml:space="preserve"> </w:t>
      </w:r>
      <w:r w:rsidR="008B0267">
        <w:t>“avoided costs” for PURPA projects.</w:t>
      </w:r>
      <w:r w:rsidR="008B0267">
        <w:rPr>
          <w:rStyle w:val="FootnoteReference"/>
        </w:rPr>
        <w:footnoteReference w:id="10"/>
      </w:r>
      <w:r w:rsidR="008B0267">
        <w:t xml:space="preserve">  </w:t>
      </w:r>
      <w:r w:rsidR="002A4314">
        <w:t>The Coalition submitted written and oral comments, recommending that the Commission require the utilities to continue to make full capacity payments in all years and to open a broader PURPA specific rulemaking in 20</w:t>
      </w:r>
      <w:r w:rsidR="00372420">
        <w:t>19.</w:t>
      </w:r>
      <w:r w:rsidR="002A4314">
        <w:rPr>
          <w:rStyle w:val="FootnoteReference"/>
        </w:rPr>
        <w:footnoteReference w:id="11"/>
      </w:r>
      <w:r w:rsidR="00372420">
        <w:t xml:space="preserve">  PSE provided detailed comments on PURPA avoided cost rates, including a summary of how it calculates its rates for large and small QFs.</w:t>
      </w:r>
      <w:r w:rsidR="00372420">
        <w:rPr>
          <w:rStyle w:val="FootnoteReference"/>
        </w:rPr>
        <w:footnoteReference w:id="12"/>
      </w:r>
      <w:r w:rsidR="00372420">
        <w:t xml:space="preserve">  </w:t>
      </w:r>
      <w:r>
        <w:t xml:space="preserve">However, </w:t>
      </w:r>
      <w:r w:rsidR="00042262">
        <w:t>the Coalition is not aware of PSE indicating</w:t>
      </w:r>
      <w:r w:rsidR="00372420">
        <w:t xml:space="preserve"> any concerns with how capacity costs are calculated,</w:t>
      </w:r>
      <w:r w:rsidR="00042262">
        <w:t xml:space="preserve"> </w:t>
      </w:r>
      <w:r w:rsidR="00372420">
        <w:t>request</w:t>
      </w:r>
      <w:r w:rsidR="00042262">
        <w:t>ing</w:t>
      </w:r>
      <w:r w:rsidR="00372420">
        <w:t xml:space="preserve"> that the Commission review that issue in </w:t>
      </w:r>
      <w:r w:rsidR="00B903D6">
        <w:t>the rulem</w:t>
      </w:r>
      <w:r w:rsidR="00042262">
        <w:t xml:space="preserve">aking or elsewhere, or </w:t>
      </w:r>
      <w:r w:rsidR="00372420">
        <w:t>inform</w:t>
      </w:r>
      <w:r w:rsidR="00042262">
        <w:t>ing</w:t>
      </w:r>
      <w:r w:rsidR="00372420">
        <w:t xml:space="preserve"> the Commission and stakeholders that it was planning to file a wholesale change in compensating QFs for capacity in three weeks.  </w:t>
      </w:r>
      <w:r w:rsidR="00CA14F6">
        <w:t>Apparently, this radical change did not warrant a mention in either its advice filing in this case or PSE’s detailed comments in the rulemaking.</w:t>
      </w:r>
    </w:p>
    <w:p w14:paraId="236D776E" w14:textId="7566B0D9" w:rsidR="00C05479" w:rsidRDefault="00C05479" w:rsidP="00C05479">
      <w:pPr>
        <w:ind w:right="-450"/>
      </w:pPr>
      <w:r>
        <w:tab/>
        <w:t xml:space="preserve">PSE has made other important revisions based on new factual inputs that are not fully explained or supported.  </w:t>
      </w:r>
      <w:r w:rsidRPr="00C05479">
        <w:t>PSE has reduced its avoided co</w:t>
      </w:r>
      <w:r w:rsidR="00B903D6">
        <w:t>st of capacity from $190 to $135</w:t>
      </w:r>
      <w:r w:rsidRPr="00C05479">
        <w:t xml:space="preserve"> per kW-year, with a note in the workpapers that this change is based on </w:t>
      </w:r>
      <w:r>
        <w:t>reduced frame CT costs:</w:t>
      </w:r>
      <w:r w:rsidRPr="00C05479">
        <w:t xml:space="preserve"> “The avoided capacity cost is decreased to $135.04/kw-yr from $190.01/kw-yr on guidance from the IRP analysts, for the years 2022-2032.”</w:t>
      </w:r>
      <w:r>
        <w:rPr>
          <w:rStyle w:val="FootnoteReference"/>
        </w:rPr>
        <w:footnoteReference w:id="13"/>
      </w:r>
      <w:r w:rsidRPr="00C05479">
        <w:t> </w:t>
      </w:r>
      <w:r>
        <w:t xml:space="preserve"> There is no </w:t>
      </w:r>
      <w:r w:rsidR="00232CA9">
        <w:t xml:space="preserve">specific </w:t>
      </w:r>
      <w:r>
        <w:t>citation, reference or any</w:t>
      </w:r>
      <w:r w:rsidR="009A11B6">
        <w:t xml:space="preserve"> other </w:t>
      </w:r>
      <w:r>
        <w:t xml:space="preserve">way to verify, analyze or challenge </w:t>
      </w:r>
      <w:r w:rsidR="00B903D6">
        <w:t>this</w:t>
      </w:r>
      <w:r w:rsidR="0070476C">
        <w:t xml:space="preserve"> 30% reduction in capacity costs. </w:t>
      </w:r>
      <w:r w:rsidR="00501440">
        <w:t xml:space="preserve"> T</w:t>
      </w:r>
      <w:r w:rsidR="00FA2973">
        <w:t xml:space="preserve">his lack of supporting information violates </w:t>
      </w:r>
      <w:r w:rsidR="009A11B6">
        <w:t xml:space="preserve">at least the spirit of </w:t>
      </w:r>
      <w:r w:rsidR="00FA2973">
        <w:t>the Commission’s rules that require PSE to provide “documentation supporting its schedule of estimated avoided cost.”</w:t>
      </w:r>
      <w:r w:rsidR="00FA2973">
        <w:rPr>
          <w:rStyle w:val="FootnoteReference"/>
        </w:rPr>
        <w:footnoteReference w:id="14"/>
      </w:r>
      <w:r w:rsidR="00FA2973">
        <w:t xml:space="preserve"> </w:t>
      </w:r>
      <w:r w:rsidR="0070476C">
        <w:t xml:space="preserve"> </w:t>
      </w:r>
    </w:p>
    <w:p w14:paraId="7CE9BC80" w14:textId="78788C18" w:rsidR="004C25C6" w:rsidRDefault="0070476C" w:rsidP="00517756">
      <w:pPr>
        <w:ind w:right="-450"/>
      </w:pPr>
      <w:r>
        <w:tab/>
      </w:r>
      <w:r w:rsidR="00B903D6">
        <w:t xml:space="preserve">Finally, </w:t>
      </w:r>
      <w:r>
        <w:t>PSE appears to be</w:t>
      </w:r>
      <w:r w:rsidR="009A11B6">
        <w:t xml:space="preserve"> using the</w:t>
      </w:r>
      <w:r>
        <w:t xml:space="preserve"> s</w:t>
      </w:r>
      <w:r w:rsidRPr="0070476C">
        <w:t xml:space="preserve">pring 2016 </w:t>
      </w:r>
      <w:r w:rsidR="00B903D6">
        <w:t xml:space="preserve">natural gas </w:t>
      </w:r>
      <w:r w:rsidRPr="0070476C">
        <w:t xml:space="preserve">forecast from Wood Mackenzie </w:t>
      </w:r>
      <w:r>
        <w:t xml:space="preserve">as the basis for a reduction in its energy costs. </w:t>
      </w:r>
      <w:r w:rsidRPr="0070476C">
        <w:t xml:space="preserve"> The gas market bottomed out in March 2016, and has rebounded since then, with recent fundam</w:t>
      </w:r>
      <w:r>
        <w:t>entals forecasts</w:t>
      </w:r>
      <w:r w:rsidR="00232CA9">
        <w:t>,</w:t>
      </w:r>
      <w:r>
        <w:t xml:space="preserve"> such as the</w:t>
      </w:r>
      <w:r w:rsidR="009A11B6">
        <w:t xml:space="preserve"> Energy Information Agency’s </w:t>
      </w:r>
      <w:r w:rsidR="009A11B6" w:rsidRPr="00B903D6">
        <w:rPr>
          <w:i/>
        </w:rPr>
        <w:t>Annual Energy Outlook</w:t>
      </w:r>
      <w:r w:rsidRPr="00B903D6">
        <w:rPr>
          <w:i/>
        </w:rPr>
        <w:t xml:space="preserve"> 2016</w:t>
      </w:r>
      <w:r>
        <w:t xml:space="preserve"> forecast</w:t>
      </w:r>
      <w:r w:rsidR="00232CA9">
        <w:t>,</w:t>
      </w:r>
      <w:r>
        <w:t xml:space="preserve"> </w:t>
      </w:r>
      <w:r w:rsidRPr="0070476C">
        <w:t xml:space="preserve">significantly higher than what PSE appears to have used.  </w:t>
      </w:r>
      <w:r w:rsidR="00B903D6">
        <w:t>This forecast is almost</w:t>
      </w:r>
      <w:r>
        <w:t xml:space="preserve"> a year out of date, and PSE appears to have selected the lowest gas forecast.  A</w:t>
      </w:r>
      <w:r w:rsidRPr="0070476C">
        <w:t xml:space="preserve"> more recent gas forecast </w:t>
      </w:r>
      <w:r w:rsidR="00B903D6">
        <w:t>w</w:t>
      </w:r>
      <w:r>
        <w:t xml:space="preserve">ould result in more accurate avoided cost rates.  </w:t>
      </w:r>
    </w:p>
    <w:p w14:paraId="7334AF9F" w14:textId="5E0BE6DA" w:rsidR="00656DC3" w:rsidRPr="0043222D" w:rsidRDefault="001C0B6B" w:rsidP="00517756">
      <w:pPr>
        <w:ind w:right="-450"/>
        <w:rPr>
          <w:b/>
        </w:rPr>
      </w:pPr>
      <w:r>
        <w:rPr>
          <w:b/>
        </w:rPr>
        <w:t>3.</w:t>
      </w:r>
      <w:r>
        <w:rPr>
          <w:b/>
        </w:rPr>
        <w:tab/>
        <w:t>PSE</w:t>
      </w:r>
      <w:r w:rsidR="00815240">
        <w:rPr>
          <w:b/>
        </w:rPr>
        <w:t>’s Filing Violates FERC Rules and Precedent</w:t>
      </w:r>
    </w:p>
    <w:p w14:paraId="5D6AA757" w14:textId="43A36017" w:rsidR="002F6D17" w:rsidRDefault="00C45AB4" w:rsidP="00517756">
      <w:pPr>
        <w:ind w:right="-450"/>
        <w:rPr>
          <w:rFonts w:eastAsia="Cambria"/>
        </w:rPr>
      </w:pPr>
      <w:r>
        <w:rPr>
          <w:rFonts w:eastAsia="Cambria"/>
        </w:rPr>
        <w:tab/>
        <w:t>The Commis</w:t>
      </w:r>
      <w:r w:rsidR="0043222D">
        <w:rPr>
          <w:rFonts w:eastAsia="Cambria"/>
        </w:rPr>
        <w:t>s</w:t>
      </w:r>
      <w:r>
        <w:rPr>
          <w:rFonts w:eastAsia="Cambria"/>
        </w:rPr>
        <w:t>i</w:t>
      </w:r>
      <w:r w:rsidR="0043222D">
        <w:rPr>
          <w:rFonts w:eastAsia="Cambria"/>
        </w:rPr>
        <w:t xml:space="preserve">on should </w:t>
      </w:r>
      <w:r w:rsidR="00393987">
        <w:rPr>
          <w:rFonts w:eastAsia="Cambria"/>
        </w:rPr>
        <w:t xml:space="preserve">reject, or in the alternative, </w:t>
      </w:r>
      <w:r>
        <w:rPr>
          <w:rFonts w:eastAsia="Cambria"/>
        </w:rPr>
        <w:t xml:space="preserve">suspend and investigate </w:t>
      </w:r>
      <w:r w:rsidR="00393987">
        <w:rPr>
          <w:rFonts w:eastAsia="Cambria"/>
        </w:rPr>
        <w:t>PSE</w:t>
      </w:r>
      <w:r w:rsidR="00232CA9">
        <w:rPr>
          <w:rFonts w:eastAsia="Cambria"/>
        </w:rPr>
        <w:t>’s</w:t>
      </w:r>
      <w:r w:rsidR="00393987">
        <w:rPr>
          <w:rFonts w:eastAsia="Cambria"/>
        </w:rPr>
        <w:t xml:space="preserve"> proposed rates because they</w:t>
      </w:r>
      <w:r w:rsidR="00CF2E5F">
        <w:rPr>
          <w:rFonts w:eastAsia="Cambria"/>
        </w:rPr>
        <w:t xml:space="preserve"> violate</w:t>
      </w:r>
      <w:r>
        <w:rPr>
          <w:rFonts w:eastAsia="Cambria"/>
        </w:rPr>
        <w:t xml:space="preserve"> the Commission’s policies and rules</w:t>
      </w:r>
      <w:r w:rsidR="00393987">
        <w:rPr>
          <w:rFonts w:eastAsia="Cambria"/>
        </w:rPr>
        <w:t>,</w:t>
      </w:r>
      <w:r>
        <w:rPr>
          <w:rFonts w:eastAsia="Cambria"/>
        </w:rPr>
        <w:t xml:space="preserve"> </w:t>
      </w:r>
      <w:r w:rsidR="00393987">
        <w:rPr>
          <w:rFonts w:eastAsia="Cambria"/>
        </w:rPr>
        <w:t xml:space="preserve">and </w:t>
      </w:r>
      <w:r>
        <w:rPr>
          <w:rFonts w:eastAsia="Cambria"/>
        </w:rPr>
        <w:t xml:space="preserve">the federal </w:t>
      </w:r>
      <w:r w:rsidR="00393987">
        <w:rPr>
          <w:rFonts w:eastAsia="Cambria"/>
        </w:rPr>
        <w:t>law</w:t>
      </w:r>
      <w:r>
        <w:rPr>
          <w:rFonts w:eastAsia="Cambria"/>
        </w:rPr>
        <w:t xml:space="preserve">.  </w:t>
      </w:r>
      <w:r w:rsidR="002F6D17">
        <w:rPr>
          <w:rFonts w:eastAsia="Cambria"/>
        </w:rPr>
        <w:t>PURPA allows the</w:t>
      </w:r>
      <w:r w:rsidR="002F6D17" w:rsidRPr="00C0492C">
        <w:t xml:space="preserve"> federal government </w:t>
      </w:r>
      <w:r w:rsidR="002F6D17">
        <w:t>to set</w:t>
      </w:r>
      <w:r w:rsidR="002F6D17" w:rsidRPr="00C0492C">
        <w:t xml:space="preserve"> t</w:t>
      </w:r>
      <w:r w:rsidR="002F6D17">
        <w:t>he broad policy goals and directs the states to</w:t>
      </w:r>
      <w:r w:rsidR="002F6D17" w:rsidRPr="00C0492C">
        <w:t xml:space="preserve"> impleme</w:t>
      </w:r>
      <w:r w:rsidR="002F6D17">
        <w:t>nt the law. </w:t>
      </w:r>
      <w:r w:rsidR="002F6D17">
        <w:rPr>
          <w:rFonts w:eastAsia="Cambria"/>
        </w:rPr>
        <w:t xml:space="preserve"> In Washington, a</w:t>
      </w:r>
      <w:r>
        <w:rPr>
          <w:rFonts w:eastAsia="Cambria"/>
        </w:rPr>
        <w:t>voided cost rates available to QFs must be just, reasonable</w:t>
      </w:r>
      <w:r w:rsidR="00D57DAA">
        <w:rPr>
          <w:rFonts w:eastAsia="Cambria"/>
        </w:rPr>
        <w:t>, non-discriminatory,</w:t>
      </w:r>
      <w:r>
        <w:rPr>
          <w:rFonts w:eastAsia="Cambria"/>
        </w:rPr>
        <w:t xml:space="preserve"> in the public interest</w:t>
      </w:r>
      <w:r w:rsidR="002F6D17">
        <w:rPr>
          <w:rFonts w:eastAsia="Cambria"/>
        </w:rPr>
        <w:t>, and consistent with federal</w:t>
      </w:r>
      <w:r w:rsidR="008302CF">
        <w:rPr>
          <w:rFonts w:eastAsia="Cambria"/>
        </w:rPr>
        <w:t xml:space="preserve"> PURPA</w:t>
      </w:r>
      <w:r w:rsidR="00B903D6">
        <w:rPr>
          <w:rFonts w:eastAsia="Cambria"/>
        </w:rPr>
        <w:t xml:space="preserve"> rules and policies</w:t>
      </w:r>
      <w:r>
        <w:rPr>
          <w:rFonts w:eastAsia="Cambria"/>
        </w:rPr>
        <w:t>.</w:t>
      </w:r>
      <w:r w:rsidR="00C04E4A">
        <w:rPr>
          <w:rStyle w:val="FootnoteReference"/>
          <w:rFonts w:eastAsia="Cambria"/>
        </w:rPr>
        <w:footnoteReference w:id="15"/>
      </w:r>
      <w:r>
        <w:rPr>
          <w:rFonts w:eastAsia="Cambria"/>
        </w:rPr>
        <w:t xml:space="preserve"> </w:t>
      </w:r>
    </w:p>
    <w:p w14:paraId="64429434" w14:textId="79C9C2B4" w:rsidR="00DA161F" w:rsidRPr="00815240" w:rsidRDefault="002F6D17" w:rsidP="00F55629">
      <w:pPr>
        <w:ind w:right="-450"/>
        <w:rPr>
          <w:rFonts w:eastAsia="Cambria"/>
        </w:rPr>
      </w:pPr>
      <w:r>
        <w:rPr>
          <w:rFonts w:eastAsia="Cambria"/>
        </w:rPr>
        <w:tab/>
      </w:r>
      <w:r w:rsidR="00E32319">
        <w:rPr>
          <w:rFonts w:eastAsia="Cambria"/>
        </w:rPr>
        <w:t>FERC</w:t>
      </w:r>
      <w:r>
        <w:rPr>
          <w:rFonts w:eastAsia="Cambria"/>
        </w:rPr>
        <w:t xml:space="preserve"> has</w:t>
      </w:r>
      <w:r w:rsidR="00E01CE6">
        <w:rPr>
          <w:rFonts w:eastAsia="Cambria"/>
        </w:rPr>
        <w:t xml:space="preserve"> adopted</w:t>
      </w:r>
      <w:r w:rsidR="00157824">
        <w:rPr>
          <w:rFonts w:eastAsia="Cambria"/>
        </w:rPr>
        <w:t xml:space="preserve"> </w:t>
      </w:r>
      <w:r w:rsidR="00F55629">
        <w:rPr>
          <w:rFonts w:eastAsia="Cambria"/>
        </w:rPr>
        <w:t>federal PURPA rules and policies, and has concluded that utilities must purchase any capacity made available by a QF.</w:t>
      </w:r>
      <w:r w:rsidR="001C0B6B">
        <w:rPr>
          <w:rStyle w:val="FootnoteReference"/>
          <w:rFonts w:eastAsia="Cambria"/>
        </w:rPr>
        <w:footnoteReference w:id="16"/>
      </w:r>
      <w:r w:rsidR="00F55629">
        <w:rPr>
          <w:rFonts w:eastAsia="Cambria"/>
        </w:rPr>
        <w:t xml:space="preserve"> </w:t>
      </w:r>
      <w:r w:rsidR="00E32319">
        <w:rPr>
          <w:rFonts w:eastAsia="Cambria"/>
        </w:rPr>
        <w:t xml:space="preserve"> </w:t>
      </w:r>
      <w:r w:rsidR="00F55629" w:rsidRPr="00F55629">
        <w:rPr>
          <w:rFonts w:eastAsia="Cambria"/>
        </w:rPr>
        <w:t xml:space="preserve">Unless a utility has absolutely no need for capacity, </w:t>
      </w:r>
      <w:r w:rsidR="00E01CE6">
        <w:rPr>
          <w:rFonts w:eastAsia="Cambria"/>
        </w:rPr>
        <w:t xml:space="preserve">FERC has concluded that </w:t>
      </w:r>
      <w:r w:rsidR="00F55629" w:rsidRPr="00F55629">
        <w:rPr>
          <w:rFonts w:eastAsia="Cambria"/>
        </w:rPr>
        <w:t xml:space="preserve">all electric utilities must </w:t>
      </w:r>
      <w:r w:rsidR="00815240">
        <w:rPr>
          <w:rFonts w:eastAsiaTheme="minorEastAsia"/>
        </w:rPr>
        <w:t>purchase and pay for capacity provided by the QF.</w:t>
      </w:r>
      <w:r w:rsidR="001C0B6B">
        <w:rPr>
          <w:rStyle w:val="FootnoteReference"/>
          <w:rFonts w:eastAsiaTheme="minorEastAsia"/>
        </w:rPr>
        <w:footnoteReference w:id="17"/>
      </w:r>
      <w:r w:rsidR="00DA161F">
        <w:rPr>
          <w:rFonts w:eastAsiaTheme="minorEastAsia"/>
        </w:rPr>
        <w:t xml:space="preserve"> </w:t>
      </w:r>
      <w:r w:rsidR="00815240">
        <w:rPr>
          <w:rFonts w:eastAsiaTheme="minorEastAsia"/>
        </w:rPr>
        <w:t>While PSE claims that it</w:t>
      </w:r>
      <w:r w:rsidR="00853431">
        <w:rPr>
          <w:rFonts w:eastAsiaTheme="minorEastAsia"/>
        </w:rPr>
        <w:t xml:space="preserve"> is not planning to build </w:t>
      </w:r>
      <w:r w:rsidR="00111624">
        <w:rPr>
          <w:rFonts w:eastAsiaTheme="minorEastAsia"/>
        </w:rPr>
        <w:t xml:space="preserve">new </w:t>
      </w:r>
      <w:r w:rsidR="00815240">
        <w:rPr>
          <w:rFonts w:eastAsiaTheme="minorEastAsia"/>
        </w:rPr>
        <w:t xml:space="preserve">baseload </w:t>
      </w:r>
      <w:r w:rsidR="00111624">
        <w:rPr>
          <w:rFonts w:eastAsiaTheme="minorEastAsia"/>
        </w:rPr>
        <w:t>the</w:t>
      </w:r>
      <w:r w:rsidR="00815240">
        <w:rPr>
          <w:rFonts w:eastAsiaTheme="minorEastAsia"/>
        </w:rPr>
        <w:t>rmal resources until 2022</w:t>
      </w:r>
      <w:r w:rsidR="00111624">
        <w:rPr>
          <w:rFonts w:eastAsiaTheme="minorEastAsia"/>
        </w:rPr>
        <w:t>, the company still has a need for capacity</w:t>
      </w:r>
      <w:r w:rsidR="00713539">
        <w:rPr>
          <w:rFonts w:eastAsiaTheme="minorEastAsia"/>
        </w:rPr>
        <w:t xml:space="preserve"> and </w:t>
      </w:r>
      <w:r w:rsidR="00E01CE6">
        <w:rPr>
          <w:rFonts w:eastAsiaTheme="minorEastAsia"/>
        </w:rPr>
        <w:t xml:space="preserve">should compensate </w:t>
      </w:r>
      <w:r w:rsidR="00713539">
        <w:rPr>
          <w:rFonts w:eastAsiaTheme="minorEastAsia"/>
        </w:rPr>
        <w:t xml:space="preserve">QFs for the </w:t>
      </w:r>
      <w:r w:rsidR="001153F3">
        <w:rPr>
          <w:rFonts w:eastAsiaTheme="minorEastAsia"/>
        </w:rPr>
        <w:t>capacity value they provide.</w:t>
      </w:r>
      <w:r w:rsidR="0077778A">
        <w:rPr>
          <w:rFonts w:eastAsiaTheme="minorEastAsia"/>
        </w:rPr>
        <w:t xml:space="preserve">  </w:t>
      </w:r>
    </w:p>
    <w:p w14:paraId="2AE1B90D" w14:textId="71B48DA3" w:rsidR="00291148" w:rsidRDefault="00291148" w:rsidP="00F55629">
      <w:pPr>
        <w:ind w:right="-450"/>
        <w:rPr>
          <w:rFonts w:eastAsiaTheme="minorEastAsia"/>
        </w:rPr>
      </w:pPr>
      <w:r>
        <w:rPr>
          <w:rFonts w:eastAsiaTheme="minorEastAsia"/>
        </w:rPr>
        <w:tab/>
        <w:t>The Coalition appreciates this opportunity to submit comments, and</w:t>
      </w:r>
      <w:r w:rsidR="00815240">
        <w:rPr>
          <w:rFonts w:eastAsiaTheme="minorEastAsia"/>
        </w:rPr>
        <w:t xml:space="preserve"> recommends that the Commission simply reject PSE’s filing.  The Commission should address PSE’s significant changes in policy in a generic docket that includes all interested stakeholders, including customer groups, other utilities, and environmental organizations</w:t>
      </w:r>
      <w:r w:rsidR="00AF1CD2">
        <w:rPr>
          <w:rFonts w:eastAsiaTheme="minorEastAsia"/>
        </w:rPr>
        <w:t xml:space="preserve"> rather than a limited</w:t>
      </w:r>
      <w:r w:rsidR="00232CA9">
        <w:rPr>
          <w:rFonts w:eastAsiaTheme="minorEastAsia"/>
        </w:rPr>
        <w:t xml:space="preserve"> advice filing</w:t>
      </w:r>
      <w:r w:rsidR="00815240">
        <w:rPr>
          <w:rFonts w:eastAsiaTheme="minorEastAsia"/>
        </w:rPr>
        <w:t>.</w:t>
      </w:r>
      <w:r>
        <w:rPr>
          <w:rFonts w:eastAsiaTheme="minorEastAsia"/>
        </w:rPr>
        <w:t xml:space="preserve"> </w:t>
      </w:r>
      <w:r w:rsidR="00815240">
        <w:rPr>
          <w:rFonts w:eastAsiaTheme="minorEastAsia"/>
        </w:rPr>
        <w:t xml:space="preserve"> If the Commission does reject the filing, then the Coalition will participate in an investigation to ensure PSE’s</w:t>
      </w:r>
      <w:r w:rsidR="00AE6BCD">
        <w:rPr>
          <w:rFonts w:eastAsiaTheme="minorEastAsia"/>
        </w:rPr>
        <w:t xml:space="preserve"> avoided cost rates are fair and reasonable for both </w:t>
      </w:r>
      <w:r w:rsidR="00E5176B">
        <w:rPr>
          <w:rFonts w:eastAsiaTheme="minorEastAsia"/>
        </w:rPr>
        <w:t xml:space="preserve">renewable </w:t>
      </w:r>
      <w:r w:rsidR="005B0ADC">
        <w:rPr>
          <w:rFonts w:eastAsiaTheme="minorEastAsia"/>
        </w:rPr>
        <w:t>electricity generators and utility customers.</w:t>
      </w:r>
    </w:p>
    <w:p w14:paraId="3084F7F9" w14:textId="7117D5A1" w:rsidR="00291148" w:rsidRDefault="00291148" w:rsidP="00F55629">
      <w:pPr>
        <w:ind w:right="-45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Sincerely, </w:t>
      </w:r>
    </w:p>
    <w:p w14:paraId="3DDAB77E" w14:textId="3696E293" w:rsidR="006C6377" w:rsidRDefault="0027341B" w:rsidP="00F55629">
      <w:pPr>
        <w:ind w:right="-45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14:paraId="557EF95E" w14:textId="77777777" w:rsidR="008A0FE5" w:rsidRDefault="008A0FE5" w:rsidP="00F55629">
      <w:pPr>
        <w:ind w:right="-450"/>
        <w:rPr>
          <w:rFonts w:eastAsiaTheme="minorEastAsia"/>
        </w:rPr>
      </w:pPr>
      <w:bookmarkStart w:id="0" w:name="_GoBack"/>
      <w:bookmarkEnd w:id="0"/>
    </w:p>
    <w:p w14:paraId="6A22B5F9" w14:textId="3A6B6FA2" w:rsidR="00291148" w:rsidRDefault="00291148" w:rsidP="00F55629">
      <w:pPr>
        <w:ind w:right="-45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Irion A. Sanger</w:t>
      </w:r>
    </w:p>
    <w:p w14:paraId="476D199F" w14:textId="77777777" w:rsidR="009D2D0F" w:rsidRDefault="009D2D0F" w:rsidP="00F55629">
      <w:pPr>
        <w:ind w:right="-450"/>
        <w:rPr>
          <w:rFonts w:eastAsiaTheme="minorEastAsia"/>
        </w:rPr>
      </w:pPr>
    </w:p>
    <w:p w14:paraId="07CDCB9C" w14:textId="7D08D132" w:rsidR="00F2720F" w:rsidRDefault="00F2720F" w:rsidP="00F55629">
      <w:pPr>
        <w:ind w:right="-450"/>
        <w:rPr>
          <w:rFonts w:eastAsiaTheme="minorEastAsia"/>
        </w:rPr>
      </w:pPr>
      <w:r>
        <w:rPr>
          <w:rFonts w:eastAsiaTheme="minorEastAsia"/>
        </w:rPr>
        <w:tab/>
      </w:r>
    </w:p>
    <w:p w14:paraId="0758F113" w14:textId="1C5A7BE7" w:rsidR="00713539" w:rsidRDefault="00B01928" w:rsidP="00B01928">
      <w:pPr>
        <w:spacing w:after="0"/>
        <w:ind w:right="-446"/>
        <w:rPr>
          <w:rFonts w:eastAsiaTheme="minorEastAsia"/>
        </w:rPr>
      </w:pPr>
      <w:r>
        <w:rPr>
          <w:rFonts w:eastAsiaTheme="minorEastAsia"/>
        </w:rPr>
        <w:t>cc:</w:t>
      </w:r>
      <w:r>
        <w:rPr>
          <w:rFonts w:eastAsiaTheme="minorEastAsia"/>
        </w:rPr>
        <w:tab/>
        <w:t>John Lowe</w:t>
      </w:r>
    </w:p>
    <w:p w14:paraId="66791DC4" w14:textId="77777777" w:rsidR="00815240" w:rsidRDefault="00B01928" w:rsidP="00AC7E58">
      <w:pPr>
        <w:spacing w:after="0"/>
        <w:ind w:right="-446"/>
        <w:rPr>
          <w:rFonts w:eastAsiaTheme="minorEastAsia"/>
        </w:rPr>
      </w:pPr>
      <w:r>
        <w:rPr>
          <w:rFonts w:eastAsiaTheme="minorEastAsia"/>
        </w:rPr>
        <w:tab/>
      </w:r>
      <w:r w:rsidR="00AC7E58">
        <w:rPr>
          <w:rFonts w:eastAsiaTheme="minorEastAsia"/>
        </w:rPr>
        <w:t>David Gomez</w:t>
      </w:r>
    </w:p>
    <w:p w14:paraId="006DE6EC" w14:textId="43C5CA5A" w:rsidR="00AC7E58" w:rsidRDefault="00815240" w:rsidP="00AC7E58">
      <w:pPr>
        <w:spacing w:after="0"/>
        <w:ind w:right="-446"/>
        <w:rPr>
          <w:rFonts w:eastAsiaTheme="minorEastAsia"/>
        </w:rPr>
      </w:pPr>
      <w:r>
        <w:rPr>
          <w:rFonts w:eastAsiaTheme="minorEastAsia"/>
        </w:rPr>
        <w:tab/>
        <w:t>Ken Johnson</w:t>
      </w:r>
      <w:r w:rsidR="00AC7E58">
        <w:rPr>
          <w:rFonts w:eastAsiaTheme="minorEastAsia"/>
        </w:rPr>
        <w:t xml:space="preserve"> </w:t>
      </w:r>
    </w:p>
    <w:p w14:paraId="06A9E794" w14:textId="3367926D" w:rsidR="00157824" w:rsidRPr="009D2D0F" w:rsidRDefault="00AC7E58" w:rsidP="00AC7E58">
      <w:pPr>
        <w:spacing w:after="0"/>
        <w:ind w:right="-446"/>
        <w:rPr>
          <w:rFonts w:eastAsiaTheme="minorEastAsia"/>
        </w:rPr>
      </w:pPr>
      <w:r>
        <w:rPr>
          <w:rFonts w:eastAsiaTheme="minorEastAsia"/>
        </w:rPr>
        <w:tab/>
        <w:t>Jason Kuzma</w:t>
      </w:r>
      <w:r w:rsidR="00B01928">
        <w:rPr>
          <w:rFonts w:eastAsiaTheme="minorEastAsia"/>
        </w:rPr>
        <w:t xml:space="preserve"> </w:t>
      </w:r>
    </w:p>
    <w:sectPr w:rsidR="00157824" w:rsidRPr="009D2D0F" w:rsidSect="00FB31B2">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D98F2" w14:textId="77777777" w:rsidR="00DE4340" w:rsidRDefault="00DE4340" w:rsidP="00200CD1">
      <w:pPr>
        <w:spacing w:after="0" w:line="240" w:lineRule="auto"/>
      </w:pPr>
      <w:r>
        <w:separator/>
      </w:r>
    </w:p>
  </w:endnote>
  <w:endnote w:type="continuationSeparator" w:id="0">
    <w:p w14:paraId="578B85F4" w14:textId="77777777" w:rsidR="00DE4340" w:rsidRDefault="00DE4340" w:rsidP="0020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odern No. 20">
    <w:panose1 w:val="02070704070505020303"/>
    <w:charset w:val="00"/>
    <w:family w:val="auto"/>
    <w:pitch w:val="variable"/>
    <w:sig w:usb0="00000003" w:usb1="00000000" w:usb2="00000000" w:usb3="00000000" w:csb0="00000001" w:csb1="00000000"/>
  </w:font>
  <w:font w:name="GungsuhChe">
    <w:panose1 w:val="02030609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11658" w14:textId="77777777" w:rsidR="00DE4340" w:rsidRDefault="00DE4340" w:rsidP="00200CD1">
      <w:pPr>
        <w:spacing w:after="0" w:line="240" w:lineRule="auto"/>
      </w:pPr>
      <w:r>
        <w:separator/>
      </w:r>
    </w:p>
  </w:footnote>
  <w:footnote w:type="continuationSeparator" w:id="0">
    <w:p w14:paraId="2F0C0BC6" w14:textId="77777777" w:rsidR="00DE4340" w:rsidRDefault="00DE4340" w:rsidP="00200CD1">
      <w:pPr>
        <w:spacing w:after="0" w:line="240" w:lineRule="auto"/>
      </w:pPr>
      <w:r>
        <w:continuationSeparator/>
      </w:r>
    </w:p>
  </w:footnote>
  <w:footnote w:id="1">
    <w:p w14:paraId="3E76FBB9" w14:textId="6A050A69" w:rsidR="00227DCF" w:rsidRDefault="00227DCF" w:rsidP="00F12A79">
      <w:pPr>
        <w:pStyle w:val="FootnoteText"/>
        <w:ind w:left="720" w:hanging="720"/>
      </w:pPr>
      <w:r>
        <w:rPr>
          <w:rStyle w:val="FootnoteReference"/>
        </w:rPr>
        <w:footnoteRef/>
      </w:r>
      <w:r>
        <w:t xml:space="preserve"> </w:t>
      </w:r>
      <w:r>
        <w:tab/>
        <w:t>Docket No. UE-161240 PSE Initial Filing at 1-2 (Nov. 23, 2016).</w:t>
      </w:r>
    </w:p>
  </w:footnote>
  <w:footnote w:id="2">
    <w:p w14:paraId="5C20354C" w14:textId="0ACADDE8" w:rsidR="00227DCF" w:rsidRDefault="00227DCF" w:rsidP="00F12A79">
      <w:pPr>
        <w:pStyle w:val="FootnoteText"/>
        <w:ind w:left="720" w:hanging="720"/>
      </w:pPr>
      <w:r>
        <w:rPr>
          <w:rStyle w:val="FootnoteReference"/>
        </w:rPr>
        <w:footnoteRef/>
      </w:r>
      <w:r>
        <w:t xml:space="preserve"> </w:t>
      </w:r>
      <w:r>
        <w:tab/>
      </w:r>
      <w:r w:rsidRPr="00D64A48">
        <w:rPr>
          <w:u w:val="single"/>
        </w:rPr>
        <w:t>Id.</w:t>
      </w:r>
      <w:r>
        <w:t xml:space="preserve"> </w:t>
      </w:r>
    </w:p>
  </w:footnote>
  <w:footnote w:id="3">
    <w:p w14:paraId="6D34C87E" w14:textId="620E50BB" w:rsidR="00227DCF" w:rsidRDefault="00227DCF" w:rsidP="00F12A79">
      <w:pPr>
        <w:pStyle w:val="FootnoteText"/>
        <w:ind w:left="720" w:hanging="720"/>
      </w:pPr>
      <w:r>
        <w:rPr>
          <w:rStyle w:val="FootnoteReference"/>
        </w:rPr>
        <w:footnoteRef/>
      </w:r>
      <w:r>
        <w:t xml:space="preserve"> </w:t>
      </w:r>
      <w:r>
        <w:tab/>
        <w:t xml:space="preserve">Docket No. UE-161240, PSE Replacement Pages at 1-2 (Dec. 19, 2016). </w:t>
      </w:r>
    </w:p>
  </w:footnote>
  <w:footnote w:id="4">
    <w:p w14:paraId="72CB607E" w14:textId="7A8F6080" w:rsidR="00227DCF" w:rsidRDefault="00227DCF" w:rsidP="00F12A79">
      <w:pPr>
        <w:pStyle w:val="FootnoteText"/>
        <w:ind w:left="720" w:hanging="720"/>
      </w:pPr>
      <w:r>
        <w:rPr>
          <w:rStyle w:val="FootnoteReference"/>
        </w:rPr>
        <w:footnoteRef/>
      </w:r>
      <w:r>
        <w:t xml:space="preserve"> </w:t>
      </w:r>
      <w:r>
        <w:tab/>
      </w:r>
      <w:r>
        <w:rPr>
          <w:u w:val="single"/>
        </w:rPr>
        <w:t>Washington Utilities and Transportation Commission v. Pacific Power &amp; Light Co.</w:t>
      </w:r>
      <w:r>
        <w:t>, Docket No. UE-144160, Order 04 at ¶¶ 9, 29-31, 37 (Nov. 12, 2015).</w:t>
      </w:r>
    </w:p>
  </w:footnote>
  <w:footnote w:id="5">
    <w:p w14:paraId="3BF61DAC" w14:textId="6975FB38" w:rsidR="00227DCF" w:rsidRDefault="00227DCF" w:rsidP="00F12A79">
      <w:pPr>
        <w:pStyle w:val="FootnoteText"/>
        <w:ind w:left="720" w:hanging="720"/>
      </w:pPr>
      <w:r>
        <w:rPr>
          <w:rStyle w:val="FootnoteReference"/>
        </w:rPr>
        <w:footnoteRef/>
      </w:r>
      <w:r>
        <w:t xml:space="preserve"> </w:t>
      </w:r>
      <w:r>
        <w:tab/>
      </w:r>
      <w:r>
        <w:rPr>
          <w:u w:val="single"/>
        </w:rPr>
        <w:t>Id.</w:t>
      </w:r>
      <w:r>
        <w:t xml:space="preserve"> at ¶¶ 29, 37.</w:t>
      </w:r>
    </w:p>
  </w:footnote>
  <w:footnote w:id="6">
    <w:p w14:paraId="7E5A5C9C" w14:textId="6E3382C2" w:rsidR="00227DCF" w:rsidRDefault="00227DCF" w:rsidP="00F12A79">
      <w:pPr>
        <w:pStyle w:val="FootnoteText"/>
        <w:ind w:left="720" w:hanging="720"/>
      </w:pPr>
      <w:r>
        <w:rPr>
          <w:rStyle w:val="FootnoteReference"/>
        </w:rPr>
        <w:footnoteRef/>
      </w:r>
      <w:r>
        <w:t xml:space="preserve"> </w:t>
      </w:r>
      <w:r>
        <w:tab/>
      </w:r>
      <w:r w:rsidRPr="009832F0">
        <w:rPr>
          <w:u w:val="single"/>
        </w:rPr>
        <w:t>Id.</w:t>
      </w:r>
      <w:r>
        <w:t xml:space="preserve"> at ¶¶ 18-20.</w:t>
      </w:r>
    </w:p>
  </w:footnote>
  <w:footnote w:id="7">
    <w:p w14:paraId="202A3556" w14:textId="492C5080" w:rsidR="00227DCF" w:rsidRDefault="00227DCF" w:rsidP="00F12A79">
      <w:pPr>
        <w:pStyle w:val="FootnoteText"/>
        <w:ind w:left="720" w:hanging="720"/>
      </w:pPr>
      <w:r>
        <w:rPr>
          <w:rStyle w:val="FootnoteReference"/>
        </w:rPr>
        <w:footnoteRef/>
      </w:r>
      <w:r>
        <w:t xml:space="preserve"> </w:t>
      </w:r>
      <w:r>
        <w:tab/>
      </w:r>
      <w:r w:rsidRPr="009832F0">
        <w:rPr>
          <w:u w:val="single"/>
        </w:rPr>
        <w:t>Id.</w:t>
      </w:r>
      <w:r>
        <w:t xml:space="preserve"> at ¶¶ 20-21, 23.</w:t>
      </w:r>
    </w:p>
  </w:footnote>
  <w:footnote w:id="8">
    <w:p w14:paraId="59210E15" w14:textId="55EE57F1" w:rsidR="00227DCF" w:rsidRDefault="00227DCF" w:rsidP="00F12A79">
      <w:pPr>
        <w:pStyle w:val="FootnoteText"/>
        <w:ind w:left="720" w:hanging="720"/>
      </w:pPr>
      <w:r>
        <w:rPr>
          <w:rStyle w:val="FootnoteReference"/>
        </w:rPr>
        <w:footnoteRef/>
      </w:r>
      <w:r>
        <w:t xml:space="preserve"> </w:t>
      </w:r>
      <w:r>
        <w:tab/>
      </w:r>
      <w:r w:rsidRPr="009832F0">
        <w:rPr>
          <w:u w:val="single"/>
        </w:rPr>
        <w:t>Id.</w:t>
      </w:r>
      <w:r>
        <w:t xml:space="preserve"> at ¶ 27.</w:t>
      </w:r>
    </w:p>
  </w:footnote>
  <w:footnote w:id="9">
    <w:p w14:paraId="35C5C323" w14:textId="550002B3" w:rsidR="00227DCF" w:rsidRDefault="00227DCF" w:rsidP="00F12A79">
      <w:pPr>
        <w:pStyle w:val="FootnoteText"/>
        <w:ind w:left="720" w:hanging="720"/>
      </w:pPr>
      <w:r>
        <w:rPr>
          <w:rStyle w:val="FootnoteReference"/>
        </w:rPr>
        <w:footnoteRef/>
      </w:r>
      <w:r>
        <w:t xml:space="preserve"> </w:t>
      </w:r>
      <w:r>
        <w:tab/>
      </w:r>
      <w:r w:rsidRPr="009832F0">
        <w:rPr>
          <w:u w:val="single"/>
        </w:rPr>
        <w:t>Id.</w:t>
      </w:r>
      <w:r>
        <w:t xml:space="preserve"> at ¶ 29 (emphasis added).  </w:t>
      </w:r>
    </w:p>
  </w:footnote>
  <w:footnote w:id="10">
    <w:p w14:paraId="36A278FE" w14:textId="49AC421E" w:rsidR="00227DCF" w:rsidRDefault="00227DCF" w:rsidP="00F12A79">
      <w:pPr>
        <w:pStyle w:val="FootnoteText"/>
        <w:ind w:left="720" w:hanging="720"/>
      </w:pPr>
      <w:r>
        <w:rPr>
          <w:rStyle w:val="FootnoteReference"/>
        </w:rPr>
        <w:footnoteRef/>
      </w:r>
      <w:r>
        <w:t xml:space="preserve"> </w:t>
      </w:r>
      <w:r>
        <w:tab/>
      </w:r>
      <w:r w:rsidRPr="002A4314">
        <w:rPr>
          <w:u w:val="single"/>
        </w:rPr>
        <w:t>Rulemaking for Integrated Resource Planning, WAC 480-100-238, WAC 480-90-238, and WAC 480-107</w:t>
      </w:r>
      <w:r>
        <w:t>,</w:t>
      </w:r>
      <w:r w:rsidRPr="008B0267">
        <w:t xml:space="preserve"> Docket UE-161024</w:t>
      </w:r>
      <w:r>
        <w:t xml:space="preserve">, Notice of Workshop and Opportunity to File Written Comments, at 4 (Sept. 6, 2016).  The Coalition understands that, at the December 7, 2016 Workshop, Commission Staff indicated that it wanted to not address a wide array of PURPA issues immediately.  </w:t>
      </w:r>
      <w:r w:rsidRPr="008B0267">
        <w:t> </w:t>
      </w:r>
    </w:p>
  </w:footnote>
  <w:footnote w:id="11">
    <w:p w14:paraId="1D12F6B0" w14:textId="70715116" w:rsidR="00227DCF" w:rsidRDefault="00227DCF" w:rsidP="00F12A79">
      <w:pPr>
        <w:pStyle w:val="FootnoteText"/>
        <w:ind w:left="720" w:hanging="720"/>
      </w:pPr>
      <w:r>
        <w:rPr>
          <w:rStyle w:val="FootnoteReference"/>
        </w:rPr>
        <w:footnoteRef/>
      </w:r>
      <w:r>
        <w:t xml:space="preserve"> </w:t>
      </w:r>
      <w:r>
        <w:tab/>
      </w:r>
      <w:r w:rsidRPr="002A4314">
        <w:rPr>
          <w:u w:val="single"/>
        </w:rPr>
        <w:t>Rulemaking for Integrated Resource Planning, WAC 480-100-238, WAC 480-90-238, and WAC 480-107</w:t>
      </w:r>
      <w:r>
        <w:t>,</w:t>
      </w:r>
      <w:r w:rsidRPr="008B0267">
        <w:t xml:space="preserve"> Docket UE-161024</w:t>
      </w:r>
      <w:r>
        <w:t>, Coalition Comments at ¶¶ 8-13 (Nov. 2, 2016); Oral Comments of Nancy Esteb (Dec. 7, 2016).</w:t>
      </w:r>
    </w:p>
  </w:footnote>
  <w:footnote w:id="12">
    <w:p w14:paraId="61050668" w14:textId="7890ABCE" w:rsidR="00227DCF" w:rsidRDefault="00227DCF" w:rsidP="00F12A79">
      <w:pPr>
        <w:pStyle w:val="FootnoteText"/>
        <w:ind w:left="720" w:hanging="720"/>
      </w:pPr>
      <w:r>
        <w:rPr>
          <w:rStyle w:val="FootnoteReference"/>
        </w:rPr>
        <w:footnoteRef/>
      </w:r>
      <w:r>
        <w:t xml:space="preserve"> </w:t>
      </w:r>
      <w:r>
        <w:tab/>
      </w:r>
      <w:r w:rsidRPr="002A4314">
        <w:rPr>
          <w:u w:val="single"/>
        </w:rPr>
        <w:t>Rulemaking for Integrated Resource Planning, WAC 480-100-238, WAC 480-90-238, and WAC 480-107</w:t>
      </w:r>
      <w:r>
        <w:t>,</w:t>
      </w:r>
      <w:r w:rsidRPr="008B0267">
        <w:t xml:space="preserve"> Docket UE-161024</w:t>
      </w:r>
      <w:r>
        <w:t>, PSE Comments at 5-7 (Nov. 2, 2016).</w:t>
      </w:r>
    </w:p>
  </w:footnote>
  <w:footnote w:id="13">
    <w:p w14:paraId="49350520" w14:textId="617063E1" w:rsidR="00227DCF" w:rsidRDefault="00227DCF" w:rsidP="00F12A79">
      <w:pPr>
        <w:pStyle w:val="FootnoteText"/>
        <w:ind w:left="720" w:hanging="720"/>
      </w:pPr>
      <w:r>
        <w:rPr>
          <w:rStyle w:val="FootnoteReference"/>
        </w:rPr>
        <w:footnoteRef/>
      </w:r>
      <w:r>
        <w:t xml:space="preserve"> </w:t>
      </w:r>
      <w:r>
        <w:tab/>
        <w:t xml:space="preserve">Docket No. UE-161240, PSE </w:t>
      </w:r>
      <w:r w:rsidRPr="00A8747C">
        <w:t>Revised Workpaper_Sch 91 for 2017 (12-14-2016)</w:t>
      </w:r>
      <w:r>
        <w:t xml:space="preserve">.  </w:t>
      </w:r>
    </w:p>
  </w:footnote>
  <w:footnote w:id="14">
    <w:p w14:paraId="75C92F81" w14:textId="5AC37701" w:rsidR="00227DCF" w:rsidRDefault="00227DCF" w:rsidP="00F12A79">
      <w:pPr>
        <w:pStyle w:val="FootnoteText"/>
        <w:ind w:left="720" w:hanging="720"/>
      </w:pPr>
      <w:r>
        <w:rPr>
          <w:rStyle w:val="FootnoteReference"/>
        </w:rPr>
        <w:footnoteRef/>
      </w:r>
      <w:r>
        <w:t xml:space="preserve"> </w:t>
      </w:r>
      <w:r>
        <w:tab/>
      </w:r>
      <w:r w:rsidRPr="00FA2973">
        <w:t xml:space="preserve">WAC </w:t>
      </w:r>
      <w:r w:rsidR="009D09EF">
        <w:rPr>
          <w:rFonts w:eastAsia="Cambria"/>
        </w:rPr>
        <w:t>§</w:t>
      </w:r>
      <w:r w:rsidR="009D09EF">
        <w:rPr>
          <w:rFonts w:eastAsia="Cambria"/>
        </w:rPr>
        <w:t xml:space="preserve"> </w:t>
      </w:r>
      <w:r w:rsidRPr="00FA2973">
        <w:t>480-107-055(2).  </w:t>
      </w:r>
    </w:p>
  </w:footnote>
  <w:footnote w:id="15">
    <w:p w14:paraId="5349622D" w14:textId="3A1DD4AC" w:rsidR="00227DCF" w:rsidRDefault="00227DCF" w:rsidP="00F12A79">
      <w:pPr>
        <w:pStyle w:val="FootnoteText"/>
        <w:ind w:left="720" w:hanging="720"/>
      </w:pPr>
      <w:r>
        <w:rPr>
          <w:rStyle w:val="FootnoteReference"/>
        </w:rPr>
        <w:footnoteRef/>
      </w:r>
      <w:r>
        <w:t xml:space="preserve"> </w:t>
      </w:r>
      <w:r>
        <w:tab/>
      </w:r>
      <w:r>
        <w:rPr>
          <w:rFonts w:eastAsia="Cambria"/>
        </w:rPr>
        <w:t xml:space="preserve">WAC </w:t>
      </w:r>
      <w:r w:rsidR="009D09EF">
        <w:rPr>
          <w:rFonts w:eastAsia="Cambria"/>
        </w:rPr>
        <w:t>§</w:t>
      </w:r>
      <w:r w:rsidR="009D09EF">
        <w:rPr>
          <w:rFonts w:eastAsia="Cambria"/>
        </w:rPr>
        <w:t xml:space="preserve"> </w:t>
      </w:r>
      <w:r>
        <w:rPr>
          <w:rFonts w:eastAsia="Cambria"/>
        </w:rPr>
        <w:t>480-107-105(1)(a)(b); WAC</w:t>
      </w:r>
      <w:r w:rsidR="009D09EF">
        <w:rPr>
          <w:rFonts w:eastAsia="Cambria"/>
        </w:rPr>
        <w:t xml:space="preserve"> </w:t>
      </w:r>
      <w:r w:rsidR="009D09EF">
        <w:rPr>
          <w:rFonts w:eastAsia="Cambria"/>
        </w:rPr>
        <w:t>§</w:t>
      </w:r>
      <w:r>
        <w:rPr>
          <w:rFonts w:eastAsia="Cambria"/>
        </w:rPr>
        <w:t xml:space="preserve"> 480-107-101(3).  </w:t>
      </w:r>
    </w:p>
  </w:footnote>
  <w:footnote w:id="16">
    <w:p w14:paraId="15865614" w14:textId="3215FA2E" w:rsidR="00227DCF" w:rsidRDefault="00227DCF" w:rsidP="00F12A79">
      <w:pPr>
        <w:pStyle w:val="FootnoteText"/>
        <w:ind w:left="720" w:hanging="720"/>
      </w:pPr>
      <w:r>
        <w:rPr>
          <w:rStyle w:val="FootnoteReference"/>
        </w:rPr>
        <w:footnoteRef/>
      </w:r>
      <w:r>
        <w:t xml:space="preserve"> </w:t>
      </w:r>
      <w:r>
        <w:tab/>
      </w:r>
      <w:r>
        <w:rPr>
          <w:rFonts w:eastAsia="Cambria"/>
        </w:rPr>
        <w:t>18 CFR</w:t>
      </w:r>
      <w:r w:rsidRPr="00F55629">
        <w:rPr>
          <w:rFonts w:eastAsia="Cambria"/>
        </w:rPr>
        <w:t xml:space="preserve"> </w:t>
      </w:r>
      <w:r w:rsidR="009D56E3">
        <w:rPr>
          <w:rFonts w:eastAsia="Cambria"/>
        </w:rPr>
        <w:t xml:space="preserve">§ </w:t>
      </w:r>
      <w:r>
        <w:rPr>
          <w:rFonts w:eastAsia="Cambria"/>
        </w:rPr>
        <w:t>292.303(a)</w:t>
      </w:r>
      <w:r w:rsidRPr="00F55629">
        <w:rPr>
          <w:rFonts w:eastAsia="Cambria"/>
        </w:rPr>
        <w:t xml:space="preserve">. </w:t>
      </w:r>
      <w:r>
        <w:rPr>
          <w:rFonts w:eastAsia="Cambria"/>
        </w:rPr>
        <w:t xml:space="preserve"> </w:t>
      </w:r>
    </w:p>
  </w:footnote>
  <w:footnote w:id="17">
    <w:p w14:paraId="44E43D11" w14:textId="51D885BC" w:rsidR="00227DCF" w:rsidRPr="00C04E4A" w:rsidRDefault="00227DCF" w:rsidP="00F12A79">
      <w:pPr>
        <w:pStyle w:val="FootnoteText"/>
        <w:ind w:left="720" w:hanging="720"/>
        <w:rPr>
          <w:rFonts w:eastAsiaTheme="minorEastAsia"/>
        </w:rPr>
      </w:pPr>
      <w:r>
        <w:rPr>
          <w:rStyle w:val="FootnoteReference"/>
        </w:rPr>
        <w:footnoteRef/>
      </w:r>
      <w:r>
        <w:t xml:space="preserve"> </w:t>
      </w:r>
      <w:r>
        <w:tab/>
      </w:r>
      <w:r>
        <w:rPr>
          <w:rFonts w:eastAsiaTheme="minorEastAsia"/>
          <w:u w:val="single"/>
        </w:rPr>
        <w:t>Hydrodynamics Inc.</w:t>
      </w:r>
      <w:r>
        <w:rPr>
          <w:rFonts w:eastAsiaTheme="minorEastAsia"/>
        </w:rPr>
        <w:t xml:space="preserve">, </w:t>
      </w:r>
      <w:r w:rsidRPr="00F55629">
        <w:rPr>
          <w:rFonts w:eastAsiaTheme="minorEastAsia"/>
        </w:rPr>
        <w:t>146 FERC ¶ 61,193</w:t>
      </w:r>
      <w:r>
        <w:rPr>
          <w:rFonts w:eastAsiaTheme="minorEastAsia"/>
        </w:rPr>
        <w:t xml:space="preserve"> at P. 35 (2014) (</w:t>
      </w:r>
      <w:r>
        <w:t>FERC’s</w:t>
      </w:r>
      <w:r w:rsidRPr="00267570">
        <w:t xml:space="preserve"> </w:t>
      </w:r>
      <w:r>
        <w:t>regulations require</w:t>
      </w:r>
      <w:r w:rsidRPr="00267570">
        <w:t xml:space="preserve"> </w:t>
      </w:r>
      <w:r>
        <w:t>“</w:t>
      </w:r>
      <w:r w:rsidRPr="00267570">
        <w:t>an electric utility to purchase any capacity wh</w:t>
      </w:r>
      <w:r>
        <w:t>ich is made available from a QF</w:t>
      </w:r>
      <w:r w:rsidRPr="00267570">
        <w:t>”</w:t>
      </w:r>
      <w:r>
        <w:t xml:space="preserve"> and </w:t>
      </w:r>
      <w:r w:rsidRPr="00267570">
        <w:t>when a utility has a demand for capacity, then the avoided cost rates must include the capacity costs</w:t>
      </w:r>
      <w:r>
        <w:rPr>
          <w:rFonts w:eastAsiaTheme="minorEastAsia"/>
        </w:rPr>
        <w:t xml:space="preserve">); </w:t>
      </w:r>
      <w:r w:rsidRPr="00815240">
        <w:rPr>
          <w:rFonts w:eastAsiaTheme="minorEastAsia"/>
          <w:u w:val="single"/>
        </w:rPr>
        <w:t>see</w:t>
      </w:r>
      <w:r>
        <w:rPr>
          <w:rFonts w:eastAsiaTheme="minorEastAsia"/>
        </w:rPr>
        <w:t xml:space="preserve"> </w:t>
      </w:r>
      <w:r w:rsidRPr="00815240">
        <w:rPr>
          <w:rFonts w:eastAsiaTheme="minorEastAsia"/>
          <w:u w:val="single"/>
        </w:rPr>
        <w:t>also</w:t>
      </w:r>
      <w:r>
        <w:rPr>
          <w:rFonts w:eastAsiaTheme="minorEastAsia"/>
        </w:rPr>
        <w:t xml:space="preserve"> </w:t>
      </w:r>
      <w:r>
        <w:t xml:space="preserve">18 C.F.R. </w:t>
      </w:r>
      <w:r w:rsidR="009D56E3">
        <w:t xml:space="preserve">§§ </w:t>
      </w:r>
      <w:r w:rsidRPr="000D5B75">
        <w:t>292.101(b)(6), 292.304;</w:t>
      </w:r>
      <w:r>
        <w:t xml:space="preserve"> </w:t>
      </w:r>
      <w:r>
        <w:rPr>
          <w:rFonts w:eastAsiaTheme="minorEastAsia"/>
        </w:rPr>
        <w:t xml:space="preserve"> </w:t>
      </w:r>
      <w:r w:rsidRPr="00267570">
        <w:rPr>
          <w:iCs/>
          <w:u w:val="single"/>
        </w:rPr>
        <w:t>Am. Paper Inst</w:t>
      </w:r>
      <w:r>
        <w:rPr>
          <w:iCs/>
          <w:u w:val="single"/>
        </w:rPr>
        <w:t>.</w:t>
      </w:r>
      <w:r w:rsidRPr="00267570">
        <w:rPr>
          <w:iCs/>
          <w:u w:val="single"/>
        </w:rPr>
        <w:t>, Inc. v.</w:t>
      </w:r>
      <w:r w:rsidRPr="00267570">
        <w:rPr>
          <w:u w:val="single"/>
        </w:rPr>
        <w:t xml:space="preserve"> Am</w:t>
      </w:r>
      <w:r>
        <w:rPr>
          <w:u w:val="single"/>
        </w:rPr>
        <w:t>.</w:t>
      </w:r>
      <w:r w:rsidRPr="00267570">
        <w:rPr>
          <w:u w:val="single"/>
        </w:rPr>
        <w:t xml:space="preserve"> Elec. Power Serv. </w:t>
      </w:r>
      <w:r>
        <w:rPr>
          <w:u w:val="single"/>
        </w:rPr>
        <w:t>Corp.</w:t>
      </w:r>
      <w:r w:rsidRPr="00267570">
        <w:t>, 461</w:t>
      </w:r>
      <w:r>
        <w:t xml:space="preserve"> U.S. 402, 406 (1983);</w:t>
      </w:r>
      <w:r w:rsidRPr="000D5B75">
        <w:t xml:space="preserve"> </w:t>
      </w:r>
      <w:r w:rsidRPr="00C04E4A">
        <w:rPr>
          <w:rFonts w:eastAsiaTheme="minorEastAsia"/>
        </w:rPr>
        <w:t xml:space="preserve">FERC Order No. 69, 45 Fed. Reg. </w:t>
      </w:r>
      <w:r>
        <w:rPr>
          <w:rFonts w:eastAsiaTheme="minorEastAsia"/>
        </w:rPr>
        <w:t xml:space="preserve">12, 214 at </w:t>
      </w:r>
      <w:r w:rsidRPr="00C04E4A">
        <w:rPr>
          <w:rFonts w:eastAsiaTheme="minorEastAsia"/>
        </w:rPr>
        <w:t>12,226</w:t>
      </w:r>
      <w:r>
        <w:rPr>
          <w:rFonts w:eastAsiaTheme="minorEastAsia"/>
        </w:rPr>
        <w:t xml:space="preserve"> (FERC’s rules require a reasonable account of the utility’s avoided costs)</w:t>
      </w:r>
      <w:r w:rsidRPr="00C04E4A">
        <w:rPr>
          <w:rFonts w:eastAsiaTheme="minorEastAsia"/>
        </w:rPr>
        <w:t>.  </w:t>
      </w:r>
    </w:p>
    <w:p w14:paraId="3D562F5D" w14:textId="20057045" w:rsidR="00227DCF" w:rsidRDefault="00227DCF" w:rsidP="00F12A79">
      <w:pPr>
        <w:pStyle w:val="FootnoteText"/>
        <w:ind w:left="720" w:hanging="720"/>
      </w:pPr>
      <w:r>
        <w:rPr>
          <w:rFonts w:eastAsiaTheme="minorEastAsia"/>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EDD84" w14:textId="2F88BEDE" w:rsidR="00227DCF" w:rsidRDefault="00227DCF">
    <w:pPr>
      <w:pStyle w:val="Header"/>
    </w:pPr>
    <w:r>
      <w:t>PSE Avoided Costs Revision</w:t>
    </w:r>
  </w:p>
  <w:p w14:paraId="0562B3C5" w14:textId="10955A00" w:rsidR="00227DCF" w:rsidRDefault="00227DCF">
    <w:pPr>
      <w:pStyle w:val="Header"/>
    </w:pPr>
    <w:r>
      <w:t>Docket No. UE-161240</w:t>
    </w:r>
  </w:p>
  <w:p w14:paraId="4477E758" w14:textId="1E6E587B" w:rsidR="00227DCF" w:rsidRDefault="00227DCF">
    <w:pPr>
      <w:pStyle w:val="Header"/>
    </w:pPr>
    <w:r>
      <w:t>January 3, 2017</w:t>
    </w:r>
  </w:p>
  <w:p w14:paraId="6F7BB3D4" w14:textId="56AD0B91" w:rsidR="00227DCF" w:rsidRDefault="00227DCF">
    <w:pPr>
      <w:pStyle w:val="Header"/>
    </w:pPr>
    <w:r>
      <w:t xml:space="preserve">Page </w:t>
    </w:r>
    <w:r>
      <w:fldChar w:fldCharType="begin"/>
    </w:r>
    <w:r>
      <w:instrText xml:space="preserve"> PAGE </w:instrText>
    </w:r>
    <w:r>
      <w:fldChar w:fldCharType="separate"/>
    </w:r>
    <w:r w:rsidR="008A0FE5">
      <w:rPr>
        <w:noProof/>
      </w:rPr>
      <w:t>5</w:t>
    </w:r>
    <w:r>
      <w:fldChar w:fldCharType="end"/>
    </w:r>
    <w:r>
      <w:t xml:space="preserve"> of </w:t>
    </w:r>
    <w:fldSimple w:instr=" NUMPAGES ">
      <w:r w:rsidR="008A0FE5">
        <w:rPr>
          <w:noProof/>
        </w:rPr>
        <w:t>6</w:t>
      </w:r>
    </w:fldSimple>
  </w:p>
  <w:p w14:paraId="47A1AC8A" w14:textId="77777777" w:rsidR="00227DCF" w:rsidRDefault="00227D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56"/>
    <w:rsid w:val="00020289"/>
    <w:rsid w:val="0003167C"/>
    <w:rsid w:val="00042262"/>
    <w:rsid w:val="0004626D"/>
    <w:rsid w:val="00055DDE"/>
    <w:rsid w:val="00075595"/>
    <w:rsid w:val="000762FD"/>
    <w:rsid w:val="00082F85"/>
    <w:rsid w:val="00087755"/>
    <w:rsid w:val="00092219"/>
    <w:rsid w:val="00095CB8"/>
    <w:rsid w:val="000A79AB"/>
    <w:rsid w:val="000B108A"/>
    <w:rsid w:val="000D0B11"/>
    <w:rsid w:val="000E4654"/>
    <w:rsid w:val="000E6B58"/>
    <w:rsid w:val="000F63C1"/>
    <w:rsid w:val="00111624"/>
    <w:rsid w:val="00112B34"/>
    <w:rsid w:val="001153F3"/>
    <w:rsid w:val="00124EAA"/>
    <w:rsid w:val="00157824"/>
    <w:rsid w:val="00184133"/>
    <w:rsid w:val="001B1331"/>
    <w:rsid w:val="001B3616"/>
    <w:rsid w:val="001C0B6B"/>
    <w:rsid w:val="001C16A3"/>
    <w:rsid w:val="001D728C"/>
    <w:rsid w:val="00200CD1"/>
    <w:rsid w:val="00205C4E"/>
    <w:rsid w:val="00227DCF"/>
    <w:rsid w:val="00232CA9"/>
    <w:rsid w:val="00240F3E"/>
    <w:rsid w:val="00270039"/>
    <w:rsid w:val="0027341B"/>
    <w:rsid w:val="00274F9D"/>
    <w:rsid w:val="00291148"/>
    <w:rsid w:val="002A4072"/>
    <w:rsid w:val="002A4314"/>
    <w:rsid w:val="002A761C"/>
    <w:rsid w:val="002B0FC4"/>
    <w:rsid w:val="002E2EAB"/>
    <w:rsid w:val="002F1C71"/>
    <w:rsid w:val="002F6D17"/>
    <w:rsid w:val="0030416B"/>
    <w:rsid w:val="0030617B"/>
    <w:rsid w:val="00342135"/>
    <w:rsid w:val="00342582"/>
    <w:rsid w:val="0035292C"/>
    <w:rsid w:val="00354FFB"/>
    <w:rsid w:val="00360238"/>
    <w:rsid w:val="0036760D"/>
    <w:rsid w:val="00372420"/>
    <w:rsid w:val="00373E0A"/>
    <w:rsid w:val="00374663"/>
    <w:rsid w:val="003846AB"/>
    <w:rsid w:val="003913C0"/>
    <w:rsid w:val="00393987"/>
    <w:rsid w:val="00394278"/>
    <w:rsid w:val="003A1190"/>
    <w:rsid w:val="003B3EE8"/>
    <w:rsid w:val="00400564"/>
    <w:rsid w:val="00406EE7"/>
    <w:rsid w:val="0042209C"/>
    <w:rsid w:val="0043222D"/>
    <w:rsid w:val="004363A3"/>
    <w:rsid w:val="004406BB"/>
    <w:rsid w:val="004428DF"/>
    <w:rsid w:val="004621C9"/>
    <w:rsid w:val="00486AE0"/>
    <w:rsid w:val="00491063"/>
    <w:rsid w:val="00491B38"/>
    <w:rsid w:val="004B4777"/>
    <w:rsid w:val="004C25C6"/>
    <w:rsid w:val="004C650D"/>
    <w:rsid w:val="004D65D2"/>
    <w:rsid w:val="004F5A0C"/>
    <w:rsid w:val="00501440"/>
    <w:rsid w:val="00501544"/>
    <w:rsid w:val="00501E63"/>
    <w:rsid w:val="00517756"/>
    <w:rsid w:val="00526E93"/>
    <w:rsid w:val="00537174"/>
    <w:rsid w:val="00550A69"/>
    <w:rsid w:val="0057338C"/>
    <w:rsid w:val="00577A34"/>
    <w:rsid w:val="0059362E"/>
    <w:rsid w:val="005A3D90"/>
    <w:rsid w:val="005A6BCD"/>
    <w:rsid w:val="005B0ADC"/>
    <w:rsid w:val="005E6720"/>
    <w:rsid w:val="005F7865"/>
    <w:rsid w:val="005F7A6D"/>
    <w:rsid w:val="00602EE2"/>
    <w:rsid w:val="0061473F"/>
    <w:rsid w:val="00630EE6"/>
    <w:rsid w:val="00634D7C"/>
    <w:rsid w:val="006531CD"/>
    <w:rsid w:val="00656DC3"/>
    <w:rsid w:val="00662B22"/>
    <w:rsid w:val="00691639"/>
    <w:rsid w:val="00697B86"/>
    <w:rsid w:val="006C6377"/>
    <w:rsid w:val="006D5C31"/>
    <w:rsid w:val="007034E4"/>
    <w:rsid w:val="0070476C"/>
    <w:rsid w:val="007053BE"/>
    <w:rsid w:val="00706C0B"/>
    <w:rsid w:val="00707C99"/>
    <w:rsid w:val="00713539"/>
    <w:rsid w:val="00745089"/>
    <w:rsid w:val="0077778A"/>
    <w:rsid w:val="007801E1"/>
    <w:rsid w:val="007D2DAC"/>
    <w:rsid w:val="007D3236"/>
    <w:rsid w:val="007F306B"/>
    <w:rsid w:val="007F3FFE"/>
    <w:rsid w:val="007F5AE3"/>
    <w:rsid w:val="00815240"/>
    <w:rsid w:val="0082011D"/>
    <w:rsid w:val="008302CF"/>
    <w:rsid w:val="008338BA"/>
    <w:rsid w:val="00834D4E"/>
    <w:rsid w:val="00836CF1"/>
    <w:rsid w:val="00844588"/>
    <w:rsid w:val="00853431"/>
    <w:rsid w:val="008734CF"/>
    <w:rsid w:val="00894273"/>
    <w:rsid w:val="008A0FE5"/>
    <w:rsid w:val="008A203C"/>
    <w:rsid w:val="008B0267"/>
    <w:rsid w:val="008C147E"/>
    <w:rsid w:val="008C459A"/>
    <w:rsid w:val="008E3B28"/>
    <w:rsid w:val="009263C7"/>
    <w:rsid w:val="009832F0"/>
    <w:rsid w:val="00997B5A"/>
    <w:rsid w:val="009A11B6"/>
    <w:rsid w:val="009D09EF"/>
    <w:rsid w:val="009D1AA2"/>
    <w:rsid w:val="009D2D0F"/>
    <w:rsid w:val="009D56E3"/>
    <w:rsid w:val="009F204F"/>
    <w:rsid w:val="00A51A8D"/>
    <w:rsid w:val="00A55438"/>
    <w:rsid w:val="00A8747C"/>
    <w:rsid w:val="00AB2EA7"/>
    <w:rsid w:val="00AB60FC"/>
    <w:rsid w:val="00AC7E58"/>
    <w:rsid w:val="00AE6BCD"/>
    <w:rsid w:val="00AF1CD2"/>
    <w:rsid w:val="00B01928"/>
    <w:rsid w:val="00B220D9"/>
    <w:rsid w:val="00B835BC"/>
    <w:rsid w:val="00B903D6"/>
    <w:rsid w:val="00BB4A55"/>
    <w:rsid w:val="00C04E4A"/>
    <w:rsid w:val="00C05479"/>
    <w:rsid w:val="00C13CA4"/>
    <w:rsid w:val="00C45AB4"/>
    <w:rsid w:val="00C62E72"/>
    <w:rsid w:val="00C92A40"/>
    <w:rsid w:val="00C97C99"/>
    <w:rsid w:val="00CA14F6"/>
    <w:rsid w:val="00CA6029"/>
    <w:rsid w:val="00CB344A"/>
    <w:rsid w:val="00CB3526"/>
    <w:rsid w:val="00CD3FBB"/>
    <w:rsid w:val="00CD6141"/>
    <w:rsid w:val="00CE665C"/>
    <w:rsid w:val="00CE68D2"/>
    <w:rsid w:val="00CF082C"/>
    <w:rsid w:val="00CF2E5F"/>
    <w:rsid w:val="00D57DAA"/>
    <w:rsid w:val="00D64A48"/>
    <w:rsid w:val="00D76FB6"/>
    <w:rsid w:val="00D8667F"/>
    <w:rsid w:val="00D908FB"/>
    <w:rsid w:val="00DA161F"/>
    <w:rsid w:val="00DB2E74"/>
    <w:rsid w:val="00DB6BA3"/>
    <w:rsid w:val="00DB7834"/>
    <w:rsid w:val="00DD6A2C"/>
    <w:rsid w:val="00DE4340"/>
    <w:rsid w:val="00DF40FD"/>
    <w:rsid w:val="00E01CE6"/>
    <w:rsid w:val="00E32319"/>
    <w:rsid w:val="00E44C7C"/>
    <w:rsid w:val="00E5176B"/>
    <w:rsid w:val="00E93160"/>
    <w:rsid w:val="00E94DC3"/>
    <w:rsid w:val="00EB6AE2"/>
    <w:rsid w:val="00F029EA"/>
    <w:rsid w:val="00F12A79"/>
    <w:rsid w:val="00F20066"/>
    <w:rsid w:val="00F20AE2"/>
    <w:rsid w:val="00F2720F"/>
    <w:rsid w:val="00F474DD"/>
    <w:rsid w:val="00F5240A"/>
    <w:rsid w:val="00F55629"/>
    <w:rsid w:val="00F7783E"/>
    <w:rsid w:val="00FA2973"/>
    <w:rsid w:val="00FA2C20"/>
    <w:rsid w:val="00FB31B2"/>
    <w:rsid w:val="00FF025C"/>
    <w:rsid w:val="00FF1C08"/>
    <w:rsid w:val="00FF649B"/>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30C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7756"/>
    <w:pPr>
      <w:spacing w:after="160" w:line="259" w:lineRule="auto"/>
    </w:pPr>
    <w:rPr>
      <w:rFonts w:ascii="Times New Roman" w:eastAsiaTheme="minorHAnsi"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649B"/>
    <w:rPr>
      <w:sz w:val="18"/>
      <w:szCs w:val="18"/>
    </w:rPr>
  </w:style>
  <w:style w:type="paragraph" w:styleId="CommentText">
    <w:name w:val="annotation text"/>
    <w:basedOn w:val="Normal"/>
    <w:link w:val="CommentTextChar"/>
    <w:uiPriority w:val="99"/>
    <w:semiHidden/>
    <w:unhideWhenUsed/>
    <w:rsid w:val="00FF649B"/>
    <w:pPr>
      <w:overflowPunct w:val="0"/>
      <w:autoSpaceDE w:val="0"/>
      <w:autoSpaceDN w:val="0"/>
      <w:adjustRightInd w:val="0"/>
      <w:spacing w:after="0" w:line="240" w:lineRule="auto"/>
      <w:textAlignment w:val="baseline"/>
    </w:pPr>
    <w:rPr>
      <w:rFonts w:eastAsia="Times New Roman"/>
    </w:rPr>
  </w:style>
  <w:style w:type="character" w:customStyle="1" w:styleId="CommentTextChar">
    <w:name w:val="Comment Text Char"/>
    <w:basedOn w:val="DefaultParagraphFont"/>
    <w:link w:val="CommentText"/>
    <w:uiPriority w:val="99"/>
    <w:semiHidden/>
    <w:rsid w:val="00FF649B"/>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FF649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49B"/>
    <w:rPr>
      <w:rFonts w:ascii="Lucida Grande" w:eastAsiaTheme="minorHAnsi" w:hAnsi="Lucida Grande" w:cs="Lucida Grande"/>
      <w:sz w:val="18"/>
      <w:szCs w:val="18"/>
      <w:lang w:eastAsia="en-US"/>
    </w:rPr>
  </w:style>
  <w:style w:type="paragraph" w:styleId="NormalWeb">
    <w:name w:val="Normal (Web)"/>
    <w:basedOn w:val="Normal"/>
    <w:uiPriority w:val="99"/>
    <w:semiHidden/>
    <w:unhideWhenUsed/>
    <w:rsid w:val="00F55629"/>
  </w:style>
  <w:style w:type="paragraph" w:styleId="Header">
    <w:name w:val="header"/>
    <w:basedOn w:val="Normal"/>
    <w:link w:val="HeaderChar"/>
    <w:uiPriority w:val="99"/>
    <w:unhideWhenUsed/>
    <w:rsid w:val="00200C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0CD1"/>
    <w:rPr>
      <w:rFonts w:ascii="Times New Roman" w:eastAsiaTheme="minorHAnsi" w:hAnsi="Times New Roman" w:cs="Times New Roman"/>
      <w:lang w:eastAsia="en-US"/>
    </w:rPr>
  </w:style>
  <w:style w:type="paragraph" w:styleId="Footer">
    <w:name w:val="footer"/>
    <w:basedOn w:val="Normal"/>
    <w:link w:val="FooterChar"/>
    <w:uiPriority w:val="99"/>
    <w:unhideWhenUsed/>
    <w:rsid w:val="00200C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0CD1"/>
    <w:rPr>
      <w:rFonts w:ascii="Times New Roman" w:eastAsiaTheme="minorHAnsi" w:hAnsi="Times New Roman" w:cs="Times New Roman"/>
      <w:lang w:eastAsia="en-US"/>
    </w:rPr>
  </w:style>
  <w:style w:type="paragraph" w:styleId="FootnoteText">
    <w:name w:val="footnote text"/>
    <w:basedOn w:val="Normal"/>
    <w:link w:val="FootnoteTextChar"/>
    <w:uiPriority w:val="99"/>
    <w:unhideWhenUsed/>
    <w:rsid w:val="00FF025C"/>
    <w:pPr>
      <w:spacing w:after="0" w:line="240" w:lineRule="auto"/>
    </w:pPr>
  </w:style>
  <w:style w:type="character" w:customStyle="1" w:styleId="FootnoteTextChar">
    <w:name w:val="Footnote Text Char"/>
    <w:basedOn w:val="DefaultParagraphFont"/>
    <w:link w:val="FootnoteText"/>
    <w:uiPriority w:val="99"/>
    <w:rsid w:val="00FF025C"/>
    <w:rPr>
      <w:rFonts w:ascii="Times New Roman" w:eastAsiaTheme="minorHAnsi" w:hAnsi="Times New Roman" w:cs="Times New Roman"/>
      <w:lang w:eastAsia="en-US"/>
    </w:rPr>
  </w:style>
  <w:style w:type="character" w:styleId="FootnoteReference">
    <w:name w:val="footnote reference"/>
    <w:basedOn w:val="DefaultParagraphFont"/>
    <w:uiPriority w:val="99"/>
    <w:unhideWhenUsed/>
    <w:rsid w:val="00FF025C"/>
    <w:rPr>
      <w:vertAlign w:val="superscript"/>
    </w:rPr>
  </w:style>
  <w:style w:type="paragraph" w:styleId="CommentSubject">
    <w:name w:val="annotation subject"/>
    <w:basedOn w:val="CommentText"/>
    <w:next w:val="CommentText"/>
    <w:link w:val="CommentSubjectChar"/>
    <w:uiPriority w:val="99"/>
    <w:semiHidden/>
    <w:unhideWhenUsed/>
    <w:rsid w:val="00FF1C08"/>
    <w:pPr>
      <w:overflowPunct/>
      <w:autoSpaceDE/>
      <w:autoSpaceDN/>
      <w:adjustRightInd/>
      <w:spacing w:after="160"/>
      <w:textAlignment w:val="auto"/>
    </w:pPr>
    <w:rPr>
      <w:rFonts w:eastAsiaTheme="minorHAnsi"/>
      <w:b/>
      <w:bCs/>
      <w:sz w:val="20"/>
      <w:szCs w:val="20"/>
    </w:rPr>
  </w:style>
  <w:style w:type="character" w:customStyle="1" w:styleId="CommentSubjectChar">
    <w:name w:val="Comment Subject Char"/>
    <w:basedOn w:val="CommentTextChar"/>
    <w:link w:val="CommentSubject"/>
    <w:uiPriority w:val="99"/>
    <w:semiHidden/>
    <w:rsid w:val="00FF1C08"/>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617">
      <w:bodyDiv w:val="1"/>
      <w:marLeft w:val="0"/>
      <w:marRight w:val="0"/>
      <w:marTop w:val="0"/>
      <w:marBottom w:val="0"/>
      <w:divBdr>
        <w:top w:val="none" w:sz="0" w:space="0" w:color="auto"/>
        <w:left w:val="none" w:sz="0" w:space="0" w:color="auto"/>
        <w:bottom w:val="none" w:sz="0" w:space="0" w:color="auto"/>
        <w:right w:val="none" w:sz="0" w:space="0" w:color="auto"/>
      </w:divBdr>
    </w:div>
    <w:div w:id="62605520">
      <w:bodyDiv w:val="1"/>
      <w:marLeft w:val="0"/>
      <w:marRight w:val="0"/>
      <w:marTop w:val="0"/>
      <w:marBottom w:val="0"/>
      <w:divBdr>
        <w:top w:val="none" w:sz="0" w:space="0" w:color="auto"/>
        <w:left w:val="none" w:sz="0" w:space="0" w:color="auto"/>
        <w:bottom w:val="none" w:sz="0" w:space="0" w:color="auto"/>
        <w:right w:val="none" w:sz="0" w:space="0" w:color="auto"/>
      </w:divBdr>
    </w:div>
    <w:div w:id="187529390">
      <w:bodyDiv w:val="1"/>
      <w:marLeft w:val="0"/>
      <w:marRight w:val="0"/>
      <w:marTop w:val="0"/>
      <w:marBottom w:val="0"/>
      <w:divBdr>
        <w:top w:val="none" w:sz="0" w:space="0" w:color="auto"/>
        <w:left w:val="none" w:sz="0" w:space="0" w:color="auto"/>
        <w:bottom w:val="none" w:sz="0" w:space="0" w:color="auto"/>
        <w:right w:val="none" w:sz="0" w:space="0" w:color="auto"/>
      </w:divBdr>
    </w:div>
    <w:div w:id="293800047">
      <w:bodyDiv w:val="1"/>
      <w:marLeft w:val="0"/>
      <w:marRight w:val="0"/>
      <w:marTop w:val="0"/>
      <w:marBottom w:val="0"/>
      <w:divBdr>
        <w:top w:val="none" w:sz="0" w:space="0" w:color="auto"/>
        <w:left w:val="none" w:sz="0" w:space="0" w:color="auto"/>
        <w:bottom w:val="none" w:sz="0" w:space="0" w:color="auto"/>
        <w:right w:val="none" w:sz="0" w:space="0" w:color="auto"/>
      </w:divBdr>
    </w:div>
    <w:div w:id="350760330">
      <w:bodyDiv w:val="1"/>
      <w:marLeft w:val="0"/>
      <w:marRight w:val="0"/>
      <w:marTop w:val="0"/>
      <w:marBottom w:val="0"/>
      <w:divBdr>
        <w:top w:val="none" w:sz="0" w:space="0" w:color="auto"/>
        <w:left w:val="none" w:sz="0" w:space="0" w:color="auto"/>
        <w:bottom w:val="none" w:sz="0" w:space="0" w:color="auto"/>
        <w:right w:val="none" w:sz="0" w:space="0" w:color="auto"/>
      </w:divBdr>
      <w:divsChild>
        <w:div w:id="1839928619">
          <w:marLeft w:val="0"/>
          <w:marRight w:val="0"/>
          <w:marTop w:val="0"/>
          <w:marBottom w:val="0"/>
          <w:divBdr>
            <w:top w:val="none" w:sz="0" w:space="0" w:color="auto"/>
            <w:left w:val="none" w:sz="0" w:space="0" w:color="auto"/>
            <w:bottom w:val="none" w:sz="0" w:space="0" w:color="auto"/>
            <w:right w:val="none" w:sz="0" w:space="0" w:color="auto"/>
          </w:divBdr>
          <w:divsChild>
            <w:div w:id="1017196640">
              <w:marLeft w:val="0"/>
              <w:marRight w:val="0"/>
              <w:marTop w:val="0"/>
              <w:marBottom w:val="0"/>
              <w:divBdr>
                <w:top w:val="none" w:sz="0" w:space="0" w:color="auto"/>
                <w:left w:val="none" w:sz="0" w:space="0" w:color="auto"/>
                <w:bottom w:val="none" w:sz="0" w:space="0" w:color="auto"/>
                <w:right w:val="none" w:sz="0" w:space="0" w:color="auto"/>
              </w:divBdr>
              <w:divsChild>
                <w:div w:id="15462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6206">
      <w:bodyDiv w:val="1"/>
      <w:marLeft w:val="0"/>
      <w:marRight w:val="0"/>
      <w:marTop w:val="0"/>
      <w:marBottom w:val="0"/>
      <w:divBdr>
        <w:top w:val="none" w:sz="0" w:space="0" w:color="auto"/>
        <w:left w:val="none" w:sz="0" w:space="0" w:color="auto"/>
        <w:bottom w:val="none" w:sz="0" w:space="0" w:color="auto"/>
        <w:right w:val="none" w:sz="0" w:space="0" w:color="auto"/>
      </w:divBdr>
    </w:div>
    <w:div w:id="422117956">
      <w:bodyDiv w:val="1"/>
      <w:marLeft w:val="0"/>
      <w:marRight w:val="0"/>
      <w:marTop w:val="0"/>
      <w:marBottom w:val="0"/>
      <w:divBdr>
        <w:top w:val="none" w:sz="0" w:space="0" w:color="auto"/>
        <w:left w:val="none" w:sz="0" w:space="0" w:color="auto"/>
        <w:bottom w:val="none" w:sz="0" w:space="0" w:color="auto"/>
        <w:right w:val="none" w:sz="0" w:space="0" w:color="auto"/>
      </w:divBdr>
    </w:div>
    <w:div w:id="573052277">
      <w:bodyDiv w:val="1"/>
      <w:marLeft w:val="0"/>
      <w:marRight w:val="0"/>
      <w:marTop w:val="0"/>
      <w:marBottom w:val="0"/>
      <w:divBdr>
        <w:top w:val="none" w:sz="0" w:space="0" w:color="auto"/>
        <w:left w:val="none" w:sz="0" w:space="0" w:color="auto"/>
        <w:bottom w:val="none" w:sz="0" w:space="0" w:color="auto"/>
        <w:right w:val="none" w:sz="0" w:space="0" w:color="auto"/>
      </w:divBdr>
    </w:div>
    <w:div w:id="671101144">
      <w:bodyDiv w:val="1"/>
      <w:marLeft w:val="0"/>
      <w:marRight w:val="0"/>
      <w:marTop w:val="0"/>
      <w:marBottom w:val="0"/>
      <w:divBdr>
        <w:top w:val="none" w:sz="0" w:space="0" w:color="auto"/>
        <w:left w:val="none" w:sz="0" w:space="0" w:color="auto"/>
        <w:bottom w:val="none" w:sz="0" w:space="0" w:color="auto"/>
        <w:right w:val="none" w:sz="0" w:space="0" w:color="auto"/>
      </w:divBdr>
    </w:div>
    <w:div w:id="712343184">
      <w:bodyDiv w:val="1"/>
      <w:marLeft w:val="0"/>
      <w:marRight w:val="0"/>
      <w:marTop w:val="0"/>
      <w:marBottom w:val="0"/>
      <w:divBdr>
        <w:top w:val="none" w:sz="0" w:space="0" w:color="auto"/>
        <w:left w:val="none" w:sz="0" w:space="0" w:color="auto"/>
        <w:bottom w:val="none" w:sz="0" w:space="0" w:color="auto"/>
        <w:right w:val="none" w:sz="0" w:space="0" w:color="auto"/>
      </w:divBdr>
    </w:div>
    <w:div w:id="834802274">
      <w:bodyDiv w:val="1"/>
      <w:marLeft w:val="0"/>
      <w:marRight w:val="0"/>
      <w:marTop w:val="0"/>
      <w:marBottom w:val="0"/>
      <w:divBdr>
        <w:top w:val="none" w:sz="0" w:space="0" w:color="auto"/>
        <w:left w:val="none" w:sz="0" w:space="0" w:color="auto"/>
        <w:bottom w:val="none" w:sz="0" w:space="0" w:color="auto"/>
        <w:right w:val="none" w:sz="0" w:space="0" w:color="auto"/>
      </w:divBdr>
    </w:div>
    <w:div w:id="920333784">
      <w:bodyDiv w:val="1"/>
      <w:marLeft w:val="0"/>
      <w:marRight w:val="0"/>
      <w:marTop w:val="0"/>
      <w:marBottom w:val="0"/>
      <w:divBdr>
        <w:top w:val="none" w:sz="0" w:space="0" w:color="auto"/>
        <w:left w:val="none" w:sz="0" w:space="0" w:color="auto"/>
        <w:bottom w:val="none" w:sz="0" w:space="0" w:color="auto"/>
        <w:right w:val="none" w:sz="0" w:space="0" w:color="auto"/>
      </w:divBdr>
    </w:div>
    <w:div w:id="938755719">
      <w:bodyDiv w:val="1"/>
      <w:marLeft w:val="0"/>
      <w:marRight w:val="0"/>
      <w:marTop w:val="0"/>
      <w:marBottom w:val="0"/>
      <w:divBdr>
        <w:top w:val="none" w:sz="0" w:space="0" w:color="auto"/>
        <w:left w:val="none" w:sz="0" w:space="0" w:color="auto"/>
        <w:bottom w:val="none" w:sz="0" w:space="0" w:color="auto"/>
        <w:right w:val="none" w:sz="0" w:space="0" w:color="auto"/>
      </w:divBdr>
      <w:divsChild>
        <w:div w:id="754327219">
          <w:marLeft w:val="0"/>
          <w:marRight w:val="0"/>
          <w:marTop w:val="0"/>
          <w:marBottom w:val="0"/>
          <w:divBdr>
            <w:top w:val="none" w:sz="0" w:space="0" w:color="auto"/>
            <w:left w:val="none" w:sz="0" w:space="0" w:color="auto"/>
            <w:bottom w:val="none" w:sz="0" w:space="0" w:color="auto"/>
            <w:right w:val="none" w:sz="0" w:space="0" w:color="auto"/>
          </w:divBdr>
          <w:divsChild>
            <w:div w:id="2000767446">
              <w:marLeft w:val="0"/>
              <w:marRight w:val="0"/>
              <w:marTop w:val="0"/>
              <w:marBottom w:val="0"/>
              <w:divBdr>
                <w:top w:val="none" w:sz="0" w:space="0" w:color="auto"/>
                <w:left w:val="none" w:sz="0" w:space="0" w:color="auto"/>
                <w:bottom w:val="none" w:sz="0" w:space="0" w:color="auto"/>
                <w:right w:val="none" w:sz="0" w:space="0" w:color="auto"/>
              </w:divBdr>
              <w:divsChild>
                <w:div w:id="1065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15469">
      <w:bodyDiv w:val="1"/>
      <w:marLeft w:val="0"/>
      <w:marRight w:val="0"/>
      <w:marTop w:val="0"/>
      <w:marBottom w:val="0"/>
      <w:divBdr>
        <w:top w:val="none" w:sz="0" w:space="0" w:color="auto"/>
        <w:left w:val="none" w:sz="0" w:space="0" w:color="auto"/>
        <w:bottom w:val="none" w:sz="0" w:space="0" w:color="auto"/>
        <w:right w:val="none" w:sz="0" w:space="0" w:color="auto"/>
      </w:divBdr>
    </w:div>
    <w:div w:id="1158766770">
      <w:bodyDiv w:val="1"/>
      <w:marLeft w:val="0"/>
      <w:marRight w:val="0"/>
      <w:marTop w:val="0"/>
      <w:marBottom w:val="0"/>
      <w:divBdr>
        <w:top w:val="none" w:sz="0" w:space="0" w:color="auto"/>
        <w:left w:val="none" w:sz="0" w:space="0" w:color="auto"/>
        <w:bottom w:val="none" w:sz="0" w:space="0" w:color="auto"/>
        <w:right w:val="none" w:sz="0" w:space="0" w:color="auto"/>
      </w:divBdr>
    </w:div>
    <w:div w:id="1204363659">
      <w:bodyDiv w:val="1"/>
      <w:marLeft w:val="0"/>
      <w:marRight w:val="0"/>
      <w:marTop w:val="0"/>
      <w:marBottom w:val="0"/>
      <w:divBdr>
        <w:top w:val="none" w:sz="0" w:space="0" w:color="auto"/>
        <w:left w:val="none" w:sz="0" w:space="0" w:color="auto"/>
        <w:bottom w:val="none" w:sz="0" w:space="0" w:color="auto"/>
        <w:right w:val="none" w:sz="0" w:space="0" w:color="auto"/>
      </w:divBdr>
      <w:divsChild>
        <w:div w:id="1422678368">
          <w:marLeft w:val="0"/>
          <w:marRight w:val="0"/>
          <w:marTop w:val="0"/>
          <w:marBottom w:val="0"/>
          <w:divBdr>
            <w:top w:val="none" w:sz="0" w:space="0" w:color="auto"/>
            <w:left w:val="none" w:sz="0" w:space="0" w:color="auto"/>
            <w:bottom w:val="none" w:sz="0" w:space="0" w:color="auto"/>
            <w:right w:val="none" w:sz="0" w:space="0" w:color="auto"/>
          </w:divBdr>
          <w:divsChild>
            <w:div w:id="637029483">
              <w:marLeft w:val="0"/>
              <w:marRight w:val="0"/>
              <w:marTop w:val="0"/>
              <w:marBottom w:val="0"/>
              <w:divBdr>
                <w:top w:val="none" w:sz="0" w:space="0" w:color="auto"/>
                <w:left w:val="none" w:sz="0" w:space="0" w:color="auto"/>
                <w:bottom w:val="none" w:sz="0" w:space="0" w:color="auto"/>
                <w:right w:val="none" w:sz="0" w:space="0" w:color="auto"/>
              </w:divBdr>
              <w:divsChild>
                <w:div w:id="14264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50828">
      <w:bodyDiv w:val="1"/>
      <w:marLeft w:val="0"/>
      <w:marRight w:val="0"/>
      <w:marTop w:val="0"/>
      <w:marBottom w:val="0"/>
      <w:divBdr>
        <w:top w:val="none" w:sz="0" w:space="0" w:color="auto"/>
        <w:left w:val="none" w:sz="0" w:space="0" w:color="auto"/>
        <w:bottom w:val="none" w:sz="0" w:space="0" w:color="auto"/>
        <w:right w:val="none" w:sz="0" w:space="0" w:color="auto"/>
      </w:divBdr>
    </w:div>
    <w:div w:id="1290018344">
      <w:bodyDiv w:val="1"/>
      <w:marLeft w:val="0"/>
      <w:marRight w:val="0"/>
      <w:marTop w:val="0"/>
      <w:marBottom w:val="0"/>
      <w:divBdr>
        <w:top w:val="none" w:sz="0" w:space="0" w:color="auto"/>
        <w:left w:val="none" w:sz="0" w:space="0" w:color="auto"/>
        <w:bottom w:val="none" w:sz="0" w:space="0" w:color="auto"/>
        <w:right w:val="none" w:sz="0" w:space="0" w:color="auto"/>
      </w:divBdr>
    </w:div>
    <w:div w:id="1363478467">
      <w:bodyDiv w:val="1"/>
      <w:marLeft w:val="0"/>
      <w:marRight w:val="0"/>
      <w:marTop w:val="0"/>
      <w:marBottom w:val="0"/>
      <w:divBdr>
        <w:top w:val="none" w:sz="0" w:space="0" w:color="auto"/>
        <w:left w:val="none" w:sz="0" w:space="0" w:color="auto"/>
        <w:bottom w:val="none" w:sz="0" w:space="0" w:color="auto"/>
        <w:right w:val="none" w:sz="0" w:space="0" w:color="auto"/>
      </w:divBdr>
      <w:divsChild>
        <w:div w:id="1172332646">
          <w:marLeft w:val="0"/>
          <w:marRight w:val="0"/>
          <w:marTop w:val="0"/>
          <w:marBottom w:val="0"/>
          <w:divBdr>
            <w:top w:val="none" w:sz="0" w:space="0" w:color="auto"/>
            <w:left w:val="none" w:sz="0" w:space="0" w:color="auto"/>
            <w:bottom w:val="none" w:sz="0" w:space="0" w:color="auto"/>
            <w:right w:val="none" w:sz="0" w:space="0" w:color="auto"/>
          </w:divBdr>
          <w:divsChild>
            <w:div w:id="1101412094">
              <w:marLeft w:val="0"/>
              <w:marRight w:val="0"/>
              <w:marTop w:val="0"/>
              <w:marBottom w:val="0"/>
              <w:divBdr>
                <w:top w:val="none" w:sz="0" w:space="0" w:color="auto"/>
                <w:left w:val="none" w:sz="0" w:space="0" w:color="auto"/>
                <w:bottom w:val="none" w:sz="0" w:space="0" w:color="auto"/>
                <w:right w:val="none" w:sz="0" w:space="0" w:color="auto"/>
              </w:divBdr>
              <w:divsChild>
                <w:div w:id="19857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8191">
      <w:bodyDiv w:val="1"/>
      <w:marLeft w:val="0"/>
      <w:marRight w:val="0"/>
      <w:marTop w:val="0"/>
      <w:marBottom w:val="0"/>
      <w:divBdr>
        <w:top w:val="none" w:sz="0" w:space="0" w:color="auto"/>
        <w:left w:val="none" w:sz="0" w:space="0" w:color="auto"/>
        <w:bottom w:val="none" w:sz="0" w:space="0" w:color="auto"/>
        <w:right w:val="none" w:sz="0" w:space="0" w:color="auto"/>
      </w:divBdr>
    </w:div>
    <w:div w:id="1562592435">
      <w:bodyDiv w:val="1"/>
      <w:marLeft w:val="0"/>
      <w:marRight w:val="0"/>
      <w:marTop w:val="0"/>
      <w:marBottom w:val="0"/>
      <w:divBdr>
        <w:top w:val="none" w:sz="0" w:space="0" w:color="auto"/>
        <w:left w:val="none" w:sz="0" w:space="0" w:color="auto"/>
        <w:bottom w:val="none" w:sz="0" w:space="0" w:color="auto"/>
        <w:right w:val="none" w:sz="0" w:space="0" w:color="auto"/>
      </w:divBdr>
    </w:div>
    <w:div w:id="1570188210">
      <w:bodyDiv w:val="1"/>
      <w:marLeft w:val="0"/>
      <w:marRight w:val="0"/>
      <w:marTop w:val="0"/>
      <w:marBottom w:val="0"/>
      <w:divBdr>
        <w:top w:val="none" w:sz="0" w:space="0" w:color="auto"/>
        <w:left w:val="none" w:sz="0" w:space="0" w:color="auto"/>
        <w:bottom w:val="none" w:sz="0" w:space="0" w:color="auto"/>
        <w:right w:val="none" w:sz="0" w:space="0" w:color="auto"/>
      </w:divBdr>
      <w:divsChild>
        <w:div w:id="52126112">
          <w:marLeft w:val="0"/>
          <w:marRight w:val="0"/>
          <w:marTop w:val="0"/>
          <w:marBottom w:val="0"/>
          <w:divBdr>
            <w:top w:val="none" w:sz="0" w:space="0" w:color="auto"/>
            <w:left w:val="none" w:sz="0" w:space="0" w:color="auto"/>
            <w:bottom w:val="none" w:sz="0" w:space="0" w:color="auto"/>
            <w:right w:val="none" w:sz="0" w:space="0" w:color="auto"/>
          </w:divBdr>
          <w:divsChild>
            <w:div w:id="2071803207">
              <w:marLeft w:val="0"/>
              <w:marRight w:val="0"/>
              <w:marTop w:val="0"/>
              <w:marBottom w:val="0"/>
              <w:divBdr>
                <w:top w:val="none" w:sz="0" w:space="0" w:color="auto"/>
                <w:left w:val="none" w:sz="0" w:space="0" w:color="auto"/>
                <w:bottom w:val="none" w:sz="0" w:space="0" w:color="auto"/>
                <w:right w:val="none" w:sz="0" w:space="0" w:color="auto"/>
              </w:divBdr>
              <w:divsChild>
                <w:div w:id="18348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3378">
      <w:bodyDiv w:val="1"/>
      <w:marLeft w:val="0"/>
      <w:marRight w:val="0"/>
      <w:marTop w:val="0"/>
      <w:marBottom w:val="0"/>
      <w:divBdr>
        <w:top w:val="none" w:sz="0" w:space="0" w:color="auto"/>
        <w:left w:val="none" w:sz="0" w:space="0" w:color="auto"/>
        <w:bottom w:val="none" w:sz="0" w:space="0" w:color="auto"/>
        <w:right w:val="none" w:sz="0" w:space="0" w:color="auto"/>
      </w:divBdr>
      <w:divsChild>
        <w:div w:id="310910063">
          <w:marLeft w:val="0"/>
          <w:marRight w:val="0"/>
          <w:marTop w:val="0"/>
          <w:marBottom w:val="0"/>
          <w:divBdr>
            <w:top w:val="none" w:sz="0" w:space="0" w:color="auto"/>
            <w:left w:val="none" w:sz="0" w:space="0" w:color="auto"/>
            <w:bottom w:val="none" w:sz="0" w:space="0" w:color="auto"/>
            <w:right w:val="none" w:sz="0" w:space="0" w:color="auto"/>
          </w:divBdr>
          <w:divsChild>
            <w:div w:id="786895794">
              <w:marLeft w:val="0"/>
              <w:marRight w:val="0"/>
              <w:marTop w:val="0"/>
              <w:marBottom w:val="0"/>
              <w:divBdr>
                <w:top w:val="none" w:sz="0" w:space="0" w:color="auto"/>
                <w:left w:val="none" w:sz="0" w:space="0" w:color="auto"/>
                <w:bottom w:val="none" w:sz="0" w:space="0" w:color="auto"/>
                <w:right w:val="none" w:sz="0" w:space="0" w:color="auto"/>
              </w:divBdr>
              <w:divsChild>
                <w:div w:id="14843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0190">
      <w:bodyDiv w:val="1"/>
      <w:marLeft w:val="0"/>
      <w:marRight w:val="0"/>
      <w:marTop w:val="0"/>
      <w:marBottom w:val="0"/>
      <w:divBdr>
        <w:top w:val="none" w:sz="0" w:space="0" w:color="auto"/>
        <w:left w:val="none" w:sz="0" w:space="0" w:color="auto"/>
        <w:bottom w:val="none" w:sz="0" w:space="0" w:color="auto"/>
        <w:right w:val="none" w:sz="0" w:space="0" w:color="auto"/>
      </w:divBdr>
      <w:divsChild>
        <w:div w:id="1962488481">
          <w:marLeft w:val="0"/>
          <w:marRight w:val="0"/>
          <w:marTop w:val="0"/>
          <w:marBottom w:val="0"/>
          <w:divBdr>
            <w:top w:val="none" w:sz="0" w:space="0" w:color="auto"/>
            <w:left w:val="none" w:sz="0" w:space="0" w:color="auto"/>
            <w:bottom w:val="none" w:sz="0" w:space="0" w:color="auto"/>
            <w:right w:val="none" w:sz="0" w:space="0" w:color="auto"/>
          </w:divBdr>
          <w:divsChild>
            <w:div w:id="1445150070">
              <w:marLeft w:val="0"/>
              <w:marRight w:val="0"/>
              <w:marTop w:val="0"/>
              <w:marBottom w:val="0"/>
              <w:divBdr>
                <w:top w:val="none" w:sz="0" w:space="0" w:color="auto"/>
                <w:left w:val="none" w:sz="0" w:space="0" w:color="auto"/>
                <w:bottom w:val="none" w:sz="0" w:space="0" w:color="auto"/>
                <w:right w:val="none" w:sz="0" w:space="0" w:color="auto"/>
              </w:divBdr>
              <w:divsChild>
                <w:div w:id="15001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1684">
      <w:bodyDiv w:val="1"/>
      <w:marLeft w:val="0"/>
      <w:marRight w:val="0"/>
      <w:marTop w:val="0"/>
      <w:marBottom w:val="0"/>
      <w:divBdr>
        <w:top w:val="none" w:sz="0" w:space="0" w:color="auto"/>
        <w:left w:val="none" w:sz="0" w:space="0" w:color="auto"/>
        <w:bottom w:val="none" w:sz="0" w:space="0" w:color="auto"/>
        <w:right w:val="none" w:sz="0" w:space="0" w:color="auto"/>
      </w:divBdr>
    </w:div>
    <w:div w:id="1903128996">
      <w:bodyDiv w:val="1"/>
      <w:marLeft w:val="0"/>
      <w:marRight w:val="0"/>
      <w:marTop w:val="0"/>
      <w:marBottom w:val="0"/>
      <w:divBdr>
        <w:top w:val="none" w:sz="0" w:space="0" w:color="auto"/>
        <w:left w:val="none" w:sz="0" w:space="0" w:color="auto"/>
        <w:bottom w:val="none" w:sz="0" w:space="0" w:color="auto"/>
        <w:right w:val="none" w:sz="0" w:space="0" w:color="auto"/>
      </w:divBdr>
    </w:div>
    <w:div w:id="1957329895">
      <w:bodyDiv w:val="1"/>
      <w:marLeft w:val="0"/>
      <w:marRight w:val="0"/>
      <w:marTop w:val="0"/>
      <w:marBottom w:val="0"/>
      <w:divBdr>
        <w:top w:val="none" w:sz="0" w:space="0" w:color="auto"/>
        <w:left w:val="none" w:sz="0" w:space="0" w:color="auto"/>
        <w:bottom w:val="none" w:sz="0" w:space="0" w:color="auto"/>
        <w:right w:val="none" w:sz="0" w:space="0" w:color="auto"/>
      </w:divBdr>
      <w:divsChild>
        <w:div w:id="1694376532">
          <w:marLeft w:val="0"/>
          <w:marRight w:val="0"/>
          <w:marTop w:val="0"/>
          <w:marBottom w:val="0"/>
          <w:divBdr>
            <w:top w:val="none" w:sz="0" w:space="0" w:color="auto"/>
            <w:left w:val="none" w:sz="0" w:space="0" w:color="auto"/>
            <w:bottom w:val="none" w:sz="0" w:space="0" w:color="auto"/>
            <w:right w:val="none" w:sz="0" w:space="0" w:color="auto"/>
          </w:divBdr>
          <w:divsChild>
            <w:div w:id="451944323">
              <w:marLeft w:val="0"/>
              <w:marRight w:val="0"/>
              <w:marTop w:val="0"/>
              <w:marBottom w:val="0"/>
              <w:divBdr>
                <w:top w:val="none" w:sz="0" w:space="0" w:color="auto"/>
                <w:left w:val="none" w:sz="0" w:space="0" w:color="auto"/>
                <w:bottom w:val="none" w:sz="0" w:space="0" w:color="auto"/>
                <w:right w:val="none" w:sz="0" w:space="0" w:color="auto"/>
              </w:divBdr>
              <w:divsChild>
                <w:div w:id="325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4814">
      <w:bodyDiv w:val="1"/>
      <w:marLeft w:val="0"/>
      <w:marRight w:val="0"/>
      <w:marTop w:val="0"/>
      <w:marBottom w:val="0"/>
      <w:divBdr>
        <w:top w:val="none" w:sz="0" w:space="0" w:color="auto"/>
        <w:left w:val="none" w:sz="0" w:space="0" w:color="auto"/>
        <w:bottom w:val="none" w:sz="0" w:space="0" w:color="auto"/>
        <w:right w:val="none" w:sz="0" w:space="0" w:color="auto"/>
      </w:divBdr>
    </w:div>
    <w:div w:id="2128884835">
      <w:bodyDiv w:val="1"/>
      <w:marLeft w:val="0"/>
      <w:marRight w:val="0"/>
      <w:marTop w:val="0"/>
      <w:marBottom w:val="0"/>
      <w:divBdr>
        <w:top w:val="none" w:sz="0" w:space="0" w:color="auto"/>
        <w:left w:val="none" w:sz="0" w:space="0" w:color="auto"/>
        <w:bottom w:val="none" w:sz="0" w:space="0" w:color="auto"/>
        <w:right w:val="none" w:sz="0" w:space="0" w:color="auto"/>
      </w:divBdr>
      <w:divsChild>
        <w:div w:id="837114886">
          <w:marLeft w:val="0"/>
          <w:marRight w:val="0"/>
          <w:marTop w:val="0"/>
          <w:marBottom w:val="0"/>
          <w:divBdr>
            <w:top w:val="none" w:sz="0" w:space="0" w:color="auto"/>
            <w:left w:val="none" w:sz="0" w:space="0" w:color="auto"/>
            <w:bottom w:val="none" w:sz="0" w:space="0" w:color="auto"/>
            <w:right w:val="none" w:sz="0" w:space="0" w:color="auto"/>
          </w:divBdr>
          <w:divsChild>
            <w:div w:id="1081292698">
              <w:marLeft w:val="0"/>
              <w:marRight w:val="0"/>
              <w:marTop w:val="0"/>
              <w:marBottom w:val="0"/>
              <w:divBdr>
                <w:top w:val="none" w:sz="0" w:space="0" w:color="auto"/>
                <w:left w:val="none" w:sz="0" w:space="0" w:color="auto"/>
                <w:bottom w:val="none" w:sz="0" w:space="0" w:color="auto"/>
                <w:right w:val="none" w:sz="0" w:space="0" w:color="auto"/>
              </w:divBdr>
              <w:divsChild>
                <w:div w:id="5267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8729">
      <w:bodyDiv w:val="1"/>
      <w:marLeft w:val="0"/>
      <w:marRight w:val="0"/>
      <w:marTop w:val="0"/>
      <w:marBottom w:val="0"/>
      <w:divBdr>
        <w:top w:val="none" w:sz="0" w:space="0" w:color="auto"/>
        <w:left w:val="none" w:sz="0" w:space="0" w:color="auto"/>
        <w:bottom w:val="none" w:sz="0" w:space="0" w:color="auto"/>
        <w:right w:val="none" w:sz="0" w:space="0" w:color="auto"/>
      </w:divBdr>
      <w:divsChild>
        <w:div w:id="1936547309">
          <w:marLeft w:val="0"/>
          <w:marRight w:val="0"/>
          <w:marTop w:val="0"/>
          <w:marBottom w:val="0"/>
          <w:divBdr>
            <w:top w:val="none" w:sz="0" w:space="0" w:color="auto"/>
            <w:left w:val="none" w:sz="0" w:space="0" w:color="auto"/>
            <w:bottom w:val="none" w:sz="0" w:space="0" w:color="auto"/>
            <w:right w:val="none" w:sz="0" w:space="0" w:color="auto"/>
          </w:divBdr>
          <w:divsChild>
            <w:div w:id="571813063">
              <w:marLeft w:val="0"/>
              <w:marRight w:val="0"/>
              <w:marTop w:val="0"/>
              <w:marBottom w:val="0"/>
              <w:divBdr>
                <w:top w:val="none" w:sz="0" w:space="0" w:color="auto"/>
                <w:left w:val="none" w:sz="0" w:space="0" w:color="auto"/>
                <w:bottom w:val="none" w:sz="0" w:space="0" w:color="auto"/>
                <w:right w:val="none" w:sz="0" w:space="0" w:color="auto"/>
              </w:divBdr>
              <w:divsChild>
                <w:div w:id="21382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2017-01-03T08:00:00+00:00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0B2C9A3-65B4-7E41-8453-C41C9BF81EC3}">
  <ds:schemaRefs>
    <ds:schemaRef ds:uri="http://schemas.openxmlformats.org/officeDocument/2006/bibliography"/>
  </ds:schemaRefs>
</ds:datastoreItem>
</file>

<file path=customXml/itemProps2.xml><?xml version="1.0" encoding="utf-8"?>
<ds:datastoreItem xmlns:ds="http://schemas.openxmlformats.org/officeDocument/2006/customXml" ds:itemID="{935F1CCE-D897-44BC-B2F4-8C683042CC7E}"/>
</file>

<file path=customXml/itemProps3.xml><?xml version="1.0" encoding="utf-8"?>
<ds:datastoreItem xmlns:ds="http://schemas.openxmlformats.org/officeDocument/2006/customXml" ds:itemID="{C4D36F42-A14E-4F27-B811-695A8EDB58D1}"/>
</file>

<file path=customXml/itemProps4.xml><?xml version="1.0" encoding="utf-8"?>
<ds:datastoreItem xmlns:ds="http://schemas.openxmlformats.org/officeDocument/2006/customXml" ds:itemID="{8668CBF8-5E52-47B6-B71A-9AFC314CA088}"/>
</file>

<file path=customXml/itemProps5.xml><?xml version="1.0" encoding="utf-8"?>
<ds:datastoreItem xmlns:ds="http://schemas.openxmlformats.org/officeDocument/2006/customXml" ds:itemID="{34FB0740-2700-4085-84B1-06DA5A673BB6}"/>
</file>

<file path=docProps/app.xml><?xml version="1.0" encoding="utf-8"?>
<Properties xmlns="http://schemas.openxmlformats.org/officeDocument/2006/extended-properties" xmlns:vt="http://schemas.openxmlformats.org/officeDocument/2006/docPropsVTypes">
  <Template>Normal.dotm</Template>
  <TotalTime>1</TotalTime>
  <Pages>6</Pages>
  <Words>1920</Words>
  <Characters>10944</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Irion  Sanger</dc:creator>
  <cp:keywords/>
  <dc:description/>
  <cp:lastModifiedBy>Irion Sanger</cp:lastModifiedBy>
  <cp:revision>3</cp:revision>
  <cp:lastPrinted>2017-01-04T00:10:00Z</cp:lastPrinted>
  <dcterms:created xsi:type="dcterms:W3CDTF">2017-01-04T00:10:00Z</dcterms:created>
  <dcterms:modified xsi:type="dcterms:W3CDTF">2017-01-04T00:11:00Z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ies>
</file>