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87063" w14:textId="241C16B2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0E0C">
        <w:rPr>
          <w:rFonts w:ascii="Times New Roman" w:hAnsi="Times New Roman" w:cs="Times New Roman"/>
          <w:b/>
          <w:sz w:val="24"/>
          <w:szCs w:val="24"/>
        </w:rPr>
        <w:t>Agenda Date: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="00EC4162" w:rsidRPr="00B60E0C">
        <w:rPr>
          <w:rFonts w:ascii="Times New Roman" w:hAnsi="Times New Roman" w:cs="Times New Roman"/>
          <w:sz w:val="24"/>
          <w:szCs w:val="24"/>
        </w:rPr>
        <w:t xml:space="preserve">April </w:t>
      </w:r>
      <w:r w:rsidR="005708B2">
        <w:rPr>
          <w:rFonts w:ascii="Times New Roman" w:hAnsi="Times New Roman" w:cs="Times New Roman"/>
          <w:sz w:val="24"/>
          <w:szCs w:val="24"/>
        </w:rPr>
        <w:t>28, 2016</w:t>
      </w:r>
    </w:p>
    <w:p w14:paraId="74187064" w14:textId="68B2AD50" w:rsidR="00175CC4" w:rsidRPr="00B60E0C" w:rsidRDefault="00ED4245" w:rsidP="00175C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Item Number</w:t>
      </w:r>
      <w:r w:rsidR="00C90F8D" w:rsidRPr="00B60E0C">
        <w:rPr>
          <w:rFonts w:ascii="Times New Roman" w:hAnsi="Times New Roman" w:cs="Times New Roman"/>
          <w:sz w:val="24"/>
          <w:szCs w:val="24"/>
        </w:rPr>
        <w:t>s</w:t>
      </w:r>
      <w:r w:rsidRPr="00B60E0C">
        <w:rPr>
          <w:rFonts w:ascii="Times New Roman" w:hAnsi="Times New Roman" w:cs="Times New Roman"/>
          <w:sz w:val="24"/>
          <w:szCs w:val="24"/>
        </w:rPr>
        <w:t>: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="005708B2">
        <w:rPr>
          <w:rFonts w:ascii="Times New Roman" w:hAnsi="Times New Roman" w:cs="Times New Roman"/>
          <w:sz w:val="24"/>
          <w:szCs w:val="24"/>
        </w:rPr>
        <w:t>A</w:t>
      </w:r>
      <w:r w:rsidR="00DD1847">
        <w:rPr>
          <w:rFonts w:ascii="Times New Roman" w:hAnsi="Times New Roman" w:cs="Times New Roman"/>
          <w:sz w:val="24"/>
          <w:szCs w:val="24"/>
        </w:rPr>
        <w:t>2 and A3</w:t>
      </w:r>
    </w:p>
    <w:p w14:paraId="74187065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66" w14:textId="2ADEDCB2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b/>
          <w:sz w:val="24"/>
          <w:szCs w:val="24"/>
        </w:rPr>
        <w:t>Docket</w:t>
      </w:r>
      <w:r w:rsidR="00C90F8D" w:rsidRPr="00B60E0C">
        <w:rPr>
          <w:rFonts w:ascii="Times New Roman" w:hAnsi="Times New Roman" w:cs="Times New Roman"/>
          <w:b/>
          <w:sz w:val="24"/>
          <w:szCs w:val="24"/>
        </w:rPr>
        <w:t>s</w:t>
      </w:r>
      <w:r w:rsidRPr="00B60E0C">
        <w:rPr>
          <w:rFonts w:ascii="Times New Roman" w:hAnsi="Times New Roman" w:cs="Times New Roman"/>
          <w:b/>
          <w:sz w:val="24"/>
          <w:szCs w:val="24"/>
        </w:rPr>
        <w:t>: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ab/>
        <w:t>U</w:t>
      </w:r>
      <w:r w:rsidR="00EC4162" w:rsidRPr="00B60E0C">
        <w:rPr>
          <w:rFonts w:ascii="Times New Roman" w:hAnsi="Times New Roman" w:cs="Times New Roman"/>
          <w:sz w:val="24"/>
          <w:szCs w:val="24"/>
        </w:rPr>
        <w:t>E-</w:t>
      </w:r>
      <w:r w:rsidR="005708B2">
        <w:rPr>
          <w:rFonts w:ascii="Times New Roman" w:hAnsi="Times New Roman" w:cs="Times New Roman"/>
          <w:sz w:val="24"/>
          <w:szCs w:val="24"/>
        </w:rPr>
        <w:t>160367</w:t>
      </w:r>
      <w:r w:rsidR="00EC4162" w:rsidRPr="00B60E0C">
        <w:rPr>
          <w:rFonts w:ascii="Times New Roman" w:hAnsi="Times New Roman" w:cs="Times New Roman"/>
          <w:sz w:val="24"/>
          <w:szCs w:val="24"/>
        </w:rPr>
        <w:t xml:space="preserve"> and U</w:t>
      </w:r>
      <w:r w:rsidRPr="00B60E0C">
        <w:rPr>
          <w:rFonts w:ascii="Times New Roman" w:hAnsi="Times New Roman" w:cs="Times New Roman"/>
          <w:sz w:val="24"/>
          <w:szCs w:val="24"/>
        </w:rPr>
        <w:t>G-</w:t>
      </w:r>
      <w:r w:rsidR="005708B2">
        <w:rPr>
          <w:rFonts w:ascii="Times New Roman" w:hAnsi="Times New Roman" w:cs="Times New Roman"/>
          <w:sz w:val="24"/>
          <w:szCs w:val="24"/>
        </w:rPr>
        <w:t>160368</w:t>
      </w:r>
    </w:p>
    <w:p w14:paraId="74187067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b/>
          <w:sz w:val="24"/>
          <w:szCs w:val="24"/>
        </w:rPr>
        <w:t>Company Name:</w:t>
      </w:r>
      <w:r w:rsidR="00EC4162" w:rsidRPr="00B60E0C">
        <w:rPr>
          <w:rFonts w:ascii="Times New Roman" w:hAnsi="Times New Roman" w:cs="Times New Roman"/>
          <w:sz w:val="24"/>
          <w:szCs w:val="24"/>
        </w:rPr>
        <w:tab/>
        <w:t>Puget Sound Energy</w:t>
      </w:r>
    </w:p>
    <w:p w14:paraId="74187068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67524" w14:textId="0498F8D0" w:rsidR="007A0E43" w:rsidRPr="00B60E0C" w:rsidRDefault="00175CC4" w:rsidP="00570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b/>
          <w:sz w:val="24"/>
          <w:szCs w:val="24"/>
        </w:rPr>
        <w:t>Staff: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="005708B2">
        <w:rPr>
          <w:rFonts w:ascii="Times New Roman" w:hAnsi="Times New Roman" w:cs="Times New Roman"/>
          <w:sz w:val="24"/>
          <w:szCs w:val="24"/>
        </w:rPr>
        <w:t>Chris McGuire, Energy Policy Strategist</w:t>
      </w:r>
    </w:p>
    <w:p w14:paraId="7418706B" w14:textId="77777777" w:rsidR="009E2E64" w:rsidRPr="00B60E0C" w:rsidRDefault="009E2E6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6C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7418706D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18706E" w14:textId="0301E16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 xml:space="preserve">Take no action, thereby allowing </w:t>
      </w:r>
      <w:r w:rsidR="00EC4162" w:rsidRPr="00B60E0C">
        <w:rPr>
          <w:rFonts w:ascii="Times New Roman" w:hAnsi="Times New Roman" w:cs="Times New Roman"/>
          <w:sz w:val="24"/>
          <w:szCs w:val="24"/>
        </w:rPr>
        <w:t>the tariff sheets filed by Puget Sound Energy</w:t>
      </w:r>
      <w:r w:rsidR="005357D9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EC4162" w:rsidRPr="00B60E0C">
        <w:rPr>
          <w:rFonts w:ascii="Times New Roman" w:hAnsi="Times New Roman" w:cs="Times New Roman"/>
          <w:sz w:val="24"/>
          <w:szCs w:val="24"/>
        </w:rPr>
        <w:t>in Dockets UE-</w:t>
      </w:r>
      <w:r w:rsidR="005708B2">
        <w:rPr>
          <w:rFonts w:ascii="Times New Roman" w:hAnsi="Times New Roman" w:cs="Times New Roman"/>
          <w:sz w:val="24"/>
          <w:szCs w:val="24"/>
        </w:rPr>
        <w:t>160367</w:t>
      </w:r>
      <w:r w:rsidR="00EC4162" w:rsidRPr="00B60E0C">
        <w:rPr>
          <w:rFonts w:ascii="Times New Roman" w:hAnsi="Times New Roman" w:cs="Times New Roman"/>
          <w:sz w:val="24"/>
          <w:szCs w:val="24"/>
        </w:rPr>
        <w:t xml:space="preserve"> and UG-</w:t>
      </w:r>
      <w:r w:rsidR="005708B2">
        <w:rPr>
          <w:rFonts w:ascii="Times New Roman" w:hAnsi="Times New Roman" w:cs="Times New Roman"/>
          <w:sz w:val="24"/>
          <w:szCs w:val="24"/>
        </w:rPr>
        <w:t>160368</w:t>
      </w:r>
      <w:r w:rsidRPr="00B60E0C">
        <w:rPr>
          <w:rFonts w:ascii="Times New Roman" w:hAnsi="Times New Roman" w:cs="Times New Roman"/>
          <w:sz w:val="24"/>
          <w:szCs w:val="24"/>
        </w:rPr>
        <w:t xml:space="preserve"> to become effective </w:t>
      </w:r>
      <w:r w:rsidR="00EC4162" w:rsidRPr="00B60E0C">
        <w:rPr>
          <w:rFonts w:ascii="Times New Roman" w:hAnsi="Times New Roman" w:cs="Times New Roman"/>
          <w:sz w:val="24"/>
          <w:szCs w:val="24"/>
        </w:rPr>
        <w:t>May 1, 201</w:t>
      </w:r>
      <w:r w:rsidR="005708B2">
        <w:rPr>
          <w:rFonts w:ascii="Times New Roman" w:hAnsi="Times New Roman" w:cs="Times New Roman"/>
          <w:sz w:val="24"/>
          <w:szCs w:val="24"/>
        </w:rPr>
        <w:t>6</w:t>
      </w:r>
      <w:r w:rsidRPr="00B60E0C">
        <w:rPr>
          <w:rFonts w:ascii="Times New Roman" w:hAnsi="Times New Roman" w:cs="Times New Roman"/>
          <w:sz w:val="24"/>
          <w:szCs w:val="24"/>
        </w:rPr>
        <w:t>, by operation of law.</w:t>
      </w:r>
    </w:p>
    <w:p w14:paraId="7418706F" w14:textId="77777777" w:rsidR="00673697" w:rsidRPr="00B60E0C" w:rsidRDefault="00673697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70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74187071" w14:textId="77777777" w:rsidR="00EC4162" w:rsidRPr="00B60E0C" w:rsidRDefault="00EC4162" w:rsidP="001F2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DF53B" w14:textId="77777777" w:rsidR="00263BE4" w:rsidRDefault="005708B2" w:rsidP="002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March 31, 2016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5ED1" w:rsidRPr="00B60E0C">
        <w:rPr>
          <w:rFonts w:ascii="Times New Roman" w:hAnsi="Times New Roman" w:cs="Times New Roman"/>
          <w:sz w:val="24"/>
          <w:szCs w:val="24"/>
        </w:rPr>
        <w:t xml:space="preserve">Puget Sound Energy (PSE or company) 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>filed proposed revisions to Schedule 142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>, Revenue Decoupling Adjustment Mechanism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 of its electric and natural gas tariffs. The </w:t>
      </w:r>
      <w:r w:rsidR="00B62B61">
        <w:rPr>
          <w:rFonts w:ascii="Times New Roman" w:eastAsia="Times New Roman" w:hAnsi="Times New Roman" w:cs="Times New Roman"/>
          <w:sz w:val="24"/>
          <w:szCs w:val="24"/>
        </w:rPr>
        <w:t>filing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B61">
        <w:rPr>
          <w:rFonts w:ascii="Times New Roman" w:eastAsia="Times New Roman" w:hAnsi="Times New Roman" w:cs="Times New Roman"/>
          <w:sz w:val="24"/>
          <w:szCs w:val="24"/>
        </w:rPr>
        <w:t xml:space="preserve">is continued </w:t>
      </w:r>
      <w:r w:rsidR="00DE6FF8">
        <w:rPr>
          <w:rFonts w:ascii="Times New Roman" w:eastAsia="Times New Roman" w:hAnsi="Times New Roman" w:cs="Times New Roman"/>
          <w:sz w:val="24"/>
          <w:szCs w:val="24"/>
        </w:rPr>
        <w:t>implementation</w:t>
      </w:r>
      <w:r w:rsidR="00B62B6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>decoupling mechanism</w:t>
      </w:r>
      <w:r w:rsidR="002D1C59" w:rsidRPr="002D1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>established</w:t>
      </w:r>
      <w:r w:rsidR="002D1C59">
        <w:rPr>
          <w:rFonts w:ascii="Times New Roman" w:eastAsia="Times New Roman" w:hAnsi="Times New Roman" w:cs="Times New Roman"/>
          <w:sz w:val="24"/>
          <w:szCs w:val="24"/>
        </w:rPr>
        <w:t xml:space="preserve"> in 2013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C60F46" w14:textId="77777777" w:rsidR="00D523DC" w:rsidRDefault="00D523DC" w:rsidP="002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50192" w14:textId="13A043CD" w:rsidR="00190D05" w:rsidRPr="00AD545A" w:rsidRDefault="00D523DC" w:rsidP="002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45A">
        <w:rPr>
          <w:rFonts w:ascii="Times New Roman" w:eastAsia="Times New Roman" w:hAnsi="Times New Roman" w:cs="Times New Roman"/>
          <w:sz w:val="24"/>
          <w:szCs w:val="24"/>
        </w:rPr>
        <w:t>Overall, this proposal represents an average increase in overall bills of 1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AD545A">
        <w:rPr>
          <w:rFonts w:ascii="Times New Roman" w:eastAsia="Times New Roman" w:hAnsi="Times New Roman" w:cs="Times New Roman"/>
          <w:sz w:val="24"/>
          <w:szCs w:val="24"/>
        </w:rPr>
        <w:t xml:space="preserve"> percent 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>for decoupled electric c</w:t>
      </w:r>
      <w:r w:rsidRPr="00AD545A">
        <w:rPr>
          <w:rFonts w:ascii="Times New Roman" w:eastAsia="Times New Roman" w:hAnsi="Times New Roman" w:cs="Times New Roman"/>
          <w:sz w:val="24"/>
          <w:szCs w:val="24"/>
        </w:rPr>
        <w:t>ustomers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 and 2.8 </w:t>
      </w:r>
      <w:r w:rsidR="00F027B0" w:rsidRPr="00AD545A">
        <w:rPr>
          <w:rFonts w:ascii="Times New Roman" w:eastAsia="Times New Roman" w:hAnsi="Times New Roman" w:cs="Times New Roman"/>
          <w:sz w:val="24"/>
          <w:szCs w:val="24"/>
        </w:rPr>
        <w:t>percent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 for decoupled natural gas customers</w:t>
      </w:r>
      <w:r w:rsidRPr="00AD545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24FCE" w:rsidRPr="00AD545A">
        <w:rPr>
          <w:rFonts w:ascii="Times New Roman" w:eastAsia="Times New Roman" w:hAnsi="Times New Roman" w:cs="Times New Roman"/>
          <w:sz w:val="24"/>
          <w:szCs w:val="24"/>
        </w:rPr>
        <w:t xml:space="preserve">The typical residential 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electric </w:t>
      </w:r>
      <w:r w:rsidR="00624FCE" w:rsidRPr="00AD545A">
        <w:rPr>
          <w:rFonts w:ascii="Times New Roman" w:eastAsia="Times New Roman" w:hAnsi="Times New Roman" w:cs="Times New Roman"/>
          <w:sz w:val="24"/>
          <w:szCs w:val="24"/>
        </w:rPr>
        <w:t xml:space="preserve">customer using 1,000 kWh per month will experience an increase of $1.65 per month.  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The typical residential natural gas customer using 68 therms per month will experience an increase of $2.19 </w:t>
      </w:r>
      <w:r w:rsidR="00F027B0" w:rsidRPr="00AD545A">
        <w:rPr>
          <w:rFonts w:ascii="Times New Roman" w:eastAsia="Times New Roman" w:hAnsi="Times New Roman" w:cs="Times New Roman"/>
          <w:sz w:val="24"/>
          <w:szCs w:val="24"/>
        </w:rPr>
        <w:t>per month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376956" w14:textId="77777777" w:rsidR="00CD5ED1" w:rsidRDefault="00CD5ED1" w:rsidP="002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87074" w14:textId="23D9CDCE" w:rsidR="00FA1897" w:rsidRPr="00B60E0C" w:rsidRDefault="002D1C59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June 2013, Washington Utilities and Transportation Commission (</w:t>
      </w:r>
      <w:r w:rsidRPr="00B60E0C">
        <w:rPr>
          <w:rFonts w:ascii="Times New Roman" w:hAnsi="Times New Roman" w:cs="Times New Roman"/>
          <w:sz w:val="24"/>
          <w:szCs w:val="24"/>
        </w:rPr>
        <w:t>commission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0E0C">
        <w:rPr>
          <w:rFonts w:ascii="Times New Roman" w:hAnsi="Times New Roman" w:cs="Times New Roman"/>
          <w:sz w:val="24"/>
          <w:szCs w:val="24"/>
        </w:rPr>
        <w:t xml:space="preserve"> approved a multi-party settlement agreement establishing electric and natural gas decoupling mechanisms for </w:t>
      </w:r>
      <w:r w:rsidR="00CD5ED1">
        <w:rPr>
          <w:rFonts w:ascii="Times New Roman" w:hAnsi="Times New Roman" w:cs="Times New Roman"/>
          <w:sz w:val="24"/>
          <w:szCs w:val="24"/>
        </w:rPr>
        <w:t>PSE</w:t>
      </w:r>
      <w:r w:rsidR="00B62B61">
        <w:rPr>
          <w:rFonts w:ascii="Times New Roman" w:hAnsi="Times New Roman" w:cs="Times New Roman"/>
          <w:sz w:val="24"/>
          <w:szCs w:val="24"/>
        </w:rPr>
        <w:t>.</w:t>
      </w:r>
      <w:r w:rsidR="00B62B6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60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PSE’s</w:t>
      </w:r>
      <w:r w:rsidRPr="00B60E0C">
        <w:rPr>
          <w:rFonts w:ascii="Times New Roman" w:hAnsi="Times New Roman" w:cs="Times New Roman"/>
          <w:sz w:val="24"/>
          <w:szCs w:val="24"/>
        </w:rPr>
        <w:t xml:space="preserve"> decou</w:t>
      </w:r>
      <w:r w:rsidR="00DD01BC">
        <w:rPr>
          <w:rFonts w:ascii="Times New Roman" w:hAnsi="Times New Roman" w:cs="Times New Roman"/>
          <w:sz w:val="24"/>
          <w:szCs w:val="24"/>
        </w:rPr>
        <w:t xml:space="preserve">pling mechanism consists of two parts: (1) </w:t>
      </w:r>
      <w:r w:rsidRPr="00B60E0C">
        <w:rPr>
          <w:rFonts w:ascii="Times New Roman" w:hAnsi="Times New Roman" w:cs="Times New Roman"/>
          <w:sz w:val="24"/>
          <w:szCs w:val="24"/>
        </w:rPr>
        <w:t xml:space="preserve">deferred accounting mechanism </w:t>
      </w:r>
      <w:r>
        <w:rPr>
          <w:rFonts w:ascii="Times New Roman" w:hAnsi="Times New Roman" w:cs="Times New Roman"/>
          <w:sz w:val="24"/>
          <w:szCs w:val="24"/>
        </w:rPr>
        <w:t>(deferral)</w:t>
      </w:r>
      <w:r w:rsidR="00DD01BC">
        <w:rPr>
          <w:rFonts w:ascii="Times New Roman" w:hAnsi="Times New Roman" w:cs="Times New Roman"/>
          <w:sz w:val="24"/>
          <w:szCs w:val="24"/>
        </w:rPr>
        <w:t xml:space="preserve">; (2) </w:t>
      </w:r>
      <w:r w:rsidRPr="00B60E0C">
        <w:rPr>
          <w:rFonts w:ascii="Times New Roman" w:hAnsi="Times New Roman" w:cs="Times New Roman"/>
          <w:sz w:val="24"/>
          <w:szCs w:val="24"/>
        </w:rPr>
        <w:t>an embedded rate plan</w:t>
      </w:r>
      <w:r>
        <w:rPr>
          <w:rFonts w:ascii="Times New Roman" w:hAnsi="Times New Roman" w:cs="Times New Roman"/>
          <w:sz w:val="24"/>
          <w:szCs w:val="24"/>
        </w:rPr>
        <w:t xml:space="preserve"> (K-factor)</w:t>
      </w:r>
      <w:r w:rsidRPr="00B60E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determine the deferral, </w:t>
      </w:r>
      <w:r w:rsidR="006B6D56" w:rsidRPr="00B60E0C">
        <w:rPr>
          <w:rFonts w:ascii="Times New Roman" w:hAnsi="Times New Roman" w:cs="Times New Roman"/>
          <w:sz w:val="24"/>
          <w:szCs w:val="24"/>
        </w:rPr>
        <w:t>t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he company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="00D94E82">
        <w:rPr>
          <w:rFonts w:ascii="Times New Roman" w:hAnsi="Times New Roman" w:cs="Times New Roman"/>
          <w:sz w:val="24"/>
          <w:szCs w:val="24"/>
        </w:rPr>
        <w:t>establishes an annual per customer revenue requirement, also know</w:t>
      </w:r>
      <w:r w:rsidR="00804765">
        <w:rPr>
          <w:rFonts w:ascii="Times New Roman" w:hAnsi="Times New Roman" w:cs="Times New Roman"/>
          <w:sz w:val="24"/>
          <w:szCs w:val="24"/>
        </w:rPr>
        <w:t>n as</w:t>
      </w:r>
      <w:r w:rsidR="00D94E82">
        <w:rPr>
          <w:rFonts w:ascii="Times New Roman" w:hAnsi="Times New Roman" w:cs="Times New Roman"/>
          <w:sz w:val="24"/>
          <w:szCs w:val="24"/>
        </w:rPr>
        <w:t xml:space="preserve"> </w:t>
      </w:r>
      <w:r w:rsidR="00F6176B">
        <w:rPr>
          <w:rFonts w:ascii="Times New Roman" w:hAnsi="Times New Roman" w:cs="Times New Roman"/>
          <w:sz w:val="24"/>
          <w:szCs w:val="24"/>
        </w:rPr>
        <w:t>“Allowed Revenue</w:t>
      </w:r>
      <w:r w:rsidR="0037410E">
        <w:rPr>
          <w:rFonts w:ascii="Times New Roman" w:hAnsi="Times New Roman" w:cs="Times New Roman"/>
          <w:sz w:val="24"/>
          <w:szCs w:val="24"/>
        </w:rPr>
        <w:t>,</w:t>
      </w:r>
      <w:r w:rsidR="00F6176B">
        <w:rPr>
          <w:rFonts w:ascii="Times New Roman" w:hAnsi="Times New Roman" w:cs="Times New Roman"/>
          <w:sz w:val="24"/>
          <w:szCs w:val="24"/>
        </w:rPr>
        <w:t>”</w:t>
      </w:r>
      <w:r w:rsidR="00D94E82">
        <w:rPr>
          <w:rFonts w:ascii="Times New Roman" w:hAnsi="Times New Roman" w:cs="Times New Roman"/>
          <w:sz w:val="24"/>
          <w:szCs w:val="24"/>
        </w:rPr>
        <w:t xml:space="preserve"> which is based on the fixed costs of delivering energy to end users </w:t>
      </w:r>
      <w:r w:rsidR="00DD01BC">
        <w:rPr>
          <w:rFonts w:ascii="Times New Roman" w:hAnsi="Times New Roman" w:cs="Times New Roman"/>
          <w:sz w:val="24"/>
          <w:szCs w:val="24"/>
        </w:rPr>
        <w:t>and forecasted customer counts</w:t>
      </w:r>
      <w:r w:rsidR="009F3D45" w:rsidRPr="00B60E0C">
        <w:rPr>
          <w:rFonts w:ascii="Times New Roman" w:hAnsi="Times New Roman" w:cs="Times New Roman"/>
          <w:sz w:val="24"/>
          <w:szCs w:val="24"/>
        </w:rPr>
        <w:t xml:space="preserve">. </w:t>
      </w:r>
      <w:r w:rsidR="00F6176B">
        <w:rPr>
          <w:rFonts w:ascii="Times New Roman" w:hAnsi="Times New Roman" w:cs="Times New Roman"/>
          <w:sz w:val="24"/>
          <w:szCs w:val="24"/>
        </w:rPr>
        <w:t>Allowed revenue</w:t>
      </w:r>
      <w:r w:rsidR="00D94E82">
        <w:rPr>
          <w:rFonts w:ascii="Times New Roman" w:hAnsi="Times New Roman" w:cs="Times New Roman"/>
          <w:sz w:val="24"/>
          <w:szCs w:val="24"/>
        </w:rPr>
        <w:t xml:space="preserve"> essentially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F6176B">
        <w:rPr>
          <w:rFonts w:ascii="Times New Roman" w:hAnsi="Times New Roman" w:cs="Times New Roman"/>
          <w:sz w:val="24"/>
          <w:szCs w:val="24"/>
        </w:rPr>
        <w:t xml:space="preserve">creates 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an accounts receivable from the customers. </w:t>
      </w:r>
      <w:r w:rsidR="00D94E82">
        <w:rPr>
          <w:rFonts w:ascii="Times New Roman" w:hAnsi="Times New Roman" w:cs="Times New Roman"/>
          <w:sz w:val="24"/>
          <w:szCs w:val="24"/>
        </w:rPr>
        <w:t xml:space="preserve">Throughout the course of the ensuing year, 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customers are billed on a </w:t>
      </w:r>
      <w:r w:rsidR="001D529D">
        <w:rPr>
          <w:rFonts w:ascii="Times New Roman" w:hAnsi="Times New Roman" w:cs="Times New Roman"/>
          <w:sz w:val="24"/>
          <w:szCs w:val="24"/>
        </w:rPr>
        <w:t>price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 per </w:t>
      </w:r>
      <w:r w:rsidR="00AA55A4">
        <w:rPr>
          <w:rFonts w:ascii="Times New Roman" w:hAnsi="Times New Roman" w:cs="Times New Roman"/>
          <w:sz w:val="24"/>
          <w:szCs w:val="24"/>
        </w:rPr>
        <w:t>unit</w:t>
      </w:r>
      <w:r w:rsidR="00E04042">
        <w:rPr>
          <w:rFonts w:ascii="Times New Roman" w:hAnsi="Times New Roman" w:cs="Times New Roman"/>
          <w:sz w:val="24"/>
          <w:szCs w:val="24"/>
        </w:rPr>
        <w:t xml:space="preserve"> </w:t>
      </w:r>
      <w:r w:rsidR="00410448">
        <w:rPr>
          <w:rFonts w:ascii="Times New Roman" w:hAnsi="Times New Roman" w:cs="Times New Roman"/>
          <w:sz w:val="24"/>
          <w:szCs w:val="24"/>
        </w:rPr>
        <w:t>to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 pay off the receivable. </w:t>
      </w:r>
      <w:r w:rsidR="0037410E">
        <w:rPr>
          <w:rFonts w:ascii="Times New Roman" w:hAnsi="Times New Roman" w:cs="Times New Roman"/>
          <w:sz w:val="24"/>
          <w:szCs w:val="24"/>
        </w:rPr>
        <w:t xml:space="preserve">Bill payments are also knowns as “Actual Revenue.” </w:t>
      </w:r>
      <w:r w:rsidR="00893DDF" w:rsidRPr="00B60E0C">
        <w:rPr>
          <w:rFonts w:ascii="Times New Roman" w:hAnsi="Times New Roman" w:cs="Times New Roman"/>
          <w:sz w:val="24"/>
          <w:szCs w:val="24"/>
        </w:rPr>
        <w:t>T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he difference between </w:t>
      </w:r>
      <w:r w:rsidR="00893DDF" w:rsidRPr="00B60E0C">
        <w:rPr>
          <w:rFonts w:ascii="Times New Roman" w:hAnsi="Times New Roman" w:cs="Times New Roman"/>
          <w:sz w:val="24"/>
          <w:szCs w:val="24"/>
        </w:rPr>
        <w:t>the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37410E">
        <w:rPr>
          <w:rFonts w:ascii="Times New Roman" w:hAnsi="Times New Roman" w:cs="Times New Roman"/>
          <w:sz w:val="24"/>
          <w:szCs w:val="24"/>
        </w:rPr>
        <w:t>A</w:t>
      </w:r>
      <w:r w:rsidR="00F6176B">
        <w:rPr>
          <w:rFonts w:ascii="Times New Roman" w:hAnsi="Times New Roman" w:cs="Times New Roman"/>
          <w:sz w:val="24"/>
          <w:szCs w:val="24"/>
        </w:rPr>
        <w:t xml:space="preserve">llowed </w:t>
      </w:r>
      <w:r w:rsidR="0037410E">
        <w:rPr>
          <w:rFonts w:ascii="Times New Roman" w:hAnsi="Times New Roman" w:cs="Times New Roman"/>
          <w:sz w:val="24"/>
          <w:szCs w:val="24"/>
        </w:rPr>
        <w:t>R</w:t>
      </w:r>
      <w:r w:rsidR="00F6176B">
        <w:rPr>
          <w:rFonts w:ascii="Times New Roman" w:hAnsi="Times New Roman" w:cs="Times New Roman"/>
          <w:sz w:val="24"/>
          <w:szCs w:val="24"/>
        </w:rPr>
        <w:t>evenue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and the </w:t>
      </w:r>
      <w:r w:rsidR="0037410E">
        <w:rPr>
          <w:rFonts w:ascii="Times New Roman" w:hAnsi="Times New Roman" w:cs="Times New Roman"/>
          <w:sz w:val="24"/>
          <w:szCs w:val="24"/>
        </w:rPr>
        <w:t xml:space="preserve">Actual Revenues </w:t>
      </w:r>
      <w:r w:rsidR="00DD01BC">
        <w:rPr>
          <w:rFonts w:ascii="Times New Roman" w:hAnsi="Times New Roman" w:cs="Times New Roman"/>
          <w:sz w:val="24"/>
          <w:szCs w:val="24"/>
        </w:rPr>
        <w:t xml:space="preserve">is </w:t>
      </w:r>
      <w:r w:rsidR="00893DDF" w:rsidRPr="00B60E0C">
        <w:rPr>
          <w:rFonts w:ascii="Times New Roman" w:hAnsi="Times New Roman" w:cs="Times New Roman"/>
          <w:sz w:val="24"/>
          <w:szCs w:val="24"/>
        </w:rPr>
        <w:t>deferred</w:t>
      </w:r>
      <w:r w:rsidR="00D94E82">
        <w:rPr>
          <w:rFonts w:ascii="Times New Roman" w:hAnsi="Times New Roman" w:cs="Times New Roman"/>
          <w:sz w:val="24"/>
          <w:szCs w:val="24"/>
        </w:rPr>
        <w:t xml:space="preserve"> on a monthly basis and then </w:t>
      </w:r>
      <w:r w:rsidR="00F027B0">
        <w:rPr>
          <w:rFonts w:ascii="Times New Roman" w:hAnsi="Times New Roman" w:cs="Times New Roman"/>
          <w:sz w:val="24"/>
          <w:szCs w:val="24"/>
        </w:rPr>
        <w:t xml:space="preserve">summed </w:t>
      </w:r>
      <w:r w:rsidR="002D5337">
        <w:rPr>
          <w:rFonts w:ascii="Times New Roman" w:hAnsi="Times New Roman" w:cs="Times New Roman"/>
          <w:sz w:val="24"/>
          <w:szCs w:val="24"/>
        </w:rPr>
        <w:t>over the twelve month period.</w:t>
      </w:r>
      <w:r w:rsidR="00D94E82">
        <w:rPr>
          <w:rFonts w:ascii="Times New Roman" w:hAnsi="Times New Roman" w:cs="Times New Roman"/>
          <w:sz w:val="24"/>
          <w:szCs w:val="24"/>
        </w:rPr>
        <w:t xml:space="preserve"> If, during the course of a year, ene</w:t>
      </w:r>
      <w:r w:rsidR="00F6176B">
        <w:rPr>
          <w:rFonts w:ascii="Times New Roman" w:hAnsi="Times New Roman" w:cs="Times New Roman"/>
          <w:sz w:val="24"/>
          <w:szCs w:val="24"/>
        </w:rPr>
        <w:t>rgy sales are relatively low be</w:t>
      </w:r>
      <w:r w:rsidR="00D94E82">
        <w:rPr>
          <w:rFonts w:ascii="Times New Roman" w:hAnsi="Times New Roman" w:cs="Times New Roman"/>
          <w:sz w:val="24"/>
          <w:szCs w:val="24"/>
        </w:rPr>
        <w:t xml:space="preserve">cause of </w:t>
      </w:r>
      <w:r w:rsidR="002D5337">
        <w:rPr>
          <w:rFonts w:ascii="Times New Roman" w:hAnsi="Times New Roman" w:cs="Times New Roman"/>
          <w:sz w:val="24"/>
          <w:szCs w:val="24"/>
        </w:rPr>
        <w:t xml:space="preserve">a </w:t>
      </w:r>
      <w:r w:rsidR="00D94E82">
        <w:rPr>
          <w:rFonts w:ascii="Times New Roman" w:hAnsi="Times New Roman" w:cs="Times New Roman"/>
          <w:sz w:val="24"/>
          <w:szCs w:val="24"/>
        </w:rPr>
        <w:t>wa</w:t>
      </w:r>
      <w:r w:rsidR="00F160AC">
        <w:rPr>
          <w:rFonts w:ascii="Times New Roman" w:hAnsi="Times New Roman" w:cs="Times New Roman"/>
          <w:sz w:val="24"/>
          <w:szCs w:val="24"/>
        </w:rPr>
        <w:t>rmer than normal winter</w:t>
      </w:r>
      <w:r w:rsidR="00F6176B">
        <w:rPr>
          <w:rFonts w:ascii="Times New Roman" w:hAnsi="Times New Roman" w:cs="Times New Roman"/>
          <w:sz w:val="24"/>
          <w:szCs w:val="24"/>
        </w:rPr>
        <w:t xml:space="preserve"> or other factors, actual revenue will be less than allowed revenue and the </w:t>
      </w:r>
      <w:r w:rsidR="00D94E82">
        <w:rPr>
          <w:rFonts w:ascii="Times New Roman" w:hAnsi="Times New Roman" w:cs="Times New Roman"/>
          <w:sz w:val="24"/>
          <w:szCs w:val="24"/>
        </w:rPr>
        <w:t xml:space="preserve">deferred balance </w:t>
      </w:r>
      <w:r w:rsidR="00F6176B">
        <w:rPr>
          <w:rFonts w:ascii="Times New Roman" w:hAnsi="Times New Roman" w:cs="Times New Roman"/>
          <w:sz w:val="24"/>
          <w:szCs w:val="24"/>
        </w:rPr>
        <w:t>will reflect a shortfall</w:t>
      </w:r>
      <w:r w:rsidR="00EA73DC">
        <w:rPr>
          <w:rFonts w:ascii="Times New Roman" w:hAnsi="Times New Roman" w:cs="Times New Roman"/>
          <w:sz w:val="24"/>
          <w:szCs w:val="24"/>
        </w:rPr>
        <w:t xml:space="preserve"> in payments</w:t>
      </w:r>
      <w:r w:rsidR="00F6176B">
        <w:rPr>
          <w:rFonts w:ascii="Times New Roman" w:hAnsi="Times New Roman" w:cs="Times New Roman"/>
          <w:sz w:val="24"/>
          <w:szCs w:val="24"/>
        </w:rPr>
        <w:t xml:space="preserve">. 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The deferred balances are </w:t>
      </w:r>
      <w:r w:rsidR="00F6176B">
        <w:rPr>
          <w:rFonts w:ascii="Times New Roman" w:hAnsi="Times New Roman" w:cs="Times New Roman"/>
          <w:sz w:val="24"/>
          <w:szCs w:val="24"/>
        </w:rPr>
        <w:t xml:space="preserve">then </w:t>
      </w:r>
      <w:r w:rsidR="00FF4FB5" w:rsidRPr="00B60E0C">
        <w:rPr>
          <w:rFonts w:ascii="Times New Roman" w:hAnsi="Times New Roman" w:cs="Times New Roman"/>
          <w:sz w:val="24"/>
          <w:szCs w:val="24"/>
        </w:rPr>
        <w:t>trued</w:t>
      </w:r>
      <w:r w:rsidR="004E3B2B">
        <w:rPr>
          <w:rFonts w:ascii="Times New Roman" w:hAnsi="Times New Roman" w:cs="Times New Roman"/>
          <w:sz w:val="24"/>
          <w:szCs w:val="24"/>
        </w:rPr>
        <w:t xml:space="preserve"> 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up annually 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by </w:t>
      </w:r>
      <w:r w:rsidR="00FF4FB5" w:rsidRPr="00B60E0C">
        <w:rPr>
          <w:rFonts w:ascii="Times New Roman" w:hAnsi="Times New Roman" w:cs="Times New Roman"/>
          <w:sz w:val="24"/>
          <w:szCs w:val="24"/>
        </w:rPr>
        <w:t>a surcharge</w:t>
      </w:r>
      <w:r w:rsidR="00F6176B">
        <w:rPr>
          <w:rFonts w:ascii="Times New Roman" w:hAnsi="Times New Roman" w:cs="Times New Roman"/>
          <w:sz w:val="24"/>
          <w:szCs w:val="24"/>
        </w:rPr>
        <w:t xml:space="preserve"> (in the case of deferral shortfall) </w:t>
      </w:r>
      <w:r w:rsidR="00893DDF" w:rsidRPr="00B60E0C">
        <w:rPr>
          <w:rFonts w:ascii="Times New Roman" w:hAnsi="Times New Roman" w:cs="Times New Roman"/>
          <w:sz w:val="24"/>
          <w:szCs w:val="24"/>
        </w:rPr>
        <w:t>captured in the next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 12-month period. </w:t>
      </w:r>
    </w:p>
    <w:p w14:paraId="051E762B" w14:textId="77777777" w:rsidR="00D242F9" w:rsidRDefault="00D242F9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BF412" w14:textId="4EE028C9" w:rsidR="00820D6E" w:rsidRDefault="008B471E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K-factor refers to the escalation factor set in t</w:t>
      </w:r>
      <w:r w:rsidR="006B6D56" w:rsidRPr="00B60E0C">
        <w:rPr>
          <w:rFonts w:ascii="Times New Roman" w:hAnsi="Times New Roman" w:cs="Times New Roman"/>
          <w:sz w:val="24"/>
          <w:szCs w:val="24"/>
        </w:rPr>
        <w:t>he rate plan</w:t>
      </w:r>
      <w:r w:rsidR="00F6176B">
        <w:rPr>
          <w:rFonts w:ascii="Times New Roman" w:hAnsi="Times New Roman" w:cs="Times New Roman"/>
          <w:sz w:val="24"/>
          <w:szCs w:val="24"/>
        </w:rPr>
        <w:t xml:space="preserve"> and is separate from the mechanics of the deferral process</w:t>
      </w:r>
      <w:r>
        <w:rPr>
          <w:rFonts w:ascii="Times New Roman" w:hAnsi="Times New Roman" w:cs="Times New Roman"/>
          <w:sz w:val="24"/>
          <w:szCs w:val="24"/>
        </w:rPr>
        <w:t xml:space="preserve">. The commission </w:t>
      </w:r>
      <w:r w:rsidR="00BE7346">
        <w:rPr>
          <w:rFonts w:ascii="Times New Roman" w:hAnsi="Times New Roman" w:cs="Times New Roman"/>
          <w:sz w:val="24"/>
          <w:szCs w:val="24"/>
        </w:rPr>
        <w:t>allows for an annual escalation</w:t>
      </w:r>
      <w:r w:rsidR="006B6D56" w:rsidRPr="00B60E0C">
        <w:rPr>
          <w:rFonts w:ascii="Times New Roman" w:hAnsi="Times New Roman" w:cs="Times New Roman"/>
          <w:sz w:val="24"/>
          <w:szCs w:val="24"/>
        </w:rPr>
        <w:t xml:space="preserve"> of 3.0 percent for electric </w:t>
      </w:r>
      <w:r w:rsidR="0037410E">
        <w:rPr>
          <w:rFonts w:ascii="Times New Roman" w:hAnsi="Times New Roman" w:cs="Times New Roman"/>
          <w:sz w:val="24"/>
          <w:szCs w:val="24"/>
        </w:rPr>
        <w:t>delivery costs</w:t>
      </w:r>
      <w:r w:rsidR="006B6D56" w:rsidRPr="00B60E0C">
        <w:rPr>
          <w:rFonts w:ascii="Times New Roman" w:hAnsi="Times New Roman" w:cs="Times New Roman"/>
          <w:sz w:val="24"/>
          <w:szCs w:val="24"/>
        </w:rPr>
        <w:t xml:space="preserve">, and 2.2 percent for natural gas </w:t>
      </w:r>
      <w:r w:rsidR="0037410E">
        <w:rPr>
          <w:rFonts w:ascii="Times New Roman" w:hAnsi="Times New Roman" w:cs="Times New Roman"/>
          <w:sz w:val="24"/>
          <w:szCs w:val="24"/>
        </w:rPr>
        <w:t>delivery costs</w:t>
      </w:r>
      <w:r w:rsidR="006B6D56" w:rsidRPr="00B60E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D9414" w14:textId="77777777" w:rsidR="00DD01BC" w:rsidRDefault="00DD01BC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78" w14:textId="7014D49E" w:rsidR="009A0770" w:rsidRPr="00B60E0C" w:rsidRDefault="003F1A49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 xml:space="preserve">The settlement agreement also holds PSE to </w:t>
      </w:r>
      <w:r w:rsidR="00AA55A4">
        <w:rPr>
          <w:rFonts w:ascii="Times New Roman" w:hAnsi="Times New Roman" w:cs="Times New Roman"/>
          <w:sz w:val="24"/>
          <w:szCs w:val="24"/>
        </w:rPr>
        <w:t>the following additional</w:t>
      </w:r>
      <w:r w:rsidR="002D3848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9A0770" w:rsidRPr="00B60E0C">
        <w:rPr>
          <w:rFonts w:ascii="Times New Roman" w:hAnsi="Times New Roman" w:cs="Times New Roman"/>
          <w:sz w:val="24"/>
          <w:szCs w:val="24"/>
        </w:rPr>
        <w:t>requirements</w:t>
      </w:r>
      <w:r w:rsidR="00C90F8D" w:rsidRPr="00B60E0C">
        <w:rPr>
          <w:rFonts w:ascii="Times New Roman" w:hAnsi="Times New Roman" w:cs="Times New Roman"/>
          <w:sz w:val="24"/>
          <w:szCs w:val="24"/>
        </w:rPr>
        <w:t>:</w:t>
      </w:r>
    </w:p>
    <w:p w14:paraId="74187079" w14:textId="77777777" w:rsidR="0026435F" w:rsidRPr="00B60E0C" w:rsidRDefault="0026435F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868EE" w14:textId="07D188A8" w:rsidR="00DD01BC" w:rsidRDefault="00DD01BC" w:rsidP="004E76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 xml:space="preserve">To protect customers from significant rate increases, the decoupling adjustments are limited </w:t>
      </w:r>
      <w:r w:rsidR="009B7F74" w:rsidRPr="00B60E0C">
        <w:rPr>
          <w:rFonts w:ascii="Times New Roman" w:hAnsi="Times New Roman" w:cs="Times New Roman"/>
          <w:sz w:val="24"/>
          <w:szCs w:val="24"/>
        </w:rPr>
        <w:t xml:space="preserve">to no more than </w:t>
      </w:r>
      <w:r w:rsidR="003F3B3C">
        <w:rPr>
          <w:rFonts w:ascii="Times New Roman" w:hAnsi="Times New Roman" w:cs="Times New Roman"/>
          <w:sz w:val="24"/>
          <w:szCs w:val="24"/>
        </w:rPr>
        <w:t>three</w:t>
      </w:r>
      <w:r w:rsidR="009B7F74" w:rsidRPr="00B60E0C">
        <w:rPr>
          <w:rFonts w:ascii="Times New Roman" w:hAnsi="Times New Roman" w:cs="Times New Roman"/>
          <w:sz w:val="24"/>
          <w:szCs w:val="24"/>
        </w:rPr>
        <w:t xml:space="preserve"> percent </w:t>
      </w:r>
      <w:r w:rsidR="009B7F74">
        <w:rPr>
          <w:rFonts w:ascii="Times New Roman" w:hAnsi="Times New Roman" w:cs="Times New Roman"/>
          <w:sz w:val="24"/>
          <w:szCs w:val="24"/>
        </w:rPr>
        <w:t>increase annually</w:t>
      </w:r>
      <w:r w:rsidR="009B7F74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Pr="00B60E0C">
        <w:rPr>
          <w:rFonts w:ascii="Times New Roman" w:hAnsi="Times New Roman" w:cs="Times New Roman"/>
          <w:sz w:val="24"/>
          <w:szCs w:val="24"/>
        </w:rPr>
        <w:t xml:space="preserve">for each </w:t>
      </w:r>
      <w:r>
        <w:rPr>
          <w:rFonts w:ascii="Times New Roman" w:hAnsi="Times New Roman" w:cs="Times New Roman"/>
          <w:sz w:val="24"/>
          <w:szCs w:val="24"/>
        </w:rPr>
        <w:t xml:space="preserve">customer </w:t>
      </w:r>
      <w:r w:rsidRPr="00B60E0C">
        <w:rPr>
          <w:rFonts w:ascii="Times New Roman" w:hAnsi="Times New Roman" w:cs="Times New Roman"/>
          <w:sz w:val="24"/>
          <w:szCs w:val="24"/>
        </w:rPr>
        <w:t>group</w:t>
      </w:r>
      <w:r w:rsidR="003F3B3C">
        <w:rPr>
          <w:rFonts w:ascii="Times New Roman" w:hAnsi="Times New Roman" w:cs="Times New Roman"/>
          <w:sz w:val="24"/>
          <w:szCs w:val="24"/>
        </w:rPr>
        <w:t xml:space="preserve"> three</w:t>
      </w:r>
      <w:r w:rsidR="009B7F74">
        <w:rPr>
          <w:rFonts w:ascii="Times New Roman" w:hAnsi="Times New Roman" w:cs="Times New Roman"/>
          <w:sz w:val="24"/>
          <w:szCs w:val="24"/>
        </w:rPr>
        <w:t xml:space="preserve"> percent soft cap)</w:t>
      </w:r>
      <w:r w:rsidRPr="00B60E0C">
        <w:rPr>
          <w:rFonts w:ascii="Times New Roman" w:hAnsi="Times New Roman" w:cs="Times New Roman"/>
          <w:sz w:val="24"/>
          <w:szCs w:val="24"/>
        </w:rPr>
        <w:t>.</w:t>
      </w:r>
      <w:r w:rsidRPr="00B60E0C">
        <w:rPr>
          <w:rStyle w:val="FootnoteReference"/>
          <w:rFonts w:ascii="Times New Roman" w:hAnsi="Times New Roman" w:cs="Times New Roman"/>
          <w:sz w:val="24"/>
        </w:rPr>
        <w:footnoteReference w:id="2"/>
      </w:r>
    </w:p>
    <w:p w14:paraId="225762C0" w14:textId="77777777" w:rsidR="009B7F74" w:rsidRPr="00B60E0C" w:rsidRDefault="009B7F74" w:rsidP="009B7F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Share with customers on an equal basis any earning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60E0C">
        <w:rPr>
          <w:rFonts w:ascii="Times New Roman" w:hAnsi="Times New Roman" w:cs="Times New Roman"/>
          <w:sz w:val="24"/>
          <w:szCs w:val="24"/>
        </w:rPr>
        <w:t xml:space="preserve"> that exceed its authorized rate of return 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60E0C">
        <w:rPr>
          <w:rFonts w:ascii="Times New Roman" w:hAnsi="Times New Roman" w:cs="Times New Roman"/>
          <w:sz w:val="24"/>
          <w:szCs w:val="24"/>
        </w:rPr>
        <w:t>arnings test).</w:t>
      </w:r>
      <w:r w:rsidRPr="00B60E0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74187080" w14:textId="77777777" w:rsidR="00673697" w:rsidRDefault="00673697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2BE59F" w14:textId="7B052A24" w:rsidR="00CD5ED1" w:rsidRDefault="00B62B61" w:rsidP="00CD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accordance of the 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 xml:space="preserve">decoupling order, PSE’s </w:t>
      </w:r>
      <w:r w:rsidR="00A85FE5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 xml:space="preserve">filing </w:t>
      </w:r>
      <w:r w:rsidR="00BE3446">
        <w:rPr>
          <w:rFonts w:ascii="Times New Roman" w:eastAsia="Times New Roman" w:hAnsi="Times New Roman" w:cs="Times New Roman"/>
          <w:sz w:val="24"/>
          <w:szCs w:val="24"/>
        </w:rPr>
        <w:t>contains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 adjustments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: (1) </w:t>
      </w:r>
      <w:r w:rsidR="00410448">
        <w:rPr>
          <w:rFonts w:ascii="Times New Roman" w:eastAsia="Times New Roman" w:hAnsi="Times New Roman" w:cs="Times New Roman"/>
          <w:sz w:val="24"/>
          <w:szCs w:val="24"/>
        </w:rPr>
        <w:t>Deferral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true-up of the 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difference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between allowed and actual decoupling revenue during calendar </w:t>
      </w:r>
      <w:r w:rsidR="00BE7346">
        <w:rPr>
          <w:rFonts w:ascii="Times New Roman" w:eastAsia="Times New Roman" w:hAnsi="Times New Roman" w:cs="Times New Roman"/>
          <w:sz w:val="24"/>
          <w:szCs w:val="24"/>
        </w:rPr>
        <w:t>year 2015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 and (2) the K-factor: the re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>ve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>n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>ue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increase allowance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for the upcoming rate year from </w:t>
      </w:r>
      <w:r w:rsidR="00BE7346">
        <w:rPr>
          <w:rFonts w:ascii="Times New Roman" w:eastAsia="Times New Roman" w:hAnsi="Times New Roman" w:cs="Times New Roman"/>
          <w:sz w:val="24"/>
          <w:szCs w:val="24"/>
        </w:rPr>
        <w:t>May 1, 2016</w:t>
      </w:r>
      <w:r w:rsidR="008829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7346">
        <w:rPr>
          <w:rFonts w:ascii="Times New Roman" w:eastAsia="Times New Roman" w:hAnsi="Times New Roman" w:cs="Times New Roman"/>
          <w:sz w:val="24"/>
          <w:szCs w:val="24"/>
        </w:rPr>
        <w:t xml:space="preserve"> through April 30, 2017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. New 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 xml:space="preserve">decoupling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rates are </w:t>
      </w:r>
      <w:r w:rsidR="00410448">
        <w:rPr>
          <w:rFonts w:ascii="Times New Roman" w:eastAsia="Times New Roman" w:hAnsi="Times New Roman" w:cs="Times New Roman"/>
          <w:sz w:val="24"/>
          <w:szCs w:val="24"/>
        </w:rPr>
        <w:t>the sum of the two components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0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6438D8" w14:textId="77777777" w:rsidR="00F6696E" w:rsidRDefault="00F6696E" w:rsidP="00CD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B6F99" w14:textId="77777777" w:rsidR="00410448" w:rsidRDefault="00410448" w:rsidP="00CD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87081" w14:textId="058AEC84" w:rsidR="00BB08F5" w:rsidRPr="00B60E0C" w:rsidRDefault="00BB08F5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5C2412FA" w14:textId="77777777" w:rsidR="00840F7A" w:rsidRPr="00B60E0C" w:rsidRDefault="00840F7A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FE4CE" w14:textId="4DF2DC7F" w:rsidR="00300268" w:rsidRDefault="00300268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Snowballing Deferral</w:t>
      </w:r>
      <w:r w:rsidR="003101F4">
        <w:rPr>
          <w:rFonts w:ascii="Times New Roman" w:hAnsi="Times New Roman" w:cs="Times New Roman"/>
          <w:b/>
          <w:i/>
          <w:sz w:val="24"/>
          <w:szCs w:val="24"/>
        </w:rPr>
        <w:t xml:space="preserve"> Balance</w:t>
      </w:r>
    </w:p>
    <w:p w14:paraId="55D96E8E" w14:textId="77777777" w:rsidR="00300268" w:rsidRDefault="00300268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730E83" w14:textId="1ABFE2FB" w:rsidR="00300268" w:rsidRDefault="00300268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its review of this filing, staff uncovered no serious infirmities with the operation of the decoupling mechanism. However, staff wishes to bring to the commission’s attention a snowballing balance </w:t>
      </w:r>
      <w:r w:rsidR="00D8627B">
        <w:rPr>
          <w:rFonts w:ascii="Times New Roman" w:hAnsi="Times New Roman" w:cs="Times New Roman"/>
          <w:sz w:val="24"/>
          <w:szCs w:val="24"/>
        </w:rPr>
        <w:t xml:space="preserve">in the natural gas deferral account. Although staff does not believe immediate remediation is warranted, it does believe the size of the deferral warrants discussion and possible </w:t>
      </w:r>
      <w:r w:rsidR="00D8627B" w:rsidRPr="005B129E">
        <w:rPr>
          <w:rFonts w:ascii="Times New Roman" w:hAnsi="Times New Roman" w:cs="Times New Roman"/>
          <w:sz w:val="24"/>
          <w:szCs w:val="24"/>
        </w:rPr>
        <w:t>consideration of</w:t>
      </w:r>
      <w:r w:rsidR="00D8627B">
        <w:rPr>
          <w:rFonts w:ascii="Times New Roman" w:hAnsi="Times New Roman" w:cs="Times New Roman"/>
          <w:sz w:val="24"/>
          <w:szCs w:val="24"/>
        </w:rPr>
        <w:t xml:space="preserve"> </w:t>
      </w:r>
      <w:r w:rsidR="005B129E">
        <w:rPr>
          <w:rFonts w:ascii="Times New Roman" w:hAnsi="Times New Roman" w:cs="Times New Roman"/>
          <w:sz w:val="24"/>
          <w:szCs w:val="24"/>
        </w:rPr>
        <w:t>the need for future adjustments to the decoupling mechanism.</w:t>
      </w:r>
    </w:p>
    <w:p w14:paraId="337F6E7E" w14:textId="1DA79645" w:rsidR="005B129E" w:rsidRDefault="005B129E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089D8" w14:textId="2F9E4E50" w:rsidR="00062CAF" w:rsidRDefault="00B52E8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8A4272">
        <w:rPr>
          <w:rFonts w:ascii="Times New Roman" w:hAnsi="Times New Roman" w:cs="Times New Roman"/>
          <w:sz w:val="24"/>
          <w:szCs w:val="24"/>
        </w:rPr>
        <w:t xml:space="preserve">the past two years, unusually warm weather has led to unusually low natural gas sales volumes. As a result, PSE has been unable </w:t>
      </w:r>
      <w:r w:rsidR="00A96E06">
        <w:rPr>
          <w:rFonts w:ascii="Times New Roman" w:hAnsi="Times New Roman" w:cs="Times New Roman"/>
          <w:sz w:val="24"/>
          <w:szCs w:val="24"/>
        </w:rPr>
        <w:t>to</w:t>
      </w:r>
      <w:r w:rsidR="001F5A09">
        <w:rPr>
          <w:rFonts w:ascii="Times New Roman" w:hAnsi="Times New Roman" w:cs="Times New Roman"/>
          <w:sz w:val="24"/>
          <w:szCs w:val="24"/>
        </w:rPr>
        <w:t xml:space="preserve"> fully</w:t>
      </w:r>
      <w:r w:rsidR="00A96E06">
        <w:rPr>
          <w:rFonts w:ascii="Times New Roman" w:hAnsi="Times New Roman" w:cs="Times New Roman"/>
          <w:sz w:val="24"/>
          <w:szCs w:val="24"/>
        </w:rPr>
        <w:t xml:space="preserve"> collect its “allowed revenue.” Although the decoupling mechanism is constructed so as to create a deferral for the uncollected allowed revenue, and that deferral is to be amortized and collected over t</w:t>
      </w:r>
      <w:r w:rsidR="00521BD3">
        <w:rPr>
          <w:rFonts w:ascii="Times New Roman" w:hAnsi="Times New Roman" w:cs="Times New Roman"/>
          <w:sz w:val="24"/>
          <w:szCs w:val="24"/>
        </w:rPr>
        <w:t xml:space="preserve">he following year, the deferrals over the past two years have </w:t>
      </w:r>
      <w:r w:rsidR="001F5A09">
        <w:rPr>
          <w:rFonts w:ascii="Times New Roman" w:hAnsi="Times New Roman" w:cs="Times New Roman"/>
          <w:sz w:val="24"/>
          <w:szCs w:val="24"/>
        </w:rPr>
        <w:t>exceeded</w:t>
      </w:r>
      <w:r w:rsidR="00141895">
        <w:rPr>
          <w:rFonts w:ascii="Times New Roman" w:hAnsi="Times New Roman" w:cs="Times New Roman"/>
          <w:sz w:val="24"/>
          <w:szCs w:val="24"/>
        </w:rPr>
        <w:t xml:space="preserve">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521BD3">
        <w:rPr>
          <w:rFonts w:ascii="Times New Roman" w:hAnsi="Times New Roman" w:cs="Times New Roman"/>
          <w:sz w:val="24"/>
          <w:szCs w:val="24"/>
        </w:rPr>
        <w:t xml:space="preserve"> soft cap. When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521BD3">
        <w:rPr>
          <w:rFonts w:ascii="Times New Roman" w:hAnsi="Times New Roman" w:cs="Times New Roman"/>
          <w:sz w:val="24"/>
          <w:szCs w:val="24"/>
        </w:rPr>
        <w:t xml:space="preserve"> soft cap is reached,</w:t>
      </w:r>
      <w:r w:rsidR="0006435D">
        <w:rPr>
          <w:rFonts w:ascii="Times New Roman" w:hAnsi="Times New Roman" w:cs="Times New Roman"/>
          <w:sz w:val="24"/>
          <w:szCs w:val="24"/>
        </w:rPr>
        <w:t xml:space="preserve"> the uncollected</w:t>
      </w:r>
      <w:r w:rsidR="001F5A09">
        <w:rPr>
          <w:rFonts w:ascii="Times New Roman" w:hAnsi="Times New Roman" w:cs="Times New Roman"/>
          <w:sz w:val="24"/>
          <w:szCs w:val="24"/>
        </w:rPr>
        <w:t xml:space="preserve"> </w:t>
      </w:r>
      <w:r w:rsidR="00B45619">
        <w:rPr>
          <w:rFonts w:ascii="Times New Roman" w:hAnsi="Times New Roman" w:cs="Times New Roman"/>
          <w:sz w:val="24"/>
          <w:szCs w:val="24"/>
        </w:rPr>
        <w:t xml:space="preserve">revenue </w:t>
      </w:r>
      <w:r w:rsidR="0006435D">
        <w:rPr>
          <w:rFonts w:ascii="Times New Roman" w:hAnsi="Times New Roman" w:cs="Times New Roman"/>
          <w:sz w:val="24"/>
          <w:szCs w:val="24"/>
        </w:rPr>
        <w:t xml:space="preserve">in excess of the three percent cap </w:t>
      </w:r>
      <w:r w:rsidR="001F5A09">
        <w:rPr>
          <w:rFonts w:ascii="Times New Roman" w:hAnsi="Times New Roman" w:cs="Times New Roman"/>
          <w:sz w:val="24"/>
          <w:szCs w:val="24"/>
        </w:rPr>
        <w:t>remains in the</w:t>
      </w:r>
      <w:r w:rsidR="00B45619">
        <w:rPr>
          <w:rFonts w:ascii="Times New Roman" w:hAnsi="Times New Roman" w:cs="Times New Roman"/>
          <w:sz w:val="24"/>
          <w:szCs w:val="24"/>
        </w:rPr>
        <w:t xml:space="preserve"> </w:t>
      </w:r>
      <w:r w:rsidR="001F5A09">
        <w:rPr>
          <w:rFonts w:ascii="Times New Roman" w:hAnsi="Times New Roman" w:cs="Times New Roman"/>
          <w:sz w:val="24"/>
          <w:szCs w:val="24"/>
        </w:rPr>
        <w:t xml:space="preserve">deferral account </w:t>
      </w:r>
      <w:r w:rsidR="0006435D">
        <w:rPr>
          <w:rFonts w:ascii="Times New Roman" w:hAnsi="Times New Roman" w:cs="Times New Roman"/>
          <w:sz w:val="24"/>
          <w:szCs w:val="24"/>
        </w:rPr>
        <w:t>and is not amortized over the next 12 months</w:t>
      </w:r>
      <w:r w:rsidR="00B45619">
        <w:rPr>
          <w:rFonts w:ascii="Times New Roman" w:hAnsi="Times New Roman" w:cs="Times New Roman"/>
          <w:sz w:val="24"/>
          <w:szCs w:val="24"/>
        </w:rPr>
        <w:t xml:space="preserve">. </w:t>
      </w:r>
      <w:r w:rsidR="0006435D">
        <w:rPr>
          <w:rFonts w:ascii="Times New Roman" w:hAnsi="Times New Roman" w:cs="Times New Roman"/>
          <w:sz w:val="24"/>
          <w:szCs w:val="24"/>
        </w:rPr>
        <w:t>When the three percent cap is no</w:t>
      </w:r>
      <w:r w:rsidR="00E36383">
        <w:rPr>
          <w:rFonts w:ascii="Times New Roman" w:hAnsi="Times New Roman" w:cs="Times New Roman"/>
          <w:sz w:val="24"/>
          <w:szCs w:val="24"/>
        </w:rPr>
        <w:t>t reached, the deferral account is fully cleared (i.e. the deferral balance is zero). When the three percent cap is reached, the deferral balance is is positive. The expectation is that these</w:t>
      </w:r>
      <w:r w:rsidR="00B45619">
        <w:rPr>
          <w:rFonts w:ascii="Times New Roman" w:hAnsi="Times New Roman" w:cs="Times New Roman"/>
          <w:sz w:val="24"/>
          <w:szCs w:val="24"/>
        </w:rPr>
        <w:t xml:space="preserve"> costs </w:t>
      </w:r>
      <w:r w:rsidR="00E36383">
        <w:rPr>
          <w:rFonts w:ascii="Times New Roman" w:hAnsi="Times New Roman" w:cs="Times New Roman"/>
          <w:sz w:val="24"/>
          <w:szCs w:val="24"/>
        </w:rPr>
        <w:t xml:space="preserve">will be amortized </w:t>
      </w:r>
      <w:r w:rsidR="00B45619">
        <w:rPr>
          <w:rFonts w:ascii="Times New Roman" w:hAnsi="Times New Roman" w:cs="Times New Roman"/>
          <w:sz w:val="24"/>
          <w:szCs w:val="24"/>
        </w:rPr>
        <w:t xml:space="preserve">at a later date when </w:t>
      </w:r>
      <w:r w:rsidR="00E36383">
        <w:rPr>
          <w:rFonts w:ascii="Times New Roman" w:hAnsi="Times New Roman" w:cs="Times New Roman"/>
          <w:sz w:val="24"/>
          <w:szCs w:val="24"/>
        </w:rPr>
        <w:t>sales volumes rebound</w:t>
      </w:r>
      <w:r w:rsidR="005975BD">
        <w:rPr>
          <w:rFonts w:ascii="Times New Roman" w:hAnsi="Times New Roman" w:cs="Times New Roman"/>
          <w:sz w:val="24"/>
          <w:szCs w:val="24"/>
        </w:rPr>
        <w:t xml:space="preserve">. </w:t>
      </w:r>
      <w:r w:rsidR="00E36383">
        <w:rPr>
          <w:rFonts w:ascii="Times New Roman" w:hAnsi="Times New Roman" w:cs="Times New Roman"/>
          <w:sz w:val="24"/>
          <w:szCs w:val="24"/>
        </w:rPr>
        <w:t>However, w</w:t>
      </w:r>
      <w:r w:rsidR="005975BD">
        <w:rPr>
          <w:rFonts w:ascii="Times New Roman" w:hAnsi="Times New Roman" w:cs="Times New Roman"/>
          <w:sz w:val="24"/>
          <w:szCs w:val="24"/>
        </w:rPr>
        <w:t xml:space="preserve">hen consecutive low-volume years are encountered, very large deferrals are generated and the uncollected revenue above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5975BD">
        <w:rPr>
          <w:rFonts w:ascii="Times New Roman" w:hAnsi="Times New Roman" w:cs="Times New Roman"/>
          <w:sz w:val="24"/>
          <w:szCs w:val="24"/>
        </w:rPr>
        <w:t xml:space="preserve"> soft cap begins </w:t>
      </w:r>
      <w:r w:rsidR="00062CAF">
        <w:rPr>
          <w:rFonts w:ascii="Times New Roman" w:hAnsi="Times New Roman" w:cs="Times New Roman"/>
          <w:sz w:val="24"/>
          <w:szCs w:val="24"/>
        </w:rPr>
        <w:t xml:space="preserve">to create compounding pressure on future years. </w:t>
      </w:r>
    </w:p>
    <w:p w14:paraId="11EB9ED3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74CF2" w14:textId="631D0CAB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case in point, take PSE’s deferral balance for residential customers over the past two years:</w:t>
      </w:r>
    </w:p>
    <w:p w14:paraId="2A8C7FED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47013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C85F6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BE7FE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E35BC" w14:textId="27889F77" w:rsidR="00411F5D" w:rsidRPr="001A7F76" w:rsidRDefault="00411F5D" w:rsidP="00411F5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1. Effect of Snowballing Unamortized Balances in the Natural Gas Deferral Account</w:t>
      </w:r>
    </w:p>
    <w:p w14:paraId="120FA28A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3AC8C" w14:textId="6499D1DC" w:rsidR="00F955E3" w:rsidRPr="00AD67EC" w:rsidRDefault="00F955E3" w:rsidP="00FF4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5750">
        <w:rPr>
          <w:rFonts w:ascii="Times New Roman" w:hAnsi="Times New Roman" w:cs="Times New Roman"/>
          <w:sz w:val="24"/>
          <w:szCs w:val="24"/>
        </w:rPr>
        <w:tab/>
      </w:r>
      <w:r w:rsidR="00365750" w:rsidRPr="00AD67EC">
        <w:rPr>
          <w:rFonts w:ascii="Times New Roman" w:hAnsi="Times New Roman" w:cs="Times New Roman"/>
          <w:b/>
          <w:sz w:val="24"/>
          <w:szCs w:val="24"/>
          <w:u w:val="single"/>
        </w:rPr>
        <w:t>Dec 201</w:t>
      </w:r>
      <w:r w:rsidR="00CB4DC7" w:rsidRPr="00AD67E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65750" w:rsidRPr="00AD67E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65750" w:rsidRPr="00AD67E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B4DC7" w:rsidRPr="00AD67EC">
        <w:rPr>
          <w:rFonts w:ascii="Times New Roman" w:hAnsi="Times New Roman" w:cs="Times New Roman"/>
          <w:b/>
          <w:sz w:val="24"/>
          <w:szCs w:val="24"/>
          <w:u w:val="single"/>
        </w:rPr>
        <w:t>Dec 2015</w:t>
      </w:r>
      <w:r w:rsidR="00431CA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413CA6E3" w14:textId="6737CCDB" w:rsidR="005B129E" w:rsidRDefault="00365750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Calendar year </w:t>
      </w:r>
      <w:r w:rsidR="00F955E3">
        <w:rPr>
          <w:rFonts w:ascii="Times New Roman" w:hAnsi="Times New Roman" w:cs="Times New Roman"/>
          <w:sz w:val="24"/>
          <w:szCs w:val="24"/>
        </w:rPr>
        <w:t>Balance</w:t>
      </w:r>
      <w:r w:rsidR="005975BD">
        <w:rPr>
          <w:rFonts w:ascii="Times New Roman" w:hAnsi="Times New Roman" w:cs="Times New Roman"/>
          <w:sz w:val="24"/>
          <w:szCs w:val="24"/>
        </w:rPr>
        <w:t xml:space="preserve"> </w:t>
      </w:r>
      <w:r w:rsidR="00062C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E93">
        <w:rPr>
          <w:rFonts w:ascii="Times New Roman" w:hAnsi="Times New Roman" w:cs="Times New Roman"/>
          <w:sz w:val="24"/>
          <w:szCs w:val="24"/>
        </w:rPr>
        <w:t>$23,504</w:t>
      </w:r>
      <w:r w:rsidR="001D25DB">
        <w:rPr>
          <w:rFonts w:ascii="Times New Roman" w:hAnsi="Times New Roman" w:cs="Times New Roman"/>
          <w:sz w:val="24"/>
          <w:szCs w:val="24"/>
        </w:rPr>
        <w:t>,</w:t>
      </w:r>
      <w:r w:rsidR="00071E93">
        <w:rPr>
          <w:rFonts w:ascii="Times New Roman" w:hAnsi="Times New Roman" w:cs="Times New Roman"/>
          <w:sz w:val="24"/>
          <w:szCs w:val="24"/>
        </w:rPr>
        <w:t>773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C7">
        <w:rPr>
          <w:rFonts w:ascii="Times New Roman" w:hAnsi="Times New Roman" w:cs="Times New Roman"/>
          <w:sz w:val="24"/>
          <w:szCs w:val="24"/>
        </w:rPr>
        <w:t>$45,798,495</w:t>
      </w:r>
      <w:r w:rsidR="00431CAD">
        <w:rPr>
          <w:rFonts w:ascii="Times New Roman" w:hAnsi="Times New Roman" w:cs="Times New Roman"/>
          <w:sz w:val="24"/>
          <w:szCs w:val="24"/>
        </w:rPr>
        <w:tab/>
      </w:r>
      <w:r w:rsidR="00431CA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E4B5256" w14:textId="76FE67C6" w:rsidR="00365750" w:rsidRDefault="00365750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EC">
        <w:rPr>
          <w:rFonts w:ascii="Times New Roman" w:hAnsi="Times New Roman" w:cs="Times New Roman"/>
          <w:sz w:val="24"/>
          <w:szCs w:val="24"/>
          <w:u w:val="single"/>
        </w:rPr>
        <w:t>Prior year unamortized balance</w:t>
      </w:r>
      <w:r w:rsidRPr="00AD67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81A">
        <w:rPr>
          <w:rFonts w:ascii="Times New Roman" w:hAnsi="Times New Roman" w:cs="Times New Roman"/>
          <w:sz w:val="24"/>
          <w:szCs w:val="24"/>
          <w:u w:val="single"/>
        </w:rPr>
        <w:t xml:space="preserve">       -</w:t>
      </w:r>
      <w:r w:rsidR="00B3481A" w:rsidRPr="00B3481A">
        <w:rPr>
          <w:rFonts w:ascii="Times New Roman" w:hAnsi="Times New Roman" w:cs="Times New Roman"/>
          <w:sz w:val="24"/>
          <w:szCs w:val="24"/>
          <w:u w:val="single"/>
        </w:rPr>
        <w:tab/>
      </w:r>
      <w:r w:rsidR="00B3481A" w:rsidRPr="00B3481A">
        <w:rPr>
          <w:rFonts w:ascii="Times New Roman" w:hAnsi="Times New Roman" w:cs="Times New Roman"/>
          <w:sz w:val="24"/>
          <w:szCs w:val="24"/>
          <w:u w:val="single"/>
        </w:rPr>
        <w:tab/>
      </w:r>
      <w:r w:rsidR="00B3481A" w:rsidRPr="00B3481A">
        <w:rPr>
          <w:rFonts w:ascii="Times New Roman" w:hAnsi="Times New Roman" w:cs="Times New Roman"/>
          <w:sz w:val="24"/>
          <w:szCs w:val="24"/>
          <w:u w:val="single"/>
        </w:rPr>
        <w:tab/>
      </w:r>
      <w:r w:rsidR="00B3481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3481A" w:rsidRPr="00B3481A">
        <w:rPr>
          <w:rFonts w:ascii="Times New Roman" w:hAnsi="Times New Roman" w:cs="Times New Roman"/>
          <w:sz w:val="24"/>
          <w:szCs w:val="24"/>
          <w:u w:val="single"/>
        </w:rPr>
        <w:t>5,791,772</w:t>
      </w:r>
      <w:r w:rsidR="00431CA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CD3C4A" w14:textId="014E4A86" w:rsidR="00B3481A" w:rsidRDefault="00B3481A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Balance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23,504,773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51,590,267</w:t>
      </w:r>
      <w:r w:rsidR="00FB7842">
        <w:rPr>
          <w:rFonts w:ascii="Times New Roman" w:hAnsi="Times New Roman" w:cs="Times New Roman"/>
          <w:sz w:val="24"/>
          <w:szCs w:val="24"/>
        </w:rPr>
        <w:tab/>
      </w:r>
      <w:r w:rsidR="00FB7842">
        <w:rPr>
          <w:rFonts w:ascii="Times New Roman" w:hAnsi="Times New Roman" w:cs="Times New Roman"/>
          <w:sz w:val="24"/>
          <w:szCs w:val="24"/>
        </w:rPr>
        <w:tab/>
      </w:r>
      <w:r w:rsidR="00AD67E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EC1144A" w14:textId="6A09494F" w:rsidR="00071E93" w:rsidRPr="00AD67EC" w:rsidRDefault="001D25DB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67EC">
        <w:rPr>
          <w:rFonts w:ascii="Times New Roman" w:hAnsi="Times New Roman" w:cs="Times New Roman"/>
          <w:sz w:val="24"/>
          <w:szCs w:val="24"/>
          <w:u w:val="single"/>
        </w:rPr>
        <w:t xml:space="preserve">Amortized </w:t>
      </w:r>
      <w:r w:rsidR="00A77FAA">
        <w:rPr>
          <w:rFonts w:ascii="Times New Roman" w:hAnsi="Times New Roman" w:cs="Times New Roman"/>
          <w:sz w:val="24"/>
          <w:szCs w:val="24"/>
          <w:u w:val="single"/>
        </w:rPr>
        <w:t>(under 3% cap)</w:t>
      </w:r>
      <w:r w:rsidRPr="00AD67E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750" w:rsidRPr="00AD67EC">
        <w:rPr>
          <w:rFonts w:ascii="Times New Roman" w:hAnsi="Times New Roman" w:cs="Times New Roman"/>
          <w:sz w:val="24"/>
          <w:szCs w:val="24"/>
          <w:u w:val="single"/>
        </w:rPr>
        <w:tab/>
        <w:t>(</w:t>
      </w:r>
      <w:r w:rsidRPr="00AD67EC">
        <w:rPr>
          <w:rFonts w:ascii="Times New Roman" w:hAnsi="Times New Roman" w:cs="Times New Roman"/>
          <w:sz w:val="24"/>
          <w:szCs w:val="24"/>
          <w:u w:val="single"/>
        </w:rPr>
        <w:t>17,713,002</w:t>
      </w:r>
      <w:r w:rsidR="00365750" w:rsidRPr="00AD67E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2390C" w:rsidRPr="00AD67EC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90C" w:rsidRPr="00AD67EC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FB7842" w:rsidRPr="00AD67E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2390C" w:rsidRPr="00AD67EC">
        <w:rPr>
          <w:rFonts w:ascii="Times New Roman" w:hAnsi="Times New Roman" w:cs="Times New Roman"/>
          <w:sz w:val="24"/>
          <w:szCs w:val="24"/>
          <w:u w:val="single"/>
        </w:rPr>
        <w:t>24,039,360</w:t>
      </w:r>
      <w:r w:rsidR="00FB7842" w:rsidRPr="00AD67E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31CA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0071AA" w14:textId="54E2E882" w:rsidR="00300268" w:rsidRPr="00AD67EC" w:rsidRDefault="0042390C" w:rsidP="00FF4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7EC">
        <w:rPr>
          <w:rFonts w:ascii="Times New Roman" w:hAnsi="Times New Roman" w:cs="Times New Roman"/>
          <w:b/>
          <w:sz w:val="24"/>
          <w:szCs w:val="24"/>
        </w:rPr>
        <w:t>Unamortized (over 3% cap)</w:t>
      </w:r>
      <w:r w:rsidR="001D25DB" w:rsidRPr="00AD67EC">
        <w:rPr>
          <w:rFonts w:ascii="Times New Roman" w:hAnsi="Times New Roman" w:cs="Times New Roman"/>
          <w:b/>
          <w:sz w:val="24"/>
          <w:szCs w:val="24"/>
        </w:rPr>
        <w:tab/>
      </w:r>
      <w:r w:rsidR="00365750" w:rsidRPr="00AD67EC">
        <w:rPr>
          <w:rFonts w:ascii="Times New Roman" w:hAnsi="Times New Roman" w:cs="Times New Roman"/>
          <w:b/>
          <w:sz w:val="24"/>
          <w:szCs w:val="24"/>
        </w:rPr>
        <w:tab/>
      </w:r>
      <w:r w:rsidR="00F955E3" w:rsidRPr="00AD67EC">
        <w:rPr>
          <w:rFonts w:ascii="Times New Roman" w:hAnsi="Times New Roman" w:cs="Times New Roman"/>
          <w:b/>
          <w:sz w:val="24"/>
          <w:szCs w:val="24"/>
        </w:rPr>
        <w:t>5,791,772</w:t>
      </w:r>
      <w:r w:rsidR="00FB7842" w:rsidRPr="00AD67EC">
        <w:rPr>
          <w:rFonts w:ascii="Times New Roman" w:hAnsi="Times New Roman" w:cs="Times New Roman"/>
          <w:b/>
          <w:sz w:val="24"/>
          <w:szCs w:val="24"/>
        </w:rPr>
        <w:tab/>
      </w:r>
      <w:r w:rsidR="00FB7842" w:rsidRPr="00AD67EC">
        <w:rPr>
          <w:rFonts w:ascii="Times New Roman" w:hAnsi="Times New Roman" w:cs="Times New Roman"/>
          <w:b/>
          <w:sz w:val="24"/>
          <w:szCs w:val="24"/>
        </w:rPr>
        <w:tab/>
        <w:t xml:space="preserve"> 27,550,907</w:t>
      </w:r>
      <w:r w:rsidR="00431CAD">
        <w:rPr>
          <w:rFonts w:ascii="Times New Roman" w:hAnsi="Times New Roman" w:cs="Times New Roman"/>
          <w:b/>
          <w:sz w:val="24"/>
          <w:szCs w:val="24"/>
        </w:rPr>
        <w:tab/>
      </w:r>
      <w:r w:rsidR="00431CA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14:paraId="5A153177" w14:textId="77777777" w:rsidR="00300268" w:rsidRDefault="00300268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4614308" w14:textId="18890B71" w:rsidR="0042390C" w:rsidRDefault="00411F5D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 demonst</w:t>
      </w:r>
      <w:r w:rsidR="00587E74">
        <w:rPr>
          <w:rFonts w:ascii="Times New Roman" w:hAnsi="Times New Roman" w:cs="Times New Roman"/>
          <w:sz w:val="24"/>
          <w:szCs w:val="24"/>
        </w:rPr>
        <w:t xml:space="preserve">rates that unrecovered revenues above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587E74">
        <w:rPr>
          <w:rFonts w:ascii="Times New Roman" w:hAnsi="Times New Roman" w:cs="Times New Roman"/>
          <w:sz w:val="24"/>
          <w:szCs w:val="24"/>
        </w:rPr>
        <w:t xml:space="preserve"> soft cap can lead to compounding balances in the deferral account. The effect is that in each successive year it becomes</w:t>
      </w:r>
      <w:r w:rsidR="00454F7D">
        <w:rPr>
          <w:rFonts w:ascii="Times New Roman" w:hAnsi="Times New Roman" w:cs="Times New Roman"/>
          <w:sz w:val="24"/>
          <w:szCs w:val="24"/>
        </w:rPr>
        <w:t xml:space="preserve"> more and more difficult to clear the deferral balance. The $27,550,907 balance shown above at December 2016 is the balance carried over from 2015 (i.e. that could not be collected through amortization due to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454F7D">
        <w:rPr>
          <w:rFonts w:ascii="Times New Roman" w:hAnsi="Times New Roman" w:cs="Times New Roman"/>
          <w:sz w:val="24"/>
          <w:szCs w:val="24"/>
        </w:rPr>
        <w:t xml:space="preserve"> cap). That $27,550,907</w:t>
      </w:r>
      <w:r w:rsidR="004E036F">
        <w:rPr>
          <w:rFonts w:ascii="Times New Roman" w:hAnsi="Times New Roman" w:cs="Times New Roman"/>
          <w:sz w:val="24"/>
          <w:szCs w:val="24"/>
        </w:rPr>
        <w:t xml:space="preserve"> represents the unrecovered balance even before 2016 bega</w:t>
      </w:r>
      <w:r w:rsidR="00C82951">
        <w:rPr>
          <w:rFonts w:ascii="Times New Roman" w:hAnsi="Times New Roman" w:cs="Times New Roman"/>
          <w:sz w:val="24"/>
          <w:szCs w:val="24"/>
        </w:rPr>
        <w:t>n.</w:t>
      </w:r>
      <w:r w:rsidR="00A77FAA">
        <w:rPr>
          <w:rFonts w:ascii="Times New Roman" w:hAnsi="Times New Roman" w:cs="Times New Roman"/>
          <w:sz w:val="24"/>
          <w:szCs w:val="24"/>
        </w:rPr>
        <w:t xml:space="preserve"> Interest continues to accrue on this balance. </w:t>
      </w:r>
    </w:p>
    <w:p w14:paraId="5C71015B" w14:textId="77777777" w:rsidR="00C82951" w:rsidRDefault="00C82951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A58E5" w14:textId="68CBB321" w:rsidR="00411F5D" w:rsidRDefault="00C82951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important to note that this is the effect of successive warm heating seasons. It is also important to note that “normal” temperatures are unlikely to prevail over short time horizons</w:t>
      </w:r>
      <w:r w:rsidR="00164674">
        <w:rPr>
          <w:rFonts w:ascii="Times New Roman" w:hAnsi="Times New Roman" w:cs="Times New Roman"/>
          <w:sz w:val="24"/>
          <w:szCs w:val="24"/>
        </w:rPr>
        <w:t xml:space="preserve">. Imbalance should be expected unless we </w:t>
      </w:r>
      <w:r w:rsidR="00CB1054">
        <w:rPr>
          <w:rFonts w:ascii="Times New Roman" w:hAnsi="Times New Roman" w:cs="Times New Roman"/>
          <w:sz w:val="24"/>
          <w:szCs w:val="24"/>
        </w:rPr>
        <w:t xml:space="preserve">can become comfortable </w:t>
      </w:r>
      <w:r w:rsidR="00164674">
        <w:rPr>
          <w:rFonts w:ascii="Times New Roman" w:hAnsi="Times New Roman" w:cs="Times New Roman"/>
          <w:sz w:val="24"/>
          <w:szCs w:val="24"/>
        </w:rPr>
        <w:t>allow</w:t>
      </w:r>
      <w:r w:rsidR="00CB1054">
        <w:rPr>
          <w:rFonts w:ascii="Times New Roman" w:hAnsi="Times New Roman" w:cs="Times New Roman"/>
          <w:sz w:val="24"/>
          <w:szCs w:val="24"/>
        </w:rPr>
        <w:t>ing</w:t>
      </w:r>
      <w:r w:rsidR="00164674">
        <w:rPr>
          <w:rFonts w:ascii="Times New Roman" w:hAnsi="Times New Roman" w:cs="Times New Roman"/>
          <w:sz w:val="24"/>
          <w:szCs w:val="24"/>
        </w:rPr>
        <w:t xml:space="preserve"> deferral mechanisms to persist over long enough ti</w:t>
      </w:r>
      <w:r w:rsidR="00CB1054">
        <w:rPr>
          <w:rFonts w:ascii="Times New Roman" w:hAnsi="Times New Roman" w:cs="Times New Roman"/>
          <w:sz w:val="24"/>
          <w:szCs w:val="24"/>
        </w:rPr>
        <w:t xml:space="preserve">me horizons that they have an opportunity to correct themselves. </w:t>
      </w:r>
    </w:p>
    <w:p w14:paraId="13126BBF" w14:textId="77777777" w:rsidR="00411F5D" w:rsidRPr="00411F5D" w:rsidRDefault="00411F5D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79099" w14:textId="77777777" w:rsidR="00300268" w:rsidRDefault="00300268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4187084" w14:textId="77777777" w:rsidR="00FF4FB5" w:rsidRPr="00D34BE5" w:rsidRDefault="00FF4FB5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4BE5">
        <w:rPr>
          <w:rFonts w:ascii="Times New Roman" w:hAnsi="Times New Roman" w:cs="Times New Roman"/>
          <w:b/>
          <w:i/>
          <w:sz w:val="24"/>
          <w:szCs w:val="24"/>
        </w:rPr>
        <w:t>Electric Rates</w:t>
      </w:r>
    </w:p>
    <w:p w14:paraId="36481F0B" w14:textId="77777777" w:rsidR="00D34BE5" w:rsidRDefault="00D34BE5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4187085" w14:textId="77777777" w:rsidR="00D328A5" w:rsidRPr="00B60E0C" w:rsidRDefault="00822B5D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sz w:val="24"/>
          <w:szCs w:val="24"/>
          <w:u w:val="single"/>
        </w:rPr>
        <w:t>Deferral</w:t>
      </w:r>
    </w:p>
    <w:p w14:paraId="0E78ECAD" w14:textId="77777777" w:rsidR="00D34BE5" w:rsidRDefault="00D34BE5" w:rsidP="00FB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B866E" w14:textId="610E1B4C" w:rsidR="003D75AC" w:rsidRPr="002149BA" w:rsidRDefault="00FB7B35" w:rsidP="00FB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 xml:space="preserve">For residential customers, the </w:t>
      </w:r>
      <w:r w:rsidR="00F62C06" w:rsidRPr="00B60E0C">
        <w:rPr>
          <w:rFonts w:ascii="Times New Roman" w:hAnsi="Times New Roman" w:cs="Times New Roman"/>
          <w:sz w:val="24"/>
          <w:szCs w:val="24"/>
        </w:rPr>
        <w:t xml:space="preserve">bill payments </w:t>
      </w:r>
      <w:r w:rsidR="008C7ACD" w:rsidRPr="00B60E0C">
        <w:rPr>
          <w:rFonts w:ascii="Times New Roman" w:hAnsi="Times New Roman" w:cs="Times New Roman"/>
          <w:sz w:val="24"/>
          <w:szCs w:val="24"/>
        </w:rPr>
        <w:t xml:space="preserve">in the last rate year </w:t>
      </w:r>
      <w:r w:rsidRPr="00B60E0C">
        <w:rPr>
          <w:rFonts w:ascii="Times New Roman" w:hAnsi="Times New Roman" w:cs="Times New Roman"/>
          <w:sz w:val="24"/>
          <w:szCs w:val="24"/>
        </w:rPr>
        <w:t>collected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 $</w:t>
      </w:r>
      <w:r w:rsidR="002149BA">
        <w:rPr>
          <w:rFonts w:ascii="Times New Roman" w:hAnsi="Times New Roman" w:cs="Times New Roman"/>
          <w:sz w:val="24"/>
          <w:szCs w:val="24"/>
        </w:rPr>
        <w:t>16.5</w:t>
      </w:r>
      <w:r w:rsidR="007F79ED">
        <w:rPr>
          <w:rFonts w:ascii="Times New Roman" w:hAnsi="Times New Roman" w:cs="Times New Roman"/>
          <w:sz w:val="24"/>
          <w:szCs w:val="24"/>
        </w:rPr>
        <w:t xml:space="preserve"> </w:t>
      </w:r>
      <w:r w:rsidR="007F79ED" w:rsidRPr="00300268">
        <w:rPr>
          <w:rFonts w:ascii="Times New Roman" w:hAnsi="Times New Roman" w:cs="Times New Roman"/>
          <w:sz w:val="24"/>
          <w:szCs w:val="24"/>
        </w:rPr>
        <w:t>million</w:t>
      </w:r>
      <w:r w:rsidR="00927127" w:rsidRPr="00300268">
        <w:rPr>
          <w:rFonts w:ascii="Times New Roman" w:hAnsi="Times New Roman" w:cs="Times New Roman"/>
          <w:sz w:val="24"/>
          <w:szCs w:val="24"/>
        </w:rPr>
        <w:t xml:space="preserve"> </w:t>
      </w:r>
      <w:r w:rsidR="008C7ACD" w:rsidRPr="00300268">
        <w:rPr>
          <w:rFonts w:ascii="Times New Roman" w:hAnsi="Times New Roman" w:cs="Times New Roman"/>
          <w:sz w:val="24"/>
          <w:szCs w:val="24"/>
        </w:rPr>
        <w:t>less</w:t>
      </w:r>
      <w:r w:rsidR="00927127" w:rsidRPr="00300268">
        <w:rPr>
          <w:rFonts w:ascii="Times New Roman" w:hAnsi="Times New Roman" w:cs="Times New Roman"/>
          <w:sz w:val="24"/>
          <w:szCs w:val="24"/>
        </w:rPr>
        <w:t xml:space="preserve"> than the allowed level of revenue</w:t>
      </w:r>
      <w:r w:rsidR="008C7ACD" w:rsidRPr="00B60E0C">
        <w:rPr>
          <w:rFonts w:ascii="Times New Roman" w:hAnsi="Times New Roman" w:cs="Times New Roman"/>
          <w:sz w:val="24"/>
          <w:szCs w:val="24"/>
        </w:rPr>
        <w:t>,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 which</w:t>
      </w:r>
      <w:r w:rsidRPr="00B60E0C">
        <w:rPr>
          <w:rFonts w:ascii="Times New Roman" w:hAnsi="Times New Roman" w:cs="Times New Roman"/>
          <w:sz w:val="24"/>
          <w:szCs w:val="24"/>
        </w:rPr>
        <w:t xml:space="preserve"> will 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be </w:t>
      </w:r>
      <w:r w:rsidR="007A0E43" w:rsidRPr="00B60E0C">
        <w:rPr>
          <w:rFonts w:ascii="Times New Roman" w:hAnsi="Times New Roman" w:cs="Times New Roman"/>
          <w:sz w:val="24"/>
          <w:szCs w:val="24"/>
        </w:rPr>
        <w:t>asse</w:t>
      </w:r>
      <w:r w:rsidR="006167B8">
        <w:rPr>
          <w:rFonts w:ascii="Times New Roman" w:hAnsi="Times New Roman" w:cs="Times New Roman"/>
          <w:sz w:val="24"/>
          <w:szCs w:val="24"/>
        </w:rPr>
        <w:t xml:space="preserve">ssed as a customer surcharge </w:t>
      </w:r>
      <w:r w:rsidR="007A0E43" w:rsidRPr="00B60E0C">
        <w:rPr>
          <w:rFonts w:ascii="Times New Roman" w:hAnsi="Times New Roman" w:cs="Times New Roman"/>
          <w:sz w:val="24"/>
          <w:szCs w:val="24"/>
        </w:rPr>
        <w:t>in the upcoming rate year</w:t>
      </w:r>
      <w:r w:rsidRPr="00B60E0C">
        <w:rPr>
          <w:rFonts w:ascii="Times New Roman" w:hAnsi="Times New Roman" w:cs="Times New Roman"/>
          <w:sz w:val="24"/>
          <w:szCs w:val="24"/>
        </w:rPr>
        <w:t xml:space="preserve">. </w:t>
      </w:r>
      <w:r w:rsidR="00D36B0A" w:rsidRPr="00B60E0C">
        <w:rPr>
          <w:rFonts w:ascii="Times New Roman" w:hAnsi="Times New Roman" w:cs="Times New Roman"/>
          <w:sz w:val="24"/>
          <w:szCs w:val="24"/>
        </w:rPr>
        <w:t>Similarly, n</w:t>
      </w:r>
      <w:r w:rsidRPr="00B60E0C">
        <w:rPr>
          <w:rFonts w:ascii="Times New Roman" w:hAnsi="Times New Roman" w:cs="Times New Roman"/>
          <w:sz w:val="24"/>
          <w:szCs w:val="24"/>
        </w:rPr>
        <w:t xml:space="preserve">on-residential </w:t>
      </w:r>
      <w:r w:rsidR="007F79ED">
        <w:rPr>
          <w:rFonts w:ascii="Times New Roman" w:hAnsi="Times New Roman" w:cs="Times New Roman"/>
          <w:sz w:val="24"/>
          <w:szCs w:val="24"/>
        </w:rPr>
        <w:t xml:space="preserve">and industrial customers </w:t>
      </w:r>
      <w:r w:rsidR="008C7ACD" w:rsidRPr="00B60E0C">
        <w:rPr>
          <w:rFonts w:ascii="Times New Roman" w:hAnsi="Times New Roman" w:cs="Times New Roman"/>
          <w:sz w:val="24"/>
          <w:szCs w:val="24"/>
        </w:rPr>
        <w:t>underpaid</w:t>
      </w:r>
      <w:r w:rsidRPr="00B60E0C">
        <w:rPr>
          <w:rFonts w:ascii="Times New Roman" w:hAnsi="Times New Roman" w:cs="Times New Roman"/>
          <w:sz w:val="24"/>
          <w:szCs w:val="24"/>
        </w:rPr>
        <w:t>,</w:t>
      </w:r>
      <w:r w:rsidR="007F79ED">
        <w:rPr>
          <w:rFonts w:ascii="Times New Roman" w:hAnsi="Times New Roman" w:cs="Times New Roman"/>
          <w:sz w:val="24"/>
          <w:szCs w:val="24"/>
        </w:rPr>
        <w:t xml:space="preserve"> as well</w:t>
      </w:r>
      <w:r w:rsidRPr="00B60E0C">
        <w:rPr>
          <w:rFonts w:ascii="Times New Roman" w:hAnsi="Times New Roman" w:cs="Times New Roman"/>
          <w:sz w:val="24"/>
          <w:szCs w:val="24"/>
        </w:rPr>
        <w:t>.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927127" w:rsidRPr="00B60E0C">
        <w:rPr>
          <w:rFonts w:ascii="Times New Roman" w:hAnsi="Times New Roman" w:cs="Times New Roman"/>
          <w:sz w:val="24"/>
          <w:szCs w:val="24"/>
        </w:rPr>
        <w:t>T</w:t>
      </w:r>
      <w:r w:rsidR="002149BA">
        <w:rPr>
          <w:rFonts w:ascii="Times New Roman" w:eastAsia="Times New Roman" w:hAnsi="Times New Roman" w:cs="Times New Roman"/>
          <w:sz w:val="24"/>
          <w:szCs w:val="24"/>
        </w:rPr>
        <w:t>he primary driver</w:t>
      </w:r>
      <w:r w:rsidR="00927127" w:rsidRPr="00B60E0C">
        <w:rPr>
          <w:rFonts w:ascii="Times New Roman" w:eastAsia="Times New Roman" w:hAnsi="Times New Roman" w:cs="Times New Roman"/>
          <w:sz w:val="24"/>
          <w:szCs w:val="24"/>
        </w:rPr>
        <w:t xml:space="preserve"> behind the </w:t>
      </w:r>
      <w:r w:rsidR="008C7ACD" w:rsidRPr="00B60E0C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7F79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7127" w:rsidRPr="00B60E0C">
        <w:rPr>
          <w:rFonts w:ascii="Times New Roman" w:eastAsia="Times New Roman" w:hAnsi="Times New Roman" w:cs="Times New Roman"/>
          <w:sz w:val="24"/>
          <w:szCs w:val="24"/>
        </w:rPr>
        <w:t>collections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 were </w:t>
      </w:r>
      <w:r w:rsidR="008C7ACD" w:rsidRPr="00B60E0C">
        <w:rPr>
          <w:rFonts w:ascii="Times New Roman" w:eastAsia="Times New Roman" w:hAnsi="Times New Roman" w:cs="Times New Roman"/>
          <w:sz w:val="24"/>
          <w:szCs w:val="24"/>
        </w:rPr>
        <w:t>warmer</w:t>
      </w:r>
      <w:r w:rsidR="00CD5EC1" w:rsidRPr="00B60E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7127" w:rsidRPr="00B60E0C">
        <w:rPr>
          <w:rFonts w:ascii="Times New Roman" w:eastAsia="Times New Roman" w:hAnsi="Times New Roman" w:cs="Times New Roman"/>
          <w:sz w:val="24"/>
          <w:szCs w:val="24"/>
        </w:rPr>
        <w:t xml:space="preserve">than-normal temperatures </w:t>
      </w:r>
      <w:r w:rsidR="007159C8">
        <w:rPr>
          <w:rFonts w:ascii="Times New Roman" w:eastAsia="Times New Roman" w:hAnsi="Times New Roman" w:cs="Times New Roman"/>
          <w:sz w:val="24"/>
          <w:szCs w:val="24"/>
        </w:rPr>
        <w:t>during the early part of 2015</w:t>
      </w:r>
      <w:r w:rsidR="00214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7ACD" w:rsidRPr="00B60E0C">
        <w:rPr>
          <w:rFonts w:ascii="Times New Roman" w:hAnsi="Times New Roman" w:cs="Times New Roman"/>
          <w:sz w:val="24"/>
          <w:szCs w:val="24"/>
        </w:rPr>
        <w:t>The total deferral balance</w:t>
      </w:r>
      <w:r w:rsidR="00DF6D1E">
        <w:rPr>
          <w:rFonts w:ascii="Times New Roman" w:hAnsi="Times New Roman" w:cs="Times New Roman"/>
          <w:sz w:val="24"/>
          <w:szCs w:val="24"/>
        </w:rPr>
        <w:t xml:space="preserve"> of all schedules</w:t>
      </w:r>
      <w:r w:rsidR="008C7ACD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F43FA9">
        <w:rPr>
          <w:rFonts w:ascii="Times New Roman" w:hAnsi="Times New Roman" w:cs="Times New Roman"/>
          <w:sz w:val="24"/>
          <w:szCs w:val="24"/>
        </w:rPr>
        <w:t>as of year end 2015</w:t>
      </w:r>
      <w:r w:rsidR="00DF7334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8C7ACD" w:rsidRPr="00B60E0C">
        <w:rPr>
          <w:rFonts w:ascii="Times New Roman" w:hAnsi="Times New Roman" w:cs="Times New Roman"/>
          <w:sz w:val="24"/>
          <w:szCs w:val="24"/>
        </w:rPr>
        <w:t xml:space="preserve">is </w:t>
      </w:r>
      <w:r w:rsidR="00F43FA9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C7ACD" w:rsidRPr="00F43FA9">
        <w:rPr>
          <w:rFonts w:ascii="Times New Roman" w:hAnsi="Times New Roman" w:cs="Times New Roman"/>
          <w:sz w:val="24"/>
          <w:szCs w:val="24"/>
        </w:rPr>
        <w:t>$</w:t>
      </w:r>
      <w:r w:rsidR="00F43FA9">
        <w:rPr>
          <w:rFonts w:ascii="Times New Roman" w:hAnsi="Times New Roman" w:cs="Times New Roman"/>
          <w:sz w:val="24"/>
          <w:szCs w:val="24"/>
        </w:rPr>
        <w:t>2</w:t>
      </w:r>
      <w:r w:rsidR="00A377D0" w:rsidRPr="00F43FA9">
        <w:rPr>
          <w:rFonts w:ascii="Times New Roman" w:hAnsi="Times New Roman" w:cs="Times New Roman"/>
          <w:sz w:val="24"/>
          <w:szCs w:val="24"/>
        </w:rPr>
        <w:t>7</w:t>
      </w:r>
      <w:r w:rsidR="00E04042">
        <w:rPr>
          <w:rFonts w:ascii="Times New Roman" w:hAnsi="Times New Roman" w:cs="Times New Roman"/>
          <w:sz w:val="24"/>
          <w:szCs w:val="24"/>
        </w:rPr>
        <w:t xml:space="preserve"> million</w:t>
      </w:r>
      <w:r w:rsidR="008C7ACD" w:rsidRPr="00B60E0C">
        <w:rPr>
          <w:rFonts w:ascii="Times New Roman" w:hAnsi="Times New Roman" w:cs="Times New Roman"/>
          <w:sz w:val="24"/>
          <w:szCs w:val="24"/>
        </w:rPr>
        <w:t>.</w:t>
      </w:r>
      <w:r w:rsidR="00870766" w:rsidRPr="00870766">
        <w:rPr>
          <w:rFonts w:ascii="Times New Roman" w:hAnsi="Times New Roman" w:cs="Times New Roman"/>
          <w:sz w:val="24"/>
          <w:szCs w:val="24"/>
        </w:rPr>
        <w:t xml:space="preserve"> </w:t>
      </w:r>
      <w:r w:rsidR="00B0127F">
        <w:rPr>
          <w:rFonts w:ascii="Times New Roman" w:hAnsi="Times New Roman" w:cs="Times New Roman"/>
          <w:sz w:val="24"/>
          <w:szCs w:val="24"/>
        </w:rPr>
        <w:t>Table</w:t>
      </w:r>
      <w:r w:rsidR="00411F5D">
        <w:rPr>
          <w:rFonts w:ascii="Times New Roman" w:hAnsi="Times New Roman" w:cs="Times New Roman"/>
          <w:sz w:val="24"/>
          <w:szCs w:val="24"/>
        </w:rPr>
        <w:t xml:space="preserve"> 2</w:t>
      </w:r>
      <w:r w:rsidR="00870766">
        <w:rPr>
          <w:rFonts w:ascii="Times New Roman" w:hAnsi="Times New Roman" w:cs="Times New Roman"/>
          <w:sz w:val="24"/>
          <w:szCs w:val="24"/>
        </w:rPr>
        <w:t xml:space="preserve"> shows the detailed components of deferral balances for each customer group. </w:t>
      </w:r>
    </w:p>
    <w:p w14:paraId="5B877F79" w14:textId="77777777" w:rsidR="006B0431" w:rsidRDefault="006B0431" w:rsidP="00FB7B35">
      <w:pPr>
        <w:spacing w:after="0" w:line="240" w:lineRule="auto"/>
        <w:rPr>
          <w:rFonts w:ascii="Times New Roman" w:hAnsi="Times New Roman" w:cs="Times New Roman"/>
        </w:rPr>
      </w:pPr>
    </w:p>
    <w:p w14:paraId="24CE8A0A" w14:textId="5423CE16" w:rsidR="00B0127F" w:rsidRPr="001A7F76" w:rsidRDefault="00411F5D" w:rsidP="00B012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2</w:t>
      </w:r>
      <w:r w:rsidR="00B0127F">
        <w:rPr>
          <w:rFonts w:ascii="Times New Roman" w:hAnsi="Times New Roman" w:cs="Times New Roman"/>
          <w:b/>
          <w:sz w:val="24"/>
          <w:szCs w:val="24"/>
        </w:rPr>
        <w:t>. Decoupling Defer</w:t>
      </w:r>
      <w:r w:rsidR="002149BA">
        <w:rPr>
          <w:rFonts w:ascii="Times New Roman" w:hAnsi="Times New Roman" w:cs="Times New Roman"/>
          <w:b/>
          <w:sz w:val="24"/>
          <w:szCs w:val="24"/>
        </w:rPr>
        <w:t>ral Balances As of Year End 2015</w:t>
      </w:r>
      <w:r w:rsidR="00B0127F">
        <w:rPr>
          <w:rFonts w:ascii="Times New Roman" w:hAnsi="Times New Roman" w:cs="Times New Roman"/>
          <w:b/>
          <w:sz w:val="24"/>
          <w:szCs w:val="24"/>
        </w:rPr>
        <w:t xml:space="preserve"> (Electric)</w:t>
      </w:r>
    </w:p>
    <w:p w14:paraId="229254BC" w14:textId="77777777" w:rsidR="00B0127F" w:rsidRPr="001A7F76" w:rsidRDefault="00B0127F" w:rsidP="007C0117">
      <w:pPr>
        <w:tabs>
          <w:tab w:val="decimal" w:pos="873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530"/>
        <w:gridCol w:w="1440"/>
        <w:gridCol w:w="1530"/>
        <w:gridCol w:w="1350"/>
        <w:gridCol w:w="1440"/>
      </w:tblGrid>
      <w:tr w:rsidR="0029787A" w:rsidRPr="00C03735" w14:paraId="24CD6E0C" w14:textId="56D9F2D1" w:rsidTr="005E2D98">
        <w:tc>
          <w:tcPr>
            <w:tcW w:w="1705" w:type="dxa"/>
            <w:vAlign w:val="bottom"/>
          </w:tcPr>
          <w:p w14:paraId="62C9857D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6812FA67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Residential</w:t>
            </w:r>
          </w:p>
        </w:tc>
        <w:tc>
          <w:tcPr>
            <w:tcW w:w="1440" w:type="dxa"/>
            <w:vAlign w:val="bottom"/>
          </w:tcPr>
          <w:p w14:paraId="3B1D3422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Non-Residential</w:t>
            </w:r>
          </w:p>
        </w:tc>
        <w:tc>
          <w:tcPr>
            <w:tcW w:w="1530" w:type="dxa"/>
            <w:vAlign w:val="bottom"/>
          </w:tcPr>
          <w:p w14:paraId="6A65D9B6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Schedules</w:t>
            </w:r>
          </w:p>
          <w:p w14:paraId="605E0165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12 &amp; 26</w:t>
            </w:r>
          </w:p>
        </w:tc>
        <w:tc>
          <w:tcPr>
            <w:tcW w:w="1350" w:type="dxa"/>
            <w:vAlign w:val="bottom"/>
          </w:tcPr>
          <w:p w14:paraId="11685736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Schedules</w:t>
            </w:r>
          </w:p>
          <w:p w14:paraId="6AE66C16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10 &amp; 31</w:t>
            </w:r>
          </w:p>
        </w:tc>
        <w:tc>
          <w:tcPr>
            <w:tcW w:w="1440" w:type="dxa"/>
            <w:vAlign w:val="bottom"/>
          </w:tcPr>
          <w:p w14:paraId="024527C0" w14:textId="7070C72C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9787A" w:rsidRPr="00C03735" w14:paraId="28A32571" w14:textId="3212B2D7" w:rsidTr="005E2D98">
        <w:trPr>
          <w:trHeight w:val="341"/>
        </w:trPr>
        <w:tc>
          <w:tcPr>
            <w:tcW w:w="1705" w:type="dxa"/>
            <w:vAlign w:val="bottom"/>
          </w:tcPr>
          <w:p w14:paraId="7803851E" w14:textId="46F9344F" w:rsidR="0029787A" w:rsidRPr="00C03735" w:rsidRDefault="007159C8" w:rsidP="0029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9787A" w:rsidRPr="00C03735">
              <w:rPr>
                <w:rFonts w:ascii="Times New Roman" w:hAnsi="Times New Roman" w:cs="Times New Roman"/>
                <w:sz w:val="24"/>
                <w:szCs w:val="24"/>
              </w:rPr>
              <w:t xml:space="preserve"> Deferral</w:t>
            </w:r>
          </w:p>
        </w:tc>
        <w:tc>
          <w:tcPr>
            <w:tcW w:w="1530" w:type="dxa"/>
            <w:vAlign w:val="bottom"/>
          </w:tcPr>
          <w:p w14:paraId="3A16CA08" w14:textId="736EA90F" w:rsidR="0029787A" w:rsidRPr="00C03735" w:rsidRDefault="002149BA" w:rsidP="005E2D98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($159,177</w:t>
            </w:r>
            <w:r w:rsidR="0029787A" w:rsidRPr="00C03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bottom"/>
          </w:tcPr>
          <w:p w14:paraId="175171BF" w14:textId="1BE4F658" w:rsidR="0029787A" w:rsidRPr="00C03735" w:rsidRDefault="007159C8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$38,863</w:t>
            </w:r>
          </w:p>
        </w:tc>
        <w:tc>
          <w:tcPr>
            <w:tcW w:w="1530" w:type="dxa"/>
            <w:vAlign w:val="bottom"/>
          </w:tcPr>
          <w:p w14:paraId="2A8561E3" w14:textId="75475588" w:rsidR="0029787A" w:rsidRPr="00C03735" w:rsidRDefault="00F81470" w:rsidP="007C0117">
            <w:pPr>
              <w:tabs>
                <w:tab w:val="decimal" w:pos="1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$78,800</w:t>
            </w:r>
          </w:p>
        </w:tc>
        <w:tc>
          <w:tcPr>
            <w:tcW w:w="1350" w:type="dxa"/>
            <w:vAlign w:val="bottom"/>
          </w:tcPr>
          <w:p w14:paraId="5A090F77" w14:textId="0D6C8EA4" w:rsidR="0029787A" w:rsidRPr="00C03735" w:rsidRDefault="00890633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$1,126</w:t>
            </w:r>
          </w:p>
        </w:tc>
        <w:tc>
          <w:tcPr>
            <w:tcW w:w="1440" w:type="dxa"/>
            <w:vAlign w:val="bottom"/>
          </w:tcPr>
          <w:p w14:paraId="12639D87" w14:textId="7EE229A8" w:rsidR="0029787A" w:rsidRPr="00C03735" w:rsidRDefault="00890633" w:rsidP="007C0117">
            <w:pPr>
              <w:tabs>
                <w:tab w:val="decimal" w:pos="1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($40,388</w:t>
            </w:r>
            <w:r w:rsidR="00E04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87A" w:rsidRPr="00C03735" w14:paraId="5D6FC2F4" w14:textId="129F1019" w:rsidTr="005E2D98">
        <w:trPr>
          <w:trHeight w:val="350"/>
        </w:trPr>
        <w:tc>
          <w:tcPr>
            <w:tcW w:w="1705" w:type="dxa"/>
            <w:vAlign w:val="bottom"/>
          </w:tcPr>
          <w:p w14:paraId="15E03865" w14:textId="1D9ACB91" w:rsidR="0029787A" w:rsidRPr="00C03735" w:rsidRDefault="007159C8" w:rsidP="0029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9787A" w:rsidRPr="00C03735">
              <w:rPr>
                <w:rFonts w:ascii="Times New Roman" w:hAnsi="Times New Roman" w:cs="Times New Roman"/>
                <w:sz w:val="24"/>
                <w:szCs w:val="24"/>
              </w:rPr>
              <w:t xml:space="preserve"> Deferral</w:t>
            </w:r>
          </w:p>
        </w:tc>
        <w:tc>
          <w:tcPr>
            <w:tcW w:w="1530" w:type="dxa"/>
            <w:vAlign w:val="bottom"/>
          </w:tcPr>
          <w:p w14:paraId="55E03416" w14:textId="2C0EDCBA" w:rsidR="0029787A" w:rsidRPr="00C03735" w:rsidRDefault="00AE09D4" w:rsidP="005E2D98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16,466,832</w:t>
            </w:r>
          </w:p>
        </w:tc>
        <w:tc>
          <w:tcPr>
            <w:tcW w:w="1440" w:type="dxa"/>
            <w:vAlign w:val="bottom"/>
          </w:tcPr>
          <w:p w14:paraId="153B0F14" w14:textId="13D57D73" w:rsidR="0029787A" w:rsidRPr="00C03735" w:rsidRDefault="00F81470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6,602,021</w:t>
            </w:r>
          </w:p>
        </w:tc>
        <w:tc>
          <w:tcPr>
            <w:tcW w:w="1530" w:type="dxa"/>
            <w:vAlign w:val="bottom"/>
          </w:tcPr>
          <w:p w14:paraId="15BE3900" w14:textId="14B67929" w:rsidR="0029787A" w:rsidRPr="00C03735" w:rsidRDefault="00F81470" w:rsidP="007C0117">
            <w:pPr>
              <w:tabs>
                <w:tab w:val="decimal" w:pos="1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636,868</w:t>
            </w:r>
          </w:p>
        </w:tc>
        <w:tc>
          <w:tcPr>
            <w:tcW w:w="1350" w:type="dxa"/>
            <w:vAlign w:val="bottom"/>
          </w:tcPr>
          <w:p w14:paraId="3D9D7A76" w14:textId="76FF9DDB" w:rsidR="0029787A" w:rsidRPr="00C03735" w:rsidRDefault="00890633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1,883,997</w:t>
            </w:r>
          </w:p>
        </w:tc>
        <w:tc>
          <w:tcPr>
            <w:tcW w:w="1440" w:type="dxa"/>
            <w:vAlign w:val="bottom"/>
          </w:tcPr>
          <w:p w14:paraId="7B395091" w14:textId="53A9E066" w:rsidR="0029787A" w:rsidRPr="00C03735" w:rsidRDefault="00890633" w:rsidP="007C0117">
            <w:pPr>
              <w:tabs>
                <w:tab w:val="decimal" w:pos="1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25,589,717</w:t>
            </w:r>
          </w:p>
        </w:tc>
      </w:tr>
      <w:tr w:rsidR="0029787A" w:rsidRPr="00C03735" w14:paraId="0F0FECDA" w14:textId="60D4C16F" w:rsidTr="005E2D98">
        <w:trPr>
          <w:trHeight w:val="269"/>
        </w:trPr>
        <w:tc>
          <w:tcPr>
            <w:tcW w:w="1705" w:type="dxa"/>
            <w:tcBorders>
              <w:bottom w:val="single" w:sz="12" w:space="0" w:color="auto"/>
            </w:tcBorders>
            <w:vAlign w:val="bottom"/>
          </w:tcPr>
          <w:p w14:paraId="2396EC6D" w14:textId="77777777" w:rsidR="0029787A" w:rsidRPr="00C03735" w:rsidRDefault="0029787A" w:rsidP="0029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14:paraId="6FF8C6A5" w14:textId="38FE789C" w:rsidR="0029787A" w:rsidRPr="00C03735" w:rsidRDefault="00AE09D4" w:rsidP="005E2D98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784,698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35E998DC" w14:textId="5B583044" w:rsidR="0029787A" w:rsidRPr="00C03735" w:rsidRDefault="00F81470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327,466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14:paraId="5D99FF92" w14:textId="019D04A8" w:rsidR="0029787A" w:rsidRPr="00C03735" w:rsidRDefault="00F81470" w:rsidP="007C0117">
            <w:pPr>
              <w:tabs>
                <w:tab w:val="decimal" w:pos="1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34,184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14:paraId="77EE6119" w14:textId="11113559" w:rsidR="0029787A" w:rsidRPr="00C03735" w:rsidRDefault="00890633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80,218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5D0DBBC7" w14:textId="5E876217" w:rsidR="0029787A" w:rsidRPr="00C03735" w:rsidRDefault="00890633" w:rsidP="007C0117">
            <w:pPr>
              <w:tabs>
                <w:tab w:val="decimal" w:pos="1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1,226,566</w:t>
            </w:r>
          </w:p>
        </w:tc>
      </w:tr>
      <w:tr w:rsidR="0029787A" w:rsidRPr="00C03735" w14:paraId="1CFE9E77" w14:textId="72E9B62E" w:rsidTr="005E2D98">
        <w:trPr>
          <w:trHeight w:val="312"/>
        </w:trPr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0FE28E8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1743195" w14:textId="528B4FCE" w:rsidR="0029787A" w:rsidRPr="00C03735" w:rsidRDefault="00AE09D4" w:rsidP="005E2D98">
            <w:pPr>
              <w:tabs>
                <w:tab w:val="decimal" w:pos="10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$17,092</w:t>
            </w:r>
            <w:r w:rsidR="00F814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19F1126" w14:textId="00E68F5A" w:rsidR="0029787A" w:rsidRPr="00C03735" w:rsidRDefault="00F81470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$6,968,349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E61A77D" w14:textId="45221C98" w:rsidR="0029787A" w:rsidRPr="00C03735" w:rsidRDefault="00F81470" w:rsidP="007C0117">
            <w:pPr>
              <w:tabs>
                <w:tab w:val="decimal" w:pos="11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$749,853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363213A" w14:textId="026C9934" w:rsidR="0029787A" w:rsidRPr="00C03735" w:rsidRDefault="0029787A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$1,869,576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AFEEA57" w14:textId="2431263F" w:rsidR="0029787A" w:rsidRPr="00C03735" w:rsidRDefault="00F43FA9" w:rsidP="007C0117">
            <w:pPr>
              <w:tabs>
                <w:tab w:val="decimal" w:pos="1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$26,775,895</w:t>
            </w:r>
          </w:p>
        </w:tc>
      </w:tr>
    </w:tbl>
    <w:p w14:paraId="4AA14CBA" w14:textId="77777777" w:rsidR="00B0127F" w:rsidRPr="00B60E0C" w:rsidRDefault="00B0127F" w:rsidP="00FB7B35">
      <w:pPr>
        <w:spacing w:after="0" w:line="240" w:lineRule="auto"/>
        <w:rPr>
          <w:rFonts w:ascii="Times New Roman" w:hAnsi="Times New Roman" w:cs="Times New Roman"/>
        </w:rPr>
      </w:pPr>
    </w:p>
    <w:p w14:paraId="74187088" w14:textId="77777777" w:rsidR="00822B5D" w:rsidRPr="00B60E0C" w:rsidRDefault="00822B5D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sz w:val="24"/>
          <w:szCs w:val="24"/>
          <w:u w:val="single"/>
        </w:rPr>
        <w:t>K-factor</w:t>
      </w:r>
    </w:p>
    <w:p w14:paraId="501C6431" w14:textId="77777777" w:rsidR="00D34BE5" w:rsidRDefault="00D34BE5" w:rsidP="00BB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89" w14:textId="01DDC189" w:rsidR="00BB4950" w:rsidRPr="00B60E0C" w:rsidRDefault="00401787" w:rsidP="00BB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PSE’s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 allowed </w:t>
      </w:r>
      <w:r w:rsidR="007F79ED">
        <w:rPr>
          <w:rFonts w:ascii="Times New Roman" w:hAnsi="Times New Roman" w:cs="Times New Roman"/>
          <w:sz w:val="24"/>
          <w:szCs w:val="24"/>
        </w:rPr>
        <w:t xml:space="preserve">electric 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delivery </w:t>
      </w:r>
      <w:r w:rsidR="00BE3446">
        <w:rPr>
          <w:rFonts w:ascii="Times New Roman" w:hAnsi="Times New Roman" w:cs="Times New Roman"/>
          <w:sz w:val="24"/>
          <w:szCs w:val="24"/>
        </w:rPr>
        <w:t>revenue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per customer increases each year by 3.0 percent. </w:t>
      </w:r>
      <w:r w:rsidR="00405EF8" w:rsidRPr="00B60E0C">
        <w:rPr>
          <w:rFonts w:ascii="Times New Roman" w:hAnsi="Times New Roman" w:cs="Times New Roman"/>
          <w:sz w:val="24"/>
          <w:szCs w:val="24"/>
        </w:rPr>
        <w:t xml:space="preserve">The </w:t>
      </w:r>
      <w:r w:rsidR="00EF7356">
        <w:rPr>
          <w:rFonts w:ascii="Times New Roman" w:hAnsi="Times New Roman" w:cs="Times New Roman"/>
          <w:sz w:val="24"/>
          <w:szCs w:val="24"/>
        </w:rPr>
        <w:t xml:space="preserve">k-factor increases PSE’s </w:t>
      </w:r>
      <w:r w:rsidR="00405EF8" w:rsidRPr="00B60E0C">
        <w:rPr>
          <w:rFonts w:ascii="Times New Roman" w:hAnsi="Times New Roman" w:cs="Times New Roman"/>
          <w:sz w:val="24"/>
          <w:szCs w:val="24"/>
        </w:rPr>
        <w:t>forecasted allowed volumetric delivery revenue</w:t>
      </w:r>
      <w:r w:rsidR="000C461C">
        <w:rPr>
          <w:rFonts w:ascii="Times New Roman" w:hAnsi="Times New Roman" w:cs="Times New Roman"/>
          <w:sz w:val="24"/>
          <w:szCs w:val="24"/>
        </w:rPr>
        <w:t xml:space="preserve"> for the 2016</w:t>
      </w:r>
      <w:r w:rsidR="00FD17F1">
        <w:rPr>
          <w:rFonts w:ascii="Times New Roman" w:hAnsi="Times New Roman" w:cs="Times New Roman"/>
          <w:sz w:val="24"/>
          <w:szCs w:val="24"/>
        </w:rPr>
        <w:t xml:space="preserve"> rate year by</w:t>
      </w:r>
      <w:r w:rsidR="00056326">
        <w:rPr>
          <w:rFonts w:ascii="Times New Roman" w:hAnsi="Times New Roman" w:cs="Times New Roman"/>
          <w:sz w:val="24"/>
          <w:szCs w:val="24"/>
        </w:rPr>
        <w:t xml:space="preserve"> approximately </w:t>
      </w:r>
      <w:r w:rsidR="00127D35">
        <w:rPr>
          <w:rFonts w:ascii="Times New Roman" w:hAnsi="Times New Roman" w:cs="Times New Roman"/>
          <w:sz w:val="24"/>
          <w:szCs w:val="24"/>
        </w:rPr>
        <w:t>$18.7 million</w:t>
      </w:r>
      <w:r w:rsidR="00367FFB">
        <w:rPr>
          <w:rFonts w:ascii="Times New Roman" w:hAnsi="Times New Roman" w:cs="Times New Roman"/>
          <w:sz w:val="24"/>
          <w:szCs w:val="24"/>
        </w:rPr>
        <w:t xml:space="preserve">, of which the increase for residential customer is </w:t>
      </w:r>
      <w:r w:rsidR="00127D35">
        <w:rPr>
          <w:rFonts w:ascii="Times New Roman" w:hAnsi="Times New Roman" w:cs="Times New Roman"/>
          <w:sz w:val="24"/>
          <w:szCs w:val="24"/>
        </w:rPr>
        <w:t xml:space="preserve">approximately $12.5 million. </w:t>
      </w:r>
    </w:p>
    <w:p w14:paraId="7418708A" w14:textId="77777777" w:rsidR="00822B5D" w:rsidRDefault="00822B5D" w:rsidP="00175C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EF3798" w14:textId="118FE58F" w:rsidR="00F6696E" w:rsidRPr="00B255A7" w:rsidRDefault="00FD17F1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Earnings S</w:t>
      </w:r>
      <w:r w:rsidR="00F6696E" w:rsidRPr="00B255A7">
        <w:rPr>
          <w:rFonts w:ascii="Times New Roman" w:hAnsi="Times New Roman" w:cs="Times New Roman"/>
          <w:sz w:val="24"/>
          <w:szCs w:val="24"/>
          <w:u w:val="single"/>
        </w:rPr>
        <w:t>haring</w:t>
      </w:r>
    </w:p>
    <w:p w14:paraId="20F3F469" w14:textId="77777777" w:rsidR="00F6696E" w:rsidRPr="00B255A7" w:rsidRDefault="00F6696E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D190E5" w14:textId="7CFEB5F3" w:rsidR="00F6696E" w:rsidRPr="00B255A7" w:rsidRDefault="00F6696E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55A7">
        <w:rPr>
          <w:rFonts w:ascii="Times New Roman" w:hAnsi="Times New Roman" w:cs="Times New Roman"/>
          <w:sz w:val="24"/>
          <w:szCs w:val="24"/>
        </w:rPr>
        <w:t>The Earnings Test resulted in a normalized rate of return that exceeded the authorized rate of return. Accordingly, this filing incorpo</w:t>
      </w:r>
      <w:r w:rsidR="00127D35">
        <w:rPr>
          <w:rFonts w:ascii="Times New Roman" w:hAnsi="Times New Roman" w:cs="Times New Roman"/>
          <w:sz w:val="24"/>
          <w:szCs w:val="24"/>
        </w:rPr>
        <w:t>rates a reduction of $11.9 million</w:t>
      </w:r>
      <w:r w:rsidRPr="00B255A7">
        <w:rPr>
          <w:rFonts w:ascii="Times New Roman" w:hAnsi="Times New Roman" w:cs="Times New Roman"/>
          <w:sz w:val="24"/>
          <w:szCs w:val="24"/>
        </w:rPr>
        <w:t xml:space="preserve"> tha</w:t>
      </w:r>
      <w:r w:rsidR="00B255A7" w:rsidRPr="00B255A7">
        <w:rPr>
          <w:rFonts w:ascii="Times New Roman" w:hAnsi="Times New Roman" w:cs="Times New Roman"/>
          <w:sz w:val="24"/>
          <w:szCs w:val="24"/>
        </w:rPr>
        <w:t>t will be returned to customers, representing 50 percent of the normalized, over-collected revenue</w:t>
      </w:r>
      <w:r w:rsidR="00B255A7">
        <w:rPr>
          <w:rFonts w:ascii="Times New Roman" w:hAnsi="Times New Roman" w:cs="Times New Roman"/>
          <w:sz w:val="24"/>
          <w:szCs w:val="24"/>
        </w:rPr>
        <w:t xml:space="preserve"> in 2015</w:t>
      </w:r>
      <w:r w:rsidR="00B255A7" w:rsidRPr="00B255A7">
        <w:rPr>
          <w:rFonts w:ascii="Times New Roman" w:hAnsi="Times New Roman" w:cs="Times New Roman"/>
          <w:sz w:val="24"/>
          <w:szCs w:val="24"/>
        </w:rPr>
        <w:t xml:space="preserve">. </w:t>
      </w:r>
      <w:r w:rsidR="00127D35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EF7356">
        <w:rPr>
          <w:rFonts w:ascii="Times New Roman" w:hAnsi="Times New Roman" w:cs="Times New Roman"/>
          <w:sz w:val="24"/>
          <w:szCs w:val="24"/>
        </w:rPr>
        <w:t>$7.2 million will be returned to residential customers.</w:t>
      </w:r>
    </w:p>
    <w:p w14:paraId="4034A93F" w14:textId="77777777" w:rsidR="00F6696E" w:rsidRDefault="00F6696E" w:rsidP="00175C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0E300" w14:textId="77777777" w:rsidR="00CB1054" w:rsidRPr="00B60E0C" w:rsidRDefault="00CB1054" w:rsidP="00CB10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054">
        <w:rPr>
          <w:rFonts w:ascii="Times New Roman" w:hAnsi="Times New Roman" w:cs="Times New Roman"/>
          <w:sz w:val="24"/>
          <w:szCs w:val="24"/>
          <w:u w:val="single"/>
        </w:rPr>
        <w:t>Total Revenue Impact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Summary</w:t>
      </w:r>
    </w:p>
    <w:p w14:paraId="6810BF8F" w14:textId="77777777" w:rsidR="00D34BE5" w:rsidRDefault="00D34BE5" w:rsidP="00B01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8D" w14:textId="34C1389B" w:rsidR="009423C3" w:rsidRPr="00CB1054" w:rsidRDefault="00CB1054" w:rsidP="00CB10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B1054">
        <w:rPr>
          <w:rFonts w:ascii="Times New Roman" w:hAnsi="Times New Roman" w:cs="Times New Roman"/>
          <w:sz w:val="24"/>
          <w:szCs w:val="24"/>
          <w:u w:val="single"/>
        </w:rPr>
        <w:t>Revenue Impact</w:t>
      </w:r>
    </w:p>
    <w:p w14:paraId="7418708E" w14:textId="512E2295" w:rsidR="009423C3" w:rsidRPr="00B60E0C" w:rsidRDefault="009423C3" w:rsidP="009F3D45">
      <w:pPr>
        <w:tabs>
          <w:tab w:val="left" w:pos="2520"/>
        </w:tabs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K-factor:</w:t>
      </w:r>
      <w:r w:rsidR="003564AB" w:rsidRPr="00B60E0C">
        <w:rPr>
          <w:rFonts w:ascii="Times New Roman" w:hAnsi="Times New Roman" w:cs="Times New Roman"/>
          <w:sz w:val="24"/>
          <w:szCs w:val="24"/>
        </w:rPr>
        <w:tab/>
      </w:r>
      <w:r w:rsidR="00FD17F1">
        <w:rPr>
          <w:rFonts w:ascii="Times New Roman" w:hAnsi="Times New Roman" w:cs="Times New Roman"/>
          <w:sz w:val="24"/>
          <w:szCs w:val="24"/>
        </w:rPr>
        <w:tab/>
      </w:r>
      <w:r w:rsidR="00FD17F1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>$</w:t>
      </w:r>
      <w:r w:rsidR="009F3D45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FD17F1">
        <w:rPr>
          <w:rFonts w:ascii="Times New Roman" w:hAnsi="Times New Roman" w:cs="Times New Roman"/>
          <w:sz w:val="24"/>
          <w:szCs w:val="24"/>
        </w:rPr>
        <w:t>18,659,493</w:t>
      </w:r>
    </w:p>
    <w:p w14:paraId="7418708F" w14:textId="5BFF6F7C" w:rsidR="009423C3" w:rsidRPr="00FD17F1" w:rsidRDefault="009423C3" w:rsidP="003564AB">
      <w:pPr>
        <w:tabs>
          <w:tab w:val="left" w:pos="1440"/>
          <w:tab w:val="left" w:pos="25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F1">
        <w:rPr>
          <w:rFonts w:ascii="Times New Roman" w:hAnsi="Times New Roman" w:cs="Times New Roman"/>
          <w:sz w:val="24"/>
          <w:szCs w:val="24"/>
        </w:rPr>
        <w:t>+</w:t>
      </w:r>
      <w:r w:rsidRPr="00FD17F1">
        <w:rPr>
          <w:rFonts w:ascii="Times New Roman" w:hAnsi="Times New Roman" w:cs="Times New Roman"/>
          <w:sz w:val="24"/>
          <w:szCs w:val="24"/>
        </w:rPr>
        <w:tab/>
        <w:t>Deferral:</w:t>
      </w:r>
      <w:r w:rsidR="003564AB" w:rsidRPr="00FD17F1">
        <w:rPr>
          <w:rFonts w:ascii="Times New Roman" w:hAnsi="Times New Roman" w:cs="Times New Roman"/>
          <w:sz w:val="24"/>
          <w:szCs w:val="24"/>
        </w:rPr>
        <w:tab/>
      </w:r>
      <w:r w:rsidR="00FD17F1">
        <w:rPr>
          <w:rFonts w:ascii="Times New Roman" w:hAnsi="Times New Roman" w:cs="Times New Roman"/>
          <w:sz w:val="24"/>
          <w:szCs w:val="24"/>
        </w:rPr>
        <w:tab/>
      </w:r>
      <w:r w:rsidR="00FD17F1">
        <w:rPr>
          <w:rFonts w:ascii="Times New Roman" w:hAnsi="Times New Roman" w:cs="Times New Roman"/>
          <w:sz w:val="24"/>
          <w:szCs w:val="24"/>
        </w:rPr>
        <w:tab/>
      </w:r>
      <w:r w:rsidRPr="00FD17F1">
        <w:rPr>
          <w:rFonts w:ascii="Times New Roman" w:hAnsi="Times New Roman" w:cs="Times New Roman"/>
          <w:sz w:val="24"/>
          <w:szCs w:val="24"/>
        </w:rPr>
        <w:t>$</w:t>
      </w:r>
      <w:r w:rsidR="00FD17F1" w:rsidRPr="00FD17F1">
        <w:rPr>
          <w:rFonts w:ascii="Times New Roman" w:hAnsi="Times New Roman" w:cs="Times New Roman"/>
          <w:sz w:val="24"/>
          <w:szCs w:val="24"/>
        </w:rPr>
        <w:t xml:space="preserve"> 26,775,895</w:t>
      </w:r>
    </w:p>
    <w:p w14:paraId="522EAD63" w14:textId="586D4DC5" w:rsidR="00FD17F1" w:rsidRPr="00B60E0C" w:rsidRDefault="00FD17F1" w:rsidP="003564AB">
      <w:pPr>
        <w:tabs>
          <w:tab w:val="left" w:pos="1440"/>
          <w:tab w:val="left" w:pos="25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Shared Earnings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 w:rsidR="001C7E91">
        <w:rPr>
          <w:rFonts w:ascii="Times New Roman" w:hAnsi="Times New Roman" w:cs="Times New Roman"/>
          <w:sz w:val="24"/>
          <w:szCs w:val="24"/>
          <w:u w:val="single"/>
        </w:rPr>
        <w:t xml:space="preserve"> 11,927,123</w:t>
      </w:r>
    </w:p>
    <w:p w14:paraId="74187090" w14:textId="0AC11F2E" w:rsidR="009423C3" w:rsidRPr="00B60E0C" w:rsidRDefault="001679B1" w:rsidP="003564AB">
      <w:pPr>
        <w:tabs>
          <w:tab w:val="left" w:pos="1440"/>
          <w:tab w:val="left" w:pos="25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=</w:t>
      </w:r>
      <w:r w:rsidR="009423C3" w:rsidRPr="00B60E0C">
        <w:rPr>
          <w:rFonts w:ascii="Times New Roman" w:hAnsi="Times New Roman" w:cs="Times New Roman"/>
          <w:sz w:val="24"/>
          <w:szCs w:val="24"/>
        </w:rPr>
        <w:tab/>
        <w:t>Total:</w:t>
      </w:r>
      <w:r w:rsidR="003564AB" w:rsidRPr="00B60E0C">
        <w:rPr>
          <w:rFonts w:ascii="Times New Roman" w:hAnsi="Times New Roman" w:cs="Times New Roman"/>
          <w:sz w:val="24"/>
          <w:szCs w:val="24"/>
        </w:rPr>
        <w:tab/>
      </w:r>
      <w:r w:rsidR="001C7E91">
        <w:rPr>
          <w:rFonts w:ascii="Times New Roman" w:hAnsi="Times New Roman" w:cs="Times New Roman"/>
          <w:sz w:val="24"/>
          <w:szCs w:val="24"/>
        </w:rPr>
        <w:tab/>
      </w:r>
      <w:r w:rsidR="001C7E91">
        <w:rPr>
          <w:rFonts w:ascii="Times New Roman" w:hAnsi="Times New Roman" w:cs="Times New Roman"/>
          <w:sz w:val="24"/>
          <w:szCs w:val="24"/>
        </w:rPr>
        <w:tab/>
      </w:r>
      <w:r w:rsidR="009423C3" w:rsidRPr="00B60E0C">
        <w:rPr>
          <w:rFonts w:ascii="Times New Roman" w:hAnsi="Times New Roman" w:cs="Times New Roman"/>
          <w:sz w:val="24"/>
          <w:szCs w:val="24"/>
        </w:rPr>
        <w:t>$</w:t>
      </w:r>
      <w:r w:rsidR="009F3D45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4802CF">
        <w:rPr>
          <w:rFonts w:ascii="Times New Roman" w:hAnsi="Times New Roman" w:cs="Times New Roman"/>
          <w:sz w:val="24"/>
          <w:szCs w:val="24"/>
        </w:rPr>
        <w:t>33,508,265</w:t>
      </w:r>
    </w:p>
    <w:p w14:paraId="402E6ACB" w14:textId="77777777" w:rsidR="00911161" w:rsidRDefault="00911161" w:rsidP="00FB7B3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5E0990" w14:textId="77777777" w:rsidR="005D3000" w:rsidRDefault="005D3000" w:rsidP="00175C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41870D4" w14:textId="77777777" w:rsidR="00822B5D" w:rsidRPr="00D34BE5" w:rsidRDefault="00822B5D" w:rsidP="00175C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4BE5">
        <w:rPr>
          <w:rFonts w:ascii="Times New Roman" w:hAnsi="Times New Roman" w:cs="Times New Roman"/>
          <w:b/>
          <w:i/>
          <w:sz w:val="24"/>
          <w:szCs w:val="24"/>
        </w:rPr>
        <w:t>Natural Gas</w:t>
      </w:r>
    </w:p>
    <w:p w14:paraId="2F67A595" w14:textId="77777777" w:rsidR="00D34BE5" w:rsidRDefault="00D34BE5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41870D5" w14:textId="77777777" w:rsidR="00822B5D" w:rsidRPr="00B60E0C" w:rsidRDefault="00822B5D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sz w:val="24"/>
          <w:szCs w:val="24"/>
          <w:u w:val="single"/>
        </w:rPr>
        <w:t>Deferral</w:t>
      </w:r>
    </w:p>
    <w:p w14:paraId="77F0F8E0" w14:textId="77777777" w:rsidR="00D34BE5" w:rsidRDefault="00D34BE5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A39F9" w14:textId="046DEE54" w:rsidR="006B0431" w:rsidRPr="00875A36" w:rsidRDefault="00DD1847" w:rsidP="0034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residential customers, </w:t>
      </w:r>
      <w:r w:rsidR="003848AA" w:rsidRPr="00B60E0C">
        <w:rPr>
          <w:rFonts w:ascii="Times New Roman" w:hAnsi="Times New Roman" w:cs="Times New Roman"/>
          <w:sz w:val="24"/>
          <w:szCs w:val="24"/>
        </w:rPr>
        <w:t>bill payments</w:t>
      </w:r>
      <w:r>
        <w:rPr>
          <w:rFonts w:ascii="Times New Roman" w:hAnsi="Times New Roman" w:cs="Times New Roman"/>
          <w:sz w:val="24"/>
          <w:szCs w:val="24"/>
        </w:rPr>
        <w:t xml:space="preserve"> collected</w:t>
      </w:r>
      <w:r w:rsidR="007F79ED">
        <w:rPr>
          <w:rFonts w:ascii="Times New Roman" w:hAnsi="Times New Roman" w:cs="Times New Roman"/>
          <w:sz w:val="24"/>
          <w:szCs w:val="24"/>
        </w:rPr>
        <w:t xml:space="preserve"> </w:t>
      </w:r>
      <w:r w:rsidR="00C6349A">
        <w:rPr>
          <w:rFonts w:ascii="Times New Roman" w:hAnsi="Times New Roman" w:cs="Times New Roman"/>
          <w:sz w:val="24"/>
          <w:szCs w:val="24"/>
        </w:rPr>
        <w:t xml:space="preserve">in 2015 were $45.8 </w:t>
      </w:r>
      <w:r w:rsidR="007F79ED">
        <w:rPr>
          <w:rFonts w:ascii="Times New Roman" w:hAnsi="Times New Roman" w:cs="Times New Roman"/>
          <w:sz w:val="24"/>
          <w:szCs w:val="24"/>
        </w:rPr>
        <w:t>million</w:t>
      </w:r>
      <w:r w:rsidR="00C80716" w:rsidRPr="00B60E0C">
        <w:rPr>
          <w:rFonts w:ascii="Times New Roman" w:hAnsi="Times New Roman" w:cs="Times New Roman"/>
          <w:sz w:val="24"/>
          <w:szCs w:val="24"/>
        </w:rPr>
        <w:t xml:space="preserve"> less</w:t>
      </w:r>
      <w:r w:rsidR="00C6349A">
        <w:rPr>
          <w:rFonts w:ascii="Times New Roman" w:hAnsi="Times New Roman" w:cs="Times New Roman"/>
          <w:sz w:val="24"/>
          <w:szCs w:val="24"/>
        </w:rPr>
        <w:t xml:space="preserve"> than the allowed revenue. Including the additional deferred balance from 2014,</w:t>
      </w:r>
      <w:r w:rsidR="00C6349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8D181B">
        <w:rPr>
          <w:rFonts w:ascii="Times New Roman" w:hAnsi="Times New Roman" w:cs="Times New Roman"/>
          <w:sz w:val="24"/>
          <w:szCs w:val="24"/>
        </w:rPr>
        <w:t xml:space="preserve"> the total </w:t>
      </w:r>
      <w:r w:rsidR="000A165C">
        <w:rPr>
          <w:rFonts w:ascii="Times New Roman" w:hAnsi="Times New Roman" w:cs="Times New Roman"/>
          <w:sz w:val="24"/>
          <w:szCs w:val="24"/>
        </w:rPr>
        <w:t xml:space="preserve">residential </w:t>
      </w:r>
      <w:r w:rsidR="00D356AD">
        <w:rPr>
          <w:rFonts w:ascii="Times New Roman" w:hAnsi="Times New Roman" w:cs="Times New Roman"/>
          <w:sz w:val="24"/>
          <w:szCs w:val="24"/>
        </w:rPr>
        <w:t>deferral balance for</w:t>
      </w:r>
      <w:r w:rsidR="008D181B">
        <w:rPr>
          <w:rFonts w:ascii="Times New Roman" w:hAnsi="Times New Roman" w:cs="Times New Roman"/>
          <w:sz w:val="24"/>
          <w:szCs w:val="24"/>
        </w:rPr>
        <w:t xml:space="preserve"> 2015 was </w:t>
      </w:r>
      <w:r w:rsidR="000A165C">
        <w:rPr>
          <w:rFonts w:ascii="Times New Roman" w:hAnsi="Times New Roman" w:cs="Times New Roman"/>
          <w:sz w:val="24"/>
          <w:szCs w:val="24"/>
        </w:rPr>
        <w:t>$54.0</w:t>
      </w:r>
      <w:r>
        <w:rPr>
          <w:rFonts w:ascii="Times New Roman" w:hAnsi="Times New Roman" w:cs="Times New Roman"/>
          <w:sz w:val="24"/>
          <w:szCs w:val="24"/>
        </w:rPr>
        <w:t xml:space="preserve"> million</w:t>
      </w:r>
      <w:r w:rsidR="008D181B">
        <w:rPr>
          <w:rFonts w:ascii="Times New Roman" w:hAnsi="Times New Roman" w:cs="Times New Roman"/>
          <w:sz w:val="24"/>
          <w:szCs w:val="24"/>
        </w:rPr>
        <w:t>.</w:t>
      </w:r>
      <w:r w:rsidR="000A165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0A165C">
        <w:rPr>
          <w:rFonts w:ascii="Times New Roman" w:hAnsi="Times New Roman" w:cs="Times New Roman"/>
          <w:sz w:val="24"/>
          <w:szCs w:val="24"/>
        </w:rPr>
        <w:t xml:space="preserve"> For non-residential customers, </w:t>
      </w:r>
      <w:r w:rsidR="00D356AD">
        <w:rPr>
          <w:rFonts w:ascii="Times New Roman" w:hAnsi="Times New Roman" w:cs="Times New Roman"/>
          <w:sz w:val="24"/>
          <w:szCs w:val="24"/>
        </w:rPr>
        <w:t xml:space="preserve">the total deferral balance for 2015 was </w:t>
      </w:r>
      <w:r w:rsidR="00875A36">
        <w:rPr>
          <w:rFonts w:ascii="Times New Roman" w:hAnsi="Times New Roman" w:cs="Times New Roman"/>
          <w:sz w:val="24"/>
          <w:szCs w:val="24"/>
        </w:rPr>
        <w:t>$10.9 million. The total deferral balance for 2015 is $69.2 million. This amount is</w:t>
      </w:r>
      <w:r w:rsidR="00363ACD">
        <w:rPr>
          <w:rFonts w:ascii="Times New Roman" w:hAnsi="Times New Roman" w:cs="Times New Roman"/>
          <w:sz w:val="24"/>
          <w:szCs w:val="24"/>
        </w:rPr>
        <w:t xml:space="preserve"> subject to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363ACD">
        <w:rPr>
          <w:rFonts w:ascii="Times New Roman" w:hAnsi="Times New Roman" w:cs="Times New Roman"/>
          <w:sz w:val="24"/>
          <w:szCs w:val="24"/>
        </w:rPr>
        <w:t xml:space="preserve"> soft cap,</w:t>
      </w:r>
      <w:r w:rsidR="0006067B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875A36">
        <w:rPr>
          <w:rFonts w:ascii="Times New Roman" w:hAnsi="Times New Roman" w:cs="Times New Roman"/>
          <w:sz w:val="24"/>
          <w:szCs w:val="24"/>
        </w:rPr>
        <w:t xml:space="preserve">and so the total deferral cannot be amortized over the next year. The unamortized 2015 balance will be deferred to 2016. </w:t>
      </w:r>
      <w:r w:rsidR="004702E4">
        <w:rPr>
          <w:rFonts w:ascii="Times New Roman" w:eastAsia="Times New Roman" w:hAnsi="Times New Roman" w:cs="Times New Roman"/>
          <w:sz w:val="24"/>
          <w:szCs w:val="24"/>
        </w:rPr>
        <w:t>Table 3</w:t>
      </w:r>
      <w:r w:rsidR="00870766">
        <w:rPr>
          <w:rFonts w:ascii="Times New Roman" w:eastAsia="Times New Roman" w:hAnsi="Times New Roman" w:cs="Times New Roman"/>
          <w:sz w:val="24"/>
          <w:szCs w:val="24"/>
        </w:rPr>
        <w:t xml:space="preserve"> shows components of deferral balances for these two customer groups.</w:t>
      </w:r>
    </w:p>
    <w:p w14:paraId="0422A487" w14:textId="77777777" w:rsidR="001A7F76" w:rsidRDefault="001A7F76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19D80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3F637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97718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AA8C4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920E7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D41FA" w14:textId="404D7B36" w:rsidR="004702E4" w:rsidRPr="00C03735" w:rsidRDefault="004702E4" w:rsidP="00470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 Decoupling Defer</w:t>
      </w:r>
      <w:r w:rsidR="00340099">
        <w:rPr>
          <w:rFonts w:ascii="Times New Roman" w:hAnsi="Times New Roman" w:cs="Times New Roman"/>
          <w:b/>
          <w:sz w:val="24"/>
          <w:szCs w:val="24"/>
        </w:rPr>
        <w:t>ral Balances As of Year End 2015</w:t>
      </w:r>
      <w:r>
        <w:rPr>
          <w:rFonts w:ascii="Times New Roman" w:hAnsi="Times New Roman" w:cs="Times New Roman"/>
          <w:b/>
          <w:sz w:val="24"/>
          <w:szCs w:val="24"/>
        </w:rPr>
        <w:t xml:space="preserve"> (Natural Gas)</w:t>
      </w:r>
    </w:p>
    <w:p w14:paraId="6BB8DCE0" w14:textId="77777777" w:rsidR="004702E4" w:rsidRPr="00C03735" w:rsidRDefault="004702E4" w:rsidP="0047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035"/>
      </w:tblGrid>
      <w:tr w:rsidR="007B1B1A" w:rsidRPr="00C03735" w14:paraId="6B5DB5CB" w14:textId="4BCB3503" w:rsidTr="009F021D">
        <w:trPr>
          <w:jc w:val="center"/>
        </w:trPr>
        <w:tc>
          <w:tcPr>
            <w:tcW w:w="1870" w:type="dxa"/>
          </w:tcPr>
          <w:p w14:paraId="2DFE5B09" w14:textId="77777777" w:rsidR="007B1B1A" w:rsidRPr="00C03735" w:rsidRDefault="007B1B1A" w:rsidP="0001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11F74436" w14:textId="77777777" w:rsidR="007B1B1A" w:rsidRPr="00C03735" w:rsidRDefault="007B1B1A" w:rsidP="00017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Residential</w:t>
            </w:r>
          </w:p>
        </w:tc>
        <w:tc>
          <w:tcPr>
            <w:tcW w:w="1870" w:type="dxa"/>
          </w:tcPr>
          <w:p w14:paraId="56007A39" w14:textId="77777777" w:rsidR="007B1B1A" w:rsidRPr="00C03735" w:rsidRDefault="007B1B1A" w:rsidP="00017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Non-Residential</w:t>
            </w:r>
          </w:p>
        </w:tc>
        <w:tc>
          <w:tcPr>
            <w:tcW w:w="2035" w:type="dxa"/>
          </w:tcPr>
          <w:p w14:paraId="4DBD8982" w14:textId="3493950E" w:rsidR="007B1B1A" w:rsidRPr="00C03735" w:rsidRDefault="007B1B1A" w:rsidP="009F02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B1B1A" w:rsidRPr="00C03735" w14:paraId="71804174" w14:textId="7B511CC2" w:rsidTr="009F021D">
        <w:trPr>
          <w:jc w:val="center"/>
        </w:trPr>
        <w:tc>
          <w:tcPr>
            <w:tcW w:w="1870" w:type="dxa"/>
          </w:tcPr>
          <w:p w14:paraId="05142BD4" w14:textId="0280A18D" w:rsidR="007B1B1A" w:rsidRPr="00C03735" w:rsidRDefault="00340099" w:rsidP="0001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B1B1A" w:rsidRPr="00C03735">
              <w:rPr>
                <w:rFonts w:ascii="Times New Roman" w:hAnsi="Times New Roman" w:cs="Times New Roman"/>
                <w:sz w:val="24"/>
                <w:szCs w:val="24"/>
              </w:rPr>
              <w:t xml:space="preserve"> Deferral</w:t>
            </w:r>
          </w:p>
        </w:tc>
        <w:tc>
          <w:tcPr>
            <w:tcW w:w="1870" w:type="dxa"/>
          </w:tcPr>
          <w:p w14:paraId="71E219E3" w14:textId="33B815E9" w:rsidR="007B1B1A" w:rsidRPr="00C03735" w:rsidRDefault="00340099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$1,275,520</w:t>
            </w:r>
          </w:p>
        </w:tc>
        <w:tc>
          <w:tcPr>
            <w:tcW w:w="1870" w:type="dxa"/>
          </w:tcPr>
          <w:p w14:paraId="0A080A4F" w14:textId="050ACDA8" w:rsidR="007B1B1A" w:rsidRPr="00C03735" w:rsidRDefault="0048678A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$992,994</w:t>
            </w:r>
          </w:p>
        </w:tc>
        <w:tc>
          <w:tcPr>
            <w:tcW w:w="2035" w:type="dxa"/>
          </w:tcPr>
          <w:p w14:paraId="71C94B30" w14:textId="76C8FAFC" w:rsidR="007B1B1A" w:rsidRPr="00C03735" w:rsidRDefault="007C0117" w:rsidP="009F021D">
            <w:pPr>
              <w:tabs>
                <w:tab w:val="decimal" w:pos="14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8678A">
              <w:rPr>
                <w:rFonts w:ascii="Times New Roman" w:hAnsi="Times New Roman" w:cs="Times New Roman"/>
                <w:sz w:val="24"/>
                <w:szCs w:val="24"/>
              </w:rPr>
              <w:t>$2,268,515</w:t>
            </w:r>
          </w:p>
        </w:tc>
      </w:tr>
      <w:tr w:rsidR="007B1B1A" w:rsidRPr="00C03735" w14:paraId="66DA3B03" w14:textId="5256756F" w:rsidTr="009F021D">
        <w:trPr>
          <w:jc w:val="center"/>
        </w:trPr>
        <w:tc>
          <w:tcPr>
            <w:tcW w:w="1870" w:type="dxa"/>
          </w:tcPr>
          <w:p w14:paraId="605BE74A" w14:textId="096BCA34" w:rsidR="007B1B1A" w:rsidRPr="00C03735" w:rsidRDefault="00340099" w:rsidP="0001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B1B1A" w:rsidRPr="00C03735">
              <w:rPr>
                <w:rFonts w:ascii="Times New Roman" w:hAnsi="Times New Roman" w:cs="Times New Roman"/>
                <w:sz w:val="24"/>
                <w:szCs w:val="24"/>
              </w:rPr>
              <w:t xml:space="preserve"> Deferral</w:t>
            </w:r>
          </w:p>
        </w:tc>
        <w:tc>
          <w:tcPr>
            <w:tcW w:w="1870" w:type="dxa"/>
          </w:tcPr>
          <w:p w14:paraId="40C4EE4E" w14:textId="444A47E2" w:rsidR="007B1B1A" w:rsidRPr="00C03735" w:rsidRDefault="00340099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53,970,360</w:t>
            </w:r>
          </w:p>
        </w:tc>
        <w:tc>
          <w:tcPr>
            <w:tcW w:w="1870" w:type="dxa"/>
          </w:tcPr>
          <w:p w14:paraId="5DF6F9CE" w14:textId="0191E149" w:rsidR="007B1B1A" w:rsidRPr="00C03735" w:rsidRDefault="009F021D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10,936,714</w:t>
            </w:r>
          </w:p>
        </w:tc>
        <w:tc>
          <w:tcPr>
            <w:tcW w:w="2035" w:type="dxa"/>
          </w:tcPr>
          <w:p w14:paraId="59E40D0C" w14:textId="2EEDC3E1" w:rsidR="007B1B1A" w:rsidRPr="00C03735" w:rsidRDefault="007C0117" w:rsidP="009F021D">
            <w:pPr>
              <w:tabs>
                <w:tab w:val="decimal" w:pos="14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678A">
              <w:rPr>
                <w:rFonts w:ascii="Times New Roman" w:hAnsi="Times New Roman" w:cs="Times New Roman"/>
                <w:sz w:val="24"/>
                <w:szCs w:val="24"/>
              </w:rPr>
              <w:t>64,907,074</w:t>
            </w:r>
          </w:p>
        </w:tc>
      </w:tr>
      <w:tr w:rsidR="007B1B1A" w:rsidRPr="00C03735" w14:paraId="40C9F39E" w14:textId="1CD56A84" w:rsidTr="009F021D">
        <w:trPr>
          <w:jc w:val="center"/>
        </w:trPr>
        <w:tc>
          <w:tcPr>
            <w:tcW w:w="1870" w:type="dxa"/>
            <w:tcBorders>
              <w:bottom w:val="single" w:sz="12" w:space="0" w:color="auto"/>
            </w:tcBorders>
          </w:tcPr>
          <w:p w14:paraId="5D16C07F" w14:textId="77777777" w:rsidR="007B1B1A" w:rsidRPr="00C03735" w:rsidRDefault="007B1B1A" w:rsidP="0001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14:paraId="4CE3C33E" w14:textId="18DBE3F7" w:rsidR="007B1B1A" w:rsidRPr="00C03735" w:rsidRDefault="009F021D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1,592,833</w:t>
            </w: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14:paraId="58C60C12" w14:textId="6058D5FC" w:rsidR="007B1B1A" w:rsidRPr="00C03735" w:rsidRDefault="0048678A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416,516</w:t>
            </w:r>
          </w:p>
        </w:tc>
        <w:tc>
          <w:tcPr>
            <w:tcW w:w="2035" w:type="dxa"/>
            <w:tcBorders>
              <w:bottom w:val="single" w:sz="12" w:space="0" w:color="auto"/>
            </w:tcBorders>
          </w:tcPr>
          <w:p w14:paraId="426405AC" w14:textId="410E0066" w:rsidR="007B1B1A" w:rsidRPr="00C03735" w:rsidRDefault="007C0117" w:rsidP="009F021D">
            <w:pPr>
              <w:tabs>
                <w:tab w:val="decimal" w:pos="14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8678A">
              <w:rPr>
                <w:rFonts w:ascii="Times New Roman" w:hAnsi="Times New Roman" w:cs="Times New Roman"/>
                <w:sz w:val="24"/>
                <w:szCs w:val="24"/>
              </w:rPr>
              <w:t>2,009,349</w:t>
            </w:r>
          </w:p>
        </w:tc>
      </w:tr>
      <w:tr w:rsidR="007B1B1A" w:rsidRPr="00C03735" w14:paraId="78883E3C" w14:textId="123A6869" w:rsidTr="009F021D">
        <w:trPr>
          <w:jc w:val="center"/>
        </w:trPr>
        <w:tc>
          <w:tcPr>
            <w:tcW w:w="1870" w:type="dxa"/>
            <w:tcBorders>
              <w:top w:val="single" w:sz="12" w:space="0" w:color="auto"/>
            </w:tcBorders>
          </w:tcPr>
          <w:p w14:paraId="1E93CF83" w14:textId="77777777" w:rsidR="007B1B1A" w:rsidRPr="00C03735" w:rsidRDefault="007B1B1A" w:rsidP="007B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278CA9A3" w14:textId="58E38514" w:rsidR="007B1B1A" w:rsidRPr="00C03735" w:rsidRDefault="00D242F9" w:rsidP="00D2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F021D">
              <w:rPr>
                <w:rFonts w:ascii="Times New Roman" w:hAnsi="Times New Roman" w:cs="Times New Roman"/>
                <w:b/>
                <w:sz w:val="24"/>
                <w:szCs w:val="24"/>
              </w:rPr>
              <w:t>$56,838,713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5A548BE9" w14:textId="3264887D" w:rsidR="007B1B1A" w:rsidRPr="00C03735" w:rsidRDefault="006A2D04" w:rsidP="009F02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$12,346,225</w:t>
            </w:r>
          </w:p>
        </w:tc>
        <w:tc>
          <w:tcPr>
            <w:tcW w:w="2035" w:type="dxa"/>
            <w:tcBorders>
              <w:top w:val="single" w:sz="12" w:space="0" w:color="auto"/>
            </w:tcBorders>
          </w:tcPr>
          <w:p w14:paraId="65C43E36" w14:textId="41D55548" w:rsidR="007B1B1A" w:rsidRPr="00C03735" w:rsidRDefault="007C0117" w:rsidP="009F021D">
            <w:pPr>
              <w:tabs>
                <w:tab w:val="decimal" w:pos="142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8678A">
              <w:rPr>
                <w:rFonts w:ascii="Times New Roman" w:hAnsi="Times New Roman" w:cs="Times New Roman"/>
                <w:b/>
                <w:sz w:val="24"/>
                <w:szCs w:val="24"/>
              </w:rPr>
              <w:t>$69,184,939</w:t>
            </w:r>
          </w:p>
        </w:tc>
      </w:tr>
    </w:tbl>
    <w:p w14:paraId="4C0D208A" w14:textId="77777777" w:rsidR="00410448" w:rsidRDefault="00410448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88C1A" w14:textId="77777777" w:rsidR="00BA546A" w:rsidRDefault="00BA546A" w:rsidP="00BB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D8" w14:textId="77777777" w:rsidR="00822B5D" w:rsidRPr="00B60E0C" w:rsidRDefault="00822B5D" w:rsidP="00BB49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sz w:val="24"/>
          <w:szCs w:val="24"/>
          <w:u w:val="single"/>
        </w:rPr>
        <w:t>K-factor</w:t>
      </w:r>
    </w:p>
    <w:p w14:paraId="7288A335" w14:textId="77777777" w:rsidR="00D34BE5" w:rsidRDefault="00D34BE5" w:rsidP="00F7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6D329" w14:textId="1B122CC9" w:rsidR="001E1D61" w:rsidRPr="00B60E0C" w:rsidRDefault="00401787" w:rsidP="001E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PSE’s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 allowed delivery</w:t>
      </w:r>
      <w:r w:rsidR="000D6771" w:rsidRPr="00B60E0C">
        <w:rPr>
          <w:rFonts w:ascii="Times New Roman" w:hAnsi="Times New Roman" w:cs="Times New Roman"/>
          <w:sz w:val="24"/>
          <w:szCs w:val="24"/>
        </w:rPr>
        <w:t xml:space="preserve"> revenue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 per customer increases each year by 2.2 percent for </w:t>
      </w:r>
      <w:r w:rsidR="00D02D2D" w:rsidRPr="00B60E0C">
        <w:rPr>
          <w:rFonts w:ascii="Times New Roman" w:hAnsi="Times New Roman" w:cs="Times New Roman"/>
          <w:sz w:val="24"/>
          <w:szCs w:val="24"/>
        </w:rPr>
        <w:t xml:space="preserve">natural </w:t>
      </w:r>
      <w:r w:rsidR="00BB4950" w:rsidRPr="00B60E0C">
        <w:rPr>
          <w:rFonts w:ascii="Times New Roman" w:hAnsi="Times New Roman" w:cs="Times New Roman"/>
          <w:sz w:val="24"/>
          <w:szCs w:val="24"/>
        </w:rPr>
        <w:t>gas.</w:t>
      </w:r>
      <w:r w:rsidR="00F65EDD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1E1D61">
        <w:rPr>
          <w:rFonts w:ascii="Times New Roman" w:hAnsi="Times New Roman" w:cs="Times New Roman"/>
          <w:sz w:val="24"/>
          <w:szCs w:val="24"/>
        </w:rPr>
        <w:t xml:space="preserve">The k-factor adjustment increases PSE’s </w:t>
      </w:r>
      <w:r w:rsidR="001E1D61" w:rsidRPr="00B60E0C">
        <w:rPr>
          <w:rFonts w:ascii="Times New Roman" w:hAnsi="Times New Roman" w:cs="Times New Roman"/>
          <w:sz w:val="24"/>
          <w:szCs w:val="24"/>
        </w:rPr>
        <w:t>forecasted allowed volumetric delivery revenue</w:t>
      </w:r>
      <w:r w:rsidR="001E1D61">
        <w:rPr>
          <w:rFonts w:ascii="Times New Roman" w:hAnsi="Times New Roman" w:cs="Times New Roman"/>
          <w:sz w:val="24"/>
          <w:szCs w:val="24"/>
        </w:rPr>
        <w:t xml:space="preserve"> for the 2016 rate year by approximately $9.9 million, of which the increase for residential customer is approximately $</w:t>
      </w:r>
      <w:r w:rsidR="00272D4A">
        <w:rPr>
          <w:rFonts w:ascii="Times New Roman" w:hAnsi="Times New Roman" w:cs="Times New Roman"/>
          <w:sz w:val="24"/>
          <w:szCs w:val="24"/>
        </w:rPr>
        <w:t>7.3</w:t>
      </w:r>
      <w:r w:rsidR="001E1D61">
        <w:rPr>
          <w:rFonts w:ascii="Times New Roman" w:hAnsi="Times New Roman" w:cs="Times New Roman"/>
          <w:sz w:val="24"/>
          <w:szCs w:val="24"/>
        </w:rPr>
        <w:t xml:space="preserve"> million. </w:t>
      </w:r>
    </w:p>
    <w:p w14:paraId="045247CB" w14:textId="77777777" w:rsidR="001E1D61" w:rsidRDefault="001E1D61" w:rsidP="00F7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01D9" w14:textId="77777777" w:rsidR="00F71CB4" w:rsidRPr="00B60E0C" w:rsidRDefault="00F71CB4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D5587" w14:textId="77777777" w:rsidR="005970AD" w:rsidRDefault="005970AD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Earnings sharing</w:t>
      </w:r>
    </w:p>
    <w:p w14:paraId="44DD1962" w14:textId="77777777" w:rsidR="005970AD" w:rsidRDefault="005970AD" w:rsidP="001E1D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6C08CEB" w14:textId="7ED74CD2" w:rsidR="00272D4A" w:rsidRPr="00272D4A" w:rsidRDefault="005970AD" w:rsidP="00272D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D61">
        <w:rPr>
          <w:rFonts w:ascii="Times New Roman" w:hAnsi="Times New Roman" w:cs="Times New Roman"/>
          <w:sz w:val="24"/>
          <w:szCs w:val="24"/>
        </w:rPr>
        <w:t>The Earnings Test resulted in a normalized rate of return that exceeded the authorized rate of return. Accordingly, this filing incorporates a reduction of $</w:t>
      </w:r>
      <w:r w:rsidRPr="00272D4A">
        <w:rPr>
          <w:rFonts w:ascii="Times New Roman" w:hAnsi="Times New Roman" w:cs="Times New Roman"/>
          <w:sz w:val="24"/>
          <w:szCs w:val="24"/>
        </w:rPr>
        <w:t>5,505,334</w:t>
      </w:r>
      <w:r w:rsidRPr="001E1D61">
        <w:rPr>
          <w:rFonts w:ascii="Times New Roman" w:hAnsi="Times New Roman" w:cs="Times New Roman"/>
          <w:sz w:val="24"/>
          <w:szCs w:val="24"/>
        </w:rPr>
        <w:t xml:space="preserve"> tha</w:t>
      </w:r>
      <w:r w:rsidR="00272D4A">
        <w:rPr>
          <w:rFonts w:ascii="Times New Roman" w:hAnsi="Times New Roman" w:cs="Times New Roman"/>
          <w:sz w:val="24"/>
          <w:szCs w:val="24"/>
        </w:rPr>
        <w:t>t will be returned to customers</w:t>
      </w:r>
      <w:r w:rsidR="00272D4A" w:rsidRPr="00B255A7">
        <w:rPr>
          <w:rFonts w:ascii="Times New Roman" w:hAnsi="Times New Roman" w:cs="Times New Roman"/>
          <w:sz w:val="24"/>
          <w:szCs w:val="24"/>
        </w:rPr>
        <w:t>, representing 50 percent of the normalized, over-collected revenue</w:t>
      </w:r>
      <w:r w:rsidR="00272D4A">
        <w:rPr>
          <w:rFonts w:ascii="Times New Roman" w:hAnsi="Times New Roman" w:cs="Times New Roman"/>
          <w:sz w:val="24"/>
          <w:szCs w:val="24"/>
        </w:rPr>
        <w:t xml:space="preserve"> in 2015</w:t>
      </w:r>
      <w:r w:rsidR="00272D4A" w:rsidRPr="00B255A7">
        <w:rPr>
          <w:rFonts w:ascii="Times New Roman" w:hAnsi="Times New Roman" w:cs="Times New Roman"/>
          <w:sz w:val="24"/>
          <w:szCs w:val="24"/>
        </w:rPr>
        <w:t xml:space="preserve">. </w:t>
      </w:r>
      <w:r w:rsidR="00272D4A">
        <w:rPr>
          <w:rFonts w:ascii="Times New Roman" w:hAnsi="Times New Roman" w:cs="Times New Roman"/>
          <w:sz w:val="24"/>
          <w:szCs w:val="24"/>
        </w:rPr>
        <w:t>Approximately $4.1 million will be returned to residential customers.</w:t>
      </w:r>
    </w:p>
    <w:p w14:paraId="7CE43958" w14:textId="77777777" w:rsidR="005970AD" w:rsidRDefault="005970AD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D6B965" w14:textId="69A3D5D2" w:rsidR="00B33819" w:rsidRPr="00B60E0C" w:rsidRDefault="00B33819" w:rsidP="00B338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054">
        <w:rPr>
          <w:rFonts w:ascii="Times New Roman" w:hAnsi="Times New Roman" w:cs="Times New Roman"/>
          <w:sz w:val="24"/>
          <w:szCs w:val="24"/>
          <w:u w:val="single"/>
        </w:rPr>
        <w:t>Total Revenue Impact</w:t>
      </w:r>
      <w:r w:rsidR="00CB1054">
        <w:rPr>
          <w:rFonts w:ascii="Times New Roman" w:hAnsi="Times New Roman" w:cs="Times New Roman"/>
          <w:sz w:val="24"/>
          <w:szCs w:val="24"/>
          <w:u w:val="single"/>
        </w:rPr>
        <w:t xml:space="preserve"> Summary</w:t>
      </w:r>
    </w:p>
    <w:p w14:paraId="74648D2F" w14:textId="77777777" w:rsidR="00D34BE5" w:rsidRDefault="00D34BE5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DD" w14:textId="4B80E547" w:rsidR="00D02D2D" w:rsidRPr="00CB1054" w:rsidRDefault="00CB1054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1054">
        <w:rPr>
          <w:rFonts w:ascii="Times New Roman" w:hAnsi="Times New Roman" w:cs="Times New Roman"/>
          <w:sz w:val="24"/>
          <w:szCs w:val="24"/>
          <w:u w:val="single"/>
        </w:rPr>
        <w:t xml:space="preserve">    Revenue Impact</w:t>
      </w:r>
    </w:p>
    <w:p w14:paraId="741870DE" w14:textId="3D2F48A0" w:rsidR="00D02D2D" w:rsidRPr="00B60E0C" w:rsidRDefault="00D02D2D" w:rsidP="009F3D45">
      <w:pPr>
        <w:tabs>
          <w:tab w:val="left" w:pos="2160"/>
          <w:tab w:val="right" w:pos="3330"/>
        </w:tabs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K-factor:</w:t>
      </w:r>
      <w:r w:rsidR="003564AB" w:rsidRPr="00B60E0C">
        <w:rPr>
          <w:rFonts w:ascii="Times New Roman" w:hAnsi="Times New Roman" w:cs="Times New Roman"/>
          <w:sz w:val="24"/>
          <w:szCs w:val="24"/>
        </w:rPr>
        <w:tab/>
      </w:r>
      <w:r w:rsidR="0053099E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>$</w:t>
      </w:r>
      <w:r w:rsidR="009F3D45" w:rsidRPr="00B60E0C">
        <w:rPr>
          <w:rFonts w:ascii="Times New Roman" w:hAnsi="Times New Roman" w:cs="Times New Roman"/>
          <w:sz w:val="24"/>
          <w:szCs w:val="24"/>
        </w:rPr>
        <w:tab/>
      </w:r>
      <w:r w:rsidR="00900779">
        <w:rPr>
          <w:rFonts w:ascii="Times New Roman" w:hAnsi="Times New Roman" w:cs="Times New Roman"/>
          <w:sz w:val="24"/>
          <w:szCs w:val="24"/>
        </w:rPr>
        <w:t xml:space="preserve">  </w:t>
      </w:r>
      <w:r w:rsidR="0053099E">
        <w:rPr>
          <w:rFonts w:ascii="Times New Roman" w:hAnsi="Times New Roman" w:cs="Times New Roman"/>
          <w:sz w:val="24"/>
          <w:szCs w:val="24"/>
        </w:rPr>
        <w:t>9,900,146</w:t>
      </w:r>
    </w:p>
    <w:p w14:paraId="741870DF" w14:textId="2471069C" w:rsidR="00D02D2D" w:rsidRDefault="00D02D2D" w:rsidP="009F3D45">
      <w:pPr>
        <w:tabs>
          <w:tab w:val="left" w:pos="1080"/>
          <w:tab w:val="right" w:pos="1440"/>
          <w:tab w:val="left" w:pos="2160"/>
          <w:tab w:val="right" w:pos="33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99E">
        <w:rPr>
          <w:rFonts w:ascii="Times New Roman" w:hAnsi="Times New Roman" w:cs="Times New Roman"/>
          <w:sz w:val="24"/>
          <w:szCs w:val="24"/>
        </w:rPr>
        <w:t>+</w:t>
      </w:r>
      <w:r w:rsidRPr="0053099E">
        <w:rPr>
          <w:rFonts w:ascii="Times New Roman" w:hAnsi="Times New Roman" w:cs="Times New Roman"/>
          <w:sz w:val="24"/>
          <w:szCs w:val="24"/>
        </w:rPr>
        <w:tab/>
      </w:r>
      <w:r w:rsidR="003564AB" w:rsidRPr="0053099E">
        <w:rPr>
          <w:rFonts w:ascii="Times New Roman" w:hAnsi="Times New Roman" w:cs="Times New Roman"/>
          <w:sz w:val="24"/>
          <w:szCs w:val="24"/>
        </w:rPr>
        <w:tab/>
      </w:r>
      <w:r w:rsidRPr="0053099E">
        <w:rPr>
          <w:rFonts w:ascii="Times New Roman" w:hAnsi="Times New Roman" w:cs="Times New Roman"/>
          <w:sz w:val="24"/>
          <w:szCs w:val="24"/>
        </w:rPr>
        <w:t>Deferral:</w:t>
      </w:r>
      <w:r w:rsidR="003564AB" w:rsidRPr="0053099E">
        <w:rPr>
          <w:rFonts w:ascii="Times New Roman" w:hAnsi="Times New Roman" w:cs="Times New Roman"/>
          <w:sz w:val="24"/>
          <w:szCs w:val="24"/>
        </w:rPr>
        <w:tab/>
      </w:r>
      <w:r w:rsidR="0053099E" w:rsidRPr="0053099E">
        <w:rPr>
          <w:rFonts w:ascii="Times New Roman" w:hAnsi="Times New Roman" w:cs="Times New Roman"/>
          <w:sz w:val="24"/>
          <w:szCs w:val="24"/>
        </w:rPr>
        <w:tab/>
      </w:r>
      <w:r w:rsidRPr="0053099E">
        <w:rPr>
          <w:rFonts w:ascii="Times New Roman" w:hAnsi="Times New Roman" w:cs="Times New Roman"/>
          <w:sz w:val="24"/>
          <w:szCs w:val="24"/>
        </w:rPr>
        <w:t>$</w:t>
      </w:r>
      <w:r w:rsidR="0053099E" w:rsidRPr="0053099E">
        <w:rPr>
          <w:rFonts w:ascii="Times New Roman" w:hAnsi="Times New Roman" w:cs="Times New Roman"/>
          <w:sz w:val="24"/>
          <w:szCs w:val="24"/>
        </w:rPr>
        <w:t xml:space="preserve"> </w:t>
      </w:r>
      <w:r w:rsidR="0053099E" w:rsidRPr="0053099E">
        <w:rPr>
          <w:rFonts w:ascii="Times New Roman" w:hAnsi="Times New Roman" w:cs="Times New Roman"/>
          <w:sz w:val="24"/>
          <w:szCs w:val="24"/>
        </w:rPr>
        <w:tab/>
        <w:t>69,184,939</w:t>
      </w:r>
    </w:p>
    <w:p w14:paraId="03CDEFEF" w14:textId="1CBAC0AB" w:rsidR="00D84F3A" w:rsidRPr="0053099E" w:rsidRDefault="00D84F3A" w:rsidP="009F3D45">
      <w:pPr>
        <w:tabs>
          <w:tab w:val="left" w:pos="1080"/>
          <w:tab w:val="right" w:pos="1440"/>
          <w:tab w:val="left" w:pos="2160"/>
          <w:tab w:val="right" w:pos="33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3% cap excess</w:t>
      </w:r>
      <w:r w:rsidR="00043D6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ab/>
        <w:t>45,145</w:t>
      </w:r>
      <w:r w:rsidR="00043D6B">
        <w:rPr>
          <w:rFonts w:ascii="Times New Roman" w:hAnsi="Times New Roman" w:cs="Times New Roman"/>
          <w:sz w:val="24"/>
          <w:szCs w:val="24"/>
        </w:rPr>
        <w:t>,579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1DB62" w14:textId="4A941BC2" w:rsidR="0053099E" w:rsidRPr="00B60E0C" w:rsidRDefault="0053099E" w:rsidP="009F3D45">
      <w:pPr>
        <w:tabs>
          <w:tab w:val="left" w:pos="1080"/>
          <w:tab w:val="right" w:pos="1440"/>
          <w:tab w:val="left" w:pos="2160"/>
          <w:tab w:val="right" w:pos="33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Shared Earnings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00779">
        <w:rPr>
          <w:rFonts w:ascii="Times New Roman" w:hAnsi="Times New Roman" w:cs="Times New Roman"/>
          <w:sz w:val="24"/>
          <w:szCs w:val="24"/>
          <w:u w:val="single"/>
        </w:rPr>
        <w:t xml:space="preserve">  5,505,334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E8F3FC1" w14:textId="7058E0F3" w:rsidR="000342BF" w:rsidRPr="00B60E0C" w:rsidRDefault="003564AB" w:rsidP="004C3746">
      <w:pPr>
        <w:tabs>
          <w:tab w:val="left" w:pos="1080"/>
          <w:tab w:val="left" w:pos="2160"/>
          <w:tab w:val="right" w:pos="34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=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="00D02D2D" w:rsidRPr="00B60E0C">
        <w:rPr>
          <w:rFonts w:ascii="Times New Roman" w:hAnsi="Times New Roman" w:cs="Times New Roman"/>
          <w:sz w:val="24"/>
          <w:szCs w:val="24"/>
        </w:rPr>
        <w:t>Total:</w:t>
      </w:r>
      <w:r w:rsidR="009F3D45" w:rsidRPr="00B60E0C">
        <w:rPr>
          <w:rFonts w:ascii="Times New Roman" w:hAnsi="Times New Roman" w:cs="Times New Roman"/>
          <w:sz w:val="24"/>
          <w:szCs w:val="24"/>
        </w:rPr>
        <w:tab/>
      </w:r>
      <w:r w:rsidR="009007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2D2D" w:rsidRPr="00B60E0C">
        <w:rPr>
          <w:rFonts w:ascii="Times New Roman" w:hAnsi="Times New Roman" w:cs="Times New Roman"/>
          <w:sz w:val="24"/>
          <w:szCs w:val="24"/>
        </w:rPr>
        <w:t>$</w:t>
      </w:r>
      <w:r w:rsidR="00900779">
        <w:rPr>
          <w:rFonts w:ascii="Times New Roman" w:hAnsi="Times New Roman" w:cs="Times New Roman"/>
          <w:sz w:val="24"/>
          <w:szCs w:val="24"/>
        </w:rPr>
        <w:tab/>
      </w:r>
      <w:r w:rsidR="009F3D45" w:rsidRPr="00B60E0C">
        <w:rPr>
          <w:rFonts w:ascii="Times New Roman" w:hAnsi="Times New Roman" w:cs="Times New Roman"/>
          <w:sz w:val="24"/>
          <w:szCs w:val="24"/>
        </w:rPr>
        <w:tab/>
      </w:r>
      <w:r w:rsidR="00043D6B">
        <w:rPr>
          <w:rFonts w:ascii="Times New Roman" w:hAnsi="Times New Roman" w:cs="Times New Roman"/>
          <w:sz w:val="24"/>
          <w:szCs w:val="24"/>
        </w:rPr>
        <w:t>28,434,172</w:t>
      </w:r>
    </w:p>
    <w:p w14:paraId="1D388E95" w14:textId="77777777" w:rsidR="000342BF" w:rsidRPr="00B60E0C" w:rsidRDefault="000342BF" w:rsidP="00E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11D" w14:textId="77777777" w:rsidR="002A7914" w:rsidRPr="00B60E0C" w:rsidRDefault="002A7914" w:rsidP="00D57FF6">
      <w:pPr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418712A" w14:textId="77777777" w:rsidR="00D61508" w:rsidRPr="00B60E0C" w:rsidRDefault="002A791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14:paraId="7418712B" w14:textId="77777777" w:rsidR="002A7914" w:rsidRPr="00B60E0C" w:rsidRDefault="002A791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D595A" w14:textId="17C6560A" w:rsidR="0098513D" w:rsidRDefault="0098513D" w:rsidP="0061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determined that the 2016 rate is properly calculated and has uncovered no issues that warrant immediate remediation. However, d</w:t>
      </w:r>
      <w:r w:rsidR="000E2888">
        <w:rPr>
          <w:rFonts w:ascii="Times New Roman" w:hAnsi="Times New Roman" w:cs="Times New Roman"/>
          <w:sz w:val="24"/>
          <w:szCs w:val="24"/>
        </w:rPr>
        <w:t>ue to the</w:t>
      </w:r>
      <w:r w:rsidR="003101F4">
        <w:rPr>
          <w:rFonts w:ascii="Times New Roman" w:hAnsi="Times New Roman" w:cs="Times New Roman"/>
          <w:sz w:val="24"/>
          <w:szCs w:val="24"/>
        </w:rPr>
        <w:t xml:space="preserve"> snowballing </w:t>
      </w:r>
      <w:r w:rsidR="008D4A29">
        <w:rPr>
          <w:rFonts w:ascii="Times New Roman" w:hAnsi="Times New Roman" w:cs="Times New Roman"/>
          <w:sz w:val="24"/>
          <w:szCs w:val="24"/>
        </w:rPr>
        <w:t xml:space="preserve">nature </w:t>
      </w:r>
      <w:r w:rsidR="000E2888">
        <w:rPr>
          <w:rFonts w:ascii="Times New Roman" w:hAnsi="Times New Roman" w:cs="Times New Roman"/>
          <w:sz w:val="24"/>
          <w:szCs w:val="24"/>
        </w:rPr>
        <w:t>o</w:t>
      </w:r>
      <w:r w:rsidR="003101F4">
        <w:rPr>
          <w:rFonts w:ascii="Times New Roman" w:hAnsi="Times New Roman" w:cs="Times New Roman"/>
          <w:sz w:val="24"/>
          <w:szCs w:val="24"/>
        </w:rPr>
        <w:t>f the natural gas deferral account</w:t>
      </w:r>
      <w:r w:rsidR="000E2888">
        <w:rPr>
          <w:rFonts w:ascii="Times New Roman" w:hAnsi="Times New Roman" w:cs="Times New Roman"/>
          <w:sz w:val="24"/>
          <w:szCs w:val="24"/>
        </w:rPr>
        <w:t xml:space="preserve"> balance, staff recommends discussing this item at the April 28, 2016, Open </w:t>
      </w:r>
      <w:r w:rsidR="00F027B0">
        <w:rPr>
          <w:rFonts w:ascii="Times New Roman" w:hAnsi="Times New Roman" w:cs="Times New Roman"/>
          <w:sz w:val="24"/>
          <w:szCs w:val="24"/>
        </w:rPr>
        <w:t>Meeting</w:t>
      </w:r>
      <w:r w:rsidR="008D4A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260C9D" w14:textId="77777777" w:rsidR="0098513D" w:rsidRDefault="0098513D" w:rsidP="0061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ED97F" w14:textId="77777777" w:rsidR="0098513D" w:rsidRPr="00141895" w:rsidRDefault="0098513D" w:rsidP="0061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895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7418712E" w14:textId="013FFF95" w:rsidR="00175CC4" w:rsidRPr="00B60E0C" w:rsidRDefault="0098513D" w:rsidP="0061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7914" w:rsidRPr="00B60E0C">
        <w:rPr>
          <w:rFonts w:ascii="Times New Roman" w:hAnsi="Times New Roman" w:cs="Times New Roman"/>
          <w:sz w:val="24"/>
          <w:szCs w:val="24"/>
        </w:rPr>
        <w:t xml:space="preserve">taff recommends the commission take no action, thereby allowing </w:t>
      </w:r>
      <w:r w:rsidR="005357D9" w:rsidRPr="00B60E0C">
        <w:rPr>
          <w:rFonts w:ascii="Times New Roman" w:hAnsi="Times New Roman" w:cs="Times New Roman"/>
          <w:sz w:val="24"/>
          <w:szCs w:val="24"/>
        </w:rPr>
        <w:t>the tariff sheets filed by Puget Sound Energy in Dockets UE-1</w:t>
      </w:r>
      <w:r w:rsidR="005B129E">
        <w:rPr>
          <w:rFonts w:ascii="Times New Roman" w:hAnsi="Times New Roman" w:cs="Times New Roman"/>
          <w:sz w:val="24"/>
          <w:szCs w:val="24"/>
        </w:rPr>
        <w:t>60367</w:t>
      </w:r>
      <w:r w:rsidR="005357D9" w:rsidRPr="00B60E0C">
        <w:rPr>
          <w:rFonts w:ascii="Times New Roman" w:hAnsi="Times New Roman" w:cs="Times New Roman"/>
          <w:sz w:val="24"/>
          <w:szCs w:val="24"/>
        </w:rPr>
        <w:t xml:space="preserve"> and UG-</w:t>
      </w:r>
      <w:r w:rsidR="005B129E">
        <w:rPr>
          <w:rFonts w:ascii="Times New Roman" w:hAnsi="Times New Roman" w:cs="Times New Roman"/>
          <w:sz w:val="24"/>
          <w:szCs w:val="24"/>
        </w:rPr>
        <w:t>160368</w:t>
      </w:r>
      <w:r w:rsidR="00043D6B">
        <w:rPr>
          <w:rFonts w:ascii="Times New Roman" w:hAnsi="Times New Roman" w:cs="Times New Roman"/>
          <w:sz w:val="24"/>
          <w:szCs w:val="24"/>
        </w:rPr>
        <w:t xml:space="preserve"> to become effective May 1, 2016</w:t>
      </w:r>
      <w:r w:rsidR="005357D9" w:rsidRPr="00B60E0C">
        <w:rPr>
          <w:rFonts w:ascii="Times New Roman" w:hAnsi="Times New Roman" w:cs="Times New Roman"/>
          <w:sz w:val="24"/>
          <w:szCs w:val="24"/>
        </w:rPr>
        <w:t>, by operation of law.</w:t>
      </w:r>
    </w:p>
    <w:sectPr w:rsidR="00175CC4" w:rsidRPr="00B60E0C" w:rsidSect="005E2D98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29818" w14:textId="77777777" w:rsidR="00274255" w:rsidRDefault="00274255" w:rsidP="00426B44">
      <w:pPr>
        <w:spacing w:after="0" w:line="240" w:lineRule="auto"/>
      </w:pPr>
      <w:r>
        <w:separator/>
      </w:r>
    </w:p>
  </w:endnote>
  <w:endnote w:type="continuationSeparator" w:id="0">
    <w:p w14:paraId="2F684307" w14:textId="77777777" w:rsidR="00274255" w:rsidRDefault="00274255" w:rsidP="004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E6445" w14:textId="77777777" w:rsidR="00274255" w:rsidRDefault="00274255" w:rsidP="00426B44">
      <w:pPr>
        <w:spacing w:after="0" w:line="240" w:lineRule="auto"/>
      </w:pPr>
      <w:r>
        <w:separator/>
      </w:r>
    </w:p>
  </w:footnote>
  <w:footnote w:type="continuationSeparator" w:id="0">
    <w:p w14:paraId="4331ECAC" w14:textId="77777777" w:rsidR="00274255" w:rsidRDefault="00274255" w:rsidP="00426B44">
      <w:pPr>
        <w:spacing w:after="0" w:line="240" w:lineRule="auto"/>
      </w:pPr>
      <w:r>
        <w:continuationSeparator/>
      </w:r>
    </w:p>
  </w:footnote>
  <w:footnote w:id="1">
    <w:p w14:paraId="60AF5C48" w14:textId="36C59F66" w:rsidR="00B62B61" w:rsidRDefault="00B62B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3697">
        <w:rPr>
          <w:rFonts w:ascii="Times New Roman" w:hAnsi="Times New Roman" w:cs="Times New Roman"/>
        </w:rPr>
        <w:t xml:space="preserve">Consolidated </w:t>
      </w:r>
      <w:r>
        <w:rPr>
          <w:rFonts w:ascii="Times New Roman" w:hAnsi="Times New Roman" w:cs="Times New Roman"/>
        </w:rPr>
        <w:t>D</w:t>
      </w:r>
      <w:r w:rsidRPr="00673697">
        <w:rPr>
          <w:rFonts w:ascii="Times New Roman" w:hAnsi="Times New Roman" w:cs="Times New Roman"/>
        </w:rPr>
        <w:t xml:space="preserve">ockets UE-121697 and UG-121705, </w:t>
      </w:r>
      <w:r>
        <w:rPr>
          <w:rFonts w:ascii="Times New Roman" w:hAnsi="Times New Roman" w:cs="Times New Roman"/>
        </w:rPr>
        <w:t>UE-130137 and UG-130138, Order 07 (Decoupling Order).</w:t>
      </w:r>
      <w:r w:rsidRPr="00B62B61">
        <w:rPr>
          <w:rFonts w:ascii="Times New Roman" w:hAnsi="Times New Roman" w:cs="Times New Roman"/>
        </w:rPr>
        <w:t xml:space="preserve"> </w:t>
      </w:r>
      <w:r w:rsidRPr="00D57FF6">
        <w:rPr>
          <w:rFonts w:ascii="Times New Roman" w:hAnsi="Times New Roman" w:cs="Times New Roman"/>
        </w:rPr>
        <w:t>June 25, 2013.</w:t>
      </w:r>
    </w:p>
  </w:footnote>
  <w:footnote w:id="2">
    <w:p w14:paraId="7E3437E1" w14:textId="77777777" w:rsidR="00DD01BC" w:rsidRPr="00D34BE5" w:rsidRDefault="00DD01BC" w:rsidP="00DD01BC">
      <w:pPr>
        <w:pStyle w:val="FootnoteText"/>
        <w:rPr>
          <w:rFonts w:ascii="Times New Roman" w:hAnsi="Times New Roman" w:cs="Times New Roman"/>
        </w:rPr>
      </w:pPr>
      <w:r w:rsidRPr="00D57FF6">
        <w:rPr>
          <w:rStyle w:val="FootnoteReference"/>
          <w:rFonts w:ascii="Times New Roman" w:hAnsi="Times New Roman" w:cs="Times New Roman"/>
        </w:rPr>
        <w:footnoteRef/>
      </w:r>
      <w:r w:rsidRPr="00D57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Decoupling Order</w:t>
      </w:r>
      <w:r w:rsidRPr="00D57FF6">
        <w:rPr>
          <w:rFonts w:ascii="Times New Roman" w:hAnsi="Times New Roman" w:cs="Times New Roman"/>
        </w:rPr>
        <w:t xml:space="preserve">, at ¶ 27. </w:t>
      </w:r>
    </w:p>
  </w:footnote>
  <w:footnote w:id="3">
    <w:p w14:paraId="0D741687" w14:textId="77777777" w:rsidR="009B7F74" w:rsidRPr="009F7E4E" w:rsidRDefault="009B7F74" w:rsidP="009B7F74">
      <w:pPr>
        <w:pStyle w:val="FootnoteText"/>
        <w:rPr>
          <w:rFonts w:ascii="Times New Roman" w:hAnsi="Times New Roman" w:cs="Times New Roman"/>
        </w:rPr>
      </w:pPr>
      <w:r w:rsidRPr="009F7E4E">
        <w:rPr>
          <w:rStyle w:val="FootnoteReference"/>
          <w:rFonts w:ascii="Times New Roman" w:hAnsi="Times New Roman" w:cs="Times New Roman"/>
        </w:rPr>
        <w:footnoteRef/>
      </w:r>
      <w:r w:rsidRPr="009F7E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Decoupling Order</w:t>
      </w:r>
      <w:r w:rsidRPr="009F7E4E">
        <w:rPr>
          <w:rFonts w:ascii="Times New Roman" w:hAnsi="Times New Roman" w:cs="Times New Roman"/>
        </w:rPr>
        <w:t xml:space="preserve">, at ¶ 165 and 245. </w:t>
      </w:r>
    </w:p>
  </w:footnote>
  <w:footnote w:id="4">
    <w:p w14:paraId="0C41E919" w14:textId="0F992A26" w:rsidR="00C6349A" w:rsidRPr="00BA546A" w:rsidRDefault="00C6349A">
      <w:pPr>
        <w:pStyle w:val="FootnoteText"/>
        <w:rPr>
          <w:rFonts w:ascii="Times New Roman" w:hAnsi="Times New Roman" w:cs="Times New Roman"/>
        </w:rPr>
      </w:pPr>
      <w:r w:rsidRPr="00BA546A">
        <w:rPr>
          <w:rStyle w:val="FootnoteReference"/>
          <w:rFonts w:ascii="Times New Roman" w:hAnsi="Times New Roman" w:cs="Times New Roman"/>
        </w:rPr>
        <w:footnoteRef/>
      </w:r>
      <w:r w:rsidRPr="00BA546A">
        <w:rPr>
          <w:rFonts w:ascii="Times New Roman" w:hAnsi="Times New Roman" w:cs="Times New Roman"/>
        </w:rPr>
        <w:t xml:space="preserve"> In 2014, the </w:t>
      </w:r>
      <w:r w:rsidR="00431CAD">
        <w:rPr>
          <w:rFonts w:ascii="Times New Roman" w:hAnsi="Times New Roman" w:cs="Times New Roman"/>
        </w:rPr>
        <w:t>three percent</w:t>
      </w:r>
      <w:r w:rsidRPr="00BA546A">
        <w:rPr>
          <w:rFonts w:ascii="Times New Roman" w:hAnsi="Times New Roman" w:cs="Times New Roman"/>
        </w:rPr>
        <w:t xml:space="preserve"> soft cap was reached so the complete calendar year 2014 deferral balance could not be amortized. </w:t>
      </w:r>
      <w:r w:rsidR="008D181B" w:rsidRPr="00BA546A">
        <w:rPr>
          <w:rFonts w:ascii="Times New Roman" w:hAnsi="Times New Roman" w:cs="Times New Roman"/>
        </w:rPr>
        <w:t xml:space="preserve">Approximately $5.8 million of the 2014 deferral </w:t>
      </w:r>
      <w:r w:rsidR="000A165C" w:rsidRPr="00BA546A">
        <w:rPr>
          <w:rFonts w:ascii="Times New Roman" w:hAnsi="Times New Roman" w:cs="Times New Roman"/>
        </w:rPr>
        <w:t xml:space="preserve">for residential customers </w:t>
      </w:r>
      <w:r w:rsidR="008D181B" w:rsidRPr="00BA546A">
        <w:rPr>
          <w:rFonts w:ascii="Times New Roman" w:hAnsi="Times New Roman" w:cs="Times New Roman"/>
        </w:rPr>
        <w:t>was deferred to 2015.</w:t>
      </w:r>
      <w:r w:rsidR="00D356AD" w:rsidRPr="00BA546A">
        <w:rPr>
          <w:rFonts w:ascii="Times New Roman" w:hAnsi="Times New Roman" w:cs="Times New Roman"/>
        </w:rPr>
        <w:t xml:space="preserve"> Approximately $5.6 million of the 2014 deferral for non-residential customers was deferred to 2015.</w:t>
      </w:r>
    </w:p>
  </w:footnote>
  <w:footnote w:id="5">
    <w:p w14:paraId="3721C01B" w14:textId="6BAE8872" w:rsidR="000A165C" w:rsidRDefault="000A165C">
      <w:pPr>
        <w:pStyle w:val="FootnoteText"/>
      </w:pPr>
      <w:r w:rsidRPr="00BA546A">
        <w:rPr>
          <w:rStyle w:val="FootnoteReference"/>
          <w:rFonts w:ascii="Times New Roman" w:hAnsi="Times New Roman" w:cs="Times New Roman"/>
        </w:rPr>
        <w:footnoteRef/>
      </w:r>
      <w:r w:rsidRPr="00BA546A">
        <w:rPr>
          <w:rFonts w:ascii="Times New Roman" w:hAnsi="Times New Roman" w:cs="Times New Roman"/>
        </w:rPr>
        <w:t xml:space="preserve"> This amount also includes revenue sensitive items.</w:t>
      </w:r>
      <w:r>
        <w:t xml:space="preserve"> </w:t>
      </w:r>
    </w:p>
  </w:footnote>
  <w:footnote w:id="6">
    <w:p w14:paraId="437E134C" w14:textId="6CDCE4C6" w:rsidR="00043D6B" w:rsidRPr="00BA546A" w:rsidRDefault="00043D6B">
      <w:pPr>
        <w:pStyle w:val="FootnoteText"/>
        <w:rPr>
          <w:rFonts w:ascii="Times New Roman" w:hAnsi="Times New Roman" w:cs="Times New Roman"/>
        </w:rPr>
      </w:pPr>
      <w:r w:rsidRPr="00BA546A">
        <w:rPr>
          <w:rStyle w:val="FootnoteReference"/>
          <w:rFonts w:ascii="Times New Roman" w:hAnsi="Times New Roman" w:cs="Times New Roman"/>
        </w:rPr>
        <w:footnoteRef/>
      </w:r>
      <w:r w:rsidRPr="00BA546A">
        <w:rPr>
          <w:rFonts w:ascii="Times New Roman" w:hAnsi="Times New Roman" w:cs="Times New Roman"/>
        </w:rPr>
        <w:t xml:space="preserve"> This amount will be deferred for later recovery.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7133" w14:textId="6C3C2788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Dockets UE</w:t>
    </w:r>
    <w:r w:rsidRPr="009D69A9">
      <w:rPr>
        <w:rFonts w:ascii="Times New Roman" w:hAnsi="Times New Roman" w:cs="Times New Roman"/>
        <w:sz w:val="20"/>
        <w:szCs w:val="20"/>
      </w:rPr>
      <w:t>-</w:t>
    </w:r>
    <w:r w:rsidR="005708B2">
      <w:rPr>
        <w:rFonts w:ascii="Times New Roman" w:hAnsi="Times New Roman" w:cs="Times New Roman"/>
        <w:sz w:val="20"/>
        <w:szCs w:val="20"/>
      </w:rPr>
      <w:t>160367</w:t>
    </w:r>
    <w:r>
      <w:rPr>
        <w:rFonts w:ascii="Times New Roman" w:hAnsi="Times New Roman" w:cs="Times New Roman"/>
        <w:sz w:val="20"/>
        <w:szCs w:val="20"/>
      </w:rPr>
      <w:t xml:space="preserve"> and UG-</w:t>
    </w:r>
    <w:r w:rsidR="005708B2">
      <w:rPr>
        <w:rFonts w:ascii="Times New Roman" w:hAnsi="Times New Roman" w:cs="Times New Roman"/>
        <w:sz w:val="20"/>
        <w:szCs w:val="20"/>
      </w:rPr>
      <w:t>160368</w:t>
    </w:r>
  </w:p>
  <w:p w14:paraId="74187134" w14:textId="24F10EF9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April </w:t>
    </w:r>
    <w:r w:rsidR="005708B2">
      <w:rPr>
        <w:rFonts w:ascii="Times New Roman" w:hAnsi="Times New Roman" w:cs="Times New Roman"/>
        <w:sz w:val="20"/>
        <w:szCs w:val="20"/>
      </w:rPr>
      <w:t>28, 2016</w:t>
    </w:r>
  </w:p>
  <w:p w14:paraId="74187135" w14:textId="77777777" w:rsidR="00195A46" w:rsidRPr="009D69A9" w:rsidRDefault="00195A46">
    <w:pPr>
      <w:pStyle w:val="Header"/>
      <w:rPr>
        <w:rFonts w:ascii="Times New Roman" w:hAnsi="Times New Roman" w:cs="Times New Roman"/>
        <w:noProof/>
        <w:sz w:val="20"/>
        <w:szCs w:val="20"/>
      </w:rPr>
    </w:pPr>
    <w:r w:rsidRPr="009D69A9">
      <w:rPr>
        <w:rFonts w:ascii="Times New Roman" w:hAnsi="Times New Roman" w:cs="Times New Roman"/>
        <w:sz w:val="20"/>
        <w:szCs w:val="20"/>
      </w:rPr>
      <w:t xml:space="preserve">Page </w:t>
    </w:r>
    <w:r w:rsidRPr="009D69A9">
      <w:rPr>
        <w:rFonts w:ascii="Times New Roman" w:hAnsi="Times New Roman" w:cs="Times New Roman"/>
        <w:sz w:val="20"/>
        <w:szCs w:val="20"/>
      </w:rPr>
      <w:fldChar w:fldCharType="begin"/>
    </w:r>
    <w:r w:rsidRPr="009D69A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D69A9">
      <w:rPr>
        <w:rFonts w:ascii="Times New Roman" w:hAnsi="Times New Roman" w:cs="Times New Roman"/>
        <w:sz w:val="20"/>
        <w:szCs w:val="20"/>
      </w:rPr>
      <w:fldChar w:fldCharType="separate"/>
    </w:r>
    <w:r w:rsidR="00750587">
      <w:rPr>
        <w:rFonts w:ascii="Times New Roman" w:hAnsi="Times New Roman" w:cs="Times New Roman"/>
        <w:noProof/>
        <w:sz w:val="20"/>
        <w:szCs w:val="20"/>
      </w:rPr>
      <w:t>2</w:t>
    </w:r>
    <w:r w:rsidRPr="009D69A9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74187136" w14:textId="77777777" w:rsidR="00195A46" w:rsidRPr="002847BD" w:rsidRDefault="00195A46">
    <w:pPr>
      <w:pStyle w:val="Header"/>
      <w:rPr>
        <w:noProof/>
        <w:sz w:val="20"/>
        <w:szCs w:val="20"/>
      </w:rPr>
    </w:pPr>
  </w:p>
  <w:p w14:paraId="74187137" w14:textId="77777777" w:rsidR="00195A46" w:rsidRPr="002847BD" w:rsidRDefault="00195A4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412A"/>
    <w:multiLevelType w:val="hybridMultilevel"/>
    <w:tmpl w:val="5448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74A"/>
    <w:multiLevelType w:val="hybridMultilevel"/>
    <w:tmpl w:val="98E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94327"/>
    <w:multiLevelType w:val="hybridMultilevel"/>
    <w:tmpl w:val="E686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0AC4"/>
    <w:multiLevelType w:val="hybridMultilevel"/>
    <w:tmpl w:val="441A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03BF3"/>
    <w:multiLevelType w:val="hybridMultilevel"/>
    <w:tmpl w:val="79449090"/>
    <w:lvl w:ilvl="0" w:tplc="EF22ABB2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4A5863"/>
    <w:multiLevelType w:val="hybridMultilevel"/>
    <w:tmpl w:val="2856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F7630"/>
    <w:multiLevelType w:val="hybridMultilevel"/>
    <w:tmpl w:val="CC2E7EE0"/>
    <w:lvl w:ilvl="0" w:tplc="A882F348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4"/>
    <w:rsid w:val="00002360"/>
    <w:rsid w:val="000040E5"/>
    <w:rsid w:val="00014439"/>
    <w:rsid w:val="00016312"/>
    <w:rsid w:val="00016F64"/>
    <w:rsid w:val="000262EC"/>
    <w:rsid w:val="0002747A"/>
    <w:rsid w:val="000276E2"/>
    <w:rsid w:val="000327E2"/>
    <w:rsid w:val="000342BF"/>
    <w:rsid w:val="00037338"/>
    <w:rsid w:val="00043D6B"/>
    <w:rsid w:val="00044BDB"/>
    <w:rsid w:val="0005245C"/>
    <w:rsid w:val="000539B3"/>
    <w:rsid w:val="00056326"/>
    <w:rsid w:val="0006067B"/>
    <w:rsid w:val="000616AA"/>
    <w:rsid w:val="00062CAF"/>
    <w:rsid w:val="000631DE"/>
    <w:rsid w:val="0006435D"/>
    <w:rsid w:val="00066157"/>
    <w:rsid w:val="00071E93"/>
    <w:rsid w:val="00075DE8"/>
    <w:rsid w:val="00076AD1"/>
    <w:rsid w:val="00080406"/>
    <w:rsid w:val="00081744"/>
    <w:rsid w:val="000832FA"/>
    <w:rsid w:val="00083332"/>
    <w:rsid w:val="0008628E"/>
    <w:rsid w:val="000916EE"/>
    <w:rsid w:val="00091859"/>
    <w:rsid w:val="00097ED7"/>
    <w:rsid w:val="000A165C"/>
    <w:rsid w:val="000A1D1E"/>
    <w:rsid w:val="000A4AC8"/>
    <w:rsid w:val="000A617D"/>
    <w:rsid w:val="000B5CD9"/>
    <w:rsid w:val="000C4192"/>
    <w:rsid w:val="000C461C"/>
    <w:rsid w:val="000C55CD"/>
    <w:rsid w:val="000D523D"/>
    <w:rsid w:val="000D58AA"/>
    <w:rsid w:val="000D6771"/>
    <w:rsid w:val="000E2888"/>
    <w:rsid w:val="000E4682"/>
    <w:rsid w:val="000E640C"/>
    <w:rsid w:val="000F1E3C"/>
    <w:rsid w:val="000F5A48"/>
    <w:rsid w:val="00104338"/>
    <w:rsid w:val="0010537B"/>
    <w:rsid w:val="00106693"/>
    <w:rsid w:val="00114019"/>
    <w:rsid w:val="001231CA"/>
    <w:rsid w:val="00123447"/>
    <w:rsid w:val="00123AC1"/>
    <w:rsid w:val="00127D35"/>
    <w:rsid w:val="00141895"/>
    <w:rsid w:val="00143B3C"/>
    <w:rsid w:val="001476C1"/>
    <w:rsid w:val="001546B7"/>
    <w:rsid w:val="0015493F"/>
    <w:rsid w:val="001617D7"/>
    <w:rsid w:val="001626B9"/>
    <w:rsid w:val="00164674"/>
    <w:rsid w:val="00165347"/>
    <w:rsid w:val="001658F9"/>
    <w:rsid w:val="001679B1"/>
    <w:rsid w:val="00170C9C"/>
    <w:rsid w:val="00171BBB"/>
    <w:rsid w:val="00175CC4"/>
    <w:rsid w:val="00182724"/>
    <w:rsid w:val="00183E45"/>
    <w:rsid w:val="00185F30"/>
    <w:rsid w:val="00190D05"/>
    <w:rsid w:val="00195A46"/>
    <w:rsid w:val="00195B3C"/>
    <w:rsid w:val="001A3B8F"/>
    <w:rsid w:val="001A7F76"/>
    <w:rsid w:val="001B180C"/>
    <w:rsid w:val="001B6B37"/>
    <w:rsid w:val="001C05E3"/>
    <w:rsid w:val="001C10C0"/>
    <w:rsid w:val="001C5AB1"/>
    <w:rsid w:val="001C6511"/>
    <w:rsid w:val="001C686F"/>
    <w:rsid w:val="001C7E91"/>
    <w:rsid w:val="001D0659"/>
    <w:rsid w:val="001D1CCD"/>
    <w:rsid w:val="001D25DB"/>
    <w:rsid w:val="001D3D0C"/>
    <w:rsid w:val="001D529D"/>
    <w:rsid w:val="001D5EFD"/>
    <w:rsid w:val="001E131E"/>
    <w:rsid w:val="001E1D61"/>
    <w:rsid w:val="001E1D7A"/>
    <w:rsid w:val="001E1F62"/>
    <w:rsid w:val="001E3030"/>
    <w:rsid w:val="001E344F"/>
    <w:rsid w:val="001F2E11"/>
    <w:rsid w:val="001F5A09"/>
    <w:rsid w:val="001F72BC"/>
    <w:rsid w:val="002028E0"/>
    <w:rsid w:val="002149BA"/>
    <w:rsid w:val="0021768F"/>
    <w:rsid w:val="00222461"/>
    <w:rsid w:val="00232097"/>
    <w:rsid w:val="00243CF4"/>
    <w:rsid w:val="00245399"/>
    <w:rsid w:val="00247ED0"/>
    <w:rsid w:val="002554EA"/>
    <w:rsid w:val="00262A5F"/>
    <w:rsid w:val="00263BE4"/>
    <w:rsid w:val="0026435F"/>
    <w:rsid w:val="00271ABC"/>
    <w:rsid w:val="00272A9B"/>
    <w:rsid w:val="00272D4A"/>
    <w:rsid w:val="00274255"/>
    <w:rsid w:val="002748F2"/>
    <w:rsid w:val="00276399"/>
    <w:rsid w:val="002847BD"/>
    <w:rsid w:val="002859B6"/>
    <w:rsid w:val="002874D8"/>
    <w:rsid w:val="00296CD2"/>
    <w:rsid w:val="0029787A"/>
    <w:rsid w:val="002A0C0C"/>
    <w:rsid w:val="002A11B7"/>
    <w:rsid w:val="002A1C76"/>
    <w:rsid w:val="002A1F03"/>
    <w:rsid w:val="002A436E"/>
    <w:rsid w:val="002A447C"/>
    <w:rsid w:val="002A7914"/>
    <w:rsid w:val="002B59A9"/>
    <w:rsid w:val="002C0194"/>
    <w:rsid w:val="002C039A"/>
    <w:rsid w:val="002C46C8"/>
    <w:rsid w:val="002C61F6"/>
    <w:rsid w:val="002D1C59"/>
    <w:rsid w:val="002D2075"/>
    <w:rsid w:val="002D23B5"/>
    <w:rsid w:val="002D3848"/>
    <w:rsid w:val="002D5337"/>
    <w:rsid w:val="002D7392"/>
    <w:rsid w:val="002E03A3"/>
    <w:rsid w:val="002E7571"/>
    <w:rsid w:val="002F4587"/>
    <w:rsid w:val="00300268"/>
    <w:rsid w:val="00305B49"/>
    <w:rsid w:val="00306AA0"/>
    <w:rsid w:val="003101F4"/>
    <w:rsid w:val="0031171E"/>
    <w:rsid w:val="00316B90"/>
    <w:rsid w:val="0032042A"/>
    <w:rsid w:val="00320A18"/>
    <w:rsid w:val="003218AF"/>
    <w:rsid w:val="003248AF"/>
    <w:rsid w:val="0032773E"/>
    <w:rsid w:val="00336AEC"/>
    <w:rsid w:val="003377CA"/>
    <w:rsid w:val="00340099"/>
    <w:rsid w:val="00340D57"/>
    <w:rsid w:val="00340DBD"/>
    <w:rsid w:val="00343DD9"/>
    <w:rsid w:val="00345A36"/>
    <w:rsid w:val="00346158"/>
    <w:rsid w:val="003544D2"/>
    <w:rsid w:val="003564AB"/>
    <w:rsid w:val="00363ACD"/>
    <w:rsid w:val="00365750"/>
    <w:rsid w:val="00365A1A"/>
    <w:rsid w:val="00365B44"/>
    <w:rsid w:val="0036663C"/>
    <w:rsid w:val="00367FFB"/>
    <w:rsid w:val="00371890"/>
    <w:rsid w:val="0037410E"/>
    <w:rsid w:val="0038232F"/>
    <w:rsid w:val="0038314B"/>
    <w:rsid w:val="00383A06"/>
    <w:rsid w:val="003848AA"/>
    <w:rsid w:val="003851D1"/>
    <w:rsid w:val="00395246"/>
    <w:rsid w:val="003A42F5"/>
    <w:rsid w:val="003A7BEC"/>
    <w:rsid w:val="003B47A5"/>
    <w:rsid w:val="003B4A34"/>
    <w:rsid w:val="003B678A"/>
    <w:rsid w:val="003B7059"/>
    <w:rsid w:val="003D17FF"/>
    <w:rsid w:val="003D75AC"/>
    <w:rsid w:val="003E5D52"/>
    <w:rsid w:val="003F1A49"/>
    <w:rsid w:val="003F2FA4"/>
    <w:rsid w:val="003F3B3C"/>
    <w:rsid w:val="003F5BAD"/>
    <w:rsid w:val="003F6C02"/>
    <w:rsid w:val="004011FB"/>
    <w:rsid w:val="00401566"/>
    <w:rsid w:val="00401787"/>
    <w:rsid w:val="00404795"/>
    <w:rsid w:val="00405EF8"/>
    <w:rsid w:val="00406925"/>
    <w:rsid w:val="00406D60"/>
    <w:rsid w:val="00410448"/>
    <w:rsid w:val="00411F5D"/>
    <w:rsid w:val="0041400E"/>
    <w:rsid w:val="0041527E"/>
    <w:rsid w:val="004205D7"/>
    <w:rsid w:val="0042390C"/>
    <w:rsid w:val="0042479B"/>
    <w:rsid w:val="00426B44"/>
    <w:rsid w:val="00431CAD"/>
    <w:rsid w:val="00431DCF"/>
    <w:rsid w:val="004355D6"/>
    <w:rsid w:val="00435D68"/>
    <w:rsid w:val="00436981"/>
    <w:rsid w:val="004478E3"/>
    <w:rsid w:val="00451346"/>
    <w:rsid w:val="00454F7D"/>
    <w:rsid w:val="00456835"/>
    <w:rsid w:val="00463CA7"/>
    <w:rsid w:val="00464BCE"/>
    <w:rsid w:val="004702E4"/>
    <w:rsid w:val="0047376E"/>
    <w:rsid w:val="00476869"/>
    <w:rsid w:val="004802CF"/>
    <w:rsid w:val="00481C20"/>
    <w:rsid w:val="0048678A"/>
    <w:rsid w:val="00491656"/>
    <w:rsid w:val="004956CC"/>
    <w:rsid w:val="004A42B8"/>
    <w:rsid w:val="004A68EE"/>
    <w:rsid w:val="004C3746"/>
    <w:rsid w:val="004D09E2"/>
    <w:rsid w:val="004D322C"/>
    <w:rsid w:val="004D33F0"/>
    <w:rsid w:val="004D583A"/>
    <w:rsid w:val="004E036F"/>
    <w:rsid w:val="004E0B86"/>
    <w:rsid w:val="004E2B53"/>
    <w:rsid w:val="004E3757"/>
    <w:rsid w:val="004E3B2B"/>
    <w:rsid w:val="004E4B0D"/>
    <w:rsid w:val="004E767F"/>
    <w:rsid w:val="004F1448"/>
    <w:rsid w:val="004F1C47"/>
    <w:rsid w:val="0050102B"/>
    <w:rsid w:val="00501881"/>
    <w:rsid w:val="00506415"/>
    <w:rsid w:val="00510799"/>
    <w:rsid w:val="0051333E"/>
    <w:rsid w:val="005139B6"/>
    <w:rsid w:val="00521BD3"/>
    <w:rsid w:val="00522B1D"/>
    <w:rsid w:val="0052400D"/>
    <w:rsid w:val="00524514"/>
    <w:rsid w:val="00525026"/>
    <w:rsid w:val="0053099E"/>
    <w:rsid w:val="00530E37"/>
    <w:rsid w:val="00534180"/>
    <w:rsid w:val="00534E25"/>
    <w:rsid w:val="005357D9"/>
    <w:rsid w:val="00535F8A"/>
    <w:rsid w:val="00543026"/>
    <w:rsid w:val="00545D0C"/>
    <w:rsid w:val="00552600"/>
    <w:rsid w:val="00557DC3"/>
    <w:rsid w:val="005620A3"/>
    <w:rsid w:val="005634F3"/>
    <w:rsid w:val="00564118"/>
    <w:rsid w:val="00565F0B"/>
    <w:rsid w:val="005708B2"/>
    <w:rsid w:val="00570FF7"/>
    <w:rsid w:val="00571672"/>
    <w:rsid w:val="005749E9"/>
    <w:rsid w:val="0057600A"/>
    <w:rsid w:val="00586619"/>
    <w:rsid w:val="00587E74"/>
    <w:rsid w:val="005907A4"/>
    <w:rsid w:val="00592CDA"/>
    <w:rsid w:val="00594AE7"/>
    <w:rsid w:val="005970AD"/>
    <w:rsid w:val="005975BD"/>
    <w:rsid w:val="005A03B0"/>
    <w:rsid w:val="005A1E25"/>
    <w:rsid w:val="005A324F"/>
    <w:rsid w:val="005A326C"/>
    <w:rsid w:val="005A3548"/>
    <w:rsid w:val="005A3974"/>
    <w:rsid w:val="005A551C"/>
    <w:rsid w:val="005A65F5"/>
    <w:rsid w:val="005A6C74"/>
    <w:rsid w:val="005B129E"/>
    <w:rsid w:val="005B5CB4"/>
    <w:rsid w:val="005B615C"/>
    <w:rsid w:val="005B6B45"/>
    <w:rsid w:val="005B746E"/>
    <w:rsid w:val="005C0DF6"/>
    <w:rsid w:val="005C3D58"/>
    <w:rsid w:val="005D08D2"/>
    <w:rsid w:val="005D1074"/>
    <w:rsid w:val="005D1457"/>
    <w:rsid w:val="005D3000"/>
    <w:rsid w:val="005D34D2"/>
    <w:rsid w:val="005D37B7"/>
    <w:rsid w:val="005D3D6B"/>
    <w:rsid w:val="005E1B5F"/>
    <w:rsid w:val="005E2694"/>
    <w:rsid w:val="005E2D98"/>
    <w:rsid w:val="005E2E3D"/>
    <w:rsid w:val="005E7069"/>
    <w:rsid w:val="005F3A75"/>
    <w:rsid w:val="005F3D25"/>
    <w:rsid w:val="005F5A8A"/>
    <w:rsid w:val="005F625C"/>
    <w:rsid w:val="005F6A4E"/>
    <w:rsid w:val="0060068B"/>
    <w:rsid w:val="00610348"/>
    <w:rsid w:val="00611AF1"/>
    <w:rsid w:val="00615D88"/>
    <w:rsid w:val="006167B8"/>
    <w:rsid w:val="00624FCE"/>
    <w:rsid w:val="006312F4"/>
    <w:rsid w:val="00637276"/>
    <w:rsid w:val="00637DC9"/>
    <w:rsid w:val="006414B4"/>
    <w:rsid w:val="006424E3"/>
    <w:rsid w:val="00643AC2"/>
    <w:rsid w:val="00644B63"/>
    <w:rsid w:val="006478CB"/>
    <w:rsid w:val="00652DFB"/>
    <w:rsid w:val="006561F6"/>
    <w:rsid w:val="00661479"/>
    <w:rsid w:val="006665D8"/>
    <w:rsid w:val="006670EA"/>
    <w:rsid w:val="00667B03"/>
    <w:rsid w:val="006729EE"/>
    <w:rsid w:val="00672F7B"/>
    <w:rsid w:val="00673697"/>
    <w:rsid w:val="00685EA2"/>
    <w:rsid w:val="00692A75"/>
    <w:rsid w:val="006971BE"/>
    <w:rsid w:val="006A17F8"/>
    <w:rsid w:val="006A19DF"/>
    <w:rsid w:val="006A1DD8"/>
    <w:rsid w:val="006A2D04"/>
    <w:rsid w:val="006A41EE"/>
    <w:rsid w:val="006A49BD"/>
    <w:rsid w:val="006B00B9"/>
    <w:rsid w:val="006B0431"/>
    <w:rsid w:val="006B0DB5"/>
    <w:rsid w:val="006B648D"/>
    <w:rsid w:val="006B6D56"/>
    <w:rsid w:val="006C30A0"/>
    <w:rsid w:val="006C378D"/>
    <w:rsid w:val="006C5085"/>
    <w:rsid w:val="006D260A"/>
    <w:rsid w:val="006D79B1"/>
    <w:rsid w:val="006E3687"/>
    <w:rsid w:val="006F02E0"/>
    <w:rsid w:val="006F4A6F"/>
    <w:rsid w:val="0070376C"/>
    <w:rsid w:val="00704051"/>
    <w:rsid w:val="00713EEA"/>
    <w:rsid w:val="007158C7"/>
    <w:rsid w:val="007159C8"/>
    <w:rsid w:val="00716C68"/>
    <w:rsid w:val="0072171F"/>
    <w:rsid w:val="0072770D"/>
    <w:rsid w:val="00730F5C"/>
    <w:rsid w:val="007376CF"/>
    <w:rsid w:val="00737A60"/>
    <w:rsid w:val="00737C04"/>
    <w:rsid w:val="00744F5C"/>
    <w:rsid w:val="00746645"/>
    <w:rsid w:val="00750587"/>
    <w:rsid w:val="00750901"/>
    <w:rsid w:val="00753EF8"/>
    <w:rsid w:val="0075530A"/>
    <w:rsid w:val="00757F84"/>
    <w:rsid w:val="00761E55"/>
    <w:rsid w:val="00765645"/>
    <w:rsid w:val="00765D90"/>
    <w:rsid w:val="00765ED6"/>
    <w:rsid w:val="007669DC"/>
    <w:rsid w:val="0077169D"/>
    <w:rsid w:val="00771BBC"/>
    <w:rsid w:val="00771E64"/>
    <w:rsid w:val="007731CF"/>
    <w:rsid w:val="007768FF"/>
    <w:rsid w:val="007814DD"/>
    <w:rsid w:val="00782DBC"/>
    <w:rsid w:val="00784C41"/>
    <w:rsid w:val="00784E22"/>
    <w:rsid w:val="00795A1F"/>
    <w:rsid w:val="00795A67"/>
    <w:rsid w:val="00796A39"/>
    <w:rsid w:val="00796A64"/>
    <w:rsid w:val="007A07B4"/>
    <w:rsid w:val="007A0E43"/>
    <w:rsid w:val="007A41BD"/>
    <w:rsid w:val="007B0CB7"/>
    <w:rsid w:val="007B1B1A"/>
    <w:rsid w:val="007B2DFB"/>
    <w:rsid w:val="007C0117"/>
    <w:rsid w:val="007C059F"/>
    <w:rsid w:val="007C2573"/>
    <w:rsid w:val="007D00BB"/>
    <w:rsid w:val="007D0D52"/>
    <w:rsid w:val="007D486E"/>
    <w:rsid w:val="007D645D"/>
    <w:rsid w:val="007D64C5"/>
    <w:rsid w:val="007D7AFE"/>
    <w:rsid w:val="007E156E"/>
    <w:rsid w:val="007E1E9D"/>
    <w:rsid w:val="007E2B12"/>
    <w:rsid w:val="007E4D11"/>
    <w:rsid w:val="007E7E6B"/>
    <w:rsid w:val="007F79ED"/>
    <w:rsid w:val="00802AE9"/>
    <w:rsid w:val="00802F28"/>
    <w:rsid w:val="00804765"/>
    <w:rsid w:val="00805404"/>
    <w:rsid w:val="00811A38"/>
    <w:rsid w:val="0081340C"/>
    <w:rsid w:val="00820D6E"/>
    <w:rsid w:val="00822B5D"/>
    <w:rsid w:val="00825421"/>
    <w:rsid w:val="0082756C"/>
    <w:rsid w:val="00833A4F"/>
    <w:rsid w:val="00840F7A"/>
    <w:rsid w:val="008479E0"/>
    <w:rsid w:val="00847D23"/>
    <w:rsid w:val="00854143"/>
    <w:rsid w:val="0085420B"/>
    <w:rsid w:val="0085533E"/>
    <w:rsid w:val="00856E2F"/>
    <w:rsid w:val="00860D5F"/>
    <w:rsid w:val="008624B7"/>
    <w:rsid w:val="00862A2F"/>
    <w:rsid w:val="00866891"/>
    <w:rsid w:val="008669A1"/>
    <w:rsid w:val="00866D06"/>
    <w:rsid w:val="00870766"/>
    <w:rsid w:val="00871C02"/>
    <w:rsid w:val="00875A36"/>
    <w:rsid w:val="008766D4"/>
    <w:rsid w:val="008767DF"/>
    <w:rsid w:val="008829D8"/>
    <w:rsid w:val="00886DFA"/>
    <w:rsid w:val="008905C1"/>
    <w:rsid w:val="00890633"/>
    <w:rsid w:val="00892B89"/>
    <w:rsid w:val="00892E20"/>
    <w:rsid w:val="00893DDF"/>
    <w:rsid w:val="00894571"/>
    <w:rsid w:val="00894B2A"/>
    <w:rsid w:val="0089527C"/>
    <w:rsid w:val="0089559A"/>
    <w:rsid w:val="008A4272"/>
    <w:rsid w:val="008A5A7D"/>
    <w:rsid w:val="008A5B48"/>
    <w:rsid w:val="008A64E6"/>
    <w:rsid w:val="008B03FE"/>
    <w:rsid w:val="008B471E"/>
    <w:rsid w:val="008B4FA1"/>
    <w:rsid w:val="008C3C59"/>
    <w:rsid w:val="008C4D9C"/>
    <w:rsid w:val="008C6647"/>
    <w:rsid w:val="008C7ACD"/>
    <w:rsid w:val="008D181B"/>
    <w:rsid w:val="008D4A29"/>
    <w:rsid w:val="008D7418"/>
    <w:rsid w:val="008E5C82"/>
    <w:rsid w:val="008E7D3E"/>
    <w:rsid w:val="008F383A"/>
    <w:rsid w:val="0090017B"/>
    <w:rsid w:val="00900779"/>
    <w:rsid w:val="00900811"/>
    <w:rsid w:val="00904FAD"/>
    <w:rsid w:val="00907122"/>
    <w:rsid w:val="00907A9E"/>
    <w:rsid w:val="0091048C"/>
    <w:rsid w:val="00911161"/>
    <w:rsid w:val="00912A8F"/>
    <w:rsid w:val="00914669"/>
    <w:rsid w:val="0092408A"/>
    <w:rsid w:val="009255E1"/>
    <w:rsid w:val="00927127"/>
    <w:rsid w:val="009302CD"/>
    <w:rsid w:val="00934762"/>
    <w:rsid w:val="00937F30"/>
    <w:rsid w:val="00941201"/>
    <w:rsid w:val="009423C3"/>
    <w:rsid w:val="00944FFC"/>
    <w:rsid w:val="00953492"/>
    <w:rsid w:val="00964CDE"/>
    <w:rsid w:val="009710AF"/>
    <w:rsid w:val="0097543A"/>
    <w:rsid w:val="00980AAF"/>
    <w:rsid w:val="009824E4"/>
    <w:rsid w:val="0098513D"/>
    <w:rsid w:val="00986BF4"/>
    <w:rsid w:val="00991C7F"/>
    <w:rsid w:val="00992A51"/>
    <w:rsid w:val="00997BD5"/>
    <w:rsid w:val="009A0770"/>
    <w:rsid w:val="009A323A"/>
    <w:rsid w:val="009A445F"/>
    <w:rsid w:val="009A5BDD"/>
    <w:rsid w:val="009A6CAE"/>
    <w:rsid w:val="009A7C9B"/>
    <w:rsid w:val="009B151D"/>
    <w:rsid w:val="009B2908"/>
    <w:rsid w:val="009B2EA9"/>
    <w:rsid w:val="009B5560"/>
    <w:rsid w:val="009B57F8"/>
    <w:rsid w:val="009B608F"/>
    <w:rsid w:val="009B6BB8"/>
    <w:rsid w:val="009B7F74"/>
    <w:rsid w:val="009C29C2"/>
    <w:rsid w:val="009C55C2"/>
    <w:rsid w:val="009D3F84"/>
    <w:rsid w:val="009D49EE"/>
    <w:rsid w:val="009D69A9"/>
    <w:rsid w:val="009D6BD9"/>
    <w:rsid w:val="009D7447"/>
    <w:rsid w:val="009E1927"/>
    <w:rsid w:val="009E2E64"/>
    <w:rsid w:val="009E3A11"/>
    <w:rsid w:val="009E4DD3"/>
    <w:rsid w:val="009E564F"/>
    <w:rsid w:val="009F021D"/>
    <w:rsid w:val="009F2F67"/>
    <w:rsid w:val="009F3D45"/>
    <w:rsid w:val="009F7E4E"/>
    <w:rsid w:val="00A05A1B"/>
    <w:rsid w:val="00A07C8D"/>
    <w:rsid w:val="00A10276"/>
    <w:rsid w:val="00A13E09"/>
    <w:rsid w:val="00A14626"/>
    <w:rsid w:val="00A228C6"/>
    <w:rsid w:val="00A236F9"/>
    <w:rsid w:val="00A3541C"/>
    <w:rsid w:val="00A35E5A"/>
    <w:rsid w:val="00A37037"/>
    <w:rsid w:val="00A377D0"/>
    <w:rsid w:val="00A41B84"/>
    <w:rsid w:val="00A46B56"/>
    <w:rsid w:val="00A528F2"/>
    <w:rsid w:val="00A53C4F"/>
    <w:rsid w:val="00A56A4B"/>
    <w:rsid w:val="00A579D0"/>
    <w:rsid w:val="00A64E40"/>
    <w:rsid w:val="00A67CBB"/>
    <w:rsid w:val="00A72356"/>
    <w:rsid w:val="00A77FAA"/>
    <w:rsid w:val="00A8121D"/>
    <w:rsid w:val="00A84C2A"/>
    <w:rsid w:val="00A851D6"/>
    <w:rsid w:val="00A85FE5"/>
    <w:rsid w:val="00A922AB"/>
    <w:rsid w:val="00A96E06"/>
    <w:rsid w:val="00AA55A4"/>
    <w:rsid w:val="00AB1FE6"/>
    <w:rsid w:val="00AB7D63"/>
    <w:rsid w:val="00AC124C"/>
    <w:rsid w:val="00AC45C2"/>
    <w:rsid w:val="00AD3312"/>
    <w:rsid w:val="00AD484A"/>
    <w:rsid w:val="00AD545A"/>
    <w:rsid w:val="00AD54E6"/>
    <w:rsid w:val="00AD6046"/>
    <w:rsid w:val="00AD67EC"/>
    <w:rsid w:val="00AD6DD7"/>
    <w:rsid w:val="00AD7EC0"/>
    <w:rsid w:val="00AE09D4"/>
    <w:rsid w:val="00AE273E"/>
    <w:rsid w:val="00AE369D"/>
    <w:rsid w:val="00AE7F1C"/>
    <w:rsid w:val="00AF6CF1"/>
    <w:rsid w:val="00B0127F"/>
    <w:rsid w:val="00B0564B"/>
    <w:rsid w:val="00B0619E"/>
    <w:rsid w:val="00B11F2C"/>
    <w:rsid w:val="00B13041"/>
    <w:rsid w:val="00B13583"/>
    <w:rsid w:val="00B17818"/>
    <w:rsid w:val="00B2380E"/>
    <w:rsid w:val="00B255A7"/>
    <w:rsid w:val="00B2647F"/>
    <w:rsid w:val="00B3213E"/>
    <w:rsid w:val="00B33819"/>
    <w:rsid w:val="00B3481A"/>
    <w:rsid w:val="00B34BCF"/>
    <w:rsid w:val="00B40C4A"/>
    <w:rsid w:val="00B439D6"/>
    <w:rsid w:val="00B45619"/>
    <w:rsid w:val="00B47C54"/>
    <w:rsid w:val="00B52E8F"/>
    <w:rsid w:val="00B5434D"/>
    <w:rsid w:val="00B60E0C"/>
    <w:rsid w:val="00B62B61"/>
    <w:rsid w:val="00B64C99"/>
    <w:rsid w:val="00B6783B"/>
    <w:rsid w:val="00B745E9"/>
    <w:rsid w:val="00B7505A"/>
    <w:rsid w:val="00B757A8"/>
    <w:rsid w:val="00B90172"/>
    <w:rsid w:val="00B94AAA"/>
    <w:rsid w:val="00BA15A1"/>
    <w:rsid w:val="00BA226E"/>
    <w:rsid w:val="00BA3257"/>
    <w:rsid w:val="00BA546A"/>
    <w:rsid w:val="00BA65FA"/>
    <w:rsid w:val="00BA7E47"/>
    <w:rsid w:val="00BB08F5"/>
    <w:rsid w:val="00BB4950"/>
    <w:rsid w:val="00BD06AF"/>
    <w:rsid w:val="00BD0797"/>
    <w:rsid w:val="00BD4F63"/>
    <w:rsid w:val="00BD6E88"/>
    <w:rsid w:val="00BE3446"/>
    <w:rsid w:val="00BE67CD"/>
    <w:rsid w:val="00BE69DD"/>
    <w:rsid w:val="00BE7346"/>
    <w:rsid w:val="00BF04EA"/>
    <w:rsid w:val="00BF2C47"/>
    <w:rsid w:val="00BF344A"/>
    <w:rsid w:val="00BF6C6D"/>
    <w:rsid w:val="00C01A9E"/>
    <w:rsid w:val="00C04165"/>
    <w:rsid w:val="00C13C4F"/>
    <w:rsid w:val="00C1557B"/>
    <w:rsid w:val="00C231A1"/>
    <w:rsid w:val="00C2487D"/>
    <w:rsid w:val="00C26C75"/>
    <w:rsid w:val="00C35DEB"/>
    <w:rsid w:val="00C47C48"/>
    <w:rsid w:val="00C553A7"/>
    <w:rsid w:val="00C6237D"/>
    <w:rsid w:val="00C6349A"/>
    <w:rsid w:val="00C64273"/>
    <w:rsid w:val="00C66DFB"/>
    <w:rsid w:val="00C71B1A"/>
    <w:rsid w:val="00C80716"/>
    <w:rsid w:val="00C82951"/>
    <w:rsid w:val="00C90F8D"/>
    <w:rsid w:val="00C925EB"/>
    <w:rsid w:val="00C94531"/>
    <w:rsid w:val="00C963F9"/>
    <w:rsid w:val="00C97453"/>
    <w:rsid w:val="00CA63E1"/>
    <w:rsid w:val="00CA71A7"/>
    <w:rsid w:val="00CA7746"/>
    <w:rsid w:val="00CB04A6"/>
    <w:rsid w:val="00CB1054"/>
    <w:rsid w:val="00CB4DC7"/>
    <w:rsid w:val="00CB745A"/>
    <w:rsid w:val="00CC3790"/>
    <w:rsid w:val="00CC4DBA"/>
    <w:rsid w:val="00CC51DC"/>
    <w:rsid w:val="00CC5822"/>
    <w:rsid w:val="00CC6904"/>
    <w:rsid w:val="00CD3F1E"/>
    <w:rsid w:val="00CD5EC1"/>
    <w:rsid w:val="00CD5ED1"/>
    <w:rsid w:val="00CD6517"/>
    <w:rsid w:val="00CD7793"/>
    <w:rsid w:val="00CE707E"/>
    <w:rsid w:val="00CF4B60"/>
    <w:rsid w:val="00CF5D9C"/>
    <w:rsid w:val="00D02D2D"/>
    <w:rsid w:val="00D0709D"/>
    <w:rsid w:val="00D125D7"/>
    <w:rsid w:val="00D12CE7"/>
    <w:rsid w:val="00D13771"/>
    <w:rsid w:val="00D171DB"/>
    <w:rsid w:val="00D20C65"/>
    <w:rsid w:val="00D217EF"/>
    <w:rsid w:val="00D2245B"/>
    <w:rsid w:val="00D226E8"/>
    <w:rsid w:val="00D242F9"/>
    <w:rsid w:val="00D25AA3"/>
    <w:rsid w:val="00D2675B"/>
    <w:rsid w:val="00D328A5"/>
    <w:rsid w:val="00D32C4B"/>
    <w:rsid w:val="00D33C71"/>
    <w:rsid w:val="00D34BE5"/>
    <w:rsid w:val="00D356AD"/>
    <w:rsid w:val="00D359F0"/>
    <w:rsid w:val="00D36B0A"/>
    <w:rsid w:val="00D4063C"/>
    <w:rsid w:val="00D42009"/>
    <w:rsid w:val="00D43A7A"/>
    <w:rsid w:val="00D47330"/>
    <w:rsid w:val="00D5115A"/>
    <w:rsid w:val="00D523DC"/>
    <w:rsid w:val="00D52419"/>
    <w:rsid w:val="00D5490F"/>
    <w:rsid w:val="00D57FF6"/>
    <w:rsid w:val="00D60C64"/>
    <w:rsid w:val="00D61508"/>
    <w:rsid w:val="00D6703B"/>
    <w:rsid w:val="00D705EF"/>
    <w:rsid w:val="00D70DDE"/>
    <w:rsid w:val="00D70FDC"/>
    <w:rsid w:val="00D737D9"/>
    <w:rsid w:val="00D744BE"/>
    <w:rsid w:val="00D756F5"/>
    <w:rsid w:val="00D76FF5"/>
    <w:rsid w:val="00D84F3A"/>
    <w:rsid w:val="00D8627B"/>
    <w:rsid w:val="00D87E23"/>
    <w:rsid w:val="00D93889"/>
    <w:rsid w:val="00D94E82"/>
    <w:rsid w:val="00D96E9C"/>
    <w:rsid w:val="00DA0276"/>
    <w:rsid w:val="00DA1B86"/>
    <w:rsid w:val="00DA453D"/>
    <w:rsid w:val="00DA525C"/>
    <w:rsid w:val="00DB18B3"/>
    <w:rsid w:val="00DB24C9"/>
    <w:rsid w:val="00DB2EE5"/>
    <w:rsid w:val="00DC0DF6"/>
    <w:rsid w:val="00DC1438"/>
    <w:rsid w:val="00DC6BFF"/>
    <w:rsid w:val="00DD01BC"/>
    <w:rsid w:val="00DD1847"/>
    <w:rsid w:val="00DD2A47"/>
    <w:rsid w:val="00DD3791"/>
    <w:rsid w:val="00DD719B"/>
    <w:rsid w:val="00DD77EA"/>
    <w:rsid w:val="00DE15CA"/>
    <w:rsid w:val="00DE451E"/>
    <w:rsid w:val="00DE6FF8"/>
    <w:rsid w:val="00DF373D"/>
    <w:rsid w:val="00DF6D1E"/>
    <w:rsid w:val="00DF7334"/>
    <w:rsid w:val="00E002D5"/>
    <w:rsid w:val="00E02D8C"/>
    <w:rsid w:val="00E03285"/>
    <w:rsid w:val="00E03CDC"/>
    <w:rsid w:val="00E04042"/>
    <w:rsid w:val="00E07061"/>
    <w:rsid w:val="00E0740E"/>
    <w:rsid w:val="00E10102"/>
    <w:rsid w:val="00E10D33"/>
    <w:rsid w:val="00E129C0"/>
    <w:rsid w:val="00E1598D"/>
    <w:rsid w:val="00E159C4"/>
    <w:rsid w:val="00E27066"/>
    <w:rsid w:val="00E35794"/>
    <w:rsid w:val="00E36383"/>
    <w:rsid w:val="00E36D9B"/>
    <w:rsid w:val="00E406F7"/>
    <w:rsid w:val="00E43383"/>
    <w:rsid w:val="00E43875"/>
    <w:rsid w:val="00E45894"/>
    <w:rsid w:val="00E516F4"/>
    <w:rsid w:val="00E53E62"/>
    <w:rsid w:val="00E6037B"/>
    <w:rsid w:val="00E603BF"/>
    <w:rsid w:val="00E609CE"/>
    <w:rsid w:val="00E61E85"/>
    <w:rsid w:val="00E677F0"/>
    <w:rsid w:val="00E67D1C"/>
    <w:rsid w:val="00E704C6"/>
    <w:rsid w:val="00E7489D"/>
    <w:rsid w:val="00E76E22"/>
    <w:rsid w:val="00E77F21"/>
    <w:rsid w:val="00E819C9"/>
    <w:rsid w:val="00E821ED"/>
    <w:rsid w:val="00E853E4"/>
    <w:rsid w:val="00E85779"/>
    <w:rsid w:val="00E93E9A"/>
    <w:rsid w:val="00E9516E"/>
    <w:rsid w:val="00EA4536"/>
    <w:rsid w:val="00EA73DC"/>
    <w:rsid w:val="00EA77B2"/>
    <w:rsid w:val="00EB4CB2"/>
    <w:rsid w:val="00EC1495"/>
    <w:rsid w:val="00EC2110"/>
    <w:rsid w:val="00EC4162"/>
    <w:rsid w:val="00ED4245"/>
    <w:rsid w:val="00ED45A9"/>
    <w:rsid w:val="00EE0829"/>
    <w:rsid w:val="00EE13B1"/>
    <w:rsid w:val="00EE1BBF"/>
    <w:rsid w:val="00EE3E46"/>
    <w:rsid w:val="00EE4399"/>
    <w:rsid w:val="00EE64F7"/>
    <w:rsid w:val="00EE6646"/>
    <w:rsid w:val="00EE7587"/>
    <w:rsid w:val="00EF4701"/>
    <w:rsid w:val="00EF7356"/>
    <w:rsid w:val="00EF75BE"/>
    <w:rsid w:val="00F00771"/>
    <w:rsid w:val="00F00B84"/>
    <w:rsid w:val="00F027B0"/>
    <w:rsid w:val="00F04E57"/>
    <w:rsid w:val="00F0631A"/>
    <w:rsid w:val="00F10A38"/>
    <w:rsid w:val="00F10F5C"/>
    <w:rsid w:val="00F12BF3"/>
    <w:rsid w:val="00F130C1"/>
    <w:rsid w:val="00F15888"/>
    <w:rsid w:val="00F160AC"/>
    <w:rsid w:val="00F1631C"/>
    <w:rsid w:val="00F21B68"/>
    <w:rsid w:val="00F302FA"/>
    <w:rsid w:val="00F43FA9"/>
    <w:rsid w:val="00F45BD3"/>
    <w:rsid w:val="00F473D0"/>
    <w:rsid w:val="00F52C62"/>
    <w:rsid w:val="00F52CC3"/>
    <w:rsid w:val="00F52DBD"/>
    <w:rsid w:val="00F54D7B"/>
    <w:rsid w:val="00F6176B"/>
    <w:rsid w:val="00F622D9"/>
    <w:rsid w:val="00F62C06"/>
    <w:rsid w:val="00F64FBC"/>
    <w:rsid w:val="00F65EDD"/>
    <w:rsid w:val="00F6696E"/>
    <w:rsid w:val="00F71CB4"/>
    <w:rsid w:val="00F75C36"/>
    <w:rsid w:val="00F81470"/>
    <w:rsid w:val="00F81478"/>
    <w:rsid w:val="00F81614"/>
    <w:rsid w:val="00F8197B"/>
    <w:rsid w:val="00F877E3"/>
    <w:rsid w:val="00F90286"/>
    <w:rsid w:val="00F911EA"/>
    <w:rsid w:val="00F922E8"/>
    <w:rsid w:val="00F9270F"/>
    <w:rsid w:val="00F93D0B"/>
    <w:rsid w:val="00F955E3"/>
    <w:rsid w:val="00F963F1"/>
    <w:rsid w:val="00FA1897"/>
    <w:rsid w:val="00FB2F1F"/>
    <w:rsid w:val="00FB7842"/>
    <w:rsid w:val="00FB7B35"/>
    <w:rsid w:val="00FC30FA"/>
    <w:rsid w:val="00FC5175"/>
    <w:rsid w:val="00FC5C7C"/>
    <w:rsid w:val="00FC6866"/>
    <w:rsid w:val="00FD0BFB"/>
    <w:rsid w:val="00FD17F1"/>
    <w:rsid w:val="00FD302C"/>
    <w:rsid w:val="00FD7D27"/>
    <w:rsid w:val="00FF32C7"/>
    <w:rsid w:val="00FF47E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187063"/>
  <w15:docId w15:val="{EECF0014-06A1-4E0E-9516-8A3B55DD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B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7F21"/>
    <w:pPr>
      <w:ind w:left="720"/>
      <w:contextualSpacing/>
    </w:pPr>
  </w:style>
  <w:style w:type="table" w:styleId="TableGrid">
    <w:name w:val="Table Grid"/>
    <w:basedOn w:val="TableNormal"/>
    <w:uiPriority w:val="59"/>
    <w:rsid w:val="0080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2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79"/>
  </w:style>
  <w:style w:type="paragraph" w:styleId="Footer">
    <w:name w:val="footer"/>
    <w:basedOn w:val="Normal"/>
    <w:link w:val="Foot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79"/>
  </w:style>
  <w:style w:type="character" w:customStyle="1" w:styleId="Heading2Char">
    <w:name w:val="Heading 2 Char"/>
    <w:basedOn w:val="DefaultParagraphFont"/>
    <w:link w:val="Heading2"/>
    <w:uiPriority w:val="9"/>
    <w:semiHidden/>
    <w:rsid w:val="00FB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56E2F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F4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2016-03-31T07:00:00+00:00</OpenedDate>
    <Date1 xmlns="dc463f71-b30c-4ab2-9473-d307f9d35888">2016-04-28T07:00:00+00:00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B3EDE7A83822439F394627E959B5DF" ma:contentTypeVersion="104" ma:contentTypeDescription="" ma:contentTypeScope="" ma:versionID="29ace576962e57a22cc65cff58d156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36091C-F8A8-491F-BB4D-65BF81BEF8A1}"/>
</file>

<file path=customXml/itemProps2.xml><?xml version="1.0" encoding="utf-8"?>
<ds:datastoreItem xmlns:ds="http://schemas.openxmlformats.org/officeDocument/2006/customXml" ds:itemID="{E52FF9AF-B69F-4A3D-880A-9985CAC7B5E8}"/>
</file>

<file path=customXml/itemProps3.xml><?xml version="1.0" encoding="utf-8"?>
<ds:datastoreItem xmlns:ds="http://schemas.openxmlformats.org/officeDocument/2006/customXml" ds:itemID="{5F2EB31C-90D4-4D0C-9C7D-066975524A43}"/>
</file>

<file path=customXml/itemProps4.xml><?xml version="1.0" encoding="utf-8"?>
<ds:datastoreItem xmlns:ds="http://schemas.openxmlformats.org/officeDocument/2006/customXml" ds:itemID="{C5510DA3-20B7-4949-A280-CF2BD6A5EC1C}"/>
</file>

<file path=customXml/itemProps5.xml><?xml version="1.0" encoding="utf-8"?>
<ds:datastoreItem xmlns:ds="http://schemas.openxmlformats.org/officeDocument/2006/customXml" ds:itemID="{BC5DF65A-8A4F-4D22-B5A8-D0D5201E9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PSE Decoupling Adjustment</vt:lpstr>
    </vt:vector>
  </TitlesOfParts>
  <Company>Washington Utilities and Transportation Commission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PSE Decoupling Adjustment</dc:title>
  <dc:creator>EJ Keating</dc:creator>
  <cp:lastModifiedBy>Wyse, Lisa (UTC)</cp:lastModifiedBy>
  <cp:revision>2</cp:revision>
  <cp:lastPrinted>2015-04-20T20:34:00Z</cp:lastPrinted>
  <dcterms:created xsi:type="dcterms:W3CDTF">2016-04-25T23:57:00Z</dcterms:created>
  <dcterms:modified xsi:type="dcterms:W3CDTF">2016-04-25T23:57:00Z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0x0101006E56B4D1795A2E4DB2F0B01679ED314A007BB3EDE7A83822439F394627E959B5DF</vt:lpwstr>
  </property>
  <property fmtid="{D5CDD505-2E9C-101B-9397-08002B2CF9AE}" pid="3" name="_docset_NoMedatataSyncRequired">
    <vt:lpwstr>False</vt:lpwstr>
  </property>
</Properties>
</file>