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11.xml" ContentType="application/vnd.openxmlformats-officedocument.wordprocessingml.header+xml"/>
  <Override PartName="/word/header10.xml" ContentType="application/vnd.openxmlformats-officedocument.wordprocessingml.header+xml"/>
  <Override PartName="/word/header1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b w:val="0"/>
          <w:bCs w:val="0"/>
          <w:color w:val="auto"/>
          <w:sz w:val="22"/>
          <w:szCs w:val="20"/>
        </w:rPr>
        <w:id w:val="-797382120"/>
        <w:docPartObj>
          <w:docPartGallery w:val="Cover Pages"/>
          <w:docPartUnique/>
        </w:docPartObj>
      </w:sdtPr>
      <w:sdtEndPr>
        <w:rPr>
          <w:noProof/>
          <w:sz w:val="18"/>
        </w:rPr>
      </w:sdtEndPr>
      <w:sdtContent>
        <w:bookmarkStart w:id="0" w:name="_GoBack" w:displacedByCustomXml="prev"/>
        <w:p w:rsidR="00EA5290" w:rsidRDefault="00F07F0C" w:rsidP="00EA5290">
          <w:pPr>
            <w:pStyle w:val="ProposalTitle"/>
          </w:pPr>
          <w:r>
            <w:rPr>
              <w:noProof/>
            </w:rPr>
            <w:drawing>
              <wp:anchor distT="0" distB="0" distL="114300" distR="114300" simplePos="0" relativeHeight="251664384" behindDoc="1" locked="0" layoutInCell="1" allowOverlap="1" wp14:anchorId="5BE703ED" wp14:editId="488E78D5">
                <wp:simplePos x="0" y="0"/>
                <wp:positionH relativeFrom="column">
                  <wp:posOffset>-937724</wp:posOffset>
                </wp:positionH>
                <wp:positionV relativeFrom="paragraph">
                  <wp:posOffset>-369570</wp:posOffset>
                </wp:positionV>
                <wp:extent cx="7846715" cy="9514936"/>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est v2.png"/>
                        <pic:cNvPicPr/>
                      </pic:nvPicPr>
                      <pic:blipFill rotWithShape="1">
                        <a:blip r:embed="rId12">
                          <a:extLst>
                            <a:ext uri="{28A0092B-C50C-407E-A947-70E740481C1C}">
                              <a14:useLocalDpi xmlns:a14="http://schemas.microsoft.com/office/drawing/2010/main" val="0"/>
                            </a:ext>
                          </a:extLst>
                        </a:blip>
                        <a:srcRect l="145" r="-1"/>
                        <a:stretch/>
                      </pic:blipFill>
                      <pic:spPr bwMode="auto">
                        <a:xfrm>
                          <a:off x="0" y="0"/>
                          <a:ext cx="7846715" cy="9514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A5290" w:rsidRDefault="00EA5290" w:rsidP="00EA5290">
          <w:pPr>
            <w:pStyle w:val="ProposalTitle"/>
          </w:pPr>
        </w:p>
        <w:p w:rsidR="00AE4E89" w:rsidRDefault="00AE4E89" w:rsidP="00EA5290">
          <w:pPr>
            <w:pStyle w:val="ProposalTitle"/>
            <w:rPr>
              <w:rFonts w:asciiTheme="minorHAnsi" w:hAnsiTheme="minorHAnsi" w:cstheme="minorHAnsi"/>
              <w:b w:val="0"/>
              <w:color w:val="1F497D" w:themeColor="text2"/>
              <w:sz w:val="36"/>
              <w:szCs w:val="36"/>
            </w:rPr>
          </w:pPr>
        </w:p>
        <w:p w:rsidR="00AE4E89" w:rsidRDefault="0060758F" w:rsidP="00EA5290">
          <w:pPr>
            <w:pStyle w:val="ProposalTitle"/>
            <w:rPr>
              <w:rFonts w:asciiTheme="minorHAnsi" w:hAnsiTheme="minorHAnsi" w:cstheme="minorHAnsi"/>
              <w:b w:val="0"/>
              <w:color w:val="1F497D" w:themeColor="text2"/>
              <w:sz w:val="36"/>
              <w:szCs w:val="36"/>
            </w:rPr>
          </w:pPr>
          <w:r>
            <w:rPr>
              <w:rFonts w:asciiTheme="minorHAnsi" w:hAnsiTheme="minorHAnsi" w:cstheme="minorHAnsi"/>
              <w:b w:val="0"/>
              <w:color w:val="1F497D" w:themeColor="text2"/>
              <w:sz w:val="36"/>
              <w:szCs w:val="36"/>
            </w:rPr>
            <w:t xml:space="preserve">Evaluation </w:t>
          </w:r>
          <w:r w:rsidR="00B93260">
            <w:rPr>
              <w:rFonts w:asciiTheme="minorHAnsi" w:hAnsiTheme="minorHAnsi" w:cstheme="minorHAnsi"/>
              <w:b w:val="0"/>
              <w:color w:val="1F497D" w:themeColor="text2"/>
              <w:sz w:val="36"/>
              <w:szCs w:val="36"/>
            </w:rPr>
            <w:t xml:space="preserve">Work </w:t>
          </w:r>
          <w:r>
            <w:rPr>
              <w:rFonts w:asciiTheme="minorHAnsi" w:hAnsiTheme="minorHAnsi" w:cstheme="minorHAnsi"/>
              <w:b w:val="0"/>
              <w:color w:val="1F497D" w:themeColor="text2"/>
              <w:sz w:val="36"/>
              <w:szCs w:val="36"/>
            </w:rPr>
            <w:t>Plan for 2014-201</w:t>
          </w:r>
          <w:r w:rsidR="00702C57">
            <w:rPr>
              <w:rFonts w:asciiTheme="minorHAnsi" w:hAnsiTheme="minorHAnsi" w:cstheme="minorHAnsi"/>
              <w:b w:val="0"/>
              <w:color w:val="1F497D" w:themeColor="text2"/>
              <w:sz w:val="36"/>
              <w:szCs w:val="36"/>
            </w:rPr>
            <w:t>5</w:t>
          </w:r>
          <w:r>
            <w:rPr>
              <w:rFonts w:asciiTheme="minorHAnsi" w:hAnsiTheme="minorHAnsi" w:cstheme="minorHAnsi"/>
              <w:b w:val="0"/>
              <w:color w:val="1F497D" w:themeColor="text2"/>
              <w:sz w:val="36"/>
              <w:szCs w:val="36"/>
            </w:rPr>
            <w:t xml:space="preserve"> </w:t>
          </w:r>
        </w:p>
        <w:p w:rsidR="00EA5290" w:rsidRPr="003E2D1A" w:rsidRDefault="0060758F" w:rsidP="00EA5290">
          <w:pPr>
            <w:pStyle w:val="ProposalTitle"/>
            <w:rPr>
              <w:rFonts w:asciiTheme="minorHAnsi" w:hAnsiTheme="minorHAnsi" w:cstheme="minorHAnsi"/>
              <w:b w:val="0"/>
              <w:color w:val="1F497D" w:themeColor="text2"/>
              <w:sz w:val="36"/>
              <w:szCs w:val="36"/>
            </w:rPr>
          </w:pPr>
          <w:r>
            <w:rPr>
              <w:rFonts w:asciiTheme="minorHAnsi" w:hAnsiTheme="minorHAnsi" w:cstheme="minorHAnsi"/>
              <w:b w:val="0"/>
              <w:color w:val="1F497D" w:themeColor="text2"/>
              <w:sz w:val="36"/>
              <w:szCs w:val="36"/>
            </w:rPr>
            <w:t>Demand Side Management Programs</w:t>
          </w:r>
          <w:r w:rsidR="001B3B9F">
            <w:rPr>
              <w:rFonts w:asciiTheme="minorHAnsi" w:hAnsiTheme="minorHAnsi" w:cstheme="minorHAnsi"/>
              <w:b w:val="0"/>
              <w:color w:val="1F497D" w:themeColor="text2"/>
              <w:sz w:val="36"/>
              <w:szCs w:val="36"/>
            </w:rPr>
            <w:t xml:space="preserve"> </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 xml:space="preserve">Submitted to </w:t>
          </w:r>
          <w:r w:rsidR="00702C57">
            <w:rPr>
              <w:rFonts w:asciiTheme="minorHAnsi" w:hAnsiTheme="minorHAnsi" w:cstheme="minorHAnsi"/>
              <w:color w:val="1F497D" w:themeColor="text2"/>
            </w:rPr>
            <w:t>Avista Corporation</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Submitted by Nexant</w:t>
          </w:r>
        </w:p>
        <w:p w:rsidR="00EA5290" w:rsidRPr="003E2D1A" w:rsidRDefault="00EA5290" w:rsidP="00EA5290">
          <w:pPr>
            <w:pStyle w:val="StyleStyleRightRightBold"/>
            <w:rPr>
              <w:rFonts w:asciiTheme="minorHAnsi" w:hAnsiTheme="minorHAnsi" w:cstheme="minorHAnsi"/>
              <w:color w:val="1F497D" w:themeColor="text2"/>
            </w:rPr>
          </w:pPr>
          <w:r w:rsidRPr="003E2D1A">
            <w:rPr>
              <w:rFonts w:asciiTheme="minorHAnsi" w:hAnsiTheme="minorHAnsi" w:cstheme="minorHAnsi"/>
              <w:color w:val="1F497D" w:themeColor="text2"/>
            </w:rPr>
            <w:t xml:space="preserve">In partnership with: </w:t>
          </w:r>
          <w:r w:rsidR="00702C57">
            <w:rPr>
              <w:rFonts w:asciiTheme="minorHAnsi" w:hAnsiTheme="minorHAnsi" w:cstheme="minorHAnsi"/>
              <w:color w:val="1F497D" w:themeColor="text2"/>
            </w:rPr>
            <w:t>Research Into Action</w:t>
          </w:r>
        </w:p>
        <w:p w:rsidR="00EA5290" w:rsidRPr="003E2D1A" w:rsidRDefault="00EA5290" w:rsidP="00EA5290">
          <w:pPr>
            <w:pStyle w:val="RFPNo"/>
            <w:rPr>
              <w:rFonts w:asciiTheme="minorHAnsi" w:hAnsiTheme="minorHAnsi" w:cstheme="minorHAnsi"/>
              <w:color w:val="1F497D" w:themeColor="text2"/>
            </w:rPr>
          </w:pPr>
        </w:p>
        <w:p w:rsidR="00EA5290" w:rsidRPr="003E2D1A" w:rsidRDefault="00AE4E89" w:rsidP="00EA5290">
          <w:pPr>
            <w:pStyle w:val="StyleRightRight"/>
            <w:rPr>
              <w:rFonts w:asciiTheme="minorHAnsi" w:hAnsiTheme="minorHAnsi" w:cstheme="minorHAnsi"/>
              <w:color w:val="1F497D" w:themeColor="text2"/>
            </w:rPr>
          </w:pPr>
          <w:r>
            <w:rPr>
              <w:rFonts w:asciiTheme="minorHAnsi" w:hAnsiTheme="minorHAnsi" w:cstheme="minorHAnsi"/>
              <w:color w:val="1F497D" w:themeColor="text2"/>
            </w:rPr>
            <w:t>J</w:t>
          </w:r>
          <w:r w:rsidR="0087447B">
            <w:rPr>
              <w:rFonts w:asciiTheme="minorHAnsi" w:hAnsiTheme="minorHAnsi" w:cstheme="minorHAnsi"/>
              <w:color w:val="1F497D" w:themeColor="text2"/>
            </w:rPr>
            <w:t>anuary 1</w:t>
          </w:r>
          <w:r w:rsidR="00613C1E">
            <w:rPr>
              <w:rFonts w:asciiTheme="minorHAnsi" w:hAnsiTheme="minorHAnsi" w:cstheme="minorHAnsi"/>
              <w:color w:val="1F497D" w:themeColor="text2"/>
            </w:rPr>
            <w:t>5</w:t>
          </w:r>
          <w:r>
            <w:rPr>
              <w:rFonts w:asciiTheme="minorHAnsi" w:hAnsiTheme="minorHAnsi" w:cstheme="minorHAnsi"/>
              <w:color w:val="1F497D" w:themeColor="text2"/>
            </w:rPr>
            <w:t>, 2015</w:t>
          </w:r>
        </w:p>
        <w:p w:rsidR="00EA5290" w:rsidRDefault="00EA5290">
          <w:pPr>
            <w:tabs>
              <w:tab w:val="clear" w:pos="-1440"/>
              <w:tab w:val="clear" w:pos="-720"/>
            </w:tabs>
            <w:spacing w:after="0" w:line="240" w:lineRule="auto"/>
            <w:ind w:left="0"/>
            <w:rPr>
              <w:rFonts w:ascii="Calibri" w:hAnsi="Calibri"/>
              <w:noProof/>
              <w:sz w:val="18"/>
            </w:rPr>
          </w:pPr>
          <w:r>
            <w:rPr>
              <w:rFonts w:ascii="Calibri" w:hAnsi="Calibri"/>
              <w:noProof/>
              <w:sz w:val="18"/>
            </w:rPr>
            <w:br w:type="page"/>
          </w:r>
        </w:p>
      </w:sdtContent>
    </w:sdt>
    <w:p w:rsidR="00781AF7" w:rsidRDefault="00781AF7" w:rsidP="00CC37B7">
      <w:pPr>
        <w:tabs>
          <w:tab w:val="clear" w:pos="-1440"/>
          <w:tab w:val="clear" w:pos="-720"/>
        </w:tabs>
        <w:spacing w:after="0" w:line="240" w:lineRule="auto"/>
        <w:ind w:left="0"/>
        <w:rPr>
          <w:rFonts w:ascii="Calibri" w:hAnsi="Calibri"/>
          <w:sz w:val="23"/>
          <w:szCs w:val="23"/>
        </w:rPr>
        <w:sectPr w:rsidR="00781AF7" w:rsidSect="00F5525B">
          <w:headerReference w:type="even" r:id="rId13"/>
          <w:headerReference w:type="default" r:id="rId14"/>
          <w:footerReference w:type="even" r:id="rId15"/>
          <w:footerReference w:type="default" r:id="rId16"/>
          <w:headerReference w:type="first" r:id="rId17"/>
          <w:footnotePr>
            <w:numRestart w:val="eachPage"/>
          </w:footnotePr>
          <w:pgSz w:w="12240" w:h="15840"/>
          <w:pgMar w:top="1440" w:right="1440" w:bottom="1440" w:left="1440" w:header="1080" w:footer="720" w:gutter="0"/>
          <w:pgNumType w:fmt="lowerRoman" w:start="0"/>
          <w:cols w:space="360"/>
          <w:titlePg/>
          <w:docGrid w:linePitch="326"/>
        </w:sectPr>
      </w:pPr>
    </w:p>
    <w:p w:rsidR="00150AC7" w:rsidRPr="00E83A92" w:rsidRDefault="000355F5" w:rsidP="001A0305">
      <w:pPr>
        <w:pStyle w:val="Contents"/>
      </w:pPr>
      <w:r>
        <w:rPr>
          <w:rFonts w:asciiTheme="minorHAnsi" w:hAnsiTheme="minorHAnsi"/>
          <w:noProof/>
        </w:rPr>
        <w:lastRenderedPageBreak/>
        <mc:AlternateContent>
          <mc:Choice Requires="wps">
            <w:drawing>
              <wp:anchor distT="0" distB="0" distL="114300" distR="114300" simplePos="0" relativeHeight="251657216" behindDoc="0" locked="0" layoutInCell="1" allowOverlap="1" wp14:anchorId="6B7F8D4B" wp14:editId="175C6A63">
                <wp:simplePos x="0" y="0"/>
                <wp:positionH relativeFrom="column">
                  <wp:posOffset>2480945</wp:posOffset>
                </wp:positionH>
                <wp:positionV relativeFrom="paragraph">
                  <wp:posOffset>3810000</wp:posOffset>
                </wp:positionV>
                <wp:extent cx="7772400" cy="0"/>
                <wp:effectExtent l="4445" t="0" r="0" b="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5.35pt;margin-top:300pt;width:61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sMK1G6kCAACiBQAADgAAAAAAAAAA&#10;AAAAAAAuAgAAZHJzL2Uyb0RvYy54bWxQSwECLQAUAAYACAAAACEAEOjEgd8AAAAMAQAADwAAAAAA&#10;AAAAAAAAAAADBQAAZHJzL2Rvd25yZXYueG1sUEsFBgAAAAAEAAQA8wAAAA8GAAAAAA==&#10;" filled="f" stroked="f"/>
            </w:pict>
          </mc:Fallback>
        </mc:AlternateContent>
      </w:r>
      <w:bookmarkStart w:id="1" w:name="_Ref251750205"/>
      <w:r w:rsidR="00150AC7" w:rsidRPr="00E83A92">
        <w:t>Contents</w:t>
      </w:r>
      <w:bookmarkEnd w:id="1"/>
    </w:p>
    <w:p w:rsidR="00150AC7" w:rsidRDefault="00150AC7" w:rsidP="00EB0B23">
      <w:pPr>
        <w:pStyle w:val="t"/>
      </w:pPr>
    </w:p>
    <w:p w:rsidR="00613C1E" w:rsidRDefault="00D23790">
      <w:pPr>
        <w:pStyle w:val="TOC1"/>
        <w:rPr>
          <w:rFonts w:asciiTheme="minorHAnsi" w:eastAsiaTheme="minorEastAsia" w:hAnsiTheme="minorHAnsi" w:cstheme="minorBidi"/>
          <w:bCs w:val="0"/>
          <w:caps w:val="0"/>
          <w:color w:val="auto"/>
          <w:sz w:val="22"/>
        </w:rPr>
      </w:pPr>
      <w:r>
        <w:rPr>
          <w:rFonts w:ascii="Arial" w:hAnsi="Arial"/>
          <w:caps w:val="0"/>
          <w:smallCaps/>
          <w:u w:color="1F497D" w:themeColor="text2"/>
        </w:rPr>
        <w:fldChar w:fldCharType="begin"/>
      </w:r>
      <w:r>
        <w:rPr>
          <w:rFonts w:ascii="Arial" w:hAnsi="Arial"/>
          <w:caps w:val="0"/>
          <w:smallCaps/>
          <w:u w:color="1F497D" w:themeColor="text2"/>
        </w:rPr>
        <w:instrText xml:space="preserve"> TOC \o "1-4" \h \z \u \t "Heading 7,1" </w:instrText>
      </w:r>
      <w:r>
        <w:rPr>
          <w:rFonts w:ascii="Arial" w:hAnsi="Arial"/>
          <w:caps w:val="0"/>
          <w:smallCaps/>
          <w:u w:color="1F497D" w:themeColor="text2"/>
        </w:rPr>
        <w:fldChar w:fldCharType="separate"/>
      </w:r>
      <w:hyperlink w:anchor="_Toc409095371" w:history="1">
        <w:r w:rsidR="00613C1E" w:rsidRPr="00EB4A17">
          <w:rPr>
            <w:rStyle w:val="Hyperlink"/>
            <w:rFonts w:cs="Vrinda"/>
          </w:rPr>
          <w:t>1</w:t>
        </w:r>
        <w:r w:rsidR="00613C1E">
          <w:rPr>
            <w:rFonts w:asciiTheme="minorHAnsi" w:eastAsiaTheme="minorEastAsia" w:hAnsiTheme="minorHAnsi" w:cstheme="minorBidi"/>
            <w:bCs w:val="0"/>
            <w:caps w:val="0"/>
            <w:color w:val="auto"/>
            <w:sz w:val="22"/>
          </w:rPr>
          <w:tab/>
        </w:r>
        <w:r w:rsidR="00613C1E" w:rsidRPr="00EB4A17">
          <w:rPr>
            <w:rStyle w:val="Hyperlink"/>
          </w:rPr>
          <w:t>Introduction and Key Issues</w:t>
        </w:r>
        <w:r w:rsidR="00613C1E">
          <w:rPr>
            <w:webHidden/>
          </w:rPr>
          <w:tab/>
        </w:r>
        <w:r w:rsidR="00613C1E">
          <w:rPr>
            <w:webHidden/>
          </w:rPr>
          <w:fldChar w:fldCharType="begin"/>
        </w:r>
        <w:r w:rsidR="00613C1E">
          <w:rPr>
            <w:webHidden/>
          </w:rPr>
          <w:instrText xml:space="preserve"> PAGEREF _Toc409095371 \h </w:instrText>
        </w:r>
        <w:r w:rsidR="00613C1E">
          <w:rPr>
            <w:webHidden/>
          </w:rPr>
        </w:r>
        <w:r w:rsidR="00613C1E">
          <w:rPr>
            <w:webHidden/>
          </w:rPr>
          <w:fldChar w:fldCharType="separate"/>
        </w:r>
        <w:r w:rsidR="00613C1E">
          <w:rPr>
            <w:webHidden/>
          </w:rPr>
          <w:t>4</w:t>
        </w:r>
        <w:r w:rsidR="00613C1E">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2" w:history="1">
        <w:r w:rsidRPr="00EB4A17">
          <w:rPr>
            <w:rStyle w:val="Hyperlink"/>
            <w:noProof/>
          </w:rPr>
          <w:t>1.1</w:t>
        </w:r>
        <w:r>
          <w:rPr>
            <w:rFonts w:asciiTheme="minorHAnsi" w:eastAsiaTheme="minorEastAsia" w:hAnsiTheme="minorHAnsi" w:cstheme="minorBidi"/>
            <w:smallCaps w:val="0"/>
            <w:noProof/>
            <w:color w:val="auto"/>
            <w:szCs w:val="22"/>
          </w:rPr>
          <w:tab/>
        </w:r>
        <w:r w:rsidRPr="00EB4A17">
          <w:rPr>
            <w:rStyle w:val="Hyperlink"/>
            <w:noProof/>
          </w:rPr>
          <w:t>Approach and Methodology</w:t>
        </w:r>
        <w:r>
          <w:rPr>
            <w:noProof/>
            <w:webHidden/>
          </w:rPr>
          <w:tab/>
        </w:r>
        <w:r>
          <w:rPr>
            <w:noProof/>
            <w:webHidden/>
          </w:rPr>
          <w:fldChar w:fldCharType="begin"/>
        </w:r>
        <w:r>
          <w:rPr>
            <w:noProof/>
            <w:webHidden/>
          </w:rPr>
          <w:instrText xml:space="preserve"> PAGEREF _Toc409095372 \h </w:instrText>
        </w:r>
        <w:r>
          <w:rPr>
            <w:noProof/>
            <w:webHidden/>
          </w:rPr>
        </w:r>
        <w:r>
          <w:rPr>
            <w:noProof/>
            <w:webHidden/>
          </w:rPr>
          <w:fldChar w:fldCharType="separate"/>
        </w:r>
        <w:r>
          <w:rPr>
            <w:noProof/>
            <w:webHidden/>
          </w:rPr>
          <w:t>5</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3" w:history="1">
        <w:r w:rsidRPr="00EB4A17">
          <w:rPr>
            <w:rStyle w:val="Hyperlink"/>
            <w:noProof/>
          </w:rPr>
          <w:t>1.2</w:t>
        </w:r>
        <w:r>
          <w:rPr>
            <w:rFonts w:asciiTheme="minorHAnsi" w:eastAsiaTheme="minorEastAsia" w:hAnsiTheme="minorHAnsi" w:cstheme="minorBidi"/>
            <w:smallCaps w:val="0"/>
            <w:noProof/>
            <w:color w:val="auto"/>
            <w:szCs w:val="22"/>
          </w:rPr>
          <w:tab/>
        </w:r>
        <w:r w:rsidRPr="00EB4A17">
          <w:rPr>
            <w:rStyle w:val="Hyperlink"/>
            <w:noProof/>
          </w:rPr>
          <w:t>Evaluation Goals and Objectives</w:t>
        </w:r>
        <w:r>
          <w:rPr>
            <w:noProof/>
            <w:webHidden/>
          </w:rPr>
          <w:tab/>
        </w:r>
        <w:r>
          <w:rPr>
            <w:noProof/>
            <w:webHidden/>
          </w:rPr>
          <w:fldChar w:fldCharType="begin"/>
        </w:r>
        <w:r>
          <w:rPr>
            <w:noProof/>
            <w:webHidden/>
          </w:rPr>
          <w:instrText xml:space="preserve"> PAGEREF _Toc409095373 \h </w:instrText>
        </w:r>
        <w:r>
          <w:rPr>
            <w:noProof/>
            <w:webHidden/>
          </w:rPr>
        </w:r>
        <w:r>
          <w:rPr>
            <w:noProof/>
            <w:webHidden/>
          </w:rPr>
          <w:fldChar w:fldCharType="separate"/>
        </w:r>
        <w:r>
          <w:rPr>
            <w:noProof/>
            <w:webHidden/>
          </w:rPr>
          <w:t>6</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4" w:history="1">
        <w:r w:rsidRPr="00EB4A17">
          <w:rPr>
            <w:rStyle w:val="Hyperlink"/>
            <w:noProof/>
          </w:rPr>
          <w:t>1.3</w:t>
        </w:r>
        <w:r>
          <w:rPr>
            <w:rFonts w:asciiTheme="minorHAnsi" w:eastAsiaTheme="minorEastAsia" w:hAnsiTheme="minorHAnsi" w:cstheme="minorBidi"/>
            <w:smallCaps w:val="0"/>
            <w:noProof/>
            <w:color w:val="auto"/>
            <w:szCs w:val="22"/>
          </w:rPr>
          <w:tab/>
        </w:r>
        <w:r w:rsidRPr="00EB4A17">
          <w:rPr>
            <w:rStyle w:val="Hyperlink"/>
            <w:noProof/>
          </w:rPr>
          <w:t>Evaluation Management</w:t>
        </w:r>
        <w:r>
          <w:rPr>
            <w:noProof/>
            <w:webHidden/>
          </w:rPr>
          <w:tab/>
        </w:r>
        <w:r>
          <w:rPr>
            <w:noProof/>
            <w:webHidden/>
          </w:rPr>
          <w:fldChar w:fldCharType="begin"/>
        </w:r>
        <w:r>
          <w:rPr>
            <w:noProof/>
            <w:webHidden/>
          </w:rPr>
          <w:instrText xml:space="preserve"> PAGEREF _Toc409095374 \h </w:instrText>
        </w:r>
        <w:r>
          <w:rPr>
            <w:noProof/>
            <w:webHidden/>
          </w:rPr>
        </w:r>
        <w:r>
          <w:rPr>
            <w:noProof/>
            <w:webHidden/>
          </w:rPr>
          <w:fldChar w:fldCharType="separate"/>
        </w:r>
        <w:r>
          <w:rPr>
            <w:noProof/>
            <w:webHidden/>
          </w:rPr>
          <w:t>7</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75" w:history="1">
        <w:r w:rsidRPr="00EB4A17">
          <w:rPr>
            <w:rStyle w:val="Hyperlink"/>
          </w:rPr>
          <w:t>1.3.1</w:t>
        </w:r>
        <w:r>
          <w:rPr>
            <w:rFonts w:asciiTheme="minorHAnsi" w:eastAsiaTheme="minorEastAsia" w:hAnsiTheme="minorHAnsi" w:cstheme="minorBidi"/>
            <w:i w:val="0"/>
            <w:iCs w:val="0"/>
            <w:color w:val="auto"/>
            <w:sz w:val="22"/>
            <w:szCs w:val="22"/>
          </w:rPr>
          <w:tab/>
        </w:r>
        <w:r w:rsidRPr="00EB4A17">
          <w:rPr>
            <w:rStyle w:val="Hyperlink"/>
          </w:rPr>
          <w:t>Project Management</w:t>
        </w:r>
        <w:r>
          <w:rPr>
            <w:webHidden/>
          </w:rPr>
          <w:tab/>
        </w:r>
        <w:r>
          <w:rPr>
            <w:webHidden/>
          </w:rPr>
          <w:fldChar w:fldCharType="begin"/>
        </w:r>
        <w:r>
          <w:rPr>
            <w:webHidden/>
          </w:rPr>
          <w:instrText xml:space="preserve"> PAGEREF _Toc409095375 \h </w:instrText>
        </w:r>
        <w:r>
          <w:rPr>
            <w:webHidden/>
          </w:rPr>
        </w:r>
        <w:r>
          <w:rPr>
            <w:webHidden/>
          </w:rPr>
          <w:fldChar w:fldCharType="separate"/>
        </w:r>
        <w:r>
          <w:rPr>
            <w:webHidden/>
          </w:rPr>
          <w:t>7</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6" w:history="1">
        <w:r w:rsidRPr="00EB4A17">
          <w:rPr>
            <w:rStyle w:val="Hyperlink"/>
            <w:noProof/>
          </w:rPr>
          <w:t>1.4</w:t>
        </w:r>
        <w:r>
          <w:rPr>
            <w:rFonts w:asciiTheme="minorHAnsi" w:eastAsiaTheme="minorEastAsia" w:hAnsiTheme="minorHAnsi" w:cstheme="minorBidi"/>
            <w:smallCaps w:val="0"/>
            <w:noProof/>
            <w:color w:val="auto"/>
            <w:szCs w:val="22"/>
          </w:rPr>
          <w:tab/>
        </w:r>
        <w:r w:rsidRPr="00EB4A17">
          <w:rPr>
            <w:rStyle w:val="Hyperlink"/>
            <w:noProof/>
          </w:rPr>
          <w:t>Summary of Program Evaluation Activities</w:t>
        </w:r>
        <w:r>
          <w:rPr>
            <w:noProof/>
            <w:webHidden/>
          </w:rPr>
          <w:tab/>
        </w:r>
        <w:r>
          <w:rPr>
            <w:noProof/>
            <w:webHidden/>
          </w:rPr>
          <w:fldChar w:fldCharType="begin"/>
        </w:r>
        <w:r>
          <w:rPr>
            <w:noProof/>
            <w:webHidden/>
          </w:rPr>
          <w:instrText xml:space="preserve"> PAGEREF _Toc409095376 \h </w:instrText>
        </w:r>
        <w:r>
          <w:rPr>
            <w:noProof/>
            <w:webHidden/>
          </w:rPr>
        </w:r>
        <w:r>
          <w:rPr>
            <w:noProof/>
            <w:webHidden/>
          </w:rPr>
          <w:fldChar w:fldCharType="separate"/>
        </w:r>
        <w:r>
          <w:rPr>
            <w:noProof/>
            <w:webHidden/>
          </w:rPr>
          <w:t>8</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7" w:history="1">
        <w:r w:rsidRPr="00EB4A17">
          <w:rPr>
            <w:rStyle w:val="Hyperlink"/>
            <w:noProof/>
          </w:rPr>
          <w:t>1.5</w:t>
        </w:r>
        <w:r>
          <w:rPr>
            <w:rFonts w:asciiTheme="minorHAnsi" w:eastAsiaTheme="minorEastAsia" w:hAnsiTheme="minorHAnsi" w:cstheme="minorBidi"/>
            <w:smallCaps w:val="0"/>
            <w:noProof/>
            <w:color w:val="auto"/>
            <w:szCs w:val="22"/>
          </w:rPr>
          <w:tab/>
        </w:r>
        <w:r w:rsidRPr="00EB4A17">
          <w:rPr>
            <w:rStyle w:val="Hyperlink"/>
            <w:noProof/>
          </w:rPr>
          <w:t>Areas Of Research Emphasis</w:t>
        </w:r>
        <w:r>
          <w:rPr>
            <w:noProof/>
            <w:webHidden/>
          </w:rPr>
          <w:tab/>
        </w:r>
        <w:r>
          <w:rPr>
            <w:noProof/>
            <w:webHidden/>
          </w:rPr>
          <w:fldChar w:fldCharType="begin"/>
        </w:r>
        <w:r>
          <w:rPr>
            <w:noProof/>
            <w:webHidden/>
          </w:rPr>
          <w:instrText xml:space="preserve"> PAGEREF _Toc409095377 \h </w:instrText>
        </w:r>
        <w:r>
          <w:rPr>
            <w:noProof/>
            <w:webHidden/>
          </w:rPr>
        </w:r>
        <w:r>
          <w:rPr>
            <w:noProof/>
            <w:webHidden/>
          </w:rPr>
          <w:fldChar w:fldCharType="separate"/>
        </w:r>
        <w:r>
          <w:rPr>
            <w:noProof/>
            <w:webHidden/>
          </w:rPr>
          <w:t>10</w:t>
        </w:r>
        <w:r>
          <w:rPr>
            <w:noProof/>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378" w:history="1">
        <w:r w:rsidRPr="00EB4A17">
          <w:rPr>
            <w:rStyle w:val="Hyperlink"/>
            <w:rFonts w:cs="Vrinda"/>
          </w:rPr>
          <w:t>2</w:t>
        </w:r>
        <w:r>
          <w:rPr>
            <w:rFonts w:asciiTheme="minorHAnsi" w:eastAsiaTheme="minorEastAsia" w:hAnsiTheme="minorHAnsi" w:cstheme="minorBidi"/>
            <w:bCs w:val="0"/>
            <w:caps w:val="0"/>
            <w:color w:val="auto"/>
            <w:sz w:val="22"/>
          </w:rPr>
          <w:tab/>
        </w:r>
        <w:r w:rsidRPr="00EB4A17">
          <w:rPr>
            <w:rStyle w:val="Hyperlink"/>
          </w:rPr>
          <w:t>Impact Evaluation Overview</w:t>
        </w:r>
        <w:r>
          <w:rPr>
            <w:webHidden/>
          </w:rPr>
          <w:tab/>
        </w:r>
        <w:r>
          <w:rPr>
            <w:webHidden/>
          </w:rPr>
          <w:fldChar w:fldCharType="begin"/>
        </w:r>
        <w:r>
          <w:rPr>
            <w:webHidden/>
          </w:rPr>
          <w:instrText xml:space="preserve"> PAGEREF _Toc409095378 \h </w:instrText>
        </w:r>
        <w:r>
          <w:rPr>
            <w:webHidden/>
          </w:rPr>
        </w:r>
        <w:r>
          <w:rPr>
            <w:webHidden/>
          </w:rPr>
          <w:fldChar w:fldCharType="separate"/>
        </w:r>
        <w:r>
          <w:rPr>
            <w:webHidden/>
          </w:rPr>
          <w:t>11</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79" w:history="1">
        <w:r w:rsidRPr="00EB4A17">
          <w:rPr>
            <w:rStyle w:val="Hyperlink"/>
            <w:noProof/>
          </w:rPr>
          <w:t>2.1</w:t>
        </w:r>
        <w:r>
          <w:rPr>
            <w:rFonts w:asciiTheme="minorHAnsi" w:eastAsiaTheme="minorEastAsia" w:hAnsiTheme="minorHAnsi" w:cstheme="minorBidi"/>
            <w:smallCaps w:val="0"/>
            <w:noProof/>
            <w:color w:val="auto"/>
            <w:szCs w:val="22"/>
          </w:rPr>
          <w:tab/>
        </w:r>
        <w:r w:rsidRPr="00EB4A17">
          <w:rPr>
            <w:rStyle w:val="Hyperlink"/>
            <w:noProof/>
          </w:rPr>
          <w:t>Understanding the Program Context</w:t>
        </w:r>
        <w:r>
          <w:rPr>
            <w:noProof/>
            <w:webHidden/>
          </w:rPr>
          <w:tab/>
        </w:r>
        <w:r>
          <w:rPr>
            <w:noProof/>
            <w:webHidden/>
          </w:rPr>
          <w:fldChar w:fldCharType="begin"/>
        </w:r>
        <w:r>
          <w:rPr>
            <w:noProof/>
            <w:webHidden/>
          </w:rPr>
          <w:instrText xml:space="preserve"> PAGEREF _Toc409095379 \h </w:instrText>
        </w:r>
        <w:r>
          <w:rPr>
            <w:noProof/>
            <w:webHidden/>
          </w:rPr>
        </w:r>
        <w:r>
          <w:rPr>
            <w:noProof/>
            <w:webHidden/>
          </w:rPr>
          <w:fldChar w:fldCharType="separate"/>
        </w:r>
        <w:r>
          <w:rPr>
            <w:noProof/>
            <w:webHidden/>
          </w:rPr>
          <w:t>11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0" w:history="1">
        <w:r w:rsidRPr="00EB4A17">
          <w:rPr>
            <w:rStyle w:val="Hyperlink"/>
            <w:noProof/>
          </w:rPr>
          <w:t>2.2</w:t>
        </w:r>
        <w:r>
          <w:rPr>
            <w:rFonts w:asciiTheme="minorHAnsi" w:eastAsiaTheme="minorEastAsia" w:hAnsiTheme="minorHAnsi" w:cstheme="minorBidi"/>
            <w:smallCaps w:val="0"/>
            <w:noProof/>
            <w:color w:val="auto"/>
            <w:szCs w:val="22"/>
          </w:rPr>
          <w:tab/>
        </w:r>
        <w:r w:rsidRPr="00EB4A17">
          <w:rPr>
            <w:rStyle w:val="Hyperlink"/>
            <w:noProof/>
          </w:rPr>
          <w:t>Designing the Sample</w:t>
        </w:r>
        <w:r>
          <w:rPr>
            <w:noProof/>
            <w:webHidden/>
          </w:rPr>
          <w:tab/>
        </w:r>
        <w:r>
          <w:rPr>
            <w:noProof/>
            <w:webHidden/>
          </w:rPr>
          <w:fldChar w:fldCharType="begin"/>
        </w:r>
        <w:r>
          <w:rPr>
            <w:noProof/>
            <w:webHidden/>
          </w:rPr>
          <w:instrText xml:space="preserve"> PAGEREF _Toc409095380 \h </w:instrText>
        </w:r>
        <w:r>
          <w:rPr>
            <w:noProof/>
            <w:webHidden/>
          </w:rPr>
        </w:r>
        <w:r>
          <w:rPr>
            <w:noProof/>
            <w:webHidden/>
          </w:rPr>
          <w:fldChar w:fldCharType="separate"/>
        </w:r>
        <w:r>
          <w:rPr>
            <w:noProof/>
            <w:webHidden/>
          </w:rPr>
          <w:t>13</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1" w:history="1">
        <w:r w:rsidRPr="00EB4A17">
          <w:rPr>
            <w:rStyle w:val="Hyperlink"/>
            <w:noProof/>
          </w:rPr>
          <w:t>2.3</w:t>
        </w:r>
        <w:r>
          <w:rPr>
            <w:rFonts w:asciiTheme="minorHAnsi" w:eastAsiaTheme="minorEastAsia" w:hAnsiTheme="minorHAnsi" w:cstheme="minorBidi"/>
            <w:smallCaps w:val="0"/>
            <w:noProof/>
            <w:color w:val="auto"/>
            <w:szCs w:val="22"/>
          </w:rPr>
          <w:tab/>
        </w:r>
        <w:r w:rsidRPr="00EB4A17">
          <w:rPr>
            <w:rStyle w:val="Hyperlink"/>
            <w:noProof/>
          </w:rPr>
          <w:t>Conducting Gross-Verified Activities</w:t>
        </w:r>
        <w:r>
          <w:rPr>
            <w:noProof/>
            <w:webHidden/>
          </w:rPr>
          <w:tab/>
        </w:r>
        <w:r>
          <w:rPr>
            <w:noProof/>
            <w:webHidden/>
          </w:rPr>
          <w:fldChar w:fldCharType="begin"/>
        </w:r>
        <w:r>
          <w:rPr>
            <w:noProof/>
            <w:webHidden/>
          </w:rPr>
          <w:instrText xml:space="preserve"> PAGEREF _Toc409095381 \h </w:instrText>
        </w:r>
        <w:r>
          <w:rPr>
            <w:noProof/>
            <w:webHidden/>
          </w:rPr>
        </w:r>
        <w:r>
          <w:rPr>
            <w:noProof/>
            <w:webHidden/>
          </w:rPr>
          <w:fldChar w:fldCharType="separate"/>
        </w:r>
        <w:r>
          <w:rPr>
            <w:noProof/>
            <w:webHidden/>
          </w:rPr>
          <w:t>16</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2" w:history="1">
        <w:r w:rsidRPr="00EB4A17">
          <w:rPr>
            <w:rStyle w:val="Hyperlink"/>
          </w:rPr>
          <w:t>2.3.1</w:t>
        </w:r>
        <w:r>
          <w:rPr>
            <w:rFonts w:asciiTheme="minorHAnsi" w:eastAsiaTheme="minorEastAsia" w:hAnsiTheme="minorHAnsi" w:cstheme="minorBidi"/>
            <w:i w:val="0"/>
            <w:iCs w:val="0"/>
            <w:color w:val="auto"/>
            <w:sz w:val="22"/>
            <w:szCs w:val="22"/>
          </w:rPr>
          <w:tab/>
        </w:r>
        <w:r w:rsidRPr="00EB4A17">
          <w:rPr>
            <w:rStyle w:val="Hyperlink"/>
          </w:rPr>
          <w:t>Document Audit</w:t>
        </w:r>
        <w:r>
          <w:rPr>
            <w:webHidden/>
          </w:rPr>
          <w:tab/>
        </w:r>
        <w:r>
          <w:rPr>
            <w:webHidden/>
          </w:rPr>
          <w:fldChar w:fldCharType="begin"/>
        </w:r>
        <w:r>
          <w:rPr>
            <w:webHidden/>
          </w:rPr>
          <w:instrText xml:space="preserve"> PAGEREF _Toc409095382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3" w:history="1">
        <w:r w:rsidRPr="00EB4A17">
          <w:rPr>
            <w:rStyle w:val="Hyperlink"/>
          </w:rPr>
          <w:t>2.3.2</w:t>
        </w:r>
        <w:r>
          <w:rPr>
            <w:rFonts w:asciiTheme="minorHAnsi" w:eastAsiaTheme="minorEastAsia" w:hAnsiTheme="minorHAnsi" w:cstheme="minorBidi"/>
            <w:i w:val="0"/>
            <w:iCs w:val="0"/>
            <w:color w:val="auto"/>
            <w:sz w:val="22"/>
            <w:szCs w:val="22"/>
          </w:rPr>
          <w:tab/>
        </w:r>
        <w:r w:rsidRPr="00EB4A17">
          <w:rPr>
            <w:rStyle w:val="Hyperlink"/>
          </w:rPr>
          <w:t>Telephone Survey</w:t>
        </w:r>
        <w:r>
          <w:rPr>
            <w:webHidden/>
          </w:rPr>
          <w:tab/>
        </w:r>
        <w:r>
          <w:rPr>
            <w:webHidden/>
          </w:rPr>
          <w:fldChar w:fldCharType="begin"/>
        </w:r>
        <w:r>
          <w:rPr>
            <w:webHidden/>
          </w:rPr>
          <w:instrText xml:space="preserve"> PAGEREF _Toc409095383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4" w:history="1">
        <w:r w:rsidRPr="00EB4A17">
          <w:rPr>
            <w:rStyle w:val="Hyperlink"/>
          </w:rPr>
          <w:t>2.3.3</w:t>
        </w:r>
        <w:r>
          <w:rPr>
            <w:rFonts w:asciiTheme="minorHAnsi" w:eastAsiaTheme="minorEastAsia" w:hAnsiTheme="minorHAnsi" w:cstheme="minorBidi"/>
            <w:i w:val="0"/>
            <w:iCs w:val="0"/>
            <w:color w:val="auto"/>
            <w:sz w:val="22"/>
            <w:szCs w:val="22"/>
          </w:rPr>
          <w:tab/>
        </w:r>
        <w:r w:rsidRPr="00EB4A17">
          <w:rPr>
            <w:rStyle w:val="Hyperlink"/>
          </w:rPr>
          <w:t>Onsite Inspections</w:t>
        </w:r>
        <w:r>
          <w:rPr>
            <w:webHidden/>
          </w:rPr>
          <w:tab/>
        </w:r>
        <w:r>
          <w:rPr>
            <w:webHidden/>
          </w:rPr>
          <w:fldChar w:fldCharType="begin"/>
        </w:r>
        <w:r>
          <w:rPr>
            <w:webHidden/>
          </w:rPr>
          <w:instrText xml:space="preserve"> PAGEREF _Toc409095384 \h </w:instrText>
        </w:r>
        <w:r>
          <w:rPr>
            <w:webHidden/>
          </w:rPr>
        </w:r>
        <w:r>
          <w:rPr>
            <w:webHidden/>
          </w:rPr>
          <w:fldChar w:fldCharType="separate"/>
        </w:r>
        <w:r>
          <w:rPr>
            <w:webHidden/>
          </w:rPr>
          <w:t>17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5" w:history="1">
        <w:r w:rsidRPr="00EB4A17">
          <w:rPr>
            <w:rStyle w:val="Hyperlink"/>
          </w:rPr>
          <w:t>2.3.4</w:t>
        </w:r>
        <w:r>
          <w:rPr>
            <w:rFonts w:asciiTheme="minorHAnsi" w:eastAsiaTheme="minorEastAsia" w:hAnsiTheme="minorHAnsi" w:cstheme="minorBidi"/>
            <w:i w:val="0"/>
            <w:iCs w:val="0"/>
            <w:color w:val="auto"/>
            <w:sz w:val="22"/>
            <w:szCs w:val="22"/>
          </w:rPr>
          <w:tab/>
        </w:r>
        <w:r w:rsidRPr="00EB4A17">
          <w:rPr>
            <w:rStyle w:val="Hyperlink"/>
          </w:rPr>
          <w:t>Billing Analysis</w:t>
        </w:r>
        <w:r>
          <w:rPr>
            <w:webHidden/>
          </w:rPr>
          <w:tab/>
        </w:r>
        <w:r>
          <w:rPr>
            <w:webHidden/>
          </w:rPr>
          <w:fldChar w:fldCharType="begin"/>
        </w:r>
        <w:r>
          <w:rPr>
            <w:webHidden/>
          </w:rPr>
          <w:instrText xml:space="preserve"> PAGEREF _Toc409095385 \h </w:instrText>
        </w:r>
        <w:r>
          <w:rPr>
            <w:webHidden/>
          </w:rPr>
        </w:r>
        <w:r>
          <w:rPr>
            <w:webHidden/>
          </w:rPr>
          <w:fldChar w:fldCharType="separate"/>
        </w:r>
        <w:r>
          <w:rPr>
            <w:webHidden/>
          </w:rPr>
          <w:t>19</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86" w:history="1">
        <w:r w:rsidRPr="00EB4A17">
          <w:rPr>
            <w:rStyle w:val="Hyperlink"/>
            <w14:scene3d>
              <w14:camera w14:prst="orthographicFront"/>
              <w14:lightRig w14:rig="threePt" w14:dir="t">
                <w14:rot w14:lat="0" w14:lon="0" w14:rev="0"/>
              </w14:lightRig>
            </w14:scene3d>
          </w:rPr>
          <w:t>2.3.4.1</w:t>
        </w:r>
        <w:r>
          <w:rPr>
            <w:rFonts w:asciiTheme="minorHAnsi" w:eastAsiaTheme="minorEastAsia" w:hAnsiTheme="minorHAnsi" w:cstheme="minorBidi"/>
            <w:color w:val="auto"/>
            <w:sz w:val="22"/>
            <w:szCs w:val="22"/>
          </w:rPr>
          <w:tab/>
        </w:r>
        <w:r w:rsidRPr="00EB4A17">
          <w:rPr>
            <w:rStyle w:val="Hyperlink"/>
          </w:rPr>
          <w:t>Model Specification</w:t>
        </w:r>
        <w:r>
          <w:rPr>
            <w:webHidden/>
          </w:rPr>
          <w:tab/>
        </w:r>
        <w:r>
          <w:rPr>
            <w:webHidden/>
          </w:rPr>
          <w:fldChar w:fldCharType="begin"/>
        </w:r>
        <w:r>
          <w:rPr>
            <w:webHidden/>
          </w:rPr>
          <w:instrText xml:space="preserve"> PAGEREF _Toc409095386 \h </w:instrText>
        </w:r>
        <w:r>
          <w:rPr>
            <w:webHidden/>
          </w:rPr>
        </w:r>
        <w:r>
          <w:rPr>
            <w:webHidden/>
          </w:rPr>
          <w:fldChar w:fldCharType="separate"/>
        </w:r>
        <w:r>
          <w:rPr>
            <w:webHidden/>
          </w:rPr>
          <w:t>19</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87" w:history="1">
        <w:r w:rsidRPr="00EB4A17">
          <w:rPr>
            <w:rStyle w:val="Hyperlink"/>
          </w:rPr>
          <w:t>2.3.5</w:t>
        </w:r>
        <w:r>
          <w:rPr>
            <w:rFonts w:asciiTheme="minorHAnsi" w:eastAsiaTheme="minorEastAsia" w:hAnsiTheme="minorHAnsi" w:cstheme="minorBidi"/>
            <w:i w:val="0"/>
            <w:iCs w:val="0"/>
            <w:color w:val="auto"/>
            <w:sz w:val="22"/>
            <w:szCs w:val="22"/>
          </w:rPr>
          <w:tab/>
        </w:r>
        <w:r w:rsidRPr="00EB4A17">
          <w:rPr>
            <w:rStyle w:val="Hyperlink"/>
          </w:rPr>
          <w:t>Calculating Gross-Verified Savings</w:t>
        </w:r>
        <w:r>
          <w:rPr>
            <w:webHidden/>
          </w:rPr>
          <w:tab/>
        </w:r>
        <w:r>
          <w:rPr>
            <w:webHidden/>
          </w:rPr>
          <w:fldChar w:fldCharType="begin"/>
        </w:r>
        <w:r>
          <w:rPr>
            <w:webHidden/>
          </w:rPr>
          <w:instrText xml:space="preserve"> PAGEREF _Toc409095387 \h </w:instrText>
        </w:r>
        <w:r>
          <w:rPr>
            <w:webHidden/>
          </w:rPr>
        </w:r>
        <w:r>
          <w:rPr>
            <w:webHidden/>
          </w:rPr>
          <w:fldChar w:fldCharType="separate"/>
        </w:r>
        <w:r>
          <w:rPr>
            <w:webHidden/>
          </w:rPr>
          <w:t>20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8" w:history="1">
        <w:r w:rsidRPr="00EB4A17">
          <w:rPr>
            <w:rStyle w:val="Hyperlink"/>
            <w:noProof/>
          </w:rPr>
          <w:t>2.4</w:t>
        </w:r>
        <w:r>
          <w:rPr>
            <w:rFonts w:asciiTheme="minorHAnsi" w:eastAsiaTheme="minorEastAsia" w:hAnsiTheme="minorHAnsi" w:cstheme="minorBidi"/>
            <w:smallCaps w:val="0"/>
            <w:noProof/>
            <w:color w:val="auto"/>
            <w:szCs w:val="22"/>
          </w:rPr>
          <w:tab/>
        </w:r>
        <w:r w:rsidRPr="00EB4A17">
          <w:rPr>
            <w:rStyle w:val="Hyperlink"/>
            <w:noProof/>
          </w:rPr>
          <w:t>Overview of Net-Verified Approach and Methods</w:t>
        </w:r>
        <w:r>
          <w:rPr>
            <w:noProof/>
            <w:webHidden/>
          </w:rPr>
          <w:tab/>
        </w:r>
        <w:r>
          <w:rPr>
            <w:noProof/>
            <w:webHidden/>
          </w:rPr>
          <w:fldChar w:fldCharType="begin"/>
        </w:r>
        <w:r>
          <w:rPr>
            <w:noProof/>
            <w:webHidden/>
          </w:rPr>
          <w:instrText xml:space="preserve"> PAGEREF _Toc409095388 \h </w:instrText>
        </w:r>
        <w:r>
          <w:rPr>
            <w:noProof/>
            <w:webHidden/>
          </w:rPr>
        </w:r>
        <w:r>
          <w:rPr>
            <w:noProof/>
            <w:webHidden/>
          </w:rPr>
          <w:fldChar w:fldCharType="separate"/>
        </w:r>
        <w:r>
          <w:rPr>
            <w:noProof/>
            <w:webHidden/>
          </w:rPr>
          <w:t>21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89" w:history="1">
        <w:r w:rsidRPr="00EB4A17">
          <w:rPr>
            <w:rStyle w:val="Hyperlink"/>
            <w:noProof/>
          </w:rPr>
          <w:t>2.5</w:t>
        </w:r>
        <w:r>
          <w:rPr>
            <w:rFonts w:asciiTheme="minorHAnsi" w:eastAsiaTheme="minorEastAsia" w:hAnsiTheme="minorHAnsi" w:cstheme="minorBidi"/>
            <w:smallCaps w:val="0"/>
            <w:noProof/>
            <w:color w:val="auto"/>
            <w:szCs w:val="22"/>
          </w:rPr>
          <w:tab/>
        </w:r>
        <w:r w:rsidRPr="00EB4A17">
          <w:rPr>
            <w:rStyle w:val="Hyperlink"/>
            <w:noProof/>
          </w:rPr>
          <w:t>WA/ID Electric Program-Specific Tasks</w:t>
        </w:r>
        <w:r>
          <w:rPr>
            <w:noProof/>
            <w:webHidden/>
          </w:rPr>
          <w:tab/>
        </w:r>
        <w:r>
          <w:rPr>
            <w:noProof/>
            <w:webHidden/>
          </w:rPr>
          <w:fldChar w:fldCharType="begin"/>
        </w:r>
        <w:r>
          <w:rPr>
            <w:noProof/>
            <w:webHidden/>
          </w:rPr>
          <w:instrText xml:space="preserve"> PAGEREF _Toc409095389 \h </w:instrText>
        </w:r>
        <w:r>
          <w:rPr>
            <w:noProof/>
            <w:webHidden/>
          </w:rPr>
        </w:r>
        <w:r>
          <w:rPr>
            <w:noProof/>
            <w:webHidden/>
          </w:rPr>
          <w:fldChar w:fldCharType="separate"/>
        </w:r>
        <w:r>
          <w:rPr>
            <w:noProof/>
            <w:webHidden/>
          </w:rPr>
          <w:t>22</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0" w:history="1">
        <w:r w:rsidRPr="00EB4A17">
          <w:rPr>
            <w:rStyle w:val="Hyperlink"/>
          </w:rPr>
          <w:t>2.5.1</w:t>
        </w:r>
        <w:r>
          <w:rPr>
            <w:rFonts w:asciiTheme="minorHAnsi" w:eastAsiaTheme="minorEastAsia" w:hAnsiTheme="minorHAnsi" w:cstheme="minorBidi"/>
            <w:i w:val="0"/>
            <w:iCs w:val="0"/>
            <w:color w:val="auto"/>
            <w:sz w:val="22"/>
            <w:szCs w:val="22"/>
          </w:rPr>
          <w:tab/>
        </w:r>
        <w:r w:rsidRPr="00EB4A17">
          <w:rPr>
            <w:rStyle w:val="Hyperlink"/>
          </w:rPr>
          <w:t>Residential Programs</w:t>
        </w:r>
        <w:r>
          <w:rPr>
            <w:webHidden/>
          </w:rPr>
          <w:tab/>
        </w:r>
        <w:r>
          <w:rPr>
            <w:webHidden/>
          </w:rPr>
          <w:fldChar w:fldCharType="begin"/>
        </w:r>
        <w:r>
          <w:rPr>
            <w:webHidden/>
          </w:rPr>
          <w:instrText xml:space="preserve"> PAGEREF _Toc409095390 \h </w:instrText>
        </w:r>
        <w:r>
          <w:rPr>
            <w:webHidden/>
          </w:rPr>
        </w:r>
        <w:r>
          <w:rPr>
            <w:webHidden/>
          </w:rPr>
          <w:fldChar w:fldCharType="separate"/>
        </w:r>
        <w:r>
          <w:rPr>
            <w:webHidden/>
          </w:rPr>
          <w:t>22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1" w:history="1">
        <w:r w:rsidRPr="00EB4A17">
          <w:rPr>
            <w:rStyle w:val="Hyperlink"/>
            <w14:scene3d>
              <w14:camera w14:prst="orthographicFront"/>
              <w14:lightRig w14:rig="threePt" w14:dir="t">
                <w14:rot w14:lat="0" w14:lon="0" w14:rev="0"/>
              </w14:lightRig>
            </w14:scene3d>
          </w:rPr>
          <w:t>2.5.1.1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_Toc409095391 \h </w:instrText>
        </w:r>
        <w:r>
          <w:rPr>
            <w:webHidden/>
          </w:rPr>
        </w:r>
        <w:r>
          <w:rPr>
            <w:webHidden/>
          </w:rPr>
          <w:fldChar w:fldCharType="separate"/>
        </w:r>
        <w:r>
          <w:rPr>
            <w:webHidden/>
          </w:rPr>
          <w:t>22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2" w:history="1">
        <w:r w:rsidRPr="00EB4A17">
          <w:rPr>
            <w:rStyle w:val="Hyperlink"/>
            <w14:scene3d>
              <w14:camera w14:prst="orthographicFront"/>
              <w14:lightRig w14:rig="threePt" w14:dir="t">
                <w14:rot w14:lat="0" w14:lon="0" w14:rev="0"/>
              </w14:lightRig>
            </w14:scene3d>
          </w:rPr>
          <w:t>2.5.1.2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_Toc409095392 \h </w:instrText>
        </w:r>
        <w:r>
          <w:rPr>
            <w:webHidden/>
          </w:rPr>
        </w:r>
        <w:r>
          <w:rPr>
            <w:webHidden/>
          </w:rPr>
          <w:fldChar w:fldCharType="separate"/>
        </w:r>
        <w:r>
          <w:rPr>
            <w:webHidden/>
          </w:rPr>
          <w:t>24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3" w:history="1">
        <w:r w:rsidRPr="00EB4A17">
          <w:rPr>
            <w:rStyle w:val="Hyperlink"/>
            <w14:scene3d>
              <w14:camera w14:prst="orthographicFront"/>
              <w14:lightRig w14:rig="threePt" w14:dir="t">
                <w14:rot w14:lat="0" w14:lon="0" w14:rev="0"/>
              </w14:lightRig>
            </w14:scene3d>
          </w:rPr>
          <w:t>2.5.1.3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_Toc409095393 \h </w:instrText>
        </w:r>
        <w:r>
          <w:rPr>
            <w:webHidden/>
          </w:rPr>
        </w:r>
        <w:r>
          <w:rPr>
            <w:webHidden/>
          </w:rPr>
          <w:fldChar w:fldCharType="separate"/>
        </w:r>
        <w:r>
          <w:rPr>
            <w:webHidden/>
          </w:rPr>
          <w:t>26</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4" w:history="1">
        <w:r w:rsidRPr="00EB4A17">
          <w:rPr>
            <w:rStyle w:val="Hyperlink"/>
          </w:rPr>
          <w:t>2.5.2</w:t>
        </w:r>
        <w:r>
          <w:rPr>
            <w:rFonts w:asciiTheme="minorHAnsi" w:eastAsiaTheme="minorEastAsia" w:hAnsiTheme="minorHAnsi" w:cstheme="minorBidi"/>
            <w:i w:val="0"/>
            <w:iCs w:val="0"/>
            <w:color w:val="auto"/>
            <w:sz w:val="22"/>
            <w:szCs w:val="22"/>
          </w:rPr>
          <w:tab/>
        </w:r>
        <w:r w:rsidRPr="00EB4A17">
          <w:rPr>
            <w:rStyle w:val="Hyperlink"/>
          </w:rPr>
          <w:t>Nonresidential Programs</w:t>
        </w:r>
        <w:r>
          <w:rPr>
            <w:webHidden/>
          </w:rPr>
          <w:tab/>
        </w:r>
        <w:r>
          <w:rPr>
            <w:webHidden/>
          </w:rPr>
          <w:fldChar w:fldCharType="begin"/>
        </w:r>
        <w:r>
          <w:rPr>
            <w:webHidden/>
          </w:rPr>
          <w:instrText xml:space="preserve"> PAGEREF _Toc409095394 \h </w:instrText>
        </w:r>
        <w:r>
          <w:rPr>
            <w:webHidden/>
          </w:rPr>
        </w:r>
        <w:r>
          <w:rPr>
            <w:webHidden/>
          </w:rPr>
          <w:fldChar w:fldCharType="separate"/>
        </w:r>
        <w:r>
          <w:rPr>
            <w:webHidden/>
          </w:rPr>
          <w:t>26</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5" w:history="1">
        <w:r w:rsidRPr="00EB4A17">
          <w:rPr>
            <w:rStyle w:val="Hyperlink"/>
            <w14:scene3d>
              <w14:camera w14:prst="orthographicFront"/>
              <w14:lightRig w14:rig="threePt" w14:dir="t">
                <w14:rot w14:lat="0" w14:lon="0" w14:rev="0"/>
              </w14:lightRig>
            </w14:scene3d>
          </w:rPr>
          <w:t>2.5.2.1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_Toc409095395 \h </w:instrText>
        </w:r>
        <w:r>
          <w:rPr>
            <w:webHidden/>
          </w:rPr>
        </w:r>
        <w:r>
          <w:rPr>
            <w:webHidden/>
          </w:rPr>
          <w:fldChar w:fldCharType="separate"/>
        </w:r>
        <w:r>
          <w:rPr>
            <w:webHidden/>
          </w:rPr>
          <w:t>27</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6" w:history="1">
        <w:r w:rsidRPr="00EB4A17">
          <w:rPr>
            <w:rStyle w:val="Hyperlink"/>
            <w14:scene3d>
              <w14:camera w14:prst="orthographicFront"/>
              <w14:lightRig w14:rig="threePt" w14:dir="t">
                <w14:rot w14:lat="0" w14:lon="0" w14:rev="0"/>
              </w14:lightRig>
            </w14:scene3d>
          </w:rPr>
          <w:t>2.5.2.2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_Toc409095396 \h </w:instrText>
        </w:r>
        <w:r>
          <w:rPr>
            <w:webHidden/>
          </w:rPr>
        </w:r>
        <w:r>
          <w:rPr>
            <w:webHidden/>
          </w:rPr>
          <w:fldChar w:fldCharType="separate"/>
        </w:r>
        <w:r>
          <w:rPr>
            <w:webHidden/>
          </w:rPr>
          <w:t>29</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397" w:history="1">
        <w:r w:rsidRPr="00EB4A17">
          <w:rPr>
            <w:rStyle w:val="Hyperlink"/>
            <w14:scene3d>
              <w14:camera w14:prst="orthographicFront"/>
              <w14:lightRig w14:rig="threePt" w14:dir="t">
                <w14:rot w14:lat="0" w14:lon="0" w14:rev="0"/>
              </w14:lightRig>
            </w14:scene3d>
          </w:rPr>
          <w:t>2.5.2.3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_Toc409095397 \h </w:instrText>
        </w:r>
        <w:r>
          <w:rPr>
            <w:webHidden/>
          </w:rPr>
        </w:r>
        <w:r>
          <w:rPr>
            <w:webHidden/>
          </w:rPr>
          <w:fldChar w:fldCharType="separate"/>
        </w:r>
        <w:r>
          <w:rPr>
            <w:webHidden/>
          </w:rPr>
          <w:t>29</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398" w:history="1">
        <w:r w:rsidRPr="00EB4A17">
          <w:rPr>
            <w:rStyle w:val="Hyperlink"/>
            <w:noProof/>
          </w:rPr>
          <w:t>2.6</w:t>
        </w:r>
        <w:r>
          <w:rPr>
            <w:rFonts w:asciiTheme="minorHAnsi" w:eastAsiaTheme="minorEastAsia" w:hAnsiTheme="minorHAnsi" w:cstheme="minorBidi"/>
            <w:smallCaps w:val="0"/>
            <w:noProof/>
            <w:color w:val="auto"/>
            <w:szCs w:val="22"/>
          </w:rPr>
          <w:tab/>
        </w:r>
        <w:r w:rsidRPr="00EB4A17">
          <w:rPr>
            <w:rStyle w:val="Hyperlink"/>
            <w:noProof/>
          </w:rPr>
          <w:t>WA Natural Gas Program-Specific Tasks</w:t>
        </w:r>
        <w:r>
          <w:rPr>
            <w:noProof/>
            <w:webHidden/>
          </w:rPr>
          <w:tab/>
        </w:r>
        <w:r>
          <w:rPr>
            <w:noProof/>
            <w:webHidden/>
          </w:rPr>
          <w:fldChar w:fldCharType="begin"/>
        </w:r>
        <w:r>
          <w:rPr>
            <w:noProof/>
            <w:webHidden/>
          </w:rPr>
          <w:instrText xml:space="preserve"> PAGEREF _Toc409095398 \h </w:instrText>
        </w:r>
        <w:r>
          <w:rPr>
            <w:noProof/>
            <w:webHidden/>
          </w:rPr>
        </w:r>
        <w:r>
          <w:rPr>
            <w:noProof/>
            <w:webHidden/>
          </w:rPr>
          <w:fldChar w:fldCharType="separate"/>
        </w:r>
        <w:r>
          <w:rPr>
            <w:noProof/>
            <w:webHidden/>
          </w:rPr>
          <w:t>30</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399" w:history="1">
        <w:r w:rsidRPr="00EB4A17">
          <w:rPr>
            <w:rStyle w:val="Hyperlink"/>
          </w:rPr>
          <w:t>2.6.1</w:t>
        </w:r>
        <w:r>
          <w:rPr>
            <w:rFonts w:asciiTheme="minorHAnsi" w:eastAsiaTheme="minorEastAsia" w:hAnsiTheme="minorHAnsi" w:cstheme="minorBidi"/>
            <w:i w:val="0"/>
            <w:iCs w:val="0"/>
            <w:color w:val="auto"/>
            <w:sz w:val="22"/>
            <w:szCs w:val="22"/>
          </w:rPr>
          <w:tab/>
        </w:r>
        <w:r w:rsidRPr="00EB4A17">
          <w:rPr>
            <w:rStyle w:val="Hyperlink"/>
          </w:rPr>
          <w:t>Residential Programs</w:t>
        </w:r>
        <w:r>
          <w:rPr>
            <w:webHidden/>
          </w:rPr>
          <w:tab/>
        </w:r>
        <w:r>
          <w:rPr>
            <w:webHidden/>
          </w:rPr>
          <w:fldChar w:fldCharType="begin"/>
        </w:r>
        <w:r>
          <w:rPr>
            <w:webHidden/>
          </w:rPr>
          <w:instrText xml:space="preserve"> PAGEREF _Toc409095399 \h </w:instrText>
        </w:r>
        <w:r>
          <w:rPr>
            <w:webHidden/>
          </w:rPr>
        </w:r>
        <w:r>
          <w:rPr>
            <w:webHidden/>
          </w:rPr>
          <w:fldChar w:fldCharType="separate"/>
        </w:r>
        <w:r>
          <w:rPr>
            <w:webHidden/>
          </w:rPr>
          <w:t>30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0" w:history="1">
        <w:r w:rsidRPr="00EB4A17">
          <w:rPr>
            <w:rStyle w:val="Hyperlink"/>
            <w14:scene3d>
              <w14:camera w14:prst="orthographicFront"/>
              <w14:lightRig w14:rig="threePt" w14:dir="t">
                <w14:rot w14:lat="0" w14:lon="0" w14:rev="0"/>
              </w14:lightRig>
            </w14:scene3d>
          </w:rPr>
          <w:t>2.6.1.1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_Toc409095400 \h </w:instrText>
        </w:r>
        <w:r>
          <w:rPr>
            <w:webHidden/>
          </w:rPr>
        </w:r>
        <w:r>
          <w:rPr>
            <w:webHidden/>
          </w:rPr>
          <w:fldChar w:fldCharType="separate"/>
        </w:r>
        <w:r>
          <w:rPr>
            <w:webHidden/>
          </w:rPr>
          <w:t>30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1" w:history="1">
        <w:r w:rsidRPr="00EB4A17">
          <w:rPr>
            <w:rStyle w:val="Hyperlink"/>
            <w14:scene3d>
              <w14:camera w14:prst="orthographicFront"/>
              <w14:lightRig w14:rig="threePt" w14:dir="t">
                <w14:rot w14:lat="0" w14:lon="0" w14:rev="0"/>
              </w14:lightRig>
            </w14:scene3d>
          </w:rPr>
          <w:t>2.6.1.2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_Toc409095401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2" w:history="1">
        <w:r w:rsidRPr="00EB4A17">
          <w:rPr>
            <w:rStyle w:val="Hyperlink"/>
            <w14:scene3d>
              <w14:camera w14:prst="orthographicFront"/>
              <w14:lightRig w14:rig="threePt" w14:dir="t">
                <w14:rot w14:lat="0" w14:lon="0" w14:rev="0"/>
              </w14:lightRig>
            </w14:scene3d>
          </w:rPr>
          <w:t>2.6.1.3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_Toc409095402 \h </w:instrText>
        </w:r>
        <w:r>
          <w:rPr>
            <w:webHidden/>
          </w:rPr>
        </w:r>
        <w:r>
          <w:rPr>
            <w:webHidden/>
          </w:rPr>
          <w:fldChar w:fldCharType="separate"/>
        </w:r>
        <w:r>
          <w:rPr>
            <w:webHidden/>
          </w:rPr>
          <w:t>31</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3" w:history="1">
        <w:r w:rsidRPr="00EB4A17">
          <w:rPr>
            <w:rStyle w:val="Hyperlink"/>
          </w:rPr>
          <w:t>2.6.2</w:t>
        </w:r>
        <w:r>
          <w:rPr>
            <w:rFonts w:asciiTheme="minorHAnsi" w:eastAsiaTheme="minorEastAsia" w:hAnsiTheme="minorHAnsi" w:cstheme="minorBidi"/>
            <w:i w:val="0"/>
            <w:iCs w:val="0"/>
            <w:color w:val="auto"/>
            <w:sz w:val="22"/>
            <w:szCs w:val="22"/>
          </w:rPr>
          <w:tab/>
        </w:r>
        <w:r w:rsidRPr="00EB4A17">
          <w:rPr>
            <w:rStyle w:val="Hyperlink"/>
          </w:rPr>
          <w:t>Nonresidential Programs</w:t>
        </w:r>
        <w:r>
          <w:rPr>
            <w:webHidden/>
          </w:rPr>
          <w:tab/>
        </w:r>
        <w:r>
          <w:rPr>
            <w:webHidden/>
          </w:rPr>
          <w:fldChar w:fldCharType="begin"/>
        </w:r>
        <w:r>
          <w:rPr>
            <w:webHidden/>
          </w:rPr>
          <w:instrText xml:space="preserve"> PAGEREF _Toc409095403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4" w:history="1">
        <w:r w:rsidRPr="00EB4A17">
          <w:rPr>
            <w:rStyle w:val="Hyperlink"/>
            <w14:scene3d>
              <w14:camera w14:prst="orthographicFront"/>
              <w14:lightRig w14:rig="threePt" w14:dir="t">
                <w14:rot w14:lat="0" w14:lon="0" w14:rev="0"/>
              </w14:lightRig>
            </w14:scene3d>
          </w:rPr>
          <w:t>2.6.2.1</w:t>
        </w:r>
        <w:r>
          <w:rPr>
            <w:rFonts w:asciiTheme="minorHAnsi" w:eastAsiaTheme="minorEastAsia" w:hAnsiTheme="minorHAnsi" w:cstheme="minorBidi"/>
            <w:color w:val="auto"/>
            <w:sz w:val="22"/>
            <w:szCs w:val="22"/>
          </w:rPr>
          <w:tab/>
        </w:r>
        <w:r w:rsidRPr="00EB4A17">
          <w:rPr>
            <w:rStyle w:val="Hyperlink"/>
          </w:rPr>
          <w:t>Program Overview</w:t>
        </w:r>
        <w:r>
          <w:rPr>
            <w:webHidden/>
          </w:rPr>
          <w:tab/>
        </w:r>
        <w:r>
          <w:rPr>
            <w:webHidden/>
          </w:rPr>
          <w:fldChar w:fldCharType="begin"/>
        </w:r>
        <w:r>
          <w:rPr>
            <w:webHidden/>
          </w:rPr>
          <w:instrText xml:space="preserve"> PAGEREF _Toc409095404 \h </w:instrText>
        </w:r>
        <w:r>
          <w:rPr>
            <w:webHidden/>
          </w:rPr>
        </w:r>
        <w:r>
          <w:rPr>
            <w:webHidden/>
          </w:rPr>
          <w:fldChar w:fldCharType="separate"/>
        </w:r>
        <w:r>
          <w:rPr>
            <w:webHidden/>
          </w:rPr>
          <w:t>31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5" w:history="1">
        <w:r w:rsidRPr="00EB4A17">
          <w:rPr>
            <w:rStyle w:val="Hyperlink"/>
            <w14:scene3d>
              <w14:camera w14:prst="orthographicFront"/>
              <w14:lightRig w14:rig="threePt" w14:dir="t">
                <w14:rot w14:lat="0" w14:lon="0" w14:rev="0"/>
              </w14:lightRig>
            </w14:scene3d>
          </w:rPr>
          <w:t>2.6.2.2</w:t>
        </w:r>
        <w:r>
          <w:rPr>
            <w:rFonts w:asciiTheme="minorHAnsi" w:eastAsiaTheme="minorEastAsia" w:hAnsiTheme="minorHAnsi" w:cstheme="minorBidi"/>
            <w:color w:val="auto"/>
            <w:sz w:val="22"/>
            <w:szCs w:val="22"/>
          </w:rPr>
          <w:tab/>
        </w:r>
        <w:r w:rsidRPr="00EB4A17">
          <w:rPr>
            <w:rStyle w:val="Hyperlink"/>
          </w:rPr>
          <w:t>Gross-Verified Approach</w:t>
        </w:r>
        <w:r>
          <w:rPr>
            <w:webHidden/>
          </w:rPr>
          <w:tab/>
        </w:r>
        <w:r>
          <w:rPr>
            <w:webHidden/>
          </w:rPr>
          <w:fldChar w:fldCharType="begin"/>
        </w:r>
        <w:r>
          <w:rPr>
            <w:webHidden/>
          </w:rPr>
          <w:instrText xml:space="preserve"> PAGEREF _Toc409095405 \h </w:instrText>
        </w:r>
        <w:r>
          <w:rPr>
            <w:webHidden/>
          </w:rPr>
        </w:r>
        <w:r>
          <w:rPr>
            <w:webHidden/>
          </w:rPr>
          <w:fldChar w:fldCharType="separate"/>
        </w:r>
        <w:r>
          <w:rPr>
            <w:webHidden/>
          </w:rPr>
          <w:t>32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06" w:history="1">
        <w:r w:rsidRPr="00EB4A17">
          <w:rPr>
            <w:rStyle w:val="Hyperlink"/>
            <w14:scene3d>
              <w14:camera w14:prst="orthographicFront"/>
              <w14:lightRig w14:rig="threePt" w14:dir="t">
                <w14:rot w14:lat="0" w14:lon="0" w14:rev="0"/>
              </w14:lightRig>
            </w14:scene3d>
          </w:rPr>
          <w:t>2.6.2.3</w:t>
        </w:r>
        <w:r>
          <w:rPr>
            <w:rFonts w:asciiTheme="minorHAnsi" w:eastAsiaTheme="minorEastAsia" w:hAnsiTheme="minorHAnsi" w:cstheme="minorBidi"/>
            <w:color w:val="auto"/>
            <w:sz w:val="22"/>
            <w:szCs w:val="22"/>
          </w:rPr>
          <w:tab/>
        </w:r>
        <w:r w:rsidRPr="00EB4A17">
          <w:rPr>
            <w:rStyle w:val="Hyperlink"/>
          </w:rPr>
          <w:t>Net-Verified Approach</w:t>
        </w:r>
        <w:r>
          <w:rPr>
            <w:webHidden/>
          </w:rPr>
          <w:tab/>
        </w:r>
        <w:r>
          <w:rPr>
            <w:webHidden/>
          </w:rPr>
          <w:fldChar w:fldCharType="begin"/>
        </w:r>
        <w:r>
          <w:rPr>
            <w:webHidden/>
          </w:rPr>
          <w:instrText xml:space="preserve"> PAGEREF _Toc409095406 \h </w:instrText>
        </w:r>
        <w:r>
          <w:rPr>
            <w:webHidden/>
          </w:rPr>
        </w:r>
        <w:r>
          <w:rPr>
            <w:webHidden/>
          </w:rPr>
          <w:fldChar w:fldCharType="separate"/>
        </w:r>
        <w:r>
          <w:rPr>
            <w:webHidden/>
          </w:rPr>
          <w:t>33</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07" w:history="1">
        <w:r w:rsidRPr="00EB4A17">
          <w:rPr>
            <w:rStyle w:val="Hyperlink"/>
            <w:noProof/>
          </w:rPr>
          <w:t>2.7</w:t>
        </w:r>
        <w:r>
          <w:rPr>
            <w:rFonts w:asciiTheme="minorHAnsi" w:eastAsiaTheme="minorEastAsia" w:hAnsiTheme="minorHAnsi" w:cstheme="minorBidi"/>
            <w:smallCaps w:val="0"/>
            <w:noProof/>
            <w:color w:val="auto"/>
            <w:szCs w:val="22"/>
          </w:rPr>
          <w:tab/>
        </w:r>
        <w:r w:rsidRPr="00EB4A17">
          <w:rPr>
            <w:rStyle w:val="Hyperlink"/>
            <w:noProof/>
          </w:rPr>
          <w:t>Other Tasks</w:t>
        </w:r>
        <w:r>
          <w:rPr>
            <w:noProof/>
            <w:webHidden/>
          </w:rPr>
          <w:tab/>
        </w:r>
        <w:r>
          <w:rPr>
            <w:noProof/>
            <w:webHidden/>
          </w:rPr>
          <w:fldChar w:fldCharType="begin"/>
        </w:r>
        <w:r>
          <w:rPr>
            <w:noProof/>
            <w:webHidden/>
          </w:rPr>
          <w:instrText xml:space="preserve"> PAGEREF _Toc409095407 \h </w:instrText>
        </w:r>
        <w:r>
          <w:rPr>
            <w:noProof/>
            <w:webHidden/>
          </w:rPr>
        </w:r>
        <w:r>
          <w:rPr>
            <w:noProof/>
            <w:webHidden/>
          </w:rPr>
          <w:fldChar w:fldCharType="separate"/>
        </w:r>
        <w:r>
          <w:rPr>
            <w:noProof/>
            <w:webHidden/>
          </w:rPr>
          <w:t>33</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8" w:history="1">
        <w:r w:rsidRPr="00EB4A17">
          <w:rPr>
            <w:rStyle w:val="Hyperlink"/>
          </w:rPr>
          <w:t>2.7.1</w:t>
        </w:r>
        <w:r>
          <w:rPr>
            <w:rFonts w:asciiTheme="minorHAnsi" w:eastAsiaTheme="minorEastAsia" w:hAnsiTheme="minorHAnsi" w:cstheme="minorBidi"/>
            <w:i w:val="0"/>
            <w:iCs w:val="0"/>
            <w:color w:val="auto"/>
            <w:sz w:val="22"/>
            <w:szCs w:val="22"/>
          </w:rPr>
          <w:tab/>
        </w:r>
        <w:r w:rsidRPr="00EB4A17">
          <w:rPr>
            <w:rStyle w:val="Hyperlink"/>
          </w:rPr>
          <w:t>Program Theory and Logic Model Review</w:t>
        </w:r>
        <w:r>
          <w:rPr>
            <w:webHidden/>
          </w:rPr>
          <w:tab/>
        </w:r>
        <w:r>
          <w:rPr>
            <w:webHidden/>
          </w:rPr>
          <w:fldChar w:fldCharType="begin"/>
        </w:r>
        <w:r>
          <w:rPr>
            <w:webHidden/>
          </w:rPr>
          <w:instrText xml:space="preserve"> PAGEREF _Toc409095408 \h </w:instrText>
        </w:r>
        <w:r>
          <w:rPr>
            <w:webHidden/>
          </w:rPr>
        </w:r>
        <w:r>
          <w:rPr>
            <w:webHidden/>
          </w:rPr>
          <w:fldChar w:fldCharType="separate"/>
        </w:r>
        <w:r>
          <w:rPr>
            <w:webHidden/>
          </w:rPr>
          <w:t>33</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09" w:history="1">
        <w:r w:rsidRPr="00EB4A17">
          <w:rPr>
            <w:rStyle w:val="Hyperlink"/>
          </w:rPr>
          <w:t>2.7.2</w:t>
        </w:r>
        <w:r>
          <w:rPr>
            <w:rFonts w:asciiTheme="minorHAnsi" w:eastAsiaTheme="minorEastAsia" w:hAnsiTheme="minorHAnsi" w:cstheme="minorBidi"/>
            <w:i w:val="0"/>
            <w:iCs w:val="0"/>
            <w:color w:val="auto"/>
            <w:sz w:val="22"/>
            <w:szCs w:val="22"/>
          </w:rPr>
          <w:tab/>
        </w:r>
        <w:r w:rsidRPr="00EB4A17">
          <w:rPr>
            <w:rStyle w:val="Hyperlink"/>
          </w:rPr>
          <w:t>Technical Reference Manual Review</w:t>
        </w:r>
        <w:r>
          <w:rPr>
            <w:webHidden/>
          </w:rPr>
          <w:tab/>
        </w:r>
        <w:r>
          <w:rPr>
            <w:webHidden/>
          </w:rPr>
          <w:fldChar w:fldCharType="begin"/>
        </w:r>
        <w:r>
          <w:rPr>
            <w:webHidden/>
          </w:rPr>
          <w:instrText xml:space="preserve"> PAGEREF _Toc409095409 \h </w:instrText>
        </w:r>
        <w:r>
          <w:rPr>
            <w:webHidden/>
          </w:rPr>
        </w:r>
        <w:r>
          <w:rPr>
            <w:webHidden/>
          </w:rPr>
          <w:fldChar w:fldCharType="separate"/>
        </w:r>
        <w:r>
          <w:rPr>
            <w:webHidden/>
          </w:rPr>
          <w:t>33</w:t>
        </w:r>
        <w:r>
          <w:rPr>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10" w:history="1">
        <w:r w:rsidRPr="00EB4A17">
          <w:rPr>
            <w:rStyle w:val="Hyperlink"/>
            <w:rFonts w:cs="Vrinda"/>
          </w:rPr>
          <w:t>3</w:t>
        </w:r>
        <w:r>
          <w:rPr>
            <w:rFonts w:asciiTheme="minorHAnsi" w:eastAsiaTheme="minorEastAsia" w:hAnsiTheme="minorHAnsi" w:cstheme="minorBidi"/>
            <w:bCs w:val="0"/>
            <w:caps w:val="0"/>
            <w:color w:val="auto"/>
            <w:sz w:val="22"/>
          </w:rPr>
          <w:tab/>
        </w:r>
        <w:r w:rsidRPr="00EB4A17">
          <w:rPr>
            <w:rStyle w:val="Hyperlink"/>
          </w:rPr>
          <w:t>Process Evaluation Overview</w:t>
        </w:r>
        <w:r>
          <w:rPr>
            <w:webHidden/>
          </w:rPr>
          <w:tab/>
        </w:r>
        <w:r>
          <w:rPr>
            <w:webHidden/>
          </w:rPr>
          <w:fldChar w:fldCharType="begin"/>
        </w:r>
        <w:r>
          <w:rPr>
            <w:webHidden/>
          </w:rPr>
          <w:instrText xml:space="preserve"> PAGEREF _Toc409095410 \h </w:instrText>
        </w:r>
        <w:r>
          <w:rPr>
            <w:webHidden/>
          </w:rPr>
        </w:r>
        <w:r>
          <w:rPr>
            <w:webHidden/>
          </w:rPr>
          <w:fldChar w:fldCharType="separate"/>
        </w:r>
        <w:r>
          <w:rPr>
            <w:webHidden/>
          </w:rPr>
          <w:t>35</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1" w:history="1">
        <w:r w:rsidRPr="00EB4A17">
          <w:rPr>
            <w:rStyle w:val="Hyperlink"/>
            <w:noProof/>
          </w:rPr>
          <w:t>3.1</w:t>
        </w:r>
        <w:r>
          <w:rPr>
            <w:rFonts w:asciiTheme="minorHAnsi" w:eastAsiaTheme="minorEastAsia" w:hAnsiTheme="minorHAnsi" w:cstheme="minorBidi"/>
            <w:smallCaps w:val="0"/>
            <w:noProof/>
            <w:color w:val="auto"/>
            <w:szCs w:val="22"/>
          </w:rPr>
          <w:tab/>
        </w:r>
        <w:r w:rsidRPr="00EB4A17">
          <w:rPr>
            <w:rStyle w:val="Hyperlink"/>
            <w:noProof/>
          </w:rPr>
          <w:t>Overview of Approach and Methods</w:t>
        </w:r>
        <w:r>
          <w:rPr>
            <w:noProof/>
            <w:webHidden/>
          </w:rPr>
          <w:tab/>
        </w:r>
        <w:r>
          <w:rPr>
            <w:noProof/>
            <w:webHidden/>
          </w:rPr>
          <w:fldChar w:fldCharType="begin"/>
        </w:r>
        <w:r>
          <w:rPr>
            <w:noProof/>
            <w:webHidden/>
          </w:rPr>
          <w:instrText xml:space="preserve"> PAGEREF _Toc409095411 \h </w:instrText>
        </w:r>
        <w:r>
          <w:rPr>
            <w:noProof/>
            <w:webHidden/>
          </w:rPr>
        </w:r>
        <w:r>
          <w:rPr>
            <w:noProof/>
            <w:webHidden/>
          </w:rPr>
          <w:fldChar w:fldCharType="separate"/>
        </w:r>
        <w:r>
          <w:rPr>
            <w:noProof/>
            <w:webHidden/>
          </w:rPr>
          <w:t>35</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2" w:history="1">
        <w:r w:rsidRPr="00EB4A17">
          <w:rPr>
            <w:rStyle w:val="Hyperlink"/>
            <w:noProof/>
          </w:rPr>
          <w:t>3.2</w:t>
        </w:r>
        <w:r>
          <w:rPr>
            <w:rFonts w:asciiTheme="minorHAnsi" w:eastAsiaTheme="minorEastAsia" w:hAnsiTheme="minorHAnsi" w:cstheme="minorBidi"/>
            <w:smallCaps w:val="0"/>
            <w:noProof/>
            <w:color w:val="auto"/>
            <w:szCs w:val="22"/>
          </w:rPr>
          <w:tab/>
        </w:r>
        <w:r w:rsidRPr="00EB4A17">
          <w:rPr>
            <w:rStyle w:val="Hyperlink"/>
            <w:noProof/>
          </w:rPr>
          <w:t>Inward Facing Activities</w:t>
        </w:r>
        <w:r>
          <w:rPr>
            <w:noProof/>
            <w:webHidden/>
          </w:rPr>
          <w:tab/>
        </w:r>
        <w:r>
          <w:rPr>
            <w:noProof/>
            <w:webHidden/>
          </w:rPr>
          <w:fldChar w:fldCharType="begin"/>
        </w:r>
        <w:r>
          <w:rPr>
            <w:noProof/>
            <w:webHidden/>
          </w:rPr>
          <w:instrText xml:space="preserve"> PAGEREF _Toc409095412 \h </w:instrText>
        </w:r>
        <w:r>
          <w:rPr>
            <w:noProof/>
            <w:webHidden/>
          </w:rPr>
        </w:r>
        <w:r>
          <w:rPr>
            <w:noProof/>
            <w:webHidden/>
          </w:rPr>
          <w:fldChar w:fldCharType="separate"/>
        </w:r>
        <w:r>
          <w:rPr>
            <w:noProof/>
            <w:webHidden/>
          </w:rPr>
          <w:t>37</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3" w:history="1">
        <w:r w:rsidRPr="00EB4A17">
          <w:rPr>
            <w:rStyle w:val="Hyperlink"/>
          </w:rPr>
          <w:t>3.2.1</w:t>
        </w:r>
        <w:r>
          <w:rPr>
            <w:rFonts w:asciiTheme="minorHAnsi" w:eastAsiaTheme="minorEastAsia" w:hAnsiTheme="minorHAnsi" w:cstheme="minorBidi"/>
            <w:i w:val="0"/>
            <w:iCs w:val="0"/>
            <w:color w:val="auto"/>
            <w:sz w:val="22"/>
            <w:szCs w:val="22"/>
          </w:rPr>
          <w:tab/>
        </w:r>
        <w:r w:rsidRPr="00EB4A17">
          <w:rPr>
            <w:rStyle w:val="Hyperlink"/>
          </w:rPr>
          <w:t>Interview Guide Development</w:t>
        </w:r>
        <w:r>
          <w:rPr>
            <w:webHidden/>
          </w:rPr>
          <w:tab/>
        </w:r>
        <w:r>
          <w:rPr>
            <w:webHidden/>
          </w:rPr>
          <w:fldChar w:fldCharType="begin"/>
        </w:r>
        <w:r>
          <w:rPr>
            <w:webHidden/>
          </w:rPr>
          <w:instrText xml:space="preserve"> PAGEREF _Toc409095413 \h </w:instrText>
        </w:r>
        <w:r>
          <w:rPr>
            <w:webHidden/>
          </w:rPr>
        </w:r>
        <w:r>
          <w:rPr>
            <w:webHidden/>
          </w:rPr>
          <w:fldChar w:fldCharType="separate"/>
        </w:r>
        <w:r>
          <w:rPr>
            <w:webHidden/>
          </w:rPr>
          <w:t>38</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4" w:history="1">
        <w:r w:rsidRPr="00EB4A17">
          <w:rPr>
            <w:rStyle w:val="Hyperlink"/>
          </w:rPr>
          <w:t>3.2.2</w:t>
        </w:r>
        <w:r>
          <w:rPr>
            <w:rFonts w:asciiTheme="minorHAnsi" w:eastAsiaTheme="minorEastAsia" w:hAnsiTheme="minorHAnsi" w:cstheme="minorBidi"/>
            <w:i w:val="0"/>
            <w:iCs w:val="0"/>
            <w:color w:val="auto"/>
            <w:sz w:val="22"/>
            <w:szCs w:val="22"/>
          </w:rPr>
          <w:tab/>
        </w:r>
        <w:r w:rsidRPr="00EB4A17">
          <w:rPr>
            <w:rStyle w:val="Hyperlink"/>
          </w:rPr>
          <w:t>Initial Interviews with Avista and Third Party Implementer Staff</w:t>
        </w:r>
        <w:r>
          <w:rPr>
            <w:webHidden/>
          </w:rPr>
          <w:tab/>
        </w:r>
        <w:r>
          <w:rPr>
            <w:webHidden/>
          </w:rPr>
          <w:fldChar w:fldCharType="begin"/>
        </w:r>
        <w:r>
          <w:rPr>
            <w:webHidden/>
          </w:rPr>
          <w:instrText xml:space="preserve"> PAGEREF _Toc409095414 \h </w:instrText>
        </w:r>
        <w:r>
          <w:rPr>
            <w:webHidden/>
          </w:rPr>
        </w:r>
        <w:r>
          <w:rPr>
            <w:webHidden/>
          </w:rPr>
          <w:fldChar w:fldCharType="separate"/>
        </w:r>
        <w:r>
          <w:rPr>
            <w:webHidden/>
          </w:rPr>
          <w:t>38</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5" w:history="1">
        <w:r w:rsidRPr="00EB4A17">
          <w:rPr>
            <w:rStyle w:val="Hyperlink"/>
          </w:rPr>
          <w:t>3.2.3</w:t>
        </w:r>
        <w:r>
          <w:rPr>
            <w:rFonts w:asciiTheme="minorHAnsi" w:eastAsiaTheme="minorEastAsia" w:hAnsiTheme="minorHAnsi" w:cstheme="minorBidi"/>
            <w:i w:val="0"/>
            <w:iCs w:val="0"/>
            <w:color w:val="auto"/>
            <w:sz w:val="22"/>
            <w:szCs w:val="22"/>
          </w:rPr>
          <w:tab/>
        </w:r>
        <w:r w:rsidRPr="00EB4A17">
          <w:rPr>
            <w:rStyle w:val="Hyperlink"/>
          </w:rPr>
          <w:t>Mid-year 2015 Staff Interviews</w:t>
        </w:r>
        <w:r>
          <w:rPr>
            <w:webHidden/>
          </w:rPr>
          <w:tab/>
        </w:r>
        <w:r>
          <w:rPr>
            <w:webHidden/>
          </w:rPr>
          <w:fldChar w:fldCharType="begin"/>
        </w:r>
        <w:r>
          <w:rPr>
            <w:webHidden/>
          </w:rPr>
          <w:instrText xml:space="preserve"> PAGEREF _Toc409095415 \h </w:instrText>
        </w:r>
        <w:r>
          <w:rPr>
            <w:webHidden/>
          </w:rPr>
        </w:r>
        <w:r>
          <w:rPr>
            <w:webHidden/>
          </w:rPr>
          <w:fldChar w:fldCharType="separate"/>
        </w:r>
        <w:r>
          <w:rPr>
            <w:webHidden/>
          </w:rPr>
          <w:t>39</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6" w:history="1">
        <w:r w:rsidRPr="00EB4A17">
          <w:rPr>
            <w:rStyle w:val="Hyperlink"/>
          </w:rPr>
          <w:t>3.2.4</w:t>
        </w:r>
        <w:r>
          <w:rPr>
            <w:rFonts w:asciiTheme="minorHAnsi" w:eastAsiaTheme="minorEastAsia" w:hAnsiTheme="minorHAnsi" w:cstheme="minorBidi"/>
            <w:i w:val="0"/>
            <w:iCs w:val="0"/>
            <w:color w:val="auto"/>
            <w:sz w:val="22"/>
            <w:szCs w:val="22"/>
          </w:rPr>
          <w:tab/>
        </w:r>
        <w:r w:rsidRPr="00EB4A17">
          <w:rPr>
            <w:rStyle w:val="Hyperlink"/>
          </w:rPr>
          <w:t>2016 Staff Interviews</w:t>
        </w:r>
        <w:r>
          <w:rPr>
            <w:webHidden/>
          </w:rPr>
          <w:tab/>
        </w:r>
        <w:r>
          <w:rPr>
            <w:webHidden/>
          </w:rPr>
          <w:fldChar w:fldCharType="begin"/>
        </w:r>
        <w:r>
          <w:rPr>
            <w:webHidden/>
          </w:rPr>
          <w:instrText xml:space="preserve"> PAGEREF _Toc409095416 \h </w:instrText>
        </w:r>
        <w:r>
          <w:rPr>
            <w:webHidden/>
          </w:rPr>
        </w:r>
        <w:r>
          <w:rPr>
            <w:webHidden/>
          </w:rPr>
          <w:fldChar w:fldCharType="separate"/>
        </w:r>
        <w:r>
          <w:rPr>
            <w:webHidden/>
          </w:rPr>
          <w:t>40</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7" w:history="1">
        <w:r w:rsidRPr="00EB4A17">
          <w:rPr>
            <w:rStyle w:val="Hyperlink"/>
          </w:rPr>
          <w:t>3.2.5</w:t>
        </w:r>
        <w:r>
          <w:rPr>
            <w:rFonts w:asciiTheme="minorHAnsi" w:eastAsiaTheme="minorEastAsia" w:hAnsiTheme="minorHAnsi" w:cstheme="minorBidi"/>
            <w:i w:val="0"/>
            <w:iCs w:val="0"/>
            <w:color w:val="auto"/>
            <w:sz w:val="22"/>
            <w:szCs w:val="22"/>
          </w:rPr>
          <w:tab/>
        </w:r>
        <w:r w:rsidRPr="00EB4A17">
          <w:rPr>
            <w:rStyle w:val="Hyperlink"/>
          </w:rPr>
          <w:t>Analysis and Reporting</w:t>
        </w:r>
        <w:r>
          <w:rPr>
            <w:webHidden/>
          </w:rPr>
          <w:tab/>
        </w:r>
        <w:r>
          <w:rPr>
            <w:webHidden/>
          </w:rPr>
          <w:fldChar w:fldCharType="begin"/>
        </w:r>
        <w:r>
          <w:rPr>
            <w:webHidden/>
          </w:rPr>
          <w:instrText xml:space="preserve"> PAGEREF _Toc409095417 \h </w:instrText>
        </w:r>
        <w:r>
          <w:rPr>
            <w:webHidden/>
          </w:rPr>
        </w:r>
        <w:r>
          <w:rPr>
            <w:webHidden/>
          </w:rPr>
          <w:fldChar w:fldCharType="separate"/>
        </w:r>
        <w:r>
          <w:rPr>
            <w:webHidden/>
          </w:rPr>
          <w:t>40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18" w:history="1">
        <w:r w:rsidRPr="00EB4A17">
          <w:rPr>
            <w:rStyle w:val="Hyperlink"/>
            <w:noProof/>
          </w:rPr>
          <w:t>3.3</w:t>
        </w:r>
        <w:r>
          <w:rPr>
            <w:rFonts w:asciiTheme="minorHAnsi" w:eastAsiaTheme="minorEastAsia" w:hAnsiTheme="minorHAnsi" w:cstheme="minorBidi"/>
            <w:smallCaps w:val="0"/>
            <w:noProof/>
            <w:color w:val="auto"/>
            <w:szCs w:val="22"/>
          </w:rPr>
          <w:tab/>
        </w:r>
        <w:r w:rsidRPr="00EB4A17">
          <w:rPr>
            <w:rStyle w:val="Hyperlink"/>
            <w:noProof/>
          </w:rPr>
          <w:t>Market Feedback</w:t>
        </w:r>
        <w:r>
          <w:rPr>
            <w:noProof/>
            <w:webHidden/>
          </w:rPr>
          <w:tab/>
        </w:r>
        <w:r>
          <w:rPr>
            <w:noProof/>
            <w:webHidden/>
          </w:rPr>
          <w:fldChar w:fldCharType="begin"/>
        </w:r>
        <w:r>
          <w:rPr>
            <w:noProof/>
            <w:webHidden/>
          </w:rPr>
          <w:instrText xml:space="preserve"> PAGEREF _Toc409095418 \h </w:instrText>
        </w:r>
        <w:r>
          <w:rPr>
            <w:noProof/>
            <w:webHidden/>
          </w:rPr>
        </w:r>
        <w:r>
          <w:rPr>
            <w:noProof/>
            <w:webHidden/>
          </w:rPr>
          <w:fldChar w:fldCharType="separate"/>
        </w:r>
        <w:r>
          <w:rPr>
            <w:noProof/>
            <w:webHidden/>
          </w:rPr>
          <w:t>40</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19" w:history="1">
        <w:r w:rsidRPr="00EB4A17">
          <w:rPr>
            <w:rStyle w:val="Hyperlink"/>
          </w:rPr>
          <w:t>3.3.1</w:t>
        </w:r>
        <w:r>
          <w:rPr>
            <w:rFonts w:asciiTheme="minorHAnsi" w:eastAsiaTheme="minorEastAsia" w:hAnsiTheme="minorHAnsi" w:cstheme="minorBidi"/>
            <w:i w:val="0"/>
            <w:iCs w:val="0"/>
            <w:color w:val="auto"/>
            <w:sz w:val="22"/>
            <w:szCs w:val="22"/>
          </w:rPr>
          <w:tab/>
        </w:r>
        <w:r w:rsidRPr="00EB4A17">
          <w:rPr>
            <w:rStyle w:val="Hyperlink"/>
          </w:rPr>
          <w:t>Participating Customers</w:t>
        </w:r>
        <w:r>
          <w:rPr>
            <w:webHidden/>
          </w:rPr>
          <w:tab/>
        </w:r>
        <w:r>
          <w:rPr>
            <w:webHidden/>
          </w:rPr>
          <w:fldChar w:fldCharType="begin"/>
        </w:r>
        <w:r>
          <w:rPr>
            <w:webHidden/>
          </w:rPr>
          <w:instrText xml:space="preserve"> PAGEREF _Toc409095419 \h </w:instrText>
        </w:r>
        <w:r>
          <w:rPr>
            <w:webHidden/>
          </w:rPr>
        </w:r>
        <w:r>
          <w:rPr>
            <w:webHidden/>
          </w:rPr>
          <w:fldChar w:fldCharType="separate"/>
        </w:r>
        <w:r>
          <w:rPr>
            <w:webHidden/>
          </w:rPr>
          <w:t>40</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0" w:history="1">
        <w:r w:rsidRPr="00EB4A17">
          <w:rPr>
            <w:rStyle w:val="Hyperlink"/>
            <w14:scene3d>
              <w14:camera w14:prst="orthographicFront"/>
              <w14:lightRig w14:rig="threePt" w14:dir="t">
                <w14:rot w14:lat="0" w14:lon="0" w14:rev="0"/>
              </w14:lightRig>
            </w14:scene3d>
          </w:rPr>
          <w:t>3.3.1.1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_Toc409095420 \h </w:instrText>
        </w:r>
        <w:r>
          <w:rPr>
            <w:webHidden/>
          </w:rPr>
        </w:r>
        <w:r>
          <w:rPr>
            <w:webHidden/>
          </w:rPr>
          <w:fldChar w:fldCharType="separate"/>
        </w:r>
        <w:r>
          <w:rPr>
            <w:webHidden/>
          </w:rPr>
          <w:t>41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1" w:history="1">
        <w:r w:rsidRPr="00EB4A17">
          <w:rPr>
            <w:rStyle w:val="Hyperlink"/>
            <w14:scene3d>
              <w14:camera w14:prst="orthographicFront"/>
              <w14:lightRig w14:rig="threePt" w14:dir="t">
                <w14:rot w14:lat="0" w14:lon="0" w14:rev="0"/>
              </w14:lightRig>
            </w14:scene3d>
          </w:rPr>
          <w:t>3.3.1.2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_Toc409095421 \h </w:instrText>
        </w:r>
        <w:r>
          <w:rPr>
            <w:webHidden/>
          </w:rPr>
        </w:r>
        <w:r>
          <w:rPr>
            <w:webHidden/>
          </w:rPr>
          <w:fldChar w:fldCharType="separate"/>
        </w:r>
        <w:r>
          <w:rPr>
            <w:webHidden/>
          </w:rPr>
          <w:t>41</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2" w:history="1">
        <w:r w:rsidRPr="00EB4A17">
          <w:rPr>
            <w:rStyle w:val="Hyperlink"/>
            <w14:scene3d>
              <w14:camera w14:prst="orthographicFront"/>
              <w14:lightRig w14:rig="threePt" w14:dir="t">
                <w14:rot w14:lat="0" w14:lon="0" w14:rev="0"/>
              </w14:lightRig>
            </w14:scene3d>
          </w:rPr>
          <w:t>3.3.1.3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_Toc409095422 \h </w:instrText>
        </w:r>
        <w:r>
          <w:rPr>
            <w:webHidden/>
          </w:rPr>
        </w:r>
        <w:r>
          <w:rPr>
            <w:webHidden/>
          </w:rPr>
          <w:fldChar w:fldCharType="separate"/>
        </w:r>
        <w:r>
          <w:rPr>
            <w:webHidden/>
          </w:rPr>
          <w:t>42</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23" w:history="1">
        <w:r w:rsidRPr="00EB4A17">
          <w:rPr>
            <w:rStyle w:val="Hyperlink"/>
          </w:rPr>
          <w:t>3.3.2</w:t>
        </w:r>
        <w:r>
          <w:rPr>
            <w:rFonts w:asciiTheme="minorHAnsi" w:eastAsiaTheme="minorEastAsia" w:hAnsiTheme="minorHAnsi" w:cstheme="minorBidi"/>
            <w:i w:val="0"/>
            <w:iCs w:val="0"/>
            <w:color w:val="auto"/>
            <w:sz w:val="22"/>
            <w:szCs w:val="22"/>
          </w:rPr>
          <w:tab/>
        </w:r>
        <w:r w:rsidRPr="00EB4A17">
          <w:rPr>
            <w:rStyle w:val="Hyperlink"/>
          </w:rPr>
          <w:t>Participating Trade Allies</w:t>
        </w:r>
        <w:r>
          <w:rPr>
            <w:webHidden/>
          </w:rPr>
          <w:tab/>
        </w:r>
        <w:r>
          <w:rPr>
            <w:webHidden/>
          </w:rPr>
          <w:fldChar w:fldCharType="begin"/>
        </w:r>
        <w:r>
          <w:rPr>
            <w:webHidden/>
          </w:rPr>
          <w:instrText xml:space="preserve"> PAGEREF _Toc409095423 \h </w:instrText>
        </w:r>
        <w:r>
          <w:rPr>
            <w:webHidden/>
          </w:rPr>
        </w:r>
        <w:r>
          <w:rPr>
            <w:webHidden/>
          </w:rPr>
          <w:fldChar w:fldCharType="separate"/>
        </w:r>
        <w:r>
          <w:rPr>
            <w:webHidden/>
          </w:rPr>
          <w:t>42</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4" w:history="1">
        <w:r w:rsidRPr="00EB4A17">
          <w:rPr>
            <w:rStyle w:val="Hyperlink"/>
            <w14:scene3d>
              <w14:camera w14:prst="orthographicFront"/>
              <w14:lightRig w14:rig="threePt" w14:dir="t">
                <w14:rot w14:lat="0" w14:lon="0" w14:rev="0"/>
              </w14:lightRig>
            </w14:scene3d>
          </w:rPr>
          <w:t>3.3.2.1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_Toc409095424 \h </w:instrText>
        </w:r>
        <w:r>
          <w:rPr>
            <w:webHidden/>
          </w:rPr>
        </w:r>
        <w:r>
          <w:rPr>
            <w:webHidden/>
          </w:rPr>
          <w:fldChar w:fldCharType="separate"/>
        </w:r>
        <w:r>
          <w:rPr>
            <w:webHidden/>
          </w:rPr>
          <w:t>43</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5" w:history="1">
        <w:r w:rsidRPr="00EB4A17">
          <w:rPr>
            <w:rStyle w:val="Hyperlink"/>
            <w14:scene3d>
              <w14:camera w14:prst="orthographicFront"/>
              <w14:lightRig w14:rig="threePt" w14:dir="t">
                <w14:rot w14:lat="0" w14:lon="0" w14:rev="0"/>
              </w14:lightRig>
            </w14:scene3d>
          </w:rPr>
          <w:t>3.3.2.2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_Toc409095425 \h </w:instrText>
        </w:r>
        <w:r>
          <w:rPr>
            <w:webHidden/>
          </w:rPr>
        </w:r>
        <w:r>
          <w:rPr>
            <w:webHidden/>
          </w:rPr>
          <w:fldChar w:fldCharType="separate"/>
        </w:r>
        <w:r>
          <w:rPr>
            <w:webHidden/>
          </w:rPr>
          <w:t>43</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6" w:history="1">
        <w:r w:rsidRPr="00EB4A17">
          <w:rPr>
            <w:rStyle w:val="Hyperlink"/>
            <w14:scene3d>
              <w14:camera w14:prst="orthographicFront"/>
              <w14:lightRig w14:rig="threePt" w14:dir="t">
                <w14:rot w14:lat="0" w14:lon="0" w14:rev="0"/>
              </w14:lightRig>
            </w14:scene3d>
          </w:rPr>
          <w:t>3.3.2.3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_Toc409095426 \h </w:instrText>
        </w:r>
        <w:r>
          <w:rPr>
            <w:webHidden/>
          </w:rPr>
        </w:r>
        <w:r>
          <w:rPr>
            <w:webHidden/>
          </w:rPr>
          <w:fldChar w:fldCharType="separate"/>
        </w:r>
        <w:r>
          <w:rPr>
            <w:webHidden/>
          </w:rPr>
          <w:t>44</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27" w:history="1">
        <w:r w:rsidRPr="00EB4A17">
          <w:rPr>
            <w:rStyle w:val="Hyperlink"/>
          </w:rPr>
          <w:t>3.3.3</w:t>
        </w:r>
        <w:r>
          <w:rPr>
            <w:rFonts w:asciiTheme="minorHAnsi" w:eastAsiaTheme="minorEastAsia" w:hAnsiTheme="minorHAnsi" w:cstheme="minorBidi"/>
            <w:i w:val="0"/>
            <w:iCs w:val="0"/>
            <w:color w:val="auto"/>
            <w:sz w:val="22"/>
            <w:szCs w:val="22"/>
          </w:rPr>
          <w:tab/>
        </w:r>
        <w:r w:rsidRPr="00EB4A17">
          <w:rPr>
            <w:rStyle w:val="Hyperlink"/>
          </w:rPr>
          <w:t>Nonparticipating Customers</w:t>
        </w:r>
        <w:r>
          <w:rPr>
            <w:webHidden/>
          </w:rPr>
          <w:tab/>
        </w:r>
        <w:r>
          <w:rPr>
            <w:webHidden/>
          </w:rPr>
          <w:fldChar w:fldCharType="begin"/>
        </w:r>
        <w:r>
          <w:rPr>
            <w:webHidden/>
          </w:rPr>
          <w:instrText xml:space="preserve"> PAGEREF _Toc409095427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8" w:history="1">
        <w:r w:rsidRPr="00EB4A17">
          <w:rPr>
            <w:rStyle w:val="Hyperlink"/>
            <w14:scene3d>
              <w14:camera w14:prst="orthographicFront"/>
              <w14:lightRig w14:rig="threePt" w14:dir="t">
                <w14:rot w14:lat="0" w14:lon="0" w14:rev="0"/>
              </w14:lightRig>
            </w14:scene3d>
          </w:rPr>
          <w:t>3.3.3.1</w:t>
        </w:r>
        <w:r>
          <w:rPr>
            <w:rFonts w:asciiTheme="minorHAnsi" w:eastAsiaTheme="minorEastAsia" w:hAnsiTheme="minorHAnsi" w:cstheme="minorBidi"/>
            <w:color w:val="auto"/>
            <w:sz w:val="22"/>
            <w:szCs w:val="22"/>
          </w:rPr>
          <w:tab/>
        </w:r>
        <w:r w:rsidRPr="00EB4A17">
          <w:rPr>
            <w:rStyle w:val="Hyperlink"/>
          </w:rPr>
          <w:t>Instrument Development</w:t>
        </w:r>
        <w:r>
          <w:rPr>
            <w:webHidden/>
          </w:rPr>
          <w:tab/>
        </w:r>
        <w:r>
          <w:rPr>
            <w:webHidden/>
          </w:rPr>
          <w:fldChar w:fldCharType="begin"/>
        </w:r>
        <w:r>
          <w:rPr>
            <w:webHidden/>
          </w:rPr>
          <w:instrText xml:space="preserve"> PAGEREF _Toc409095428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29" w:history="1">
        <w:r w:rsidRPr="00EB4A17">
          <w:rPr>
            <w:rStyle w:val="Hyperlink"/>
            <w14:scene3d>
              <w14:camera w14:prst="orthographicFront"/>
              <w14:lightRig w14:rig="threePt" w14:dir="t">
                <w14:rot w14:lat="0" w14:lon="0" w14:rev="0"/>
              </w14:lightRig>
            </w14:scene3d>
          </w:rPr>
          <w:t>3.3.3.2</w:t>
        </w:r>
        <w:r>
          <w:rPr>
            <w:rFonts w:asciiTheme="minorHAnsi" w:eastAsiaTheme="minorEastAsia" w:hAnsiTheme="minorHAnsi" w:cstheme="minorBidi"/>
            <w:color w:val="auto"/>
            <w:sz w:val="22"/>
            <w:szCs w:val="22"/>
          </w:rPr>
          <w:tab/>
        </w:r>
        <w:r w:rsidRPr="00EB4A17">
          <w:rPr>
            <w:rStyle w:val="Hyperlink"/>
          </w:rPr>
          <w:t>Sample Development</w:t>
        </w:r>
        <w:r>
          <w:rPr>
            <w:webHidden/>
          </w:rPr>
          <w:tab/>
        </w:r>
        <w:r>
          <w:rPr>
            <w:webHidden/>
          </w:rPr>
          <w:fldChar w:fldCharType="begin"/>
        </w:r>
        <w:r>
          <w:rPr>
            <w:webHidden/>
          </w:rPr>
          <w:instrText xml:space="preserve"> PAGEREF _Toc409095429 \h </w:instrText>
        </w:r>
        <w:r>
          <w:rPr>
            <w:webHidden/>
          </w:rPr>
        </w:r>
        <w:r>
          <w:rPr>
            <w:webHidden/>
          </w:rPr>
          <w:fldChar w:fldCharType="separate"/>
        </w:r>
        <w:r>
          <w:rPr>
            <w:webHidden/>
          </w:rPr>
          <w:t>44</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0" w:history="1">
        <w:r w:rsidRPr="00EB4A17">
          <w:rPr>
            <w:rStyle w:val="Hyperlink"/>
            <w14:scene3d>
              <w14:camera w14:prst="orthographicFront"/>
              <w14:lightRig w14:rig="threePt" w14:dir="t">
                <w14:rot w14:lat="0" w14:lon="0" w14:rev="0"/>
              </w14:lightRig>
            </w14:scene3d>
          </w:rPr>
          <w:t>3.3.3.3</w:t>
        </w:r>
        <w:r>
          <w:rPr>
            <w:rFonts w:asciiTheme="minorHAnsi" w:eastAsiaTheme="minorEastAsia" w:hAnsiTheme="minorHAnsi" w:cstheme="minorBidi"/>
            <w:color w:val="auto"/>
            <w:sz w:val="22"/>
            <w:szCs w:val="22"/>
          </w:rPr>
          <w:tab/>
        </w:r>
        <w:r w:rsidRPr="00EB4A17">
          <w:rPr>
            <w:rStyle w:val="Hyperlink"/>
          </w:rPr>
          <w:t>Survey Implementation</w:t>
        </w:r>
        <w:r>
          <w:rPr>
            <w:webHidden/>
          </w:rPr>
          <w:tab/>
        </w:r>
        <w:r>
          <w:rPr>
            <w:webHidden/>
          </w:rPr>
          <w:fldChar w:fldCharType="begin"/>
        </w:r>
        <w:r>
          <w:rPr>
            <w:webHidden/>
          </w:rPr>
          <w:instrText xml:space="preserve"> PAGEREF _Toc409095430 \h </w:instrText>
        </w:r>
        <w:r>
          <w:rPr>
            <w:webHidden/>
          </w:rPr>
        </w:r>
        <w:r>
          <w:rPr>
            <w:webHidden/>
          </w:rPr>
          <w:fldChar w:fldCharType="separate"/>
        </w:r>
        <w:r>
          <w:rPr>
            <w:webHidden/>
          </w:rPr>
          <w:t>45</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31" w:history="1">
        <w:r w:rsidRPr="00EB4A17">
          <w:rPr>
            <w:rStyle w:val="Hyperlink"/>
            <w:noProof/>
          </w:rPr>
          <w:t>3.4</w:t>
        </w:r>
        <w:r>
          <w:rPr>
            <w:rFonts w:asciiTheme="minorHAnsi" w:eastAsiaTheme="minorEastAsia" w:hAnsiTheme="minorHAnsi" w:cstheme="minorBidi"/>
            <w:smallCaps w:val="0"/>
            <w:noProof/>
            <w:color w:val="auto"/>
            <w:szCs w:val="22"/>
          </w:rPr>
          <w:tab/>
        </w:r>
        <w:r w:rsidRPr="00EB4A17">
          <w:rPr>
            <w:rStyle w:val="Hyperlink"/>
            <w:noProof/>
          </w:rPr>
          <w:t>Special Studies</w:t>
        </w:r>
        <w:r>
          <w:rPr>
            <w:noProof/>
            <w:webHidden/>
          </w:rPr>
          <w:tab/>
        </w:r>
        <w:r>
          <w:rPr>
            <w:noProof/>
            <w:webHidden/>
          </w:rPr>
          <w:fldChar w:fldCharType="begin"/>
        </w:r>
        <w:r>
          <w:rPr>
            <w:noProof/>
            <w:webHidden/>
          </w:rPr>
          <w:instrText xml:space="preserve"> PAGEREF _Toc409095431 \h </w:instrText>
        </w:r>
        <w:r>
          <w:rPr>
            <w:noProof/>
            <w:webHidden/>
          </w:rPr>
        </w:r>
        <w:r>
          <w:rPr>
            <w:noProof/>
            <w:webHidden/>
          </w:rPr>
          <w:fldChar w:fldCharType="separate"/>
        </w:r>
        <w:r>
          <w:rPr>
            <w:noProof/>
            <w:webHidden/>
          </w:rPr>
          <w:t>45</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2" w:history="1">
        <w:r w:rsidRPr="00EB4A17">
          <w:rPr>
            <w:rStyle w:val="Hyperlink"/>
          </w:rPr>
          <w:t>3.4.1</w:t>
        </w:r>
        <w:r>
          <w:rPr>
            <w:rFonts w:asciiTheme="minorHAnsi" w:eastAsiaTheme="minorEastAsia" w:hAnsiTheme="minorHAnsi" w:cstheme="minorBidi"/>
            <w:i w:val="0"/>
            <w:iCs w:val="0"/>
            <w:color w:val="auto"/>
            <w:sz w:val="22"/>
            <w:szCs w:val="22"/>
          </w:rPr>
          <w:tab/>
        </w:r>
        <w:r w:rsidRPr="00EB4A17">
          <w:rPr>
            <w:rStyle w:val="Hyperlink"/>
          </w:rPr>
          <w:t>Investigating Declining Program Participation Rates</w:t>
        </w:r>
        <w:r>
          <w:rPr>
            <w:webHidden/>
          </w:rPr>
          <w:tab/>
        </w:r>
        <w:r>
          <w:rPr>
            <w:webHidden/>
          </w:rPr>
          <w:fldChar w:fldCharType="begin"/>
        </w:r>
        <w:r>
          <w:rPr>
            <w:webHidden/>
          </w:rPr>
          <w:instrText xml:space="preserve"> PAGEREF _Toc409095432 \h </w:instrText>
        </w:r>
        <w:r>
          <w:rPr>
            <w:webHidden/>
          </w:rPr>
        </w:r>
        <w:r>
          <w:rPr>
            <w:webHidden/>
          </w:rPr>
          <w:fldChar w:fldCharType="separate"/>
        </w:r>
        <w:r>
          <w:rPr>
            <w:webHidden/>
          </w:rPr>
          <w:t>45</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3" w:history="1">
        <w:r w:rsidRPr="00EB4A17">
          <w:rPr>
            <w:rStyle w:val="Hyperlink"/>
            <w14:scene3d>
              <w14:camera w14:prst="orthographicFront"/>
              <w14:lightRig w14:rig="threePt" w14:dir="t">
                <w14:rot w14:lat="0" w14:lon="0" w14:rev="0"/>
              </w14:lightRig>
            </w14:scene3d>
          </w:rPr>
          <w:t>3.4.1.1</w:t>
        </w:r>
        <w:r>
          <w:rPr>
            <w:rFonts w:asciiTheme="minorHAnsi" w:eastAsiaTheme="minorEastAsia" w:hAnsiTheme="minorHAnsi" w:cstheme="minorBidi"/>
            <w:color w:val="auto"/>
            <w:sz w:val="22"/>
            <w:szCs w:val="22"/>
          </w:rPr>
          <w:tab/>
        </w:r>
        <w:r w:rsidRPr="00EB4A17">
          <w:rPr>
            <w:rStyle w:val="Hyperlink"/>
          </w:rPr>
          <w:t>Analysis of Discontinued Measures and Reduced Rebate Incentives</w:t>
        </w:r>
        <w:r>
          <w:rPr>
            <w:webHidden/>
          </w:rPr>
          <w:tab/>
        </w:r>
        <w:r>
          <w:rPr>
            <w:webHidden/>
          </w:rPr>
          <w:fldChar w:fldCharType="begin"/>
        </w:r>
        <w:r>
          <w:rPr>
            <w:webHidden/>
          </w:rPr>
          <w:instrText xml:space="preserve"> PAGEREF _Toc409095433 \h </w:instrText>
        </w:r>
        <w:r>
          <w:rPr>
            <w:webHidden/>
          </w:rPr>
        </w:r>
        <w:r>
          <w:rPr>
            <w:webHidden/>
          </w:rPr>
          <w:fldChar w:fldCharType="separate"/>
        </w:r>
        <w:r>
          <w:rPr>
            <w:webHidden/>
          </w:rPr>
          <w:t>45</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4" w:history="1">
        <w:r w:rsidRPr="00EB4A17">
          <w:rPr>
            <w:rStyle w:val="Hyperlink"/>
            <w14:scene3d>
              <w14:camera w14:prst="orthographicFront"/>
              <w14:lightRig w14:rig="threePt" w14:dir="t">
                <w14:rot w14:lat="0" w14:lon="0" w14:rev="0"/>
              </w14:lightRig>
            </w14:scene3d>
          </w:rPr>
          <w:t>3.4.1.2</w:t>
        </w:r>
        <w:r>
          <w:rPr>
            <w:rFonts w:asciiTheme="minorHAnsi" w:eastAsiaTheme="minorEastAsia" w:hAnsiTheme="minorHAnsi" w:cstheme="minorBidi"/>
            <w:color w:val="auto"/>
            <w:sz w:val="22"/>
            <w:szCs w:val="22"/>
          </w:rPr>
          <w:tab/>
        </w:r>
        <w:r w:rsidRPr="00EB4A17">
          <w:rPr>
            <w:rStyle w:val="Hyperlink"/>
          </w:rPr>
          <w:t>Analysis of Repeat and/or Multiple Program Participation among Customers</w:t>
        </w:r>
        <w:r>
          <w:rPr>
            <w:webHidden/>
          </w:rPr>
          <w:tab/>
        </w:r>
        <w:r>
          <w:rPr>
            <w:webHidden/>
          </w:rPr>
          <w:fldChar w:fldCharType="begin"/>
        </w:r>
        <w:r>
          <w:rPr>
            <w:webHidden/>
          </w:rPr>
          <w:instrText xml:space="preserve"> PAGEREF _Toc409095434 \h </w:instrText>
        </w:r>
        <w:r>
          <w:rPr>
            <w:webHidden/>
          </w:rPr>
        </w:r>
        <w:r>
          <w:rPr>
            <w:webHidden/>
          </w:rPr>
          <w:fldChar w:fldCharType="separate"/>
        </w:r>
        <w:r>
          <w:rPr>
            <w:webHidden/>
          </w:rPr>
          <w:t>46</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5" w:history="1">
        <w:r w:rsidRPr="00EB4A17">
          <w:rPr>
            <w:rStyle w:val="Hyperlink"/>
            <w14:scene3d>
              <w14:camera w14:prst="orthographicFront"/>
              <w14:lightRig w14:rig="threePt" w14:dir="t">
                <w14:rot w14:lat="0" w14:lon="0" w14:rev="0"/>
              </w14:lightRig>
            </w14:scene3d>
          </w:rPr>
          <w:t>3.4.1.3</w:t>
        </w:r>
        <w:r>
          <w:rPr>
            <w:rFonts w:asciiTheme="minorHAnsi" w:eastAsiaTheme="minorEastAsia" w:hAnsiTheme="minorHAnsi" w:cstheme="minorBidi"/>
            <w:color w:val="auto"/>
            <w:sz w:val="22"/>
            <w:szCs w:val="22"/>
          </w:rPr>
          <w:tab/>
        </w:r>
        <w:r w:rsidRPr="00EB4A17">
          <w:rPr>
            <w:rStyle w:val="Hyperlink"/>
          </w:rPr>
          <w:t>Analysis of Availability of Qualifying Measures at Lower Price Points</w:t>
        </w:r>
        <w:r>
          <w:rPr>
            <w:webHidden/>
          </w:rPr>
          <w:tab/>
        </w:r>
        <w:r>
          <w:rPr>
            <w:webHidden/>
          </w:rPr>
          <w:fldChar w:fldCharType="begin"/>
        </w:r>
        <w:r>
          <w:rPr>
            <w:webHidden/>
          </w:rPr>
          <w:instrText xml:space="preserve"> PAGEREF _Toc409095435 \h </w:instrText>
        </w:r>
        <w:r>
          <w:rPr>
            <w:webHidden/>
          </w:rPr>
        </w:r>
        <w:r>
          <w:rPr>
            <w:webHidden/>
          </w:rPr>
          <w:fldChar w:fldCharType="separate"/>
        </w:r>
        <w:r>
          <w:rPr>
            <w:webHidden/>
          </w:rPr>
          <w:t>46</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6" w:history="1">
        <w:r w:rsidRPr="00EB4A17">
          <w:rPr>
            <w:rStyle w:val="Hyperlink"/>
          </w:rPr>
          <w:t>3.4.2</w:t>
        </w:r>
        <w:r>
          <w:rPr>
            <w:rFonts w:asciiTheme="minorHAnsi" w:eastAsiaTheme="minorEastAsia" w:hAnsiTheme="minorHAnsi" w:cstheme="minorBidi"/>
            <w:i w:val="0"/>
            <w:iCs w:val="0"/>
            <w:color w:val="auto"/>
            <w:sz w:val="22"/>
            <w:szCs w:val="22"/>
          </w:rPr>
          <w:tab/>
        </w:r>
        <w:r w:rsidRPr="00EB4A17">
          <w:rPr>
            <w:rStyle w:val="Hyperlink"/>
          </w:rPr>
          <w:t>Investigating Participation Rates among Opower Behavioral Program Participants and Nonparticipants</w:t>
        </w:r>
        <w:r>
          <w:rPr>
            <w:webHidden/>
          </w:rPr>
          <w:tab/>
        </w:r>
        <w:r>
          <w:rPr>
            <w:webHidden/>
          </w:rPr>
          <w:fldChar w:fldCharType="begin"/>
        </w:r>
        <w:r>
          <w:rPr>
            <w:webHidden/>
          </w:rPr>
          <w:instrText xml:space="preserve"> PAGEREF _Toc409095436 \h </w:instrText>
        </w:r>
        <w:r>
          <w:rPr>
            <w:webHidden/>
          </w:rPr>
        </w:r>
        <w:r>
          <w:rPr>
            <w:webHidden/>
          </w:rPr>
          <w:fldChar w:fldCharType="separate"/>
        </w:r>
        <w:r>
          <w:rPr>
            <w:webHidden/>
          </w:rPr>
          <w:t>47</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37" w:history="1">
        <w:r w:rsidRPr="00EB4A17">
          <w:rPr>
            <w:rStyle w:val="Hyperlink"/>
          </w:rPr>
          <w:t>3.4.3</w:t>
        </w:r>
        <w:r>
          <w:rPr>
            <w:rFonts w:asciiTheme="minorHAnsi" w:eastAsiaTheme="minorEastAsia" w:hAnsiTheme="minorHAnsi" w:cstheme="minorBidi"/>
            <w:i w:val="0"/>
            <w:iCs w:val="0"/>
            <w:color w:val="auto"/>
            <w:sz w:val="22"/>
            <w:szCs w:val="22"/>
          </w:rPr>
          <w:tab/>
        </w:r>
        <w:r w:rsidRPr="00EB4A17">
          <w:rPr>
            <w:rStyle w:val="Hyperlink"/>
          </w:rPr>
          <w:t>Investigating Commercial Uptake of CFL Markdown Measures</w:t>
        </w:r>
        <w:r>
          <w:rPr>
            <w:webHidden/>
          </w:rPr>
          <w:tab/>
        </w:r>
        <w:r>
          <w:rPr>
            <w:webHidden/>
          </w:rPr>
          <w:fldChar w:fldCharType="begin"/>
        </w:r>
        <w:r>
          <w:rPr>
            <w:webHidden/>
          </w:rPr>
          <w:instrText xml:space="preserve"> PAGEREF _Toc409095437 \h </w:instrText>
        </w:r>
        <w:r>
          <w:rPr>
            <w:webHidden/>
          </w:rPr>
        </w:r>
        <w:r>
          <w:rPr>
            <w:webHidden/>
          </w:rPr>
          <w:fldChar w:fldCharType="separate"/>
        </w:r>
        <w:r>
          <w:rPr>
            <w:webHidden/>
          </w:rPr>
          <w:t>47</w:t>
        </w:r>
        <w:r>
          <w:rPr>
            <w:webHidden/>
          </w:rPr>
          <w:fldChar w:fldCharType="end"/>
        </w:r>
      </w:hyperlink>
    </w:p>
    <w:p w:rsidR="00613C1E" w:rsidRDefault="00613C1E">
      <w:pPr>
        <w:pStyle w:val="TOC4"/>
        <w:rPr>
          <w:rFonts w:asciiTheme="minorHAnsi" w:eastAsiaTheme="minorEastAsia" w:hAnsiTheme="minorHAnsi" w:cstheme="minorBidi"/>
          <w:color w:val="auto"/>
          <w:sz w:val="22"/>
          <w:szCs w:val="22"/>
        </w:rPr>
      </w:pPr>
      <w:hyperlink w:anchor="_Toc409095438" w:history="1">
        <w:r w:rsidRPr="00EB4A17">
          <w:rPr>
            <w:rStyle w:val="Hyperlink"/>
            <w14:scene3d>
              <w14:camera w14:prst="orthographicFront"/>
              <w14:lightRig w14:rig="threePt" w14:dir="t">
                <w14:rot w14:lat="0" w14:lon="0" w14:rev="0"/>
              </w14:lightRig>
            </w14:scene3d>
          </w:rPr>
          <w:t>3.4.3.1</w:t>
        </w:r>
        <w:r>
          <w:rPr>
            <w:rFonts w:asciiTheme="minorHAnsi" w:eastAsiaTheme="minorEastAsia" w:hAnsiTheme="minorHAnsi" w:cstheme="minorBidi"/>
            <w:color w:val="auto"/>
            <w:sz w:val="22"/>
            <w:szCs w:val="22"/>
          </w:rPr>
          <w:tab/>
        </w:r>
        <w:r w:rsidRPr="00EB4A17">
          <w:rPr>
            <w:rStyle w:val="Hyperlink"/>
          </w:rPr>
          <w:t>Retailer Survey</w:t>
        </w:r>
        <w:r>
          <w:rPr>
            <w:webHidden/>
          </w:rPr>
          <w:tab/>
        </w:r>
        <w:r>
          <w:rPr>
            <w:webHidden/>
          </w:rPr>
          <w:fldChar w:fldCharType="begin"/>
        </w:r>
        <w:r>
          <w:rPr>
            <w:webHidden/>
          </w:rPr>
          <w:instrText xml:space="preserve"> PAGEREF _Toc409095438 \h </w:instrText>
        </w:r>
        <w:r>
          <w:rPr>
            <w:webHidden/>
          </w:rPr>
        </w:r>
        <w:r>
          <w:rPr>
            <w:webHidden/>
          </w:rPr>
          <w:fldChar w:fldCharType="separate"/>
        </w:r>
        <w:r>
          <w:rPr>
            <w:webHidden/>
          </w:rPr>
          <w:t>48</w:t>
        </w:r>
        <w:r>
          <w:rPr>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39" w:history="1">
        <w:r w:rsidRPr="00EB4A17">
          <w:rPr>
            <w:rStyle w:val="Hyperlink"/>
            <w:rFonts w:cs="Vrinda"/>
          </w:rPr>
          <w:t>4</w:t>
        </w:r>
        <w:r>
          <w:rPr>
            <w:rFonts w:asciiTheme="minorHAnsi" w:eastAsiaTheme="minorEastAsia" w:hAnsiTheme="minorHAnsi" w:cstheme="minorBidi"/>
            <w:bCs w:val="0"/>
            <w:caps w:val="0"/>
            <w:color w:val="auto"/>
            <w:sz w:val="22"/>
          </w:rPr>
          <w:tab/>
        </w:r>
        <w:r w:rsidRPr="00EB4A17">
          <w:rPr>
            <w:rStyle w:val="Hyperlink"/>
          </w:rPr>
          <w:t>Other Activities</w:t>
        </w:r>
        <w:r>
          <w:rPr>
            <w:webHidden/>
          </w:rPr>
          <w:tab/>
        </w:r>
        <w:r>
          <w:rPr>
            <w:webHidden/>
          </w:rPr>
          <w:fldChar w:fldCharType="begin"/>
        </w:r>
        <w:r>
          <w:rPr>
            <w:webHidden/>
          </w:rPr>
          <w:instrText xml:space="preserve"> PAGEREF _Toc409095439 \h </w:instrText>
        </w:r>
        <w:r>
          <w:rPr>
            <w:webHidden/>
          </w:rPr>
        </w:r>
        <w:r>
          <w:rPr>
            <w:webHidden/>
          </w:rPr>
          <w:fldChar w:fldCharType="separate"/>
        </w:r>
        <w:r>
          <w:rPr>
            <w:webHidden/>
          </w:rPr>
          <w:t>49</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0" w:history="1">
        <w:r w:rsidRPr="00EB4A17">
          <w:rPr>
            <w:rStyle w:val="Hyperlink"/>
            <w:noProof/>
          </w:rPr>
          <w:t>4.1</w:t>
        </w:r>
        <w:r>
          <w:rPr>
            <w:rFonts w:asciiTheme="minorHAnsi" w:eastAsiaTheme="minorEastAsia" w:hAnsiTheme="minorHAnsi" w:cstheme="minorBidi"/>
            <w:smallCaps w:val="0"/>
            <w:noProof/>
            <w:color w:val="auto"/>
            <w:szCs w:val="22"/>
          </w:rPr>
          <w:tab/>
        </w:r>
        <w:r w:rsidRPr="00EB4A17">
          <w:rPr>
            <w:rStyle w:val="Hyperlink"/>
            <w:noProof/>
          </w:rPr>
          <w:t>Cost-Effectiveness Analysis</w:t>
        </w:r>
        <w:r>
          <w:rPr>
            <w:noProof/>
            <w:webHidden/>
          </w:rPr>
          <w:tab/>
        </w:r>
        <w:r>
          <w:rPr>
            <w:noProof/>
            <w:webHidden/>
          </w:rPr>
          <w:fldChar w:fldCharType="begin"/>
        </w:r>
        <w:r>
          <w:rPr>
            <w:noProof/>
            <w:webHidden/>
          </w:rPr>
          <w:instrText xml:space="preserve"> PAGEREF _Toc409095440 \h </w:instrText>
        </w:r>
        <w:r>
          <w:rPr>
            <w:noProof/>
            <w:webHidden/>
          </w:rPr>
        </w:r>
        <w:r>
          <w:rPr>
            <w:noProof/>
            <w:webHidden/>
          </w:rPr>
          <w:fldChar w:fldCharType="separate"/>
        </w:r>
        <w:r>
          <w:rPr>
            <w:noProof/>
            <w:webHidden/>
          </w:rPr>
          <w:t>49</w:t>
        </w:r>
        <w:r>
          <w:rPr>
            <w:noProof/>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41" w:history="1">
        <w:r w:rsidRPr="00EB4A17">
          <w:rPr>
            <w:rStyle w:val="Hyperlink"/>
          </w:rPr>
          <w:t>4.1.1</w:t>
        </w:r>
        <w:r>
          <w:rPr>
            <w:rFonts w:asciiTheme="minorHAnsi" w:eastAsiaTheme="minorEastAsia" w:hAnsiTheme="minorHAnsi" w:cstheme="minorBidi"/>
            <w:i w:val="0"/>
            <w:iCs w:val="0"/>
            <w:color w:val="auto"/>
            <w:sz w:val="22"/>
            <w:szCs w:val="22"/>
          </w:rPr>
          <w:tab/>
        </w:r>
        <w:r w:rsidRPr="00EB4A17">
          <w:rPr>
            <w:rStyle w:val="Hyperlink"/>
          </w:rPr>
          <w:t>Key Parameters</w:t>
        </w:r>
        <w:r>
          <w:rPr>
            <w:webHidden/>
          </w:rPr>
          <w:tab/>
        </w:r>
        <w:r>
          <w:rPr>
            <w:webHidden/>
          </w:rPr>
          <w:fldChar w:fldCharType="begin"/>
        </w:r>
        <w:r>
          <w:rPr>
            <w:webHidden/>
          </w:rPr>
          <w:instrText xml:space="preserve"> PAGEREF _Toc409095441 \h </w:instrText>
        </w:r>
        <w:r>
          <w:rPr>
            <w:webHidden/>
          </w:rPr>
        </w:r>
        <w:r>
          <w:rPr>
            <w:webHidden/>
          </w:rPr>
          <w:fldChar w:fldCharType="separate"/>
        </w:r>
        <w:r>
          <w:rPr>
            <w:webHidden/>
          </w:rPr>
          <w:t>50</w:t>
        </w:r>
        <w:r>
          <w:rPr>
            <w:webHidden/>
          </w:rPr>
          <w:fldChar w:fldCharType="end"/>
        </w:r>
      </w:hyperlink>
    </w:p>
    <w:p w:rsidR="00613C1E" w:rsidRDefault="00613C1E">
      <w:pPr>
        <w:pStyle w:val="TOC3"/>
        <w:rPr>
          <w:rFonts w:asciiTheme="minorHAnsi" w:eastAsiaTheme="minorEastAsia" w:hAnsiTheme="minorHAnsi" w:cstheme="minorBidi"/>
          <w:i w:val="0"/>
          <w:iCs w:val="0"/>
          <w:color w:val="auto"/>
          <w:sz w:val="22"/>
          <w:szCs w:val="22"/>
        </w:rPr>
      </w:pPr>
      <w:hyperlink w:anchor="_Toc409095442" w:history="1">
        <w:r w:rsidRPr="00EB4A17">
          <w:rPr>
            <w:rStyle w:val="Hyperlink"/>
          </w:rPr>
          <w:t>4.1.2</w:t>
        </w:r>
        <w:r>
          <w:rPr>
            <w:rFonts w:asciiTheme="minorHAnsi" w:eastAsiaTheme="minorEastAsia" w:hAnsiTheme="minorHAnsi" w:cstheme="minorBidi"/>
            <w:i w:val="0"/>
            <w:iCs w:val="0"/>
            <w:color w:val="auto"/>
            <w:sz w:val="22"/>
            <w:szCs w:val="22"/>
          </w:rPr>
          <w:tab/>
        </w:r>
        <w:r w:rsidRPr="00EB4A17">
          <w:rPr>
            <w:rStyle w:val="Hyperlink"/>
          </w:rPr>
          <w:t>Reporting</w:t>
        </w:r>
        <w:r>
          <w:rPr>
            <w:webHidden/>
          </w:rPr>
          <w:tab/>
        </w:r>
        <w:r>
          <w:rPr>
            <w:webHidden/>
          </w:rPr>
          <w:fldChar w:fldCharType="begin"/>
        </w:r>
        <w:r>
          <w:rPr>
            <w:webHidden/>
          </w:rPr>
          <w:instrText xml:space="preserve"> PAGEREF _Toc409095442 \h </w:instrText>
        </w:r>
        <w:r>
          <w:rPr>
            <w:webHidden/>
          </w:rPr>
        </w:r>
        <w:r>
          <w:rPr>
            <w:webHidden/>
          </w:rPr>
          <w:fldChar w:fldCharType="separate"/>
        </w:r>
        <w:r>
          <w:rPr>
            <w:webHidden/>
          </w:rPr>
          <w:t>50</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3" w:history="1">
        <w:r w:rsidRPr="00EB4A17">
          <w:rPr>
            <w:rStyle w:val="Hyperlink"/>
            <w:noProof/>
          </w:rPr>
          <w:t>4.2</w:t>
        </w:r>
        <w:r>
          <w:rPr>
            <w:rFonts w:asciiTheme="minorHAnsi" w:eastAsiaTheme="minorEastAsia" w:hAnsiTheme="minorHAnsi" w:cstheme="minorBidi"/>
            <w:smallCaps w:val="0"/>
            <w:noProof/>
            <w:color w:val="auto"/>
            <w:szCs w:val="22"/>
          </w:rPr>
          <w:tab/>
        </w:r>
        <w:r w:rsidRPr="00EB4A17">
          <w:rPr>
            <w:rStyle w:val="Hyperlink"/>
            <w:noProof/>
          </w:rPr>
          <w:t>Interactions with Advisory Group and Commission Staff</w:t>
        </w:r>
        <w:r>
          <w:rPr>
            <w:noProof/>
            <w:webHidden/>
          </w:rPr>
          <w:tab/>
        </w:r>
        <w:r>
          <w:rPr>
            <w:noProof/>
            <w:webHidden/>
          </w:rPr>
          <w:fldChar w:fldCharType="begin"/>
        </w:r>
        <w:r>
          <w:rPr>
            <w:noProof/>
            <w:webHidden/>
          </w:rPr>
          <w:instrText xml:space="preserve"> PAGEREF _Toc409095443 \h </w:instrText>
        </w:r>
        <w:r>
          <w:rPr>
            <w:noProof/>
            <w:webHidden/>
          </w:rPr>
        </w:r>
        <w:r>
          <w:rPr>
            <w:noProof/>
            <w:webHidden/>
          </w:rPr>
          <w:fldChar w:fldCharType="separate"/>
        </w:r>
        <w:r>
          <w:rPr>
            <w:noProof/>
            <w:webHidden/>
          </w:rPr>
          <w:t>51</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4" w:history="1">
        <w:r w:rsidRPr="00EB4A17">
          <w:rPr>
            <w:rStyle w:val="Hyperlink"/>
            <w:noProof/>
          </w:rPr>
          <w:t>4.3</w:t>
        </w:r>
        <w:r>
          <w:rPr>
            <w:rFonts w:asciiTheme="minorHAnsi" w:eastAsiaTheme="minorEastAsia" w:hAnsiTheme="minorHAnsi" w:cstheme="minorBidi"/>
            <w:smallCaps w:val="0"/>
            <w:noProof/>
            <w:color w:val="auto"/>
            <w:szCs w:val="22"/>
          </w:rPr>
          <w:tab/>
        </w:r>
        <w:r w:rsidRPr="00EB4A17">
          <w:rPr>
            <w:rStyle w:val="Hyperlink"/>
            <w:noProof/>
          </w:rPr>
          <w:t>Use of reference to Regional Technical Forum</w:t>
        </w:r>
        <w:r>
          <w:rPr>
            <w:noProof/>
            <w:webHidden/>
          </w:rPr>
          <w:tab/>
        </w:r>
        <w:r>
          <w:rPr>
            <w:noProof/>
            <w:webHidden/>
          </w:rPr>
          <w:fldChar w:fldCharType="begin"/>
        </w:r>
        <w:r>
          <w:rPr>
            <w:noProof/>
            <w:webHidden/>
          </w:rPr>
          <w:instrText xml:space="preserve"> PAGEREF _Toc409095444 \h </w:instrText>
        </w:r>
        <w:r>
          <w:rPr>
            <w:noProof/>
            <w:webHidden/>
          </w:rPr>
        </w:r>
        <w:r>
          <w:rPr>
            <w:noProof/>
            <w:webHidden/>
          </w:rPr>
          <w:fldChar w:fldCharType="separate"/>
        </w:r>
        <w:r>
          <w:rPr>
            <w:noProof/>
            <w:webHidden/>
          </w:rPr>
          <w:t>51</w:t>
        </w:r>
        <w:r>
          <w:rPr>
            <w:noProof/>
            <w:webHidden/>
          </w:rPr>
          <w:fldChar w:fldCharType="end"/>
        </w:r>
      </w:hyperlink>
    </w:p>
    <w:p w:rsidR="00613C1E" w:rsidRDefault="00613C1E">
      <w:pPr>
        <w:pStyle w:val="TOC1"/>
        <w:rPr>
          <w:rFonts w:asciiTheme="minorHAnsi" w:eastAsiaTheme="minorEastAsia" w:hAnsiTheme="minorHAnsi" w:cstheme="minorBidi"/>
          <w:bCs w:val="0"/>
          <w:caps w:val="0"/>
          <w:color w:val="auto"/>
          <w:sz w:val="22"/>
        </w:rPr>
      </w:pPr>
      <w:hyperlink w:anchor="_Toc409095445" w:history="1">
        <w:r w:rsidRPr="00EB4A17">
          <w:rPr>
            <w:rStyle w:val="Hyperlink"/>
            <w:rFonts w:cs="Vrinda"/>
          </w:rPr>
          <w:t>5</w:t>
        </w:r>
        <w:r>
          <w:rPr>
            <w:rFonts w:asciiTheme="minorHAnsi" w:eastAsiaTheme="minorEastAsia" w:hAnsiTheme="minorHAnsi" w:cstheme="minorBidi"/>
            <w:bCs w:val="0"/>
            <w:caps w:val="0"/>
            <w:color w:val="auto"/>
            <w:sz w:val="22"/>
          </w:rPr>
          <w:tab/>
        </w:r>
        <w:r w:rsidRPr="00EB4A17">
          <w:rPr>
            <w:rStyle w:val="Hyperlink"/>
          </w:rPr>
          <w:t>Schedule and Budget Summary</w:t>
        </w:r>
        <w:r>
          <w:rPr>
            <w:webHidden/>
          </w:rPr>
          <w:tab/>
        </w:r>
        <w:r>
          <w:rPr>
            <w:webHidden/>
          </w:rPr>
          <w:fldChar w:fldCharType="begin"/>
        </w:r>
        <w:r>
          <w:rPr>
            <w:webHidden/>
          </w:rPr>
          <w:instrText xml:space="preserve"> PAGEREF _Toc409095445 \h </w:instrText>
        </w:r>
        <w:r>
          <w:rPr>
            <w:webHidden/>
          </w:rPr>
        </w:r>
        <w:r>
          <w:rPr>
            <w:webHidden/>
          </w:rPr>
          <w:fldChar w:fldCharType="separate"/>
        </w:r>
        <w:r>
          <w:rPr>
            <w:webHidden/>
          </w:rPr>
          <w:t>52</w:t>
        </w:r>
        <w:r>
          <w:rPr>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6" w:history="1">
        <w:r w:rsidRPr="00EB4A17">
          <w:rPr>
            <w:rStyle w:val="Hyperlink"/>
            <w:noProof/>
          </w:rPr>
          <w:t>5.1</w:t>
        </w:r>
        <w:r>
          <w:rPr>
            <w:rFonts w:asciiTheme="minorHAnsi" w:eastAsiaTheme="minorEastAsia" w:hAnsiTheme="minorHAnsi" w:cstheme="minorBidi"/>
            <w:smallCaps w:val="0"/>
            <w:noProof/>
            <w:color w:val="auto"/>
            <w:szCs w:val="22"/>
          </w:rPr>
          <w:tab/>
        </w:r>
        <w:r w:rsidRPr="00EB4A17">
          <w:rPr>
            <w:rStyle w:val="Hyperlink"/>
            <w:noProof/>
          </w:rPr>
          <w:t>Schedule and Key Milestones</w:t>
        </w:r>
        <w:r>
          <w:rPr>
            <w:noProof/>
            <w:webHidden/>
          </w:rPr>
          <w:tab/>
        </w:r>
        <w:r>
          <w:rPr>
            <w:noProof/>
            <w:webHidden/>
          </w:rPr>
          <w:fldChar w:fldCharType="begin"/>
        </w:r>
        <w:r>
          <w:rPr>
            <w:noProof/>
            <w:webHidden/>
          </w:rPr>
          <w:instrText xml:space="preserve"> PAGEREF _Toc409095446 \h </w:instrText>
        </w:r>
        <w:r>
          <w:rPr>
            <w:noProof/>
            <w:webHidden/>
          </w:rPr>
        </w:r>
        <w:r>
          <w:rPr>
            <w:noProof/>
            <w:webHidden/>
          </w:rPr>
          <w:fldChar w:fldCharType="separate"/>
        </w:r>
        <w:r>
          <w:rPr>
            <w:noProof/>
            <w:webHidden/>
          </w:rPr>
          <w:t>52</w:t>
        </w:r>
        <w:r>
          <w:rPr>
            <w:noProof/>
            <w:webHidden/>
          </w:rPr>
          <w:fldChar w:fldCharType="end"/>
        </w:r>
      </w:hyperlink>
    </w:p>
    <w:p w:rsidR="00613C1E" w:rsidRDefault="00613C1E">
      <w:pPr>
        <w:pStyle w:val="TOC2"/>
        <w:rPr>
          <w:rFonts w:asciiTheme="minorHAnsi" w:eastAsiaTheme="minorEastAsia" w:hAnsiTheme="minorHAnsi" w:cstheme="minorBidi"/>
          <w:smallCaps w:val="0"/>
          <w:noProof/>
          <w:color w:val="auto"/>
          <w:szCs w:val="22"/>
        </w:rPr>
      </w:pPr>
      <w:hyperlink w:anchor="_Toc409095447" w:history="1">
        <w:r w:rsidRPr="00EB4A17">
          <w:rPr>
            <w:rStyle w:val="Hyperlink"/>
            <w:noProof/>
          </w:rPr>
          <w:t>5.2</w:t>
        </w:r>
        <w:r>
          <w:rPr>
            <w:rFonts w:asciiTheme="minorHAnsi" w:eastAsiaTheme="minorEastAsia" w:hAnsiTheme="minorHAnsi" w:cstheme="minorBidi"/>
            <w:smallCaps w:val="0"/>
            <w:noProof/>
            <w:color w:val="auto"/>
            <w:szCs w:val="22"/>
          </w:rPr>
          <w:tab/>
        </w:r>
        <w:r w:rsidRPr="00EB4A17">
          <w:rPr>
            <w:rStyle w:val="Hyperlink"/>
            <w:noProof/>
          </w:rPr>
          <w:t>Budget</w:t>
        </w:r>
        <w:r>
          <w:rPr>
            <w:noProof/>
            <w:webHidden/>
          </w:rPr>
          <w:tab/>
        </w:r>
        <w:r>
          <w:rPr>
            <w:noProof/>
            <w:webHidden/>
          </w:rPr>
          <w:fldChar w:fldCharType="begin"/>
        </w:r>
        <w:r>
          <w:rPr>
            <w:noProof/>
            <w:webHidden/>
          </w:rPr>
          <w:instrText xml:space="preserve"> PAGEREF _Toc409095447 \h </w:instrText>
        </w:r>
        <w:r>
          <w:rPr>
            <w:noProof/>
            <w:webHidden/>
          </w:rPr>
        </w:r>
        <w:r>
          <w:rPr>
            <w:noProof/>
            <w:webHidden/>
          </w:rPr>
          <w:fldChar w:fldCharType="separate"/>
        </w:r>
        <w:r>
          <w:rPr>
            <w:noProof/>
            <w:webHidden/>
          </w:rPr>
          <w:t>55</w:t>
        </w:r>
        <w:r>
          <w:rPr>
            <w:noProof/>
            <w:webHidden/>
          </w:rPr>
          <w:fldChar w:fldCharType="end"/>
        </w:r>
      </w:hyperlink>
    </w:p>
    <w:p w:rsidR="00093ACF" w:rsidRDefault="00D23790" w:rsidP="00EB0B23">
      <w:pPr>
        <w:pStyle w:val="t"/>
        <w:rPr>
          <w:noProof/>
        </w:rPr>
      </w:pPr>
      <w:r>
        <w:rPr>
          <w:rFonts w:ascii="Arial" w:hAnsi="Arial" w:cs="Times New Roman"/>
          <w:caps/>
          <w:smallCaps/>
          <w:noProof/>
          <w:color w:val="1F497D" w:themeColor="text2"/>
          <w:sz w:val="24"/>
          <w:u w:color="1F497D" w:themeColor="text2"/>
        </w:rPr>
        <w:lastRenderedPageBreak/>
        <w:fldChar w:fldCharType="end"/>
      </w:r>
    </w:p>
    <w:p w:rsidR="00905F64" w:rsidRPr="0022146E" w:rsidRDefault="00905F64" w:rsidP="00EB0B23">
      <w:pPr>
        <w:pStyle w:val="t"/>
      </w:pPr>
    </w:p>
    <w:p w:rsidR="00093ACF" w:rsidRPr="0022146E" w:rsidRDefault="00093ACF" w:rsidP="00E83A92">
      <w:pPr>
        <w:pStyle w:val="Heading1"/>
        <w:sectPr w:rsidR="00093ACF" w:rsidRPr="0022146E" w:rsidSect="00F5525B">
          <w:headerReference w:type="even" r:id="rId18"/>
          <w:headerReference w:type="default" r:id="rId19"/>
          <w:headerReference w:type="first" r:id="rId20"/>
          <w:footerReference w:type="first" r:id="rId21"/>
          <w:footnotePr>
            <w:numRestart w:val="eachPage"/>
          </w:footnotePr>
          <w:pgSz w:w="12240" w:h="15840"/>
          <w:pgMar w:top="1440" w:right="1440" w:bottom="1440" w:left="1440" w:header="1080" w:footer="720" w:gutter="0"/>
          <w:pgNumType w:fmt="lowerRoman" w:start="1"/>
          <w:cols w:space="360"/>
          <w:titlePg/>
        </w:sectPr>
      </w:pPr>
    </w:p>
    <w:p w:rsidR="00150AC7" w:rsidRDefault="00F21848" w:rsidP="00E77A66">
      <w:pPr>
        <w:pStyle w:val="Heading1"/>
        <w:jc w:val="left"/>
      </w:pPr>
      <w:bookmarkStart w:id="2" w:name="_Toc409095371"/>
      <w:r w:rsidRPr="00E77A66">
        <w:lastRenderedPageBreak/>
        <w:t xml:space="preserve">Introduction and </w:t>
      </w:r>
      <w:r w:rsidR="00E77A66" w:rsidRPr="00E77A66">
        <w:t>Key Issues</w:t>
      </w:r>
      <w:bookmarkEnd w:id="2"/>
      <w:r w:rsidR="00137064">
        <w:t xml:space="preserve"> </w:t>
      </w:r>
    </w:p>
    <w:p w:rsidR="0092562F" w:rsidRDefault="0092562F" w:rsidP="0092562F">
      <w:pPr>
        <w:pStyle w:val="t"/>
        <w:numPr>
          <w:ilvl w:val="0"/>
          <w:numId w:val="2"/>
        </w:numPr>
        <w:ind w:left="0"/>
      </w:pPr>
      <w:r w:rsidRPr="00135961">
        <w:t>Nexant</w:t>
      </w:r>
      <w:r>
        <w:t>, Inc. (Nexant)</w:t>
      </w:r>
      <w:r w:rsidRPr="00135961">
        <w:t xml:space="preserve"> and its partner, </w:t>
      </w:r>
      <w:r>
        <w:t xml:space="preserve">Research Into Action </w:t>
      </w:r>
      <w:r w:rsidRPr="00135961">
        <w:t>(</w:t>
      </w:r>
      <w:r>
        <w:t>collectively, the evaluation team</w:t>
      </w:r>
      <w:r w:rsidRPr="00135961">
        <w:t>)</w:t>
      </w:r>
      <w:r>
        <w:t xml:space="preserve"> </w:t>
      </w:r>
      <w:r w:rsidRPr="00135961">
        <w:t xml:space="preserve">have been retained by </w:t>
      </w:r>
      <w:r>
        <w:t xml:space="preserve">Avista Corporation (Avista) </w:t>
      </w:r>
      <w:r w:rsidRPr="00135961">
        <w:t>to evaluat</w:t>
      </w:r>
      <w:r>
        <w:t>e</w:t>
      </w:r>
      <w:r w:rsidRPr="00135961">
        <w:t xml:space="preserve"> </w:t>
      </w:r>
      <w:r w:rsidR="007D579B">
        <w:t xml:space="preserve">the </w:t>
      </w:r>
      <w:r>
        <w:t xml:space="preserve">2014-2015 </w:t>
      </w:r>
      <w:r w:rsidRPr="00135961">
        <w:t xml:space="preserve">demand side management (DSM) programs </w:t>
      </w:r>
      <w:r>
        <w:t>off</w:t>
      </w:r>
      <w:r w:rsidR="00531D0A">
        <w:t xml:space="preserve">ered in Washington and Idaho.  </w:t>
      </w:r>
      <w:r>
        <w:t xml:space="preserve">This </w:t>
      </w:r>
      <w:r w:rsidRPr="00135961">
        <w:t>project includes process and impact evaluation</w:t>
      </w:r>
      <w:r>
        <w:t>s</w:t>
      </w:r>
      <w:r w:rsidRPr="00135961">
        <w:t xml:space="preserve">, to be completed and delivered with final evaluation results </w:t>
      </w:r>
      <w:r w:rsidRPr="00AE70AC">
        <w:t>by April, 2016.</w:t>
      </w:r>
      <w:r>
        <w:t xml:space="preserve"> The main deliverables for this evaluation include: </w:t>
      </w:r>
    </w:p>
    <w:p w:rsidR="0092562F" w:rsidRPr="00AE70AC" w:rsidRDefault="0092562F" w:rsidP="002B3B30">
      <w:pPr>
        <w:pStyle w:val="b"/>
        <w:numPr>
          <w:ilvl w:val="0"/>
          <w:numId w:val="3"/>
        </w:numPr>
      </w:pPr>
      <w:r w:rsidRPr="00F43274">
        <w:rPr>
          <w:b/>
        </w:rPr>
        <w:t>Deliverable 1: Evaluation Work Plan</w:t>
      </w:r>
      <w:r w:rsidRPr="00AE70AC">
        <w:t xml:space="preserve">:  Develop an Evaluation Work Plan </w:t>
      </w:r>
      <w:r w:rsidR="007D579B">
        <w:t xml:space="preserve">(the document entailed herein) </w:t>
      </w:r>
      <w:r w:rsidRPr="00AE70AC">
        <w:t>outlining all evaluation activities to be conducted for the evaluation of Avista’s 2014-2015 DSM programs in WA and ID, along with the presentation to Avista’s DSM Advisory Group.</w:t>
      </w:r>
    </w:p>
    <w:p w:rsidR="0092562F" w:rsidRPr="00AE70AC" w:rsidRDefault="0092562F" w:rsidP="002B3B30">
      <w:pPr>
        <w:pStyle w:val="b"/>
        <w:numPr>
          <w:ilvl w:val="0"/>
          <w:numId w:val="3"/>
        </w:numPr>
      </w:pPr>
      <w:r w:rsidRPr="00F43274">
        <w:rPr>
          <w:b/>
        </w:rPr>
        <w:t>Deliverable 2: Natural Gas Impact Evaluation</w:t>
      </w:r>
      <w:r w:rsidRPr="00AE70AC">
        <w:t>: Perform the Washington Natural Gas Portfolio Measurement and Verification Impact Evaluation for program years 2014 and 2015.</w:t>
      </w:r>
    </w:p>
    <w:p w:rsidR="0092562F" w:rsidRPr="00AE70AC" w:rsidRDefault="0092562F" w:rsidP="002B3B30">
      <w:pPr>
        <w:pStyle w:val="b"/>
        <w:numPr>
          <w:ilvl w:val="0"/>
          <w:numId w:val="3"/>
        </w:numPr>
      </w:pPr>
      <w:r w:rsidRPr="00F43274">
        <w:rPr>
          <w:b/>
        </w:rPr>
        <w:t>Deliverable 3: Electric Impact Evaluation</w:t>
      </w:r>
      <w:r w:rsidRPr="00AE70AC">
        <w:t>: Perform the Washington and Idaho Electric Portfolio Measurement and Verification Impact Evaluation for program years 2014 and 2015.</w:t>
      </w:r>
    </w:p>
    <w:p w:rsidR="0092562F" w:rsidRPr="00AE70AC" w:rsidRDefault="0092562F" w:rsidP="002B3B30">
      <w:pPr>
        <w:pStyle w:val="b"/>
        <w:numPr>
          <w:ilvl w:val="0"/>
          <w:numId w:val="3"/>
        </w:numPr>
      </w:pPr>
      <w:r w:rsidRPr="00F43274">
        <w:rPr>
          <w:b/>
        </w:rPr>
        <w:t>Deliverable 4: Process Evaluation Report</w:t>
      </w:r>
      <w:r w:rsidRPr="00AE70AC">
        <w:t>: Perform a process evaluation of the Washington a</w:t>
      </w:r>
      <w:r w:rsidR="003D4B49">
        <w:t>n</w:t>
      </w:r>
      <w:r w:rsidRPr="00AE70AC">
        <w:t xml:space="preserve">d Idaho </w:t>
      </w:r>
      <w:r w:rsidR="002C4E89">
        <w:t>programs for</w:t>
      </w:r>
      <w:r w:rsidRPr="00AE70AC">
        <w:t xml:space="preserve"> years 2014 and 2015.</w:t>
      </w:r>
    </w:p>
    <w:p w:rsidR="0092562F" w:rsidRPr="00AE70AC" w:rsidRDefault="0092562F" w:rsidP="002B3B30">
      <w:pPr>
        <w:pStyle w:val="b"/>
        <w:numPr>
          <w:ilvl w:val="0"/>
          <w:numId w:val="3"/>
        </w:numPr>
      </w:pPr>
      <w:r w:rsidRPr="00F43274">
        <w:rPr>
          <w:b/>
        </w:rPr>
        <w:t>Deliverable 5: Annual Reports with Cost Effectiveness Analysis</w:t>
      </w:r>
      <w:r w:rsidRPr="00AE70AC">
        <w:t>: In both 2014 and 2015, and for the combined years, perform a cost-effectiveness analysis for each of Avista’s programs and portfolio of programs in Washington and Idaho.</w:t>
      </w:r>
    </w:p>
    <w:p w:rsidR="0092562F" w:rsidRDefault="0092562F" w:rsidP="0092562F">
      <w:pPr>
        <w:pStyle w:val="t"/>
        <w:numPr>
          <w:ilvl w:val="0"/>
          <w:numId w:val="2"/>
        </w:numPr>
        <w:ind w:left="0"/>
      </w:pPr>
      <w:r>
        <w:t xml:space="preserve">The evaluation team will perform a process evaluation that focuses on program design and theory, implementation and delivery, and market feedback. The programs will be evaluated through interviews with pertinent program actors including Avista and third-party implementation staff, contractors, trade allies, retailers, participants, and non-participants. The evaluation team will develop a unique survey instrument for each population to ensure that responses produce comparable data and allow the evaluation team to draw </w:t>
      </w:r>
      <w:r w:rsidRPr="000030C8">
        <w:t>meaningful</w:t>
      </w:r>
      <w:r>
        <w:t xml:space="preserve"> conclusions.</w:t>
      </w:r>
      <w:r w:rsidR="001D3E72">
        <w:t xml:space="preserve"> Section</w:t>
      </w:r>
      <w:r>
        <w:t xml:space="preserve"> </w:t>
      </w:r>
      <w:r w:rsidR="001D3E72">
        <w:rPr>
          <w:highlight w:val="yellow"/>
        </w:rPr>
        <w:fldChar w:fldCharType="begin"/>
      </w:r>
      <w:r w:rsidR="001D3E72">
        <w:instrText xml:space="preserve"> REF _Ref406254398 \r \h </w:instrText>
      </w:r>
      <w:r w:rsidR="001D3E72">
        <w:rPr>
          <w:highlight w:val="yellow"/>
        </w:rPr>
      </w:r>
      <w:r w:rsidR="001D3E72">
        <w:rPr>
          <w:highlight w:val="yellow"/>
        </w:rPr>
        <w:fldChar w:fldCharType="separate"/>
      </w:r>
      <w:r w:rsidR="001D3E72">
        <w:t>3</w:t>
      </w:r>
      <w:r w:rsidR="001D3E72">
        <w:rPr>
          <w:highlight w:val="yellow"/>
        </w:rPr>
        <w:fldChar w:fldCharType="end"/>
      </w:r>
      <w:r>
        <w:t xml:space="preserve"> of this plan provides an overview of the process evaluation.</w:t>
      </w:r>
    </w:p>
    <w:p w:rsidR="0092562F" w:rsidRDefault="0092562F" w:rsidP="0092562F">
      <w:pPr>
        <w:pStyle w:val="t"/>
        <w:numPr>
          <w:ilvl w:val="0"/>
          <w:numId w:val="2"/>
        </w:numPr>
        <w:ind w:left="0"/>
      </w:pPr>
      <w:r>
        <w:t>For the impact evaluation, the net and gross program energy impacts will be</w:t>
      </w:r>
      <w:r w:rsidRPr="00F47E37">
        <w:t xml:space="preserve"> </w:t>
      </w:r>
      <w:r>
        <w:t>evaluated</w:t>
      </w:r>
      <w:r w:rsidRPr="00F47E37">
        <w:t xml:space="preserve"> through a combination of </w:t>
      </w:r>
      <w:r>
        <w:t xml:space="preserve">documentation audits, telephone surveys, </w:t>
      </w:r>
      <w:r w:rsidRPr="00F47E37">
        <w:t>and engineering analysis and site inspections</w:t>
      </w:r>
      <w:r>
        <w:t xml:space="preserve"> of</w:t>
      </w:r>
      <w:r w:rsidRPr="00F47E37">
        <w:t xml:space="preserve"> </w:t>
      </w:r>
      <w:r>
        <w:t xml:space="preserve">completed </w:t>
      </w:r>
      <w:r w:rsidRPr="000030C8">
        <w:t>program</w:t>
      </w:r>
      <w:r w:rsidRPr="00F47E37">
        <w:t xml:space="preserve"> </w:t>
      </w:r>
      <w:r>
        <w:t>projects</w:t>
      </w:r>
      <w:r w:rsidRPr="00F47E37">
        <w:t xml:space="preserve">. </w:t>
      </w:r>
      <w:r>
        <w:t xml:space="preserve">Because it is not cost-effective to complete analysis and site inspection on a census of the implemented program projects, energy savings will only be verified for a representative sample of projects to draw statistically measurable results. </w:t>
      </w:r>
      <w:r w:rsidR="007D579B">
        <w:t xml:space="preserve">Additionally, a subset of the residential portfolio programs will be evaluated through billing analysis. </w:t>
      </w:r>
      <w:r w:rsidRPr="00F47E37">
        <w:t>The program</w:t>
      </w:r>
      <w:r>
        <w:t>-</w:t>
      </w:r>
      <w:r w:rsidRPr="00F47E37">
        <w:t xml:space="preserve">reported savings </w:t>
      </w:r>
      <w:r>
        <w:t>will be</w:t>
      </w:r>
      <w:r w:rsidRPr="00F47E37">
        <w:t xml:space="preserve"> adjusted </w:t>
      </w:r>
      <w:r w:rsidR="002C1B7D">
        <w:t>based on the findings from t</w:t>
      </w:r>
      <w:r w:rsidR="009A7530">
        <w:t>he gross-verified evaluation ac</w:t>
      </w:r>
      <w:r w:rsidR="002C1B7D">
        <w:t>tivit</w:t>
      </w:r>
      <w:r w:rsidR="009A7530">
        <w:t>i</w:t>
      </w:r>
      <w:r w:rsidR="002C1B7D">
        <w:t xml:space="preserve">es conducted on the sample population.  </w:t>
      </w:r>
      <w:r>
        <w:t xml:space="preserve">The net savings, which are an estimation of the </w:t>
      </w:r>
      <w:r w:rsidR="002C1B7D">
        <w:t>savings directly attributable to the program</w:t>
      </w:r>
      <w:r w:rsidR="009A7530">
        <w:t xml:space="preserve"> </w:t>
      </w:r>
      <w:r w:rsidR="002C1B7D">
        <w:t>and which account market effects and customer influence</w:t>
      </w:r>
      <w:r>
        <w:t>, will be calculated by applying net-</w:t>
      </w:r>
      <w:r>
        <w:lastRenderedPageBreak/>
        <w:t xml:space="preserve">to-gross scaling factors to the gross </w:t>
      </w:r>
      <w:r w:rsidRPr="00F47E37">
        <w:t>program</w:t>
      </w:r>
      <w:r>
        <w:t>-</w:t>
      </w:r>
      <w:r w:rsidRPr="00F47E37">
        <w:t xml:space="preserve">reported </w:t>
      </w:r>
      <w:r>
        <w:t xml:space="preserve">savings.  In order to estimate net-to-gross factors, the evaluation team will employ participant surveys to quantify the actual impact of the programs. </w:t>
      </w:r>
    </w:p>
    <w:p w:rsidR="0092562F" w:rsidRDefault="0092562F" w:rsidP="0092562F">
      <w:pPr>
        <w:pStyle w:val="t"/>
        <w:numPr>
          <w:ilvl w:val="0"/>
          <w:numId w:val="2"/>
        </w:numPr>
        <w:ind w:left="0"/>
      </w:pPr>
      <w:r>
        <w:t xml:space="preserve">The primary goal of evaluation efforts is assurance that programs are cost-effectively addressing the hurdles customers face when it comes to implementing energy efficiency measures in their home or business. The primary findings from evaluation efforts, in turn, help </w:t>
      </w:r>
      <w:r w:rsidR="003D4B49">
        <w:t>u</w:t>
      </w:r>
      <w:r>
        <w:t xml:space="preserve">tilities plan for future program offerings. Several factors must be included and thoroughly outlined prior to any evaluation activity to ensure that evaluation </w:t>
      </w:r>
      <w:r w:rsidR="007D579B">
        <w:t xml:space="preserve">budgets </w:t>
      </w:r>
      <w:r>
        <w:t xml:space="preserve">are spent wisely and that the results of the evaluation efforts are statistically valid. </w:t>
      </w:r>
    </w:p>
    <w:p w:rsidR="0092562F" w:rsidRDefault="0092562F" w:rsidP="0092562F">
      <w:pPr>
        <w:pStyle w:val="t"/>
        <w:numPr>
          <w:ilvl w:val="0"/>
          <w:numId w:val="2"/>
        </w:numPr>
        <w:ind w:left="0"/>
      </w:pPr>
      <w:r>
        <w:t>The evaluation team reviewed available material for each of Avista’s 2014-2015 DSM programs to develop prioritization criteria for allocating the project’s finite evaluation resources. The issues that we took into account when developing this work plan include:</w:t>
      </w:r>
    </w:p>
    <w:p w:rsidR="0092562F" w:rsidRDefault="0092562F" w:rsidP="001D3E72">
      <w:pPr>
        <w:pStyle w:val="b"/>
      </w:pPr>
      <w:r>
        <w:t>A program’s estimated savings (kWh and therms) contribution to the sector and DSM portfolio (actual to-date information through October 2014 and planned values for 2015)</w:t>
      </w:r>
      <w:r w:rsidR="007D579B">
        <w:t>.</w:t>
      </w:r>
    </w:p>
    <w:p w:rsidR="0092562F" w:rsidRDefault="0092562F" w:rsidP="001D3E72">
      <w:pPr>
        <w:pStyle w:val="b"/>
      </w:pPr>
      <w:r>
        <w:t>A program’s budget allocation relative to the sector and DSM portfolio (as outlined in Avista’s 2014 and 2015 DSM Business Plan</w:t>
      </w:r>
      <w:r w:rsidR="007D579B">
        <w:t>).</w:t>
      </w:r>
    </w:p>
    <w:p w:rsidR="0092562F" w:rsidRDefault="0092562F" w:rsidP="001D3E72">
      <w:pPr>
        <w:pStyle w:val="b"/>
      </w:pPr>
      <w:r>
        <w:t>The expected degree of uncertainty in a program’s savings.</w:t>
      </w:r>
    </w:p>
    <w:p w:rsidR="0092562F" w:rsidRDefault="0092562F" w:rsidP="001D3E72">
      <w:pPr>
        <w:pStyle w:val="b"/>
      </w:pPr>
      <w:r w:rsidRPr="00E36E00">
        <w:t>The status of measure UES values currently listed in the RTF.</w:t>
      </w:r>
    </w:p>
    <w:p w:rsidR="0092562F" w:rsidRPr="00E36E00" w:rsidRDefault="0092562F" w:rsidP="001D3E72">
      <w:pPr>
        <w:pStyle w:val="b"/>
      </w:pPr>
      <w:r>
        <w:t>Findings and recommendations made during the prior evaluation cycle.</w:t>
      </w:r>
    </w:p>
    <w:p w:rsidR="0092562F" w:rsidRDefault="0092562F" w:rsidP="001D3E72">
      <w:pPr>
        <w:pStyle w:val="b"/>
      </w:pPr>
      <w:r>
        <w:t>Whether any special features of a program require extraordinary evaluation effort.</w:t>
      </w:r>
    </w:p>
    <w:p w:rsidR="0092562F" w:rsidRDefault="0092562F" w:rsidP="0092562F">
      <w:pPr>
        <w:pStyle w:val="t"/>
        <w:numPr>
          <w:ilvl w:val="0"/>
          <w:numId w:val="2"/>
        </w:numPr>
        <w:ind w:left="0"/>
      </w:pPr>
      <w:r>
        <w:t xml:space="preserve">In the following sections of this work plan, the evaluation team presents a proven approach and </w:t>
      </w:r>
      <w:r w:rsidR="00444E93">
        <w:t xml:space="preserve">the </w:t>
      </w:r>
      <w:r>
        <w:t>methodologies for developing accurate and defensible results on the portfolio evaluation of Avista’s 2014-2015 DSM programs, which meet the</w:t>
      </w:r>
      <w:r w:rsidR="003D4B49">
        <w:t xml:space="preserve"> understood</w:t>
      </w:r>
      <w:r>
        <w:t xml:space="preserve"> regulatory requirements in Washington and Idaho. </w:t>
      </w:r>
    </w:p>
    <w:p w:rsidR="00B8275A" w:rsidRDefault="00B8275A" w:rsidP="003931E3">
      <w:pPr>
        <w:pStyle w:val="Heading2"/>
        <w:rPr>
          <w:color w:val="FF0000"/>
        </w:rPr>
      </w:pPr>
      <w:bookmarkStart w:id="3" w:name="_Toc371432647"/>
      <w:bookmarkStart w:id="4" w:name="_Toc372275926"/>
      <w:bookmarkStart w:id="5" w:name="_Toc409095372"/>
      <w:r w:rsidRPr="00A951C2">
        <w:t>Approach and Methodology</w:t>
      </w:r>
      <w:bookmarkEnd w:id="3"/>
      <w:bookmarkEnd w:id="4"/>
      <w:bookmarkEnd w:id="5"/>
      <w:r w:rsidR="00EE68BD">
        <w:t xml:space="preserve"> </w:t>
      </w:r>
    </w:p>
    <w:p w:rsidR="0092562F" w:rsidRDefault="0092562F" w:rsidP="0092562F">
      <w:pPr>
        <w:pStyle w:val="t"/>
        <w:numPr>
          <w:ilvl w:val="0"/>
          <w:numId w:val="2"/>
        </w:numPr>
        <w:ind w:left="0"/>
      </w:pPr>
      <w:r>
        <w:t>Techniques that we will use to conduct our EM&amp;V activities and to meet the goals stated for this evaluation include site inspections, telephone surveys, document audits, billing analysis, best practice review</w:t>
      </w:r>
      <w:r w:rsidR="00444E93">
        <w:t>,</w:t>
      </w:r>
      <w:r>
        <w:t xml:space="preserve"> and interviews with implementation staff, trade allies, program participants and nonparticipants.</w:t>
      </w:r>
    </w:p>
    <w:p w:rsidR="0092562F" w:rsidRDefault="0092562F" w:rsidP="0092562F">
      <w:pPr>
        <w:pStyle w:val="t"/>
        <w:numPr>
          <w:ilvl w:val="0"/>
          <w:numId w:val="2"/>
        </w:numPr>
        <w:ind w:left="0"/>
      </w:pPr>
      <w:r>
        <w:t>The primary determinants of evaluation costs are the sample size and the level of rigor employed in collecting measurable data for the impact and process analysis. The accuracy of the study findings is in turn dependent on these parameters. Avista’s stated preference is to achieve 10%/90% statistical precision and confidence at the portfolio level at a minimum. This work plan balances cost and rigor using a value of information approach that starts with a determination of those programs that require a higher level of evaluation due to uncertainty in the program. We then assess the level of uncertainty in a program with the estimated value of the program in order to determine the most cost-effective and accurate evaluation approach.</w:t>
      </w:r>
    </w:p>
    <w:p w:rsidR="0092562F" w:rsidRPr="006754FE" w:rsidRDefault="00AC4632" w:rsidP="0092562F">
      <w:pPr>
        <w:pStyle w:val="t"/>
        <w:numPr>
          <w:ilvl w:val="0"/>
          <w:numId w:val="2"/>
        </w:numPr>
        <w:ind w:left="0"/>
      </w:pPr>
      <w:r>
        <w:rPr>
          <w:b/>
          <w:color w:val="1F497D" w:themeColor="text2"/>
        </w:rPr>
        <w:lastRenderedPageBreak/>
        <w:fldChar w:fldCharType="begin"/>
      </w:r>
      <w:r>
        <w:rPr>
          <w:b/>
          <w:color w:val="1F497D" w:themeColor="text2"/>
        </w:rPr>
        <w:instrText xml:space="preserve"> REF _Ref406405548 \h </w:instrText>
      </w:r>
      <w:r>
        <w:rPr>
          <w:b/>
          <w:color w:val="1F497D" w:themeColor="text2"/>
        </w:rPr>
      </w:r>
      <w:r>
        <w:rPr>
          <w:b/>
          <w:color w:val="1F497D" w:themeColor="text2"/>
        </w:rPr>
        <w:fldChar w:fldCharType="separate"/>
      </w:r>
      <w:r>
        <w:t xml:space="preserve">Figure </w:t>
      </w:r>
      <w:r>
        <w:rPr>
          <w:noProof/>
        </w:rPr>
        <w:t>1</w:t>
      </w:r>
      <w:r>
        <w:noBreakHyphen/>
      </w:r>
      <w:r>
        <w:rPr>
          <w:noProof/>
        </w:rPr>
        <w:t>1</w:t>
      </w:r>
      <w:r>
        <w:rPr>
          <w:b/>
          <w:color w:val="1F497D" w:themeColor="text2"/>
        </w:rPr>
        <w:fldChar w:fldCharType="end"/>
      </w:r>
      <w:r>
        <w:rPr>
          <w:b/>
          <w:color w:val="1F497D" w:themeColor="text2"/>
        </w:rPr>
        <w:t xml:space="preserve"> </w:t>
      </w:r>
      <w:r w:rsidR="001D3E72" w:rsidRPr="001D3E72">
        <w:t>demonstrates</w:t>
      </w:r>
      <w:r w:rsidR="003D4B49">
        <w:t xml:space="preserve"> </w:t>
      </w:r>
      <w:r w:rsidR="0092562F" w:rsidRPr="001D3E72">
        <w:t xml:space="preserve">the </w:t>
      </w:r>
      <w:r w:rsidR="0092562F">
        <w:t>principal evaluation team steps organized through planning, core evaluation activities, and final reporting.</w:t>
      </w:r>
    </w:p>
    <w:p w:rsidR="0092562F" w:rsidRDefault="0092562F" w:rsidP="002C1B7D">
      <w:pPr>
        <w:pStyle w:val="Caption"/>
      </w:pPr>
      <w:bookmarkStart w:id="6" w:name="_Ref406405548"/>
      <w:r>
        <w:t xml:space="preserve">Figure </w:t>
      </w:r>
      <w:fldSimple w:instr=" STYLEREF 1 \s ">
        <w:r w:rsidR="007331A1">
          <w:rPr>
            <w:noProof/>
          </w:rPr>
          <w:t>1</w:t>
        </w:r>
      </w:fldSimple>
      <w:r w:rsidR="007331A1">
        <w:noBreakHyphen/>
      </w:r>
      <w:fldSimple w:instr=" SEQ Figure \* ARABIC \s 1 ">
        <w:r w:rsidR="007331A1">
          <w:rPr>
            <w:noProof/>
          </w:rPr>
          <w:t>1</w:t>
        </w:r>
      </w:fldSimple>
      <w:bookmarkEnd w:id="6"/>
      <w:r>
        <w:t>: Outline of Evaluation Approach and Activities</w:t>
      </w:r>
    </w:p>
    <w:p w:rsidR="0092562F" w:rsidRDefault="0092562F" w:rsidP="0092562F">
      <w:pPr>
        <w:pStyle w:val="t"/>
        <w:numPr>
          <w:ilvl w:val="0"/>
          <w:numId w:val="2"/>
        </w:numPr>
        <w:ind w:left="0"/>
      </w:pPr>
      <w:r>
        <w:rPr>
          <w:noProof/>
        </w:rPr>
        <w:drawing>
          <wp:inline distT="0" distB="0" distL="0" distR="0" wp14:anchorId="77607945" wp14:editId="4B19497F">
            <wp:extent cx="5943600" cy="415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56065"/>
                    </a:xfrm>
                    <a:prstGeom prst="rect">
                      <a:avLst/>
                    </a:prstGeom>
                    <a:noFill/>
                  </pic:spPr>
                </pic:pic>
              </a:graphicData>
            </a:graphic>
          </wp:inline>
        </w:drawing>
      </w:r>
    </w:p>
    <w:p w:rsidR="0092562F" w:rsidRPr="00B22B2D" w:rsidRDefault="0092562F" w:rsidP="0092562F">
      <w:pPr>
        <w:pStyle w:val="t"/>
        <w:numPr>
          <w:ilvl w:val="0"/>
          <w:numId w:val="2"/>
        </w:numPr>
      </w:pPr>
    </w:p>
    <w:p w:rsidR="000B7884" w:rsidRDefault="000B7884" w:rsidP="00B93260">
      <w:pPr>
        <w:pStyle w:val="Heading2"/>
        <w:rPr>
          <w:color w:val="FF0000"/>
        </w:rPr>
      </w:pPr>
      <w:bookmarkStart w:id="7" w:name="_Toc312832686"/>
      <w:bookmarkStart w:id="8" w:name="_Toc409095373"/>
      <w:r w:rsidRPr="00B93260">
        <w:t>Evaluation Goals and Objectives</w:t>
      </w:r>
      <w:bookmarkEnd w:id="7"/>
      <w:bookmarkEnd w:id="8"/>
      <w:r w:rsidR="00EE68BD">
        <w:t xml:space="preserve"> </w:t>
      </w:r>
    </w:p>
    <w:p w:rsidR="0092562F" w:rsidRPr="003B6D39" w:rsidRDefault="0092562F" w:rsidP="0092562F">
      <w:pPr>
        <w:pStyle w:val="t"/>
        <w:numPr>
          <w:ilvl w:val="0"/>
          <w:numId w:val="2"/>
        </w:numPr>
        <w:spacing w:before="100" w:beforeAutospacing="1"/>
        <w:ind w:left="0"/>
      </w:pPr>
      <w:r w:rsidRPr="003B6D39">
        <w:t xml:space="preserve">Over-arching </w:t>
      </w:r>
      <w:r>
        <w:t>p</w:t>
      </w:r>
      <w:r w:rsidRPr="003B6D39">
        <w:t xml:space="preserve">roject goals will follow the definition of impact evaluation established in the “Model </w:t>
      </w:r>
      <w:r>
        <w:t>Energy-Efficiency</w:t>
      </w:r>
      <w:r w:rsidRPr="003B6D39">
        <w:t xml:space="preserve"> Program Impact Evaluation Guide – A Resource of the National Action Plan for Energy Efficiency</w:t>
      </w:r>
      <w:r>
        <w:t>,”</w:t>
      </w:r>
      <w:r w:rsidRPr="003B6D39">
        <w:t xml:space="preserve"> November 2007:</w:t>
      </w:r>
    </w:p>
    <w:p w:rsidR="0092562F" w:rsidRPr="003B6D39" w:rsidRDefault="0092562F" w:rsidP="00EC7F77">
      <w:pPr>
        <w:pStyle w:val="t"/>
        <w:numPr>
          <w:ilvl w:val="0"/>
          <w:numId w:val="2"/>
        </w:numPr>
        <w:spacing w:before="100" w:beforeAutospacing="1"/>
        <w:ind w:left="1080" w:right="1080"/>
        <w:jc w:val="both"/>
        <w:rPr>
          <w:i/>
        </w:rPr>
      </w:pPr>
      <w:r w:rsidRPr="003B6D39">
        <w:rPr>
          <w:i/>
        </w:rPr>
        <w:t>Evaluation is the process of determining and documenting the results, benefits, and lessons learned from an energy</w:t>
      </w:r>
      <w:r>
        <w:rPr>
          <w:i/>
        </w:rPr>
        <w:t>-</w:t>
      </w:r>
      <w:r w:rsidRPr="003B6D39">
        <w:rPr>
          <w:i/>
        </w:rPr>
        <w:t>efficiency program. Evaluation results can be used in planning future programs and determining the value and potential of a portfolio of energ</w:t>
      </w:r>
      <w:r>
        <w:rPr>
          <w:i/>
        </w:rPr>
        <w:t>y-</w:t>
      </w:r>
      <w:r w:rsidRPr="003B6D39">
        <w:rPr>
          <w:i/>
        </w:rPr>
        <w:t xml:space="preserve">efficiency programs in an integrated resource planning process. It can also be used in retrospectively determining the performance (and resulting payments, incentives, or penalties) of contractors and administrators responsible for implementing efficiency programs. </w:t>
      </w:r>
    </w:p>
    <w:p w:rsidR="0092562F" w:rsidRPr="003B6D39" w:rsidRDefault="0092562F" w:rsidP="00EC7F77">
      <w:pPr>
        <w:pStyle w:val="t"/>
        <w:numPr>
          <w:ilvl w:val="0"/>
          <w:numId w:val="2"/>
        </w:numPr>
        <w:spacing w:before="100" w:beforeAutospacing="1"/>
        <w:ind w:left="1080" w:right="1080"/>
        <w:jc w:val="both"/>
        <w:rPr>
          <w:i/>
        </w:rPr>
      </w:pPr>
      <w:r w:rsidRPr="003B6D39">
        <w:rPr>
          <w:i/>
        </w:rPr>
        <w:lastRenderedPageBreak/>
        <w:t xml:space="preserve">Evaluation has two key objectives: </w:t>
      </w:r>
    </w:p>
    <w:p w:rsidR="0092562F" w:rsidRPr="003B6D39" w:rsidRDefault="0092562F" w:rsidP="00EC7F77">
      <w:pPr>
        <w:pStyle w:val="t"/>
        <w:numPr>
          <w:ilvl w:val="0"/>
          <w:numId w:val="10"/>
        </w:numPr>
        <w:spacing w:before="100" w:beforeAutospacing="1"/>
        <w:ind w:left="1080" w:right="1080" w:hanging="360"/>
        <w:jc w:val="both"/>
        <w:rPr>
          <w:i/>
        </w:rPr>
      </w:pPr>
      <w:r w:rsidRPr="003B6D39">
        <w:rPr>
          <w:i/>
        </w:rPr>
        <w:t xml:space="preserve">To document and measure the effects of a program and determine whether it met its goals with respect to being a reliable energy resource. </w:t>
      </w:r>
    </w:p>
    <w:p w:rsidR="0092562F" w:rsidRPr="003B6D39" w:rsidRDefault="0092562F" w:rsidP="00EC7F77">
      <w:pPr>
        <w:pStyle w:val="t"/>
        <w:numPr>
          <w:ilvl w:val="0"/>
          <w:numId w:val="10"/>
        </w:numPr>
        <w:spacing w:before="100" w:beforeAutospacing="1"/>
        <w:ind w:left="1080" w:right="1080" w:hanging="360"/>
        <w:jc w:val="both"/>
        <w:rPr>
          <w:i/>
        </w:rPr>
      </w:pPr>
      <w:r w:rsidRPr="003B6D39">
        <w:rPr>
          <w:i/>
        </w:rPr>
        <w:t>To help understand why those effects occurred</w:t>
      </w:r>
      <w:r>
        <w:rPr>
          <w:i/>
        </w:rPr>
        <w:t xml:space="preserve"> and identify ways to improve.</w:t>
      </w:r>
    </w:p>
    <w:p w:rsidR="0092562F" w:rsidRDefault="0092562F" w:rsidP="0092562F">
      <w:pPr>
        <w:pStyle w:val="t"/>
        <w:numPr>
          <w:ilvl w:val="0"/>
          <w:numId w:val="2"/>
        </w:numPr>
        <w:ind w:left="0"/>
      </w:pPr>
      <w:r>
        <w:t>Avista</w:t>
      </w:r>
      <w:r w:rsidRPr="00F76C05">
        <w:t xml:space="preserve"> </w:t>
      </w:r>
      <w:r>
        <w:t>has identified the</w:t>
      </w:r>
      <w:r w:rsidRPr="00F76C05">
        <w:t xml:space="preserve"> following </w:t>
      </w:r>
      <w:r>
        <w:t>objectives</w:t>
      </w:r>
      <w:r w:rsidRPr="00F76C05">
        <w:t xml:space="preserve"> for the evaluation: </w:t>
      </w:r>
    </w:p>
    <w:p w:rsidR="0092562F" w:rsidRDefault="0092562F" w:rsidP="002B3B30">
      <w:pPr>
        <w:pStyle w:val="b"/>
        <w:numPr>
          <w:ilvl w:val="0"/>
          <w:numId w:val="3"/>
        </w:numPr>
      </w:pPr>
      <w:r>
        <w:t>Independently verify, measure and document energy savings impacts from Avista’s electric and natural gas energy efficiency programs, or for program categories representing consolidated small scale program offerings, by Avista in 2014 and 2015</w:t>
      </w:r>
    </w:p>
    <w:p w:rsidR="0092562F" w:rsidRDefault="0092562F" w:rsidP="002B3B30">
      <w:pPr>
        <w:pStyle w:val="b"/>
        <w:numPr>
          <w:ilvl w:val="0"/>
          <w:numId w:val="3"/>
        </w:numPr>
      </w:pPr>
      <w:r>
        <w:t>Analytically substantiate the measurement of those savings</w:t>
      </w:r>
    </w:p>
    <w:p w:rsidR="0092562F" w:rsidRDefault="0092562F" w:rsidP="002B3B30">
      <w:pPr>
        <w:pStyle w:val="b"/>
        <w:numPr>
          <w:ilvl w:val="0"/>
          <w:numId w:val="3"/>
        </w:numPr>
      </w:pPr>
      <w:r>
        <w:t>Calculate the cost effectiveness of the portfolio and component programs</w:t>
      </w:r>
    </w:p>
    <w:p w:rsidR="0092562F" w:rsidRDefault="0092562F" w:rsidP="002B3B30">
      <w:pPr>
        <w:pStyle w:val="b"/>
        <w:numPr>
          <w:ilvl w:val="0"/>
          <w:numId w:val="3"/>
        </w:numPr>
      </w:pPr>
      <w:r>
        <w:t xml:space="preserve">Identify program improvements, if any, and </w:t>
      </w:r>
    </w:p>
    <w:p w:rsidR="0092562F" w:rsidRPr="00F76C05" w:rsidRDefault="0092562F" w:rsidP="002B3B30">
      <w:pPr>
        <w:pStyle w:val="b"/>
        <w:numPr>
          <w:ilvl w:val="0"/>
          <w:numId w:val="3"/>
        </w:numPr>
      </w:pPr>
      <w:r>
        <w:t>Identify possible future programs.</w:t>
      </w:r>
    </w:p>
    <w:p w:rsidR="000B7884" w:rsidRPr="00B93260" w:rsidRDefault="000B7884" w:rsidP="00B93260">
      <w:pPr>
        <w:pStyle w:val="Heading2"/>
      </w:pPr>
      <w:bookmarkStart w:id="9" w:name="_Toc312832687"/>
      <w:bookmarkStart w:id="10" w:name="_Toc409095374"/>
      <w:r w:rsidRPr="00B93260">
        <w:t xml:space="preserve">Evaluation </w:t>
      </w:r>
      <w:bookmarkEnd w:id="9"/>
      <w:r w:rsidR="00870142" w:rsidRPr="00B93260">
        <w:t>Management</w:t>
      </w:r>
      <w:bookmarkEnd w:id="10"/>
      <w:r w:rsidR="00EE68BD">
        <w:t xml:space="preserve"> </w:t>
      </w:r>
    </w:p>
    <w:p w:rsidR="00526144" w:rsidRDefault="00526144" w:rsidP="00526144">
      <w:pPr>
        <w:pStyle w:val="t"/>
        <w:numPr>
          <w:ilvl w:val="0"/>
          <w:numId w:val="2"/>
        </w:numPr>
        <w:ind w:left="0"/>
      </w:pPr>
      <w:bookmarkStart w:id="11" w:name="_Toc404778256"/>
      <w:bookmarkStart w:id="12" w:name="_Toc312832689"/>
      <w:r>
        <w:t xml:space="preserve">The evaluation team has developed this general </w:t>
      </w:r>
      <w:r w:rsidR="000979C4">
        <w:t>work plan</w:t>
      </w:r>
      <w:r>
        <w:t xml:space="preserve"> to identify and outline the activities to evaluate the successes, weaknesses and market barriers for the implemented programs and assess veracity of the reported energy benefits and program cost-effectiveness.  However, because this plan has been developed in the middle of the program cycle, there are areas of uncertainty and unknown key parameters.  Consequently, this plan may only outline a general methodology or process until more certainty and specific data is available.  </w:t>
      </w:r>
    </w:p>
    <w:p w:rsidR="00526144" w:rsidRDefault="00526144" w:rsidP="00526144">
      <w:pPr>
        <w:pStyle w:val="t"/>
        <w:numPr>
          <w:ilvl w:val="0"/>
          <w:numId w:val="2"/>
        </w:numPr>
        <w:ind w:left="0"/>
      </w:pPr>
      <w:r>
        <w:t xml:space="preserve">Documentation of final sampling summaries, change </w:t>
      </w:r>
      <w:r w:rsidR="00444E93">
        <w:t xml:space="preserve">of </w:t>
      </w:r>
      <w:r>
        <w:t xml:space="preserve">management memorandums, and survey instruments will be provided to </w:t>
      </w:r>
      <w:r w:rsidR="009C06EA">
        <w:t>Avista</w:t>
      </w:r>
      <w:r>
        <w:t xml:space="preserve">.  In addition, quality control/assurance on-site verification activities are used to confirm measures are installed and performing as expected beyond the quality assurance activities that the program implementation team conducts.  EM&amp;V findings will be documented in the final evaluation report issued to </w:t>
      </w:r>
      <w:r w:rsidR="009C06EA">
        <w:t>Avista</w:t>
      </w:r>
      <w:r>
        <w:t xml:space="preserve">.  </w:t>
      </w:r>
    </w:p>
    <w:p w:rsidR="00526144" w:rsidRDefault="00526144" w:rsidP="00531D0A">
      <w:pPr>
        <w:pStyle w:val="Heading3"/>
      </w:pPr>
      <w:bookmarkStart w:id="13" w:name="_Toc409095375"/>
      <w:r w:rsidRPr="00B93260">
        <w:t>Project Management</w:t>
      </w:r>
      <w:bookmarkEnd w:id="11"/>
      <w:bookmarkEnd w:id="13"/>
    </w:p>
    <w:p w:rsidR="009C06EA" w:rsidRPr="00243015" w:rsidRDefault="009C06EA" w:rsidP="009C06EA">
      <w:pPr>
        <w:pStyle w:val="t"/>
        <w:numPr>
          <w:ilvl w:val="0"/>
          <w:numId w:val="2"/>
        </w:numPr>
        <w:ind w:left="0"/>
      </w:pPr>
      <w:r>
        <w:t xml:space="preserve">In order to </w:t>
      </w:r>
      <w:r w:rsidRPr="00243015">
        <w:t xml:space="preserve">ensure </w:t>
      </w:r>
      <w:r>
        <w:t xml:space="preserve">on-going </w:t>
      </w:r>
      <w:r w:rsidRPr="00243015">
        <w:t>quality control</w:t>
      </w:r>
      <w:r>
        <w:t>, the evaluation team will</w:t>
      </w:r>
      <w:r w:rsidRPr="00243015">
        <w:t xml:space="preserve"> adher</w:t>
      </w:r>
      <w:r>
        <w:t>e</w:t>
      </w:r>
      <w:r w:rsidRPr="00243015">
        <w:t xml:space="preserve"> to professional project management procedures based on planning, monitoring, and control, as well as </w:t>
      </w:r>
      <w:r>
        <w:t xml:space="preserve">consistent </w:t>
      </w:r>
      <w:r w:rsidRPr="00243015">
        <w:t xml:space="preserve">communication </w:t>
      </w:r>
      <w:r>
        <w:t>with</w:t>
      </w:r>
      <w:r w:rsidRPr="00243015">
        <w:t xml:space="preserve"> </w:t>
      </w:r>
      <w:r>
        <w:t xml:space="preserve">Avista. Project administration will be </w:t>
      </w:r>
      <w:r w:rsidRPr="00243015">
        <w:t>predicated on effective work planning, schedule and program controls, coordination of tasks, and internal reviews of work. This is accomplished in the following way:</w:t>
      </w:r>
    </w:p>
    <w:p w:rsidR="009C06EA" w:rsidRPr="00E64A7E" w:rsidRDefault="009C06EA" w:rsidP="002B3B30">
      <w:pPr>
        <w:pStyle w:val="b"/>
        <w:numPr>
          <w:ilvl w:val="0"/>
          <w:numId w:val="3"/>
        </w:numPr>
        <w:ind w:left="720"/>
      </w:pPr>
      <w:r w:rsidRPr="00E64A7E">
        <w:t xml:space="preserve">Closely adhering to the established processes and procedures as documented in </w:t>
      </w:r>
      <w:r>
        <w:t>project work plan</w:t>
      </w:r>
      <w:r w:rsidRPr="00E64A7E">
        <w:t>, administrative procedures and project schedules</w:t>
      </w:r>
      <w:r>
        <w:t>;</w:t>
      </w:r>
    </w:p>
    <w:p w:rsidR="009C06EA" w:rsidRPr="00E64A7E" w:rsidRDefault="009C06EA" w:rsidP="002B3B30">
      <w:pPr>
        <w:pStyle w:val="b"/>
        <w:numPr>
          <w:ilvl w:val="0"/>
          <w:numId w:val="3"/>
        </w:numPr>
        <w:ind w:left="720"/>
      </w:pPr>
      <w:r w:rsidRPr="00E64A7E">
        <w:t>Consistently communicating with the client and other project participants via oral and written channels</w:t>
      </w:r>
      <w:r>
        <w:t>;</w:t>
      </w:r>
    </w:p>
    <w:p w:rsidR="009C06EA" w:rsidRPr="00E64A7E" w:rsidRDefault="009C06EA" w:rsidP="002B3B30">
      <w:pPr>
        <w:pStyle w:val="b"/>
        <w:numPr>
          <w:ilvl w:val="0"/>
          <w:numId w:val="3"/>
        </w:numPr>
        <w:ind w:left="720"/>
      </w:pPr>
      <w:r w:rsidRPr="00E64A7E">
        <w:lastRenderedPageBreak/>
        <w:t>Prioritizing and scheduling projects/tasks to best suit the needs of the client and other stakeholders</w:t>
      </w:r>
      <w:r>
        <w:t>; and</w:t>
      </w:r>
    </w:p>
    <w:p w:rsidR="009C06EA" w:rsidRDefault="009C06EA" w:rsidP="002B3B30">
      <w:pPr>
        <w:pStyle w:val="b"/>
        <w:numPr>
          <w:ilvl w:val="0"/>
          <w:numId w:val="3"/>
        </w:numPr>
        <w:ind w:left="720"/>
      </w:pPr>
      <w:r w:rsidRPr="00E64A7E">
        <w:t>Provid</w:t>
      </w:r>
      <w:r>
        <w:t>ing</w:t>
      </w:r>
      <w:r w:rsidRPr="00E64A7E">
        <w:t xml:space="preserve"> internal reviews of work prior to </w:t>
      </w:r>
      <w:r>
        <w:t xml:space="preserve">interface with customers or </w:t>
      </w:r>
      <w:r w:rsidRPr="00E64A7E">
        <w:t>submission to agency clients.</w:t>
      </w:r>
    </w:p>
    <w:p w:rsidR="00575D66" w:rsidRDefault="00575D66" w:rsidP="00575D66">
      <w:pPr>
        <w:pStyle w:val="t"/>
      </w:pPr>
      <w:r>
        <w:t>T</w:t>
      </w:r>
      <w:r w:rsidRPr="00586AA6">
        <w:t xml:space="preserve">he </w:t>
      </w:r>
      <w:r>
        <w:t>evaluation team</w:t>
      </w:r>
      <w:r w:rsidRPr="00586AA6">
        <w:t xml:space="preserve"> </w:t>
      </w:r>
      <w:r>
        <w:t>will</w:t>
      </w:r>
      <w:r w:rsidRPr="00586AA6">
        <w:t xml:space="preserve"> provide regular progress reporting to </w:t>
      </w:r>
      <w:r>
        <w:t>the Avista evaluation team</w:t>
      </w:r>
      <w:r w:rsidRPr="00586AA6">
        <w:t xml:space="preserve"> in relation to the status and preliminary findings of the</w:t>
      </w:r>
      <w:r>
        <w:t xml:space="preserve"> process and impact</w:t>
      </w:r>
      <w:r w:rsidRPr="00586AA6">
        <w:t xml:space="preserve"> evaluation </w:t>
      </w:r>
      <w:r>
        <w:t>project.</w:t>
      </w:r>
      <w:bookmarkEnd w:id="12"/>
    </w:p>
    <w:p w:rsidR="00575D66" w:rsidRDefault="00575D66" w:rsidP="00575D66">
      <w:pPr>
        <w:pStyle w:val="Heading2"/>
        <w:keepNext w:val="0"/>
      </w:pPr>
      <w:bookmarkStart w:id="14" w:name="_Toc409095376"/>
      <w:r>
        <w:t>Summary of Program Evaluation Activities</w:t>
      </w:r>
      <w:bookmarkEnd w:id="14"/>
    </w:p>
    <w:p w:rsidR="002F7A7F" w:rsidRDefault="00E810F2" w:rsidP="00575D66">
      <w:pPr>
        <w:pStyle w:val="t"/>
        <w:numPr>
          <w:ilvl w:val="0"/>
          <w:numId w:val="2"/>
        </w:numPr>
        <w:ind w:left="0"/>
      </w:pPr>
      <w:r>
        <w:fldChar w:fldCharType="begin"/>
      </w:r>
      <w:r>
        <w:instrText xml:space="preserve"> REF _Ref291744848 \h </w:instrText>
      </w:r>
      <w:r>
        <w:fldChar w:fldCharType="separate"/>
      </w:r>
      <w:r w:rsidR="00EC7F77" w:rsidRPr="001176BE">
        <w:t xml:space="preserve">Table </w:t>
      </w:r>
      <w:r w:rsidR="00EC7F77">
        <w:rPr>
          <w:noProof/>
        </w:rPr>
        <w:t>1</w:t>
      </w:r>
      <w:r w:rsidR="00EC7F77">
        <w:noBreakHyphen/>
      </w:r>
      <w:r w:rsidR="00EC7F77">
        <w:rPr>
          <w:noProof/>
        </w:rPr>
        <w:t>1</w:t>
      </w:r>
      <w:r>
        <w:fldChar w:fldCharType="end"/>
      </w:r>
      <w:r>
        <w:t xml:space="preserve"> summarizes </w:t>
      </w:r>
      <w:r w:rsidR="002F7A7F">
        <w:t xml:space="preserve">the major survey, interview, measurement and verification (M&amp;V), and analysis activities for </w:t>
      </w:r>
      <w:r w:rsidR="009C06EA">
        <w:t>the</w:t>
      </w:r>
      <w:r w:rsidR="002F7A7F">
        <w:t xml:space="preserve"> process and impact evaluation of </w:t>
      </w:r>
      <w:r w:rsidR="00EE22D8">
        <w:t>Avista</w:t>
      </w:r>
      <w:r w:rsidR="002F7A7F">
        <w:t>’s programs.  Quantities identified are targets and could be modified by actual program participation and market actor quantities.</w:t>
      </w:r>
    </w:p>
    <w:p w:rsidR="002F7A7F" w:rsidRPr="001176BE" w:rsidRDefault="002F7A7F" w:rsidP="00575D66">
      <w:pPr>
        <w:pStyle w:val="Caption"/>
        <w:keepNext w:val="0"/>
        <w:rPr>
          <w:sz w:val="22"/>
          <w:szCs w:val="22"/>
        </w:rPr>
      </w:pPr>
      <w:bookmarkStart w:id="15" w:name="_Ref291744848"/>
      <w:r w:rsidRPr="001176BE">
        <w:rPr>
          <w:sz w:val="22"/>
          <w:szCs w:val="22"/>
        </w:rPr>
        <w:t xml:space="preserve">Table </w:t>
      </w:r>
      <w:r w:rsidR="0067743A">
        <w:rPr>
          <w:sz w:val="22"/>
          <w:szCs w:val="22"/>
        </w:rPr>
        <w:fldChar w:fldCharType="begin"/>
      </w:r>
      <w:r w:rsidR="0067743A">
        <w:rPr>
          <w:sz w:val="22"/>
          <w:szCs w:val="22"/>
        </w:rPr>
        <w:instrText xml:space="preserve"> STYLEREF 1 \s </w:instrText>
      </w:r>
      <w:r w:rsidR="0067743A">
        <w:rPr>
          <w:sz w:val="22"/>
          <w:szCs w:val="22"/>
        </w:rPr>
        <w:fldChar w:fldCharType="separate"/>
      </w:r>
      <w:r w:rsidR="0067743A">
        <w:rPr>
          <w:noProof/>
          <w:sz w:val="22"/>
          <w:szCs w:val="22"/>
        </w:rPr>
        <w:t>1</w:t>
      </w:r>
      <w:r w:rsidR="0067743A">
        <w:rPr>
          <w:sz w:val="22"/>
          <w:szCs w:val="22"/>
        </w:rPr>
        <w:fldChar w:fldCharType="end"/>
      </w:r>
      <w:r w:rsidR="0067743A">
        <w:rPr>
          <w:sz w:val="22"/>
          <w:szCs w:val="22"/>
        </w:rPr>
        <w:noBreakHyphen/>
      </w:r>
      <w:r w:rsidR="0067743A">
        <w:rPr>
          <w:sz w:val="22"/>
          <w:szCs w:val="22"/>
        </w:rPr>
        <w:fldChar w:fldCharType="begin"/>
      </w:r>
      <w:r w:rsidR="0067743A">
        <w:rPr>
          <w:sz w:val="22"/>
          <w:szCs w:val="22"/>
        </w:rPr>
        <w:instrText xml:space="preserve"> SEQ Table \* ARABIC \s 1 </w:instrText>
      </w:r>
      <w:r w:rsidR="0067743A">
        <w:rPr>
          <w:sz w:val="22"/>
          <w:szCs w:val="22"/>
        </w:rPr>
        <w:fldChar w:fldCharType="separate"/>
      </w:r>
      <w:r w:rsidR="0067743A">
        <w:rPr>
          <w:noProof/>
          <w:sz w:val="22"/>
          <w:szCs w:val="22"/>
        </w:rPr>
        <w:t>1</w:t>
      </w:r>
      <w:r w:rsidR="0067743A">
        <w:rPr>
          <w:sz w:val="22"/>
          <w:szCs w:val="22"/>
        </w:rPr>
        <w:fldChar w:fldCharType="end"/>
      </w:r>
      <w:bookmarkEnd w:id="15"/>
      <w:r w:rsidRPr="001176BE">
        <w:rPr>
          <w:sz w:val="22"/>
          <w:szCs w:val="22"/>
        </w:rPr>
        <w:t xml:space="preserve">: Summary of Program Evaluation </w:t>
      </w:r>
      <w:r w:rsidR="00522C97">
        <w:rPr>
          <w:sz w:val="22"/>
          <w:szCs w:val="22"/>
        </w:rPr>
        <w:t xml:space="preserve">Activities </w:t>
      </w:r>
    </w:p>
    <w:tbl>
      <w:tblPr>
        <w:tblStyle w:val="TableGrid8"/>
        <w:tblW w:w="7461" w:type="dxa"/>
        <w:jc w:val="center"/>
        <w:tblLook w:val="02A0" w:firstRow="1" w:lastRow="0" w:firstColumn="1" w:lastColumn="0" w:noHBand="1" w:noVBand="0"/>
      </w:tblPr>
      <w:tblGrid>
        <w:gridCol w:w="4039"/>
        <w:gridCol w:w="1018"/>
        <w:gridCol w:w="1028"/>
        <w:gridCol w:w="1376"/>
      </w:tblGrid>
      <w:tr w:rsidR="00D24F8B" w:rsidRPr="007317DA" w:rsidTr="00EC7F77">
        <w:trPr>
          <w:cnfStyle w:val="100000000000" w:firstRow="1" w:lastRow="0" w:firstColumn="0" w:lastColumn="0" w:oddVBand="0" w:evenVBand="0" w:oddHBand="0" w:evenHBand="0" w:firstRowFirstColumn="0" w:firstRowLastColumn="0" w:lastRowFirstColumn="0" w:lastRowLastColumn="0"/>
          <w:trHeight w:val="432"/>
          <w:tblHeader/>
          <w:jc w:val="center"/>
        </w:trPr>
        <w:tc>
          <w:tcPr>
            <w:tcW w:w="4039" w:type="dxa"/>
            <w:tcBorders>
              <w:left w:val="nil"/>
            </w:tcBorders>
            <w:vAlign w:val="center"/>
          </w:tcPr>
          <w:p w:rsidR="00D24F8B" w:rsidRPr="007317DA" w:rsidRDefault="00D24F8B" w:rsidP="00575D66">
            <w:pPr>
              <w:pStyle w:val="t"/>
              <w:keepNext w:val="0"/>
              <w:numPr>
                <w:ilvl w:val="0"/>
                <w:numId w:val="2"/>
              </w:numPr>
              <w:spacing w:before="40" w:after="40" w:line="240" w:lineRule="auto"/>
              <w:ind w:left="0"/>
              <w:rPr>
                <w:b w:val="0"/>
                <w:bCs w:val="0"/>
                <w:sz w:val="20"/>
              </w:rPr>
            </w:pPr>
            <w:r w:rsidRPr="007317DA">
              <w:rPr>
                <w:sz w:val="20"/>
                <w:szCs w:val="20"/>
              </w:rPr>
              <w:t xml:space="preserve">Evaluation </w:t>
            </w:r>
            <w:r w:rsidR="00575D66">
              <w:rPr>
                <w:sz w:val="20"/>
                <w:szCs w:val="20"/>
              </w:rPr>
              <w:t>Audience/Program</w:t>
            </w:r>
          </w:p>
        </w:tc>
        <w:tc>
          <w:tcPr>
            <w:tcW w:w="1018" w:type="dxa"/>
            <w:vAlign w:val="center"/>
          </w:tcPr>
          <w:p w:rsidR="00D24F8B" w:rsidRPr="007317DA" w:rsidRDefault="00D24F8B" w:rsidP="00575D66">
            <w:pPr>
              <w:pStyle w:val="t"/>
              <w:keepNext w:val="0"/>
              <w:numPr>
                <w:ilvl w:val="0"/>
                <w:numId w:val="2"/>
              </w:numPr>
              <w:spacing w:before="40" w:after="40" w:line="240" w:lineRule="auto"/>
              <w:ind w:left="0"/>
              <w:jc w:val="center"/>
              <w:rPr>
                <w:b w:val="0"/>
                <w:bCs w:val="0"/>
                <w:sz w:val="20"/>
              </w:rPr>
            </w:pPr>
            <w:r w:rsidRPr="007317DA">
              <w:rPr>
                <w:sz w:val="20"/>
                <w:szCs w:val="20"/>
              </w:rPr>
              <w:t>Impact</w:t>
            </w:r>
          </w:p>
        </w:tc>
        <w:tc>
          <w:tcPr>
            <w:tcW w:w="1028" w:type="dxa"/>
            <w:vAlign w:val="center"/>
          </w:tcPr>
          <w:p w:rsidR="00D24F8B" w:rsidRPr="007317DA" w:rsidRDefault="00D24F8B" w:rsidP="00575D66">
            <w:pPr>
              <w:pStyle w:val="t"/>
              <w:keepNext w:val="0"/>
              <w:numPr>
                <w:ilvl w:val="0"/>
                <w:numId w:val="2"/>
              </w:numPr>
              <w:spacing w:before="40" w:after="40" w:line="240" w:lineRule="auto"/>
              <w:ind w:left="0"/>
              <w:jc w:val="center"/>
              <w:rPr>
                <w:b w:val="0"/>
                <w:bCs w:val="0"/>
                <w:sz w:val="20"/>
              </w:rPr>
            </w:pPr>
            <w:r w:rsidRPr="007317DA">
              <w:rPr>
                <w:sz w:val="20"/>
                <w:szCs w:val="20"/>
              </w:rPr>
              <w:t>Process</w:t>
            </w:r>
          </w:p>
        </w:tc>
        <w:tc>
          <w:tcPr>
            <w:tcW w:w="1376" w:type="dxa"/>
            <w:tcBorders>
              <w:right w:val="nil"/>
            </w:tcBorders>
            <w:vAlign w:val="center"/>
          </w:tcPr>
          <w:p w:rsidR="00D24F8B" w:rsidRPr="007317DA" w:rsidRDefault="002C1B7D" w:rsidP="00575D66">
            <w:pPr>
              <w:pStyle w:val="t"/>
              <w:keepNext w:val="0"/>
              <w:numPr>
                <w:ilvl w:val="0"/>
                <w:numId w:val="2"/>
              </w:numPr>
              <w:spacing w:before="40" w:after="40" w:line="240" w:lineRule="auto"/>
              <w:ind w:left="0"/>
              <w:jc w:val="center"/>
              <w:rPr>
                <w:sz w:val="20"/>
                <w:szCs w:val="20"/>
              </w:rPr>
            </w:pPr>
            <w:r>
              <w:rPr>
                <w:sz w:val="20"/>
                <w:szCs w:val="20"/>
              </w:rPr>
              <w:t xml:space="preserve">Survey </w:t>
            </w:r>
            <w:r w:rsidR="00D24F8B">
              <w:rPr>
                <w:sz w:val="20"/>
                <w:szCs w:val="20"/>
              </w:rPr>
              <w:t>Quantity</w:t>
            </w:r>
          </w:p>
        </w:tc>
      </w:tr>
      <w:tr w:rsidR="00D24F8B" w:rsidRPr="007317DA" w:rsidTr="00EC7F77">
        <w:trPr>
          <w:trHeight w:val="174"/>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 xml:space="preserve">Residential </w:t>
            </w:r>
            <w:r>
              <w:rPr>
                <w:b/>
                <w:sz w:val="20"/>
                <w:szCs w:val="20"/>
              </w:rPr>
              <w:t>– Washington/Idaho Electric Portfolio</w:t>
            </w:r>
          </w:p>
        </w:tc>
      </w:tr>
      <w:tr w:rsidR="00D24F8B" w:rsidRPr="007317DA" w:rsidTr="00EC7F77">
        <w:trPr>
          <w:trHeight w:val="174"/>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~23</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Appliance Recycling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70</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Water Heater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BC76D0">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ENERGY STAR Homes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HVAC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67</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Shell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Fuel Efficiency</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Opower</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2C1B7D" w:rsidP="00575D66">
            <w:pPr>
              <w:pStyle w:val="t"/>
              <w:keepNext w:val="0"/>
              <w:numPr>
                <w:ilvl w:val="0"/>
                <w:numId w:val="2"/>
              </w:numPr>
              <w:spacing w:before="40" w:after="40" w:line="240" w:lineRule="auto"/>
              <w:ind w:left="0"/>
              <w:jc w:val="center"/>
              <w:rPr>
                <w:b/>
                <w:sz w:val="20"/>
                <w:szCs w:val="20"/>
              </w:rPr>
            </w:pPr>
            <w:r>
              <w:rPr>
                <w:b/>
                <w:sz w:val="20"/>
                <w:szCs w:val="20"/>
              </w:rPr>
              <w:t>N/A</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Low Income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 xml:space="preserve">Residential </w:t>
            </w:r>
            <w:r>
              <w:rPr>
                <w:b/>
                <w:sz w:val="20"/>
                <w:szCs w:val="20"/>
              </w:rPr>
              <w:t>– Washington Natural Gas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~22</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Water Heat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ENERGY STAR Homes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0501C1">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13</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0"/>
              </w:numPr>
              <w:spacing w:before="40" w:after="40" w:line="240" w:lineRule="auto"/>
              <w:rPr>
                <w:sz w:val="20"/>
                <w:szCs w:val="20"/>
              </w:rPr>
            </w:pPr>
            <w:r>
              <w:rPr>
                <w:sz w:val="20"/>
                <w:szCs w:val="20"/>
              </w:rPr>
              <w:t>HVAC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0501C1">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Shell Program</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Low Income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Residential - General</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Nonparticipants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34</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w:t>
            </w:r>
            <w:r w:rsidRPr="007317DA">
              <w:rPr>
                <w:b/>
                <w:sz w:val="20"/>
                <w:szCs w:val="20"/>
              </w:rPr>
              <w:t xml:space="preserve"> </w:t>
            </w:r>
            <w:r>
              <w:rPr>
                <w:b/>
                <w:sz w:val="20"/>
                <w:szCs w:val="20"/>
              </w:rPr>
              <w:t>– Washington/Idaho Electric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Pr="00655EF7" w:rsidRDefault="00D24F8B" w:rsidP="00575D66">
            <w:pPr>
              <w:pStyle w:val="t"/>
              <w:keepNext w:val="0"/>
              <w:numPr>
                <w:ilvl w:val="0"/>
                <w:numId w:val="2"/>
              </w:numPr>
              <w:spacing w:before="40" w:after="40" w:line="240" w:lineRule="auto"/>
              <w:ind w:left="0"/>
              <w:rPr>
                <w:sz w:val="20"/>
                <w:szCs w:val="20"/>
                <w:highlight w:val="yellow"/>
              </w:rPr>
            </w:pPr>
            <w:r>
              <w:rPr>
                <w:sz w:val="20"/>
                <w:szCs w:val="20"/>
              </w:rPr>
              <w:lastRenderedPageBreak/>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Buy-down Retailers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30-50</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Non-lighting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0"/>
              </w:numPr>
              <w:spacing w:before="40" w:after="40" w:line="240" w:lineRule="auto"/>
              <w:rPr>
                <w:sz w:val="20"/>
                <w:szCs w:val="20"/>
              </w:rPr>
            </w:pPr>
            <w:r>
              <w:rPr>
                <w:sz w:val="20"/>
                <w:szCs w:val="20"/>
              </w:rPr>
              <w:t>Prescriptive Lighting</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68</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0"/>
              </w:numPr>
              <w:spacing w:before="40" w:after="40" w:line="240" w:lineRule="auto"/>
              <w:rPr>
                <w:sz w:val="20"/>
                <w:szCs w:val="20"/>
              </w:rPr>
            </w:pPr>
            <w:r>
              <w:rPr>
                <w:sz w:val="20"/>
                <w:szCs w:val="20"/>
              </w:rPr>
              <w:t>Site Specific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F21AF8">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84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0"/>
              </w:numPr>
              <w:spacing w:before="40" w:after="40" w:line="240" w:lineRule="auto"/>
              <w:rPr>
                <w:sz w:val="20"/>
                <w:szCs w:val="20"/>
              </w:rPr>
            </w:pPr>
            <w:r>
              <w:rPr>
                <w:sz w:val="20"/>
                <w:szCs w:val="20"/>
              </w:rPr>
              <w:t>Cascade Energy Pilot</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F21AF8">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7461" w:type="dxa"/>
            <w:gridSpan w:val="4"/>
            <w:tcBorders>
              <w:left w:val="nil"/>
              <w:bottom w:val="single" w:sz="6" w:space="0" w:color="1F497D"/>
              <w:right w:val="nil"/>
            </w:tcBorders>
            <w:shd w:val="clear" w:color="auto" w:fill="D9D9D9" w:themeFill="background1" w:themeFillShade="D9"/>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w:t>
            </w:r>
            <w:r w:rsidRPr="007317DA">
              <w:rPr>
                <w:b/>
                <w:sz w:val="20"/>
                <w:szCs w:val="20"/>
              </w:rPr>
              <w:t xml:space="preserve"> </w:t>
            </w:r>
            <w:r>
              <w:rPr>
                <w:b/>
                <w:sz w:val="20"/>
                <w:szCs w:val="20"/>
              </w:rPr>
              <w:t>– Washington Natural Gas Portfolio</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sidRPr="007317DA">
              <w:rPr>
                <w:sz w:val="20"/>
                <w:szCs w:val="20"/>
              </w:rPr>
              <w:t>Program &amp; Implementation Staff Interviews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~5</w:t>
            </w:r>
          </w:p>
        </w:tc>
      </w:tr>
      <w:tr w:rsidR="00D24F8B" w:rsidRPr="007317DA" w:rsidTr="00EC7F77">
        <w:trPr>
          <w:trHeight w:val="255"/>
          <w:jc w:val="center"/>
        </w:trPr>
        <w:tc>
          <w:tcPr>
            <w:tcW w:w="4039" w:type="dxa"/>
            <w:tcBorders>
              <w:left w:val="nil"/>
            </w:tcBorders>
          </w:tcPr>
          <w:p w:rsidR="00D24F8B" w:rsidRPr="00655EF7" w:rsidRDefault="00D24F8B" w:rsidP="00575D66">
            <w:pPr>
              <w:pStyle w:val="t"/>
              <w:keepNext w:val="0"/>
              <w:numPr>
                <w:ilvl w:val="0"/>
                <w:numId w:val="2"/>
              </w:numPr>
              <w:spacing w:before="40" w:after="40" w:line="240" w:lineRule="auto"/>
              <w:ind w:left="0"/>
              <w:rPr>
                <w:sz w:val="20"/>
                <w:szCs w:val="20"/>
                <w:highlight w:val="yellow"/>
              </w:rPr>
            </w:pPr>
            <w:r>
              <w:rPr>
                <w:sz w:val="20"/>
                <w:szCs w:val="20"/>
              </w:rPr>
              <w:t>Participating Installers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~15</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(Appliance)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Prescriptive (Shell)</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HVAC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24</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Food Service</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11</w:t>
            </w:r>
          </w:p>
        </w:tc>
      </w:tr>
      <w:tr w:rsidR="00D24F8B" w:rsidRPr="007317DA" w:rsidTr="00EC7F77">
        <w:trPr>
          <w:trHeight w:val="255"/>
          <w:jc w:val="center"/>
        </w:trPr>
        <w:tc>
          <w:tcPr>
            <w:tcW w:w="4039" w:type="dxa"/>
            <w:tcBorders>
              <w:left w:val="nil"/>
            </w:tcBorders>
          </w:tcPr>
          <w:p w:rsidR="00D24F8B" w:rsidRDefault="00D24F8B" w:rsidP="00575D66">
            <w:pPr>
              <w:pStyle w:val="t"/>
              <w:keepNext w:val="0"/>
              <w:numPr>
                <w:ilvl w:val="0"/>
                <w:numId w:val="2"/>
              </w:numPr>
              <w:spacing w:before="40" w:after="40" w:line="240" w:lineRule="auto"/>
              <w:ind w:left="0"/>
              <w:rPr>
                <w:sz w:val="20"/>
                <w:szCs w:val="20"/>
              </w:rPr>
            </w:pPr>
            <w:r>
              <w:rPr>
                <w:sz w:val="20"/>
                <w:szCs w:val="20"/>
              </w:rPr>
              <w:t>Site Specific</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02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r w:rsidRPr="007317DA">
              <w:rPr>
                <w:b/>
                <w:sz w:val="20"/>
                <w:szCs w:val="20"/>
              </w:rPr>
              <w:t>√</w:t>
            </w:r>
          </w:p>
        </w:tc>
        <w:tc>
          <w:tcPr>
            <w:tcW w:w="1376" w:type="dxa"/>
            <w:tcBorders>
              <w:right w:val="nil"/>
            </w:tcBorders>
          </w:tcPr>
          <w:p w:rsidR="00D24F8B" w:rsidRPr="007317DA" w:rsidRDefault="00D24F8B" w:rsidP="00575D66">
            <w:pPr>
              <w:pStyle w:val="t"/>
              <w:keepNext w:val="0"/>
              <w:numPr>
                <w:ilvl w:val="0"/>
                <w:numId w:val="2"/>
              </w:numPr>
              <w:spacing w:before="40" w:after="40" w:line="240" w:lineRule="auto"/>
              <w:ind w:left="0"/>
              <w:jc w:val="center"/>
              <w:rPr>
                <w:b/>
                <w:sz w:val="20"/>
                <w:szCs w:val="20"/>
              </w:rPr>
            </w:pPr>
            <w:r>
              <w:rPr>
                <w:b/>
                <w:sz w:val="20"/>
                <w:szCs w:val="20"/>
              </w:rPr>
              <w:t>43</w:t>
            </w:r>
          </w:p>
        </w:tc>
      </w:tr>
      <w:tr w:rsidR="00D24F8B" w:rsidRPr="007317DA" w:rsidTr="00EC7F77">
        <w:trPr>
          <w:trHeight w:val="255"/>
          <w:jc w:val="center"/>
        </w:trPr>
        <w:tc>
          <w:tcPr>
            <w:tcW w:w="7461" w:type="dxa"/>
            <w:gridSpan w:val="4"/>
            <w:tcBorders>
              <w:left w:val="nil"/>
              <w:right w:val="nil"/>
            </w:tcBorders>
            <w:shd w:val="clear" w:color="auto" w:fill="D9D9D9" w:themeFill="background1" w:themeFillShade="D9"/>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Nonresidential - General</w:t>
            </w:r>
          </w:p>
        </w:tc>
      </w:tr>
      <w:tr w:rsidR="00D24F8B" w:rsidRPr="007317DA" w:rsidTr="00EC7F77">
        <w:trPr>
          <w:trHeight w:val="255"/>
          <w:jc w:val="center"/>
        </w:trPr>
        <w:tc>
          <w:tcPr>
            <w:tcW w:w="4039" w:type="dxa"/>
            <w:tcBorders>
              <w:left w:val="nil"/>
            </w:tcBorders>
          </w:tcPr>
          <w:p w:rsidR="00D24F8B" w:rsidRPr="007317DA" w:rsidRDefault="00D24F8B" w:rsidP="00575D66">
            <w:pPr>
              <w:pStyle w:val="t"/>
              <w:keepNext w:val="0"/>
              <w:numPr>
                <w:ilvl w:val="0"/>
                <w:numId w:val="2"/>
              </w:numPr>
              <w:spacing w:before="40" w:after="40" w:line="240" w:lineRule="auto"/>
              <w:ind w:left="0"/>
              <w:rPr>
                <w:sz w:val="20"/>
                <w:szCs w:val="20"/>
              </w:rPr>
            </w:pPr>
            <w:r>
              <w:rPr>
                <w:sz w:val="20"/>
                <w:szCs w:val="20"/>
              </w:rPr>
              <w:t>Nonparticipants</w:t>
            </w:r>
          </w:p>
        </w:tc>
        <w:tc>
          <w:tcPr>
            <w:tcW w:w="1018" w:type="dxa"/>
          </w:tcPr>
          <w:p w:rsidR="00D24F8B" w:rsidRPr="007317DA" w:rsidRDefault="00D24F8B" w:rsidP="00575D66">
            <w:pPr>
              <w:pStyle w:val="t"/>
              <w:keepNext w:val="0"/>
              <w:numPr>
                <w:ilvl w:val="0"/>
                <w:numId w:val="2"/>
              </w:numPr>
              <w:spacing w:before="40" w:after="40" w:line="240" w:lineRule="auto"/>
              <w:ind w:left="0"/>
              <w:jc w:val="center"/>
              <w:rPr>
                <w:sz w:val="20"/>
                <w:szCs w:val="20"/>
              </w:rPr>
            </w:pPr>
          </w:p>
        </w:tc>
        <w:tc>
          <w:tcPr>
            <w:tcW w:w="1028" w:type="dxa"/>
          </w:tcPr>
          <w:p w:rsidR="00D24F8B" w:rsidRPr="007317DA" w:rsidRDefault="00D24F8B" w:rsidP="00575D66">
            <w:pPr>
              <w:pStyle w:val="t"/>
              <w:keepNext w:val="0"/>
              <w:numPr>
                <w:ilvl w:val="0"/>
                <w:numId w:val="2"/>
              </w:numPr>
              <w:spacing w:before="40" w:after="40" w:line="240" w:lineRule="auto"/>
              <w:ind w:left="0"/>
              <w:jc w:val="center"/>
              <w:rPr>
                <w:b/>
                <w:sz w:val="20"/>
                <w:szCs w:val="20"/>
              </w:rPr>
            </w:pPr>
            <w:r w:rsidRPr="007317DA">
              <w:rPr>
                <w:b/>
                <w:sz w:val="20"/>
                <w:szCs w:val="20"/>
              </w:rPr>
              <w:t>√</w:t>
            </w:r>
          </w:p>
        </w:tc>
        <w:tc>
          <w:tcPr>
            <w:tcW w:w="1376" w:type="dxa"/>
            <w:tcBorders>
              <w:right w:val="nil"/>
            </w:tcBorders>
          </w:tcPr>
          <w:p w:rsidR="00D24F8B" w:rsidRDefault="00D24F8B" w:rsidP="00575D66">
            <w:pPr>
              <w:pStyle w:val="t"/>
              <w:keepNext w:val="0"/>
              <w:numPr>
                <w:ilvl w:val="0"/>
                <w:numId w:val="2"/>
              </w:numPr>
              <w:spacing w:before="40" w:after="40" w:line="240" w:lineRule="auto"/>
              <w:ind w:left="0"/>
              <w:jc w:val="center"/>
              <w:rPr>
                <w:b/>
                <w:sz w:val="20"/>
                <w:szCs w:val="20"/>
              </w:rPr>
            </w:pPr>
            <w:r>
              <w:rPr>
                <w:b/>
                <w:sz w:val="20"/>
                <w:szCs w:val="20"/>
              </w:rPr>
              <w:t>34</w:t>
            </w:r>
          </w:p>
        </w:tc>
      </w:tr>
    </w:tbl>
    <w:p w:rsidR="002F7A7F" w:rsidRDefault="002F7A7F" w:rsidP="002F7A7F">
      <w:pPr>
        <w:pStyle w:val="t"/>
        <w:numPr>
          <w:ilvl w:val="0"/>
          <w:numId w:val="0"/>
        </w:numPr>
      </w:pPr>
    </w:p>
    <w:p w:rsidR="002F7A7F" w:rsidRDefault="002F7A7F" w:rsidP="002F7A7F">
      <w:pPr>
        <w:pStyle w:val="t"/>
        <w:numPr>
          <w:ilvl w:val="0"/>
          <w:numId w:val="0"/>
        </w:numPr>
      </w:pPr>
      <w:r>
        <w:t xml:space="preserve">The process and impact evaluation activities will be choreographed in a manner to maximize project efficiency and minimize customer fatigue caused by multiple interactions with </w:t>
      </w:r>
      <w:r w:rsidRPr="00070451">
        <w:t xml:space="preserve">the </w:t>
      </w:r>
      <w:r>
        <w:t xml:space="preserve">evaluation team and other </w:t>
      </w:r>
      <w:r w:rsidR="00DA5A06">
        <w:t>Avista</w:t>
      </w:r>
      <w:r>
        <w:t xml:space="preserve"> surveys of customers</w:t>
      </w:r>
      <w:r w:rsidRPr="00070451">
        <w:t>.</w:t>
      </w:r>
      <w:r>
        <w:t xml:space="preserve">  </w:t>
      </w:r>
      <w:r w:rsidR="00303D8B" w:rsidRPr="00BC76D0">
        <w:t>Our approach will provide continuous feedback throughout the evaluation cycle via a quarterly cohort sample frame</w:t>
      </w:r>
      <w:r w:rsidR="00444E93">
        <w:t>,</w:t>
      </w:r>
      <w:r w:rsidR="00303D8B" w:rsidRPr="00BC76D0">
        <w:t xml:space="preserve"> which provides faster, more accurate feedback with participants being interviewed closer to the time of their program participation.</w:t>
      </w:r>
    </w:p>
    <w:p w:rsidR="004F3E16" w:rsidRDefault="00C25DFC" w:rsidP="004F3E16">
      <w:pPr>
        <w:pStyle w:val="t"/>
        <w:numPr>
          <w:ilvl w:val="0"/>
          <w:numId w:val="2"/>
        </w:numPr>
        <w:spacing w:after="120"/>
        <w:ind w:left="0"/>
      </w:pPr>
      <w:r>
        <w:rPr>
          <w:highlight w:val="yellow"/>
        </w:rPr>
        <w:fldChar w:fldCharType="begin"/>
      </w:r>
      <w:r>
        <w:rPr>
          <w:highlight w:val="yellow"/>
        </w:rPr>
        <w:instrText xml:space="preserve"> REF _Ref406487100 \h </w:instrText>
      </w:r>
      <w:r>
        <w:rPr>
          <w:highlight w:val="yellow"/>
        </w:rPr>
      </w:r>
      <w:r>
        <w:rPr>
          <w:highlight w:val="yellow"/>
        </w:rPr>
        <w:fldChar w:fldCharType="separate"/>
      </w:r>
      <w:r>
        <w:t xml:space="preserve">Table </w:t>
      </w:r>
      <w:r>
        <w:rPr>
          <w:noProof/>
        </w:rPr>
        <w:t>1</w:t>
      </w:r>
      <w:r>
        <w:noBreakHyphen/>
      </w:r>
      <w:r>
        <w:rPr>
          <w:noProof/>
        </w:rPr>
        <w:t>2</w:t>
      </w:r>
      <w:r>
        <w:rPr>
          <w:highlight w:val="yellow"/>
        </w:rPr>
        <w:fldChar w:fldCharType="end"/>
      </w:r>
      <w:r w:rsidRPr="00C25DFC">
        <w:t xml:space="preserve"> </w:t>
      </w:r>
      <w:r w:rsidR="004F3E16" w:rsidRPr="00C25DFC">
        <w:t>and</w:t>
      </w:r>
      <w:r w:rsidR="00BC76D0" w:rsidRPr="00C25DFC">
        <w:t xml:space="preserve"> </w:t>
      </w:r>
      <w:r>
        <w:rPr>
          <w:highlight w:val="yellow"/>
        </w:rPr>
        <w:fldChar w:fldCharType="begin"/>
      </w:r>
      <w:r>
        <w:rPr>
          <w:highlight w:val="yellow"/>
        </w:rPr>
        <w:instrText xml:space="preserve"> REF _Ref406487110 \h </w:instrText>
      </w:r>
      <w:r>
        <w:rPr>
          <w:highlight w:val="yellow"/>
        </w:rPr>
      </w:r>
      <w:r>
        <w:rPr>
          <w:highlight w:val="yellow"/>
        </w:rPr>
        <w:fldChar w:fldCharType="separate"/>
      </w:r>
      <w:r>
        <w:t xml:space="preserve">Table </w:t>
      </w:r>
      <w:r>
        <w:rPr>
          <w:noProof/>
        </w:rPr>
        <w:t>1</w:t>
      </w:r>
      <w:r>
        <w:noBreakHyphen/>
      </w:r>
      <w:r>
        <w:rPr>
          <w:noProof/>
        </w:rPr>
        <w:t>3</w:t>
      </w:r>
      <w:r>
        <w:rPr>
          <w:highlight w:val="yellow"/>
        </w:rPr>
        <w:fldChar w:fldCharType="end"/>
      </w:r>
      <w:r>
        <w:t xml:space="preserve"> </w:t>
      </w:r>
      <w:r w:rsidR="004F3E16">
        <w:t xml:space="preserve">summarize </w:t>
      </w:r>
      <w:r w:rsidR="00C17BDE">
        <w:t>the</w:t>
      </w:r>
      <w:r w:rsidR="004F3E16" w:rsidRPr="00BF2FFC">
        <w:t xml:space="preserve"> target sample sizes for each level of rigor in total for th</w:t>
      </w:r>
      <w:r w:rsidR="004F3E16">
        <w:t xml:space="preserve">e electric and gas portfolios. </w:t>
      </w:r>
      <w:r w:rsidR="004F3E16" w:rsidRPr="00BF2FFC">
        <w:t xml:space="preserve"> </w:t>
      </w:r>
    </w:p>
    <w:p w:rsidR="00C02B22" w:rsidRDefault="00C25DFC" w:rsidP="00C25DFC">
      <w:pPr>
        <w:pStyle w:val="Caption"/>
      </w:pPr>
      <w:bookmarkStart w:id="16" w:name="_Ref406487100"/>
      <w:r>
        <w:t xml:space="preserve">Table </w:t>
      </w:r>
      <w:fldSimple w:instr=" STYLEREF 1 \s ">
        <w:r w:rsidR="0067743A">
          <w:rPr>
            <w:noProof/>
          </w:rPr>
          <w:t>1</w:t>
        </w:r>
      </w:fldSimple>
      <w:r w:rsidR="0067743A">
        <w:noBreakHyphen/>
      </w:r>
      <w:fldSimple w:instr=" SEQ Table \* ARABIC \s 1 ">
        <w:r w:rsidR="0067743A">
          <w:rPr>
            <w:noProof/>
          </w:rPr>
          <w:t>2</w:t>
        </w:r>
      </w:fldSimple>
      <w:bookmarkEnd w:id="16"/>
      <w:r>
        <w:t xml:space="preserve">: </w:t>
      </w:r>
      <w:r w:rsidRPr="00E912AB">
        <w:t>Sampling and Evaluation Rigor for WA/ID Electric Portfolio</w:t>
      </w:r>
    </w:p>
    <w:tbl>
      <w:tblPr>
        <w:tblStyle w:val="NEXANTNEWTABLESTYLE"/>
        <w:tblW w:w="8382" w:type="dxa"/>
        <w:jc w:val="center"/>
        <w:tblLook w:val="04A0" w:firstRow="1" w:lastRow="0" w:firstColumn="1" w:lastColumn="0" w:noHBand="0" w:noVBand="1"/>
      </w:tblPr>
      <w:tblGrid>
        <w:gridCol w:w="3216"/>
        <w:gridCol w:w="1836"/>
        <w:gridCol w:w="1209"/>
        <w:gridCol w:w="2121"/>
      </w:tblGrid>
      <w:tr w:rsidR="00162C39" w:rsidRPr="00B35356" w:rsidTr="00C25DFC">
        <w:trPr>
          <w:cnfStyle w:val="100000000000" w:firstRow="1" w:lastRow="0" w:firstColumn="0" w:lastColumn="0" w:oddVBand="0" w:evenVBand="0" w:oddHBand="0" w:evenHBand="0" w:firstRowFirstColumn="0" w:firstRowLastColumn="0" w:lastRowFirstColumn="0" w:lastRowLastColumn="0"/>
          <w:trHeight w:val="468"/>
          <w:jc w:val="center"/>
        </w:trPr>
        <w:tc>
          <w:tcPr>
            <w:tcW w:w="3216" w:type="dxa"/>
            <w:tcBorders>
              <w:bottom w:val="single" w:sz="4" w:space="0" w:color="1F497D" w:themeColor="text2"/>
              <w:right w:val="single" w:sz="6" w:space="0" w:color="FFFFFF" w:themeColor="background1"/>
            </w:tcBorders>
            <w:noWrap/>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Sector</w:t>
            </w:r>
          </w:p>
        </w:tc>
        <w:tc>
          <w:tcPr>
            <w:tcW w:w="1836"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Document Audit</w:t>
            </w:r>
          </w:p>
        </w:tc>
        <w:tc>
          <w:tcPr>
            <w:tcW w:w="1209"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Surveys</w:t>
            </w:r>
          </w:p>
        </w:tc>
        <w:tc>
          <w:tcPr>
            <w:tcW w:w="2121" w:type="dxa"/>
            <w:tcBorders>
              <w:left w:val="single" w:sz="6" w:space="0" w:color="FFFFFF" w:themeColor="background1"/>
              <w:bottom w:val="single" w:sz="4" w:space="0" w:color="1F497D" w:themeColor="text2"/>
            </w:tcBorders>
            <w:vAlign w:val="center"/>
            <w:hideMark/>
          </w:tcPr>
          <w:p w:rsidR="00162C39" w:rsidRPr="00EC7F77" w:rsidRDefault="00162C39" w:rsidP="00910AE4">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Onsite Inspections</w:t>
            </w:r>
          </w:p>
        </w:tc>
      </w:tr>
      <w:tr w:rsidR="00162C39" w:rsidRPr="00B35356" w:rsidTr="00C25DFC">
        <w:trPr>
          <w:trHeight w:val="300"/>
          <w:jc w:val="center"/>
        </w:trPr>
        <w:tc>
          <w:tcPr>
            <w:tcW w:w="3216" w:type="dxa"/>
            <w:tcBorders>
              <w:top w:val="single" w:sz="4" w:space="0" w:color="1F497D" w:themeColor="text2"/>
              <w:right w:val="single" w:sz="4" w:space="0" w:color="1F497D" w:themeColor="text2"/>
            </w:tcBorders>
            <w:noWrap/>
            <w:hideMark/>
          </w:tcPr>
          <w:p w:rsidR="00162C39" w:rsidRPr="00EC7F77" w:rsidRDefault="00162C39"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165</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211</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p>
        </w:tc>
      </w:tr>
      <w:tr w:rsidR="00162C39" w:rsidRPr="00B35356" w:rsidTr="00C25DFC">
        <w:trPr>
          <w:trHeight w:val="300"/>
          <w:jc w:val="center"/>
        </w:trPr>
        <w:tc>
          <w:tcPr>
            <w:tcW w:w="3216" w:type="dxa"/>
            <w:tcBorders>
              <w:right w:val="single" w:sz="4" w:space="0" w:color="1F497D" w:themeColor="text2"/>
            </w:tcBorders>
            <w:noWrap/>
            <w:hideMark/>
          </w:tcPr>
          <w:p w:rsidR="00162C39" w:rsidRPr="00EC7F77" w:rsidRDefault="009A7530"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Nonr</w:t>
            </w:r>
            <w:r w:rsidR="00162C39" w:rsidRPr="00EC7F77">
              <w:rPr>
                <w:rFonts w:cs="Microsoft Sans Serif"/>
                <w:color w:val="000000"/>
                <w:sz w:val="20"/>
              </w:rPr>
              <w:t>esidential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225</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129</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124</w:t>
            </w:r>
          </w:p>
        </w:tc>
      </w:tr>
      <w:tr w:rsidR="00162C39" w:rsidRPr="00B35356" w:rsidTr="00C25DFC">
        <w:trPr>
          <w:trHeight w:val="300"/>
          <w:jc w:val="center"/>
        </w:trPr>
        <w:tc>
          <w:tcPr>
            <w:tcW w:w="3216" w:type="dxa"/>
            <w:tcBorders>
              <w:right w:val="single" w:sz="4" w:space="0" w:color="1F497D" w:themeColor="text2"/>
            </w:tcBorders>
            <w:noWrap/>
            <w:hideMark/>
          </w:tcPr>
          <w:p w:rsidR="00162C39" w:rsidRPr="00EC7F77" w:rsidRDefault="00162C39" w:rsidP="00910AE4">
            <w:pPr>
              <w:tabs>
                <w:tab w:val="clear" w:pos="-1440"/>
                <w:tab w:val="clear" w:pos="-720"/>
                <w:tab w:val="clear" w:pos="720"/>
              </w:tabs>
              <w:spacing w:after="0" w:line="240" w:lineRule="auto"/>
              <w:ind w:left="0"/>
              <w:rPr>
                <w:rFonts w:cs="Microsoft Sans Serif"/>
                <w:b/>
                <w:bCs/>
                <w:color w:val="000000"/>
                <w:sz w:val="20"/>
              </w:rPr>
            </w:pPr>
            <w:r w:rsidRPr="00EC7F77">
              <w:rPr>
                <w:rFonts w:cs="Microsoft Sans Serif"/>
                <w:b/>
                <w:bCs/>
                <w:color w:val="000000"/>
                <w:sz w:val="20"/>
              </w:rPr>
              <w:t>TOTAL</w:t>
            </w:r>
          </w:p>
        </w:tc>
        <w:tc>
          <w:tcPr>
            <w:tcW w:w="1836"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390</w:t>
            </w:r>
          </w:p>
        </w:tc>
        <w:tc>
          <w:tcPr>
            <w:tcW w:w="1209" w:type="dxa"/>
            <w:tcBorders>
              <w:left w:val="single" w:sz="4" w:space="0" w:color="1F497D" w:themeColor="text2"/>
              <w:righ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340</w:t>
            </w:r>
          </w:p>
        </w:tc>
        <w:tc>
          <w:tcPr>
            <w:tcW w:w="2121" w:type="dxa"/>
            <w:tcBorders>
              <w:left w:val="single" w:sz="4" w:space="0" w:color="1F497D" w:themeColor="text2"/>
            </w:tcBorders>
            <w:noWrap/>
            <w:vAlign w:val="center"/>
            <w:hideMark/>
          </w:tcPr>
          <w:p w:rsidR="00162C39" w:rsidRPr="00EC7F77" w:rsidRDefault="00162C39" w:rsidP="00EC7F77">
            <w:pPr>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194</w:t>
            </w:r>
          </w:p>
        </w:tc>
      </w:tr>
    </w:tbl>
    <w:p w:rsidR="004F3E16" w:rsidRDefault="004F3E16" w:rsidP="009D028B">
      <w:pPr>
        <w:pStyle w:val="t"/>
        <w:numPr>
          <w:ilvl w:val="0"/>
          <w:numId w:val="0"/>
        </w:numPr>
        <w:spacing w:after="120"/>
      </w:pPr>
    </w:p>
    <w:p w:rsidR="004F3E16" w:rsidRDefault="00C25DFC" w:rsidP="00575D66">
      <w:pPr>
        <w:pStyle w:val="Caption"/>
      </w:pPr>
      <w:bookmarkStart w:id="17" w:name="_Ref406487110"/>
      <w:r>
        <w:lastRenderedPageBreak/>
        <w:t xml:space="preserve">Table </w:t>
      </w:r>
      <w:fldSimple w:instr=" STYLEREF 1 \s ">
        <w:r w:rsidR="0067743A">
          <w:rPr>
            <w:noProof/>
          </w:rPr>
          <w:t>1</w:t>
        </w:r>
      </w:fldSimple>
      <w:r w:rsidR="0067743A">
        <w:noBreakHyphen/>
      </w:r>
      <w:fldSimple w:instr=" SEQ Table \* ARABIC \s 1 ">
        <w:r w:rsidR="0067743A">
          <w:rPr>
            <w:noProof/>
          </w:rPr>
          <w:t>3</w:t>
        </w:r>
      </w:fldSimple>
      <w:bookmarkEnd w:id="17"/>
      <w:r>
        <w:t xml:space="preserve">: </w:t>
      </w:r>
      <w:r w:rsidRPr="00AF6F0A">
        <w:t>Sampling and Evaluation Rigor for WA Natural Gas Portfolio</w:t>
      </w:r>
    </w:p>
    <w:tbl>
      <w:tblPr>
        <w:tblStyle w:val="NEXANTNEWTABLESTYLE"/>
        <w:tblW w:w="8382" w:type="dxa"/>
        <w:jc w:val="center"/>
        <w:tblLook w:val="04A0" w:firstRow="1" w:lastRow="0" w:firstColumn="1" w:lastColumn="0" w:noHBand="0" w:noVBand="1"/>
      </w:tblPr>
      <w:tblGrid>
        <w:gridCol w:w="3216"/>
        <w:gridCol w:w="1836"/>
        <w:gridCol w:w="1209"/>
        <w:gridCol w:w="2121"/>
      </w:tblGrid>
      <w:tr w:rsidR="00162C39" w:rsidRPr="00B35356" w:rsidTr="00C25DFC">
        <w:trPr>
          <w:cnfStyle w:val="100000000000" w:firstRow="1" w:lastRow="0" w:firstColumn="0" w:lastColumn="0" w:oddVBand="0" w:evenVBand="0" w:oddHBand="0" w:evenHBand="0" w:firstRowFirstColumn="0" w:firstRowLastColumn="0" w:lastRowFirstColumn="0" w:lastRowLastColumn="0"/>
          <w:trHeight w:val="450"/>
          <w:jc w:val="center"/>
        </w:trPr>
        <w:tc>
          <w:tcPr>
            <w:tcW w:w="3216" w:type="dxa"/>
            <w:tcBorders>
              <w:bottom w:val="single" w:sz="4" w:space="0" w:color="1F497D" w:themeColor="text2"/>
              <w:right w:val="single" w:sz="6" w:space="0" w:color="FFFFFF" w:themeColor="background1"/>
            </w:tcBorders>
            <w:noWrap/>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Sector</w:t>
            </w:r>
          </w:p>
        </w:tc>
        <w:tc>
          <w:tcPr>
            <w:tcW w:w="1836"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Document Audit</w:t>
            </w:r>
          </w:p>
        </w:tc>
        <w:tc>
          <w:tcPr>
            <w:tcW w:w="1209" w:type="dxa"/>
            <w:tcBorders>
              <w:left w:val="single" w:sz="6" w:space="0" w:color="FFFFFF" w:themeColor="background1"/>
              <w:bottom w:val="single" w:sz="4" w:space="0" w:color="1F497D" w:themeColor="text2"/>
              <w:right w:val="single" w:sz="6" w:space="0" w:color="FFFFFF" w:themeColor="background1"/>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Surveys</w:t>
            </w:r>
          </w:p>
        </w:tc>
        <w:tc>
          <w:tcPr>
            <w:tcW w:w="2121" w:type="dxa"/>
            <w:tcBorders>
              <w:left w:val="single" w:sz="6" w:space="0" w:color="FFFFFF" w:themeColor="background1"/>
              <w:bottom w:val="single" w:sz="4" w:space="0" w:color="1F497D" w:themeColor="text2"/>
            </w:tcBorders>
            <w:vAlign w:val="center"/>
            <w:hideMark/>
          </w:tcPr>
          <w:p w:rsidR="00162C39" w:rsidRPr="00EC7F77" w:rsidRDefault="00162C39" w:rsidP="00575D66">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Onsite Inspections</w:t>
            </w:r>
          </w:p>
        </w:tc>
      </w:tr>
      <w:tr w:rsidR="00162C39" w:rsidRPr="00B35356" w:rsidTr="00C25DFC">
        <w:trPr>
          <w:trHeight w:val="300"/>
          <w:jc w:val="center"/>
        </w:trPr>
        <w:tc>
          <w:tcPr>
            <w:tcW w:w="3216" w:type="dxa"/>
            <w:tcBorders>
              <w:top w:val="single" w:sz="4" w:space="0" w:color="1F497D" w:themeColor="text2"/>
              <w:right w:val="single" w:sz="6" w:space="0" w:color="1F497D" w:themeColor="text2"/>
            </w:tcBorders>
            <w:noWrap/>
            <w:hideMark/>
          </w:tcPr>
          <w:p w:rsidR="00162C39" w:rsidRPr="00EC7F77" w:rsidRDefault="00162C39" w:rsidP="00575D6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w:t>
            </w:r>
          </w:p>
        </w:tc>
        <w:tc>
          <w:tcPr>
            <w:tcW w:w="1836" w:type="dxa"/>
            <w:tcBorders>
              <w:top w:val="single" w:sz="4" w:space="0" w:color="1F497D" w:themeColor="text2"/>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140</w:t>
            </w:r>
          </w:p>
        </w:tc>
        <w:tc>
          <w:tcPr>
            <w:tcW w:w="1209" w:type="dxa"/>
            <w:tcBorders>
              <w:top w:val="single" w:sz="4" w:space="0" w:color="1F497D" w:themeColor="text2"/>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w:t>
            </w:r>
            <w:r w:rsidR="00500A9D" w:rsidRPr="00EC7F77">
              <w:rPr>
                <w:rFonts w:cs="Microsoft Sans Serif"/>
                <w:color w:val="000000"/>
                <w:sz w:val="20"/>
              </w:rPr>
              <w:t>16</w:t>
            </w:r>
          </w:p>
        </w:tc>
        <w:tc>
          <w:tcPr>
            <w:tcW w:w="2121" w:type="dxa"/>
            <w:tcBorders>
              <w:top w:val="single" w:sz="4" w:space="0" w:color="1F497D" w:themeColor="text2"/>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0</w:t>
            </w:r>
          </w:p>
        </w:tc>
      </w:tr>
      <w:tr w:rsidR="00162C39" w:rsidRPr="00B35356" w:rsidTr="00C25DFC">
        <w:trPr>
          <w:trHeight w:val="300"/>
          <w:jc w:val="center"/>
        </w:trPr>
        <w:tc>
          <w:tcPr>
            <w:tcW w:w="3216" w:type="dxa"/>
            <w:tcBorders>
              <w:right w:val="single" w:sz="6" w:space="0" w:color="1F497D" w:themeColor="text2"/>
            </w:tcBorders>
            <w:noWrap/>
            <w:hideMark/>
          </w:tcPr>
          <w:p w:rsidR="00162C39" w:rsidRPr="00EC7F77" w:rsidRDefault="009A7530" w:rsidP="00575D6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Nonr</w:t>
            </w:r>
            <w:r w:rsidR="00162C39" w:rsidRPr="00EC7F77">
              <w:rPr>
                <w:rFonts w:cs="Microsoft Sans Serif"/>
                <w:color w:val="000000"/>
                <w:sz w:val="20"/>
              </w:rPr>
              <w:t>esidential</w:t>
            </w:r>
          </w:p>
        </w:tc>
        <w:tc>
          <w:tcPr>
            <w:tcW w:w="1836"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113</w:t>
            </w:r>
          </w:p>
        </w:tc>
        <w:tc>
          <w:tcPr>
            <w:tcW w:w="1209"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35</w:t>
            </w:r>
          </w:p>
        </w:tc>
        <w:tc>
          <w:tcPr>
            <w:tcW w:w="2121" w:type="dxa"/>
            <w:tcBorders>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35</w:t>
            </w:r>
          </w:p>
        </w:tc>
      </w:tr>
      <w:tr w:rsidR="00162C39" w:rsidRPr="00B35356" w:rsidTr="00C25DFC">
        <w:trPr>
          <w:trHeight w:val="300"/>
          <w:jc w:val="center"/>
        </w:trPr>
        <w:tc>
          <w:tcPr>
            <w:tcW w:w="3216" w:type="dxa"/>
            <w:tcBorders>
              <w:right w:val="single" w:sz="6" w:space="0" w:color="1F497D" w:themeColor="text2"/>
            </w:tcBorders>
            <w:noWrap/>
            <w:hideMark/>
          </w:tcPr>
          <w:p w:rsidR="00162C39" w:rsidRPr="00EC7F77" w:rsidRDefault="00162C39" w:rsidP="00575D66">
            <w:pPr>
              <w:keepNext/>
              <w:tabs>
                <w:tab w:val="clear" w:pos="-1440"/>
                <w:tab w:val="clear" w:pos="-720"/>
                <w:tab w:val="clear" w:pos="720"/>
              </w:tabs>
              <w:spacing w:after="0" w:line="240" w:lineRule="auto"/>
              <w:ind w:left="0"/>
              <w:rPr>
                <w:rFonts w:cs="Microsoft Sans Serif"/>
                <w:b/>
                <w:bCs/>
                <w:color w:val="000000"/>
                <w:sz w:val="20"/>
              </w:rPr>
            </w:pPr>
            <w:r w:rsidRPr="00EC7F77">
              <w:rPr>
                <w:rFonts w:cs="Microsoft Sans Serif"/>
                <w:b/>
                <w:bCs/>
                <w:color w:val="000000"/>
                <w:sz w:val="20"/>
              </w:rPr>
              <w:t>TOTAL</w:t>
            </w:r>
          </w:p>
        </w:tc>
        <w:tc>
          <w:tcPr>
            <w:tcW w:w="1836"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253</w:t>
            </w:r>
          </w:p>
        </w:tc>
        <w:tc>
          <w:tcPr>
            <w:tcW w:w="1209" w:type="dxa"/>
            <w:tcBorders>
              <w:left w:val="single" w:sz="6" w:space="0" w:color="1F497D" w:themeColor="text2"/>
              <w:righ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1</w:t>
            </w:r>
            <w:r w:rsidR="00500A9D" w:rsidRPr="00EC7F77">
              <w:rPr>
                <w:rFonts w:cs="Microsoft Sans Serif"/>
                <w:b/>
                <w:bCs/>
                <w:color w:val="000000"/>
                <w:sz w:val="20"/>
              </w:rPr>
              <w:t>51</w:t>
            </w:r>
          </w:p>
        </w:tc>
        <w:tc>
          <w:tcPr>
            <w:tcW w:w="2121" w:type="dxa"/>
            <w:tcBorders>
              <w:left w:val="single" w:sz="6" w:space="0" w:color="1F497D" w:themeColor="text2"/>
            </w:tcBorders>
            <w:noWrap/>
            <w:vAlign w:val="center"/>
            <w:hideMark/>
          </w:tcPr>
          <w:p w:rsidR="00162C39" w:rsidRPr="00EC7F77" w:rsidRDefault="00162C39" w:rsidP="00575D66">
            <w:pPr>
              <w:keepNext/>
              <w:tabs>
                <w:tab w:val="clear" w:pos="-1440"/>
                <w:tab w:val="clear" w:pos="-720"/>
                <w:tab w:val="num" w:pos="720"/>
              </w:tabs>
              <w:adjustRightInd w:val="0"/>
              <w:snapToGrid w:val="0"/>
              <w:spacing w:after="0" w:line="240" w:lineRule="auto"/>
              <w:ind w:left="0"/>
              <w:jc w:val="center"/>
              <w:rPr>
                <w:rFonts w:cs="Microsoft Sans Serif"/>
                <w:b/>
                <w:bCs/>
                <w:color w:val="000000"/>
                <w:sz w:val="20"/>
              </w:rPr>
            </w:pPr>
            <w:r w:rsidRPr="00EC7F77">
              <w:rPr>
                <w:rFonts w:cs="Microsoft Sans Serif"/>
                <w:b/>
                <w:bCs/>
                <w:color w:val="000000"/>
                <w:sz w:val="20"/>
              </w:rPr>
              <w:t>35</w:t>
            </w:r>
          </w:p>
        </w:tc>
      </w:tr>
    </w:tbl>
    <w:p w:rsidR="004F3E16" w:rsidRDefault="004F3E16" w:rsidP="002F7A7F">
      <w:pPr>
        <w:pStyle w:val="t"/>
        <w:numPr>
          <w:ilvl w:val="0"/>
          <w:numId w:val="2"/>
        </w:numPr>
        <w:ind w:left="0"/>
      </w:pPr>
    </w:p>
    <w:p w:rsidR="00FF1B71" w:rsidRPr="00B93260" w:rsidRDefault="00FF1B71" w:rsidP="00B93260">
      <w:pPr>
        <w:pStyle w:val="Heading2"/>
      </w:pPr>
      <w:bookmarkStart w:id="18" w:name="_Toc409095377"/>
      <w:r w:rsidRPr="00B93260">
        <w:t>Areas Of Research Emphasis</w:t>
      </w:r>
      <w:bookmarkEnd w:id="18"/>
      <w:r w:rsidR="00EE68BD">
        <w:t xml:space="preserve"> </w:t>
      </w:r>
    </w:p>
    <w:p w:rsidR="00C17BDE" w:rsidRDefault="00C17BDE" w:rsidP="00C17BDE">
      <w:pPr>
        <w:pStyle w:val="t"/>
        <w:numPr>
          <w:ilvl w:val="0"/>
          <w:numId w:val="2"/>
        </w:numPr>
        <w:ind w:left="0"/>
      </w:pPr>
      <w:r w:rsidRPr="00A951C2">
        <w:t xml:space="preserve">The </w:t>
      </w:r>
      <w:r>
        <w:t>evaluation</w:t>
      </w:r>
      <w:r w:rsidRPr="00A951C2">
        <w:t xml:space="preserve"> team has developed an evaluation approach that targets programs and measures of high-impact and uncertainty, while balancing overall evaluation costs. </w:t>
      </w:r>
      <w:r w:rsidR="003723ED">
        <w:t>In addition, t</w:t>
      </w:r>
      <w:r>
        <w:t xml:space="preserve">he evaluation team intends to consider and build from findings and </w:t>
      </w:r>
      <w:r w:rsidR="003723ED">
        <w:t>recommendations</w:t>
      </w:r>
      <w:r>
        <w:t xml:space="preserve"> from the prior evaluation</w:t>
      </w:r>
      <w:r w:rsidR="003723ED">
        <w:t xml:space="preserve">s completed </w:t>
      </w:r>
      <w:r>
        <w:t xml:space="preserve">for </w:t>
      </w:r>
      <w:r w:rsidR="003723ED">
        <w:t>Avista</w:t>
      </w:r>
      <w:r>
        <w:t xml:space="preserve">.  </w:t>
      </w:r>
      <w:r w:rsidRPr="00BC76D0">
        <w:t>Specifically, this evaluation includes the following highlights:</w:t>
      </w:r>
      <w:r w:rsidRPr="00A951C2">
        <w:t xml:space="preserve"> </w:t>
      </w:r>
    </w:p>
    <w:p w:rsidR="00303D8B" w:rsidRDefault="00303D8B" w:rsidP="00F10016">
      <w:pPr>
        <w:pStyle w:val="b"/>
      </w:pPr>
      <w:r w:rsidRPr="00121F19">
        <w:rPr>
          <w:color w:val="1F497D" w:themeColor="text2"/>
        </w:rPr>
        <w:t xml:space="preserve">Rapid Market Feedback: </w:t>
      </w:r>
      <w:r>
        <w:t>We will provide Avista with quarterly feedback on participant satisfaction and other key metrics, so that Avista can quickly assess how the market is responding to its actions to continually improve program delivery. Program participants will be contacted when they have easy recall of their recent experiences.</w:t>
      </w:r>
    </w:p>
    <w:p w:rsidR="00303D8B" w:rsidRDefault="00303D8B" w:rsidP="00F10016">
      <w:pPr>
        <w:pStyle w:val="b"/>
      </w:pPr>
      <w:r w:rsidRPr="000C171C">
        <w:rPr>
          <w:color w:val="1F497D" w:themeColor="text2"/>
        </w:rPr>
        <w:t xml:space="preserve">Investigation into Declining Participation Rates: </w:t>
      </w:r>
      <w:r>
        <w:t xml:space="preserve">We will estimate the proportion of peak participation attributable to fewer incentivized measures and lower incentives. Having accounted for these two factors, we will have an estimate of the amount of decline in participation owing to other factors that Avista may be able to recoup through program design changes. </w:t>
      </w:r>
      <w:r w:rsidR="001B52A0">
        <w:t xml:space="preserve">For </w:t>
      </w:r>
      <w:r>
        <w:t>a measure of Avista’s choosing</w:t>
      </w:r>
      <w:r w:rsidR="001B52A0">
        <w:t xml:space="preserve"> we will explore</w:t>
      </w:r>
      <w:r>
        <w:t xml:space="preserve"> one of the factors we found important to Energy Trust’s declining refrigeration program participation </w:t>
      </w:r>
      <w:r w:rsidR="001B52A0">
        <w:t>(</w:t>
      </w:r>
      <w:r>
        <w:t>limited availability of qualifying models at lower price points</w:t>
      </w:r>
      <w:r w:rsidR="001B52A0">
        <w:t>)</w:t>
      </w:r>
      <w:r>
        <w:t xml:space="preserve"> to assess its significance for Avista.</w:t>
      </w:r>
    </w:p>
    <w:p w:rsidR="00303D8B" w:rsidRDefault="00303D8B" w:rsidP="00BC76D0">
      <w:pPr>
        <w:pStyle w:val="b"/>
      </w:pPr>
      <w:r w:rsidRPr="00A31F93">
        <w:rPr>
          <w:color w:val="1F497D" w:themeColor="text2"/>
        </w:rPr>
        <w:t xml:space="preserve">Investigation into the behavioral changes taken by Opower Behavioral </w:t>
      </w:r>
      <w:r w:rsidR="0027178F">
        <w:rPr>
          <w:color w:val="1F497D" w:themeColor="text2"/>
        </w:rPr>
        <w:t>P</w:t>
      </w:r>
      <w:r w:rsidR="0027178F" w:rsidRPr="00A31F93">
        <w:rPr>
          <w:color w:val="1F497D" w:themeColor="text2"/>
        </w:rPr>
        <w:t xml:space="preserve">rogram </w:t>
      </w:r>
      <w:r>
        <w:t xml:space="preserve">participants to better understand the role of rebated measures in the savings found for this program.  </w:t>
      </w:r>
    </w:p>
    <w:p w:rsidR="00303D8B" w:rsidRDefault="00303D8B" w:rsidP="00BC76D0">
      <w:pPr>
        <w:pStyle w:val="b"/>
      </w:pPr>
      <w:r w:rsidRPr="00A31F93">
        <w:rPr>
          <w:color w:val="1F497D" w:themeColor="text2"/>
        </w:rPr>
        <w:t xml:space="preserve">Estimation of the proportion of markdown lighting measures attributed to the residential program, but installed in the nonresidential sector </w:t>
      </w:r>
      <w:r w:rsidRPr="002C4E89">
        <w:t>through two separate investigations;</w:t>
      </w:r>
      <w:r w:rsidRPr="00736AA3">
        <w:t xml:space="preserve"> </w:t>
      </w:r>
      <w:r>
        <w:t>one through retailer surveys, and the other based on responses to non-participant surveys. In addition, if Avista pursues the optional residential lighting customer intercept survey, we will use data collected through this exercise and will triangulate the results of these three investigations.</w:t>
      </w:r>
    </w:p>
    <w:p w:rsidR="00FF1B71" w:rsidRPr="00F21848" w:rsidRDefault="00FF1B71" w:rsidP="00FF1B71">
      <w:pPr>
        <w:pStyle w:val="t"/>
        <w:numPr>
          <w:ilvl w:val="0"/>
          <w:numId w:val="0"/>
        </w:numPr>
      </w:pPr>
    </w:p>
    <w:p w:rsidR="00F10016" w:rsidRDefault="00F10016" w:rsidP="00E77A66">
      <w:pPr>
        <w:pStyle w:val="Heading1"/>
        <w:jc w:val="left"/>
        <w:sectPr w:rsidR="00F10016" w:rsidSect="00F5525B">
          <w:headerReference w:type="even" r:id="rId23"/>
          <w:headerReference w:type="default" r:id="rId24"/>
          <w:headerReference w:type="first" r:id="rId25"/>
          <w:footerReference w:type="first" r:id="rId26"/>
          <w:footnotePr>
            <w:numRestart w:val="eachPage"/>
          </w:footnotePr>
          <w:pgSz w:w="12240" w:h="15840"/>
          <w:pgMar w:top="1440" w:right="1440" w:bottom="1440" w:left="1440" w:header="1080" w:footer="720" w:gutter="0"/>
          <w:cols w:space="360"/>
          <w:titlePg/>
        </w:sectPr>
      </w:pPr>
    </w:p>
    <w:p w:rsidR="00E77A66" w:rsidRDefault="001655F0" w:rsidP="00E77A66">
      <w:pPr>
        <w:pStyle w:val="Heading1"/>
        <w:jc w:val="left"/>
      </w:pPr>
      <w:bookmarkStart w:id="19" w:name="_Ref406335201"/>
      <w:bookmarkStart w:id="20" w:name="_Toc409095378"/>
      <w:r>
        <w:lastRenderedPageBreak/>
        <w:t>Impact Evaluation Overview</w:t>
      </w:r>
      <w:bookmarkEnd w:id="19"/>
      <w:bookmarkEnd w:id="20"/>
    </w:p>
    <w:p w:rsidR="003723ED" w:rsidRDefault="003723ED" w:rsidP="00C00D41">
      <w:pPr>
        <w:pStyle w:val="t"/>
        <w:numPr>
          <w:ilvl w:val="0"/>
          <w:numId w:val="2"/>
        </w:numPr>
        <w:ind w:left="0"/>
      </w:pPr>
      <w:r>
        <w:t xml:space="preserve">Impact evaluations seek to quantify the energy, demand, and possible non-energy impacts that have resulted from </w:t>
      </w:r>
      <w:r w:rsidR="00F5525B">
        <w:t>DSM</w:t>
      </w:r>
      <w:r>
        <w:t xml:space="preserve"> program operations. These impacts may be expressed as all changes resulting from the program (gross savings), or only those changes that would not have occurred absent the program (net savings). </w:t>
      </w:r>
    </w:p>
    <w:p w:rsidR="00C00D41" w:rsidRDefault="00C00D41" w:rsidP="00C00D41">
      <w:pPr>
        <w:pStyle w:val="t"/>
        <w:numPr>
          <w:ilvl w:val="0"/>
          <w:numId w:val="2"/>
        </w:numPr>
        <w:ind w:left="0"/>
      </w:pPr>
      <w:r>
        <w:t>The following sections outline our general approach for conducting impact evaluations. In general, impact evaluations consist of the following components, all of which are described in more detail in the remainder of this section:</w:t>
      </w:r>
    </w:p>
    <w:p w:rsidR="00C00D41" w:rsidRDefault="00C00D41" w:rsidP="002B3B30">
      <w:pPr>
        <w:pStyle w:val="b"/>
        <w:numPr>
          <w:ilvl w:val="0"/>
          <w:numId w:val="3"/>
        </w:numPr>
        <w:ind w:left="720"/>
      </w:pPr>
      <w:r>
        <w:t>Understanding the Program Context</w:t>
      </w:r>
    </w:p>
    <w:p w:rsidR="00C00D41" w:rsidRDefault="00C00D41" w:rsidP="002B3B30">
      <w:pPr>
        <w:pStyle w:val="b"/>
        <w:numPr>
          <w:ilvl w:val="0"/>
          <w:numId w:val="3"/>
        </w:numPr>
        <w:ind w:left="720"/>
      </w:pPr>
      <w:r>
        <w:t>Designing the Sample</w:t>
      </w:r>
    </w:p>
    <w:p w:rsidR="00646AC7" w:rsidRPr="009D028B" w:rsidRDefault="003723ED" w:rsidP="002B3B30">
      <w:pPr>
        <w:pStyle w:val="b"/>
        <w:numPr>
          <w:ilvl w:val="0"/>
          <w:numId w:val="3"/>
        </w:numPr>
        <w:ind w:left="720"/>
      </w:pPr>
      <w:r>
        <w:t>Conducting</w:t>
      </w:r>
      <w:r w:rsidR="00646AC7" w:rsidRPr="009D028B">
        <w:t xml:space="preserve"> Gross-Verified </w:t>
      </w:r>
      <w:r>
        <w:t>Activities</w:t>
      </w:r>
      <w:r w:rsidR="00646AC7">
        <w:t xml:space="preserve"> </w:t>
      </w:r>
    </w:p>
    <w:p w:rsidR="00C00D41" w:rsidRDefault="00C00D41" w:rsidP="002B3B30">
      <w:pPr>
        <w:pStyle w:val="b"/>
        <w:numPr>
          <w:ilvl w:val="1"/>
          <w:numId w:val="3"/>
        </w:numPr>
      </w:pPr>
      <w:r>
        <w:t>Document Audits</w:t>
      </w:r>
    </w:p>
    <w:p w:rsidR="00C00D41" w:rsidRDefault="00C00D41" w:rsidP="002B3B30">
      <w:pPr>
        <w:pStyle w:val="b"/>
        <w:numPr>
          <w:ilvl w:val="1"/>
          <w:numId w:val="3"/>
        </w:numPr>
      </w:pPr>
      <w:r>
        <w:t>Telephone Surveys</w:t>
      </w:r>
    </w:p>
    <w:p w:rsidR="00C00D41" w:rsidRDefault="00C00D41" w:rsidP="002B3B30">
      <w:pPr>
        <w:pStyle w:val="b"/>
        <w:numPr>
          <w:ilvl w:val="1"/>
          <w:numId w:val="3"/>
        </w:numPr>
      </w:pPr>
      <w:r>
        <w:t>Onsite Verification</w:t>
      </w:r>
    </w:p>
    <w:p w:rsidR="00C00D41" w:rsidRDefault="00C00D41" w:rsidP="002B3B30">
      <w:pPr>
        <w:pStyle w:val="b"/>
        <w:numPr>
          <w:ilvl w:val="1"/>
          <w:numId w:val="3"/>
        </w:numPr>
      </w:pPr>
      <w:r>
        <w:t>Billing Analysis</w:t>
      </w:r>
    </w:p>
    <w:p w:rsidR="003723ED" w:rsidRPr="00BC76D0" w:rsidRDefault="003723ED" w:rsidP="002B3B30">
      <w:pPr>
        <w:pStyle w:val="b"/>
        <w:numPr>
          <w:ilvl w:val="0"/>
          <w:numId w:val="3"/>
        </w:numPr>
        <w:ind w:left="720"/>
      </w:pPr>
      <w:r w:rsidRPr="00BC76D0">
        <w:t>Conducting Net-Verified Activities</w:t>
      </w:r>
    </w:p>
    <w:p w:rsidR="00C00D41" w:rsidRDefault="00C00D41" w:rsidP="00C00D41">
      <w:pPr>
        <w:pStyle w:val="Heading2"/>
      </w:pPr>
      <w:bookmarkStart w:id="21" w:name="_Toc402277084"/>
      <w:bookmarkStart w:id="22" w:name="_Toc409095379"/>
      <w:r>
        <w:t>Understanding the Program Context</w:t>
      </w:r>
      <w:bookmarkEnd w:id="22"/>
    </w:p>
    <w:p w:rsidR="00C00D41" w:rsidRDefault="00C00D41" w:rsidP="009D028B">
      <w:pPr>
        <w:pStyle w:val="t"/>
        <w:rPr>
          <w:highlight w:val="yellow"/>
        </w:rPr>
      </w:pPr>
      <w:r w:rsidRPr="00655EF7">
        <w:t xml:space="preserve">To understand the portfolio of programs </w:t>
      </w:r>
      <w:r w:rsidRPr="00E90BF2">
        <w:t>to be evaluated</w:t>
      </w:r>
      <w:r w:rsidRPr="00655EF7">
        <w:t>, t</w:t>
      </w:r>
      <w:r w:rsidRPr="00E90BF2">
        <w:t xml:space="preserve">he </w:t>
      </w:r>
      <w:r w:rsidR="003F17F3">
        <w:t>evaluation team</w:t>
      </w:r>
      <w:r w:rsidRPr="00E90BF2">
        <w:t xml:space="preserve"> reviewed Avista’s </w:t>
      </w:r>
      <w:r w:rsidR="00435AC1">
        <w:t xml:space="preserve">2014 and </w:t>
      </w:r>
      <w:r w:rsidRPr="00FB4887">
        <w:rPr>
          <w:smallCaps/>
        </w:rPr>
        <w:t>2015</w:t>
      </w:r>
      <w:r w:rsidRPr="00E90BF2">
        <w:t xml:space="preserve"> DSM Business Plan</w:t>
      </w:r>
      <w:r w:rsidR="00435AC1">
        <w:t>s</w:t>
      </w:r>
      <w:r w:rsidRPr="00E90BF2">
        <w:t xml:space="preserve"> </w:t>
      </w:r>
      <w:r w:rsidR="00435AC1">
        <w:t xml:space="preserve">and collected data from Avista on 2014 program performance through October </w:t>
      </w:r>
      <w:r w:rsidR="00435AC1" w:rsidRPr="00FB4887">
        <w:t>2014</w:t>
      </w:r>
      <w:r w:rsidR="00F5525B">
        <w:t xml:space="preserve">. </w:t>
      </w:r>
      <w:r w:rsidR="00F10016" w:rsidRPr="00BC76D0">
        <w:fldChar w:fldCharType="begin"/>
      </w:r>
      <w:r w:rsidR="00F10016" w:rsidRPr="00BC76D0">
        <w:instrText xml:space="preserve"> REF _Ref406278025 \h </w:instrText>
      </w:r>
      <w:r w:rsidR="00FB4887">
        <w:instrText xml:space="preserve"> \* MERGEFORMAT </w:instrText>
      </w:r>
      <w:r w:rsidR="00F10016" w:rsidRPr="00BC76D0">
        <w:fldChar w:fldCharType="separate"/>
      </w:r>
      <w:r w:rsidR="00EC7F77">
        <w:t xml:space="preserve">Table </w:t>
      </w:r>
      <w:r w:rsidR="00EC7F77">
        <w:rPr>
          <w:noProof/>
        </w:rPr>
        <w:t>2</w:t>
      </w:r>
      <w:r w:rsidR="00EC7F77">
        <w:rPr>
          <w:noProof/>
        </w:rPr>
        <w:noBreakHyphen/>
        <w:t>1</w:t>
      </w:r>
      <w:r w:rsidR="00F10016" w:rsidRPr="00BC76D0">
        <w:fldChar w:fldCharType="end"/>
      </w:r>
      <w:r w:rsidRPr="00BC76D0">
        <w:t xml:space="preserve"> and </w:t>
      </w:r>
      <w:r w:rsidR="00F10016" w:rsidRPr="00BC76D0">
        <w:fldChar w:fldCharType="begin"/>
      </w:r>
      <w:r w:rsidR="00F10016" w:rsidRPr="00BC76D0">
        <w:instrText xml:space="preserve"> REF _Ref406278032 \h </w:instrText>
      </w:r>
      <w:r w:rsidR="00FB4887">
        <w:instrText xml:space="preserve"> \* MERGEFORMAT </w:instrText>
      </w:r>
      <w:r w:rsidR="00F10016" w:rsidRPr="00BC76D0">
        <w:fldChar w:fldCharType="separate"/>
      </w:r>
      <w:r w:rsidR="00EC7F77">
        <w:t xml:space="preserve">Table </w:t>
      </w:r>
      <w:r w:rsidR="00EC7F77">
        <w:rPr>
          <w:noProof/>
        </w:rPr>
        <w:t>2</w:t>
      </w:r>
      <w:r w:rsidR="00EC7F77">
        <w:rPr>
          <w:noProof/>
        </w:rPr>
        <w:noBreakHyphen/>
        <w:t>2</w:t>
      </w:r>
      <w:r w:rsidR="00F10016" w:rsidRPr="00BC76D0">
        <w:fldChar w:fldCharType="end"/>
      </w:r>
      <w:r w:rsidRPr="00BC76D0">
        <w:t xml:space="preserve"> </w:t>
      </w:r>
      <w:r w:rsidR="00F10016" w:rsidRPr="00BC76D0">
        <w:t xml:space="preserve">summarize the estimated </w:t>
      </w:r>
      <w:r w:rsidR="000F5AA6">
        <w:t>percent</w:t>
      </w:r>
      <w:r w:rsidR="00F10016" w:rsidRPr="00BC76D0">
        <w:t xml:space="preserve"> of savings of each program in the portfolio as related to the total savings.  Because these values are based on a combination of both actual 2014 energy savings (through October 2014) and planned 2015 values, the distribution of program contribution to the portfolio </w:t>
      </w:r>
      <w:r w:rsidR="000F5AA6">
        <w:t>may</w:t>
      </w:r>
      <w:r w:rsidR="000F5AA6" w:rsidRPr="00BC76D0">
        <w:t xml:space="preserve"> </w:t>
      </w:r>
      <w:r w:rsidR="00F10016" w:rsidRPr="00BC76D0">
        <w:t xml:space="preserve">shift as the programs progress.   </w:t>
      </w:r>
      <w:r w:rsidRPr="00BC76D0">
        <w:t xml:space="preserve"> </w:t>
      </w:r>
    </w:p>
    <w:p w:rsidR="001038B6" w:rsidRDefault="001038B6" w:rsidP="001038B6">
      <w:pPr>
        <w:pStyle w:val="Caption"/>
      </w:pPr>
      <w:bookmarkStart w:id="23" w:name="_Ref406278025"/>
      <w:r>
        <w:lastRenderedPageBreak/>
        <w:t xml:space="preserve">Table </w:t>
      </w:r>
      <w:fldSimple w:instr=" STYLEREF 1 \s ">
        <w:r w:rsidR="0067743A">
          <w:rPr>
            <w:noProof/>
          </w:rPr>
          <w:t>2</w:t>
        </w:r>
      </w:fldSimple>
      <w:r w:rsidR="0067743A">
        <w:noBreakHyphen/>
      </w:r>
      <w:fldSimple w:instr=" SEQ Table \* ARABIC \s 1 ">
        <w:r w:rsidR="0067743A">
          <w:rPr>
            <w:noProof/>
          </w:rPr>
          <w:t>1</w:t>
        </w:r>
      </w:fldSimple>
      <w:bookmarkEnd w:id="23"/>
      <w:r>
        <w:t xml:space="preserve">: </w:t>
      </w:r>
      <w:r w:rsidR="0073598A">
        <w:t xml:space="preserve">Percent </w:t>
      </w:r>
      <w:r>
        <w:t xml:space="preserve">WA Natural Gas </w:t>
      </w:r>
      <w:r w:rsidR="0073598A">
        <w:t>Program Savings of Total Portfolio</w:t>
      </w:r>
      <w:r w:rsidR="000F5AA6">
        <w:t xml:space="preserve"> (2014-2015)</w:t>
      </w:r>
    </w:p>
    <w:tbl>
      <w:tblPr>
        <w:tblStyle w:val="NEXANTNEWTABLESTYLE"/>
        <w:tblW w:w="0" w:type="auto"/>
        <w:jc w:val="center"/>
        <w:tblLook w:val="04A0" w:firstRow="1" w:lastRow="0" w:firstColumn="1" w:lastColumn="0" w:noHBand="0" w:noVBand="1"/>
      </w:tblPr>
      <w:tblGrid>
        <w:gridCol w:w="3438"/>
        <w:gridCol w:w="2475"/>
      </w:tblGrid>
      <w:tr w:rsidR="0073598A" w:rsidRPr="00B35356" w:rsidTr="00EC7F77">
        <w:trPr>
          <w:cnfStyle w:val="100000000000" w:firstRow="1" w:lastRow="0" w:firstColumn="0" w:lastColumn="0" w:oddVBand="0" w:evenVBand="0" w:oddHBand="0" w:evenHBand="0" w:firstRowFirstColumn="0" w:firstRowLastColumn="0" w:lastRowFirstColumn="0" w:lastRowLastColumn="0"/>
          <w:jc w:val="center"/>
        </w:trPr>
        <w:tc>
          <w:tcPr>
            <w:tcW w:w="3438" w:type="dxa"/>
            <w:tcBorders>
              <w:right w:val="single" w:sz="6" w:space="0" w:color="FFFFFF" w:themeColor="background1"/>
            </w:tcBorders>
            <w:vAlign w:val="bottom"/>
          </w:tcPr>
          <w:p w:rsidR="0073598A" w:rsidRPr="00EC7F77" w:rsidRDefault="0073598A" w:rsidP="00D75B15">
            <w:pPr>
              <w:keepNext/>
              <w:tabs>
                <w:tab w:val="clear" w:pos="-1440"/>
                <w:tab w:val="clear" w:pos="-720"/>
                <w:tab w:val="clear" w:pos="720"/>
              </w:tabs>
              <w:spacing w:before="60" w:after="60" w:line="240" w:lineRule="auto"/>
              <w:ind w:left="0"/>
              <w:jc w:val="left"/>
              <w:rPr>
                <w:rFonts w:cs="Microsoft Sans Serif"/>
                <w:b w:val="0"/>
                <w:bCs/>
                <w:color w:val="FFFFFF"/>
                <w:sz w:val="20"/>
              </w:rPr>
            </w:pPr>
            <w:r w:rsidRPr="00EC7F77">
              <w:rPr>
                <w:rFonts w:cs="Microsoft Sans Serif"/>
                <w:bCs/>
                <w:color w:val="FFFFFF"/>
                <w:sz w:val="20"/>
              </w:rPr>
              <w:t>WA Natural Gas Programs</w:t>
            </w:r>
          </w:p>
        </w:tc>
        <w:tc>
          <w:tcPr>
            <w:tcW w:w="2475" w:type="dxa"/>
            <w:tcBorders>
              <w:left w:val="single" w:sz="6" w:space="0" w:color="FFFFFF" w:themeColor="background1"/>
            </w:tcBorders>
            <w:vAlign w:val="bottom"/>
          </w:tcPr>
          <w:p w:rsidR="0073598A" w:rsidRPr="00EC7F77" w:rsidRDefault="0073598A" w:rsidP="00EC7F77">
            <w:pPr>
              <w:keepNext/>
              <w:tabs>
                <w:tab w:val="clear" w:pos="-1440"/>
                <w:tab w:val="clear" w:pos="-720"/>
                <w:tab w:val="clear" w:pos="720"/>
              </w:tabs>
              <w:spacing w:before="60" w:after="60" w:line="240" w:lineRule="auto"/>
              <w:ind w:left="0"/>
              <w:rPr>
                <w:rFonts w:cs="Microsoft Sans Serif"/>
                <w:b w:val="0"/>
                <w:bCs/>
                <w:color w:val="FFFFFF"/>
                <w:sz w:val="20"/>
              </w:rPr>
            </w:pPr>
            <w:r w:rsidRPr="00EC7F77">
              <w:rPr>
                <w:rFonts w:cs="Microsoft Sans Serif"/>
                <w:bCs/>
                <w:color w:val="FFFFFF"/>
                <w:sz w:val="20"/>
              </w:rPr>
              <w:t>% of Portfolio</w:t>
            </w:r>
          </w:p>
        </w:tc>
      </w:tr>
      <w:tr w:rsidR="0073598A" w:rsidRPr="00B35356" w:rsidTr="00EC7F77">
        <w:trPr>
          <w:jc w:val="center"/>
        </w:trPr>
        <w:tc>
          <w:tcPr>
            <w:tcW w:w="5913" w:type="dxa"/>
            <w:gridSpan w:val="2"/>
            <w:tcBorders>
              <w:bottom w:val="single" w:sz="4" w:space="0" w:color="1F497D" w:themeColor="text2"/>
            </w:tcBorders>
            <w:shd w:val="clear" w:color="auto" w:fill="D9D9D9" w:themeFill="background1" w:themeFillShade="D9"/>
          </w:tcPr>
          <w:p w:rsidR="0073598A" w:rsidRPr="00EC7F77" w:rsidRDefault="0073598A" w:rsidP="00D75B15">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Residential Portfolio</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Water Heat Program</w:t>
            </w:r>
          </w:p>
        </w:tc>
        <w:tc>
          <w:tcPr>
            <w:tcW w:w="2475" w:type="dxa"/>
            <w:tcBorders>
              <w:left w:val="single" w:sz="6" w:space="0" w:color="1F497D" w:themeColor="text2"/>
            </w:tcBorders>
          </w:tcPr>
          <w:p w:rsidR="0073598A" w:rsidRPr="00EC7F77" w:rsidRDefault="00320BA9"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3</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ENERGY STAR HOMES</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0%</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HVAC Program</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62%</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Shell Program</w:t>
            </w:r>
          </w:p>
        </w:tc>
        <w:tc>
          <w:tcPr>
            <w:tcW w:w="2475" w:type="dxa"/>
            <w:tcBorders>
              <w:left w:val="single" w:sz="6" w:space="0" w:color="1F497D" w:themeColor="text2"/>
            </w:tcBorders>
          </w:tcPr>
          <w:p w:rsidR="0073598A" w:rsidRPr="00EC7F77" w:rsidRDefault="0073598A"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2</w:t>
            </w:r>
            <w:r w:rsidR="00320BA9" w:rsidRPr="00EC7F77">
              <w:rPr>
                <w:rFonts w:cs="Microsoft Sans Serif"/>
                <w:sz w:val="20"/>
              </w:rPr>
              <w:t>9</w:t>
            </w:r>
            <w:r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Opower Behavioral Program</w:t>
            </w:r>
          </w:p>
        </w:tc>
        <w:tc>
          <w:tcPr>
            <w:tcW w:w="2475" w:type="dxa"/>
            <w:tcBorders>
              <w:left w:val="single" w:sz="6" w:space="0" w:color="1F497D" w:themeColor="text2"/>
            </w:tcBorders>
          </w:tcPr>
          <w:p w:rsidR="0073598A" w:rsidRPr="00EC7F77" w:rsidRDefault="00CA476E" w:rsidP="00EC7F77">
            <w:pPr>
              <w:keepNext/>
              <w:tabs>
                <w:tab w:val="clear" w:pos="720"/>
              </w:tabs>
              <w:adjustRightInd w:val="0"/>
              <w:snapToGrid w:val="0"/>
              <w:spacing w:before="60" w:after="60" w:line="240" w:lineRule="auto"/>
              <w:ind w:left="-49"/>
              <w:jc w:val="center"/>
              <w:rPr>
                <w:rFonts w:cs="Microsoft Sans Serif"/>
                <w:sz w:val="20"/>
                <w:highlight w:val="yellow"/>
              </w:rPr>
            </w:pPr>
            <w:r w:rsidRPr="00EC7F77">
              <w:rPr>
                <w:rFonts w:cs="Microsoft Sans Serif"/>
                <w:sz w:val="20"/>
              </w:rPr>
              <w:t>0</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tcPr>
          <w:p w:rsidR="0073598A" w:rsidRPr="00EC7F77" w:rsidRDefault="0073598A" w:rsidP="00D75B15">
            <w:pPr>
              <w:keepNext/>
              <w:tabs>
                <w:tab w:val="clear" w:pos="720"/>
              </w:tabs>
              <w:spacing w:before="60" w:after="60" w:line="240" w:lineRule="auto"/>
              <w:ind w:left="-90"/>
              <w:rPr>
                <w:rFonts w:cs="Microsoft Sans Serif"/>
                <w:sz w:val="20"/>
              </w:rPr>
            </w:pPr>
            <w:r w:rsidRPr="00EC7F77">
              <w:rPr>
                <w:rFonts w:cs="Microsoft Sans Serif"/>
                <w:sz w:val="20"/>
              </w:rPr>
              <w:t>Low Income</w:t>
            </w:r>
          </w:p>
        </w:tc>
        <w:tc>
          <w:tcPr>
            <w:tcW w:w="2475" w:type="dxa"/>
            <w:tcBorders>
              <w:left w:val="single" w:sz="6" w:space="0" w:color="1F497D" w:themeColor="text2"/>
            </w:tcBorders>
          </w:tcPr>
          <w:p w:rsidR="0073598A" w:rsidRPr="00EC7F77" w:rsidRDefault="00320BA9" w:rsidP="00EC7F77">
            <w:pPr>
              <w:keepNext/>
              <w:tabs>
                <w:tab w:val="clear" w:pos="720"/>
              </w:tabs>
              <w:adjustRightInd w:val="0"/>
              <w:snapToGrid w:val="0"/>
              <w:spacing w:before="60" w:after="60" w:line="240" w:lineRule="auto"/>
              <w:ind w:left="-49"/>
              <w:jc w:val="center"/>
              <w:rPr>
                <w:rFonts w:cs="Microsoft Sans Serif"/>
                <w:sz w:val="20"/>
              </w:rPr>
            </w:pPr>
            <w:r w:rsidRPr="00EC7F77">
              <w:rPr>
                <w:rFonts w:cs="Microsoft Sans Serif"/>
                <w:sz w:val="20"/>
              </w:rPr>
              <w:t>6</w:t>
            </w:r>
            <w:r w:rsidR="0073598A" w:rsidRPr="00EC7F77">
              <w:rPr>
                <w:rFonts w:cs="Microsoft Sans Serif"/>
                <w:sz w:val="20"/>
              </w:rPr>
              <w:t>%</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b/>
                <w:bCs/>
                <w:color w:val="000000"/>
                <w:sz w:val="20"/>
              </w:rPr>
            </w:pPr>
            <w:r w:rsidRPr="00EC7F77">
              <w:rPr>
                <w:rFonts w:cs="Microsoft Sans Serif"/>
                <w:b/>
                <w:bCs/>
                <w:color w:val="000000"/>
                <w:sz w:val="20"/>
              </w:rPr>
              <w:t>TOTAL Residential Portfolio</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w:t>
            </w:r>
            <w:r w:rsidR="00CA476E" w:rsidRPr="00EC7F77">
              <w:rPr>
                <w:rFonts w:cs="Microsoft Sans Serif"/>
                <w:color w:val="000000"/>
                <w:sz w:val="20"/>
              </w:rPr>
              <w:t>00</w:t>
            </w:r>
            <w:r w:rsidRPr="00EC7F77">
              <w:rPr>
                <w:rFonts w:cs="Microsoft Sans Serif"/>
                <w:color w:val="000000"/>
                <w:sz w:val="20"/>
              </w:rPr>
              <w:t>%</w:t>
            </w:r>
          </w:p>
        </w:tc>
      </w:tr>
      <w:tr w:rsidR="0073598A" w:rsidRPr="00B35356" w:rsidTr="00320BA9">
        <w:trPr>
          <w:jc w:val="center"/>
        </w:trPr>
        <w:tc>
          <w:tcPr>
            <w:tcW w:w="5913" w:type="dxa"/>
            <w:gridSpan w:val="2"/>
            <w:shd w:val="clear" w:color="auto" w:fill="D9D9D9" w:themeFill="background1" w:themeFillShade="D9"/>
          </w:tcPr>
          <w:p w:rsidR="0073598A" w:rsidRPr="00EC7F77" w:rsidRDefault="009A7530" w:rsidP="00EC7F77">
            <w:pPr>
              <w:pStyle w:val="t"/>
              <w:keepNext/>
              <w:numPr>
                <w:ilvl w:val="0"/>
                <w:numId w:val="2"/>
              </w:numPr>
              <w:tabs>
                <w:tab w:val="clear" w:pos="720"/>
                <w:tab w:val="left" w:pos="-1440"/>
                <w:tab w:val="left" w:pos="-720"/>
              </w:tabs>
              <w:spacing w:before="60" w:after="60" w:line="240" w:lineRule="auto"/>
              <w:ind w:left="-49"/>
              <w:jc w:val="center"/>
              <w:rPr>
                <w:rFonts w:asciiTheme="minorHAnsi" w:hAnsiTheme="minorHAnsi"/>
                <w:sz w:val="20"/>
                <w:szCs w:val="20"/>
              </w:rPr>
            </w:pPr>
            <w:r w:rsidRPr="00EC7F77">
              <w:rPr>
                <w:rFonts w:asciiTheme="minorHAnsi" w:hAnsiTheme="minorHAnsi"/>
                <w:b/>
                <w:bCs/>
                <w:color w:val="000000"/>
                <w:sz w:val="20"/>
                <w:szCs w:val="20"/>
              </w:rPr>
              <w:t>Nonr</w:t>
            </w:r>
            <w:r w:rsidR="0073598A" w:rsidRPr="00EC7F77">
              <w:rPr>
                <w:rFonts w:asciiTheme="minorHAnsi" w:hAnsiTheme="minorHAnsi"/>
                <w:b/>
                <w:bCs/>
                <w:color w:val="000000"/>
                <w:sz w:val="20"/>
                <w:szCs w:val="20"/>
              </w:rPr>
              <w:t>esidential Portfolio</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both"/>
              <w:rPr>
                <w:rFonts w:cs="Microsoft Sans Serif"/>
                <w:color w:val="000000"/>
                <w:sz w:val="20"/>
              </w:rPr>
            </w:pPr>
            <w:r w:rsidRPr="00EC7F77">
              <w:rPr>
                <w:rFonts w:cs="Microsoft Sans Serif"/>
                <w:color w:val="000000"/>
                <w:sz w:val="20"/>
              </w:rPr>
              <w:t>Nonresidential Appliance</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Prescriptive Shell</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3%</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 xml:space="preserve">HVAC </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Food Service Equipment</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73598A" w:rsidP="00D75B15">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Site Specific</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77%</w:t>
            </w:r>
          </w:p>
        </w:tc>
      </w:tr>
      <w:tr w:rsidR="0073598A" w:rsidRPr="00B35356" w:rsidTr="00EC7F77">
        <w:trPr>
          <w:jc w:val="center"/>
        </w:trPr>
        <w:tc>
          <w:tcPr>
            <w:tcW w:w="3438" w:type="dxa"/>
            <w:tcBorders>
              <w:right w:val="single" w:sz="6" w:space="0" w:color="1F497D" w:themeColor="text2"/>
            </w:tcBorders>
            <w:vAlign w:val="bottom"/>
          </w:tcPr>
          <w:p w:rsidR="0073598A" w:rsidRPr="00EC7F77" w:rsidRDefault="009A7530" w:rsidP="00D75B15">
            <w:pPr>
              <w:keepNext/>
              <w:tabs>
                <w:tab w:val="clear" w:pos="-1440"/>
                <w:tab w:val="clear" w:pos="-720"/>
                <w:tab w:val="clear" w:pos="720"/>
              </w:tabs>
              <w:spacing w:before="60" w:after="60" w:line="240" w:lineRule="auto"/>
              <w:ind w:left="0"/>
              <w:rPr>
                <w:rFonts w:cs="Microsoft Sans Serif"/>
                <w:b/>
                <w:bCs/>
                <w:color w:val="000000"/>
                <w:sz w:val="20"/>
              </w:rPr>
            </w:pPr>
            <w:r w:rsidRPr="00EC7F77">
              <w:rPr>
                <w:rFonts w:cs="Microsoft Sans Serif"/>
                <w:b/>
                <w:bCs/>
                <w:color w:val="000000"/>
                <w:sz w:val="20"/>
              </w:rPr>
              <w:t>TOTAL Nonr</w:t>
            </w:r>
            <w:r w:rsidR="0073598A" w:rsidRPr="00EC7F77">
              <w:rPr>
                <w:rFonts w:cs="Microsoft Sans Serif"/>
                <w:b/>
                <w:bCs/>
                <w:color w:val="000000"/>
                <w:sz w:val="20"/>
              </w:rPr>
              <w:t>esidential Portfolio</w:t>
            </w:r>
          </w:p>
        </w:tc>
        <w:tc>
          <w:tcPr>
            <w:tcW w:w="2475" w:type="dxa"/>
            <w:tcBorders>
              <w:left w:val="single" w:sz="6" w:space="0" w:color="1F497D" w:themeColor="text2"/>
            </w:tcBorders>
            <w:vAlign w:val="bottom"/>
          </w:tcPr>
          <w:p w:rsidR="0073598A" w:rsidRPr="00EC7F77" w:rsidRDefault="0073598A" w:rsidP="00EC7F77">
            <w:pPr>
              <w:keepNext/>
              <w:tabs>
                <w:tab w:val="clear" w:pos="-1440"/>
                <w:tab w:val="clear" w:pos="-720"/>
                <w:tab w:val="num" w:pos="720"/>
              </w:tabs>
              <w:adjustRightInd w:val="0"/>
              <w:snapToGrid w:val="0"/>
              <w:spacing w:before="60" w:after="60" w:line="240" w:lineRule="auto"/>
              <w:ind w:left="-49"/>
              <w:jc w:val="center"/>
              <w:rPr>
                <w:rFonts w:cs="Microsoft Sans Serif"/>
                <w:color w:val="000000"/>
                <w:sz w:val="20"/>
              </w:rPr>
            </w:pPr>
            <w:r w:rsidRPr="00EC7F77">
              <w:rPr>
                <w:rFonts w:cs="Microsoft Sans Serif"/>
                <w:color w:val="000000"/>
                <w:sz w:val="20"/>
              </w:rPr>
              <w:t>100%</w:t>
            </w:r>
          </w:p>
        </w:tc>
      </w:tr>
    </w:tbl>
    <w:p w:rsidR="00AB54A3" w:rsidRPr="00AB54A3" w:rsidRDefault="00AB54A3" w:rsidP="00320BA9">
      <w:pPr>
        <w:pStyle w:val="t"/>
      </w:pPr>
    </w:p>
    <w:p w:rsidR="00AB54A3" w:rsidRDefault="00AB54A3" w:rsidP="00116133">
      <w:pPr>
        <w:pStyle w:val="Caption"/>
      </w:pPr>
    </w:p>
    <w:p w:rsidR="00116133" w:rsidRDefault="00116133" w:rsidP="00116133">
      <w:pPr>
        <w:pStyle w:val="Caption"/>
      </w:pPr>
      <w:bookmarkStart w:id="24" w:name="_Ref406278032"/>
      <w:r>
        <w:t xml:space="preserve">Table </w:t>
      </w:r>
      <w:fldSimple w:instr=" STYLEREF 1 \s ">
        <w:r w:rsidR="0067743A">
          <w:rPr>
            <w:noProof/>
          </w:rPr>
          <w:t>2</w:t>
        </w:r>
      </w:fldSimple>
      <w:r w:rsidR="0067743A">
        <w:noBreakHyphen/>
      </w:r>
      <w:fldSimple w:instr=" SEQ Table \* ARABIC \s 1 ">
        <w:r w:rsidR="0067743A">
          <w:rPr>
            <w:noProof/>
          </w:rPr>
          <w:t>2</w:t>
        </w:r>
      </w:fldSimple>
      <w:bookmarkEnd w:id="24"/>
      <w:r>
        <w:t xml:space="preserve">: </w:t>
      </w:r>
      <w:r w:rsidR="0073598A">
        <w:t xml:space="preserve">Percent </w:t>
      </w:r>
      <w:r>
        <w:t xml:space="preserve">WA/ID Electric Program Savings </w:t>
      </w:r>
      <w:r w:rsidR="0073598A">
        <w:t xml:space="preserve">of Total Portfolio </w:t>
      </w:r>
      <w:r w:rsidR="000F5AA6">
        <w:t>(2014-2015)</w:t>
      </w:r>
    </w:p>
    <w:tbl>
      <w:tblPr>
        <w:tblStyle w:val="NEXANTNEWTABLESTYLE"/>
        <w:tblW w:w="0" w:type="auto"/>
        <w:jc w:val="center"/>
        <w:tblLook w:val="04A0" w:firstRow="1" w:lastRow="0" w:firstColumn="1" w:lastColumn="0" w:noHBand="0" w:noVBand="1"/>
      </w:tblPr>
      <w:tblGrid>
        <w:gridCol w:w="3879"/>
        <w:gridCol w:w="9"/>
        <w:gridCol w:w="2421"/>
        <w:gridCol w:w="9"/>
      </w:tblGrid>
      <w:tr w:rsidR="0073598A" w:rsidRPr="00B35356" w:rsidTr="00EC7F77">
        <w:trPr>
          <w:cnfStyle w:val="100000000000" w:firstRow="1" w:lastRow="0" w:firstColumn="0" w:lastColumn="0" w:oddVBand="0" w:evenVBand="0" w:oddHBand="0" w:evenHBand="0" w:firstRowFirstColumn="0" w:firstRowLastColumn="0" w:lastRowFirstColumn="0" w:lastRowLastColumn="0"/>
          <w:jc w:val="center"/>
        </w:trPr>
        <w:tc>
          <w:tcPr>
            <w:tcW w:w="3879" w:type="dxa"/>
            <w:tcBorders>
              <w:right w:val="single" w:sz="6" w:space="0" w:color="FFFFFF" w:themeColor="background1"/>
            </w:tcBorders>
            <w:vAlign w:val="center"/>
          </w:tcPr>
          <w:p w:rsidR="0073598A" w:rsidRPr="00EC7F77" w:rsidRDefault="0073598A" w:rsidP="00EC7F77">
            <w:pPr>
              <w:keepNext/>
              <w:tabs>
                <w:tab w:val="clear" w:pos="-1440"/>
                <w:tab w:val="clear" w:pos="-720"/>
              </w:tabs>
              <w:spacing w:before="60" w:after="60" w:line="240" w:lineRule="auto"/>
              <w:ind w:left="0"/>
              <w:jc w:val="left"/>
              <w:rPr>
                <w:rFonts w:cs="Microsoft Sans Serif"/>
                <w:b w:val="0"/>
                <w:color w:val="auto"/>
                <w:sz w:val="20"/>
              </w:rPr>
            </w:pPr>
            <w:r w:rsidRPr="00EC7F77">
              <w:rPr>
                <w:rFonts w:cs="Microsoft Sans Serif"/>
                <w:sz w:val="20"/>
              </w:rPr>
              <w:t>WA/ID Electric Programs</w:t>
            </w:r>
          </w:p>
        </w:tc>
        <w:tc>
          <w:tcPr>
            <w:tcW w:w="2439" w:type="dxa"/>
            <w:gridSpan w:val="3"/>
            <w:tcBorders>
              <w:left w:val="single" w:sz="6" w:space="0" w:color="FFFFFF" w:themeColor="background1"/>
            </w:tcBorders>
            <w:vAlign w:val="center"/>
          </w:tcPr>
          <w:p w:rsidR="0073598A" w:rsidRPr="00EC7F77" w:rsidRDefault="0073598A" w:rsidP="00EC7F77">
            <w:pPr>
              <w:keepNext/>
              <w:tabs>
                <w:tab w:val="clear" w:pos="-1440"/>
                <w:tab w:val="clear" w:pos="-720"/>
                <w:tab w:val="clear" w:pos="720"/>
              </w:tabs>
              <w:spacing w:before="60" w:after="60" w:line="240" w:lineRule="auto"/>
              <w:ind w:left="0"/>
              <w:rPr>
                <w:rFonts w:cs="Microsoft Sans Serif"/>
                <w:b w:val="0"/>
                <w:color w:val="auto"/>
                <w:sz w:val="20"/>
              </w:rPr>
            </w:pPr>
            <w:r w:rsidRPr="00EC7F77">
              <w:rPr>
                <w:rFonts w:cs="Microsoft Sans Serif"/>
                <w:sz w:val="20"/>
              </w:rPr>
              <w:t>% of Savings of the Portfolio</w:t>
            </w:r>
          </w:p>
        </w:tc>
      </w:tr>
      <w:tr w:rsidR="0073598A" w:rsidRPr="00B35356" w:rsidTr="00EC7F77">
        <w:trPr>
          <w:gridAfter w:val="1"/>
          <w:wAfter w:w="9" w:type="dxa"/>
          <w:jc w:val="center"/>
        </w:trPr>
        <w:tc>
          <w:tcPr>
            <w:tcW w:w="6309" w:type="dxa"/>
            <w:gridSpan w:val="3"/>
            <w:tcBorders>
              <w:bottom w:val="single" w:sz="4" w:space="0" w:color="1F497D" w:themeColor="text2"/>
            </w:tcBorders>
            <w:shd w:val="clear" w:color="auto" w:fill="D9D9D9" w:themeFill="background1" w:themeFillShade="D9"/>
          </w:tcPr>
          <w:p w:rsidR="0073598A" w:rsidRPr="00EC7F77" w:rsidRDefault="0073598A" w:rsidP="00116133">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Residential Portfolio (WA and ID)</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Residential Appliance Recycling</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3</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HVAC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4</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Water Heat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ENERGY STAR HOMES</w:t>
            </w:r>
          </w:p>
        </w:tc>
        <w:tc>
          <w:tcPr>
            <w:tcW w:w="2421" w:type="dxa"/>
            <w:tcBorders>
              <w:left w:val="single" w:sz="6" w:space="0" w:color="1F497D" w:themeColor="text2"/>
            </w:tcBorders>
          </w:tcPr>
          <w:p w:rsidR="0073598A" w:rsidRPr="00EC7F77" w:rsidRDefault="00AF0EF3"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Pr>
                <w:rFonts w:cs="Microsoft Sans Serif"/>
                <w:color w:val="000000"/>
                <w:sz w:val="20"/>
              </w:rPr>
              <w:t>0.5</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Fuel Efficiency</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24</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Residential Lighting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23</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Shell Program</w:t>
            </w:r>
          </w:p>
        </w:tc>
        <w:tc>
          <w:tcPr>
            <w:tcW w:w="2421" w:type="dxa"/>
            <w:tcBorders>
              <w:left w:val="single" w:sz="6" w:space="0" w:color="1F497D" w:themeColor="text2"/>
            </w:tcBorders>
          </w:tcPr>
          <w:p w:rsidR="0073598A" w:rsidRPr="00EC7F77" w:rsidRDefault="00AF0EF3"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Pr>
                <w:rFonts w:cs="Microsoft Sans Serif"/>
                <w:color w:val="000000"/>
                <w:sz w:val="20"/>
              </w:rPr>
              <w:t>6.5</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Opower Behavioral Program</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28</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Low Income</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r w:rsidR="00320BA9" w:rsidRPr="00EC7F77">
              <w:rPr>
                <w:rFonts w:cs="Microsoft Sans Serif"/>
                <w:color w:val="000000"/>
                <w:sz w:val="20"/>
              </w:rPr>
              <w:t>0</w:t>
            </w:r>
            <w:r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jc w:val="center"/>
              <w:rPr>
                <w:rFonts w:cs="Microsoft Sans Serif"/>
                <w:b/>
                <w:bCs/>
                <w:color w:val="000000"/>
                <w:sz w:val="20"/>
              </w:rPr>
            </w:pPr>
            <w:r w:rsidRPr="00EC7F77">
              <w:rPr>
                <w:rFonts w:cs="Microsoft Sans Serif"/>
                <w:b/>
                <w:bCs/>
                <w:color w:val="000000"/>
                <w:sz w:val="20"/>
              </w:rPr>
              <w:t>TOTAL Residential Portfolio</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b/>
                <w:bCs/>
                <w:color w:val="000000"/>
                <w:sz w:val="20"/>
              </w:rPr>
            </w:pPr>
            <w:r w:rsidRPr="00EC7F77">
              <w:rPr>
                <w:rFonts w:cs="Microsoft Sans Serif"/>
                <w:b/>
                <w:bCs/>
                <w:color w:val="000000"/>
                <w:sz w:val="20"/>
              </w:rPr>
              <w:t>100%</w:t>
            </w:r>
          </w:p>
        </w:tc>
      </w:tr>
      <w:tr w:rsidR="0073598A" w:rsidRPr="00B35356" w:rsidTr="00320BA9">
        <w:trPr>
          <w:gridAfter w:val="1"/>
          <w:wAfter w:w="9" w:type="dxa"/>
          <w:jc w:val="center"/>
        </w:trPr>
        <w:tc>
          <w:tcPr>
            <w:tcW w:w="6309" w:type="dxa"/>
            <w:gridSpan w:val="3"/>
            <w:shd w:val="clear" w:color="auto" w:fill="D9D9D9" w:themeFill="background1" w:themeFillShade="D9"/>
          </w:tcPr>
          <w:p w:rsidR="0073598A" w:rsidRPr="00EC7F77" w:rsidRDefault="009A7530" w:rsidP="00444E93">
            <w:pPr>
              <w:pStyle w:val="t"/>
              <w:keepNext/>
              <w:numPr>
                <w:ilvl w:val="0"/>
                <w:numId w:val="2"/>
              </w:numPr>
              <w:tabs>
                <w:tab w:val="clear" w:pos="720"/>
                <w:tab w:val="left" w:pos="-1440"/>
                <w:tab w:val="left" w:pos="-720"/>
              </w:tabs>
              <w:spacing w:before="60" w:after="60" w:line="240" w:lineRule="auto"/>
              <w:ind w:left="0"/>
              <w:jc w:val="center"/>
              <w:rPr>
                <w:rFonts w:asciiTheme="minorHAnsi" w:hAnsiTheme="minorHAnsi"/>
                <w:sz w:val="20"/>
                <w:szCs w:val="20"/>
              </w:rPr>
            </w:pPr>
            <w:r w:rsidRPr="00EC7F77">
              <w:rPr>
                <w:rFonts w:asciiTheme="minorHAnsi" w:hAnsiTheme="minorHAnsi"/>
                <w:b/>
                <w:bCs/>
                <w:color w:val="000000"/>
                <w:sz w:val="20"/>
                <w:szCs w:val="20"/>
              </w:rPr>
              <w:t>Nonr</w:t>
            </w:r>
            <w:r w:rsidR="0073598A" w:rsidRPr="00EC7F77">
              <w:rPr>
                <w:rFonts w:asciiTheme="minorHAnsi" w:hAnsiTheme="minorHAnsi"/>
                <w:b/>
                <w:bCs/>
                <w:color w:val="000000"/>
                <w:sz w:val="20"/>
                <w:szCs w:val="20"/>
              </w:rPr>
              <w:t>esidential Portfolio (WA and ID)</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both"/>
              <w:rPr>
                <w:rFonts w:cs="Microsoft Sans Serif"/>
                <w:color w:val="000000"/>
                <w:sz w:val="20"/>
              </w:rPr>
            </w:pPr>
            <w:r w:rsidRPr="00EC7F77">
              <w:rPr>
                <w:rFonts w:cs="Microsoft Sans Serif"/>
                <w:color w:val="000000"/>
                <w:sz w:val="20"/>
              </w:rPr>
              <w:t>EnergySmart Grocer</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9</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Food Service Equipment</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Green Motors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Comm Motor Controls HVAC</w:t>
            </w:r>
          </w:p>
        </w:tc>
        <w:tc>
          <w:tcPr>
            <w:tcW w:w="2421" w:type="dxa"/>
            <w:tcBorders>
              <w:left w:val="single" w:sz="6" w:space="0" w:color="1F497D" w:themeColor="text2"/>
            </w:tcBorders>
          </w:tcPr>
          <w:p w:rsidR="0073598A" w:rsidRPr="00EC7F77" w:rsidRDefault="00320BA9"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Appliance</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Prescriptive Lighting</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26</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Power Management for PC Networks</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Shell Program</w:t>
            </w:r>
          </w:p>
        </w:tc>
        <w:tc>
          <w:tcPr>
            <w:tcW w:w="2421" w:type="dxa"/>
            <w:tcBorders>
              <w:left w:val="single" w:sz="6" w:space="0" w:color="1F497D" w:themeColor="text2"/>
            </w:tcBorders>
          </w:tcPr>
          <w:p w:rsidR="0073598A" w:rsidRPr="00EC7F77" w:rsidRDefault="0073598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Standby Generator</w:t>
            </w:r>
          </w:p>
        </w:tc>
        <w:tc>
          <w:tcPr>
            <w:tcW w:w="2421" w:type="dxa"/>
            <w:tcBorders>
              <w:left w:val="single" w:sz="6" w:space="0" w:color="1F497D" w:themeColor="text2"/>
            </w:tcBorders>
          </w:tcPr>
          <w:p w:rsidR="0073598A" w:rsidRPr="00EC7F77" w:rsidRDefault="00CA476E"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0%</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Cascade Energy Pilot</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2</w:t>
            </w:r>
            <w:r w:rsidR="0073598A"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73598A"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Site Specific</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56</w:t>
            </w:r>
            <w:r w:rsidR="0073598A" w:rsidRPr="00EC7F77">
              <w:rPr>
                <w:rFonts w:cs="Microsoft Sans Serif"/>
                <w:color w:val="000000"/>
                <w:sz w:val="20"/>
              </w:rPr>
              <w:t>%</w:t>
            </w:r>
          </w:p>
        </w:tc>
      </w:tr>
      <w:tr w:rsidR="00CA476E" w:rsidRPr="00B35356" w:rsidTr="00EC7F77">
        <w:trPr>
          <w:gridAfter w:val="1"/>
          <w:wAfter w:w="9" w:type="dxa"/>
          <w:jc w:val="center"/>
        </w:trPr>
        <w:tc>
          <w:tcPr>
            <w:tcW w:w="3888" w:type="dxa"/>
            <w:gridSpan w:val="2"/>
            <w:tcBorders>
              <w:right w:val="single" w:sz="6" w:space="0" w:color="1F497D" w:themeColor="text2"/>
            </w:tcBorders>
          </w:tcPr>
          <w:p w:rsidR="00CA476E" w:rsidRPr="00EC7F77" w:rsidRDefault="00CA476E"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AirGuardian</w:t>
            </w:r>
          </w:p>
        </w:tc>
        <w:tc>
          <w:tcPr>
            <w:tcW w:w="2421" w:type="dxa"/>
            <w:tcBorders>
              <w:left w:val="single" w:sz="6" w:space="0" w:color="1F497D" w:themeColor="text2"/>
            </w:tcBorders>
          </w:tcPr>
          <w:p w:rsidR="00CA476E" w:rsidRPr="00EC7F77" w:rsidRDefault="00CA476E"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1%</w:t>
            </w:r>
          </w:p>
        </w:tc>
      </w:tr>
      <w:tr w:rsidR="00CA476E" w:rsidRPr="00B35356" w:rsidTr="00EC7F77">
        <w:trPr>
          <w:gridAfter w:val="1"/>
          <w:wAfter w:w="9" w:type="dxa"/>
          <w:jc w:val="center"/>
        </w:trPr>
        <w:tc>
          <w:tcPr>
            <w:tcW w:w="3888" w:type="dxa"/>
            <w:gridSpan w:val="2"/>
            <w:tcBorders>
              <w:right w:val="single" w:sz="6" w:space="0" w:color="1F497D" w:themeColor="text2"/>
            </w:tcBorders>
          </w:tcPr>
          <w:p w:rsidR="00CA476E" w:rsidRPr="00EC7F77" w:rsidRDefault="00CA476E" w:rsidP="00116133">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color w:val="000000"/>
                <w:sz w:val="20"/>
              </w:rPr>
              <w:t>Fleet Heat</w:t>
            </w:r>
          </w:p>
        </w:tc>
        <w:tc>
          <w:tcPr>
            <w:tcW w:w="2421" w:type="dxa"/>
            <w:tcBorders>
              <w:left w:val="single" w:sz="6" w:space="0" w:color="1F497D" w:themeColor="text2"/>
            </w:tcBorders>
          </w:tcPr>
          <w:p w:rsidR="00CA476E"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color w:val="000000"/>
                <w:sz w:val="20"/>
              </w:rPr>
            </w:pPr>
            <w:r w:rsidRPr="00EC7F77">
              <w:rPr>
                <w:rFonts w:cs="Microsoft Sans Serif"/>
                <w:color w:val="000000"/>
                <w:sz w:val="20"/>
              </w:rPr>
              <w:t>3</w:t>
            </w:r>
            <w:r w:rsidR="00CA476E" w:rsidRPr="00EC7F77">
              <w:rPr>
                <w:rFonts w:cs="Microsoft Sans Serif"/>
                <w:color w:val="000000"/>
                <w:sz w:val="20"/>
              </w:rPr>
              <w:t>%</w:t>
            </w:r>
          </w:p>
        </w:tc>
      </w:tr>
      <w:tr w:rsidR="0073598A" w:rsidRPr="00B35356" w:rsidTr="00EC7F77">
        <w:trPr>
          <w:gridAfter w:val="1"/>
          <w:wAfter w:w="9" w:type="dxa"/>
          <w:jc w:val="center"/>
        </w:trPr>
        <w:tc>
          <w:tcPr>
            <w:tcW w:w="3888" w:type="dxa"/>
            <w:gridSpan w:val="2"/>
            <w:tcBorders>
              <w:right w:val="single" w:sz="6" w:space="0" w:color="1F497D" w:themeColor="text2"/>
            </w:tcBorders>
          </w:tcPr>
          <w:p w:rsidR="0073598A" w:rsidRPr="00EC7F77" w:rsidRDefault="009A7530" w:rsidP="009A7530">
            <w:pPr>
              <w:keepNext/>
              <w:tabs>
                <w:tab w:val="clear" w:pos="-1440"/>
                <w:tab w:val="clear" w:pos="-720"/>
                <w:tab w:val="clear" w:pos="720"/>
              </w:tabs>
              <w:spacing w:before="60" w:after="60" w:line="240" w:lineRule="auto"/>
              <w:ind w:left="0"/>
              <w:rPr>
                <w:rFonts w:cs="Microsoft Sans Serif"/>
                <w:color w:val="000000"/>
                <w:sz w:val="20"/>
              </w:rPr>
            </w:pPr>
            <w:r w:rsidRPr="00EC7F77">
              <w:rPr>
                <w:rFonts w:cs="Microsoft Sans Serif"/>
                <w:b/>
                <w:bCs/>
                <w:color w:val="000000"/>
                <w:sz w:val="20"/>
              </w:rPr>
              <w:t>TOTAL Nonr</w:t>
            </w:r>
            <w:r w:rsidR="0073598A" w:rsidRPr="00EC7F77">
              <w:rPr>
                <w:rFonts w:cs="Microsoft Sans Serif"/>
                <w:b/>
                <w:bCs/>
                <w:color w:val="000000"/>
                <w:sz w:val="20"/>
              </w:rPr>
              <w:t>esidential Portfolio</w:t>
            </w:r>
          </w:p>
        </w:tc>
        <w:tc>
          <w:tcPr>
            <w:tcW w:w="2421" w:type="dxa"/>
            <w:tcBorders>
              <w:left w:val="single" w:sz="6" w:space="0" w:color="1F497D" w:themeColor="text2"/>
            </w:tcBorders>
          </w:tcPr>
          <w:p w:rsidR="0073598A" w:rsidRPr="00EC7F77" w:rsidRDefault="009B207A" w:rsidP="00EC7F77">
            <w:pPr>
              <w:keepNext/>
              <w:tabs>
                <w:tab w:val="clear" w:pos="-1440"/>
                <w:tab w:val="clear" w:pos="-720"/>
                <w:tab w:val="num" w:pos="720"/>
              </w:tabs>
              <w:adjustRightInd w:val="0"/>
              <w:snapToGrid w:val="0"/>
              <w:spacing w:before="60" w:after="60" w:line="240" w:lineRule="auto"/>
              <w:ind w:left="0"/>
              <w:jc w:val="center"/>
              <w:rPr>
                <w:rFonts w:cs="Microsoft Sans Serif"/>
                <w:b/>
                <w:color w:val="000000"/>
                <w:sz w:val="20"/>
              </w:rPr>
            </w:pPr>
            <w:r w:rsidRPr="00EC7F77">
              <w:rPr>
                <w:rFonts w:cs="Microsoft Sans Serif"/>
                <w:b/>
                <w:color w:val="000000"/>
                <w:sz w:val="20"/>
              </w:rPr>
              <w:t>100</w:t>
            </w:r>
            <w:r w:rsidR="0073598A" w:rsidRPr="00EC7F77">
              <w:rPr>
                <w:rFonts w:cs="Microsoft Sans Serif"/>
                <w:b/>
                <w:color w:val="000000"/>
                <w:sz w:val="20"/>
              </w:rPr>
              <w:t>%</w:t>
            </w:r>
          </w:p>
        </w:tc>
      </w:tr>
    </w:tbl>
    <w:p w:rsidR="00116133" w:rsidRPr="00116133" w:rsidRDefault="00116133" w:rsidP="00116133">
      <w:pPr>
        <w:pStyle w:val="t"/>
      </w:pPr>
    </w:p>
    <w:p w:rsidR="001655F0" w:rsidRDefault="001655F0" w:rsidP="009D028B">
      <w:pPr>
        <w:pStyle w:val="Heading2"/>
      </w:pPr>
      <w:bookmarkStart w:id="25" w:name="_Toc409095380"/>
      <w:r>
        <w:t>Designing the Sample</w:t>
      </w:r>
      <w:bookmarkEnd w:id="21"/>
      <w:bookmarkEnd w:id="25"/>
    </w:p>
    <w:p w:rsidR="001655F0" w:rsidRDefault="0020111A" w:rsidP="0020111A">
      <w:pPr>
        <w:pStyle w:val="t"/>
        <w:numPr>
          <w:ilvl w:val="0"/>
          <w:numId w:val="2"/>
        </w:numPr>
        <w:spacing w:after="180"/>
        <w:ind w:left="0"/>
      </w:pPr>
      <w:r>
        <w:t xml:space="preserve">Sample development is an important step that enables the evaluation team to deliver meaningful, defensible results to Avista. The evaluation team plans to use stratified random sampling approaches for </w:t>
      </w:r>
      <w:r>
        <w:lastRenderedPageBreak/>
        <w:t xml:space="preserve">much of our data collection activities. Our sampling methodology will be guided by a “value of information” (VOI) framework which allows us to target activities and respondents with expected high impact and yield, while representing the entire population of interest. </w:t>
      </w:r>
      <w:r w:rsidR="001655F0">
        <w:t xml:space="preserve"> VOI focuses budgets and rigor towards the programs/projects with high uncertainty and high impact. </w:t>
      </w:r>
    </w:p>
    <w:p w:rsidR="001655F0" w:rsidRDefault="001655F0" w:rsidP="001655F0">
      <w:pPr>
        <w:pStyle w:val="t"/>
        <w:numPr>
          <w:ilvl w:val="0"/>
          <w:numId w:val="2"/>
        </w:numPr>
        <w:spacing w:after="180"/>
        <w:ind w:left="0"/>
      </w:pPr>
      <w:r>
        <w:t xml:space="preserve">Avista offers a large number of programs across both market segments (residential/nonresidential) and fuel type (electric/gas). </w:t>
      </w:r>
      <w:r w:rsidR="0020111A">
        <w:t>For the sample design</w:t>
      </w:r>
      <w:r>
        <w:t xml:space="preserve">, the </w:t>
      </w:r>
      <w:r w:rsidR="0020111A">
        <w:t>evaluation</w:t>
      </w:r>
      <w:r w:rsidR="001038B6">
        <w:t xml:space="preserve"> </w:t>
      </w:r>
      <w:r w:rsidR="0020111A">
        <w:t>t</w:t>
      </w:r>
      <w:r>
        <w:t xml:space="preserve">eam organized the programs into ‘bins’, segmenting the programs based on two metrics: </w:t>
      </w:r>
    </w:p>
    <w:p w:rsidR="001655F0" w:rsidRDefault="001655F0" w:rsidP="002B3B30">
      <w:pPr>
        <w:pStyle w:val="b"/>
        <w:numPr>
          <w:ilvl w:val="0"/>
          <w:numId w:val="3"/>
        </w:numPr>
        <w:ind w:left="720"/>
      </w:pPr>
      <w:r w:rsidRPr="00385FF5">
        <w:rPr>
          <w:b/>
        </w:rPr>
        <w:t>Program Uncertainty:</w:t>
      </w:r>
      <w:r>
        <w:t xml:space="preserve"> The risks associated with a program’s reported savings (i.e., custom vs. deemed vs. </w:t>
      </w:r>
      <w:r w:rsidR="000F5AA6">
        <w:t>Regional Technical Forum status</w:t>
      </w:r>
      <w:r>
        <w:t xml:space="preserve">), delivery mechanism, and performance goals, etc., broken into three categories: high, medium, and low.  </w:t>
      </w:r>
    </w:p>
    <w:p w:rsidR="001655F0" w:rsidRDefault="001655F0" w:rsidP="002B3B30">
      <w:pPr>
        <w:pStyle w:val="b"/>
        <w:numPr>
          <w:ilvl w:val="0"/>
          <w:numId w:val="3"/>
        </w:numPr>
        <w:ind w:left="720"/>
      </w:pPr>
      <w:r w:rsidRPr="00385FF5">
        <w:rPr>
          <w:b/>
        </w:rPr>
        <w:t>Program Size:</w:t>
      </w:r>
      <w:r>
        <w:t xml:space="preserve"> Either large, or small; based on projected energy savings, and planned budget allocations.</w:t>
      </w:r>
    </w:p>
    <w:p w:rsidR="001655F0" w:rsidRDefault="001655F0" w:rsidP="001655F0">
      <w:pPr>
        <w:pStyle w:val="t"/>
        <w:numPr>
          <w:ilvl w:val="0"/>
          <w:numId w:val="2"/>
        </w:numPr>
        <w:spacing w:after="180"/>
        <w:ind w:left="0"/>
      </w:pPr>
      <w:r>
        <w:t xml:space="preserve">Bins </w:t>
      </w:r>
      <w:r w:rsidR="0020111A">
        <w:t>are</w:t>
      </w:r>
      <w:r>
        <w:t xml:space="preserve"> created for residential and nonresidential programs separately and for electric (WA/ID) and natural gas (WA) programs separately.  </w:t>
      </w:r>
    </w:p>
    <w:p w:rsidR="001655F0" w:rsidRDefault="001655F0" w:rsidP="001655F0">
      <w:pPr>
        <w:pStyle w:val="t"/>
        <w:numPr>
          <w:ilvl w:val="0"/>
          <w:numId w:val="2"/>
        </w:numPr>
        <w:spacing w:after="180"/>
        <w:ind w:left="0"/>
      </w:pPr>
      <w:r>
        <w:t xml:space="preserve">In parallel, we calculate a ‘level of rigor’ value for each program, and based on assumed measure complexity and RTF influence, we identify an appropriate level of sampling and evaluation rigor.  </w:t>
      </w:r>
    </w:p>
    <w:p w:rsidR="001655F0" w:rsidRDefault="001655F0" w:rsidP="002B3B30">
      <w:pPr>
        <w:pStyle w:val="b"/>
        <w:numPr>
          <w:ilvl w:val="0"/>
          <w:numId w:val="3"/>
        </w:numPr>
        <w:ind w:left="720"/>
      </w:pPr>
      <w:r w:rsidRPr="00385FF5">
        <w:rPr>
          <w:b/>
        </w:rPr>
        <w:t>Level of Sampling:</w:t>
      </w:r>
      <w:r>
        <w:t xml:space="preserve"> Defined as confidence/precision for calculating sample sizes, </w:t>
      </w:r>
      <w:r w:rsidR="009B207A">
        <w:t>the evaluation team is using</w:t>
      </w:r>
      <w:r>
        <w:t xml:space="preserve"> three levels:  90/10, 85/15, or 80/20.</w:t>
      </w:r>
    </w:p>
    <w:p w:rsidR="00C00D41" w:rsidRDefault="001655F0" w:rsidP="002B3B30">
      <w:pPr>
        <w:pStyle w:val="t"/>
        <w:numPr>
          <w:ilvl w:val="0"/>
          <w:numId w:val="22"/>
        </w:numPr>
      </w:pPr>
      <w:r w:rsidRPr="00655EF7">
        <w:rPr>
          <w:b/>
        </w:rPr>
        <w:t>Evaluation Rigor:</w:t>
      </w:r>
      <w:r>
        <w:t xml:space="preserve"> Defined as the level of detail used for the evaluation activities, </w:t>
      </w:r>
      <w:r w:rsidR="0020111A">
        <w:t>including</w:t>
      </w:r>
      <w:r>
        <w:t xml:space="preserve"> four levels: document audit, surveys, onsite inspections, and billing analysis.</w:t>
      </w:r>
      <w:r w:rsidR="00FA3EB5">
        <w:t xml:space="preserve"> A detailed discussion of evaluation rigor is provided in </w:t>
      </w:r>
      <w:r w:rsidR="009B207A">
        <w:t xml:space="preserve">Section </w:t>
      </w:r>
      <w:r w:rsidR="009B207A">
        <w:rPr>
          <w:highlight w:val="yellow"/>
        </w:rPr>
        <w:fldChar w:fldCharType="begin"/>
      </w:r>
      <w:r w:rsidR="009B207A">
        <w:instrText xml:space="preserve"> REF _Ref406328071 \r \h </w:instrText>
      </w:r>
      <w:r w:rsidR="009B207A">
        <w:rPr>
          <w:highlight w:val="yellow"/>
        </w:rPr>
      </w:r>
      <w:r w:rsidR="009B207A">
        <w:rPr>
          <w:highlight w:val="yellow"/>
        </w:rPr>
        <w:fldChar w:fldCharType="separate"/>
      </w:r>
      <w:r w:rsidR="00E65485">
        <w:t>2.3</w:t>
      </w:r>
      <w:r w:rsidR="009B207A">
        <w:rPr>
          <w:highlight w:val="yellow"/>
        </w:rPr>
        <w:fldChar w:fldCharType="end"/>
      </w:r>
      <w:r w:rsidR="000F5AA6">
        <w:t xml:space="preserve"> </w:t>
      </w:r>
      <w:r w:rsidR="00FA3EB5">
        <w:t>below.</w:t>
      </w:r>
    </w:p>
    <w:p w:rsidR="0020111A" w:rsidRDefault="0020111A" w:rsidP="0020111A">
      <w:pPr>
        <w:pStyle w:val="t"/>
        <w:numPr>
          <w:ilvl w:val="0"/>
          <w:numId w:val="2"/>
        </w:numPr>
        <w:spacing w:after="60"/>
        <w:ind w:left="0"/>
      </w:pPr>
      <w:r>
        <w:t xml:space="preserve">The evaluation bin identified for each program is one factor in determining the sample size and level of rigor for the evaluation activities. Additional factors that influence the sample size and level of rigor include evaluation costs, </w:t>
      </w:r>
      <w:r w:rsidR="000F5AA6">
        <w:t xml:space="preserve">Regional Technical Forum (RTF) </w:t>
      </w:r>
      <w:r>
        <w:t xml:space="preserve">influence, and findings and recommendations from prior evaluations.  </w:t>
      </w:r>
    </w:p>
    <w:p w:rsidR="0020111A" w:rsidRDefault="0020111A" w:rsidP="00320BA9">
      <w:pPr>
        <w:pStyle w:val="t"/>
        <w:numPr>
          <w:ilvl w:val="0"/>
          <w:numId w:val="2"/>
        </w:numPr>
        <w:spacing w:before="240" w:after="60"/>
        <w:ind w:left="0"/>
      </w:pPr>
      <w:r>
        <w:t>The</w:t>
      </w:r>
      <w:r w:rsidRPr="00611978">
        <w:t xml:space="preserve"> approaches (i.e. level of rigor) for estimating the gross energy savings for the programs being evaluated include: document audit, surveys, site inspections</w:t>
      </w:r>
      <w:r>
        <w:t>,</w:t>
      </w:r>
      <w:r w:rsidRPr="00611978">
        <w:t xml:space="preserve"> and statistical billing analysis. In many cases, a combination of approaches are used to both validate savings and provide insights into any identified discrepancies between reported and verified savings values. </w:t>
      </w:r>
      <w:r>
        <w:t>The sampling strategy for the impact evaluation will a</w:t>
      </w:r>
      <w:r w:rsidRPr="00611978">
        <w:t>lso overlay, as applicable, with the sample approach used for the process evaluation activities in order to obtain information for both the impact and process evaluations during one single on-site inspection and/or survey. This nested sampling approach will help to minimize costs while still maintaining adequate sample sizes.</w:t>
      </w:r>
    </w:p>
    <w:p w:rsidR="009B207A" w:rsidRDefault="009B207A" w:rsidP="009B207A">
      <w:pPr>
        <w:pStyle w:val="t"/>
        <w:numPr>
          <w:ilvl w:val="0"/>
          <w:numId w:val="2"/>
        </w:numPr>
        <w:spacing w:after="120"/>
        <w:ind w:left="0"/>
      </w:pPr>
      <w:r>
        <w:rPr>
          <w:b/>
          <w:i/>
          <w:color w:val="1F497D" w:themeColor="text2"/>
        </w:rPr>
        <w:fldChar w:fldCharType="begin"/>
      </w:r>
      <w:r>
        <w:rPr>
          <w:b/>
          <w:i/>
          <w:color w:val="1F497D" w:themeColor="text2"/>
        </w:rPr>
        <w:instrText xml:space="preserve"> REF _Ref406328639 \h </w:instrText>
      </w:r>
      <w:r>
        <w:rPr>
          <w:b/>
          <w:i/>
          <w:color w:val="1F497D" w:themeColor="text2"/>
        </w:rPr>
      </w:r>
      <w:r>
        <w:rPr>
          <w:b/>
          <w:i/>
          <w:color w:val="1F497D" w:themeColor="text2"/>
        </w:rPr>
        <w:fldChar w:fldCharType="separate"/>
      </w:r>
      <w:r w:rsidR="00EC7F77">
        <w:t xml:space="preserve">Table </w:t>
      </w:r>
      <w:r w:rsidR="00EC7F77">
        <w:rPr>
          <w:noProof/>
        </w:rPr>
        <w:t>2</w:t>
      </w:r>
      <w:r w:rsidR="00EC7F77">
        <w:noBreakHyphen/>
      </w:r>
      <w:r w:rsidR="00EC7F77">
        <w:rPr>
          <w:noProof/>
        </w:rPr>
        <w:t>3</w:t>
      </w:r>
      <w:r>
        <w:rPr>
          <w:b/>
          <w:i/>
          <w:color w:val="1F497D" w:themeColor="text2"/>
        </w:rPr>
        <w:fldChar w:fldCharType="end"/>
      </w:r>
      <w:r>
        <w:rPr>
          <w:b/>
          <w:i/>
          <w:color w:val="1F497D" w:themeColor="text2"/>
        </w:rPr>
        <w:t xml:space="preserve"> </w:t>
      </w:r>
      <w:r w:rsidRPr="00C8061D">
        <w:t>and</w:t>
      </w:r>
      <w:r>
        <w:rPr>
          <w:i/>
        </w:rPr>
        <w:t xml:space="preserve"> </w:t>
      </w:r>
      <w:r>
        <w:rPr>
          <w:color w:val="1F497D" w:themeColor="text2"/>
        </w:rPr>
        <w:fldChar w:fldCharType="begin"/>
      </w:r>
      <w:r>
        <w:rPr>
          <w:i/>
        </w:rPr>
        <w:instrText xml:space="preserve"> REF _Ref406328647 \h </w:instrText>
      </w:r>
      <w:r>
        <w:rPr>
          <w:color w:val="1F497D" w:themeColor="text2"/>
        </w:rPr>
      </w:r>
      <w:r>
        <w:rPr>
          <w:color w:val="1F497D" w:themeColor="text2"/>
        </w:rPr>
        <w:fldChar w:fldCharType="separate"/>
      </w:r>
      <w:r>
        <w:t xml:space="preserve">Table </w:t>
      </w:r>
      <w:r>
        <w:rPr>
          <w:noProof/>
        </w:rPr>
        <w:t>2</w:t>
      </w:r>
      <w:r>
        <w:noBreakHyphen/>
      </w:r>
      <w:r>
        <w:rPr>
          <w:noProof/>
        </w:rPr>
        <w:t>4</w:t>
      </w:r>
      <w:r>
        <w:rPr>
          <w:color w:val="1F497D" w:themeColor="text2"/>
        </w:rPr>
        <w:fldChar w:fldCharType="end"/>
      </w:r>
      <w:r>
        <w:rPr>
          <w:color w:val="1F497D" w:themeColor="text2"/>
        </w:rPr>
        <w:t xml:space="preserve"> </w:t>
      </w:r>
      <w:r w:rsidRPr="00766D74">
        <w:t>show the anticipated confidence/precision level</w:t>
      </w:r>
      <w:r>
        <w:t xml:space="preserve">, planned </w:t>
      </w:r>
      <w:r w:rsidRPr="00766D74">
        <w:t xml:space="preserve">sample sizes </w:t>
      </w:r>
      <w:r>
        <w:t xml:space="preserve">and level of rigor </w:t>
      </w:r>
      <w:r w:rsidRPr="00766D74">
        <w:t>by program</w:t>
      </w:r>
      <w:r>
        <w:t xml:space="preserve"> separately for WA Natural Gas and WA/ID Electric portfolios</w:t>
      </w:r>
      <w:r w:rsidRPr="00766D74">
        <w:t>. The samples are drawn to meet the specified confidence/precision for each program and to meet a 90% confide</w:t>
      </w:r>
      <w:r>
        <w:t xml:space="preserve">nce and 10% precision at the portfolio level. </w:t>
      </w:r>
    </w:p>
    <w:p w:rsidR="009B207A" w:rsidRDefault="009B207A" w:rsidP="009B207A">
      <w:pPr>
        <w:pStyle w:val="Caption"/>
      </w:pPr>
      <w:bookmarkStart w:id="26" w:name="_Ref406328639"/>
      <w:r>
        <w:lastRenderedPageBreak/>
        <w:t xml:space="preserve">Table </w:t>
      </w:r>
      <w:fldSimple w:instr=" STYLEREF 1 \s ">
        <w:r w:rsidR="0067743A">
          <w:rPr>
            <w:noProof/>
          </w:rPr>
          <w:t>2</w:t>
        </w:r>
      </w:fldSimple>
      <w:r w:rsidR="0067743A">
        <w:noBreakHyphen/>
      </w:r>
      <w:fldSimple w:instr=" SEQ Table \* ARABIC \s 1 ">
        <w:r w:rsidR="0067743A">
          <w:rPr>
            <w:noProof/>
          </w:rPr>
          <w:t>3</w:t>
        </w:r>
      </w:fldSimple>
      <w:bookmarkEnd w:id="26"/>
      <w:r>
        <w:t xml:space="preserve">: </w:t>
      </w:r>
      <w:r w:rsidRPr="00835BB6">
        <w:t>Sampling and Evaluation Rigor for WA Natural Gas Programs</w:t>
      </w:r>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9B207A"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B207A" w:rsidRPr="00EC7F77" w:rsidRDefault="009B207A"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Portfolio Program Name</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9B207A" w:rsidRPr="00EC7F77" w:rsidRDefault="009B207A" w:rsidP="00E65485">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9B207A"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rsidR="009B207A" w:rsidRPr="00EC7F77" w:rsidRDefault="009B207A" w:rsidP="0002468C">
            <w:pPr>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9B207A" w:rsidRPr="00B35356" w:rsidTr="00EC7F77">
        <w:trPr>
          <w:trHeight w:val="242"/>
        </w:trPr>
        <w:tc>
          <w:tcPr>
            <w:tcW w:w="9866" w:type="dxa"/>
            <w:gridSpan w:val="6"/>
            <w:tcBorders>
              <w:top w:val="single" w:sz="4" w:space="0" w:color="FFFFFF" w:themeColor="background1"/>
              <w:bottom w:val="single" w:sz="4" w:space="0" w:color="1F497D" w:themeColor="text2"/>
            </w:tcBorders>
            <w:shd w:val="clear" w:color="auto" w:fill="D9D9D9" w:themeFill="background1" w:themeFillShade="D9"/>
            <w:noWrap/>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Residential (WA)</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13</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13</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r w:rsidRPr="00EC7F77">
              <w:rPr>
                <w:rFonts w:cs="Microsoft Sans Serif"/>
                <w:color w:val="000000"/>
                <w:sz w:val="20"/>
                <w:vertAlign w:val="superscript"/>
              </w:rPr>
              <w:t>2</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02468C">
        <w:trPr>
          <w:trHeight w:val="260"/>
        </w:trPr>
        <w:tc>
          <w:tcPr>
            <w:tcW w:w="9866" w:type="dxa"/>
            <w:gridSpan w:val="6"/>
            <w:shd w:val="clear" w:color="auto" w:fill="D9D9D9" w:themeFill="background1" w:themeFillShade="D9"/>
            <w:noWrap/>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Nonresidential (WA)</w:t>
            </w: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EC7F77" w:rsidP="00EC7F77">
            <w:pPr>
              <w:tabs>
                <w:tab w:val="clear" w:pos="-1440"/>
                <w:tab w:val="clear" w:pos="-720"/>
                <w:tab w:val="num" w:pos="720"/>
              </w:tabs>
              <w:adjustRightInd w:val="0"/>
              <w:snapToGrid w:val="0"/>
              <w:spacing w:after="0" w:line="240" w:lineRule="auto"/>
              <w:ind w:left="0" w:hanging="720"/>
              <w:rPr>
                <w:rFonts w:cs="Microsoft Sans Serif"/>
                <w:color w:val="000000"/>
                <w:sz w:val="20"/>
              </w:rPr>
            </w:pPr>
            <w:r>
              <w:rPr>
                <w:rFonts w:cs="Microsoft Sans Serif"/>
                <w:color w:val="000000"/>
                <w:sz w:val="20"/>
              </w:rPr>
              <w:t xml:space="preserve">                Prescriptive Appliance</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Shell</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Food Service Equipment</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444E93">
            <w:pPr>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9B207A" w:rsidRPr="00EC7F77" w:rsidRDefault="009B207A" w:rsidP="0002468C">
            <w:pPr>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0" w:type="dxa"/>
            <w:tcBorders>
              <w:right w:val="single" w:sz="6" w:space="0" w:color="1F497D" w:themeColor="text2"/>
            </w:tcBorders>
            <w:noWrap/>
            <w:hideMark/>
          </w:tcPr>
          <w:p w:rsidR="009B207A" w:rsidRPr="00EC7F77" w:rsidRDefault="009B207A" w:rsidP="0002468C">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18"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43</w:t>
            </w:r>
          </w:p>
        </w:tc>
        <w:tc>
          <w:tcPr>
            <w:tcW w:w="1012" w:type="dxa"/>
            <w:tcBorders>
              <w:left w:val="single" w:sz="6" w:space="0" w:color="1F497D" w:themeColor="text2"/>
              <w:right w:val="single" w:sz="6" w:space="0" w:color="1F497D" w:themeColor="text2"/>
            </w:tcBorders>
            <w:noWrap/>
            <w:vAlign w:val="center"/>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946" w:type="dxa"/>
            <w:tcBorders>
              <w:left w:val="single" w:sz="6" w:space="0" w:color="1F497D" w:themeColor="text2"/>
            </w:tcBorders>
            <w:noWrap/>
            <w:vAlign w:val="center"/>
            <w:hideMark/>
          </w:tcPr>
          <w:p w:rsidR="009B207A" w:rsidRPr="00EC7F77" w:rsidRDefault="009B207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bl>
    <w:p w:rsidR="009B207A" w:rsidRPr="00B35356" w:rsidRDefault="009B207A" w:rsidP="009B207A">
      <w:pPr>
        <w:pStyle w:val="t"/>
        <w:numPr>
          <w:ilvl w:val="0"/>
          <w:numId w:val="2"/>
        </w:numPr>
        <w:spacing w:after="0" w:line="240" w:lineRule="auto"/>
        <w:ind w:left="0"/>
        <w:rPr>
          <w:sz w:val="16"/>
          <w:szCs w:val="16"/>
        </w:rPr>
      </w:pPr>
      <w:r w:rsidRPr="00B35356">
        <w:rPr>
          <w:sz w:val="16"/>
          <w:szCs w:val="16"/>
          <w:vertAlign w:val="superscript"/>
        </w:rPr>
        <w:t>1</w:t>
      </w:r>
      <w:r w:rsidRPr="00B35356">
        <w:rPr>
          <w:sz w:val="16"/>
          <w:szCs w:val="16"/>
        </w:rPr>
        <w:t>Sample sizes for document audit designed to meet C/P target and are based on actual 2014 participation values through October, and 2015 Business Plan values.</w:t>
      </w:r>
    </w:p>
    <w:p w:rsidR="009B207A" w:rsidRPr="00B35356" w:rsidRDefault="009B207A" w:rsidP="009B207A">
      <w:pPr>
        <w:pStyle w:val="t"/>
        <w:numPr>
          <w:ilvl w:val="0"/>
          <w:numId w:val="0"/>
        </w:numPr>
        <w:spacing w:after="120"/>
        <w:rPr>
          <w:sz w:val="16"/>
          <w:szCs w:val="16"/>
        </w:rPr>
      </w:pPr>
      <w:r w:rsidRPr="00B35356">
        <w:rPr>
          <w:sz w:val="16"/>
          <w:szCs w:val="16"/>
          <w:vertAlign w:val="superscript"/>
        </w:rPr>
        <w:t>2</w:t>
      </w:r>
      <w:r w:rsidRPr="00B35356">
        <w:rPr>
          <w:sz w:val="16"/>
          <w:szCs w:val="16"/>
        </w:rPr>
        <w:t>Focus on manufactured homes</w:t>
      </w:r>
    </w:p>
    <w:p w:rsidR="009B207A" w:rsidRDefault="009B207A" w:rsidP="009B207A">
      <w:pPr>
        <w:pStyle w:val="Caption"/>
      </w:pPr>
    </w:p>
    <w:p w:rsidR="009B207A" w:rsidRDefault="009B207A" w:rsidP="009A7530">
      <w:pPr>
        <w:pStyle w:val="Caption"/>
      </w:pPr>
      <w:bookmarkStart w:id="27" w:name="_Ref406328647"/>
      <w:r>
        <w:t xml:space="preserve">Table </w:t>
      </w:r>
      <w:fldSimple w:instr=" STYLEREF 1 \s ">
        <w:r w:rsidR="0067743A">
          <w:rPr>
            <w:noProof/>
          </w:rPr>
          <w:t>2</w:t>
        </w:r>
      </w:fldSimple>
      <w:r w:rsidR="0067743A">
        <w:noBreakHyphen/>
      </w:r>
      <w:fldSimple w:instr=" SEQ Table \* ARABIC \s 1 ">
        <w:r w:rsidR="0067743A">
          <w:rPr>
            <w:noProof/>
          </w:rPr>
          <w:t>4</w:t>
        </w:r>
      </w:fldSimple>
      <w:bookmarkEnd w:id="27"/>
      <w:r>
        <w:t>: Sampling and Evaluation Rigor for WA/ID Electric Programs</w:t>
      </w:r>
    </w:p>
    <w:tbl>
      <w:tblPr>
        <w:tblStyle w:val="NEXANTNEWTABLESTYLE"/>
        <w:tblW w:w="9828" w:type="dxa"/>
        <w:tblLook w:val="04A0" w:firstRow="1" w:lastRow="0" w:firstColumn="1" w:lastColumn="0" w:noHBand="0" w:noVBand="1"/>
      </w:tblPr>
      <w:tblGrid>
        <w:gridCol w:w="3129"/>
        <w:gridCol w:w="1209"/>
        <w:gridCol w:w="1220"/>
        <w:gridCol w:w="1012"/>
        <w:gridCol w:w="1390"/>
        <w:gridCol w:w="1868"/>
      </w:tblGrid>
      <w:tr w:rsidR="009B207A" w:rsidRPr="00B35356" w:rsidTr="00EC7F77">
        <w:trPr>
          <w:cnfStyle w:val="100000000000" w:firstRow="1" w:lastRow="0" w:firstColumn="0" w:lastColumn="0" w:oddVBand="0" w:evenVBand="0" w:oddHBand="0" w:evenHBand="0" w:firstRowFirstColumn="0" w:firstRowLastColumn="0" w:lastRowFirstColumn="0" w:lastRowLastColumn="0"/>
          <w:trHeight w:val="315"/>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B207A" w:rsidRPr="00EC7F77" w:rsidRDefault="009B207A" w:rsidP="00EC7F77">
            <w:pPr>
              <w:keepNext/>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9B207A" w:rsidRPr="00EC7F77" w:rsidRDefault="009B207A" w:rsidP="00E65485">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9B207A" w:rsidRPr="00B35356" w:rsidTr="00EC7F77">
        <w:trPr>
          <w:trHeight w:val="645"/>
        </w:trPr>
        <w:tc>
          <w:tcPr>
            <w:tcW w:w="31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rsidR="009B207A" w:rsidRPr="00EC7F77" w:rsidRDefault="009B207A" w:rsidP="009A7530">
            <w:pPr>
              <w:keepNext/>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rsidR="009B207A" w:rsidRPr="00EC7F77" w:rsidRDefault="009B207A"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9B207A" w:rsidRPr="00B35356" w:rsidTr="00EC7F77">
        <w:trPr>
          <w:trHeight w:val="330"/>
        </w:trPr>
        <w:tc>
          <w:tcPr>
            <w:tcW w:w="9828" w:type="dxa"/>
            <w:gridSpan w:val="6"/>
            <w:tcBorders>
              <w:top w:val="single" w:sz="4" w:space="0" w:color="FFFFFF" w:themeColor="background1"/>
              <w:bottom w:val="single" w:sz="4" w:space="0" w:color="1F497D" w:themeColor="text2"/>
            </w:tcBorders>
            <w:shd w:val="clear" w:color="auto" w:fill="D9D9D9" w:themeFill="background1" w:themeFillShade="D9"/>
            <w:noWrap/>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Residential (WA and ID)</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Appliance Recycling</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Fuel Efficiency</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Lighting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NA</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r w:rsidRPr="00EC7F77">
              <w:rPr>
                <w:rFonts w:cs="Microsoft Sans Serif"/>
                <w:color w:val="000000"/>
                <w:sz w:val="20"/>
                <w:vertAlign w:val="superscript"/>
              </w:rPr>
              <w:t>2</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15"/>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15"/>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63267C" w:rsidP="0063267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w:t>
            </w:r>
            <w:r>
              <w:rPr>
                <w:rFonts w:cs="Microsoft Sans Serif"/>
                <w:color w:val="000000"/>
                <w:sz w:val="20"/>
              </w:rPr>
              <w:t>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9B207A" w:rsidRPr="00B35356" w:rsidTr="0002468C">
        <w:trPr>
          <w:trHeight w:val="300"/>
        </w:trPr>
        <w:tc>
          <w:tcPr>
            <w:tcW w:w="9828" w:type="dxa"/>
            <w:gridSpan w:val="6"/>
            <w:shd w:val="clear" w:color="auto" w:fill="D9D9D9" w:themeFill="background1" w:themeFillShade="D9"/>
            <w:noWrap/>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b/>
                <w:bCs/>
                <w:color w:val="000000"/>
                <w:sz w:val="20"/>
              </w:rPr>
            </w:pPr>
            <w:r w:rsidRPr="00EC7F77">
              <w:rPr>
                <w:rFonts w:cs="Microsoft Sans Serif"/>
                <w:b/>
                <w:bCs/>
                <w:color w:val="000000"/>
                <w:sz w:val="20"/>
              </w:rPr>
              <w:t>Nonresidential (WA and ID)</w:t>
            </w: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both"/>
              <w:rPr>
                <w:rFonts w:cs="Microsoft Sans Serif"/>
                <w:color w:val="000000"/>
                <w:sz w:val="20"/>
              </w:rPr>
            </w:pPr>
            <w:r w:rsidRPr="00EC7F77">
              <w:rPr>
                <w:rFonts w:cs="Microsoft Sans Serif"/>
                <w:color w:val="000000"/>
                <w:sz w:val="20"/>
              </w:rPr>
              <w:t>Prescriptive Lighting</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vertAlign w:val="superscript"/>
              </w:rPr>
            </w:pPr>
            <w:r w:rsidRPr="00EC7F77">
              <w:rPr>
                <w:rFonts w:cs="Microsoft Sans Serif"/>
                <w:color w:val="000000"/>
                <w:sz w:val="20"/>
              </w:rPr>
              <w:t>Prescriptive Non- Lighting</w:t>
            </w:r>
            <w:r w:rsidRPr="00EC7F77">
              <w:rPr>
                <w:rFonts w:cs="Microsoft Sans Serif"/>
                <w:color w:val="000000"/>
                <w:sz w:val="20"/>
                <w:vertAlign w:val="superscript"/>
              </w:rPr>
              <w:t>3</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Cascade Energy Pilot</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B7E4C">
            <w:pPr>
              <w:keepNext/>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9B207A" w:rsidRPr="00EC7F77" w:rsidRDefault="009B207A" w:rsidP="009A7530">
            <w:pPr>
              <w:keepNext/>
              <w:tabs>
                <w:tab w:val="clear" w:pos="-1440"/>
                <w:tab w:val="clear" w:pos="-720"/>
                <w:tab w:val="clear" w:pos="720"/>
              </w:tabs>
              <w:spacing w:after="0" w:line="240" w:lineRule="auto"/>
              <w:ind w:left="0"/>
              <w:jc w:val="center"/>
              <w:rPr>
                <w:rFonts w:cs="Microsoft Sans Serif"/>
                <w:color w:val="000000"/>
                <w:sz w:val="20"/>
              </w:rPr>
            </w:pPr>
          </w:p>
        </w:tc>
      </w:tr>
      <w:tr w:rsidR="009B207A" w:rsidRPr="00B35356" w:rsidTr="00EC7F77">
        <w:trPr>
          <w:trHeight w:val="300"/>
        </w:trPr>
        <w:tc>
          <w:tcPr>
            <w:tcW w:w="3129" w:type="dxa"/>
            <w:tcBorders>
              <w:right w:val="single" w:sz="6" w:space="0" w:color="1F497D" w:themeColor="text2"/>
            </w:tcBorders>
            <w:noWrap/>
            <w:hideMark/>
          </w:tcPr>
          <w:p w:rsidR="009B207A" w:rsidRPr="00EC7F77" w:rsidRDefault="009B207A" w:rsidP="009A7530">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09"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012"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390" w:type="dxa"/>
            <w:tcBorders>
              <w:left w:val="single" w:sz="6" w:space="0" w:color="1F497D" w:themeColor="text2"/>
              <w:righ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868" w:type="dxa"/>
            <w:tcBorders>
              <w:left w:val="single" w:sz="6" w:space="0" w:color="1F497D" w:themeColor="text2"/>
            </w:tcBorders>
            <w:noWrap/>
            <w:vAlign w:val="center"/>
            <w:hideMark/>
          </w:tcPr>
          <w:p w:rsidR="009B207A" w:rsidRPr="00EC7F77" w:rsidRDefault="009B207A" w:rsidP="00EC7F77">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bl>
    <w:p w:rsidR="009B207A" w:rsidRPr="00F30F40" w:rsidRDefault="009B207A" w:rsidP="009A7530">
      <w:pPr>
        <w:pStyle w:val="t"/>
        <w:keepNext/>
        <w:numPr>
          <w:ilvl w:val="0"/>
          <w:numId w:val="2"/>
        </w:numPr>
        <w:spacing w:after="0" w:line="240" w:lineRule="auto"/>
        <w:ind w:left="0"/>
        <w:rPr>
          <w:sz w:val="16"/>
          <w:szCs w:val="16"/>
        </w:rPr>
      </w:pPr>
      <w:r w:rsidRPr="00F30F40">
        <w:rPr>
          <w:sz w:val="16"/>
          <w:szCs w:val="16"/>
          <w:vertAlign w:val="superscript"/>
        </w:rPr>
        <w:t>1</w:t>
      </w:r>
      <w:r w:rsidRPr="00F30F40">
        <w:rPr>
          <w:sz w:val="16"/>
          <w:szCs w:val="16"/>
        </w:rPr>
        <w:t xml:space="preserve">Sample sizes for document audit designed to meet C/P target and are based on </w:t>
      </w:r>
      <w:r>
        <w:rPr>
          <w:sz w:val="16"/>
          <w:szCs w:val="16"/>
        </w:rPr>
        <w:t xml:space="preserve">actual 2014 </w:t>
      </w:r>
      <w:r w:rsidRPr="00F30F40">
        <w:rPr>
          <w:sz w:val="16"/>
          <w:szCs w:val="16"/>
        </w:rPr>
        <w:t xml:space="preserve">participation values </w:t>
      </w:r>
      <w:r>
        <w:rPr>
          <w:sz w:val="16"/>
          <w:szCs w:val="16"/>
        </w:rPr>
        <w:t>through October, and 2015 Business Plan values.</w:t>
      </w:r>
    </w:p>
    <w:p w:rsidR="009B207A" w:rsidRDefault="009B207A" w:rsidP="009A7530">
      <w:pPr>
        <w:pStyle w:val="t"/>
        <w:keepNext/>
        <w:numPr>
          <w:ilvl w:val="0"/>
          <w:numId w:val="2"/>
        </w:numPr>
        <w:spacing w:after="0" w:line="240" w:lineRule="auto"/>
        <w:ind w:left="0"/>
        <w:rPr>
          <w:sz w:val="16"/>
          <w:szCs w:val="16"/>
        </w:rPr>
      </w:pPr>
      <w:r w:rsidRPr="00F30F40">
        <w:rPr>
          <w:sz w:val="16"/>
          <w:szCs w:val="16"/>
          <w:vertAlign w:val="superscript"/>
        </w:rPr>
        <w:t>2</w:t>
      </w:r>
      <w:r w:rsidRPr="00F30F40">
        <w:rPr>
          <w:sz w:val="16"/>
          <w:szCs w:val="16"/>
        </w:rPr>
        <w:t xml:space="preserve"> Denotes sample size for residential lighting program logger study</w:t>
      </w:r>
    </w:p>
    <w:p w:rsidR="009B207A" w:rsidRPr="00F30F40" w:rsidRDefault="009B207A" w:rsidP="009A7530">
      <w:pPr>
        <w:pStyle w:val="t"/>
        <w:keepNext/>
        <w:numPr>
          <w:ilvl w:val="0"/>
          <w:numId w:val="2"/>
        </w:numPr>
        <w:spacing w:after="120"/>
        <w:ind w:left="0"/>
        <w:rPr>
          <w:sz w:val="16"/>
          <w:szCs w:val="16"/>
        </w:rPr>
      </w:pPr>
      <w:r>
        <w:rPr>
          <w:sz w:val="16"/>
          <w:szCs w:val="16"/>
          <w:vertAlign w:val="superscript"/>
        </w:rPr>
        <w:t>3</w:t>
      </w:r>
      <w:r w:rsidRPr="00F30F40">
        <w:rPr>
          <w:sz w:val="16"/>
          <w:szCs w:val="16"/>
        </w:rPr>
        <w:t xml:space="preserve">Please note that for purposes of the evaluation sampling, the </w:t>
      </w:r>
      <w:r w:rsidR="00407F1F">
        <w:rPr>
          <w:sz w:val="16"/>
          <w:szCs w:val="16"/>
        </w:rPr>
        <w:t>evaluation t</w:t>
      </w:r>
      <w:r w:rsidRPr="00F30F40">
        <w:rPr>
          <w:sz w:val="16"/>
          <w:szCs w:val="16"/>
        </w:rPr>
        <w:t xml:space="preserve">eam has bundled the following </w:t>
      </w:r>
      <w:r w:rsidR="009D0D41">
        <w:rPr>
          <w:sz w:val="16"/>
          <w:szCs w:val="16"/>
        </w:rPr>
        <w:t>Nonresidential</w:t>
      </w:r>
      <w:r w:rsidRPr="00F30F40">
        <w:rPr>
          <w:sz w:val="16"/>
          <w:szCs w:val="16"/>
        </w:rPr>
        <w:t xml:space="preserve"> Electric Programs into one program titled ‘Prescriptive Non-Lighting’: EnergySmart Grocer, Food Service Equipment, Green Motors, Commercial Motor Controls HVAC, Appliance, </w:t>
      </w:r>
      <w:proofErr w:type="gramStart"/>
      <w:r w:rsidRPr="00F30F40">
        <w:rPr>
          <w:sz w:val="16"/>
          <w:szCs w:val="16"/>
        </w:rPr>
        <w:t>Power</w:t>
      </w:r>
      <w:proofErr w:type="gramEnd"/>
      <w:r w:rsidRPr="00F30F40">
        <w:rPr>
          <w:sz w:val="16"/>
          <w:szCs w:val="16"/>
        </w:rPr>
        <w:t xml:space="preserve"> Management for PC Networks, Shell,</w:t>
      </w:r>
      <w:r>
        <w:rPr>
          <w:sz w:val="16"/>
          <w:szCs w:val="16"/>
        </w:rPr>
        <w:t xml:space="preserve"> Fleet Heat, AirGuardian</w:t>
      </w:r>
      <w:r w:rsidRPr="00F30F40">
        <w:rPr>
          <w:sz w:val="16"/>
          <w:szCs w:val="16"/>
        </w:rPr>
        <w:t xml:space="preserve"> and Standby Generator.</w:t>
      </w:r>
    </w:p>
    <w:p w:rsidR="00BC1672" w:rsidRPr="00646AC7" w:rsidRDefault="00714BCF" w:rsidP="00320BA9">
      <w:pPr>
        <w:pStyle w:val="Heading2"/>
        <w:tabs>
          <w:tab w:val="left" w:pos="720"/>
        </w:tabs>
        <w:spacing w:before="240"/>
        <w:rPr>
          <w:color w:val="FF0000"/>
        </w:rPr>
      </w:pPr>
      <w:bookmarkStart w:id="28" w:name="_Toc406154995"/>
      <w:bookmarkStart w:id="29" w:name="_Toc406154996"/>
      <w:bookmarkStart w:id="30" w:name="_Toc406154997"/>
      <w:bookmarkStart w:id="31" w:name="_Toc406155001"/>
      <w:bookmarkStart w:id="32" w:name="_Toc406155071"/>
      <w:bookmarkStart w:id="33" w:name="_Ref406328071"/>
      <w:bookmarkStart w:id="34" w:name="_Toc409095381"/>
      <w:bookmarkEnd w:id="28"/>
      <w:bookmarkEnd w:id="29"/>
      <w:bookmarkEnd w:id="30"/>
      <w:bookmarkEnd w:id="31"/>
      <w:bookmarkEnd w:id="32"/>
      <w:r>
        <w:t>Conducting</w:t>
      </w:r>
      <w:r w:rsidR="00BC1672" w:rsidRPr="00646AC7">
        <w:t xml:space="preserve"> Gross-Verified </w:t>
      </w:r>
      <w:r>
        <w:t>Activities</w:t>
      </w:r>
      <w:bookmarkEnd w:id="33"/>
      <w:bookmarkEnd w:id="34"/>
      <w:r w:rsidR="00137064" w:rsidRPr="00646AC7">
        <w:t xml:space="preserve"> </w:t>
      </w:r>
    </w:p>
    <w:p w:rsidR="001513D5" w:rsidRDefault="001513D5" w:rsidP="001513D5">
      <w:pPr>
        <w:pStyle w:val="t"/>
      </w:pPr>
      <w:r>
        <w:t>Based on data and information gathered as part of the evaluation activities chosen for each project and program, the evaluation team will calculate the verified energy savings for each sampled project. We will leverage existing calculations and methods that are available for review and are presented in a transparent and complete way. This also applies to those cases where the RTF has existing unit energy savings for the measure being evaluated. In some cases (such as for a measure that does not have an RTF-approved UES or for the Site Specific projects), we may conclude that savings estimates and reports are either not adequately supported or are not appropriate to the weather zone or service territory. In these cases, we will provide ground-up methods and calculations. We will use accepted evaluation practice</w:t>
      </w:r>
      <w:r w:rsidR="00444E93">
        <w:t>s</w:t>
      </w:r>
      <w:r>
        <w:t xml:space="preserve"> to extrapolate savings and realization rates from our sample findings.</w:t>
      </w:r>
    </w:p>
    <w:p w:rsidR="00C00D41" w:rsidRDefault="00C00D41" w:rsidP="009D028B">
      <w:pPr>
        <w:pStyle w:val="t"/>
        <w:numPr>
          <w:ilvl w:val="0"/>
          <w:numId w:val="2"/>
        </w:numPr>
        <w:spacing w:before="240"/>
        <w:ind w:left="0"/>
      </w:pPr>
      <w:r>
        <w:t xml:space="preserve">The estimation of gross verified energy savings will occur through one or more levels of ‘evaluation rigor’. The four levels of rigor </w:t>
      </w:r>
      <w:r w:rsidR="00FA3EB5">
        <w:t xml:space="preserve">that </w:t>
      </w:r>
      <w:r w:rsidR="00EB7E4C">
        <w:t xml:space="preserve">will </w:t>
      </w:r>
      <w:r w:rsidR="00FA3EB5">
        <w:t>be used for the Avista evaluation include</w:t>
      </w:r>
      <w:r>
        <w:t xml:space="preserve"> document audit, surveys, onsite inspections, and billing analysis. Each of these approaches is outlined in more detail in the following sections. </w:t>
      </w:r>
    </w:p>
    <w:p w:rsidR="00C00D41" w:rsidRPr="00685E9A" w:rsidRDefault="00C00D41" w:rsidP="00531D0A">
      <w:pPr>
        <w:pStyle w:val="Heading3"/>
      </w:pPr>
      <w:bookmarkStart w:id="35" w:name="_Toc409095382"/>
      <w:r w:rsidRPr="00685E9A">
        <w:lastRenderedPageBreak/>
        <w:t>Document Audit</w:t>
      </w:r>
      <w:bookmarkEnd w:id="35"/>
      <w:r w:rsidRPr="00685E9A">
        <w:t xml:space="preserve"> </w:t>
      </w:r>
    </w:p>
    <w:p w:rsidR="00C00D41" w:rsidRDefault="00C00D41" w:rsidP="00C00D41">
      <w:pPr>
        <w:pStyle w:val="t"/>
        <w:numPr>
          <w:ilvl w:val="0"/>
          <w:numId w:val="2"/>
        </w:numPr>
        <w:spacing w:after="120"/>
        <w:ind w:left="0"/>
      </w:pPr>
      <w:r>
        <w:t xml:space="preserve">The first level of rigor to be utilized in the evaluation activities is to conduct a document audit of all sampled projects, for which documentation exists. Document audits are also a critical precursor to conducting telephone surveys and onsite inspections and more specifically for the determination of project-specific variables to be collected during these activities. The document audit for each sampled project will seek to answer the following questions: </w:t>
      </w:r>
    </w:p>
    <w:p w:rsidR="00C00D41" w:rsidRDefault="00C00D41" w:rsidP="002B3B30">
      <w:pPr>
        <w:pStyle w:val="t"/>
        <w:numPr>
          <w:ilvl w:val="0"/>
          <w:numId w:val="18"/>
        </w:numPr>
        <w:spacing w:before="60" w:after="60"/>
        <w:ind w:hanging="360"/>
      </w:pPr>
      <w:r>
        <w:t>Are the data files of the sampled projects complete, well documented and adequate for calculation and reporting of the savings?</w:t>
      </w:r>
    </w:p>
    <w:p w:rsidR="00C00D41" w:rsidRDefault="00C00D41" w:rsidP="002B3B30">
      <w:pPr>
        <w:pStyle w:val="t"/>
        <w:numPr>
          <w:ilvl w:val="0"/>
          <w:numId w:val="18"/>
        </w:numPr>
        <w:spacing w:before="60" w:after="60"/>
        <w:ind w:hanging="360"/>
      </w:pPr>
      <w:r>
        <w:t>Are the calculation methods used correctly applied, appropriate and accurate?</w:t>
      </w:r>
    </w:p>
    <w:p w:rsidR="00C00D41" w:rsidRDefault="00C00D41" w:rsidP="002B3B30">
      <w:pPr>
        <w:pStyle w:val="t"/>
        <w:numPr>
          <w:ilvl w:val="0"/>
          <w:numId w:val="18"/>
        </w:numPr>
        <w:spacing w:before="60"/>
        <w:ind w:hanging="360"/>
      </w:pPr>
      <w:r>
        <w:t>Are all necessary fields properly populated?</w:t>
      </w:r>
    </w:p>
    <w:p w:rsidR="00C00D41" w:rsidRPr="00626DCF" w:rsidRDefault="00BC1672" w:rsidP="00531D0A">
      <w:pPr>
        <w:pStyle w:val="Heading3"/>
      </w:pPr>
      <w:r>
        <w:t xml:space="preserve"> </w:t>
      </w:r>
      <w:bookmarkStart w:id="36" w:name="_Toc409095383"/>
      <w:r w:rsidR="00C00D41" w:rsidRPr="00626DCF">
        <w:t>Telephone Survey</w:t>
      </w:r>
      <w:bookmarkEnd w:id="36"/>
      <w:r w:rsidR="00C00D41" w:rsidRPr="00626DCF">
        <w:t xml:space="preserve"> </w:t>
      </w:r>
    </w:p>
    <w:p w:rsidR="00C00D41" w:rsidRDefault="00C00D41" w:rsidP="00C00D41">
      <w:pPr>
        <w:pStyle w:val="t"/>
        <w:numPr>
          <w:ilvl w:val="0"/>
          <w:numId w:val="2"/>
        </w:numPr>
        <w:ind w:left="0"/>
      </w:pPr>
      <w:r>
        <w:t xml:space="preserve">A second level of evaluation rigor is to conduct stand-alone telephone surveys </w:t>
      </w:r>
      <w:r w:rsidR="00B17035">
        <w:t xml:space="preserve">with </w:t>
      </w:r>
      <w:r>
        <w:t xml:space="preserve">program participants. Telephone surveys will be utilized to gather information on the energy efficiency measure implemented, the key parameters needed to verify the assumptions utilized by RTF for approved values or to estimate verified energy savings, and any baseline data that may be available from the participant. Surveys conducted for the process evaluation activities will include questions relevant to the impact evaluation, and vice versa, when applicable. </w:t>
      </w:r>
    </w:p>
    <w:p w:rsidR="00C00D41" w:rsidRDefault="00C00D41" w:rsidP="00C00D41">
      <w:pPr>
        <w:pStyle w:val="t"/>
        <w:numPr>
          <w:ilvl w:val="0"/>
          <w:numId w:val="2"/>
        </w:numPr>
        <w:ind w:left="0"/>
      </w:pPr>
      <w:r>
        <w:t>Standard data collection input forms will be developed for use by field and telephone survey engineers and for ease of input into a data collection database. Our standard approach and the approach we will use are as follows:</w:t>
      </w:r>
    </w:p>
    <w:p w:rsidR="00C00D41" w:rsidRDefault="00C00D41" w:rsidP="002B3B30">
      <w:pPr>
        <w:pStyle w:val="t"/>
        <w:numPr>
          <w:ilvl w:val="0"/>
          <w:numId w:val="19"/>
        </w:numPr>
        <w:ind w:hanging="360"/>
      </w:pPr>
      <w:r>
        <w:t>Select information that we need to perform the needed impact evaluation tasks and develop appropriate survey questions to gather this information during a telephone conversation.</w:t>
      </w:r>
    </w:p>
    <w:p w:rsidR="00C00D41" w:rsidRDefault="00C00D41" w:rsidP="002B3B30">
      <w:pPr>
        <w:pStyle w:val="t"/>
        <w:numPr>
          <w:ilvl w:val="0"/>
          <w:numId w:val="19"/>
        </w:numPr>
        <w:ind w:hanging="360"/>
      </w:pPr>
      <w:r>
        <w:t>Build a database form to allow for quick and easy population of tables with data and information once information is gathered through the survey implementation.</w:t>
      </w:r>
    </w:p>
    <w:p w:rsidR="00C00D41" w:rsidRPr="00626DCF" w:rsidRDefault="00C00D41" w:rsidP="00531D0A">
      <w:pPr>
        <w:pStyle w:val="Heading3"/>
      </w:pPr>
      <w:bookmarkStart w:id="37" w:name="_Toc409095384"/>
      <w:r w:rsidRPr="00626DCF">
        <w:t>Onsite Inspections</w:t>
      </w:r>
      <w:bookmarkEnd w:id="37"/>
    </w:p>
    <w:p w:rsidR="00C00D41" w:rsidRDefault="00C00D41" w:rsidP="00C00D41">
      <w:pPr>
        <w:pStyle w:val="t"/>
        <w:numPr>
          <w:ilvl w:val="0"/>
          <w:numId w:val="2"/>
        </w:numPr>
        <w:ind w:left="0"/>
      </w:pPr>
      <w:r>
        <w:t xml:space="preserve">A higher level of rigor for the evaluation activities is to conduct onsite measurement and verification on a select sample of projects. Prior to conducting site inspections, it is important for the field engineer to understand the project that they are going onsite to verify. This understanding, therefore, corresponds with the document audit task discussed in the prior section. For all onsite inspections, a telephone survey will serve as an introduction to the evaluation activities and will be used to confirm that the customer participated in the program, confirm the appropriate contact, and to verify basic information such as building type and building size. On-site recruitments will be made during the telephone survey and will be scheduled with a Nexant field engineer. </w:t>
      </w:r>
    </w:p>
    <w:p w:rsidR="00C00D41" w:rsidRDefault="00C00D41" w:rsidP="00C00D41">
      <w:pPr>
        <w:pStyle w:val="t"/>
        <w:numPr>
          <w:ilvl w:val="0"/>
          <w:numId w:val="2"/>
        </w:numPr>
        <w:ind w:left="0"/>
      </w:pPr>
      <w:r>
        <w:t>Site inspections are the key to the accurate evaluation of programs and represent a significant</w:t>
      </w:r>
      <w:r w:rsidR="00D20C3F">
        <w:t xml:space="preserve"> portion of the effort for the evaluation of the non</w:t>
      </w:r>
      <w:r>
        <w:t xml:space="preserve">residential portfolio. Because of the importance of the task, the </w:t>
      </w:r>
      <w:r w:rsidR="003F17F3">
        <w:t>evaluation team</w:t>
      </w:r>
      <w:r>
        <w:t xml:space="preserve"> will work to ensure that site inspections are carefully planned and executed and that </w:t>
      </w:r>
      <w:r>
        <w:lastRenderedPageBreak/>
        <w:t>site inspectors have the appropriate experience and training. Field engineers will be fully equipped to perform a comprehensive audit with all the necessary data loggers, tools, and complete survey tools or PC tablets. Steps in the site inspection process are as follows:</w:t>
      </w:r>
    </w:p>
    <w:p w:rsidR="00C00D41" w:rsidRDefault="00C00D41" w:rsidP="002B3B30">
      <w:pPr>
        <w:pStyle w:val="t"/>
        <w:numPr>
          <w:ilvl w:val="0"/>
          <w:numId w:val="20"/>
        </w:numPr>
        <w:ind w:hanging="360"/>
      </w:pPr>
      <w:r>
        <w:t xml:space="preserve">Train site inspectors so that they can successfully collect the needed site-specific information. It is important that the inspectors are trained not only on the engineering aspects, but also on proper protocols and interaction with facility staff to ensure that the necessary data is collected and that utilities’ relationship with its customers is not damaged, but rather is enhanced. </w:t>
      </w:r>
    </w:p>
    <w:p w:rsidR="00C00D41" w:rsidRDefault="00C00D41" w:rsidP="002B3B30">
      <w:pPr>
        <w:pStyle w:val="t"/>
        <w:numPr>
          <w:ilvl w:val="0"/>
          <w:numId w:val="20"/>
        </w:numPr>
        <w:ind w:hanging="360"/>
      </w:pPr>
      <w:r>
        <w:t>Group inspections by geographic location to minimize time allocation, labor and direct costs associated with getting to and conducting site inspections.</w:t>
      </w:r>
    </w:p>
    <w:p w:rsidR="00C00D41" w:rsidRDefault="00C00D41" w:rsidP="002B3B30">
      <w:pPr>
        <w:pStyle w:val="t"/>
        <w:numPr>
          <w:ilvl w:val="0"/>
          <w:numId w:val="20"/>
        </w:numPr>
        <w:ind w:hanging="360"/>
      </w:pPr>
      <w:r>
        <w:t>Perform site inspections and enter all needed data into the program evaluation database developed specifically for Avista.</w:t>
      </w:r>
    </w:p>
    <w:p w:rsidR="00FA3EB5" w:rsidRPr="00E8594E" w:rsidRDefault="00FA3EB5" w:rsidP="00FA3EB5">
      <w:pPr>
        <w:pStyle w:val="t"/>
        <w:numPr>
          <w:ilvl w:val="0"/>
          <w:numId w:val="2"/>
        </w:numPr>
        <w:ind w:left="0"/>
      </w:pPr>
      <w:r w:rsidRPr="00E8594E">
        <w:t xml:space="preserve">The </w:t>
      </w:r>
      <w:r w:rsidR="00714BCF">
        <w:t>evaluation</w:t>
      </w:r>
      <w:r w:rsidRPr="00E8594E">
        <w:t xml:space="preserve"> </w:t>
      </w:r>
      <w:r w:rsidR="00714BCF">
        <w:t>t</w:t>
      </w:r>
      <w:r w:rsidRPr="00E8594E">
        <w:t xml:space="preserve">eam </w:t>
      </w:r>
      <w:r w:rsidR="00714BCF">
        <w:t>will conduct</w:t>
      </w:r>
      <w:r w:rsidRPr="00E8594E">
        <w:t xml:space="preserve"> two levels of rigor associated with the onsite inspections – measurement AND verification (M&amp;V) and verification-only (V). Upon review of the project documents, the </w:t>
      </w:r>
      <w:r w:rsidR="00714BCF">
        <w:t>evaluation team</w:t>
      </w:r>
      <w:r w:rsidRPr="00E8594E">
        <w:t xml:space="preserve"> will decide which level of rigor is appropriate for each sampled project/measure. In cases where the measure being evaluated has an approved RTF UES value, the </w:t>
      </w:r>
      <w:r w:rsidR="00714BCF">
        <w:t>evaluation team’s</w:t>
      </w:r>
      <w:r w:rsidRPr="00E8594E">
        <w:t xml:space="preserve"> effort will focus on verifying quality and quantity of installation to apply the RTF UES values to. We will also gather information that ties into the RTF UES value as appropriate (examples could include heating/cooling fuel type, occupancy, operating hours, etc.). </w:t>
      </w:r>
    </w:p>
    <w:p w:rsidR="00FA3EB5" w:rsidRDefault="00FA3EB5" w:rsidP="00FA3EB5">
      <w:pPr>
        <w:pStyle w:val="t"/>
        <w:numPr>
          <w:ilvl w:val="0"/>
          <w:numId w:val="2"/>
        </w:numPr>
        <w:ind w:left="0"/>
      </w:pPr>
      <w:r>
        <w:t xml:space="preserve">For projects selected for measurement &amp; verification, an M&amp;V plan will be developed for each project based on our review of the calculation methods and assumptions used for determining measure-level energy savings (if available). These plans will aid in understanding what data to collect while on-site and during the telephone survey in order to calculate gross verified savings for each sampled project. </w:t>
      </w:r>
      <w:r w:rsidR="00CA65E2">
        <w:t>The</w:t>
      </w:r>
      <w:r>
        <w:t xml:space="preserve"> review may result in different energy savings values as reported by Avista, depending on the accuracy of reporting and assumption used by Avista and its contractors.  </w:t>
      </w:r>
    </w:p>
    <w:p w:rsidR="00FA3EB5" w:rsidRDefault="00FA3EB5" w:rsidP="00FA3EB5">
      <w:pPr>
        <w:pStyle w:val="t"/>
        <w:numPr>
          <w:ilvl w:val="0"/>
          <w:numId w:val="2"/>
        </w:numPr>
        <w:ind w:left="0"/>
      </w:pPr>
      <w:r>
        <w:t>M&amp;V plans developed for each project type will be developed with adherence to the IPMVP. The broad categories of the IPMVP are as follows:</w:t>
      </w:r>
    </w:p>
    <w:p w:rsidR="00FA3EB5" w:rsidRDefault="00FA3EB5" w:rsidP="002B3B30">
      <w:pPr>
        <w:pStyle w:val="b"/>
        <w:numPr>
          <w:ilvl w:val="0"/>
          <w:numId w:val="3"/>
        </w:numPr>
        <w:ind w:left="720"/>
      </w:pPr>
      <w:r>
        <w:t>Option A, Retrofit Isolation: Key Parameter Measurement – This method uses engineering calculations, along with partial site measurements, to verify the savings resulting from specific measures.</w:t>
      </w:r>
    </w:p>
    <w:p w:rsidR="00FA3EB5" w:rsidRDefault="00FA3EB5" w:rsidP="002B3B30">
      <w:pPr>
        <w:pStyle w:val="b"/>
        <w:numPr>
          <w:ilvl w:val="0"/>
          <w:numId w:val="3"/>
        </w:numPr>
        <w:ind w:left="720"/>
      </w:pPr>
      <w:r>
        <w:t>Option B, Retrofit Isolation: All Parameter Measurement – This method uses engineering calculations, along with ongoing site measurements, to verify the savings resulting from specific measures.</w:t>
      </w:r>
    </w:p>
    <w:p w:rsidR="00FA3EB5" w:rsidRDefault="00FA3EB5" w:rsidP="002B3B30">
      <w:pPr>
        <w:pStyle w:val="b"/>
        <w:numPr>
          <w:ilvl w:val="0"/>
          <w:numId w:val="3"/>
        </w:numPr>
        <w:ind w:left="720"/>
      </w:pPr>
      <w:r>
        <w:t>Option C, Whole Facility – This method utilizes whole-facility energy usage information, most often focusing on a utility bill analysis, to evaluate savings.</w:t>
      </w:r>
    </w:p>
    <w:p w:rsidR="00FA3EB5" w:rsidRDefault="00FA3EB5" w:rsidP="002B3B30">
      <w:pPr>
        <w:pStyle w:val="b"/>
        <w:numPr>
          <w:ilvl w:val="0"/>
          <w:numId w:val="3"/>
        </w:numPr>
        <w:ind w:left="720"/>
      </w:pPr>
      <w:r>
        <w:t>Option D, Calibrated Simulation – Computer energy models are employed to calculate savings as a function of the important independent variables. The models must include verified inputs that accurately characterize the project and must be calibrated to match actual energy usage.</w:t>
      </w:r>
    </w:p>
    <w:p w:rsidR="00FA3EB5" w:rsidRDefault="00FA3EB5" w:rsidP="00FA3EB5">
      <w:pPr>
        <w:pStyle w:val="t"/>
        <w:numPr>
          <w:ilvl w:val="0"/>
          <w:numId w:val="0"/>
        </w:numPr>
      </w:pPr>
      <w:r>
        <w:lastRenderedPageBreak/>
        <w:t xml:space="preserve">In addition, the </w:t>
      </w:r>
      <w:r w:rsidR="002613C5">
        <w:t>evaluation team</w:t>
      </w:r>
      <w:r w:rsidR="00AD1C95">
        <w:t xml:space="preserve"> </w:t>
      </w:r>
      <w:r w:rsidR="002613C5">
        <w:t>will</w:t>
      </w:r>
      <w:r>
        <w:t xml:space="preserve"> conduct metering tasks on a subset of the on-site inspection sample chosen for M&amp;V level of rigor. Projects will be selected for metering activities based on the measure type, project complexity, and the level of information needed in order to estimate gross savings for the project. </w:t>
      </w:r>
    </w:p>
    <w:p w:rsidR="00FA3EB5" w:rsidRPr="00626DCF" w:rsidRDefault="00FA3EB5" w:rsidP="00531D0A">
      <w:pPr>
        <w:pStyle w:val="Heading3"/>
      </w:pPr>
      <w:bookmarkStart w:id="38" w:name="_Ref406488886"/>
      <w:bookmarkStart w:id="39" w:name="_Ref406488897"/>
      <w:bookmarkStart w:id="40" w:name="_Toc409095385"/>
      <w:r w:rsidRPr="00626DCF">
        <w:t>Billing Analysis</w:t>
      </w:r>
      <w:bookmarkEnd w:id="38"/>
      <w:bookmarkEnd w:id="39"/>
      <w:bookmarkEnd w:id="40"/>
    </w:p>
    <w:p w:rsidR="00FA3EB5" w:rsidRDefault="00FA3EB5" w:rsidP="00FA3EB5">
      <w:pPr>
        <w:pStyle w:val="t"/>
        <w:numPr>
          <w:ilvl w:val="0"/>
          <w:numId w:val="2"/>
        </w:numPr>
        <w:ind w:left="0"/>
      </w:pPr>
      <w:r>
        <w:t xml:space="preserve">The final evaluation level of rigor </w:t>
      </w:r>
      <w:r w:rsidR="002613C5">
        <w:t>to be conducted</w:t>
      </w:r>
      <w:r>
        <w:t xml:space="preserve"> is billing analysis, which the </w:t>
      </w:r>
      <w:r w:rsidR="002613C5">
        <w:t>evaluation</w:t>
      </w:r>
      <w:r>
        <w:t xml:space="preserve"> </w:t>
      </w:r>
      <w:r w:rsidR="002613C5">
        <w:t>te</w:t>
      </w:r>
      <w:r>
        <w:t xml:space="preserve">am </w:t>
      </w:r>
      <w:r w:rsidR="002613C5">
        <w:t>will</w:t>
      </w:r>
      <w:r>
        <w:t xml:space="preserve"> conduct on a handful of residential programs in both the electric and natural gas portfolios, including the Opower Behavioral Program, which has a relatively large share of the overall residential portfolio targets for 2014.  </w:t>
      </w:r>
    </w:p>
    <w:p w:rsidR="00FA3EB5" w:rsidRDefault="00FA3EB5" w:rsidP="00FA3EB5">
      <w:pPr>
        <w:pStyle w:val="t"/>
        <w:numPr>
          <w:ilvl w:val="0"/>
          <w:numId w:val="2"/>
        </w:numPr>
        <w:ind w:left="0"/>
      </w:pPr>
      <w:r>
        <w:t xml:space="preserve">The majority of the residential programs </w:t>
      </w:r>
      <w:r w:rsidR="004F1742">
        <w:t xml:space="preserve">planned </w:t>
      </w:r>
      <w:r>
        <w:t xml:space="preserve">for billing analysis provide the opportunity for a comparison group billing analysis. The </w:t>
      </w:r>
      <w:r w:rsidR="009D028B">
        <w:t>evaluation team’s</w:t>
      </w:r>
      <w:r>
        <w:t xml:space="preserve"> approach for estimating the gross annual kWh and therm savings through this approach is a difference-in-differences comparison between participants and a comparison group of non-participating customers who resemble the participants with respect to key observable characteristics. For the participating group of customers, the difference between energy consumption before and after program intervention is attributable to two things:</w:t>
      </w:r>
    </w:p>
    <w:p w:rsidR="00FA3EB5" w:rsidRDefault="00FA3EB5" w:rsidP="002B3B30">
      <w:pPr>
        <w:pStyle w:val="t"/>
        <w:numPr>
          <w:ilvl w:val="0"/>
          <w:numId w:val="21"/>
        </w:numPr>
        <w:ind w:hanging="360"/>
      </w:pPr>
      <w:r>
        <w:t xml:space="preserve">Receipt of energy efficiency measure(s). </w:t>
      </w:r>
    </w:p>
    <w:p w:rsidR="00FA3EB5" w:rsidRDefault="00FA3EB5" w:rsidP="002B3B30">
      <w:pPr>
        <w:pStyle w:val="t"/>
        <w:numPr>
          <w:ilvl w:val="0"/>
          <w:numId w:val="21"/>
        </w:numPr>
        <w:ind w:hanging="360"/>
      </w:pPr>
      <w:r>
        <w:t>Exogenous changes not related to the program. The changes can have a positive effect (increase in consumption) or a negative effect (decrease in consumption).</w:t>
      </w:r>
    </w:p>
    <w:p w:rsidR="00FA3EB5" w:rsidRDefault="00FA3EB5" w:rsidP="00FA3EB5">
      <w:pPr>
        <w:pStyle w:val="t"/>
        <w:numPr>
          <w:ilvl w:val="0"/>
          <w:numId w:val="2"/>
        </w:numPr>
        <w:ind w:left="0"/>
      </w:pPr>
      <w:r>
        <w:t>For the comparison group, any differences in energy consumption between the pre-implementation period and post-implementation period can only be a function of exogenous changes because no program measures were installed. By subtracting the differences observed in a well-specified comparison group from the differences observed in the treatment group, we effectively isolate the effect of the program measures because exogenous changes will impact both groups in a similar fashion. For example, a hypothetical decline in electric consumption across a portion of Avista’s territory due to adverse weather has no relation to Avista’s program. The effects must be captured using a comparison group and netted out to produce accurate estimates of program impacts.</w:t>
      </w:r>
    </w:p>
    <w:p w:rsidR="00FA3EB5" w:rsidRPr="00B45D1E" w:rsidRDefault="00FA3EB5" w:rsidP="009D028B">
      <w:pPr>
        <w:pStyle w:val="Heading4"/>
      </w:pPr>
      <w:bookmarkStart w:id="41" w:name="_Toc409095386"/>
      <w:r w:rsidRPr="00B45D1E">
        <w:t>Model Specification</w:t>
      </w:r>
      <w:bookmarkEnd w:id="41"/>
    </w:p>
    <w:p w:rsidR="00FA3EB5" w:rsidRDefault="00FA3EB5" w:rsidP="00FA3EB5">
      <w:pPr>
        <w:pStyle w:val="t"/>
        <w:numPr>
          <w:ilvl w:val="0"/>
          <w:numId w:val="2"/>
        </w:numPr>
        <w:ind w:left="0"/>
      </w:pPr>
      <w:r>
        <w:t xml:space="preserve">Rather than model each customer independently, the </w:t>
      </w:r>
      <w:r w:rsidR="009D028B">
        <w:t>evaluation</w:t>
      </w:r>
      <w:r w:rsidR="001513D5">
        <w:t xml:space="preserve"> team</w:t>
      </w:r>
      <w:r>
        <w:t xml:space="preserve"> prefers to analyze this data as a panel. Although the choice of technique doesn’t change the underlying noisiness of the data, we’ve found that panel regressions, stratified by groups of interest, produce more stable estimates than running individual customers regressions and averaging the results. The basic form of the model is shown below for gas usage.</w:t>
      </w:r>
    </w:p>
    <w:p w:rsidR="00FA3EB5" w:rsidRPr="000F5AA6" w:rsidRDefault="00AF0EF3" w:rsidP="00FA3EB5">
      <w:pPr>
        <w:pStyle w:val="t"/>
        <w:numPr>
          <w:ilvl w:val="0"/>
          <w:numId w:val="2"/>
        </w:numPr>
        <w:ind w:left="0"/>
        <w:jc w:val="center"/>
        <w:rPr>
          <w:rFonts w:asciiTheme="minorHAnsi" w:eastAsiaTheme="minorHAnsi" w:hAnsiTheme="minorHAnsi"/>
          <w:lang w:eastAsia="ar-SA"/>
        </w:rPr>
      </w:pPr>
      <m:oMath>
        <m:sSub>
          <m:sSubPr>
            <m:ctrlPr>
              <w:rPr>
                <w:rFonts w:ascii="Cambria Math" w:eastAsiaTheme="minorHAnsi" w:hAnsi="Cambria Math"/>
                <w:lang w:eastAsia="ar-SA"/>
              </w:rPr>
            </m:ctrlPr>
          </m:sSubPr>
          <m:e>
            <m:r>
              <m:rPr>
                <m:sty m:val="p"/>
              </m:rPr>
              <w:rPr>
                <w:rFonts w:ascii="Cambria Math" w:eastAsiaTheme="minorHAnsi" w:hAnsi="Cambria Math"/>
                <w:lang w:eastAsia="ar-SA"/>
              </w:rPr>
              <m:t>Daily Therms</m:t>
            </m:r>
          </m:e>
          <m:sub>
            <m:r>
              <m:rPr>
                <m:sty m:val="p"/>
              </m:rPr>
              <w:rPr>
                <w:rFonts w:ascii="Cambria Math" w:eastAsiaTheme="minorHAnsi" w:hAnsi="Cambria Math"/>
                <w:lang w:eastAsia="ar-SA"/>
              </w:rPr>
              <m:t>i,t</m:t>
            </m:r>
          </m:sub>
        </m:sSub>
        <m:r>
          <m:rPr>
            <m:sty m:val="p"/>
          </m:rPr>
          <w:rPr>
            <w:rFonts w:ascii="Cambria Math" w:eastAsiaTheme="minorHAnsi" w:hAnsi="Cambria Math"/>
            <w:lang w:eastAsia="ar-SA"/>
          </w:rPr>
          <m:t>=</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0</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1</m:t>
            </m:r>
          </m:sub>
        </m:sSub>
        <m:r>
          <m:rPr>
            <m:sty m:val="p"/>
          </m:rPr>
          <w:rPr>
            <w:rFonts w:ascii="Cambria Math" w:eastAsiaTheme="minorHAnsi" w:hAnsi="Cambria Math"/>
            <w:lang w:eastAsia="ar-SA"/>
          </w:rPr>
          <m:t xml:space="preserve">*AveHDD+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2</m:t>
            </m:r>
          </m:sub>
        </m:sSub>
        <m:r>
          <m:rPr>
            <m:sty m:val="p"/>
          </m:rPr>
          <w:rPr>
            <w:rFonts w:ascii="Cambria Math" w:eastAsiaTheme="minorHAnsi" w:hAnsi="Cambria Math"/>
            <w:lang w:eastAsia="ar-SA"/>
          </w:rPr>
          <m:t>*AveHDD*</m:t>
        </m:r>
        <m:sSub>
          <m:sSubPr>
            <m:ctrlPr>
              <w:rPr>
                <w:rFonts w:ascii="Cambria Math" w:eastAsiaTheme="minorHAnsi" w:hAnsi="Cambria Math"/>
                <w:lang w:eastAsia="ar-SA"/>
              </w:rPr>
            </m:ctrlPr>
          </m:sSubPr>
          <m:e>
            <m:r>
              <m:rPr>
                <m:sty m:val="p"/>
              </m:rPr>
              <w:rPr>
                <w:rFonts w:ascii="Cambria Math" w:eastAsiaTheme="minorHAnsi" w:hAnsi="Cambria Math"/>
                <w:lang w:eastAsia="ar-SA"/>
              </w:rPr>
              <m:t>Cohort</m:t>
            </m:r>
          </m:e>
          <m:sub>
            <m:r>
              <m:rPr>
                <m:sty m:val="p"/>
              </m:rPr>
              <w:rPr>
                <w:rFonts w:ascii="Cambria Math" w:eastAsiaTheme="minorHAnsi" w:hAnsi="Cambria Math"/>
                <w:lang w:eastAsia="ar-SA"/>
              </w:rPr>
              <m:t>i</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3,i</m:t>
            </m:r>
          </m:sub>
        </m:sSub>
        <m:r>
          <m:rPr>
            <m:sty m:val="p"/>
          </m:rPr>
          <w:rPr>
            <w:rFonts w:ascii="Cambria Math" w:eastAsiaTheme="minorHAnsi" w:hAnsi="Cambria Math"/>
            <w:lang w:eastAsia="ar-SA"/>
          </w:rPr>
          <m:t>*AveHDD*</m:t>
        </m:r>
        <m:sSub>
          <m:sSubPr>
            <m:ctrlPr>
              <w:rPr>
                <w:rFonts w:ascii="Cambria Math" w:eastAsiaTheme="minorHAnsi" w:hAnsi="Cambria Math"/>
                <w:lang w:eastAsia="ar-SA"/>
              </w:rPr>
            </m:ctrlPr>
          </m:sSubPr>
          <m:e>
            <m:r>
              <m:rPr>
                <m:sty m:val="p"/>
              </m:rPr>
              <w:rPr>
                <w:rFonts w:ascii="Cambria Math" w:eastAsiaTheme="minorHAnsi" w:hAnsi="Cambria Math"/>
                <w:lang w:eastAsia="ar-SA"/>
              </w:rPr>
              <m:t>Cohort</m:t>
            </m:r>
          </m:e>
          <m:sub>
            <m:r>
              <m:rPr>
                <m:sty m:val="p"/>
              </m:rPr>
              <w:rPr>
                <w:rFonts w:ascii="Cambria Math" w:eastAsiaTheme="minorHAnsi" w:hAnsi="Cambria Math"/>
                <w:lang w:eastAsia="ar-SA"/>
              </w:rPr>
              <m:t>i</m:t>
            </m:r>
          </m:sub>
        </m:sSub>
        <m:r>
          <m:rPr>
            <m:sty m:val="p"/>
          </m:rPr>
          <w:rPr>
            <w:rFonts w:ascii="Cambria Math" w:eastAsiaTheme="minorHAnsi" w:hAnsi="Cambria Math"/>
            <w:lang w:eastAsia="ar-SA"/>
          </w:rPr>
          <m:t>*Post</m:t>
        </m:r>
      </m:oMath>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Where:</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lastRenderedPageBreak/>
        <w:t xml:space="preserve">Daily Therms </w:t>
      </w:r>
      <w:r w:rsidRPr="002804B7">
        <w:rPr>
          <w:rFonts w:eastAsiaTheme="minorHAnsi"/>
          <w:lang w:eastAsia="ar-SA"/>
        </w:rPr>
        <w:tab/>
        <w:t xml:space="preserve">= Billed gas usage in home i during billing period t divided by the number of days </w:t>
      </w:r>
      <w:r w:rsidRPr="002804B7">
        <w:rPr>
          <w:rFonts w:eastAsiaTheme="minorHAnsi"/>
          <w:lang w:eastAsia="ar-SA"/>
        </w:rPr>
        <w:tab/>
      </w:r>
      <w:r w:rsidRPr="002804B7">
        <w:rPr>
          <w:rFonts w:eastAsiaTheme="minorHAnsi"/>
          <w:lang w:eastAsia="ar-SA"/>
        </w:rPr>
        <w:tab/>
      </w:r>
      <w:r w:rsidRPr="002804B7">
        <w:rPr>
          <w:rFonts w:eastAsiaTheme="minorHAnsi"/>
          <w:lang w:eastAsia="ar-SA"/>
        </w:rPr>
        <w:tab/>
        <w:t>in billing period t.</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 xml:space="preserve">Ave HDD </w:t>
      </w:r>
      <w:r w:rsidRPr="002804B7">
        <w:rPr>
          <w:rFonts w:eastAsiaTheme="minorHAnsi"/>
          <w:lang w:eastAsia="ar-SA"/>
        </w:rPr>
        <w:tab/>
        <w:t xml:space="preserve">= The average number of heating degree days in billing period t. Various base </w:t>
      </w:r>
      <w:r w:rsidRPr="002804B7">
        <w:rPr>
          <w:rFonts w:eastAsiaTheme="minorHAnsi"/>
          <w:lang w:eastAsia="ar-SA"/>
        </w:rPr>
        <w:tab/>
      </w:r>
      <w:r w:rsidRPr="002804B7">
        <w:rPr>
          <w:rFonts w:eastAsiaTheme="minorHAnsi"/>
          <w:lang w:eastAsia="ar-SA"/>
        </w:rPr>
        <w:tab/>
      </w:r>
      <w:r w:rsidRPr="002804B7">
        <w:rPr>
          <w:rFonts w:eastAsiaTheme="minorHAnsi"/>
          <w:lang w:eastAsia="ar-SA"/>
        </w:rPr>
        <w:tab/>
        <w:t xml:space="preserve">   </w:t>
      </w:r>
      <w:r w:rsidR="001513D5">
        <w:rPr>
          <w:rFonts w:eastAsiaTheme="minorHAnsi"/>
          <w:lang w:eastAsia="ar-SA"/>
        </w:rPr>
        <w:tab/>
      </w:r>
      <w:r w:rsidRPr="002804B7">
        <w:rPr>
          <w:rFonts w:eastAsiaTheme="minorHAnsi"/>
          <w:lang w:eastAsia="ar-SA"/>
        </w:rPr>
        <w:t>temperatures can be used as the ceiling of the heating range.</w:t>
      </w:r>
    </w:p>
    <w:p w:rsidR="00FA3EB5" w:rsidRPr="002804B7" w:rsidRDefault="00FA3EB5" w:rsidP="00FA3EB5">
      <w:pPr>
        <w:pStyle w:val="t"/>
        <w:numPr>
          <w:ilvl w:val="0"/>
          <w:numId w:val="0"/>
        </w:numPr>
        <w:ind w:left="1440" w:hanging="1440"/>
        <w:rPr>
          <w:rFonts w:eastAsiaTheme="minorHAnsi"/>
          <w:lang w:eastAsia="ar-SA"/>
        </w:rPr>
      </w:pPr>
      <w:r w:rsidRPr="002804B7">
        <w:rPr>
          <w:rFonts w:eastAsiaTheme="minorHAnsi"/>
          <w:lang w:eastAsia="ar-SA"/>
        </w:rPr>
        <w:t xml:space="preserve">Cohort </w:t>
      </w:r>
      <w:r w:rsidRPr="002804B7">
        <w:rPr>
          <w:rFonts w:eastAsiaTheme="minorHAnsi"/>
          <w:lang w:eastAsia="ar-SA"/>
        </w:rPr>
        <w:tab/>
        <w:t>= Dummy structure to separate groups of interest. We anticipate distinguishing between Single Family Treatment, Single Family Control, Multi-Family Treatment and Multi-Family Control residences at minimum, both other groups can be formed at the direction of Avista.</w:t>
      </w:r>
    </w:p>
    <w:p w:rsidR="00FA3EB5" w:rsidRPr="002804B7" w:rsidRDefault="00FA3EB5" w:rsidP="00FA3EB5">
      <w:pPr>
        <w:pStyle w:val="t"/>
        <w:numPr>
          <w:ilvl w:val="0"/>
          <w:numId w:val="0"/>
        </w:numPr>
        <w:rPr>
          <w:rFonts w:eastAsiaTheme="minorHAnsi"/>
          <w:lang w:eastAsia="ar-SA"/>
        </w:rPr>
      </w:pPr>
      <w:r w:rsidRPr="002804B7">
        <w:rPr>
          <w:rFonts w:eastAsiaTheme="minorHAnsi"/>
          <w:lang w:eastAsia="ar-SA"/>
        </w:rPr>
        <w:t xml:space="preserve">Post </w:t>
      </w:r>
      <w:r w:rsidRPr="002804B7">
        <w:rPr>
          <w:rFonts w:eastAsiaTheme="minorHAnsi"/>
          <w:lang w:eastAsia="ar-SA"/>
        </w:rPr>
        <w:tab/>
      </w:r>
      <w:r w:rsidRPr="002804B7">
        <w:rPr>
          <w:rFonts w:eastAsiaTheme="minorHAnsi"/>
          <w:lang w:eastAsia="ar-SA"/>
        </w:rPr>
        <w:tab/>
        <w:t xml:space="preserve">= </w:t>
      </w:r>
      <w:proofErr w:type="gramStart"/>
      <w:r w:rsidRPr="002804B7">
        <w:rPr>
          <w:rFonts w:eastAsiaTheme="minorHAnsi"/>
          <w:lang w:eastAsia="ar-SA"/>
        </w:rPr>
        <w:t>An</w:t>
      </w:r>
      <w:proofErr w:type="gramEnd"/>
      <w:r w:rsidRPr="002804B7">
        <w:rPr>
          <w:rFonts w:eastAsiaTheme="minorHAnsi"/>
          <w:lang w:eastAsia="ar-SA"/>
        </w:rPr>
        <w:t xml:space="preserve"> indicator variable indicating that the billing period after the customer </w:t>
      </w:r>
      <w:r w:rsidRPr="002804B7">
        <w:rPr>
          <w:rFonts w:eastAsiaTheme="minorHAnsi"/>
          <w:lang w:eastAsia="ar-SA"/>
        </w:rPr>
        <w:tab/>
      </w:r>
      <w:r w:rsidRPr="002804B7">
        <w:rPr>
          <w:rFonts w:eastAsiaTheme="minorHAnsi"/>
          <w:lang w:eastAsia="ar-SA"/>
        </w:rPr>
        <w:tab/>
      </w:r>
      <w:r w:rsidRPr="002804B7">
        <w:rPr>
          <w:rFonts w:eastAsiaTheme="minorHAnsi"/>
          <w:lang w:eastAsia="ar-SA"/>
        </w:rPr>
        <w:tab/>
        <w:t xml:space="preserve">   </w:t>
      </w:r>
      <w:r>
        <w:rPr>
          <w:rFonts w:eastAsiaTheme="minorHAnsi"/>
          <w:lang w:eastAsia="ar-SA"/>
        </w:rPr>
        <w:tab/>
      </w:r>
      <w:r w:rsidRPr="002804B7">
        <w:rPr>
          <w:rFonts w:eastAsiaTheme="minorHAnsi"/>
          <w:lang w:eastAsia="ar-SA"/>
        </w:rPr>
        <w:t>received the energy efficiency measures</w:t>
      </w:r>
    </w:p>
    <w:p w:rsidR="00FA3EB5" w:rsidRPr="002804B7" w:rsidRDefault="00FA3EB5" w:rsidP="00FA3EB5">
      <w:pPr>
        <w:pStyle w:val="t"/>
        <w:numPr>
          <w:ilvl w:val="0"/>
          <w:numId w:val="0"/>
        </w:numPr>
        <w:rPr>
          <w:rFonts w:eastAsiaTheme="minorHAnsi"/>
          <w:lang w:eastAsia="ar-SA"/>
        </w:rPr>
      </w:pPr>
      <m:oMath>
        <m:r>
          <m:rPr>
            <m:sty m:val="p"/>
          </m:rPr>
          <w:rPr>
            <w:rFonts w:ascii="Cambria Math" w:eastAsiaTheme="minorHAnsi" w:hAnsi="Cambria Math"/>
            <w:lang w:eastAsia="ar-SA"/>
          </w:rPr>
          <m:t xml:space="preserve">β </m:t>
        </m:r>
      </m:oMath>
      <w:proofErr w:type="gramStart"/>
      <w:r w:rsidRPr="002804B7">
        <w:rPr>
          <w:rFonts w:eastAsiaTheme="minorHAnsi"/>
          <w:lang w:eastAsia="ar-SA"/>
        </w:rPr>
        <w:t>terms</w:t>
      </w:r>
      <w:proofErr w:type="gramEnd"/>
      <w:r w:rsidRPr="002804B7">
        <w:rPr>
          <w:rFonts w:eastAsiaTheme="minorHAnsi"/>
          <w:lang w:eastAsia="ar-SA"/>
        </w:rPr>
        <w:t xml:space="preserve"> </w:t>
      </w:r>
      <w:r w:rsidRPr="002804B7">
        <w:rPr>
          <w:rFonts w:eastAsiaTheme="minorHAnsi"/>
          <w:lang w:eastAsia="ar-SA"/>
        </w:rPr>
        <w:tab/>
        <w:t>= Regression coefficients determined from the modeling process.</w:t>
      </w:r>
    </w:p>
    <w:p w:rsidR="00FA3EB5" w:rsidRDefault="00FA3EB5" w:rsidP="00FA3EB5">
      <w:pPr>
        <w:pStyle w:val="t"/>
        <w:numPr>
          <w:ilvl w:val="0"/>
          <w:numId w:val="2"/>
        </w:numPr>
        <w:ind w:left="0"/>
      </w:pPr>
      <w:r w:rsidRPr="002804B7">
        <w:t xml:space="preserve">The key parameter in this model </w:t>
      </w:r>
      <w:r w:rsidR="00251AB5" w:rsidRPr="002804B7">
        <w:t>is</w:t>
      </w:r>
      <m:oMath>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3,i</m:t>
            </m:r>
          </m:sub>
        </m:sSub>
      </m:oMath>
      <w:r w:rsidRPr="002804B7">
        <w:t xml:space="preserve">. This term should be negative and represents the average therm savings, per heating degree, </w:t>
      </w:r>
      <w:r w:rsidR="00251AB5" w:rsidRPr="002804B7">
        <w:t>for</w:t>
      </w:r>
      <m:oMath>
        <m:sSub>
          <m:sSubPr>
            <m:ctrlPr>
              <w:rPr>
                <w:rFonts w:ascii="Cambria Math" w:eastAsiaTheme="minorHAnsi" w:hAnsi="Cambria Math"/>
                <w:lang w:eastAsia="ar-SA"/>
              </w:rPr>
            </m:ctrlPr>
          </m:sSubPr>
          <m:e>
            <m:r>
              <m:rPr>
                <m:sty m:val="p"/>
              </m:rPr>
              <w:rPr>
                <w:rFonts w:ascii="Cambria Math" w:eastAsiaTheme="minorHAnsi" w:hAnsi="Cambria Math"/>
                <w:lang w:eastAsia="ar-SA"/>
              </w:rPr>
              <m:t xml:space="preserve"> Cohort</m:t>
            </m:r>
          </m:e>
          <m:sub>
            <m:r>
              <m:rPr>
                <m:sty m:val="p"/>
              </m:rPr>
              <w:rPr>
                <w:rFonts w:ascii="Cambria Math" w:eastAsiaTheme="minorHAnsi" w:hAnsi="Cambria Math"/>
                <w:lang w:eastAsia="ar-SA"/>
              </w:rPr>
              <m:t>i</m:t>
            </m:r>
          </m:sub>
        </m:sSub>
      </m:oMath>
      <w:r w:rsidRPr="002804B7">
        <w:t>. For example, if the β</w:t>
      </w:r>
      <w:r w:rsidRPr="002C4E89">
        <w:rPr>
          <w:vertAlign w:val="subscript"/>
        </w:rPr>
        <w:t>3</w:t>
      </w:r>
      <w:r w:rsidRPr="002804B7">
        <w:t xml:space="preserve"> term for single-family homes is equal to -0.0059 and the 30-year average number of base 65 heating degree days for Avista sub-program participants is 5200, the calculation of weather normalized natural gas savings would be performed as follows.</w:t>
      </w:r>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 xml:space="preserve">Annual Gas Impact= </m:t>
        </m:r>
        <m:sSub>
          <m:sSubPr>
            <m:ctrlPr>
              <w:rPr>
                <w:rFonts w:ascii="Cambria Math" w:eastAsiaTheme="minorHAnsi" w:hAnsi="Cambria Math"/>
                <w:lang w:eastAsia="ar-SA"/>
              </w:rPr>
            </m:ctrlPr>
          </m:sSubPr>
          <m:e>
            <m:r>
              <m:rPr>
                <m:sty m:val="p"/>
              </m:rPr>
              <w:rPr>
                <w:rFonts w:ascii="Cambria Math" w:eastAsiaTheme="minorHAnsi" w:hAnsi="Cambria Math"/>
                <w:lang w:eastAsia="ar-SA"/>
              </w:rPr>
              <m:t>β</m:t>
            </m:r>
          </m:e>
          <m:sub>
            <m:r>
              <m:rPr>
                <m:sty m:val="p"/>
              </m:rPr>
              <w:rPr>
                <w:rFonts w:ascii="Cambria Math" w:eastAsiaTheme="minorHAnsi" w:hAnsi="Cambria Math"/>
                <w:lang w:eastAsia="ar-SA"/>
              </w:rPr>
              <m:t>3</m:t>
            </m:r>
          </m:sub>
        </m:sSub>
        <m:r>
          <m:rPr>
            <m:sty m:val="p"/>
          </m:rPr>
          <w:rPr>
            <w:rFonts w:ascii="Cambria Math" w:eastAsiaTheme="minorHAnsi" w:hAnsi="Cambria Math"/>
            <w:lang w:eastAsia="ar-SA"/>
          </w:rPr>
          <m:t>*HDD</m:t>
        </m:r>
      </m:oMath>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Annual Gas Impact= -0.0059*5200</m:t>
        </m:r>
      </m:oMath>
    </w:p>
    <w:p w:rsidR="00FA3EB5" w:rsidRPr="00993E2B" w:rsidRDefault="00993E2B" w:rsidP="00FA3EB5">
      <w:pPr>
        <w:pStyle w:val="t"/>
        <w:numPr>
          <w:ilvl w:val="0"/>
          <w:numId w:val="2"/>
        </w:numPr>
        <w:ind w:left="0"/>
        <w:jc w:val="center"/>
        <w:rPr>
          <w:rFonts w:asciiTheme="minorHAnsi" w:eastAsiaTheme="minorHAnsi" w:hAnsiTheme="minorHAnsi"/>
          <w:lang w:eastAsia="ar-SA"/>
        </w:rPr>
      </w:pPr>
      <m:oMath>
        <m:r>
          <m:rPr>
            <m:sty m:val="p"/>
          </m:rPr>
          <w:rPr>
            <w:rFonts w:ascii="Cambria Math" w:eastAsiaTheme="minorHAnsi" w:hAnsi="Cambria Math"/>
            <w:lang w:eastAsia="ar-SA"/>
          </w:rPr>
          <m:t>Annual Gas Impact= -30.68 therms</m:t>
        </m:r>
      </m:oMath>
    </w:p>
    <w:p w:rsidR="00C00D41" w:rsidRDefault="00FA3EB5" w:rsidP="009D028B">
      <w:pPr>
        <w:pStyle w:val="t"/>
        <w:numPr>
          <w:ilvl w:val="0"/>
          <w:numId w:val="0"/>
        </w:numPr>
        <w:rPr>
          <w:rFonts w:eastAsiaTheme="minorHAnsi"/>
          <w:lang w:eastAsia="ar-SA"/>
        </w:rPr>
      </w:pPr>
      <w:r w:rsidRPr="00655EF7">
        <w:rPr>
          <w:rFonts w:eastAsiaTheme="minorHAnsi"/>
          <w:lang w:eastAsia="ar-SA"/>
        </w:rPr>
        <w:t>The impact will be calculated as negative (because it is a reduction at the meter), but presented as a positive savings number in any report. Exogenous impacts from the corresponding control group would then be netted out.</w:t>
      </w:r>
    </w:p>
    <w:p w:rsidR="000F5AA6" w:rsidRDefault="000F5AA6" w:rsidP="00531D0A">
      <w:pPr>
        <w:pStyle w:val="Heading3"/>
      </w:pPr>
      <w:bookmarkStart w:id="42" w:name="_Toc409095387"/>
      <w:r>
        <w:t>Calculating Gross-Verified Savings</w:t>
      </w:r>
      <w:bookmarkEnd w:id="42"/>
    </w:p>
    <w:p w:rsidR="000F5AA6" w:rsidRDefault="000F5AA6" w:rsidP="000F5AA6">
      <w:pPr>
        <w:pStyle w:val="t"/>
      </w:pPr>
      <w:r>
        <w:t>The impact evaluation activities will result in adjustment factors, termed realization rates, which are applied to the reported savings documented in the program tracking records. The ratio of project savings determined from the evaluation activities to the project-reported savings is the project realization rate; the program realization rate is the weighted average for all projects in the sample. The adjusted savings obtained by multiplying the program realization rates by the program-reported savings are termed the gross verified savings and they reflect the direct energy and demand impact of the program’s operations. These savings do not account for customer or market behavior that may have resulted in greater or lesser savings; these market effects (freeridership and spillover) are captured through tasks carried out in net impact analysis. The following equation</w:t>
      </w:r>
      <w:r w:rsidRPr="007C35EB">
        <w:t xml:space="preserve"> outline</w:t>
      </w:r>
      <w:r>
        <w:t>s</w:t>
      </w:r>
      <w:r w:rsidRPr="007C35EB">
        <w:t xml:space="preserve"> the calculation for determining the gross </w:t>
      </w:r>
      <w:r>
        <w:t>savings value.</w:t>
      </w:r>
    </w:p>
    <w:p w:rsidR="000F5AA6" w:rsidRDefault="000F5AA6" w:rsidP="000F5AA6">
      <w:pPr>
        <w:pStyle w:val="t"/>
        <w:jc w:val="center"/>
      </w:pPr>
    </w:p>
    <w:p w:rsidR="00AF0EF3" w:rsidRPr="00613C1E" w:rsidRDefault="00AF0EF3" w:rsidP="000F5AA6">
      <w:pPr>
        <w:pStyle w:val="t"/>
        <w:jc w:val="center"/>
      </w:pPr>
      <m:oMath>
        <m:sSub>
          <m:sSubPr>
            <m:ctrlPr>
              <w:rPr>
                <w:rFonts w:ascii="Cambria Math" w:eastAsiaTheme="minorHAnsi" w:hAnsi="Cambria Math"/>
                <w:lang w:eastAsia="ar-SA"/>
              </w:rPr>
            </m:ctrlPr>
          </m:sSubPr>
          <m:e>
            <m:r>
              <m:rPr>
                <m:sty m:val="p"/>
              </m:rPr>
              <w:rPr>
                <w:rFonts w:ascii="Cambria Math" w:eastAsiaTheme="minorHAnsi" w:hAnsi="Cambria Math"/>
                <w:lang w:eastAsia="ar-SA"/>
              </w:rPr>
              <m:t>kWh</m:t>
            </m:r>
          </m:e>
          <m:sub>
            <m:r>
              <m:rPr>
                <m:sty m:val="p"/>
              </m:rPr>
              <w:rPr>
                <w:rFonts w:ascii="Cambria Math" w:eastAsiaTheme="minorHAnsi" w:hAnsi="Cambria Math"/>
                <w:lang w:eastAsia="ar-SA"/>
              </w:rPr>
              <m:t>adj</m:t>
            </m:r>
          </m:sub>
        </m:sSub>
        <m:r>
          <m:rPr>
            <m:sty m:val="p"/>
          </m:rPr>
          <w:rPr>
            <w:rFonts w:ascii="Cambria Math" w:eastAsiaTheme="minorHAnsi" w:hAnsi="Cambria Math"/>
            <w:lang w:eastAsia="ar-SA"/>
          </w:rPr>
          <m:t xml:space="preserve">= </m:t>
        </m:r>
        <m:sSub>
          <m:sSubPr>
            <m:ctrlPr>
              <w:rPr>
                <w:rFonts w:ascii="Cambria Math" w:eastAsiaTheme="minorHAnsi" w:hAnsi="Cambria Math"/>
                <w:lang w:eastAsia="ar-SA"/>
              </w:rPr>
            </m:ctrlPr>
          </m:sSubPr>
          <m:e>
            <m:r>
              <m:rPr>
                <m:sty m:val="p"/>
              </m:rPr>
              <w:rPr>
                <w:rFonts w:ascii="Cambria Math" w:eastAsiaTheme="minorHAnsi" w:hAnsi="Cambria Math"/>
                <w:lang w:eastAsia="ar-SA"/>
              </w:rPr>
              <m:t>kWh</m:t>
            </m:r>
          </m:e>
          <m:sub>
            <m:r>
              <m:rPr>
                <m:sty m:val="p"/>
              </m:rPr>
              <w:rPr>
                <w:rFonts w:ascii="Cambria Math" w:eastAsiaTheme="minorHAnsi" w:hAnsi="Cambria Math"/>
                <w:lang w:eastAsia="ar-SA"/>
              </w:rPr>
              <m:t>rep</m:t>
            </m:r>
          </m:sub>
        </m:sSub>
        <m:r>
          <m:rPr>
            <m:sty m:val="p"/>
          </m:rPr>
          <w:rPr>
            <w:rFonts w:ascii="Cambria Math" w:eastAsiaTheme="minorHAnsi" w:hAnsi="Cambria Math"/>
            <w:lang w:eastAsia="ar-SA"/>
          </w:rPr>
          <m:t>×Realization Rate</m:t>
        </m:r>
      </m:oMath>
    </w:p>
    <w:p w:rsidR="000F5AA6" w:rsidRPr="00EE4383" w:rsidRDefault="000F5AA6" w:rsidP="000F5AA6">
      <w:pPr>
        <w:pStyle w:val="t"/>
      </w:pPr>
      <w:r w:rsidRPr="00EE4383">
        <w:t xml:space="preserve">Where </w:t>
      </w:r>
    </w:p>
    <w:p w:rsidR="000F5AA6" w:rsidRPr="00A33ADE" w:rsidRDefault="000F5AA6" w:rsidP="000F5AA6">
      <w:pPr>
        <w:pStyle w:val="Outline"/>
        <w:numPr>
          <w:ilvl w:val="0"/>
          <w:numId w:val="0"/>
        </w:numPr>
        <w:ind w:left="360"/>
      </w:pPr>
      <w:proofErr w:type="gramStart"/>
      <w:r w:rsidRPr="00A33ADE">
        <w:t>kWh</w:t>
      </w:r>
      <w:r w:rsidRPr="00A33ADE">
        <w:rPr>
          <w:vertAlign w:val="subscript"/>
        </w:rPr>
        <w:t>adj</w:t>
      </w:r>
      <w:proofErr w:type="gramEnd"/>
      <w:r w:rsidRPr="00A33ADE">
        <w:t xml:space="preserve"> = kWh adjusted by the impact team for the program, the </w:t>
      </w:r>
      <w:r w:rsidRPr="007F32A6">
        <w:rPr>
          <w:b/>
        </w:rPr>
        <w:t xml:space="preserve">gross </w:t>
      </w:r>
      <w:r>
        <w:rPr>
          <w:b/>
        </w:rPr>
        <w:t>savings</w:t>
      </w:r>
    </w:p>
    <w:p w:rsidR="000F5AA6" w:rsidRPr="00A33ADE" w:rsidRDefault="000F5AA6" w:rsidP="000F5AA6">
      <w:pPr>
        <w:pStyle w:val="Outline"/>
        <w:numPr>
          <w:ilvl w:val="0"/>
          <w:numId w:val="0"/>
        </w:numPr>
        <w:ind w:left="360"/>
      </w:pPr>
      <w:r w:rsidRPr="00A33ADE">
        <w:t>kWh</w:t>
      </w:r>
      <w:r w:rsidRPr="00A33ADE">
        <w:rPr>
          <w:vertAlign w:val="subscript"/>
        </w:rPr>
        <w:t>rep</w:t>
      </w:r>
      <w:r w:rsidRPr="00A33ADE">
        <w:t xml:space="preserve"> = kWh reported for the program</w:t>
      </w:r>
    </w:p>
    <w:p w:rsidR="000F5AA6" w:rsidRDefault="000F5AA6" w:rsidP="000F5AA6">
      <w:pPr>
        <w:pStyle w:val="Outline"/>
        <w:numPr>
          <w:ilvl w:val="0"/>
          <w:numId w:val="0"/>
        </w:numPr>
        <w:ind w:left="360"/>
      </w:pPr>
      <w:r w:rsidRPr="00A33ADE">
        <w:t>Realization rate = kWh</w:t>
      </w:r>
      <w:r w:rsidRPr="00A33ADE">
        <w:rPr>
          <w:vertAlign w:val="subscript"/>
        </w:rPr>
        <w:t>adj</w:t>
      </w:r>
      <w:r w:rsidRPr="00A33ADE">
        <w:t xml:space="preserve"> / kWh</w:t>
      </w:r>
      <w:r w:rsidRPr="00A33ADE">
        <w:rPr>
          <w:vertAlign w:val="subscript"/>
        </w:rPr>
        <w:t>rep</w:t>
      </w:r>
      <w:r w:rsidRPr="00A33ADE">
        <w:t xml:space="preserve"> for the research sample</w:t>
      </w:r>
    </w:p>
    <w:p w:rsidR="000F5AA6" w:rsidRDefault="000F5AA6" w:rsidP="000F5AA6">
      <w:pPr>
        <w:pStyle w:val="Outline"/>
        <w:numPr>
          <w:ilvl w:val="0"/>
          <w:numId w:val="0"/>
        </w:numPr>
        <w:ind w:left="360"/>
      </w:pPr>
      <w:r>
        <w:t>Natural gas (therm) savings will be treated in a similar manner.</w:t>
      </w:r>
    </w:p>
    <w:p w:rsidR="000F5AA6" w:rsidRDefault="000F5AA6" w:rsidP="009D028B">
      <w:pPr>
        <w:pStyle w:val="t"/>
        <w:numPr>
          <w:ilvl w:val="0"/>
          <w:numId w:val="0"/>
        </w:numPr>
      </w:pPr>
    </w:p>
    <w:p w:rsidR="00E77A66" w:rsidRDefault="00983992" w:rsidP="00BC1672">
      <w:pPr>
        <w:pStyle w:val="Heading2"/>
        <w:rPr>
          <w:color w:val="FF0000"/>
        </w:rPr>
      </w:pPr>
      <w:bookmarkStart w:id="43" w:name="_Ref406334910"/>
      <w:bookmarkStart w:id="44" w:name="_Toc409095388"/>
      <w:r>
        <w:t>Overview of Net-Verified Approach and Methods</w:t>
      </w:r>
      <w:bookmarkEnd w:id="43"/>
      <w:bookmarkEnd w:id="44"/>
      <w:r w:rsidR="00137064">
        <w:t xml:space="preserve"> </w:t>
      </w:r>
    </w:p>
    <w:p w:rsidR="003254EC" w:rsidRPr="00AD42E3" w:rsidRDefault="001513D5" w:rsidP="003254EC">
      <w:pPr>
        <w:pStyle w:val="t"/>
        <w:numPr>
          <w:ilvl w:val="0"/>
          <w:numId w:val="2"/>
        </w:numPr>
        <w:ind w:left="0"/>
      </w:pPr>
      <w:r>
        <w:t xml:space="preserve">The evaluation team </w:t>
      </w:r>
      <w:r w:rsidRPr="00FF2F7A">
        <w:t>will derive net savings—the savings directly attributable to the program—by adjusting the gross</w:t>
      </w:r>
      <w:r>
        <w:t>-verified</w:t>
      </w:r>
      <w:r w:rsidRPr="00FF2F7A">
        <w:t xml:space="preserve"> energy savings estimates to account for freeridership</w:t>
      </w:r>
      <w:r>
        <w:t xml:space="preserve"> and</w:t>
      </w:r>
      <w:r w:rsidRPr="00FF2F7A">
        <w:t xml:space="preserve"> spillover</w:t>
      </w:r>
      <w:r>
        <w:t xml:space="preserve"> when applicable.</w:t>
      </w:r>
      <w:r w:rsidRPr="00FF2F7A">
        <w:t xml:space="preserve"> </w:t>
      </w:r>
      <w:r w:rsidR="003254EC" w:rsidRPr="003254EC">
        <w:t xml:space="preserve"> </w:t>
      </w:r>
      <w:r w:rsidR="003254EC" w:rsidRPr="00AD42E3">
        <w:t xml:space="preserve">We will estimate NTG values for all </w:t>
      </w:r>
      <w:r w:rsidR="00E05C9B">
        <w:t xml:space="preserve">electric </w:t>
      </w:r>
      <w:r w:rsidR="00B17035">
        <w:t>programs</w:t>
      </w:r>
      <w:r w:rsidR="00E05C9B">
        <w:t xml:space="preserve"> in Avista’s WA and ID service territory</w:t>
      </w:r>
      <w:r w:rsidR="003254EC" w:rsidRPr="00AD42E3">
        <w:t>.  However, for those program measures that utilize an RTF defined market baseline value, we will not apply freeridership to these measures since freeridership is already accounte</w:t>
      </w:r>
      <w:r w:rsidR="003254EC">
        <w:t xml:space="preserve">d for in the market baseline. </w:t>
      </w:r>
      <w:r w:rsidR="003254EC" w:rsidRPr="00AD42E3">
        <w:t xml:space="preserve">To rephrase, for RTF or TRM measure savings estimates based on market baselines, freeridership ratios based on the evaluation activities will not be applied and only spillover ratios will be used for the NTG adjustment.  </w:t>
      </w:r>
    </w:p>
    <w:p w:rsidR="00A824B4" w:rsidRPr="0093292B" w:rsidRDefault="00A824B4" w:rsidP="00A824B4">
      <w:pPr>
        <w:pStyle w:val="t"/>
      </w:pPr>
      <w:r w:rsidRPr="0093292B">
        <w:t xml:space="preserve">We will rely on participant and non-participant surveys as well as interviews with trade allies, manufacturers, and other key stakeholders to estimate </w:t>
      </w:r>
      <w:r>
        <w:t>freeridership</w:t>
      </w:r>
      <w:r w:rsidRPr="0093292B">
        <w:t xml:space="preserve"> and spillover. </w:t>
      </w:r>
      <w:r>
        <w:t>“</w:t>
      </w:r>
      <w:r w:rsidRPr="00A951C2">
        <w:rPr>
          <w:rStyle w:val="spellingerror"/>
        </w:rPr>
        <w:t>Freeridership</w:t>
      </w:r>
      <w:r w:rsidRPr="00A951C2">
        <w:rPr>
          <w:rStyle w:val="normaltextrun"/>
        </w:rPr>
        <w:t xml:space="preserve">” refers to </w:t>
      </w:r>
      <w:r w:rsidRPr="00A824B4">
        <w:rPr>
          <w:rFonts w:eastAsiaTheme="minorEastAsia"/>
        </w:rPr>
        <w:t xml:space="preserve">a </w:t>
      </w:r>
      <w:r w:rsidRPr="00A951C2">
        <w:t>participant who, on som</w:t>
      </w:r>
      <w:r>
        <w:t xml:space="preserve">e level, would have acquired </w:t>
      </w:r>
      <w:r w:rsidRPr="00A951C2">
        <w:t>the energy efficiency measure regardless of the program influence. T</w:t>
      </w:r>
      <w:r w:rsidRPr="00A951C2">
        <w:rPr>
          <w:rStyle w:val="normaltextrun"/>
        </w:rPr>
        <w:t xml:space="preserve">he effect of </w:t>
      </w:r>
      <w:r w:rsidRPr="00A951C2">
        <w:rPr>
          <w:rStyle w:val="spellingerror"/>
        </w:rPr>
        <w:t>freeriders</w:t>
      </w:r>
      <w:r w:rsidRPr="00A951C2">
        <w:rPr>
          <w:rStyle w:val="normaltextrun"/>
        </w:rPr>
        <w:t xml:space="preserve"> reduces the net savin</w:t>
      </w:r>
      <w:r>
        <w:rPr>
          <w:rStyle w:val="normaltextrun"/>
        </w:rPr>
        <w:t>gs attributable to the program.</w:t>
      </w:r>
      <w:r w:rsidRPr="00A951C2">
        <w:rPr>
          <w:rStyle w:val="normaltextrun"/>
        </w:rPr>
        <w:t xml:space="preserve"> “Spillover” refers to actions taken outside the program that are attributable to participation. The spillover effect of energy-efficiency programs is an impact that evaluators can add to the program’s savings results (unlike the impact of freeriders).</w:t>
      </w:r>
      <w:r>
        <w:rPr>
          <w:rStyle w:val="normaltextrun"/>
        </w:rPr>
        <w:t xml:space="preserve"> </w:t>
      </w:r>
      <w:r w:rsidRPr="0093292B">
        <w:t>Freeridership and spillover are used to calculate NTG ratios for each program, through the following equation:</w:t>
      </w:r>
    </w:p>
    <w:p w:rsidR="00A824B4" w:rsidRPr="00EC7F77" w:rsidRDefault="00A824B4" w:rsidP="00BC76D0">
      <w:pPr>
        <w:pStyle w:val="t"/>
        <w:jc w:val="center"/>
        <w:rPr>
          <w:lang w:val="en"/>
        </w:rPr>
      </w:pPr>
      <w:r w:rsidRPr="00EC7F77">
        <w:rPr>
          <w:lang w:val="en"/>
        </w:rPr>
        <w:t>NTG Ratio = 1 – Freeridership + Spillover</w:t>
      </w:r>
    </w:p>
    <w:p w:rsidR="00A824B4" w:rsidRPr="0093292B" w:rsidRDefault="00A824B4" w:rsidP="00A824B4">
      <w:pPr>
        <w:pStyle w:val="t"/>
        <w:rPr>
          <w:lang w:val="en"/>
        </w:rPr>
      </w:pPr>
      <w:r w:rsidRPr="0093292B">
        <w:rPr>
          <w:lang w:val="en"/>
        </w:rPr>
        <w:t>The NTG ratio is applied to the program’s gross verified impacts in order to calculate the net impacts or the savings directl</w:t>
      </w:r>
      <w:r>
        <w:rPr>
          <w:lang w:val="en"/>
        </w:rPr>
        <w:t xml:space="preserve">y attributable to the program. </w:t>
      </w:r>
      <w:r w:rsidRPr="0093292B">
        <w:rPr>
          <w:lang w:val="en"/>
        </w:rPr>
        <w:t>The following equation outlines the relationship between net and gross impacts, when applying the NTG ratio:</w:t>
      </w:r>
    </w:p>
    <w:p w:rsidR="00A824B4" w:rsidRPr="00613C1E" w:rsidRDefault="00A824B4" w:rsidP="00BC76D0">
      <w:pPr>
        <w:pStyle w:val="t"/>
        <w:jc w:val="center"/>
        <w:rPr>
          <w:lang w:val="en"/>
        </w:rPr>
      </w:pPr>
      <w:r w:rsidRPr="00613C1E">
        <w:rPr>
          <w:lang w:val="en"/>
        </w:rPr>
        <w:t>Net Verified Savings = Gross Verified Savings x NTG Ratio</w:t>
      </w:r>
    </w:p>
    <w:p w:rsidR="001513D5" w:rsidRDefault="001513D5" w:rsidP="001513D5">
      <w:pPr>
        <w:pStyle w:val="t"/>
      </w:pPr>
      <w:r>
        <w:t xml:space="preserve">We will use a battery that </w:t>
      </w:r>
      <w:r w:rsidR="00B17035">
        <w:t>the evaluation team</w:t>
      </w:r>
      <w:r>
        <w:t xml:space="preserve"> developed with Energy Trust of Oregon to assess free-ridership. This brief battery independently assesses two separate, equal, and additive components of free-ridership: 1) the extent to which the respondent’s upgrade would have differed if not for program participation (the project “change” component); and 2) the extent of program influence on the project (the “influence” component). Each component is assessed with a few brief questions and is assigned a </w:t>
      </w:r>
      <w:r>
        <w:lastRenderedPageBreak/>
        <w:t xml:space="preserve">value from 0 (no free-ridership) to 50 (complete free-ridership according to that component). The change component is assigned a value of 0 for respondents that indicate that they would have done no energy upgrade without program participation, 50 if they would have done exactly the same project without program participation, and an intermediate value if they would have done some upgrade without program participation but one that would have saved less energy. The influence component is assigned a value of 0 for respondents that report that any program assistance or service had the maximum influence (on a 5-point scale) on their decision to do the energy upgrade, a value of 50 if the maximum influence rating was 1 on the 5-point scale, and an intermediate value if the maximum influence rating was between 1 and 5. The two component scores are added to create an overall free-ridership score ranging from 0 to 100. </w:t>
      </w:r>
    </w:p>
    <w:p w:rsidR="001513D5" w:rsidRDefault="00A824B4" w:rsidP="001513D5">
      <w:pPr>
        <w:pStyle w:val="t"/>
      </w:pPr>
      <w:r>
        <w:t xml:space="preserve">The evaluation team </w:t>
      </w:r>
      <w:r w:rsidR="001513D5">
        <w:t xml:space="preserve">will assess spillover by asking about program influence on </w:t>
      </w:r>
      <w:r w:rsidR="00B17035">
        <w:t xml:space="preserve">participant’s </w:t>
      </w:r>
      <w:r w:rsidR="001513D5">
        <w:t>decision to install non-incented equipment.</w:t>
      </w:r>
    </w:p>
    <w:p w:rsidR="00A824B4" w:rsidRDefault="00A824B4" w:rsidP="00A824B4">
      <w:pPr>
        <w:pStyle w:val="t"/>
      </w:pPr>
      <w:r w:rsidRPr="0093292B">
        <w:t>In an effort to control costs and deliver the most value to Avista, we will leverage the interviews planned as part of the impact and process evaluations for each individual program</w:t>
      </w:r>
      <w:r>
        <w:t xml:space="preserve"> in order to capture information needed to estimate freeridership and spillover</w:t>
      </w:r>
      <w:r w:rsidRPr="0093292B">
        <w:t>.</w:t>
      </w:r>
    </w:p>
    <w:p w:rsidR="00BC1672" w:rsidRPr="0073598A" w:rsidRDefault="00BC1672" w:rsidP="00983992">
      <w:pPr>
        <w:pStyle w:val="Heading2"/>
      </w:pPr>
      <w:bookmarkStart w:id="45" w:name="_Ref406336337"/>
      <w:bookmarkStart w:id="46" w:name="_Toc409095389"/>
      <w:r w:rsidRPr="00320BA9">
        <w:t>WA/ID Electric Program-Specific Tasks</w:t>
      </w:r>
      <w:bookmarkEnd w:id="45"/>
      <w:bookmarkEnd w:id="46"/>
    </w:p>
    <w:p w:rsidR="00983992" w:rsidRDefault="00983992" w:rsidP="00531D0A">
      <w:pPr>
        <w:pStyle w:val="Heading3"/>
      </w:pPr>
      <w:bookmarkStart w:id="47" w:name="_Toc409095390"/>
      <w:r>
        <w:t>Residential Program</w:t>
      </w:r>
      <w:r w:rsidR="00A824B4">
        <w:t>s</w:t>
      </w:r>
      <w:bookmarkEnd w:id="47"/>
    </w:p>
    <w:p w:rsidR="00A824B4" w:rsidRPr="00A824B4" w:rsidRDefault="00A824B4" w:rsidP="003254EC">
      <w:pPr>
        <w:pStyle w:val="t"/>
      </w:pPr>
      <w:r>
        <w:t xml:space="preserve">The following section outlines the electric residential programs offered in Avista’s Washington and Idaho service territory.  The general approaches used for conducting the impact evaluation activities are outlined in the sections above, therefore this section provides a brief overview of each program, the sample design for this portfolio of programs and explains any special studies or approaches that will be conducted for the impact evaluation. </w:t>
      </w:r>
    </w:p>
    <w:p w:rsidR="00C310C5" w:rsidRPr="002C4E89" w:rsidRDefault="00C310C5" w:rsidP="002C4E89">
      <w:pPr>
        <w:pStyle w:val="Heading4"/>
      </w:pPr>
      <w:bookmarkStart w:id="48" w:name="_Toc409095391"/>
      <w:r w:rsidRPr="002C4E89">
        <w:t>Program Overview</w:t>
      </w:r>
      <w:bookmarkEnd w:id="48"/>
      <w:r w:rsidR="00137064" w:rsidRPr="002C4E89">
        <w:t xml:space="preserve"> </w:t>
      </w:r>
    </w:p>
    <w:p w:rsidR="009301DA" w:rsidRPr="009301DA" w:rsidDel="009301DA" w:rsidRDefault="009301DA" w:rsidP="009301DA">
      <w:pPr>
        <w:pStyle w:val="t"/>
      </w:pPr>
      <w:r w:rsidRPr="00320BA9">
        <w:t xml:space="preserve">Avista offers nine </w:t>
      </w:r>
      <w:r>
        <w:t>residential electric</w:t>
      </w:r>
      <w:r w:rsidRPr="00320BA9">
        <w:t xml:space="preserve"> programs as summarized in </w:t>
      </w:r>
      <w:r w:rsidR="00A824B4">
        <w:fldChar w:fldCharType="begin"/>
      </w:r>
      <w:r w:rsidR="00A824B4">
        <w:instrText xml:space="preserve"> REF _Ref406329684 \h </w:instrText>
      </w:r>
      <w:r w:rsidR="00A824B4">
        <w:fldChar w:fldCharType="separate"/>
      </w:r>
      <w:r w:rsidR="00A824B4">
        <w:t xml:space="preserve">Table </w:t>
      </w:r>
      <w:r w:rsidR="00A824B4">
        <w:rPr>
          <w:noProof/>
        </w:rPr>
        <w:t>2</w:t>
      </w:r>
      <w:r w:rsidR="00A824B4">
        <w:noBreakHyphen/>
      </w:r>
      <w:r w:rsidR="00A824B4">
        <w:rPr>
          <w:noProof/>
        </w:rPr>
        <w:t>5</w:t>
      </w:r>
      <w:r w:rsidR="00A824B4">
        <w:fldChar w:fldCharType="end"/>
      </w:r>
      <w:r w:rsidRPr="00320BA9">
        <w:t xml:space="preserve"> below. </w:t>
      </w:r>
      <w:r>
        <w:t xml:space="preserve">Fuel Efficiency, HVAC, Residential Shell, and Residential Water Heat are implemented directly by Avista, while Appliance Recycling, ENERGY STAR </w:t>
      </w:r>
      <w:r w:rsidR="00E05C9B">
        <w:t>Homes</w:t>
      </w:r>
      <w:r>
        <w:t>, Residential Lighting, Opower</w:t>
      </w:r>
      <w:r w:rsidR="00A824B4">
        <w:t xml:space="preserve"> Behavioral</w:t>
      </w:r>
      <w:r>
        <w:t xml:space="preserve">, and Low-income programs have varying levels of assistance from third-party implementers. </w:t>
      </w:r>
    </w:p>
    <w:p w:rsidR="002D4F01" w:rsidRDefault="002D4F01">
      <w:pPr>
        <w:pStyle w:val="t"/>
        <w:sectPr w:rsidR="002D4F01" w:rsidSect="00E65485">
          <w:footnotePr>
            <w:numRestart w:val="eachPage"/>
          </w:footnotePr>
          <w:pgSz w:w="12240" w:h="15840"/>
          <w:pgMar w:top="1440" w:right="1440" w:bottom="1440" w:left="1440" w:header="1080" w:footer="720" w:gutter="0"/>
          <w:cols w:space="360"/>
          <w:titlePg/>
        </w:sectPr>
      </w:pPr>
    </w:p>
    <w:p w:rsidR="003D746A" w:rsidRDefault="00910AE4" w:rsidP="003D746A">
      <w:pPr>
        <w:pStyle w:val="Caption"/>
      </w:pPr>
      <w:r>
        <w:lastRenderedPageBreak/>
        <w:br w:type="textWrapping" w:clear="all"/>
      </w:r>
      <w:bookmarkStart w:id="49" w:name="_Ref406161478"/>
      <w:bookmarkStart w:id="50" w:name="_Ref406329684"/>
      <w:r w:rsidR="003D746A">
        <w:t>Table</w:t>
      </w:r>
      <w:bookmarkEnd w:id="49"/>
      <w:r w:rsidR="003D746A">
        <w:t xml:space="preserve"> </w:t>
      </w:r>
      <w:fldSimple w:instr=" STYLEREF 1 \s ">
        <w:r w:rsidR="0067743A">
          <w:rPr>
            <w:noProof/>
          </w:rPr>
          <w:t>2</w:t>
        </w:r>
      </w:fldSimple>
      <w:r w:rsidR="0067743A">
        <w:noBreakHyphen/>
      </w:r>
      <w:fldSimple w:instr=" SEQ Table \* ARABIC \s 1 ">
        <w:r w:rsidR="0067743A">
          <w:rPr>
            <w:noProof/>
          </w:rPr>
          <w:t>5</w:t>
        </w:r>
      </w:fldSimple>
      <w:bookmarkEnd w:id="50"/>
      <w:r w:rsidR="003D746A">
        <w:t>: WA/ID Residential Electric Program</w:t>
      </w:r>
      <w:r w:rsidR="003254EC">
        <w:t>s</w:t>
      </w:r>
    </w:p>
    <w:tbl>
      <w:tblPr>
        <w:tblStyle w:val="NEXANTNEWTABLESTYLE"/>
        <w:tblW w:w="11538" w:type="dxa"/>
        <w:jc w:val="center"/>
        <w:tblLayout w:type="fixed"/>
        <w:tblLook w:val="04A0" w:firstRow="1" w:lastRow="0" w:firstColumn="1" w:lastColumn="0" w:noHBand="0" w:noVBand="1"/>
      </w:tblPr>
      <w:tblGrid>
        <w:gridCol w:w="3140"/>
        <w:gridCol w:w="5608"/>
        <w:gridCol w:w="2790"/>
      </w:tblGrid>
      <w:tr w:rsidR="00A824B4" w:rsidRPr="005D048F" w:rsidTr="002C4E89">
        <w:trPr>
          <w:cnfStyle w:val="100000000000" w:firstRow="1" w:lastRow="0" w:firstColumn="0" w:lastColumn="0" w:oddVBand="0" w:evenVBand="0" w:oddHBand="0" w:evenHBand="0" w:firstRowFirstColumn="0" w:firstRowLastColumn="0" w:lastRowFirstColumn="0" w:lastRowLastColumn="0"/>
          <w:trHeight w:val="288"/>
          <w:jc w:val="center"/>
        </w:trPr>
        <w:tc>
          <w:tcPr>
            <w:tcW w:w="3140" w:type="dxa"/>
            <w:tcBorders>
              <w:bottom w:val="single" w:sz="4" w:space="0" w:color="1F497D" w:themeColor="text2"/>
              <w:right w:val="single" w:sz="6" w:space="0" w:color="FFFFFF" w:themeColor="background1"/>
            </w:tcBorders>
            <w:vAlign w:val="center"/>
          </w:tcPr>
          <w:p w:rsidR="00A824B4" w:rsidRPr="00EC7F77" w:rsidRDefault="00A824B4"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5608" w:type="dxa"/>
            <w:tcBorders>
              <w:left w:val="single" w:sz="6" w:space="0" w:color="FFFFFF" w:themeColor="background1"/>
              <w:bottom w:val="single" w:sz="4" w:space="0" w:color="1F497D" w:themeColor="text2"/>
              <w:right w:val="single" w:sz="6" w:space="0" w:color="FFFFFF" w:themeColor="background1"/>
            </w:tcBorders>
            <w:vAlign w:val="center"/>
          </w:tcPr>
          <w:p w:rsidR="00A824B4" w:rsidRPr="00EC7F77" w:rsidRDefault="00A824B4"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Description</w:t>
            </w:r>
          </w:p>
        </w:tc>
        <w:tc>
          <w:tcPr>
            <w:tcW w:w="2790" w:type="dxa"/>
            <w:tcBorders>
              <w:left w:val="single" w:sz="6" w:space="0" w:color="FFFFFF" w:themeColor="background1"/>
              <w:bottom w:val="single" w:sz="4" w:space="0" w:color="1F497D" w:themeColor="text2"/>
            </w:tcBorders>
            <w:vAlign w:val="center"/>
          </w:tcPr>
          <w:p w:rsidR="00A824B4" w:rsidRPr="00EC7F77" w:rsidRDefault="00A824B4"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Appliance Recycling</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This program is intended to prompt the customer to decrease their energy used on inefficient second refrigerators or freezers by recycling and receiving financial incentives.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JACO Environmental</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E05C9B">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 xml:space="preserve">ENERGY STAR </w:t>
            </w:r>
            <w:r w:rsidR="00E05C9B" w:rsidRPr="00EC7F77">
              <w:rPr>
                <w:rFonts w:ascii="Calibri" w:hAnsi="Calibri"/>
                <w:b/>
                <w:color w:val="000000"/>
                <w:sz w:val="20"/>
              </w:rPr>
              <w:t>Homes</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Provides incentives for stick-built and manufactured homes that achieve ENERGY STAR / ECO-Rated labels.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NEEA administers, Avista pays rebate</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Fuel Efficiency</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fuel efficiency prescriptive rebate encourages customers to consider converting their electric space and water heat to natural gas.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HVAC program encourages residential customers to select a high efficiency solution when making energy upgrades to their home (prescriptive).</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Lighting</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Direct financial incentives are offered at the manufacturer level that result in cost reductions through participating retailers on select compact fluorescent lamps (CFL’s).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CLEAResult</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Shell</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shell program encourages residential customers to improve their home’s shell or exterior envelope with upgrades to insulation and windows.</w:t>
            </w:r>
          </w:p>
        </w:tc>
        <w:tc>
          <w:tcPr>
            <w:tcW w:w="2790" w:type="dxa"/>
            <w:tcBorders>
              <w:left w:val="single" w:sz="6" w:space="0" w:color="1F497D" w:themeColor="text2"/>
            </w:tcBorders>
            <w:vAlign w:val="center"/>
          </w:tcPr>
          <w:p w:rsidR="00D83120"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r w:rsidR="00D83120">
              <w:rPr>
                <w:rFonts w:ascii="Calibri" w:hAnsi="Calibri"/>
                <w:color w:val="000000"/>
                <w:sz w:val="20"/>
              </w:rPr>
              <w:t>;</w:t>
            </w:r>
          </w:p>
          <w:p w:rsidR="00A824B4" w:rsidRPr="00EC7F77" w:rsidRDefault="00D83120" w:rsidP="00D83120">
            <w:pPr>
              <w:tabs>
                <w:tab w:val="clear" w:pos="-1440"/>
                <w:tab w:val="clear" w:pos="-720"/>
                <w:tab w:val="num" w:pos="720"/>
              </w:tabs>
              <w:adjustRightInd w:val="0"/>
              <w:snapToGrid w:val="0"/>
              <w:spacing w:after="0" w:line="240" w:lineRule="auto"/>
              <w:ind w:left="0"/>
              <w:rPr>
                <w:rFonts w:ascii="Calibri" w:hAnsi="Calibri"/>
                <w:color w:val="000000"/>
                <w:sz w:val="20"/>
              </w:rPr>
            </w:pPr>
            <w:r>
              <w:rPr>
                <w:rFonts w:ascii="Calibri" w:hAnsi="Calibri"/>
                <w:color w:val="000000"/>
                <w:sz w:val="20"/>
              </w:rPr>
              <w:t>WSU/UCONS(manufactured home duct sealing in 2014)</w:t>
            </w:r>
          </w:p>
        </w:tc>
      </w:tr>
      <w:tr w:rsidR="00A824B4" w:rsidRPr="005D048F" w:rsidTr="002C4E89">
        <w:trPr>
          <w:trHeight w:val="66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Water Heat</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The water heat program encourages residential customers to select a high efficiency solution when making energy upgrades to their home (prescriptive).</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824B4">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Opower Behavioral Program</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June of 2013, Avista launched a three year Residential Behavioral Program using the Opower platform for Home Energy Reports (HER). 73,500 electric customers in Washington and Idaho were targeted for these reports and will continue receiving reports throughout the duration of this three year program unless they opt-out or move. No one is allowed to opt-in.</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Opower</w:t>
            </w:r>
          </w:p>
        </w:tc>
      </w:tr>
      <w:tr w:rsidR="00A824B4" w:rsidRPr="005D048F" w:rsidTr="002C4E89">
        <w:trPr>
          <w:trHeight w:val="288"/>
          <w:jc w:val="center"/>
        </w:trPr>
        <w:tc>
          <w:tcPr>
            <w:tcW w:w="3140" w:type="dxa"/>
            <w:tcBorders>
              <w:right w:val="single" w:sz="6" w:space="0" w:color="1F497D" w:themeColor="text2"/>
            </w:tcBorders>
          </w:tcPr>
          <w:p w:rsidR="00A824B4" w:rsidRPr="00EC7F77" w:rsidRDefault="00A824B4"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Low Income</w:t>
            </w:r>
          </w:p>
        </w:tc>
        <w:tc>
          <w:tcPr>
            <w:tcW w:w="5608" w:type="dxa"/>
            <w:tcBorders>
              <w:left w:val="single" w:sz="6" w:space="0" w:color="1F497D" w:themeColor="text2"/>
              <w:right w:val="single" w:sz="6" w:space="0" w:color="1F497D" w:themeColor="text2"/>
            </w:tcBorders>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 utilizes the infrastructure of six Community Action Partner (CAP) agencies to deliver low income energy efficiency programs. The CAPs have the ability to income-qualify customers and have access to a variety of funding resources, including Avista funding, which can be applied to meet customer needs.</w:t>
            </w:r>
          </w:p>
        </w:tc>
        <w:tc>
          <w:tcPr>
            <w:tcW w:w="2790" w:type="dxa"/>
            <w:tcBorders>
              <w:left w:val="single" w:sz="6" w:space="0" w:color="1F497D" w:themeColor="text2"/>
            </w:tcBorders>
            <w:vAlign w:val="center"/>
          </w:tcPr>
          <w:p w:rsidR="00A824B4" w:rsidRPr="00EC7F77" w:rsidRDefault="00A824B4"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SNAP, Rural Resources, Community Action Center Whitman County, Opportunities Industrialization Council, Washington Gorge Action Programs, Community Action Partnership (Lewiston)</w:t>
            </w:r>
          </w:p>
        </w:tc>
      </w:tr>
    </w:tbl>
    <w:p w:rsidR="003D746A" w:rsidRDefault="003D746A" w:rsidP="003D746A">
      <w:pPr>
        <w:pStyle w:val="t"/>
        <w:numPr>
          <w:ilvl w:val="0"/>
          <w:numId w:val="2"/>
        </w:numPr>
        <w:ind w:left="0"/>
        <w:sectPr w:rsidR="003D746A" w:rsidSect="00EE2E8B">
          <w:footnotePr>
            <w:numRestart w:val="eachPage"/>
          </w:footnotePr>
          <w:pgSz w:w="15840" w:h="12240" w:orient="landscape"/>
          <w:pgMar w:top="1440" w:right="1440" w:bottom="1440" w:left="1440" w:header="1080" w:footer="720" w:gutter="0"/>
          <w:cols w:space="360"/>
          <w:titlePg/>
          <w:docGrid w:linePitch="299"/>
        </w:sectPr>
      </w:pPr>
    </w:p>
    <w:p w:rsidR="00C310C5" w:rsidRDefault="00C310C5" w:rsidP="002C4E89">
      <w:pPr>
        <w:pStyle w:val="Heading4"/>
        <w:rPr>
          <w:color w:val="FF0000"/>
        </w:rPr>
      </w:pPr>
      <w:bookmarkStart w:id="51" w:name="_Ref406409464"/>
      <w:bookmarkStart w:id="52" w:name="_Toc409095392"/>
      <w:r>
        <w:lastRenderedPageBreak/>
        <w:t>Gross-Verified Approach</w:t>
      </w:r>
      <w:bookmarkEnd w:id="51"/>
      <w:bookmarkEnd w:id="52"/>
      <w:r w:rsidR="00137064">
        <w:t xml:space="preserve"> </w:t>
      </w:r>
    </w:p>
    <w:p w:rsidR="007E5CA4" w:rsidRDefault="007E5CA4" w:rsidP="007E5CA4">
      <w:pPr>
        <w:pStyle w:val="t"/>
      </w:pPr>
      <w:bookmarkStart w:id="53" w:name="_Ref401922946"/>
      <w:r w:rsidRPr="005B4D58">
        <w:t xml:space="preserve">Each program will be assigned a specific number of </w:t>
      </w:r>
      <w:r w:rsidR="0073598A">
        <w:t xml:space="preserve">desk audits, </w:t>
      </w:r>
      <w:r w:rsidRPr="005B4D58">
        <w:t>telephone surveys, and</w:t>
      </w:r>
      <w:r w:rsidR="006932B2">
        <w:t xml:space="preserve"> for the Lighting Program,</w:t>
      </w:r>
      <w:r w:rsidRPr="005B4D58">
        <w:t xml:space="preserve"> site inspections </w:t>
      </w:r>
      <w:r w:rsidR="006932B2">
        <w:t xml:space="preserve">in order to gather necessary data to estimate energy impacts. In addition, specific programs will be evaluated using billing analysis. </w:t>
      </w:r>
      <w:r w:rsidRPr="005B4D58">
        <w:t>Once the samples are identified, desk</w:t>
      </w:r>
      <w:r w:rsidR="006932B2">
        <w:t xml:space="preserve"> audits</w:t>
      </w:r>
      <w:r w:rsidRPr="005B4D58">
        <w:t xml:space="preserve"> of project files will verify basic information and will inform telephone surveys, on-site inspections, and </w:t>
      </w:r>
      <w:r w:rsidR="00BB2230">
        <w:t>billing analysis</w:t>
      </w:r>
      <w:r w:rsidRPr="005B4D58">
        <w:t xml:space="preserve"> activities.  </w:t>
      </w:r>
    </w:p>
    <w:bookmarkEnd w:id="53"/>
    <w:p w:rsidR="00FF3CB0" w:rsidRPr="00FF3CB0" w:rsidRDefault="00BB2230" w:rsidP="00FF3CB0">
      <w:pPr>
        <w:pStyle w:val="t"/>
      </w:pPr>
      <w:r w:rsidRPr="00EB7E4C">
        <w:rPr>
          <w:highlight w:val="yellow"/>
        </w:rPr>
        <w:fldChar w:fldCharType="begin"/>
      </w:r>
      <w:r w:rsidRPr="00EC7F77">
        <w:rPr>
          <w:highlight w:val="yellow"/>
        </w:rPr>
        <w:instrText xml:space="preserve"> REF _Ref406330038 \h  \* MERGEFORMAT </w:instrText>
      </w:r>
      <w:r w:rsidRPr="00EB7E4C">
        <w:rPr>
          <w:highlight w:val="yellow"/>
        </w:rPr>
      </w:r>
      <w:r w:rsidRPr="00EB7E4C">
        <w:rPr>
          <w:highlight w:val="yellow"/>
        </w:rPr>
        <w:fldChar w:fldCharType="separate"/>
      </w:r>
      <w:r w:rsidRPr="00EC7F77">
        <w:t xml:space="preserve">Table </w:t>
      </w:r>
      <w:r w:rsidRPr="00EC7F77">
        <w:rPr>
          <w:noProof/>
        </w:rPr>
        <w:t>2</w:t>
      </w:r>
      <w:r w:rsidRPr="00EC7F77">
        <w:noBreakHyphen/>
      </w:r>
      <w:r w:rsidRPr="00EC7F77">
        <w:rPr>
          <w:noProof/>
        </w:rPr>
        <w:t>6</w:t>
      </w:r>
      <w:r w:rsidRPr="00EB7E4C">
        <w:rPr>
          <w:highlight w:val="yellow"/>
        </w:rPr>
        <w:fldChar w:fldCharType="end"/>
      </w:r>
      <w:r w:rsidR="001C08A5" w:rsidRPr="000F3604">
        <w:t xml:space="preserve"> outlines the planned sample sizes and level of rigor for the impact evaluation activities for the </w:t>
      </w:r>
      <w:r>
        <w:t xml:space="preserve">residential </w:t>
      </w:r>
      <w:r w:rsidR="001C08A5" w:rsidRPr="000F3604">
        <w:t>electric programs in WA</w:t>
      </w:r>
      <w:r w:rsidR="001C08A5" w:rsidRPr="00FF3CB0">
        <w:t xml:space="preserve">/ID. </w:t>
      </w:r>
      <w:r w:rsidR="00714599" w:rsidRPr="002C4E89">
        <w:t>The Water Heat Program evaluation will also include analysis of the Simple Steps, Smart Savings high efficiency showerheads component.  The evaluation of the Residential Lighting Program will include an assessment of both the upstream lighting component and the giveaway component through a database review and through the activities outlined in the Residential Lighting Study described in the section below.</w:t>
      </w:r>
      <w:r w:rsidR="00FF3CB0" w:rsidRPr="00FF3CB0">
        <w:t xml:space="preserve"> </w:t>
      </w:r>
    </w:p>
    <w:p w:rsidR="001C08A5" w:rsidRPr="000F3604" w:rsidRDefault="00BB2230" w:rsidP="002C4E89">
      <w:pPr>
        <w:pStyle w:val="Caption"/>
        <w:ind w:left="0"/>
      </w:pPr>
      <w:bookmarkStart w:id="54" w:name="_Ref406330038"/>
      <w:r>
        <w:t xml:space="preserve">Table </w:t>
      </w:r>
      <w:fldSimple w:instr=" STYLEREF 1 \s ">
        <w:r w:rsidR="0067743A">
          <w:rPr>
            <w:noProof/>
          </w:rPr>
          <w:t>2</w:t>
        </w:r>
      </w:fldSimple>
      <w:r w:rsidR="0067743A">
        <w:noBreakHyphen/>
      </w:r>
      <w:fldSimple w:instr=" SEQ Table \* ARABIC \s 1 ">
        <w:r w:rsidR="0067743A">
          <w:rPr>
            <w:noProof/>
          </w:rPr>
          <w:t>6</w:t>
        </w:r>
      </w:fldSimple>
      <w:bookmarkEnd w:id="54"/>
      <w:r w:rsidR="001C08A5" w:rsidRPr="00320BA9">
        <w:t>: Sampling and Evaluation Rigor for WA/ID Residential Electric Programs</w:t>
      </w:r>
    </w:p>
    <w:tbl>
      <w:tblPr>
        <w:tblStyle w:val="NEXANTNEWTABLESTYLE"/>
        <w:tblW w:w="9828" w:type="dxa"/>
        <w:jc w:val="center"/>
        <w:tblLook w:val="04A0" w:firstRow="1" w:lastRow="0" w:firstColumn="1" w:lastColumn="0" w:noHBand="0" w:noVBand="1"/>
      </w:tblPr>
      <w:tblGrid>
        <w:gridCol w:w="3129"/>
        <w:gridCol w:w="1209"/>
        <w:gridCol w:w="1220"/>
        <w:gridCol w:w="1012"/>
        <w:gridCol w:w="1390"/>
        <w:gridCol w:w="1868"/>
      </w:tblGrid>
      <w:tr w:rsidR="001C08A5" w:rsidRPr="00B35356" w:rsidTr="002C4E89">
        <w:trPr>
          <w:cnfStyle w:val="100000000000" w:firstRow="1" w:lastRow="0" w:firstColumn="0" w:lastColumn="0" w:oddVBand="0" w:evenVBand="0" w:oddHBand="0" w:evenHBand="0" w:firstRowFirstColumn="0" w:firstRowLastColumn="0" w:lastRowFirstColumn="0" w:lastRowLastColumn="0"/>
          <w:trHeight w:val="315"/>
          <w:jc w:val="center"/>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C08A5" w:rsidRPr="00EC7F77" w:rsidRDefault="001C08A5"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1C08A5" w:rsidRPr="00EC7F77" w:rsidRDefault="001C08A5" w:rsidP="00EE2E8B">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1C08A5" w:rsidRPr="00B35356" w:rsidTr="002C4E89">
        <w:trPr>
          <w:trHeight w:val="645"/>
          <w:jc w:val="center"/>
        </w:trPr>
        <w:tc>
          <w:tcPr>
            <w:tcW w:w="3129"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1C08A5" w:rsidRPr="00EC7F77" w:rsidRDefault="001C08A5" w:rsidP="001C08A5">
            <w:pPr>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1C08A5" w:rsidRPr="00EC7F77" w:rsidRDefault="001C08A5"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Appliance Recycling</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vertAlign w:val="superscript"/>
              </w:rPr>
            </w:pPr>
            <w:r w:rsidRPr="00EC7F77">
              <w:rPr>
                <w:rFonts w:cs="Microsoft Sans Serif"/>
                <w:color w:val="000000"/>
                <w:sz w:val="20"/>
              </w:rPr>
              <w:t>70</w:t>
            </w:r>
            <w:r w:rsidR="0002468C" w:rsidRPr="00EC7F77">
              <w:rPr>
                <w:rFonts w:cs="Microsoft Sans Serif"/>
                <w:color w:val="000000"/>
                <w:sz w:val="20"/>
                <w:vertAlign w:val="superscript"/>
              </w:rPr>
              <w:t>1</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highlight w:val="yellow"/>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w:t>
            </w:r>
            <w:r w:rsidR="001C08A5" w:rsidRPr="00EC7F77">
              <w:rPr>
                <w:rFonts w:cs="Microsoft Sans Serif"/>
                <w:color w:val="000000"/>
                <w:sz w:val="20"/>
              </w:rPr>
              <w:t>/</w:t>
            </w:r>
            <w:r w:rsidRPr="00EC7F77">
              <w:rPr>
                <w:rFonts w:cs="Microsoft Sans Serif"/>
                <w:color w:val="000000"/>
                <w:sz w:val="20"/>
              </w:rPr>
              <w:t>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9301DA"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67</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highlight w:val="yellow"/>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Water Heat Program</w:t>
            </w:r>
            <w:r w:rsidR="00155FD3" w:rsidRPr="00F262F6">
              <w:rPr>
                <w:rFonts w:cs="Microsoft Sans Serif"/>
                <w:color w:val="000000"/>
                <w:sz w:val="20"/>
                <w:vertAlign w:val="superscript"/>
              </w:rPr>
              <w:t>1</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15</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Fuel Efficiency</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55FD3">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Residential Lighting Program</w:t>
            </w:r>
            <w:r w:rsidR="00155FD3">
              <w:rPr>
                <w:rFonts w:cs="Microsoft Sans Serif"/>
                <w:color w:val="000000"/>
                <w:sz w:val="20"/>
                <w:vertAlign w:val="superscript"/>
              </w:rPr>
              <w:t>2</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02468C"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59272F" w:rsidP="00155FD3">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70</w:t>
            </w:r>
            <w:r w:rsidR="00155FD3">
              <w:rPr>
                <w:rFonts w:cs="Microsoft Sans Serif"/>
                <w:color w:val="000000"/>
                <w:sz w:val="20"/>
                <w:vertAlign w:val="superscript"/>
              </w:rPr>
              <w:t>3</w:t>
            </w: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r w:rsidR="001C08A5" w:rsidRPr="00B35356" w:rsidTr="002C4E89">
        <w:trPr>
          <w:trHeight w:val="315"/>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15"/>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hideMark/>
          </w:tcPr>
          <w:p w:rsidR="001C08A5" w:rsidRPr="00EC7F77" w:rsidRDefault="001C08A5" w:rsidP="001C08A5">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09"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1C08A5" w:rsidRPr="00EC7F77" w:rsidRDefault="001C08A5"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w:t>
            </w:r>
            <w:r w:rsidR="009301DA" w:rsidRPr="00EC7F77">
              <w:rPr>
                <w:rFonts w:cs="Microsoft Sans Serif"/>
                <w:color w:val="000000"/>
                <w:sz w:val="20"/>
              </w:rPr>
              <w:t>4</w:t>
            </w:r>
          </w:p>
        </w:tc>
        <w:tc>
          <w:tcPr>
            <w:tcW w:w="1012" w:type="dxa"/>
            <w:tcBorders>
              <w:left w:val="single" w:sz="6" w:space="0" w:color="1F497D" w:themeColor="text2"/>
              <w:right w:val="single" w:sz="6" w:space="0" w:color="1F497D" w:themeColor="text2"/>
            </w:tcBorders>
            <w:noWrap/>
            <w:vAlign w:val="center"/>
            <w:hideMark/>
          </w:tcPr>
          <w:p w:rsidR="001C08A5" w:rsidRPr="00EC7F77" w:rsidRDefault="001C08A5" w:rsidP="00EB7E4C">
            <w:pPr>
              <w:tabs>
                <w:tab w:val="clear" w:pos="-1440"/>
                <w:tab w:val="clear" w:pos="-720"/>
                <w:tab w:val="clear" w:pos="720"/>
              </w:tabs>
              <w:spacing w:after="0" w:line="240" w:lineRule="auto"/>
              <w:ind w:left="0"/>
              <w:jc w:val="center"/>
              <w:rPr>
                <w:rFonts w:cs="Microsoft Sans Serif"/>
                <w:color w:val="000000"/>
                <w:sz w:val="20"/>
              </w:rPr>
            </w:pPr>
          </w:p>
        </w:tc>
        <w:tc>
          <w:tcPr>
            <w:tcW w:w="1390" w:type="dxa"/>
            <w:tcBorders>
              <w:left w:val="single" w:sz="6" w:space="0" w:color="1F497D" w:themeColor="text2"/>
              <w:right w:val="single" w:sz="6" w:space="0" w:color="1F497D" w:themeColor="text2"/>
            </w:tcBorders>
            <w:noWrap/>
            <w:vAlign w:val="center"/>
            <w:hideMark/>
          </w:tcPr>
          <w:p w:rsidR="001C08A5" w:rsidRPr="00EC7F77" w:rsidRDefault="001C08A5">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1C08A5" w:rsidRPr="00EC7F77" w:rsidRDefault="001C08A5" w:rsidP="001C08A5">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1C08A5" w:rsidRPr="00B35356" w:rsidTr="002C4E89">
        <w:trPr>
          <w:trHeight w:val="300"/>
          <w:jc w:val="center"/>
        </w:trPr>
        <w:tc>
          <w:tcPr>
            <w:tcW w:w="3129" w:type="dxa"/>
            <w:tcBorders>
              <w:right w:val="single" w:sz="6" w:space="0" w:color="1F497D" w:themeColor="text2"/>
            </w:tcBorders>
            <w:noWrap/>
          </w:tcPr>
          <w:p w:rsidR="001C08A5" w:rsidRPr="00EC7F77" w:rsidRDefault="001C08A5" w:rsidP="001C08A5">
            <w:pPr>
              <w:tabs>
                <w:tab w:val="clear" w:pos="-1440"/>
                <w:tab w:val="clear" w:pos="-720"/>
                <w:tab w:val="clear" w:pos="720"/>
              </w:tabs>
              <w:spacing w:after="0" w:line="240" w:lineRule="auto"/>
              <w:ind w:left="0"/>
              <w:rPr>
                <w:rFonts w:cs="Microsoft Sans Serif"/>
                <w:b/>
                <w:color w:val="000000"/>
                <w:sz w:val="20"/>
              </w:rPr>
            </w:pPr>
            <w:r w:rsidRPr="00EC7F77">
              <w:rPr>
                <w:rFonts w:cs="Microsoft Sans Serif"/>
                <w:b/>
                <w:color w:val="000000"/>
                <w:sz w:val="20"/>
              </w:rPr>
              <w:t>TOTAL:</w:t>
            </w:r>
          </w:p>
        </w:tc>
        <w:tc>
          <w:tcPr>
            <w:tcW w:w="1209" w:type="dxa"/>
            <w:tcBorders>
              <w:left w:val="single" w:sz="6" w:space="0" w:color="1F497D" w:themeColor="text2"/>
              <w:right w:val="single" w:sz="6" w:space="0" w:color="1F497D" w:themeColor="text2"/>
            </w:tcBorders>
            <w:noWrap/>
            <w:vAlign w:val="center"/>
          </w:tcPr>
          <w:p w:rsidR="001C08A5" w:rsidRPr="00EC7F77" w:rsidRDefault="001C08A5" w:rsidP="00EB7E4C">
            <w:pPr>
              <w:tabs>
                <w:tab w:val="clear" w:pos="-1440"/>
                <w:tab w:val="clear" w:pos="-720"/>
                <w:tab w:val="clear" w:pos="720"/>
              </w:tabs>
              <w:spacing w:after="0" w:line="240" w:lineRule="auto"/>
              <w:ind w:left="0"/>
              <w:jc w:val="center"/>
              <w:rPr>
                <w:rFonts w:cs="Microsoft Sans Serif"/>
                <w:b/>
                <w:color w:val="000000"/>
                <w:sz w:val="20"/>
              </w:rPr>
            </w:pPr>
          </w:p>
        </w:tc>
        <w:tc>
          <w:tcPr>
            <w:tcW w:w="1220"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165</w:t>
            </w:r>
          </w:p>
        </w:tc>
        <w:tc>
          <w:tcPr>
            <w:tcW w:w="1012"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211</w:t>
            </w:r>
          </w:p>
        </w:tc>
        <w:tc>
          <w:tcPr>
            <w:tcW w:w="1390" w:type="dxa"/>
            <w:tcBorders>
              <w:left w:val="single" w:sz="6" w:space="0" w:color="1F497D" w:themeColor="text2"/>
              <w:right w:val="single" w:sz="6" w:space="0" w:color="1F497D" w:themeColor="text2"/>
            </w:tcBorders>
            <w:noWrap/>
            <w:vAlign w:val="center"/>
          </w:tcPr>
          <w:p w:rsidR="001C08A5"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b/>
                <w:color w:val="000000"/>
                <w:sz w:val="20"/>
              </w:rPr>
            </w:pPr>
            <w:r w:rsidRPr="00EC7F77">
              <w:rPr>
                <w:rFonts w:cs="Microsoft Sans Serif"/>
                <w:b/>
                <w:color w:val="000000"/>
                <w:sz w:val="20"/>
              </w:rPr>
              <w:t>70</w:t>
            </w:r>
          </w:p>
        </w:tc>
        <w:tc>
          <w:tcPr>
            <w:tcW w:w="1868" w:type="dxa"/>
            <w:tcBorders>
              <w:left w:val="single" w:sz="6" w:space="0" w:color="1F497D" w:themeColor="text2"/>
            </w:tcBorders>
            <w:noWrap/>
            <w:vAlign w:val="center"/>
          </w:tcPr>
          <w:p w:rsidR="001C08A5" w:rsidRPr="00EC7F77" w:rsidRDefault="001C08A5" w:rsidP="001C08A5">
            <w:pPr>
              <w:tabs>
                <w:tab w:val="clear" w:pos="-1440"/>
                <w:tab w:val="clear" w:pos="-720"/>
                <w:tab w:val="clear" w:pos="720"/>
              </w:tabs>
              <w:spacing w:after="0" w:line="240" w:lineRule="auto"/>
              <w:ind w:left="0"/>
              <w:jc w:val="center"/>
              <w:rPr>
                <w:rFonts w:cs="Microsoft Sans Serif"/>
                <w:color w:val="000000"/>
                <w:sz w:val="20"/>
              </w:rPr>
            </w:pPr>
          </w:p>
        </w:tc>
      </w:tr>
    </w:tbl>
    <w:p w:rsidR="00155FD3" w:rsidRDefault="00155FD3" w:rsidP="00155FD3">
      <w:pPr>
        <w:pStyle w:val="t"/>
        <w:numPr>
          <w:ilvl w:val="0"/>
          <w:numId w:val="0"/>
        </w:numPr>
        <w:spacing w:after="0"/>
        <w:ind w:left="360" w:hanging="360"/>
        <w:rPr>
          <w:sz w:val="16"/>
          <w:szCs w:val="16"/>
          <w:vertAlign w:val="superscript"/>
        </w:rPr>
      </w:pPr>
      <w:r w:rsidRPr="00320BA9">
        <w:rPr>
          <w:sz w:val="16"/>
          <w:szCs w:val="16"/>
          <w:vertAlign w:val="superscript"/>
        </w:rPr>
        <w:t>1</w:t>
      </w:r>
      <w:r>
        <w:rPr>
          <w:sz w:val="16"/>
          <w:szCs w:val="16"/>
        </w:rPr>
        <w:t>Includes Simple Steps, S</w:t>
      </w:r>
      <w:r w:rsidR="003E3094">
        <w:rPr>
          <w:sz w:val="16"/>
          <w:szCs w:val="16"/>
        </w:rPr>
        <w:t>mart</w:t>
      </w:r>
      <w:r>
        <w:rPr>
          <w:sz w:val="16"/>
          <w:szCs w:val="16"/>
        </w:rPr>
        <w:t xml:space="preserve"> Savings upstream </w:t>
      </w:r>
      <w:r w:rsidR="003E3094">
        <w:rPr>
          <w:sz w:val="16"/>
          <w:szCs w:val="16"/>
        </w:rPr>
        <w:t xml:space="preserve">showerhead </w:t>
      </w:r>
      <w:r w:rsidR="00403C72">
        <w:rPr>
          <w:sz w:val="16"/>
          <w:szCs w:val="16"/>
        </w:rPr>
        <w:t>component</w:t>
      </w:r>
    </w:p>
    <w:p w:rsidR="0059272F" w:rsidRDefault="00155FD3" w:rsidP="00AE4E89">
      <w:pPr>
        <w:pStyle w:val="t"/>
        <w:numPr>
          <w:ilvl w:val="0"/>
          <w:numId w:val="0"/>
        </w:numPr>
        <w:spacing w:after="0"/>
        <w:ind w:left="360" w:hanging="360"/>
        <w:rPr>
          <w:sz w:val="16"/>
          <w:szCs w:val="16"/>
          <w:vertAlign w:val="superscript"/>
        </w:rPr>
      </w:pPr>
      <w:r w:rsidRPr="00AE4E89">
        <w:rPr>
          <w:sz w:val="16"/>
          <w:szCs w:val="16"/>
          <w:vertAlign w:val="superscript"/>
        </w:rPr>
        <w:t>2</w:t>
      </w:r>
      <w:r w:rsidR="0059272F">
        <w:rPr>
          <w:sz w:val="16"/>
          <w:szCs w:val="16"/>
        </w:rPr>
        <w:t>Includes Simple Steps, S</w:t>
      </w:r>
      <w:r w:rsidR="003E3094">
        <w:rPr>
          <w:sz w:val="16"/>
          <w:szCs w:val="16"/>
        </w:rPr>
        <w:t>mart</w:t>
      </w:r>
      <w:r w:rsidR="0059272F">
        <w:rPr>
          <w:sz w:val="16"/>
          <w:szCs w:val="16"/>
        </w:rPr>
        <w:t xml:space="preserve"> Savings upstream lighting</w:t>
      </w:r>
      <w:r>
        <w:rPr>
          <w:sz w:val="16"/>
          <w:szCs w:val="16"/>
        </w:rPr>
        <w:t xml:space="preserve"> </w:t>
      </w:r>
      <w:r w:rsidR="0059272F">
        <w:rPr>
          <w:sz w:val="16"/>
          <w:szCs w:val="16"/>
        </w:rPr>
        <w:t>program and CFL giveaway events</w:t>
      </w:r>
    </w:p>
    <w:p w:rsidR="001C08A5" w:rsidRDefault="002C4E89" w:rsidP="00AE4E89">
      <w:pPr>
        <w:pStyle w:val="t"/>
        <w:numPr>
          <w:ilvl w:val="0"/>
          <w:numId w:val="0"/>
        </w:numPr>
        <w:spacing w:after="0"/>
        <w:ind w:left="360" w:hanging="360"/>
        <w:rPr>
          <w:sz w:val="16"/>
          <w:szCs w:val="16"/>
        </w:rPr>
      </w:pPr>
      <w:r>
        <w:rPr>
          <w:sz w:val="16"/>
          <w:szCs w:val="16"/>
          <w:vertAlign w:val="superscript"/>
        </w:rPr>
        <w:t>3</w:t>
      </w:r>
      <w:r w:rsidR="00155FD3" w:rsidRPr="00F30F40">
        <w:rPr>
          <w:sz w:val="16"/>
          <w:szCs w:val="16"/>
        </w:rPr>
        <w:t xml:space="preserve">Denotes </w:t>
      </w:r>
      <w:r w:rsidR="00AD1C95" w:rsidRPr="00F30F40">
        <w:rPr>
          <w:sz w:val="16"/>
          <w:szCs w:val="16"/>
        </w:rPr>
        <w:t>sample size for residential lighting program logger study</w:t>
      </w:r>
    </w:p>
    <w:p w:rsidR="00FF3CB0" w:rsidRDefault="00FF3CB0" w:rsidP="00D83120">
      <w:pPr>
        <w:pStyle w:val="Heading5"/>
      </w:pPr>
      <w:bookmarkStart w:id="55" w:name="_Ref406330270"/>
    </w:p>
    <w:p w:rsidR="0012388D" w:rsidRPr="000F3604" w:rsidRDefault="0012388D" w:rsidP="00D83120">
      <w:pPr>
        <w:pStyle w:val="Heading5"/>
      </w:pPr>
      <w:r w:rsidRPr="000F3604">
        <w:t>Residential Lighting Study</w:t>
      </w:r>
      <w:bookmarkEnd w:id="55"/>
    </w:p>
    <w:p w:rsidR="0012388D" w:rsidRPr="000F3604" w:rsidRDefault="00BB2230" w:rsidP="0012388D">
      <w:pPr>
        <w:pStyle w:val="t"/>
        <w:numPr>
          <w:ilvl w:val="0"/>
          <w:numId w:val="2"/>
        </w:numPr>
        <w:ind w:left="0"/>
      </w:pPr>
      <w:r>
        <w:t>T</w:t>
      </w:r>
      <w:r w:rsidR="0012388D" w:rsidRPr="000F3604">
        <w:t xml:space="preserve">he </w:t>
      </w:r>
      <w:r w:rsidR="005D3372" w:rsidRPr="000F3604">
        <w:t>evaluation team will</w:t>
      </w:r>
      <w:r w:rsidR="0012388D" w:rsidRPr="000F3604">
        <w:t xml:space="preserve"> conduct a residential lighting study to determine the average annual hours of use of residential lamps, including compact fluorescent lamps (CFLs) for Avista’s Residential Lighting program. The study methodology will align with the Department of Energy (DOE) Uniform Measure Protocol (UMP) for residential lighting. </w:t>
      </w:r>
      <w:r w:rsidR="008012D7">
        <w:t>We will use the results of the study to inform the hours of use input to the analysis of the upstream and CFL giveaway lighting programs.</w:t>
      </w:r>
    </w:p>
    <w:p w:rsidR="0012388D" w:rsidRPr="000F3604" w:rsidRDefault="0012388D" w:rsidP="00B35356">
      <w:pPr>
        <w:pStyle w:val="Heading6"/>
      </w:pPr>
      <w:r w:rsidRPr="000F3604">
        <w:t xml:space="preserve">Methodology </w:t>
      </w:r>
    </w:p>
    <w:p w:rsidR="0012388D" w:rsidRPr="000F3604" w:rsidRDefault="0012388D" w:rsidP="0012388D">
      <w:pPr>
        <w:pStyle w:val="t"/>
        <w:numPr>
          <w:ilvl w:val="0"/>
          <w:numId w:val="2"/>
        </w:numPr>
        <w:ind w:left="0"/>
      </w:pPr>
      <w:r w:rsidRPr="000F3604">
        <w:t xml:space="preserve">Because retailer </w:t>
      </w:r>
      <w:r w:rsidR="00155FD3">
        <w:t xml:space="preserve">or give-away </w:t>
      </w:r>
      <w:r w:rsidRPr="000F3604">
        <w:t xml:space="preserve">distribution streams do not target specific fixtures or high-usage areas, the study will meter between four (4) to eight (8) lamps per home with a targeted average of six (6) metered </w:t>
      </w:r>
      <w:r w:rsidRPr="000F3604">
        <w:lastRenderedPageBreak/>
        <w:t xml:space="preserve">lamps per home. Collecting data for an average of 6 lamps per residence maximizes the data collected at a specific residence and allows for a large dataset to be gathered for analysis across multiple delivery streams, residence, room, and fixture types. Metered lamps will include LEDs, CFLs, and incandescent lamps. The lighting study will target annual operating hour results with 8% precision at the 90% confidence level for premises and lamps. </w:t>
      </w:r>
      <w:r w:rsidRPr="00EC7F77">
        <w:fldChar w:fldCharType="begin"/>
      </w:r>
      <w:r w:rsidRPr="00EC7F77">
        <w:instrText xml:space="preserve"> REF _Ref401923830 \h  \* MERGEFORMAT </w:instrText>
      </w:r>
      <w:r w:rsidRPr="00EC7F77">
        <w:fldChar w:fldCharType="separate"/>
      </w:r>
      <w:r w:rsidR="00BB2230" w:rsidRPr="00EC7F77">
        <w:t xml:space="preserve">Table </w:t>
      </w:r>
      <w:r w:rsidR="00BB2230" w:rsidRPr="00EC7F77">
        <w:rPr>
          <w:noProof/>
        </w:rPr>
        <w:t>2</w:t>
      </w:r>
      <w:r w:rsidR="00BB2230" w:rsidRPr="00EC7F77">
        <w:rPr>
          <w:noProof/>
        </w:rPr>
        <w:noBreakHyphen/>
        <w:t>7</w:t>
      </w:r>
      <w:r w:rsidRPr="00EC7F77">
        <w:fldChar w:fldCharType="end"/>
      </w:r>
      <w:r w:rsidRPr="00EC7F77">
        <w:t xml:space="preserve"> </w:t>
      </w:r>
      <w:r w:rsidRPr="000F3604">
        <w:t>summarizes the sampling frame targeting 420 lamps in 70 residences.</w:t>
      </w:r>
    </w:p>
    <w:p w:rsidR="0012388D" w:rsidRPr="000F3604" w:rsidRDefault="0012388D" w:rsidP="0012388D">
      <w:pPr>
        <w:pStyle w:val="Caption"/>
      </w:pPr>
      <w:bookmarkStart w:id="56" w:name="_Ref401923830"/>
      <w:r w:rsidRPr="000F3604">
        <w:t xml:space="preserve">Table </w:t>
      </w:r>
      <w:fldSimple w:instr=" STYLEREF 1 \s ">
        <w:r w:rsidR="0067743A">
          <w:rPr>
            <w:noProof/>
          </w:rPr>
          <w:t>2</w:t>
        </w:r>
      </w:fldSimple>
      <w:r w:rsidR="0067743A">
        <w:noBreakHyphen/>
      </w:r>
      <w:fldSimple w:instr=" SEQ Table \* ARABIC \s 1 ">
        <w:r w:rsidR="0067743A">
          <w:rPr>
            <w:noProof/>
          </w:rPr>
          <w:t>7</w:t>
        </w:r>
      </w:fldSimple>
      <w:bookmarkEnd w:id="56"/>
      <w:r w:rsidRPr="000F3604">
        <w:t>: Residential Lamps Sampling Frame</w:t>
      </w:r>
    </w:p>
    <w:tbl>
      <w:tblPr>
        <w:tblStyle w:val="NEXANTNEWTABLESTYLE"/>
        <w:tblW w:w="0" w:type="auto"/>
        <w:jc w:val="center"/>
        <w:tblLook w:val="00A0" w:firstRow="1" w:lastRow="0" w:firstColumn="1" w:lastColumn="0" w:noHBand="0" w:noVBand="0"/>
      </w:tblPr>
      <w:tblGrid>
        <w:gridCol w:w="1440"/>
        <w:gridCol w:w="1440"/>
        <w:gridCol w:w="1440"/>
        <w:gridCol w:w="1508"/>
        <w:gridCol w:w="2227"/>
      </w:tblGrid>
      <w:tr w:rsidR="0012388D" w:rsidRPr="00B35356" w:rsidTr="002C4E89">
        <w:trPr>
          <w:cnfStyle w:val="100000000000" w:firstRow="1" w:lastRow="0" w:firstColumn="0" w:lastColumn="0" w:oddVBand="0" w:evenVBand="0" w:oddHBand="0" w:evenHBand="0" w:firstRowFirstColumn="0" w:firstRowLastColumn="0" w:lastRowFirstColumn="0" w:lastRowLastColumn="0"/>
          <w:jc w:val="center"/>
        </w:trPr>
        <w:tc>
          <w:tcPr>
            <w:tcW w:w="1440" w:type="dxa"/>
            <w:tcBorders>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720"/>
              </w:tabs>
              <w:spacing w:after="0" w:line="240" w:lineRule="auto"/>
              <w:ind w:left="0"/>
              <w:jc w:val="left"/>
              <w:rPr>
                <w:rFonts w:cs="Microsoft Sans Serif"/>
                <w:color w:val="FFFFFF"/>
                <w:sz w:val="20"/>
              </w:rPr>
            </w:pPr>
            <w:r w:rsidRPr="00EC7F77">
              <w:rPr>
                <w:rFonts w:cs="Microsoft Sans Serif"/>
                <w:color w:val="FFFFFF"/>
                <w:sz w:val="20"/>
              </w:rPr>
              <w:t>Confidence</w:t>
            </w:r>
          </w:p>
        </w:tc>
        <w:tc>
          <w:tcPr>
            <w:tcW w:w="1440"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Precision</w:t>
            </w:r>
          </w:p>
        </w:tc>
        <w:tc>
          <w:tcPr>
            <w:tcW w:w="1440"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Cv</w:t>
            </w:r>
            <w:r w:rsidRPr="00EC7F77">
              <w:rPr>
                <w:rStyle w:val="FootnoteReference"/>
                <w:rFonts w:cs="Microsoft Sans Serif"/>
                <w:color w:val="FFFFFF"/>
                <w:sz w:val="20"/>
                <w:vertAlign w:val="superscript"/>
              </w:rPr>
              <w:footnoteReference w:id="2"/>
            </w:r>
          </w:p>
        </w:tc>
        <w:tc>
          <w:tcPr>
            <w:tcW w:w="1508" w:type="dxa"/>
            <w:tcBorders>
              <w:left w:val="single" w:sz="6" w:space="0" w:color="FFFFFF" w:themeColor="background1"/>
              <w:bottom w:val="single" w:sz="4" w:space="0" w:color="1F497D" w:themeColor="text2"/>
              <w:right w:val="single" w:sz="6" w:space="0" w:color="FFFFFF" w:themeColor="background1"/>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Sample Size</w:t>
            </w:r>
            <w:r w:rsidRPr="00EC7F77">
              <w:rPr>
                <w:rStyle w:val="FootnoteReference"/>
                <w:rFonts w:cs="Microsoft Sans Serif"/>
                <w:color w:val="FFFFFF"/>
                <w:sz w:val="20"/>
                <w:vertAlign w:val="superscript"/>
              </w:rPr>
              <w:footnoteReference w:id="3"/>
            </w:r>
          </w:p>
        </w:tc>
        <w:tc>
          <w:tcPr>
            <w:tcW w:w="2227" w:type="dxa"/>
            <w:tcBorders>
              <w:left w:val="single" w:sz="6" w:space="0" w:color="FFFFFF" w:themeColor="background1"/>
              <w:bottom w:val="single" w:sz="4" w:space="0" w:color="1F497D" w:themeColor="text2"/>
            </w:tcBorders>
            <w:vAlign w:val="center"/>
            <w:hideMark/>
          </w:tcPr>
          <w:p w:rsidR="0012388D" w:rsidRPr="00EC7F77" w:rsidRDefault="0012388D" w:rsidP="00EE22D8">
            <w:pPr>
              <w:keepNext/>
              <w:tabs>
                <w:tab w:val="clear" w:pos="-1440"/>
                <w:tab w:val="clear" w:pos="-720"/>
                <w:tab w:val="clear" w:pos="720"/>
              </w:tabs>
              <w:spacing w:after="0" w:line="240" w:lineRule="auto"/>
              <w:ind w:left="0"/>
              <w:jc w:val="left"/>
              <w:rPr>
                <w:rFonts w:cs="Microsoft Sans Serif"/>
                <w:color w:val="FFFFFF"/>
                <w:sz w:val="20"/>
              </w:rPr>
            </w:pPr>
            <w:r w:rsidRPr="00EC7F77">
              <w:rPr>
                <w:rFonts w:cs="Microsoft Sans Serif"/>
                <w:color w:val="FFFFFF"/>
                <w:sz w:val="20"/>
              </w:rPr>
              <w:t>Installed Loggers</w:t>
            </w:r>
          </w:p>
        </w:tc>
      </w:tr>
      <w:tr w:rsidR="0012388D" w:rsidRPr="00B35356" w:rsidTr="002C4E89">
        <w:trPr>
          <w:jc w:val="center"/>
        </w:trPr>
        <w:tc>
          <w:tcPr>
            <w:tcW w:w="1440" w:type="dxa"/>
            <w:tcBorders>
              <w:top w:val="single" w:sz="4" w:space="0" w:color="1F497D" w:themeColor="text2"/>
              <w:right w:val="single" w:sz="6" w:space="0" w:color="1F497D" w:themeColor="text2"/>
            </w:tcBorders>
            <w:vAlign w:val="center"/>
            <w:hideMark/>
          </w:tcPr>
          <w:p w:rsidR="0012388D" w:rsidRPr="00EC7F77" w:rsidRDefault="0012388D" w:rsidP="00FF3CB0">
            <w:pPr>
              <w:keepNext/>
              <w:tabs>
                <w:tab w:val="clear" w:pos="720"/>
              </w:tabs>
              <w:spacing w:after="0" w:line="240" w:lineRule="auto"/>
              <w:ind w:left="72"/>
              <w:jc w:val="center"/>
              <w:rPr>
                <w:rFonts w:cs="Microsoft Sans Serif"/>
                <w:b/>
                <w:sz w:val="20"/>
              </w:rPr>
            </w:pPr>
            <w:r w:rsidRPr="00EC7F77">
              <w:rPr>
                <w:rFonts w:cs="Microsoft Sans Serif"/>
                <w:sz w:val="20"/>
              </w:rPr>
              <w:t>90%</w:t>
            </w:r>
          </w:p>
        </w:tc>
        <w:tc>
          <w:tcPr>
            <w:tcW w:w="1440"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C60BE">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8%</w:t>
            </w:r>
          </w:p>
        </w:tc>
        <w:tc>
          <w:tcPr>
            <w:tcW w:w="1440"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C60BE">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0.95</w:t>
            </w:r>
          </w:p>
        </w:tc>
        <w:tc>
          <w:tcPr>
            <w:tcW w:w="1508" w:type="dxa"/>
            <w:tcBorders>
              <w:top w:val="single" w:sz="4" w:space="0" w:color="1F497D" w:themeColor="text2"/>
              <w:left w:val="single" w:sz="6" w:space="0" w:color="1F497D" w:themeColor="text2"/>
              <w:right w:val="single" w:sz="6" w:space="0" w:color="1F497D" w:themeColor="text2"/>
            </w:tcBorders>
            <w:vAlign w:val="center"/>
            <w:hideMark/>
          </w:tcPr>
          <w:p w:rsidR="0012388D" w:rsidRPr="00EC7F77" w:rsidRDefault="0012388D" w:rsidP="0015244B">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382</w:t>
            </w:r>
          </w:p>
        </w:tc>
        <w:tc>
          <w:tcPr>
            <w:tcW w:w="2227" w:type="dxa"/>
            <w:tcBorders>
              <w:top w:val="single" w:sz="4" w:space="0" w:color="1F497D" w:themeColor="text2"/>
              <w:left w:val="single" w:sz="6" w:space="0" w:color="1F497D" w:themeColor="text2"/>
            </w:tcBorders>
            <w:vAlign w:val="center"/>
            <w:hideMark/>
          </w:tcPr>
          <w:p w:rsidR="0012388D" w:rsidRPr="00EC7F77" w:rsidRDefault="0012388D" w:rsidP="0015244B">
            <w:pPr>
              <w:keepNext/>
              <w:tabs>
                <w:tab w:val="num" w:pos="720"/>
              </w:tabs>
              <w:adjustRightInd w:val="0"/>
              <w:snapToGrid w:val="0"/>
              <w:spacing w:after="0" w:line="240" w:lineRule="auto"/>
              <w:ind w:left="72" w:hanging="720"/>
              <w:jc w:val="center"/>
              <w:rPr>
                <w:rFonts w:cs="Microsoft Sans Serif"/>
                <w:sz w:val="20"/>
              </w:rPr>
            </w:pPr>
            <w:r w:rsidRPr="00EC7F77">
              <w:rPr>
                <w:rFonts w:cs="Microsoft Sans Serif"/>
                <w:sz w:val="20"/>
              </w:rPr>
              <w:t>420</w:t>
            </w:r>
          </w:p>
        </w:tc>
      </w:tr>
    </w:tbl>
    <w:p w:rsidR="0012388D" w:rsidRPr="000F3604" w:rsidRDefault="0012388D" w:rsidP="0012388D">
      <w:pPr>
        <w:pStyle w:val="t"/>
        <w:numPr>
          <w:ilvl w:val="0"/>
          <w:numId w:val="2"/>
        </w:numPr>
        <w:ind w:left="0"/>
      </w:pPr>
    </w:p>
    <w:p w:rsidR="0012388D" w:rsidRPr="000F3604" w:rsidRDefault="0012388D" w:rsidP="0012388D">
      <w:pPr>
        <w:pStyle w:val="t"/>
        <w:numPr>
          <w:ilvl w:val="0"/>
          <w:numId w:val="2"/>
        </w:numPr>
        <w:ind w:left="0"/>
      </w:pPr>
      <w:r w:rsidRPr="000F3604">
        <w:t>With the number of installed loggers at 420, it is also expected the study will provide statistically meaningful results for delivery methods, multiple room configurations, and fixture types, as well as efficient lamps versus incandescent lamps operating hours.</w:t>
      </w:r>
    </w:p>
    <w:p w:rsidR="0012388D" w:rsidRPr="000F3604" w:rsidRDefault="0012388D" w:rsidP="00B35356">
      <w:pPr>
        <w:pStyle w:val="Heading6"/>
      </w:pPr>
      <w:r w:rsidRPr="000F3604">
        <w:t xml:space="preserve">Measurement Activities </w:t>
      </w:r>
    </w:p>
    <w:p w:rsidR="0012388D" w:rsidRPr="000F3604" w:rsidRDefault="0012388D" w:rsidP="003C527E">
      <w:pPr>
        <w:pStyle w:val="t"/>
        <w:numPr>
          <w:ilvl w:val="0"/>
          <w:numId w:val="2"/>
        </w:numPr>
        <w:ind w:left="0"/>
      </w:pPr>
      <w:r w:rsidRPr="000F3604">
        <w:t>Between four and eight HOBO</w:t>
      </w:r>
      <w:r w:rsidRPr="000F3604">
        <w:rPr>
          <w:vertAlign w:val="superscript"/>
        </w:rPr>
        <w:t>®</w:t>
      </w:r>
      <w:r w:rsidRPr="000F3604">
        <w:t xml:space="preserve"> light on/off data loggers will be placed in customer homes, in addition to asking the occupant about occupancy and operating schedules. The location of loggers placed in each home will be determined by a random sampling method by the visiting engineer. The visiting engineer will utilize a random selection program operating </w:t>
      </w:r>
      <w:r w:rsidR="00664FFC">
        <w:t xml:space="preserve">on an </w:t>
      </w:r>
      <w:r w:rsidRPr="000F3604">
        <w:t>on-site tablet and/or computer to select the location of the loggers, so that the engineer cannot introduce any bias. Additionally, the sampling algorithm will confirm compliance with the overall target sample frame to ensure representativeness of the general population with respect to room location. Finally, the random sampling method will consider the number of lighting circuits in a home, so that two loggers are not installed on different fixtures on the same circuit, as this could provide duplicate results.</w:t>
      </w:r>
      <w:r w:rsidR="003C527E" w:rsidRPr="000F3604">
        <w:t xml:space="preserve"> </w:t>
      </w:r>
      <w:r w:rsidRPr="000F3604">
        <w:t xml:space="preserve">In order to fully estimate the changes in daily operating schedules, loggers will be left in place for at least one month in each season (winter, spring/fall, and summer). </w:t>
      </w:r>
    </w:p>
    <w:p w:rsidR="0012388D" w:rsidRPr="000F3604" w:rsidRDefault="0012388D" w:rsidP="0012388D">
      <w:pPr>
        <w:pStyle w:val="t"/>
        <w:numPr>
          <w:ilvl w:val="0"/>
          <w:numId w:val="2"/>
        </w:numPr>
        <w:ind w:left="0"/>
      </w:pPr>
      <w:r w:rsidRPr="000F3604">
        <w:t>In addition to an estimate of average annual operating hours, the metering study will provide the evaluation with additional important information, as outlined below.</w:t>
      </w:r>
    </w:p>
    <w:p w:rsidR="0012388D" w:rsidRPr="000F3604" w:rsidRDefault="0012388D" w:rsidP="002B3B30">
      <w:pPr>
        <w:pStyle w:val="b"/>
        <w:numPr>
          <w:ilvl w:val="0"/>
          <w:numId w:val="3"/>
        </w:numPr>
        <w:ind w:left="720"/>
      </w:pPr>
      <w:r w:rsidRPr="000F3604">
        <w:t>Coincidence Factor – the rate at which the operation of the CFLs coincides with Avista’s system peak period.</w:t>
      </w:r>
    </w:p>
    <w:p w:rsidR="0012388D" w:rsidRPr="000F3604" w:rsidRDefault="0012388D" w:rsidP="002B3B30">
      <w:pPr>
        <w:pStyle w:val="b"/>
        <w:numPr>
          <w:ilvl w:val="0"/>
          <w:numId w:val="3"/>
        </w:numPr>
        <w:ind w:left="720"/>
      </w:pPr>
      <w:r w:rsidRPr="000F3604">
        <w:t>Installation Rate – the percent of CFLs bought that are actually installed and stored, if found to be different from RTF.</w:t>
      </w:r>
    </w:p>
    <w:p w:rsidR="0012388D" w:rsidRPr="000F3604" w:rsidRDefault="0012388D" w:rsidP="002B3B30">
      <w:pPr>
        <w:pStyle w:val="b"/>
        <w:numPr>
          <w:ilvl w:val="0"/>
          <w:numId w:val="3"/>
        </w:numPr>
        <w:ind w:left="720"/>
      </w:pPr>
      <w:r w:rsidRPr="000F3604">
        <w:t>Installation Location – the residential areas where CFLs were installed and corresponding operating hours.</w:t>
      </w:r>
    </w:p>
    <w:p w:rsidR="0012388D" w:rsidRPr="000F3604" w:rsidRDefault="0012388D" w:rsidP="002B3B30">
      <w:pPr>
        <w:pStyle w:val="ob"/>
        <w:numPr>
          <w:ilvl w:val="0"/>
          <w:numId w:val="3"/>
        </w:numPr>
        <w:ind w:left="720"/>
      </w:pPr>
      <w:r w:rsidRPr="000F3604">
        <w:lastRenderedPageBreak/>
        <w:t>Burnout Rate – the percent of CFLs that burnout during the study horizon.</w:t>
      </w:r>
    </w:p>
    <w:p w:rsidR="00E67015" w:rsidRPr="000F3604" w:rsidRDefault="00E67015" w:rsidP="00B35356">
      <w:pPr>
        <w:pStyle w:val="Heading5"/>
      </w:pPr>
      <w:bookmarkStart w:id="57" w:name="_Ref406330278"/>
      <w:bookmarkStart w:id="58" w:name="_Ref406336574"/>
      <w:r w:rsidRPr="000F3604">
        <w:t>Residential Billing Analysis</w:t>
      </w:r>
      <w:bookmarkEnd w:id="57"/>
      <w:bookmarkEnd w:id="58"/>
    </w:p>
    <w:p w:rsidR="006932B2" w:rsidRDefault="006932B2" w:rsidP="0012388D">
      <w:pPr>
        <w:pStyle w:val="t"/>
        <w:numPr>
          <w:ilvl w:val="0"/>
          <w:numId w:val="2"/>
        </w:numPr>
        <w:ind w:left="0"/>
        <w:rPr>
          <w:rFonts w:eastAsiaTheme="minorHAnsi"/>
          <w:lang w:eastAsia="ar-SA"/>
        </w:rPr>
      </w:pPr>
      <w:r>
        <w:rPr>
          <w:rFonts w:eastAsiaTheme="minorHAnsi"/>
          <w:lang w:eastAsia="ar-SA"/>
        </w:rPr>
        <w:t>The evaluation team will develop regression models to analyze billing data for the following programs:</w:t>
      </w:r>
    </w:p>
    <w:p w:rsidR="006932B2" w:rsidRDefault="006932B2" w:rsidP="002B3B30">
      <w:pPr>
        <w:pStyle w:val="t"/>
        <w:numPr>
          <w:ilvl w:val="0"/>
          <w:numId w:val="23"/>
        </w:numPr>
        <w:spacing w:after="0"/>
        <w:rPr>
          <w:rFonts w:eastAsiaTheme="minorHAnsi"/>
          <w:lang w:eastAsia="ar-SA"/>
        </w:rPr>
      </w:pPr>
      <w:r>
        <w:rPr>
          <w:rFonts w:eastAsiaTheme="minorHAnsi"/>
          <w:lang w:eastAsia="ar-SA"/>
        </w:rPr>
        <w:t>Shell Program (duct sealing for manufactured homes)</w:t>
      </w:r>
    </w:p>
    <w:p w:rsidR="006932B2" w:rsidRDefault="006932B2" w:rsidP="002B3B30">
      <w:pPr>
        <w:pStyle w:val="t"/>
        <w:numPr>
          <w:ilvl w:val="0"/>
          <w:numId w:val="23"/>
        </w:numPr>
        <w:spacing w:after="0"/>
        <w:rPr>
          <w:rFonts w:eastAsiaTheme="minorHAnsi"/>
          <w:lang w:eastAsia="ar-SA"/>
        </w:rPr>
      </w:pPr>
      <w:r>
        <w:rPr>
          <w:rFonts w:eastAsiaTheme="minorHAnsi"/>
          <w:lang w:eastAsia="ar-SA"/>
        </w:rPr>
        <w:t>Fuel Efficiency</w:t>
      </w:r>
    </w:p>
    <w:p w:rsidR="006932B2" w:rsidRDefault="006932B2" w:rsidP="002B3B30">
      <w:pPr>
        <w:pStyle w:val="t"/>
        <w:numPr>
          <w:ilvl w:val="0"/>
          <w:numId w:val="23"/>
        </w:numPr>
        <w:spacing w:after="0"/>
        <w:rPr>
          <w:rFonts w:eastAsiaTheme="minorHAnsi"/>
          <w:lang w:eastAsia="ar-SA"/>
        </w:rPr>
      </w:pPr>
      <w:r>
        <w:rPr>
          <w:rFonts w:eastAsiaTheme="minorHAnsi"/>
          <w:lang w:eastAsia="ar-SA"/>
        </w:rPr>
        <w:t>Low Income</w:t>
      </w:r>
    </w:p>
    <w:p w:rsidR="006932B2" w:rsidRDefault="006932B2" w:rsidP="002B3B30">
      <w:pPr>
        <w:pStyle w:val="t"/>
        <w:numPr>
          <w:ilvl w:val="0"/>
          <w:numId w:val="23"/>
        </w:numPr>
        <w:spacing w:after="0"/>
        <w:rPr>
          <w:rFonts w:eastAsiaTheme="minorHAnsi"/>
          <w:lang w:eastAsia="ar-SA"/>
        </w:rPr>
      </w:pPr>
      <w:r>
        <w:rPr>
          <w:rFonts w:eastAsiaTheme="minorHAnsi"/>
          <w:lang w:eastAsia="ar-SA"/>
        </w:rPr>
        <w:t>ENERGY STAR® New Homes</w:t>
      </w:r>
    </w:p>
    <w:p w:rsidR="006932B2" w:rsidRDefault="006932B2" w:rsidP="002B3B30">
      <w:pPr>
        <w:pStyle w:val="t"/>
        <w:numPr>
          <w:ilvl w:val="0"/>
          <w:numId w:val="23"/>
        </w:numPr>
        <w:spacing w:after="0"/>
        <w:rPr>
          <w:rFonts w:eastAsiaTheme="minorHAnsi"/>
          <w:lang w:eastAsia="ar-SA"/>
        </w:rPr>
      </w:pPr>
      <w:r>
        <w:rPr>
          <w:rFonts w:eastAsiaTheme="minorHAnsi"/>
          <w:lang w:eastAsia="ar-SA"/>
        </w:rPr>
        <w:t>Opower Behavioral Program</w:t>
      </w:r>
    </w:p>
    <w:p w:rsidR="006932B2" w:rsidRDefault="006932B2" w:rsidP="00320BA9">
      <w:pPr>
        <w:pStyle w:val="t"/>
        <w:numPr>
          <w:ilvl w:val="0"/>
          <w:numId w:val="0"/>
        </w:numPr>
        <w:spacing w:after="0"/>
        <w:ind w:left="360"/>
        <w:rPr>
          <w:rFonts w:eastAsiaTheme="minorHAnsi"/>
          <w:lang w:eastAsia="ar-SA"/>
        </w:rPr>
      </w:pPr>
    </w:p>
    <w:p w:rsidR="00CC1831" w:rsidRPr="00320BA9" w:rsidRDefault="00CC1831" w:rsidP="00BC76D0">
      <w:pPr>
        <w:pStyle w:val="t"/>
      </w:pPr>
      <w:r w:rsidRPr="00320BA9">
        <w:t xml:space="preserve">The Opower Behavioral Program was designed and implemented with a </w:t>
      </w:r>
      <w:r w:rsidR="00DF6C67" w:rsidRPr="00320BA9">
        <w:t xml:space="preserve">defined </w:t>
      </w:r>
      <w:r w:rsidRPr="00320BA9">
        <w:t>treatment and control group</w:t>
      </w:r>
      <w:r w:rsidR="00F06A08" w:rsidRPr="00320BA9">
        <w:t>, thereby allowing for a randomized controlled trial (RCT) to evaluate energy impacts from the program</w:t>
      </w:r>
      <w:r w:rsidRPr="00320BA9">
        <w:t xml:space="preserve">. </w:t>
      </w:r>
      <w:r w:rsidR="00F06A08" w:rsidRPr="00320BA9">
        <w:t>The Opower program design lends itself well to</w:t>
      </w:r>
      <w:r w:rsidR="00572FDB" w:rsidRPr="00320BA9">
        <w:t xml:space="preserve"> a</w:t>
      </w:r>
      <w:r w:rsidR="00F06A08" w:rsidRPr="00320BA9">
        <w:t xml:space="preserve"> RCT as there is no recruiting process. Rather, the program employs an opt-out design whereby customers are assigned either to the treatment or the control group. This design prevents customers in the control group from knowing that an experiment is occurring and therefore do not influence the program outcomes. T</w:t>
      </w:r>
      <w:r w:rsidR="00572FDB" w:rsidRPr="00320BA9">
        <w:t>o</w:t>
      </w:r>
      <w:r w:rsidR="00F06A08" w:rsidRPr="00320BA9">
        <w:t xml:space="preserve"> evaluate the program,</w:t>
      </w:r>
      <w:r w:rsidR="00DF6C67" w:rsidRPr="00320BA9">
        <w:t xml:space="preserve"> the </w:t>
      </w:r>
      <w:r w:rsidR="003F17F3">
        <w:t>evaluation team</w:t>
      </w:r>
      <w:r w:rsidR="00DF6C67" w:rsidRPr="00320BA9">
        <w:t xml:space="preserve"> will calculate estimated savings for the program using a regression model that is appropriate for estimating impacts in the context of a RCT.  </w:t>
      </w:r>
    </w:p>
    <w:p w:rsidR="00DF6C67" w:rsidRPr="00320BA9" w:rsidRDefault="00DF6C67" w:rsidP="00BC76D0">
      <w:pPr>
        <w:pStyle w:val="t"/>
      </w:pPr>
      <w:r w:rsidRPr="00320BA9">
        <w:t xml:space="preserve">The other four programs evaluated using billing regression will use a similar analysis approach. </w:t>
      </w:r>
      <w:r w:rsidR="00F06A08" w:rsidRPr="00320BA9">
        <w:t xml:space="preserve">However, because </w:t>
      </w:r>
      <w:r w:rsidRPr="00320BA9">
        <w:t>these programs</w:t>
      </w:r>
      <w:r w:rsidR="00F06A08" w:rsidRPr="00320BA9">
        <w:t xml:space="preserve"> were not designed as RCTs</w:t>
      </w:r>
      <w:r w:rsidRPr="00320BA9">
        <w:t xml:space="preserve">, the </w:t>
      </w:r>
      <w:r w:rsidR="003F17F3">
        <w:t>evaluation team</w:t>
      </w:r>
      <w:r w:rsidRPr="00320BA9">
        <w:t xml:space="preserve"> will define a comparison group to conduct the analysis. The comparison group will serve the same function as a control group </w:t>
      </w:r>
      <w:r w:rsidR="00F06A08" w:rsidRPr="00320BA9">
        <w:t>and will be matched based on characteristics of the treatment group with focus on energy consumption during the pre-treatment period.</w:t>
      </w:r>
    </w:p>
    <w:p w:rsidR="00C310C5" w:rsidRPr="00B35356" w:rsidRDefault="00C310C5" w:rsidP="00E05C9B">
      <w:pPr>
        <w:pStyle w:val="Heading4"/>
      </w:pPr>
      <w:bookmarkStart w:id="59" w:name="_Ref406409476"/>
      <w:bookmarkStart w:id="60" w:name="_Toc409095393"/>
      <w:r w:rsidRPr="00E05C9B">
        <w:t>Net-Verified Approach</w:t>
      </w:r>
      <w:bookmarkEnd w:id="59"/>
      <w:bookmarkEnd w:id="60"/>
      <w:r w:rsidR="00137064" w:rsidRPr="00E05C9B">
        <w:t xml:space="preserve"> </w:t>
      </w:r>
    </w:p>
    <w:p w:rsidR="003254EC" w:rsidRPr="00AD42E3" w:rsidRDefault="003254EC" w:rsidP="003254EC">
      <w:pPr>
        <w:pStyle w:val="t"/>
        <w:numPr>
          <w:ilvl w:val="0"/>
          <w:numId w:val="2"/>
        </w:numPr>
        <w:ind w:left="0"/>
      </w:pPr>
      <w:r>
        <w:t xml:space="preserve">The evaluation team </w:t>
      </w:r>
      <w:r w:rsidRPr="00FF2F7A">
        <w:t>will derive net savings</w:t>
      </w:r>
      <w:r>
        <w:t xml:space="preserve"> (the savings directly attributable to the program) for the electric residential programs </w:t>
      </w:r>
      <w:r w:rsidRPr="00FF2F7A">
        <w:t>by adjusting the gross</w:t>
      </w:r>
      <w:r>
        <w:t>-verified</w:t>
      </w:r>
      <w:r w:rsidRPr="00FF2F7A">
        <w:t xml:space="preserve"> energy savings estimates to account for freeridership</w:t>
      </w:r>
      <w:r>
        <w:t xml:space="preserve"> and</w:t>
      </w:r>
      <w:r w:rsidRPr="00FF2F7A">
        <w:t xml:space="preserve"> spillover</w:t>
      </w:r>
      <w:r>
        <w:t xml:space="preserve"> when applicable. </w:t>
      </w:r>
      <w:r w:rsidRPr="00AD42E3">
        <w:t xml:space="preserve">We will estimate NTG values for all </w:t>
      </w:r>
      <w:r w:rsidR="00AC7749">
        <w:t xml:space="preserve">programs being evaluated in the residential portfolio for which NTG ratios should be applied.  For example, </w:t>
      </w:r>
      <w:r w:rsidRPr="00AD42E3">
        <w:t xml:space="preserve">for RTF measure savings estimates based on market baselines, freeridership ratios based on the evaluation activities will not be applied and only spillover ratios will be used for the NTG adjustment.  </w:t>
      </w:r>
    </w:p>
    <w:p w:rsidR="003254EC" w:rsidRPr="003254EC" w:rsidRDefault="003254EC" w:rsidP="003254EC">
      <w:pPr>
        <w:pStyle w:val="t"/>
      </w:pPr>
      <w:r>
        <w:t xml:space="preserve">Section </w:t>
      </w:r>
      <w:r>
        <w:fldChar w:fldCharType="begin"/>
      </w:r>
      <w:r>
        <w:instrText xml:space="preserve"> REF _Ref406334910 \n \h </w:instrText>
      </w:r>
      <w:r>
        <w:fldChar w:fldCharType="separate"/>
      </w:r>
      <w:r>
        <w:t>2.4</w:t>
      </w:r>
      <w:r>
        <w:fldChar w:fldCharType="end"/>
      </w:r>
      <w:r>
        <w:t xml:space="preserve"> provides an overview of the approach that will be utilized to estimate free-ridership and spillover, again, when applicable.  </w:t>
      </w:r>
    </w:p>
    <w:p w:rsidR="00983992" w:rsidRDefault="00983992" w:rsidP="00531D0A">
      <w:pPr>
        <w:pStyle w:val="Heading3"/>
      </w:pPr>
      <w:bookmarkStart w:id="61" w:name="_Toc409095394"/>
      <w:r>
        <w:t>Non</w:t>
      </w:r>
      <w:r w:rsidR="005D3372">
        <w:t>r</w:t>
      </w:r>
      <w:r>
        <w:t>esidential Programs</w:t>
      </w:r>
      <w:bookmarkEnd w:id="61"/>
    </w:p>
    <w:p w:rsidR="003254EC" w:rsidRPr="00A824B4" w:rsidRDefault="003254EC" w:rsidP="003254EC">
      <w:pPr>
        <w:pStyle w:val="t"/>
      </w:pPr>
      <w:r>
        <w:t xml:space="preserve">The following section outlines the electric nonresidential programs offered in Avista’s Washington and Idaho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rsidR="001B52A0">
        <w:t>;</w:t>
      </w:r>
      <w:r>
        <w:t xml:space="preserve"> therefore this section provides a brief overview of each program, the sample design for this portfolio of programs and explains any special studies or approaches that will be conducted for the impact evaluation. </w:t>
      </w:r>
    </w:p>
    <w:p w:rsidR="00C310C5" w:rsidRDefault="00C310C5" w:rsidP="002C4E89">
      <w:pPr>
        <w:pStyle w:val="Heading4"/>
        <w:rPr>
          <w:color w:val="FF0000"/>
        </w:rPr>
      </w:pPr>
      <w:bookmarkStart w:id="62" w:name="_Toc409095395"/>
      <w:r>
        <w:lastRenderedPageBreak/>
        <w:t>Program Overview</w:t>
      </w:r>
      <w:bookmarkEnd w:id="62"/>
      <w:r w:rsidR="00137064">
        <w:t xml:space="preserve"> </w:t>
      </w:r>
    </w:p>
    <w:p w:rsidR="009301DA" w:rsidRPr="009301DA" w:rsidDel="009301DA" w:rsidRDefault="009301DA" w:rsidP="009301DA">
      <w:pPr>
        <w:pStyle w:val="t"/>
      </w:pPr>
      <w:r w:rsidRPr="00063937">
        <w:t xml:space="preserve">Avista offers </w:t>
      </w:r>
      <w:r>
        <w:t>twelve nonresidential electric</w:t>
      </w:r>
      <w:r w:rsidRPr="00063937">
        <w:t xml:space="preserve"> programs as summarized in </w:t>
      </w:r>
      <w:r w:rsidR="00B57B20">
        <w:rPr>
          <w:highlight w:val="yellow"/>
        </w:rPr>
        <w:fldChar w:fldCharType="begin"/>
      </w:r>
      <w:r w:rsidR="00B57B20">
        <w:rPr>
          <w:highlight w:val="yellow"/>
        </w:rPr>
        <w:instrText xml:space="preserve"> REF _Ref406335622 \h </w:instrText>
      </w:r>
      <w:r w:rsidR="00B57B20">
        <w:rPr>
          <w:highlight w:val="yellow"/>
        </w:rPr>
      </w:r>
      <w:r w:rsidR="00B57B20">
        <w:rPr>
          <w:highlight w:val="yellow"/>
        </w:rPr>
        <w:fldChar w:fldCharType="separate"/>
      </w:r>
      <w:r w:rsidR="00B57B20">
        <w:t xml:space="preserve">Table </w:t>
      </w:r>
      <w:r w:rsidR="00B57B20">
        <w:rPr>
          <w:noProof/>
        </w:rPr>
        <w:t>2</w:t>
      </w:r>
      <w:r w:rsidR="00B57B20">
        <w:noBreakHyphen/>
      </w:r>
      <w:r w:rsidR="00B57B20">
        <w:rPr>
          <w:noProof/>
        </w:rPr>
        <w:t>8</w:t>
      </w:r>
      <w:r w:rsidR="00B57B20">
        <w:rPr>
          <w:highlight w:val="yellow"/>
        </w:rPr>
        <w:fldChar w:fldCharType="end"/>
      </w:r>
      <w:r w:rsidRPr="00063937">
        <w:t xml:space="preserve"> below. </w:t>
      </w:r>
      <w:r w:rsidR="00801788">
        <w:t xml:space="preserve">Avista partners with implementers on </w:t>
      </w:r>
      <w:r w:rsidR="003254EC">
        <w:t xml:space="preserve">the Energy Smart Grocer, Green Motors, AirGuardian and Cascade Strategic Energy Management </w:t>
      </w:r>
      <w:r w:rsidR="00801788">
        <w:t xml:space="preserve">programs, and directly implements the remaining </w:t>
      </w:r>
      <w:r w:rsidR="003254EC">
        <w:t>programs</w:t>
      </w:r>
      <w:r w:rsidR="00664FFC">
        <w:t>.</w:t>
      </w:r>
    </w:p>
    <w:p w:rsidR="00A010A8" w:rsidRDefault="00A010A8" w:rsidP="00801788">
      <w:pPr>
        <w:pStyle w:val="t"/>
        <w:numPr>
          <w:ilvl w:val="0"/>
          <w:numId w:val="0"/>
        </w:numPr>
        <w:sectPr w:rsidR="00A010A8" w:rsidSect="00EE2E8B">
          <w:footnotePr>
            <w:numRestart w:val="eachPage"/>
          </w:footnotePr>
          <w:pgSz w:w="12240" w:h="15840"/>
          <w:pgMar w:top="434" w:right="1440" w:bottom="1440" w:left="1440" w:header="1008" w:footer="720" w:gutter="0"/>
          <w:cols w:space="360"/>
          <w:titlePg/>
          <w:docGrid w:linePitch="299"/>
        </w:sectPr>
      </w:pPr>
    </w:p>
    <w:p w:rsidR="00AB54A3" w:rsidRDefault="00AB54A3" w:rsidP="009B6BA2">
      <w:pPr>
        <w:pStyle w:val="Caption"/>
        <w:ind w:left="0"/>
      </w:pPr>
      <w:bookmarkStart w:id="63" w:name="_Ref406335622"/>
      <w:bookmarkStart w:id="64" w:name="_Ref406335617"/>
      <w:r>
        <w:lastRenderedPageBreak/>
        <w:t xml:space="preserve">Table </w:t>
      </w:r>
      <w:fldSimple w:instr=" STYLEREF 1 \s ">
        <w:r w:rsidR="0067743A">
          <w:rPr>
            <w:noProof/>
          </w:rPr>
          <w:t>2</w:t>
        </w:r>
      </w:fldSimple>
      <w:r w:rsidR="0067743A">
        <w:noBreakHyphen/>
      </w:r>
      <w:fldSimple w:instr=" SEQ Table \* ARABIC \s 1 ">
        <w:r w:rsidR="0067743A">
          <w:rPr>
            <w:noProof/>
          </w:rPr>
          <w:t>8</w:t>
        </w:r>
      </w:fldSimple>
      <w:bookmarkEnd w:id="63"/>
      <w:r>
        <w:t>: WA/ID Non</w:t>
      </w:r>
      <w:r w:rsidR="003254EC">
        <w:t>r</w:t>
      </w:r>
      <w:r>
        <w:t xml:space="preserve">esidential Electric Portfolio </w:t>
      </w:r>
      <w:r w:rsidR="003254EC">
        <w:t>Programs</w:t>
      </w:r>
      <w:bookmarkEnd w:id="64"/>
    </w:p>
    <w:tbl>
      <w:tblPr>
        <w:tblStyle w:val="NEXANTNEWTABLESTYLE"/>
        <w:tblW w:w="13068" w:type="dxa"/>
        <w:jc w:val="center"/>
        <w:tblLayout w:type="fixed"/>
        <w:tblLook w:val="04A0" w:firstRow="1" w:lastRow="0" w:firstColumn="1" w:lastColumn="0" w:noHBand="0" w:noVBand="1"/>
      </w:tblPr>
      <w:tblGrid>
        <w:gridCol w:w="2898"/>
        <w:gridCol w:w="7740"/>
        <w:gridCol w:w="2430"/>
      </w:tblGrid>
      <w:tr w:rsidR="003254EC" w:rsidRPr="005D048F" w:rsidTr="002C4E89">
        <w:trPr>
          <w:cnfStyle w:val="100000000000" w:firstRow="1" w:lastRow="0" w:firstColumn="0" w:lastColumn="0" w:oddVBand="0" w:evenVBand="0" w:oddHBand="0" w:evenHBand="0" w:firstRowFirstColumn="0" w:firstRowLastColumn="0" w:lastRowFirstColumn="0" w:lastRowLastColumn="0"/>
          <w:trHeight w:val="288"/>
          <w:tblHeader/>
          <w:jc w:val="center"/>
        </w:trPr>
        <w:tc>
          <w:tcPr>
            <w:tcW w:w="2898" w:type="dxa"/>
            <w:tcBorders>
              <w:bottom w:val="single" w:sz="4" w:space="0" w:color="1F497D" w:themeColor="text2"/>
              <w:right w:val="single" w:sz="4" w:space="0" w:color="FFFFFF" w:themeColor="background1"/>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WA/ID Electric Programs</w:t>
            </w:r>
          </w:p>
        </w:tc>
        <w:tc>
          <w:tcPr>
            <w:tcW w:w="7740" w:type="dxa"/>
            <w:tcBorders>
              <w:left w:val="single" w:sz="4" w:space="0" w:color="FFFFFF" w:themeColor="background1"/>
              <w:bottom w:val="single" w:sz="4" w:space="0" w:color="1F497D" w:themeColor="text2"/>
              <w:right w:val="single" w:sz="4" w:space="0" w:color="FFFFFF" w:themeColor="background1"/>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Description</w:t>
            </w:r>
          </w:p>
        </w:tc>
        <w:tc>
          <w:tcPr>
            <w:tcW w:w="2430" w:type="dxa"/>
            <w:tcBorders>
              <w:left w:val="single" w:sz="4" w:space="0" w:color="FFFFFF" w:themeColor="background1"/>
              <w:bottom w:val="single" w:sz="4" w:space="0" w:color="1F497D" w:themeColor="text2"/>
            </w:tcBorders>
            <w:vAlign w:val="center"/>
          </w:tcPr>
          <w:p w:rsidR="003254EC" w:rsidRPr="00EC7F77" w:rsidRDefault="003254EC"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3254EC" w:rsidRPr="005D048F" w:rsidTr="002C4E89">
        <w:trPr>
          <w:trHeight w:val="288"/>
          <w:jc w:val="center"/>
        </w:trPr>
        <w:tc>
          <w:tcPr>
            <w:tcW w:w="2898" w:type="dxa"/>
            <w:tcBorders>
              <w:top w:val="single" w:sz="4" w:space="0" w:color="1F497D" w:themeColor="text2"/>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EnergySmart Grocer</w:t>
            </w:r>
          </w:p>
        </w:tc>
        <w:tc>
          <w:tcPr>
            <w:tcW w:w="7740" w:type="dxa"/>
            <w:tcBorders>
              <w:top w:val="single" w:sz="4" w:space="0" w:color="1F497D" w:themeColor="text2"/>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the customer to increase the energy efficiency of their refrigerated cases and related grocery equipment through direct financial incentives.</w:t>
            </w:r>
          </w:p>
        </w:tc>
        <w:tc>
          <w:tcPr>
            <w:tcW w:w="2430" w:type="dxa"/>
            <w:tcBorders>
              <w:top w:val="single" w:sz="4" w:space="0" w:color="1F497D" w:themeColor="text2"/>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PECI – outreach and referrals, 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Food Service Equipment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incentives for commercial customers who purchase or replace food service equipment with Energy Star or higher equipment (prescriptive).</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Green Motors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Green Motors Initiative is to organize, identify, educate, and promote member motor service centers to commit to energy saving shop rewind practices, continuous energy improvement and motor driven system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Green Motors Practices Group, Green Motors Initiative</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Motor Controls HVAC</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the customer to increase the energy efficiency of their fan or pump applications with variable frequency drives through direct financial incentives.</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Appliances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non res appliance program encourages nonresidential customers to improve the efficiency of their clothes washing equipment (prescriptive).</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w:t>
            </w:r>
          </w:p>
        </w:tc>
      </w:tr>
      <w:tr w:rsidR="003254EC" w:rsidRPr="005D048F" w:rsidTr="002C4E89">
        <w:trPr>
          <w:trHeight w:val="66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Lighting</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intended to prompt commercial electric customer to increase the energy-efficiency of their lighting equipment through direct financial incentives.</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Avista, regional Account Executives (AEs)</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Power Management for Personal Computers</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is designed to encourage implementation of power management software in networked PC’s to obtain energy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Shell</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The Commercial Insulation program encourages </w:t>
            </w:r>
            <w:r w:rsidR="009D0D41" w:rsidRPr="00EC7F77">
              <w:rPr>
                <w:rFonts w:ascii="Calibri" w:hAnsi="Calibri"/>
                <w:color w:val="000000"/>
                <w:sz w:val="20"/>
              </w:rPr>
              <w:t>nonresidential</w:t>
            </w:r>
            <w:r w:rsidRPr="00EC7F77">
              <w:rPr>
                <w:rFonts w:ascii="Calibri" w:hAnsi="Calibri"/>
                <w:color w:val="000000"/>
                <w:sz w:val="20"/>
              </w:rPr>
              <w:t xml:space="preserve"> customers to improve the envelope of their building by adding insulation.</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AirGuardian</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AirGuardian program is a third party delivered turnkey program for direct install compressed air and facility efficiency.</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EnSave</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Fleet Heat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Installation of technology that reduces standby losses of vehicle engine blocks by fleet operators by adding the ability to energize block heaters only when Outside Air Temperature drops below a temperature set-point and the engine mounted thermostat is calling for heat. </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Site-Specific</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approach strives for a flexible response to energy efficiency projects that have demonstrable kWh/Therm savings within program criteria. The majority of site specific kWh/Therm savings are comprised of appliances, compressed air, HVAC, industrial process, motors, shell measures, some custom lighting projects that don’t fit the prescriptive path and natural gas multifamily market transformation.</w:t>
            </w:r>
          </w:p>
        </w:tc>
        <w:tc>
          <w:tcPr>
            <w:tcW w:w="2430" w:type="dxa"/>
            <w:tcBorders>
              <w:left w:val="single" w:sz="6" w:space="0" w:color="1F497D" w:themeColor="text2"/>
            </w:tcBorders>
            <w:vAlign w:val="center"/>
          </w:tcPr>
          <w:p w:rsidR="003254EC" w:rsidRPr="00EC7F77" w:rsidRDefault="003254EC" w:rsidP="00107CF2">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Avista</w:t>
            </w:r>
          </w:p>
        </w:tc>
      </w:tr>
      <w:tr w:rsidR="003254EC" w:rsidRPr="005D048F" w:rsidTr="002C4E89">
        <w:trPr>
          <w:trHeight w:val="288"/>
          <w:jc w:val="center"/>
        </w:trPr>
        <w:tc>
          <w:tcPr>
            <w:tcW w:w="2898" w:type="dxa"/>
            <w:tcBorders>
              <w:right w:val="single" w:sz="6" w:space="0" w:color="1F497D" w:themeColor="text2"/>
            </w:tcBorders>
          </w:tcPr>
          <w:p w:rsidR="003254EC" w:rsidRPr="00EC7F77" w:rsidRDefault="003254EC"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Cascade Strategic Energy Management</w:t>
            </w:r>
          </w:p>
        </w:tc>
        <w:tc>
          <w:tcPr>
            <w:tcW w:w="7740" w:type="dxa"/>
            <w:tcBorders>
              <w:left w:val="single" w:sz="6" w:space="0" w:color="1F497D" w:themeColor="text2"/>
              <w:right w:val="single" w:sz="6" w:space="0" w:color="1F497D" w:themeColor="text2"/>
            </w:tcBorders>
          </w:tcPr>
          <w:p w:rsidR="003254EC" w:rsidRPr="00EC7F77" w:rsidRDefault="003254EC"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Cascade’s Industrial System Tune‐up (IST) program is designed to support and incent industrial energy efficiency improvements through low/no cost operations and maintenance (O&amp;M) optimization.</w:t>
            </w:r>
            <w:r w:rsidRPr="00EC7F77">
              <w:rPr>
                <w:sz w:val="20"/>
              </w:rPr>
              <w:t xml:space="preserve"> </w:t>
            </w:r>
            <w:r w:rsidRPr="00EC7F77">
              <w:rPr>
                <w:rFonts w:ascii="Calibri" w:hAnsi="Calibri"/>
                <w:color w:val="000000"/>
                <w:sz w:val="20"/>
              </w:rPr>
              <w:t>Tune‐up projects can occur on a facility‐wide basis or on specific sub‐systems for large customers</w:t>
            </w:r>
            <w:r w:rsidR="00107CF2">
              <w:rPr>
                <w:rFonts w:ascii="Calibri" w:hAnsi="Calibri"/>
                <w:color w:val="000000"/>
                <w:sz w:val="20"/>
              </w:rPr>
              <w:t xml:space="preserve">.        </w:t>
            </w:r>
          </w:p>
        </w:tc>
        <w:tc>
          <w:tcPr>
            <w:tcW w:w="2430" w:type="dxa"/>
            <w:tcBorders>
              <w:left w:val="single" w:sz="6" w:space="0" w:color="1F497D" w:themeColor="text2"/>
            </w:tcBorders>
            <w:vAlign w:val="center"/>
          </w:tcPr>
          <w:p w:rsidR="003254EC" w:rsidRPr="00EC7F77" w:rsidRDefault="003254EC" w:rsidP="00504983">
            <w:pPr>
              <w:tabs>
                <w:tab w:val="clear" w:pos="-1440"/>
                <w:tab w:val="clear" w:pos="-720"/>
                <w:tab w:val="num" w:pos="720"/>
              </w:tabs>
              <w:adjustRightInd w:val="0"/>
              <w:snapToGrid w:val="0"/>
              <w:spacing w:after="0" w:line="240" w:lineRule="auto"/>
              <w:ind w:left="0" w:hanging="720"/>
              <w:rPr>
                <w:rFonts w:ascii="Calibri" w:hAnsi="Calibri"/>
                <w:color w:val="000000"/>
                <w:sz w:val="20"/>
              </w:rPr>
            </w:pPr>
            <w:r w:rsidRPr="00EC7F77">
              <w:rPr>
                <w:rFonts w:ascii="Calibri" w:hAnsi="Calibri"/>
                <w:color w:val="000000"/>
                <w:sz w:val="20"/>
              </w:rPr>
              <w:t>Cas</w:t>
            </w:r>
            <w:r w:rsidR="00107CF2">
              <w:rPr>
                <w:rFonts w:ascii="Calibri" w:hAnsi="Calibri"/>
                <w:color w:val="000000"/>
                <w:sz w:val="20"/>
              </w:rPr>
              <w:t xml:space="preserve">        Cas</w:t>
            </w:r>
            <w:r w:rsidRPr="00EC7F77">
              <w:rPr>
                <w:rFonts w:ascii="Calibri" w:hAnsi="Calibri"/>
                <w:color w:val="000000"/>
                <w:sz w:val="20"/>
              </w:rPr>
              <w:t>cade Energy</w:t>
            </w:r>
          </w:p>
        </w:tc>
      </w:tr>
    </w:tbl>
    <w:p w:rsidR="00AB54A3" w:rsidRDefault="00AB54A3" w:rsidP="00AB54A3">
      <w:pPr>
        <w:pStyle w:val="t"/>
        <w:sectPr w:rsidR="00AB54A3" w:rsidSect="00EE2E8B">
          <w:footnotePr>
            <w:numRestart w:val="eachPage"/>
          </w:footnotePr>
          <w:pgSz w:w="15840" w:h="12240" w:orient="landscape"/>
          <w:pgMar w:top="1440" w:right="1440" w:bottom="1440" w:left="1440" w:header="1080" w:footer="720" w:gutter="0"/>
          <w:cols w:space="360"/>
          <w:titlePg/>
          <w:docGrid w:linePitch="299"/>
        </w:sectPr>
      </w:pPr>
    </w:p>
    <w:p w:rsidR="00C310C5" w:rsidRPr="002C4E89" w:rsidRDefault="00C310C5" w:rsidP="00320BA9">
      <w:pPr>
        <w:pStyle w:val="Heading4"/>
      </w:pPr>
      <w:bookmarkStart w:id="65" w:name="_Toc406155088"/>
      <w:bookmarkStart w:id="66" w:name="_Toc406155089"/>
      <w:bookmarkStart w:id="67" w:name="_Toc409095396"/>
      <w:bookmarkEnd w:id="65"/>
      <w:bookmarkEnd w:id="66"/>
      <w:r w:rsidRPr="002C4E89">
        <w:lastRenderedPageBreak/>
        <w:t>Gross-Verified Approach</w:t>
      </w:r>
      <w:bookmarkEnd w:id="67"/>
      <w:r w:rsidR="00137064" w:rsidRPr="002C4E89">
        <w:t xml:space="preserve"> </w:t>
      </w:r>
    </w:p>
    <w:p w:rsidR="005B4D58" w:rsidRDefault="005B4D58" w:rsidP="005B4D58">
      <w:pPr>
        <w:pStyle w:val="t"/>
      </w:pPr>
      <w:r w:rsidRPr="005B4D58">
        <w:t xml:space="preserve">Each program will be assigned a specific number of telephone surveys, desk </w:t>
      </w:r>
      <w:r w:rsidR="00B57B20">
        <w:t>audits</w:t>
      </w:r>
      <w:r w:rsidRPr="005B4D58">
        <w:t xml:space="preserve">, and site inspections based on overall portfolio savings. Once the samples are identified, desk </w:t>
      </w:r>
      <w:r w:rsidR="006932B2">
        <w:t>audit</w:t>
      </w:r>
      <w:r w:rsidRPr="005B4D58">
        <w:t xml:space="preserve">s of project files will verify basic information and will inform telephone surveys, on-site inspections, and M&amp;V activities.  </w:t>
      </w:r>
    </w:p>
    <w:p w:rsidR="004D4F1F" w:rsidRPr="000F3604" w:rsidRDefault="00B57B20" w:rsidP="004D4F1F">
      <w:pPr>
        <w:pStyle w:val="t"/>
        <w:numPr>
          <w:ilvl w:val="0"/>
          <w:numId w:val="2"/>
        </w:numPr>
        <w:spacing w:after="0"/>
        <w:ind w:left="0"/>
      </w:pPr>
      <w:r>
        <w:rPr>
          <w:b/>
          <w:color w:val="1F497D" w:themeColor="text2"/>
        </w:rPr>
        <w:fldChar w:fldCharType="begin"/>
      </w:r>
      <w:r>
        <w:rPr>
          <w:b/>
          <w:color w:val="1F497D" w:themeColor="text2"/>
        </w:rPr>
        <w:instrText xml:space="preserve"> REF _Ref406335796 \h </w:instrText>
      </w:r>
      <w:r>
        <w:rPr>
          <w:b/>
          <w:color w:val="1F497D" w:themeColor="text2"/>
        </w:rPr>
      </w:r>
      <w:r>
        <w:rPr>
          <w:b/>
          <w:color w:val="1F497D" w:themeColor="text2"/>
        </w:rPr>
        <w:fldChar w:fldCharType="separate"/>
      </w:r>
      <w:r w:rsidRPr="000F3604">
        <w:t xml:space="preserve">Table </w:t>
      </w:r>
      <w:r w:rsidRPr="000F3604">
        <w:rPr>
          <w:noProof/>
        </w:rPr>
        <w:t>2</w:t>
      </w:r>
      <w:r w:rsidRPr="000F3604">
        <w:noBreakHyphen/>
      </w:r>
      <w:r>
        <w:rPr>
          <w:noProof/>
        </w:rPr>
        <w:t>9</w:t>
      </w:r>
      <w:r>
        <w:rPr>
          <w:b/>
          <w:color w:val="1F497D" w:themeColor="text2"/>
        </w:rPr>
        <w:fldChar w:fldCharType="end"/>
      </w:r>
      <w:r w:rsidR="004D4F1F" w:rsidRPr="000F3604">
        <w:t xml:space="preserve"> outlines our </w:t>
      </w:r>
      <w:r w:rsidR="006932B2">
        <w:t>anticipated</w:t>
      </w:r>
      <w:r w:rsidR="004D4F1F" w:rsidRPr="000F3604">
        <w:t xml:space="preserve"> sample sizes and level of rigor for th</w:t>
      </w:r>
      <w:r w:rsidR="00E67015" w:rsidRPr="000F3604">
        <w:t xml:space="preserve">e impact evaluation activities </w:t>
      </w:r>
      <w:r w:rsidR="004D4F1F" w:rsidRPr="000F3604">
        <w:t>for the</w:t>
      </w:r>
      <w:r w:rsidR="006932B2">
        <w:t xml:space="preserve"> nonresidential</w:t>
      </w:r>
      <w:r w:rsidR="004D4F1F" w:rsidRPr="000F3604">
        <w:t xml:space="preserve"> electric programs in WA/ID. The sample frames outlined herein will be further stratified by measure type, based on the percent of measures approved through each program, the respective reported savings values, and any known uncertainties in a particular measure-type. </w:t>
      </w:r>
    </w:p>
    <w:p w:rsidR="00E67015" w:rsidRPr="000F3604" w:rsidRDefault="00E67015" w:rsidP="004D4F1F">
      <w:pPr>
        <w:pStyle w:val="Caption"/>
      </w:pPr>
    </w:p>
    <w:p w:rsidR="004D4F1F" w:rsidRPr="000F3604" w:rsidRDefault="004D4F1F" w:rsidP="004D4F1F">
      <w:pPr>
        <w:pStyle w:val="Caption"/>
      </w:pPr>
      <w:bookmarkStart w:id="68" w:name="_Ref406335796"/>
      <w:r w:rsidRPr="000F3604">
        <w:t xml:space="preserve">Table </w:t>
      </w:r>
      <w:fldSimple w:instr=" STYLEREF 1 \s ">
        <w:r w:rsidR="0067743A">
          <w:rPr>
            <w:noProof/>
          </w:rPr>
          <w:t>2</w:t>
        </w:r>
      </w:fldSimple>
      <w:r w:rsidR="0067743A">
        <w:noBreakHyphen/>
      </w:r>
      <w:fldSimple w:instr=" SEQ Table \* ARABIC \s 1 ">
        <w:r w:rsidR="0067743A">
          <w:rPr>
            <w:noProof/>
          </w:rPr>
          <w:t>9</w:t>
        </w:r>
      </w:fldSimple>
      <w:bookmarkEnd w:id="68"/>
      <w:r w:rsidRPr="000F3604">
        <w:t>: Sampling and Evaluation Rigor for</w:t>
      </w:r>
      <w:r w:rsidR="00980EF1">
        <w:t xml:space="preserve"> Nonresidential</w:t>
      </w:r>
      <w:r w:rsidRPr="000F3604">
        <w:t xml:space="preserve"> WA/ID Electric Programs</w:t>
      </w:r>
    </w:p>
    <w:tbl>
      <w:tblPr>
        <w:tblStyle w:val="NEXANTNEWTABLESTYLE"/>
        <w:tblW w:w="9828" w:type="dxa"/>
        <w:jc w:val="center"/>
        <w:tblLook w:val="04A0" w:firstRow="1" w:lastRow="0" w:firstColumn="1" w:lastColumn="0" w:noHBand="0" w:noVBand="1"/>
      </w:tblPr>
      <w:tblGrid>
        <w:gridCol w:w="3129"/>
        <w:gridCol w:w="1209"/>
        <w:gridCol w:w="1220"/>
        <w:gridCol w:w="1012"/>
        <w:gridCol w:w="1390"/>
        <w:gridCol w:w="1868"/>
      </w:tblGrid>
      <w:tr w:rsidR="004D4F1F" w:rsidRPr="00B35356" w:rsidTr="002C4E89">
        <w:trPr>
          <w:cnfStyle w:val="100000000000" w:firstRow="1" w:lastRow="0" w:firstColumn="0" w:lastColumn="0" w:oddVBand="0" w:evenVBand="0" w:oddHBand="0" w:evenHBand="0" w:firstRowFirstColumn="0" w:firstRowLastColumn="0" w:lastRowFirstColumn="0" w:lastRowLastColumn="0"/>
          <w:trHeight w:val="315"/>
          <w:jc w:val="center"/>
        </w:trPr>
        <w:tc>
          <w:tcPr>
            <w:tcW w:w="3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D4F1F" w:rsidRPr="00EC7F77" w:rsidRDefault="004D4F1F"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WA/ID Electric Portfolio Program Name</w:t>
            </w:r>
          </w:p>
        </w:tc>
        <w:tc>
          <w:tcPr>
            <w:tcW w:w="669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4D4F1F" w:rsidRPr="00EC7F77" w:rsidRDefault="004D4F1F" w:rsidP="004A6193">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for each Level of Rigor</w:t>
            </w:r>
          </w:p>
        </w:tc>
      </w:tr>
      <w:tr w:rsidR="004D4F1F" w:rsidRPr="00B35356" w:rsidTr="002C4E89">
        <w:trPr>
          <w:trHeight w:val="645"/>
          <w:jc w:val="center"/>
        </w:trPr>
        <w:tc>
          <w:tcPr>
            <w:tcW w:w="3129"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4D4F1F" w:rsidRPr="00EC7F77" w:rsidRDefault="004D4F1F" w:rsidP="00910AE4">
            <w:pPr>
              <w:tabs>
                <w:tab w:val="clear" w:pos="-1440"/>
                <w:tab w:val="clear" w:pos="-720"/>
                <w:tab w:val="clear" w:pos="720"/>
              </w:tabs>
              <w:spacing w:after="0" w:line="240" w:lineRule="auto"/>
              <w:ind w:left="0"/>
              <w:rPr>
                <w:rFonts w:cs="Microsoft Sans Serif"/>
                <w:b/>
                <w:bCs/>
                <w:color w:val="FFFFFF"/>
                <w:sz w:val="20"/>
              </w:rPr>
            </w:pPr>
          </w:p>
        </w:tc>
        <w:tc>
          <w:tcPr>
            <w:tcW w:w="1209"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9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86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Lighting</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16</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Non- Lighting</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Cascade Energy Pilot</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5</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664FFC">
            <w:pPr>
              <w:tabs>
                <w:tab w:val="clear" w:pos="-1440"/>
                <w:tab w:val="clear" w:pos="-720"/>
                <w:tab w:val="clear" w:pos="720"/>
              </w:tabs>
              <w:spacing w:after="0" w:line="240" w:lineRule="auto"/>
              <w:ind w:left="0"/>
              <w:jc w:val="center"/>
              <w:rPr>
                <w:rFonts w:cs="Microsoft Sans Serif"/>
                <w:color w:val="000000"/>
                <w:sz w:val="20"/>
              </w:rPr>
            </w:pP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right="-378"/>
              <w:jc w:val="center"/>
              <w:rPr>
                <w:rFonts w:cs="Microsoft Sans Serif"/>
                <w:color w:val="000000"/>
                <w:sz w:val="20"/>
              </w:rPr>
            </w:pPr>
          </w:p>
        </w:tc>
      </w:tr>
      <w:tr w:rsidR="004D4F1F" w:rsidRPr="00B35356" w:rsidTr="002C4E89">
        <w:trPr>
          <w:trHeight w:val="300"/>
          <w:jc w:val="center"/>
        </w:trPr>
        <w:tc>
          <w:tcPr>
            <w:tcW w:w="3129"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09"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39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84</w:t>
            </w:r>
          </w:p>
        </w:tc>
        <w:tc>
          <w:tcPr>
            <w:tcW w:w="1868" w:type="dxa"/>
            <w:tcBorders>
              <w:lef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right="-378" w:hanging="720"/>
              <w:jc w:val="center"/>
              <w:rPr>
                <w:rFonts w:cs="Microsoft Sans Serif"/>
                <w:color w:val="000000"/>
                <w:sz w:val="20"/>
              </w:rPr>
            </w:pPr>
            <w:r w:rsidRPr="00EC7F77">
              <w:rPr>
                <w:rFonts w:cs="Microsoft Sans Serif"/>
                <w:color w:val="000000"/>
                <w:sz w:val="20"/>
              </w:rPr>
              <w:t>based on IPMVP</w:t>
            </w:r>
          </w:p>
        </w:tc>
      </w:tr>
      <w:tr w:rsidR="00E76197" w:rsidRPr="00B35356" w:rsidTr="002C4E89">
        <w:trPr>
          <w:trHeight w:val="300"/>
          <w:jc w:val="center"/>
        </w:trPr>
        <w:tc>
          <w:tcPr>
            <w:tcW w:w="3129" w:type="dxa"/>
            <w:tcBorders>
              <w:right w:val="single" w:sz="6" w:space="0" w:color="1F497D" w:themeColor="text2"/>
            </w:tcBorders>
            <w:noWrap/>
          </w:tcPr>
          <w:p w:rsidR="00E76197" w:rsidRPr="00EC7F77" w:rsidRDefault="00E76197"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09" w:type="dxa"/>
            <w:tcBorders>
              <w:left w:val="single" w:sz="6" w:space="0" w:color="1F497D" w:themeColor="text2"/>
              <w:right w:val="single" w:sz="6" w:space="0" w:color="1F497D" w:themeColor="text2"/>
            </w:tcBorders>
            <w:noWrap/>
            <w:vAlign w:val="center"/>
          </w:tcPr>
          <w:p w:rsidR="00E76197" w:rsidRPr="00EC7F77" w:rsidRDefault="00E76197" w:rsidP="00664FFC">
            <w:pPr>
              <w:tabs>
                <w:tab w:val="clear" w:pos="-1440"/>
                <w:tab w:val="clear" w:pos="-720"/>
                <w:tab w:val="clear" w:pos="720"/>
              </w:tabs>
              <w:spacing w:after="0" w:line="240" w:lineRule="auto"/>
              <w:ind w:left="0"/>
              <w:jc w:val="center"/>
              <w:rPr>
                <w:rFonts w:cs="Microsoft Sans Serif"/>
                <w:color w:val="000000"/>
                <w:sz w:val="20"/>
              </w:rPr>
            </w:pPr>
          </w:p>
        </w:tc>
        <w:tc>
          <w:tcPr>
            <w:tcW w:w="1220"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225</w:t>
            </w:r>
          </w:p>
        </w:tc>
        <w:tc>
          <w:tcPr>
            <w:tcW w:w="1012"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129</w:t>
            </w:r>
          </w:p>
        </w:tc>
        <w:tc>
          <w:tcPr>
            <w:tcW w:w="1390" w:type="dxa"/>
            <w:tcBorders>
              <w:left w:val="single" w:sz="6" w:space="0" w:color="1F497D" w:themeColor="text2"/>
              <w:right w:val="single" w:sz="6" w:space="0" w:color="1F497D" w:themeColor="text2"/>
            </w:tcBorders>
            <w:noWrap/>
            <w:vAlign w:val="center"/>
          </w:tcPr>
          <w:p w:rsidR="00E76197" w:rsidRPr="00EC7F77" w:rsidRDefault="00500A9D"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124</w:t>
            </w:r>
          </w:p>
        </w:tc>
        <w:tc>
          <w:tcPr>
            <w:tcW w:w="1868" w:type="dxa"/>
            <w:tcBorders>
              <w:left w:val="single" w:sz="6" w:space="0" w:color="1F497D" w:themeColor="text2"/>
            </w:tcBorders>
            <w:noWrap/>
            <w:vAlign w:val="center"/>
          </w:tcPr>
          <w:p w:rsidR="00E76197" w:rsidRPr="00EC7F77" w:rsidRDefault="00E76197" w:rsidP="00EC7F77">
            <w:pPr>
              <w:tabs>
                <w:tab w:val="clear" w:pos="-1440"/>
                <w:tab w:val="clear" w:pos="-720"/>
                <w:tab w:val="clear" w:pos="720"/>
              </w:tabs>
              <w:spacing w:after="0" w:line="240" w:lineRule="auto"/>
              <w:ind w:left="0" w:right="-378"/>
              <w:jc w:val="center"/>
              <w:rPr>
                <w:rFonts w:cs="Microsoft Sans Serif"/>
                <w:color w:val="000000"/>
                <w:sz w:val="20"/>
              </w:rPr>
            </w:pPr>
          </w:p>
        </w:tc>
      </w:tr>
    </w:tbl>
    <w:p w:rsidR="004D4F1F" w:rsidRPr="000F3604" w:rsidRDefault="004D4F1F" w:rsidP="004D4F1F">
      <w:pPr>
        <w:pStyle w:val="t"/>
        <w:numPr>
          <w:ilvl w:val="0"/>
          <w:numId w:val="2"/>
        </w:numPr>
        <w:spacing w:after="0" w:line="240" w:lineRule="auto"/>
        <w:ind w:left="0"/>
        <w:rPr>
          <w:sz w:val="16"/>
          <w:szCs w:val="16"/>
        </w:rPr>
      </w:pPr>
      <w:r w:rsidRPr="000F3604">
        <w:rPr>
          <w:sz w:val="16"/>
          <w:szCs w:val="16"/>
          <w:vertAlign w:val="superscript"/>
        </w:rPr>
        <w:t>1</w:t>
      </w:r>
      <w:r w:rsidRPr="000F3604">
        <w:rPr>
          <w:sz w:val="16"/>
          <w:szCs w:val="16"/>
        </w:rPr>
        <w:t>Sample sizes for document audit designed to meet C/P target and are based on estimated participation values stated in 2014 Business Plan, extrapolated to the biennial cycle.</w:t>
      </w:r>
    </w:p>
    <w:p w:rsidR="004D4F1F" w:rsidRPr="000F3604" w:rsidRDefault="004D4F1F" w:rsidP="004D4F1F">
      <w:pPr>
        <w:pStyle w:val="t"/>
        <w:numPr>
          <w:ilvl w:val="0"/>
          <w:numId w:val="2"/>
        </w:numPr>
        <w:spacing w:after="180" w:line="240" w:lineRule="auto"/>
        <w:ind w:left="0"/>
        <w:rPr>
          <w:sz w:val="16"/>
          <w:szCs w:val="16"/>
        </w:rPr>
      </w:pPr>
    </w:p>
    <w:p w:rsidR="00D01C1C" w:rsidRPr="00320BA9" w:rsidRDefault="006932B2" w:rsidP="00D01C1C">
      <w:pPr>
        <w:pStyle w:val="t"/>
      </w:pPr>
      <w:r>
        <w:t>We will conduct on</w:t>
      </w:r>
      <w:r w:rsidR="00B57B20">
        <w:t>-</w:t>
      </w:r>
      <w:r>
        <w:t xml:space="preserve">site metering for a subset of onsite visits. </w:t>
      </w:r>
      <w:r w:rsidR="00B57B20">
        <w:t xml:space="preserve">Variables targeted as part of the metering activities will </w:t>
      </w:r>
      <w:r w:rsidR="00D01C1C" w:rsidRPr="00320BA9">
        <w:t>be determined on a case-by-case basis</w:t>
      </w:r>
      <w:r w:rsidR="00B57B20">
        <w:t xml:space="preserve"> depending on the project and measure type</w:t>
      </w:r>
      <w:r w:rsidR="00D01C1C" w:rsidRPr="00320BA9">
        <w:t xml:space="preserve">. Based on the evaluation team’s experience evaluating commercial sector projects and the measures offered in Avista’s programs, all projects will be measured for at least fourteen (14) days with on-site trend measurements. Seasonally variable measures may be metered for more than 2-3 months to better understand performance changes with weather conditions. Metering data available from building management systems (BMS) will be utilized, and the decision to implement metering equipment will be determined on each specific project based on preliminary desk </w:t>
      </w:r>
      <w:r w:rsidR="00B57B20">
        <w:t>audits</w:t>
      </w:r>
      <w:r w:rsidR="00D01C1C" w:rsidRPr="00320BA9">
        <w:t xml:space="preserve">. </w:t>
      </w:r>
      <w:r w:rsidR="00763104">
        <w:t xml:space="preserve"> In addition, where RTF protocols have been established or are currently under review, the evaluation team will take the protocols into consideration and use them when appropriate during the development of the M&amp;V plans and activities.  </w:t>
      </w:r>
    </w:p>
    <w:p w:rsidR="00137064" w:rsidRDefault="00C310C5" w:rsidP="002C4E89">
      <w:pPr>
        <w:pStyle w:val="Heading4"/>
        <w:rPr>
          <w:color w:val="FF0000"/>
        </w:rPr>
      </w:pPr>
      <w:bookmarkStart w:id="69" w:name="_Toc406155091"/>
      <w:bookmarkStart w:id="70" w:name="_Toc406155092"/>
      <w:bookmarkStart w:id="71" w:name="_Toc406155093"/>
      <w:bookmarkStart w:id="72" w:name="_Toc406155094"/>
      <w:bookmarkStart w:id="73" w:name="_Toc406155095"/>
      <w:bookmarkStart w:id="74" w:name="_Toc406155096"/>
      <w:bookmarkStart w:id="75" w:name="_Toc406155097"/>
      <w:bookmarkStart w:id="76" w:name="_Toc406155098"/>
      <w:bookmarkStart w:id="77" w:name="_Toc406155099"/>
      <w:bookmarkStart w:id="78" w:name="_Toc406081041"/>
      <w:bookmarkStart w:id="79" w:name="_Toc406155100"/>
      <w:bookmarkStart w:id="80" w:name="_Toc409095397"/>
      <w:bookmarkEnd w:id="69"/>
      <w:bookmarkEnd w:id="70"/>
      <w:bookmarkEnd w:id="71"/>
      <w:bookmarkEnd w:id="72"/>
      <w:bookmarkEnd w:id="73"/>
      <w:bookmarkEnd w:id="74"/>
      <w:bookmarkEnd w:id="75"/>
      <w:bookmarkEnd w:id="76"/>
      <w:bookmarkEnd w:id="77"/>
      <w:bookmarkEnd w:id="78"/>
      <w:bookmarkEnd w:id="79"/>
      <w:r>
        <w:t>Net-Verified Approach</w:t>
      </w:r>
      <w:bookmarkEnd w:id="80"/>
      <w:r w:rsidR="00137064">
        <w:t xml:space="preserve"> </w:t>
      </w:r>
    </w:p>
    <w:p w:rsidR="00B57B20" w:rsidRPr="00AD42E3" w:rsidRDefault="00B57B20" w:rsidP="00B57B20">
      <w:pPr>
        <w:pStyle w:val="t"/>
      </w:pPr>
      <w:r>
        <w:t xml:space="preserve">The evaluation team </w:t>
      </w:r>
      <w:r w:rsidRPr="00FF2F7A">
        <w:t>will derive net savings</w:t>
      </w:r>
      <w:r>
        <w:t xml:space="preserve"> (the savings directly attributable to the program) for the electric nonresidential programs </w:t>
      </w:r>
      <w:r w:rsidRPr="00FF2F7A">
        <w:t>by adjusting the gross</w:t>
      </w:r>
      <w:r>
        <w:t>-verified</w:t>
      </w:r>
      <w:r w:rsidRPr="00FF2F7A">
        <w:t xml:space="preserve"> energy savings estimates to account for freeridership</w:t>
      </w:r>
      <w:r>
        <w:t xml:space="preserve"> and</w:t>
      </w:r>
      <w:r w:rsidRPr="00FF2F7A">
        <w:t xml:space="preserve"> spillover</w:t>
      </w:r>
      <w:r>
        <w:t xml:space="preserve"> when applicable. </w:t>
      </w:r>
      <w:r w:rsidR="00763104" w:rsidRPr="00AD42E3">
        <w:t xml:space="preserve">We will estimate NTG values for all </w:t>
      </w:r>
      <w:r w:rsidR="00763104">
        <w:t xml:space="preserve">programs being evaluated in the nonresidential portfolio for which NTG ratios should be applied.  </w:t>
      </w:r>
      <w:r w:rsidRPr="00AD42E3">
        <w:t xml:space="preserve">However, for RTF measure savings estimates based on market baselines, freeridership ratios based on the evaluation activities will not be applied and only spillover ratios will be used for the NTG adjustment.  </w:t>
      </w:r>
    </w:p>
    <w:p w:rsidR="00B57B20" w:rsidRPr="003254EC" w:rsidRDefault="001B52A0" w:rsidP="00B57B20">
      <w:pPr>
        <w:pStyle w:val="t"/>
      </w:pPr>
      <w:r>
        <w:lastRenderedPageBreak/>
        <w:t xml:space="preserve">Section </w:t>
      </w:r>
      <w:r>
        <w:fldChar w:fldCharType="begin"/>
      </w:r>
      <w:r>
        <w:instrText xml:space="preserve"> REF _Ref406334910 \n \h  \* MERGEFORMAT </w:instrText>
      </w:r>
      <w:r>
        <w:fldChar w:fldCharType="separate"/>
      </w:r>
      <w:r>
        <w:t>2.4</w:t>
      </w:r>
      <w:r>
        <w:fldChar w:fldCharType="end"/>
      </w:r>
      <w:r>
        <w:t xml:space="preserve"> provides an overview of the approach that will be utilized to estimate free-ridership and spillover (when applicable).  </w:t>
      </w:r>
    </w:p>
    <w:p w:rsidR="00983992" w:rsidRDefault="00983992" w:rsidP="00983992">
      <w:pPr>
        <w:pStyle w:val="Heading2"/>
      </w:pPr>
      <w:bookmarkStart w:id="81" w:name="_Toc409095398"/>
      <w:r>
        <w:t>WA Natural Gas Program-Specific Tasks</w:t>
      </w:r>
      <w:bookmarkEnd w:id="81"/>
    </w:p>
    <w:p w:rsidR="00983992" w:rsidRDefault="00983992" w:rsidP="00531D0A">
      <w:pPr>
        <w:pStyle w:val="Heading3"/>
      </w:pPr>
      <w:bookmarkStart w:id="82" w:name="_Toc409095399"/>
      <w:r>
        <w:t>Residential Programs</w:t>
      </w:r>
      <w:bookmarkEnd w:id="82"/>
    </w:p>
    <w:p w:rsidR="00B57B20" w:rsidRPr="00A824B4" w:rsidRDefault="00B57B20" w:rsidP="00B57B20">
      <w:pPr>
        <w:pStyle w:val="t"/>
      </w:pPr>
      <w:r>
        <w:t xml:space="preserve">The following section outlines the natural gas residential programs offered in Avista’s Washington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t xml:space="preserve"> above, therefore this section provides a brief overview of each program, the sample design for this portfolio of programs and explains any special studies or approaches that will be conducted for the impact evaluation. </w:t>
      </w:r>
    </w:p>
    <w:p w:rsidR="00C310C5" w:rsidRPr="002C4E89" w:rsidRDefault="00C310C5" w:rsidP="002C4E89">
      <w:pPr>
        <w:pStyle w:val="Heading4"/>
      </w:pPr>
      <w:bookmarkStart w:id="83" w:name="_Toc409095400"/>
      <w:r w:rsidRPr="002C4E89">
        <w:t>Program Overview</w:t>
      </w:r>
      <w:bookmarkEnd w:id="83"/>
      <w:r w:rsidR="00137064" w:rsidRPr="002C4E89">
        <w:t xml:space="preserve"> </w:t>
      </w:r>
    </w:p>
    <w:p w:rsidR="00B22B2D" w:rsidRDefault="00E46524" w:rsidP="00B22B2D">
      <w:pPr>
        <w:pStyle w:val="t"/>
      </w:pPr>
      <w:r w:rsidRPr="00320BA9">
        <w:t>Six programs</w:t>
      </w:r>
      <w:r>
        <w:t xml:space="preserve"> apply to Avista’s Natural Gas customers in </w:t>
      </w:r>
      <w:r w:rsidR="00B57B20">
        <w:t>their Washington service territory</w:t>
      </w:r>
      <w:r>
        <w:t xml:space="preserve">. Avista implements the HVAC, Residential Shell, and Residential Water Heat programs. Additional implementation contractors for </w:t>
      </w:r>
      <w:r w:rsidR="00763104">
        <w:t>ENERGY STAR</w:t>
      </w:r>
      <w:r>
        <w:t xml:space="preserve"> Homes, Opower, and </w:t>
      </w:r>
      <w:r w:rsidR="00A45628">
        <w:t>L</w:t>
      </w:r>
      <w:r>
        <w:t>ow-</w:t>
      </w:r>
      <w:r w:rsidR="00A45628">
        <w:t>I</w:t>
      </w:r>
      <w:r>
        <w:t xml:space="preserve">ncome programs are described with each program summary in </w:t>
      </w:r>
      <w:r w:rsidR="00A45628">
        <w:fldChar w:fldCharType="begin"/>
      </w:r>
      <w:r w:rsidR="00A45628">
        <w:instrText xml:space="preserve"> REF _Ref406336258 \h </w:instrText>
      </w:r>
      <w:r w:rsidR="00A45628">
        <w:fldChar w:fldCharType="separate"/>
      </w:r>
      <w:r w:rsidR="00A45628">
        <w:t xml:space="preserve">Table </w:t>
      </w:r>
      <w:r w:rsidR="00A45628">
        <w:rPr>
          <w:noProof/>
        </w:rPr>
        <w:t>2</w:t>
      </w:r>
      <w:r w:rsidR="00A45628">
        <w:noBreakHyphen/>
      </w:r>
      <w:r w:rsidR="00A45628">
        <w:rPr>
          <w:noProof/>
        </w:rPr>
        <w:t>10</w:t>
      </w:r>
      <w:r w:rsidR="00A45628">
        <w:fldChar w:fldCharType="end"/>
      </w:r>
      <w:r w:rsidR="009B6BA2">
        <w:t xml:space="preserve"> </w:t>
      </w:r>
      <w:r>
        <w:t xml:space="preserve">below. </w:t>
      </w:r>
      <w:r w:rsidR="00A45628">
        <w:t xml:space="preserve"> The descriptions for each program can be found in </w:t>
      </w:r>
      <w:r w:rsidR="00A45628">
        <w:fldChar w:fldCharType="begin"/>
      </w:r>
      <w:r w:rsidR="00A45628">
        <w:instrText xml:space="preserve"> REF _Ref406329684 \h </w:instrText>
      </w:r>
      <w:r w:rsidR="00A45628">
        <w:fldChar w:fldCharType="separate"/>
      </w:r>
      <w:r w:rsidR="00FB58B1">
        <w:t xml:space="preserve">Table </w:t>
      </w:r>
      <w:r w:rsidR="00FB58B1">
        <w:rPr>
          <w:noProof/>
        </w:rPr>
        <w:t>2</w:t>
      </w:r>
      <w:r w:rsidR="00FB58B1">
        <w:noBreakHyphen/>
      </w:r>
      <w:r w:rsidR="00FB58B1">
        <w:rPr>
          <w:noProof/>
        </w:rPr>
        <w:t>5</w:t>
      </w:r>
      <w:r w:rsidR="00A45628">
        <w:fldChar w:fldCharType="end"/>
      </w:r>
      <w:r w:rsidR="00A45628">
        <w:t xml:space="preserve"> in Section </w:t>
      </w:r>
      <w:r w:rsidR="00A45628">
        <w:fldChar w:fldCharType="begin"/>
      </w:r>
      <w:r w:rsidR="00A45628">
        <w:instrText xml:space="preserve"> REF _Ref406336337 \n \h </w:instrText>
      </w:r>
      <w:r w:rsidR="00A45628">
        <w:fldChar w:fldCharType="separate"/>
      </w:r>
      <w:r w:rsidR="00A45628">
        <w:t>2.5</w:t>
      </w:r>
      <w:r w:rsidR="00A45628">
        <w:fldChar w:fldCharType="end"/>
      </w:r>
      <w:r w:rsidR="00A45628">
        <w:t xml:space="preserve">.  </w:t>
      </w:r>
    </w:p>
    <w:p w:rsidR="00AB54A3" w:rsidRPr="00FB58B1" w:rsidRDefault="00AB54A3" w:rsidP="00B57B20">
      <w:pPr>
        <w:pStyle w:val="Caption"/>
      </w:pPr>
      <w:bookmarkStart w:id="84" w:name="_Ref406336258"/>
      <w:r w:rsidRPr="00FB58B1">
        <w:t xml:space="preserve">Table </w:t>
      </w:r>
      <w:fldSimple w:instr=" STYLEREF 1 \s ">
        <w:r w:rsidR="0067743A">
          <w:rPr>
            <w:noProof/>
          </w:rPr>
          <w:t>2</w:t>
        </w:r>
      </w:fldSimple>
      <w:r w:rsidR="0067743A">
        <w:noBreakHyphen/>
      </w:r>
      <w:fldSimple w:instr=" SEQ Table \* ARABIC \s 1 ">
        <w:r w:rsidR="0067743A">
          <w:rPr>
            <w:noProof/>
          </w:rPr>
          <w:t>10</w:t>
        </w:r>
      </w:fldSimple>
      <w:bookmarkEnd w:id="84"/>
      <w:r w:rsidRPr="00EC7F77">
        <w:t xml:space="preserve">: WA Residential Natural Gas Portfolio </w:t>
      </w:r>
      <w:r w:rsidR="00A45628" w:rsidRPr="00EC7F77">
        <w:t>Programs</w:t>
      </w:r>
    </w:p>
    <w:tbl>
      <w:tblPr>
        <w:tblStyle w:val="NEXANTNEWTABLESTYLE"/>
        <w:tblW w:w="9647" w:type="dxa"/>
        <w:jc w:val="center"/>
        <w:tblLayout w:type="fixed"/>
        <w:tblLook w:val="04A0" w:firstRow="1" w:lastRow="0" w:firstColumn="1" w:lastColumn="0" w:noHBand="0" w:noVBand="1"/>
      </w:tblPr>
      <w:tblGrid>
        <w:gridCol w:w="3054"/>
        <w:gridCol w:w="6593"/>
      </w:tblGrid>
      <w:tr w:rsidR="00B57B20" w:rsidRPr="00FB58B1" w:rsidTr="00EC7F77">
        <w:trPr>
          <w:cnfStyle w:val="100000000000" w:firstRow="1" w:lastRow="0" w:firstColumn="0" w:lastColumn="0" w:oddVBand="0" w:evenVBand="0" w:oddHBand="0" w:evenHBand="0" w:firstRowFirstColumn="0" w:firstRowLastColumn="0" w:lastRowFirstColumn="0" w:lastRowLastColumn="0"/>
          <w:trHeight w:val="293"/>
          <w:jc w:val="center"/>
        </w:trPr>
        <w:tc>
          <w:tcPr>
            <w:tcW w:w="3054" w:type="dxa"/>
            <w:tcBorders>
              <w:bottom w:val="single" w:sz="4" w:space="0" w:color="1F497D" w:themeColor="text2"/>
              <w:right w:val="single" w:sz="6" w:space="0" w:color="FFFFFF" w:themeColor="background1"/>
            </w:tcBorders>
            <w:vAlign w:val="center"/>
          </w:tcPr>
          <w:p w:rsidR="00B57B20" w:rsidRPr="00EC7F77" w:rsidRDefault="00B57B20"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6593" w:type="dxa"/>
            <w:tcBorders>
              <w:left w:val="single" w:sz="6" w:space="0" w:color="FFFFFF" w:themeColor="background1"/>
              <w:bottom w:val="single" w:sz="4" w:space="0" w:color="1F497D" w:themeColor="text2"/>
            </w:tcBorders>
            <w:vAlign w:val="center"/>
          </w:tcPr>
          <w:p w:rsidR="00B57B20" w:rsidRPr="00EC7F77" w:rsidRDefault="00B57B20" w:rsidP="00AB54A3">
            <w:pPr>
              <w:tabs>
                <w:tab w:val="clear" w:pos="-1440"/>
                <w:tab w:val="clear" w:pos="-720"/>
                <w:tab w:val="clear" w:pos="720"/>
              </w:tabs>
              <w:spacing w:after="0" w:line="240" w:lineRule="auto"/>
              <w:ind w:left="0"/>
              <w:jc w:val="left"/>
              <w:rPr>
                <w:rFonts w:ascii="Calibri" w:hAnsi="Calibri"/>
                <w:bCs/>
                <w:color w:val="FFFFFF"/>
                <w:sz w:val="20"/>
              </w:rPr>
            </w:pPr>
            <w:r w:rsidRPr="00EC7F77">
              <w:rPr>
                <w:rFonts w:ascii="Calibri" w:hAnsi="Calibri"/>
                <w:bCs/>
                <w:color w:val="FFFFFF"/>
                <w:sz w:val="20"/>
              </w:rPr>
              <w:t>Implementer</w:t>
            </w:r>
          </w:p>
        </w:tc>
      </w:tr>
      <w:tr w:rsidR="00B57B20" w:rsidRPr="00FB58B1" w:rsidTr="00EC7F77">
        <w:trPr>
          <w:trHeight w:val="293"/>
          <w:jc w:val="center"/>
        </w:trPr>
        <w:tc>
          <w:tcPr>
            <w:tcW w:w="3054" w:type="dxa"/>
            <w:tcBorders>
              <w:top w:val="single" w:sz="4" w:space="0" w:color="1F497D" w:themeColor="text2"/>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6593" w:type="dxa"/>
            <w:tcBorders>
              <w:top w:val="single" w:sz="4" w:space="0" w:color="1F497D" w:themeColor="text2"/>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763104">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 xml:space="preserve">ENERGY STAR </w:t>
            </w:r>
            <w:r w:rsidR="00763104" w:rsidRPr="00EC7F77">
              <w:rPr>
                <w:rFonts w:ascii="Calibri" w:hAnsi="Calibri"/>
                <w:b/>
                <w:color w:val="000000"/>
                <w:sz w:val="20"/>
              </w:rPr>
              <w:t>Homes</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NEEA administers, Avista pays rebate</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Shell</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38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Residential Water Heat</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Opower Behavioral Program</w:t>
            </w:r>
          </w:p>
        </w:tc>
        <w:tc>
          <w:tcPr>
            <w:tcW w:w="6593" w:type="dxa"/>
            <w:tcBorders>
              <w:left w:val="single" w:sz="4" w:space="0" w:color="1F497D" w:themeColor="text2"/>
            </w:tcBorders>
            <w:vAlign w:val="center"/>
          </w:tcPr>
          <w:p w:rsidR="00B57B20" w:rsidRPr="00EC7F77" w:rsidRDefault="00B57B20" w:rsidP="00EC7F77">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Opower</w:t>
            </w:r>
          </w:p>
        </w:tc>
      </w:tr>
      <w:tr w:rsidR="00B57B20" w:rsidRPr="00FB58B1" w:rsidTr="00EC7F77">
        <w:trPr>
          <w:trHeight w:val="293"/>
          <w:jc w:val="center"/>
        </w:trPr>
        <w:tc>
          <w:tcPr>
            <w:tcW w:w="3054" w:type="dxa"/>
            <w:tcBorders>
              <w:right w:val="single" w:sz="4" w:space="0" w:color="1F497D" w:themeColor="text2"/>
            </w:tcBorders>
          </w:tcPr>
          <w:p w:rsidR="00B57B20" w:rsidRPr="00EC7F77" w:rsidRDefault="00B57B20"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Low Income</w:t>
            </w:r>
          </w:p>
        </w:tc>
        <w:tc>
          <w:tcPr>
            <w:tcW w:w="6593" w:type="dxa"/>
            <w:tcBorders>
              <w:left w:val="single" w:sz="4" w:space="0" w:color="1F497D" w:themeColor="text2"/>
            </w:tcBorders>
            <w:vAlign w:val="center"/>
          </w:tcPr>
          <w:p w:rsidR="00B57B20" w:rsidRPr="00EC7F77" w:rsidRDefault="00B57B20" w:rsidP="00107CF2">
            <w:pPr>
              <w:tabs>
                <w:tab w:val="clear" w:pos="-1440"/>
                <w:tab w:val="clear" w:pos="-720"/>
                <w:tab w:val="num" w:pos="720"/>
              </w:tabs>
              <w:adjustRightInd w:val="0"/>
              <w:snapToGrid w:val="0"/>
              <w:spacing w:after="0" w:line="240" w:lineRule="auto"/>
              <w:ind w:left="0"/>
              <w:rPr>
                <w:rFonts w:ascii="Calibri" w:hAnsi="Calibri"/>
                <w:color w:val="000000"/>
                <w:sz w:val="20"/>
              </w:rPr>
            </w:pPr>
            <w:r w:rsidRPr="00EC7F77">
              <w:rPr>
                <w:rFonts w:ascii="Calibri" w:hAnsi="Calibri"/>
                <w:color w:val="000000"/>
                <w:sz w:val="20"/>
              </w:rPr>
              <w:t>SNAP, Rural Resources, Community Action Center Whitman County, Opportunities Industrialization Council, Washington Gorge Action Programs, Community Action Partnership (Lewiston)</w:t>
            </w:r>
          </w:p>
        </w:tc>
      </w:tr>
    </w:tbl>
    <w:p w:rsidR="00AB54A3" w:rsidRDefault="00AB54A3" w:rsidP="00AB54A3">
      <w:pPr>
        <w:pStyle w:val="ListParagraph"/>
      </w:pPr>
    </w:p>
    <w:p w:rsidR="00AB54A3" w:rsidRDefault="00AB54A3" w:rsidP="00AB54A3">
      <w:pPr>
        <w:pStyle w:val="t"/>
      </w:pPr>
    </w:p>
    <w:p w:rsidR="00B22B2D" w:rsidRDefault="00B22B2D" w:rsidP="00B22B2D">
      <w:pPr>
        <w:pStyle w:val="t"/>
      </w:pPr>
    </w:p>
    <w:p w:rsidR="00B22B2D" w:rsidRDefault="00B22B2D" w:rsidP="00B22B2D">
      <w:pPr>
        <w:pStyle w:val="t"/>
        <w:numPr>
          <w:ilvl w:val="0"/>
          <w:numId w:val="0"/>
        </w:numPr>
        <w:sectPr w:rsidR="00B22B2D" w:rsidSect="00FB58B1">
          <w:footnotePr>
            <w:numRestart w:val="eachPage"/>
          </w:footnotePr>
          <w:pgSz w:w="12240" w:h="15840"/>
          <w:pgMar w:top="1440" w:right="1440" w:bottom="1440" w:left="1440" w:header="1080" w:footer="720" w:gutter="0"/>
          <w:cols w:space="360"/>
          <w:titlePg/>
          <w:docGrid w:linePitch="299"/>
        </w:sectPr>
      </w:pPr>
    </w:p>
    <w:p w:rsidR="00C310C5" w:rsidRPr="002C4E89" w:rsidRDefault="00C310C5" w:rsidP="00320BA9">
      <w:pPr>
        <w:pStyle w:val="Heading4"/>
      </w:pPr>
      <w:bookmarkStart w:id="85" w:name="_Toc406155105"/>
      <w:bookmarkStart w:id="86" w:name="_Toc406155106"/>
      <w:bookmarkStart w:id="87" w:name="_Toc409095401"/>
      <w:bookmarkEnd w:id="85"/>
      <w:bookmarkEnd w:id="86"/>
      <w:r w:rsidRPr="002C4E89">
        <w:lastRenderedPageBreak/>
        <w:t>Gross-Verified Approach</w:t>
      </w:r>
      <w:bookmarkEnd w:id="87"/>
      <w:r w:rsidR="00137064" w:rsidRPr="002C4E89">
        <w:t xml:space="preserve"> </w:t>
      </w:r>
    </w:p>
    <w:p w:rsidR="005B4D58" w:rsidRDefault="005B4D58" w:rsidP="005B4D58">
      <w:pPr>
        <w:pStyle w:val="t"/>
      </w:pPr>
      <w:r w:rsidRPr="005B4D58">
        <w:t xml:space="preserve">Each program </w:t>
      </w:r>
      <w:r w:rsidR="00980EF1">
        <w:t xml:space="preserve">in the WA natural gas portfolio </w:t>
      </w:r>
      <w:r w:rsidRPr="005B4D58">
        <w:t xml:space="preserve">will be assigned a specific number of </w:t>
      </w:r>
      <w:r w:rsidR="00980EF1">
        <w:t xml:space="preserve">desk audits or </w:t>
      </w:r>
      <w:r w:rsidRPr="005B4D58">
        <w:t xml:space="preserve">telephone surveys based on overall portfolio savings. Once the samples are identified, desk </w:t>
      </w:r>
      <w:r w:rsidR="00980EF1">
        <w:t>audit</w:t>
      </w:r>
      <w:r w:rsidRPr="005B4D58">
        <w:t>s of project files will verify basic information and will inform</w:t>
      </w:r>
      <w:r w:rsidR="007E5CA4">
        <w:t xml:space="preserve"> subsequent</w:t>
      </w:r>
      <w:r w:rsidRPr="005B4D58">
        <w:t xml:space="preserve"> telephone surveys</w:t>
      </w:r>
      <w:r w:rsidR="007E5CA4">
        <w:t xml:space="preserve"> conducted with program participants.</w:t>
      </w:r>
      <w:r w:rsidRPr="005B4D58">
        <w:t xml:space="preserve">  </w:t>
      </w:r>
    </w:p>
    <w:p w:rsidR="002D7D57" w:rsidRPr="000F3604" w:rsidRDefault="0002468C" w:rsidP="00980EF1">
      <w:pPr>
        <w:pStyle w:val="t"/>
        <w:numPr>
          <w:ilvl w:val="0"/>
          <w:numId w:val="2"/>
        </w:numPr>
        <w:spacing w:after="0"/>
        <w:ind w:left="0"/>
      </w:pPr>
      <w:r>
        <w:rPr>
          <w:b/>
          <w:color w:val="1F497D" w:themeColor="text2"/>
        </w:rPr>
        <w:fldChar w:fldCharType="begin"/>
      </w:r>
      <w:r>
        <w:rPr>
          <w:b/>
          <w:color w:val="1F497D" w:themeColor="text2"/>
        </w:rPr>
        <w:instrText xml:space="preserve"> REF _Ref401923114 \h </w:instrText>
      </w:r>
      <w:r>
        <w:rPr>
          <w:b/>
          <w:color w:val="1F497D" w:themeColor="text2"/>
        </w:rPr>
      </w:r>
      <w:r>
        <w:rPr>
          <w:b/>
          <w:color w:val="1F497D" w:themeColor="text2"/>
        </w:rPr>
        <w:fldChar w:fldCharType="separate"/>
      </w:r>
      <w:r w:rsidR="00EC7F77" w:rsidRPr="000F3604">
        <w:t xml:space="preserve">Table </w:t>
      </w:r>
      <w:r w:rsidR="00EC7F77">
        <w:rPr>
          <w:noProof/>
        </w:rPr>
        <w:t>2</w:t>
      </w:r>
      <w:r w:rsidR="00EC7F77">
        <w:noBreakHyphen/>
      </w:r>
      <w:r w:rsidR="00EC7F77">
        <w:rPr>
          <w:noProof/>
        </w:rPr>
        <w:t>11</w:t>
      </w:r>
      <w:r>
        <w:rPr>
          <w:b/>
          <w:color w:val="1F497D" w:themeColor="text2"/>
        </w:rPr>
        <w:fldChar w:fldCharType="end"/>
      </w:r>
      <w:r w:rsidR="004D4F1F" w:rsidRPr="000F3604">
        <w:t xml:space="preserve"> </w:t>
      </w:r>
      <w:r w:rsidR="00980EF1" w:rsidRPr="00821C10">
        <w:t>outlines the planned sample sizes and level of rigor for the impact evaluation activiti</w:t>
      </w:r>
      <w:r w:rsidR="00980EF1">
        <w:t xml:space="preserve">es for the residential </w:t>
      </w:r>
      <w:r w:rsidR="00980EF1" w:rsidRPr="00821C10">
        <w:t xml:space="preserve">natural gas </w:t>
      </w:r>
      <w:r w:rsidR="00980EF1">
        <w:t xml:space="preserve">programs </w:t>
      </w:r>
      <w:r w:rsidR="00980EF1" w:rsidRPr="00821C10">
        <w:t>in WA.</w:t>
      </w:r>
      <w:r w:rsidR="00777D3B" w:rsidRPr="00777D3B">
        <w:t xml:space="preserve"> </w:t>
      </w:r>
      <w:r w:rsidR="00777D3B">
        <w:t xml:space="preserve">The Water Heat Program evaluation will </w:t>
      </w:r>
      <w:r w:rsidR="000709AA">
        <w:t xml:space="preserve">also </w:t>
      </w:r>
      <w:r w:rsidR="00777D3B">
        <w:t xml:space="preserve">include analysis of the Simple Steps, Smart Savings high efficiency showerheads </w:t>
      </w:r>
      <w:r w:rsidR="000709AA">
        <w:t>component</w:t>
      </w:r>
      <w:r w:rsidR="00714599">
        <w:t>.</w:t>
      </w:r>
      <w:r w:rsidR="00777D3B">
        <w:t xml:space="preserve"> </w:t>
      </w:r>
      <w:r w:rsidR="002D7D57" w:rsidRPr="000F3604">
        <w:t>Billing analysis will be used to evaluate impacts for the HVAC, Shell, Low Income, and Opower programs. Additionally, ENERGY STAR Homes may also be evaluated via billing analysis if sufficient data is available. Please see</w:t>
      </w:r>
      <w:r>
        <w:t xml:space="preserve"> Section</w:t>
      </w:r>
      <w:r w:rsidR="002D7D57" w:rsidRPr="000F3604">
        <w:t xml:space="preserve"> </w:t>
      </w:r>
      <w:r w:rsidR="00C9290F" w:rsidRPr="00C9290F">
        <w:fldChar w:fldCharType="begin"/>
      </w:r>
      <w:r w:rsidR="00C9290F" w:rsidRPr="00C9290F">
        <w:instrText xml:space="preserve"> REF _Ref406488897 \r \h  \* MERGEFORMAT </w:instrText>
      </w:r>
      <w:r w:rsidR="00C9290F" w:rsidRPr="00C9290F">
        <w:fldChar w:fldCharType="separate"/>
      </w:r>
      <w:r w:rsidR="00C9290F" w:rsidRPr="00C9290F">
        <w:t>2.3.4</w:t>
      </w:r>
      <w:r w:rsidR="00C9290F" w:rsidRPr="00C9290F">
        <w:fldChar w:fldCharType="end"/>
      </w:r>
      <w:r w:rsidR="00664FFC">
        <w:t xml:space="preserve"> </w:t>
      </w:r>
      <w:r w:rsidR="002D7D57" w:rsidRPr="000F3604">
        <w:t>for additional discussion on the billing analysis approach.</w:t>
      </w:r>
      <w:r w:rsidR="00777D3B">
        <w:t xml:space="preserve"> </w:t>
      </w:r>
    </w:p>
    <w:p w:rsidR="00A10D91" w:rsidRPr="000F3604" w:rsidRDefault="00A10D91" w:rsidP="004D4F1F">
      <w:pPr>
        <w:pStyle w:val="t"/>
        <w:numPr>
          <w:ilvl w:val="0"/>
          <w:numId w:val="2"/>
        </w:numPr>
        <w:spacing w:after="0"/>
        <w:ind w:left="0"/>
      </w:pPr>
    </w:p>
    <w:p w:rsidR="004D4F1F" w:rsidRPr="000F3604" w:rsidRDefault="004D4F1F" w:rsidP="004D4F1F">
      <w:pPr>
        <w:pStyle w:val="Caption"/>
        <w:spacing w:before="0" w:after="40"/>
      </w:pPr>
      <w:bookmarkStart w:id="88" w:name="_Ref401923114"/>
      <w:bookmarkStart w:id="89" w:name="_Ref406336507"/>
      <w:bookmarkStart w:id="90" w:name="_Ref401923106"/>
      <w:r w:rsidRPr="000F3604">
        <w:t xml:space="preserve">Table </w:t>
      </w:r>
      <w:fldSimple w:instr=" STYLEREF 1 \s ">
        <w:r w:rsidR="0067743A">
          <w:rPr>
            <w:noProof/>
          </w:rPr>
          <w:t>2</w:t>
        </w:r>
      </w:fldSimple>
      <w:r w:rsidR="0067743A">
        <w:noBreakHyphen/>
      </w:r>
      <w:fldSimple w:instr=" SEQ Table \* ARABIC \s 1 ">
        <w:r w:rsidR="0067743A">
          <w:rPr>
            <w:noProof/>
          </w:rPr>
          <w:t>11</w:t>
        </w:r>
      </w:fldSimple>
      <w:bookmarkEnd w:id="88"/>
      <w:r w:rsidRPr="000F3604">
        <w:t xml:space="preserve">: Sampling and Evaluation Rigor for </w:t>
      </w:r>
      <w:r w:rsidR="00980EF1">
        <w:t xml:space="preserve">Residential </w:t>
      </w:r>
      <w:r w:rsidRPr="000F3604">
        <w:t>WA Natural Gas Programs</w:t>
      </w:r>
      <w:bookmarkEnd w:id="89"/>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4D4F1F"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D4F1F" w:rsidRPr="00EC7F77" w:rsidRDefault="004D4F1F" w:rsidP="00EC7F77">
            <w:pPr>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WA Natural Gas Portfolio Program Name</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4D4F1F" w:rsidRPr="00EC7F77" w:rsidRDefault="004D4F1F" w:rsidP="00364D09">
            <w:pPr>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4D4F1F"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4D4F1F" w:rsidRPr="00EC7F77" w:rsidRDefault="004D4F1F" w:rsidP="00910AE4">
            <w:pPr>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4D4F1F" w:rsidRPr="00EC7F77" w:rsidRDefault="004D4F1F" w:rsidP="00EC7F77">
            <w:pPr>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4D4F1F" w:rsidRPr="00B35356" w:rsidTr="00EC7F77">
        <w:trPr>
          <w:trHeight w:val="300"/>
        </w:trPr>
        <w:tc>
          <w:tcPr>
            <w:tcW w:w="3120" w:type="dxa"/>
            <w:tcBorders>
              <w:right w:val="single" w:sz="6" w:space="0" w:color="1F497D" w:themeColor="text2"/>
            </w:tcBorders>
            <w:noWrap/>
            <w:hideMark/>
          </w:tcPr>
          <w:p w:rsidR="004D4F1F" w:rsidRPr="00AE4E89" w:rsidRDefault="004D4F1F" w:rsidP="00910AE4">
            <w:pPr>
              <w:tabs>
                <w:tab w:val="clear" w:pos="-1440"/>
                <w:tab w:val="clear" w:pos="-720"/>
                <w:tab w:val="clear" w:pos="720"/>
              </w:tabs>
              <w:spacing w:after="0" w:line="240" w:lineRule="auto"/>
              <w:ind w:left="0"/>
              <w:rPr>
                <w:rFonts w:cs="Microsoft Sans Serif"/>
                <w:color w:val="000000"/>
                <w:sz w:val="20"/>
                <w:vertAlign w:val="superscript"/>
              </w:rPr>
            </w:pPr>
            <w:r w:rsidRPr="00EC7F77">
              <w:rPr>
                <w:rFonts w:cs="Microsoft Sans Serif"/>
                <w:color w:val="000000"/>
                <w:sz w:val="20"/>
              </w:rPr>
              <w:t>Water Heat Program</w:t>
            </w:r>
            <w:r w:rsidR="00376B64">
              <w:rPr>
                <w:rFonts w:cs="Microsoft Sans Serif"/>
                <w:color w:val="000000"/>
                <w:sz w:val="20"/>
                <w:vertAlign w:val="superscript"/>
              </w:rPr>
              <w:t>1</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80/20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11</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11</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ENERGY STAR Homes</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w:t>
            </w:r>
            <w:r w:rsidR="004D4F1F" w:rsidRPr="00EC7F77">
              <w:rPr>
                <w:rFonts w:cs="Microsoft Sans Serif"/>
                <w:color w:val="000000"/>
                <w:sz w:val="20"/>
              </w:rPr>
              <w:t>/1</w:t>
            </w:r>
            <w:r w:rsidRPr="00EC7F77">
              <w:rPr>
                <w:rFonts w:cs="Microsoft Sans Serif"/>
                <w:color w:val="000000"/>
                <w:sz w:val="20"/>
              </w:rPr>
              <w:t>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13</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13</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15"/>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90/10</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68</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68</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15"/>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Shell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w:t>
            </w:r>
            <w:r w:rsidR="004D4F1F" w:rsidRPr="00EC7F77">
              <w:rPr>
                <w:rFonts w:cs="Microsoft Sans Serif"/>
                <w:color w:val="000000"/>
                <w:sz w:val="20"/>
              </w:rPr>
              <w:t>/</w:t>
            </w:r>
            <w:r w:rsidRPr="00EC7F77">
              <w:rPr>
                <w:rFonts w:cs="Microsoft Sans Serif"/>
                <w:color w:val="000000"/>
                <w:sz w:val="20"/>
              </w:rPr>
              <w:t>15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E46524" w:rsidP="00EC7F77">
            <w:pPr>
              <w:tabs>
                <w:tab w:val="clear" w:pos="-1440"/>
                <w:tab w:val="clear" w:pos="-720"/>
                <w:tab w:val="num" w:pos="720"/>
              </w:tabs>
              <w:adjustRightInd w:val="0"/>
              <w:snapToGrid w:val="0"/>
              <w:spacing w:after="0" w:line="240" w:lineRule="auto"/>
              <w:ind w:left="0" w:hanging="24"/>
              <w:jc w:val="center"/>
              <w:rPr>
                <w:rFonts w:cs="Microsoft Sans Serif"/>
                <w:color w:val="000000"/>
                <w:sz w:val="20"/>
              </w:rPr>
            </w:pPr>
            <w:r w:rsidRPr="00EC7F77">
              <w:rPr>
                <w:rFonts w:cs="Microsoft Sans Serif"/>
                <w:color w:val="000000"/>
                <w:sz w:val="20"/>
              </w:rPr>
              <w:t>24</w:t>
            </w:r>
          </w:p>
        </w:tc>
        <w:tc>
          <w:tcPr>
            <w:tcW w:w="1350" w:type="dxa"/>
            <w:tcBorders>
              <w:left w:val="single" w:sz="6" w:space="0" w:color="1F497D" w:themeColor="text2"/>
              <w:right w:val="single" w:sz="6" w:space="0" w:color="1F497D" w:themeColor="text2"/>
            </w:tcBorders>
            <w:noWrap/>
            <w:vAlign w:val="center"/>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613C1E" w:rsidP="0002468C">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r w:rsidRPr="00EC7F77">
              <w:rPr>
                <w:rFonts w:cs="Microsoft Sans Serif"/>
                <w:color w:val="000000"/>
                <w:sz w:val="20"/>
                <w:vertAlign w:val="superscript"/>
              </w:rPr>
              <w:t>2</w:t>
            </w: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Opower Behavioral Program</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census</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hanging="18"/>
              <w:jc w:val="center"/>
              <w:rPr>
                <w:rFonts w:cs="Microsoft Sans Serif"/>
                <w:color w:val="000000"/>
                <w:sz w:val="20"/>
              </w:rPr>
            </w:pP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adjustRightInd w:val="0"/>
              <w:snapToGrid w:val="0"/>
              <w:spacing w:after="0" w:line="240" w:lineRule="auto"/>
              <w:ind w:left="0" w:hanging="24"/>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4D4F1F" w:rsidRPr="00B35356" w:rsidTr="00EC7F77">
        <w:trPr>
          <w:trHeight w:val="300"/>
        </w:trPr>
        <w:tc>
          <w:tcPr>
            <w:tcW w:w="3120" w:type="dxa"/>
            <w:tcBorders>
              <w:right w:val="single" w:sz="6" w:space="0" w:color="1F497D" w:themeColor="text2"/>
            </w:tcBorders>
            <w:noWrap/>
            <w:hideMark/>
          </w:tcPr>
          <w:p w:rsidR="004D4F1F" w:rsidRPr="00EC7F77" w:rsidRDefault="004D4F1F"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Low Income</w:t>
            </w:r>
          </w:p>
        </w:tc>
        <w:tc>
          <w:tcPr>
            <w:tcW w:w="1218"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85/15</w:t>
            </w:r>
          </w:p>
        </w:tc>
        <w:tc>
          <w:tcPr>
            <w:tcW w:w="1220"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num" w:pos="720"/>
              </w:tabs>
              <w:adjustRightInd w:val="0"/>
              <w:snapToGrid w:val="0"/>
              <w:spacing w:after="0" w:line="240" w:lineRule="auto"/>
              <w:ind w:left="0" w:hanging="18"/>
              <w:jc w:val="center"/>
              <w:rPr>
                <w:rFonts w:cs="Microsoft Sans Serif"/>
                <w:color w:val="000000"/>
                <w:sz w:val="20"/>
              </w:rPr>
            </w:pPr>
            <w:r w:rsidRPr="00EC7F77">
              <w:rPr>
                <w:rFonts w:cs="Microsoft Sans Serif"/>
                <w:color w:val="000000"/>
                <w:sz w:val="20"/>
              </w:rPr>
              <w:t>24</w:t>
            </w:r>
          </w:p>
        </w:tc>
        <w:tc>
          <w:tcPr>
            <w:tcW w:w="1012" w:type="dxa"/>
            <w:tcBorders>
              <w:left w:val="single" w:sz="6" w:space="0" w:color="1F497D" w:themeColor="text2"/>
              <w:right w:val="single" w:sz="6" w:space="0" w:color="1F497D" w:themeColor="text2"/>
            </w:tcBorders>
            <w:noWrap/>
            <w:vAlign w:val="center"/>
            <w:hideMark/>
          </w:tcPr>
          <w:p w:rsidR="004D4F1F" w:rsidRPr="00EC7F77" w:rsidRDefault="004D4F1F" w:rsidP="00EC7F77">
            <w:pPr>
              <w:tabs>
                <w:tab w:val="clear" w:pos="-1440"/>
                <w:tab w:val="clear" w:pos="-720"/>
                <w:tab w:val="clear" w:pos="720"/>
              </w:tabs>
              <w:spacing w:after="0" w:line="240" w:lineRule="auto"/>
              <w:ind w:left="0" w:hanging="24"/>
              <w:jc w:val="center"/>
              <w:rPr>
                <w:rFonts w:cs="Microsoft Sans Serif"/>
                <w:color w:val="000000"/>
                <w:sz w:val="20"/>
              </w:rPr>
            </w:pPr>
          </w:p>
        </w:tc>
        <w:tc>
          <w:tcPr>
            <w:tcW w:w="1350" w:type="dxa"/>
            <w:tcBorders>
              <w:left w:val="single" w:sz="6" w:space="0" w:color="1F497D" w:themeColor="text2"/>
              <w:right w:val="single" w:sz="6" w:space="0" w:color="1F497D" w:themeColor="text2"/>
            </w:tcBorders>
            <w:noWrap/>
            <w:vAlign w:val="center"/>
            <w:hideMark/>
          </w:tcPr>
          <w:p w:rsidR="004D4F1F" w:rsidRPr="00EC7F77" w:rsidRDefault="004D4F1F"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hideMark/>
          </w:tcPr>
          <w:p w:rsidR="004D4F1F" w:rsidRPr="00EC7F77" w:rsidRDefault="004D4F1F" w:rsidP="00910AE4">
            <w:pPr>
              <w:tabs>
                <w:tab w:val="clear" w:pos="-1440"/>
                <w:tab w:val="clear" w:pos="-720"/>
                <w:tab w:val="num" w:pos="720"/>
              </w:tabs>
              <w:adjustRightInd w:val="0"/>
              <w:snapToGrid w:val="0"/>
              <w:spacing w:after="0" w:line="240" w:lineRule="auto"/>
              <w:ind w:left="0" w:hanging="720"/>
              <w:jc w:val="center"/>
              <w:rPr>
                <w:rFonts w:cs="Microsoft Sans Serif"/>
                <w:color w:val="000000"/>
                <w:sz w:val="20"/>
              </w:rPr>
            </w:pPr>
            <w:r w:rsidRPr="00EC7F77">
              <w:rPr>
                <w:rFonts w:cs="Microsoft Sans Serif"/>
                <w:color w:val="000000"/>
                <w:sz w:val="20"/>
              </w:rPr>
              <w:t>census</w:t>
            </w:r>
          </w:p>
        </w:tc>
      </w:tr>
      <w:tr w:rsidR="002D7D57" w:rsidRPr="00B35356" w:rsidTr="00EC7F77">
        <w:trPr>
          <w:trHeight w:val="300"/>
        </w:trPr>
        <w:tc>
          <w:tcPr>
            <w:tcW w:w="3120" w:type="dxa"/>
            <w:tcBorders>
              <w:right w:val="single" w:sz="6" w:space="0" w:color="1F497D" w:themeColor="text2"/>
            </w:tcBorders>
            <w:noWrap/>
          </w:tcPr>
          <w:p w:rsidR="002D7D57" w:rsidRPr="00EC7F77" w:rsidRDefault="002D7D57" w:rsidP="00910AE4">
            <w:pPr>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18" w:type="dxa"/>
            <w:tcBorders>
              <w:left w:val="single" w:sz="6" w:space="0" w:color="1F497D" w:themeColor="text2"/>
              <w:righ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c>
          <w:tcPr>
            <w:tcW w:w="1220" w:type="dxa"/>
            <w:tcBorders>
              <w:left w:val="single" w:sz="6" w:space="0" w:color="1F497D" w:themeColor="text2"/>
              <w:right w:val="single" w:sz="6" w:space="0" w:color="1F497D" w:themeColor="text2"/>
            </w:tcBorders>
            <w:noWrap/>
            <w:vAlign w:val="center"/>
          </w:tcPr>
          <w:p w:rsidR="002D7D57" w:rsidRPr="00EC7F77" w:rsidRDefault="00E46524" w:rsidP="009A7530">
            <w:pPr>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140</w:t>
            </w:r>
          </w:p>
        </w:tc>
        <w:tc>
          <w:tcPr>
            <w:tcW w:w="1012" w:type="dxa"/>
            <w:tcBorders>
              <w:left w:val="single" w:sz="6" w:space="0" w:color="1F497D" w:themeColor="text2"/>
              <w:right w:val="single" w:sz="6" w:space="0" w:color="1F497D" w:themeColor="text2"/>
            </w:tcBorders>
            <w:noWrap/>
            <w:vAlign w:val="center"/>
          </w:tcPr>
          <w:p w:rsidR="002D7D57" w:rsidRPr="00EC7F77" w:rsidRDefault="00500A9D" w:rsidP="009A7530">
            <w:pPr>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116</w:t>
            </w:r>
          </w:p>
        </w:tc>
        <w:tc>
          <w:tcPr>
            <w:tcW w:w="1350" w:type="dxa"/>
            <w:tcBorders>
              <w:left w:val="single" w:sz="6" w:space="0" w:color="1F497D" w:themeColor="text2"/>
              <w:righ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6" w:space="0" w:color="1F497D" w:themeColor="text2"/>
            </w:tcBorders>
            <w:noWrap/>
            <w:vAlign w:val="center"/>
          </w:tcPr>
          <w:p w:rsidR="002D7D57" w:rsidRPr="00EC7F77" w:rsidRDefault="002D7D57" w:rsidP="00910AE4">
            <w:pPr>
              <w:tabs>
                <w:tab w:val="clear" w:pos="-1440"/>
                <w:tab w:val="clear" w:pos="-720"/>
                <w:tab w:val="clear" w:pos="720"/>
              </w:tabs>
              <w:spacing w:after="0" w:line="240" w:lineRule="auto"/>
              <w:ind w:left="0"/>
              <w:jc w:val="center"/>
              <w:rPr>
                <w:rFonts w:cs="Microsoft Sans Serif"/>
                <w:color w:val="000000"/>
                <w:sz w:val="20"/>
              </w:rPr>
            </w:pPr>
          </w:p>
        </w:tc>
      </w:tr>
    </w:tbl>
    <w:p w:rsidR="00376B64" w:rsidRDefault="00376B64" w:rsidP="00376B64">
      <w:pPr>
        <w:pStyle w:val="t"/>
        <w:numPr>
          <w:ilvl w:val="0"/>
          <w:numId w:val="0"/>
        </w:numPr>
        <w:spacing w:after="0"/>
        <w:ind w:left="360" w:hanging="360"/>
        <w:rPr>
          <w:sz w:val="16"/>
          <w:szCs w:val="16"/>
        </w:rPr>
      </w:pPr>
      <w:r w:rsidRPr="00320BA9">
        <w:rPr>
          <w:sz w:val="16"/>
          <w:szCs w:val="16"/>
          <w:vertAlign w:val="superscript"/>
        </w:rPr>
        <w:t>1</w:t>
      </w:r>
      <w:r>
        <w:rPr>
          <w:sz w:val="16"/>
          <w:szCs w:val="16"/>
        </w:rPr>
        <w:t xml:space="preserve">Includes Simple Steps, Smart Savings upstream showerhead </w:t>
      </w:r>
      <w:r w:rsidR="000709AA">
        <w:rPr>
          <w:sz w:val="16"/>
          <w:szCs w:val="16"/>
        </w:rPr>
        <w:t>component</w:t>
      </w:r>
    </w:p>
    <w:p w:rsidR="00613C1E" w:rsidRPr="00B35356" w:rsidRDefault="00613C1E" w:rsidP="00613C1E">
      <w:pPr>
        <w:pStyle w:val="t"/>
        <w:numPr>
          <w:ilvl w:val="0"/>
          <w:numId w:val="0"/>
        </w:numPr>
        <w:spacing w:after="120"/>
        <w:rPr>
          <w:sz w:val="16"/>
          <w:szCs w:val="16"/>
        </w:rPr>
      </w:pPr>
      <w:r w:rsidRPr="00B35356">
        <w:rPr>
          <w:sz w:val="16"/>
          <w:szCs w:val="16"/>
          <w:vertAlign w:val="superscript"/>
        </w:rPr>
        <w:t>2</w:t>
      </w:r>
      <w:r w:rsidRPr="00B35356">
        <w:rPr>
          <w:sz w:val="16"/>
          <w:szCs w:val="16"/>
        </w:rPr>
        <w:t>Focus on manufactured homes</w:t>
      </w:r>
    </w:p>
    <w:p w:rsidR="00137064" w:rsidRDefault="00C310C5" w:rsidP="002C4E89">
      <w:pPr>
        <w:pStyle w:val="Heading4"/>
        <w:rPr>
          <w:color w:val="FF0000"/>
        </w:rPr>
      </w:pPr>
      <w:bookmarkStart w:id="91" w:name="_Toc406155108"/>
      <w:bookmarkStart w:id="92" w:name="_Toc409095402"/>
      <w:bookmarkEnd w:id="90"/>
      <w:bookmarkEnd w:id="91"/>
      <w:r>
        <w:t>Net-Verified Approach</w:t>
      </w:r>
      <w:bookmarkEnd w:id="92"/>
      <w:r w:rsidR="00137064" w:rsidRPr="00137064">
        <w:rPr>
          <w:color w:val="FF0000"/>
        </w:rPr>
        <w:t xml:space="preserve"> </w:t>
      </w:r>
    </w:p>
    <w:p w:rsidR="000D13D3" w:rsidRPr="003254EC" w:rsidRDefault="000D13D3" w:rsidP="000D13D3">
      <w:pPr>
        <w:pStyle w:val="t"/>
      </w:pPr>
      <w:r>
        <w:t>Net to gross ratios are not required for Avista’s natural gas programs.</w:t>
      </w:r>
    </w:p>
    <w:p w:rsidR="00983992" w:rsidRDefault="00983992" w:rsidP="00531D0A">
      <w:pPr>
        <w:pStyle w:val="Heading3"/>
      </w:pPr>
      <w:bookmarkStart w:id="93" w:name="_Toc409095403"/>
      <w:r>
        <w:t>Non</w:t>
      </w:r>
      <w:r w:rsidR="005D3372">
        <w:t>r</w:t>
      </w:r>
      <w:r>
        <w:t xml:space="preserve">esidential </w:t>
      </w:r>
      <w:r w:rsidRPr="0015244B">
        <w:t>Programs</w:t>
      </w:r>
      <w:bookmarkEnd w:id="93"/>
    </w:p>
    <w:p w:rsidR="0002468C" w:rsidRPr="00A824B4" w:rsidRDefault="0002468C" w:rsidP="0002468C">
      <w:pPr>
        <w:pStyle w:val="t"/>
      </w:pPr>
      <w:r>
        <w:t xml:space="preserve">The following section outlines the natural gas nonresidential programs offered in Avista’s Washington service territory.  The general approaches used for conducting the impact evaluation activities are outlined in Section </w:t>
      </w:r>
      <w:r>
        <w:fldChar w:fldCharType="begin"/>
      </w:r>
      <w:r>
        <w:instrText xml:space="preserve"> REF _Ref406335201 \n \h </w:instrText>
      </w:r>
      <w:r>
        <w:fldChar w:fldCharType="separate"/>
      </w:r>
      <w:r>
        <w:t>2</w:t>
      </w:r>
      <w:r>
        <w:fldChar w:fldCharType="end"/>
      </w:r>
      <w:r w:rsidR="001B52A0">
        <w:t>;</w:t>
      </w:r>
      <w:r>
        <w:t xml:space="preserve"> therefore this section provides a brief overview of each program, the sample design for this portfolio of programs and explains any special studies or approaches that will be conducted for the impact evaluation. </w:t>
      </w:r>
    </w:p>
    <w:p w:rsidR="00C310C5" w:rsidRDefault="00C310C5" w:rsidP="002C4E89">
      <w:pPr>
        <w:pStyle w:val="Heading4"/>
        <w:rPr>
          <w:color w:val="FF0000"/>
        </w:rPr>
      </w:pPr>
      <w:bookmarkStart w:id="94" w:name="_Toc409095404"/>
      <w:r>
        <w:t>Program Overview</w:t>
      </w:r>
      <w:bookmarkEnd w:id="94"/>
      <w:r w:rsidR="00137064">
        <w:t xml:space="preserve"> </w:t>
      </w:r>
    </w:p>
    <w:p w:rsidR="00B22B2D" w:rsidRDefault="00A17992" w:rsidP="00320BA9">
      <w:pPr>
        <w:pStyle w:val="t"/>
      </w:pPr>
      <w:r>
        <w:t xml:space="preserve">Avista offers five programs to </w:t>
      </w:r>
      <w:r w:rsidR="00E46524">
        <w:t xml:space="preserve">nonresidential natural gas customers in </w:t>
      </w:r>
      <w:r>
        <w:t>Washington</w:t>
      </w:r>
      <w:r w:rsidR="00E46524">
        <w:t xml:space="preserve">. Implementation for all five programs is managed by Avista. Program summaries are listed below in </w:t>
      </w:r>
      <w:r>
        <w:rPr>
          <w:highlight w:val="yellow"/>
        </w:rPr>
        <w:fldChar w:fldCharType="begin"/>
      </w:r>
      <w:r>
        <w:instrText xml:space="preserve"> REF _Ref406336905 \h </w:instrText>
      </w:r>
      <w:r>
        <w:rPr>
          <w:highlight w:val="yellow"/>
        </w:rPr>
      </w:r>
      <w:r>
        <w:rPr>
          <w:highlight w:val="yellow"/>
        </w:rPr>
        <w:fldChar w:fldCharType="separate"/>
      </w:r>
      <w:r>
        <w:t xml:space="preserve">Table </w:t>
      </w:r>
      <w:r>
        <w:rPr>
          <w:noProof/>
        </w:rPr>
        <w:t>2</w:t>
      </w:r>
      <w:r>
        <w:noBreakHyphen/>
      </w:r>
      <w:r>
        <w:rPr>
          <w:noProof/>
        </w:rPr>
        <w:t>12</w:t>
      </w:r>
      <w:r>
        <w:rPr>
          <w:highlight w:val="yellow"/>
        </w:rPr>
        <w:fldChar w:fldCharType="end"/>
      </w:r>
      <w:r w:rsidR="009B6BA2">
        <w:t>.</w:t>
      </w:r>
    </w:p>
    <w:p w:rsidR="00B22B2D" w:rsidRDefault="00B22B2D" w:rsidP="00B22B2D">
      <w:pPr>
        <w:pStyle w:val="t"/>
        <w:sectPr w:rsidR="00B22B2D" w:rsidSect="00EE2E8B">
          <w:footnotePr>
            <w:numRestart w:val="eachPage"/>
          </w:footnotePr>
          <w:pgSz w:w="12240" w:h="15840"/>
          <w:pgMar w:top="1440" w:right="1440" w:bottom="1440" w:left="1440" w:header="1080" w:footer="720" w:gutter="0"/>
          <w:cols w:space="360"/>
          <w:titlePg/>
        </w:sectPr>
      </w:pPr>
    </w:p>
    <w:p w:rsidR="00B22B2D" w:rsidRDefault="00B22B2D" w:rsidP="00320BA9">
      <w:pPr>
        <w:pStyle w:val="t"/>
        <w:numPr>
          <w:ilvl w:val="0"/>
          <w:numId w:val="0"/>
        </w:numPr>
      </w:pPr>
    </w:p>
    <w:p w:rsidR="00AB54A3" w:rsidRDefault="00AB54A3" w:rsidP="00AB54A3">
      <w:pPr>
        <w:pStyle w:val="Caption"/>
      </w:pPr>
      <w:r w:rsidRPr="00AB54A3">
        <w:t xml:space="preserve"> </w:t>
      </w:r>
      <w:bookmarkStart w:id="95" w:name="_Ref406336905"/>
      <w:r>
        <w:t xml:space="preserve">Table </w:t>
      </w:r>
      <w:fldSimple w:instr=" STYLEREF 1 \s ">
        <w:r w:rsidR="0067743A">
          <w:rPr>
            <w:noProof/>
          </w:rPr>
          <w:t>2</w:t>
        </w:r>
      </w:fldSimple>
      <w:r w:rsidR="0067743A">
        <w:noBreakHyphen/>
      </w:r>
      <w:fldSimple w:instr=" SEQ Table \* ARABIC \s 1 ">
        <w:r w:rsidR="0067743A">
          <w:rPr>
            <w:noProof/>
          </w:rPr>
          <w:t>12</w:t>
        </w:r>
      </w:fldSimple>
      <w:bookmarkEnd w:id="95"/>
      <w:r>
        <w:t>: WA Non</w:t>
      </w:r>
      <w:r w:rsidR="00A17992">
        <w:t>r</w:t>
      </w:r>
      <w:r>
        <w:t>esidential Natural Gas Portfolio Program</w:t>
      </w:r>
      <w:r w:rsidR="00A17992">
        <w:t>s</w:t>
      </w:r>
      <w:r>
        <w:t xml:space="preserve"> Savings </w:t>
      </w:r>
    </w:p>
    <w:tbl>
      <w:tblPr>
        <w:tblStyle w:val="NEXANTNEWTABLESTYLE"/>
        <w:tblW w:w="9918" w:type="dxa"/>
        <w:jc w:val="center"/>
        <w:tblInd w:w="720" w:type="dxa"/>
        <w:tblLayout w:type="fixed"/>
        <w:tblLook w:val="04A0" w:firstRow="1" w:lastRow="0" w:firstColumn="1" w:lastColumn="0" w:noHBand="0" w:noVBand="1"/>
      </w:tblPr>
      <w:tblGrid>
        <w:gridCol w:w="2256"/>
        <w:gridCol w:w="6199"/>
        <w:gridCol w:w="1463"/>
      </w:tblGrid>
      <w:tr w:rsidR="00A17992" w:rsidRPr="005D048F" w:rsidTr="002C4E89">
        <w:trPr>
          <w:cnfStyle w:val="100000000000" w:firstRow="1" w:lastRow="0" w:firstColumn="0" w:lastColumn="0" w:oddVBand="0" w:evenVBand="0" w:oddHBand="0" w:evenHBand="0" w:firstRowFirstColumn="0" w:firstRowLastColumn="0" w:lastRowFirstColumn="0" w:lastRowLastColumn="0"/>
          <w:trHeight w:val="286"/>
          <w:jc w:val="center"/>
        </w:trPr>
        <w:tc>
          <w:tcPr>
            <w:tcW w:w="2256" w:type="dxa"/>
            <w:tcBorders>
              <w:bottom w:val="single" w:sz="4" w:space="0" w:color="1F497D" w:themeColor="text2"/>
              <w:right w:val="single" w:sz="4" w:space="0" w:color="FFFFFF" w:themeColor="background1"/>
            </w:tcBorders>
            <w:vAlign w:val="center"/>
          </w:tcPr>
          <w:p w:rsidR="00A17992" w:rsidRPr="00EC7F77" w:rsidRDefault="00A17992" w:rsidP="00EC7F77">
            <w:pPr>
              <w:tabs>
                <w:tab w:val="clear" w:pos="-144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WA/ID Electric Programs</w:t>
            </w:r>
          </w:p>
        </w:tc>
        <w:tc>
          <w:tcPr>
            <w:tcW w:w="6199" w:type="dxa"/>
            <w:tcBorders>
              <w:left w:val="single" w:sz="4" w:space="0" w:color="FFFFFF" w:themeColor="background1"/>
              <w:bottom w:val="single" w:sz="4" w:space="0" w:color="1F497D" w:themeColor="text2"/>
              <w:right w:val="single" w:sz="4" w:space="0" w:color="FFFFFF" w:themeColor="background1"/>
            </w:tcBorders>
            <w:vAlign w:val="center"/>
          </w:tcPr>
          <w:p w:rsidR="00A17992" w:rsidRPr="00EC7F77" w:rsidRDefault="00A17992" w:rsidP="00AB54A3">
            <w:pPr>
              <w:tabs>
                <w:tab w:val="clear" w:pos="-1440"/>
                <w:tab w:val="clear" w:pos="-72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Description</w:t>
            </w:r>
          </w:p>
        </w:tc>
        <w:tc>
          <w:tcPr>
            <w:tcW w:w="1463" w:type="dxa"/>
            <w:tcBorders>
              <w:left w:val="single" w:sz="4" w:space="0" w:color="FFFFFF" w:themeColor="background1"/>
              <w:bottom w:val="single" w:sz="4" w:space="0" w:color="1F497D" w:themeColor="text2"/>
            </w:tcBorders>
            <w:vAlign w:val="center"/>
          </w:tcPr>
          <w:p w:rsidR="00A17992" w:rsidRPr="00EC7F77" w:rsidRDefault="00A17992" w:rsidP="00AB54A3">
            <w:pPr>
              <w:tabs>
                <w:tab w:val="clear" w:pos="-1440"/>
                <w:tab w:val="clear" w:pos="-720"/>
                <w:tab w:val="clear" w:pos="720"/>
              </w:tabs>
              <w:spacing w:after="0" w:line="240" w:lineRule="auto"/>
              <w:ind w:left="0"/>
              <w:jc w:val="left"/>
              <w:rPr>
                <w:rFonts w:ascii="Calibri" w:hAnsi="Calibri"/>
                <w:b w:val="0"/>
                <w:bCs/>
                <w:color w:val="FFFFFF"/>
                <w:sz w:val="20"/>
              </w:rPr>
            </w:pPr>
            <w:r w:rsidRPr="00EC7F77">
              <w:rPr>
                <w:rFonts w:ascii="Calibri" w:hAnsi="Calibri"/>
                <w:bCs/>
                <w:color w:val="FFFFFF"/>
                <w:sz w:val="20"/>
              </w:rPr>
              <w:t>Implementer</w:t>
            </w:r>
          </w:p>
        </w:tc>
      </w:tr>
      <w:tr w:rsidR="00A17992" w:rsidRPr="005D048F" w:rsidTr="002C4E89">
        <w:trPr>
          <w:trHeight w:val="286"/>
          <w:jc w:val="center"/>
        </w:trPr>
        <w:tc>
          <w:tcPr>
            <w:tcW w:w="2256" w:type="dxa"/>
            <w:tcBorders>
              <w:top w:val="single" w:sz="4" w:space="0" w:color="1F497D" w:themeColor="text2"/>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HVAC</w:t>
            </w:r>
          </w:p>
        </w:tc>
        <w:tc>
          <w:tcPr>
            <w:tcW w:w="6199" w:type="dxa"/>
            <w:tcBorders>
              <w:top w:val="single" w:sz="4" w:space="0" w:color="1F497D" w:themeColor="text2"/>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direct incentives for installing high efficient natural gas HVAC equipment.</w:t>
            </w:r>
          </w:p>
        </w:tc>
        <w:tc>
          <w:tcPr>
            <w:tcW w:w="1463" w:type="dxa"/>
            <w:tcBorders>
              <w:top w:val="single" w:sz="4" w:space="0" w:color="1F497D" w:themeColor="text2"/>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Food Service Equipment</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offers incentives for commercial customers who purchase or replace food service equipment with Energy Star or higher equipment (prescriptive).</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Appliances</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The non res a</w:t>
            </w:r>
            <w:r w:rsidR="00C25DFC">
              <w:rPr>
                <w:rFonts w:ascii="Calibri" w:hAnsi="Calibri"/>
                <w:color w:val="000000"/>
                <w:sz w:val="20"/>
              </w:rPr>
              <w:t>ppliance program encourages non</w:t>
            </w:r>
            <w:r w:rsidRPr="00EC7F77">
              <w:rPr>
                <w:rFonts w:ascii="Calibri" w:hAnsi="Calibri"/>
                <w:color w:val="000000"/>
                <w:sz w:val="20"/>
              </w:rPr>
              <w:t>residential customers to improve the efficiency of their clothes washing equipment (prescriptive).</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Prescriptive Shell</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 xml:space="preserve">The Commercial Insulation program encourages </w:t>
            </w:r>
            <w:r w:rsidR="009D0D41" w:rsidRPr="00EC7F77">
              <w:rPr>
                <w:rFonts w:ascii="Calibri" w:hAnsi="Calibri"/>
                <w:color w:val="000000"/>
                <w:sz w:val="20"/>
              </w:rPr>
              <w:t>nonresidential</w:t>
            </w:r>
            <w:r w:rsidRPr="00EC7F77">
              <w:rPr>
                <w:rFonts w:ascii="Calibri" w:hAnsi="Calibri"/>
                <w:color w:val="000000"/>
                <w:sz w:val="20"/>
              </w:rPr>
              <w:t xml:space="preserve"> customers to improve the envelope of their building by adding insulation.</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r w:rsidR="00A17992" w:rsidRPr="005D048F" w:rsidTr="002C4E89">
        <w:trPr>
          <w:trHeight w:val="286"/>
          <w:jc w:val="center"/>
        </w:trPr>
        <w:tc>
          <w:tcPr>
            <w:tcW w:w="2256" w:type="dxa"/>
            <w:tcBorders>
              <w:right w:val="single" w:sz="6" w:space="0" w:color="1F497D" w:themeColor="text2"/>
            </w:tcBorders>
          </w:tcPr>
          <w:p w:rsidR="00A17992" w:rsidRPr="00EC7F77" w:rsidRDefault="00A17992" w:rsidP="00AB54A3">
            <w:pPr>
              <w:tabs>
                <w:tab w:val="clear" w:pos="-1440"/>
                <w:tab w:val="clear" w:pos="-720"/>
                <w:tab w:val="clear" w:pos="720"/>
              </w:tabs>
              <w:spacing w:after="0" w:line="240" w:lineRule="auto"/>
              <w:ind w:left="0"/>
              <w:rPr>
                <w:rFonts w:ascii="Calibri" w:hAnsi="Calibri"/>
                <w:b/>
                <w:color w:val="000000"/>
                <w:sz w:val="20"/>
              </w:rPr>
            </w:pPr>
            <w:r w:rsidRPr="00EC7F77">
              <w:rPr>
                <w:rFonts w:ascii="Calibri" w:hAnsi="Calibri"/>
                <w:b/>
                <w:color w:val="000000"/>
                <w:sz w:val="20"/>
              </w:rPr>
              <w:t>Site-Specific</w:t>
            </w:r>
          </w:p>
        </w:tc>
        <w:tc>
          <w:tcPr>
            <w:tcW w:w="6199" w:type="dxa"/>
            <w:tcBorders>
              <w:left w:val="single" w:sz="6" w:space="0" w:color="1F497D" w:themeColor="text2"/>
              <w:right w:val="single" w:sz="6" w:space="0" w:color="1F497D" w:themeColor="text2"/>
            </w:tcBorders>
          </w:tcPr>
          <w:p w:rsidR="00A17992" w:rsidRPr="00EC7F77" w:rsidRDefault="00A17992" w:rsidP="00107CF2">
            <w:pPr>
              <w:tabs>
                <w:tab w:val="clear" w:pos="-1440"/>
                <w:tab w:val="clear" w:pos="-720"/>
                <w:tab w:val="num" w:pos="720"/>
              </w:tabs>
              <w:adjustRightInd w:val="0"/>
              <w:snapToGrid w:val="0"/>
              <w:spacing w:after="0" w:line="240" w:lineRule="auto"/>
              <w:ind w:left="0" w:hanging="18"/>
              <w:rPr>
                <w:rFonts w:ascii="Calibri" w:hAnsi="Calibri"/>
                <w:color w:val="000000"/>
                <w:sz w:val="20"/>
              </w:rPr>
            </w:pPr>
            <w:r w:rsidRPr="00EC7F77">
              <w:rPr>
                <w:rFonts w:ascii="Calibri" w:hAnsi="Calibri"/>
                <w:color w:val="000000"/>
                <w:sz w:val="20"/>
              </w:rPr>
              <w:t>This program approach strives for a flexible response to energy efficiency projects that have demonstrable kWh/Therm savings within program criteria. The majority of site specific kWh/Therm savings are comprised of appliances, compressed air, HVAC, industrial process, motors, shell measures, some custom lighting projects that don’t fit the prescriptive path and natural gas multifamily market transformation.</w:t>
            </w:r>
          </w:p>
        </w:tc>
        <w:tc>
          <w:tcPr>
            <w:tcW w:w="1463" w:type="dxa"/>
            <w:tcBorders>
              <w:left w:val="single" w:sz="6" w:space="0" w:color="1F497D" w:themeColor="text2"/>
            </w:tcBorders>
            <w:vAlign w:val="center"/>
          </w:tcPr>
          <w:p w:rsidR="00A17992" w:rsidRPr="00EC7F77" w:rsidRDefault="00A17992" w:rsidP="00C25DFC">
            <w:pPr>
              <w:tabs>
                <w:tab w:val="clear" w:pos="-1440"/>
                <w:tab w:val="clear" w:pos="-720"/>
                <w:tab w:val="num" w:pos="720"/>
              </w:tabs>
              <w:adjustRightInd w:val="0"/>
              <w:snapToGrid w:val="0"/>
              <w:spacing w:after="0" w:line="240" w:lineRule="auto"/>
              <w:ind w:left="0"/>
              <w:jc w:val="both"/>
              <w:rPr>
                <w:rFonts w:ascii="Calibri" w:hAnsi="Calibri"/>
                <w:color w:val="000000"/>
                <w:sz w:val="20"/>
              </w:rPr>
            </w:pPr>
            <w:r w:rsidRPr="00EC7F77">
              <w:rPr>
                <w:rFonts w:ascii="Calibri" w:hAnsi="Calibri"/>
                <w:color w:val="000000"/>
                <w:sz w:val="20"/>
              </w:rPr>
              <w:t>Avista</w:t>
            </w:r>
          </w:p>
        </w:tc>
      </w:tr>
    </w:tbl>
    <w:p w:rsidR="00AB54A3" w:rsidRDefault="00AB54A3" w:rsidP="00AB54A3">
      <w:pPr>
        <w:pStyle w:val="t"/>
        <w:numPr>
          <w:ilvl w:val="0"/>
          <w:numId w:val="0"/>
        </w:numPr>
      </w:pPr>
    </w:p>
    <w:p w:rsidR="00C310C5" w:rsidRDefault="00C310C5" w:rsidP="002C4E89">
      <w:pPr>
        <w:pStyle w:val="Heading4"/>
        <w:rPr>
          <w:color w:val="FF0000"/>
        </w:rPr>
      </w:pPr>
      <w:bookmarkStart w:id="96" w:name="_Toc406155119"/>
      <w:bookmarkStart w:id="97" w:name="_Toc406155120"/>
      <w:bookmarkStart w:id="98" w:name="_Toc409095405"/>
      <w:bookmarkEnd w:id="96"/>
      <w:bookmarkEnd w:id="97"/>
      <w:r>
        <w:t>Gross-Verified Approach</w:t>
      </w:r>
      <w:bookmarkEnd w:id="98"/>
      <w:r w:rsidR="00137064">
        <w:t xml:space="preserve"> </w:t>
      </w:r>
    </w:p>
    <w:p w:rsidR="00A10D91" w:rsidRDefault="00A10D91" w:rsidP="00A10D91">
      <w:pPr>
        <w:pStyle w:val="t"/>
      </w:pPr>
      <w:r w:rsidRPr="005B4D58">
        <w:t xml:space="preserve">Each program will be assigned a specific number of telephone surveys, desk </w:t>
      </w:r>
      <w:r w:rsidR="003177DA">
        <w:t>audits</w:t>
      </w:r>
      <w:r w:rsidRPr="005B4D58">
        <w:t xml:space="preserve">, and site inspections based on </w:t>
      </w:r>
      <w:r w:rsidR="003177DA">
        <w:t>the evaluation sample design</w:t>
      </w:r>
      <w:r w:rsidRPr="005B4D58">
        <w:t xml:space="preserve">. Once the samples are identified, desk </w:t>
      </w:r>
      <w:r w:rsidR="003177DA">
        <w:t>audits</w:t>
      </w:r>
      <w:r w:rsidR="003177DA" w:rsidRPr="005B4D58">
        <w:t xml:space="preserve"> </w:t>
      </w:r>
      <w:r w:rsidRPr="005B4D58">
        <w:t xml:space="preserve">of project files will verify basic information and will inform telephone surveys, on-site inspections, and M&amp;V activities.  </w:t>
      </w:r>
    </w:p>
    <w:p w:rsidR="00A10D91" w:rsidRDefault="002E44AE" w:rsidP="00A10D91">
      <w:pPr>
        <w:pStyle w:val="t"/>
        <w:numPr>
          <w:ilvl w:val="0"/>
          <w:numId w:val="2"/>
        </w:numPr>
        <w:spacing w:after="0"/>
        <w:ind w:left="0"/>
      </w:pPr>
      <w:r>
        <w:rPr>
          <w:b/>
          <w:color w:val="1F497D" w:themeColor="text2"/>
        </w:rPr>
        <w:fldChar w:fldCharType="begin"/>
      </w:r>
      <w:r>
        <w:rPr>
          <w:b/>
          <w:color w:val="1F497D" w:themeColor="text2"/>
        </w:rPr>
        <w:instrText xml:space="preserve"> REF _Ref406337158 \h </w:instrText>
      </w:r>
      <w:r>
        <w:rPr>
          <w:b/>
          <w:color w:val="1F497D" w:themeColor="text2"/>
        </w:rPr>
      </w:r>
      <w:r>
        <w:rPr>
          <w:b/>
          <w:color w:val="1F497D" w:themeColor="text2"/>
        </w:rPr>
        <w:fldChar w:fldCharType="separate"/>
      </w:r>
      <w:r>
        <w:t xml:space="preserve">Table </w:t>
      </w:r>
      <w:r>
        <w:rPr>
          <w:noProof/>
        </w:rPr>
        <w:t>2</w:t>
      </w:r>
      <w:r>
        <w:noBreakHyphen/>
      </w:r>
      <w:r>
        <w:rPr>
          <w:noProof/>
        </w:rPr>
        <w:t>13</w:t>
      </w:r>
      <w:r>
        <w:rPr>
          <w:b/>
          <w:color w:val="1F497D" w:themeColor="text2"/>
        </w:rPr>
        <w:fldChar w:fldCharType="end"/>
      </w:r>
      <w:r w:rsidR="00A10D91">
        <w:t xml:space="preserve"> outline</w:t>
      </w:r>
      <w:r w:rsidR="007E5CA4">
        <w:t>s</w:t>
      </w:r>
      <w:r w:rsidR="00A10D91">
        <w:t xml:space="preserve"> </w:t>
      </w:r>
      <w:r>
        <w:t xml:space="preserve">the </w:t>
      </w:r>
      <w:r w:rsidR="00A10D91">
        <w:t>preliminary sample sizes and level of rigor for the impact evaluation activities</w:t>
      </w:r>
      <w:r w:rsidR="007E5CA4">
        <w:t xml:space="preserve"> for </w:t>
      </w:r>
      <w:r w:rsidR="00A10D91">
        <w:t xml:space="preserve">the </w:t>
      </w:r>
      <w:r w:rsidR="007E5CA4">
        <w:t xml:space="preserve">nonresidential </w:t>
      </w:r>
      <w:r w:rsidR="00A10D91">
        <w:t xml:space="preserve">natural gas programs in WA. </w:t>
      </w:r>
      <w:r w:rsidR="00A10D91" w:rsidRPr="00611978">
        <w:t xml:space="preserve">We </w:t>
      </w:r>
      <w:r w:rsidR="007E5CA4">
        <w:t>will</w:t>
      </w:r>
      <w:r w:rsidR="00A10D91" w:rsidRPr="00611978">
        <w:t xml:space="preserve"> conduct the level of sampling shown here over the two-year evaluation period</w:t>
      </w:r>
      <w:r w:rsidR="004F1742">
        <w:t xml:space="preserve">. </w:t>
      </w:r>
      <w:r w:rsidR="00A10D91" w:rsidRPr="00611978">
        <w:t xml:space="preserve">The sample frames outlined </w:t>
      </w:r>
      <w:r w:rsidR="00A10D91">
        <w:t>herein</w:t>
      </w:r>
      <w:r w:rsidR="00A10D91" w:rsidRPr="00611978">
        <w:t xml:space="preserve"> will be further stratified by measure type, based on the percent of measures approved through each program, the respective reported savings values, and any known uncertainties in a particular measure-type. </w:t>
      </w:r>
    </w:p>
    <w:p w:rsidR="00AB54A3" w:rsidRDefault="00AB54A3" w:rsidP="00320BA9">
      <w:pPr>
        <w:pStyle w:val="t"/>
        <w:numPr>
          <w:ilvl w:val="0"/>
          <w:numId w:val="0"/>
        </w:numPr>
        <w:spacing w:after="0"/>
      </w:pPr>
    </w:p>
    <w:p w:rsidR="00A10D91" w:rsidRDefault="00A10D91" w:rsidP="00763104">
      <w:pPr>
        <w:pStyle w:val="Caption"/>
        <w:spacing w:before="0" w:after="40"/>
      </w:pPr>
      <w:bookmarkStart w:id="99" w:name="_Ref406337158"/>
      <w:r>
        <w:t xml:space="preserve">Table </w:t>
      </w:r>
      <w:fldSimple w:instr=" STYLEREF 1 \s ">
        <w:r w:rsidR="0067743A">
          <w:rPr>
            <w:noProof/>
          </w:rPr>
          <w:t>2</w:t>
        </w:r>
      </w:fldSimple>
      <w:r w:rsidR="0067743A">
        <w:noBreakHyphen/>
      </w:r>
      <w:fldSimple w:instr=" SEQ Table \* ARABIC \s 1 ">
        <w:r w:rsidR="0067743A">
          <w:rPr>
            <w:noProof/>
          </w:rPr>
          <w:t>13</w:t>
        </w:r>
      </w:fldSimple>
      <w:bookmarkEnd w:id="99"/>
      <w:r>
        <w:t xml:space="preserve">: </w:t>
      </w:r>
      <w:r w:rsidRPr="00835BB6">
        <w:t xml:space="preserve">Sampling and Evaluation Rigor for </w:t>
      </w:r>
      <w:r w:rsidR="00500A9D">
        <w:t xml:space="preserve">Nonresidential </w:t>
      </w:r>
      <w:r w:rsidRPr="00835BB6">
        <w:t>WA Natural Gas Programs</w:t>
      </w:r>
    </w:p>
    <w:tbl>
      <w:tblPr>
        <w:tblStyle w:val="NEXANTNEWTABLESTYLE"/>
        <w:tblW w:w="9866" w:type="dxa"/>
        <w:tblLook w:val="04A0" w:firstRow="1" w:lastRow="0" w:firstColumn="1" w:lastColumn="0" w:noHBand="0" w:noVBand="1"/>
      </w:tblPr>
      <w:tblGrid>
        <w:gridCol w:w="3120"/>
        <w:gridCol w:w="1218"/>
        <w:gridCol w:w="1220"/>
        <w:gridCol w:w="1012"/>
        <w:gridCol w:w="1350"/>
        <w:gridCol w:w="1946"/>
      </w:tblGrid>
      <w:tr w:rsidR="00A10D91" w:rsidRPr="00B35356" w:rsidTr="00EC7F77">
        <w:trPr>
          <w:cnfStyle w:val="100000000000" w:firstRow="1" w:lastRow="0" w:firstColumn="0" w:lastColumn="0" w:oddVBand="0" w:evenVBand="0" w:oddHBand="0" w:evenHBand="0" w:firstRowFirstColumn="0" w:firstRowLastColumn="0" w:lastRowFirstColumn="0" w:lastRowLastColumn="0"/>
          <w:trHeight w:val="300"/>
        </w:trPr>
        <w:tc>
          <w:tcPr>
            <w:tcW w:w="3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0D91" w:rsidRPr="00EC7F77" w:rsidRDefault="00A10D91" w:rsidP="00EC7F77">
            <w:pPr>
              <w:keepNext/>
              <w:tabs>
                <w:tab w:val="clear" w:pos="-144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 xml:space="preserve">WA Natural Gas Portfolio Program </w:t>
            </w:r>
          </w:p>
        </w:tc>
        <w:tc>
          <w:tcPr>
            <w:tcW w:w="6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A10D91" w:rsidRPr="00EC7F77" w:rsidRDefault="00A10D91" w:rsidP="00364D09">
            <w:pPr>
              <w:keepNext/>
              <w:tabs>
                <w:tab w:val="clear" w:pos="-1440"/>
                <w:tab w:val="clear" w:pos="-720"/>
                <w:tab w:val="clear" w:pos="720"/>
              </w:tabs>
              <w:spacing w:after="0" w:line="240" w:lineRule="auto"/>
              <w:ind w:left="0"/>
              <w:jc w:val="left"/>
              <w:rPr>
                <w:rFonts w:cs="Microsoft Sans Serif"/>
                <w:b w:val="0"/>
                <w:bCs/>
                <w:color w:val="FFFFFF"/>
                <w:sz w:val="20"/>
              </w:rPr>
            </w:pPr>
            <w:r w:rsidRPr="00EC7F77">
              <w:rPr>
                <w:rFonts w:cs="Microsoft Sans Serif"/>
                <w:bCs/>
                <w:color w:val="FFFFFF"/>
                <w:sz w:val="20"/>
              </w:rPr>
              <w:t>Target Sample Sizes based on Level of Rigor</w:t>
            </w:r>
          </w:p>
        </w:tc>
      </w:tr>
      <w:tr w:rsidR="00A10D91" w:rsidRPr="00B35356" w:rsidTr="00EC7F77">
        <w:trPr>
          <w:trHeight w:val="467"/>
        </w:trPr>
        <w:tc>
          <w:tcPr>
            <w:tcW w:w="3120" w:type="dxa"/>
            <w:vMerge/>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hideMark/>
          </w:tcPr>
          <w:p w:rsidR="00A10D91" w:rsidRPr="00EC7F77" w:rsidRDefault="00A10D91" w:rsidP="00B35356">
            <w:pPr>
              <w:keepNext/>
              <w:tabs>
                <w:tab w:val="clear" w:pos="-1440"/>
                <w:tab w:val="clear" w:pos="-720"/>
                <w:tab w:val="clear" w:pos="720"/>
              </w:tabs>
              <w:spacing w:after="0" w:line="240" w:lineRule="auto"/>
              <w:ind w:left="0"/>
              <w:rPr>
                <w:rFonts w:cs="Microsoft Sans Serif"/>
                <w:b/>
                <w:bCs/>
                <w:color w:val="FFFFFF"/>
                <w:sz w:val="20"/>
              </w:rPr>
            </w:pPr>
          </w:p>
        </w:tc>
        <w:tc>
          <w:tcPr>
            <w:tcW w:w="1218"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noWrap/>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Target C/P</w:t>
            </w:r>
            <w:r w:rsidRPr="00EC7F77">
              <w:rPr>
                <w:rFonts w:cs="Microsoft Sans Serif"/>
                <w:b/>
                <w:bCs/>
                <w:color w:val="FFFFFF"/>
                <w:sz w:val="20"/>
                <w:vertAlign w:val="superscript"/>
              </w:rPr>
              <w:t>1</w:t>
            </w:r>
          </w:p>
        </w:tc>
        <w:tc>
          <w:tcPr>
            <w:tcW w:w="122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Document Audit</w:t>
            </w:r>
          </w:p>
        </w:tc>
        <w:tc>
          <w:tcPr>
            <w:tcW w:w="1012"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Surveys</w:t>
            </w:r>
          </w:p>
        </w:tc>
        <w:tc>
          <w:tcPr>
            <w:tcW w:w="135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Onsite Inspections</w:t>
            </w:r>
          </w:p>
        </w:tc>
        <w:tc>
          <w:tcPr>
            <w:tcW w:w="1946"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1F497D" w:themeFill="text2"/>
            <w:vAlign w:val="center"/>
            <w:hideMark/>
          </w:tcPr>
          <w:p w:rsidR="00A10D91" w:rsidRPr="00EC7F77" w:rsidRDefault="00A10D91" w:rsidP="00EC7F77">
            <w:pPr>
              <w:keepNext/>
              <w:tabs>
                <w:tab w:val="clear" w:pos="-1440"/>
                <w:tab w:val="clear" w:pos="-720"/>
              </w:tabs>
              <w:spacing w:after="0" w:line="240" w:lineRule="auto"/>
              <w:ind w:left="0"/>
              <w:jc w:val="center"/>
              <w:rPr>
                <w:rFonts w:cs="Microsoft Sans Serif"/>
                <w:b/>
                <w:bCs/>
                <w:color w:val="FFFFFF"/>
                <w:sz w:val="20"/>
              </w:rPr>
            </w:pPr>
            <w:r w:rsidRPr="00EC7F77">
              <w:rPr>
                <w:rFonts w:cs="Microsoft Sans Serif"/>
                <w:b/>
                <w:bCs/>
                <w:color w:val="FFFFFF"/>
                <w:sz w:val="20"/>
              </w:rPr>
              <w:t>Billing Analysis</w:t>
            </w: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 xml:space="preserve">Prescriptive Appliance </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80/20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Prescriptive Shell</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w:t>
            </w:r>
            <w:r w:rsidR="00E46524" w:rsidRPr="00EC7F77">
              <w:rPr>
                <w:rFonts w:cs="Microsoft Sans Serif"/>
                <w:color w:val="000000"/>
                <w:sz w:val="20"/>
              </w:rPr>
              <w:t>0</w:t>
            </w:r>
            <w:r w:rsidRPr="00EC7F77">
              <w:rPr>
                <w:rFonts w:cs="Microsoft Sans Serif"/>
                <w:color w:val="000000"/>
                <w:sz w:val="20"/>
              </w:rPr>
              <w:t>/</w:t>
            </w:r>
            <w:r w:rsidR="00E46524" w:rsidRPr="00EC7F77">
              <w:rPr>
                <w:rFonts w:cs="Microsoft Sans Serif"/>
                <w:color w:val="000000"/>
                <w:sz w:val="20"/>
              </w:rPr>
              <w:t>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HVAC Program</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w:t>
            </w:r>
            <w:r w:rsidR="00E46524" w:rsidRPr="00EC7F77">
              <w:rPr>
                <w:rFonts w:cs="Microsoft Sans Serif"/>
                <w:color w:val="000000"/>
                <w:sz w:val="20"/>
              </w:rPr>
              <w:t>5</w:t>
            </w:r>
            <w:r w:rsidRPr="00EC7F77">
              <w:rPr>
                <w:rFonts w:cs="Microsoft Sans Serif"/>
                <w:color w:val="000000"/>
                <w:sz w:val="20"/>
              </w:rPr>
              <w:t>/</w:t>
            </w:r>
            <w:r w:rsidR="00E46524" w:rsidRPr="00EC7F77">
              <w:rPr>
                <w:rFonts w:cs="Microsoft Sans Serif"/>
                <w:color w:val="000000"/>
                <w:sz w:val="20"/>
              </w:rPr>
              <w:t>15</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E46524"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Food Service Equipment</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80/20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11</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clear" w:pos="720"/>
              </w:tabs>
              <w:spacing w:after="0" w:line="240" w:lineRule="auto"/>
              <w:ind w:left="0"/>
              <w:jc w:val="center"/>
              <w:rPr>
                <w:rFonts w:cs="Microsoft Sans Serif"/>
                <w:color w:val="000000"/>
                <w:sz w:val="20"/>
              </w:rPr>
            </w:pPr>
          </w:p>
        </w:tc>
        <w:tc>
          <w:tcPr>
            <w:tcW w:w="1946" w:type="dxa"/>
            <w:tcBorders>
              <w:left w:val="single" w:sz="4" w:space="0" w:color="1F497D" w:themeColor="text2"/>
            </w:tcBorders>
            <w:noWrap/>
            <w:vAlign w:val="center"/>
            <w:hideMark/>
          </w:tcPr>
          <w:p w:rsidR="00A10D91" w:rsidRPr="00EC7F77" w:rsidRDefault="00A10D91" w:rsidP="009A7530">
            <w:pPr>
              <w:keepNext/>
              <w:tabs>
                <w:tab w:val="clear" w:pos="-1440"/>
                <w:tab w:val="clear" w:pos="-720"/>
                <w:tab w:val="clear" w:pos="720"/>
              </w:tabs>
              <w:spacing w:after="0" w:line="240" w:lineRule="auto"/>
              <w:ind w:left="0"/>
              <w:jc w:val="center"/>
              <w:rPr>
                <w:rFonts w:cs="Microsoft Sans Serif"/>
                <w:color w:val="000000"/>
                <w:sz w:val="20"/>
              </w:rPr>
            </w:pPr>
          </w:p>
        </w:tc>
      </w:tr>
      <w:tr w:rsidR="00A10D91" w:rsidRPr="00B35356" w:rsidTr="00EC7F77">
        <w:trPr>
          <w:trHeight w:val="300"/>
        </w:trPr>
        <w:tc>
          <w:tcPr>
            <w:tcW w:w="3120" w:type="dxa"/>
            <w:tcBorders>
              <w:right w:val="single" w:sz="4" w:space="0" w:color="1F497D" w:themeColor="text2"/>
            </w:tcBorders>
            <w:noWrap/>
            <w:hideMark/>
          </w:tcPr>
          <w:p w:rsidR="00A10D91" w:rsidRPr="00EC7F77" w:rsidRDefault="00A10D91"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Site Specific</w:t>
            </w:r>
          </w:p>
        </w:tc>
        <w:tc>
          <w:tcPr>
            <w:tcW w:w="1218" w:type="dxa"/>
            <w:tcBorders>
              <w:left w:val="single" w:sz="4" w:space="0" w:color="1F497D" w:themeColor="text2"/>
              <w:right w:val="single" w:sz="4" w:space="0" w:color="1F497D" w:themeColor="text2"/>
            </w:tcBorders>
            <w:noWrap/>
            <w:vAlign w:val="center"/>
            <w:hideMark/>
          </w:tcPr>
          <w:p w:rsidR="00A10D91" w:rsidRPr="00EC7F77" w:rsidRDefault="00A10D91" w:rsidP="009A7530">
            <w:pPr>
              <w:keepNext/>
              <w:tabs>
                <w:tab w:val="clear" w:pos="-1440"/>
                <w:tab w:val="clear" w:pos="-720"/>
                <w:tab w:val="num" w:pos="720"/>
              </w:tabs>
              <w:adjustRightInd w:val="0"/>
              <w:snapToGrid w:val="0"/>
              <w:spacing w:after="0" w:line="240" w:lineRule="auto"/>
              <w:ind w:left="0" w:hanging="720"/>
              <w:jc w:val="both"/>
              <w:rPr>
                <w:rFonts w:cs="Microsoft Sans Serif"/>
                <w:color w:val="000000"/>
                <w:sz w:val="20"/>
              </w:rPr>
            </w:pPr>
            <w:r w:rsidRPr="00EC7F77">
              <w:rPr>
                <w:rFonts w:cs="Microsoft Sans Serif"/>
                <w:color w:val="000000"/>
                <w:sz w:val="20"/>
              </w:rPr>
              <w:t>90/10</w:t>
            </w:r>
          </w:p>
        </w:tc>
        <w:tc>
          <w:tcPr>
            <w:tcW w:w="122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43</w:t>
            </w:r>
          </w:p>
        </w:tc>
        <w:tc>
          <w:tcPr>
            <w:tcW w:w="1012" w:type="dxa"/>
            <w:tcBorders>
              <w:left w:val="single" w:sz="4" w:space="0" w:color="1F497D" w:themeColor="text2"/>
              <w:right w:val="single" w:sz="4" w:space="0" w:color="1F497D" w:themeColor="text2"/>
            </w:tcBorders>
            <w:noWrap/>
            <w:vAlign w:val="center"/>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350" w:type="dxa"/>
            <w:tcBorders>
              <w:left w:val="single" w:sz="4" w:space="0" w:color="1F497D" w:themeColor="text2"/>
              <w:righ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24</w:t>
            </w:r>
          </w:p>
        </w:tc>
        <w:tc>
          <w:tcPr>
            <w:tcW w:w="1946" w:type="dxa"/>
            <w:tcBorders>
              <w:left w:val="single" w:sz="4" w:space="0" w:color="1F497D" w:themeColor="text2"/>
            </w:tcBorders>
            <w:noWrap/>
            <w:vAlign w:val="center"/>
            <w:hideMark/>
          </w:tcPr>
          <w:p w:rsidR="00A10D91" w:rsidRPr="00EC7F77" w:rsidRDefault="00A10D91" w:rsidP="00C25DFC">
            <w:pPr>
              <w:keepNext/>
              <w:tabs>
                <w:tab w:val="clear" w:pos="-1440"/>
                <w:tab w:val="clear" w:pos="-720"/>
                <w:tab w:val="num" w:pos="720"/>
              </w:tabs>
              <w:adjustRightInd w:val="0"/>
              <w:snapToGrid w:val="0"/>
              <w:spacing w:after="0" w:line="240" w:lineRule="auto"/>
              <w:ind w:left="0"/>
              <w:jc w:val="center"/>
              <w:rPr>
                <w:rFonts w:cs="Microsoft Sans Serif"/>
                <w:color w:val="000000"/>
                <w:sz w:val="20"/>
              </w:rPr>
            </w:pPr>
            <w:r w:rsidRPr="00EC7F77">
              <w:rPr>
                <w:rFonts w:cs="Microsoft Sans Serif"/>
                <w:color w:val="000000"/>
                <w:sz w:val="20"/>
              </w:rPr>
              <w:t>based on IPMVP</w:t>
            </w:r>
          </w:p>
        </w:tc>
      </w:tr>
      <w:tr w:rsidR="002D7D57" w:rsidRPr="00B35356" w:rsidTr="00EC7F77">
        <w:trPr>
          <w:trHeight w:val="300"/>
        </w:trPr>
        <w:tc>
          <w:tcPr>
            <w:tcW w:w="3120" w:type="dxa"/>
            <w:tcBorders>
              <w:right w:val="single" w:sz="4" w:space="0" w:color="1F497D" w:themeColor="text2"/>
            </w:tcBorders>
            <w:noWrap/>
          </w:tcPr>
          <w:p w:rsidR="002D7D57" w:rsidRPr="00EC7F77" w:rsidRDefault="002D7D57" w:rsidP="00B35356">
            <w:pPr>
              <w:keepNext/>
              <w:tabs>
                <w:tab w:val="clear" w:pos="-1440"/>
                <w:tab w:val="clear" w:pos="-720"/>
                <w:tab w:val="clear" w:pos="720"/>
              </w:tabs>
              <w:spacing w:after="0" w:line="240" w:lineRule="auto"/>
              <w:ind w:left="0"/>
              <w:rPr>
                <w:rFonts w:cs="Microsoft Sans Serif"/>
                <w:color w:val="000000"/>
                <w:sz w:val="20"/>
              </w:rPr>
            </w:pPr>
            <w:r w:rsidRPr="00EC7F77">
              <w:rPr>
                <w:rFonts w:cs="Microsoft Sans Serif"/>
                <w:color w:val="000000"/>
                <w:sz w:val="20"/>
              </w:rPr>
              <w:t>TOTAL:</w:t>
            </w:r>
          </w:p>
        </w:tc>
        <w:tc>
          <w:tcPr>
            <w:tcW w:w="1218" w:type="dxa"/>
            <w:tcBorders>
              <w:left w:val="single" w:sz="4" w:space="0" w:color="1F497D" w:themeColor="text2"/>
              <w:right w:val="single" w:sz="4" w:space="0" w:color="1F497D" w:themeColor="text2"/>
            </w:tcBorders>
            <w:noWrap/>
            <w:vAlign w:val="center"/>
          </w:tcPr>
          <w:p w:rsidR="002D7D57" w:rsidRPr="00EC7F77" w:rsidRDefault="002D7D57" w:rsidP="009A7530">
            <w:pPr>
              <w:keepNext/>
              <w:tabs>
                <w:tab w:val="clear" w:pos="-1440"/>
                <w:tab w:val="clear" w:pos="-720"/>
                <w:tab w:val="clear" w:pos="720"/>
              </w:tabs>
              <w:spacing w:after="0" w:line="240" w:lineRule="auto"/>
              <w:ind w:left="0"/>
              <w:rPr>
                <w:rFonts w:cs="Microsoft Sans Serif"/>
                <w:color w:val="000000"/>
                <w:sz w:val="20"/>
              </w:rPr>
            </w:pPr>
          </w:p>
        </w:tc>
        <w:tc>
          <w:tcPr>
            <w:tcW w:w="1220" w:type="dxa"/>
            <w:tcBorders>
              <w:left w:val="single" w:sz="4" w:space="0" w:color="1F497D" w:themeColor="text2"/>
              <w:right w:val="single" w:sz="4" w:space="0" w:color="1F497D" w:themeColor="text2"/>
            </w:tcBorders>
            <w:noWrap/>
            <w:vAlign w:val="center"/>
          </w:tcPr>
          <w:p w:rsidR="002D7D57" w:rsidRPr="00EC7F77" w:rsidRDefault="00500A9D" w:rsidP="00C25DFC">
            <w:pPr>
              <w:keepNext/>
              <w:tabs>
                <w:tab w:val="clear" w:pos="-1440"/>
                <w:tab w:val="clear" w:pos="-720"/>
                <w:tab w:val="num" w:pos="720"/>
                <w:tab w:val="left" w:pos="1152"/>
              </w:tabs>
              <w:adjustRightInd w:val="0"/>
              <w:snapToGrid w:val="0"/>
              <w:spacing w:after="0" w:line="240" w:lineRule="auto"/>
              <w:ind w:left="342" w:right="-238"/>
              <w:jc w:val="both"/>
              <w:rPr>
                <w:rFonts w:cs="Microsoft Sans Serif"/>
                <w:color w:val="000000"/>
                <w:sz w:val="20"/>
              </w:rPr>
            </w:pPr>
            <w:r w:rsidRPr="00EC7F77">
              <w:rPr>
                <w:rFonts w:cs="Microsoft Sans Serif"/>
                <w:color w:val="000000"/>
                <w:sz w:val="20"/>
              </w:rPr>
              <w:t>113</w:t>
            </w:r>
          </w:p>
        </w:tc>
        <w:tc>
          <w:tcPr>
            <w:tcW w:w="1012" w:type="dxa"/>
            <w:tcBorders>
              <w:left w:val="single" w:sz="4" w:space="0" w:color="1F497D" w:themeColor="text2"/>
              <w:right w:val="single" w:sz="4" w:space="0" w:color="1F497D" w:themeColor="text2"/>
            </w:tcBorders>
            <w:noWrap/>
            <w:vAlign w:val="center"/>
          </w:tcPr>
          <w:p w:rsidR="002D7D57" w:rsidRPr="00EC7F77" w:rsidRDefault="00500A9D" w:rsidP="00C25DFC">
            <w:pPr>
              <w:keepNext/>
              <w:tabs>
                <w:tab w:val="clear" w:pos="-1440"/>
                <w:tab w:val="clear" w:pos="-720"/>
                <w:tab w:val="num" w:pos="720"/>
                <w:tab w:val="left" w:pos="1152"/>
              </w:tabs>
              <w:adjustRightInd w:val="0"/>
              <w:snapToGrid w:val="0"/>
              <w:spacing w:after="0" w:line="240" w:lineRule="auto"/>
              <w:ind w:left="292" w:right="-238"/>
              <w:jc w:val="both"/>
              <w:rPr>
                <w:rFonts w:cs="Microsoft Sans Serif"/>
                <w:color w:val="000000"/>
                <w:sz w:val="20"/>
              </w:rPr>
            </w:pPr>
            <w:r w:rsidRPr="00EC7F77">
              <w:rPr>
                <w:rFonts w:cs="Microsoft Sans Serif"/>
                <w:color w:val="000000"/>
                <w:sz w:val="20"/>
              </w:rPr>
              <w:t>35</w:t>
            </w:r>
          </w:p>
        </w:tc>
        <w:tc>
          <w:tcPr>
            <w:tcW w:w="1350" w:type="dxa"/>
            <w:tcBorders>
              <w:left w:val="single" w:sz="4" w:space="0" w:color="1F497D" w:themeColor="text2"/>
              <w:right w:val="single" w:sz="4" w:space="0" w:color="1F497D" w:themeColor="text2"/>
            </w:tcBorders>
            <w:noWrap/>
            <w:vAlign w:val="center"/>
          </w:tcPr>
          <w:p w:rsidR="002D7D57" w:rsidRPr="00EC7F77" w:rsidRDefault="00C25DFC" w:rsidP="00C25DFC">
            <w:pPr>
              <w:keepNext/>
              <w:tabs>
                <w:tab w:val="clear" w:pos="-1440"/>
                <w:tab w:val="clear" w:pos="-720"/>
                <w:tab w:val="num" w:pos="720"/>
                <w:tab w:val="left" w:pos="1152"/>
              </w:tabs>
              <w:adjustRightInd w:val="0"/>
              <w:snapToGrid w:val="0"/>
              <w:spacing w:after="0" w:line="240" w:lineRule="auto"/>
              <w:ind w:left="450" w:right="-238"/>
              <w:jc w:val="both"/>
              <w:rPr>
                <w:rFonts w:cs="Microsoft Sans Serif"/>
                <w:color w:val="000000"/>
                <w:sz w:val="20"/>
              </w:rPr>
            </w:pPr>
            <w:r>
              <w:rPr>
                <w:rFonts w:cs="Microsoft Sans Serif"/>
                <w:color w:val="000000"/>
                <w:sz w:val="20"/>
              </w:rPr>
              <w:t>3</w:t>
            </w:r>
            <w:r w:rsidR="00500A9D" w:rsidRPr="00EC7F77">
              <w:rPr>
                <w:rFonts w:cs="Microsoft Sans Serif"/>
                <w:color w:val="000000"/>
                <w:sz w:val="20"/>
              </w:rPr>
              <w:t>5</w:t>
            </w:r>
          </w:p>
        </w:tc>
        <w:tc>
          <w:tcPr>
            <w:tcW w:w="1946" w:type="dxa"/>
            <w:tcBorders>
              <w:left w:val="single" w:sz="4" w:space="0" w:color="1F497D" w:themeColor="text2"/>
            </w:tcBorders>
            <w:noWrap/>
            <w:vAlign w:val="center"/>
          </w:tcPr>
          <w:p w:rsidR="002D7D57" w:rsidRPr="00EC7F77" w:rsidRDefault="002D7D57" w:rsidP="00C25DFC">
            <w:pPr>
              <w:keepNext/>
              <w:tabs>
                <w:tab w:val="clear" w:pos="-1440"/>
                <w:tab w:val="clear" w:pos="-720"/>
                <w:tab w:val="clear" w:pos="720"/>
                <w:tab w:val="left" w:pos="1152"/>
              </w:tabs>
              <w:spacing w:after="0" w:line="240" w:lineRule="auto"/>
              <w:ind w:left="342" w:right="-238"/>
              <w:jc w:val="center"/>
              <w:rPr>
                <w:rFonts w:cs="Microsoft Sans Serif"/>
                <w:color w:val="000000"/>
                <w:sz w:val="20"/>
              </w:rPr>
            </w:pPr>
          </w:p>
        </w:tc>
      </w:tr>
    </w:tbl>
    <w:p w:rsidR="00A10D91" w:rsidRDefault="00A10D91" w:rsidP="00B35356">
      <w:pPr>
        <w:pStyle w:val="t"/>
        <w:keepNext/>
        <w:numPr>
          <w:ilvl w:val="0"/>
          <w:numId w:val="2"/>
        </w:numPr>
        <w:spacing w:after="0"/>
        <w:ind w:left="0"/>
        <w:rPr>
          <w:sz w:val="16"/>
          <w:szCs w:val="16"/>
        </w:rPr>
      </w:pPr>
      <w:r w:rsidRPr="00F30F40">
        <w:rPr>
          <w:sz w:val="16"/>
          <w:szCs w:val="16"/>
          <w:vertAlign w:val="superscript"/>
        </w:rPr>
        <w:t>1</w:t>
      </w:r>
      <w:r w:rsidRPr="00F30F40">
        <w:rPr>
          <w:sz w:val="16"/>
          <w:szCs w:val="16"/>
        </w:rPr>
        <w:t>Sample sizes for document audit designed to meet C/P target and are based on estimated participation values stated in 2014 Business Plan, extrapolated to the biennial cycle.</w:t>
      </w:r>
      <w:r w:rsidRPr="00E8594E">
        <w:rPr>
          <w:sz w:val="16"/>
          <w:szCs w:val="16"/>
          <w:vertAlign w:val="superscript"/>
        </w:rPr>
        <w:t xml:space="preserve"> </w:t>
      </w:r>
      <w:r>
        <w:rPr>
          <w:sz w:val="16"/>
          <w:szCs w:val="16"/>
          <w:vertAlign w:val="superscript"/>
        </w:rPr>
        <w:t xml:space="preserve">2 </w:t>
      </w:r>
      <w:r>
        <w:rPr>
          <w:sz w:val="16"/>
          <w:szCs w:val="16"/>
        </w:rPr>
        <w:t>Focus on manufactured homes.</w:t>
      </w:r>
    </w:p>
    <w:p w:rsidR="00A10D91" w:rsidRPr="00F30F40" w:rsidRDefault="00A10D91" w:rsidP="00A10D91">
      <w:pPr>
        <w:pStyle w:val="t"/>
        <w:numPr>
          <w:ilvl w:val="0"/>
          <w:numId w:val="2"/>
        </w:numPr>
        <w:spacing w:after="0"/>
        <w:ind w:left="0"/>
        <w:rPr>
          <w:sz w:val="16"/>
          <w:szCs w:val="16"/>
        </w:rPr>
      </w:pPr>
    </w:p>
    <w:p w:rsidR="002E44AE" w:rsidRPr="00320BA9" w:rsidRDefault="002E44AE" w:rsidP="002E44AE">
      <w:pPr>
        <w:pStyle w:val="t"/>
      </w:pPr>
      <w:r>
        <w:lastRenderedPageBreak/>
        <w:t xml:space="preserve">We will conduct metering activities for a subset of onsite visits. Variables targeted as part of the metering activities will </w:t>
      </w:r>
      <w:r w:rsidRPr="00320BA9">
        <w:t>be determined on a case-by-case basis</w:t>
      </w:r>
      <w:r>
        <w:t xml:space="preserve"> depending on the project and measure type</w:t>
      </w:r>
      <w:r w:rsidRPr="00320BA9">
        <w:t xml:space="preserve">. Based on the evaluation team’s experience evaluating commercial sector projects and the measures offered in Avista’s programs, projects </w:t>
      </w:r>
      <w:r w:rsidR="00763104">
        <w:t>may</w:t>
      </w:r>
      <w:r w:rsidR="00763104" w:rsidRPr="00320BA9">
        <w:t xml:space="preserve"> </w:t>
      </w:r>
      <w:r w:rsidRPr="00320BA9">
        <w:t xml:space="preserve">be measured for </w:t>
      </w:r>
      <w:r w:rsidR="00763104">
        <w:t>up to</w:t>
      </w:r>
      <w:r w:rsidR="00810476">
        <w:t xml:space="preserve"> </w:t>
      </w:r>
      <w:r w:rsidRPr="00320BA9">
        <w:t xml:space="preserve">fourteen (14) days with on-site trend measurements. Seasonally variable measures may be metered for more than 2-3 months to better understand performance changes with weather conditions. Metering data available from building management systems (BMS) will be utilized, and the decision to implement metering equipment will be determined on each specific project based on preliminary desk </w:t>
      </w:r>
      <w:r>
        <w:t>audits</w:t>
      </w:r>
      <w:r w:rsidRPr="00320BA9">
        <w:t xml:space="preserve">. </w:t>
      </w:r>
    </w:p>
    <w:p w:rsidR="002E44AE" w:rsidRDefault="002E44AE" w:rsidP="002C4E89">
      <w:pPr>
        <w:pStyle w:val="Heading4"/>
        <w:rPr>
          <w:color w:val="FF0000"/>
        </w:rPr>
      </w:pPr>
      <w:bookmarkStart w:id="100" w:name="_Toc409095406"/>
      <w:r>
        <w:t>Net-Verified Approach</w:t>
      </w:r>
      <w:bookmarkEnd w:id="100"/>
      <w:r>
        <w:t xml:space="preserve"> </w:t>
      </w:r>
    </w:p>
    <w:p w:rsidR="000D13D3" w:rsidRPr="003254EC" w:rsidRDefault="000D13D3" w:rsidP="002E44AE">
      <w:pPr>
        <w:pStyle w:val="t"/>
      </w:pPr>
      <w:r>
        <w:t>Net to gross ratios are not required for Avista’s natural gas programs.</w:t>
      </w:r>
    </w:p>
    <w:p w:rsidR="00983992" w:rsidRDefault="00C310C5" w:rsidP="00C310C5">
      <w:pPr>
        <w:pStyle w:val="Heading2"/>
      </w:pPr>
      <w:bookmarkStart w:id="101" w:name="_Toc409095407"/>
      <w:r>
        <w:t>Other Tasks</w:t>
      </w:r>
      <w:bookmarkEnd w:id="101"/>
    </w:p>
    <w:p w:rsidR="00C310C5" w:rsidRPr="007E5313" w:rsidRDefault="00C310C5" w:rsidP="00531D0A">
      <w:pPr>
        <w:pStyle w:val="Heading3"/>
      </w:pPr>
      <w:bookmarkStart w:id="102" w:name="_Toc409095408"/>
      <w:r w:rsidRPr="007E5313">
        <w:t>Program Theory and Logic Model Review</w:t>
      </w:r>
      <w:bookmarkEnd w:id="102"/>
      <w:r w:rsidR="00137064" w:rsidRPr="007E5313">
        <w:t xml:space="preserve"> </w:t>
      </w:r>
    </w:p>
    <w:p w:rsidR="00320BA9" w:rsidRPr="00CE42E7" w:rsidRDefault="00320BA9" w:rsidP="00BC76D0">
      <w:pPr>
        <w:pStyle w:val="t"/>
        <w:numPr>
          <w:ilvl w:val="0"/>
          <w:numId w:val="2"/>
        </w:numPr>
        <w:ind w:left="0"/>
      </w:pPr>
      <w:r>
        <w:t xml:space="preserve">The evaluation team will review and revise as necessary Avista’s program theories and logic models. To complete this task, we will review the program documentation Avista provides us with including the existing program theory and logic models. We will interview program managers to understand the barriers the programs address, their activities to address them, and the outputs the programs are </w:t>
      </w:r>
      <w:r w:rsidR="00763104">
        <w:t xml:space="preserve">generating. </w:t>
      </w:r>
      <w:r>
        <w:t>We will assess this information in light of our understanding of residential and nonresidential appliance and building markets, market barriers, and common program approaches. With this information from Avista and our understanding of markets and programs, we will confirm or revise Avista’s existing theory and logic models.</w:t>
      </w:r>
    </w:p>
    <w:p w:rsidR="00320BA9" w:rsidRDefault="00320BA9" w:rsidP="00320BA9">
      <w:pPr>
        <w:pStyle w:val="t"/>
        <w:numPr>
          <w:ilvl w:val="0"/>
          <w:numId w:val="2"/>
        </w:numPr>
        <w:ind w:left="0"/>
      </w:pPr>
      <w:r>
        <w:t xml:space="preserve">In our review we will identify the key barriers to the uptake of efficiency measures among Avista’s residential and </w:t>
      </w:r>
      <w:r w:rsidR="009D0D41">
        <w:t>nonresidential</w:t>
      </w:r>
      <w:r>
        <w:t xml:space="preserve"> program as well as the approaches to the market to mitigate these barriers. The program theory and logic model review will identify these activities and their outputs – countable “things” that the activities generate, such as a user-friendly application forms and meetings with contractors. The logic model will also identify the program-related outcomes – near-, intermediate</w:t>
      </w:r>
      <w:r w:rsidR="0015244B">
        <w:t>-</w:t>
      </w:r>
      <w:r>
        <w:t>, and long-term – that flow from these outputs. The outcomes, such as reduced energy use and increased efficiency of the building stock, are thus clearly attributed to the program, as the program intervened to reduce market barriers that inhibit the uptake of efficiency measures.</w:t>
      </w:r>
      <w:r w:rsidRPr="00B76D9B">
        <w:t xml:space="preserve"> A key element of the analysis is developing a visual representation of the </w:t>
      </w:r>
      <w:r>
        <w:t>logic model</w:t>
      </w:r>
      <w:r w:rsidRPr="00B76D9B">
        <w:t xml:space="preserve">, and we will use graphic software such as Visio or PowerPoint to produce the </w:t>
      </w:r>
      <w:r>
        <w:t>models</w:t>
      </w:r>
      <w:r w:rsidRPr="00B76D9B">
        <w:t>.</w:t>
      </w:r>
    </w:p>
    <w:p w:rsidR="00320BA9" w:rsidRDefault="000D13D3" w:rsidP="00320BA9">
      <w:pPr>
        <w:pStyle w:val="t"/>
        <w:numPr>
          <w:ilvl w:val="0"/>
          <w:numId w:val="2"/>
        </w:numPr>
        <w:ind w:left="0"/>
      </w:pPr>
      <w:r>
        <w:t>If applicable, w</w:t>
      </w:r>
      <w:r w:rsidR="00320BA9">
        <w:t>e will submit the</w:t>
      </w:r>
      <w:r>
        <w:t xml:space="preserve"> revised</w:t>
      </w:r>
      <w:r w:rsidR="00320BA9">
        <w:t xml:space="preserve"> logic model diagrams to Avista for review and will revise them based on comments and feedback received. We will then document our analysis as a separate chapter (or as appropriate, a chapter section) of the evaluation report.</w:t>
      </w:r>
    </w:p>
    <w:p w:rsidR="00C310C5" w:rsidRPr="007E5313" w:rsidRDefault="00C310C5" w:rsidP="00531D0A">
      <w:pPr>
        <w:pStyle w:val="Heading3"/>
      </w:pPr>
      <w:bookmarkStart w:id="103" w:name="_Toc409095409"/>
      <w:r w:rsidRPr="007E5313">
        <w:t>Technical Reference Manual Review</w:t>
      </w:r>
      <w:bookmarkEnd w:id="103"/>
      <w:r w:rsidR="00137064" w:rsidRPr="007E5313">
        <w:t xml:space="preserve">  </w:t>
      </w:r>
    </w:p>
    <w:p w:rsidR="00910AE4" w:rsidRDefault="00910AE4" w:rsidP="00910AE4">
      <w:pPr>
        <w:pStyle w:val="t"/>
        <w:numPr>
          <w:ilvl w:val="0"/>
          <w:numId w:val="2"/>
        </w:numPr>
        <w:ind w:left="0"/>
      </w:pPr>
      <w:r>
        <w:t xml:space="preserve">The </w:t>
      </w:r>
      <w:r w:rsidR="00107AE9">
        <w:t>evaluation</w:t>
      </w:r>
      <w:r>
        <w:t xml:space="preserve"> </w:t>
      </w:r>
      <w:r w:rsidR="00107AE9">
        <w:t>t</w:t>
      </w:r>
      <w:r>
        <w:t xml:space="preserve">eam will review Avista’s Technical Reference Manual (TRM) annually throughout the evaluation cycle. Specifically, we will review and make recommendations (as necessary) regarding all developed assumptions for each measure in Avista’s programs. Our review will include both deemed </w:t>
      </w:r>
      <w:r>
        <w:lastRenderedPageBreak/>
        <w:t xml:space="preserve">savings values and simple savings calculation assumptions.  </w:t>
      </w:r>
      <w:r w:rsidR="00763104">
        <w:t xml:space="preserve">We understand that Avista’s current TRM does not include natural gas measures.  The evaluation team will review all deemed assumptions and savings values currently being used by Avista for their natural gas programs and include the finding of our review and any recommendations as part of the annual TRM review process.  </w:t>
      </w:r>
    </w:p>
    <w:p w:rsidR="00107AE9" w:rsidRPr="00910AE4" w:rsidRDefault="00107AE9" w:rsidP="00763104">
      <w:pPr>
        <w:pStyle w:val="t"/>
        <w:numPr>
          <w:ilvl w:val="0"/>
          <w:numId w:val="0"/>
        </w:numPr>
        <w:sectPr w:rsidR="00107AE9" w:rsidRPr="00910AE4" w:rsidSect="00EE2E8B">
          <w:footnotePr>
            <w:numRestart w:val="eachPage"/>
          </w:footnotePr>
          <w:pgSz w:w="12240" w:h="15840"/>
          <w:pgMar w:top="1440" w:right="1440" w:bottom="1440" w:left="1440" w:header="1080" w:footer="720" w:gutter="0"/>
          <w:cols w:space="360"/>
          <w:titlePg/>
        </w:sectPr>
      </w:pPr>
      <w:r>
        <w:t>As an outcome of our review, the evaluation team</w:t>
      </w:r>
      <w:r w:rsidR="002D7D57">
        <w:t xml:space="preserve"> </w:t>
      </w:r>
      <w:r w:rsidR="00910AE4">
        <w:t>will document inconsistencies found throughout our review and provide an assessment of gaps where additional formative impact evaluation efforts could be beneficial. If necessary, we will add data points to the information gathered during our impact evaluation activities, which will allow us to gather real-time data for revisions into the TRM. Our review of the TRM</w:t>
      </w:r>
      <w:r w:rsidR="009A758D">
        <w:t>,</w:t>
      </w:r>
      <w:r w:rsidR="00910AE4">
        <w:t xml:space="preserve"> including any recommendations for revisions, will be delivered in a separate memo to Avista and included in each required report for WA and ID separately, if requested</w:t>
      </w:r>
      <w:r>
        <w:t xml:space="preserve">.  </w:t>
      </w:r>
    </w:p>
    <w:p w:rsidR="00886FCB" w:rsidRPr="00C25486" w:rsidRDefault="000B7884" w:rsidP="00E77A66">
      <w:pPr>
        <w:pStyle w:val="Heading1"/>
        <w:jc w:val="left"/>
      </w:pPr>
      <w:bookmarkStart w:id="104" w:name="_Ref406254398"/>
      <w:bookmarkStart w:id="105" w:name="_Toc409095410"/>
      <w:r>
        <w:lastRenderedPageBreak/>
        <w:t>Process Evaluation Overview</w:t>
      </w:r>
      <w:bookmarkEnd w:id="105"/>
      <w:r w:rsidR="00137064">
        <w:t xml:space="preserve"> </w:t>
      </w:r>
      <w:bookmarkEnd w:id="104"/>
    </w:p>
    <w:p w:rsidR="00320BA9" w:rsidRDefault="00320BA9" w:rsidP="00320BA9">
      <w:pPr>
        <w:pStyle w:val="Heading2"/>
      </w:pPr>
      <w:bookmarkStart w:id="106" w:name="_Toc404778288"/>
      <w:bookmarkStart w:id="107" w:name="_Toc409095411"/>
      <w:r>
        <w:t>Overview of Approach and Methods</w:t>
      </w:r>
      <w:bookmarkEnd w:id="106"/>
      <w:bookmarkEnd w:id="107"/>
    </w:p>
    <w:p w:rsidR="00320BA9" w:rsidRDefault="00320BA9" w:rsidP="00320BA9">
      <w:pPr>
        <w:pStyle w:val="t"/>
        <w:numPr>
          <w:ilvl w:val="0"/>
          <w:numId w:val="2"/>
        </w:numPr>
        <w:ind w:left="0"/>
      </w:pPr>
      <w:r>
        <w:t>The purpose of the process evaluation is to identify any improvements needed at the program or portfolio level to increase program effectiveness</w:t>
      </w:r>
      <w:r w:rsidR="009A758D">
        <w:t>,</w:t>
      </w:r>
      <w:r>
        <w:t xml:space="preserve"> efficiency</w:t>
      </w:r>
      <w:r w:rsidR="009A758D">
        <w:t>,</w:t>
      </w:r>
      <w:r>
        <w:t xml:space="preserve"> and opportunities for future programs. </w:t>
      </w:r>
      <w:r w:rsidR="00D558E8">
        <w:t>W</w:t>
      </w:r>
      <w:r>
        <w:t xml:space="preserve">orking in collaboration with the impact activities, the process evaluation </w:t>
      </w:r>
      <w:r w:rsidR="00D558E8">
        <w:t xml:space="preserve">will be carried out </w:t>
      </w:r>
      <w:r>
        <w:t>through data and documentation analyses and by collecting primary data from program staff, program participants and nonparticipants, and participating trade allies. We will use in-depth interviews and surveys as appropriate for each of these groups.</w:t>
      </w:r>
    </w:p>
    <w:p w:rsidR="00320BA9" w:rsidRDefault="000D13D3" w:rsidP="00320BA9">
      <w:pPr>
        <w:pStyle w:val="t"/>
        <w:numPr>
          <w:ilvl w:val="0"/>
          <w:numId w:val="2"/>
        </w:numPr>
        <w:ind w:left="0"/>
      </w:pPr>
      <w:r>
        <w:t xml:space="preserve">The evaluation team has </w:t>
      </w:r>
      <w:r w:rsidR="00320BA9">
        <w:t xml:space="preserve">identified some primary objectives and specific areas for investigation, which we summarize in </w:t>
      </w:r>
      <w:r>
        <w:rPr>
          <w:rFonts w:cs="Times New Roman"/>
        </w:rPr>
        <w:fldChar w:fldCharType="begin"/>
      </w:r>
      <w:r>
        <w:instrText xml:space="preserve"> REF _Ref406337894 \h </w:instrText>
      </w:r>
      <w:r>
        <w:rPr>
          <w:rFonts w:cs="Times New Roman"/>
        </w:rPr>
      </w:r>
      <w:r>
        <w:rPr>
          <w:rFonts w:cs="Times New Roman"/>
        </w:rPr>
        <w:fldChar w:fldCharType="separate"/>
      </w:r>
      <w:r w:rsidRPr="003417F8">
        <w:t xml:space="preserve">Table </w:t>
      </w:r>
      <w:r>
        <w:t>3-</w:t>
      </w:r>
      <w:r w:rsidRPr="003417F8">
        <w:rPr>
          <w:noProof/>
        </w:rPr>
        <w:t>1</w:t>
      </w:r>
      <w:r>
        <w:rPr>
          <w:rFonts w:cs="Times New Roman"/>
        </w:rPr>
        <w:fldChar w:fldCharType="end"/>
      </w:r>
      <w:r w:rsidR="00320BA9" w:rsidRPr="00971607">
        <w:rPr>
          <w:rFonts w:cstheme="minorHAnsi"/>
        </w:rPr>
        <w:t xml:space="preserve"> and discuss in greater detail in the following sections. In the table, a check mark illustrates the primary process evaluation objectives and the sources of information we will use to address the objective, while an “s” in a cell indicates the source will provide secondary or supporting information. </w:t>
      </w:r>
      <w:r>
        <w:rPr>
          <w:rFonts w:cstheme="minorHAnsi"/>
        </w:rPr>
        <w:t>W</w:t>
      </w:r>
      <w:r w:rsidR="00320BA9" w:rsidRPr="00971607">
        <w:rPr>
          <w:rFonts w:cstheme="minorHAnsi"/>
        </w:rPr>
        <w:t xml:space="preserve">e </w:t>
      </w:r>
      <w:r w:rsidR="00320BA9">
        <w:t xml:space="preserve">will discuss additional areas of inquiry with the Avista team in our initial round of staff interviews. </w:t>
      </w:r>
    </w:p>
    <w:p w:rsidR="00320BA9" w:rsidRDefault="00320BA9" w:rsidP="00107CF2">
      <w:pPr>
        <w:pStyle w:val="Caption"/>
      </w:pPr>
      <w:bookmarkStart w:id="108" w:name="_Ref406337894"/>
      <w:r w:rsidRPr="003417F8">
        <w:lastRenderedPageBreak/>
        <w:t xml:space="preserve">Table </w:t>
      </w:r>
      <w:fldSimple w:instr=" STYLEREF 1 \s ">
        <w:r w:rsidR="0067743A">
          <w:rPr>
            <w:noProof/>
          </w:rPr>
          <w:t>3</w:t>
        </w:r>
      </w:fldSimple>
      <w:r w:rsidR="0067743A">
        <w:noBreakHyphen/>
      </w:r>
      <w:fldSimple w:instr=" SEQ Table \* ARABIC \s 1 ">
        <w:r w:rsidR="0067743A">
          <w:rPr>
            <w:noProof/>
          </w:rPr>
          <w:t>1</w:t>
        </w:r>
      </w:fldSimple>
      <w:bookmarkEnd w:id="108"/>
      <w:r w:rsidRPr="003417F8">
        <w:t>: Information Sources to Be Used to Meet Process Evaluation Objectives</w:t>
      </w:r>
    </w:p>
    <w:tbl>
      <w:tblPr>
        <w:tblStyle w:val="TableGrid8"/>
        <w:tblW w:w="9580" w:type="dxa"/>
        <w:tblLook w:val="04A0" w:firstRow="1" w:lastRow="0" w:firstColumn="1" w:lastColumn="0" w:noHBand="0" w:noVBand="1"/>
      </w:tblPr>
      <w:tblGrid>
        <w:gridCol w:w="3992"/>
        <w:gridCol w:w="1867"/>
        <w:gridCol w:w="1091"/>
        <w:gridCol w:w="774"/>
        <w:gridCol w:w="774"/>
        <w:gridCol w:w="1082"/>
      </w:tblGrid>
      <w:tr w:rsidR="00320BA9" w:rsidTr="00EC7F77">
        <w:trPr>
          <w:cnfStyle w:val="100000000000" w:firstRow="1" w:lastRow="0" w:firstColumn="0" w:lastColumn="0" w:oddVBand="0" w:evenVBand="0" w:oddHBand="0" w:evenHBand="0" w:firstRowFirstColumn="0" w:firstRowLastColumn="0" w:lastRowFirstColumn="0" w:lastRowLastColumn="0"/>
        </w:trPr>
        <w:tc>
          <w:tcPr>
            <w:tcW w:w="4068" w:type="dxa"/>
            <w:vMerge w:val="restart"/>
            <w:tcBorders>
              <w:left w:val="nil"/>
            </w:tcBorders>
          </w:tcPr>
          <w:p w:rsidR="00320BA9" w:rsidRPr="00EC7F77" w:rsidRDefault="00320BA9" w:rsidP="00107CF2">
            <w:pPr>
              <w:spacing w:after="0"/>
              <w:ind w:left="0"/>
              <w:rPr>
                <w:sz w:val="20"/>
              </w:rPr>
            </w:pPr>
            <w:r w:rsidRPr="00EC7F77">
              <w:rPr>
                <w:rFonts w:cstheme="minorHAnsi"/>
                <w:sz w:val="20"/>
              </w:rPr>
              <w:t>Objective—</w:t>
            </w:r>
            <w:r w:rsidRPr="00EC7F77">
              <w:rPr>
                <w:rFonts w:cstheme="minorHAnsi"/>
                <w:sz w:val="20"/>
              </w:rPr>
              <w:br/>
              <w:t>To Assess:</w:t>
            </w:r>
          </w:p>
        </w:tc>
        <w:tc>
          <w:tcPr>
            <w:tcW w:w="5512" w:type="dxa"/>
            <w:gridSpan w:val="5"/>
            <w:tcBorders>
              <w:right w:val="nil"/>
            </w:tcBorders>
          </w:tcPr>
          <w:p w:rsidR="00320BA9" w:rsidRPr="00EC7F77" w:rsidRDefault="00320BA9" w:rsidP="00107CF2">
            <w:pPr>
              <w:spacing w:after="0"/>
              <w:ind w:left="0"/>
              <w:jc w:val="center"/>
              <w:rPr>
                <w:sz w:val="20"/>
              </w:rPr>
            </w:pPr>
            <w:r w:rsidRPr="00EC7F77">
              <w:rPr>
                <w:rFonts w:cstheme="minorHAnsi"/>
                <w:sz w:val="20"/>
              </w:rPr>
              <w:t>Information Sources</w:t>
            </w:r>
          </w:p>
        </w:tc>
      </w:tr>
      <w:tr w:rsidR="00320BA9" w:rsidTr="00EC7F77">
        <w:tc>
          <w:tcPr>
            <w:tcW w:w="4068" w:type="dxa"/>
            <w:vMerge/>
            <w:tcBorders>
              <w:left w:val="nil"/>
            </w:tcBorders>
          </w:tcPr>
          <w:p w:rsidR="00320BA9" w:rsidRPr="00EC7F77" w:rsidRDefault="00320BA9" w:rsidP="00107CF2">
            <w:pPr>
              <w:spacing w:after="0"/>
              <w:ind w:left="0"/>
              <w:rPr>
                <w:sz w:val="20"/>
              </w:rPr>
            </w:pPr>
          </w:p>
        </w:tc>
        <w:tc>
          <w:tcPr>
            <w:tcW w:w="1890" w:type="dxa"/>
          </w:tcPr>
          <w:p w:rsidR="00320BA9" w:rsidRPr="00EC7F77" w:rsidRDefault="00320BA9" w:rsidP="00107CF2">
            <w:pPr>
              <w:tabs>
                <w:tab w:val="num" w:pos="720"/>
              </w:tabs>
              <w:adjustRightInd w:val="0"/>
              <w:snapToGrid w:val="0"/>
              <w:spacing w:after="0"/>
              <w:ind w:left="0"/>
              <w:jc w:val="center"/>
              <w:rPr>
                <w:rFonts w:cstheme="minorHAnsi"/>
                <w:b/>
                <w:sz w:val="20"/>
              </w:rPr>
            </w:pPr>
            <w:r w:rsidRPr="00EC7F77">
              <w:rPr>
                <w:rFonts w:cstheme="minorHAnsi"/>
                <w:b/>
                <w:sz w:val="20"/>
              </w:rPr>
              <w:t>Program Documents</w:t>
            </w:r>
          </w:p>
        </w:tc>
        <w:tc>
          <w:tcPr>
            <w:tcW w:w="1091" w:type="dxa"/>
          </w:tcPr>
          <w:p w:rsidR="00320BA9" w:rsidRPr="00EC7F77" w:rsidRDefault="00320BA9" w:rsidP="00107CF2">
            <w:pPr>
              <w:tabs>
                <w:tab w:val="num" w:pos="720"/>
              </w:tabs>
              <w:adjustRightInd w:val="0"/>
              <w:snapToGrid w:val="0"/>
              <w:spacing w:after="0"/>
              <w:ind w:left="0"/>
              <w:jc w:val="center"/>
              <w:rPr>
                <w:sz w:val="20"/>
              </w:rPr>
            </w:pPr>
            <w:r w:rsidRPr="00EC7F77">
              <w:rPr>
                <w:rFonts w:cstheme="minorHAnsi"/>
                <w:b/>
                <w:sz w:val="20"/>
              </w:rPr>
              <w:t>Interviews</w:t>
            </w:r>
          </w:p>
        </w:tc>
        <w:tc>
          <w:tcPr>
            <w:tcW w:w="2531" w:type="dxa"/>
            <w:gridSpan w:val="3"/>
            <w:tcBorders>
              <w:right w:val="nil"/>
            </w:tcBorders>
          </w:tcPr>
          <w:p w:rsidR="00320BA9" w:rsidRPr="00EC7F77" w:rsidRDefault="00320BA9" w:rsidP="00107CF2">
            <w:pPr>
              <w:spacing w:after="0"/>
              <w:ind w:left="0"/>
              <w:jc w:val="center"/>
              <w:rPr>
                <w:sz w:val="20"/>
              </w:rPr>
            </w:pPr>
            <w:r w:rsidRPr="00EC7F77">
              <w:rPr>
                <w:rFonts w:cstheme="minorHAnsi"/>
                <w:b/>
                <w:sz w:val="20"/>
              </w:rPr>
              <w:t>Surveys</w:t>
            </w:r>
          </w:p>
        </w:tc>
      </w:tr>
      <w:tr w:rsidR="00320BA9" w:rsidTr="00EC7F77">
        <w:trPr>
          <w:cnfStyle w:val="000000010000" w:firstRow="0" w:lastRow="0" w:firstColumn="0" w:lastColumn="0" w:oddVBand="0" w:evenVBand="0" w:oddHBand="0" w:evenHBand="1" w:firstRowFirstColumn="0" w:firstRowLastColumn="0" w:lastRowFirstColumn="0" w:lastRowLastColumn="0"/>
          <w:trHeight w:val="1803"/>
        </w:trPr>
        <w:tc>
          <w:tcPr>
            <w:tcW w:w="4068" w:type="dxa"/>
            <w:vMerge/>
            <w:tcBorders>
              <w:left w:val="nil"/>
            </w:tcBorders>
          </w:tcPr>
          <w:p w:rsidR="00320BA9" w:rsidRPr="00EC7F77" w:rsidRDefault="00320BA9" w:rsidP="00107CF2">
            <w:pPr>
              <w:spacing w:after="0"/>
              <w:ind w:left="0"/>
              <w:rPr>
                <w:sz w:val="20"/>
              </w:rPr>
            </w:pPr>
          </w:p>
        </w:tc>
        <w:tc>
          <w:tcPr>
            <w:tcW w:w="1890" w:type="dxa"/>
            <w:textDirection w:val="btLr"/>
          </w:tcPr>
          <w:p w:rsidR="00320BA9" w:rsidRPr="00EC7F77" w:rsidRDefault="00320BA9" w:rsidP="00107CF2">
            <w:pPr>
              <w:tabs>
                <w:tab w:val="num" w:pos="720"/>
              </w:tabs>
              <w:adjustRightInd w:val="0"/>
              <w:snapToGrid w:val="0"/>
              <w:spacing w:after="0"/>
              <w:ind w:left="0"/>
              <w:jc w:val="center"/>
              <w:rPr>
                <w:sz w:val="20"/>
              </w:rPr>
            </w:pPr>
            <w:r w:rsidRPr="00EC7F77">
              <w:rPr>
                <w:rFonts w:cstheme="minorHAnsi"/>
                <w:b/>
                <w:sz w:val="20"/>
              </w:rPr>
              <w:t>Descriptions; procedures; design docs; application forms; participant records; marketing materials; etc.</w:t>
            </w:r>
          </w:p>
        </w:tc>
        <w:tc>
          <w:tcPr>
            <w:tcW w:w="1091" w:type="dxa"/>
            <w:textDirection w:val="btLr"/>
          </w:tcPr>
          <w:p w:rsidR="00320BA9" w:rsidRPr="00EC7F77" w:rsidRDefault="00320BA9" w:rsidP="00107CF2">
            <w:pPr>
              <w:tabs>
                <w:tab w:val="num" w:pos="720"/>
              </w:tabs>
              <w:adjustRightInd w:val="0"/>
              <w:snapToGrid w:val="0"/>
              <w:spacing w:after="0"/>
              <w:ind w:left="0"/>
              <w:jc w:val="center"/>
              <w:rPr>
                <w:rFonts w:cstheme="minorHAnsi"/>
                <w:b/>
                <w:sz w:val="20"/>
              </w:rPr>
            </w:pPr>
            <w:r w:rsidRPr="00EC7F77">
              <w:rPr>
                <w:rFonts w:cstheme="minorHAnsi"/>
                <w:b/>
                <w:sz w:val="20"/>
              </w:rPr>
              <w:t>Staff &amp; Implementation Contractors</w:t>
            </w:r>
          </w:p>
        </w:tc>
        <w:tc>
          <w:tcPr>
            <w:tcW w:w="715" w:type="dxa"/>
            <w:textDirection w:val="btLr"/>
          </w:tcPr>
          <w:p w:rsidR="004D1B9D" w:rsidRDefault="00320BA9" w:rsidP="00107CF2">
            <w:pPr>
              <w:tabs>
                <w:tab w:val="num" w:pos="720"/>
              </w:tabs>
              <w:adjustRightInd w:val="0"/>
              <w:snapToGrid w:val="0"/>
              <w:spacing w:after="0"/>
              <w:ind w:left="-299" w:right="-102"/>
              <w:jc w:val="center"/>
              <w:rPr>
                <w:rFonts w:cstheme="minorHAnsi"/>
                <w:b/>
                <w:sz w:val="20"/>
              </w:rPr>
            </w:pPr>
            <w:r w:rsidRPr="00EC7F77">
              <w:rPr>
                <w:rFonts w:cstheme="minorHAnsi"/>
                <w:b/>
                <w:sz w:val="20"/>
              </w:rPr>
              <w:t xml:space="preserve">Participating </w:t>
            </w:r>
          </w:p>
          <w:p w:rsidR="00320BA9" w:rsidRPr="00EC7F77" w:rsidRDefault="00320BA9" w:rsidP="00107CF2">
            <w:pPr>
              <w:tabs>
                <w:tab w:val="num" w:pos="720"/>
              </w:tabs>
              <w:adjustRightInd w:val="0"/>
              <w:snapToGrid w:val="0"/>
              <w:spacing w:after="0"/>
              <w:ind w:left="-299" w:right="-102"/>
              <w:jc w:val="center"/>
              <w:rPr>
                <w:rFonts w:cstheme="minorHAnsi"/>
                <w:b/>
                <w:sz w:val="20"/>
              </w:rPr>
            </w:pPr>
            <w:r w:rsidRPr="00EC7F77">
              <w:rPr>
                <w:rFonts w:cstheme="minorHAnsi"/>
                <w:b/>
                <w:sz w:val="20"/>
              </w:rPr>
              <w:t>Customers</w:t>
            </w:r>
          </w:p>
        </w:tc>
        <w:tc>
          <w:tcPr>
            <w:tcW w:w="715" w:type="dxa"/>
            <w:textDirection w:val="btLr"/>
          </w:tcPr>
          <w:p w:rsidR="004D1B9D" w:rsidRDefault="00320BA9" w:rsidP="00107CF2">
            <w:pPr>
              <w:tabs>
                <w:tab w:val="num" w:pos="720"/>
              </w:tabs>
              <w:adjustRightInd w:val="0"/>
              <w:snapToGrid w:val="0"/>
              <w:spacing w:after="0"/>
              <w:ind w:left="-306" w:right="-278" w:hanging="18"/>
              <w:jc w:val="center"/>
              <w:rPr>
                <w:rFonts w:cstheme="minorHAnsi"/>
                <w:b/>
                <w:sz w:val="20"/>
              </w:rPr>
            </w:pPr>
            <w:r w:rsidRPr="00EC7F77">
              <w:rPr>
                <w:rFonts w:cstheme="minorHAnsi"/>
                <w:b/>
                <w:sz w:val="20"/>
              </w:rPr>
              <w:t>Participating</w:t>
            </w:r>
          </w:p>
          <w:p w:rsidR="00320BA9" w:rsidRPr="00EC7F77" w:rsidRDefault="00320BA9" w:rsidP="00107CF2">
            <w:pPr>
              <w:tabs>
                <w:tab w:val="num" w:pos="720"/>
              </w:tabs>
              <w:adjustRightInd w:val="0"/>
              <w:snapToGrid w:val="0"/>
              <w:spacing w:after="0"/>
              <w:ind w:left="-306" w:right="-278" w:hanging="18"/>
              <w:jc w:val="center"/>
              <w:rPr>
                <w:rFonts w:cstheme="minorHAnsi"/>
                <w:b/>
                <w:sz w:val="20"/>
              </w:rPr>
            </w:pPr>
            <w:r w:rsidRPr="00EC7F77">
              <w:rPr>
                <w:rFonts w:cstheme="minorHAnsi"/>
                <w:b/>
                <w:sz w:val="20"/>
              </w:rPr>
              <w:t>Trade Allies</w:t>
            </w:r>
          </w:p>
        </w:tc>
        <w:tc>
          <w:tcPr>
            <w:tcW w:w="1101" w:type="dxa"/>
            <w:tcBorders>
              <w:right w:val="nil"/>
            </w:tcBorders>
            <w:textDirection w:val="btLr"/>
          </w:tcPr>
          <w:p w:rsidR="00320BA9" w:rsidRPr="00EC7F77" w:rsidRDefault="00320BA9" w:rsidP="00107CF2">
            <w:pPr>
              <w:spacing w:after="0"/>
              <w:ind w:left="46"/>
              <w:jc w:val="center"/>
              <w:rPr>
                <w:rFonts w:cstheme="minorHAnsi"/>
                <w:b/>
                <w:sz w:val="20"/>
              </w:rPr>
            </w:pPr>
            <w:r w:rsidRPr="00EC7F77">
              <w:rPr>
                <w:rFonts w:cstheme="minorHAnsi"/>
                <w:b/>
                <w:sz w:val="20"/>
              </w:rPr>
              <w:t>Nonparticipating Customers</w:t>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Appropriateness of design, participation procedures, internal communication, rebate processing activities (e.g., ease of use, cycle time)</w:t>
            </w:r>
          </w:p>
        </w:tc>
        <w:tc>
          <w:tcPr>
            <w:tcW w:w="1890" w:type="dxa"/>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Accuracy, consistency, completeness of program records</w:t>
            </w:r>
          </w:p>
        </w:tc>
        <w:tc>
          <w:tcPr>
            <w:tcW w:w="1890" w:type="dxa"/>
            <w:shd w:val="clear" w:color="auto" w:fill="auto"/>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shd w:val="clear" w:color="auto" w:fill="auto"/>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spacing w:after="0"/>
              <w:ind w:left="-290" w:right="-322"/>
              <w:jc w:val="center"/>
              <w:rPr>
                <w:rFonts w:cstheme="minorHAnsi"/>
                <w:sz w:val="20"/>
              </w:rPr>
            </w:pPr>
          </w:p>
        </w:tc>
        <w:tc>
          <w:tcPr>
            <w:tcW w:w="715" w:type="dxa"/>
            <w:shd w:val="clear" w:color="auto" w:fill="auto"/>
            <w:vAlign w:val="center"/>
          </w:tcPr>
          <w:p w:rsidR="00320BA9" w:rsidRPr="00EC7F77" w:rsidRDefault="00320BA9" w:rsidP="00107CF2">
            <w:pPr>
              <w:spacing w:after="0"/>
              <w:ind w:left="-306" w:right="-278" w:hanging="18"/>
              <w:jc w:val="center"/>
              <w:rPr>
                <w:rFonts w:cstheme="minorHAnsi"/>
                <w:sz w:val="20"/>
              </w:rPr>
            </w:pPr>
          </w:p>
        </w:tc>
        <w:tc>
          <w:tcPr>
            <w:tcW w:w="1101" w:type="dxa"/>
            <w:tcBorders>
              <w:right w:val="nil"/>
            </w:tcBorders>
            <w:shd w:val="clear" w:color="auto" w:fill="auto"/>
            <w:vAlign w:val="center"/>
          </w:tcPr>
          <w:p w:rsidR="00320BA9" w:rsidRPr="00EC7F77" w:rsidRDefault="00320BA9" w:rsidP="00107CF2">
            <w:pPr>
              <w:spacing w:after="0"/>
              <w:ind w:left="46"/>
              <w:jc w:val="center"/>
              <w:rPr>
                <w:rFonts w:cstheme="minorHAnsi"/>
                <w:sz w:val="20"/>
              </w:rPr>
            </w:pP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Participant satisfaction with programs</w:t>
            </w:r>
          </w:p>
        </w:tc>
        <w:tc>
          <w:tcPr>
            <w:tcW w:w="1890" w:type="dxa"/>
            <w:vAlign w:val="center"/>
          </w:tcPr>
          <w:p w:rsidR="00320BA9" w:rsidRPr="00EC7F77" w:rsidRDefault="00320BA9" w:rsidP="00107CF2">
            <w:pPr>
              <w:spacing w:after="0"/>
              <w:ind w:left="58"/>
              <w:jc w:val="center"/>
              <w:rPr>
                <w:rFonts w:cstheme="minorHAnsi"/>
                <w:sz w:val="20"/>
              </w:rPr>
            </w:pPr>
          </w:p>
        </w:tc>
        <w:tc>
          <w:tcPr>
            <w:tcW w:w="1091" w:type="dxa"/>
            <w:vAlign w:val="center"/>
          </w:tcPr>
          <w:p w:rsidR="00D558E8" w:rsidRPr="00EC7F77" w:rsidRDefault="00D558E8" w:rsidP="00107CF2">
            <w:pPr>
              <w:tabs>
                <w:tab w:val="num" w:pos="720"/>
              </w:tabs>
              <w:adjustRightInd w:val="0"/>
              <w:snapToGrid w:val="0"/>
              <w:spacing w:after="0"/>
              <w:ind w:left="0"/>
              <w:jc w:val="center"/>
              <w:rPr>
                <w:rFonts w:cstheme="minorHAnsi"/>
                <w:sz w:val="20"/>
              </w:rPr>
            </w:pPr>
            <w:r w:rsidRPr="00EC7F77">
              <w:rPr>
                <w:rFonts w:cstheme="minorHAnsi"/>
                <w:sz w:val="20"/>
              </w:rPr>
              <w:t>s*</w:t>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spacing w:after="0"/>
              <w:ind w:left="46"/>
              <w:jc w:val="center"/>
              <w:rPr>
                <w:rFonts w:cstheme="minorHAnsi"/>
                <w:sz w:val="20"/>
              </w:rPr>
            </w:pP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Barriers to participation, effectiveness of incentives in motivating action</w:t>
            </w:r>
          </w:p>
        </w:tc>
        <w:tc>
          <w:tcPr>
            <w:tcW w:w="1890" w:type="dxa"/>
            <w:shd w:val="clear" w:color="auto" w:fill="auto"/>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shd w:val="clear" w:color="auto" w:fill="auto"/>
            <w:vAlign w:val="center"/>
          </w:tcPr>
          <w:p w:rsidR="00320BA9" w:rsidRPr="00EC7F77" w:rsidRDefault="00D558E8" w:rsidP="00107CF2">
            <w:pPr>
              <w:tabs>
                <w:tab w:val="num" w:pos="720"/>
              </w:tabs>
              <w:adjustRightInd w:val="0"/>
              <w:snapToGrid w:val="0"/>
              <w:spacing w:after="0"/>
              <w:ind w:left="0"/>
              <w:jc w:val="center"/>
              <w:rPr>
                <w:rFonts w:cstheme="minorHAnsi"/>
                <w:sz w:val="20"/>
              </w:rPr>
            </w:pPr>
            <w:r w:rsidRPr="00EC7F77">
              <w:rPr>
                <w:rFonts w:cstheme="minorHAnsi"/>
                <w:sz w:val="20"/>
              </w:rPr>
              <w:t>s*</w:t>
            </w:r>
          </w:p>
        </w:tc>
        <w:tc>
          <w:tcPr>
            <w:tcW w:w="715" w:type="dxa"/>
            <w:shd w:val="clear" w:color="auto" w:fill="auto"/>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shd w:val="clear" w:color="auto" w:fill="auto"/>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Effectiveness of marketing and promotional efforts; status of marketing research activities</w:t>
            </w:r>
          </w:p>
        </w:tc>
        <w:tc>
          <w:tcPr>
            <w:tcW w:w="1890" w:type="dxa"/>
            <w:vAlign w:val="center"/>
          </w:tcPr>
          <w:p w:rsidR="00320BA9" w:rsidRPr="00EC7F77" w:rsidRDefault="00320BA9" w:rsidP="00107CF2">
            <w:pPr>
              <w:tabs>
                <w:tab w:val="num" w:pos="720"/>
              </w:tabs>
              <w:adjustRightInd w:val="0"/>
              <w:snapToGrid w:val="0"/>
              <w:spacing w:after="0"/>
              <w:ind w:left="58"/>
              <w:jc w:val="center"/>
              <w:rPr>
                <w:rFonts w:cstheme="minorHAnsi"/>
                <w:sz w:val="20"/>
              </w:rPr>
            </w:pPr>
            <w:r w:rsidRPr="00EC7F77">
              <w:rPr>
                <w:rFonts w:cstheme="minorHAnsi"/>
                <w:sz w:val="20"/>
              </w:rPr>
              <w:sym w:font="Wingdings" w:char="F0FC"/>
            </w:r>
          </w:p>
        </w:tc>
        <w:tc>
          <w:tcPr>
            <w:tcW w:w="1091" w:type="dxa"/>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r w:rsidR="00320BA9" w:rsidTr="00EC7F77">
        <w:trPr>
          <w:cnfStyle w:val="000000010000" w:firstRow="0" w:lastRow="0" w:firstColumn="0" w:lastColumn="0" w:oddVBand="0" w:evenVBand="0" w:oddHBand="0" w:evenHBand="1" w:firstRowFirstColumn="0" w:firstRowLastColumn="0" w:lastRowFirstColumn="0" w:lastRowLastColumn="0"/>
        </w:trPr>
        <w:tc>
          <w:tcPr>
            <w:tcW w:w="4068" w:type="dxa"/>
            <w:tcBorders>
              <w:left w:val="nil"/>
            </w:tcBorders>
            <w:shd w:val="clear" w:color="auto" w:fill="auto"/>
          </w:tcPr>
          <w:p w:rsidR="00320BA9" w:rsidRPr="00EC7F77" w:rsidRDefault="00320BA9" w:rsidP="00107CF2">
            <w:pPr>
              <w:tabs>
                <w:tab w:val="num" w:pos="720"/>
              </w:tabs>
              <w:adjustRightInd w:val="0"/>
              <w:snapToGrid w:val="0"/>
              <w:spacing w:after="0"/>
              <w:ind w:left="0"/>
              <w:jc w:val="both"/>
              <w:rPr>
                <w:rFonts w:cstheme="minorHAnsi"/>
                <w:sz w:val="20"/>
              </w:rPr>
            </w:pPr>
            <w:r w:rsidRPr="00EC7F77">
              <w:rPr>
                <w:rFonts w:cstheme="minorHAnsi"/>
                <w:sz w:val="20"/>
              </w:rPr>
              <w:t>Opportunities for process improvement and potential programs; status of Avista response to previous evaluation recommendations</w:t>
            </w:r>
          </w:p>
        </w:tc>
        <w:tc>
          <w:tcPr>
            <w:tcW w:w="1890" w:type="dxa"/>
            <w:shd w:val="clear" w:color="auto" w:fill="auto"/>
            <w:vAlign w:val="center"/>
          </w:tcPr>
          <w:p w:rsidR="00320BA9" w:rsidRPr="00EC7F77" w:rsidRDefault="00320BA9" w:rsidP="00107CF2">
            <w:pPr>
              <w:spacing w:after="0"/>
              <w:ind w:left="0"/>
              <w:jc w:val="center"/>
              <w:rPr>
                <w:rFonts w:cstheme="minorHAnsi"/>
                <w:sz w:val="20"/>
              </w:rPr>
            </w:pPr>
          </w:p>
        </w:tc>
        <w:tc>
          <w:tcPr>
            <w:tcW w:w="1091" w:type="dxa"/>
            <w:shd w:val="clear" w:color="auto" w:fill="auto"/>
            <w:vAlign w:val="center"/>
          </w:tcPr>
          <w:p w:rsidR="00320BA9" w:rsidRPr="00EC7F77" w:rsidRDefault="00320BA9" w:rsidP="00107CF2">
            <w:pPr>
              <w:tabs>
                <w:tab w:val="num" w:pos="720"/>
              </w:tabs>
              <w:adjustRightInd w:val="0"/>
              <w:snapToGrid w:val="0"/>
              <w:spacing w:after="0"/>
              <w:ind w:left="0"/>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shd w:val="clear" w:color="auto" w:fill="auto"/>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shd w:val="clear" w:color="auto" w:fill="auto"/>
            <w:vAlign w:val="center"/>
          </w:tcPr>
          <w:p w:rsidR="00320BA9" w:rsidRPr="00EC7F77" w:rsidRDefault="00116B2F" w:rsidP="00107CF2">
            <w:pPr>
              <w:tabs>
                <w:tab w:val="num" w:pos="720"/>
              </w:tabs>
              <w:adjustRightInd w:val="0"/>
              <w:snapToGrid w:val="0"/>
              <w:spacing w:after="0"/>
              <w:ind w:left="46"/>
              <w:jc w:val="center"/>
              <w:rPr>
                <w:rFonts w:cstheme="minorHAnsi"/>
                <w:sz w:val="20"/>
              </w:rPr>
            </w:pPr>
            <w:r>
              <w:rPr>
                <w:rFonts w:cstheme="minorHAnsi"/>
                <w:sz w:val="20"/>
              </w:rPr>
              <w:t>s</w:t>
            </w:r>
            <w:r w:rsidR="00D558E8" w:rsidRPr="00EC7F77">
              <w:rPr>
                <w:rFonts w:cstheme="minorHAnsi"/>
                <w:sz w:val="20"/>
              </w:rPr>
              <w:t>*</w:t>
            </w:r>
          </w:p>
        </w:tc>
      </w:tr>
      <w:tr w:rsidR="00320BA9" w:rsidTr="00EC7F77">
        <w:tc>
          <w:tcPr>
            <w:tcW w:w="4068" w:type="dxa"/>
            <w:tcBorders>
              <w:left w:val="nil"/>
            </w:tcBorders>
          </w:tcPr>
          <w:p w:rsidR="00320BA9" w:rsidRPr="00EC7F77" w:rsidRDefault="00320BA9" w:rsidP="00107CF2">
            <w:pPr>
              <w:spacing w:after="0"/>
              <w:ind w:left="0"/>
              <w:rPr>
                <w:rFonts w:cstheme="minorHAnsi"/>
                <w:sz w:val="20"/>
              </w:rPr>
            </w:pPr>
            <w:r w:rsidRPr="00EC7F77">
              <w:rPr>
                <w:rFonts w:cstheme="minorHAnsi"/>
                <w:sz w:val="20"/>
              </w:rPr>
              <w:t>Obtain data for net-to-gross analysis</w:t>
            </w:r>
          </w:p>
        </w:tc>
        <w:tc>
          <w:tcPr>
            <w:tcW w:w="1890" w:type="dxa"/>
            <w:vAlign w:val="center"/>
          </w:tcPr>
          <w:p w:rsidR="00320BA9" w:rsidRPr="00EC7F77" w:rsidRDefault="00320BA9" w:rsidP="00107CF2">
            <w:pPr>
              <w:spacing w:after="0"/>
              <w:ind w:left="0"/>
              <w:jc w:val="center"/>
              <w:rPr>
                <w:rFonts w:cstheme="minorHAnsi"/>
                <w:sz w:val="20"/>
              </w:rPr>
            </w:pPr>
          </w:p>
        </w:tc>
        <w:tc>
          <w:tcPr>
            <w:tcW w:w="1091" w:type="dxa"/>
            <w:vAlign w:val="center"/>
          </w:tcPr>
          <w:p w:rsidR="00320BA9" w:rsidRPr="00EC7F77" w:rsidRDefault="00320BA9" w:rsidP="00107CF2">
            <w:pPr>
              <w:spacing w:after="0"/>
              <w:ind w:left="0"/>
              <w:jc w:val="center"/>
              <w:rPr>
                <w:rFonts w:cstheme="minorHAnsi"/>
                <w:sz w:val="20"/>
              </w:rPr>
            </w:pPr>
          </w:p>
        </w:tc>
        <w:tc>
          <w:tcPr>
            <w:tcW w:w="715" w:type="dxa"/>
            <w:vAlign w:val="center"/>
          </w:tcPr>
          <w:p w:rsidR="00320BA9" w:rsidRPr="00EC7F77" w:rsidRDefault="00320BA9" w:rsidP="00107CF2">
            <w:pPr>
              <w:tabs>
                <w:tab w:val="num" w:pos="720"/>
              </w:tabs>
              <w:adjustRightInd w:val="0"/>
              <w:snapToGrid w:val="0"/>
              <w:spacing w:after="0"/>
              <w:ind w:left="-290" w:right="-322"/>
              <w:jc w:val="center"/>
              <w:rPr>
                <w:rFonts w:cstheme="minorHAnsi"/>
                <w:sz w:val="20"/>
              </w:rPr>
            </w:pPr>
            <w:r w:rsidRPr="00EC7F77">
              <w:rPr>
                <w:rFonts w:cstheme="minorHAnsi"/>
                <w:sz w:val="20"/>
              </w:rPr>
              <w:sym w:font="Wingdings" w:char="F0FC"/>
            </w:r>
          </w:p>
        </w:tc>
        <w:tc>
          <w:tcPr>
            <w:tcW w:w="715" w:type="dxa"/>
            <w:vAlign w:val="center"/>
          </w:tcPr>
          <w:p w:rsidR="00320BA9" w:rsidRPr="00EC7F77" w:rsidRDefault="00320BA9" w:rsidP="00107CF2">
            <w:pPr>
              <w:tabs>
                <w:tab w:val="num" w:pos="720"/>
              </w:tabs>
              <w:adjustRightInd w:val="0"/>
              <w:snapToGrid w:val="0"/>
              <w:spacing w:after="0"/>
              <w:ind w:left="-306" w:right="-278" w:hanging="18"/>
              <w:jc w:val="center"/>
              <w:rPr>
                <w:rFonts w:cstheme="minorHAnsi"/>
                <w:sz w:val="20"/>
              </w:rPr>
            </w:pPr>
            <w:r w:rsidRPr="00EC7F77">
              <w:rPr>
                <w:rFonts w:cstheme="minorHAnsi"/>
                <w:sz w:val="20"/>
              </w:rPr>
              <w:sym w:font="Wingdings" w:char="F0FC"/>
            </w:r>
          </w:p>
        </w:tc>
        <w:tc>
          <w:tcPr>
            <w:tcW w:w="1101" w:type="dxa"/>
            <w:tcBorders>
              <w:right w:val="nil"/>
            </w:tcBorders>
            <w:vAlign w:val="center"/>
          </w:tcPr>
          <w:p w:rsidR="00320BA9" w:rsidRPr="00EC7F77" w:rsidRDefault="00320BA9" w:rsidP="00107CF2">
            <w:pPr>
              <w:tabs>
                <w:tab w:val="num" w:pos="720"/>
              </w:tabs>
              <w:adjustRightInd w:val="0"/>
              <w:snapToGrid w:val="0"/>
              <w:spacing w:after="0"/>
              <w:ind w:left="46"/>
              <w:jc w:val="center"/>
              <w:rPr>
                <w:rFonts w:cstheme="minorHAnsi"/>
                <w:sz w:val="20"/>
              </w:rPr>
            </w:pPr>
            <w:r w:rsidRPr="00EC7F77">
              <w:rPr>
                <w:rFonts w:cstheme="minorHAnsi"/>
                <w:sz w:val="20"/>
              </w:rPr>
              <w:sym w:font="Wingdings" w:char="F0FC"/>
            </w:r>
          </w:p>
        </w:tc>
      </w:tr>
    </w:tbl>
    <w:p w:rsidR="00320BA9" w:rsidRPr="00B35356" w:rsidRDefault="00D558E8" w:rsidP="00107CF2">
      <w:pPr>
        <w:pStyle w:val="t"/>
        <w:keepNext/>
        <w:numPr>
          <w:ilvl w:val="0"/>
          <w:numId w:val="2"/>
        </w:numPr>
        <w:ind w:left="0"/>
        <w:rPr>
          <w:sz w:val="18"/>
          <w:szCs w:val="18"/>
        </w:rPr>
      </w:pPr>
      <w:r w:rsidRPr="00B35356">
        <w:rPr>
          <w:rFonts w:cstheme="minorHAnsi"/>
          <w:sz w:val="18"/>
          <w:szCs w:val="18"/>
        </w:rPr>
        <w:t>*indicates the source will provide secondary or supporting information</w:t>
      </w:r>
    </w:p>
    <w:p w:rsidR="00320BA9" w:rsidRDefault="000D13D3" w:rsidP="00320BA9">
      <w:pPr>
        <w:pStyle w:val="b"/>
        <w:numPr>
          <w:ilvl w:val="0"/>
          <w:numId w:val="0"/>
        </w:numPr>
      </w:pPr>
      <w:r>
        <w:fldChar w:fldCharType="begin"/>
      </w:r>
      <w:r>
        <w:instrText xml:space="preserve"> REF _Ref406154816 \h </w:instrText>
      </w:r>
      <w:r>
        <w:fldChar w:fldCharType="separate"/>
      </w:r>
      <w:r w:rsidR="00EC7F77">
        <w:t xml:space="preserve">Table </w:t>
      </w:r>
      <w:r w:rsidR="00EC7F77">
        <w:rPr>
          <w:noProof/>
        </w:rPr>
        <w:t>3</w:t>
      </w:r>
      <w:r w:rsidR="00EC7F77">
        <w:noBreakHyphen/>
      </w:r>
      <w:r w:rsidR="00EC7F77">
        <w:rPr>
          <w:noProof/>
        </w:rPr>
        <w:t>2</w:t>
      </w:r>
      <w:r>
        <w:fldChar w:fldCharType="end"/>
      </w:r>
      <w:r w:rsidR="00320BA9">
        <w:t xml:space="preserve"> provides a summary of our interview and survey data collection for the process evaluation. These sample sizes will provide 10% precision at 90% confidence for most surveys. The participant survey will provide well more than 90/10 confidence/precision at the portfolio level. The retailer survey is not designed specifically to achieve 90/10 confidence precision for the entire population of retailers. Rather, the goal is to survey retailers to account for the largest portion of sales, and so it will represent </w:t>
      </w:r>
      <w:r w:rsidR="00320BA9">
        <w:rPr>
          <w:i/>
        </w:rPr>
        <w:t>sales</w:t>
      </w:r>
      <w:r w:rsidR="00320BA9">
        <w:t xml:space="preserve"> rather than </w:t>
      </w:r>
      <w:r w:rsidR="00320BA9">
        <w:rPr>
          <w:i/>
        </w:rPr>
        <w:t>retailers</w:t>
      </w:r>
      <w:r w:rsidR="00320BA9">
        <w:t>.</w:t>
      </w:r>
    </w:p>
    <w:p w:rsidR="00320BA9" w:rsidRDefault="00320BA9" w:rsidP="00320BA9">
      <w:pPr>
        <w:pStyle w:val="Caption"/>
      </w:pPr>
      <w:bookmarkStart w:id="109" w:name="_Ref406154816"/>
      <w:r>
        <w:t xml:space="preserve">Table </w:t>
      </w:r>
      <w:fldSimple w:instr=" STYLEREF 1 \s ">
        <w:r w:rsidR="0067743A">
          <w:rPr>
            <w:noProof/>
          </w:rPr>
          <w:t>3</w:t>
        </w:r>
      </w:fldSimple>
      <w:r w:rsidR="0067743A">
        <w:noBreakHyphen/>
      </w:r>
      <w:fldSimple w:instr=" SEQ Table \* ARABIC \s 1 ">
        <w:r w:rsidR="0067743A">
          <w:rPr>
            <w:noProof/>
          </w:rPr>
          <w:t>2</w:t>
        </w:r>
      </w:fldSimple>
      <w:bookmarkEnd w:id="109"/>
      <w:r>
        <w:t>:</w:t>
      </w:r>
      <w:r w:rsidRPr="00920E84">
        <w:t xml:space="preserve"> </w:t>
      </w:r>
      <w:r>
        <w:t>Sample Sizes for Process Interviews and Surveys</w:t>
      </w:r>
    </w:p>
    <w:tbl>
      <w:tblPr>
        <w:tblStyle w:val="LightList-Accent1"/>
        <w:tblW w:w="0" w:type="auto"/>
        <w:jc w:val="center"/>
        <w:tblBorders>
          <w:left w:val="none" w:sz="0" w:space="0" w:color="auto"/>
          <w:bottom w:val="single" w:sz="8" w:space="0" w:color="1F497D" w:themeColor="text2"/>
          <w:right w:val="none" w:sz="0" w:space="0" w:color="auto"/>
          <w:insideH w:val="single" w:sz="8" w:space="0" w:color="4F81BD" w:themeColor="accent1"/>
          <w:insideV w:val="single" w:sz="8" w:space="0" w:color="1F497D" w:themeColor="text2"/>
        </w:tblBorders>
        <w:tblLayout w:type="fixed"/>
        <w:tblLook w:val="04A0" w:firstRow="1" w:lastRow="0" w:firstColumn="1" w:lastColumn="0" w:noHBand="0" w:noVBand="1"/>
      </w:tblPr>
      <w:tblGrid>
        <w:gridCol w:w="4811"/>
        <w:gridCol w:w="1367"/>
        <w:gridCol w:w="1581"/>
        <w:gridCol w:w="1581"/>
      </w:tblGrid>
      <w:tr w:rsidR="00320BA9" w:rsidRPr="00211BA2" w:rsidTr="002C4E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bottom w:val="single" w:sz="8" w:space="0" w:color="4F81BD" w:themeColor="accent1"/>
              <w:right w:val="single" w:sz="6" w:space="0" w:color="FFFFFF" w:themeColor="background1"/>
            </w:tcBorders>
            <w:shd w:val="clear" w:color="auto" w:fill="1F497D" w:themeFill="text2"/>
          </w:tcPr>
          <w:p w:rsidR="00320BA9" w:rsidRPr="00276B4A" w:rsidRDefault="00320BA9" w:rsidP="00320BA9">
            <w:pPr>
              <w:keepNext/>
              <w:spacing w:after="0"/>
              <w:rPr>
                <w:rFonts w:ascii="Calibri" w:hAnsi="Calibri" w:cs="Calibri"/>
                <w:sz w:val="20"/>
              </w:rPr>
            </w:pPr>
            <w:r>
              <w:rPr>
                <w:rFonts w:ascii="Calibri" w:hAnsi="Calibri" w:cs="Calibri"/>
                <w:sz w:val="20"/>
              </w:rPr>
              <w:t>Contact</w:t>
            </w:r>
          </w:p>
        </w:tc>
        <w:tc>
          <w:tcPr>
            <w:tcW w:w="1367" w:type="dxa"/>
            <w:tcBorders>
              <w:left w:val="single" w:sz="6" w:space="0" w:color="FFFFFF" w:themeColor="background1"/>
              <w:bottom w:val="single" w:sz="8" w:space="0" w:color="4F81BD" w:themeColor="accent1"/>
              <w:right w:val="single" w:sz="6" w:space="0" w:color="FFFFFF" w:themeColor="background1"/>
            </w:tcBorders>
            <w:shd w:val="clear" w:color="auto" w:fill="1F497D" w:themeFill="text2"/>
          </w:tcPr>
          <w:p w:rsidR="00320BA9"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Sample Size</w:t>
            </w:r>
          </w:p>
        </w:tc>
        <w:tc>
          <w:tcPr>
            <w:tcW w:w="1581" w:type="dxa"/>
            <w:tcBorders>
              <w:left w:val="single" w:sz="6" w:space="0" w:color="FFFFFF" w:themeColor="background1"/>
              <w:bottom w:val="single" w:sz="8" w:space="0" w:color="4F81BD" w:themeColor="accent1"/>
              <w:right w:val="single" w:sz="6" w:space="0" w:color="FFFFFF" w:themeColor="background1"/>
            </w:tcBorders>
            <w:shd w:val="clear" w:color="auto" w:fill="1F497D" w:themeFill="text2"/>
          </w:tcPr>
          <w:p w:rsidR="00320BA9" w:rsidRPr="00276B4A"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Method</w:t>
            </w:r>
          </w:p>
        </w:tc>
        <w:tc>
          <w:tcPr>
            <w:tcW w:w="1581" w:type="dxa"/>
            <w:tcBorders>
              <w:left w:val="single" w:sz="6" w:space="0" w:color="FFFFFF" w:themeColor="background1"/>
              <w:bottom w:val="single" w:sz="8" w:space="0" w:color="4F81BD" w:themeColor="accent1"/>
            </w:tcBorders>
            <w:shd w:val="clear" w:color="auto" w:fill="1F497D" w:themeFill="text2"/>
          </w:tcPr>
          <w:p w:rsidR="00320BA9" w:rsidRDefault="00320BA9" w:rsidP="00320BA9">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Precision</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left w:val="none" w:sz="0" w:space="0" w:color="auto"/>
              <w:bottom w:val="single" w:sz="6" w:space="0" w:color="1F497D" w:themeColor="text2"/>
              <w:right w:val="single" w:sz="6" w:space="0" w:color="1F497D" w:themeColor="text2"/>
            </w:tcBorders>
          </w:tcPr>
          <w:p w:rsidR="00320BA9" w:rsidRPr="004D1B9D" w:rsidRDefault="00320BA9" w:rsidP="00320BA9">
            <w:pPr>
              <w:keepNext/>
              <w:spacing w:after="0"/>
              <w:ind w:left="0"/>
              <w:rPr>
                <w:rFonts w:ascii="Calibri" w:hAnsi="Calibri" w:cs="Calibri"/>
                <w:b w:val="0"/>
                <w:sz w:val="20"/>
              </w:rPr>
            </w:pPr>
            <w:r w:rsidRPr="00364D09">
              <w:rPr>
                <w:rFonts w:ascii="Calibri" w:hAnsi="Calibri" w:cs="Calibri"/>
                <w:sz w:val="20"/>
              </w:rPr>
              <w:t>Program Staff (Avista and Implementation Contractor)</w:t>
            </w:r>
          </w:p>
        </w:tc>
        <w:tc>
          <w:tcPr>
            <w:tcW w:w="1367" w:type="dxa"/>
            <w:tcBorders>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15 to 20</w:t>
            </w:r>
          </w:p>
        </w:tc>
        <w:tc>
          <w:tcPr>
            <w:tcW w:w="1581" w:type="dxa"/>
            <w:tcBorders>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Interview</w:t>
            </w:r>
          </w:p>
        </w:tc>
        <w:tc>
          <w:tcPr>
            <w:tcW w:w="1581" w:type="dxa"/>
            <w:tcBorders>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n/a</w:t>
            </w:r>
          </w:p>
        </w:tc>
      </w:tr>
      <w:tr w:rsidR="00320BA9" w:rsidRPr="00211BA2" w:rsidTr="002C4E89">
        <w:trPr>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Participating Customers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66</w:t>
            </w:r>
            <w:r w:rsidR="000D13D3">
              <w:rPr>
                <w:rFonts w:ascii="Calibri" w:hAnsi="Calibri" w:cs="Calibri"/>
                <w:sz w:val="20"/>
              </w:rPr>
              <w:t>5</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Nonparticipating Customers – Residential</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67</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Nonparticipating Customers – Nonresidential</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67</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6" w:space="0" w:color="1F497D" w:themeColor="text2"/>
              <w:right w:val="single" w:sz="6" w:space="0" w:color="1F497D" w:themeColor="text2"/>
            </w:tcBorders>
          </w:tcPr>
          <w:p w:rsidR="00320BA9" w:rsidRPr="007331A1" w:rsidRDefault="00320BA9" w:rsidP="00613C1E">
            <w:pPr>
              <w:keepNext/>
              <w:spacing w:after="0"/>
              <w:ind w:left="0"/>
              <w:rPr>
                <w:rFonts w:ascii="Calibri" w:hAnsi="Calibri" w:cs="Calibri"/>
                <w:b w:val="0"/>
                <w:sz w:val="20"/>
              </w:rPr>
            </w:pPr>
            <w:r w:rsidRPr="00364D09">
              <w:rPr>
                <w:rFonts w:ascii="Calibri" w:hAnsi="Calibri" w:cs="Calibri"/>
                <w:sz w:val="20"/>
              </w:rPr>
              <w:t xml:space="preserve">Participating </w:t>
            </w:r>
            <w:r w:rsidR="00613C1E">
              <w:rPr>
                <w:rFonts w:ascii="Calibri" w:hAnsi="Calibri" w:cs="Calibri"/>
                <w:sz w:val="20"/>
              </w:rPr>
              <w:t>Trade Allies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75</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90/10</w:t>
            </w:r>
          </w:p>
        </w:tc>
      </w:tr>
      <w:tr w:rsidR="00320BA9" w:rsidRPr="00211BA2" w:rsidTr="002C4E89">
        <w:trPr>
          <w:trHeight w:val="65"/>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bottom w:val="single" w:sz="6" w:space="0" w:color="1F497D" w:themeColor="text2"/>
              <w:right w:val="single" w:sz="6" w:space="0" w:color="1F497D" w:themeColor="text2"/>
            </w:tcBorders>
          </w:tcPr>
          <w:p w:rsidR="00320BA9" w:rsidRPr="007331A1" w:rsidRDefault="00320BA9" w:rsidP="00320BA9">
            <w:pPr>
              <w:keepNext/>
              <w:spacing w:after="0"/>
              <w:ind w:left="0"/>
              <w:rPr>
                <w:rFonts w:ascii="Calibri" w:hAnsi="Calibri" w:cs="Calibri"/>
                <w:b w:val="0"/>
                <w:sz w:val="20"/>
              </w:rPr>
            </w:pPr>
            <w:r w:rsidRPr="00364D09">
              <w:rPr>
                <w:rFonts w:ascii="Calibri" w:hAnsi="Calibri" w:cs="Calibri"/>
                <w:sz w:val="20"/>
              </w:rPr>
              <w:t>Participating Buy-down Lighting Retailers</w:t>
            </w:r>
          </w:p>
        </w:tc>
        <w:tc>
          <w:tcPr>
            <w:tcW w:w="1367"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30 to 50</w:t>
            </w:r>
          </w:p>
        </w:tc>
        <w:tc>
          <w:tcPr>
            <w:tcW w:w="1581" w:type="dxa"/>
            <w:tcBorders>
              <w:top w:val="single" w:sz="6" w:space="0" w:color="1F497D" w:themeColor="text2"/>
              <w:left w:val="single" w:sz="6" w:space="0" w:color="1F497D" w:themeColor="text2"/>
              <w:bottom w:val="single" w:sz="6" w:space="0" w:color="1F497D" w:themeColor="text2"/>
              <w:right w:val="single" w:sz="6" w:space="0" w:color="1F497D" w:themeColor="text2"/>
            </w:tcBorders>
          </w:tcPr>
          <w:p w:rsidR="00320BA9" w:rsidRPr="00616DEF"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Survey</w:t>
            </w:r>
          </w:p>
        </w:tc>
        <w:tc>
          <w:tcPr>
            <w:tcW w:w="1581" w:type="dxa"/>
            <w:tcBorders>
              <w:top w:val="single" w:sz="6" w:space="0" w:color="1F497D" w:themeColor="text2"/>
              <w:left w:val="single" w:sz="6" w:space="0" w:color="1F497D" w:themeColor="text2"/>
              <w:bottom w:val="single" w:sz="6" w:space="0" w:color="1F497D" w:themeColor="text2"/>
            </w:tcBorders>
          </w:tcPr>
          <w:p w:rsidR="00320BA9" w:rsidRDefault="00320BA9" w:rsidP="00320BA9">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n/a</w:t>
            </w:r>
          </w:p>
        </w:tc>
      </w:tr>
      <w:tr w:rsidR="00320BA9" w:rsidRPr="00211BA2" w:rsidTr="002C4E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Borders>
              <w:top w:val="single" w:sz="6" w:space="0" w:color="1F497D" w:themeColor="text2"/>
              <w:left w:val="none" w:sz="0" w:space="0" w:color="auto"/>
              <w:bottom w:val="single" w:sz="8" w:space="0" w:color="1F497D" w:themeColor="text2"/>
              <w:right w:val="single" w:sz="6" w:space="0" w:color="1F497D" w:themeColor="text2"/>
            </w:tcBorders>
          </w:tcPr>
          <w:p w:rsidR="00320BA9" w:rsidRPr="00211BA2" w:rsidRDefault="00320BA9" w:rsidP="00320BA9">
            <w:pPr>
              <w:keepNext/>
              <w:spacing w:after="0"/>
              <w:ind w:left="0"/>
              <w:rPr>
                <w:rFonts w:ascii="Calibri" w:hAnsi="Calibri" w:cs="Calibri"/>
                <w:sz w:val="20"/>
              </w:rPr>
            </w:pPr>
            <w:r>
              <w:rPr>
                <w:rFonts w:ascii="Calibri" w:hAnsi="Calibri" w:cs="Calibri"/>
                <w:sz w:val="20"/>
              </w:rPr>
              <w:t>TOTAL</w:t>
            </w:r>
          </w:p>
        </w:tc>
        <w:tc>
          <w:tcPr>
            <w:tcW w:w="1367" w:type="dxa"/>
            <w:tcBorders>
              <w:top w:val="single" w:sz="6" w:space="0" w:color="1F497D" w:themeColor="text2"/>
              <w:left w:val="single" w:sz="6" w:space="0" w:color="1F497D" w:themeColor="text2"/>
              <w:bottom w:val="single" w:sz="8" w:space="0" w:color="1F497D" w:themeColor="text2"/>
              <w:right w:val="single" w:sz="6" w:space="0" w:color="1F497D" w:themeColor="text2"/>
            </w:tcBorders>
          </w:tcPr>
          <w:p w:rsidR="00320BA9" w:rsidRPr="00EC7F77" w:rsidRDefault="00320BA9" w:rsidP="00EC7F77">
            <w:pPr>
              <w:keepNext/>
              <w:tabs>
                <w:tab w:val="num" w:pos="720"/>
              </w:tabs>
              <w:adjustRightInd w:val="0"/>
              <w:snapToGrid w:val="0"/>
              <w:spacing w:after="0"/>
              <w:ind w:left="0" w:hanging="7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92</w:t>
            </w:r>
            <w:r w:rsidR="000D13D3" w:rsidRPr="00EC7F77">
              <w:rPr>
                <w:rFonts w:ascii="Calibri" w:hAnsi="Calibri" w:cs="Calibri"/>
                <w:b/>
                <w:sz w:val="20"/>
              </w:rPr>
              <w:t>0</w:t>
            </w:r>
            <w:r w:rsidRPr="00EC7F77">
              <w:rPr>
                <w:rFonts w:ascii="Calibri" w:hAnsi="Calibri" w:cs="Calibri"/>
                <w:b/>
                <w:sz w:val="20"/>
              </w:rPr>
              <w:t xml:space="preserve"> to 948</w:t>
            </w:r>
          </w:p>
        </w:tc>
        <w:tc>
          <w:tcPr>
            <w:tcW w:w="1581" w:type="dxa"/>
            <w:tcBorders>
              <w:top w:val="single" w:sz="6" w:space="0" w:color="1F497D" w:themeColor="text2"/>
              <w:left w:val="single" w:sz="6" w:space="0" w:color="1F497D" w:themeColor="text2"/>
              <w:bottom w:val="single" w:sz="8" w:space="0" w:color="1F497D" w:themeColor="text2"/>
              <w:right w:val="single" w:sz="6" w:space="0" w:color="1F497D" w:themeColor="text2"/>
            </w:tcBorders>
          </w:tcPr>
          <w:p w:rsidR="00320BA9" w:rsidRPr="00EC7F77" w:rsidRDefault="00320BA9" w:rsidP="00EC7F77">
            <w:pPr>
              <w:keepNext/>
              <w:tabs>
                <w:tab w:val="num" w:pos="720"/>
              </w:tabs>
              <w:adjustRightInd w:val="0"/>
              <w:snapToGrid w:val="0"/>
              <w:spacing w:after="0"/>
              <w:ind w:left="0" w:hanging="7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Mixed Methods</w:t>
            </w:r>
          </w:p>
        </w:tc>
        <w:tc>
          <w:tcPr>
            <w:tcW w:w="1581" w:type="dxa"/>
            <w:tcBorders>
              <w:top w:val="single" w:sz="6" w:space="0" w:color="1F497D" w:themeColor="text2"/>
              <w:left w:val="single" w:sz="6" w:space="0" w:color="1F497D" w:themeColor="text2"/>
              <w:bottom w:val="single" w:sz="8" w:space="0" w:color="1F497D" w:themeColor="text2"/>
              <w:right w:val="none" w:sz="0" w:space="0" w:color="auto"/>
            </w:tcBorders>
          </w:tcPr>
          <w:p w:rsidR="00320BA9" w:rsidRDefault="00320BA9" w:rsidP="00320BA9">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bl>
    <w:p w:rsidR="00320BA9" w:rsidRDefault="00320BA9" w:rsidP="00320BA9">
      <w:pPr>
        <w:pStyle w:val="t"/>
        <w:numPr>
          <w:ilvl w:val="0"/>
          <w:numId w:val="0"/>
        </w:numPr>
        <w:ind w:left="360"/>
      </w:pPr>
    </w:p>
    <w:p w:rsidR="00320BA9" w:rsidRDefault="00320BA9" w:rsidP="00320BA9">
      <w:pPr>
        <w:pStyle w:val="t"/>
        <w:numPr>
          <w:ilvl w:val="0"/>
          <w:numId w:val="2"/>
        </w:numPr>
        <w:ind w:left="0"/>
      </w:pPr>
      <w:r>
        <w:lastRenderedPageBreak/>
        <w:t>We provide details of our planned evaluation activities for each of the interviewed or surveyed data sources in the subsequent section. Specifically, we identify the primary research questions that will guide instrument development</w:t>
      </w:r>
      <w:r w:rsidR="00116B2F">
        <w:t xml:space="preserve">, </w:t>
      </w:r>
      <w:r>
        <w:t>any sampling considerations</w:t>
      </w:r>
      <w:r w:rsidR="00116B2F">
        <w:t xml:space="preserve">, </w:t>
      </w:r>
      <w:r>
        <w:t>and details of how we will implement the data collection activities. In all cases, we will submit a draft data collection instrument to the Avista evaluation lead and will revise the instrument based on comments received.</w:t>
      </w:r>
    </w:p>
    <w:p w:rsidR="00320BA9" w:rsidRDefault="00320BA9" w:rsidP="00320BA9">
      <w:pPr>
        <w:pStyle w:val="t"/>
        <w:numPr>
          <w:ilvl w:val="0"/>
          <w:numId w:val="2"/>
        </w:numPr>
        <w:ind w:left="0"/>
      </w:pPr>
      <w:r>
        <w:t xml:space="preserve">We will analyze all data using the most appropriate method for the specific type of data and for the specific research questions asked. </w:t>
      </w:r>
      <w:r w:rsidRPr="00BB796B">
        <w:t xml:space="preserve">The </w:t>
      </w:r>
      <w:r>
        <w:t xml:space="preserve">in-depth </w:t>
      </w:r>
      <w:r w:rsidRPr="00BB796B">
        <w:t>interviews will consist pri</w:t>
      </w:r>
      <w:r>
        <w:t>marily of open-ended questions, while the surveys will be primarily close-ended, with some brief open-ended items.</w:t>
      </w:r>
    </w:p>
    <w:p w:rsidR="00320BA9" w:rsidRDefault="00320BA9" w:rsidP="00320BA9">
      <w:pPr>
        <w:pStyle w:val="t"/>
        <w:numPr>
          <w:ilvl w:val="0"/>
          <w:numId w:val="2"/>
        </w:numPr>
        <w:ind w:left="0"/>
      </w:pPr>
      <w:r>
        <w:t>W</w:t>
      </w:r>
      <w:r w:rsidRPr="00B45F85">
        <w:t>hen there are a substantial number of respondents</w:t>
      </w:r>
      <w:r>
        <w:t>,</w:t>
      </w:r>
      <w:r w:rsidRPr="00B45F85">
        <w:t xml:space="preserve"> </w:t>
      </w:r>
      <w:r>
        <w:t>w</w:t>
      </w:r>
      <w:r w:rsidRPr="00B45F85">
        <w:t>e use NV</w:t>
      </w:r>
      <w:r>
        <w:t>ivo, a proprietary software tool</w:t>
      </w:r>
      <w:r w:rsidRPr="00B45F85">
        <w:t xml:space="preserve"> for analysis of </w:t>
      </w:r>
      <w:r>
        <w:t>qualitative data</w:t>
      </w:r>
      <w:r w:rsidRPr="00B45F85">
        <w:t>.</w:t>
      </w:r>
      <w:r w:rsidRPr="00EC7F77">
        <w:rPr>
          <w:rStyle w:val="FootnoteReference"/>
          <w:rFonts w:ascii="Arial" w:hAnsi="Arial"/>
          <w:sz w:val="12"/>
          <w:szCs w:val="24"/>
        </w:rPr>
        <w:footnoteReference w:id="4"/>
      </w:r>
      <w:r w:rsidRPr="00B45F85">
        <w:t xml:space="preserve"> </w:t>
      </w:r>
      <w:r>
        <w:t xml:space="preserve">This tool allows any response to be associated </w:t>
      </w:r>
      <w:r w:rsidRPr="00BB796B">
        <w:t xml:space="preserve">with multiple codes. </w:t>
      </w:r>
      <w:r>
        <w:t>C</w:t>
      </w:r>
      <w:r w:rsidRPr="00BB796B">
        <w:t xml:space="preserve">odes </w:t>
      </w:r>
      <w:r>
        <w:t xml:space="preserve">may be based on </w:t>
      </w:r>
      <w:r w:rsidRPr="00BB796B">
        <w:rPr>
          <w:i/>
        </w:rPr>
        <w:t>a priori</w:t>
      </w:r>
      <w:r>
        <w:t xml:space="preserve"> considerations (as identified by </w:t>
      </w:r>
      <w:r w:rsidRPr="00BB796B">
        <w:t>interview guide topics</w:t>
      </w:r>
      <w:r>
        <w:t>, for example)</w:t>
      </w:r>
      <w:r w:rsidRPr="00BB796B">
        <w:t xml:space="preserve"> or </w:t>
      </w:r>
      <w:r>
        <w:t xml:space="preserve">may arise from a content analysis of </w:t>
      </w:r>
      <w:r w:rsidRPr="00BB796B">
        <w:t>the responses themselves.</w:t>
      </w:r>
      <w:r>
        <w:t xml:space="preserve"> This tool also allows for cross-tabulation of coded responses by other variables, such as respondent subgroups.</w:t>
      </w:r>
    </w:p>
    <w:p w:rsidR="00320BA9" w:rsidRPr="00BB796B" w:rsidRDefault="00320BA9" w:rsidP="00320BA9">
      <w:pPr>
        <w:pStyle w:val="t"/>
        <w:numPr>
          <w:ilvl w:val="0"/>
          <w:numId w:val="2"/>
        </w:numPr>
        <w:ind w:left="0"/>
      </w:pPr>
      <w:r w:rsidRPr="00BB796B">
        <w:t xml:space="preserve">The </w:t>
      </w:r>
      <w:r>
        <w:t>e</w:t>
      </w:r>
      <w:r w:rsidRPr="00BB796B">
        <w:t xml:space="preserve">valuation </w:t>
      </w:r>
      <w:r>
        <w:t>t</w:t>
      </w:r>
      <w:r w:rsidRPr="00BB796B">
        <w:t xml:space="preserve">eam will analyze </w:t>
      </w:r>
      <w:r>
        <w:t>survey data (</w:t>
      </w:r>
      <w:r w:rsidRPr="00BB796B">
        <w:t xml:space="preserve">close-ended </w:t>
      </w:r>
      <w:r>
        <w:t xml:space="preserve">responses such as scales and categorical responses) </w:t>
      </w:r>
      <w:r w:rsidRPr="00BB796B">
        <w:t xml:space="preserve">with SPSS software, using both descriptive (e.g., frequency tables) and inferential methods (e.g., chi-square or Kruskal-Wallis H for nonparametric data and ANOVA for parametric data). </w:t>
      </w:r>
      <w:r>
        <w:t xml:space="preserve">We will analyze responses to open-end survey questions (e.g., an “other-specify” response from a multiple-choice item) by carrying out a content-analysis of responses using spreadsheet software such as Microsoft Excel. We will use inferential methods to investigate differences between specific groups. For example, we can examine whether program satisfaction or various aspects of program experience differ among participant subgroups. </w:t>
      </w:r>
    </w:p>
    <w:p w:rsidR="00320BA9" w:rsidRPr="00FA15C7" w:rsidRDefault="00320BA9" w:rsidP="00320BA9">
      <w:pPr>
        <w:pStyle w:val="t"/>
        <w:numPr>
          <w:ilvl w:val="0"/>
          <w:numId w:val="2"/>
        </w:numPr>
        <w:ind w:left="0"/>
      </w:pPr>
      <w:r>
        <w:t>Below, w</w:t>
      </w:r>
      <w:r w:rsidRPr="0036497A">
        <w:t>e</w:t>
      </w:r>
      <w:r>
        <w:t xml:space="preserve"> organize our process evaluation activities into three areas: 1) inward-facing activities</w:t>
      </w:r>
      <w:r w:rsidR="00364D09">
        <w:t xml:space="preserve">, </w:t>
      </w:r>
      <w:r>
        <w:t>2) m</w:t>
      </w:r>
      <w:r w:rsidRPr="0080626C">
        <w:t>arket feedback</w:t>
      </w:r>
      <w:r w:rsidR="00364D09">
        <w:t>,</w:t>
      </w:r>
      <w:r w:rsidR="00364D09" w:rsidRPr="0080626C">
        <w:t xml:space="preserve"> </w:t>
      </w:r>
      <w:r w:rsidRPr="0080626C">
        <w:t>and</w:t>
      </w:r>
      <w:r>
        <w:t xml:space="preserve"> 3) s</w:t>
      </w:r>
      <w:r w:rsidRPr="0080626C">
        <w:t>pecial studies</w:t>
      </w:r>
      <w:r>
        <w:t>. Within each area, we describe the planned evaluation activities for each of the relevant interviewed or surveyed data sources.</w:t>
      </w:r>
    </w:p>
    <w:p w:rsidR="00320BA9" w:rsidRDefault="00320BA9" w:rsidP="00320BA9">
      <w:pPr>
        <w:pStyle w:val="Heading2"/>
      </w:pPr>
      <w:bookmarkStart w:id="110" w:name="_Toc404778289"/>
      <w:bookmarkStart w:id="111" w:name="_Ref406154771"/>
      <w:bookmarkStart w:id="112" w:name="_Toc409095412"/>
      <w:r>
        <w:t>Inward Facing Activities</w:t>
      </w:r>
      <w:bookmarkEnd w:id="110"/>
      <w:bookmarkEnd w:id="111"/>
      <w:bookmarkEnd w:id="112"/>
    </w:p>
    <w:p w:rsidR="00320BA9" w:rsidRDefault="00320BA9" w:rsidP="00BC76D0">
      <w:pPr>
        <w:pStyle w:val="t"/>
      </w:pPr>
      <w:r>
        <w:t>As described above, a key component of a process evaluation is identifying opportunities to improve program effectiveness and efficiency as well as identify opportunities for future programs. One useful perspective for viewing program-related activities is the inside view of the program among those working with the residential and nonresidential programs on a daily basis: the program staff and implementation contractors. We will review existing program documentation and interview both Avista program staff as well as representatives of program implementation contractors</w:t>
      </w:r>
      <w:r w:rsidR="00D558E8">
        <w:t xml:space="preserve"> (both internal to Avista and third-party)</w:t>
      </w:r>
      <w:r>
        <w:t xml:space="preserve">. Interviews with program staff are especially important in light of the mid-year 2014 organizational restructuring. </w:t>
      </w:r>
    </w:p>
    <w:p w:rsidR="00320BA9" w:rsidRDefault="00320BA9" w:rsidP="00BC76D0">
      <w:pPr>
        <w:pStyle w:val="t"/>
      </w:pPr>
      <w:r>
        <w:lastRenderedPageBreak/>
        <w:t>As described in more detail below, we will conduct several rounds of in-depth interviews (IDIs) beginning in early 2015. These IDIs will enable us to:</w:t>
      </w:r>
    </w:p>
    <w:p w:rsidR="00320BA9" w:rsidRDefault="00320BA9" w:rsidP="007E5313">
      <w:pPr>
        <w:pStyle w:val="b"/>
      </w:pPr>
      <w:r>
        <w:t xml:space="preserve">Assess and revise as needed the </w:t>
      </w:r>
      <w:r w:rsidRPr="00C51895">
        <w:t xml:space="preserve">program logic </w:t>
      </w:r>
      <w:r>
        <w:t>models</w:t>
      </w:r>
      <w:r w:rsidR="005B052A">
        <w:t>,</w:t>
      </w:r>
    </w:p>
    <w:p w:rsidR="00320BA9" w:rsidRDefault="00320BA9" w:rsidP="007E5313">
      <w:pPr>
        <w:pStyle w:val="b"/>
      </w:pPr>
      <w:r w:rsidRPr="00C51895">
        <w:t>Develop basic program flow diagra</w:t>
      </w:r>
      <w:r>
        <w:t>ms and identify any bottlenecks</w:t>
      </w:r>
      <w:r w:rsidR="005B052A">
        <w:t>,</w:t>
      </w:r>
    </w:p>
    <w:p w:rsidR="00320BA9" w:rsidRDefault="00320BA9" w:rsidP="007E5313">
      <w:pPr>
        <w:pStyle w:val="b"/>
      </w:pPr>
      <w:r>
        <w:t>Assess effectiveness of organizational structure, communication, program processes</w:t>
      </w:r>
      <w:r w:rsidR="005B052A">
        <w:t>,</w:t>
      </w:r>
    </w:p>
    <w:p w:rsidR="00320BA9" w:rsidRDefault="00320BA9" w:rsidP="007E5313">
      <w:pPr>
        <w:pStyle w:val="b"/>
      </w:pPr>
      <w:r w:rsidRPr="00C51895">
        <w:t>Learn of status of past recommendations and any plan</w:t>
      </w:r>
      <w:r>
        <w:t>s for changes or new activities</w:t>
      </w:r>
      <w:r w:rsidR="005B052A">
        <w:t>,</w:t>
      </w:r>
    </w:p>
    <w:p w:rsidR="00320BA9" w:rsidRDefault="00320BA9" w:rsidP="007E5313">
      <w:pPr>
        <w:pStyle w:val="b"/>
      </w:pPr>
      <w:r w:rsidRPr="00F86F69">
        <w:t>Understand strategic, market, and programmatic issues of concern to staff, and</w:t>
      </w:r>
    </w:p>
    <w:p w:rsidR="00320BA9" w:rsidRDefault="00320BA9" w:rsidP="007E5313">
      <w:pPr>
        <w:pStyle w:val="b"/>
      </w:pPr>
      <w:r w:rsidRPr="00F86F69">
        <w:t>Solicit ideas for program improvements and opportunities</w:t>
      </w:r>
      <w:r w:rsidR="005B052A">
        <w:t>.</w:t>
      </w:r>
    </w:p>
    <w:p w:rsidR="007E5313" w:rsidRDefault="007E5313" w:rsidP="007E5313">
      <w:pPr>
        <w:pStyle w:val="b"/>
        <w:numPr>
          <w:ilvl w:val="0"/>
          <w:numId w:val="0"/>
        </w:numPr>
        <w:ind w:left="1080"/>
      </w:pPr>
    </w:p>
    <w:p w:rsidR="00320BA9" w:rsidRDefault="00320BA9" w:rsidP="00531D0A">
      <w:pPr>
        <w:pStyle w:val="Heading3"/>
      </w:pPr>
      <w:bookmarkStart w:id="113" w:name="_Toc409095413"/>
      <w:r>
        <w:t xml:space="preserve">Interview Guide </w:t>
      </w:r>
      <w:r w:rsidRPr="00B26A95">
        <w:t>Development</w:t>
      </w:r>
      <w:bookmarkEnd w:id="113"/>
    </w:p>
    <w:p w:rsidR="00320BA9" w:rsidRDefault="000D13D3" w:rsidP="00B35356">
      <w:pPr>
        <w:pStyle w:val="t"/>
      </w:pPr>
      <w:r>
        <w:t xml:space="preserve">The evaluation team </w:t>
      </w:r>
      <w:r w:rsidR="00320BA9">
        <w:t>will draft a single, comprehensive interview guide that senior evaluation team staff can tailor as-needed to accommodate the role and expertise of individual interview contacts. While preparing the guide, we will draw extensively on available program</w:t>
      </w:r>
      <w:r w:rsidR="00B008E3">
        <w:t xml:space="preserve"> documentation</w:t>
      </w:r>
      <w:r w:rsidR="00320BA9">
        <w:t xml:space="preserve"> such as the 2014 and 2015 Demand-Side Management Business Plans. As appropriate, we will request and review additional documentation such as Avista’s descriptions of marketing and outreach activities.</w:t>
      </w:r>
    </w:p>
    <w:p w:rsidR="00320BA9" w:rsidRDefault="00320BA9" w:rsidP="00B35356">
      <w:pPr>
        <w:pStyle w:val="t"/>
      </w:pPr>
      <w:r>
        <w:t>We will coordinate specific topic areas with Avista</w:t>
      </w:r>
      <w:r w:rsidR="00B008E3">
        <w:t xml:space="preserve"> including the following</w:t>
      </w:r>
      <w:r>
        <w:t>:</w:t>
      </w:r>
    </w:p>
    <w:p w:rsidR="00320BA9" w:rsidRDefault="00320BA9" w:rsidP="007E5313">
      <w:pPr>
        <w:pStyle w:val="b"/>
      </w:pPr>
      <w:r>
        <w:t>the contact’s role and responsibilities</w:t>
      </w:r>
      <w:r w:rsidR="005B052A">
        <w:t>,</w:t>
      </w:r>
    </w:p>
    <w:p w:rsidR="00320BA9" w:rsidRDefault="00320BA9" w:rsidP="007E5313">
      <w:pPr>
        <w:pStyle w:val="b"/>
      </w:pPr>
      <w:r>
        <w:t>objectives, activities, and expected outcomes for each program</w:t>
      </w:r>
      <w:r w:rsidR="005B052A">
        <w:t>,</w:t>
      </w:r>
    </w:p>
    <w:p w:rsidR="00320BA9" w:rsidRDefault="00320BA9" w:rsidP="007E5313">
      <w:pPr>
        <w:pStyle w:val="b"/>
      </w:pPr>
      <w:r>
        <w:t>program- and market-related barriers</w:t>
      </w:r>
      <w:r w:rsidR="005B052A">
        <w:t>,</w:t>
      </w:r>
    </w:p>
    <w:p w:rsidR="00320BA9" w:rsidRDefault="00320BA9" w:rsidP="007E5313">
      <w:pPr>
        <w:pStyle w:val="b"/>
      </w:pPr>
      <w:r>
        <w:t xml:space="preserve">staff organization (Avista’s or </w:t>
      </w:r>
      <w:r w:rsidR="00B008E3">
        <w:t xml:space="preserve">third party </w:t>
      </w:r>
      <w:r>
        <w:t>implementation contractor’s)</w:t>
      </w:r>
      <w:r w:rsidR="005B052A">
        <w:t>,</w:t>
      </w:r>
    </w:p>
    <w:p w:rsidR="00320BA9" w:rsidRDefault="00320BA9" w:rsidP="007E5313">
      <w:pPr>
        <w:pStyle w:val="b"/>
      </w:pPr>
      <w:r>
        <w:t>perceptions regarding the mid-year 2014 Avista organizational changes</w:t>
      </w:r>
      <w:r w:rsidR="005B052A">
        <w:t>,</w:t>
      </w:r>
    </w:p>
    <w:p w:rsidR="00320BA9" w:rsidRDefault="00320BA9" w:rsidP="007E5313">
      <w:pPr>
        <w:pStyle w:val="b"/>
      </w:pPr>
      <w:r>
        <w:t>program support such as marketing and outreach</w:t>
      </w:r>
      <w:r w:rsidR="005B052A">
        <w:t>,</w:t>
      </w:r>
    </w:p>
    <w:p w:rsidR="00320BA9" w:rsidRDefault="00320BA9" w:rsidP="007E5313">
      <w:pPr>
        <w:pStyle w:val="b"/>
      </w:pPr>
      <w:r>
        <w:t>program tracking databases (including changes since the 2012-2013 evaluation)</w:t>
      </w:r>
      <w:r w:rsidR="005B052A">
        <w:t>,</w:t>
      </w:r>
    </w:p>
    <w:p w:rsidR="00320BA9" w:rsidRDefault="00320BA9" w:rsidP="007E5313">
      <w:pPr>
        <w:pStyle w:val="b"/>
      </w:pPr>
      <w:r>
        <w:t>Avista’s responses to previous evaluation recommendations</w:t>
      </w:r>
      <w:r w:rsidR="005B052A">
        <w:t>,</w:t>
      </w:r>
    </w:p>
    <w:p w:rsidR="00320BA9" w:rsidRDefault="00320BA9" w:rsidP="007E5313">
      <w:pPr>
        <w:pStyle w:val="b"/>
      </w:pPr>
      <w:r>
        <w:t>issues of concern relevant to the 2014-2015 evaluation</w:t>
      </w:r>
      <w:r w:rsidR="005B052A">
        <w:t>, and</w:t>
      </w:r>
    </w:p>
    <w:p w:rsidR="00320BA9" w:rsidRDefault="00320BA9" w:rsidP="007E5313">
      <w:pPr>
        <w:pStyle w:val="b"/>
      </w:pPr>
      <w:r>
        <w:t>additional research issues to address through the current evaluation</w:t>
      </w:r>
      <w:r w:rsidR="005B052A">
        <w:t>.</w:t>
      </w:r>
    </w:p>
    <w:p w:rsidR="005B052A" w:rsidRDefault="005B052A" w:rsidP="002C4E89">
      <w:pPr>
        <w:pStyle w:val="b"/>
        <w:numPr>
          <w:ilvl w:val="0"/>
          <w:numId w:val="0"/>
        </w:numPr>
        <w:ind w:left="720"/>
      </w:pPr>
    </w:p>
    <w:p w:rsidR="00320BA9" w:rsidRDefault="00320BA9" w:rsidP="00531D0A">
      <w:pPr>
        <w:pStyle w:val="Heading3"/>
      </w:pPr>
      <w:bookmarkStart w:id="114" w:name="_Toc409095414"/>
      <w:r>
        <w:t>Initial Interviews with Avista and Third Party Implementer Staff</w:t>
      </w:r>
      <w:bookmarkEnd w:id="114"/>
    </w:p>
    <w:p w:rsidR="00320BA9" w:rsidRDefault="00320BA9" w:rsidP="00B35356">
      <w:pPr>
        <w:pStyle w:val="t"/>
      </w:pPr>
      <w:r>
        <w:t>Following Avista’s approval of the final interview guide, the process evaluation leads for the residential and nonresidential programs will schedule and conduct approximately one-hour telephone interviews with key Avista staff. We will audio record all interviews to ensure that we accurately capture all responses provided by staff.</w:t>
      </w:r>
    </w:p>
    <w:p w:rsidR="00320BA9" w:rsidRDefault="00320BA9" w:rsidP="00B35356">
      <w:pPr>
        <w:pStyle w:val="t"/>
      </w:pPr>
      <w:r>
        <w:lastRenderedPageBreak/>
        <w:t>During the project kick-off meeting, we identified the following individuals as candidates for initial interviews:</w:t>
      </w:r>
    </w:p>
    <w:p w:rsidR="00320BA9" w:rsidRDefault="00320BA9" w:rsidP="007E5313">
      <w:pPr>
        <w:pStyle w:val="b"/>
      </w:pPr>
      <w:r>
        <w:t>Bruce Folsom (former Director of Energy Efficiency Policy)</w:t>
      </w:r>
    </w:p>
    <w:p w:rsidR="00320BA9" w:rsidRDefault="00320BA9" w:rsidP="007E5313">
      <w:pPr>
        <w:pStyle w:val="b"/>
      </w:pPr>
      <w:r>
        <w:t>Dan Johnson (Sr. Manager, Energy Efficiency)</w:t>
      </w:r>
    </w:p>
    <w:p w:rsidR="00320BA9" w:rsidRDefault="00320BA9" w:rsidP="007E5313">
      <w:pPr>
        <w:pStyle w:val="b"/>
      </w:pPr>
      <w:r>
        <w:t>Pat Lynch (Director of Energy Solutions)</w:t>
      </w:r>
    </w:p>
    <w:p w:rsidR="00320BA9" w:rsidRDefault="00320BA9" w:rsidP="007E5313">
      <w:pPr>
        <w:pStyle w:val="b"/>
      </w:pPr>
      <w:r>
        <w:t>Chris Drake (Manager, DSM)</w:t>
      </w:r>
    </w:p>
    <w:p w:rsidR="00320BA9" w:rsidRDefault="00320BA9" w:rsidP="007E5313">
      <w:pPr>
        <w:pStyle w:val="b"/>
      </w:pPr>
      <w:r>
        <w:t>Tom Lienhard (Chief Energy Efficiency Engineer)</w:t>
      </w:r>
    </w:p>
    <w:p w:rsidR="00320BA9" w:rsidRDefault="00320BA9" w:rsidP="007E5313">
      <w:pPr>
        <w:pStyle w:val="b"/>
      </w:pPr>
      <w:r>
        <w:t>Jon Powell (DSM Analytical Manager)</w:t>
      </w:r>
    </w:p>
    <w:p w:rsidR="00320BA9" w:rsidRDefault="00320BA9" w:rsidP="007E5313">
      <w:pPr>
        <w:pStyle w:val="b"/>
      </w:pPr>
      <w:r>
        <w:t>Catherine Bryan (Manager of Energy Solutions)</w:t>
      </w:r>
    </w:p>
    <w:p w:rsidR="00320BA9" w:rsidRDefault="00065A17" w:rsidP="007E5313">
      <w:pPr>
        <w:pStyle w:val="b"/>
      </w:pPr>
      <w:r>
        <w:t>David Thompson (</w:t>
      </w:r>
      <w:r w:rsidR="002C4E89">
        <w:t>2012-2013</w:t>
      </w:r>
      <w:r w:rsidR="00320BA9">
        <w:t xml:space="preserve"> Evaluation Project Manager)</w:t>
      </w:r>
    </w:p>
    <w:p w:rsidR="00320BA9" w:rsidRDefault="00320BA9" w:rsidP="00B35356">
      <w:pPr>
        <w:pStyle w:val="t"/>
      </w:pPr>
      <w:r>
        <w:t>In addition to discussing the topics mentioned above with these staff, an additional objective of the interviews will be to identify additional topics to discuss with the individual Avista program leads and implementation contractor contacts. We also use these interviews to identify any additional Avista staff that we should interview.</w:t>
      </w:r>
    </w:p>
    <w:p w:rsidR="00320BA9" w:rsidRDefault="00320BA9" w:rsidP="00B35356">
      <w:pPr>
        <w:pStyle w:val="t"/>
      </w:pPr>
      <w:r>
        <w:t xml:space="preserve">Following our interviews with the staff identified above, we will make adjustments to the interview guide as necessary and then schedule and conduct telephone interviews with Avista program managers for the residential and </w:t>
      </w:r>
      <w:r w:rsidR="009D0D41">
        <w:t>nonresidential</w:t>
      </w:r>
      <w:r>
        <w:t xml:space="preserve"> programs. The current organization chart suggests that individual staff have multiple responsibilities with some overlap among programs, and with Avista’s input, we will consider the feasibility and benefits of scheduling one or two group interviews with these staff rather than multiple individual interviews.</w:t>
      </w:r>
    </w:p>
    <w:p w:rsidR="00320BA9" w:rsidRDefault="00320BA9" w:rsidP="00B35356">
      <w:pPr>
        <w:pStyle w:val="t"/>
      </w:pPr>
      <w:r>
        <w:t>In addition to interview</w:t>
      </w:r>
      <w:r w:rsidR="00F8356D">
        <w:t>ing</w:t>
      </w:r>
      <w:r>
        <w:t xml:space="preserve"> Avista staff, we will also interview key contacts from third party implementation contractors</w:t>
      </w:r>
      <w:r w:rsidR="00D558E8">
        <w:t xml:space="preserve"> and </w:t>
      </w:r>
      <w:r>
        <w:t>we will work with Avista to identify three to four Community Action Agency contacts to interview. These interviews will primarily address how the agencies work with Avista, including understanding of program requirements, program paperwork and reporting requirements, how they work with installers to serve the low-income community, challenges they have faced, and feedback they have received from participants and installers.</w:t>
      </w:r>
    </w:p>
    <w:p w:rsidR="00320BA9" w:rsidRDefault="00320BA9" w:rsidP="00B35356">
      <w:pPr>
        <w:pStyle w:val="t"/>
      </w:pPr>
      <w:r>
        <w:t>We will revise our list of contacts as needed based on feedback from Avista.</w:t>
      </w:r>
    </w:p>
    <w:p w:rsidR="00320BA9" w:rsidRDefault="00320BA9" w:rsidP="00531D0A">
      <w:pPr>
        <w:pStyle w:val="Heading3"/>
      </w:pPr>
      <w:bookmarkStart w:id="115" w:name="_Toc409095415"/>
      <w:r>
        <w:t>Mid-year 2015 Staff Interviews</w:t>
      </w:r>
      <w:bookmarkEnd w:id="115"/>
    </w:p>
    <w:p w:rsidR="00320BA9" w:rsidRDefault="00320BA9" w:rsidP="00B35356">
      <w:pPr>
        <w:pStyle w:val="t"/>
      </w:pPr>
      <w:r>
        <w:t>Approximately midway through calendar year 2015, in consultation with Avista evaluation staff, we will schedule and conduct follow-up telephone interviews with up to a dozen program staff. We will use these interviews as a ‘check-in’ to learn about any mid-year program changes, market developments, and further perceptions or reflections regarding the Avista organizational changes. We anticipate these interviews will last about 30 minutes.</w:t>
      </w:r>
    </w:p>
    <w:p w:rsidR="00320BA9" w:rsidRDefault="00320BA9" w:rsidP="00531D0A">
      <w:pPr>
        <w:pStyle w:val="Heading3"/>
      </w:pPr>
      <w:bookmarkStart w:id="116" w:name="_Toc409095416"/>
      <w:r>
        <w:lastRenderedPageBreak/>
        <w:t>2016 Staff Interviews</w:t>
      </w:r>
      <w:bookmarkEnd w:id="116"/>
    </w:p>
    <w:p w:rsidR="00320BA9" w:rsidRDefault="00320BA9" w:rsidP="00B35356">
      <w:pPr>
        <w:pStyle w:val="t"/>
      </w:pPr>
      <w:r>
        <w:t xml:space="preserve">In early 2016, we will again schedule and conduct ‘check-in’ interviews with relevant program staff. We will use </w:t>
      </w:r>
      <w:r w:rsidR="007D1175">
        <w:t xml:space="preserve">these </w:t>
      </w:r>
      <w:r>
        <w:t>to learn about any further program changes, updates on program-related activities, and any program-related concerns. We will also use this final round of interviews to inform our final analysis prior to drafting the process evaluation report.</w:t>
      </w:r>
    </w:p>
    <w:p w:rsidR="00320BA9" w:rsidRDefault="00320BA9" w:rsidP="00531D0A">
      <w:pPr>
        <w:pStyle w:val="Heading3"/>
      </w:pPr>
      <w:bookmarkStart w:id="117" w:name="_Toc409095417"/>
      <w:r>
        <w:t>Analysis and Reporting</w:t>
      </w:r>
      <w:bookmarkEnd w:id="117"/>
    </w:p>
    <w:p w:rsidR="00320BA9" w:rsidRDefault="00320BA9" w:rsidP="007E5313">
      <w:pPr>
        <w:pStyle w:val="t"/>
      </w:pPr>
      <w:r>
        <w:t>We will use NVivo qualitative analysis software to analyze the responses from all the in-depth interviews. NVivo enables us to analyze responses by individual contact or by question across all contacts. The software also facilities the coding of responses to aid our analysis</w:t>
      </w:r>
      <w:r w:rsidR="00724C8A">
        <w:t>, as well</w:t>
      </w:r>
      <w:r w:rsidR="002C4E89">
        <w:t xml:space="preserve"> as</w:t>
      </w:r>
      <w:r w:rsidR="00724C8A">
        <w:t xml:space="preserve"> </w:t>
      </w:r>
      <w:r>
        <w:t>identify</w:t>
      </w:r>
      <w:r w:rsidR="002B2FE3">
        <w:t>ing</w:t>
      </w:r>
      <w:r>
        <w:t xml:space="preserve"> relevant quotes suitable for the report.</w:t>
      </w:r>
    </w:p>
    <w:p w:rsidR="00320BA9" w:rsidRDefault="00320BA9" w:rsidP="007E5313">
      <w:pPr>
        <w:pStyle w:val="t"/>
      </w:pPr>
      <w:r>
        <w:t>We will develop process flow diagrams to address program challenges identified through our interview and survey activities. This could include issues such as slow delivery or confusion regarding program flow. Process diagrams are especially useful for programs that are very new or complicated, or for programs that are struggling, either with low participation or project delays. They help identify steps in the program process that may create problems or bottlenecks, opportunities to reduce the number of steps or players, and approaches to mitigate these problems. Once developed, the flow diagrams often serve as a working document that can be modified as the program changes.</w:t>
      </w:r>
    </w:p>
    <w:p w:rsidR="00320BA9" w:rsidRDefault="00320BA9" w:rsidP="007E5313">
      <w:pPr>
        <w:pStyle w:val="t"/>
      </w:pPr>
      <w:r>
        <w:t>Our review of program documents will inform our development of the diagrams. The process flow diagrams will graphically show the flow of information and paperwork. If the programs have existing process flow diagrams, we will use them during the evaluation and update them when appropriate. At a minimum, our updates will identify the key program processes and who is responsible for each, and how long each of the processes takes (if sufficient data are tracked). A key element of the analysis is developing a visual representation of the process flows, and we will use graphic software such as Visio or PowerPoint to produce the flow diagrams.</w:t>
      </w:r>
    </w:p>
    <w:p w:rsidR="00320BA9" w:rsidRDefault="00320BA9" w:rsidP="007E5313">
      <w:pPr>
        <w:pStyle w:val="t"/>
      </w:pPr>
      <w:r>
        <w:t>We will document our analysis along with our conclusions and recommendations in one or more chapters in the draft process evaluation report. We will determine the specific structure and content outline of the report in consultation with Avista EM&amp;V staff. In our report, we will discuss program-related activities and progress towards goals, identify success and challenges in current program design, program delivery and implementation, and recommendations for program improvement.</w:t>
      </w:r>
    </w:p>
    <w:p w:rsidR="00320BA9" w:rsidRDefault="00320BA9" w:rsidP="007E5313">
      <w:pPr>
        <w:pStyle w:val="t"/>
      </w:pPr>
      <w:r>
        <w:t>We will submit the process flow diagrams and draft chapters to Avista for review and will revise them based on comments and feedback received.</w:t>
      </w:r>
    </w:p>
    <w:p w:rsidR="00320BA9" w:rsidRDefault="00320BA9" w:rsidP="00320BA9">
      <w:pPr>
        <w:pStyle w:val="Heading2"/>
      </w:pPr>
      <w:bookmarkStart w:id="118" w:name="_Toc404778290"/>
      <w:bookmarkStart w:id="119" w:name="_Toc409095418"/>
      <w:r>
        <w:t>Market Feedback</w:t>
      </w:r>
      <w:bookmarkEnd w:id="118"/>
      <w:bookmarkEnd w:id="119"/>
    </w:p>
    <w:p w:rsidR="00320BA9" w:rsidRDefault="00320BA9" w:rsidP="00531D0A">
      <w:pPr>
        <w:pStyle w:val="Heading3"/>
      </w:pPr>
      <w:bookmarkStart w:id="120" w:name="_Toc409095419"/>
      <w:r>
        <w:t>Participating Customers</w:t>
      </w:r>
      <w:bookmarkEnd w:id="120"/>
    </w:p>
    <w:p w:rsidR="00320BA9" w:rsidRPr="00BC76D0" w:rsidRDefault="00320BA9" w:rsidP="00BC76D0">
      <w:pPr>
        <w:pStyle w:val="t"/>
      </w:pPr>
      <w:r w:rsidRPr="000D13D3">
        <w:t>We will survey 2014 and 2015 program participants. We will survey the 2014 participants in Q1 2015 and will survey the 2015 participants on a quarterly basis, starting i</w:t>
      </w:r>
      <w:r w:rsidRPr="00BC76D0">
        <w:t xml:space="preserve">n Q2 2015 and ending in Q1 2016. In </w:t>
      </w:r>
      <w:r w:rsidRPr="00BC76D0">
        <w:lastRenderedPageBreak/>
        <w:t xml:space="preserve">each quarterly survey of the 2015 participants, we will survey participants that received incentives the previous quarter.  </w:t>
      </w:r>
    </w:p>
    <w:p w:rsidR="00320BA9" w:rsidRDefault="00320BA9" w:rsidP="00320BA9">
      <w:pPr>
        <w:pStyle w:val="Heading4"/>
        <w:tabs>
          <w:tab w:val="num" w:pos="1080"/>
        </w:tabs>
        <w:ind w:left="0" w:firstLine="0"/>
      </w:pPr>
      <w:bookmarkStart w:id="121" w:name="_Ref406142260"/>
      <w:bookmarkStart w:id="122" w:name="_Toc409095420"/>
      <w:r>
        <w:t>Instrument Development</w:t>
      </w:r>
      <w:bookmarkEnd w:id="121"/>
      <w:bookmarkEnd w:id="122"/>
    </w:p>
    <w:p w:rsidR="00320BA9" w:rsidRPr="00BC76D0" w:rsidRDefault="00320BA9" w:rsidP="00BC76D0">
      <w:pPr>
        <w:pStyle w:val="t"/>
      </w:pPr>
      <w:r w:rsidRPr="000D13D3">
        <w:t xml:space="preserve">In developing the participant survey, we will work </w:t>
      </w:r>
      <w:r w:rsidRPr="00BC76D0">
        <w:t xml:space="preserve">to identify the most important research questions – the “must haves” – to ensure that the survey provides the information that will best serve the process evaluation while minimizing respondent burden. We </w:t>
      </w:r>
      <w:r w:rsidR="00724C8A">
        <w:t xml:space="preserve">have already </w:t>
      </w:r>
      <w:r w:rsidRPr="00BC76D0">
        <w:t>identified several important research topics: satisfaction, source of awareness, decision-making, net-to-gross inputs (free-ridership and spillover), motivations for and barriers to participation, purchase of promotional CFLs, and ideas for program improvements and program opportunities. We will use interviews with Avista and implementer staff members to identify any additional topics or research questions to ask.</w:t>
      </w:r>
    </w:p>
    <w:p w:rsidR="00320BA9" w:rsidRPr="00BC76D0" w:rsidRDefault="00320BA9" w:rsidP="00BC76D0">
      <w:pPr>
        <w:pStyle w:val="t"/>
      </w:pPr>
      <w:r w:rsidRPr="00BC76D0">
        <w:t xml:space="preserve">We will use the satisfaction questions as phrased by the previous process evaluation contractor, so that we might be able to compare satisfaction rates from 2010 through 2015. </w:t>
      </w:r>
    </w:p>
    <w:p w:rsidR="00320BA9" w:rsidRPr="00BC76D0" w:rsidRDefault="00320BA9" w:rsidP="00BC76D0">
      <w:pPr>
        <w:pStyle w:val="t"/>
      </w:pPr>
      <w:r w:rsidRPr="00BC76D0">
        <w:t xml:space="preserve">The survey of 2014 program participants will assess both free-ridership and spillover. The quarterly cohort surveys for 2015 participants will assess free-ridership but will not assess spillover as insufficient time will have passed between participation and survey for customers to have engaged in much spillover behavior. On Avista’s approval, in 2016 we will conduct an optional spillover-only survey of 2015 electric participants. If Avista decides not to approve the optional 2016 spillover study, the </w:t>
      </w:r>
      <w:r w:rsidR="00407F1F">
        <w:t>evaluation</w:t>
      </w:r>
      <w:r w:rsidRPr="00BC76D0">
        <w:t xml:space="preserve"> team we can apply the spillover estimate from the survey of 2014 participants to both the 2014 and 2015 program years.</w:t>
      </w:r>
    </w:p>
    <w:p w:rsidR="00320BA9" w:rsidRPr="00BC76D0" w:rsidRDefault="00320BA9" w:rsidP="00BC76D0">
      <w:pPr>
        <w:pStyle w:val="t"/>
      </w:pPr>
      <w:r w:rsidRPr="000D13D3">
        <w:t>We will submit the draft survey instrument to Avista’s evaluation lead by January 21</w:t>
      </w:r>
      <w:r w:rsidR="00724C8A">
        <w:t>, 2015</w:t>
      </w:r>
      <w:r w:rsidRPr="000D13D3">
        <w:t xml:space="preserve"> </w:t>
      </w:r>
      <w:r w:rsidRPr="00BC76D0">
        <w:t xml:space="preserve">and will revise the instrument within one business week after receiving comments. </w:t>
      </w:r>
    </w:p>
    <w:p w:rsidR="00320BA9" w:rsidRDefault="00320BA9" w:rsidP="00320BA9">
      <w:pPr>
        <w:pStyle w:val="Heading4"/>
        <w:tabs>
          <w:tab w:val="num" w:pos="1080"/>
        </w:tabs>
        <w:ind w:left="0" w:firstLine="0"/>
      </w:pPr>
      <w:bookmarkStart w:id="123" w:name="_Toc409095421"/>
      <w:r>
        <w:t>Sample Development</w:t>
      </w:r>
      <w:bookmarkEnd w:id="123"/>
    </w:p>
    <w:p w:rsidR="00320BA9" w:rsidRPr="00BC76D0" w:rsidRDefault="00320BA9" w:rsidP="00BC76D0">
      <w:pPr>
        <w:pStyle w:val="t"/>
      </w:pPr>
      <w:r w:rsidRPr="000D13D3">
        <w:t>To ensure coordination between the impact and process evaluations in participant contact, Nexant will lead the sample development activ</w:t>
      </w:r>
      <w:r w:rsidRPr="00BC76D0">
        <w:t>ities. Nexant will work with Avista to identify a schedule for receiving the program data necessary to support the survey cohorts described above.</w:t>
      </w:r>
    </w:p>
    <w:p w:rsidR="00320BA9" w:rsidRPr="00BC76D0" w:rsidRDefault="00320BA9" w:rsidP="00BC76D0">
      <w:pPr>
        <w:pStyle w:val="t"/>
      </w:pPr>
      <w:r w:rsidRPr="00BC76D0">
        <w:t>We have estimated quarterly cohort sample sizes under the simplifying assumption that participation rates do not vary across the year (</w:t>
      </w:r>
      <w:r w:rsidR="007D1175">
        <w:t xml:space="preserve">see </w:t>
      </w:r>
      <w:r w:rsidR="007D1175">
        <w:fldChar w:fldCharType="begin"/>
      </w:r>
      <w:r w:rsidR="007D1175">
        <w:instrText xml:space="preserve"> REF _Ref406133737 \h </w:instrText>
      </w:r>
      <w:r w:rsidR="007D1175">
        <w:fldChar w:fldCharType="separate"/>
      </w:r>
      <w:r w:rsidR="00EC7F77">
        <w:t xml:space="preserve">Table </w:t>
      </w:r>
      <w:r w:rsidR="00EC7F77">
        <w:rPr>
          <w:noProof/>
        </w:rPr>
        <w:t>3</w:t>
      </w:r>
      <w:r w:rsidR="00EC7F77">
        <w:noBreakHyphen/>
      </w:r>
      <w:r w:rsidR="00EC7F77">
        <w:rPr>
          <w:noProof/>
        </w:rPr>
        <w:t>3</w:t>
      </w:r>
      <w:r w:rsidR="007D1175">
        <w:fldChar w:fldCharType="end"/>
      </w:r>
      <w:r w:rsidRPr="000D13D3">
        <w:t>). We will revise the sample sizes as necessary to reflect participation rates by quarter in 2014. For each program, we will select the samples so that the distribution of measures is roughly s</w:t>
      </w:r>
      <w:r w:rsidRPr="00BC76D0">
        <w:t>imilar to the distribution of rebated measures.</w:t>
      </w:r>
    </w:p>
    <w:p w:rsidR="00320BA9" w:rsidRDefault="00320BA9" w:rsidP="00320BA9">
      <w:pPr>
        <w:pStyle w:val="Caption"/>
      </w:pPr>
      <w:bookmarkStart w:id="124" w:name="_Ref406133737"/>
      <w:r>
        <w:lastRenderedPageBreak/>
        <w:t xml:space="preserve">Table </w:t>
      </w:r>
      <w:fldSimple w:instr=" STYLEREF 1 \s ">
        <w:r w:rsidR="0067743A">
          <w:rPr>
            <w:noProof/>
          </w:rPr>
          <w:t>3</w:t>
        </w:r>
      </w:fldSimple>
      <w:r w:rsidR="0067743A">
        <w:noBreakHyphen/>
      </w:r>
      <w:fldSimple w:instr=" SEQ Table \* ARABIC \s 1 ">
        <w:r w:rsidR="0067743A">
          <w:rPr>
            <w:noProof/>
          </w:rPr>
          <w:t>3</w:t>
        </w:r>
      </w:fldSimple>
      <w:bookmarkEnd w:id="124"/>
      <w:r>
        <w:t>:</w:t>
      </w:r>
      <w:r w:rsidRPr="00920E84">
        <w:t xml:space="preserve"> </w:t>
      </w:r>
      <w:r>
        <w:t>Sample Sizes for Participant Survey</w:t>
      </w:r>
    </w:p>
    <w:tbl>
      <w:tblPr>
        <w:tblStyle w:val="LightList-Accent1"/>
        <w:tblW w:w="0" w:type="auto"/>
        <w:jc w:val="center"/>
        <w:tblBorders>
          <w:top w:val="none" w:sz="0" w:space="0" w:color="auto"/>
          <w:left w:val="none" w:sz="0" w:space="0" w:color="auto"/>
          <w:bottom w:val="single" w:sz="6" w:space="0" w:color="1F497D" w:themeColor="text2"/>
          <w:right w:val="none" w:sz="0" w:space="0" w:color="auto"/>
          <w:insideH w:val="single" w:sz="6" w:space="0" w:color="1F497D" w:themeColor="text2"/>
          <w:insideV w:val="single" w:sz="6" w:space="0" w:color="1F497D" w:themeColor="text2"/>
        </w:tblBorders>
        <w:tblCellMar>
          <w:left w:w="72" w:type="dxa"/>
          <w:right w:w="72" w:type="dxa"/>
        </w:tblCellMar>
        <w:tblLook w:val="04A0" w:firstRow="1" w:lastRow="0" w:firstColumn="1" w:lastColumn="0" w:noHBand="0" w:noVBand="1"/>
      </w:tblPr>
      <w:tblGrid>
        <w:gridCol w:w="4068"/>
        <w:gridCol w:w="1260"/>
        <w:gridCol w:w="2441"/>
        <w:gridCol w:w="1227"/>
      </w:tblGrid>
      <w:tr w:rsidR="00320BA9" w:rsidRPr="00B35356" w:rsidTr="00531D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6" w:space="0" w:color="FFFFFF" w:themeColor="background1"/>
            </w:tcBorders>
            <w:shd w:val="clear" w:color="auto" w:fill="1F497D" w:themeFill="text2"/>
            <w:vAlign w:val="center"/>
          </w:tcPr>
          <w:p w:rsidR="00320BA9" w:rsidRPr="00EC7F77" w:rsidRDefault="00320BA9" w:rsidP="00EC7F77">
            <w:pPr>
              <w:keepNext/>
              <w:spacing w:after="0"/>
              <w:ind w:left="0"/>
              <w:rPr>
                <w:rFonts w:cs="Calibri"/>
                <w:sz w:val="20"/>
              </w:rPr>
            </w:pPr>
            <w:r w:rsidRPr="00EC7F77">
              <w:rPr>
                <w:rFonts w:cs="Calibri"/>
                <w:sz w:val="20"/>
              </w:rPr>
              <w:t>Programs</w:t>
            </w:r>
          </w:p>
        </w:tc>
        <w:tc>
          <w:tcPr>
            <w:tcW w:w="1260" w:type="dxa"/>
            <w:tcBorders>
              <w:top w:val="nil"/>
              <w:left w:val="single" w:sz="6" w:space="0" w:color="FFFFFF" w:themeColor="background1"/>
              <w:righ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2014</w:t>
            </w:r>
            <w:r w:rsidR="007D1175" w:rsidRPr="00EC7F77">
              <w:rPr>
                <w:rFonts w:cs="Calibri"/>
                <w:sz w:val="20"/>
              </w:rPr>
              <w:t xml:space="preserve"> </w:t>
            </w:r>
            <w:r w:rsidRPr="00EC7F77">
              <w:rPr>
                <w:rFonts w:cs="Calibri"/>
                <w:sz w:val="20"/>
              </w:rPr>
              <w:t>Cohort</w:t>
            </w:r>
          </w:p>
        </w:tc>
        <w:tc>
          <w:tcPr>
            <w:tcW w:w="0" w:type="auto"/>
            <w:tcBorders>
              <w:top w:val="nil"/>
              <w:left w:val="single" w:sz="6" w:space="0" w:color="FFFFFF" w:themeColor="background1"/>
              <w:righ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Each 2015 Quarterly Cohort</w:t>
            </w:r>
          </w:p>
        </w:tc>
        <w:tc>
          <w:tcPr>
            <w:tcW w:w="0" w:type="auto"/>
            <w:tcBorders>
              <w:top w:val="nil"/>
              <w:lef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C7F77">
              <w:rPr>
                <w:rFonts w:cs="Calibri"/>
                <w:sz w:val="20"/>
              </w:rPr>
              <w:t>Total Sample</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rsidR="00320BA9" w:rsidRPr="00EC7F77" w:rsidRDefault="00320BA9" w:rsidP="00EC7F77">
            <w:pPr>
              <w:keepNext/>
              <w:spacing w:after="0"/>
              <w:ind w:left="0"/>
              <w:jc w:val="center"/>
              <w:rPr>
                <w:rFonts w:cs="Calibri"/>
                <w:sz w:val="20"/>
              </w:rPr>
            </w:pPr>
            <w:r w:rsidRPr="00EC7F77">
              <w:rPr>
                <w:rFonts w:cs="Calibri"/>
                <w:sz w:val="20"/>
              </w:rPr>
              <w:t>Washington/Idaho Electric</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Residential Appliance Recycling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34</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70</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HVAC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32</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9</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67</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Water Heater Program</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ENERGY STAR Homes</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8</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2</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15</w:t>
            </w:r>
          </w:p>
        </w:tc>
      </w:tr>
      <w:tr w:rsidR="00320BA9" w:rsidRPr="00B35356" w:rsidTr="00531D0A">
        <w:trPr>
          <w:trHeight w:val="65"/>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Fuel Efficiency</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D558E8"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 xml:space="preserve">4 </w:t>
            </w:r>
            <w:r w:rsidR="00320BA9" w:rsidRPr="00EC7F77">
              <w:rPr>
                <w:rFonts w:cs="Calibri"/>
                <w:sz w:val="20"/>
              </w:rPr>
              <w:t xml:space="preserve">to </w:t>
            </w:r>
            <w:r w:rsidRPr="00EC7F77">
              <w:rPr>
                <w:rFonts w:cs="Calibri"/>
                <w:sz w:val="20"/>
              </w:rPr>
              <w:t>5</w:t>
            </w:r>
          </w:p>
        </w:tc>
        <w:tc>
          <w:tcPr>
            <w:tcW w:w="0" w:type="auto"/>
            <w:vAlign w:val="center"/>
          </w:tcPr>
          <w:p w:rsidR="00320BA9" w:rsidRPr="00EC7F77" w:rsidRDefault="00D558E8"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Shell Program</w:t>
            </w:r>
          </w:p>
        </w:tc>
        <w:tc>
          <w:tcPr>
            <w:tcW w:w="1260" w:type="dxa"/>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12</w:t>
            </w:r>
          </w:p>
        </w:tc>
        <w:tc>
          <w:tcPr>
            <w:tcW w:w="0" w:type="auto"/>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w:t>
            </w:r>
          </w:p>
        </w:tc>
        <w:tc>
          <w:tcPr>
            <w:tcW w:w="0" w:type="auto"/>
            <w:tcBorders>
              <w:top w:val="none" w:sz="0" w:space="0" w:color="auto"/>
              <w:bottom w:val="none" w:sz="0" w:space="0" w:color="auto"/>
              <w:right w:val="none" w:sz="0" w:space="0" w:color="auto"/>
            </w:tcBorders>
            <w:vAlign w:val="center"/>
          </w:tcPr>
          <w:p w:rsidR="00320BA9" w:rsidRPr="00EC7F77" w:rsidRDefault="000D13D3"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Prescriptive (except Lighting)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Cascade Energy Pilot</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5</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Lighting</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9</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Site Specific</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40</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11</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84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9D9D9" w:themeFill="background1" w:themeFillShade="D9"/>
            <w:vAlign w:val="center"/>
          </w:tcPr>
          <w:p w:rsidR="00320BA9" w:rsidRPr="00EC7F77" w:rsidRDefault="00320BA9" w:rsidP="00EC7F77">
            <w:pPr>
              <w:keepNext/>
              <w:spacing w:after="0"/>
              <w:ind w:left="0"/>
              <w:jc w:val="center"/>
              <w:rPr>
                <w:rFonts w:cs="Calibri"/>
                <w:sz w:val="20"/>
              </w:rPr>
            </w:pPr>
            <w:r w:rsidRPr="00EC7F77">
              <w:rPr>
                <w:rFonts w:cs="Calibri"/>
                <w:sz w:val="20"/>
              </w:rPr>
              <w:t>Washington Gas</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Water Heater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 to 2</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ENERGY STAR Homes</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2</w:t>
            </w:r>
          </w:p>
        </w:tc>
        <w:tc>
          <w:tcPr>
            <w:tcW w:w="0" w:type="auto"/>
            <w:vAlign w:val="center"/>
          </w:tcPr>
          <w:p w:rsidR="00320BA9" w:rsidRPr="00EC7F77" w:rsidRDefault="000D13D3"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13</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HVAC Program</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32</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9</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68</w:t>
            </w:r>
          </w:p>
        </w:tc>
      </w:tr>
      <w:tr w:rsidR="00320BA9" w:rsidRPr="00B35356" w:rsidTr="00531D0A">
        <w:trPr>
          <w:trHeight w:val="65"/>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Shell Program</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12</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w:t>
            </w:r>
          </w:p>
        </w:tc>
        <w:tc>
          <w:tcPr>
            <w:tcW w:w="0" w:type="auto"/>
            <w:vAlign w:val="center"/>
          </w:tcPr>
          <w:p w:rsidR="00320BA9" w:rsidRPr="00EC7F77" w:rsidRDefault="000D13D3"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Nonresidential Prescriptive (Appliance)</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 to 2</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Prescriptive (Shell)</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12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3</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Nonresidential HVAC</w:t>
            </w:r>
          </w:p>
        </w:tc>
        <w:tc>
          <w:tcPr>
            <w:tcW w:w="1260" w:type="dxa"/>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12</w:t>
            </w:r>
          </w:p>
        </w:tc>
        <w:tc>
          <w:tcPr>
            <w:tcW w:w="0" w:type="auto"/>
            <w:tcBorders>
              <w:top w:val="none" w:sz="0" w:space="0" w:color="auto"/>
              <w:bottom w:val="none" w:sz="0" w:space="0" w:color="auto"/>
            </w:tcBorders>
            <w:vAlign w:val="center"/>
          </w:tcPr>
          <w:p w:rsidR="00320BA9" w:rsidRPr="00EC7F77" w:rsidRDefault="00203BC5"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3</w:t>
            </w:r>
          </w:p>
        </w:tc>
        <w:tc>
          <w:tcPr>
            <w:tcW w:w="0" w:type="auto"/>
            <w:tcBorders>
              <w:top w:val="none" w:sz="0" w:space="0" w:color="auto"/>
              <w:bottom w:val="none" w:sz="0" w:space="0" w:color="auto"/>
              <w:right w:val="none" w:sz="0" w:space="0" w:color="auto"/>
            </w:tcBorders>
            <w:vAlign w:val="center"/>
          </w:tcPr>
          <w:p w:rsidR="00320BA9" w:rsidRPr="00EC7F77" w:rsidRDefault="00BC76D0"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24</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b w:val="0"/>
                <w:sz w:val="20"/>
              </w:rPr>
            </w:pPr>
            <w:r w:rsidRPr="00EC7F77">
              <w:rPr>
                <w:rFonts w:cs="Calibri"/>
                <w:sz w:val="20"/>
              </w:rPr>
              <w:t>Nonresidential Food Service</w:t>
            </w:r>
          </w:p>
        </w:tc>
        <w:tc>
          <w:tcPr>
            <w:tcW w:w="1260" w:type="dxa"/>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5</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sz w:val="20"/>
              </w:rPr>
            </w:pPr>
            <w:r w:rsidRPr="00EC7F77">
              <w:rPr>
                <w:rFonts w:cs="Calibri"/>
                <w:sz w:val="20"/>
              </w:rPr>
              <w:t>1 to 2</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11</w:t>
            </w:r>
          </w:p>
        </w:tc>
      </w:tr>
      <w:tr w:rsidR="00320BA9" w:rsidRPr="00B35356" w:rsidTr="00531D0A">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tcPr>
          <w:p w:rsidR="00320BA9" w:rsidRPr="00EC7F77" w:rsidRDefault="00320BA9" w:rsidP="00EC7F77">
            <w:pPr>
              <w:keepNext/>
              <w:spacing w:after="0"/>
              <w:ind w:left="0"/>
              <w:rPr>
                <w:rFonts w:cs="Calibri"/>
                <w:b w:val="0"/>
                <w:sz w:val="20"/>
              </w:rPr>
            </w:pPr>
            <w:r w:rsidRPr="00EC7F77">
              <w:rPr>
                <w:rFonts w:cs="Calibri"/>
                <w:sz w:val="20"/>
              </w:rPr>
              <w:t>Site Specific</w:t>
            </w:r>
          </w:p>
        </w:tc>
        <w:tc>
          <w:tcPr>
            <w:tcW w:w="1260" w:type="dxa"/>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20</w:t>
            </w:r>
          </w:p>
        </w:tc>
        <w:tc>
          <w:tcPr>
            <w:tcW w:w="0" w:type="auto"/>
            <w:tcBorders>
              <w:top w:val="none" w:sz="0" w:space="0" w:color="auto"/>
              <w:bottom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sz w:val="20"/>
              </w:rPr>
            </w:pPr>
            <w:r w:rsidRPr="00EC7F77">
              <w:rPr>
                <w:rFonts w:cs="Calibri"/>
                <w:sz w:val="20"/>
              </w:rPr>
              <w:t>5 to 6</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EC7F77">
              <w:rPr>
                <w:rFonts w:cs="Calibri"/>
                <w:b/>
                <w:sz w:val="20"/>
              </w:rPr>
              <w:t>43</w:t>
            </w:r>
          </w:p>
        </w:tc>
      </w:tr>
      <w:tr w:rsidR="00320BA9" w:rsidRPr="00B35356" w:rsidTr="00531D0A">
        <w:trPr>
          <w:jc w:val="center"/>
        </w:trPr>
        <w:tc>
          <w:tcPr>
            <w:cnfStyle w:val="001000000000" w:firstRow="0" w:lastRow="0" w:firstColumn="1" w:lastColumn="0" w:oddVBand="0" w:evenVBand="0" w:oddHBand="0" w:evenHBand="0" w:firstRowFirstColumn="0" w:firstRowLastColumn="0" w:lastRowFirstColumn="0" w:lastRowLastColumn="0"/>
            <w:tcW w:w="4068" w:type="dxa"/>
          </w:tcPr>
          <w:p w:rsidR="00320BA9" w:rsidRPr="00EC7F77" w:rsidRDefault="00320BA9" w:rsidP="00EC7F77">
            <w:pPr>
              <w:keepNext/>
              <w:spacing w:after="0"/>
              <w:ind w:left="0"/>
              <w:rPr>
                <w:rFonts w:cs="Calibri"/>
                <w:sz w:val="20"/>
              </w:rPr>
            </w:pPr>
            <w:r w:rsidRPr="00EC7F77">
              <w:rPr>
                <w:rFonts w:cs="Calibri"/>
                <w:sz w:val="20"/>
              </w:rPr>
              <w:t>TOTAL</w:t>
            </w:r>
          </w:p>
        </w:tc>
        <w:tc>
          <w:tcPr>
            <w:tcW w:w="1260" w:type="dxa"/>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309</w:t>
            </w:r>
          </w:p>
        </w:tc>
        <w:tc>
          <w:tcPr>
            <w:tcW w:w="0" w:type="auto"/>
            <w:vAlign w:val="center"/>
          </w:tcPr>
          <w:p w:rsidR="00320BA9" w:rsidRPr="00EC7F77" w:rsidRDefault="00203BC5"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356</w:t>
            </w:r>
            <w:r w:rsidR="00320BA9" w:rsidRPr="00EC7F77">
              <w:rPr>
                <w:rFonts w:cs="Calibri"/>
                <w:b/>
                <w:sz w:val="20"/>
              </w:rPr>
              <w:t>*</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EC7F77">
              <w:rPr>
                <w:rFonts w:cs="Calibri"/>
                <w:b/>
                <w:sz w:val="20"/>
              </w:rPr>
              <w:t>66</w:t>
            </w:r>
            <w:r w:rsidR="00BC76D0" w:rsidRPr="00EC7F77">
              <w:rPr>
                <w:rFonts w:cs="Calibri"/>
                <w:b/>
                <w:sz w:val="20"/>
              </w:rPr>
              <w:t>5</w:t>
            </w:r>
          </w:p>
        </w:tc>
      </w:tr>
    </w:tbl>
    <w:p w:rsidR="00320BA9" w:rsidRPr="00EC7F77" w:rsidRDefault="00320BA9" w:rsidP="00EC7F77">
      <w:pPr>
        <w:pStyle w:val="t"/>
        <w:numPr>
          <w:ilvl w:val="0"/>
          <w:numId w:val="2"/>
        </w:numPr>
        <w:ind w:left="0"/>
        <w:rPr>
          <w:sz w:val="18"/>
        </w:rPr>
      </w:pPr>
      <w:r w:rsidRPr="00EC7F77">
        <w:rPr>
          <w:sz w:val="18"/>
        </w:rPr>
        <w:t>* This is the total for 2015</w:t>
      </w:r>
    </w:p>
    <w:p w:rsidR="00320BA9" w:rsidRDefault="00320BA9" w:rsidP="00320BA9">
      <w:pPr>
        <w:pStyle w:val="Heading4"/>
      </w:pPr>
      <w:bookmarkStart w:id="125" w:name="_Toc409095422"/>
      <w:r>
        <w:t>Survey Implementation</w:t>
      </w:r>
      <w:bookmarkEnd w:id="125"/>
      <w:r>
        <w:t xml:space="preserve"> </w:t>
      </w:r>
    </w:p>
    <w:p w:rsidR="00320BA9" w:rsidRPr="007E5313" w:rsidRDefault="00320BA9" w:rsidP="007E5313">
      <w:pPr>
        <w:pStyle w:val="t"/>
      </w:pPr>
      <w:r w:rsidRPr="007E5313">
        <w:t xml:space="preserve">The team will field the survey using Nexant’s in-house call center. We will field the survey of 2014 participants as soon as possible in Q1 of 2015. Our goal will be to complete the 2014 survey before we begin surveying the first quarterly cohort of 2015 participants. However, the 2014 cohort will be equal in size to the entire 2015 cohort, so it may be completed only shortly before the Q1 2015 survey begins, or conceivably there may be some overlap. </w:t>
      </w:r>
    </w:p>
    <w:p w:rsidR="00320BA9" w:rsidRPr="007E5313" w:rsidRDefault="00320BA9" w:rsidP="007E5313">
      <w:pPr>
        <w:pStyle w:val="t"/>
      </w:pPr>
      <w:r w:rsidRPr="007E5313">
        <w:t>We will monitor results of the 2014 cohort survey on an ongoing (e.g., weekly or biweekly) basis. This will enable us to determine whether we should add, drop, or revise any survey questions before we begin implementing the Q1 2015 survey.</w:t>
      </w:r>
    </w:p>
    <w:p w:rsidR="00320BA9" w:rsidRDefault="00320BA9" w:rsidP="00531D0A">
      <w:pPr>
        <w:pStyle w:val="Heading3"/>
      </w:pPr>
      <w:bookmarkStart w:id="126" w:name="_Toc409095423"/>
      <w:r w:rsidRPr="00531D0A">
        <w:t>Participating</w:t>
      </w:r>
      <w:r>
        <w:t xml:space="preserve"> Trade Allies</w:t>
      </w:r>
      <w:bookmarkEnd w:id="126"/>
    </w:p>
    <w:p w:rsidR="00320BA9" w:rsidRPr="007E5313" w:rsidRDefault="00320BA9" w:rsidP="007E5313">
      <w:pPr>
        <w:pStyle w:val="t"/>
      </w:pPr>
      <w:r w:rsidRPr="007E5313">
        <w:t xml:space="preserve">We will also conduct surveys with up to 75 participating trade allies working in the following six markets: HVAC, water heating, insulation, motors, commercial lighting, and commercial refrigeration (groceries). We anticipate that most installers working in Avista’s territory serve both residential and nonresidential customers. Below, we explain how we will ensure that this survey speaks to </w:t>
      </w:r>
      <w:r w:rsidR="001B52A0" w:rsidRPr="007E5313">
        <w:t>Avista’s</w:t>
      </w:r>
      <w:r w:rsidRPr="007E5313">
        <w:t xml:space="preserve"> residential and nonresidential programs, its Washington and Idaho territories, and its electric and natural gas fuels.</w:t>
      </w:r>
    </w:p>
    <w:p w:rsidR="00320BA9" w:rsidRDefault="00320BA9" w:rsidP="00320BA9">
      <w:pPr>
        <w:pStyle w:val="Heading4"/>
        <w:tabs>
          <w:tab w:val="num" w:pos="1080"/>
        </w:tabs>
        <w:ind w:left="0" w:firstLine="0"/>
      </w:pPr>
      <w:bookmarkStart w:id="127" w:name="_Toc409095424"/>
      <w:r>
        <w:lastRenderedPageBreak/>
        <w:t>Instrument Development</w:t>
      </w:r>
      <w:bookmarkEnd w:id="127"/>
    </w:p>
    <w:p w:rsidR="00320BA9" w:rsidRPr="007E5313" w:rsidRDefault="00320BA9" w:rsidP="007E5313">
      <w:pPr>
        <w:pStyle w:val="t"/>
      </w:pPr>
      <w:r w:rsidRPr="007E5313">
        <w:t>As with the participant survey, we already have identified several research topics to explore, which we may supplement with any additional topics or research questions identified in our interviews with Avista and implementer staff.</w:t>
      </w:r>
    </w:p>
    <w:p w:rsidR="00320BA9" w:rsidRPr="007E5313" w:rsidRDefault="00320BA9" w:rsidP="007E5313">
      <w:pPr>
        <w:pStyle w:val="t"/>
      </w:pPr>
      <w:r w:rsidRPr="007E5313">
        <w:t>We will explore trade allies’ familiarity and satisfaction with program offerings (including qualifying measures, incentives, and application procedures)</w:t>
      </w:r>
      <w:r w:rsidR="004202A5">
        <w:t xml:space="preserve">, </w:t>
      </w:r>
      <w:r w:rsidRPr="007E5313">
        <w:t xml:space="preserve">Avista’s program marketing, and their experiences and satisfaction with Avista’s program communications and problem-solving. </w:t>
      </w:r>
    </w:p>
    <w:p w:rsidR="00320BA9" w:rsidRPr="007E5313" w:rsidRDefault="00320BA9" w:rsidP="007E5313">
      <w:pPr>
        <w:pStyle w:val="t"/>
      </w:pPr>
      <w:r w:rsidRPr="007E5313">
        <w:t xml:space="preserve">We will explore motivations for and barriers to participation </w:t>
      </w:r>
      <w:r w:rsidR="004202A5">
        <w:t>(</w:t>
      </w:r>
      <w:r w:rsidRPr="007E5313">
        <w:t>both the trade allies’ and their customers’</w:t>
      </w:r>
      <w:r w:rsidR="004202A5">
        <w:t>)</w:t>
      </w:r>
      <w:r w:rsidRPr="007E5313">
        <w:t xml:space="preserve"> and will seek ideas for program improvements and potential program opportunities. </w:t>
      </w:r>
    </w:p>
    <w:p w:rsidR="00320BA9" w:rsidRPr="007E5313" w:rsidRDefault="00320BA9" w:rsidP="007E5313">
      <w:pPr>
        <w:pStyle w:val="t"/>
      </w:pPr>
      <w:r w:rsidRPr="007E5313">
        <w:t>We also will ask respondents about their sales practices and their roles in identifying savings opportunities and designing solutions. We know from past studies that while some installers use a “Good, Better, Best” approach to sales – an approach that can promote qualifying measures as “Best” – other installers bid only their “Good” option, for fear of losing the bid or raising customer suspicion that they are seeking a high margin. We will investigate the use of those competing approaches.</w:t>
      </w:r>
    </w:p>
    <w:p w:rsidR="00320BA9" w:rsidRPr="007E5313" w:rsidRDefault="00320BA9" w:rsidP="007E5313">
      <w:pPr>
        <w:pStyle w:val="t"/>
      </w:pPr>
      <w:r w:rsidRPr="007E5313">
        <w:t>We will assess net-to-gross inputs, including program impact on sales</w:t>
      </w:r>
      <w:r w:rsidR="004202A5">
        <w:t>,</w:t>
      </w:r>
      <w:r w:rsidRPr="007E5313">
        <w:t xml:space="preserve"> stocking and nonparticipant spillover.</w:t>
      </w:r>
    </w:p>
    <w:p w:rsidR="00320BA9" w:rsidRPr="007E5313" w:rsidRDefault="00320BA9" w:rsidP="007E5313">
      <w:pPr>
        <w:pStyle w:val="t"/>
      </w:pPr>
      <w:r w:rsidRPr="007E5313">
        <w:t>Finally, we will assess firmographic information, such as company size, type(s) of equipment sold and installed, primary type(s) of customers, and geographic area(s) covered.</w:t>
      </w:r>
    </w:p>
    <w:p w:rsidR="00320BA9" w:rsidRPr="007E5313" w:rsidRDefault="00320BA9" w:rsidP="007E5313">
      <w:pPr>
        <w:pStyle w:val="t"/>
      </w:pPr>
      <w:r w:rsidRPr="007E5313">
        <w:t xml:space="preserve">We will submit the draft survey instrument to Avista’s evaluation lead by the first week of May 2015 and will revise the instrument within one business week after receiving comments. </w:t>
      </w:r>
    </w:p>
    <w:p w:rsidR="00320BA9" w:rsidRDefault="00320BA9" w:rsidP="00320BA9">
      <w:pPr>
        <w:pStyle w:val="Heading4"/>
        <w:tabs>
          <w:tab w:val="num" w:pos="1080"/>
        </w:tabs>
        <w:ind w:left="0" w:firstLine="0"/>
      </w:pPr>
      <w:bookmarkStart w:id="128" w:name="_Toc409095425"/>
      <w:r>
        <w:t>Sample Development</w:t>
      </w:r>
      <w:bookmarkEnd w:id="128"/>
    </w:p>
    <w:p w:rsidR="00320BA9" w:rsidRPr="007E5313" w:rsidRDefault="00320BA9" w:rsidP="007E5313">
      <w:pPr>
        <w:pStyle w:val="t"/>
      </w:pPr>
      <w:r w:rsidRPr="007E5313">
        <w:t xml:space="preserve">We will develop the sampling plan for the trade ally survey from a roster of known trade allies, such as the Northwestern Lighting Network or any Avista-sponsored trade ally network, or from the project database. </w:t>
      </w:r>
    </w:p>
    <w:p w:rsidR="00320BA9" w:rsidRPr="007E5313" w:rsidRDefault="00320BA9" w:rsidP="007E5313">
      <w:pPr>
        <w:pStyle w:val="t"/>
      </w:pPr>
      <w:r w:rsidRPr="007E5313">
        <w:t>We will use the available information on trade allies, such as their geographic location, the type(s) of equipment they handle and customers they serve, and the number and size of Avista-funded projects completed, to develop the sample. Our goal will be to ensure that the sample represe</w:t>
      </w:r>
      <w:r w:rsidR="00531D0A">
        <w:t>nts trade allies that serve</w:t>
      </w:r>
      <w:r w:rsidRPr="007E5313">
        <w:t xml:space="preserve"> Avista’s residential and nonresidential programs, its Washington and Idaho territories, and its electric and natural gas fuels. We currently anticipate completing surveys with installers working in the following six markets: HVAC, water heating, insulation, motors, commercial lighting, and commercial refrigeration (groceries). </w:t>
      </w:r>
    </w:p>
    <w:p w:rsidR="00320BA9" w:rsidRPr="007E5313" w:rsidRDefault="0067743A" w:rsidP="007E5313">
      <w:pPr>
        <w:pStyle w:val="t"/>
      </w:pPr>
      <w:r>
        <w:fldChar w:fldCharType="begin"/>
      </w:r>
      <w:r>
        <w:instrText xml:space="preserve"> REF _Ref406488165 \h </w:instrText>
      </w:r>
      <w:r>
        <w:fldChar w:fldCharType="separate"/>
      </w:r>
      <w:r>
        <w:t xml:space="preserve">Table </w:t>
      </w:r>
      <w:r>
        <w:rPr>
          <w:noProof/>
        </w:rPr>
        <w:t>3</w:t>
      </w:r>
      <w:r>
        <w:noBreakHyphen/>
      </w:r>
      <w:r>
        <w:rPr>
          <w:noProof/>
        </w:rPr>
        <w:t>4</w:t>
      </w:r>
      <w:r>
        <w:fldChar w:fldCharType="end"/>
      </w:r>
      <w:r>
        <w:t xml:space="preserve"> </w:t>
      </w:r>
      <w:r w:rsidR="00320BA9" w:rsidRPr="007E5313">
        <w:t>shows our initial expectation regarding the distribution of the sample across equipment types. We may revise this after reviewing the available information on trade allies and interviewing Avista and implementer staff. We will submit a draft sampling plan to Avista’s evaluation lead by the first week of May 2015 and may revise the plan based on feedback received.</w:t>
      </w:r>
    </w:p>
    <w:p w:rsidR="00320BA9" w:rsidRPr="00790891" w:rsidRDefault="00C25DFC" w:rsidP="00C25DFC">
      <w:pPr>
        <w:pStyle w:val="Caption"/>
      </w:pPr>
      <w:bookmarkStart w:id="129" w:name="_Ref406488165"/>
      <w:r>
        <w:lastRenderedPageBreak/>
        <w:t xml:space="preserve">Table </w:t>
      </w:r>
      <w:fldSimple w:instr=" STYLEREF 1 \s ">
        <w:r w:rsidR="0067743A">
          <w:rPr>
            <w:noProof/>
          </w:rPr>
          <w:t>3</w:t>
        </w:r>
      </w:fldSimple>
      <w:r w:rsidR="0067743A">
        <w:noBreakHyphen/>
      </w:r>
      <w:fldSimple w:instr=" SEQ Table \* ARABIC \s 1 ">
        <w:r w:rsidR="0067743A">
          <w:rPr>
            <w:noProof/>
          </w:rPr>
          <w:t>4</w:t>
        </w:r>
      </w:fldSimple>
      <w:bookmarkEnd w:id="129"/>
      <w:r>
        <w:t xml:space="preserve">: </w:t>
      </w:r>
      <w:r w:rsidRPr="00FB48CA">
        <w:t>Sample Sizes for Trade Ally Survey</w:t>
      </w:r>
    </w:p>
    <w:tbl>
      <w:tblPr>
        <w:tblStyle w:val="LightList-Accent1"/>
        <w:tblW w:w="0" w:type="auto"/>
        <w:jc w:val="center"/>
        <w:tblBorders>
          <w:top w:val="none" w:sz="0" w:space="0" w:color="auto"/>
          <w:left w:val="none" w:sz="0" w:space="0" w:color="auto"/>
          <w:bottom w:val="single" w:sz="6" w:space="0" w:color="1F497D" w:themeColor="text2"/>
          <w:right w:val="none" w:sz="0" w:space="0" w:color="auto"/>
          <w:insideH w:val="single" w:sz="6" w:space="0" w:color="1F497D" w:themeColor="text2"/>
          <w:insideV w:val="single" w:sz="6" w:space="0" w:color="1F497D" w:themeColor="text2"/>
        </w:tblBorders>
        <w:tblLook w:val="04A0" w:firstRow="1" w:lastRow="0" w:firstColumn="1" w:lastColumn="0" w:noHBand="0" w:noVBand="1"/>
      </w:tblPr>
      <w:tblGrid>
        <w:gridCol w:w="2348"/>
        <w:gridCol w:w="1199"/>
      </w:tblGrid>
      <w:tr w:rsidR="00320BA9" w:rsidRPr="00B35356" w:rsidTr="00C25D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single" w:sz="6" w:space="0" w:color="FFFFFF" w:themeColor="background1"/>
            </w:tcBorders>
            <w:shd w:val="clear" w:color="auto" w:fill="1F497D" w:themeFill="text2"/>
          </w:tcPr>
          <w:p w:rsidR="00320BA9" w:rsidRPr="00EC7F77" w:rsidRDefault="00320BA9" w:rsidP="00EC7F77">
            <w:pPr>
              <w:keepNext/>
              <w:spacing w:after="0"/>
              <w:ind w:left="0"/>
              <w:rPr>
                <w:rFonts w:ascii="Calibri" w:hAnsi="Calibri" w:cs="Calibri"/>
                <w:sz w:val="20"/>
              </w:rPr>
            </w:pPr>
            <w:r w:rsidRPr="00EC7F77">
              <w:rPr>
                <w:rFonts w:ascii="Calibri" w:hAnsi="Calibri" w:cs="Calibri"/>
                <w:sz w:val="20"/>
              </w:rPr>
              <w:t>Installer Type</w:t>
            </w:r>
          </w:p>
        </w:tc>
        <w:tc>
          <w:tcPr>
            <w:tcW w:w="0" w:type="auto"/>
            <w:tcBorders>
              <w:top w:val="nil"/>
              <w:left w:val="single" w:sz="6" w:space="0" w:color="FFFFFF" w:themeColor="background1"/>
            </w:tcBorders>
            <w:shd w:val="clear" w:color="auto" w:fill="1F497D" w:themeFill="text2"/>
            <w:vAlign w:val="center"/>
          </w:tcPr>
          <w:p w:rsidR="00320BA9" w:rsidRPr="00EC7F77" w:rsidRDefault="00320BA9" w:rsidP="00EC7F77">
            <w:pPr>
              <w:keepNext/>
              <w:spacing w:after="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Sample Size</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HVAC</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Water Heating</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Insulation</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trHeight w:val="65"/>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Commercial Lighting</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15</w:t>
            </w:r>
          </w:p>
        </w:tc>
      </w:tr>
      <w:tr w:rsidR="00320BA9" w:rsidRPr="00B35356" w:rsidTr="00C25DFC">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Commercial Refrigeration</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C7F77">
              <w:rPr>
                <w:rFonts w:ascii="Calibri" w:hAnsi="Calibri" w:cs="Calibri"/>
                <w:sz w:val="20"/>
              </w:rPr>
              <w:t>8</w:t>
            </w:r>
          </w:p>
        </w:tc>
      </w:tr>
      <w:tr w:rsidR="00320BA9" w:rsidRPr="00B35356" w:rsidTr="00C25DFC">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20BA9" w:rsidRPr="00EC7F77" w:rsidRDefault="00320BA9" w:rsidP="00EC7F77">
            <w:pPr>
              <w:keepNext/>
              <w:spacing w:after="0"/>
              <w:ind w:left="0"/>
              <w:rPr>
                <w:rFonts w:ascii="Calibri" w:hAnsi="Calibri" w:cs="Calibri"/>
                <w:b w:val="0"/>
                <w:sz w:val="20"/>
              </w:rPr>
            </w:pPr>
            <w:r w:rsidRPr="00EC7F77">
              <w:rPr>
                <w:rFonts w:ascii="Calibri" w:hAnsi="Calibri" w:cs="Calibri"/>
                <w:sz w:val="20"/>
              </w:rPr>
              <w:t>Motors</w:t>
            </w:r>
          </w:p>
        </w:tc>
        <w:tc>
          <w:tcPr>
            <w:tcW w:w="0" w:type="auto"/>
            <w:vAlign w:val="center"/>
          </w:tcPr>
          <w:p w:rsidR="00320BA9" w:rsidRPr="00EC7F77" w:rsidRDefault="00320BA9" w:rsidP="00EC7F77">
            <w:pPr>
              <w:keepNext/>
              <w:spacing w:after="0"/>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C7F77">
              <w:rPr>
                <w:rFonts w:ascii="Calibri" w:hAnsi="Calibri" w:cs="Calibri"/>
                <w:sz w:val="20"/>
              </w:rPr>
              <w:t>7</w:t>
            </w:r>
          </w:p>
        </w:tc>
      </w:tr>
      <w:tr w:rsidR="00320BA9" w:rsidRPr="007D1175" w:rsidTr="00C25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320BA9" w:rsidRPr="00EC7F77" w:rsidRDefault="00320BA9" w:rsidP="00EC7F77">
            <w:pPr>
              <w:keepNext/>
              <w:spacing w:after="0"/>
              <w:ind w:left="0"/>
              <w:rPr>
                <w:rFonts w:ascii="Calibri" w:hAnsi="Calibri" w:cs="Calibri"/>
                <w:sz w:val="20"/>
              </w:rPr>
            </w:pPr>
            <w:r w:rsidRPr="00EC7F77">
              <w:rPr>
                <w:rFonts w:ascii="Calibri" w:hAnsi="Calibri" w:cs="Calibri"/>
                <w:sz w:val="20"/>
              </w:rPr>
              <w:t>TOTAL</w:t>
            </w:r>
          </w:p>
        </w:tc>
        <w:tc>
          <w:tcPr>
            <w:tcW w:w="0" w:type="auto"/>
            <w:tcBorders>
              <w:top w:val="none" w:sz="0" w:space="0" w:color="auto"/>
              <w:bottom w:val="none" w:sz="0" w:space="0" w:color="auto"/>
              <w:right w:val="none" w:sz="0" w:space="0" w:color="auto"/>
            </w:tcBorders>
            <w:vAlign w:val="center"/>
          </w:tcPr>
          <w:p w:rsidR="00320BA9" w:rsidRPr="00EC7F77" w:rsidRDefault="00320BA9" w:rsidP="00EC7F77">
            <w:pPr>
              <w:keepNext/>
              <w:spacing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C7F77">
              <w:rPr>
                <w:rFonts w:ascii="Calibri" w:hAnsi="Calibri" w:cs="Calibri"/>
                <w:b/>
                <w:sz w:val="20"/>
              </w:rPr>
              <w:t>75</w:t>
            </w:r>
          </w:p>
        </w:tc>
      </w:tr>
    </w:tbl>
    <w:p w:rsidR="00320BA9" w:rsidRPr="00EC7F77" w:rsidRDefault="00320BA9" w:rsidP="00320BA9">
      <w:pPr>
        <w:pStyle w:val="t"/>
        <w:numPr>
          <w:ilvl w:val="0"/>
          <w:numId w:val="0"/>
        </w:numPr>
        <w:rPr>
          <w:b/>
        </w:rPr>
      </w:pPr>
    </w:p>
    <w:p w:rsidR="00320BA9" w:rsidRDefault="00320BA9" w:rsidP="00320BA9">
      <w:pPr>
        <w:pStyle w:val="Heading4"/>
        <w:tabs>
          <w:tab w:val="num" w:pos="1080"/>
        </w:tabs>
        <w:ind w:left="0" w:firstLine="0"/>
      </w:pPr>
      <w:bookmarkStart w:id="130" w:name="_Toc409095426"/>
      <w:r>
        <w:t>Survey Implementation</w:t>
      </w:r>
      <w:bookmarkEnd w:id="130"/>
    </w:p>
    <w:p w:rsidR="00320BA9" w:rsidRPr="007E5313" w:rsidRDefault="00320BA9" w:rsidP="007E5313">
      <w:pPr>
        <w:pStyle w:val="t"/>
      </w:pPr>
      <w:r w:rsidRPr="007E5313">
        <w:t>The team will field the survey using Nexant’s in-house call center. We anticipate fielding the survey over a three-to-four-week period in mid-2015.</w:t>
      </w:r>
    </w:p>
    <w:p w:rsidR="00320BA9" w:rsidRDefault="00320BA9" w:rsidP="00531D0A">
      <w:pPr>
        <w:pStyle w:val="Heading3"/>
      </w:pPr>
      <w:bookmarkStart w:id="131" w:name="_Toc409095427"/>
      <w:r w:rsidRPr="0089072E">
        <w:t>Nonparticipating</w:t>
      </w:r>
      <w:r>
        <w:t xml:space="preserve"> Customers</w:t>
      </w:r>
      <w:bookmarkEnd w:id="131"/>
    </w:p>
    <w:p w:rsidR="00320BA9" w:rsidRPr="007E5313" w:rsidRDefault="00320BA9" w:rsidP="007E5313">
      <w:pPr>
        <w:pStyle w:val="t"/>
      </w:pPr>
      <w:r w:rsidRPr="007E5313">
        <w:t>We will survey 67 residential and 67 nonresidential nonparticipating Avista customers in mid-2015.</w:t>
      </w:r>
    </w:p>
    <w:p w:rsidR="00320BA9" w:rsidRDefault="00320BA9" w:rsidP="00320BA9">
      <w:pPr>
        <w:pStyle w:val="Heading4"/>
        <w:tabs>
          <w:tab w:val="num" w:pos="1080"/>
        </w:tabs>
        <w:ind w:left="0" w:firstLine="0"/>
      </w:pPr>
      <w:bookmarkStart w:id="132" w:name="_Ref406142268"/>
      <w:bookmarkStart w:id="133" w:name="_Toc409095428"/>
      <w:r>
        <w:t>Instrument Development</w:t>
      </w:r>
      <w:bookmarkEnd w:id="132"/>
      <w:bookmarkEnd w:id="133"/>
    </w:p>
    <w:p w:rsidR="00320BA9" w:rsidRPr="007E5313" w:rsidRDefault="00320BA9" w:rsidP="007E5313">
      <w:pPr>
        <w:pStyle w:val="t"/>
      </w:pPr>
      <w:r w:rsidRPr="007E5313">
        <w:t>As with the participant and trade ally surveys, we already have identified several research topics to explore, which we may supplement with any additional topics or research questions identified in our interviews with Avista and implementer staff. Again, in instrument development, we will focus on identifying the most important topics to address to minimize survey burden.</w:t>
      </w:r>
    </w:p>
    <w:p w:rsidR="00320BA9" w:rsidRPr="007E5313" w:rsidRDefault="00320BA9" w:rsidP="007E5313">
      <w:pPr>
        <w:pStyle w:val="t"/>
      </w:pPr>
      <w:r w:rsidRPr="007E5313">
        <w:t xml:space="preserve">We will explore, among other topics, awareness of Avista’s energy efficiency programs appropriate to their fuel usage, source of awareness, purchases in the last two years of the types of products for which Avista provides incentives (such as water heaters), purchases of efficient equipment (spillover), and purchase of promotional CFLs (for the CFL markdown measures uptake study). We also will assess motivations for and barriers to participation and decision-making, including the role that contractors and vendors have made in their decisions. </w:t>
      </w:r>
    </w:p>
    <w:p w:rsidR="00320BA9" w:rsidRPr="007E5313" w:rsidRDefault="00320BA9" w:rsidP="007E5313">
      <w:pPr>
        <w:pStyle w:val="t"/>
      </w:pPr>
      <w:r w:rsidRPr="007E5313">
        <w:t xml:space="preserve">We will tailor the residential and nonresidential surveys to their specific audiences. </w:t>
      </w:r>
    </w:p>
    <w:p w:rsidR="00320BA9" w:rsidRPr="007E5313" w:rsidRDefault="00320BA9" w:rsidP="007E5313">
      <w:pPr>
        <w:pStyle w:val="t"/>
      </w:pPr>
      <w:r w:rsidRPr="007E5313">
        <w:t xml:space="preserve">We will submit the draft survey instrument to Avista’s evaluation lead by the end of May 2015 and will revise the instrument within one business week after receiving comments. </w:t>
      </w:r>
    </w:p>
    <w:p w:rsidR="00320BA9" w:rsidRDefault="00320BA9" w:rsidP="00320BA9">
      <w:pPr>
        <w:pStyle w:val="Heading4"/>
        <w:tabs>
          <w:tab w:val="num" w:pos="1080"/>
        </w:tabs>
        <w:ind w:left="0" w:firstLine="0"/>
      </w:pPr>
      <w:bookmarkStart w:id="134" w:name="_Toc409095429"/>
      <w:r>
        <w:t>Sample Development</w:t>
      </w:r>
      <w:bookmarkEnd w:id="134"/>
    </w:p>
    <w:p w:rsidR="00320BA9" w:rsidRPr="007E5313" w:rsidRDefault="00320BA9" w:rsidP="007E5313">
      <w:pPr>
        <w:pStyle w:val="t"/>
      </w:pPr>
      <w:r w:rsidRPr="007E5313">
        <w:t xml:space="preserve">We will develop the nonparticipant samples from Avista customer records, if they are made available to us. This is the best possible source of data, as it ensures that we do not contact businesses and residences outside of Avista territory (as may happen with purchased lists). Further, customer records would include energy usage data, which would be particularly valuable in developing the nonresidential sample. Basing the sample on Avista customer data also will enable us to ensure that the sample </w:t>
      </w:r>
      <w:r w:rsidRPr="007E5313">
        <w:lastRenderedPageBreak/>
        <w:t>accurately represents the geographic distribution of Avista customers – so that, for example, we do not over-sample customers from areas with low population density.</w:t>
      </w:r>
    </w:p>
    <w:p w:rsidR="00320BA9" w:rsidRPr="007E5313" w:rsidRDefault="00320BA9" w:rsidP="007E5313">
      <w:pPr>
        <w:pStyle w:val="t"/>
      </w:pPr>
      <w:r w:rsidRPr="007E5313">
        <w:t>The team will adhere to all Avista requirements in handling customer data. Both Nexant and Research Into Action have developed strict protocols for handing confidential information. These include using secure ftp sites rather than email to transfer data, transferring data in encrypted files, and keeping customer contact information separate from other sensitive data, such as usage data.</w:t>
      </w:r>
    </w:p>
    <w:p w:rsidR="00320BA9" w:rsidRDefault="00320BA9" w:rsidP="00320BA9">
      <w:pPr>
        <w:pStyle w:val="Heading4"/>
        <w:tabs>
          <w:tab w:val="num" w:pos="1080"/>
        </w:tabs>
        <w:ind w:left="0" w:firstLine="0"/>
      </w:pPr>
      <w:bookmarkStart w:id="135" w:name="_Toc409095430"/>
      <w:r>
        <w:t>Survey Implementation</w:t>
      </w:r>
      <w:bookmarkEnd w:id="135"/>
    </w:p>
    <w:p w:rsidR="00320BA9" w:rsidRPr="007E5313" w:rsidRDefault="00320BA9" w:rsidP="007E5313">
      <w:pPr>
        <w:pStyle w:val="t"/>
      </w:pPr>
      <w:r w:rsidRPr="007E5313">
        <w:t>The team will field the survey using Nexant’s in-house call center. We anticipate fielding the survey over a three-to-four-week period in mid-2015.</w:t>
      </w:r>
    </w:p>
    <w:p w:rsidR="00320BA9" w:rsidRDefault="00320BA9" w:rsidP="00320BA9">
      <w:pPr>
        <w:pStyle w:val="Heading2"/>
      </w:pPr>
      <w:bookmarkStart w:id="136" w:name="_Toc404778291"/>
      <w:bookmarkStart w:id="137" w:name="_Toc409095431"/>
      <w:r>
        <w:t>Special Studies</w:t>
      </w:r>
      <w:bookmarkEnd w:id="136"/>
      <w:bookmarkEnd w:id="137"/>
    </w:p>
    <w:p w:rsidR="00320BA9" w:rsidRDefault="00320BA9" w:rsidP="00320BA9">
      <w:pPr>
        <w:pStyle w:val="t"/>
        <w:numPr>
          <w:ilvl w:val="0"/>
          <w:numId w:val="2"/>
        </w:numPr>
        <w:ind w:left="0"/>
      </w:pPr>
      <w:r>
        <w:t>In addition to our inward-facing and market feedback-related process evaluation activities, we will conduct three additional special studies.</w:t>
      </w:r>
    </w:p>
    <w:p w:rsidR="00320BA9" w:rsidRDefault="00320BA9" w:rsidP="00531D0A">
      <w:pPr>
        <w:pStyle w:val="Heading3"/>
      </w:pPr>
      <w:bookmarkStart w:id="138" w:name="_Toc409095432"/>
      <w:r>
        <w:t>Investigating Declining Program Participation Rates</w:t>
      </w:r>
      <w:bookmarkEnd w:id="138"/>
    </w:p>
    <w:p w:rsidR="00320BA9" w:rsidRDefault="00320BA9" w:rsidP="00320BA9">
      <w:pPr>
        <w:pStyle w:val="t"/>
        <w:numPr>
          <w:ilvl w:val="0"/>
          <w:numId w:val="2"/>
        </w:numPr>
        <w:ind w:left="0"/>
      </w:pPr>
      <w:r>
        <w:t>The 2012-2013 process evaluation report noted that program participation rates peaked in 2010 based on the number of rebated measures and that participation has since declined. We will conduct analyses to investigate several possible explanations for the decline.</w:t>
      </w:r>
    </w:p>
    <w:p w:rsidR="00320BA9" w:rsidRDefault="00320BA9" w:rsidP="00320BA9">
      <w:pPr>
        <w:pStyle w:val="Heading4"/>
      </w:pPr>
      <w:bookmarkStart w:id="139" w:name="_Toc409095433"/>
      <w:r>
        <w:t>Analysis of Discontinued Measures and Reduced Rebate Incentives</w:t>
      </w:r>
      <w:bookmarkEnd w:id="139"/>
    </w:p>
    <w:p w:rsidR="00320BA9" w:rsidRDefault="00320BA9" w:rsidP="00320BA9">
      <w:pPr>
        <w:pStyle w:val="t"/>
        <w:numPr>
          <w:ilvl w:val="0"/>
          <w:numId w:val="2"/>
        </w:numPr>
        <w:ind w:left="0"/>
      </w:pPr>
      <w:r>
        <w:t>The 2012-2013 process evaluation report suggested</w:t>
      </w:r>
      <w:r w:rsidR="00054B82">
        <w:t xml:space="preserve"> that</w:t>
      </w:r>
      <w:r>
        <w:t xml:space="preserve"> one explanation for the decline in participation was fewer rebated measures and</w:t>
      </w:r>
      <w:r w:rsidR="00054B82">
        <w:t xml:space="preserve"> the</w:t>
      </w:r>
      <w:r>
        <w:t xml:space="preserve"> reduced incentive amounts that Avista offered in response to declining avoided costs. Using data from the 2010 program database as our baseline, we will compare the list of rebated measures in the 2010 program database against the list of rebated measures in the 2014 program database to determine the measures that have since been discontinued. We will determine the proportion of delivered rebates in 2010 comprised by these subsequently discontinued measures and use this information to determine theoretical participation in 2014 in the absence of these measures. We will then determine actual participation using the 2014 program database and compare the results against the theoretical participation results to assess the effect of the discontinued measures on participation, and we will complete the analysis for both residential and </w:t>
      </w:r>
      <w:r w:rsidR="009D0D41">
        <w:t>nonresidential</w:t>
      </w:r>
      <w:r>
        <w:t xml:space="preserve"> program measures for customers in both Washington and Idaho. </w:t>
      </w:r>
    </w:p>
    <w:p w:rsidR="00320BA9" w:rsidRDefault="00320BA9" w:rsidP="00320BA9">
      <w:pPr>
        <w:pStyle w:val="t"/>
        <w:numPr>
          <w:ilvl w:val="0"/>
          <w:numId w:val="2"/>
        </w:numPr>
        <w:ind w:left="0"/>
      </w:pPr>
      <w:r>
        <w:t>We illustrate our analysis approach below with the following simple, hypothetical example</w:t>
      </w:r>
      <w:r w:rsidR="007331A1">
        <w:t>:</w:t>
      </w:r>
    </w:p>
    <w:p w:rsidR="002237C1" w:rsidRDefault="0067743A" w:rsidP="0067743A">
      <w:pPr>
        <w:pStyle w:val="Caption"/>
      </w:pPr>
      <w:r>
        <w:lastRenderedPageBreak/>
        <w:t xml:space="preserve">Table </w:t>
      </w:r>
      <w:fldSimple w:instr=" STYLEREF 1 \s ">
        <w:r>
          <w:rPr>
            <w:noProof/>
          </w:rPr>
          <w:t>3</w:t>
        </w:r>
      </w:fldSimple>
      <w:r>
        <w:noBreakHyphen/>
      </w:r>
      <w:fldSimple w:instr=" SEQ Table \* ARABIC \s 1 ">
        <w:r>
          <w:rPr>
            <w:noProof/>
          </w:rPr>
          <w:t>5</w:t>
        </w:r>
      </w:fldSimple>
      <w:r>
        <w:t>: Hypothetical Example</w:t>
      </w:r>
    </w:p>
    <w:tbl>
      <w:tblPr>
        <w:tblStyle w:val="NEXANTNEWTABLESTYLE"/>
        <w:tblW w:w="0" w:type="auto"/>
        <w:jc w:val="center"/>
        <w:tblLayout w:type="fixed"/>
        <w:tblCellMar>
          <w:left w:w="0" w:type="dxa"/>
          <w:right w:w="0" w:type="dxa"/>
        </w:tblCellMar>
        <w:tblLook w:val="04A0" w:firstRow="1" w:lastRow="0" w:firstColumn="1" w:lastColumn="0" w:noHBand="0" w:noVBand="1"/>
      </w:tblPr>
      <w:tblGrid>
        <w:gridCol w:w="1183"/>
        <w:gridCol w:w="1539"/>
        <w:gridCol w:w="1236"/>
        <w:gridCol w:w="1486"/>
        <w:gridCol w:w="1200"/>
        <w:gridCol w:w="1521"/>
        <w:gridCol w:w="1253"/>
      </w:tblGrid>
      <w:tr w:rsidR="009B090A" w:rsidTr="002C4E89">
        <w:trPr>
          <w:cnfStyle w:val="100000000000" w:firstRow="1" w:lastRow="0" w:firstColumn="0" w:lastColumn="0" w:oddVBand="0" w:evenVBand="0" w:oddHBand="0" w:evenHBand="0" w:firstRowFirstColumn="0" w:firstRowLastColumn="0" w:lastRowFirstColumn="0" w:lastRowLastColumn="0"/>
          <w:trHeight w:val="144"/>
          <w:jc w:val="center"/>
        </w:trPr>
        <w:tc>
          <w:tcPr>
            <w:tcW w:w="1183" w:type="dxa"/>
            <w:tcBorders>
              <w:bottom w:val="single" w:sz="4" w:space="0" w:color="1F497D" w:themeColor="text2"/>
              <w:right w:val="single" w:sz="6" w:space="0" w:color="FFFFFF" w:themeColor="background1"/>
            </w:tcBorders>
          </w:tcPr>
          <w:p w:rsidR="009B090A" w:rsidRPr="00EC7F77" w:rsidRDefault="009B090A" w:rsidP="00EC7F77">
            <w:pPr>
              <w:pStyle w:val="Caption"/>
              <w:tabs>
                <w:tab w:val="clear" w:pos="720"/>
              </w:tabs>
              <w:ind w:left="180"/>
              <w:rPr>
                <w:color w:val="FFFFFF" w:themeColor="background1"/>
              </w:rPr>
            </w:pPr>
          </w:p>
        </w:tc>
        <w:tc>
          <w:tcPr>
            <w:tcW w:w="2775" w:type="dxa"/>
            <w:gridSpan w:val="2"/>
            <w:tcBorders>
              <w:left w:val="single" w:sz="6" w:space="0" w:color="FFFFFF" w:themeColor="background1"/>
              <w:bottom w:val="single" w:sz="4" w:space="0" w:color="1F497D" w:themeColor="text2"/>
              <w:right w:val="single" w:sz="6" w:space="0" w:color="FFFFFF" w:themeColor="background1"/>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2010</w:t>
            </w:r>
          </w:p>
        </w:tc>
        <w:tc>
          <w:tcPr>
            <w:tcW w:w="2686" w:type="dxa"/>
            <w:gridSpan w:val="2"/>
            <w:tcBorders>
              <w:left w:val="single" w:sz="6" w:space="0" w:color="FFFFFF" w:themeColor="background1"/>
              <w:bottom w:val="single" w:sz="4" w:space="0" w:color="1F497D" w:themeColor="text2"/>
              <w:right w:val="single" w:sz="6" w:space="0" w:color="FFFFFF" w:themeColor="background1"/>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Theoretical 2014</w:t>
            </w:r>
          </w:p>
        </w:tc>
        <w:tc>
          <w:tcPr>
            <w:tcW w:w="2774" w:type="dxa"/>
            <w:gridSpan w:val="2"/>
            <w:tcBorders>
              <w:left w:val="single" w:sz="6" w:space="0" w:color="FFFFFF" w:themeColor="background1"/>
              <w:bottom w:val="single" w:sz="4" w:space="0" w:color="1F497D" w:themeColor="text2"/>
            </w:tcBorders>
          </w:tcPr>
          <w:p w:rsidR="009B090A" w:rsidRPr="00EC7F77" w:rsidRDefault="009B090A" w:rsidP="00606D61">
            <w:pPr>
              <w:pStyle w:val="Caption"/>
              <w:tabs>
                <w:tab w:val="clear" w:pos="720"/>
              </w:tabs>
              <w:ind w:left="0"/>
              <w:rPr>
                <w:color w:val="FFFFFF" w:themeColor="background1"/>
              </w:rPr>
            </w:pPr>
            <w:r w:rsidRPr="00EC7F77">
              <w:rPr>
                <w:color w:val="FFFFFF" w:themeColor="background1"/>
              </w:rPr>
              <w:t>Actual 2014</w:t>
            </w:r>
          </w:p>
        </w:tc>
      </w:tr>
      <w:tr w:rsidR="007331A1" w:rsidTr="002C4E89">
        <w:trPr>
          <w:trHeight w:val="144"/>
          <w:jc w:val="center"/>
        </w:trPr>
        <w:tc>
          <w:tcPr>
            <w:tcW w:w="1183" w:type="dxa"/>
            <w:tcBorders>
              <w:right w:val="single" w:sz="6" w:space="0" w:color="1F497D" w:themeColor="text2"/>
            </w:tcBorders>
            <w:shd w:val="clear" w:color="auto" w:fill="D9D9D9" w:themeFill="background1" w:themeFillShade="D9"/>
          </w:tcPr>
          <w:p w:rsidR="009B090A" w:rsidRPr="002237C1" w:rsidRDefault="009B090A" w:rsidP="00EC7F77">
            <w:pPr>
              <w:pStyle w:val="Caption"/>
              <w:ind w:left="180"/>
              <w:jc w:val="left"/>
              <w:rPr>
                <w:b/>
                <w:color w:val="auto"/>
              </w:rPr>
            </w:pPr>
            <w:r w:rsidRPr="002237C1">
              <w:rPr>
                <w:b/>
                <w:color w:val="auto"/>
              </w:rPr>
              <w:t>Measure</w:t>
            </w:r>
            <w:r w:rsidR="004B1FA0">
              <w:rPr>
                <w:b/>
                <w:color w:val="auto"/>
              </w:rPr>
              <w:t xml:space="preserve">    </w:t>
            </w:r>
          </w:p>
        </w:tc>
        <w:tc>
          <w:tcPr>
            <w:tcW w:w="1539"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13" w:firstLine="13"/>
              <w:rPr>
                <w:b/>
                <w:color w:val="auto"/>
              </w:rPr>
            </w:pPr>
            <w:r w:rsidRPr="002237C1">
              <w:rPr>
                <w:b/>
                <w:color w:val="auto"/>
              </w:rPr>
              <w:t>Available (Y/N)</w:t>
            </w:r>
          </w:p>
        </w:tc>
        <w:tc>
          <w:tcPr>
            <w:tcW w:w="1236"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22" w:firstLine="22"/>
              <w:rPr>
                <w:b/>
                <w:color w:val="auto"/>
              </w:rPr>
            </w:pPr>
            <w:r w:rsidRPr="002237C1">
              <w:rPr>
                <w:b/>
                <w:color w:val="auto"/>
              </w:rPr>
              <w:t># Rebates</w:t>
            </w:r>
          </w:p>
        </w:tc>
        <w:tc>
          <w:tcPr>
            <w:tcW w:w="1486"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2"/>
              <w:rPr>
                <w:b/>
                <w:color w:val="auto"/>
              </w:rPr>
            </w:pPr>
            <w:r w:rsidRPr="002237C1">
              <w:rPr>
                <w:b/>
                <w:color w:val="auto"/>
              </w:rPr>
              <w:t>Available (Y/N)</w:t>
            </w:r>
          </w:p>
        </w:tc>
        <w:tc>
          <w:tcPr>
            <w:tcW w:w="1200"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adjustRightInd w:val="0"/>
              <w:snapToGrid w:val="0"/>
              <w:ind w:left="46"/>
              <w:rPr>
                <w:b/>
                <w:color w:val="auto"/>
              </w:rPr>
            </w:pPr>
            <w:r w:rsidRPr="002237C1">
              <w:rPr>
                <w:b/>
                <w:color w:val="auto"/>
              </w:rPr>
              <w:t># Rebates</w:t>
            </w:r>
          </w:p>
        </w:tc>
        <w:tc>
          <w:tcPr>
            <w:tcW w:w="1521" w:type="dxa"/>
            <w:tcBorders>
              <w:left w:val="single" w:sz="6" w:space="0" w:color="1F497D" w:themeColor="text2"/>
              <w:righ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ind w:left="16"/>
              <w:rPr>
                <w:b/>
                <w:color w:val="auto"/>
              </w:rPr>
            </w:pPr>
            <w:r w:rsidRPr="002237C1">
              <w:rPr>
                <w:b/>
                <w:color w:val="auto"/>
              </w:rPr>
              <w:t>Available (Y/N)</w:t>
            </w:r>
          </w:p>
        </w:tc>
        <w:tc>
          <w:tcPr>
            <w:tcW w:w="1253" w:type="dxa"/>
            <w:tcBorders>
              <w:left w:val="single" w:sz="6" w:space="0" w:color="1F497D" w:themeColor="text2"/>
            </w:tcBorders>
            <w:shd w:val="clear" w:color="auto" w:fill="D9D9D9" w:themeFill="background1" w:themeFillShade="D9"/>
            <w:vAlign w:val="center"/>
          </w:tcPr>
          <w:p w:rsidR="009B090A" w:rsidRPr="002237C1" w:rsidRDefault="009B090A" w:rsidP="00EC7F77">
            <w:pPr>
              <w:pStyle w:val="Caption"/>
              <w:tabs>
                <w:tab w:val="clear" w:pos="720"/>
                <w:tab w:val="num" w:pos="1697"/>
              </w:tabs>
              <w:ind w:left="0"/>
              <w:rPr>
                <w:b/>
                <w:color w:val="auto"/>
              </w:rPr>
            </w:pPr>
            <w:r w:rsidRPr="002237C1">
              <w:rPr>
                <w:b/>
                <w:color w:val="auto"/>
              </w:rPr>
              <w:t># Rebates</w:t>
            </w:r>
          </w:p>
        </w:tc>
      </w:tr>
      <w:tr w:rsidR="009B090A" w:rsidTr="002C4E89">
        <w:trPr>
          <w:trHeight w:val="413"/>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A</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17</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17</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20</w:t>
            </w:r>
          </w:p>
        </w:tc>
      </w:tr>
      <w:tr w:rsidR="009B090A" w:rsidTr="002C4E89">
        <w:trPr>
          <w:trHeight w:val="368"/>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B</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20</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N</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0</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N</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0</w:t>
            </w:r>
          </w:p>
        </w:tc>
      </w:tr>
      <w:tr w:rsidR="009B090A" w:rsidTr="002C4E89">
        <w:trPr>
          <w:trHeight w:val="144"/>
          <w:jc w:val="center"/>
        </w:trPr>
        <w:tc>
          <w:tcPr>
            <w:tcW w:w="1183" w:type="dxa"/>
            <w:tcBorders>
              <w:right w:val="single" w:sz="6" w:space="0" w:color="1F497D" w:themeColor="text2"/>
            </w:tcBorders>
          </w:tcPr>
          <w:p w:rsidR="009B090A" w:rsidRPr="007331A1" w:rsidRDefault="009B090A" w:rsidP="00EC7F77">
            <w:pPr>
              <w:pStyle w:val="tableCell"/>
              <w:ind w:left="180"/>
            </w:pPr>
            <w:r w:rsidRPr="00EC7F77">
              <w:rPr>
                <w:sz w:val="20"/>
              </w:rPr>
              <w:t>C</w:t>
            </w:r>
          </w:p>
        </w:tc>
        <w:tc>
          <w:tcPr>
            <w:tcW w:w="1539"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3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9</w:t>
            </w:r>
          </w:p>
        </w:tc>
        <w:tc>
          <w:tcPr>
            <w:tcW w:w="1486"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00"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9</w:t>
            </w:r>
          </w:p>
        </w:tc>
        <w:tc>
          <w:tcPr>
            <w:tcW w:w="1521" w:type="dxa"/>
            <w:tcBorders>
              <w:left w:val="single" w:sz="6" w:space="0" w:color="1F497D" w:themeColor="text2"/>
              <w:right w:val="single" w:sz="6" w:space="0" w:color="1F497D" w:themeColor="text2"/>
            </w:tcBorders>
          </w:tcPr>
          <w:p w:rsidR="009B090A" w:rsidRPr="007331A1" w:rsidRDefault="009B090A" w:rsidP="00EC7F77">
            <w:pPr>
              <w:pStyle w:val="tableCell"/>
              <w:jc w:val="center"/>
            </w:pPr>
            <w:r w:rsidRPr="00EC7F77">
              <w:rPr>
                <w:sz w:val="20"/>
              </w:rPr>
              <w:t>Y</w:t>
            </w:r>
          </w:p>
        </w:tc>
        <w:tc>
          <w:tcPr>
            <w:tcW w:w="1253" w:type="dxa"/>
            <w:tcBorders>
              <w:left w:val="single" w:sz="6" w:space="0" w:color="1F497D" w:themeColor="text2"/>
            </w:tcBorders>
          </w:tcPr>
          <w:p w:rsidR="009B090A" w:rsidRPr="007331A1" w:rsidRDefault="009B090A" w:rsidP="00EC7F77">
            <w:pPr>
              <w:pStyle w:val="tableCell"/>
              <w:jc w:val="center"/>
            </w:pPr>
            <w:r w:rsidRPr="00EC7F77">
              <w:rPr>
                <w:sz w:val="20"/>
              </w:rPr>
              <w:t>8</w:t>
            </w:r>
          </w:p>
        </w:tc>
      </w:tr>
      <w:tr w:rsidR="009B090A" w:rsidTr="002C4E89">
        <w:trPr>
          <w:trHeight w:val="278"/>
          <w:jc w:val="center"/>
        </w:trPr>
        <w:tc>
          <w:tcPr>
            <w:tcW w:w="1183" w:type="dxa"/>
            <w:tcBorders>
              <w:right w:val="single" w:sz="6" w:space="0" w:color="1F497D" w:themeColor="text2"/>
            </w:tcBorders>
          </w:tcPr>
          <w:p w:rsidR="009B090A" w:rsidRPr="00EC7F77" w:rsidRDefault="009B090A" w:rsidP="00EC7F77">
            <w:pPr>
              <w:pStyle w:val="tableCell"/>
              <w:ind w:left="180"/>
              <w:rPr>
                <w:b/>
              </w:rPr>
            </w:pPr>
            <w:r w:rsidRPr="00EC7F77">
              <w:rPr>
                <w:b/>
                <w:sz w:val="20"/>
              </w:rPr>
              <w:t>Total</w:t>
            </w:r>
          </w:p>
        </w:tc>
        <w:tc>
          <w:tcPr>
            <w:tcW w:w="1539"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Y</w:t>
            </w:r>
          </w:p>
        </w:tc>
        <w:tc>
          <w:tcPr>
            <w:tcW w:w="1236"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46</w:t>
            </w:r>
          </w:p>
        </w:tc>
        <w:tc>
          <w:tcPr>
            <w:tcW w:w="1486" w:type="dxa"/>
            <w:tcBorders>
              <w:left w:val="single" w:sz="6" w:space="0" w:color="1F497D" w:themeColor="text2"/>
              <w:right w:val="single" w:sz="6" w:space="0" w:color="1F497D" w:themeColor="text2"/>
            </w:tcBorders>
          </w:tcPr>
          <w:p w:rsidR="009B090A" w:rsidRPr="00EC7F77" w:rsidRDefault="009B090A" w:rsidP="00EC7F77">
            <w:pPr>
              <w:pStyle w:val="tableCell"/>
              <w:tabs>
                <w:tab w:val="clear" w:pos="-1440"/>
                <w:tab w:val="left" w:pos="-988"/>
              </w:tabs>
              <w:jc w:val="center"/>
              <w:rPr>
                <w:b/>
              </w:rPr>
            </w:pPr>
            <w:r w:rsidRPr="00EC7F77">
              <w:rPr>
                <w:b/>
                <w:sz w:val="20"/>
              </w:rPr>
              <w:t>2</w:t>
            </w:r>
          </w:p>
        </w:tc>
        <w:tc>
          <w:tcPr>
            <w:tcW w:w="1200"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26</w:t>
            </w:r>
          </w:p>
        </w:tc>
        <w:tc>
          <w:tcPr>
            <w:tcW w:w="1521" w:type="dxa"/>
            <w:tcBorders>
              <w:left w:val="single" w:sz="6" w:space="0" w:color="1F497D" w:themeColor="text2"/>
              <w:right w:val="single" w:sz="6" w:space="0" w:color="1F497D" w:themeColor="text2"/>
            </w:tcBorders>
          </w:tcPr>
          <w:p w:rsidR="009B090A" w:rsidRPr="00EC7F77" w:rsidRDefault="009B090A" w:rsidP="00EC7F77">
            <w:pPr>
              <w:pStyle w:val="tableCell"/>
              <w:jc w:val="center"/>
              <w:rPr>
                <w:b/>
              </w:rPr>
            </w:pPr>
            <w:r w:rsidRPr="00EC7F77">
              <w:rPr>
                <w:b/>
                <w:sz w:val="20"/>
              </w:rPr>
              <w:t>2</w:t>
            </w:r>
          </w:p>
        </w:tc>
        <w:tc>
          <w:tcPr>
            <w:tcW w:w="1253" w:type="dxa"/>
            <w:tcBorders>
              <w:left w:val="single" w:sz="6" w:space="0" w:color="1F497D" w:themeColor="text2"/>
            </w:tcBorders>
          </w:tcPr>
          <w:p w:rsidR="009B090A" w:rsidRPr="00EC7F77" w:rsidRDefault="009B090A" w:rsidP="00EC7F77">
            <w:pPr>
              <w:pStyle w:val="tableCell"/>
              <w:jc w:val="center"/>
              <w:rPr>
                <w:b/>
              </w:rPr>
            </w:pPr>
            <w:r w:rsidRPr="00EC7F77">
              <w:rPr>
                <w:b/>
                <w:sz w:val="20"/>
              </w:rPr>
              <w:t>28</w:t>
            </w:r>
          </w:p>
        </w:tc>
      </w:tr>
    </w:tbl>
    <w:p w:rsidR="00606D61" w:rsidRDefault="00606D61" w:rsidP="00EC7F77">
      <w:pPr>
        <w:pStyle w:val="Caption"/>
      </w:pPr>
    </w:p>
    <w:p w:rsidR="00320BA9" w:rsidRDefault="00320BA9" w:rsidP="00320BA9">
      <w:pPr>
        <w:pStyle w:val="t"/>
        <w:numPr>
          <w:ilvl w:val="0"/>
          <w:numId w:val="0"/>
        </w:numPr>
      </w:pPr>
      <w:r>
        <w:t>Using the data above, the theoretical 2014 decline (relative to 2010) in participation because of discontinued measures is 43%, whereas the actual decline is 39%. In turn, these results suggest that although increased participation in other measures has ameliorated the overall decline, most of the overall decline is attributed to the discontinued measures.</w:t>
      </w:r>
    </w:p>
    <w:p w:rsidR="00320BA9" w:rsidRDefault="00320BA9" w:rsidP="00320BA9">
      <w:pPr>
        <w:pStyle w:val="t"/>
        <w:numPr>
          <w:ilvl w:val="0"/>
          <w:numId w:val="0"/>
        </w:numPr>
      </w:pPr>
      <w:r>
        <w:t>We will repeat the analysis above focusing on the measures for which Avista has lowered the rebate incentive amount rather than discontinue the measure. This analysis will provide a high-end estimate of the amount of decline associated with reduced rebate incentives. After accounting for the potential effects of these two program changes, we will be able to assess the relative importance of other factors that Avista may be able to influence through program design changes.</w:t>
      </w:r>
    </w:p>
    <w:p w:rsidR="00320BA9" w:rsidRDefault="00320BA9" w:rsidP="00320BA9">
      <w:pPr>
        <w:pStyle w:val="Heading4"/>
      </w:pPr>
      <w:bookmarkStart w:id="140" w:name="_Toc409095434"/>
      <w:r>
        <w:t>Analysis of Repeat and/or Multiple Program Participation among Customers</w:t>
      </w:r>
      <w:bookmarkEnd w:id="140"/>
    </w:p>
    <w:p w:rsidR="00320BA9" w:rsidRDefault="00320BA9" w:rsidP="00320BA9">
      <w:pPr>
        <w:ind w:left="0"/>
      </w:pPr>
      <w:r>
        <w:t xml:space="preserve">Although we still need to verify the feasibility and determine the logistics of matching customer records over multiple program years, pending further investigation of the program databases, we will conduct a second analysis to assess patterns of participation in multiple programs among both residential and </w:t>
      </w:r>
      <w:r w:rsidR="009D0D41">
        <w:t>nonresidential</w:t>
      </w:r>
      <w:r>
        <w:t xml:space="preserve"> customers over three-year increments.</w:t>
      </w:r>
    </w:p>
    <w:p w:rsidR="00320BA9" w:rsidRDefault="00320BA9" w:rsidP="00320BA9">
      <w:pPr>
        <w:ind w:left="0"/>
      </w:pPr>
      <w:r>
        <w:t xml:space="preserve">We will assemble the program databases for 2010 through 2015 (when it becomes available), and then beginning with 2012, we will </w:t>
      </w:r>
      <w:r w:rsidR="006268A6">
        <w:t xml:space="preserve">calculate the </w:t>
      </w:r>
      <w:r>
        <w:t>proportion</w:t>
      </w:r>
      <w:r w:rsidR="006268A6">
        <w:t xml:space="preserve"> of</w:t>
      </w:r>
      <w:r>
        <w:t xml:space="preserve"> residential and </w:t>
      </w:r>
      <w:r w:rsidR="009D0D41">
        <w:t>nonresidential</w:t>
      </w:r>
      <w:r>
        <w:t xml:space="preserve"> program participants that also participated in one or more programs during 2010 or 2011. Similarly, for 2013, 2014, and 2015 participants, we will calculate the proportion of participants that also participated in one or more programs during the two previous years. This process will yield four distinct data points that we will use to </w:t>
      </w:r>
      <w:r w:rsidR="004B1FA0">
        <w:t xml:space="preserve">identify </w:t>
      </w:r>
      <w:r>
        <w:t>year-over-year changes in multi-program participation.</w:t>
      </w:r>
    </w:p>
    <w:p w:rsidR="00320BA9" w:rsidRDefault="00320BA9" w:rsidP="00320BA9">
      <w:pPr>
        <w:pStyle w:val="Heading4"/>
      </w:pPr>
      <w:bookmarkStart w:id="141" w:name="_Toc409095435"/>
      <w:r>
        <w:t>Analysis of Availability of Qualifying Measures at Lower Price Points</w:t>
      </w:r>
      <w:bookmarkEnd w:id="141"/>
    </w:p>
    <w:p w:rsidR="00320BA9" w:rsidRDefault="00320BA9" w:rsidP="00320BA9">
      <w:pPr>
        <w:ind w:left="0"/>
      </w:pPr>
      <w:r>
        <w:t>We will conduct a third analysis using existing program data to</w:t>
      </w:r>
      <w:r w:rsidR="00EC0511">
        <w:t xml:space="preserve"> determine whether</w:t>
      </w:r>
      <w:r>
        <w:t xml:space="preserve"> limited product availability may be influencing program participation. Previous research we conducted for the Energy Trust of Oregon revealed that the proportion of rebated refrigerators at lower price points declined sharply over several years. A single brand dominated the lower-priced</w:t>
      </w:r>
      <w:r w:rsidR="00EC0511">
        <w:t xml:space="preserve"> </w:t>
      </w:r>
      <w:r>
        <w:t xml:space="preserve">refrigerator models that qualified for rebates, which, in turn, suggested that consumers had relatively few models to choose from at the lower end of the market. We will conduct a similar analysis using a measure selected in consultation with Avista staff from among those that have declined in rebated units over the past few years. As part </w:t>
      </w:r>
      <w:r>
        <w:lastRenderedPageBreak/>
        <w:t>of our analysis, we will examine the program database to assess the measure’s efficiency tier, rebate amount, manufacturer, unit cost, and if relevant, configuration.</w:t>
      </w:r>
    </w:p>
    <w:p w:rsidR="00A11B44" w:rsidRDefault="00320BA9" w:rsidP="00531D0A">
      <w:pPr>
        <w:pStyle w:val="Heading3"/>
      </w:pPr>
      <w:bookmarkStart w:id="142" w:name="_Toc409095436"/>
      <w:r w:rsidRPr="00A11B44">
        <w:t>Investigating</w:t>
      </w:r>
      <w:r>
        <w:t xml:space="preserve"> Participation Rates among Opower Behavioral Program Participants and Nonparticipants</w:t>
      </w:r>
      <w:bookmarkEnd w:id="142"/>
    </w:p>
    <w:p w:rsidR="00A11B44" w:rsidRDefault="00320BA9" w:rsidP="00A11B44">
      <w:pPr>
        <w:pStyle w:val="t"/>
        <w:numPr>
          <w:ilvl w:val="0"/>
          <w:numId w:val="2"/>
        </w:numPr>
        <w:ind w:left="0"/>
      </w:pPr>
      <w:r>
        <w:t>We will conduct an analysis of Opower Behavioral Program participants and nonparticipants to explore differences in participation rates in Avista’s rebate programs. Using program databases for 2013, 2014, and when available, 2015, we will organize residential customers by state into three groups—Opower treatment group customers (participants), Opower control group customers, and customers in neither the treatment nor control (uninvolved) groups. For a sample of customers in each group (to be determined later in consultation with Avista), we will match each customer with their participation records in Avista’s rebate programs during the three program years. We will analyze differences in overall rebate program participation rates among the three groups by year, and we will explore differences in the participation rates among individual programs. For example, we might find that 17% of Opower Behavioral Program participants received rebates in a given year, compared with 7% of customers in the control group, and 1% of customers in the uninvolved group.</w:t>
      </w:r>
      <w:r w:rsidR="00A11B44" w:rsidRPr="00A11B44">
        <w:t xml:space="preserve"> </w:t>
      </w:r>
    </w:p>
    <w:p w:rsidR="00A11B44" w:rsidRPr="00C46DEB" w:rsidRDefault="00320BA9" w:rsidP="002C4E89">
      <w:pPr>
        <w:pStyle w:val="t"/>
      </w:pPr>
      <w:r>
        <w:t>We will also compare participant rebate incidence rates with the proportion of savings attributable to the rebates. For example, we might find that 17% of Opower Behavioral Program participants also received rebates and the rebated savings comprise 38% of total Opower program savings when those savings are not adjusted to eliminate double counting.</w:t>
      </w:r>
      <w:r>
        <w:rPr>
          <w:rStyle w:val="FootnoteReference"/>
        </w:rPr>
        <w:footnoteReference w:id="5"/>
      </w:r>
      <w:r>
        <w:t xml:space="preserve"> We will also determine the proportion of rebate program savings attributable to Opower program participants. </w:t>
      </w:r>
    </w:p>
    <w:p w:rsidR="00320BA9" w:rsidRPr="00C46DEB" w:rsidRDefault="00320BA9" w:rsidP="002C4E89">
      <w:pPr>
        <w:pStyle w:val="t"/>
      </w:pPr>
      <w:r>
        <w:t xml:space="preserve">We will conduct these analyses for each program year, to explore changes over time. We note, for example, that Opower participants received their Home Energy Reports (HERs) monthly during the first three months of the program and bi-monthly reports thereafter. Understanding the importance of rebated measures in Opower Behavioral Program savings will enable Avista to better understand the extent to which Opower (the HERs) is effective in promoting Avista’s other programs, changes in effectiveness over time, the extent of induced behavioral savings not attributed to rebated measures, and the persistence of the rebated measure portion of the savings. </w:t>
      </w:r>
    </w:p>
    <w:p w:rsidR="00320BA9" w:rsidRDefault="00320BA9" w:rsidP="00531D0A">
      <w:pPr>
        <w:pStyle w:val="Heading3"/>
      </w:pPr>
      <w:bookmarkStart w:id="143" w:name="_Toc409095437"/>
      <w:r>
        <w:t>Investigating Commercial Uptake of CFL Markdown Measures</w:t>
      </w:r>
      <w:bookmarkEnd w:id="143"/>
    </w:p>
    <w:p w:rsidR="00320BA9" w:rsidRPr="007E5313" w:rsidRDefault="00320BA9" w:rsidP="007E5313">
      <w:pPr>
        <w:pStyle w:val="t"/>
      </w:pPr>
      <w:r w:rsidRPr="007E5313">
        <w:t>We will employ two methods for estimating the proportion of CFL markdown bulbs going to the residential and nonresidential sectors. We will triangulate the research findings to obtain an estimate to be used in the impact assessment.</w:t>
      </w:r>
    </w:p>
    <w:p w:rsidR="00320BA9" w:rsidRPr="007E5313" w:rsidRDefault="00320BA9" w:rsidP="007E5313">
      <w:pPr>
        <w:pStyle w:val="t"/>
      </w:pPr>
      <w:r w:rsidRPr="007E5313">
        <w:t>Our first approach is to include questions in the residential and nonresidential participant and nonparticipant survey to assess purchase of promotional CFLs and whether the description of the promotional CFLs correspond to the in-store signage</w:t>
      </w:r>
      <w:r w:rsidR="007E5313">
        <w:t xml:space="preserve">. </w:t>
      </w:r>
      <w:r w:rsidRPr="007E5313">
        <w:t xml:space="preserve">The second approach, described </w:t>
      </w:r>
      <w:r w:rsidR="004B1FA0">
        <w:t xml:space="preserve">in Section </w:t>
      </w:r>
      <w:r w:rsidR="004B1FA0">
        <w:fldChar w:fldCharType="begin"/>
      </w:r>
      <w:r w:rsidR="004B1FA0">
        <w:instrText xml:space="preserve"> REF _Ref406416426 \r \h </w:instrText>
      </w:r>
      <w:r w:rsidR="004B1FA0">
        <w:fldChar w:fldCharType="separate"/>
      </w:r>
      <w:r w:rsidR="004B1FA0">
        <w:t>3.4.3.1</w:t>
      </w:r>
      <w:r w:rsidR="004B1FA0">
        <w:fldChar w:fldCharType="end"/>
      </w:r>
      <w:r w:rsidRPr="007E5313">
        <w:t xml:space="preserve">, </w:t>
      </w:r>
      <w:r w:rsidRPr="007E5313">
        <w:lastRenderedPageBreak/>
        <w:t xml:space="preserve">will be to field a very short survey to retail contacts for the program to assess the distribution of sales across sectors. </w:t>
      </w:r>
    </w:p>
    <w:p w:rsidR="00320BA9" w:rsidRDefault="00320BA9" w:rsidP="00320BA9">
      <w:pPr>
        <w:pStyle w:val="Heading4"/>
        <w:tabs>
          <w:tab w:val="num" w:pos="1080"/>
        </w:tabs>
        <w:ind w:left="0" w:firstLine="0"/>
      </w:pPr>
      <w:bookmarkStart w:id="144" w:name="_Ref406416426"/>
      <w:bookmarkStart w:id="145" w:name="_Toc409095438"/>
      <w:r>
        <w:t>Retailer Survey</w:t>
      </w:r>
      <w:bookmarkEnd w:id="144"/>
      <w:bookmarkEnd w:id="145"/>
    </w:p>
    <w:p w:rsidR="00320BA9" w:rsidRPr="007E5313" w:rsidRDefault="00320BA9" w:rsidP="007E5313">
      <w:pPr>
        <w:pStyle w:val="t"/>
      </w:pPr>
      <w:r w:rsidRPr="007E5313">
        <w:t>We will develop a brief (10 question) survey asking retail contacts to estimate what percentage of their sales of promotional CFLs go to the residential and nonresidential sectors. We will ask whether that estimate is based on tracked sales or their general impression. We will use this information to gauge reliability of the information received. We will ask when they began their promotion of CFLs and whether and how the distribution of CFLs between sectors changed after the promotion began. We will explore a similar line of questioning for the distribution of sales of LEDs between sectors.</w:t>
      </w:r>
    </w:p>
    <w:p w:rsidR="00320BA9" w:rsidRPr="007E5313" w:rsidRDefault="00320BA9" w:rsidP="007E5313">
      <w:pPr>
        <w:pStyle w:val="t"/>
      </w:pPr>
      <w:r w:rsidRPr="007E5313">
        <w:t xml:space="preserve">We will submit the draft survey instrument to Avista’s evaluation lead by September 30, 2015 and will revise the instrument within one business week after receiving comments. </w:t>
      </w:r>
    </w:p>
    <w:p w:rsidR="00320BA9" w:rsidRPr="007E5313" w:rsidRDefault="00320BA9" w:rsidP="007E5313">
      <w:pPr>
        <w:pStyle w:val="t"/>
      </w:pPr>
      <w:r w:rsidRPr="007E5313">
        <w:t xml:space="preserve">We will target the retailers that collectively account for more than two-thirds of the total program sales. Depending on the distribution of sales across stores, we anticipate interviewing 30 to 50 retailers. We will request </w:t>
      </w:r>
      <w:r w:rsidR="004B1FA0">
        <w:t>a list of participating stores from Avista</w:t>
      </w:r>
      <w:r w:rsidRPr="007E5313">
        <w:t>, including information on number of bulbs sold and store contact</w:t>
      </w:r>
      <w:r w:rsidR="004B1FA0">
        <w:t>s</w:t>
      </w:r>
      <w:r w:rsidRPr="007E5313">
        <w:t xml:space="preserve">. The surveys will be completed by </w:t>
      </w:r>
      <w:r w:rsidR="007E5313">
        <w:t>evaluation team</w:t>
      </w:r>
      <w:r w:rsidRPr="007E5313">
        <w:t xml:space="preserve"> survey staff.</w:t>
      </w:r>
    </w:p>
    <w:p w:rsidR="00B93260" w:rsidRPr="00B93260" w:rsidRDefault="00B93260" w:rsidP="00B93260">
      <w:pPr>
        <w:pStyle w:val="t"/>
      </w:pPr>
    </w:p>
    <w:p w:rsidR="00B93260" w:rsidRDefault="00B93260" w:rsidP="00C310C5">
      <w:pPr>
        <w:pStyle w:val="Heading1"/>
        <w:jc w:val="left"/>
        <w:sectPr w:rsidR="00B93260" w:rsidSect="00EE2E8B">
          <w:footnotePr>
            <w:numRestart w:val="eachPage"/>
          </w:footnotePr>
          <w:pgSz w:w="12240" w:h="15840"/>
          <w:pgMar w:top="1440" w:right="1440" w:bottom="1440" w:left="1440" w:header="1080" w:footer="720" w:gutter="0"/>
          <w:cols w:space="360"/>
          <w:titlePg/>
        </w:sectPr>
      </w:pPr>
    </w:p>
    <w:p w:rsidR="00B93260" w:rsidRDefault="00B93260" w:rsidP="00B93260">
      <w:pPr>
        <w:pStyle w:val="Heading1"/>
        <w:jc w:val="left"/>
      </w:pPr>
      <w:bookmarkStart w:id="146" w:name="_Toc409095439"/>
      <w:r>
        <w:lastRenderedPageBreak/>
        <w:t>Other Activities</w:t>
      </w:r>
      <w:bookmarkEnd w:id="146"/>
    </w:p>
    <w:p w:rsidR="001B3B9F" w:rsidRPr="001B3B9F" w:rsidRDefault="001B3B9F" w:rsidP="001B3B9F">
      <w:pPr>
        <w:pStyle w:val="t"/>
      </w:pPr>
      <w:r>
        <w:t xml:space="preserve">This section outlines additional activities to be conducted for the evaluation, including the cost-effective analysis, interactions with the Advisory Group and Commission staff, and the evaluation team’s planned reference to the Regional Technical Forum.  </w:t>
      </w:r>
    </w:p>
    <w:p w:rsidR="00AF1093" w:rsidRPr="00203BC5" w:rsidRDefault="00AF1093" w:rsidP="00B93260">
      <w:pPr>
        <w:pStyle w:val="Heading2"/>
        <w:rPr>
          <w:color w:val="FF0000"/>
        </w:rPr>
      </w:pPr>
      <w:bookmarkStart w:id="147" w:name="_Toc409095440"/>
      <w:r w:rsidRPr="00203BC5">
        <w:t>Cost-Effectiveness Analysis</w:t>
      </w:r>
      <w:bookmarkEnd w:id="147"/>
      <w:r w:rsidR="00137064" w:rsidRPr="00203BC5">
        <w:t xml:space="preserve"> </w:t>
      </w:r>
    </w:p>
    <w:p w:rsidR="00534529" w:rsidRDefault="00534529" w:rsidP="00534529">
      <w:pPr>
        <w:pStyle w:val="t"/>
        <w:numPr>
          <w:ilvl w:val="0"/>
          <w:numId w:val="2"/>
        </w:numPr>
        <w:ind w:left="0"/>
      </w:pPr>
      <w:r>
        <w:t>Cost-effectiveness analysis is critical for comparing different resource options and for optimizing investments. When completed correctly, it allows for meaningful comparisons between DSM offerings and traditional resource options (generation, transmission, and distribution</w:t>
      </w:r>
      <w:r w:rsidR="009D5677">
        <w:t>,</w:t>
      </w:r>
      <w:r>
        <w:t xml:space="preserve">) and provides a basis for prioritizing investments. Key goals of cost-effectiveness analysis are to provide factual insights, make tradeoffs transparent, improve the planning process, and help maximize value. </w:t>
      </w:r>
      <w:r w:rsidR="009D5677">
        <w:t>The evaluation team also understands</w:t>
      </w:r>
      <w:r>
        <w:t xml:space="preserve"> that submission of annual cost-effectiveness reports and findings are a regulatory compliance requirement </w:t>
      </w:r>
      <w:r w:rsidR="009D5677">
        <w:t xml:space="preserve">for Avista </w:t>
      </w:r>
      <w:r>
        <w:t>and must follow filed agreements. Cost-effectiveness can be assessed from a variety of perspectives, including;</w:t>
      </w:r>
    </w:p>
    <w:p w:rsidR="00534529" w:rsidRDefault="00534529" w:rsidP="002B3B30">
      <w:pPr>
        <w:pStyle w:val="b"/>
        <w:numPr>
          <w:ilvl w:val="0"/>
          <w:numId w:val="3"/>
        </w:numPr>
        <w:ind w:left="720"/>
      </w:pPr>
      <w:r>
        <w:t>Total Resource Cost (TRC) Test; including the perspective of both the participant and the sponsoring utility,</w:t>
      </w:r>
    </w:p>
    <w:p w:rsidR="00534529" w:rsidRDefault="00534529" w:rsidP="002B3B30">
      <w:pPr>
        <w:pStyle w:val="b"/>
        <w:numPr>
          <w:ilvl w:val="0"/>
          <w:numId w:val="3"/>
        </w:numPr>
        <w:ind w:left="720"/>
      </w:pPr>
      <w:r>
        <w:t>Program Administrator Cost (PAC) Test; as known as the Utility Cost Test (UCT), which represents the perspective of both the participant and the sponsoring utility</w:t>
      </w:r>
    </w:p>
    <w:p w:rsidR="00534529" w:rsidRDefault="00534529" w:rsidP="002B3B30">
      <w:pPr>
        <w:pStyle w:val="b"/>
        <w:numPr>
          <w:ilvl w:val="0"/>
          <w:numId w:val="3"/>
        </w:numPr>
        <w:ind w:left="720"/>
      </w:pPr>
      <w:r>
        <w:t>Participant Cost Test (PCT); which represents the perspective of the participant,</w:t>
      </w:r>
    </w:p>
    <w:p w:rsidR="00534529" w:rsidRDefault="00534529" w:rsidP="002B3B30">
      <w:pPr>
        <w:pStyle w:val="b"/>
        <w:numPr>
          <w:ilvl w:val="0"/>
          <w:numId w:val="3"/>
        </w:numPr>
        <w:ind w:left="720"/>
      </w:pPr>
      <w:r>
        <w:t>Ratepayer Impact Measure (RIM) Test; which represents the perspective of rates for the general population, in particular the non-participating customer, and</w:t>
      </w:r>
    </w:p>
    <w:p w:rsidR="00534529" w:rsidRDefault="00534529" w:rsidP="002B3B30">
      <w:pPr>
        <w:pStyle w:val="ob"/>
        <w:numPr>
          <w:ilvl w:val="0"/>
          <w:numId w:val="3"/>
        </w:numPr>
        <w:ind w:left="720"/>
      </w:pPr>
      <w:r>
        <w:t>Levelized Cost of Saved Energy.</w:t>
      </w:r>
    </w:p>
    <w:p w:rsidR="00534529" w:rsidRPr="00211BA2" w:rsidRDefault="00534529" w:rsidP="00534529">
      <w:pPr>
        <w:pStyle w:val="t"/>
        <w:numPr>
          <w:ilvl w:val="0"/>
          <w:numId w:val="2"/>
        </w:numPr>
        <w:ind w:left="0"/>
      </w:pPr>
      <w:r>
        <w:t xml:space="preserve">The </w:t>
      </w:r>
      <w:r w:rsidR="00AD1C95">
        <w:t>e</w:t>
      </w:r>
      <w:r w:rsidR="003F17F3">
        <w:t>valuation team</w:t>
      </w:r>
      <w:r w:rsidRPr="00211BA2">
        <w:t xml:space="preserve"> </w:t>
      </w:r>
      <w:r>
        <w:t>will complete</w:t>
      </w:r>
      <w:r w:rsidRPr="00211BA2">
        <w:t xml:space="preserve"> a benefit-cost analysis to compare the value of the </w:t>
      </w:r>
      <w:r>
        <w:t>benefits resulting from DSM program intervention to the costs incurred. The calculations will be completed consistent with standard industry practices, including prior Avista filings, the California Standard Practice Manual</w:t>
      </w:r>
      <w:r w:rsidRPr="003D7BC1">
        <w:rPr>
          <w:rStyle w:val="FootnoteReference"/>
          <w:vertAlign w:val="superscript"/>
        </w:rPr>
        <w:footnoteReference w:id="6"/>
      </w:r>
      <w:r>
        <w:t>, and</w:t>
      </w:r>
      <w:r w:rsidR="009D5677">
        <w:t xml:space="preserve"> the</w:t>
      </w:r>
      <w:r>
        <w:t xml:space="preserve"> National Action Plan for Energy Efficiency. The </w:t>
      </w:r>
      <w:r w:rsidR="00AD1C95">
        <w:t>e</w:t>
      </w:r>
      <w:r w:rsidR="003F17F3">
        <w:t>valuation team</w:t>
      </w:r>
      <w:r w:rsidRPr="00211BA2">
        <w:t xml:space="preserve"> understands that </w:t>
      </w:r>
      <w:r>
        <w:t>Avista’s regulatory compliance rules require</w:t>
      </w:r>
      <w:r w:rsidRPr="00211BA2">
        <w:t xml:space="preserve"> </w:t>
      </w:r>
      <w:r>
        <w:t>different</w:t>
      </w:r>
      <w:r w:rsidRPr="00211BA2">
        <w:t xml:space="preserve"> cost-effectiveness</w:t>
      </w:r>
      <w:r>
        <w:t xml:space="preserve"> tests</w:t>
      </w:r>
      <w:r w:rsidRPr="00211BA2">
        <w:t>, including: the Total Resource Cost Test</w:t>
      </w:r>
      <w:r>
        <w:t xml:space="preserve"> for electricity programs and</w:t>
      </w:r>
      <w:r w:rsidRPr="00211BA2">
        <w:t xml:space="preserve"> the Program Administrator </w:t>
      </w:r>
      <w:r>
        <w:t xml:space="preserve">Cost </w:t>
      </w:r>
      <w:r w:rsidRPr="00211BA2">
        <w:t>Test</w:t>
      </w:r>
      <w:r>
        <w:t xml:space="preserve"> for natural gas programs. The </w:t>
      </w:r>
      <w:r w:rsidR="00AD1C95">
        <w:t>e</w:t>
      </w:r>
      <w:r w:rsidR="003F17F3">
        <w:t>valuation team</w:t>
      </w:r>
      <w:r w:rsidRPr="00211BA2">
        <w:t xml:space="preserve"> will directly provide the benefits, as verified gross and net demand and energy savings, as well as time of use characteristics to calculate avoided cost benefits. It is expected tha</w:t>
      </w:r>
      <w:r>
        <w:t>t the calculation of other cost</w:t>
      </w:r>
      <w:r w:rsidRPr="00211BA2">
        <w:t>-effectiveness components</w:t>
      </w:r>
      <w:r>
        <w:t>,</w:t>
      </w:r>
      <w:r w:rsidRPr="00211BA2">
        <w:t xml:space="preserve"> including additional resource savings, program administrativ</w:t>
      </w:r>
      <w:r>
        <w:t xml:space="preserve">e costs, and incentive payments </w:t>
      </w:r>
      <w:r w:rsidRPr="00211BA2">
        <w:t xml:space="preserve">will be generated by </w:t>
      </w:r>
      <w:r>
        <w:t>Avista</w:t>
      </w:r>
      <w:r w:rsidRPr="00211BA2">
        <w:t xml:space="preserve">. </w:t>
      </w:r>
      <w:r w:rsidR="00BC76D0">
        <w:rPr>
          <w:b/>
          <w:color w:val="1F497D" w:themeColor="text2"/>
          <w:highlight w:val="yellow"/>
        </w:rPr>
        <w:fldChar w:fldCharType="begin"/>
      </w:r>
      <w:r w:rsidR="00BC76D0">
        <w:instrText xml:space="preserve"> REF _Ref401925294 \h </w:instrText>
      </w:r>
      <w:r w:rsidR="00BC76D0">
        <w:rPr>
          <w:b/>
          <w:color w:val="1F497D" w:themeColor="text2"/>
          <w:highlight w:val="yellow"/>
        </w:rPr>
      </w:r>
      <w:r w:rsidR="00BC76D0">
        <w:rPr>
          <w:b/>
          <w:color w:val="1F497D" w:themeColor="text2"/>
          <w:highlight w:val="yellow"/>
        </w:rPr>
        <w:fldChar w:fldCharType="separate"/>
      </w:r>
      <w:r w:rsidR="00D90CB2">
        <w:t xml:space="preserve">Table </w:t>
      </w:r>
      <w:r w:rsidR="00D90CB2">
        <w:rPr>
          <w:noProof/>
        </w:rPr>
        <w:t>4</w:t>
      </w:r>
      <w:r w:rsidR="00D90CB2">
        <w:noBreakHyphen/>
      </w:r>
      <w:r w:rsidR="00D90CB2">
        <w:rPr>
          <w:noProof/>
        </w:rPr>
        <w:t>1</w:t>
      </w:r>
      <w:r w:rsidR="00BC76D0">
        <w:rPr>
          <w:b/>
          <w:color w:val="1F497D" w:themeColor="text2"/>
          <w:highlight w:val="yellow"/>
        </w:rPr>
        <w:fldChar w:fldCharType="end"/>
      </w:r>
      <w:r>
        <w:t xml:space="preserve"> </w:t>
      </w:r>
      <w:r w:rsidRPr="00211BA2">
        <w:t>su</w:t>
      </w:r>
      <w:r>
        <w:t>mmarizes the allocation of cost</w:t>
      </w:r>
      <w:r w:rsidRPr="00211BA2">
        <w:t>-effectiveness components as a cost or benefit to each cost-effectiveness test.</w:t>
      </w:r>
    </w:p>
    <w:p w:rsidR="00534529" w:rsidRDefault="00534529" w:rsidP="00534529">
      <w:pPr>
        <w:pStyle w:val="Caption"/>
      </w:pPr>
      <w:bookmarkStart w:id="148" w:name="_Ref401925294"/>
      <w:r>
        <w:lastRenderedPageBreak/>
        <w:t xml:space="preserve">Table </w:t>
      </w:r>
      <w:fldSimple w:instr=" STYLEREF 1 \s ">
        <w:r w:rsidR="0067743A">
          <w:rPr>
            <w:noProof/>
          </w:rPr>
          <w:t>4</w:t>
        </w:r>
      </w:fldSimple>
      <w:r w:rsidR="0067743A">
        <w:noBreakHyphen/>
      </w:r>
      <w:fldSimple w:instr=" SEQ Table \* ARABIC \s 1 ">
        <w:r w:rsidR="0067743A">
          <w:rPr>
            <w:noProof/>
          </w:rPr>
          <w:t>1</w:t>
        </w:r>
      </w:fldSimple>
      <w:bookmarkEnd w:id="148"/>
      <w:r>
        <w:t xml:space="preserve">: </w:t>
      </w:r>
      <w:r w:rsidRPr="00CA5800">
        <w:t>Cost-Effectiveness Component Inputs</w:t>
      </w:r>
    </w:p>
    <w:tbl>
      <w:tblPr>
        <w:tblStyle w:val="NEXANTNEWTABLESTYLE"/>
        <w:tblW w:w="0" w:type="auto"/>
        <w:jc w:val="center"/>
        <w:tblLook w:val="04A0" w:firstRow="1" w:lastRow="0" w:firstColumn="1" w:lastColumn="0" w:noHBand="0" w:noVBand="1"/>
      </w:tblPr>
      <w:tblGrid>
        <w:gridCol w:w="4366"/>
        <w:gridCol w:w="1497"/>
        <w:gridCol w:w="1241"/>
        <w:gridCol w:w="1218"/>
        <w:gridCol w:w="1254"/>
      </w:tblGrid>
      <w:tr w:rsidR="00534529" w:rsidRPr="00B35356" w:rsidTr="002C4E89">
        <w:trPr>
          <w:cnfStyle w:val="100000000000" w:firstRow="1" w:lastRow="0" w:firstColumn="0" w:lastColumn="0" w:oddVBand="0" w:evenVBand="0" w:oddHBand="0" w:evenHBand="0" w:firstRowFirstColumn="0" w:firstRowLastColumn="0" w:lastRowFirstColumn="0" w:lastRowLastColumn="0"/>
          <w:jc w:val="center"/>
        </w:trPr>
        <w:tc>
          <w:tcPr>
            <w:tcW w:w="4678" w:type="dxa"/>
            <w:tcBorders>
              <w:bottom w:val="single" w:sz="6" w:space="0" w:color="1F497D" w:themeColor="text2"/>
              <w:right w:val="single" w:sz="6" w:space="0" w:color="FFFFFF" w:themeColor="background1"/>
            </w:tcBorders>
            <w:vAlign w:val="center"/>
          </w:tcPr>
          <w:p w:rsidR="00534529" w:rsidRPr="00B35356" w:rsidRDefault="00534529">
            <w:pPr>
              <w:keepNext/>
              <w:tabs>
                <w:tab w:val="clear" w:pos="720"/>
              </w:tabs>
              <w:spacing w:after="0" w:line="240" w:lineRule="auto"/>
              <w:ind w:left="0"/>
              <w:jc w:val="left"/>
              <w:rPr>
                <w:rFonts w:cs="Microsoft Sans Serif"/>
                <w:b w:val="0"/>
                <w:color w:val="auto"/>
                <w:szCs w:val="22"/>
              </w:rPr>
            </w:pPr>
            <w:r w:rsidRPr="00B35356">
              <w:rPr>
                <w:rFonts w:cs="Microsoft Sans Serif"/>
                <w:szCs w:val="22"/>
              </w:rPr>
              <w:t>Component</w:t>
            </w:r>
          </w:p>
        </w:tc>
        <w:tc>
          <w:tcPr>
            <w:tcW w:w="128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 xml:space="preserve">Program Administrator </w:t>
            </w:r>
            <w:r w:rsidRPr="00B35356">
              <w:rPr>
                <w:rFonts w:cs="Microsoft Sans Serif"/>
                <w:szCs w:val="22"/>
              </w:rPr>
              <w:br/>
              <w:t>Cost Test (PACT)</w:t>
            </w:r>
          </w:p>
        </w:tc>
        <w:tc>
          <w:tcPr>
            <w:tcW w:w="126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Total Resource Cost  (TRC)</w:t>
            </w:r>
          </w:p>
        </w:tc>
        <w:tc>
          <w:tcPr>
            <w:tcW w:w="1080" w:type="dxa"/>
            <w:tcBorders>
              <w:left w:val="single" w:sz="6" w:space="0" w:color="FFFFFF" w:themeColor="background1"/>
              <w:bottom w:val="single" w:sz="6" w:space="0" w:color="1F497D" w:themeColor="text2"/>
              <w:right w:val="single" w:sz="6" w:space="0" w:color="FFFFFF" w:themeColor="background1"/>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Participant Cost Test (PCT)</w:t>
            </w:r>
          </w:p>
        </w:tc>
        <w:tc>
          <w:tcPr>
            <w:tcW w:w="1278" w:type="dxa"/>
            <w:tcBorders>
              <w:left w:val="single" w:sz="6" w:space="0" w:color="FFFFFF" w:themeColor="background1"/>
              <w:bottom w:val="single" w:sz="6" w:space="0" w:color="1F497D" w:themeColor="text2"/>
            </w:tcBorders>
            <w:vAlign w:val="center"/>
          </w:tcPr>
          <w:p w:rsidR="00534529" w:rsidRPr="00B35356" w:rsidRDefault="00534529" w:rsidP="00910AE4">
            <w:pPr>
              <w:keepNext/>
              <w:tabs>
                <w:tab w:val="clear" w:pos="720"/>
              </w:tabs>
              <w:spacing w:after="0" w:line="240" w:lineRule="auto"/>
              <w:ind w:left="0"/>
              <w:rPr>
                <w:rFonts w:cs="Microsoft Sans Serif"/>
                <w:szCs w:val="22"/>
              </w:rPr>
            </w:pPr>
            <w:r w:rsidRPr="00B35356">
              <w:rPr>
                <w:rFonts w:cs="Microsoft Sans Serif"/>
                <w:szCs w:val="22"/>
              </w:rPr>
              <w:t>Rate Impact Measure (RIM)</w:t>
            </w:r>
          </w:p>
        </w:tc>
      </w:tr>
      <w:tr w:rsidR="00534529" w:rsidRPr="00B35356" w:rsidTr="002C4E89">
        <w:trPr>
          <w:jc w:val="center"/>
        </w:trPr>
        <w:tc>
          <w:tcPr>
            <w:tcW w:w="4678" w:type="dxa"/>
            <w:tcBorders>
              <w:top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Utility Energy &amp; Capacity Avoided Costs</w:t>
            </w:r>
          </w:p>
        </w:tc>
        <w:tc>
          <w:tcPr>
            <w:tcW w:w="128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6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top w:val="single" w:sz="6" w:space="0" w:color="1F497D" w:themeColor="text2"/>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c>
          <w:tcPr>
            <w:tcW w:w="1278" w:type="dxa"/>
            <w:tcBorders>
              <w:top w:val="single" w:sz="6" w:space="0" w:color="1F497D" w:themeColor="text2"/>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Non-Utility Energy &amp; Capacity Energy Costs</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Non-Energy Benefit Impacts</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1F497D" w:themeColor="text2"/>
                <w:szCs w:val="22"/>
              </w:rPr>
            </w:pPr>
            <w:r w:rsidRPr="00B35356">
              <w:rPr>
                <w:rFonts w:cs="Microsoft Sans Serif"/>
                <w:b/>
                <w:color w:val="1F497D" w:themeColor="text2"/>
                <w:szCs w:val="22"/>
              </w:rPr>
              <w:t>Benefit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szCs w:val="22"/>
              </w:rPr>
            </w:pP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Incremental Equipment and Installation Costs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808080" w:themeColor="background1" w:themeShade="80"/>
                <w:szCs w:val="22"/>
              </w:rPr>
              <w:t>Cost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r>
      <w:tr w:rsidR="00534529" w:rsidRPr="00B35356" w:rsidTr="002C4E89">
        <w:trPr>
          <w:trHeight w:val="65"/>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Program Non-incentive (admin) Costs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 xml:space="preserve">Incentive Payments </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b/>
                <w:color w:val="808080" w:themeColor="background1" w:themeShade="80"/>
                <w:szCs w:val="22"/>
              </w:rPr>
            </w:pPr>
            <w:r w:rsidRPr="00B35356">
              <w:rPr>
                <w:rFonts w:cs="Microsoft Sans Serif"/>
                <w:b/>
                <w:color w:val="808080" w:themeColor="background1" w:themeShade="80"/>
                <w:szCs w:val="22"/>
              </w:rPr>
              <w:t>Cost</w:t>
            </w:r>
          </w:p>
        </w:tc>
      </w:tr>
      <w:tr w:rsidR="00534529" w:rsidRPr="00B35356" w:rsidTr="002C4E89">
        <w:trPr>
          <w:jc w:val="center"/>
        </w:trPr>
        <w:tc>
          <w:tcPr>
            <w:tcW w:w="4678" w:type="dxa"/>
            <w:tcBorders>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rPr>
                <w:rFonts w:cs="Microsoft Sans Serif"/>
                <w:szCs w:val="22"/>
              </w:rPr>
            </w:pPr>
            <w:r w:rsidRPr="00B35356">
              <w:rPr>
                <w:rFonts w:cs="Microsoft Sans Serif"/>
                <w:szCs w:val="22"/>
              </w:rPr>
              <w:t>Retail Savings due to Technology Installation</w:t>
            </w:r>
          </w:p>
        </w:tc>
        <w:tc>
          <w:tcPr>
            <w:tcW w:w="12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26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p>
        </w:tc>
        <w:tc>
          <w:tcPr>
            <w:tcW w:w="1080" w:type="dxa"/>
            <w:tcBorders>
              <w:left w:val="single" w:sz="6" w:space="0" w:color="1F497D" w:themeColor="text2"/>
              <w:righ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1F497D" w:themeColor="text2"/>
                <w:szCs w:val="22"/>
              </w:rPr>
              <w:t>Benefit</w:t>
            </w:r>
          </w:p>
        </w:tc>
        <w:tc>
          <w:tcPr>
            <w:tcW w:w="1278" w:type="dxa"/>
            <w:tcBorders>
              <w:left w:val="single" w:sz="6" w:space="0" w:color="1F497D" w:themeColor="text2"/>
            </w:tcBorders>
          </w:tcPr>
          <w:p w:rsidR="00534529" w:rsidRPr="00B35356" w:rsidRDefault="00534529" w:rsidP="00910AE4">
            <w:pPr>
              <w:keepNext/>
              <w:tabs>
                <w:tab w:val="clear" w:pos="-1440"/>
                <w:tab w:val="clear" w:pos="-720"/>
                <w:tab w:val="clear" w:pos="720"/>
              </w:tabs>
              <w:spacing w:after="0" w:line="240" w:lineRule="auto"/>
              <w:ind w:left="0"/>
              <w:jc w:val="center"/>
              <w:rPr>
                <w:rFonts w:cs="Microsoft Sans Serif"/>
                <w:szCs w:val="22"/>
              </w:rPr>
            </w:pPr>
            <w:r w:rsidRPr="00B35356">
              <w:rPr>
                <w:rFonts w:cs="Microsoft Sans Serif"/>
                <w:b/>
                <w:color w:val="808080" w:themeColor="background1" w:themeShade="80"/>
                <w:szCs w:val="22"/>
              </w:rPr>
              <w:t>Cost</w:t>
            </w:r>
          </w:p>
        </w:tc>
      </w:tr>
    </w:tbl>
    <w:p w:rsidR="00534529" w:rsidRDefault="00534529" w:rsidP="00534529">
      <w:pPr>
        <w:pStyle w:val="t"/>
        <w:numPr>
          <w:ilvl w:val="0"/>
          <w:numId w:val="2"/>
        </w:numPr>
        <w:ind w:left="0"/>
      </w:pPr>
    </w:p>
    <w:p w:rsidR="00534529" w:rsidRDefault="00534529" w:rsidP="00531D0A">
      <w:pPr>
        <w:pStyle w:val="Heading3"/>
      </w:pPr>
      <w:bookmarkStart w:id="149" w:name="_Toc402277101"/>
      <w:bookmarkStart w:id="150" w:name="_Toc409095441"/>
      <w:r>
        <w:t>Key Parameters</w:t>
      </w:r>
      <w:bookmarkEnd w:id="149"/>
      <w:bookmarkEnd w:id="150"/>
    </w:p>
    <w:p w:rsidR="00534529" w:rsidRDefault="00407F1F" w:rsidP="00534529">
      <w:pPr>
        <w:pStyle w:val="t"/>
        <w:numPr>
          <w:ilvl w:val="0"/>
          <w:numId w:val="2"/>
        </w:numPr>
        <w:ind w:left="0"/>
      </w:pPr>
      <w:r>
        <w:t>The evaluation team’s</w:t>
      </w:r>
      <w:r w:rsidR="00534529">
        <w:t xml:space="preserve"> cost-effectiveness analysis methods allow for 8</w:t>
      </w:r>
      <w:r w:rsidR="00FF6C9A">
        <w:t>,</w:t>
      </w:r>
      <w:r w:rsidR="00534529">
        <w:t>760 hourly avoided</w:t>
      </w:r>
      <w:r w:rsidR="009D5677">
        <w:t xml:space="preserve"> </w:t>
      </w:r>
      <w:r w:rsidR="00534529">
        <w:t xml:space="preserve">cost tables to be included, especially where the </w:t>
      </w:r>
      <w:r w:rsidR="00AD1C95">
        <w:t>e</w:t>
      </w:r>
      <w:r w:rsidR="003F17F3">
        <w:t>valuation team</w:t>
      </w:r>
      <w:r w:rsidR="00534529">
        <w:t xml:space="preserve"> collects or has access to 8</w:t>
      </w:r>
      <w:r w:rsidR="00FF6C9A">
        <w:t>,</w:t>
      </w:r>
      <w:r w:rsidR="00534529">
        <w:t xml:space="preserve">760 hourly load shapes (e.g., CFL hourly operation) for energy-efficiency measures. </w:t>
      </w:r>
      <w:r w:rsidR="00203BC5">
        <w:t>We</w:t>
      </w:r>
      <w:r w:rsidR="00534529">
        <w:t xml:space="preserve"> anticipate using a 10% additional benefit for utility energy avoided costs consistent with practices in the Pacific Northwest to account for broader environmental benefits.  </w:t>
      </w:r>
    </w:p>
    <w:p w:rsidR="00534529" w:rsidRDefault="00534529" w:rsidP="00534529">
      <w:pPr>
        <w:pStyle w:val="t"/>
        <w:numPr>
          <w:ilvl w:val="0"/>
          <w:numId w:val="2"/>
        </w:numPr>
        <w:ind w:left="0"/>
      </w:pPr>
      <w:r>
        <w:t xml:space="preserve">The cost effectiveness analysis will include key parameters from Avista filings and/or RTF and Northwest Power and Conservation Council wherever possible. Examples would include net incremental equipment costs, measure life, discount rate, etc. Included non-energy benefits will be limited </w:t>
      </w:r>
      <w:r w:rsidR="00FF6C9A">
        <w:t xml:space="preserve">to </w:t>
      </w:r>
      <w:r>
        <w:t xml:space="preserve">where reliable and quantifiable research is present, </w:t>
      </w:r>
      <w:r w:rsidR="00FF6C9A">
        <w:t xml:space="preserve">such </w:t>
      </w:r>
      <w:r>
        <w:t xml:space="preserve">as water savings and equipment maintenance. “Softer” benefits that are significantly more difficult to quantify, such as comfort, reliability, productively, safety, etc., will not be included in the analysis. </w:t>
      </w:r>
    </w:p>
    <w:p w:rsidR="00534529" w:rsidRDefault="00534529" w:rsidP="00531D0A">
      <w:pPr>
        <w:pStyle w:val="Heading3"/>
      </w:pPr>
      <w:bookmarkStart w:id="151" w:name="_Toc402277102"/>
      <w:bookmarkStart w:id="152" w:name="_Toc409095442"/>
      <w:r>
        <w:t>Reporting</w:t>
      </w:r>
      <w:bookmarkEnd w:id="151"/>
      <w:bookmarkEnd w:id="152"/>
    </w:p>
    <w:p w:rsidR="00534529" w:rsidRDefault="00534529" w:rsidP="00534529">
      <w:pPr>
        <w:pStyle w:val="t"/>
        <w:numPr>
          <w:ilvl w:val="0"/>
          <w:numId w:val="2"/>
        </w:numPr>
        <w:ind w:left="0"/>
      </w:pPr>
      <w:r>
        <w:t xml:space="preserve">The </w:t>
      </w:r>
      <w:r w:rsidR="00AD1C95">
        <w:t>e</w:t>
      </w:r>
      <w:r w:rsidR="003F17F3">
        <w:t>valuation team</w:t>
      </w:r>
      <w:r>
        <w:t xml:space="preserve"> anticipates performing an individual annual cost-effectiveness report for each program and the portfolio by fuel and state for each year by the April following each program year. In the first </w:t>
      </w:r>
      <w:r w:rsidR="00FF6C9A">
        <w:t xml:space="preserve">annual </w:t>
      </w:r>
      <w:r>
        <w:t xml:space="preserve">report for 2014, </w:t>
      </w:r>
      <w:r w:rsidR="00203BC5">
        <w:t>we</w:t>
      </w:r>
      <w:r>
        <w:t xml:space="preserve"> will utilize “locked” values from the filing, because very limited evaluation research will have been completed.</w:t>
      </w:r>
    </w:p>
    <w:p w:rsidR="00534529" w:rsidRPr="004C34A5" w:rsidRDefault="00534529" w:rsidP="00534529">
      <w:pPr>
        <w:pStyle w:val="t"/>
        <w:numPr>
          <w:ilvl w:val="0"/>
          <w:numId w:val="2"/>
        </w:numPr>
        <w:ind w:left="0"/>
      </w:pPr>
      <w:r>
        <w:t>T</w:t>
      </w:r>
      <w:r w:rsidRPr="004C34A5">
        <w:t>he reports will include step by step methodologies for each of the cost-effectiveness tests, all cost and benefit components</w:t>
      </w:r>
      <w:r w:rsidR="00FF6C9A">
        <w:t>,</w:t>
      </w:r>
      <w:r w:rsidRPr="004C34A5">
        <w:t xml:space="preserve"> and the algebraic formulas used to derive the tests</w:t>
      </w:r>
      <w:r w:rsidR="00FF6C9A">
        <w:t>,</w:t>
      </w:r>
      <w:r w:rsidRPr="004C34A5">
        <w:t xml:space="preserve"> so </w:t>
      </w:r>
      <w:r w:rsidR="00FF6C9A">
        <w:t xml:space="preserve">that </w:t>
      </w:r>
      <w:r w:rsidRPr="004C34A5">
        <w:t xml:space="preserve">the reader may follow the mathematical logic and better understand the </w:t>
      </w:r>
      <w:r>
        <w:t>inputs, operators, and outputs. An e</w:t>
      </w:r>
      <w:r w:rsidRPr="00A675A7">
        <w:t xml:space="preserve">xample of </w:t>
      </w:r>
      <w:r>
        <w:t xml:space="preserve">the </w:t>
      </w:r>
      <w:r w:rsidRPr="00A675A7">
        <w:t xml:space="preserve">algebraic formulas used to derive the tests </w:t>
      </w:r>
      <w:r>
        <w:t xml:space="preserve">is provided below for </w:t>
      </w:r>
      <w:r w:rsidRPr="00A675A7">
        <w:t>illustration purposes</w:t>
      </w:r>
      <w:r>
        <w:t>:</w:t>
      </w:r>
    </w:p>
    <w:p w:rsidR="00534529" w:rsidRPr="00993E2B" w:rsidRDefault="00993E2B" w:rsidP="00534529">
      <w:pPr>
        <w:pStyle w:val="t"/>
        <w:numPr>
          <w:ilvl w:val="0"/>
          <w:numId w:val="2"/>
        </w:numPr>
        <w:ind w:left="0"/>
        <w:jc w:val="center"/>
      </w:pPr>
      <m:oMath>
        <m:r>
          <m:rPr>
            <m:sty m:val="p"/>
          </m:rPr>
          <w:rPr>
            <w:rFonts w:ascii="Cambria Math" w:hAnsi="Cambria Math"/>
          </w:rPr>
          <m:t>Benefits=</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UAC</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1+d</m:t>
                        </m:r>
                      </m:e>
                    </m:d>
                  </m:e>
                  <m:sup>
                    <m:r>
                      <m:rPr>
                        <m:sty m:val="p"/>
                      </m:rPr>
                      <w:rPr>
                        <w:rFonts w:ascii="Cambria Math" w:hAnsi="Cambria Math"/>
                      </w:rPr>
                      <m:t>t-1</m:t>
                    </m:r>
                  </m:sup>
                </m:sSup>
              </m:den>
            </m:f>
          </m:e>
        </m:nary>
      </m:oMath>
    </w:p>
    <w:p w:rsidR="00534529" w:rsidRPr="00993E2B" w:rsidRDefault="00993E2B" w:rsidP="00534529">
      <w:pPr>
        <w:pStyle w:val="t"/>
        <w:numPr>
          <w:ilvl w:val="0"/>
          <w:numId w:val="2"/>
        </w:numPr>
        <w:ind w:left="0"/>
        <w:jc w:val="center"/>
      </w:pPr>
      <m:oMath>
        <m:r>
          <m:rPr>
            <m:sty m:val="p"/>
          </m:rPr>
          <w:rPr>
            <w:rFonts w:ascii="Cambria Math" w:hAnsi="Cambria Math"/>
          </w:rPr>
          <m:t>Costs=</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PRC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PCN</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FRINC</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1+d</m:t>
                        </m:r>
                      </m:e>
                    </m:d>
                  </m:e>
                  <m:sup>
                    <m:r>
                      <m:rPr>
                        <m:sty m:val="p"/>
                      </m:rPr>
                      <w:rPr>
                        <w:rFonts w:ascii="Cambria Math" w:hAnsi="Cambria Math"/>
                      </w:rPr>
                      <m:t>t-1</m:t>
                    </m:r>
                  </m:sup>
                </m:sSup>
              </m:den>
            </m:f>
          </m:e>
        </m:nary>
      </m:oMath>
    </w:p>
    <w:p w:rsidR="00534529" w:rsidRPr="004C34A5" w:rsidRDefault="00534529" w:rsidP="00534529">
      <w:pPr>
        <w:pStyle w:val="t"/>
        <w:numPr>
          <w:ilvl w:val="0"/>
          <w:numId w:val="2"/>
        </w:numPr>
        <w:ind w:left="0"/>
        <w:jc w:val="center"/>
      </w:pPr>
      <m:oMath>
        <m:r>
          <w:rPr>
            <w:rFonts w:ascii="Cambria Math" w:hAnsi="Cambria Math"/>
          </w:rPr>
          <w:lastRenderedPageBreak/>
          <m:t>TRC</m:t>
        </m:r>
        <m:r>
          <m:rPr>
            <m:sty m:val="p"/>
          </m:rPr>
          <w:rPr>
            <w:rFonts w:ascii="Cambria Math" w:hAnsi="Cambria Math"/>
          </w:rPr>
          <m:t xml:space="preserve"> </m:t>
        </m:r>
        <m:r>
          <w:rPr>
            <w:rFonts w:ascii="Cambria Math" w:hAnsi="Cambria Math"/>
          </w:rPr>
          <m:t>Ratio</m:t>
        </m:r>
        <m:r>
          <m:rPr>
            <m:sty m:val="p"/>
          </m:rPr>
          <w:rPr>
            <w:rFonts w:ascii="Cambria Math" w:hAnsi="Cambria Math"/>
          </w:rPr>
          <m:t>=</m:t>
        </m:r>
        <m:f>
          <m:fPr>
            <m:ctrlPr>
              <w:rPr>
                <w:rFonts w:ascii="Cambria Math" w:hAnsi="Cambria Math"/>
              </w:rPr>
            </m:ctrlPr>
          </m:fPr>
          <m:num>
            <m:r>
              <w:rPr>
                <w:rFonts w:ascii="Cambria Math" w:hAnsi="Cambria Math"/>
              </w:rPr>
              <m:t>Benefits</m:t>
            </m:r>
          </m:num>
          <m:den>
            <m:r>
              <w:rPr>
                <w:rFonts w:ascii="Cambria Math" w:hAnsi="Cambria Math"/>
              </w:rPr>
              <m:t>Costs</m:t>
            </m:r>
          </m:den>
        </m:f>
      </m:oMath>
    </w:p>
    <w:p w:rsidR="00534529" w:rsidRPr="004C34A5" w:rsidRDefault="00534529" w:rsidP="00534529">
      <w:pPr>
        <w:pStyle w:val="t"/>
        <w:numPr>
          <w:ilvl w:val="0"/>
          <w:numId w:val="2"/>
        </w:numPr>
        <w:spacing w:before="60" w:after="60" w:line="240" w:lineRule="auto"/>
        <w:ind w:left="0"/>
      </w:pPr>
      <w:r>
        <w:t>W</w:t>
      </w:r>
      <w:r w:rsidRPr="004C34A5">
        <w:t>here:</w:t>
      </w:r>
    </w:p>
    <w:p w:rsidR="00534529" w:rsidRPr="00993E2B" w:rsidRDefault="00534529" w:rsidP="00B35356">
      <w:pPr>
        <w:pStyle w:val="Outline"/>
        <w:numPr>
          <w:ilvl w:val="0"/>
          <w:numId w:val="0"/>
        </w:numPr>
        <w:ind w:left="360"/>
      </w:pPr>
      <w:r w:rsidRPr="00613C1E">
        <w:t>UAC</w:t>
      </w:r>
      <w:r w:rsidRPr="00613C1E">
        <w:rPr>
          <w:vertAlign w:val="subscript"/>
        </w:rPr>
        <w:t>t</w:t>
      </w:r>
      <w:r w:rsidRPr="00993E2B">
        <w:tab/>
      </w:r>
      <w:r w:rsidRPr="00993E2B">
        <w:tab/>
        <w:t>=</w:t>
      </w:r>
      <w:r w:rsidRPr="00993E2B">
        <w:tab/>
        <w:t xml:space="preserve">Utility avoided supply costs in year </w:t>
      </w:r>
      <w:r w:rsidRPr="00613C1E">
        <w:t>t</w:t>
      </w:r>
    </w:p>
    <w:p w:rsidR="00534529" w:rsidRPr="00993E2B" w:rsidRDefault="00534529" w:rsidP="00B35356">
      <w:pPr>
        <w:pStyle w:val="Outline"/>
        <w:numPr>
          <w:ilvl w:val="0"/>
          <w:numId w:val="0"/>
        </w:numPr>
        <w:ind w:left="360"/>
      </w:pPr>
      <w:r w:rsidRPr="00613C1E">
        <w:t>PRC</w:t>
      </w:r>
      <w:r w:rsidRPr="00613C1E">
        <w:rPr>
          <w:vertAlign w:val="subscript"/>
        </w:rPr>
        <w:t>t</w:t>
      </w:r>
      <w:r w:rsidRPr="00993E2B">
        <w:tab/>
      </w:r>
      <w:r w:rsidRPr="00993E2B">
        <w:tab/>
        <w:t>=</w:t>
      </w:r>
      <w:r w:rsidRPr="00993E2B">
        <w:tab/>
        <w:t xml:space="preserve">Program administrator program costs in year </w:t>
      </w:r>
      <w:r w:rsidRPr="00613C1E">
        <w:t>t</w:t>
      </w:r>
    </w:p>
    <w:p w:rsidR="00534529" w:rsidRPr="00993E2B" w:rsidRDefault="00534529" w:rsidP="00B35356">
      <w:pPr>
        <w:pStyle w:val="Outline"/>
        <w:numPr>
          <w:ilvl w:val="0"/>
          <w:numId w:val="0"/>
        </w:numPr>
        <w:ind w:left="360"/>
      </w:pPr>
      <w:r w:rsidRPr="00613C1E">
        <w:t>PCN</w:t>
      </w:r>
      <w:r w:rsidRPr="00613C1E">
        <w:rPr>
          <w:vertAlign w:val="subscript"/>
        </w:rPr>
        <w:t>t</w:t>
      </w:r>
      <w:r w:rsidRPr="00993E2B">
        <w:tab/>
      </w:r>
      <w:r w:rsidRPr="00993E2B">
        <w:tab/>
        <w:t>=</w:t>
      </w:r>
      <w:r w:rsidRPr="00993E2B">
        <w:tab/>
        <w:t xml:space="preserve">Net participant costs (equipment costs) in year </w:t>
      </w:r>
      <w:r w:rsidRPr="00613C1E">
        <w:t>t</w:t>
      </w:r>
    </w:p>
    <w:p w:rsidR="00534529" w:rsidRPr="00993E2B" w:rsidRDefault="00534529" w:rsidP="00B35356">
      <w:pPr>
        <w:pStyle w:val="Outline"/>
        <w:numPr>
          <w:ilvl w:val="0"/>
          <w:numId w:val="0"/>
        </w:numPr>
        <w:ind w:left="360"/>
      </w:pPr>
      <w:r w:rsidRPr="00613C1E">
        <w:t>FRINC</w:t>
      </w:r>
      <w:r w:rsidRPr="00613C1E">
        <w:rPr>
          <w:vertAlign w:val="subscript"/>
        </w:rPr>
        <w:t>t</w:t>
      </w:r>
      <w:r w:rsidRPr="00993E2B">
        <w:tab/>
      </w:r>
      <w:r w:rsidRPr="00993E2B">
        <w:tab/>
        <w:t>=</w:t>
      </w:r>
      <w:r w:rsidRPr="00993E2B">
        <w:tab/>
        <w:t xml:space="preserve">Incentives paid to freeriders in year </w:t>
      </w:r>
      <w:r w:rsidRPr="00613C1E">
        <w:t>t</w:t>
      </w:r>
    </w:p>
    <w:p w:rsidR="00534529" w:rsidRDefault="00534529" w:rsidP="00B35356">
      <w:pPr>
        <w:pStyle w:val="Outline"/>
        <w:numPr>
          <w:ilvl w:val="0"/>
          <w:numId w:val="0"/>
        </w:numPr>
        <w:ind w:left="360"/>
      </w:pPr>
      <w:r w:rsidRPr="00613C1E">
        <w:t>d</w:t>
      </w:r>
      <w:r w:rsidRPr="00613C1E">
        <w:tab/>
      </w:r>
      <w:r>
        <w:rPr>
          <w:i/>
        </w:rPr>
        <w:tab/>
      </w:r>
      <w:r w:rsidR="00CF217D">
        <w:rPr>
          <w:i/>
        </w:rPr>
        <w:tab/>
      </w:r>
      <w:r w:rsidRPr="004C34A5">
        <w:rPr>
          <w:i/>
        </w:rPr>
        <w:t>=</w:t>
      </w:r>
      <w:r w:rsidRPr="004C34A5">
        <w:rPr>
          <w:i/>
        </w:rPr>
        <w:tab/>
      </w:r>
      <w:r w:rsidRPr="004C34A5">
        <w:t>Nominal discount rate</w:t>
      </w:r>
    </w:p>
    <w:p w:rsidR="00B93260" w:rsidRPr="00B35356" w:rsidRDefault="00B93260" w:rsidP="00137064">
      <w:pPr>
        <w:pStyle w:val="Heading2"/>
      </w:pPr>
      <w:bookmarkStart w:id="153" w:name="_Toc409095443"/>
      <w:r w:rsidRPr="00B35356">
        <w:t>Interactions with Advisory Group and Commission Staff</w:t>
      </w:r>
      <w:bookmarkEnd w:id="153"/>
      <w:r w:rsidR="00137064" w:rsidRPr="00B35356">
        <w:t xml:space="preserve"> </w:t>
      </w:r>
    </w:p>
    <w:p w:rsidR="00B35356" w:rsidRPr="00B35356" w:rsidRDefault="00B35356" w:rsidP="00B35356">
      <w:pPr>
        <w:pStyle w:val="t"/>
      </w:pPr>
      <w:r w:rsidRPr="00B35356">
        <w:t xml:space="preserve">The evaluation team understands the importance of keeping the advisory group and commission staff informed of pertinent evaluation activities and findings.  Applicable evaluation team members will attend, either via phone conference or in-person, quarterly Advisory Group meetings and update this group on evaluation activities as deemed appropriate and necessary.  </w:t>
      </w:r>
    </w:p>
    <w:p w:rsidR="00B93260" w:rsidRPr="00203BC5" w:rsidRDefault="00B93260" w:rsidP="00B93260">
      <w:pPr>
        <w:pStyle w:val="Heading2"/>
        <w:rPr>
          <w:color w:val="FF0000"/>
        </w:rPr>
      </w:pPr>
      <w:bookmarkStart w:id="154" w:name="_Toc409095444"/>
      <w:r w:rsidRPr="00203BC5">
        <w:t>Use of reference to Regional Technical Forum</w:t>
      </w:r>
      <w:bookmarkEnd w:id="154"/>
      <w:r w:rsidR="00137064" w:rsidRPr="00203BC5">
        <w:t xml:space="preserve"> </w:t>
      </w:r>
    </w:p>
    <w:p w:rsidR="00534529" w:rsidRDefault="00534529" w:rsidP="00534529">
      <w:pPr>
        <w:pStyle w:val="t"/>
        <w:numPr>
          <w:ilvl w:val="0"/>
          <w:numId w:val="2"/>
        </w:numPr>
        <w:ind w:left="0"/>
      </w:pPr>
      <w:r>
        <w:t xml:space="preserve">The Regional Technical Forum (RTF) has developed formalized processes for calculating, approving, and updating Unit Energy Savings (UES) for a broad spectrum of energy efficiency measures applicable across customer segments. </w:t>
      </w:r>
      <w:r w:rsidR="00407F1F">
        <w:t>The evaluation team</w:t>
      </w:r>
      <w:r>
        <w:t xml:space="preserve"> recognizes the economic benefits of utilizing the RTF measure workbooks to streamline the evaluation process. Where Avista energy efficiency programs incentivize measures with</w:t>
      </w:r>
      <w:r w:rsidR="00B1330C">
        <w:t xml:space="preserve"> </w:t>
      </w:r>
      <w:r w:rsidR="000C7804">
        <w:t>proven</w:t>
      </w:r>
      <w:r>
        <w:t xml:space="preserve"> RTF values, the </w:t>
      </w:r>
      <w:r w:rsidR="00AD1C95">
        <w:t>e</w:t>
      </w:r>
      <w:r w:rsidR="003F17F3">
        <w:t>valuation team</w:t>
      </w:r>
      <w:r>
        <w:t xml:space="preserve"> will rely heavily on this resource to manage evaluation costs. There are cases, however, in which the measures Avista incentivizes may only align with RTF measures in the Provisional or Small Saver categories. In these circumstances, we will review the RTF UES values and measure workbooks, </w:t>
      </w:r>
      <w:r w:rsidR="00B1330C">
        <w:t>as well as</w:t>
      </w:r>
      <w:r>
        <w:t xml:space="preserve"> rely on our expertise and utilize industry best practices to evaluate the impact of these measures. We will also balance the priorities for study rigor and evaluation complexity with a focus on high impact measures, new or changed programs, and measures or programs that will be flagged for deeper focus based on a review of the prior evaluation. Furthermore, experts on the </w:t>
      </w:r>
      <w:r w:rsidR="00AD1C95">
        <w:t>e</w:t>
      </w:r>
      <w:r w:rsidR="003F17F3">
        <w:t>valuation team</w:t>
      </w:r>
      <w:r>
        <w:t xml:space="preserve"> will review all “</w:t>
      </w:r>
      <w:r w:rsidR="00B1330C">
        <w:t>proven</w:t>
      </w:r>
      <w:r>
        <w:t xml:space="preserve">” UES measure savings to ensure they are applicable to Avista’s specific customer programs. </w:t>
      </w:r>
    </w:p>
    <w:p w:rsidR="00534529" w:rsidRPr="00320BA9" w:rsidRDefault="00534529" w:rsidP="00320BA9">
      <w:pPr>
        <w:pStyle w:val="t"/>
      </w:pPr>
      <w:r w:rsidRPr="00AD42E3">
        <w:t xml:space="preserve">We will estimate NTG values for all </w:t>
      </w:r>
      <w:r>
        <w:t>evaluated</w:t>
      </w:r>
      <w:r w:rsidRPr="00AD42E3">
        <w:t xml:space="preserve"> program savings.  However, for those program measures that utilize an RTF defined market baseline value, we will not apply freeridership to these measures</w:t>
      </w:r>
      <w:r w:rsidR="00B1330C">
        <w:t>,</w:t>
      </w:r>
      <w:r w:rsidRPr="00AD42E3">
        <w:t xml:space="preserve"> since freeridership is already accounte</w:t>
      </w:r>
      <w:r>
        <w:t xml:space="preserve">d for in the market baseline. </w:t>
      </w:r>
      <w:r w:rsidR="00203BC5">
        <w:t>In other words</w:t>
      </w:r>
      <w:r w:rsidRPr="00AD42E3">
        <w:t>, for RTF measure savings estimates based on market baselines, freeridership ratios based on the evaluation activities will not be applied and only spillover ratios will be used for the NTG adjustment</w:t>
      </w:r>
    </w:p>
    <w:p w:rsidR="00050FD1" w:rsidRDefault="00C310C5" w:rsidP="00C310C5">
      <w:pPr>
        <w:pStyle w:val="Heading1"/>
        <w:jc w:val="left"/>
      </w:pPr>
      <w:bookmarkStart w:id="155" w:name="_Toc409095445"/>
      <w:r w:rsidRPr="006D4FA2">
        <w:lastRenderedPageBreak/>
        <w:t>Schedule</w:t>
      </w:r>
      <w:r w:rsidR="00B93260">
        <w:t xml:space="preserve"> and Budget</w:t>
      </w:r>
      <w:r w:rsidRPr="006D4FA2">
        <w:t xml:space="preserve"> Summary</w:t>
      </w:r>
      <w:bookmarkEnd w:id="155"/>
    </w:p>
    <w:p w:rsidR="00124C67" w:rsidRPr="00124C67" w:rsidRDefault="00124C67" w:rsidP="00124C67">
      <w:pPr>
        <w:pStyle w:val="t"/>
      </w:pPr>
      <w:bookmarkStart w:id="156" w:name="_Toc312832688"/>
      <w:r>
        <w:t>This section presents the schedule</w:t>
      </w:r>
      <w:r w:rsidR="00EC4F6D">
        <w:t xml:space="preserve"> and budget</w:t>
      </w:r>
      <w:r>
        <w:t xml:space="preserve"> for the evaluation </w:t>
      </w:r>
      <w:r w:rsidR="00EC4F6D">
        <w:t xml:space="preserve">activities, including major and intermediate deliverables. In addition to the deliverables outlined herein, the evaluation team will also conduct regular meetings with Avista evaluation staff to keep the team apprised of current status, upcoming tasks, and to discuss any questions or concerns. </w:t>
      </w:r>
    </w:p>
    <w:p w:rsidR="00C310C5" w:rsidRDefault="002F4D77" w:rsidP="00B93260">
      <w:pPr>
        <w:pStyle w:val="Heading2"/>
        <w:rPr>
          <w:color w:val="FF0000"/>
        </w:rPr>
      </w:pPr>
      <w:bookmarkStart w:id="157" w:name="_Toc409095446"/>
      <w:r>
        <w:t xml:space="preserve">Schedule and </w:t>
      </w:r>
      <w:r w:rsidR="00C310C5">
        <w:t>Key Milestones</w:t>
      </w:r>
      <w:bookmarkEnd w:id="157"/>
    </w:p>
    <w:p w:rsidR="002F4D77" w:rsidRPr="007A13DD" w:rsidRDefault="002F4D77" w:rsidP="002F4D77">
      <w:pPr>
        <w:pStyle w:val="t"/>
        <w:numPr>
          <w:ilvl w:val="0"/>
          <w:numId w:val="2"/>
        </w:numPr>
        <w:ind w:left="0"/>
      </w:pPr>
      <w:r w:rsidRPr="007A13DD">
        <w:t xml:space="preserve">The project timelines shown in </w:t>
      </w:r>
      <w:r w:rsidR="007331A1">
        <w:rPr>
          <w:b/>
          <w:color w:val="1F497D" w:themeColor="text2"/>
        </w:rPr>
        <w:fldChar w:fldCharType="begin"/>
      </w:r>
      <w:r w:rsidR="007331A1">
        <w:rPr>
          <w:b/>
          <w:color w:val="1F497D" w:themeColor="text2"/>
        </w:rPr>
        <w:instrText xml:space="preserve"> REF _Ref406413451 \h </w:instrText>
      </w:r>
      <w:r w:rsidR="007331A1">
        <w:rPr>
          <w:b/>
          <w:color w:val="1F497D" w:themeColor="text2"/>
        </w:rPr>
      </w:r>
      <w:r w:rsidR="007331A1">
        <w:rPr>
          <w:b/>
          <w:color w:val="1F497D" w:themeColor="text2"/>
        </w:rPr>
        <w:fldChar w:fldCharType="separate"/>
      </w:r>
      <w:r w:rsidR="007331A1">
        <w:t xml:space="preserve">Figure </w:t>
      </w:r>
      <w:r w:rsidR="007331A1">
        <w:rPr>
          <w:noProof/>
        </w:rPr>
        <w:t>5</w:t>
      </w:r>
      <w:r w:rsidR="007331A1">
        <w:noBreakHyphen/>
      </w:r>
      <w:r w:rsidR="007331A1">
        <w:rPr>
          <w:noProof/>
        </w:rPr>
        <w:t>1</w:t>
      </w:r>
      <w:r w:rsidR="007331A1">
        <w:rPr>
          <w:b/>
          <w:color w:val="1F497D" w:themeColor="text2"/>
        </w:rPr>
        <w:fldChar w:fldCharType="end"/>
      </w:r>
      <w:r w:rsidR="007331A1">
        <w:rPr>
          <w:b/>
          <w:color w:val="1F497D" w:themeColor="text2"/>
        </w:rPr>
        <w:t xml:space="preserve"> </w:t>
      </w:r>
      <w:r>
        <w:t xml:space="preserve">and </w:t>
      </w:r>
      <w:r w:rsidR="007E5313">
        <w:fldChar w:fldCharType="begin"/>
      </w:r>
      <w:r w:rsidR="007E5313">
        <w:instrText xml:space="preserve"> REF _Ref406339954 \h </w:instrText>
      </w:r>
      <w:r w:rsidR="007E5313">
        <w:fldChar w:fldCharType="end"/>
      </w:r>
      <w:r w:rsidR="007331A1">
        <w:fldChar w:fldCharType="begin"/>
      </w:r>
      <w:r w:rsidR="007331A1">
        <w:instrText xml:space="preserve"> REF _Ref406413505 \h </w:instrText>
      </w:r>
      <w:r w:rsidR="007331A1">
        <w:fldChar w:fldCharType="separate"/>
      </w:r>
      <w:r w:rsidR="007331A1">
        <w:t xml:space="preserve">Figure </w:t>
      </w:r>
      <w:r w:rsidR="007331A1">
        <w:rPr>
          <w:noProof/>
        </w:rPr>
        <w:t>5</w:t>
      </w:r>
      <w:r w:rsidR="007331A1">
        <w:noBreakHyphen/>
      </w:r>
      <w:r w:rsidR="007331A1">
        <w:rPr>
          <w:noProof/>
        </w:rPr>
        <w:t>2</w:t>
      </w:r>
      <w:r w:rsidR="007331A1">
        <w:fldChar w:fldCharType="end"/>
      </w:r>
      <w:r>
        <w:t xml:space="preserve"> outline</w:t>
      </w:r>
      <w:r w:rsidRPr="007A13DD">
        <w:t xml:space="preserve"> the expected timing of key impact and process evaluation activities and </w:t>
      </w:r>
      <w:r>
        <w:t>deliverables</w:t>
      </w:r>
      <w:r w:rsidRPr="007A13DD">
        <w:t xml:space="preserve"> for the EM&amp;V of Avista’s 2014-2015 DSM Programs. </w:t>
      </w:r>
    </w:p>
    <w:p w:rsidR="007331A1" w:rsidRDefault="007331A1" w:rsidP="007331A1">
      <w:pPr>
        <w:pStyle w:val="Caption"/>
      </w:pPr>
      <w:bookmarkStart w:id="158" w:name="_Ref406413451"/>
      <w:r>
        <w:lastRenderedPageBreak/>
        <w:t xml:space="preserve">Figure </w:t>
      </w:r>
      <w:fldSimple w:instr=" STYLEREF 1 \s ">
        <w:r>
          <w:rPr>
            <w:noProof/>
          </w:rPr>
          <w:t>5</w:t>
        </w:r>
      </w:fldSimple>
      <w:r>
        <w:noBreakHyphen/>
      </w:r>
      <w:fldSimple w:instr=" SEQ Figure \* ARABIC \s 1 ">
        <w:r>
          <w:rPr>
            <w:noProof/>
          </w:rPr>
          <w:t>1</w:t>
        </w:r>
      </w:fldSimple>
      <w:bookmarkEnd w:id="158"/>
      <w:r>
        <w:t xml:space="preserve">: </w:t>
      </w:r>
      <w:r w:rsidRPr="00E33E74">
        <w:t>Impact Team Activities Gantt Chart</w:t>
      </w:r>
    </w:p>
    <w:p w:rsidR="002F4D77" w:rsidRPr="002F4D77" w:rsidRDefault="002F4D77" w:rsidP="00531D0A">
      <w:pPr>
        <w:pStyle w:val="t"/>
        <w:jc w:val="center"/>
      </w:pPr>
      <w:r w:rsidRPr="00500A9D">
        <w:rPr>
          <w:noProof/>
        </w:rPr>
        <w:drawing>
          <wp:inline distT="0" distB="0" distL="0" distR="0" wp14:anchorId="6E05F3FF" wp14:editId="756E682F">
            <wp:extent cx="5943600" cy="571220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712203"/>
                    </a:xfrm>
                    <a:prstGeom prst="rect">
                      <a:avLst/>
                    </a:prstGeom>
                    <a:noFill/>
                  </pic:spPr>
                </pic:pic>
              </a:graphicData>
            </a:graphic>
          </wp:inline>
        </w:drawing>
      </w:r>
    </w:p>
    <w:p w:rsidR="002F4D77" w:rsidRDefault="002F4D77" w:rsidP="002F4D77">
      <w:pPr>
        <w:pStyle w:val="t"/>
      </w:pPr>
      <w:bookmarkStart w:id="159" w:name="_Ref401849723"/>
    </w:p>
    <w:p w:rsidR="002F4D77" w:rsidRDefault="002F4D77" w:rsidP="002F4D77">
      <w:pPr>
        <w:pStyle w:val="t"/>
      </w:pPr>
    </w:p>
    <w:p w:rsidR="002F4D77" w:rsidRDefault="002F4D77" w:rsidP="002F4D77">
      <w:pPr>
        <w:pStyle w:val="t"/>
      </w:pPr>
    </w:p>
    <w:p w:rsidR="007331A1" w:rsidRDefault="007331A1" w:rsidP="007331A1">
      <w:pPr>
        <w:pStyle w:val="Caption"/>
      </w:pPr>
      <w:bookmarkStart w:id="160" w:name="_Ref406413505"/>
      <w:bookmarkEnd w:id="159"/>
      <w:r>
        <w:lastRenderedPageBreak/>
        <w:t xml:space="preserve">Figure </w:t>
      </w:r>
      <w:fldSimple w:instr=" STYLEREF 1 \s ">
        <w:r>
          <w:rPr>
            <w:noProof/>
          </w:rPr>
          <w:t>5</w:t>
        </w:r>
      </w:fldSimple>
      <w:r>
        <w:noBreakHyphen/>
      </w:r>
      <w:fldSimple w:instr=" SEQ Figure \* ARABIC \s 1 ">
        <w:r>
          <w:rPr>
            <w:noProof/>
          </w:rPr>
          <w:t>2</w:t>
        </w:r>
      </w:fldSimple>
      <w:bookmarkEnd w:id="160"/>
      <w:r>
        <w:t xml:space="preserve">: </w:t>
      </w:r>
      <w:r w:rsidRPr="00EC2E73">
        <w:t>Process Team Activities Gantt Chart</w:t>
      </w:r>
    </w:p>
    <w:p w:rsidR="002F4D77" w:rsidRDefault="002F4D77" w:rsidP="00531D0A">
      <w:pPr>
        <w:pStyle w:val="t"/>
        <w:jc w:val="center"/>
      </w:pPr>
      <w:r>
        <w:rPr>
          <w:noProof/>
        </w:rPr>
        <w:drawing>
          <wp:inline distT="0" distB="0" distL="0" distR="0" wp14:anchorId="279FB828" wp14:editId="35688B5B">
            <wp:extent cx="5943600" cy="5040052"/>
            <wp:effectExtent l="0" t="0" r="0"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040052"/>
                    </a:xfrm>
                    <a:prstGeom prst="rect">
                      <a:avLst/>
                    </a:prstGeom>
                    <a:noFill/>
                  </pic:spPr>
                </pic:pic>
              </a:graphicData>
            </a:graphic>
          </wp:inline>
        </w:drawing>
      </w:r>
    </w:p>
    <w:p w:rsidR="002F4D77" w:rsidRDefault="002F4D77">
      <w:pPr>
        <w:tabs>
          <w:tab w:val="clear" w:pos="-1440"/>
          <w:tab w:val="clear" w:pos="-720"/>
        </w:tabs>
        <w:spacing w:after="0" w:line="240" w:lineRule="auto"/>
        <w:ind w:left="0"/>
        <w:rPr>
          <w:rFonts w:ascii="Calibri" w:hAnsi="Calibri" w:cs="Arial"/>
          <w:szCs w:val="22"/>
        </w:rPr>
      </w:pPr>
      <w:r>
        <w:br w:type="page"/>
      </w:r>
    </w:p>
    <w:p w:rsidR="00B93260" w:rsidRDefault="00B93260" w:rsidP="00B93260">
      <w:pPr>
        <w:pStyle w:val="Heading2"/>
        <w:rPr>
          <w:color w:val="FF0000"/>
        </w:rPr>
      </w:pPr>
      <w:bookmarkStart w:id="161" w:name="_Toc406155140"/>
      <w:bookmarkStart w:id="162" w:name="_Toc409095447"/>
      <w:bookmarkEnd w:id="156"/>
      <w:bookmarkEnd w:id="161"/>
      <w:r>
        <w:lastRenderedPageBreak/>
        <w:t>Budget</w:t>
      </w:r>
      <w:bookmarkEnd w:id="162"/>
      <w:r>
        <w:t xml:space="preserve"> </w:t>
      </w:r>
    </w:p>
    <w:bookmarkStart w:id="163" w:name="_Ref402252315"/>
    <w:p w:rsidR="002F4D77" w:rsidRDefault="007331A1" w:rsidP="002F4D77">
      <w:pPr>
        <w:pStyle w:val="t"/>
        <w:numPr>
          <w:ilvl w:val="0"/>
          <w:numId w:val="2"/>
        </w:numPr>
        <w:ind w:left="0"/>
      </w:pPr>
      <w:r>
        <w:fldChar w:fldCharType="begin"/>
      </w:r>
      <w:r>
        <w:instrText xml:space="preserve"> REF _Ref406338581 \h </w:instrText>
      </w:r>
      <w:r>
        <w:fldChar w:fldCharType="separate"/>
      </w:r>
      <w:r>
        <w:t xml:space="preserve">Table </w:t>
      </w:r>
      <w:r>
        <w:rPr>
          <w:noProof/>
        </w:rPr>
        <w:t>5</w:t>
      </w:r>
      <w:r>
        <w:noBreakHyphen/>
        <w:t>1</w:t>
      </w:r>
      <w:r>
        <w:fldChar w:fldCharType="end"/>
      </w:r>
      <w:r>
        <w:t xml:space="preserve"> </w:t>
      </w:r>
      <w:r w:rsidR="002F4D77">
        <w:t xml:space="preserve">outlines </w:t>
      </w:r>
      <w:r w:rsidR="007E5313">
        <w:t>the evaluation team’s</w:t>
      </w:r>
      <w:r w:rsidR="002F4D77">
        <w:t xml:space="preserve"> cost to complete the scope of work for each deliverable outlined </w:t>
      </w:r>
      <w:r w:rsidR="007E5313">
        <w:t xml:space="preserve">in this </w:t>
      </w:r>
      <w:r>
        <w:t>work plan</w:t>
      </w:r>
      <w:r w:rsidR="007E5313">
        <w:t>. The</w:t>
      </w:r>
      <w:r w:rsidR="002F4D77">
        <w:t xml:space="preserve"> services </w:t>
      </w:r>
      <w:r w:rsidR="007E5313">
        <w:t xml:space="preserve">will be conducted </w:t>
      </w:r>
      <w:r w:rsidR="002F4D77">
        <w:t xml:space="preserve">on a time and materials basis (T&amp;M) with a total not-to-exceed of </w:t>
      </w:r>
      <w:r w:rsidR="002F4D77" w:rsidRPr="00E70FE5">
        <w:rPr>
          <w:b/>
        </w:rPr>
        <w:t>$1,138,575</w:t>
      </w:r>
      <w:r w:rsidR="002F4D77">
        <w:t xml:space="preserve">. </w:t>
      </w:r>
    </w:p>
    <w:p w:rsidR="002F4D77" w:rsidRDefault="002F4D77" w:rsidP="002F4D77">
      <w:pPr>
        <w:pStyle w:val="Caption"/>
      </w:pPr>
    </w:p>
    <w:p w:rsidR="002F4D77" w:rsidRDefault="002F4D77" w:rsidP="002F4D77">
      <w:pPr>
        <w:pStyle w:val="Caption"/>
      </w:pPr>
      <w:bookmarkStart w:id="164" w:name="_Ref406338581"/>
      <w:r>
        <w:t xml:space="preserve">Table </w:t>
      </w:r>
      <w:fldSimple w:instr=" STYLEREF 1 \s ">
        <w:r w:rsidR="002237C1">
          <w:rPr>
            <w:noProof/>
          </w:rPr>
          <w:t>5</w:t>
        </w:r>
      </w:fldSimple>
      <w:r w:rsidR="002237C1">
        <w:noBreakHyphen/>
      </w:r>
      <w:r w:rsidR="007331A1">
        <w:t>1</w:t>
      </w:r>
      <w:bookmarkEnd w:id="163"/>
      <w:bookmarkEnd w:id="164"/>
      <w:r>
        <w:t xml:space="preserve">: </w:t>
      </w:r>
      <w:r w:rsidR="00AD1C95">
        <w:t>E</w:t>
      </w:r>
      <w:r w:rsidR="003F17F3">
        <w:t xml:space="preserve">valuation </w:t>
      </w:r>
      <w:r w:rsidR="00203BC5">
        <w:t>T</w:t>
      </w:r>
      <w:r w:rsidR="003F17F3">
        <w:t>eam</w:t>
      </w:r>
      <w:r w:rsidRPr="006055B8">
        <w:t xml:space="preserve"> </w:t>
      </w:r>
      <w:r w:rsidR="00AD1C95">
        <w:t>b</w:t>
      </w:r>
      <w:r w:rsidRPr="006055B8">
        <w:t xml:space="preserve">udget per </w:t>
      </w:r>
      <w:r w:rsidR="00AD1C95">
        <w:t>d</w:t>
      </w:r>
      <w:r w:rsidRPr="006055B8">
        <w:t>eliverable</w:t>
      </w:r>
    </w:p>
    <w:tbl>
      <w:tblPr>
        <w:tblStyle w:val="NEXANTNEWTABLESTYLE"/>
        <w:tblW w:w="0" w:type="auto"/>
        <w:jc w:val="center"/>
        <w:tblLook w:val="04A0" w:firstRow="1" w:lastRow="0" w:firstColumn="1" w:lastColumn="0" w:noHBand="0" w:noVBand="1"/>
      </w:tblPr>
      <w:tblGrid>
        <w:gridCol w:w="5999"/>
        <w:gridCol w:w="2201"/>
      </w:tblGrid>
      <w:tr w:rsidR="002F4D77" w:rsidRPr="00CA609A" w:rsidTr="003F17F3">
        <w:trPr>
          <w:cnfStyle w:val="100000000000" w:firstRow="1" w:lastRow="0" w:firstColumn="0" w:lastColumn="0" w:oddVBand="0" w:evenVBand="0" w:oddHBand="0" w:evenHBand="0" w:firstRowFirstColumn="0" w:firstRowLastColumn="0" w:lastRowFirstColumn="0" w:lastRowLastColumn="0"/>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rPr>
                <w:bCs/>
              </w:rPr>
            </w:pPr>
            <w:r w:rsidRPr="00CA609A">
              <w:rPr>
                <w:bCs/>
              </w:rPr>
              <w:t>Deliverable</w:t>
            </w:r>
          </w:p>
        </w:tc>
        <w:tc>
          <w:tcPr>
            <w:tcW w:w="2201" w:type="dxa"/>
            <w:noWrap/>
            <w:hideMark/>
          </w:tcPr>
          <w:p w:rsidR="002F4D77" w:rsidRPr="00CA609A" w:rsidRDefault="00AD1C95" w:rsidP="002F4D77">
            <w:pPr>
              <w:pStyle w:val="t"/>
              <w:numPr>
                <w:ilvl w:val="0"/>
                <w:numId w:val="2"/>
              </w:numPr>
              <w:spacing w:before="180" w:after="180" w:line="240" w:lineRule="auto"/>
              <w:ind w:left="0"/>
              <w:jc w:val="left"/>
              <w:rPr>
                <w:bCs/>
              </w:rPr>
            </w:pPr>
            <w:r>
              <w:rPr>
                <w:bCs/>
              </w:rPr>
              <w:t>Cost</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1:  Evaluation Work Plan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$40,000</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2:  Natural Gas Impact Evaluation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$197,120</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3:  Electric Impact Evaluation</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$565,537</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4: Process Evaluation Report</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$286,028</w:t>
            </w:r>
          </w:p>
        </w:tc>
      </w:tr>
      <w:tr w:rsidR="002F4D77" w:rsidRPr="00CA609A" w:rsidTr="003F17F3">
        <w:trPr>
          <w:trHeight w:val="20"/>
          <w:jc w:val="center"/>
        </w:trPr>
        <w:tc>
          <w:tcPr>
            <w:tcW w:w="5999" w:type="dxa"/>
            <w:noWrap/>
            <w:hideMark/>
          </w:tcPr>
          <w:p w:rsidR="002F4D77" w:rsidRPr="00CA609A" w:rsidRDefault="002F4D77" w:rsidP="002F4D77">
            <w:pPr>
              <w:pStyle w:val="t"/>
              <w:numPr>
                <w:ilvl w:val="0"/>
                <w:numId w:val="2"/>
              </w:numPr>
              <w:spacing w:before="180" w:after="180" w:line="240" w:lineRule="auto"/>
              <w:ind w:left="0"/>
            </w:pPr>
            <w:r w:rsidRPr="00CA609A">
              <w:t>Deliverable 5:  Annual Reports with Cost Effective Analysis</w:t>
            </w:r>
          </w:p>
        </w:tc>
        <w:tc>
          <w:tcPr>
            <w:tcW w:w="2201" w:type="dxa"/>
            <w:noWrap/>
            <w:hideMark/>
          </w:tcPr>
          <w:p w:rsidR="002F4D77" w:rsidRPr="00CA609A" w:rsidRDefault="002F4D77" w:rsidP="002F4D77">
            <w:pPr>
              <w:pStyle w:val="t"/>
              <w:numPr>
                <w:ilvl w:val="0"/>
                <w:numId w:val="2"/>
              </w:numPr>
              <w:spacing w:before="180" w:after="180" w:line="240" w:lineRule="auto"/>
              <w:ind w:left="0"/>
            </w:pPr>
            <w:r w:rsidRPr="00CA609A">
              <w:t>$49,890</w:t>
            </w:r>
          </w:p>
        </w:tc>
      </w:tr>
      <w:tr w:rsidR="002F4D77" w:rsidRPr="00CA609A" w:rsidTr="003F17F3">
        <w:trPr>
          <w:trHeight w:val="20"/>
          <w:jc w:val="center"/>
        </w:trPr>
        <w:tc>
          <w:tcPr>
            <w:tcW w:w="5999" w:type="dxa"/>
            <w:shd w:val="clear" w:color="auto" w:fill="D9D9D9" w:themeFill="background1" w:themeFillShade="D9"/>
            <w:noWrap/>
            <w:hideMark/>
          </w:tcPr>
          <w:p w:rsidR="002F4D77" w:rsidRPr="00CA609A" w:rsidRDefault="002F4D77" w:rsidP="00AD1C95">
            <w:pPr>
              <w:pStyle w:val="t"/>
              <w:numPr>
                <w:ilvl w:val="0"/>
                <w:numId w:val="2"/>
              </w:numPr>
              <w:spacing w:before="180" w:after="180" w:line="240" w:lineRule="auto"/>
              <w:ind w:left="0"/>
              <w:rPr>
                <w:b/>
                <w:bCs/>
              </w:rPr>
            </w:pPr>
            <w:r w:rsidRPr="00CA609A">
              <w:rPr>
                <w:b/>
                <w:bCs/>
              </w:rPr>
              <w:t>TOTAL BASE COST</w:t>
            </w:r>
          </w:p>
        </w:tc>
        <w:tc>
          <w:tcPr>
            <w:tcW w:w="2201" w:type="dxa"/>
            <w:shd w:val="clear" w:color="auto" w:fill="D9D9D9" w:themeFill="background1" w:themeFillShade="D9"/>
            <w:noWrap/>
            <w:hideMark/>
          </w:tcPr>
          <w:p w:rsidR="002F4D77" w:rsidRPr="00CA609A" w:rsidRDefault="002F4D77" w:rsidP="002F4D77">
            <w:pPr>
              <w:pStyle w:val="t"/>
              <w:numPr>
                <w:ilvl w:val="0"/>
                <w:numId w:val="2"/>
              </w:numPr>
              <w:spacing w:before="180" w:after="180" w:line="240" w:lineRule="auto"/>
              <w:ind w:left="0"/>
              <w:rPr>
                <w:b/>
                <w:bCs/>
              </w:rPr>
            </w:pPr>
            <w:r w:rsidRPr="00CA609A">
              <w:rPr>
                <w:b/>
                <w:bCs/>
              </w:rPr>
              <w:t>$1,138,575</w:t>
            </w:r>
          </w:p>
        </w:tc>
      </w:tr>
    </w:tbl>
    <w:p w:rsidR="002F4D77" w:rsidRPr="002F4D77" w:rsidRDefault="002F4D77" w:rsidP="00320BA9">
      <w:pPr>
        <w:pStyle w:val="t"/>
      </w:pPr>
    </w:p>
    <w:p w:rsidR="00C310C5" w:rsidRDefault="00C310C5" w:rsidP="00C310C5">
      <w:pPr>
        <w:pStyle w:val="t"/>
        <w:numPr>
          <w:ilvl w:val="0"/>
          <w:numId w:val="0"/>
        </w:numPr>
      </w:pPr>
    </w:p>
    <w:p w:rsidR="00B93260" w:rsidRDefault="00B93260" w:rsidP="00C310C5">
      <w:pPr>
        <w:pStyle w:val="Heading1"/>
        <w:jc w:val="left"/>
        <w:sectPr w:rsidR="00B93260" w:rsidSect="00EE2E8B">
          <w:footnotePr>
            <w:numRestart w:val="eachPage"/>
          </w:footnotePr>
          <w:pgSz w:w="12240" w:h="15840"/>
          <w:pgMar w:top="1440" w:right="1440" w:bottom="1440" w:left="1440" w:header="1080" w:footer="720" w:gutter="0"/>
          <w:cols w:space="360"/>
          <w:titlePg/>
        </w:sectPr>
      </w:pPr>
    </w:p>
    <w:p w:rsidR="00150AC7" w:rsidRDefault="000355F5" w:rsidP="00EB0B23">
      <w:pPr>
        <w:pStyle w:val="t"/>
      </w:pPr>
      <w:r>
        <w:rPr>
          <w:noProof/>
        </w:rPr>
        <w:lastRenderedPageBreak/>
        <mc:AlternateContent>
          <mc:Choice Requires="wps">
            <w:drawing>
              <wp:anchor distT="0" distB="0" distL="114300" distR="114300" simplePos="0" relativeHeight="251659264" behindDoc="0" locked="0" layoutInCell="1" allowOverlap="1" wp14:anchorId="5B94C09F" wp14:editId="74AE67D4">
                <wp:simplePos x="0" y="0"/>
                <wp:positionH relativeFrom="column">
                  <wp:posOffset>-483079</wp:posOffset>
                </wp:positionH>
                <wp:positionV relativeFrom="paragraph">
                  <wp:posOffset>603850</wp:posOffset>
                </wp:positionV>
                <wp:extent cx="4155141" cy="7185804"/>
                <wp:effectExtent l="0" t="0" r="0"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141" cy="7185804"/>
                        </a:xfrm>
                        <a:prstGeom prst="rect">
                          <a:avLst/>
                        </a:prstGeom>
                        <a:noFill/>
                        <a:ln>
                          <a:noFill/>
                        </a:ln>
                        <a:extLst/>
                      </wps:spPr>
                      <wps:txbx>
                        <w:txbxContent>
                          <w:p w:rsidR="00AF0EF3" w:rsidRPr="009C4319" w:rsidRDefault="00AF0EF3" w:rsidP="00855AD9">
                            <w:pPr>
                              <w:spacing w:after="0"/>
                              <w:rPr>
                                <w:color w:val="221E1F"/>
                                <w:szCs w:val="22"/>
                              </w:rPr>
                            </w:pPr>
                            <w:r w:rsidRPr="009C4319">
                              <w:rPr>
                                <w:color w:val="221E1F"/>
                                <w:szCs w:val="22"/>
                              </w:rPr>
                              <w:t xml:space="preserve">Nexant, Inc. </w:t>
                            </w:r>
                          </w:p>
                          <w:p w:rsidR="00AF0EF3" w:rsidRPr="009C4319" w:rsidRDefault="00AF0EF3" w:rsidP="0060758F">
                            <w:pPr>
                              <w:spacing w:after="0"/>
                              <w:rPr>
                                <w:rFonts w:cstheme="minorHAnsi"/>
                                <w:color w:val="221E1F"/>
                                <w:szCs w:val="22"/>
                              </w:rPr>
                            </w:pPr>
                            <w:r>
                              <w:rPr>
                                <w:rFonts w:cstheme="minorHAnsi"/>
                                <w:color w:val="221E1F"/>
                                <w:szCs w:val="22"/>
                              </w:rPr>
                              <w:t>867 Coal Creek Circle</w:t>
                            </w:r>
                          </w:p>
                          <w:p w:rsidR="00AF0EF3" w:rsidRPr="009C4319" w:rsidRDefault="00AF0EF3" w:rsidP="0060758F">
                            <w:pPr>
                              <w:spacing w:after="0"/>
                              <w:rPr>
                                <w:rFonts w:cstheme="minorHAnsi"/>
                                <w:color w:val="221E1F"/>
                                <w:szCs w:val="22"/>
                              </w:rPr>
                            </w:pPr>
                            <w:r>
                              <w:rPr>
                                <w:rFonts w:cstheme="minorHAnsi"/>
                                <w:color w:val="221E1F"/>
                                <w:szCs w:val="22"/>
                              </w:rPr>
                              <w:t>Suite 120</w:t>
                            </w:r>
                          </w:p>
                          <w:p w:rsidR="00AF0EF3" w:rsidRPr="009C4319" w:rsidRDefault="00AF0EF3" w:rsidP="00855AD9">
                            <w:pPr>
                              <w:spacing w:after="0"/>
                              <w:rPr>
                                <w:color w:val="221E1F"/>
                                <w:szCs w:val="22"/>
                              </w:rPr>
                            </w:pPr>
                            <w:r>
                              <w:rPr>
                                <w:rFonts w:cstheme="minorHAnsi"/>
                                <w:color w:val="221E1F"/>
                                <w:szCs w:val="22"/>
                              </w:rPr>
                              <w:t>Louisville, CO  80027</w:t>
                            </w:r>
                          </w:p>
                          <w:p w:rsidR="00AF0EF3" w:rsidRDefault="00AF0EF3" w:rsidP="00947E5C">
                            <w:pPr>
                              <w:rPr>
                                <w:rFonts w:ascii="Calibri" w:hAnsi="Calibri"/>
                                <w:color w:val="221E1F"/>
                              </w:rPr>
                            </w:pPr>
                            <w:hyperlink r:id="rId29" w:history="1">
                              <w:r w:rsidRPr="00D10064">
                                <w:rPr>
                                  <w:rStyle w:val="Hyperlink"/>
                                  <w:rFonts w:ascii="Calibri" w:hAnsi="Calibri"/>
                                </w:rPr>
                                <w:t>www.nexant.com</w:t>
                              </w:r>
                            </w:hyperlink>
                          </w:p>
                          <w:p w:rsidR="00AF0EF3" w:rsidRDefault="00AF0EF3" w:rsidP="00E94ACC">
                            <w:pPr>
                              <w:ind w:left="0"/>
                              <w:rPr>
                                <w:rFonts w:ascii="Calibri" w:hAnsi="Calibri"/>
                                <w:color w:val="221E1F"/>
                              </w:rPr>
                            </w:pPr>
                          </w:p>
                          <w:p w:rsidR="00AF0EF3" w:rsidRPr="009B114E" w:rsidRDefault="00AF0EF3" w:rsidP="0062665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8.05pt;margin-top:47.55pt;width:327.2pt;height:5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" filled="f" stroked="f">
                <v:textbox>
                  <w:txbxContent>
                    <w:p w:rsidR="00AF0EF3" w:rsidRPr="009C4319" w:rsidRDefault="00AF0EF3" w:rsidP="00855AD9">
                      <w:pPr>
                        <w:spacing w:after="0"/>
                        <w:rPr>
                          <w:color w:val="221E1F"/>
                          <w:szCs w:val="22"/>
                        </w:rPr>
                      </w:pPr>
                      <w:r w:rsidRPr="009C4319">
                        <w:rPr>
                          <w:color w:val="221E1F"/>
                          <w:szCs w:val="22"/>
                        </w:rPr>
                        <w:t xml:space="preserve">Nexant, Inc. </w:t>
                      </w:r>
                    </w:p>
                    <w:p w:rsidR="00AF0EF3" w:rsidRPr="009C4319" w:rsidRDefault="00AF0EF3" w:rsidP="0060758F">
                      <w:pPr>
                        <w:spacing w:after="0"/>
                        <w:rPr>
                          <w:rFonts w:cstheme="minorHAnsi"/>
                          <w:color w:val="221E1F"/>
                          <w:szCs w:val="22"/>
                        </w:rPr>
                      </w:pPr>
                      <w:r>
                        <w:rPr>
                          <w:rFonts w:cstheme="minorHAnsi"/>
                          <w:color w:val="221E1F"/>
                          <w:szCs w:val="22"/>
                        </w:rPr>
                        <w:t>867 Coal Creek Circle</w:t>
                      </w:r>
                    </w:p>
                    <w:p w:rsidR="00AF0EF3" w:rsidRPr="009C4319" w:rsidRDefault="00AF0EF3" w:rsidP="0060758F">
                      <w:pPr>
                        <w:spacing w:after="0"/>
                        <w:rPr>
                          <w:rFonts w:cstheme="minorHAnsi"/>
                          <w:color w:val="221E1F"/>
                          <w:szCs w:val="22"/>
                        </w:rPr>
                      </w:pPr>
                      <w:r>
                        <w:rPr>
                          <w:rFonts w:cstheme="minorHAnsi"/>
                          <w:color w:val="221E1F"/>
                          <w:szCs w:val="22"/>
                        </w:rPr>
                        <w:t>Suite 120</w:t>
                      </w:r>
                    </w:p>
                    <w:p w:rsidR="00AF0EF3" w:rsidRPr="009C4319" w:rsidRDefault="00AF0EF3" w:rsidP="00855AD9">
                      <w:pPr>
                        <w:spacing w:after="0"/>
                        <w:rPr>
                          <w:color w:val="221E1F"/>
                          <w:szCs w:val="22"/>
                        </w:rPr>
                      </w:pPr>
                      <w:r>
                        <w:rPr>
                          <w:rFonts w:cstheme="minorHAnsi"/>
                          <w:color w:val="221E1F"/>
                          <w:szCs w:val="22"/>
                        </w:rPr>
                        <w:t>Louisville, CO  80027</w:t>
                      </w:r>
                    </w:p>
                    <w:p w:rsidR="00AF0EF3" w:rsidRDefault="00AF0EF3" w:rsidP="00947E5C">
                      <w:pPr>
                        <w:rPr>
                          <w:rFonts w:ascii="Calibri" w:hAnsi="Calibri"/>
                          <w:color w:val="221E1F"/>
                        </w:rPr>
                      </w:pPr>
                      <w:hyperlink r:id="rId30" w:history="1">
                        <w:r w:rsidRPr="00D10064">
                          <w:rPr>
                            <w:rStyle w:val="Hyperlink"/>
                            <w:rFonts w:ascii="Calibri" w:hAnsi="Calibri"/>
                          </w:rPr>
                          <w:t>www.nexant.com</w:t>
                        </w:r>
                      </w:hyperlink>
                    </w:p>
                    <w:p w:rsidR="00AF0EF3" w:rsidRDefault="00AF0EF3" w:rsidP="00E94ACC">
                      <w:pPr>
                        <w:ind w:left="0"/>
                        <w:rPr>
                          <w:rFonts w:ascii="Calibri" w:hAnsi="Calibri"/>
                          <w:color w:val="221E1F"/>
                        </w:rPr>
                      </w:pPr>
                    </w:p>
                    <w:p w:rsidR="00AF0EF3" w:rsidRPr="009B114E" w:rsidRDefault="00AF0EF3" w:rsidP="0062665C">
                      <w:pPr>
                        <w:rPr>
                          <w:rFonts w:ascii="Calibri" w:hAnsi="Calibri"/>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1D22893" wp14:editId="566B7348">
                <wp:simplePos x="0" y="0"/>
                <wp:positionH relativeFrom="column">
                  <wp:posOffset>4143375</wp:posOffset>
                </wp:positionH>
                <wp:positionV relativeFrom="paragraph">
                  <wp:posOffset>-323850</wp:posOffset>
                </wp:positionV>
                <wp:extent cx="1289050" cy="60325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EF3" w:rsidRDefault="00AF0EF3">
                            <w:pPr>
                              <w:autoSpaceDE w:val="0"/>
                              <w:autoSpaceDN w:val="0"/>
                              <w:adjustRightInd w:val="0"/>
                              <w:jc w:val="center"/>
                              <w:rPr>
                                <w:rFonts w:ascii="Arial Narrow" w:hAnsi="Arial Narrow"/>
                                <w:b/>
                                <w:bCs/>
                                <w:i/>
                                <w:iCs/>
                                <w:color w:val="FFFFFF"/>
                                <w:sz w:val="12"/>
                                <w:szCs w:val="12"/>
                              </w:rPr>
                            </w:pPr>
                            <w:r>
                              <w:rPr>
                                <w:rFonts w:ascii="Arial Narrow" w:hAnsi="Arial Narrow"/>
                                <w:b/>
                                <w:bCs/>
                                <w:i/>
                                <w:iCs/>
                                <w:color w:val="FFFFFF"/>
                                <w:sz w:val="12"/>
                                <w:szCs w:val="12"/>
                              </w:rPr>
                              <w:t>The Power of Experience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326.25pt;margin-top:-25.5pt;width:101.5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H/qgIAAK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" filled="f" stroked="f">
                <v:textbox>
                  <w:txbxContent>
                    <w:p w:rsidR="00AF0EF3" w:rsidRDefault="00AF0EF3">
                      <w:pPr>
                        <w:autoSpaceDE w:val="0"/>
                        <w:autoSpaceDN w:val="0"/>
                        <w:adjustRightInd w:val="0"/>
                        <w:jc w:val="center"/>
                        <w:rPr>
                          <w:rFonts w:ascii="Arial Narrow" w:hAnsi="Arial Narrow"/>
                          <w:b/>
                          <w:bCs/>
                          <w:i/>
                          <w:iCs/>
                          <w:color w:val="FFFFFF"/>
                          <w:sz w:val="12"/>
                          <w:szCs w:val="12"/>
                        </w:rPr>
                      </w:pPr>
                      <w:r>
                        <w:rPr>
                          <w:rFonts w:ascii="Arial Narrow" w:hAnsi="Arial Narrow"/>
                          <w:b/>
                          <w:bCs/>
                          <w:i/>
                          <w:iCs/>
                          <w:color w:val="FFFFFF"/>
                          <w:sz w:val="12"/>
                          <w:szCs w:val="12"/>
                        </w:rPr>
                        <w:t>The Power of Experience</w:t>
                      </w:r>
                    </w:p>
                  </w:txbxContent>
                </v:textbox>
              </v:shape>
            </w:pict>
          </mc:Fallback>
        </mc:AlternateContent>
      </w:r>
    </w:p>
    <w:sectPr w:rsidR="00150AC7" w:rsidSect="00EE2E8B">
      <w:headerReference w:type="even" r:id="rId31"/>
      <w:headerReference w:type="default" r:id="rId32"/>
      <w:headerReference w:type="first" r:id="rId33"/>
      <w:footerReference w:type="first" r:id="rId34"/>
      <w:footnotePr>
        <w:numRestart w:val="eachPage"/>
      </w:footnotePr>
      <w:pgSz w:w="12240" w:h="15840"/>
      <w:pgMar w:top="1440" w:right="1440" w:bottom="1440" w:left="1440" w:header="1080" w:footer="720" w:gutter="0"/>
      <w:pgNumType w:start="1" w:chapStyle="1"/>
      <w:cols w:space="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EF3" w:rsidRDefault="00AF0EF3" w:rsidP="00E45947">
      <w:pPr>
        <w:spacing w:after="120"/>
      </w:pPr>
      <w:r>
        <w:separator/>
      </w:r>
    </w:p>
    <w:p w:rsidR="00AF0EF3" w:rsidRDefault="00AF0EF3"/>
  </w:endnote>
  <w:endnote w:type="continuationSeparator" w:id="0">
    <w:p w:rsidR="00AF0EF3" w:rsidRDefault="00AF0EF3">
      <w:r>
        <w:continuationSeparator/>
      </w:r>
    </w:p>
    <w:p w:rsidR="00AF0EF3" w:rsidRDefault="00AF0EF3"/>
  </w:endnote>
  <w:endnote w:type="continuationNotice" w:id="1">
    <w:p w:rsidR="00AF0EF3" w:rsidRDefault="00AF0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font334">
    <w:altName w:val="Times New Roman"/>
    <w:panose1 w:val="00000000000000000000"/>
    <w:charset w:val="00"/>
    <w:family w:val="auto"/>
    <w:notTrueType/>
    <w:pitch w:val="default"/>
    <w:sig w:usb0="000000DB" w:usb1="00000159" w:usb2="00000000" w:usb3="00000001" w:csb0="00000000" w:csb1="00004819"/>
  </w:font>
  <w:font w:name="Arial">
    <w:panose1 w:val="020B0604020202020204"/>
    <w:charset w:val="00"/>
    <w:family w:val="swiss"/>
    <w:pitch w:val="variable"/>
    <w:sig w:usb0="20002A87" w:usb1="00000000" w:usb2="00000000"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JDAOP K+ Frutiger LT Std">
    <w:altName w:val="Cambria"/>
    <w:panose1 w:val="00000000000000000000"/>
    <w:charset w:val="00"/>
    <w:family w:val="swiss"/>
    <w:notTrueType/>
    <w:pitch w:val="default"/>
    <w:sig w:usb0="00000003" w:usb1="00000000" w:usb2="00000000" w:usb3="00000000" w:csb0="00000001" w:csb1="00000000"/>
  </w:font>
  <w:font w:name="IIOEI B+ Frutiger LT Std">
    <w:altName w:val="Cambria"/>
    <w:panose1 w:val="00000000000000000000"/>
    <w:charset w:val="00"/>
    <w:family w:val="swiss"/>
    <w:notTrueType/>
    <w:pitch w:val="default"/>
    <w:sig w:usb0="00000003" w:usb1="00000000" w:usb2="00000000" w:usb3="00000000" w:csb0="00000001" w:csb1="00000000"/>
  </w:font>
  <w:font w:name="CLB Helvetica Condensed Black">
    <w:panose1 w:val="00000000000000000000"/>
    <w:charset w:val="00"/>
    <w:family w:val="auto"/>
    <w:notTrueType/>
    <w:pitch w:val="default"/>
    <w:sig w:usb0="00000003" w:usb1="00000000" w:usb2="00000000" w:usb3="00000000" w:csb0="00000001" w:csb1="00000000"/>
  </w:font>
  <w:font w:name="C Helvetica Condensed">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891046">
    <w:pPr>
      <w:pStyle w:val="Footer"/>
      <w:rPr>
        <w:sz w:val="12"/>
      </w:rPr>
    </w:pPr>
    <w:r>
      <w:rPr>
        <w:rFonts w:ascii="CLB Helvetica Condensed Black" w:hAnsi="CLB Helvetica Condensed Black"/>
      </w:rPr>
      <w:t>1-</w:t>
    </w:r>
    <w:r>
      <w:rPr>
        <w:rFonts w:ascii="CLB Helvetica Condensed Black" w:hAnsi="CLB Helvetica Condensed Black"/>
      </w:rPr>
      <w:pgNum/>
    </w:r>
    <w:r>
      <w:rPr>
        <w:rFonts w:ascii="CLB Helvetica Condensed Black" w:hAnsi="CLB Helvetica Condensed Black"/>
      </w:rPr>
      <w:t xml:space="preserve"> </w:t>
    </w:r>
    <w:r>
      <w:rPr>
        <w:rFonts w:ascii="CLB Helvetica Condensed Black" w:hAnsi="CLB Helvetica Condensed Black"/>
      </w:rPr>
      <w:tab/>
    </w:r>
    <w:r>
      <w:t>Peck Drawbridge CSI Proposal</w:t>
    </w:r>
    <w:r>
      <w:tab/>
    </w:r>
    <w:r>
      <w:rPr>
        <w:rFonts w:ascii="Helvetica" w:hAnsi="Helvetica"/>
        <w:sz w:val="12"/>
      </w:rPr>
      <w:t>PECK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5F3540">
    <w:pPr>
      <w:pStyle w:val="Footer"/>
      <w:tabs>
        <w:tab w:val="clear" w:pos="4680"/>
        <w:tab w:val="center" w:pos="5040"/>
      </w:tabs>
      <w:ind w:left="990"/>
      <w:jc w:val="right"/>
      <w:rPr>
        <w:bCs/>
      </w:rPr>
    </w:pPr>
    <w:r>
      <w:rPr>
        <w:rFonts w:ascii="Arial Narrow" w:hAnsi="Arial Narrow"/>
        <w:noProof/>
      </w:rPr>
      <w:drawing>
        <wp:anchor distT="0" distB="0" distL="114300" distR="114300" simplePos="0" relativeHeight="251663872" behindDoc="0" locked="0" layoutInCell="1" allowOverlap="1" wp14:anchorId="2D764FE6" wp14:editId="2EE3E620">
          <wp:simplePos x="0" y="0"/>
          <wp:positionH relativeFrom="margin">
            <wp:posOffset>-184785</wp:posOffset>
          </wp:positionH>
          <wp:positionV relativeFrom="margin">
            <wp:posOffset>8263890</wp:posOffset>
          </wp:positionV>
          <wp:extent cx="685800" cy="123825"/>
          <wp:effectExtent l="0" t="0" r="0" b="9525"/>
          <wp:wrapSquare wrapText="bothSides"/>
          <wp:docPr id="10" name="Picture 10"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rFonts w:ascii="Arial Narrow" w:hAnsi="Arial Narrow"/>
      </w:rPr>
      <w:tab/>
    </w:r>
    <w:r>
      <w:rPr>
        <w:color w:val="1F497D" w:themeColor="text2"/>
      </w:rPr>
      <w:t>Evaluation Work Plan for 2014-2015 Demand Side Management Programs</w:t>
    </w:r>
    <w:r>
      <w:t xml:space="preserve"> </w:t>
    </w:r>
    <w:r>
      <w:fldChar w:fldCharType="begin"/>
    </w:r>
    <w:r>
      <w:instrText xml:space="preserve"> STYLEREF  "RFP No."  \* MERGEFORMAT </w:instrText>
    </w:r>
    <w:r>
      <w:rPr>
        <w:b/>
        <w:bCs/>
        <w:noProof/>
      </w:rPr>
      <w:fldChar w:fldCharType="end"/>
    </w:r>
    <w:r>
      <w:rPr>
        <w:rFonts w:ascii="Arial Narrow" w:hAnsi="Arial Narrow"/>
      </w:rPr>
      <w:tab/>
    </w:r>
    <w:r w:rsidRPr="00862C97">
      <w:rPr>
        <w:rStyle w:val="PageNumber"/>
        <w:rFonts w:ascii="Calibri" w:hAnsi="Calibri"/>
        <w:bCs/>
      </w:rPr>
      <w:fldChar w:fldCharType="begin"/>
    </w:r>
    <w:r w:rsidRPr="00862C97">
      <w:rPr>
        <w:rStyle w:val="PageNumber"/>
        <w:rFonts w:ascii="Calibri" w:hAnsi="Calibri"/>
        <w:bCs/>
      </w:rPr>
      <w:instrText xml:space="preserve"> PAGE </w:instrText>
    </w:r>
    <w:r w:rsidRPr="00862C97">
      <w:rPr>
        <w:rStyle w:val="PageNumber"/>
        <w:rFonts w:ascii="Calibri" w:hAnsi="Calibri"/>
        <w:bCs/>
      </w:rPr>
      <w:fldChar w:fldCharType="separate"/>
    </w:r>
    <w:r w:rsidR="00613C1E">
      <w:rPr>
        <w:rStyle w:val="PageNumber"/>
        <w:rFonts w:ascii="Calibri" w:hAnsi="Calibri"/>
        <w:bCs/>
        <w:noProof/>
      </w:rPr>
      <w:t>55</w:t>
    </w:r>
    <w:r w:rsidRPr="00862C97">
      <w:rPr>
        <w:rStyle w:val="PageNumber"/>
        <w:rFonts w:ascii="Calibri" w:hAnsi="Calibri"/>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AE4E89">
    <w:pPr>
      <w:pStyle w:val="Footer"/>
      <w:tabs>
        <w:tab w:val="clear" w:pos="4680"/>
        <w:tab w:val="center" w:pos="5040"/>
      </w:tabs>
      <w:ind w:left="990" w:firstLine="1170"/>
      <w:jc w:val="center"/>
      <w:rPr>
        <w:bCs/>
      </w:rPr>
    </w:pPr>
    <w:r>
      <w:rPr>
        <w:rFonts w:ascii="Arial Narrow" w:hAnsi="Arial Narrow"/>
        <w:noProof/>
      </w:rPr>
      <w:drawing>
        <wp:anchor distT="0" distB="0" distL="114300" distR="114300" simplePos="0" relativeHeight="251667968" behindDoc="0" locked="0" layoutInCell="1" allowOverlap="1" wp14:anchorId="78001C9C" wp14:editId="37567559">
          <wp:simplePos x="0" y="0"/>
          <wp:positionH relativeFrom="margin">
            <wp:posOffset>-61595</wp:posOffset>
          </wp:positionH>
          <wp:positionV relativeFrom="margin">
            <wp:posOffset>8365490</wp:posOffset>
          </wp:positionV>
          <wp:extent cx="685800" cy="123825"/>
          <wp:effectExtent l="0" t="0" r="0" b="0"/>
          <wp:wrapSquare wrapText="bothSides"/>
          <wp:docPr id="14" name="Picture 14"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color w:val="1F497D" w:themeColor="text2"/>
      </w:rPr>
      <w:t>Evaluation Work Plan for 2014-2015 Demand Side Management Programs</w:t>
    </w:r>
    <w:r>
      <w:rPr>
        <w:rFonts w:ascii="Arial Narrow" w:hAnsi="Arial Narrow"/>
      </w:rPr>
      <w:tab/>
    </w:r>
    <w:r w:rsidRPr="00862C97">
      <w:rPr>
        <w:rStyle w:val="PageNumber"/>
        <w:rFonts w:ascii="Calibri" w:hAnsi="Calibri"/>
        <w:bCs/>
      </w:rPr>
      <w:fldChar w:fldCharType="begin"/>
    </w:r>
    <w:r w:rsidRPr="00862C97">
      <w:rPr>
        <w:rStyle w:val="PageNumber"/>
        <w:rFonts w:ascii="Calibri" w:hAnsi="Calibri"/>
        <w:bCs/>
      </w:rPr>
      <w:instrText xml:space="preserve"> PAGE </w:instrText>
    </w:r>
    <w:r w:rsidRPr="00862C97">
      <w:rPr>
        <w:rStyle w:val="PageNumber"/>
        <w:rFonts w:ascii="Calibri" w:hAnsi="Calibri"/>
        <w:bCs/>
      </w:rPr>
      <w:fldChar w:fldCharType="separate"/>
    </w:r>
    <w:r w:rsidR="00613C1E">
      <w:rPr>
        <w:rStyle w:val="PageNumber"/>
        <w:rFonts w:ascii="Calibri" w:hAnsi="Calibri"/>
        <w:bCs/>
        <w:noProof/>
      </w:rPr>
      <w:t>i</w:t>
    </w:r>
    <w:r w:rsidRPr="00862C97">
      <w:rPr>
        <w:rStyle w:val="PageNumber"/>
        <w:rFonts w:ascii="Calibri" w:hAnsi="Calibri"/>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5F3540">
    <w:pPr>
      <w:pStyle w:val="Footer"/>
      <w:tabs>
        <w:tab w:val="clear" w:pos="4680"/>
        <w:tab w:val="center" w:pos="5040"/>
      </w:tabs>
      <w:ind w:left="990"/>
      <w:jc w:val="right"/>
      <w:rPr>
        <w:bCs/>
      </w:rPr>
    </w:pPr>
    <w:r>
      <w:rPr>
        <w:rFonts w:ascii="Arial Narrow" w:hAnsi="Arial Narrow"/>
        <w:noProof/>
      </w:rPr>
      <w:drawing>
        <wp:anchor distT="0" distB="0" distL="114300" distR="114300" simplePos="0" relativeHeight="251676160" behindDoc="0" locked="0" layoutInCell="1" allowOverlap="1" wp14:anchorId="6316904F" wp14:editId="73AB0422">
          <wp:simplePos x="0" y="0"/>
          <wp:positionH relativeFrom="margin">
            <wp:posOffset>-61595</wp:posOffset>
          </wp:positionH>
          <wp:positionV relativeFrom="margin">
            <wp:posOffset>8317865</wp:posOffset>
          </wp:positionV>
          <wp:extent cx="685800" cy="123825"/>
          <wp:effectExtent l="0" t="0" r="0" b="9525"/>
          <wp:wrapSquare wrapText="bothSides"/>
          <wp:docPr id="6" name="Picture 6"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w="9525">
                    <a:noFill/>
                    <a:miter lim="800000"/>
                    <a:headEnd/>
                    <a:tailEnd/>
                  </a:ln>
                </pic:spPr>
              </pic:pic>
            </a:graphicData>
          </a:graphic>
        </wp:anchor>
      </w:drawing>
    </w:r>
    <w:r>
      <w:rPr>
        <w:rFonts w:ascii="Arial Narrow" w:hAnsi="Arial Narrow"/>
      </w:rPr>
      <w:tab/>
    </w:r>
    <w:r>
      <w:rPr>
        <w:color w:val="1F497D" w:themeColor="text2"/>
      </w:rPr>
      <w:t>Evaluation Work Plan for 2014-2015 Demand Side Management Programs</w:t>
    </w:r>
    <w:r>
      <w:rPr>
        <w:rFonts w:ascii="Arial Narrow" w:hAnsi="Arial Narrow"/>
      </w:rPr>
      <w:tab/>
    </w:r>
    <w:r w:rsidRPr="00B94C55">
      <w:rPr>
        <w:rStyle w:val="PageNumber"/>
        <w:rFonts w:ascii="Calibri" w:hAnsi="Calibri"/>
        <w:b w:val="0"/>
        <w:bCs/>
      </w:rPr>
      <w:fldChar w:fldCharType="begin"/>
    </w:r>
    <w:r w:rsidRPr="00B94C55">
      <w:rPr>
        <w:rStyle w:val="PageNumber"/>
        <w:rFonts w:ascii="Calibri" w:hAnsi="Calibri"/>
        <w:b w:val="0"/>
        <w:bCs/>
      </w:rPr>
      <w:instrText xml:space="preserve"> PAGE </w:instrText>
    </w:r>
    <w:r w:rsidRPr="00B94C55">
      <w:rPr>
        <w:rStyle w:val="PageNumber"/>
        <w:rFonts w:ascii="Calibri" w:hAnsi="Calibri"/>
        <w:b w:val="0"/>
        <w:bCs/>
      </w:rPr>
      <w:fldChar w:fldCharType="separate"/>
    </w:r>
    <w:r w:rsidR="00613C1E">
      <w:rPr>
        <w:rStyle w:val="PageNumber"/>
        <w:rFonts w:ascii="Calibri" w:hAnsi="Calibri"/>
        <w:b w:val="0"/>
        <w:bCs/>
        <w:noProof/>
      </w:rPr>
      <w:t>49</w:t>
    </w:r>
    <w:r w:rsidRPr="00B94C55">
      <w:rPr>
        <w:rStyle w:val="PageNumber"/>
        <w:rFonts w:ascii="Calibri" w:hAnsi="Calibri"/>
        <w:b w:val="0"/>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EF3" w:rsidRDefault="00AF0EF3" w:rsidP="00947E5C">
      <w:pPr>
        <w:spacing w:after="60"/>
        <w:ind w:left="0"/>
      </w:pPr>
      <w:r>
        <w:separator/>
      </w:r>
    </w:p>
  </w:footnote>
  <w:footnote w:type="continuationSeparator" w:id="0">
    <w:p w:rsidR="00AF0EF3" w:rsidRDefault="00AF0EF3">
      <w:r>
        <w:continuationSeparator/>
      </w:r>
    </w:p>
    <w:p w:rsidR="00AF0EF3" w:rsidRDefault="00AF0EF3"/>
  </w:footnote>
  <w:footnote w:type="continuationNotice" w:id="1">
    <w:p w:rsidR="00AF0EF3" w:rsidRDefault="00AF0EF3">
      <w:pPr>
        <w:spacing w:after="0" w:line="240" w:lineRule="auto"/>
      </w:pPr>
    </w:p>
  </w:footnote>
  <w:footnote w:id="2">
    <w:p w:rsidR="00AF0EF3" w:rsidRPr="00B45D1E" w:rsidRDefault="00AF0EF3" w:rsidP="0012388D">
      <w:pPr>
        <w:pStyle w:val="FootnoteText"/>
        <w:ind w:left="0"/>
        <w:rPr>
          <w:rFonts w:ascii="Microsoft Sans Serif" w:hAnsi="Microsoft Sans Serif" w:cs="Microsoft Sans Serif"/>
          <w:sz w:val="16"/>
          <w:szCs w:val="16"/>
        </w:rPr>
      </w:pPr>
      <w:r w:rsidRPr="00B45D1E">
        <w:rPr>
          <w:rStyle w:val="FootnoteReference"/>
          <w:rFonts w:ascii="Microsoft Sans Serif" w:hAnsi="Microsoft Sans Serif" w:cs="Microsoft Sans Serif"/>
          <w:szCs w:val="16"/>
          <w:vertAlign w:val="superscript"/>
        </w:rPr>
        <w:footnoteRef/>
      </w:r>
      <w:r w:rsidRPr="00B45D1E">
        <w:rPr>
          <w:rFonts w:ascii="Microsoft Sans Serif" w:hAnsi="Microsoft Sans Serif" w:cs="Microsoft Sans Serif"/>
          <w:sz w:val="16"/>
          <w:szCs w:val="16"/>
          <w:vertAlign w:val="superscript"/>
        </w:rPr>
        <w:t xml:space="preserve"> </w:t>
      </w:r>
      <w:r w:rsidRPr="00B45D1E">
        <w:rPr>
          <w:rFonts w:ascii="Microsoft Sans Serif" w:hAnsi="Microsoft Sans Serif" w:cs="Microsoft Sans Serif"/>
          <w:sz w:val="16"/>
          <w:szCs w:val="16"/>
        </w:rPr>
        <w:t xml:space="preserve">Coefficient of Variance for </w:t>
      </w:r>
      <w:r w:rsidRPr="00B45D1E">
        <w:rPr>
          <w:rFonts w:ascii="Microsoft Sans Serif" w:hAnsi="Microsoft Sans Serif" w:cs="Microsoft Sans Serif"/>
          <w:sz w:val="16"/>
          <w:szCs w:val="16"/>
          <w:u w:val="single"/>
        </w:rPr>
        <w:t>lamps</w:t>
      </w:r>
      <w:r w:rsidRPr="00B45D1E">
        <w:rPr>
          <w:rFonts w:ascii="Microsoft Sans Serif" w:hAnsi="Microsoft Sans Serif" w:cs="Microsoft Sans Serif"/>
          <w:sz w:val="16"/>
          <w:szCs w:val="16"/>
        </w:rPr>
        <w:t xml:space="preserve"> is established at 0.95 based on prior metering experience.</w:t>
      </w:r>
    </w:p>
  </w:footnote>
  <w:footnote w:id="3">
    <w:p w:rsidR="00AF0EF3" w:rsidRDefault="00AF0EF3" w:rsidP="0012388D">
      <w:pPr>
        <w:pStyle w:val="FootnoteText"/>
        <w:ind w:left="0"/>
      </w:pPr>
      <w:r w:rsidRPr="00B45D1E">
        <w:rPr>
          <w:rStyle w:val="FootnoteReference"/>
          <w:rFonts w:ascii="Microsoft Sans Serif" w:hAnsi="Microsoft Sans Serif" w:cs="Microsoft Sans Serif"/>
          <w:szCs w:val="16"/>
          <w:vertAlign w:val="superscript"/>
        </w:rPr>
        <w:footnoteRef/>
      </w:r>
      <w:r w:rsidRPr="00B45D1E">
        <w:rPr>
          <w:rFonts w:ascii="Microsoft Sans Serif" w:hAnsi="Microsoft Sans Serif" w:cs="Microsoft Sans Serif"/>
          <w:sz w:val="16"/>
          <w:szCs w:val="16"/>
          <w:vertAlign w:val="superscript"/>
        </w:rPr>
        <w:t xml:space="preserve"> </w:t>
      </w:r>
      <w:r w:rsidRPr="00B45D1E">
        <w:rPr>
          <w:rFonts w:ascii="Microsoft Sans Serif" w:hAnsi="Microsoft Sans Serif" w:cs="Microsoft Sans Serif"/>
          <w:sz w:val="16"/>
          <w:szCs w:val="16"/>
        </w:rPr>
        <w:t>Final metered sample size of approximately 420 is 10% larger than needed sample size to accommodate poor data and/or study drop-outs as recommended by DOE UMP.</w:t>
      </w:r>
    </w:p>
  </w:footnote>
  <w:footnote w:id="4">
    <w:p w:rsidR="00AF0EF3" w:rsidRDefault="00AF0EF3" w:rsidP="00320BA9">
      <w:pPr>
        <w:pStyle w:val="FootnoteText"/>
      </w:pPr>
      <w:r>
        <w:rPr>
          <w:rStyle w:val="FootnoteReference"/>
        </w:rPr>
        <w:footnoteRef/>
      </w:r>
      <w:r>
        <w:t xml:space="preserve"> For more information, see: </w:t>
      </w:r>
      <w:hyperlink r:id="rId1" w:history="1">
        <w:r w:rsidRPr="003C3B11">
          <w:rPr>
            <w:rStyle w:val="Hyperlink"/>
          </w:rPr>
          <w:t>http://www.qsrinternational.com/products_nvivo.aspx</w:t>
        </w:r>
      </w:hyperlink>
      <w:r>
        <w:t xml:space="preserve">. </w:t>
      </w:r>
    </w:p>
  </w:footnote>
  <w:footnote w:id="5">
    <w:p w:rsidR="00AF0EF3" w:rsidRDefault="00AF0EF3" w:rsidP="00320BA9">
      <w:pPr>
        <w:pStyle w:val="FootnoteText"/>
      </w:pPr>
      <w:r>
        <w:rPr>
          <w:rStyle w:val="FootnoteReference"/>
        </w:rPr>
        <w:footnoteRef/>
      </w:r>
      <w:r>
        <w:t xml:space="preserve"> During the kick-off, Avista staff confirmed that the previous evaluation did verify that savings estimates were not being double counted.</w:t>
      </w:r>
    </w:p>
  </w:footnote>
  <w:footnote w:id="6">
    <w:p w:rsidR="00AF0EF3" w:rsidRPr="00B35356" w:rsidRDefault="00AF0EF3" w:rsidP="00534529">
      <w:pPr>
        <w:pStyle w:val="FootnoteText"/>
        <w:ind w:left="0"/>
        <w:rPr>
          <w:rFonts w:asciiTheme="minorHAnsi" w:hAnsiTheme="minorHAnsi" w:cs="Microsoft Sans Serif"/>
          <w:szCs w:val="18"/>
        </w:rPr>
      </w:pPr>
      <w:r w:rsidRPr="00B35356">
        <w:rPr>
          <w:rStyle w:val="FootnoteReference"/>
          <w:rFonts w:asciiTheme="minorHAnsi" w:hAnsiTheme="minorHAnsi" w:cs="Microsoft Sans Serif"/>
          <w:sz w:val="18"/>
          <w:szCs w:val="18"/>
          <w:vertAlign w:val="superscript"/>
        </w:rPr>
        <w:footnoteRef/>
      </w:r>
      <w:r w:rsidRPr="00B35356">
        <w:rPr>
          <w:rFonts w:asciiTheme="minorHAnsi" w:hAnsiTheme="minorHAnsi" w:cs="Microsoft Sans Serif"/>
          <w:szCs w:val="18"/>
          <w:vertAlign w:val="superscript"/>
        </w:rPr>
        <w:t xml:space="preserve"> </w:t>
      </w:r>
      <w:r w:rsidRPr="00B35356">
        <w:rPr>
          <w:rFonts w:asciiTheme="minorHAnsi" w:hAnsiTheme="minorHAnsi" w:cs="Microsoft Sans Serif"/>
          <w:szCs w:val="18"/>
        </w:rPr>
        <w:t>“California Standard Practice Manual: Economic Analysis for Demand-Side Programs and Projects”; State of California; July 2002, with subsequent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spacing w:after="400"/>
      <w:rPr>
        <w:rFonts w:ascii="C Helvetica Condensed" w:hAnsi="C Helvetica Condensed"/>
      </w:rPr>
    </w:pPr>
    <w:r>
      <w:rPr>
        <w:rFonts w:ascii="CLB Helvetica Condensed Black" w:hAnsi="CLB Helvetica Condensed Black"/>
      </w:rPr>
      <w:t>Part 1</w:t>
    </w:r>
    <w:r>
      <w:rPr>
        <w:rFonts w:ascii="C Helvetica Condensed" w:hAnsi="C Helvetica Condensed"/>
        <w:sz w:val="20"/>
      </w:rPr>
      <w:tab/>
    </w:r>
    <w:r>
      <w:rPr>
        <w:rFonts w:ascii="C Helvetica Condensed" w:hAnsi="C Helvetica Condensed"/>
      </w:rPr>
      <w:t>Approach to the Work</w:t>
    </w:r>
    <w:r>
      <w:rPr>
        <w:rFonts w:ascii="C Helvetica Condensed" w:hAnsi="C Helvetica Condensed"/>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r>
      <w:rPr>
        <w:noProof/>
      </w:rPr>
      <w:drawing>
        <wp:anchor distT="0" distB="0" distL="114300" distR="114300" simplePos="0" relativeHeight="251656704" behindDoc="0" locked="0" layoutInCell="1" allowOverlap="1" wp14:anchorId="71BF92CA" wp14:editId="5D6F3309">
          <wp:simplePos x="0" y="0"/>
          <wp:positionH relativeFrom="column">
            <wp:posOffset>-974090</wp:posOffset>
          </wp:positionH>
          <wp:positionV relativeFrom="paragraph">
            <wp:posOffset>-664845</wp:posOffset>
          </wp:positionV>
          <wp:extent cx="7847965" cy="10184765"/>
          <wp:effectExtent l="19050" t="0" r="635" b="0"/>
          <wp:wrapNone/>
          <wp:docPr id="1" name="Picture 2" descr="PrelimCoverConceptPro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imCoverConceptProof2.jpg"/>
                  <pic:cNvPicPr>
                    <a:picLocks noChangeAspect="1" noChangeArrowheads="1"/>
                  </pic:cNvPicPr>
                </pic:nvPicPr>
                <pic:blipFill>
                  <a:blip r:embed="rId1" cstate="screen"/>
                  <a:srcRect/>
                  <a:stretch>
                    <a:fillRect/>
                  </a:stretch>
                </pic:blipFill>
                <pic:spPr bwMode="auto">
                  <a:xfrm>
                    <a:off x="0" y="0"/>
                    <a:ext cx="7847965" cy="1018476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Pr="00B87107" w:rsidRDefault="00AF0EF3" w:rsidP="00B87107">
    <w:pPr>
      <w:pStyle w:val="Header"/>
      <w:pBdr>
        <w:bottom w:val="dotted" w:sz="4" w:space="1" w:color="1F497D"/>
        <w:between w:val="none" w:sz="0" w:space="0" w:color="auto"/>
      </w:pBdr>
      <w:spacing w:after="360"/>
      <w:jc w:val="left"/>
    </w:pPr>
    <w:r>
      <w:rPr>
        <w:rFonts w:ascii="Britannic Bold" w:hAnsi="Britannic Bold"/>
        <w:iCs/>
        <w:noProof/>
        <w:sz w:val="24"/>
        <w:szCs w:val="24"/>
      </w:rPr>
      <mc:AlternateContent>
        <mc:Choice Requires="wps">
          <w:drawing>
            <wp:anchor distT="0" distB="0" distL="114300" distR="114300" simplePos="0" relativeHeight="251659776" behindDoc="0" locked="0" layoutInCell="1" allowOverlap="1" wp14:anchorId="005C0529" wp14:editId="653E98BC">
              <wp:simplePos x="0" y="0"/>
              <wp:positionH relativeFrom="column">
                <wp:posOffset>20955</wp:posOffset>
              </wp:positionH>
              <wp:positionV relativeFrom="paragraph">
                <wp:posOffset>568960</wp:posOffset>
              </wp:positionV>
              <wp:extent cx="635" cy="7974330"/>
              <wp:effectExtent l="11430" t="6985" r="6985" b="1016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74330"/>
                      </a:xfrm>
                      <a:prstGeom prst="straightConnector1">
                        <a:avLst/>
                      </a:prstGeom>
                      <a:noFill/>
                      <a:ln w="12700" cap="rnd">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65pt;margin-top:44.8pt;width:.05pt;height:6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" strokecolor="#a5a5a5" strokeweight="1pt">
              <v:stroke dashstyle="1 1" endcap="round"/>
            </v:shape>
          </w:pict>
        </mc:Fallback>
      </mc:AlternateContent>
    </w:r>
    <w:r w:rsidRPr="000C4D0B">
      <w:rPr>
        <w:rFonts w:ascii="Calibri" w:hAnsi="Calibri"/>
        <w:i/>
        <w:iCs/>
      </w:rPr>
      <w:tab/>
    </w:r>
    <w:r w:rsidRPr="000C4D0B">
      <w:rPr>
        <w:rFonts w:ascii="Calibri" w:hAnsi="Calibri"/>
        <w:i/>
        <w:iCs/>
      </w:rPr>
      <w:tab/>
    </w:r>
    <w:r>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Bdr>
        <w:bottom w:val="none" w:sz="0" w:space="0" w:color="auto"/>
        <w:between w:val="none" w:sz="0" w:space="0" w:color="auto"/>
      </w:pBdr>
      <w:spacing w:before="0" w:after="0" w:line="240"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pPr>
      <w:pStyle w:val="Header"/>
    </w:pPr>
  </w:p>
  <w:p w:rsidR="00AF0EF3" w:rsidRDefault="00AF0EF3"/>
  <w:p w:rsidR="00AF0EF3" w:rsidRDefault="00AF0EF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pBdr>
        <w:bottom w:val="single" w:sz="4" w:space="1" w:color="auto"/>
        <w:between w:val="none" w:sz="0" w:space="0" w:color="auto"/>
      </w:pBdr>
      <w:spacing w:before="120" w:after="120"/>
      <w:jc w:val="left"/>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F3" w:rsidRDefault="00AF0EF3" w:rsidP="00EC7F77">
    <w:pPr>
      <w:pStyle w:val="Heade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A8844C"/>
    <w:lvl w:ilvl="0">
      <w:start w:val="1"/>
      <w:numFmt w:val="decimal"/>
      <w:lvlText w:val="%1."/>
      <w:lvlJc w:val="left"/>
      <w:pPr>
        <w:tabs>
          <w:tab w:val="num" w:pos="1800"/>
        </w:tabs>
        <w:ind w:left="1800" w:hanging="360"/>
      </w:pPr>
    </w:lvl>
  </w:abstractNum>
  <w:abstractNum w:abstractNumId="1">
    <w:nsid w:val="FFFFFF7D"/>
    <w:multiLevelType w:val="singleLevel"/>
    <w:tmpl w:val="273233DA"/>
    <w:lvl w:ilvl="0">
      <w:start w:val="1"/>
      <w:numFmt w:val="decimal"/>
      <w:lvlText w:val="%1."/>
      <w:lvlJc w:val="left"/>
      <w:pPr>
        <w:tabs>
          <w:tab w:val="num" w:pos="1440"/>
        </w:tabs>
        <w:ind w:left="1440" w:hanging="360"/>
      </w:pPr>
    </w:lvl>
  </w:abstractNum>
  <w:abstractNum w:abstractNumId="2">
    <w:nsid w:val="FFFFFF7E"/>
    <w:multiLevelType w:val="singleLevel"/>
    <w:tmpl w:val="8BAA6B6A"/>
    <w:lvl w:ilvl="0">
      <w:start w:val="1"/>
      <w:numFmt w:val="decimal"/>
      <w:lvlText w:val="%1."/>
      <w:lvlJc w:val="left"/>
      <w:pPr>
        <w:tabs>
          <w:tab w:val="num" w:pos="1080"/>
        </w:tabs>
        <w:ind w:left="1080" w:hanging="360"/>
      </w:pPr>
    </w:lvl>
  </w:abstractNum>
  <w:abstractNum w:abstractNumId="3">
    <w:nsid w:val="FFFFFF7F"/>
    <w:multiLevelType w:val="singleLevel"/>
    <w:tmpl w:val="03F6383A"/>
    <w:lvl w:ilvl="0">
      <w:start w:val="1"/>
      <w:numFmt w:val="decimal"/>
      <w:lvlText w:val="%1."/>
      <w:lvlJc w:val="left"/>
      <w:pPr>
        <w:tabs>
          <w:tab w:val="num" w:pos="720"/>
        </w:tabs>
        <w:ind w:left="720" w:hanging="360"/>
      </w:pPr>
    </w:lvl>
  </w:abstractNum>
  <w:abstractNum w:abstractNumId="4">
    <w:nsid w:val="FFFFFF80"/>
    <w:multiLevelType w:val="singleLevel"/>
    <w:tmpl w:val="492C9F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D0C940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BB62D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B24568"/>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A484F3BE"/>
    <w:lvl w:ilvl="0">
      <w:start w:val="1"/>
      <w:numFmt w:val="bullet"/>
      <w:pStyle w:val="Heading9"/>
      <w:lvlText w:val=""/>
      <w:lvlJc w:val="left"/>
      <w:pPr>
        <w:tabs>
          <w:tab w:val="num" w:pos="360"/>
        </w:tabs>
        <w:ind w:left="360" w:hanging="360"/>
      </w:pPr>
      <w:rPr>
        <w:rFonts w:ascii="Symbol" w:hAnsi="Symbol" w:cs="Symbol" w:hint="default"/>
      </w:rPr>
    </w:lvl>
  </w:abstractNum>
  <w:abstractNum w:abstractNumId="9">
    <w:nsid w:val="0C5F38B2"/>
    <w:multiLevelType w:val="multilevel"/>
    <w:tmpl w:val="091E1A58"/>
    <w:lvl w:ilvl="0">
      <w:start w:val="1"/>
      <w:numFmt w:val="none"/>
      <w:suff w:val="nothing"/>
      <w:lvlText w:val=""/>
      <w:lvlJc w:val="left"/>
      <w:pPr>
        <w:ind w:left="360" w:firstLine="0"/>
      </w:pPr>
      <w:rPr>
        <w:rFonts w:hint="default"/>
      </w:rPr>
    </w:lvl>
    <w:lvl w:ilvl="1">
      <w:start w:val="1"/>
      <w:numFmt w:val="none"/>
      <w:pStyle w:val="Indent"/>
      <w:suff w:val="nothing"/>
      <w:lvlText w:val=""/>
      <w:lvlJc w:val="left"/>
      <w:pPr>
        <w:ind w:left="108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80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520" w:firstLine="0"/>
      </w:pPr>
      <w:rPr>
        <w:rFonts w:hint="default"/>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lowerRoman"/>
      <w:lvlText w:val="%9."/>
      <w:lvlJc w:val="left"/>
      <w:pPr>
        <w:ind w:left="3240" w:hanging="360"/>
      </w:pPr>
      <w:rPr>
        <w:rFonts w:hint="default"/>
      </w:rPr>
    </w:lvl>
  </w:abstractNum>
  <w:abstractNum w:abstractNumId="10">
    <w:nsid w:val="127725BF"/>
    <w:multiLevelType w:val="multilevel"/>
    <w:tmpl w:val="4940A262"/>
    <w:styleLink w:val="StyleNumberedListCalibri11ptLeft05Hanging025"/>
    <w:lvl w:ilvl="0">
      <w:start w:val="1"/>
      <w:numFmt w:val="decimal"/>
      <w:lvlText w:val="%1."/>
      <w:lvlJc w:val="left"/>
      <w:pPr>
        <w:ind w:left="1080" w:hanging="360"/>
      </w:pPr>
      <w:rPr>
        <w:rFonts w:ascii="Calibri" w:hAnsi="Calibri"/>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150923CA"/>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nsid w:val="15477A08"/>
    <w:multiLevelType w:val="multilevel"/>
    <w:tmpl w:val="6B680B3C"/>
    <w:lvl w:ilvl="0">
      <w:start w:val="1"/>
      <w:numFmt w:val="upperLetter"/>
      <w:pStyle w:val="Heading7"/>
      <w:lvlText w:val="Appendix %1"/>
      <w:lvlJc w:val="left"/>
      <w:pPr>
        <w:ind w:left="90" w:firstLine="0"/>
      </w:pPr>
      <w:rPr>
        <w:rFonts w:cs="Times New Roman"/>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8"/>
      <w:lvlText w:val="%1.%2"/>
      <w:lvlJc w:val="left"/>
      <w:pPr>
        <w:tabs>
          <w:tab w:val="num" w:pos="1170"/>
        </w:tabs>
        <w:ind w:left="1170" w:hanging="72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13">
    <w:nsid w:val="25782F79"/>
    <w:multiLevelType w:val="multilevel"/>
    <w:tmpl w:val="72E65AA8"/>
    <w:lvl w:ilvl="0">
      <w:start w:val="1"/>
      <w:numFmt w:val="none"/>
      <w:pStyle w:val="t"/>
      <w:suff w:val="nothing"/>
      <w:lvlText w:val=""/>
      <w:lvlJc w:val="left"/>
      <w:pPr>
        <w:ind w:left="360" w:firstLine="0"/>
      </w:pPr>
      <w:rPr>
        <w:rFonts w:asciiTheme="minorHAnsi" w:hAnsiTheme="minorHAnsi" w:hint="default"/>
        <w:sz w:val="22"/>
      </w:rPr>
    </w:lvl>
    <w:lvl w:ilvl="1">
      <w:start w:val="1"/>
      <w:numFmt w:val="decimal"/>
      <w:pStyle w:val="Outlin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nsid w:val="296827B0"/>
    <w:multiLevelType w:val="singleLevel"/>
    <w:tmpl w:val="0409000F"/>
    <w:lvl w:ilvl="0">
      <w:start w:val="1"/>
      <w:numFmt w:val="decimal"/>
      <w:pStyle w:val="Style2"/>
      <w:lvlText w:val="%1."/>
      <w:lvlJc w:val="left"/>
      <w:pPr>
        <w:tabs>
          <w:tab w:val="num" w:pos="360"/>
        </w:tabs>
        <w:ind w:left="360" w:hanging="360"/>
      </w:pPr>
    </w:lvl>
  </w:abstractNum>
  <w:abstractNum w:abstractNumId="15">
    <w:nsid w:val="31B40A50"/>
    <w:multiLevelType w:val="singleLevel"/>
    <w:tmpl w:val="B850703C"/>
    <w:lvl w:ilvl="0">
      <w:start w:val="5"/>
      <w:numFmt w:val="bullet"/>
      <w:pStyle w:val="m"/>
      <w:lvlText w:val="-"/>
      <w:lvlJc w:val="left"/>
      <w:pPr>
        <w:tabs>
          <w:tab w:val="num" w:pos="1080"/>
        </w:tabs>
        <w:ind w:left="1080" w:hanging="360"/>
      </w:pPr>
      <w:rPr>
        <w:rFonts w:hint="default"/>
      </w:rPr>
    </w:lvl>
  </w:abstractNum>
  <w:abstractNum w:abstractNumId="16">
    <w:nsid w:val="338E1C0F"/>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37B44366"/>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nsid w:val="38F71F6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3663AF"/>
    <w:multiLevelType w:val="multilevel"/>
    <w:tmpl w:val="4C4EBD06"/>
    <w:lvl w:ilvl="0">
      <w:start w:val="1"/>
      <w:numFmt w:val="decimal"/>
      <w:pStyle w:val="Heading1"/>
      <w:lvlText w:val="%1"/>
      <w:lvlJc w:val="left"/>
      <w:pPr>
        <w:tabs>
          <w:tab w:val="num" w:pos="1440"/>
        </w:tabs>
        <w:ind w:left="360" w:hanging="360"/>
      </w:pPr>
      <w:rPr>
        <w:rFonts w:ascii="Calibri" w:hAnsi="Calibri" w:cs="Vrinda" w:hint="default"/>
        <w:b w:val="0"/>
        <w:i w:val="0"/>
        <w:caps w:val="0"/>
        <w:strike w:val="0"/>
        <w:dstrike w:val="0"/>
        <w:vanish w:val="0"/>
        <w:color w:val="1F497D" w:themeColor="text2"/>
        <w:sz w:val="44"/>
        <w:szCs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0" w:firstLine="0"/>
      </w:pPr>
      <w:rPr>
        <w:color w:val="1F497D" w:themeColor="text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color w:val="1F497D" w:themeColor="text2"/>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A73545D"/>
    <w:multiLevelType w:val="hybridMultilevel"/>
    <w:tmpl w:val="7150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F3CF2"/>
    <w:multiLevelType w:val="singleLevel"/>
    <w:tmpl w:val="AD3C5542"/>
    <w:lvl w:ilvl="0">
      <w:start w:val="1"/>
      <w:numFmt w:val="bullet"/>
      <w:pStyle w:val="Bullet2"/>
      <w:lvlText w:val=""/>
      <w:lvlJc w:val="left"/>
      <w:pPr>
        <w:tabs>
          <w:tab w:val="num" w:pos="360"/>
        </w:tabs>
        <w:ind w:left="360" w:hanging="360"/>
      </w:pPr>
      <w:rPr>
        <w:rFonts w:ascii="Symbol" w:hAnsi="Symbol" w:hint="default"/>
      </w:rPr>
    </w:lvl>
  </w:abstractNum>
  <w:abstractNum w:abstractNumId="22">
    <w:nsid w:val="4C535C14"/>
    <w:multiLevelType w:val="singleLevel"/>
    <w:tmpl w:val="CC1AA8AA"/>
    <w:lvl w:ilvl="0">
      <w:start w:val="1"/>
      <w:numFmt w:val="lowerLetter"/>
      <w:pStyle w:val="Number2"/>
      <w:lvlText w:val="%1."/>
      <w:lvlJc w:val="left"/>
      <w:pPr>
        <w:tabs>
          <w:tab w:val="num" w:pos="792"/>
        </w:tabs>
        <w:ind w:left="792" w:hanging="360"/>
      </w:pPr>
    </w:lvl>
  </w:abstractNum>
  <w:abstractNum w:abstractNumId="23">
    <w:nsid w:val="4F3A3B8C"/>
    <w:multiLevelType w:val="hybridMultilevel"/>
    <w:tmpl w:val="CEB94917"/>
    <w:lvl w:ilvl="0" w:tplc="24E49488">
      <w:start w:val="1"/>
      <w:numFmt w:val="decimal"/>
      <w:lvlText w:val="%1."/>
      <w:lvlJc w:val="left"/>
    </w:lvl>
    <w:lvl w:ilvl="1" w:tplc="8E6A0A06">
      <w:numFmt w:val="decimal"/>
      <w:lvlText w:val=""/>
      <w:lvlJc w:val="left"/>
    </w:lvl>
    <w:lvl w:ilvl="2" w:tplc="E26836BC">
      <w:numFmt w:val="decimal"/>
      <w:lvlText w:val=""/>
      <w:lvlJc w:val="left"/>
    </w:lvl>
    <w:lvl w:ilvl="3" w:tplc="50505F22">
      <w:numFmt w:val="decimal"/>
      <w:lvlText w:val=""/>
      <w:lvlJc w:val="left"/>
    </w:lvl>
    <w:lvl w:ilvl="4" w:tplc="0D1A146E">
      <w:numFmt w:val="decimal"/>
      <w:lvlText w:val=""/>
      <w:lvlJc w:val="left"/>
    </w:lvl>
    <w:lvl w:ilvl="5" w:tplc="3F0E75DC">
      <w:numFmt w:val="decimal"/>
      <w:lvlText w:val=""/>
      <w:lvlJc w:val="left"/>
    </w:lvl>
    <w:lvl w:ilvl="6" w:tplc="DE4C9452">
      <w:numFmt w:val="decimal"/>
      <w:lvlText w:val=""/>
      <w:lvlJc w:val="left"/>
    </w:lvl>
    <w:lvl w:ilvl="7" w:tplc="8DAC9938">
      <w:numFmt w:val="decimal"/>
      <w:lvlText w:val=""/>
      <w:lvlJc w:val="left"/>
    </w:lvl>
    <w:lvl w:ilvl="8" w:tplc="81AAC7EC">
      <w:numFmt w:val="decimal"/>
      <w:lvlText w:val=""/>
      <w:lvlJc w:val="left"/>
    </w:lvl>
  </w:abstractNum>
  <w:abstractNum w:abstractNumId="24">
    <w:nsid w:val="59C52067"/>
    <w:multiLevelType w:val="multilevel"/>
    <w:tmpl w:val="02D4F74C"/>
    <w:styleLink w:val="n"/>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5">
    <w:nsid w:val="5CF31FB0"/>
    <w:multiLevelType w:val="hybridMultilevel"/>
    <w:tmpl w:val="4B90378E"/>
    <w:lvl w:ilvl="0" w:tplc="A3300C1E">
      <w:start w:val="1"/>
      <w:numFmt w:val="bullet"/>
      <w:pStyle w:val="Bullet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B0820"/>
    <w:multiLevelType w:val="multilevel"/>
    <w:tmpl w:val="D1EE4882"/>
    <w:lvl w:ilvl="0">
      <w:start w:val="1"/>
      <w:numFmt w:val="bullet"/>
      <w:pStyle w:val="b"/>
      <w:lvlText w:val=""/>
      <w:lvlJc w:val="left"/>
      <w:pPr>
        <w:ind w:left="108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07B13E6"/>
    <w:multiLevelType w:val="multilevel"/>
    <w:tmpl w:val="1EA058CC"/>
    <w:lvl w:ilvl="0">
      <w:start w:val="1"/>
      <w:numFmt w:val="bullet"/>
      <w:lvlText w:val=""/>
      <w:lvlJc w:val="left"/>
      <w:pPr>
        <w:ind w:left="360" w:firstLine="0"/>
      </w:pPr>
      <w:rPr>
        <w:rFonts w:ascii="Wingdings" w:hAnsi="Wingding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nsid w:val="76ED2F31"/>
    <w:multiLevelType w:val="multilevel"/>
    <w:tmpl w:val="A0940098"/>
    <w:name w:val="HeadingStyles||Heading|3|3|0|1|0|37||1|0|33||1|0|33||1|0|33||1|0|33||1|0|33||1|0|33||1|0|33||1|0|33||"/>
    <w:lvl w:ilvl="0">
      <w:start w:val="1"/>
      <w:numFmt w:val="decimal"/>
      <w:lvlRestart w:val="0"/>
      <w:lvlText w:val="%1."/>
      <w:lvlJc w:val="left"/>
      <w:pPr>
        <w:tabs>
          <w:tab w:val="num" w:pos="360"/>
        </w:tabs>
      </w:pPr>
      <w:rPr>
        <w:rFonts w:ascii="Times New Roman" w:hAnsi="Times New Roman" w:cs="Times New Roman" w:hint="default"/>
        <w:b/>
        <w:bCs/>
        <w:i w:val="0"/>
        <w:iCs w:val="0"/>
        <w:caps w:val="0"/>
        <w:smallCaps w:val="0"/>
        <w:strike w:val="0"/>
        <w:dstrike w:val="0"/>
        <w:vanish w:val="0"/>
        <w:sz w:val="24"/>
        <w:szCs w:val="24"/>
        <w:u w:val="none"/>
        <w:effect w:val="none"/>
        <w:vertAlign w:val="baseline"/>
      </w:rPr>
    </w:lvl>
    <w:lvl w:ilvl="1">
      <w:start w:val="1"/>
      <w:numFmt w:val="decimal"/>
      <w:isLgl/>
      <w:lvlText w:val="%1.%2"/>
      <w:lvlJc w:val="left"/>
      <w:pPr>
        <w:tabs>
          <w:tab w:val="num" w:pos="1872"/>
        </w:tabs>
        <w:ind w:left="990" w:firstLine="720"/>
      </w:pPr>
      <w:rPr>
        <w:rFonts w:ascii="Times New Roman" w:hAnsi="Times New Roman" w:cs="Times New Roman" w:hint="default"/>
        <w:b/>
        <w:bCs/>
        <w:i w:val="0"/>
        <w:iCs w:val="0"/>
        <w:caps w:val="0"/>
        <w:strike w:val="0"/>
        <w:dstrike w:val="0"/>
        <w:vanish w:val="0"/>
        <w:color w:val="auto"/>
        <w:sz w:val="24"/>
        <w:szCs w:val="24"/>
        <w:u w:val="none"/>
        <w:effect w:val="none"/>
        <w:vertAlign w:val="baseline"/>
      </w:rPr>
    </w:lvl>
    <w:lvl w:ilvl="2">
      <w:start w:val="1"/>
      <w:numFmt w:val="decimal"/>
      <w:isLgl/>
      <w:lvlText w:val="%1.%2.%3"/>
      <w:lvlJc w:val="left"/>
      <w:pPr>
        <w:tabs>
          <w:tab w:val="num" w:pos="1224"/>
        </w:tabs>
        <w:ind w:firstLine="1440"/>
      </w:pPr>
      <w:rPr>
        <w:rFonts w:ascii="Arial" w:hAnsi="Arial" w:cs="Arial" w:hint="default"/>
        <w:b/>
        <w:bCs/>
        <w:i w:val="0"/>
        <w:iCs w:val="0"/>
        <w:caps w:val="0"/>
        <w:strike w:val="0"/>
        <w:dstrike w:val="0"/>
        <w:vanish w:val="0"/>
        <w:sz w:val="24"/>
        <w:szCs w:val="24"/>
        <w:u w:val="none"/>
        <w:effect w:val="none"/>
        <w:vertAlign w:val="baseline"/>
      </w:rPr>
    </w:lvl>
    <w:lvl w:ilvl="3">
      <w:start w:val="1"/>
      <w:numFmt w:val="none"/>
      <w:suff w:val="nothing"/>
      <w:lvlText w:val=""/>
      <w:lvlJc w:val="left"/>
      <w:rPr>
        <w:rFonts w:ascii="(normal text)" w:hAnsi="(normal text)" w:cs="(normal text)" w:hint="default"/>
        <w:b w:val="0"/>
        <w:bCs w:val="0"/>
        <w:i w:val="0"/>
        <w:iCs w:val="0"/>
        <w:caps w:val="0"/>
        <w:strike w:val="0"/>
        <w:dstrike w:val="0"/>
        <w:vanish w:val="0"/>
        <w:sz w:val="24"/>
        <w:szCs w:val="24"/>
        <w:u w:val="none"/>
        <w:effect w:val="none"/>
        <w:vertAlign w:val="baseline"/>
      </w:rPr>
    </w:lvl>
    <w:lvl w:ilvl="4">
      <w:start w:val="1"/>
      <w:numFmt w:val="none"/>
      <w:suff w:val="nothing"/>
      <w:lvlText w:val=""/>
      <w:lvlJc w:val="left"/>
      <w:pPr>
        <w:ind w:left="360" w:hanging="360"/>
      </w:pPr>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5">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6">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7">
      <w:start w:val="1"/>
      <w:numFmt w:val="none"/>
      <w:suff w:val="nothing"/>
      <w:lvlText w:val=""/>
      <w:lvlJc w:val="left"/>
      <w:rPr>
        <w:rFonts w:ascii="Times New Roman" w:hAnsi="Times New Roman" w:cs="Times New Roman" w:hint="default"/>
        <w:b w:val="0"/>
        <w:bCs w:val="0"/>
        <w:i w:val="0"/>
        <w:iCs w:val="0"/>
        <w:caps w:val="0"/>
        <w:strike w:val="0"/>
        <w:dstrike w:val="0"/>
        <w:vanish w:val="0"/>
        <w:sz w:val="24"/>
        <w:szCs w:val="24"/>
        <w:u w:val="none"/>
        <w:effect w:val="none"/>
        <w:vertAlign w:val="baseline"/>
      </w:rPr>
    </w:lvl>
    <w:lvl w:ilvl="8">
      <w:start w:val="1"/>
      <w:numFmt w:val="none"/>
      <w:suff w:val="nothing"/>
      <w:lvlText w:val=""/>
      <w:lvlJc w:val="left"/>
      <w:pPr>
        <w:ind w:left="360" w:hanging="360"/>
      </w:pPr>
      <w:rPr>
        <w:rFonts w:ascii="Times New Roman" w:hAnsi="Times New Roman" w:cs="Times New Roman" w:hint="default"/>
        <w:b w:val="0"/>
        <w:bCs w:val="0"/>
        <w:i w:val="0"/>
        <w:iCs w:val="0"/>
        <w:caps w:val="0"/>
        <w:strike w:val="0"/>
        <w:dstrike w:val="0"/>
        <w:vanish w:val="0"/>
        <w:sz w:val="24"/>
        <w:szCs w:val="24"/>
        <w:u w:val="none"/>
        <w:effect w:val="none"/>
        <w:vertAlign w:val="baseline"/>
      </w:rPr>
    </w:lvl>
  </w:abstractNum>
  <w:abstractNum w:abstractNumId="29">
    <w:nsid w:val="7D946B05"/>
    <w:multiLevelType w:val="multilevel"/>
    <w:tmpl w:val="323CAAD0"/>
    <w:lvl w:ilvl="0">
      <w:start w:val="1"/>
      <w:numFmt w:val="decimal"/>
      <w:lvlText w:val="%1."/>
      <w:lvlJc w:val="left"/>
      <w:pPr>
        <w:ind w:left="360" w:firstLine="0"/>
      </w:pPr>
      <w:rPr>
        <w:rFonts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4"/>
  </w:num>
  <w:num w:numId="2">
    <w:abstractNumId w:val="13"/>
  </w:num>
  <w:num w:numId="3">
    <w:abstractNumId w:val="26"/>
  </w:num>
  <w:num w:numId="4">
    <w:abstractNumId w:val="19"/>
  </w:num>
  <w:num w:numId="5">
    <w:abstractNumId w:val="12"/>
  </w:num>
  <w:num w:numId="6">
    <w:abstractNumId w:val="26"/>
  </w:num>
  <w:num w:numId="7">
    <w:abstractNumId w:val="9"/>
  </w:num>
  <w:num w:numId="8">
    <w:abstractNumId w:val="13"/>
  </w:num>
  <w:num w:numId="9">
    <w:abstractNumId w:val="18"/>
  </w:num>
  <w:num w:numId="10">
    <w:abstractNumId w:val="23"/>
  </w:num>
  <w:num w:numId="11">
    <w:abstractNumId w:val="8"/>
  </w:num>
  <w:num w:numId="12">
    <w:abstractNumId w:val="21"/>
  </w:num>
  <w:num w:numId="13">
    <w:abstractNumId w:val="22"/>
  </w:num>
  <w:num w:numId="14">
    <w:abstractNumId w:val="25"/>
  </w:num>
  <w:num w:numId="15">
    <w:abstractNumId w:val="15"/>
  </w:num>
  <w:num w:numId="16">
    <w:abstractNumId w:val="10"/>
  </w:num>
  <w:num w:numId="17">
    <w:abstractNumId w:val="14"/>
  </w:num>
  <w:num w:numId="18">
    <w:abstractNumId w:val="16"/>
  </w:num>
  <w:num w:numId="19">
    <w:abstractNumId w:val="17"/>
  </w:num>
  <w:num w:numId="20">
    <w:abstractNumId w:val="11"/>
  </w:num>
  <w:num w:numId="21">
    <w:abstractNumId w:val="29"/>
  </w:num>
  <w:num w:numId="22">
    <w:abstractNumId w:val="20"/>
  </w:num>
  <w:num w:numId="23">
    <w:abstractNumId w:val="27"/>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6385"/>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26"/>
    <w:rsid w:val="00000772"/>
    <w:rsid w:val="00007BB5"/>
    <w:rsid w:val="00011623"/>
    <w:rsid w:val="00020870"/>
    <w:rsid w:val="0002122E"/>
    <w:rsid w:val="000233CD"/>
    <w:rsid w:val="0002468C"/>
    <w:rsid w:val="00025639"/>
    <w:rsid w:val="000268D0"/>
    <w:rsid w:val="00027DC0"/>
    <w:rsid w:val="00030A36"/>
    <w:rsid w:val="00030B78"/>
    <w:rsid w:val="00033745"/>
    <w:rsid w:val="000355F5"/>
    <w:rsid w:val="00041291"/>
    <w:rsid w:val="000441D7"/>
    <w:rsid w:val="00050FD1"/>
    <w:rsid w:val="00054090"/>
    <w:rsid w:val="00054B82"/>
    <w:rsid w:val="00055CE1"/>
    <w:rsid w:val="0005727D"/>
    <w:rsid w:val="000615CB"/>
    <w:rsid w:val="00061958"/>
    <w:rsid w:val="00062BEC"/>
    <w:rsid w:val="00063B0E"/>
    <w:rsid w:val="00065A17"/>
    <w:rsid w:val="000709AA"/>
    <w:rsid w:val="00073758"/>
    <w:rsid w:val="00074E2D"/>
    <w:rsid w:val="0007636B"/>
    <w:rsid w:val="000777BE"/>
    <w:rsid w:val="00081768"/>
    <w:rsid w:val="00090515"/>
    <w:rsid w:val="00093ACF"/>
    <w:rsid w:val="000979C4"/>
    <w:rsid w:val="000A2F22"/>
    <w:rsid w:val="000B0A11"/>
    <w:rsid w:val="000B7884"/>
    <w:rsid w:val="000C252D"/>
    <w:rsid w:val="000C4D0B"/>
    <w:rsid w:val="000C7804"/>
    <w:rsid w:val="000D13D3"/>
    <w:rsid w:val="000D405B"/>
    <w:rsid w:val="000D486F"/>
    <w:rsid w:val="000E208F"/>
    <w:rsid w:val="000E3327"/>
    <w:rsid w:val="000E3742"/>
    <w:rsid w:val="000E7618"/>
    <w:rsid w:val="000E7DF7"/>
    <w:rsid w:val="000F1F9A"/>
    <w:rsid w:val="000F2A00"/>
    <w:rsid w:val="000F3604"/>
    <w:rsid w:val="000F458E"/>
    <w:rsid w:val="000F5AA6"/>
    <w:rsid w:val="001038B6"/>
    <w:rsid w:val="00107AE9"/>
    <w:rsid w:val="00107CF2"/>
    <w:rsid w:val="00110AE6"/>
    <w:rsid w:val="001113DA"/>
    <w:rsid w:val="0011228F"/>
    <w:rsid w:val="00116133"/>
    <w:rsid w:val="00116B2F"/>
    <w:rsid w:val="0012388D"/>
    <w:rsid w:val="00124C67"/>
    <w:rsid w:val="00134ADE"/>
    <w:rsid w:val="00137064"/>
    <w:rsid w:val="00143528"/>
    <w:rsid w:val="00143F9C"/>
    <w:rsid w:val="00144750"/>
    <w:rsid w:val="00150AC7"/>
    <w:rsid w:val="00150B08"/>
    <w:rsid w:val="001513D5"/>
    <w:rsid w:val="00151F14"/>
    <w:rsid w:val="0015244B"/>
    <w:rsid w:val="001555B5"/>
    <w:rsid w:val="00155FD3"/>
    <w:rsid w:val="00156E60"/>
    <w:rsid w:val="00162C39"/>
    <w:rsid w:val="00165430"/>
    <w:rsid w:val="001655F0"/>
    <w:rsid w:val="00166466"/>
    <w:rsid w:val="00167810"/>
    <w:rsid w:val="00174462"/>
    <w:rsid w:val="00175604"/>
    <w:rsid w:val="00176DA1"/>
    <w:rsid w:val="0018528E"/>
    <w:rsid w:val="00195870"/>
    <w:rsid w:val="001A0305"/>
    <w:rsid w:val="001A2540"/>
    <w:rsid w:val="001A393C"/>
    <w:rsid w:val="001A46CC"/>
    <w:rsid w:val="001A4E2B"/>
    <w:rsid w:val="001B1BCE"/>
    <w:rsid w:val="001B3B9F"/>
    <w:rsid w:val="001B3D4B"/>
    <w:rsid w:val="001B52A0"/>
    <w:rsid w:val="001B5B9C"/>
    <w:rsid w:val="001C08A5"/>
    <w:rsid w:val="001C206E"/>
    <w:rsid w:val="001C36FB"/>
    <w:rsid w:val="001C60BE"/>
    <w:rsid w:val="001D3E72"/>
    <w:rsid w:val="001D78DA"/>
    <w:rsid w:val="001E1F68"/>
    <w:rsid w:val="001E3505"/>
    <w:rsid w:val="001E390D"/>
    <w:rsid w:val="001E4A3A"/>
    <w:rsid w:val="001E6754"/>
    <w:rsid w:val="001F516A"/>
    <w:rsid w:val="0020111A"/>
    <w:rsid w:val="00202712"/>
    <w:rsid w:val="00203BC5"/>
    <w:rsid w:val="00204F70"/>
    <w:rsid w:val="002055BB"/>
    <w:rsid w:val="002071C1"/>
    <w:rsid w:val="00215F20"/>
    <w:rsid w:val="0021649B"/>
    <w:rsid w:val="002175DA"/>
    <w:rsid w:val="0022146E"/>
    <w:rsid w:val="002237C1"/>
    <w:rsid w:val="00231EFE"/>
    <w:rsid w:val="00240855"/>
    <w:rsid w:val="00250E90"/>
    <w:rsid w:val="00251AB5"/>
    <w:rsid w:val="00254863"/>
    <w:rsid w:val="00255FDA"/>
    <w:rsid w:val="00256F9B"/>
    <w:rsid w:val="002613C5"/>
    <w:rsid w:val="002645A8"/>
    <w:rsid w:val="0027178F"/>
    <w:rsid w:val="002821AB"/>
    <w:rsid w:val="00286BB5"/>
    <w:rsid w:val="002915BE"/>
    <w:rsid w:val="002A0EC6"/>
    <w:rsid w:val="002A2816"/>
    <w:rsid w:val="002A2C30"/>
    <w:rsid w:val="002A2F44"/>
    <w:rsid w:val="002A68D0"/>
    <w:rsid w:val="002B2FE3"/>
    <w:rsid w:val="002B3B30"/>
    <w:rsid w:val="002C029C"/>
    <w:rsid w:val="002C1B7D"/>
    <w:rsid w:val="002C4E89"/>
    <w:rsid w:val="002C5366"/>
    <w:rsid w:val="002C59AF"/>
    <w:rsid w:val="002D3782"/>
    <w:rsid w:val="002D4F01"/>
    <w:rsid w:val="002D7D57"/>
    <w:rsid w:val="002E44AE"/>
    <w:rsid w:val="002E5BE6"/>
    <w:rsid w:val="002F4D77"/>
    <w:rsid w:val="002F647A"/>
    <w:rsid w:val="002F7A7F"/>
    <w:rsid w:val="00303D8B"/>
    <w:rsid w:val="003043E8"/>
    <w:rsid w:val="00306F98"/>
    <w:rsid w:val="00307351"/>
    <w:rsid w:val="003133AF"/>
    <w:rsid w:val="0031667C"/>
    <w:rsid w:val="003177DA"/>
    <w:rsid w:val="00317A9D"/>
    <w:rsid w:val="00320BA9"/>
    <w:rsid w:val="003254EC"/>
    <w:rsid w:val="00330B05"/>
    <w:rsid w:val="00331EDB"/>
    <w:rsid w:val="003328C8"/>
    <w:rsid w:val="0033421C"/>
    <w:rsid w:val="00334415"/>
    <w:rsid w:val="00341F04"/>
    <w:rsid w:val="00343A0B"/>
    <w:rsid w:val="003470BE"/>
    <w:rsid w:val="00347AAD"/>
    <w:rsid w:val="00355EDC"/>
    <w:rsid w:val="00357EAB"/>
    <w:rsid w:val="00362EB0"/>
    <w:rsid w:val="00364407"/>
    <w:rsid w:val="00364D09"/>
    <w:rsid w:val="00365134"/>
    <w:rsid w:val="003723ED"/>
    <w:rsid w:val="0037351B"/>
    <w:rsid w:val="0037676B"/>
    <w:rsid w:val="00376B64"/>
    <w:rsid w:val="00377E03"/>
    <w:rsid w:val="00380AB3"/>
    <w:rsid w:val="003817B7"/>
    <w:rsid w:val="00384261"/>
    <w:rsid w:val="003851A3"/>
    <w:rsid w:val="0039263C"/>
    <w:rsid w:val="003931E3"/>
    <w:rsid w:val="00394FEA"/>
    <w:rsid w:val="00395033"/>
    <w:rsid w:val="0039588A"/>
    <w:rsid w:val="003963C0"/>
    <w:rsid w:val="003A02CF"/>
    <w:rsid w:val="003A0A23"/>
    <w:rsid w:val="003A237E"/>
    <w:rsid w:val="003A3238"/>
    <w:rsid w:val="003B30EC"/>
    <w:rsid w:val="003C2E89"/>
    <w:rsid w:val="003C527E"/>
    <w:rsid w:val="003D1A95"/>
    <w:rsid w:val="003D4B49"/>
    <w:rsid w:val="003D4DBF"/>
    <w:rsid w:val="003D746A"/>
    <w:rsid w:val="003E2D1A"/>
    <w:rsid w:val="003E3094"/>
    <w:rsid w:val="003E7A9F"/>
    <w:rsid w:val="003E7D65"/>
    <w:rsid w:val="003F17F3"/>
    <w:rsid w:val="003F1E36"/>
    <w:rsid w:val="003F2DB4"/>
    <w:rsid w:val="003F61D5"/>
    <w:rsid w:val="003F6B57"/>
    <w:rsid w:val="00403C72"/>
    <w:rsid w:val="00407F1F"/>
    <w:rsid w:val="004114DD"/>
    <w:rsid w:val="00412569"/>
    <w:rsid w:val="004202A5"/>
    <w:rsid w:val="0042033E"/>
    <w:rsid w:val="00422D03"/>
    <w:rsid w:val="00423B9B"/>
    <w:rsid w:val="00425948"/>
    <w:rsid w:val="00426A15"/>
    <w:rsid w:val="00426CC3"/>
    <w:rsid w:val="00431CA9"/>
    <w:rsid w:val="004335FA"/>
    <w:rsid w:val="00435AC1"/>
    <w:rsid w:val="00436432"/>
    <w:rsid w:val="00437FBA"/>
    <w:rsid w:val="00443C79"/>
    <w:rsid w:val="00444E93"/>
    <w:rsid w:val="004464AF"/>
    <w:rsid w:val="00447BBE"/>
    <w:rsid w:val="00452E33"/>
    <w:rsid w:val="00454747"/>
    <w:rsid w:val="004547AC"/>
    <w:rsid w:val="004574A5"/>
    <w:rsid w:val="00457DDF"/>
    <w:rsid w:val="0047422F"/>
    <w:rsid w:val="004756D7"/>
    <w:rsid w:val="00476A9E"/>
    <w:rsid w:val="004770BB"/>
    <w:rsid w:val="00477CDB"/>
    <w:rsid w:val="00481F48"/>
    <w:rsid w:val="004924E1"/>
    <w:rsid w:val="004A143E"/>
    <w:rsid w:val="004A29F4"/>
    <w:rsid w:val="004A47CB"/>
    <w:rsid w:val="004A6193"/>
    <w:rsid w:val="004B1FA0"/>
    <w:rsid w:val="004B3DF3"/>
    <w:rsid w:val="004B415C"/>
    <w:rsid w:val="004B59EE"/>
    <w:rsid w:val="004B69C8"/>
    <w:rsid w:val="004C1ACB"/>
    <w:rsid w:val="004C4B85"/>
    <w:rsid w:val="004C6D4B"/>
    <w:rsid w:val="004D0D28"/>
    <w:rsid w:val="004D1B9D"/>
    <w:rsid w:val="004D4F1F"/>
    <w:rsid w:val="004D6226"/>
    <w:rsid w:val="004D6A53"/>
    <w:rsid w:val="004E4A4F"/>
    <w:rsid w:val="004E652E"/>
    <w:rsid w:val="004E656D"/>
    <w:rsid w:val="004F1742"/>
    <w:rsid w:val="004F3E16"/>
    <w:rsid w:val="00500671"/>
    <w:rsid w:val="00500A9D"/>
    <w:rsid w:val="005035DB"/>
    <w:rsid w:val="005044BB"/>
    <w:rsid w:val="00504983"/>
    <w:rsid w:val="00507165"/>
    <w:rsid w:val="005110C2"/>
    <w:rsid w:val="005112DC"/>
    <w:rsid w:val="00522C97"/>
    <w:rsid w:val="00526144"/>
    <w:rsid w:val="005269A9"/>
    <w:rsid w:val="00531D0A"/>
    <w:rsid w:val="00533CF7"/>
    <w:rsid w:val="00534529"/>
    <w:rsid w:val="00535AE6"/>
    <w:rsid w:val="00536EBD"/>
    <w:rsid w:val="00546625"/>
    <w:rsid w:val="00551998"/>
    <w:rsid w:val="00552E04"/>
    <w:rsid w:val="00552E50"/>
    <w:rsid w:val="00561AF5"/>
    <w:rsid w:val="00562FC3"/>
    <w:rsid w:val="0057108C"/>
    <w:rsid w:val="00572C9A"/>
    <w:rsid w:val="00572FDB"/>
    <w:rsid w:val="00575D66"/>
    <w:rsid w:val="0058105A"/>
    <w:rsid w:val="00584383"/>
    <w:rsid w:val="005902EF"/>
    <w:rsid w:val="0059272F"/>
    <w:rsid w:val="005964B3"/>
    <w:rsid w:val="005A3347"/>
    <w:rsid w:val="005B052A"/>
    <w:rsid w:val="005B0DAD"/>
    <w:rsid w:val="005B3840"/>
    <w:rsid w:val="005B412B"/>
    <w:rsid w:val="005B4D58"/>
    <w:rsid w:val="005B7217"/>
    <w:rsid w:val="005C2220"/>
    <w:rsid w:val="005C3961"/>
    <w:rsid w:val="005C4181"/>
    <w:rsid w:val="005D3372"/>
    <w:rsid w:val="005D4466"/>
    <w:rsid w:val="005E0C1F"/>
    <w:rsid w:val="005E149B"/>
    <w:rsid w:val="005F3540"/>
    <w:rsid w:val="005F5989"/>
    <w:rsid w:val="006004BD"/>
    <w:rsid w:val="00606D61"/>
    <w:rsid w:val="0060758F"/>
    <w:rsid w:val="00610729"/>
    <w:rsid w:val="0061194F"/>
    <w:rsid w:val="00612003"/>
    <w:rsid w:val="0061261F"/>
    <w:rsid w:val="00613C1E"/>
    <w:rsid w:val="006153C9"/>
    <w:rsid w:val="006205BA"/>
    <w:rsid w:val="00620BA8"/>
    <w:rsid w:val="0062284A"/>
    <w:rsid w:val="00623928"/>
    <w:rsid w:val="00624660"/>
    <w:rsid w:val="0062665C"/>
    <w:rsid w:val="006268A6"/>
    <w:rsid w:val="0063081B"/>
    <w:rsid w:val="0063267C"/>
    <w:rsid w:val="00635A35"/>
    <w:rsid w:val="00640D1F"/>
    <w:rsid w:val="006447D3"/>
    <w:rsid w:val="006464A7"/>
    <w:rsid w:val="00646AC7"/>
    <w:rsid w:val="006470A7"/>
    <w:rsid w:val="0065044F"/>
    <w:rsid w:val="00653A72"/>
    <w:rsid w:val="00654F9D"/>
    <w:rsid w:val="00655EF7"/>
    <w:rsid w:val="00656CBD"/>
    <w:rsid w:val="00664FFC"/>
    <w:rsid w:val="00672CE1"/>
    <w:rsid w:val="006752D4"/>
    <w:rsid w:val="0067743A"/>
    <w:rsid w:val="00680A29"/>
    <w:rsid w:val="0068285A"/>
    <w:rsid w:val="006932B2"/>
    <w:rsid w:val="00694F3E"/>
    <w:rsid w:val="006A0B99"/>
    <w:rsid w:val="006A405D"/>
    <w:rsid w:val="006A5F3B"/>
    <w:rsid w:val="006B5D99"/>
    <w:rsid w:val="006B6C2E"/>
    <w:rsid w:val="006C2D86"/>
    <w:rsid w:val="006C79CF"/>
    <w:rsid w:val="006C7C17"/>
    <w:rsid w:val="006D0589"/>
    <w:rsid w:val="006E759C"/>
    <w:rsid w:val="006F37C6"/>
    <w:rsid w:val="006F3E15"/>
    <w:rsid w:val="006F49DF"/>
    <w:rsid w:val="00702C57"/>
    <w:rsid w:val="00705C7E"/>
    <w:rsid w:val="00706202"/>
    <w:rsid w:val="007112B4"/>
    <w:rsid w:val="00712124"/>
    <w:rsid w:val="0071212C"/>
    <w:rsid w:val="00714599"/>
    <w:rsid w:val="0071474C"/>
    <w:rsid w:val="00714BCF"/>
    <w:rsid w:val="0071672D"/>
    <w:rsid w:val="00717C46"/>
    <w:rsid w:val="00724C8A"/>
    <w:rsid w:val="00727795"/>
    <w:rsid w:val="00731D04"/>
    <w:rsid w:val="00732E67"/>
    <w:rsid w:val="007331A1"/>
    <w:rsid w:val="0073598A"/>
    <w:rsid w:val="00736AA3"/>
    <w:rsid w:val="00743C5D"/>
    <w:rsid w:val="007455D6"/>
    <w:rsid w:val="00752197"/>
    <w:rsid w:val="00753332"/>
    <w:rsid w:val="00754DAF"/>
    <w:rsid w:val="00755A1D"/>
    <w:rsid w:val="00760F37"/>
    <w:rsid w:val="00763104"/>
    <w:rsid w:val="00765D36"/>
    <w:rsid w:val="0076787A"/>
    <w:rsid w:val="00771368"/>
    <w:rsid w:val="007724FD"/>
    <w:rsid w:val="0077298E"/>
    <w:rsid w:val="007756F6"/>
    <w:rsid w:val="00777D3B"/>
    <w:rsid w:val="00781AF7"/>
    <w:rsid w:val="007838AA"/>
    <w:rsid w:val="00793045"/>
    <w:rsid w:val="00793350"/>
    <w:rsid w:val="0079614F"/>
    <w:rsid w:val="007A0ECE"/>
    <w:rsid w:val="007A100C"/>
    <w:rsid w:val="007A51C9"/>
    <w:rsid w:val="007B257A"/>
    <w:rsid w:val="007B3551"/>
    <w:rsid w:val="007C1C5E"/>
    <w:rsid w:val="007D0198"/>
    <w:rsid w:val="007D0CF9"/>
    <w:rsid w:val="007D1175"/>
    <w:rsid w:val="007D3FBB"/>
    <w:rsid w:val="007D579B"/>
    <w:rsid w:val="007D7377"/>
    <w:rsid w:val="007E5313"/>
    <w:rsid w:val="007E5CA4"/>
    <w:rsid w:val="007E61DD"/>
    <w:rsid w:val="008008DC"/>
    <w:rsid w:val="008012D7"/>
    <w:rsid w:val="00801788"/>
    <w:rsid w:val="00801F25"/>
    <w:rsid w:val="00805AF4"/>
    <w:rsid w:val="00810204"/>
    <w:rsid w:val="00810476"/>
    <w:rsid w:val="008109EB"/>
    <w:rsid w:val="00822A60"/>
    <w:rsid w:val="008353B9"/>
    <w:rsid w:val="008360CC"/>
    <w:rsid w:val="00843C3A"/>
    <w:rsid w:val="00843D02"/>
    <w:rsid w:val="00846FA2"/>
    <w:rsid w:val="00854541"/>
    <w:rsid w:val="00855AD9"/>
    <w:rsid w:val="00862C97"/>
    <w:rsid w:val="00870142"/>
    <w:rsid w:val="00870F03"/>
    <w:rsid w:val="00873DA3"/>
    <w:rsid w:val="0087447B"/>
    <w:rsid w:val="00876CED"/>
    <w:rsid w:val="0088525C"/>
    <w:rsid w:val="00886FCB"/>
    <w:rsid w:val="00887A26"/>
    <w:rsid w:val="00891046"/>
    <w:rsid w:val="0089279D"/>
    <w:rsid w:val="0089377D"/>
    <w:rsid w:val="00896EE4"/>
    <w:rsid w:val="008A41B9"/>
    <w:rsid w:val="008A49EB"/>
    <w:rsid w:val="008A66DA"/>
    <w:rsid w:val="008B0DB2"/>
    <w:rsid w:val="008B1157"/>
    <w:rsid w:val="008B1433"/>
    <w:rsid w:val="008C3BD0"/>
    <w:rsid w:val="008D13A1"/>
    <w:rsid w:val="008D38A1"/>
    <w:rsid w:val="008D6BD2"/>
    <w:rsid w:val="008E06F2"/>
    <w:rsid w:val="008E0C24"/>
    <w:rsid w:val="008E384F"/>
    <w:rsid w:val="008E3887"/>
    <w:rsid w:val="008E47B6"/>
    <w:rsid w:val="008F0DA9"/>
    <w:rsid w:val="008F6E38"/>
    <w:rsid w:val="00904A92"/>
    <w:rsid w:val="00905F64"/>
    <w:rsid w:val="00907F5B"/>
    <w:rsid w:val="00910AE4"/>
    <w:rsid w:val="00914C69"/>
    <w:rsid w:val="00914EB4"/>
    <w:rsid w:val="00922EC8"/>
    <w:rsid w:val="0092562F"/>
    <w:rsid w:val="0092627D"/>
    <w:rsid w:val="009301DA"/>
    <w:rsid w:val="00932F87"/>
    <w:rsid w:val="00935A98"/>
    <w:rsid w:val="00936D8D"/>
    <w:rsid w:val="00946AC2"/>
    <w:rsid w:val="00947E5C"/>
    <w:rsid w:val="009503BD"/>
    <w:rsid w:val="00960170"/>
    <w:rsid w:val="00961751"/>
    <w:rsid w:val="00963E07"/>
    <w:rsid w:val="0096530F"/>
    <w:rsid w:val="00965C38"/>
    <w:rsid w:val="009668C1"/>
    <w:rsid w:val="009778B4"/>
    <w:rsid w:val="00980EF1"/>
    <w:rsid w:val="00983992"/>
    <w:rsid w:val="00985635"/>
    <w:rsid w:val="0098690E"/>
    <w:rsid w:val="00990554"/>
    <w:rsid w:val="00993E2B"/>
    <w:rsid w:val="009A09F7"/>
    <w:rsid w:val="009A5C99"/>
    <w:rsid w:val="009A7530"/>
    <w:rsid w:val="009A758D"/>
    <w:rsid w:val="009B090A"/>
    <w:rsid w:val="009B114E"/>
    <w:rsid w:val="009B207A"/>
    <w:rsid w:val="009B6BA2"/>
    <w:rsid w:val="009C06EA"/>
    <w:rsid w:val="009C2046"/>
    <w:rsid w:val="009C4319"/>
    <w:rsid w:val="009C6D9F"/>
    <w:rsid w:val="009C7257"/>
    <w:rsid w:val="009C7EA9"/>
    <w:rsid w:val="009D0197"/>
    <w:rsid w:val="009D028B"/>
    <w:rsid w:val="009D0D41"/>
    <w:rsid w:val="009D3C11"/>
    <w:rsid w:val="009D5677"/>
    <w:rsid w:val="009D6644"/>
    <w:rsid w:val="009D76EB"/>
    <w:rsid w:val="009E0606"/>
    <w:rsid w:val="009E1E8A"/>
    <w:rsid w:val="009E260D"/>
    <w:rsid w:val="009E449C"/>
    <w:rsid w:val="009F4985"/>
    <w:rsid w:val="009F7A02"/>
    <w:rsid w:val="00A010A8"/>
    <w:rsid w:val="00A041D7"/>
    <w:rsid w:val="00A109A6"/>
    <w:rsid w:val="00A10D91"/>
    <w:rsid w:val="00A10EAE"/>
    <w:rsid w:val="00A11B44"/>
    <w:rsid w:val="00A14FE8"/>
    <w:rsid w:val="00A17992"/>
    <w:rsid w:val="00A2024A"/>
    <w:rsid w:val="00A22668"/>
    <w:rsid w:val="00A27797"/>
    <w:rsid w:val="00A277B4"/>
    <w:rsid w:val="00A31336"/>
    <w:rsid w:val="00A36766"/>
    <w:rsid w:val="00A41B71"/>
    <w:rsid w:val="00A43A01"/>
    <w:rsid w:val="00A45628"/>
    <w:rsid w:val="00A5075A"/>
    <w:rsid w:val="00A53080"/>
    <w:rsid w:val="00A66B52"/>
    <w:rsid w:val="00A66F8D"/>
    <w:rsid w:val="00A824B4"/>
    <w:rsid w:val="00A872FC"/>
    <w:rsid w:val="00A944F8"/>
    <w:rsid w:val="00AA1549"/>
    <w:rsid w:val="00AA4BB4"/>
    <w:rsid w:val="00AB0D93"/>
    <w:rsid w:val="00AB1060"/>
    <w:rsid w:val="00AB2143"/>
    <w:rsid w:val="00AB35FF"/>
    <w:rsid w:val="00AB362F"/>
    <w:rsid w:val="00AB4634"/>
    <w:rsid w:val="00AB54A3"/>
    <w:rsid w:val="00AB77CC"/>
    <w:rsid w:val="00AC3C44"/>
    <w:rsid w:val="00AC4632"/>
    <w:rsid w:val="00AC55F7"/>
    <w:rsid w:val="00AC7749"/>
    <w:rsid w:val="00AD0D2B"/>
    <w:rsid w:val="00AD1C95"/>
    <w:rsid w:val="00AD5424"/>
    <w:rsid w:val="00AD7BAF"/>
    <w:rsid w:val="00AE077E"/>
    <w:rsid w:val="00AE0CF6"/>
    <w:rsid w:val="00AE260E"/>
    <w:rsid w:val="00AE4E89"/>
    <w:rsid w:val="00AE6A99"/>
    <w:rsid w:val="00AE7CB5"/>
    <w:rsid w:val="00AF0EF3"/>
    <w:rsid w:val="00AF1093"/>
    <w:rsid w:val="00AF728F"/>
    <w:rsid w:val="00B008E3"/>
    <w:rsid w:val="00B03C18"/>
    <w:rsid w:val="00B050F0"/>
    <w:rsid w:val="00B06A29"/>
    <w:rsid w:val="00B1330C"/>
    <w:rsid w:val="00B13402"/>
    <w:rsid w:val="00B17035"/>
    <w:rsid w:val="00B219DF"/>
    <w:rsid w:val="00B22B2D"/>
    <w:rsid w:val="00B23C09"/>
    <w:rsid w:val="00B247CA"/>
    <w:rsid w:val="00B3251F"/>
    <w:rsid w:val="00B35356"/>
    <w:rsid w:val="00B40D10"/>
    <w:rsid w:val="00B436AE"/>
    <w:rsid w:val="00B45167"/>
    <w:rsid w:val="00B542F5"/>
    <w:rsid w:val="00B544E1"/>
    <w:rsid w:val="00B54854"/>
    <w:rsid w:val="00B56ED3"/>
    <w:rsid w:val="00B5730E"/>
    <w:rsid w:val="00B57B20"/>
    <w:rsid w:val="00B626D5"/>
    <w:rsid w:val="00B7062A"/>
    <w:rsid w:val="00B72ECD"/>
    <w:rsid w:val="00B7303E"/>
    <w:rsid w:val="00B761C4"/>
    <w:rsid w:val="00B773E3"/>
    <w:rsid w:val="00B8275A"/>
    <w:rsid w:val="00B87107"/>
    <w:rsid w:val="00B87572"/>
    <w:rsid w:val="00B9168B"/>
    <w:rsid w:val="00B93260"/>
    <w:rsid w:val="00B943D5"/>
    <w:rsid w:val="00B945C7"/>
    <w:rsid w:val="00B94C55"/>
    <w:rsid w:val="00B97CB2"/>
    <w:rsid w:val="00BA57DD"/>
    <w:rsid w:val="00BB0914"/>
    <w:rsid w:val="00BB2230"/>
    <w:rsid w:val="00BB79BE"/>
    <w:rsid w:val="00BC1672"/>
    <w:rsid w:val="00BC51D2"/>
    <w:rsid w:val="00BC576F"/>
    <w:rsid w:val="00BC6E12"/>
    <w:rsid w:val="00BC76D0"/>
    <w:rsid w:val="00BC7DB0"/>
    <w:rsid w:val="00BD049D"/>
    <w:rsid w:val="00BD291D"/>
    <w:rsid w:val="00BD6E0B"/>
    <w:rsid w:val="00BE00E1"/>
    <w:rsid w:val="00BE7D3E"/>
    <w:rsid w:val="00BF33DB"/>
    <w:rsid w:val="00BF7B6E"/>
    <w:rsid w:val="00C005C8"/>
    <w:rsid w:val="00C00D41"/>
    <w:rsid w:val="00C02B22"/>
    <w:rsid w:val="00C100D7"/>
    <w:rsid w:val="00C10BFD"/>
    <w:rsid w:val="00C13D1D"/>
    <w:rsid w:val="00C17BDE"/>
    <w:rsid w:val="00C20370"/>
    <w:rsid w:val="00C22EDF"/>
    <w:rsid w:val="00C25486"/>
    <w:rsid w:val="00C257D6"/>
    <w:rsid w:val="00C25DFC"/>
    <w:rsid w:val="00C31015"/>
    <w:rsid w:val="00C310C5"/>
    <w:rsid w:val="00C40D3B"/>
    <w:rsid w:val="00C5202B"/>
    <w:rsid w:val="00C53707"/>
    <w:rsid w:val="00C57F4E"/>
    <w:rsid w:val="00C67710"/>
    <w:rsid w:val="00C713B6"/>
    <w:rsid w:val="00C757EE"/>
    <w:rsid w:val="00C8061D"/>
    <w:rsid w:val="00C81BE4"/>
    <w:rsid w:val="00C83C91"/>
    <w:rsid w:val="00C84540"/>
    <w:rsid w:val="00C84DE2"/>
    <w:rsid w:val="00C901EB"/>
    <w:rsid w:val="00C9290F"/>
    <w:rsid w:val="00C951AF"/>
    <w:rsid w:val="00CA1242"/>
    <w:rsid w:val="00CA412B"/>
    <w:rsid w:val="00CA476E"/>
    <w:rsid w:val="00CA65E2"/>
    <w:rsid w:val="00CA7A9B"/>
    <w:rsid w:val="00CB38E2"/>
    <w:rsid w:val="00CC1831"/>
    <w:rsid w:val="00CC1FB9"/>
    <w:rsid w:val="00CC37B7"/>
    <w:rsid w:val="00CC48E8"/>
    <w:rsid w:val="00CC4E6F"/>
    <w:rsid w:val="00CC5D60"/>
    <w:rsid w:val="00CD1C5C"/>
    <w:rsid w:val="00CD1E9B"/>
    <w:rsid w:val="00CE2145"/>
    <w:rsid w:val="00CE63F9"/>
    <w:rsid w:val="00CF20DA"/>
    <w:rsid w:val="00CF217D"/>
    <w:rsid w:val="00CF30F1"/>
    <w:rsid w:val="00CF451D"/>
    <w:rsid w:val="00CF5D61"/>
    <w:rsid w:val="00D01C1C"/>
    <w:rsid w:val="00D041FA"/>
    <w:rsid w:val="00D060CF"/>
    <w:rsid w:val="00D105F2"/>
    <w:rsid w:val="00D17C76"/>
    <w:rsid w:val="00D20C3F"/>
    <w:rsid w:val="00D23402"/>
    <w:rsid w:val="00D23790"/>
    <w:rsid w:val="00D24F8B"/>
    <w:rsid w:val="00D3147D"/>
    <w:rsid w:val="00D427A4"/>
    <w:rsid w:val="00D43FC6"/>
    <w:rsid w:val="00D45FB4"/>
    <w:rsid w:val="00D46399"/>
    <w:rsid w:val="00D4730D"/>
    <w:rsid w:val="00D50AA3"/>
    <w:rsid w:val="00D51544"/>
    <w:rsid w:val="00D5158C"/>
    <w:rsid w:val="00D558E8"/>
    <w:rsid w:val="00D56F91"/>
    <w:rsid w:val="00D604F7"/>
    <w:rsid w:val="00D63970"/>
    <w:rsid w:val="00D6478B"/>
    <w:rsid w:val="00D660E7"/>
    <w:rsid w:val="00D70BDF"/>
    <w:rsid w:val="00D75B15"/>
    <w:rsid w:val="00D76EB2"/>
    <w:rsid w:val="00D80109"/>
    <w:rsid w:val="00D8127D"/>
    <w:rsid w:val="00D81A2C"/>
    <w:rsid w:val="00D83120"/>
    <w:rsid w:val="00D858EC"/>
    <w:rsid w:val="00D90CB2"/>
    <w:rsid w:val="00D91354"/>
    <w:rsid w:val="00D9209E"/>
    <w:rsid w:val="00DA095F"/>
    <w:rsid w:val="00DA5A06"/>
    <w:rsid w:val="00DB5F42"/>
    <w:rsid w:val="00DD385A"/>
    <w:rsid w:val="00DD7546"/>
    <w:rsid w:val="00DE0DFF"/>
    <w:rsid w:val="00DE126F"/>
    <w:rsid w:val="00DE1C08"/>
    <w:rsid w:val="00DE73ED"/>
    <w:rsid w:val="00DF0394"/>
    <w:rsid w:val="00DF0C8B"/>
    <w:rsid w:val="00DF0D1C"/>
    <w:rsid w:val="00DF23CD"/>
    <w:rsid w:val="00DF389B"/>
    <w:rsid w:val="00DF63A4"/>
    <w:rsid w:val="00DF6C67"/>
    <w:rsid w:val="00DF6D8C"/>
    <w:rsid w:val="00E01F62"/>
    <w:rsid w:val="00E04678"/>
    <w:rsid w:val="00E05C9B"/>
    <w:rsid w:val="00E06099"/>
    <w:rsid w:val="00E13F43"/>
    <w:rsid w:val="00E16827"/>
    <w:rsid w:val="00E17BE5"/>
    <w:rsid w:val="00E3068E"/>
    <w:rsid w:val="00E40281"/>
    <w:rsid w:val="00E4133E"/>
    <w:rsid w:val="00E41939"/>
    <w:rsid w:val="00E41ABE"/>
    <w:rsid w:val="00E44B90"/>
    <w:rsid w:val="00E45947"/>
    <w:rsid w:val="00E46524"/>
    <w:rsid w:val="00E465E6"/>
    <w:rsid w:val="00E51971"/>
    <w:rsid w:val="00E57C49"/>
    <w:rsid w:val="00E6068A"/>
    <w:rsid w:val="00E60D6D"/>
    <w:rsid w:val="00E63514"/>
    <w:rsid w:val="00E65485"/>
    <w:rsid w:val="00E67015"/>
    <w:rsid w:val="00E76197"/>
    <w:rsid w:val="00E76E64"/>
    <w:rsid w:val="00E77A66"/>
    <w:rsid w:val="00E810F2"/>
    <w:rsid w:val="00E83A92"/>
    <w:rsid w:val="00E84B94"/>
    <w:rsid w:val="00E851B5"/>
    <w:rsid w:val="00E87818"/>
    <w:rsid w:val="00E942E6"/>
    <w:rsid w:val="00E94ACC"/>
    <w:rsid w:val="00E96814"/>
    <w:rsid w:val="00E97C0C"/>
    <w:rsid w:val="00EA5290"/>
    <w:rsid w:val="00EB0B23"/>
    <w:rsid w:val="00EB62D8"/>
    <w:rsid w:val="00EB7E4C"/>
    <w:rsid w:val="00EC0511"/>
    <w:rsid w:val="00EC177B"/>
    <w:rsid w:val="00EC1AA3"/>
    <w:rsid w:val="00EC3994"/>
    <w:rsid w:val="00EC4F6D"/>
    <w:rsid w:val="00EC7F77"/>
    <w:rsid w:val="00ED3EDC"/>
    <w:rsid w:val="00ED53A8"/>
    <w:rsid w:val="00ED5F65"/>
    <w:rsid w:val="00EE0AA3"/>
    <w:rsid w:val="00EE22D8"/>
    <w:rsid w:val="00EE2E8B"/>
    <w:rsid w:val="00EE68BD"/>
    <w:rsid w:val="00EF5683"/>
    <w:rsid w:val="00EF706E"/>
    <w:rsid w:val="00F03A55"/>
    <w:rsid w:val="00F05B08"/>
    <w:rsid w:val="00F06A08"/>
    <w:rsid w:val="00F07F0C"/>
    <w:rsid w:val="00F10016"/>
    <w:rsid w:val="00F1539E"/>
    <w:rsid w:val="00F1632C"/>
    <w:rsid w:val="00F205B8"/>
    <w:rsid w:val="00F21848"/>
    <w:rsid w:val="00F223DA"/>
    <w:rsid w:val="00F262BD"/>
    <w:rsid w:val="00F46977"/>
    <w:rsid w:val="00F50BB4"/>
    <w:rsid w:val="00F5525B"/>
    <w:rsid w:val="00F5697B"/>
    <w:rsid w:val="00F61FC2"/>
    <w:rsid w:val="00F64571"/>
    <w:rsid w:val="00F71295"/>
    <w:rsid w:val="00F7418A"/>
    <w:rsid w:val="00F8356D"/>
    <w:rsid w:val="00F8520F"/>
    <w:rsid w:val="00F85A9E"/>
    <w:rsid w:val="00FA09F7"/>
    <w:rsid w:val="00FA3EB5"/>
    <w:rsid w:val="00FA5E36"/>
    <w:rsid w:val="00FB4887"/>
    <w:rsid w:val="00FB58B1"/>
    <w:rsid w:val="00FB6E39"/>
    <w:rsid w:val="00FC0888"/>
    <w:rsid w:val="00FC1881"/>
    <w:rsid w:val="00FC1C24"/>
    <w:rsid w:val="00FC1F97"/>
    <w:rsid w:val="00FC6826"/>
    <w:rsid w:val="00FD1057"/>
    <w:rsid w:val="00FD1087"/>
    <w:rsid w:val="00FD2CAC"/>
    <w:rsid w:val="00FD44FA"/>
    <w:rsid w:val="00FD4EED"/>
    <w:rsid w:val="00FD5236"/>
    <w:rsid w:val="00FD795D"/>
    <w:rsid w:val="00FE42EB"/>
    <w:rsid w:val="00FF1B71"/>
    <w:rsid w:val="00FF2F7A"/>
    <w:rsid w:val="00FF3CB0"/>
    <w:rsid w:val="00FF4362"/>
    <w:rsid w:val="00FF6C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qFormat="1"/>
    <w:lsdException w:name="List Number"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2EB"/>
    <w:pPr>
      <w:tabs>
        <w:tab w:val="left" w:pos="-1440"/>
        <w:tab w:val="left" w:pos="-720"/>
      </w:tabs>
      <w:spacing w:after="240" w:line="264" w:lineRule="auto"/>
      <w:ind w:left="360"/>
    </w:pPr>
    <w:rPr>
      <w:rFonts w:asciiTheme="minorHAnsi" w:hAnsiTheme="minorHAnsi"/>
      <w:sz w:val="22"/>
    </w:rPr>
  </w:style>
  <w:style w:type="paragraph" w:styleId="Heading1">
    <w:name w:val="heading 1"/>
    <w:aliases w:val="1,1st order hd,Headline"/>
    <w:next w:val="t"/>
    <w:qFormat/>
    <w:rsid w:val="00B94C55"/>
    <w:pPr>
      <w:keepNext/>
      <w:numPr>
        <w:numId w:val="4"/>
      </w:numPr>
      <w:tabs>
        <w:tab w:val="clear" w:pos="1440"/>
        <w:tab w:val="right" w:pos="9360"/>
      </w:tabs>
      <w:spacing w:after="480"/>
      <w:ind w:left="720" w:hanging="720"/>
      <w:jc w:val="center"/>
      <w:outlineLvl w:val="0"/>
    </w:pPr>
    <w:rPr>
      <w:rFonts w:ascii="Calibri" w:hAnsi="Calibri"/>
      <w:smallCaps/>
      <w:color w:val="1F497D" w:themeColor="text2"/>
      <w:kern w:val="28"/>
      <w:sz w:val="44"/>
    </w:rPr>
  </w:style>
  <w:style w:type="paragraph" w:styleId="Heading2">
    <w:name w:val="heading 2"/>
    <w:aliases w:val="2,ProjectHeading,2nd order hd,resume"/>
    <w:next w:val="t"/>
    <w:link w:val="Heading2Char"/>
    <w:qFormat/>
    <w:rsid w:val="00EB0B23"/>
    <w:pPr>
      <w:keepNext/>
      <w:numPr>
        <w:ilvl w:val="1"/>
        <w:numId w:val="4"/>
      </w:numPr>
      <w:tabs>
        <w:tab w:val="clear" w:pos="720"/>
      </w:tabs>
      <w:spacing w:after="120"/>
      <w:ind w:left="720" w:hanging="720"/>
      <w:outlineLvl w:val="1"/>
    </w:pPr>
    <w:rPr>
      <w:rFonts w:ascii="Calibri" w:hAnsi="Calibri"/>
      <w:smallCaps/>
      <w:color w:val="1F497D" w:themeColor="text2"/>
      <w:sz w:val="36"/>
    </w:rPr>
  </w:style>
  <w:style w:type="paragraph" w:styleId="Heading3">
    <w:name w:val="heading 3"/>
    <w:aliases w:val="3,3rd order hd"/>
    <w:next w:val="t"/>
    <w:link w:val="Heading3Char"/>
    <w:qFormat/>
    <w:rsid w:val="00531D0A"/>
    <w:pPr>
      <w:keepNext/>
      <w:numPr>
        <w:ilvl w:val="2"/>
        <w:numId w:val="4"/>
      </w:numPr>
      <w:spacing w:after="120"/>
      <w:outlineLvl w:val="2"/>
    </w:pPr>
    <w:rPr>
      <w:rFonts w:ascii="Calibri" w:hAnsi="Calibri"/>
      <w:color w:val="1F497D"/>
      <w:sz w:val="28"/>
    </w:rPr>
  </w:style>
  <w:style w:type="paragraph" w:styleId="Heading4">
    <w:name w:val="heading 4"/>
    <w:aliases w:val="4,4th order head,heading 4,num.                                               4, resume"/>
    <w:next w:val="t"/>
    <w:link w:val="Heading4Char"/>
    <w:qFormat/>
    <w:rsid w:val="00EB0B23"/>
    <w:pPr>
      <w:keepNext/>
      <w:numPr>
        <w:ilvl w:val="3"/>
        <w:numId w:val="4"/>
      </w:numPr>
      <w:tabs>
        <w:tab w:val="clear" w:pos="1080"/>
      </w:tabs>
      <w:spacing w:after="120"/>
      <w:ind w:left="900" w:hanging="900"/>
      <w:outlineLvl w:val="3"/>
    </w:pPr>
    <w:rPr>
      <w:rFonts w:ascii="Calibri" w:hAnsi="Calibri"/>
      <w:color w:val="1F497D" w:themeColor="text2"/>
      <w:sz w:val="24"/>
      <w:szCs w:val="22"/>
    </w:rPr>
  </w:style>
  <w:style w:type="paragraph" w:styleId="Heading5">
    <w:name w:val="heading 5"/>
    <w:aliases w:val="5"/>
    <w:next w:val="t"/>
    <w:link w:val="Heading5Char"/>
    <w:qFormat/>
    <w:rsid w:val="00EB0B23"/>
    <w:pPr>
      <w:keepNext/>
      <w:spacing w:after="120"/>
      <w:outlineLvl w:val="4"/>
    </w:pPr>
    <w:rPr>
      <w:rFonts w:ascii="Calibri" w:hAnsi="Calibri"/>
      <w:i/>
      <w:color w:val="1F497D" w:themeColor="text2"/>
      <w:sz w:val="24"/>
    </w:rPr>
  </w:style>
  <w:style w:type="paragraph" w:styleId="Heading6">
    <w:name w:val="heading 6"/>
    <w:next w:val="Normal"/>
    <w:link w:val="Heading6Char"/>
    <w:unhideWhenUsed/>
    <w:qFormat/>
    <w:rsid w:val="00FE42EB"/>
    <w:pPr>
      <w:keepNext/>
      <w:spacing w:after="120" w:line="264" w:lineRule="auto"/>
      <w:ind w:left="360"/>
      <w:outlineLvl w:val="5"/>
    </w:pPr>
    <w:rPr>
      <w:rFonts w:ascii="Calibri" w:hAnsi="Calibri"/>
      <w:b/>
      <w:bCs/>
      <w:sz w:val="22"/>
      <w:szCs w:val="22"/>
    </w:rPr>
  </w:style>
  <w:style w:type="paragraph" w:styleId="Heading7">
    <w:name w:val="heading 7"/>
    <w:aliases w:val="Appendix Updated"/>
    <w:next w:val="t"/>
    <w:link w:val="Heading7Char"/>
    <w:uiPriority w:val="9"/>
    <w:unhideWhenUsed/>
    <w:qFormat/>
    <w:rsid w:val="00B94C55"/>
    <w:pPr>
      <w:keepNext/>
      <w:numPr>
        <w:numId w:val="5"/>
      </w:numPr>
      <w:spacing w:after="480"/>
      <w:ind w:left="720" w:hanging="720"/>
      <w:outlineLvl w:val="6"/>
    </w:pPr>
    <w:rPr>
      <w:rFonts w:ascii="Calibri" w:hAnsi="Calibri"/>
      <w:bCs/>
      <w:caps/>
      <w:color w:val="1F497D" w:themeColor="text2"/>
      <w:kern w:val="28"/>
      <w:sz w:val="40"/>
      <w:szCs w:val="32"/>
    </w:rPr>
  </w:style>
  <w:style w:type="paragraph" w:styleId="Heading8">
    <w:name w:val="heading 8"/>
    <w:next w:val="t"/>
    <w:link w:val="Heading8Char"/>
    <w:uiPriority w:val="9"/>
    <w:unhideWhenUsed/>
    <w:qFormat/>
    <w:rsid w:val="00FE42EB"/>
    <w:pPr>
      <w:numPr>
        <w:ilvl w:val="1"/>
        <w:numId w:val="5"/>
      </w:numPr>
      <w:spacing w:before="240" w:after="60"/>
      <w:outlineLvl w:val="7"/>
    </w:pPr>
    <w:rPr>
      <w:rFonts w:ascii="Calibri" w:hAnsi="Calibri"/>
      <w:b/>
      <w:iCs/>
      <w:sz w:val="24"/>
      <w:szCs w:val="24"/>
    </w:rPr>
  </w:style>
  <w:style w:type="paragraph" w:styleId="Heading9">
    <w:name w:val="heading 9"/>
    <w:basedOn w:val="Normal"/>
    <w:next w:val="BodyText"/>
    <w:link w:val="Heading9Char"/>
    <w:uiPriority w:val="99"/>
    <w:qFormat/>
    <w:rsid w:val="00DF0C8B"/>
    <w:pPr>
      <w:keepNext/>
      <w:numPr>
        <w:numId w:val="11"/>
      </w:numPr>
      <w:tabs>
        <w:tab w:val="clear" w:pos="-1440"/>
        <w:tab w:val="clear" w:pos="-720"/>
        <w:tab w:val="clear" w:pos="360"/>
      </w:tabs>
      <w:spacing w:after="0" w:line="240" w:lineRule="auto"/>
      <w:outlineLvl w:val="8"/>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rsid w:val="00891046"/>
    <w:pPr>
      <w:tabs>
        <w:tab w:val="clear" w:pos="-1440"/>
        <w:tab w:val="clear" w:pos="-720"/>
        <w:tab w:val="center" w:pos="4680"/>
        <w:tab w:val="right" w:pos="9360"/>
      </w:tabs>
    </w:pPr>
    <w:rPr>
      <w:rFonts w:ascii="Calibri" w:hAnsi="Calibri"/>
      <w:sz w:val="18"/>
    </w:rPr>
  </w:style>
  <w:style w:type="paragraph" w:styleId="Header">
    <w:name w:val="header"/>
    <w:basedOn w:val="Normal"/>
    <w:next w:val="Normal"/>
    <w:link w:val="HeaderChar"/>
    <w:rsid w:val="00062BEC"/>
    <w:pPr>
      <w:pBdr>
        <w:bottom w:val="single" w:sz="6" w:space="0" w:color="auto"/>
        <w:between w:val="single" w:sz="6" w:space="0" w:color="auto"/>
      </w:pBdr>
      <w:tabs>
        <w:tab w:val="clear" w:pos="-1440"/>
        <w:tab w:val="clear" w:pos="-720"/>
        <w:tab w:val="right" w:pos="9360"/>
      </w:tabs>
      <w:spacing w:before="240" w:after="720"/>
      <w:ind w:left="2880" w:hanging="2880"/>
      <w:jc w:val="right"/>
    </w:pPr>
    <w:rPr>
      <w:rFonts w:ascii="Arial Narrow" w:hAnsi="Arial Narrow"/>
      <w:color w:val="A6A6A6"/>
      <w:sz w:val="18"/>
    </w:rPr>
  </w:style>
  <w:style w:type="character" w:styleId="FootnoteReference">
    <w:name w:val="footnote reference"/>
    <w:basedOn w:val="DefaultParagraphFont"/>
    <w:uiPriority w:val="99"/>
    <w:qFormat/>
    <w:rsid w:val="00E97C0C"/>
    <w:rPr>
      <w:position w:val="6"/>
      <w:sz w:val="16"/>
    </w:rPr>
  </w:style>
  <w:style w:type="paragraph" w:styleId="FootnoteText">
    <w:name w:val="footnote text"/>
    <w:aliases w:val="Footnote Text1 Char,Footnote Text Char Ch,Footnote Text Char Ch Char Char Char,Footnote Text Char Ch Char Char,Footnote Text1 Char Char Char,ft Char,ft,Char2 Char,TBG Style,ALTS FOOTNOTE,Footnote Text 2,fn,Footnote text,FOOTNOTE"/>
    <w:basedOn w:val="Normal"/>
    <w:link w:val="FootnoteTextChar"/>
    <w:uiPriority w:val="99"/>
    <w:qFormat/>
    <w:rsid w:val="00947E5C"/>
    <w:pPr>
      <w:tabs>
        <w:tab w:val="clear" w:pos="-1440"/>
        <w:tab w:val="clear" w:pos="-720"/>
      </w:tabs>
      <w:spacing w:after="0"/>
    </w:pPr>
    <w:rPr>
      <w:rFonts w:ascii="Calibri" w:hAnsi="Calibri"/>
      <w:sz w:val="18"/>
    </w:rPr>
  </w:style>
  <w:style w:type="paragraph" w:customStyle="1" w:styleId="t">
    <w:name w:val="t"/>
    <w:aliases w:val="text,text + +Body,Line spacing:  Multiple 1.15 li + +Body,1... + Subscript,text + 11 pt,Before:  6 pt,After:  6 pt,Line spacing:  single"/>
    <w:link w:val="tChar"/>
    <w:qFormat/>
    <w:rsid w:val="00EB0B23"/>
    <w:pPr>
      <w:numPr>
        <w:numId w:val="8"/>
      </w:numPr>
      <w:spacing w:after="240" w:line="264" w:lineRule="auto"/>
      <w:ind w:left="0"/>
    </w:pPr>
    <w:rPr>
      <w:rFonts w:ascii="Calibri" w:hAnsi="Calibri" w:cs="Arial"/>
      <w:sz w:val="22"/>
      <w:szCs w:val="22"/>
    </w:rPr>
  </w:style>
  <w:style w:type="paragraph" w:customStyle="1" w:styleId="in">
    <w:name w:val="in"/>
    <w:aliases w:val="intobullet,into bullet"/>
    <w:basedOn w:val="t"/>
    <w:next w:val="b"/>
    <w:link w:val="inChar"/>
    <w:uiPriority w:val="99"/>
    <w:qFormat/>
    <w:rsid w:val="00B773E3"/>
    <w:pPr>
      <w:spacing w:after="120"/>
    </w:pPr>
    <w:rPr>
      <w:rFonts w:cs="Times New Roman"/>
      <w:szCs w:val="20"/>
    </w:rPr>
  </w:style>
  <w:style w:type="paragraph" w:customStyle="1" w:styleId="b">
    <w:name w:val="b"/>
    <w:aliases w:val="bullet,Body,Bullet,bullets,body,bd,b-heading 1/heading 2,heading1body-heading2body,b2,he... + Black,b1,Bullet 1"/>
    <w:link w:val="Bullet1Char"/>
    <w:uiPriority w:val="99"/>
    <w:qFormat/>
    <w:rsid w:val="00947E5C"/>
    <w:pPr>
      <w:numPr>
        <w:numId w:val="6"/>
      </w:numPr>
      <w:spacing w:after="120"/>
    </w:pPr>
    <w:rPr>
      <w:rFonts w:ascii="Calibri" w:hAnsi="Calibri" w:cs="Arial"/>
      <w:sz w:val="22"/>
      <w:szCs w:val="22"/>
    </w:rPr>
  </w:style>
  <w:style w:type="paragraph" w:customStyle="1" w:styleId="ob">
    <w:name w:val="ob"/>
    <w:aliases w:val="out of bullet,o,ob₩"/>
    <w:basedOn w:val="b"/>
    <w:next w:val="t"/>
    <w:link w:val="obChar"/>
    <w:qFormat/>
    <w:rsid w:val="00BB79BE"/>
    <w:pPr>
      <w:spacing w:after="240"/>
    </w:pPr>
    <w:rPr>
      <w:rFonts w:cs="Times New Roman"/>
      <w:szCs w:val="20"/>
    </w:rPr>
  </w:style>
  <w:style w:type="paragraph" w:customStyle="1" w:styleId="Projectname">
    <w:name w:val="Project name"/>
    <w:basedOn w:val="t"/>
    <w:rsid w:val="00AB2143"/>
    <w:pPr>
      <w:keepNext/>
      <w:spacing w:after="120"/>
    </w:pPr>
    <w:rPr>
      <w:b/>
      <w:i/>
      <w:caps/>
    </w:rPr>
  </w:style>
  <w:style w:type="paragraph" w:customStyle="1" w:styleId="TableHead">
    <w:name w:val="TableHead"/>
    <w:qFormat/>
    <w:rsid w:val="00BD049D"/>
    <w:pPr>
      <w:keepNext/>
      <w:tabs>
        <w:tab w:val="left" w:pos="-1440"/>
        <w:tab w:val="left" w:pos="-720"/>
      </w:tabs>
      <w:spacing w:before="60" w:after="60" w:line="240" w:lineRule="atLeast"/>
      <w:jc w:val="center"/>
    </w:pPr>
    <w:rPr>
      <w:rFonts w:ascii="Calibri" w:hAnsi="Calibri"/>
      <w:bCs/>
      <w:noProof/>
      <w:color w:val="FFFFFF"/>
      <w:sz w:val="22"/>
    </w:rPr>
  </w:style>
  <w:style w:type="paragraph" w:customStyle="1" w:styleId="StyleStyleRightRightBold">
    <w:name w:val="Style Style Right Right + Bold"/>
    <w:basedOn w:val="StyleRightRight"/>
    <w:rsid w:val="00D427A4"/>
    <w:rPr>
      <w:b/>
      <w:bCs/>
    </w:rPr>
  </w:style>
  <w:style w:type="character" w:styleId="PageNumber">
    <w:name w:val="page number"/>
    <w:basedOn w:val="DefaultParagraphFont"/>
    <w:rsid w:val="003A237E"/>
    <w:rPr>
      <w:rFonts w:ascii="Arial Narrow" w:hAnsi="Arial Narrow"/>
      <w:b/>
      <w:color w:val="1F497D"/>
      <w:sz w:val="20"/>
    </w:rPr>
  </w:style>
  <w:style w:type="paragraph" w:customStyle="1" w:styleId="Indent">
    <w:name w:val="Indent"/>
    <w:basedOn w:val="Normal"/>
    <w:qFormat/>
    <w:rsid w:val="00FE42EB"/>
    <w:pPr>
      <w:numPr>
        <w:ilvl w:val="1"/>
        <w:numId w:val="7"/>
      </w:numPr>
      <w:spacing w:after="120"/>
    </w:pPr>
  </w:style>
  <w:style w:type="paragraph" w:styleId="TOC1">
    <w:name w:val="toc 1"/>
    <w:basedOn w:val="Normal"/>
    <w:next w:val="Normal"/>
    <w:autoRedefine/>
    <w:uiPriority w:val="39"/>
    <w:rsid w:val="002D3782"/>
    <w:pPr>
      <w:tabs>
        <w:tab w:val="clear" w:pos="-1440"/>
        <w:tab w:val="clear" w:pos="-720"/>
        <w:tab w:val="left" w:pos="900"/>
        <w:tab w:val="left" w:pos="1980"/>
        <w:tab w:val="right" w:leader="dot" w:pos="9350"/>
      </w:tabs>
      <w:spacing w:before="120" w:after="120"/>
    </w:pPr>
    <w:rPr>
      <w:rFonts w:ascii="Calibri" w:hAnsi="Calibri"/>
      <w:bCs/>
      <w:caps/>
      <w:noProof/>
      <w:color w:val="1F497D" w:themeColor="text2"/>
      <w:sz w:val="24"/>
      <w:szCs w:val="22"/>
    </w:rPr>
  </w:style>
  <w:style w:type="paragraph" w:styleId="TOC2">
    <w:name w:val="toc 2"/>
    <w:next w:val="Normal"/>
    <w:autoRedefine/>
    <w:uiPriority w:val="39"/>
    <w:rsid w:val="002D3782"/>
    <w:pPr>
      <w:tabs>
        <w:tab w:val="left" w:pos="1260"/>
        <w:tab w:val="right" w:leader="dot" w:pos="9350"/>
      </w:tabs>
      <w:ind w:left="1260" w:hanging="540"/>
    </w:pPr>
    <w:rPr>
      <w:rFonts w:ascii="Calibri" w:hAnsi="Calibri"/>
      <w:smallCaps/>
      <w:color w:val="1F497D" w:themeColor="text2"/>
      <w:sz w:val="22"/>
    </w:rPr>
  </w:style>
  <w:style w:type="paragraph" w:styleId="TOC3">
    <w:name w:val="toc 3"/>
    <w:basedOn w:val="Normal"/>
    <w:next w:val="Normal"/>
    <w:autoRedefine/>
    <w:uiPriority w:val="39"/>
    <w:rsid w:val="00C257D6"/>
    <w:pPr>
      <w:tabs>
        <w:tab w:val="clear" w:pos="-1440"/>
        <w:tab w:val="clear" w:pos="-720"/>
        <w:tab w:val="left" w:pos="1980"/>
        <w:tab w:val="right" w:leader="dot" w:pos="9350"/>
      </w:tabs>
      <w:spacing w:before="120" w:after="0"/>
      <w:ind w:left="864" w:firstLine="403"/>
    </w:pPr>
    <w:rPr>
      <w:rFonts w:ascii="Calibri" w:hAnsi="Calibri"/>
      <w:i/>
      <w:iCs/>
      <w:noProof/>
      <w:color w:val="1F497D" w:themeColor="text2"/>
      <w:sz w:val="20"/>
    </w:rPr>
  </w:style>
  <w:style w:type="paragraph" w:styleId="TOC4">
    <w:name w:val="toc 4"/>
    <w:basedOn w:val="Normal"/>
    <w:next w:val="Normal"/>
    <w:autoRedefine/>
    <w:uiPriority w:val="39"/>
    <w:rsid w:val="00DF23CD"/>
    <w:pPr>
      <w:tabs>
        <w:tab w:val="clear" w:pos="-1440"/>
        <w:tab w:val="clear" w:pos="-720"/>
        <w:tab w:val="left" w:pos="2700"/>
        <w:tab w:val="right" w:leader="dot" w:pos="9350"/>
      </w:tabs>
      <w:spacing w:after="0"/>
      <w:ind w:left="2707" w:hanging="907"/>
    </w:pPr>
    <w:rPr>
      <w:rFonts w:ascii="Calibri" w:hAnsi="Calibri"/>
      <w:noProof/>
      <w:color w:val="1F497D" w:themeColor="text2"/>
      <w:sz w:val="18"/>
      <w:szCs w:val="18"/>
    </w:rPr>
  </w:style>
  <w:style w:type="paragraph" w:styleId="TOC5">
    <w:name w:val="toc 5"/>
    <w:basedOn w:val="Normal"/>
    <w:next w:val="Normal"/>
    <w:autoRedefine/>
    <w:uiPriority w:val="39"/>
    <w:rsid w:val="00E97C0C"/>
    <w:pPr>
      <w:tabs>
        <w:tab w:val="clear" w:pos="-1440"/>
        <w:tab w:val="clear" w:pos="-720"/>
      </w:tabs>
      <w:ind w:left="960"/>
    </w:pPr>
    <w:rPr>
      <w:rFonts w:ascii="Calibri" w:hAnsi="Calibri"/>
      <w:sz w:val="18"/>
      <w:szCs w:val="18"/>
    </w:rPr>
  </w:style>
  <w:style w:type="paragraph" w:styleId="TOC6">
    <w:name w:val="toc 6"/>
    <w:basedOn w:val="Normal"/>
    <w:next w:val="Normal"/>
    <w:autoRedefine/>
    <w:uiPriority w:val="39"/>
    <w:rsid w:val="00E97C0C"/>
    <w:pPr>
      <w:tabs>
        <w:tab w:val="clear" w:pos="-1440"/>
        <w:tab w:val="clear" w:pos="-720"/>
      </w:tabs>
      <w:ind w:left="1200"/>
    </w:pPr>
    <w:rPr>
      <w:rFonts w:ascii="Calibri" w:hAnsi="Calibri"/>
      <w:sz w:val="18"/>
      <w:szCs w:val="18"/>
    </w:rPr>
  </w:style>
  <w:style w:type="paragraph" w:styleId="TOC7">
    <w:name w:val="toc 7"/>
    <w:basedOn w:val="Normal"/>
    <w:next w:val="Normal"/>
    <w:autoRedefine/>
    <w:uiPriority w:val="39"/>
    <w:rsid w:val="00D76EB2"/>
    <w:pPr>
      <w:tabs>
        <w:tab w:val="clear" w:pos="-1440"/>
        <w:tab w:val="clear" w:pos="-720"/>
      </w:tabs>
    </w:pPr>
    <w:rPr>
      <w:rFonts w:ascii="Calibri" w:hAnsi="Calibri"/>
      <w:caps/>
      <w:color w:val="1F497D" w:themeColor="text2"/>
      <w:sz w:val="24"/>
      <w:szCs w:val="18"/>
    </w:rPr>
  </w:style>
  <w:style w:type="paragraph" w:styleId="TOC8">
    <w:name w:val="toc 8"/>
    <w:basedOn w:val="TOC1"/>
    <w:next w:val="Normal"/>
    <w:autoRedefine/>
    <w:uiPriority w:val="39"/>
    <w:rsid w:val="004574A5"/>
    <w:pPr>
      <w:tabs>
        <w:tab w:val="left" w:pos="1440"/>
      </w:tabs>
      <w:spacing w:before="0" w:after="0"/>
    </w:pPr>
  </w:style>
  <w:style w:type="paragraph" w:styleId="TOC9">
    <w:name w:val="toc 9"/>
    <w:basedOn w:val="TOC2"/>
    <w:next w:val="Normal"/>
    <w:autoRedefine/>
    <w:uiPriority w:val="39"/>
    <w:rsid w:val="00680A29"/>
  </w:style>
  <w:style w:type="character" w:styleId="Hyperlink">
    <w:name w:val="Hyperlink"/>
    <w:basedOn w:val="DefaultParagraphFont"/>
    <w:uiPriority w:val="99"/>
    <w:rsid w:val="00E97C0C"/>
    <w:rPr>
      <w:color w:val="0000FF"/>
      <w:u w:val="single"/>
    </w:rPr>
  </w:style>
  <w:style w:type="paragraph" w:customStyle="1" w:styleId="ProposalTitle">
    <w:name w:val="Proposal Title"/>
    <w:qFormat/>
    <w:rsid w:val="00FE42EB"/>
    <w:pPr>
      <w:ind w:right="-180"/>
      <w:jc w:val="right"/>
    </w:pPr>
    <w:rPr>
      <w:rFonts w:ascii="Calibri" w:hAnsi="Calibri"/>
      <w:b/>
      <w:bCs/>
      <w:color w:val="221E1F"/>
      <w:sz w:val="28"/>
      <w:szCs w:val="28"/>
    </w:rPr>
  </w:style>
  <w:style w:type="paragraph" w:customStyle="1" w:styleId="RFPNo">
    <w:name w:val="RFP No."/>
    <w:basedOn w:val="Normal"/>
    <w:qFormat/>
    <w:rsid w:val="00FE42EB"/>
    <w:pPr>
      <w:ind w:right="-180"/>
      <w:jc w:val="right"/>
    </w:pPr>
    <w:rPr>
      <w:rFonts w:ascii="Calibri" w:hAnsi="Calibri"/>
      <w:color w:val="221E1F"/>
      <w:sz w:val="23"/>
      <w:szCs w:val="23"/>
    </w:rPr>
  </w:style>
  <w:style w:type="paragraph" w:customStyle="1" w:styleId="StyleRight">
    <w:name w:val="Style Right"/>
    <w:basedOn w:val="t"/>
    <w:rsid w:val="00D427A4"/>
    <w:pPr>
      <w:jc w:val="right"/>
    </w:pPr>
  </w:style>
  <w:style w:type="paragraph" w:customStyle="1" w:styleId="StyleRightRight">
    <w:name w:val="Style Right Right"/>
    <w:basedOn w:val="Normal"/>
    <w:rsid w:val="004574A5"/>
    <w:pPr>
      <w:spacing w:after="0"/>
      <w:ind w:right="-187"/>
      <w:jc w:val="right"/>
    </w:pPr>
    <w:rPr>
      <w:rFonts w:ascii="Calibri" w:hAnsi="Calibri"/>
      <w:sz w:val="23"/>
      <w:szCs w:val="23"/>
    </w:rPr>
  </w:style>
  <w:style w:type="paragraph" w:customStyle="1" w:styleId="IndentOut">
    <w:name w:val="Indent Out"/>
    <w:basedOn w:val="Indent"/>
    <w:rsid w:val="00B773E3"/>
    <w:pPr>
      <w:spacing w:after="240"/>
    </w:pPr>
  </w:style>
  <w:style w:type="paragraph" w:styleId="Caption">
    <w:name w:val="caption"/>
    <w:aliases w:val="Caption Char,Table Caption,Char, Char,Figure"/>
    <w:basedOn w:val="Normal"/>
    <w:next w:val="t"/>
    <w:link w:val="CaptionChar1"/>
    <w:uiPriority w:val="99"/>
    <w:unhideWhenUsed/>
    <w:qFormat/>
    <w:rsid w:val="00EB0B23"/>
    <w:pPr>
      <w:keepNext/>
      <w:tabs>
        <w:tab w:val="clear" w:pos="-1440"/>
        <w:tab w:val="clear" w:pos="-720"/>
      </w:tabs>
      <w:spacing w:before="120" w:after="120" w:line="240" w:lineRule="auto"/>
      <w:jc w:val="center"/>
    </w:pPr>
    <w:rPr>
      <w:rFonts w:ascii="Calibri" w:hAnsi="Calibri" w:cs="Arial"/>
      <w:color w:val="1F497D" w:themeColor="text2"/>
      <w:sz w:val="20"/>
    </w:rPr>
  </w:style>
  <w:style w:type="paragraph" w:customStyle="1" w:styleId="UndesignatedHeader">
    <w:name w:val="Undesignated Header"/>
    <w:next w:val="t"/>
    <w:qFormat/>
    <w:rsid w:val="00E83A92"/>
    <w:pPr>
      <w:shd w:val="clear" w:color="auto" w:fill="1F497D"/>
      <w:tabs>
        <w:tab w:val="left" w:pos="4410"/>
        <w:tab w:val="right" w:pos="9360"/>
      </w:tabs>
      <w:spacing w:after="480"/>
    </w:pPr>
    <w:rPr>
      <w:rFonts w:ascii="Vrinda" w:hAnsi="Vrinda"/>
      <w:b/>
      <w:bCs/>
      <w:smallCaps/>
      <w:color w:val="FFFFFF"/>
      <w:kern w:val="28"/>
      <w:sz w:val="32"/>
      <w:szCs w:val="32"/>
    </w:rPr>
  </w:style>
  <w:style w:type="paragraph" w:customStyle="1" w:styleId="Contents">
    <w:name w:val="Contents"/>
    <w:next w:val="t"/>
    <w:qFormat/>
    <w:rsid w:val="003E2D1A"/>
    <w:pPr>
      <w:shd w:val="clear" w:color="auto" w:fill="FFFFFF" w:themeFill="background1"/>
      <w:ind w:left="1170" w:hanging="1170"/>
      <w:jc w:val="right"/>
    </w:pPr>
    <w:rPr>
      <w:rFonts w:ascii="Calibri" w:hAnsi="Calibri"/>
      <w:smallCaps/>
      <w:color w:val="1F497D" w:themeColor="text2"/>
      <w:kern w:val="28"/>
      <w:sz w:val="44"/>
    </w:rPr>
  </w:style>
  <w:style w:type="paragraph" w:styleId="TOCHeading">
    <w:name w:val="TOC Heading"/>
    <w:basedOn w:val="Heading1"/>
    <w:next w:val="Normal"/>
    <w:uiPriority w:val="39"/>
    <w:semiHidden/>
    <w:unhideWhenUsed/>
    <w:qFormat/>
    <w:rsid w:val="00FE42EB"/>
    <w:pPr>
      <w:keepLines/>
      <w:numPr>
        <w:numId w:val="0"/>
      </w:numPr>
      <w:tabs>
        <w:tab w:val="clear" w:pos="9360"/>
      </w:tabs>
      <w:spacing w:before="480" w:after="0" w:line="276" w:lineRule="auto"/>
      <w:jc w:val="left"/>
      <w:outlineLvl w:val="9"/>
    </w:pPr>
    <w:rPr>
      <w:rFonts w:ascii="Cambria" w:hAnsi="Cambria"/>
      <w:bCs/>
      <w:smallCaps w:val="0"/>
      <w:color w:val="365F91"/>
      <w:kern w:val="0"/>
      <w:sz w:val="28"/>
      <w:szCs w:val="28"/>
    </w:rPr>
  </w:style>
  <w:style w:type="paragraph" w:customStyle="1" w:styleId="Style1">
    <w:name w:val="Style1"/>
    <w:basedOn w:val="Heading7"/>
    <w:link w:val="Style1Char"/>
    <w:qFormat/>
    <w:rsid w:val="00FE42EB"/>
    <w:pPr>
      <w:numPr>
        <w:numId w:val="0"/>
      </w:numPr>
    </w:p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yle1Char">
    <w:name w:val="Style1 Char"/>
    <w:basedOn w:val="Heading7Char"/>
    <w:link w:val="Style1"/>
    <w:rsid w:val="00FE42EB"/>
    <w:rPr>
      <w:rFonts w:ascii="Calibri" w:hAnsi="Calibri"/>
      <w:b w:val="0"/>
      <w:bCs/>
      <w:caps/>
      <w:smallCaps w:val="0"/>
      <w:color w:val="FFFFFF"/>
      <w:kern w:val="28"/>
      <w:sz w:val="32"/>
      <w:szCs w:val="32"/>
      <w:shd w:val="clear" w:color="auto" w:fill="1F497D"/>
    </w:rPr>
  </w:style>
  <w:style w:type="character" w:customStyle="1" w:styleId="Heading7Char">
    <w:name w:val="Heading 7 Char"/>
    <w:aliases w:val="Appendix Updated Char"/>
    <w:basedOn w:val="DefaultParagraphFont"/>
    <w:link w:val="Heading7"/>
    <w:uiPriority w:val="9"/>
    <w:rsid w:val="00B94C55"/>
    <w:rPr>
      <w:rFonts w:ascii="Calibri" w:hAnsi="Calibri"/>
      <w:bCs/>
      <w:caps/>
      <w:color w:val="1F497D" w:themeColor="text2"/>
      <w:kern w:val="28"/>
      <w:sz w:val="40"/>
      <w:szCs w:val="32"/>
    </w:rPr>
  </w:style>
  <w:style w:type="character" w:customStyle="1" w:styleId="FooterChar">
    <w:name w:val="Footer Char"/>
    <w:basedOn w:val="DefaultParagraphFont"/>
    <w:link w:val="Footer"/>
    <w:uiPriority w:val="99"/>
    <w:rsid w:val="007B257A"/>
    <w:rPr>
      <w:rFonts w:ascii="Calibri" w:hAnsi="Calibri"/>
      <w:sz w:val="18"/>
    </w:rPr>
  </w:style>
  <w:style w:type="character" w:customStyle="1" w:styleId="Heading6Char">
    <w:name w:val="Heading 6 Char"/>
    <w:basedOn w:val="DefaultParagraphFont"/>
    <w:link w:val="Heading6"/>
    <w:rsid w:val="00FE42EB"/>
    <w:rPr>
      <w:rFonts w:ascii="Calibri" w:hAnsi="Calibri"/>
      <w:b/>
      <w:bCs/>
      <w:sz w:val="22"/>
      <w:szCs w:val="22"/>
    </w:rPr>
  </w:style>
  <w:style w:type="paragraph" w:customStyle="1" w:styleId="FooterAppendix">
    <w:name w:val="Footer Appendix"/>
    <w:basedOn w:val="Footer"/>
    <w:qFormat/>
    <w:rsid w:val="00FE42EB"/>
    <w:pPr>
      <w:framePr w:wrap="around" w:vAnchor="text" w:hAnchor="text" w:y="1"/>
    </w:pPr>
  </w:style>
  <w:style w:type="paragraph" w:customStyle="1" w:styleId="TOCAPP">
    <w:name w:val="TOCAPP"/>
    <w:basedOn w:val="TOC1"/>
    <w:qFormat/>
    <w:rsid w:val="00FE42EB"/>
    <w:pPr>
      <w:tabs>
        <w:tab w:val="left" w:pos="1440"/>
      </w:tabs>
      <w:spacing w:before="360"/>
      <w:contextualSpacing/>
    </w:pPr>
  </w:style>
  <w:style w:type="character" w:customStyle="1" w:styleId="Heading8Char">
    <w:name w:val="Heading 8 Char"/>
    <w:basedOn w:val="DefaultParagraphFont"/>
    <w:link w:val="Heading8"/>
    <w:uiPriority w:val="9"/>
    <w:rsid w:val="00FE42EB"/>
    <w:rPr>
      <w:rFonts w:ascii="Calibri" w:hAnsi="Calibri"/>
      <w:b/>
      <w:iCs/>
      <w:sz w:val="24"/>
      <w:szCs w:val="24"/>
    </w:rPr>
  </w:style>
  <w:style w:type="character" w:customStyle="1" w:styleId="StyleinintobulletItalic">
    <w:name w:val="Style ininto bullet + Italic"/>
    <w:basedOn w:val="DefaultParagraphFont"/>
    <w:rsid w:val="008E0C24"/>
    <w:rPr>
      <w:i/>
    </w:rPr>
  </w:style>
  <w:style w:type="table" w:styleId="TableGrid">
    <w:name w:val="Table Grid"/>
    <w:aliases w:val="Hrztl Table"/>
    <w:basedOn w:val="TableNormal"/>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ell">
    <w:name w:val="tableCell"/>
    <w:qFormat/>
    <w:rsid w:val="0088525C"/>
    <w:pPr>
      <w:keepNext/>
      <w:tabs>
        <w:tab w:val="left" w:pos="-1440"/>
        <w:tab w:val="left" w:pos="-720"/>
      </w:tabs>
      <w:spacing w:before="40" w:after="40" w:line="240" w:lineRule="atLeast"/>
    </w:pPr>
    <w:rPr>
      <w:rFonts w:ascii="Calibri" w:hAnsi="Calibri"/>
      <w:sz w:val="22"/>
    </w:rPr>
  </w:style>
  <w:style w:type="paragraph" w:styleId="BalloonText">
    <w:name w:val="Balloon Text"/>
    <w:basedOn w:val="Normal"/>
    <w:link w:val="BalloonTextChar"/>
    <w:rsid w:val="00572C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72C9A"/>
    <w:rPr>
      <w:rFonts w:ascii="Tahoma" w:hAnsi="Tahoma" w:cs="Tahoma"/>
      <w:sz w:val="16"/>
      <w:szCs w:val="16"/>
    </w:rPr>
  </w:style>
  <w:style w:type="numbering" w:customStyle="1" w:styleId="n">
    <w:name w:val="n"/>
    <w:aliases w:val="number"/>
    <w:basedOn w:val="NoList"/>
    <w:rsid w:val="00454747"/>
    <w:pPr>
      <w:numPr>
        <w:numId w:val="1"/>
      </w:numPr>
    </w:pPr>
  </w:style>
  <w:style w:type="paragraph" w:customStyle="1" w:styleId="Outline">
    <w:name w:val="Outline"/>
    <w:basedOn w:val="t"/>
    <w:link w:val="numChar"/>
    <w:qFormat/>
    <w:rsid w:val="00437FBA"/>
    <w:pPr>
      <w:numPr>
        <w:ilvl w:val="1"/>
      </w:numPr>
      <w:spacing w:after="120"/>
      <w:ind w:left="720"/>
    </w:pPr>
  </w:style>
  <w:style w:type="paragraph" w:customStyle="1" w:styleId="OutlineOut">
    <w:name w:val="Outline Out"/>
    <w:basedOn w:val="Outline"/>
    <w:rsid w:val="009D6644"/>
    <w:pPr>
      <w:spacing w:after="240"/>
    </w:pPr>
    <w:rPr>
      <w:rFonts w:cs="Times New Roman"/>
      <w:szCs w:val="20"/>
    </w:rPr>
  </w:style>
  <w:style w:type="character" w:customStyle="1" w:styleId="tChar">
    <w:name w:val="t Char"/>
    <w:aliases w:val="text Char,text Char Char,text1,text2,text11,text3,text31,text4,text5,text6,text61,t Char1,text Char1,text7,text9,text Char Char1,text + 11 pt Char,Before:  6 pt Char,After:  6 pt Char,Line spacing:  single Char Char,text + +Body Char,text8,text10"/>
    <w:basedOn w:val="DefaultParagraphFont"/>
    <w:link w:val="t"/>
    <w:rsid w:val="00EB0B23"/>
    <w:rPr>
      <w:rFonts w:ascii="Calibri" w:hAnsi="Calibri" w:cs="Arial"/>
      <w:sz w:val="22"/>
      <w:szCs w:val="22"/>
    </w:rPr>
  </w:style>
  <w:style w:type="character" w:customStyle="1" w:styleId="numChar">
    <w:name w:val="num Char"/>
    <w:basedOn w:val="tChar"/>
    <w:link w:val="Outline"/>
    <w:rsid w:val="00437FBA"/>
    <w:rPr>
      <w:rFonts w:ascii="Calibri" w:hAnsi="Calibri" w:cs="Arial"/>
      <w:sz w:val="22"/>
      <w:szCs w:val="22"/>
    </w:rPr>
  </w:style>
  <w:style w:type="character" w:styleId="PlaceholderText">
    <w:name w:val="Placeholder Text"/>
    <w:basedOn w:val="DefaultParagraphFont"/>
    <w:uiPriority w:val="99"/>
    <w:semiHidden/>
    <w:rsid w:val="004B59EE"/>
    <w:rPr>
      <w:color w:val="808080"/>
    </w:rPr>
  </w:style>
  <w:style w:type="character" w:styleId="Strong">
    <w:name w:val="Strong"/>
    <w:basedOn w:val="DefaultParagraphFont"/>
    <w:uiPriority w:val="22"/>
    <w:qFormat/>
    <w:rsid w:val="004B59EE"/>
    <w:rPr>
      <w:b/>
      <w:bCs/>
    </w:rPr>
  </w:style>
  <w:style w:type="table" w:customStyle="1" w:styleId="NEXANTNEWTABLESTYLE">
    <w:name w:val="NEXANT NEW TABLE STYLE"/>
    <w:basedOn w:val="TableNormal"/>
    <w:uiPriority w:val="99"/>
    <w:rsid w:val="002A2C30"/>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character" w:customStyle="1" w:styleId="HeaderChar">
    <w:name w:val="Header Char"/>
    <w:basedOn w:val="DefaultParagraphFont"/>
    <w:link w:val="Header"/>
    <w:rsid w:val="002D3782"/>
    <w:rPr>
      <w:rFonts w:ascii="Arial Narrow" w:hAnsi="Arial Narrow"/>
      <w:color w:val="A6A6A6"/>
      <w:sz w:val="18"/>
    </w:rPr>
  </w:style>
  <w:style w:type="character" w:styleId="CommentReference">
    <w:name w:val="annotation reference"/>
    <w:basedOn w:val="DefaultParagraphFont"/>
    <w:rsid w:val="00EB0B23"/>
    <w:rPr>
      <w:sz w:val="16"/>
      <w:szCs w:val="16"/>
    </w:rPr>
  </w:style>
  <w:style w:type="paragraph" w:styleId="CommentText">
    <w:name w:val="annotation text"/>
    <w:basedOn w:val="Normal"/>
    <w:link w:val="CommentTextChar"/>
    <w:rsid w:val="00EB0B23"/>
    <w:pPr>
      <w:spacing w:line="240" w:lineRule="auto"/>
    </w:pPr>
    <w:rPr>
      <w:sz w:val="20"/>
    </w:rPr>
  </w:style>
  <w:style w:type="character" w:customStyle="1" w:styleId="CommentTextChar">
    <w:name w:val="Comment Text Char"/>
    <w:basedOn w:val="DefaultParagraphFont"/>
    <w:link w:val="CommentText"/>
    <w:rsid w:val="00EB0B23"/>
    <w:rPr>
      <w:rFonts w:asciiTheme="minorHAnsi" w:hAnsiTheme="minorHAnsi"/>
    </w:rPr>
  </w:style>
  <w:style w:type="paragraph" w:styleId="CommentSubject">
    <w:name w:val="annotation subject"/>
    <w:basedOn w:val="CommentText"/>
    <w:next w:val="CommentText"/>
    <w:link w:val="CommentSubjectChar"/>
    <w:uiPriority w:val="99"/>
    <w:rsid w:val="00EB0B23"/>
    <w:rPr>
      <w:b/>
      <w:bCs/>
    </w:rPr>
  </w:style>
  <w:style w:type="character" w:customStyle="1" w:styleId="CommentSubjectChar">
    <w:name w:val="Comment Subject Char"/>
    <w:basedOn w:val="CommentTextChar"/>
    <w:link w:val="CommentSubject"/>
    <w:uiPriority w:val="99"/>
    <w:rsid w:val="00EB0B23"/>
    <w:rPr>
      <w:rFonts w:asciiTheme="minorHAnsi" w:hAnsiTheme="minorHAnsi"/>
      <w:b/>
      <w:bCs/>
    </w:rPr>
  </w:style>
  <w:style w:type="paragraph" w:styleId="EndnoteText">
    <w:name w:val="endnote text"/>
    <w:basedOn w:val="Normal"/>
    <w:link w:val="EndnoteTextChar"/>
    <w:rsid w:val="00E45947"/>
    <w:pPr>
      <w:spacing w:after="0" w:line="240" w:lineRule="auto"/>
    </w:pPr>
    <w:rPr>
      <w:sz w:val="20"/>
    </w:rPr>
  </w:style>
  <w:style w:type="character" w:customStyle="1" w:styleId="EndnoteTextChar">
    <w:name w:val="Endnote Text Char"/>
    <w:basedOn w:val="DefaultParagraphFont"/>
    <w:link w:val="EndnoteText"/>
    <w:rsid w:val="00E45947"/>
    <w:rPr>
      <w:rFonts w:asciiTheme="minorHAnsi" w:hAnsiTheme="minorHAnsi"/>
    </w:rPr>
  </w:style>
  <w:style w:type="character" w:styleId="EndnoteReference">
    <w:name w:val="endnote reference"/>
    <w:basedOn w:val="DefaultParagraphFont"/>
    <w:rsid w:val="00E45947"/>
    <w:rPr>
      <w:vertAlign w:val="superscript"/>
    </w:rPr>
  </w:style>
  <w:style w:type="numbering" w:styleId="1ai">
    <w:name w:val="Outline List 1"/>
    <w:basedOn w:val="NoList"/>
    <w:rsid w:val="000B7884"/>
    <w:pPr>
      <w:numPr>
        <w:numId w:val="9"/>
      </w:numPr>
    </w:pPr>
  </w:style>
  <w:style w:type="character" w:customStyle="1" w:styleId="obChar">
    <w:name w:val="ob Char"/>
    <w:aliases w:val="out of bullet Char,Bullet Char,b Char,bullet Char,Body Char,bullet Char Char,Body Char Char,body Char,bd Char,b-heading 1/heading 2 Char,heading1body-heading2body Char,bullets Char,he... + Black Char,bullet + Times New Roman Char,10 pt Char"/>
    <w:basedOn w:val="DefaultParagraphFont"/>
    <w:link w:val="ob"/>
    <w:locked/>
    <w:rsid w:val="000B7884"/>
    <w:rPr>
      <w:rFonts w:ascii="Calibri" w:hAnsi="Calibri"/>
      <w:sz w:val="22"/>
    </w:rPr>
  </w:style>
  <w:style w:type="paragraph" w:customStyle="1" w:styleId="nl">
    <w:name w:val="nl"/>
    <w:aliases w:val="numbered list"/>
    <w:basedOn w:val="Normal"/>
    <w:rsid w:val="000B7884"/>
    <w:pPr>
      <w:tabs>
        <w:tab w:val="clear" w:pos="-1440"/>
        <w:tab w:val="clear" w:pos="-720"/>
        <w:tab w:val="num" w:pos="720"/>
      </w:tabs>
      <w:adjustRightInd w:val="0"/>
      <w:snapToGrid w:val="0"/>
      <w:spacing w:after="120" w:line="260" w:lineRule="atLeast"/>
      <w:ind w:left="720" w:hanging="720"/>
      <w:jc w:val="both"/>
    </w:pPr>
    <w:rPr>
      <w:rFonts w:ascii="Times New Roman" w:hAnsi="Times New Roman"/>
      <w:sz w:val="24"/>
    </w:rPr>
  </w:style>
  <w:style w:type="character" w:customStyle="1" w:styleId="inChar">
    <w:name w:val="in Char"/>
    <w:aliases w:val="into bullet Char"/>
    <w:basedOn w:val="DefaultParagraphFont"/>
    <w:link w:val="in"/>
    <w:uiPriority w:val="99"/>
    <w:locked/>
    <w:rsid w:val="000B7884"/>
    <w:rPr>
      <w:rFonts w:ascii="Calibri" w:hAnsi="Calibri"/>
      <w:sz w:val="22"/>
    </w:rPr>
  </w:style>
  <w:style w:type="paragraph" w:styleId="DocumentMap">
    <w:name w:val="Document Map"/>
    <w:basedOn w:val="Normal"/>
    <w:link w:val="DocumentMapChar"/>
    <w:rsid w:val="000B788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0B7884"/>
    <w:rPr>
      <w:rFonts w:ascii="Lucida Grande" w:hAnsi="Lucida Grande" w:cs="Lucida Grande"/>
      <w:sz w:val="24"/>
      <w:szCs w:val="24"/>
    </w:rPr>
  </w:style>
  <w:style w:type="character" w:customStyle="1" w:styleId="Heading3Char">
    <w:name w:val="Heading 3 Char"/>
    <w:aliases w:val="3 Char,3rd order hd Char"/>
    <w:basedOn w:val="DefaultParagraphFont"/>
    <w:link w:val="Heading3"/>
    <w:rsid w:val="00531D0A"/>
    <w:rPr>
      <w:rFonts w:ascii="Calibri" w:hAnsi="Calibri"/>
      <w:color w:val="1F497D"/>
      <w:sz w:val="28"/>
    </w:rPr>
  </w:style>
  <w:style w:type="paragraph" w:customStyle="1" w:styleId="TableHeading-left">
    <w:name w:val="Table Heading-left"/>
    <w:basedOn w:val="Normal"/>
    <w:qFormat/>
    <w:rsid w:val="00771368"/>
    <w:pPr>
      <w:tabs>
        <w:tab w:val="clear" w:pos="-1440"/>
        <w:tab w:val="clear" w:pos="-720"/>
      </w:tabs>
      <w:spacing w:after="0" w:line="276" w:lineRule="auto"/>
      <w:ind w:left="0"/>
    </w:pPr>
    <w:rPr>
      <w:rFonts w:eastAsiaTheme="minorHAnsi" w:cstheme="minorBidi"/>
      <w:b/>
      <w:color w:val="FFFFFF" w:themeColor="background1"/>
      <w:szCs w:val="22"/>
    </w:rPr>
  </w:style>
  <w:style w:type="paragraph" w:customStyle="1" w:styleId="TableHeading-centered">
    <w:name w:val="Table Heading-centered"/>
    <w:basedOn w:val="TableHeading-left"/>
    <w:qFormat/>
    <w:rsid w:val="00771368"/>
    <w:pPr>
      <w:jc w:val="center"/>
    </w:pPr>
  </w:style>
  <w:style w:type="paragraph" w:customStyle="1" w:styleId="TableRow-left">
    <w:name w:val="Table Row-left"/>
    <w:basedOn w:val="Normal"/>
    <w:qFormat/>
    <w:rsid w:val="00771368"/>
    <w:pPr>
      <w:tabs>
        <w:tab w:val="clear" w:pos="-1440"/>
        <w:tab w:val="clear" w:pos="-720"/>
      </w:tabs>
      <w:spacing w:after="0" w:line="276" w:lineRule="auto"/>
      <w:ind w:left="0"/>
    </w:pPr>
    <w:rPr>
      <w:rFonts w:eastAsiaTheme="minorHAnsi" w:cstheme="minorBidi"/>
      <w:sz w:val="20"/>
      <w:szCs w:val="22"/>
    </w:rPr>
  </w:style>
  <w:style w:type="paragraph" w:customStyle="1" w:styleId="TableRow-center">
    <w:name w:val="Table Row-center"/>
    <w:basedOn w:val="Normal"/>
    <w:qFormat/>
    <w:rsid w:val="00771368"/>
    <w:pPr>
      <w:tabs>
        <w:tab w:val="clear" w:pos="-1440"/>
        <w:tab w:val="clear" w:pos="-720"/>
      </w:tabs>
      <w:spacing w:after="0" w:line="276" w:lineRule="auto"/>
      <w:ind w:left="0"/>
      <w:jc w:val="center"/>
    </w:pPr>
    <w:rPr>
      <w:rFonts w:eastAsiaTheme="minorHAnsi" w:cstheme="minorBidi"/>
      <w:sz w:val="20"/>
      <w:szCs w:val="22"/>
    </w:rPr>
  </w:style>
  <w:style w:type="character" w:customStyle="1" w:styleId="CaptionChar1">
    <w:name w:val="Caption Char1"/>
    <w:aliases w:val="Caption Char Char,Table Caption Char,Char Char, Char Char,Figure Char"/>
    <w:basedOn w:val="DefaultParagraphFont"/>
    <w:link w:val="Caption"/>
    <w:locked/>
    <w:rsid w:val="00771368"/>
    <w:rPr>
      <w:rFonts w:ascii="Calibri" w:hAnsi="Calibri" w:cs="Arial"/>
      <w:color w:val="1F497D" w:themeColor="text2"/>
    </w:rPr>
  </w:style>
  <w:style w:type="character" w:customStyle="1" w:styleId="spellingerror">
    <w:name w:val="spellingerror"/>
    <w:basedOn w:val="DefaultParagraphFont"/>
    <w:rsid w:val="00771368"/>
  </w:style>
  <w:style w:type="character" w:customStyle="1" w:styleId="normaltextrun">
    <w:name w:val="normaltextrun"/>
    <w:basedOn w:val="DefaultParagraphFont"/>
    <w:rsid w:val="00771368"/>
  </w:style>
  <w:style w:type="paragraph" w:customStyle="1" w:styleId="paragraph">
    <w:name w:val="paragraph"/>
    <w:basedOn w:val="Normal"/>
    <w:rsid w:val="00771368"/>
    <w:pPr>
      <w:tabs>
        <w:tab w:val="clear" w:pos="-1440"/>
        <w:tab w:val="clear" w:pos="-720"/>
      </w:tabs>
      <w:spacing w:before="100" w:beforeAutospacing="1" w:after="100" w:afterAutospacing="1" w:line="240" w:lineRule="auto"/>
      <w:ind w:left="0"/>
    </w:pPr>
    <w:rPr>
      <w:rFonts w:ascii="Times New Roman" w:hAnsi="Times New Roman"/>
      <w:sz w:val="24"/>
      <w:szCs w:val="24"/>
    </w:rPr>
  </w:style>
  <w:style w:type="character" w:customStyle="1" w:styleId="eop">
    <w:name w:val="eop"/>
    <w:basedOn w:val="DefaultParagraphFont"/>
    <w:rsid w:val="00771368"/>
  </w:style>
  <w:style w:type="character" w:customStyle="1" w:styleId="Heading4Char">
    <w:name w:val="Heading 4 Char"/>
    <w:aliases w:val="4 Char,4th order head Char,heading 4 Char,num.                                               4 Char, resume Char"/>
    <w:basedOn w:val="DefaultParagraphFont"/>
    <w:link w:val="Heading4"/>
    <w:locked/>
    <w:rsid w:val="00771368"/>
    <w:rPr>
      <w:rFonts w:ascii="Calibri" w:hAnsi="Calibri"/>
      <w:color w:val="1F497D" w:themeColor="text2"/>
      <w:sz w:val="24"/>
      <w:szCs w:val="22"/>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Char2 Char Char,TBG Style Char,fn Char"/>
    <w:basedOn w:val="DefaultParagraphFont"/>
    <w:link w:val="FootnoteText"/>
    <w:uiPriority w:val="99"/>
    <w:rsid w:val="0002122E"/>
    <w:rPr>
      <w:rFonts w:ascii="Calibri" w:hAnsi="Calibri"/>
      <w:sz w:val="18"/>
    </w:rPr>
  </w:style>
  <w:style w:type="paragraph" w:styleId="ListParagraph">
    <w:name w:val="List Paragraph"/>
    <w:basedOn w:val="Normal"/>
    <w:link w:val="ListParagraphChar"/>
    <w:uiPriority w:val="34"/>
    <w:qFormat/>
    <w:rsid w:val="00050FD1"/>
    <w:pPr>
      <w:ind w:left="720"/>
      <w:contextualSpacing/>
    </w:pPr>
  </w:style>
  <w:style w:type="character" w:customStyle="1" w:styleId="ListParagraphChar">
    <w:name w:val="List Paragraph Char"/>
    <w:basedOn w:val="DefaultParagraphFont"/>
    <w:link w:val="ListParagraph"/>
    <w:uiPriority w:val="34"/>
    <w:locked/>
    <w:rsid w:val="00050FD1"/>
    <w:rPr>
      <w:rFonts w:asciiTheme="minorHAnsi" w:hAnsiTheme="minorHAnsi"/>
      <w:sz w:val="22"/>
    </w:rPr>
  </w:style>
  <w:style w:type="paragraph" w:customStyle="1" w:styleId="Equation">
    <w:name w:val="Equation"/>
    <w:basedOn w:val="t"/>
    <w:next w:val="t"/>
    <w:qFormat/>
    <w:rsid w:val="0062284A"/>
    <w:pPr>
      <w:numPr>
        <w:numId w:val="0"/>
      </w:numPr>
      <w:ind w:left="360"/>
    </w:pPr>
    <w:rPr>
      <w:rFonts w:cs="Calibri"/>
      <w:i/>
    </w:rPr>
  </w:style>
  <w:style w:type="paragraph" w:customStyle="1" w:styleId="TableHeading">
    <w:name w:val="Table Heading"/>
    <w:basedOn w:val="Normal"/>
    <w:uiPriority w:val="99"/>
    <w:rsid w:val="009E449C"/>
    <w:pPr>
      <w:keepNext/>
      <w:numPr>
        <w:ilvl w:val="12"/>
      </w:numPr>
      <w:tabs>
        <w:tab w:val="clear" w:pos="-1440"/>
        <w:tab w:val="clear" w:pos="-720"/>
      </w:tabs>
      <w:spacing w:before="120" w:after="60" w:line="240" w:lineRule="auto"/>
      <w:ind w:left="360"/>
      <w:jc w:val="center"/>
    </w:pPr>
    <w:rPr>
      <w:rFonts w:ascii="Arial" w:hAnsi="Arial" w:cs="Arial"/>
      <w:b/>
      <w:caps/>
      <w:sz w:val="18"/>
      <w:szCs w:val="18"/>
    </w:rPr>
  </w:style>
  <w:style w:type="paragraph" w:customStyle="1" w:styleId="TableBody">
    <w:name w:val="Table Body"/>
    <w:basedOn w:val="Normal"/>
    <w:link w:val="TableBodyChar"/>
    <w:rsid w:val="009E449C"/>
    <w:pPr>
      <w:numPr>
        <w:ilvl w:val="12"/>
      </w:numPr>
      <w:tabs>
        <w:tab w:val="clear" w:pos="-1440"/>
        <w:tab w:val="clear" w:pos="-720"/>
      </w:tabs>
      <w:spacing w:before="80" w:after="40" w:line="240" w:lineRule="auto"/>
      <w:ind w:left="360"/>
      <w:jc w:val="center"/>
    </w:pPr>
    <w:rPr>
      <w:rFonts w:ascii="Arial" w:hAnsi="Arial" w:cs="Arial"/>
      <w:sz w:val="18"/>
      <w:szCs w:val="18"/>
    </w:rPr>
  </w:style>
  <w:style w:type="character" w:customStyle="1" w:styleId="TableBodyChar">
    <w:name w:val="Table Body Char"/>
    <w:basedOn w:val="DefaultParagraphFont"/>
    <w:link w:val="TableBody"/>
    <w:rsid w:val="009E449C"/>
    <w:rPr>
      <w:rFonts w:ascii="Arial" w:hAnsi="Arial" w:cs="Arial"/>
      <w:sz w:val="18"/>
      <w:szCs w:val="18"/>
    </w:rPr>
  </w:style>
  <w:style w:type="paragraph" w:customStyle="1" w:styleId="TableBodyHeading">
    <w:name w:val="Table Body Heading"/>
    <w:basedOn w:val="TableBody"/>
    <w:link w:val="TableBodyHeadingChar"/>
    <w:uiPriority w:val="99"/>
    <w:rsid w:val="009E449C"/>
  </w:style>
  <w:style w:type="character" w:customStyle="1" w:styleId="TableBodyHeadingChar">
    <w:name w:val="Table Body Heading Char"/>
    <w:basedOn w:val="TableBodyChar"/>
    <w:link w:val="TableBodyHeading"/>
    <w:uiPriority w:val="99"/>
    <w:rsid w:val="009E449C"/>
    <w:rPr>
      <w:rFonts w:ascii="Arial" w:hAnsi="Arial" w:cs="Arial"/>
      <w:sz w:val="18"/>
      <w:szCs w:val="18"/>
    </w:rPr>
  </w:style>
  <w:style w:type="character" w:customStyle="1" w:styleId="Heading9Char">
    <w:name w:val="Heading 9 Char"/>
    <w:basedOn w:val="DefaultParagraphFont"/>
    <w:link w:val="Heading9"/>
    <w:uiPriority w:val="99"/>
    <w:rsid w:val="00DF0C8B"/>
    <w:rPr>
      <w:rFonts w:ascii="Times New Roman" w:hAnsi="Times New Roman"/>
      <w:b/>
      <w:bCs/>
      <w:sz w:val="24"/>
      <w:szCs w:val="24"/>
    </w:rPr>
  </w:style>
  <w:style w:type="character" w:customStyle="1" w:styleId="Heading5Char">
    <w:name w:val="Heading 5 Char"/>
    <w:aliases w:val="5 Char"/>
    <w:basedOn w:val="DefaultParagraphFont"/>
    <w:link w:val="Heading5"/>
    <w:uiPriority w:val="99"/>
    <w:rsid w:val="00DF0C8B"/>
    <w:rPr>
      <w:rFonts w:ascii="Calibri" w:hAnsi="Calibri"/>
      <w:i/>
      <w:color w:val="1F497D" w:themeColor="text2"/>
      <w:sz w:val="24"/>
    </w:rPr>
  </w:style>
  <w:style w:type="paragraph" w:styleId="BodyText">
    <w:name w:val="Body Text"/>
    <w:basedOn w:val="Normal"/>
    <w:link w:val="BodyTextChar"/>
    <w:rsid w:val="00DF0C8B"/>
    <w:pPr>
      <w:spacing w:after="120"/>
    </w:pPr>
  </w:style>
  <w:style w:type="character" w:customStyle="1" w:styleId="BodyTextChar">
    <w:name w:val="Body Text Char"/>
    <w:basedOn w:val="DefaultParagraphFont"/>
    <w:link w:val="BodyText"/>
    <w:rsid w:val="00DF0C8B"/>
    <w:rPr>
      <w:rFonts w:asciiTheme="minorHAnsi" w:hAnsiTheme="minorHAnsi"/>
      <w:sz w:val="22"/>
    </w:rPr>
  </w:style>
  <w:style w:type="paragraph" w:styleId="ListNumber">
    <w:name w:val="List Number"/>
    <w:basedOn w:val="Normal"/>
    <w:uiPriority w:val="99"/>
    <w:rsid w:val="000D405B"/>
    <w:pPr>
      <w:tabs>
        <w:tab w:val="clear" w:pos="-1440"/>
        <w:tab w:val="clear" w:pos="-720"/>
        <w:tab w:val="num" w:pos="360"/>
      </w:tabs>
      <w:spacing w:after="0" w:line="240" w:lineRule="auto"/>
      <w:ind w:hanging="360"/>
    </w:pPr>
    <w:rPr>
      <w:rFonts w:ascii="Times New Roman" w:hAnsi="Times New Roman"/>
      <w:b/>
      <w:bCs/>
      <w:sz w:val="24"/>
      <w:szCs w:val="24"/>
    </w:rPr>
  </w:style>
  <w:style w:type="paragraph" w:styleId="BodyText2">
    <w:name w:val="Body Text 2"/>
    <w:basedOn w:val="Normal"/>
    <w:link w:val="BodyText2Char"/>
    <w:uiPriority w:val="99"/>
    <w:rsid w:val="00255FDA"/>
    <w:pPr>
      <w:tabs>
        <w:tab w:val="clear" w:pos="-1440"/>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720" w:hanging="720"/>
    </w:pPr>
    <w:rPr>
      <w:rFonts w:ascii="Times New Roman" w:hAnsi="Times New Roman"/>
      <w:sz w:val="20"/>
    </w:rPr>
  </w:style>
  <w:style w:type="character" w:customStyle="1" w:styleId="BodyText2Char">
    <w:name w:val="Body Text 2 Char"/>
    <w:basedOn w:val="DefaultParagraphFont"/>
    <w:link w:val="BodyText2"/>
    <w:uiPriority w:val="99"/>
    <w:rsid w:val="00255FDA"/>
    <w:rPr>
      <w:rFonts w:ascii="Times New Roman" w:hAnsi="Times New Roman"/>
    </w:rPr>
  </w:style>
  <w:style w:type="table" w:styleId="LightList-Accent1">
    <w:name w:val="Light List Accent 1"/>
    <w:basedOn w:val="TableNormal"/>
    <w:uiPriority w:val="61"/>
    <w:rsid w:val="00717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8">
    <w:name w:val="Table Grid 8"/>
    <w:aliases w:val="NexTable"/>
    <w:basedOn w:val="TableNormal"/>
    <w:rsid w:val="00E6068A"/>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val="0"/>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paragraph" w:customStyle="1" w:styleId="Bullet2">
    <w:name w:val="Bullet 2"/>
    <w:basedOn w:val="Normal"/>
    <w:autoRedefine/>
    <w:rsid w:val="00CE2145"/>
    <w:pPr>
      <w:numPr>
        <w:numId w:val="12"/>
      </w:numPr>
      <w:tabs>
        <w:tab w:val="clear" w:pos="-1440"/>
        <w:tab w:val="clear" w:pos="-720"/>
        <w:tab w:val="clear" w:pos="360"/>
      </w:tabs>
      <w:spacing w:before="120" w:after="0" w:line="240" w:lineRule="auto"/>
      <w:ind w:left="1080"/>
    </w:pPr>
    <w:rPr>
      <w:rFonts w:ascii="Times New Roman" w:hAnsi="Times New Roman"/>
      <w:sz w:val="24"/>
    </w:rPr>
  </w:style>
  <w:style w:type="paragraph" w:customStyle="1" w:styleId="Number2">
    <w:name w:val="Number 2"/>
    <w:basedOn w:val="Normal"/>
    <w:rsid w:val="00CE2145"/>
    <w:pPr>
      <w:numPr>
        <w:numId w:val="13"/>
      </w:numPr>
      <w:tabs>
        <w:tab w:val="clear" w:pos="-1440"/>
        <w:tab w:val="clear" w:pos="-720"/>
        <w:tab w:val="left" w:pos="1440"/>
      </w:tabs>
      <w:spacing w:before="180" w:after="0" w:line="240" w:lineRule="auto"/>
    </w:pPr>
    <w:rPr>
      <w:rFonts w:ascii="Times New Roman" w:hAnsi="Times New Roman"/>
      <w:sz w:val="24"/>
    </w:rPr>
  </w:style>
  <w:style w:type="character" w:customStyle="1" w:styleId="Bullet1Char">
    <w:name w:val="Bullet 1 Char"/>
    <w:basedOn w:val="DefaultParagraphFont"/>
    <w:link w:val="b"/>
    <w:uiPriority w:val="99"/>
    <w:locked/>
    <w:rsid w:val="00CE2145"/>
    <w:rPr>
      <w:rFonts w:ascii="Calibri" w:hAnsi="Calibri" w:cs="Arial"/>
      <w:sz w:val="22"/>
      <w:szCs w:val="22"/>
    </w:rPr>
  </w:style>
  <w:style w:type="paragraph" w:customStyle="1" w:styleId="Bullet4">
    <w:name w:val="Bullet 4"/>
    <w:basedOn w:val="Normal"/>
    <w:qFormat/>
    <w:rsid w:val="00CE2145"/>
    <w:pPr>
      <w:numPr>
        <w:numId w:val="14"/>
      </w:numPr>
      <w:tabs>
        <w:tab w:val="clear" w:pos="-1440"/>
        <w:tab w:val="clear" w:pos="-720"/>
      </w:tabs>
      <w:spacing w:before="60" w:after="0" w:line="240" w:lineRule="auto"/>
      <w:ind w:left="1440"/>
    </w:pPr>
    <w:rPr>
      <w:rFonts w:ascii="Times New Roman" w:eastAsiaTheme="minorHAnsi" w:hAnsi="Times New Roman" w:cstheme="minorBidi"/>
      <w:sz w:val="24"/>
      <w:szCs w:val="22"/>
    </w:rPr>
  </w:style>
  <w:style w:type="paragraph" w:customStyle="1" w:styleId="m">
    <w:name w:val="m"/>
    <w:aliases w:val="mdash"/>
    <w:basedOn w:val="b"/>
    <w:rsid w:val="00090515"/>
    <w:pPr>
      <w:numPr>
        <w:numId w:val="15"/>
      </w:numPr>
      <w:tabs>
        <w:tab w:val="clear" w:pos="1080"/>
      </w:tabs>
      <w:spacing w:line="264" w:lineRule="auto"/>
      <w:ind w:left="1800"/>
    </w:pPr>
  </w:style>
  <w:style w:type="paragraph" w:customStyle="1" w:styleId="om">
    <w:name w:val="om"/>
    <w:aliases w:val="out of mdash"/>
    <w:basedOn w:val="m"/>
    <w:rsid w:val="00090515"/>
    <w:pPr>
      <w:spacing w:after="240"/>
    </w:pPr>
  </w:style>
  <w:style w:type="paragraph" w:customStyle="1" w:styleId="Indent1">
    <w:name w:val="Indent 1"/>
    <w:basedOn w:val="t"/>
    <w:qFormat/>
    <w:rsid w:val="00090515"/>
    <w:pPr>
      <w:numPr>
        <w:numId w:val="0"/>
      </w:numPr>
      <w:ind w:left="1080"/>
    </w:pPr>
  </w:style>
  <w:style w:type="paragraph" w:customStyle="1" w:styleId="Indent2">
    <w:name w:val="Indent 2"/>
    <w:basedOn w:val="t"/>
    <w:qFormat/>
    <w:rsid w:val="00090515"/>
    <w:pPr>
      <w:numPr>
        <w:numId w:val="0"/>
      </w:numPr>
      <w:ind w:left="1800"/>
    </w:pPr>
  </w:style>
  <w:style w:type="paragraph" w:customStyle="1" w:styleId="Appendix">
    <w:name w:val="Appendix"/>
    <w:next w:val="t"/>
    <w:rsid w:val="00090515"/>
    <w:pPr>
      <w:shd w:val="clear" w:color="auto" w:fill="1F497D"/>
      <w:tabs>
        <w:tab w:val="left" w:pos="4410"/>
        <w:tab w:val="right" w:pos="9360"/>
      </w:tabs>
      <w:spacing w:after="480"/>
    </w:pPr>
    <w:rPr>
      <w:rFonts w:ascii="Calibri" w:hAnsi="Calibri"/>
      <w:b/>
      <w:bCs/>
      <w:smallCaps/>
      <w:color w:val="FFFFFF"/>
      <w:kern w:val="28"/>
      <w:sz w:val="32"/>
      <w:szCs w:val="32"/>
    </w:rPr>
  </w:style>
  <w:style w:type="table" w:styleId="Table3Deffects1">
    <w:name w:val="Table 3D effects 1"/>
    <w:basedOn w:val="TableNormal"/>
    <w:rsid w:val="00090515"/>
    <w:pPr>
      <w:tabs>
        <w:tab w:val="left" w:pos="-1440"/>
        <w:tab w:val="left" w:pos="-720"/>
      </w:tab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090515"/>
    <w:pPr>
      <w:tabs>
        <w:tab w:val="left" w:pos="-1440"/>
        <w:tab w:val="left" w:pos="-720"/>
      </w:tab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NexTable1">
    <w:name w:val="NexTable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hemeColor="background1"/>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table" w:styleId="TableContemporary">
    <w:name w:val="Table Contemporary"/>
    <w:basedOn w:val="TableNormal"/>
    <w:rsid w:val="00090515"/>
    <w:pPr>
      <w:tabs>
        <w:tab w:val="left" w:pos="-1440"/>
        <w:tab w:val="left" w:pos="-720"/>
      </w:tab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Bullet">
    <w:name w:val="List Bullet"/>
    <w:basedOn w:val="Normal"/>
    <w:rsid w:val="00090515"/>
    <w:pPr>
      <w:tabs>
        <w:tab w:val="num" w:pos="360"/>
      </w:tabs>
      <w:spacing w:after="0" w:line="240" w:lineRule="atLeast"/>
      <w:ind w:hanging="360"/>
      <w:contextualSpacing/>
    </w:pPr>
    <w:rPr>
      <w:rFonts w:ascii="Times New Roman" w:hAnsi="Times New Roman"/>
      <w:sz w:val="24"/>
    </w:rPr>
  </w:style>
  <w:style w:type="character" w:styleId="Emphasis">
    <w:name w:val="Emphasis"/>
    <w:basedOn w:val="DefaultParagraphFont"/>
    <w:qFormat/>
    <w:rsid w:val="00090515"/>
    <w:rPr>
      <w:i/>
      <w:iCs/>
    </w:rPr>
  </w:style>
  <w:style w:type="paragraph" w:customStyle="1" w:styleId="TableCell0">
    <w:name w:val="TableCell"/>
    <w:link w:val="TableCellChar"/>
    <w:uiPriority w:val="99"/>
    <w:rsid w:val="00090515"/>
    <w:pPr>
      <w:spacing w:before="40" w:after="40"/>
    </w:pPr>
    <w:rPr>
      <w:rFonts w:ascii="Arial" w:hAnsi="Arial"/>
      <w:sz w:val="16"/>
      <w:szCs w:val="16"/>
    </w:rPr>
  </w:style>
  <w:style w:type="character" w:customStyle="1" w:styleId="TableCellChar">
    <w:name w:val="TableCell Char"/>
    <w:link w:val="TableCell0"/>
    <w:uiPriority w:val="99"/>
    <w:locked/>
    <w:rsid w:val="00090515"/>
    <w:rPr>
      <w:rFonts w:ascii="Arial" w:hAnsi="Arial"/>
      <w:sz w:val="16"/>
      <w:szCs w:val="16"/>
    </w:rPr>
  </w:style>
  <w:style w:type="numbering" w:customStyle="1" w:styleId="StyleNumberedListCalibri11ptLeft05Hanging025">
    <w:name w:val="Style Numbered List Calibri 11 pt Left:  0.5&quot; Hanging:  0.25&quot;"/>
    <w:basedOn w:val="NoList"/>
    <w:rsid w:val="00090515"/>
    <w:pPr>
      <w:numPr>
        <w:numId w:val="16"/>
      </w:numPr>
    </w:pPr>
  </w:style>
  <w:style w:type="table" w:customStyle="1" w:styleId="NexTable11">
    <w:name w:val="NexTable1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character" w:customStyle="1" w:styleId="Heading2Char">
    <w:name w:val="Heading 2 Char"/>
    <w:aliases w:val="2 Char,ProjectHeading Char,2nd order hd Char,resume Char"/>
    <w:basedOn w:val="DefaultParagraphFont"/>
    <w:link w:val="Heading2"/>
    <w:rsid w:val="00090515"/>
    <w:rPr>
      <w:rFonts w:ascii="Calibri" w:hAnsi="Calibri"/>
      <w:smallCaps/>
      <w:color w:val="1F497D" w:themeColor="text2"/>
      <w:sz w:val="36"/>
    </w:rPr>
  </w:style>
  <w:style w:type="table" w:customStyle="1" w:styleId="NexantTable">
    <w:name w:val="Nexant Table"/>
    <w:basedOn w:val="TableNormal"/>
    <w:uiPriority w:val="99"/>
    <w:qFormat/>
    <w:rsid w:val="00090515"/>
    <w:pPr>
      <w:spacing w:before="40" w:after="40"/>
    </w:pPr>
    <w:rPr>
      <w:rFonts w:asciiTheme="minorHAnsi" w:hAnsiTheme="minorHAnsi"/>
      <w:sz w:val="22"/>
    </w:rPr>
    <w:tblPr>
      <w:tblStyleRowBandSize w:val="1"/>
      <w:tblBorders>
        <w:top w:val="single" w:sz="4" w:space="0" w:color="1F497D"/>
        <w:left w:val="single" w:sz="4" w:space="0" w:color="1F497D"/>
        <w:bottom w:val="single" w:sz="4" w:space="0" w:color="000000" w:themeColor="text1"/>
        <w:right w:val="single" w:sz="4" w:space="0" w:color="1F497D"/>
      </w:tblBorders>
    </w:tblPr>
    <w:tblStylePr w:type="firstRow">
      <w:rPr>
        <w:rFonts w:asciiTheme="minorHAnsi" w:hAnsiTheme="minorHAnsi"/>
        <w:b/>
        <w:color w:val="FFFFFF" w:themeColor="background1"/>
        <w:sz w:val="22"/>
      </w:rPr>
      <w:tblPr/>
      <w:tcPr>
        <w:shd w:val="clear" w:color="auto" w:fill="1F497D" w:themeFill="text2"/>
      </w:tcPr>
    </w:tblStylePr>
    <w:tblStylePr w:type="band1Horz">
      <w:tblPr/>
      <w:tcPr>
        <w:tcBorders>
          <w:top w:val="single" w:sz="4" w:space="0" w:color="000000" w:themeColor="text1"/>
          <w:left w:val="single" w:sz="4" w:space="0" w:color="1F497D"/>
          <w:bottom w:val="nil"/>
          <w:right w:val="single" w:sz="4" w:space="0" w:color="1F497D"/>
          <w:insideH w:val="nil"/>
          <w:insideV w:val="nil"/>
        </w:tcBorders>
      </w:tcPr>
    </w:tblStylePr>
    <w:tblStylePr w:type="band2Horz">
      <w:rPr>
        <w:rFonts w:asciiTheme="minorHAnsi" w:hAnsiTheme="minorHAnsi"/>
        <w:sz w:val="22"/>
      </w:rPr>
      <w:tblPr/>
      <w:tcPr>
        <w:tcBorders>
          <w:top w:val="single" w:sz="4" w:space="0" w:color="1F497D"/>
          <w:left w:val="single" w:sz="4" w:space="0" w:color="1F497D"/>
          <w:bottom w:val="single" w:sz="4" w:space="0" w:color="1F497D"/>
        </w:tcBorders>
        <w:shd w:val="clear" w:color="auto" w:fill="F2F2F2"/>
      </w:tcPr>
    </w:tblStylePr>
  </w:style>
  <w:style w:type="character" w:styleId="IntenseEmphasis">
    <w:name w:val="Intense Emphasis"/>
    <w:basedOn w:val="DefaultParagraphFont"/>
    <w:uiPriority w:val="21"/>
    <w:qFormat/>
    <w:rsid w:val="00090515"/>
    <w:rPr>
      <w:b/>
      <w:bCs/>
      <w:i/>
      <w:iCs/>
      <w:color w:val="4F81BD" w:themeColor="accent1"/>
    </w:rPr>
  </w:style>
  <w:style w:type="paragraph" w:customStyle="1" w:styleId="Style2">
    <w:name w:val="Style2"/>
    <w:basedOn w:val="Heading1"/>
    <w:qFormat/>
    <w:rsid w:val="00090515"/>
    <w:pPr>
      <w:numPr>
        <w:numId w:val="17"/>
      </w:numPr>
      <w:shd w:val="clear" w:color="auto" w:fill="1F497D"/>
      <w:tabs>
        <w:tab w:val="left" w:pos="1170"/>
      </w:tabs>
      <w:jc w:val="left"/>
    </w:pPr>
    <w:rPr>
      <w:b/>
      <w:color w:val="FFFFFF"/>
      <w:sz w:val="32"/>
    </w:rPr>
  </w:style>
  <w:style w:type="paragraph" w:customStyle="1" w:styleId="Default">
    <w:name w:val="Default"/>
    <w:rsid w:val="00090515"/>
    <w:pPr>
      <w:autoSpaceDE w:val="0"/>
      <w:autoSpaceDN w:val="0"/>
      <w:adjustRightInd w:val="0"/>
    </w:pPr>
    <w:rPr>
      <w:rFonts w:ascii="JDAOP K+ Frutiger LT Std" w:hAnsi="JDAOP K+ Frutiger LT Std" w:cs="JDAOP K+ Frutiger LT Std"/>
      <w:color w:val="000000"/>
      <w:sz w:val="24"/>
      <w:szCs w:val="24"/>
    </w:rPr>
  </w:style>
  <w:style w:type="paragraph" w:customStyle="1" w:styleId="CM104">
    <w:name w:val="CM104"/>
    <w:basedOn w:val="Default"/>
    <w:next w:val="Default"/>
    <w:uiPriority w:val="99"/>
    <w:rsid w:val="00090515"/>
    <w:pPr>
      <w:spacing w:after="185"/>
    </w:pPr>
    <w:rPr>
      <w:rFonts w:ascii="IIOEI B+ Frutiger LT Std" w:hAnsi="IIOEI B+ Frutiger LT Std" w:cs="IIOEI B+ Frutiger LT Std"/>
      <w:color w:val="auto"/>
    </w:rPr>
  </w:style>
  <w:style w:type="table" w:customStyle="1" w:styleId="NEXANTNEWTABLESTYLE1">
    <w:name w:val="NEXANT NEW TABLE STYLE1"/>
    <w:basedOn w:val="TableNormal"/>
    <w:uiPriority w:val="99"/>
    <w:rsid w:val="003D1A95"/>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table" w:customStyle="1" w:styleId="NEXANTNEWTABLESTYLE2">
    <w:name w:val="NEXANT NEW TABLE STYLE2"/>
    <w:basedOn w:val="TableNormal"/>
    <w:uiPriority w:val="99"/>
    <w:rsid w:val="00B3251F"/>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paragraph" w:styleId="Revision">
    <w:name w:val="Revision"/>
    <w:hidden/>
    <w:uiPriority w:val="99"/>
    <w:semiHidden/>
    <w:rsid w:val="007838AA"/>
    <w:rPr>
      <w:rFonts w:asciiTheme="minorHAnsi" w:hAnsiTheme="minorHAnsi"/>
      <w:sz w:val="22"/>
    </w:rPr>
  </w:style>
  <w:style w:type="table" w:styleId="LightList">
    <w:name w:val="Light List"/>
    <w:basedOn w:val="TableNormal"/>
    <w:uiPriority w:val="61"/>
    <w:rsid w:val="007E53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qFormat="1"/>
    <w:lsdException w:name="List Number" w:uiPriority="99"/>
    <w:lsdException w:name="Title" w:qFormat="1"/>
    <w:lsdException w:name="Default Paragraph Font" w:uiPriority="1"/>
    <w:lsdException w:name="Subtitle" w:qFormat="1"/>
    <w:lsdException w:name="Body Text 2" w:uiPriority="99"/>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2EB"/>
    <w:pPr>
      <w:tabs>
        <w:tab w:val="left" w:pos="-1440"/>
        <w:tab w:val="left" w:pos="-720"/>
      </w:tabs>
      <w:spacing w:after="240" w:line="264" w:lineRule="auto"/>
      <w:ind w:left="360"/>
    </w:pPr>
    <w:rPr>
      <w:rFonts w:asciiTheme="minorHAnsi" w:hAnsiTheme="minorHAnsi"/>
      <w:sz w:val="22"/>
    </w:rPr>
  </w:style>
  <w:style w:type="paragraph" w:styleId="Heading1">
    <w:name w:val="heading 1"/>
    <w:aliases w:val="1,1st order hd,Headline"/>
    <w:next w:val="t"/>
    <w:qFormat/>
    <w:rsid w:val="00B94C55"/>
    <w:pPr>
      <w:keepNext/>
      <w:numPr>
        <w:numId w:val="4"/>
      </w:numPr>
      <w:tabs>
        <w:tab w:val="clear" w:pos="1440"/>
        <w:tab w:val="right" w:pos="9360"/>
      </w:tabs>
      <w:spacing w:after="480"/>
      <w:ind w:left="720" w:hanging="720"/>
      <w:jc w:val="center"/>
      <w:outlineLvl w:val="0"/>
    </w:pPr>
    <w:rPr>
      <w:rFonts w:ascii="Calibri" w:hAnsi="Calibri"/>
      <w:smallCaps/>
      <w:color w:val="1F497D" w:themeColor="text2"/>
      <w:kern w:val="28"/>
      <w:sz w:val="44"/>
    </w:rPr>
  </w:style>
  <w:style w:type="paragraph" w:styleId="Heading2">
    <w:name w:val="heading 2"/>
    <w:aliases w:val="2,ProjectHeading,2nd order hd,resume"/>
    <w:next w:val="t"/>
    <w:link w:val="Heading2Char"/>
    <w:qFormat/>
    <w:rsid w:val="00EB0B23"/>
    <w:pPr>
      <w:keepNext/>
      <w:numPr>
        <w:ilvl w:val="1"/>
        <w:numId w:val="4"/>
      </w:numPr>
      <w:tabs>
        <w:tab w:val="clear" w:pos="720"/>
      </w:tabs>
      <w:spacing w:after="120"/>
      <w:ind w:left="720" w:hanging="720"/>
      <w:outlineLvl w:val="1"/>
    </w:pPr>
    <w:rPr>
      <w:rFonts w:ascii="Calibri" w:hAnsi="Calibri"/>
      <w:smallCaps/>
      <w:color w:val="1F497D" w:themeColor="text2"/>
      <w:sz w:val="36"/>
    </w:rPr>
  </w:style>
  <w:style w:type="paragraph" w:styleId="Heading3">
    <w:name w:val="heading 3"/>
    <w:aliases w:val="3,3rd order hd"/>
    <w:next w:val="t"/>
    <w:link w:val="Heading3Char"/>
    <w:qFormat/>
    <w:rsid w:val="00531D0A"/>
    <w:pPr>
      <w:keepNext/>
      <w:numPr>
        <w:ilvl w:val="2"/>
        <w:numId w:val="4"/>
      </w:numPr>
      <w:spacing w:after="120"/>
      <w:outlineLvl w:val="2"/>
    </w:pPr>
    <w:rPr>
      <w:rFonts w:ascii="Calibri" w:hAnsi="Calibri"/>
      <w:color w:val="1F497D"/>
      <w:sz w:val="28"/>
    </w:rPr>
  </w:style>
  <w:style w:type="paragraph" w:styleId="Heading4">
    <w:name w:val="heading 4"/>
    <w:aliases w:val="4,4th order head,heading 4,num.                                               4, resume"/>
    <w:next w:val="t"/>
    <w:link w:val="Heading4Char"/>
    <w:qFormat/>
    <w:rsid w:val="00EB0B23"/>
    <w:pPr>
      <w:keepNext/>
      <w:numPr>
        <w:ilvl w:val="3"/>
        <w:numId w:val="4"/>
      </w:numPr>
      <w:tabs>
        <w:tab w:val="clear" w:pos="1080"/>
      </w:tabs>
      <w:spacing w:after="120"/>
      <w:ind w:left="900" w:hanging="900"/>
      <w:outlineLvl w:val="3"/>
    </w:pPr>
    <w:rPr>
      <w:rFonts w:ascii="Calibri" w:hAnsi="Calibri"/>
      <w:color w:val="1F497D" w:themeColor="text2"/>
      <w:sz w:val="24"/>
      <w:szCs w:val="22"/>
    </w:rPr>
  </w:style>
  <w:style w:type="paragraph" w:styleId="Heading5">
    <w:name w:val="heading 5"/>
    <w:aliases w:val="5"/>
    <w:next w:val="t"/>
    <w:link w:val="Heading5Char"/>
    <w:qFormat/>
    <w:rsid w:val="00EB0B23"/>
    <w:pPr>
      <w:keepNext/>
      <w:spacing w:after="120"/>
      <w:outlineLvl w:val="4"/>
    </w:pPr>
    <w:rPr>
      <w:rFonts w:ascii="Calibri" w:hAnsi="Calibri"/>
      <w:i/>
      <w:color w:val="1F497D" w:themeColor="text2"/>
      <w:sz w:val="24"/>
    </w:rPr>
  </w:style>
  <w:style w:type="paragraph" w:styleId="Heading6">
    <w:name w:val="heading 6"/>
    <w:next w:val="Normal"/>
    <w:link w:val="Heading6Char"/>
    <w:unhideWhenUsed/>
    <w:qFormat/>
    <w:rsid w:val="00FE42EB"/>
    <w:pPr>
      <w:keepNext/>
      <w:spacing w:after="120" w:line="264" w:lineRule="auto"/>
      <w:ind w:left="360"/>
      <w:outlineLvl w:val="5"/>
    </w:pPr>
    <w:rPr>
      <w:rFonts w:ascii="Calibri" w:hAnsi="Calibri"/>
      <w:b/>
      <w:bCs/>
      <w:sz w:val="22"/>
      <w:szCs w:val="22"/>
    </w:rPr>
  </w:style>
  <w:style w:type="paragraph" w:styleId="Heading7">
    <w:name w:val="heading 7"/>
    <w:aliases w:val="Appendix Updated"/>
    <w:next w:val="t"/>
    <w:link w:val="Heading7Char"/>
    <w:uiPriority w:val="9"/>
    <w:unhideWhenUsed/>
    <w:qFormat/>
    <w:rsid w:val="00B94C55"/>
    <w:pPr>
      <w:keepNext/>
      <w:numPr>
        <w:numId w:val="5"/>
      </w:numPr>
      <w:spacing w:after="480"/>
      <w:ind w:left="720" w:hanging="720"/>
      <w:outlineLvl w:val="6"/>
    </w:pPr>
    <w:rPr>
      <w:rFonts w:ascii="Calibri" w:hAnsi="Calibri"/>
      <w:bCs/>
      <w:caps/>
      <w:color w:val="1F497D" w:themeColor="text2"/>
      <w:kern w:val="28"/>
      <w:sz w:val="40"/>
      <w:szCs w:val="32"/>
    </w:rPr>
  </w:style>
  <w:style w:type="paragraph" w:styleId="Heading8">
    <w:name w:val="heading 8"/>
    <w:next w:val="t"/>
    <w:link w:val="Heading8Char"/>
    <w:uiPriority w:val="9"/>
    <w:unhideWhenUsed/>
    <w:qFormat/>
    <w:rsid w:val="00FE42EB"/>
    <w:pPr>
      <w:numPr>
        <w:ilvl w:val="1"/>
        <w:numId w:val="5"/>
      </w:numPr>
      <w:spacing w:before="240" w:after="60"/>
      <w:outlineLvl w:val="7"/>
    </w:pPr>
    <w:rPr>
      <w:rFonts w:ascii="Calibri" w:hAnsi="Calibri"/>
      <w:b/>
      <w:iCs/>
      <w:sz w:val="24"/>
      <w:szCs w:val="24"/>
    </w:rPr>
  </w:style>
  <w:style w:type="paragraph" w:styleId="Heading9">
    <w:name w:val="heading 9"/>
    <w:basedOn w:val="Normal"/>
    <w:next w:val="BodyText"/>
    <w:link w:val="Heading9Char"/>
    <w:uiPriority w:val="99"/>
    <w:qFormat/>
    <w:rsid w:val="00DF0C8B"/>
    <w:pPr>
      <w:keepNext/>
      <w:numPr>
        <w:numId w:val="11"/>
      </w:numPr>
      <w:tabs>
        <w:tab w:val="clear" w:pos="-1440"/>
        <w:tab w:val="clear" w:pos="-720"/>
        <w:tab w:val="clear" w:pos="360"/>
      </w:tabs>
      <w:spacing w:after="0" w:line="240" w:lineRule="auto"/>
      <w:outlineLvl w:val="8"/>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rsid w:val="00891046"/>
    <w:pPr>
      <w:tabs>
        <w:tab w:val="clear" w:pos="-1440"/>
        <w:tab w:val="clear" w:pos="-720"/>
        <w:tab w:val="center" w:pos="4680"/>
        <w:tab w:val="right" w:pos="9360"/>
      </w:tabs>
    </w:pPr>
    <w:rPr>
      <w:rFonts w:ascii="Calibri" w:hAnsi="Calibri"/>
      <w:sz w:val="18"/>
    </w:rPr>
  </w:style>
  <w:style w:type="paragraph" w:styleId="Header">
    <w:name w:val="header"/>
    <w:basedOn w:val="Normal"/>
    <w:next w:val="Normal"/>
    <w:link w:val="HeaderChar"/>
    <w:rsid w:val="00062BEC"/>
    <w:pPr>
      <w:pBdr>
        <w:bottom w:val="single" w:sz="6" w:space="0" w:color="auto"/>
        <w:between w:val="single" w:sz="6" w:space="0" w:color="auto"/>
      </w:pBdr>
      <w:tabs>
        <w:tab w:val="clear" w:pos="-1440"/>
        <w:tab w:val="clear" w:pos="-720"/>
        <w:tab w:val="right" w:pos="9360"/>
      </w:tabs>
      <w:spacing w:before="240" w:after="720"/>
      <w:ind w:left="2880" w:hanging="2880"/>
      <w:jc w:val="right"/>
    </w:pPr>
    <w:rPr>
      <w:rFonts w:ascii="Arial Narrow" w:hAnsi="Arial Narrow"/>
      <w:color w:val="A6A6A6"/>
      <w:sz w:val="18"/>
    </w:rPr>
  </w:style>
  <w:style w:type="character" w:styleId="FootnoteReference">
    <w:name w:val="footnote reference"/>
    <w:basedOn w:val="DefaultParagraphFont"/>
    <w:uiPriority w:val="99"/>
    <w:qFormat/>
    <w:rsid w:val="00E97C0C"/>
    <w:rPr>
      <w:position w:val="6"/>
      <w:sz w:val="16"/>
    </w:rPr>
  </w:style>
  <w:style w:type="paragraph" w:styleId="FootnoteText">
    <w:name w:val="footnote text"/>
    <w:aliases w:val="Footnote Text1 Char,Footnote Text Char Ch,Footnote Text Char Ch Char Char Char,Footnote Text Char Ch Char Char,Footnote Text1 Char Char Char,ft Char,ft,Char2 Char,TBG Style,ALTS FOOTNOTE,Footnote Text 2,fn,Footnote text,FOOTNOTE"/>
    <w:basedOn w:val="Normal"/>
    <w:link w:val="FootnoteTextChar"/>
    <w:uiPriority w:val="99"/>
    <w:qFormat/>
    <w:rsid w:val="00947E5C"/>
    <w:pPr>
      <w:tabs>
        <w:tab w:val="clear" w:pos="-1440"/>
        <w:tab w:val="clear" w:pos="-720"/>
      </w:tabs>
      <w:spacing w:after="0"/>
    </w:pPr>
    <w:rPr>
      <w:rFonts w:ascii="Calibri" w:hAnsi="Calibri"/>
      <w:sz w:val="18"/>
    </w:rPr>
  </w:style>
  <w:style w:type="paragraph" w:customStyle="1" w:styleId="t">
    <w:name w:val="t"/>
    <w:aliases w:val="text,text + +Body,Line spacing:  Multiple 1.15 li + +Body,1... + Subscript,text + 11 pt,Before:  6 pt,After:  6 pt,Line spacing:  single"/>
    <w:link w:val="tChar"/>
    <w:qFormat/>
    <w:rsid w:val="00EB0B23"/>
    <w:pPr>
      <w:numPr>
        <w:numId w:val="8"/>
      </w:numPr>
      <w:spacing w:after="240" w:line="264" w:lineRule="auto"/>
      <w:ind w:left="0"/>
    </w:pPr>
    <w:rPr>
      <w:rFonts w:ascii="Calibri" w:hAnsi="Calibri" w:cs="Arial"/>
      <w:sz w:val="22"/>
      <w:szCs w:val="22"/>
    </w:rPr>
  </w:style>
  <w:style w:type="paragraph" w:customStyle="1" w:styleId="in">
    <w:name w:val="in"/>
    <w:aliases w:val="intobullet,into bullet"/>
    <w:basedOn w:val="t"/>
    <w:next w:val="b"/>
    <w:link w:val="inChar"/>
    <w:uiPriority w:val="99"/>
    <w:qFormat/>
    <w:rsid w:val="00B773E3"/>
    <w:pPr>
      <w:spacing w:after="120"/>
    </w:pPr>
    <w:rPr>
      <w:rFonts w:cs="Times New Roman"/>
      <w:szCs w:val="20"/>
    </w:rPr>
  </w:style>
  <w:style w:type="paragraph" w:customStyle="1" w:styleId="b">
    <w:name w:val="b"/>
    <w:aliases w:val="bullet,Body,Bullet,bullets,body,bd,b-heading 1/heading 2,heading1body-heading2body,b2,he... + Black,b1,Bullet 1"/>
    <w:link w:val="Bullet1Char"/>
    <w:uiPriority w:val="99"/>
    <w:qFormat/>
    <w:rsid w:val="00947E5C"/>
    <w:pPr>
      <w:numPr>
        <w:numId w:val="6"/>
      </w:numPr>
      <w:spacing w:after="120"/>
    </w:pPr>
    <w:rPr>
      <w:rFonts w:ascii="Calibri" w:hAnsi="Calibri" w:cs="Arial"/>
      <w:sz w:val="22"/>
      <w:szCs w:val="22"/>
    </w:rPr>
  </w:style>
  <w:style w:type="paragraph" w:customStyle="1" w:styleId="ob">
    <w:name w:val="ob"/>
    <w:aliases w:val="out of bullet,o,ob₩"/>
    <w:basedOn w:val="b"/>
    <w:next w:val="t"/>
    <w:link w:val="obChar"/>
    <w:qFormat/>
    <w:rsid w:val="00BB79BE"/>
    <w:pPr>
      <w:spacing w:after="240"/>
    </w:pPr>
    <w:rPr>
      <w:rFonts w:cs="Times New Roman"/>
      <w:szCs w:val="20"/>
    </w:rPr>
  </w:style>
  <w:style w:type="paragraph" w:customStyle="1" w:styleId="Projectname">
    <w:name w:val="Project name"/>
    <w:basedOn w:val="t"/>
    <w:rsid w:val="00AB2143"/>
    <w:pPr>
      <w:keepNext/>
      <w:spacing w:after="120"/>
    </w:pPr>
    <w:rPr>
      <w:b/>
      <w:i/>
      <w:caps/>
    </w:rPr>
  </w:style>
  <w:style w:type="paragraph" w:customStyle="1" w:styleId="TableHead">
    <w:name w:val="TableHead"/>
    <w:qFormat/>
    <w:rsid w:val="00BD049D"/>
    <w:pPr>
      <w:keepNext/>
      <w:tabs>
        <w:tab w:val="left" w:pos="-1440"/>
        <w:tab w:val="left" w:pos="-720"/>
      </w:tabs>
      <w:spacing w:before="60" w:after="60" w:line="240" w:lineRule="atLeast"/>
      <w:jc w:val="center"/>
    </w:pPr>
    <w:rPr>
      <w:rFonts w:ascii="Calibri" w:hAnsi="Calibri"/>
      <w:bCs/>
      <w:noProof/>
      <w:color w:val="FFFFFF"/>
      <w:sz w:val="22"/>
    </w:rPr>
  </w:style>
  <w:style w:type="paragraph" w:customStyle="1" w:styleId="StyleStyleRightRightBold">
    <w:name w:val="Style Style Right Right + Bold"/>
    <w:basedOn w:val="StyleRightRight"/>
    <w:rsid w:val="00D427A4"/>
    <w:rPr>
      <w:b/>
      <w:bCs/>
    </w:rPr>
  </w:style>
  <w:style w:type="character" w:styleId="PageNumber">
    <w:name w:val="page number"/>
    <w:basedOn w:val="DefaultParagraphFont"/>
    <w:rsid w:val="003A237E"/>
    <w:rPr>
      <w:rFonts w:ascii="Arial Narrow" w:hAnsi="Arial Narrow"/>
      <w:b/>
      <w:color w:val="1F497D"/>
      <w:sz w:val="20"/>
    </w:rPr>
  </w:style>
  <w:style w:type="paragraph" w:customStyle="1" w:styleId="Indent">
    <w:name w:val="Indent"/>
    <w:basedOn w:val="Normal"/>
    <w:qFormat/>
    <w:rsid w:val="00FE42EB"/>
    <w:pPr>
      <w:numPr>
        <w:ilvl w:val="1"/>
        <w:numId w:val="7"/>
      </w:numPr>
      <w:spacing w:after="120"/>
    </w:pPr>
  </w:style>
  <w:style w:type="paragraph" w:styleId="TOC1">
    <w:name w:val="toc 1"/>
    <w:basedOn w:val="Normal"/>
    <w:next w:val="Normal"/>
    <w:autoRedefine/>
    <w:uiPriority w:val="39"/>
    <w:rsid w:val="002D3782"/>
    <w:pPr>
      <w:tabs>
        <w:tab w:val="clear" w:pos="-1440"/>
        <w:tab w:val="clear" w:pos="-720"/>
        <w:tab w:val="left" w:pos="900"/>
        <w:tab w:val="left" w:pos="1980"/>
        <w:tab w:val="right" w:leader="dot" w:pos="9350"/>
      </w:tabs>
      <w:spacing w:before="120" w:after="120"/>
    </w:pPr>
    <w:rPr>
      <w:rFonts w:ascii="Calibri" w:hAnsi="Calibri"/>
      <w:bCs/>
      <w:caps/>
      <w:noProof/>
      <w:color w:val="1F497D" w:themeColor="text2"/>
      <w:sz w:val="24"/>
      <w:szCs w:val="22"/>
    </w:rPr>
  </w:style>
  <w:style w:type="paragraph" w:styleId="TOC2">
    <w:name w:val="toc 2"/>
    <w:next w:val="Normal"/>
    <w:autoRedefine/>
    <w:uiPriority w:val="39"/>
    <w:rsid w:val="002D3782"/>
    <w:pPr>
      <w:tabs>
        <w:tab w:val="left" w:pos="1260"/>
        <w:tab w:val="right" w:leader="dot" w:pos="9350"/>
      </w:tabs>
      <w:ind w:left="1260" w:hanging="540"/>
    </w:pPr>
    <w:rPr>
      <w:rFonts w:ascii="Calibri" w:hAnsi="Calibri"/>
      <w:smallCaps/>
      <w:color w:val="1F497D" w:themeColor="text2"/>
      <w:sz w:val="22"/>
    </w:rPr>
  </w:style>
  <w:style w:type="paragraph" w:styleId="TOC3">
    <w:name w:val="toc 3"/>
    <w:basedOn w:val="Normal"/>
    <w:next w:val="Normal"/>
    <w:autoRedefine/>
    <w:uiPriority w:val="39"/>
    <w:rsid w:val="00C257D6"/>
    <w:pPr>
      <w:tabs>
        <w:tab w:val="clear" w:pos="-1440"/>
        <w:tab w:val="clear" w:pos="-720"/>
        <w:tab w:val="left" w:pos="1980"/>
        <w:tab w:val="right" w:leader="dot" w:pos="9350"/>
      </w:tabs>
      <w:spacing w:before="120" w:after="0"/>
      <w:ind w:left="864" w:firstLine="403"/>
    </w:pPr>
    <w:rPr>
      <w:rFonts w:ascii="Calibri" w:hAnsi="Calibri"/>
      <w:i/>
      <w:iCs/>
      <w:noProof/>
      <w:color w:val="1F497D" w:themeColor="text2"/>
      <w:sz w:val="20"/>
    </w:rPr>
  </w:style>
  <w:style w:type="paragraph" w:styleId="TOC4">
    <w:name w:val="toc 4"/>
    <w:basedOn w:val="Normal"/>
    <w:next w:val="Normal"/>
    <w:autoRedefine/>
    <w:uiPriority w:val="39"/>
    <w:rsid w:val="00DF23CD"/>
    <w:pPr>
      <w:tabs>
        <w:tab w:val="clear" w:pos="-1440"/>
        <w:tab w:val="clear" w:pos="-720"/>
        <w:tab w:val="left" w:pos="2700"/>
        <w:tab w:val="right" w:leader="dot" w:pos="9350"/>
      </w:tabs>
      <w:spacing w:after="0"/>
      <w:ind w:left="2707" w:hanging="907"/>
    </w:pPr>
    <w:rPr>
      <w:rFonts w:ascii="Calibri" w:hAnsi="Calibri"/>
      <w:noProof/>
      <w:color w:val="1F497D" w:themeColor="text2"/>
      <w:sz w:val="18"/>
      <w:szCs w:val="18"/>
    </w:rPr>
  </w:style>
  <w:style w:type="paragraph" w:styleId="TOC5">
    <w:name w:val="toc 5"/>
    <w:basedOn w:val="Normal"/>
    <w:next w:val="Normal"/>
    <w:autoRedefine/>
    <w:uiPriority w:val="39"/>
    <w:rsid w:val="00E97C0C"/>
    <w:pPr>
      <w:tabs>
        <w:tab w:val="clear" w:pos="-1440"/>
        <w:tab w:val="clear" w:pos="-720"/>
      </w:tabs>
      <w:ind w:left="960"/>
    </w:pPr>
    <w:rPr>
      <w:rFonts w:ascii="Calibri" w:hAnsi="Calibri"/>
      <w:sz w:val="18"/>
      <w:szCs w:val="18"/>
    </w:rPr>
  </w:style>
  <w:style w:type="paragraph" w:styleId="TOC6">
    <w:name w:val="toc 6"/>
    <w:basedOn w:val="Normal"/>
    <w:next w:val="Normal"/>
    <w:autoRedefine/>
    <w:uiPriority w:val="39"/>
    <w:rsid w:val="00E97C0C"/>
    <w:pPr>
      <w:tabs>
        <w:tab w:val="clear" w:pos="-1440"/>
        <w:tab w:val="clear" w:pos="-720"/>
      </w:tabs>
      <w:ind w:left="1200"/>
    </w:pPr>
    <w:rPr>
      <w:rFonts w:ascii="Calibri" w:hAnsi="Calibri"/>
      <w:sz w:val="18"/>
      <w:szCs w:val="18"/>
    </w:rPr>
  </w:style>
  <w:style w:type="paragraph" w:styleId="TOC7">
    <w:name w:val="toc 7"/>
    <w:basedOn w:val="Normal"/>
    <w:next w:val="Normal"/>
    <w:autoRedefine/>
    <w:uiPriority w:val="39"/>
    <w:rsid w:val="00D76EB2"/>
    <w:pPr>
      <w:tabs>
        <w:tab w:val="clear" w:pos="-1440"/>
        <w:tab w:val="clear" w:pos="-720"/>
      </w:tabs>
    </w:pPr>
    <w:rPr>
      <w:rFonts w:ascii="Calibri" w:hAnsi="Calibri"/>
      <w:caps/>
      <w:color w:val="1F497D" w:themeColor="text2"/>
      <w:sz w:val="24"/>
      <w:szCs w:val="18"/>
    </w:rPr>
  </w:style>
  <w:style w:type="paragraph" w:styleId="TOC8">
    <w:name w:val="toc 8"/>
    <w:basedOn w:val="TOC1"/>
    <w:next w:val="Normal"/>
    <w:autoRedefine/>
    <w:uiPriority w:val="39"/>
    <w:rsid w:val="004574A5"/>
    <w:pPr>
      <w:tabs>
        <w:tab w:val="left" w:pos="1440"/>
      </w:tabs>
      <w:spacing w:before="0" w:after="0"/>
    </w:pPr>
  </w:style>
  <w:style w:type="paragraph" w:styleId="TOC9">
    <w:name w:val="toc 9"/>
    <w:basedOn w:val="TOC2"/>
    <w:next w:val="Normal"/>
    <w:autoRedefine/>
    <w:uiPriority w:val="39"/>
    <w:rsid w:val="00680A29"/>
  </w:style>
  <w:style w:type="character" w:styleId="Hyperlink">
    <w:name w:val="Hyperlink"/>
    <w:basedOn w:val="DefaultParagraphFont"/>
    <w:uiPriority w:val="99"/>
    <w:rsid w:val="00E97C0C"/>
    <w:rPr>
      <w:color w:val="0000FF"/>
      <w:u w:val="single"/>
    </w:rPr>
  </w:style>
  <w:style w:type="paragraph" w:customStyle="1" w:styleId="ProposalTitle">
    <w:name w:val="Proposal Title"/>
    <w:qFormat/>
    <w:rsid w:val="00FE42EB"/>
    <w:pPr>
      <w:ind w:right="-180"/>
      <w:jc w:val="right"/>
    </w:pPr>
    <w:rPr>
      <w:rFonts w:ascii="Calibri" w:hAnsi="Calibri"/>
      <w:b/>
      <w:bCs/>
      <w:color w:val="221E1F"/>
      <w:sz w:val="28"/>
      <w:szCs w:val="28"/>
    </w:rPr>
  </w:style>
  <w:style w:type="paragraph" w:customStyle="1" w:styleId="RFPNo">
    <w:name w:val="RFP No."/>
    <w:basedOn w:val="Normal"/>
    <w:qFormat/>
    <w:rsid w:val="00FE42EB"/>
    <w:pPr>
      <w:ind w:right="-180"/>
      <w:jc w:val="right"/>
    </w:pPr>
    <w:rPr>
      <w:rFonts w:ascii="Calibri" w:hAnsi="Calibri"/>
      <w:color w:val="221E1F"/>
      <w:sz w:val="23"/>
      <w:szCs w:val="23"/>
    </w:rPr>
  </w:style>
  <w:style w:type="paragraph" w:customStyle="1" w:styleId="StyleRight">
    <w:name w:val="Style Right"/>
    <w:basedOn w:val="t"/>
    <w:rsid w:val="00D427A4"/>
    <w:pPr>
      <w:jc w:val="right"/>
    </w:pPr>
  </w:style>
  <w:style w:type="paragraph" w:customStyle="1" w:styleId="StyleRightRight">
    <w:name w:val="Style Right Right"/>
    <w:basedOn w:val="Normal"/>
    <w:rsid w:val="004574A5"/>
    <w:pPr>
      <w:spacing w:after="0"/>
      <w:ind w:right="-187"/>
      <w:jc w:val="right"/>
    </w:pPr>
    <w:rPr>
      <w:rFonts w:ascii="Calibri" w:hAnsi="Calibri"/>
      <w:sz w:val="23"/>
      <w:szCs w:val="23"/>
    </w:rPr>
  </w:style>
  <w:style w:type="paragraph" w:customStyle="1" w:styleId="IndentOut">
    <w:name w:val="Indent Out"/>
    <w:basedOn w:val="Indent"/>
    <w:rsid w:val="00B773E3"/>
    <w:pPr>
      <w:spacing w:after="240"/>
    </w:pPr>
  </w:style>
  <w:style w:type="paragraph" w:styleId="Caption">
    <w:name w:val="caption"/>
    <w:aliases w:val="Caption Char,Table Caption,Char, Char,Figure"/>
    <w:basedOn w:val="Normal"/>
    <w:next w:val="t"/>
    <w:link w:val="CaptionChar1"/>
    <w:uiPriority w:val="99"/>
    <w:unhideWhenUsed/>
    <w:qFormat/>
    <w:rsid w:val="00EB0B23"/>
    <w:pPr>
      <w:keepNext/>
      <w:tabs>
        <w:tab w:val="clear" w:pos="-1440"/>
        <w:tab w:val="clear" w:pos="-720"/>
      </w:tabs>
      <w:spacing w:before="120" w:after="120" w:line="240" w:lineRule="auto"/>
      <w:jc w:val="center"/>
    </w:pPr>
    <w:rPr>
      <w:rFonts w:ascii="Calibri" w:hAnsi="Calibri" w:cs="Arial"/>
      <w:color w:val="1F497D" w:themeColor="text2"/>
      <w:sz w:val="20"/>
    </w:rPr>
  </w:style>
  <w:style w:type="paragraph" w:customStyle="1" w:styleId="UndesignatedHeader">
    <w:name w:val="Undesignated Header"/>
    <w:next w:val="t"/>
    <w:qFormat/>
    <w:rsid w:val="00E83A92"/>
    <w:pPr>
      <w:shd w:val="clear" w:color="auto" w:fill="1F497D"/>
      <w:tabs>
        <w:tab w:val="left" w:pos="4410"/>
        <w:tab w:val="right" w:pos="9360"/>
      </w:tabs>
      <w:spacing w:after="480"/>
    </w:pPr>
    <w:rPr>
      <w:rFonts w:ascii="Vrinda" w:hAnsi="Vrinda"/>
      <w:b/>
      <w:bCs/>
      <w:smallCaps/>
      <w:color w:val="FFFFFF"/>
      <w:kern w:val="28"/>
      <w:sz w:val="32"/>
      <w:szCs w:val="32"/>
    </w:rPr>
  </w:style>
  <w:style w:type="paragraph" w:customStyle="1" w:styleId="Contents">
    <w:name w:val="Contents"/>
    <w:next w:val="t"/>
    <w:qFormat/>
    <w:rsid w:val="003E2D1A"/>
    <w:pPr>
      <w:shd w:val="clear" w:color="auto" w:fill="FFFFFF" w:themeFill="background1"/>
      <w:ind w:left="1170" w:hanging="1170"/>
      <w:jc w:val="right"/>
    </w:pPr>
    <w:rPr>
      <w:rFonts w:ascii="Calibri" w:hAnsi="Calibri"/>
      <w:smallCaps/>
      <w:color w:val="1F497D" w:themeColor="text2"/>
      <w:kern w:val="28"/>
      <w:sz w:val="44"/>
    </w:rPr>
  </w:style>
  <w:style w:type="paragraph" w:styleId="TOCHeading">
    <w:name w:val="TOC Heading"/>
    <w:basedOn w:val="Heading1"/>
    <w:next w:val="Normal"/>
    <w:uiPriority w:val="39"/>
    <w:semiHidden/>
    <w:unhideWhenUsed/>
    <w:qFormat/>
    <w:rsid w:val="00FE42EB"/>
    <w:pPr>
      <w:keepLines/>
      <w:numPr>
        <w:numId w:val="0"/>
      </w:numPr>
      <w:tabs>
        <w:tab w:val="clear" w:pos="9360"/>
      </w:tabs>
      <w:spacing w:before="480" w:after="0" w:line="276" w:lineRule="auto"/>
      <w:jc w:val="left"/>
      <w:outlineLvl w:val="9"/>
    </w:pPr>
    <w:rPr>
      <w:rFonts w:ascii="Cambria" w:hAnsi="Cambria"/>
      <w:bCs/>
      <w:smallCaps w:val="0"/>
      <w:color w:val="365F91"/>
      <w:kern w:val="0"/>
      <w:sz w:val="28"/>
      <w:szCs w:val="28"/>
    </w:rPr>
  </w:style>
  <w:style w:type="paragraph" w:customStyle="1" w:styleId="Style1">
    <w:name w:val="Style1"/>
    <w:basedOn w:val="Heading7"/>
    <w:link w:val="Style1Char"/>
    <w:qFormat/>
    <w:rsid w:val="00FE42EB"/>
    <w:pPr>
      <w:numPr>
        <w:numId w:val="0"/>
      </w:numPr>
    </w:p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yle1Char">
    <w:name w:val="Style1 Char"/>
    <w:basedOn w:val="Heading7Char"/>
    <w:link w:val="Style1"/>
    <w:rsid w:val="00FE42EB"/>
    <w:rPr>
      <w:rFonts w:ascii="Calibri" w:hAnsi="Calibri"/>
      <w:b w:val="0"/>
      <w:bCs/>
      <w:caps/>
      <w:smallCaps w:val="0"/>
      <w:color w:val="FFFFFF"/>
      <w:kern w:val="28"/>
      <w:sz w:val="32"/>
      <w:szCs w:val="32"/>
      <w:shd w:val="clear" w:color="auto" w:fill="1F497D"/>
    </w:rPr>
  </w:style>
  <w:style w:type="character" w:customStyle="1" w:styleId="Heading7Char">
    <w:name w:val="Heading 7 Char"/>
    <w:aliases w:val="Appendix Updated Char"/>
    <w:basedOn w:val="DefaultParagraphFont"/>
    <w:link w:val="Heading7"/>
    <w:uiPriority w:val="9"/>
    <w:rsid w:val="00B94C55"/>
    <w:rPr>
      <w:rFonts w:ascii="Calibri" w:hAnsi="Calibri"/>
      <w:bCs/>
      <w:caps/>
      <w:color w:val="1F497D" w:themeColor="text2"/>
      <w:kern w:val="28"/>
      <w:sz w:val="40"/>
      <w:szCs w:val="32"/>
    </w:rPr>
  </w:style>
  <w:style w:type="character" w:customStyle="1" w:styleId="FooterChar">
    <w:name w:val="Footer Char"/>
    <w:basedOn w:val="DefaultParagraphFont"/>
    <w:link w:val="Footer"/>
    <w:uiPriority w:val="99"/>
    <w:rsid w:val="007B257A"/>
    <w:rPr>
      <w:rFonts w:ascii="Calibri" w:hAnsi="Calibri"/>
      <w:sz w:val="18"/>
    </w:rPr>
  </w:style>
  <w:style w:type="character" w:customStyle="1" w:styleId="Heading6Char">
    <w:name w:val="Heading 6 Char"/>
    <w:basedOn w:val="DefaultParagraphFont"/>
    <w:link w:val="Heading6"/>
    <w:rsid w:val="00FE42EB"/>
    <w:rPr>
      <w:rFonts w:ascii="Calibri" w:hAnsi="Calibri"/>
      <w:b/>
      <w:bCs/>
      <w:sz w:val="22"/>
      <w:szCs w:val="22"/>
    </w:rPr>
  </w:style>
  <w:style w:type="paragraph" w:customStyle="1" w:styleId="FooterAppendix">
    <w:name w:val="Footer Appendix"/>
    <w:basedOn w:val="Footer"/>
    <w:qFormat/>
    <w:rsid w:val="00FE42EB"/>
    <w:pPr>
      <w:framePr w:wrap="around" w:vAnchor="text" w:hAnchor="text" w:y="1"/>
    </w:pPr>
  </w:style>
  <w:style w:type="paragraph" w:customStyle="1" w:styleId="TOCAPP">
    <w:name w:val="TOCAPP"/>
    <w:basedOn w:val="TOC1"/>
    <w:qFormat/>
    <w:rsid w:val="00FE42EB"/>
    <w:pPr>
      <w:tabs>
        <w:tab w:val="left" w:pos="1440"/>
      </w:tabs>
      <w:spacing w:before="360"/>
      <w:contextualSpacing/>
    </w:pPr>
  </w:style>
  <w:style w:type="character" w:customStyle="1" w:styleId="Heading8Char">
    <w:name w:val="Heading 8 Char"/>
    <w:basedOn w:val="DefaultParagraphFont"/>
    <w:link w:val="Heading8"/>
    <w:uiPriority w:val="9"/>
    <w:rsid w:val="00FE42EB"/>
    <w:rPr>
      <w:rFonts w:ascii="Calibri" w:hAnsi="Calibri"/>
      <w:b/>
      <w:iCs/>
      <w:sz w:val="24"/>
      <w:szCs w:val="24"/>
    </w:rPr>
  </w:style>
  <w:style w:type="character" w:customStyle="1" w:styleId="StyleinintobulletItalic">
    <w:name w:val="Style ininto bullet + Italic"/>
    <w:basedOn w:val="DefaultParagraphFont"/>
    <w:rsid w:val="008E0C24"/>
    <w:rPr>
      <w:i/>
    </w:rPr>
  </w:style>
  <w:style w:type="table" w:styleId="TableGrid">
    <w:name w:val="Table Grid"/>
    <w:aliases w:val="Hrztl Table"/>
    <w:basedOn w:val="TableNormal"/>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ell">
    <w:name w:val="tableCell"/>
    <w:qFormat/>
    <w:rsid w:val="0088525C"/>
    <w:pPr>
      <w:keepNext/>
      <w:tabs>
        <w:tab w:val="left" w:pos="-1440"/>
        <w:tab w:val="left" w:pos="-720"/>
      </w:tabs>
      <w:spacing w:before="40" w:after="40" w:line="240" w:lineRule="atLeast"/>
    </w:pPr>
    <w:rPr>
      <w:rFonts w:ascii="Calibri" w:hAnsi="Calibri"/>
      <w:sz w:val="22"/>
    </w:rPr>
  </w:style>
  <w:style w:type="paragraph" w:styleId="BalloonText">
    <w:name w:val="Balloon Text"/>
    <w:basedOn w:val="Normal"/>
    <w:link w:val="BalloonTextChar"/>
    <w:rsid w:val="00572C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72C9A"/>
    <w:rPr>
      <w:rFonts w:ascii="Tahoma" w:hAnsi="Tahoma" w:cs="Tahoma"/>
      <w:sz w:val="16"/>
      <w:szCs w:val="16"/>
    </w:rPr>
  </w:style>
  <w:style w:type="numbering" w:customStyle="1" w:styleId="n">
    <w:name w:val="n"/>
    <w:aliases w:val="number"/>
    <w:basedOn w:val="NoList"/>
    <w:rsid w:val="00454747"/>
    <w:pPr>
      <w:numPr>
        <w:numId w:val="1"/>
      </w:numPr>
    </w:pPr>
  </w:style>
  <w:style w:type="paragraph" w:customStyle="1" w:styleId="Outline">
    <w:name w:val="Outline"/>
    <w:basedOn w:val="t"/>
    <w:link w:val="numChar"/>
    <w:qFormat/>
    <w:rsid w:val="00437FBA"/>
    <w:pPr>
      <w:numPr>
        <w:ilvl w:val="1"/>
      </w:numPr>
      <w:spacing w:after="120"/>
      <w:ind w:left="720"/>
    </w:pPr>
  </w:style>
  <w:style w:type="paragraph" w:customStyle="1" w:styleId="OutlineOut">
    <w:name w:val="Outline Out"/>
    <w:basedOn w:val="Outline"/>
    <w:rsid w:val="009D6644"/>
    <w:pPr>
      <w:spacing w:after="240"/>
    </w:pPr>
    <w:rPr>
      <w:rFonts w:cs="Times New Roman"/>
      <w:szCs w:val="20"/>
    </w:rPr>
  </w:style>
  <w:style w:type="character" w:customStyle="1" w:styleId="tChar">
    <w:name w:val="t Char"/>
    <w:aliases w:val="text Char,text Char Char,text1,text2,text11,text3,text31,text4,text5,text6,text61,t Char1,text Char1,text7,text9,text Char Char1,text + 11 pt Char,Before:  6 pt Char,After:  6 pt Char,Line spacing:  single Char Char,text + +Body Char,text8,text10"/>
    <w:basedOn w:val="DefaultParagraphFont"/>
    <w:link w:val="t"/>
    <w:rsid w:val="00EB0B23"/>
    <w:rPr>
      <w:rFonts w:ascii="Calibri" w:hAnsi="Calibri" w:cs="Arial"/>
      <w:sz w:val="22"/>
      <w:szCs w:val="22"/>
    </w:rPr>
  </w:style>
  <w:style w:type="character" w:customStyle="1" w:styleId="numChar">
    <w:name w:val="num Char"/>
    <w:basedOn w:val="tChar"/>
    <w:link w:val="Outline"/>
    <w:rsid w:val="00437FBA"/>
    <w:rPr>
      <w:rFonts w:ascii="Calibri" w:hAnsi="Calibri" w:cs="Arial"/>
      <w:sz w:val="22"/>
      <w:szCs w:val="22"/>
    </w:rPr>
  </w:style>
  <w:style w:type="character" w:styleId="PlaceholderText">
    <w:name w:val="Placeholder Text"/>
    <w:basedOn w:val="DefaultParagraphFont"/>
    <w:uiPriority w:val="99"/>
    <w:semiHidden/>
    <w:rsid w:val="004B59EE"/>
    <w:rPr>
      <w:color w:val="808080"/>
    </w:rPr>
  </w:style>
  <w:style w:type="character" w:styleId="Strong">
    <w:name w:val="Strong"/>
    <w:basedOn w:val="DefaultParagraphFont"/>
    <w:uiPriority w:val="22"/>
    <w:qFormat/>
    <w:rsid w:val="004B59EE"/>
    <w:rPr>
      <w:b/>
      <w:bCs/>
    </w:rPr>
  </w:style>
  <w:style w:type="table" w:customStyle="1" w:styleId="NEXANTNEWTABLESTYLE">
    <w:name w:val="NEXANT NEW TABLE STYLE"/>
    <w:basedOn w:val="TableNormal"/>
    <w:uiPriority w:val="99"/>
    <w:rsid w:val="002A2C30"/>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character" w:customStyle="1" w:styleId="HeaderChar">
    <w:name w:val="Header Char"/>
    <w:basedOn w:val="DefaultParagraphFont"/>
    <w:link w:val="Header"/>
    <w:rsid w:val="002D3782"/>
    <w:rPr>
      <w:rFonts w:ascii="Arial Narrow" w:hAnsi="Arial Narrow"/>
      <w:color w:val="A6A6A6"/>
      <w:sz w:val="18"/>
    </w:rPr>
  </w:style>
  <w:style w:type="character" w:styleId="CommentReference">
    <w:name w:val="annotation reference"/>
    <w:basedOn w:val="DefaultParagraphFont"/>
    <w:rsid w:val="00EB0B23"/>
    <w:rPr>
      <w:sz w:val="16"/>
      <w:szCs w:val="16"/>
    </w:rPr>
  </w:style>
  <w:style w:type="paragraph" w:styleId="CommentText">
    <w:name w:val="annotation text"/>
    <w:basedOn w:val="Normal"/>
    <w:link w:val="CommentTextChar"/>
    <w:rsid w:val="00EB0B23"/>
    <w:pPr>
      <w:spacing w:line="240" w:lineRule="auto"/>
    </w:pPr>
    <w:rPr>
      <w:sz w:val="20"/>
    </w:rPr>
  </w:style>
  <w:style w:type="character" w:customStyle="1" w:styleId="CommentTextChar">
    <w:name w:val="Comment Text Char"/>
    <w:basedOn w:val="DefaultParagraphFont"/>
    <w:link w:val="CommentText"/>
    <w:rsid w:val="00EB0B23"/>
    <w:rPr>
      <w:rFonts w:asciiTheme="minorHAnsi" w:hAnsiTheme="minorHAnsi"/>
    </w:rPr>
  </w:style>
  <w:style w:type="paragraph" w:styleId="CommentSubject">
    <w:name w:val="annotation subject"/>
    <w:basedOn w:val="CommentText"/>
    <w:next w:val="CommentText"/>
    <w:link w:val="CommentSubjectChar"/>
    <w:uiPriority w:val="99"/>
    <w:rsid w:val="00EB0B23"/>
    <w:rPr>
      <w:b/>
      <w:bCs/>
    </w:rPr>
  </w:style>
  <w:style w:type="character" w:customStyle="1" w:styleId="CommentSubjectChar">
    <w:name w:val="Comment Subject Char"/>
    <w:basedOn w:val="CommentTextChar"/>
    <w:link w:val="CommentSubject"/>
    <w:uiPriority w:val="99"/>
    <w:rsid w:val="00EB0B23"/>
    <w:rPr>
      <w:rFonts w:asciiTheme="minorHAnsi" w:hAnsiTheme="minorHAnsi"/>
      <w:b/>
      <w:bCs/>
    </w:rPr>
  </w:style>
  <w:style w:type="paragraph" w:styleId="EndnoteText">
    <w:name w:val="endnote text"/>
    <w:basedOn w:val="Normal"/>
    <w:link w:val="EndnoteTextChar"/>
    <w:rsid w:val="00E45947"/>
    <w:pPr>
      <w:spacing w:after="0" w:line="240" w:lineRule="auto"/>
    </w:pPr>
    <w:rPr>
      <w:sz w:val="20"/>
    </w:rPr>
  </w:style>
  <w:style w:type="character" w:customStyle="1" w:styleId="EndnoteTextChar">
    <w:name w:val="Endnote Text Char"/>
    <w:basedOn w:val="DefaultParagraphFont"/>
    <w:link w:val="EndnoteText"/>
    <w:rsid w:val="00E45947"/>
    <w:rPr>
      <w:rFonts w:asciiTheme="minorHAnsi" w:hAnsiTheme="minorHAnsi"/>
    </w:rPr>
  </w:style>
  <w:style w:type="character" w:styleId="EndnoteReference">
    <w:name w:val="endnote reference"/>
    <w:basedOn w:val="DefaultParagraphFont"/>
    <w:rsid w:val="00E45947"/>
    <w:rPr>
      <w:vertAlign w:val="superscript"/>
    </w:rPr>
  </w:style>
  <w:style w:type="numbering" w:styleId="1ai">
    <w:name w:val="Outline List 1"/>
    <w:basedOn w:val="NoList"/>
    <w:rsid w:val="000B7884"/>
    <w:pPr>
      <w:numPr>
        <w:numId w:val="9"/>
      </w:numPr>
    </w:pPr>
  </w:style>
  <w:style w:type="character" w:customStyle="1" w:styleId="obChar">
    <w:name w:val="ob Char"/>
    <w:aliases w:val="out of bullet Char,Bullet Char,b Char,bullet Char,Body Char,bullet Char Char,Body Char Char,body Char,bd Char,b-heading 1/heading 2 Char,heading1body-heading2body Char,bullets Char,he... + Black Char,bullet + Times New Roman Char,10 pt Char"/>
    <w:basedOn w:val="DefaultParagraphFont"/>
    <w:link w:val="ob"/>
    <w:locked/>
    <w:rsid w:val="000B7884"/>
    <w:rPr>
      <w:rFonts w:ascii="Calibri" w:hAnsi="Calibri"/>
      <w:sz w:val="22"/>
    </w:rPr>
  </w:style>
  <w:style w:type="paragraph" w:customStyle="1" w:styleId="nl">
    <w:name w:val="nl"/>
    <w:aliases w:val="numbered list"/>
    <w:basedOn w:val="Normal"/>
    <w:rsid w:val="000B7884"/>
    <w:pPr>
      <w:tabs>
        <w:tab w:val="clear" w:pos="-1440"/>
        <w:tab w:val="clear" w:pos="-720"/>
        <w:tab w:val="num" w:pos="720"/>
      </w:tabs>
      <w:adjustRightInd w:val="0"/>
      <w:snapToGrid w:val="0"/>
      <w:spacing w:after="120" w:line="260" w:lineRule="atLeast"/>
      <w:ind w:left="720" w:hanging="720"/>
      <w:jc w:val="both"/>
    </w:pPr>
    <w:rPr>
      <w:rFonts w:ascii="Times New Roman" w:hAnsi="Times New Roman"/>
      <w:sz w:val="24"/>
    </w:rPr>
  </w:style>
  <w:style w:type="character" w:customStyle="1" w:styleId="inChar">
    <w:name w:val="in Char"/>
    <w:aliases w:val="into bullet Char"/>
    <w:basedOn w:val="DefaultParagraphFont"/>
    <w:link w:val="in"/>
    <w:uiPriority w:val="99"/>
    <w:locked/>
    <w:rsid w:val="000B7884"/>
    <w:rPr>
      <w:rFonts w:ascii="Calibri" w:hAnsi="Calibri"/>
      <w:sz w:val="22"/>
    </w:rPr>
  </w:style>
  <w:style w:type="paragraph" w:styleId="DocumentMap">
    <w:name w:val="Document Map"/>
    <w:basedOn w:val="Normal"/>
    <w:link w:val="DocumentMapChar"/>
    <w:rsid w:val="000B788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0B7884"/>
    <w:rPr>
      <w:rFonts w:ascii="Lucida Grande" w:hAnsi="Lucida Grande" w:cs="Lucida Grande"/>
      <w:sz w:val="24"/>
      <w:szCs w:val="24"/>
    </w:rPr>
  </w:style>
  <w:style w:type="character" w:customStyle="1" w:styleId="Heading3Char">
    <w:name w:val="Heading 3 Char"/>
    <w:aliases w:val="3 Char,3rd order hd Char"/>
    <w:basedOn w:val="DefaultParagraphFont"/>
    <w:link w:val="Heading3"/>
    <w:rsid w:val="00531D0A"/>
    <w:rPr>
      <w:rFonts w:ascii="Calibri" w:hAnsi="Calibri"/>
      <w:color w:val="1F497D"/>
      <w:sz w:val="28"/>
    </w:rPr>
  </w:style>
  <w:style w:type="paragraph" w:customStyle="1" w:styleId="TableHeading-left">
    <w:name w:val="Table Heading-left"/>
    <w:basedOn w:val="Normal"/>
    <w:qFormat/>
    <w:rsid w:val="00771368"/>
    <w:pPr>
      <w:tabs>
        <w:tab w:val="clear" w:pos="-1440"/>
        <w:tab w:val="clear" w:pos="-720"/>
      </w:tabs>
      <w:spacing w:after="0" w:line="276" w:lineRule="auto"/>
      <w:ind w:left="0"/>
    </w:pPr>
    <w:rPr>
      <w:rFonts w:eastAsiaTheme="minorHAnsi" w:cstheme="minorBidi"/>
      <w:b/>
      <w:color w:val="FFFFFF" w:themeColor="background1"/>
      <w:szCs w:val="22"/>
    </w:rPr>
  </w:style>
  <w:style w:type="paragraph" w:customStyle="1" w:styleId="TableHeading-centered">
    <w:name w:val="Table Heading-centered"/>
    <w:basedOn w:val="TableHeading-left"/>
    <w:qFormat/>
    <w:rsid w:val="00771368"/>
    <w:pPr>
      <w:jc w:val="center"/>
    </w:pPr>
  </w:style>
  <w:style w:type="paragraph" w:customStyle="1" w:styleId="TableRow-left">
    <w:name w:val="Table Row-left"/>
    <w:basedOn w:val="Normal"/>
    <w:qFormat/>
    <w:rsid w:val="00771368"/>
    <w:pPr>
      <w:tabs>
        <w:tab w:val="clear" w:pos="-1440"/>
        <w:tab w:val="clear" w:pos="-720"/>
      </w:tabs>
      <w:spacing w:after="0" w:line="276" w:lineRule="auto"/>
      <w:ind w:left="0"/>
    </w:pPr>
    <w:rPr>
      <w:rFonts w:eastAsiaTheme="minorHAnsi" w:cstheme="minorBidi"/>
      <w:sz w:val="20"/>
      <w:szCs w:val="22"/>
    </w:rPr>
  </w:style>
  <w:style w:type="paragraph" w:customStyle="1" w:styleId="TableRow-center">
    <w:name w:val="Table Row-center"/>
    <w:basedOn w:val="Normal"/>
    <w:qFormat/>
    <w:rsid w:val="00771368"/>
    <w:pPr>
      <w:tabs>
        <w:tab w:val="clear" w:pos="-1440"/>
        <w:tab w:val="clear" w:pos="-720"/>
      </w:tabs>
      <w:spacing w:after="0" w:line="276" w:lineRule="auto"/>
      <w:ind w:left="0"/>
      <w:jc w:val="center"/>
    </w:pPr>
    <w:rPr>
      <w:rFonts w:eastAsiaTheme="minorHAnsi" w:cstheme="minorBidi"/>
      <w:sz w:val="20"/>
      <w:szCs w:val="22"/>
    </w:rPr>
  </w:style>
  <w:style w:type="character" w:customStyle="1" w:styleId="CaptionChar1">
    <w:name w:val="Caption Char1"/>
    <w:aliases w:val="Caption Char Char,Table Caption Char,Char Char, Char Char,Figure Char"/>
    <w:basedOn w:val="DefaultParagraphFont"/>
    <w:link w:val="Caption"/>
    <w:locked/>
    <w:rsid w:val="00771368"/>
    <w:rPr>
      <w:rFonts w:ascii="Calibri" w:hAnsi="Calibri" w:cs="Arial"/>
      <w:color w:val="1F497D" w:themeColor="text2"/>
    </w:rPr>
  </w:style>
  <w:style w:type="character" w:customStyle="1" w:styleId="spellingerror">
    <w:name w:val="spellingerror"/>
    <w:basedOn w:val="DefaultParagraphFont"/>
    <w:rsid w:val="00771368"/>
  </w:style>
  <w:style w:type="character" w:customStyle="1" w:styleId="normaltextrun">
    <w:name w:val="normaltextrun"/>
    <w:basedOn w:val="DefaultParagraphFont"/>
    <w:rsid w:val="00771368"/>
  </w:style>
  <w:style w:type="paragraph" w:customStyle="1" w:styleId="paragraph">
    <w:name w:val="paragraph"/>
    <w:basedOn w:val="Normal"/>
    <w:rsid w:val="00771368"/>
    <w:pPr>
      <w:tabs>
        <w:tab w:val="clear" w:pos="-1440"/>
        <w:tab w:val="clear" w:pos="-720"/>
      </w:tabs>
      <w:spacing w:before="100" w:beforeAutospacing="1" w:after="100" w:afterAutospacing="1" w:line="240" w:lineRule="auto"/>
      <w:ind w:left="0"/>
    </w:pPr>
    <w:rPr>
      <w:rFonts w:ascii="Times New Roman" w:hAnsi="Times New Roman"/>
      <w:sz w:val="24"/>
      <w:szCs w:val="24"/>
    </w:rPr>
  </w:style>
  <w:style w:type="character" w:customStyle="1" w:styleId="eop">
    <w:name w:val="eop"/>
    <w:basedOn w:val="DefaultParagraphFont"/>
    <w:rsid w:val="00771368"/>
  </w:style>
  <w:style w:type="character" w:customStyle="1" w:styleId="Heading4Char">
    <w:name w:val="Heading 4 Char"/>
    <w:aliases w:val="4 Char,4th order head Char,heading 4 Char,num.                                               4 Char, resume Char"/>
    <w:basedOn w:val="DefaultParagraphFont"/>
    <w:link w:val="Heading4"/>
    <w:locked/>
    <w:rsid w:val="00771368"/>
    <w:rPr>
      <w:rFonts w:ascii="Calibri" w:hAnsi="Calibri"/>
      <w:color w:val="1F497D" w:themeColor="text2"/>
      <w:sz w:val="24"/>
      <w:szCs w:val="22"/>
    </w:rPr>
  </w:style>
  <w:style w:type="character" w:customStyle="1" w:styleId="FootnoteTextChar">
    <w:name w:val="Footnote Text Char"/>
    <w:aliases w:val="Footnote Text1 Char Char,Footnote Text Char Ch Char,Footnote Text Char Ch Char Char Char Char,Footnote Text Char Ch Char Char Char1,Footnote Text1 Char Char Char Char,ft Char Char,ft Char1,Char2 Char Char,TBG Style Char,fn Char"/>
    <w:basedOn w:val="DefaultParagraphFont"/>
    <w:link w:val="FootnoteText"/>
    <w:uiPriority w:val="99"/>
    <w:rsid w:val="0002122E"/>
    <w:rPr>
      <w:rFonts w:ascii="Calibri" w:hAnsi="Calibri"/>
      <w:sz w:val="18"/>
    </w:rPr>
  </w:style>
  <w:style w:type="paragraph" w:styleId="ListParagraph">
    <w:name w:val="List Paragraph"/>
    <w:basedOn w:val="Normal"/>
    <w:link w:val="ListParagraphChar"/>
    <w:uiPriority w:val="34"/>
    <w:qFormat/>
    <w:rsid w:val="00050FD1"/>
    <w:pPr>
      <w:ind w:left="720"/>
      <w:contextualSpacing/>
    </w:pPr>
  </w:style>
  <w:style w:type="character" w:customStyle="1" w:styleId="ListParagraphChar">
    <w:name w:val="List Paragraph Char"/>
    <w:basedOn w:val="DefaultParagraphFont"/>
    <w:link w:val="ListParagraph"/>
    <w:uiPriority w:val="34"/>
    <w:locked/>
    <w:rsid w:val="00050FD1"/>
    <w:rPr>
      <w:rFonts w:asciiTheme="minorHAnsi" w:hAnsiTheme="minorHAnsi"/>
      <w:sz w:val="22"/>
    </w:rPr>
  </w:style>
  <w:style w:type="paragraph" w:customStyle="1" w:styleId="Equation">
    <w:name w:val="Equation"/>
    <w:basedOn w:val="t"/>
    <w:next w:val="t"/>
    <w:qFormat/>
    <w:rsid w:val="0062284A"/>
    <w:pPr>
      <w:numPr>
        <w:numId w:val="0"/>
      </w:numPr>
      <w:ind w:left="360"/>
    </w:pPr>
    <w:rPr>
      <w:rFonts w:cs="Calibri"/>
      <w:i/>
    </w:rPr>
  </w:style>
  <w:style w:type="paragraph" w:customStyle="1" w:styleId="TableHeading">
    <w:name w:val="Table Heading"/>
    <w:basedOn w:val="Normal"/>
    <w:uiPriority w:val="99"/>
    <w:rsid w:val="009E449C"/>
    <w:pPr>
      <w:keepNext/>
      <w:numPr>
        <w:ilvl w:val="12"/>
      </w:numPr>
      <w:tabs>
        <w:tab w:val="clear" w:pos="-1440"/>
        <w:tab w:val="clear" w:pos="-720"/>
      </w:tabs>
      <w:spacing w:before="120" w:after="60" w:line="240" w:lineRule="auto"/>
      <w:ind w:left="360"/>
      <w:jc w:val="center"/>
    </w:pPr>
    <w:rPr>
      <w:rFonts w:ascii="Arial" w:hAnsi="Arial" w:cs="Arial"/>
      <w:b/>
      <w:caps/>
      <w:sz w:val="18"/>
      <w:szCs w:val="18"/>
    </w:rPr>
  </w:style>
  <w:style w:type="paragraph" w:customStyle="1" w:styleId="TableBody">
    <w:name w:val="Table Body"/>
    <w:basedOn w:val="Normal"/>
    <w:link w:val="TableBodyChar"/>
    <w:rsid w:val="009E449C"/>
    <w:pPr>
      <w:numPr>
        <w:ilvl w:val="12"/>
      </w:numPr>
      <w:tabs>
        <w:tab w:val="clear" w:pos="-1440"/>
        <w:tab w:val="clear" w:pos="-720"/>
      </w:tabs>
      <w:spacing w:before="80" w:after="40" w:line="240" w:lineRule="auto"/>
      <w:ind w:left="360"/>
      <w:jc w:val="center"/>
    </w:pPr>
    <w:rPr>
      <w:rFonts w:ascii="Arial" w:hAnsi="Arial" w:cs="Arial"/>
      <w:sz w:val="18"/>
      <w:szCs w:val="18"/>
    </w:rPr>
  </w:style>
  <w:style w:type="character" w:customStyle="1" w:styleId="TableBodyChar">
    <w:name w:val="Table Body Char"/>
    <w:basedOn w:val="DefaultParagraphFont"/>
    <w:link w:val="TableBody"/>
    <w:rsid w:val="009E449C"/>
    <w:rPr>
      <w:rFonts w:ascii="Arial" w:hAnsi="Arial" w:cs="Arial"/>
      <w:sz w:val="18"/>
      <w:szCs w:val="18"/>
    </w:rPr>
  </w:style>
  <w:style w:type="paragraph" w:customStyle="1" w:styleId="TableBodyHeading">
    <w:name w:val="Table Body Heading"/>
    <w:basedOn w:val="TableBody"/>
    <w:link w:val="TableBodyHeadingChar"/>
    <w:uiPriority w:val="99"/>
    <w:rsid w:val="009E449C"/>
  </w:style>
  <w:style w:type="character" w:customStyle="1" w:styleId="TableBodyHeadingChar">
    <w:name w:val="Table Body Heading Char"/>
    <w:basedOn w:val="TableBodyChar"/>
    <w:link w:val="TableBodyHeading"/>
    <w:uiPriority w:val="99"/>
    <w:rsid w:val="009E449C"/>
    <w:rPr>
      <w:rFonts w:ascii="Arial" w:hAnsi="Arial" w:cs="Arial"/>
      <w:sz w:val="18"/>
      <w:szCs w:val="18"/>
    </w:rPr>
  </w:style>
  <w:style w:type="character" w:customStyle="1" w:styleId="Heading9Char">
    <w:name w:val="Heading 9 Char"/>
    <w:basedOn w:val="DefaultParagraphFont"/>
    <w:link w:val="Heading9"/>
    <w:uiPriority w:val="99"/>
    <w:rsid w:val="00DF0C8B"/>
    <w:rPr>
      <w:rFonts w:ascii="Times New Roman" w:hAnsi="Times New Roman"/>
      <w:b/>
      <w:bCs/>
      <w:sz w:val="24"/>
      <w:szCs w:val="24"/>
    </w:rPr>
  </w:style>
  <w:style w:type="character" w:customStyle="1" w:styleId="Heading5Char">
    <w:name w:val="Heading 5 Char"/>
    <w:aliases w:val="5 Char"/>
    <w:basedOn w:val="DefaultParagraphFont"/>
    <w:link w:val="Heading5"/>
    <w:uiPriority w:val="99"/>
    <w:rsid w:val="00DF0C8B"/>
    <w:rPr>
      <w:rFonts w:ascii="Calibri" w:hAnsi="Calibri"/>
      <w:i/>
      <w:color w:val="1F497D" w:themeColor="text2"/>
      <w:sz w:val="24"/>
    </w:rPr>
  </w:style>
  <w:style w:type="paragraph" w:styleId="BodyText">
    <w:name w:val="Body Text"/>
    <w:basedOn w:val="Normal"/>
    <w:link w:val="BodyTextChar"/>
    <w:rsid w:val="00DF0C8B"/>
    <w:pPr>
      <w:spacing w:after="120"/>
    </w:pPr>
  </w:style>
  <w:style w:type="character" w:customStyle="1" w:styleId="BodyTextChar">
    <w:name w:val="Body Text Char"/>
    <w:basedOn w:val="DefaultParagraphFont"/>
    <w:link w:val="BodyText"/>
    <w:rsid w:val="00DF0C8B"/>
    <w:rPr>
      <w:rFonts w:asciiTheme="minorHAnsi" w:hAnsiTheme="minorHAnsi"/>
      <w:sz w:val="22"/>
    </w:rPr>
  </w:style>
  <w:style w:type="paragraph" w:styleId="ListNumber">
    <w:name w:val="List Number"/>
    <w:basedOn w:val="Normal"/>
    <w:uiPriority w:val="99"/>
    <w:rsid w:val="000D405B"/>
    <w:pPr>
      <w:tabs>
        <w:tab w:val="clear" w:pos="-1440"/>
        <w:tab w:val="clear" w:pos="-720"/>
        <w:tab w:val="num" w:pos="360"/>
      </w:tabs>
      <w:spacing w:after="0" w:line="240" w:lineRule="auto"/>
      <w:ind w:hanging="360"/>
    </w:pPr>
    <w:rPr>
      <w:rFonts w:ascii="Times New Roman" w:hAnsi="Times New Roman"/>
      <w:b/>
      <w:bCs/>
      <w:sz w:val="24"/>
      <w:szCs w:val="24"/>
    </w:rPr>
  </w:style>
  <w:style w:type="paragraph" w:styleId="BodyText2">
    <w:name w:val="Body Text 2"/>
    <w:basedOn w:val="Normal"/>
    <w:link w:val="BodyText2Char"/>
    <w:uiPriority w:val="99"/>
    <w:rsid w:val="00255FDA"/>
    <w:pPr>
      <w:tabs>
        <w:tab w:val="clear" w:pos="-1440"/>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720" w:hanging="720"/>
    </w:pPr>
    <w:rPr>
      <w:rFonts w:ascii="Times New Roman" w:hAnsi="Times New Roman"/>
      <w:sz w:val="20"/>
    </w:rPr>
  </w:style>
  <w:style w:type="character" w:customStyle="1" w:styleId="BodyText2Char">
    <w:name w:val="Body Text 2 Char"/>
    <w:basedOn w:val="DefaultParagraphFont"/>
    <w:link w:val="BodyText2"/>
    <w:uiPriority w:val="99"/>
    <w:rsid w:val="00255FDA"/>
    <w:rPr>
      <w:rFonts w:ascii="Times New Roman" w:hAnsi="Times New Roman"/>
    </w:rPr>
  </w:style>
  <w:style w:type="table" w:styleId="LightList-Accent1">
    <w:name w:val="Light List Accent 1"/>
    <w:basedOn w:val="TableNormal"/>
    <w:uiPriority w:val="61"/>
    <w:rsid w:val="00717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8">
    <w:name w:val="Table Grid 8"/>
    <w:aliases w:val="NexTable"/>
    <w:basedOn w:val="TableNormal"/>
    <w:rsid w:val="00E6068A"/>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val="0"/>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paragraph" w:customStyle="1" w:styleId="Bullet2">
    <w:name w:val="Bullet 2"/>
    <w:basedOn w:val="Normal"/>
    <w:autoRedefine/>
    <w:rsid w:val="00CE2145"/>
    <w:pPr>
      <w:numPr>
        <w:numId w:val="12"/>
      </w:numPr>
      <w:tabs>
        <w:tab w:val="clear" w:pos="-1440"/>
        <w:tab w:val="clear" w:pos="-720"/>
        <w:tab w:val="clear" w:pos="360"/>
      </w:tabs>
      <w:spacing w:before="120" w:after="0" w:line="240" w:lineRule="auto"/>
      <w:ind w:left="1080"/>
    </w:pPr>
    <w:rPr>
      <w:rFonts w:ascii="Times New Roman" w:hAnsi="Times New Roman"/>
      <w:sz w:val="24"/>
    </w:rPr>
  </w:style>
  <w:style w:type="paragraph" w:customStyle="1" w:styleId="Number2">
    <w:name w:val="Number 2"/>
    <w:basedOn w:val="Normal"/>
    <w:rsid w:val="00CE2145"/>
    <w:pPr>
      <w:numPr>
        <w:numId w:val="13"/>
      </w:numPr>
      <w:tabs>
        <w:tab w:val="clear" w:pos="-1440"/>
        <w:tab w:val="clear" w:pos="-720"/>
        <w:tab w:val="left" w:pos="1440"/>
      </w:tabs>
      <w:spacing w:before="180" w:after="0" w:line="240" w:lineRule="auto"/>
    </w:pPr>
    <w:rPr>
      <w:rFonts w:ascii="Times New Roman" w:hAnsi="Times New Roman"/>
      <w:sz w:val="24"/>
    </w:rPr>
  </w:style>
  <w:style w:type="character" w:customStyle="1" w:styleId="Bullet1Char">
    <w:name w:val="Bullet 1 Char"/>
    <w:basedOn w:val="DefaultParagraphFont"/>
    <w:link w:val="b"/>
    <w:uiPriority w:val="99"/>
    <w:locked/>
    <w:rsid w:val="00CE2145"/>
    <w:rPr>
      <w:rFonts w:ascii="Calibri" w:hAnsi="Calibri" w:cs="Arial"/>
      <w:sz w:val="22"/>
      <w:szCs w:val="22"/>
    </w:rPr>
  </w:style>
  <w:style w:type="paragraph" w:customStyle="1" w:styleId="Bullet4">
    <w:name w:val="Bullet 4"/>
    <w:basedOn w:val="Normal"/>
    <w:qFormat/>
    <w:rsid w:val="00CE2145"/>
    <w:pPr>
      <w:numPr>
        <w:numId w:val="14"/>
      </w:numPr>
      <w:tabs>
        <w:tab w:val="clear" w:pos="-1440"/>
        <w:tab w:val="clear" w:pos="-720"/>
      </w:tabs>
      <w:spacing w:before="60" w:after="0" w:line="240" w:lineRule="auto"/>
      <w:ind w:left="1440"/>
    </w:pPr>
    <w:rPr>
      <w:rFonts w:ascii="Times New Roman" w:eastAsiaTheme="minorHAnsi" w:hAnsi="Times New Roman" w:cstheme="minorBidi"/>
      <w:sz w:val="24"/>
      <w:szCs w:val="22"/>
    </w:rPr>
  </w:style>
  <w:style w:type="paragraph" w:customStyle="1" w:styleId="m">
    <w:name w:val="m"/>
    <w:aliases w:val="mdash"/>
    <w:basedOn w:val="b"/>
    <w:rsid w:val="00090515"/>
    <w:pPr>
      <w:numPr>
        <w:numId w:val="15"/>
      </w:numPr>
      <w:tabs>
        <w:tab w:val="clear" w:pos="1080"/>
      </w:tabs>
      <w:spacing w:line="264" w:lineRule="auto"/>
      <w:ind w:left="1800"/>
    </w:pPr>
  </w:style>
  <w:style w:type="paragraph" w:customStyle="1" w:styleId="om">
    <w:name w:val="om"/>
    <w:aliases w:val="out of mdash"/>
    <w:basedOn w:val="m"/>
    <w:rsid w:val="00090515"/>
    <w:pPr>
      <w:spacing w:after="240"/>
    </w:pPr>
  </w:style>
  <w:style w:type="paragraph" w:customStyle="1" w:styleId="Indent1">
    <w:name w:val="Indent 1"/>
    <w:basedOn w:val="t"/>
    <w:qFormat/>
    <w:rsid w:val="00090515"/>
    <w:pPr>
      <w:numPr>
        <w:numId w:val="0"/>
      </w:numPr>
      <w:ind w:left="1080"/>
    </w:pPr>
  </w:style>
  <w:style w:type="paragraph" w:customStyle="1" w:styleId="Indent2">
    <w:name w:val="Indent 2"/>
    <w:basedOn w:val="t"/>
    <w:qFormat/>
    <w:rsid w:val="00090515"/>
    <w:pPr>
      <w:numPr>
        <w:numId w:val="0"/>
      </w:numPr>
      <w:ind w:left="1800"/>
    </w:pPr>
  </w:style>
  <w:style w:type="paragraph" w:customStyle="1" w:styleId="Appendix">
    <w:name w:val="Appendix"/>
    <w:next w:val="t"/>
    <w:rsid w:val="00090515"/>
    <w:pPr>
      <w:shd w:val="clear" w:color="auto" w:fill="1F497D"/>
      <w:tabs>
        <w:tab w:val="left" w:pos="4410"/>
        <w:tab w:val="right" w:pos="9360"/>
      </w:tabs>
      <w:spacing w:after="480"/>
    </w:pPr>
    <w:rPr>
      <w:rFonts w:ascii="Calibri" w:hAnsi="Calibri"/>
      <w:b/>
      <w:bCs/>
      <w:smallCaps/>
      <w:color w:val="FFFFFF"/>
      <w:kern w:val="28"/>
      <w:sz w:val="32"/>
      <w:szCs w:val="32"/>
    </w:rPr>
  </w:style>
  <w:style w:type="table" w:styleId="Table3Deffects1">
    <w:name w:val="Table 3D effects 1"/>
    <w:basedOn w:val="TableNormal"/>
    <w:rsid w:val="00090515"/>
    <w:pPr>
      <w:tabs>
        <w:tab w:val="left" w:pos="-1440"/>
        <w:tab w:val="left" w:pos="-720"/>
      </w:tab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090515"/>
    <w:pPr>
      <w:tabs>
        <w:tab w:val="left" w:pos="-1440"/>
        <w:tab w:val="left" w:pos="-720"/>
      </w:tab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NexTable1">
    <w:name w:val="NexTable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hemeColor="background1"/>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table" w:styleId="TableContemporary">
    <w:name w:val="Table Contemporary"/>
    <w:basedOn w:val="TableNormal"/>
    <w:rsid w:val="00090515"/>
    <w:pPr>
      <w:tabs>
        <w:tab w:val="left" w:pos="-1440"/>
        <w:tab w:val="left" w:pos="-720"/>
      </w:tab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Bullet">
    <w:name w:val="List Bullet"/>
    <w:basedOn w:val="Normal"/>
    <w:rsid w:val="00090515"/>
    <w:pPr>
      <w:tabs>
        <w:tab w:val="num" w:pos="360"/>
      </w:tabs>
      <w:spacing w:after="0" w:line="240" w:lineRule="atLeast"/>
      <w:ind w:hanging="360"/>
      <w:contextualSpacing/>
    </w:pPr>
    <w:rPr>
      <w:rFonts w:ascii="Times New Roman" w:hAnsi="Times New Roman"/>
      <w:sz w:val="24"/>
    </w:rPr>
  </w:style>
  <w:style w:type="character" w:styleId="Emphasis">
    <w:name w:val="Emphasis"/>
    <w:basedOn w:val="DefaultParagraphFont"/>
    <w:qFormat/>
    <w:rsid w:val="00090515"/>
    <w:rPr>
      <w:i/>
      <w:iCs/>
    </w:rPr>
  </w:style>
  <w:style w:type="paragraph" w:customStyle="1" w:styleId="TableCell0">
    <w:name w:val="TableCell"/>
    <w:link w:val="TableCellChar"/>
    <w:uiPriority w:val="99"/>
    <w:rsid w:val="00090515"/>
    <w:pPr>
      <w:spacing w:before="40" w:after="40"/>
    </w:pPr>
    <w:rPr>
      <w:rFonts w:ascii="Arial" w:hAnsi="Arial"/>
      <w:sz w:val="16"/>
      <w:szCs w:val="16"/>
    </w:rPr>
  </w:style>
  <w:style w:type="character" w:customStyle="1" w:styleId="TableCellChar">
    <w:name w:val="TableCell Char"/>
    <w:link w:val="TableCell0"/>
    <w:uiPriority w:val="99"/>
    <w:locked/>
    <w:rsid w:val="00090515"/>
    <w:rPr>
      <w:rFonts w:ascii="Arial" w:hAnsi="Arial"/>
      <w:sz w:val="16"/>
      <w:szCs w:val="16"/>
    </w:rPr>
  </w:style>
  <w:style w:type="numbering" w:customStyle="1" w:styleId="StyleNumberedListCalibri11ptLeft05Hanging025">
    <w:name w:val="Style Numbered List Calibri 11 pt Left:  0.5&quot; Hanging:  0.25&quot;"/>
    <w:basedOn w:val="NoList"/>
    <w:rsid w:val="00090515"/>
    <w:pPr>
      <w:numPr>
        <w:numId w:val="16"/>
      </w:numPr>
    </w:pPr>
  </w:style>
  <w:style w:type="table" w:customStyle="1" w:styleId="NexTable11">
    <w:name w:val="NexTable11"/>
    <w:basedOn w:val="TableNormal"/>
    <w:rsid w:val="00090515"/>
    <w:pPr>
      <w:keepNext/>
      <w:tabs>
        <w:tab w:val="left" w:pos="-1440"/>
        <w:tab w:val="left" w:pos="-720"/>
      </w:tabs>
      <w:spacing w:line="240" w:lineRule="atLeast"/>
    </w:pPr>
    <w:rPr>
      <w:rFonts w:ascii="Calibri" w:hAnsi="Calibri"/>
      <w:sz w:val="22"/>
    </w:rPr>
    <w:tblPr>
      <w:tblStyleRowBandSize w:val="1"/>
      <w:tblStyleColBandSize w:val="1"/>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FFFFFF"/>
    </w:tcPr>
    <w:tblStylePr w:type="firstRow">
      <w:pPr>
        <w:jc w:val="left"/>
      </w:pPr>
      <w:rPr>
        <w:b/>
        <w:bCs/>
        <w:color w:val="FFFFFF"/>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FFFFFF"/>
          <w:tl2br w:val="nil"/>
          <w:tr2bl w:val="nil"/>
        </w:tcBorders>
        <w:shd w:val="clear" w:color="auto" w:fill="1F497D"/>
      </w:tcPr>
    </w:tblStylePr>
    <w:tblStylePr w:type="lastRow">
      <w:rPr>
        <w:b/>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val="0"/>
        <w:bCs/>
        <w:color w:val="auto"/>
      </w:rPr>
      <w:tblPr/>
      <w:tcPr>
        <w:tcBorders>
          <w:tl2br w:val="none" w:sz="0" w:space="0" w:color="auto"/>
          <w:tr2bl w:val="none" w:sz="0" w:space="0" w:color="auto"/>
        </w:tcBorders>
      </w:tcPr>
    </w:tblStylePr>
    <w:tblStylePr w:type="band2Horz">
      <w:tblPr/>
      <w:tcPr>
        <w:shd w:val="clear" w:color="auto" w:fill="D9D9D9"/>
      </w:tcPr>
    </w:tblStylePr>
  </w:style>
  <w:style w:type="character" w:customStyle="1" w:styleId="Heading2Char">
    <w:name w:val="Heading 2 Char"/>
    <w:aliases w:val="2 Char,ProjectHeading Char,2nd order hd Char,resume Char"/>
    <w:basedOn w:val="DefaultParagraphFont"/>
    <w:link w:val="Heading2"/>
    <w:rsid w:val="00090515"/>
    <w:rPr>
      <w:rFonts w:ascii="Calibri" w:hAnsi="Calibri"/>
      <w:smallCaps/>
      <w:color w:val="1F497D" w:themeColor="text2"/>
      <w:sz w:val="36"/>
    </w:rPr>
  </w:style>
  <w:style w:type="table" w:customStyle="1" w:styleId="NexantTable">
    <w:name w:val="Nexant Table"/>
    <w:basedOn w:val="TableNormal"/>
    <w:uiPriority w:val="99"/>
    <w:qFormat/>
    <w:rsid w:val="00090515"/>
    <w:pPr>
      <w:spacing w:before="40" w:after="40"/>
    </w:pPr>
    <w:rPr>
      <w:rFonts w:asciiTheme="minorHAnsi" w:hAnsiTheme="minorHAnsi"/>
      <w:sz w:val="22"/>
    </w:rPr>
    <w:tblPr>
      <w:tblStyleRowBandSize w:val="1"/>
      <w:tblBorders>
        <w:top w:val="single" w:sz="4" w:space="0" w:color="1F497D"/>
        <w:left w:val="single" w:sz="4" w:space="0" w:color="1F497D"/>
        <w:bottom w:val="single" w:sz="4" w:space="0" w:color="000000" w:themeColor="text1"/>
        <w:right w:val="single" w:sz="4" w:space="0" w:color="1F497D"/>
      </w:tblBorders>
    </w:tblPr>
    <w:tblStylePr w:type="firstRow">
      <w:rPr>
        <w:rFonts w:asciiTheme="minorHAnsi" w:hAnsiTheme="minorHAnsi"/>
        <w:b/>
        <w:color w:val="FFFFFF" w:themeColor="background1"/>
        <w:sz w:val="22"/>
      </w:rPr>
      <w:tblPr/>
      <w:tcPr>
        <w:shd w:val="clear" w:color="auto" w:fill="1F497D" w:themeFill="text2"/>
      </w:tcPr>
    </w:tblStylePr>
    <w:tblStylePr w:type="band1Horz">
      <w:tblPr/>
      <w:tcPr>
        <w:tcBorders>
          <w:top w:val="single" w:sz="4" w:space="0" w:color="000000" w:themeColor="text1"/>
          <w:left w:val="single" w:sz="4" w:space="0" w:color="1F497D"/>
          <w:bottom w:val="nil"/>
          <w:right w:val="single" w:sz="4" w:space="0" w:color="1F497D"/>
          <w:insideH w:val="nil"/>
          <w:insideV w:val="nil"/>
        </w:tcBorders>
      </w:tcPr>
    </w:tblStylePr>
    <w:tblStylePr w:type="band2Horz">
      <w:rPr>
        <w:rFonts w:asciiTheme="minorHAnsi" w:hAnsiTheme="minorHAnsi"/>
        <w:sz w:val="22"/>
      </w:rPr>
      <w:tblPr/>
      <w:tcPr>
        <w:tcBorders>
          <w:top w:val="single" w:sz="4" w:space="0" w:color="1F497D"/>
          <w:left w:val="single" w:sz="4" w:space="0" w:color="1F497D"/>
          <w:bottom w:val="single" w:sz="4" w:space="0" w:color="1F497D"/>
        </w:tcBorders>
        <w:shd w:val="clear" w:color="auto" w:fill="F2F2F2"/>
      </w:tcPr>
    </w:tblStylePr>
  </w:style>
  <w:style w:type="character" w:styleId="IntenseEmphasis">
    <w:name w:val="Intense Emphasis"/>
    <w:basedOn w:val="DefaultParagraphFont"/>
    <w:uiPriority w:val="21"/>
    <w:qFormat/>
    <w:rsid w:val="00090515"/>
    <w:rPr>
      <w:b/>
      <w:bCs/>
      <w:i/>
      <w:iCs/>
      <w:color w:val="4F81BD" w:themeColor="accent1"/>
    </w:rPr>
  </w:style>
  <w:style w:type="paragraph" w:customStyle="1" w:styleId="Style2">
    <w:name w:val="Style2"/>
    <w:basedOn w:val="Heading1"/>
    <w:qFormat/>
    <w:rsid w:val="00090515"/>
    <w:pPr>
      <w:numPr>
        <w:numId w:val="17"/>
      </w:numPr>
      <w:shd w:val="clear" w:color="auto" w:fill="1F497D"/>
      <w:tabs>
        <w:tab w:val="left" w:pos="1170"/>
      </w:tabs>
      <w:jc w:val="left"/>
    </w:pPr>
    <w:rPr>
      <w:b/>
      <w:color w:val="FFFFFF"/>
      <w:sz w:val="32"/>
    </w:rPr>
  </w:style>
  <w:style w:type="paragraph" w:customStyle="1" w:styleId="Default">
    <w:name w:val="Default"/>
    <w:rsid w:val="00090515"/>
    <w:pPr>
      <w:autoSpaceDE w:val="0"/>
      <w:autoSpaceDN w:val="0"/>
      <w:adjustRightInd w:val="0"/>
    </w:pPr>
    <w:rPr>
      <w:rFonts w:ascii="JDAOP K+ Frutiger LT Std" w:hAnsi="JDAOP K+ Frutiger LT Std" w:cs="JDAOP K+ Frutiger LT Std"/>
      <w:color w:val="000000"/>
      <w:sz w:val="24"/>
      <w:szCs w:val="24"/>
    </w:rPr>
  </w:style>
  <w:style w:type="paragraph" w:customStyle="1" w:styleId="CM104">
    <w:name w:val="CM104"/>
    <w:basedOn w:val="Default"/>
    <w:next w:val="Default"/>
    <w:uiPriority w:val="99"/>
    <w:rsid w:val="00090515"/>
    <w:pPr>
      <w:spacing w:after="185"/>
    </w:pPr>
    <w:rPr>
      <w:rFonts w:ascii="IIOEI B+ Frutiger LT Std" w:hAnsi="IIOEI B+ Frutiger LT Std" w:cs="IIOEI B+ Frutiger LT Std"/>
      <w:color w:val="auto"/>
    </w:rPr>
  </w:style>
  <w:style w:type="table" w:customStyle="1" w:styleId="NEXANTNEWTABLESTYLE1">
    <w:name w:val="NEXANT NEW TABLE STYLE1"/>
    <w:basedOn w:val="TableNormal"/>
    <w:uiPriority w:val="99"/>
    <w:rsid w:val="003D1A95"/>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table" w:customStyle="1" w:styleId="NEXANTNEWTABLESTYLE2">
    <w:name w:val="NEXANT NEW TABLE STYLE2"/>
    <w:basedOn w:val="TableNormal"/>
    <w:uiPriority w:val="99"/>
    <w:rsid w:val="00B3251F"/>
    <w:pPr>
      <w:tabs>
        <w:tab w:val="center" w:pos="720"/>
      </w:tabs>
    </w:pPr>
    <w:tblPr>
      <w:tblBorders>
        <w:top w:val="single" w:sz="4" w:space="0" w:color="1F497D" w:themeColor="text2"/>
        <w:bottom w:val="single" w:sz="4" w:space="0" w:color="1F497D" w:themeColor="text2"/>
        <w:insideH w:val="single" w:sz="4" w:space="0" w:color="1F497D" w:themeColor="text2"/>
        <w:insideV w:val="dotted" w:sz="4" w:space="0" w:color="1F497D" w:themeColor="text2"/>
      </w:tblBorders>
    </w:tblPr>
    <w:tblStylePr w:type="firstRow">
      <w:pPr>
        <w:jc w:val="center"/>
      </w:pPr>
      <w:rPr>
        <w:rFonts w:ascii="Calibri" w:hAnsi="Calibri"/>
        <w:b/>
        <w:color w:val="FFFFFF" w:themeColor="background1"/>
      </w:rPr>
      <w:tblPr/>
      <w:tcPr>
        <w:tcBorders>
          <w:top w:val="nil"/>
          <w:left w:val="nil"/>
          <w:bottom w:val="nil"/>
          <w:right w:val="nil"/>
          <w:insideH w:val="nil"/>
          <w:insideV w:val="nil"/>
          <w:tl2br w:val="nil"/>
          <w:tr2bl w:val="nil"/>
        </w:tcBorders>
        <w:shd w:val="clear" w:color="auto" w:fill="1F497D" w:themeFill="text2"/>
      </w:tcPr>
    </w:tblStylePr>
  </w:style>
  <w:style w:type="paragraph" w:styleId="Revision">
    <w:name w:val="Revision"/>
    <w:hidden/>
    <w:uiPriority w:val="99"/>
    <w:semiHidden/>
    <w:rsid w:val="007838AA"/>
    <w:rPr>
      <w:rFonts w:asciiTheme="minorHAnsi" w:hAnsiTheme="minorHAnsi"/>
      <w:sz w:val="22"/>
    </w:rPr>
  </w:style>
  <w:style w:type="table" w:styleId="LightList">
    <w:name w:val="Light List"/>
    <w:basedOn w:val="TableNormal"/>
    <w:uiPriority w:val="61"/>
    <w:rsid w:val="007E53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5998">
      <w:bodyDiv w:val="1"/>
      <w:marLeft w:val="0"/>
      <w:marRight w:val="0"/>
      <w:marTop w:val="0"/>
      <w:marBottom w:val="0"/>
      <w:divBdr>
        <w:top w:val="none" w:sz="0" w:space="0" w:color="auto"/>
        <w:left w:val="none" w:sz="0" w:space="0" w:color="auto"/>
        <w:bottom w:val="none" w:sz="0" w:space="0" w:color="auto"/>
        <w:right w:val="none" w:sz="0" w:space="0" w:color="auto"/>
      </w:divBdr>
    </w:div>
    <w:div w:id="1342508592">
      <w:bodyDiv w:val="1"/>
      <w:marLeft w:val="0"/>
      <w:marRight w:val="0"/>
      <w:marTop w:val="0"/>
      <w:marBottom w:val="0"/>
      <w:divBdr>
        <w:top w:val="none" w:sz="0" w:space="0" w:color="auto"/>
        <w:left w:val="none" w:sz="0" w:space="0" w:color="auto"/>
        <w:bottom w:val="none" w:sz="0" w:space="0" w:color="auto"/>
        <w:right w:val="none" w:sz="0" w:space="0" w:color="auto"/>
      </w:divBdr>
    </w:div>
    <w:div w:id="1417482665">
      <w:bodyDiv w:val="1"/>
      <w:marLeft w:val="0"/>
      <w:marRight w:val="0"/>
      <w:marTop w:val="0"/>
      <w:marBottom w:val="0"/>
      <w:divBdr>
        <w:top w:val="none" w:sz="0" w:space="0" w:color="auto"/>
        <w:left w:val="none" w:sz="0" w:space="0" w:color="auto"/>
        <w:bottom w:val="none" w:sz="0" w:space="0" w:color="auto"/>
        <w:right w:val="none" w:sz="0" w:space="0" w:color="auto"/>
      </w:divBdr>
    </w:div>
    <w:div w:id="1533878550">
      <w:bodyDiv w:val="1"/>
      <w:marLeft w:val="0"/>
      <w:marRight w:val="0"/>
      <w:marTop w:val="0"/>
      <w:marBottom w:val="0"/>
      <w:divBdr>
        <w:top w:val="none" w:sz="0" w:space="0" w:color="auto"/>
        <w:left w:val="none" w:sz="0" w:space="0" w:color="auto"/>
        <w:bottom w:val="none" w:sz="0" w:space="0" w:color="auto"/>
        <w:right w:val="none" w:sz="0" w:space="0" w:color="auto"/>
      </w:divBdr>
      <w:divsChild>
        <w:div w:id="1122773150">
          <w:marLeft w:val="1166"/>
          <w:marRight w:val="0"/>
          <w:marTop w:val="96"/>
          <w:marBottom w:val="0"/>
          <w:divBdr>
            <w:top w:val="none" w:sz="0" w:space="0" w:color="auto"/>
            <w:left w:val="none" w:sz="0" w:space="0" w:color="auto"/>
            <w:bottom w:val="none" w:sz="0" w:space="0" w:color="auto"/>
            <w:right w:val="none" w:sz="0" w:space="0" w:color="auto"/>
          </w:divBdr>
        </w:div>
        <w:div w:id="837384677">
          <w:marLeft w:val="1166"/>
          <w:marRight w:val="0"/>
          <w:marTop w:val="96"/>
          <w:marBottom w:val="0"/>
          <w:divBdr>
            <w:top w:val="none" w:sz="0" w:space="0" w:color="auto"/>
            <w:left w:val="none" w:sz="0" w:space="0" w:color="auto"/>
            <w:bottom w:val="none" w:sz="0" w:space="0" w:color="auto"/>
            <w:right w:val="none" w:sz="0" w:space="0" w:color="auto"/>
          </w:divBdr>
        </w:div>
        <w:div w:id="1004362968">
          <w:marLeft w:val="1166"/>
          <w:marRight w:val="0"/>
          <w:marTop w:val="96"/>
          <w:marBottom w:val="0"/>
          <w:divBdr>
            <w:top w:val="none" w:sz="0" w:space="0" w:color="auto"/>
            <w:left w:val="none" w:sz="0" w:space="0" w:color="auto"/>
            <w:bottom w:val="none" w:sz="0" w:space="0" w:color="auto"/>
            <w:right w:val="none" w:sz="0" w:space="0" w:color="auto"/>
          </w:divBdr>
        </w:div>
        <w:div w:id="1682774727">
          <w:marLeft w:val="1166"/>
          <w:marRight w:val="0"/>
          <w:marTop w:val="96"/>
          <w:marBottom w:val="0"/>
          <w:divBdr>
            <w:top w:val="none" w:sz="0" w:space="0" w:color="auto"/>
            <w:left w:val="none" w:sz="0" w:space="0" w:color="auto"/>
            <w:bottom w:val="none" w:sz="0" w:space="0" w:color="auto"/>
            <w:right w:val="none" w:sz="0" w:space="0" w:color="auto"/>
          </w:divBdr>
        </w:div>
        <w:div w:id="839006988">
          <w:marLeft w:val="1166"/>
          <w:marRight w:val="0"/>
          <w:marTop w:val="96"/>
          <w:marBottom w:val="0"/>
          <w:divBdr>
            <w:top w:val="none" w:sz="0" w:space="0" w:color="auto"/>
            <w:left w:val="none" w:sz="0" w:space="0" w:color="auto"/>
            <w:bottom w:val="none" w:sz="0" w:space="0" w:color="auto"/>
            <w:right w:val="none" w:sz="0" w:space="0" w:color="auto"/>
          </w:divBdr>
        </w:div>
      </w:divsChild>
    </w:div>
    <w:div w:id="1701777423">
      <w:bodyDiv w:val="1"/>
      <w:marLeft w:val="0"/>
      <w:marRight w:val="0"/>
      <w:marTop w:val="0"/>
      <w:marBottom w:val="0"/>
      <w:divBdr>
        <w:top w:val="none" w:sz="0" w:space="0" w:color="auto"/>
        <w:left w:val="none" w:sz="0" w:space="0" w:color="auto"/>
        <w:bottom w:val="none" w:sz="0" w:space="0" w:color="auto"/>
        <w:right w:val="none" w:sz="0" w:space="0" w:color="auto"/>
      </w:divBdr>
    </w:div>
    <w:div w:id="2103868848">
      <w:bodyDiv w:val="1"/>
      <w:marLeft w:val="0"/>
      <w:marRight w:val="0"/>
      <w:marTop w:val="0"/>
      <w:marBottom w:val="0"/>
      <w:divBdr>
        <w:top w:val="none" w:sz="0" w:space="0" w:color="auto"/>
        <w:left w:val="none" w:sz="0" w:space="0" w:color="auto"/>
        <w:bottom w:val="none" w:sz="0" w:space="0" w:color="auto"/>
        <w:right w:val="none" w:sz="0" w:space="0" w:color="auto"/>
      </w:divBdr>
      <w:divsChild>
        <w:div w:id="2002077955">
          <w:marLeft w:val="1166"/>
          <w:marRight w:val="0"/>
          <w:marTop w:val="96"/>
          <w:marBottom w:val="0"/>
          <w:divBdr>
            <w:top w:val="none" w:sz="0" w:space="0" w:color="auto"/>
            <w:left w:val="none" w:sz="0" w:space="0" w:color="auto"/>
            <w:bottom w:val="none" w:sz="0" w:space="0" w:color="auto"/>
            <w:right w:val="none" w:sz="0" w:space="0" w:color="auto"/>
          </w:divBdr>
        </w:div>
        <w:div w:id="246426460">
          <w:marLeft w:val="1166"/>
          <w:marRight w:val="0"/>
          <w:marTop w:val="96"/>
          <w:marBottom w:val="0"/>
          <w:divBdr>
            <w:top w:val="none" w:sz="0" w:space="0" w:color="auto"/>
            <w:left w:val="none" w:sz="0" w:space="0" w:color="auto"/>
            <w:bottom w:val="none" w:sz="0" w:space="0" w:color="auto"/>
            <w:right w:val="none" w:sz="0" w:space="0" w:color="auto"/>
          </w:divBdr>
        </w:div>
        <w:div w:id="1259485872">
          <w:marLeft w:val="1166"/>
          <w:marRight w:val="0"/>
          <w:marTop w:val="96"/>
          <w:marBottom w:val="0"/>
          <w:divBdr>
            <w:top w:val="none" w:sz="0" w:space="0" w:color="auto"/>
            <w:left w:val="none" w:sz="0" w:space="0" w:color="auto"/>
            <w:bottom w:val="none" w:sz="0" w:space="0" w:color="auto"/>
            <w:right w:val="none" w:sz="0" w:space="0" w:color="auto"/>
          </w:divBdr>
        </w:div>
        <w:div w:id="741877416">
          <w:marLeft w:val="1166"/>
          <w:marRight w:val="0"/>
          <w:marTop w:val="96"/>
          <w:marBottom w:val="0"/>
          <w:divBdr>
            <w:top w:val="none" w:sz="0" w:space="0" w:color="auto"/>
            <w:left w:val="none" w:sz="0" w:space="0" w:color="auto"/>
            <w:bottom w:val="none" w:sz="0" w:space="0" w:color="auto"/>
            <w:right w:val="none" w:sz="0" w:space="0" w:color="auto"/>
          </w:divBdr>
        </w:div>
        <w:div w:id="1105002637">
          <w:marLeft w:val="1166"/>
          <w:marRight w:val="0"/>
          <w:marTop w:val="96"/>
          <w:marBottom w:val="0"/>
          <w:divBdr>
            <w:top w:val="none" w:sz="0" w:space="0" w:color="auto"/>
            <w:left w:val="none" w:sz="0" w:space="0" w:color="auto"/>
            <w:bottom w:val="none" w:sz="0" w:space="0" w:color="auto"/>
            <w:right w:val="none" w:sz="0" w:space="0" w:color="auto"/>
          </w:divBdr>
        </w:div>
        <w:div w:id="118077798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customXml" Target="../customXml/item7.xml"/><Relationship Id="rId21" Type="http://schemas.openxmlformats.org/officeDocument/2006/relationships/footer" Target="footer3.xm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yperlink" Target="http://www.nexa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customXml" Target="../customXml/item5.xml"/><Relationship Id="rId40" Type="http://schemas.openxmlformats.org/officeDocument/2006/relationships/customXml" Target="../customXml/item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www.nexant.com"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qsrinternational.com/products_nvivo.aspx"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2015-10-30T07:00:00+00:00</OpenedDate>
    <Date1 xmlns="dc463f71-b30c-4ab2-9473-d307f9d35888">2015-10-30T07:00:00+00:00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152077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3D0A0B9F972B45AD2955E8D6E00C06" ma:contentTypeVersion="119" ma:contentTypeDescription="" ma:contentTypeScope="" ma:versionID="18953f80926cb542a36a8ee485ddab5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CA1A4-FF19-49C1-B1B0-1896A162F92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E8D610D1-AAF4-4D45-8991-7F996761296C}"/>
</file>

<file path=customXml/itemProps4.xml><?xml version="1.0" encoding="utf-8"?>
<ds:datastoreItem xmlns:ds="http://schemas.openxmlformats.org/officeDocument/2006/customXml" ds:itemID="{54D86788-CF92-49D4-80A7-50A44A782EA5}"/>
</file>

<file path=customXml/itemProps5.xml><?xml version="1.0" encoding="utf-8"?>
<ds:datastoreItem xmlns:ds="http://schemas.openxmlformats.org/officeDocument/2006/customXml" ds:itemID="{4F33B5A6-BCF6-46C8-9ADA-45FCBB80CBBD}"/>
</file>

<file path=customXml/itemProps6.xml><?xml version="1.0" encoding="utf-8"?>
<ds:datastoreItem xmlns:ds="http://schemas.openxmlformats.org/officeDocument/2006/customXml" ds:itemID="{F8B11ECB-45F2-4C67-A7E3-F3F94E050BB7}"/>
</file>

<file path=customXml/itemProps7.xml><?xml version="1.0" encoding="utf-8"?>
<ds:datastoreItem xmlns:ds="http://schemas.openxmlformats.org/officeDocument/2006/customXml" ds:itemID="{26DD0F53-BCD7-492B-BDD9-ABE1B5326B23}"/>
</file>

<file path=customXml/itemProps8.xml><?xml version="1.0" encoding="utf-8"?>
<ds:datastoreItem xmlns:ds="http://schemas.openxmlformats.org/officeDocument/2006/customXml" ds:itemID="{51A2241F-5C2C-4AC2-B568-683A2FE77C6E}"/>
</file>

<file path=docProps/app.xml><?xml version="1.0" encoding="utf-8"?>
<Properties xmlns="http://schemas.openxmlformats.org/officeDocument/2006/extended-properties" xmlns:vt="http://schemas.openxmlformats.org/officeDocument/2006/docPropsVTypes">
  <Template>Normal</Template>
  <TotalTime>0</TotalTime>
  <Pages>57</Pages>
  <Words>16567</Words>
  <Characters>103280</Characters>
  <Application>Microsoft Office Word</Application>
  <DocSecurity>4</DocSecurity>
  <Lines>860</Lines>
  <Paragraphs>239</Paragraphs>
  <ScaleCrop>false</ScaleCrop>
  <HeadingPairs>
    <vt:vector size="2" baseType="variant">
      <vt:variant>
        <vt:lpstr>Title</vt:lpstr>
      </vt:variant>
      <vt:variant>
        <vt:i4>1</vt:i4>
      </vt:variant>
    </vt:vector>
  </HeadingPairs>
  <TitlesOfParts>
    <vt:vector size="1" baseType="lpstr">
      <vt:lpstr>Text goes here</vt:lpstr>
    </vt:vector>
  </TitlesOfParts>
  <Company>Bechtel</Company>
  <LinksUpToDate>false</LinksUpToDate>
  <CharactersWithSpaces>119608</CharactersWithSpaces>
  <SharedDoc>false</SharedDoc>
  <HLinks>
    <vt:vector size="36" baseType="variant">
      <vt:variant>
        <vt:i4>1245236</vt:i4>
      </vt:variant>
      <vt:variant>
        <vt:i4>32</vt:i4>
      </vt:variant>
      <vt:variant>
        <vt:i4>0</vt:i4>
      </vt:variant>
      <vt:variant>
        <vt:i4>5</vt:i4>
      </vt:variant>
      <vt:variant>
        <vt:lpwstr/>
      </vt:variant>
      <vt:variant>
        <vt:lpwstr>_Toc256495909</vt:lpwstr>
      </vt:variant>
      <vt:variant>
        <vt:i4>1245236</vt:i4>
      </vt:variant>
      <vt:variant>
        <vt:i4>26</vt:i4>
      </vt:variant>
      <vt:variant>
        <vt:i4>0</vt:i4>
      </vt:variant>
      <vt:variant>
        <vt:i4>5</vt:i4>
      </vt:variant>
      <vt:variant>
        <vt:lpwstr/>
      </vt:variant>
      <vt:variant>
        <vt:lpwstr>_Toc256495908</vt:lpwstr>
      </vt:variant>
      <vt:variant>
        <vt:i4>1245236</vt:i4>
      </vt:variant>
      <vt:variant>
        <vt:i4>20</vt:i4>
      </vt:variant>
      <vt:variant>
        <vt:i4>0</vt:i4>
      </vt:variant>
      <vt:variant>
        <vt:i4>5</vt:i4>
      </vt:variant>
      <vt:variant>
        <vt:lpwstr/>
      </vt:variant>
      <vt:variant>
        <vt:lpwstr>_Toc256495907</vt:lpwstr>
      </vt:variant>
      <vt:variant>
        <vt:i4>1245236</vt:i4>
      </vt:variant>
      <vt:variant>
        <vt:i4>14</vt:i4>
      </vt:variant>
      <vt:variant>
        <vt:i4>0</vt:i4>
      </vt:variant>
      <vt:variant>
        <vt:i4>5</vt:i4>
      </vt:variant>
      <vt:variant>
        <vt:lpwstr/>
      </vt:variant>
      <vt:variant>
        <vt:lpwstr>_Toc256495906</vt:lpwstr>
      </vt:variant>
      <vt:variant>
        <vt:i4>1245236</vt:i4>
      </vt:variant>
      <vt:variant>
        <vt:i4>8</vt:i4>
      </vt:variant>
      <vt:variant>
        <vt:i4>0</vt:i4>
      </vt:variant>
      <vt:variant>
        <vt:i4>5</vt:i4>
      </vt:variant>
      <vt:variant>
        <vt:lpwstr/>
      </vt:variant>
      <vt:variant>
        <vt:lpwstr>_Toc256495905</vt:lpwstr>
      </vt:variant>
      <vt:variant>
        <vt:i4>1245236</vt:i4>
      </vt:variant>
      <vt:variant>
        <vt:i4>2</vt:i4>
      </vt:variant>
      <vt:variant>
        <vt:i4>0</vt:i4>
      </vt:variant>
      <vt:variant>
        <vt:i4>5</vt:i4>
      </vt:variant>
      <vt:variant>
        <vt:lpwstr/>
      </vt:variant>
      <vt:variant>
        <vt:lpwstr>_Toc256495904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goes here</dc:title>
  <dc:creator>Burns, Patrick</dc:creator>
  <cp:lastModifiedBy>Roy, Lynn</cp:lastModifiedBy>
  <cp:revision>2</cp:revision>
  <cp:lastPrinted>2013-12-17T20:05:00Z</cp:lastPrinted>
  <dcterms:created xsi:type="dcterms:W3CDTF">2015-01-15T21:27:00Z</dcterms:created>
  <dcterms:modified xsi:type="dcterms:W3CDTF">2015-01-15T21:27:00Z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0x0101006E56B4D1795A2E4DB2F0B01679ED314A000D3D0A0B9F972B45AD2955E8D6E00C06</vt:lpwstr>
  </property>
  <property fmtid="{D5CDD505-2E9C-101B-9397-08002B2CF9AE}" pid="4" name="_docset_NoMedatataSyncRequired">
    <vt:lpwstr>False</vt:lpwstr>
  </property>
</Properties>
</file>