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0AB1E" w14:textId="77777777" w:rsidR="00C011AB" w:rsidRPr="00401D3C" w:rsidRDefault="00C011AB" w:rsidP="00F637C2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BEFORE THE WASHINGTON</w:t>
      </w:r>
    </w:p>
    <w:p w14:paraId="6B919A34" w14:textId="77777777" w:rsidR="00C011AB" w:rsidRPr="00401D3C" w:rsidRDefault="00C011AB" w:rsidP="00F637C2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4BD5A3D7" w14:textId="77777777" w:rsidR="000E4BC7" w:rsidRPr="00401D3C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401D3C" w14:paraId="7EA54E62" w14:textId="77777777" w:rsidTr="00E17611">
        <w:trPr>
          <w:trHeight w:val="2610"/>
        </w:trPr>
        <w:tc>
          <w:tcPr>
            <w:tcW w:w="4372" w:type="dxa"/>
          </w:tcPr>
          <w:p w14:paraId="5DFB5F1F" w14:textId="77777777" w:rsidR="00DB78B7" w:rsidRPr="00401D3C" w:rsidRDefault="00B97D0B" w:rsidP="00347054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0F7D174F" w14:textId="77777777" w:rsidR="00DB78B7" w:rsidRPr="00401D3C" w:rsidRDefault="00DB78B7" w:rsidP="00347054">
            <w:pPr>
              <w:spacing w:line="288" w:lineRule="auto"/>
              <w:rPr>
                <w:bCs/>
              </w:rPr>
            </w:pPr>
          </w:p>
          <w:p w14:paraId="4CF3EC84" w14:textId="77777777" w:rsidR="00005893" w:rsidRPr="00401D3C" w:rsidRDefault="00D25C71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CONVERGENCE TECHNOLOGIES, INC.</w:t>
            </w:r>
          </w:p>
          <w:p w14:paraId="44C57458" w14:textId="77777777" w:rsidR="00F13566" w:rsidRPr="00401D3C" w:rsidRDefault="00F13566" w:rsidP="00347054">
            <w:pPr>
              <w:spacing w:line="288" w:lineRule="auto"/>
              <w:rPr>
                <w:bCs/>
              </w:rPr>
            </w:pPr>
          </w:p>
          <w:p w14:paraId="660D3F7D" w14:textId="77777777" w:rsidR="00A01D98" w:rsidRPr="00401D3C" w:rsidRDefault="00A01D98" w:rsidP="00347054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D25C71">
              <w:rPr>
                <w:bCs/>
              </w:rPr>
              <w:t>500</w:t>
            </w:r>
          </w:p>
          <w:p w14:paraId="2549915A" w14:textId="77777777" w:rsidR="00C011AB" w:rsidRPr="00401D3C" w:rsidRDefault="00C011AB" w:rsidP="00347054">
            <w:pPr>
              <w:spacing w:line="288" w:lineRule="auto"/>
            </w:pPr>
            <w:r w:rsidRPr="00401D3C">
              <w:t xml:space="preserve">. . . . . . . . . . . . . . . . . . . . . . . . . . . . . . . . . </w:t>
            </w:r>
            <w:r w:rsidR="006D56B2">
              <w:t xml:space="preserve">. . </w:t>
            </w:r>
          </w:p>
        </w:tc>
        <w:tc>
          <w:tcPr>
            <w:tcW w:w="236" w:type="dxa"/>
          </w:tcPr>
          <w:p w14:paraId="1259F59A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202FC880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642B88C6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752B0F8F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1000D5EA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0B1B3A51" w14:textId="77777777" w:rsidR="00C011AB" w:rsidRDefault="00C011AB" w:rsidP="00347054">
            <w:pPr>
              <w:spacing w:line="288" w:lineRule="auto"/>
            </w:pPr>
            <w:r w:rsidRPr="00401D3C">
              <w:t>)</w:t>
            </w:r>
          </w:p>
          <w:p w14:paraId="2E98F3C4" w14:textId="77777777" w:rsidR="0084534A" w:rsidRDefault="0084534A" w:rsidP="00347054">
            <w:pPr>
              <w:spacing w:line="288" w:lineRule="auto"/>
            </w:pPr>
            <w:r>
              <w:t>)</w:t>
            </w:r>
          </w:p>
          <w:p w14:paraId="3CCC84D7" w14:textId="77777777" w:rsidR="006C5AA6" w:rsidRPr="00401D3C" w:rsidRDefault="00D25C71" w:rsidP="006D56B2">
            <w:pPr>
              <w:spacing w:line="288" w:lineRule="auto"/>
            </w:pPr>
            <w:r>
              <w:t>)</w:t>
            </w:r>
          </w:p>
        </w:tc>
        <w:tc>
          <w:tcPr>
            <w:tcW w:w="3888" w:type="dxa"/>
          </w:tcPr>
          <w:p w14:paraId="0D10EF65" w14:textId="77777777" w:rsidR="00C011AB" w:rsidRPr="00401D3C" w:rsidRDefault="00C011AB" w:rsidP="00347054">
            <w:pPr>
              <w:spacing w:line="288" w:lineRule="auto"/>
            </w:pPr>
            <w:r w:rsidRPr="00401D3C">
              <w:t xml:space="preserve">DOCKET </w:t>
            </w:r>
            <w:r w:rsidR="00B65DFE">
              <w:rPr>
                <w:bCs/>
              </w:rPr>
              <w:t>UT-15080</w:t>
            </w:r>
            <w:r w:rsidR="00D25C71">
              <w:rPr>
                <w:bCs/>
              </w:rPr>
              <w:t>6</w:t>
            </w:r>
          </w:p>
          <w:p w14:paraId="5DBCAD83" w14:textId="77777777" w:rsidR="00C011AB" w:rsidRPr="00401D3C" w:rsidRDefault="00C011AB" w:rsidP="00347054">
            <w:pPr>
              <w:spacing w:line="288" w:lineRule="auto"/>
            </w:pPr>
          </w:p>
          <w:p w14:paraId="2A5960CB" w14:textId="77777777" w:rsidR="00C011AB" w:rsidRPr="00401D3C" w:rsidRDefault="00C011AB" w:rsidP="00347054">
            <w:pPr>
              <w:spacing w:line="288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41E31C4B" w14:textId="77777777" w:rsidR="00C011AB" w:rsidRPr="00401D3C" w:rsidRDefault="00C011AB" w:rsidP="00347054">
            <w:pPr>
              <w:spacing w:line="288" w:lineRule="auto"/>
            </w:pPr>
          </w:p>
          <w:p w14:paraId="40C14D33" w14:textId="77777777" w:rsidR="000E4BC7" w:rsidRPr="00401D3C" w:rsidRDefault="00F13566" w:rsidP="00347054">
            <w:pPr>
              <w:spacing w:line="288" w:lineRule="auto"/>
            </w:pPr>
            <w:r w:rsidRPr="00401D3C">
              <w:t xml:space="preserve">ORDER </w:t>
            </w:r>
            <w:r w:rsidR="003C7A0C">
              <w:t>DENYING MITIGATION</w:t>
            </w:r>
          </w:p>
          <w:p w14:paraId="52BB8334" w14:textId="77777777" w:rsidR="00A84893" w:rsidRPr="00401D3C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26BD0668" w14:textId="77777777" w:rsidR="00D25C71" w:rsidRDefault="00D25C71" w:rsidP="006D56B2">
      <w:pPr>
        <w:spacing w:line="264" w:lineRule="auto"/>
        <w:jc w:val="center"/>
        <w:rPr>
          <w:b/>
        </w:rPr>
      </w:pPr>
    </w:p>
    <w:p w14:paraId="3CAB808C" w14:textId="77777777" w:rsidR="002E3C80" w:rsidRPr="00401D3C" w:rsidRDefault="00F32856" w:rsidP="006D56B2">
      <w:pPr>
        <w:spacing w:line="264" w:lineRule="auto"/>
        <w:jc w:val="center"/>
        <w:rPr>
          <w:b/>
        </w:rPr>
      </w:pPr>
      <w:r w:rsidRPr="00401D3C">
        <w:rPr>
          <w:b/>
        </w:rPr>
        <w:t>BACKGROUND</w:t>
      </w:r>
    </w:p>
    <w:p w14:paraId="1A6F609D" w14:textId="77777777" w:rsidR="00841996" w:rsidRPr="00401D3C" w:rsidRDefault="00841996" w:rsidP="006D56B2">
      <w:pPr>
        <w:spacing w:line="264" w:lineRule="auto"/>
      </w:pPr>
    </w:p>
    <w:p w14:paraId="3DDA3423" w14:textId="77777777" w:rsidR="00B65DFE" w:rsidRPr="00012344" w:rsidRDefault="00B65DFE" w:rsidP="006D56B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bCs/>
        </w:rPr>
      </w:pPr>
      <w:r w:rsidRPr="00012344">
        <w:rPr>
          <w:bCs/>
        </w:rPr>
        <w:t>Washington law requires regulated telecommunications companies to file annual reports and pay regulato</w:t>
      </w:r>
      <w:r>
        <w:rPr>
          <w:bCs/>
        </w:rPr>
        <w:t xml:space="preserve">ry fees by May 1 of each year. </w:t>
      </w:r>
      <w:r w:rsidRPr="00012344">
        <w:rPr>
          <w:bCs/>
        </w:rPr>
        <w:t>WAC 480-120-382. On February 2</w:t>
      </w:r>
      <w:r>
        <w:rPr>
          <w:bCs/>
        </w:rPr>
        <w:t>7</w:t>
      </w:r>
      <w:r w:rsidRPr="00012344">
        <w:rPr>
          <w:bCs/>
        </w:rPr>
        <w:t>, 201</w:t>
      </w:r>
      <w:r>
        <w:rPr>
          <w:bCs/>
        </w:rPr>
        <w:t>5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 The forms included a reminder that companies must file their annual reports and pay their regulatory fees by May 1, 201</w:t>
      </w:r>
      <w:r>
        <w:rPr>
          <w:bCs/>
        </w:rPr>
        <w:t>5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770EF907" w14:textId="77777777" w:rsidR="005F24F9" w:rsidRPr="00401D3C" w:rsidRDefault="005F24F9" w:rsidP="006D56B2">
      <w:pPr>
        <w:tabs>
          <w:tab w:val="left" w:pos="720"/>
        </w:tabs>
        <w:spacing w:line="264" w:lineRule="auto"/>
        <w:ind w:left="720"/>
      </w:pPr>
    </w:p>
    <w:p w14:paraId="14748B57" w14:textId="77777777" w:rsidR="00801D54" w:rsidRPr="00401D3C" w:rsidRDefault="00D25C71" w:rsidP="006D56B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Convergence Technologies, Inc.</w:t>
      </w:r>
      <w:r w:rsidR="00AD1BA1">
        <w:rPr>
          <w:bCs/>
        </w:rPr>
        <w:t xml:space="preserve"> (</w:t>
      </w:r>
      <w:r>
        <w:rPr>
          <w:bCs/>
        </w:rPr>
        <w:t>Convergence</w:t>
      </w:r>
      <w:r w:rsidR="00A664C3">
        <w:rPr>
          <w:bCs/>
        </w:rPr>
        <w:t xml:space="preserve"> </w:t>
      </w:r>
      <w:r w:rsidR="00AD1BA1">
        <w:rPr>
          <w:bCs/>
        </w:rPr>
        <w:t>or Company)</w:t>
      </w:r>
      <w:r w:rsidR="00401D3C">
        <w:rPr>
          <w:bCs/>
        </w:rPr>
        <w:t xml:space="preserve"> </w:t>
      </w:r>
      <w:r>
        <w:rPr>
          <w:bCs/>
        </w:rPr>
        <w:t>filed its</w:t>
      </w:r>
      <w:r w:rsidR="003C7A0C">
        <w:rPr>
          <w:bCs/>
        </w:rPr>
        <w:t xml:space="preserve"> annual report </w:t>
      </w:r>
      <w:r>
        <w:rPr>
          <w:bCs/>
        </w:rPr>
        <w:t xml:space="preserve">late </w:t>
      </w:r>
      <w:r w:rsidR="003C7A0C">
        <w:rPr>
          <w:bCs/>
        </w:rPr>
        <w:t xml:space="preserve">on </w:t>
      </w:r>
      <w:r>
        <w:rPr>
          <w:bCs/>
        </w:rPr>
        <w:t>May 8, 2015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 w:rsidR="00B65DFE">
        <w:rPr>
          <w:bCs/>
        </w:rPr>
        <w:t xml:space="preserve">June </w:t>
      </w:r>
      <w:r>
        <w:rPr>
          <w:bCs/>
        </w:rPr>
        <w:t>3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</w:t>
      </w:r>
      <w:r>
        <w:rPr>
          <w:bCs/>
        </w:rPr>
        <w:t>500</w:t>
      </w:r>
      <w:r w:rsidR="000164A8" w:rsidRPr="00401D3C">
        <w:rPr>
          <w:bCs/>
        </w:rPr>
        <w:t xml:space="preserve"> against </w:t>
      </w:r>
      <w:r>
        <w:rPr>
          <w:bCs/>
        </w:rPr>
        <w:t>Convergence</w:t>
      </w:r>
      <w:r w:rsidR="00126C89">
        <w:rPr>
          <w:bCs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>
        <w:rPr>
          <w:rStyle w:val="CommentReference"/>
          <w:sz w:val="24"/>
          <w:szCs w:val="24"/>
        </w:rPr>
        <w:t>8</w:t>
      </w:r>
      <w:r w:rsidR="001D765C" w:rsidRPr="00401D3C">
        <w:rPr>
          <w:rStyle w:val="CommentReference"/>
          <w:sz w:val="24"/>
          <w:szCs w:val="24"/>
        </w:rPr>
        <w:t>.</w:t>
      </w:r>
    </w:p>
    <w:p w14:paraId="56123D94" w14:textId="77777777" w:rsidR="004F5E53" w:rsidRPr="00401D3C" w:rsidRDefault="004F5E53" w:rsidP="006D56B2">
      <w:pPr>
        <w:spacing w:line="264" w:lineRule="auto"/>
      </w:pPr>
    </w:p>
    <w:p w14:paraId="14D140B8" w14:textId="77777777" w:rsidR="00776B35" w:rsidRDefault="00264C0F" w:rsidP="006D56B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On</w:t>
      </w:r>
      <w:r w:rsidR="00426C92" w:rsidRPr="00401D3C">
        <w:t xml:space="preserve"> </w:t>
      </w:r>
      <w:r w:rsidR="0084534A">
        <w:t xml:space="preserve">June </w:t>
      </w:r>
      <w:r w:rsidR="00D25C71">
        <w:t>8</w:t>
      </w:r>
      <w:r w:rsidR="008A54E8" w:rsidRPr="00401D3C">
        <w:t>, 201</w:t>
      </w:r>
      <w:r w:rsidR="00401D3C">
        <w:t>5</w:t>
      </w:r>
      <w:r w:rsidR="005B60F9" w:rsidRPr="00401D3C">
        <w:t xml:space="preserve">, </w:t>
      </w:r>
      <w:r w:rsidR="00D25C71">
        <w:rPr>
          <w:bCs/>
        </w:rPr>
        <w:t>Convergence</w:t>
      </w:r>
      <w:r w:rsidR="00D25C71" w:rsidRPr="00401D3C">
        <w:t xml:space="preserve">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explained </w:t>
      </w:r>
      <w:r w:rsidR="00401D3C">
        <w:t>that</w:t>
      </w:r>
      <w:r w:rsidR="00BA2308">
        <w:t xml:space="preserve"> it</w:t>
      </w:r>
      <w:r w:rsidR="00401D3C">
        <w:t xml:space="preserve"> </w:t>
      </w:r>
      <w:r w:rsidR="00D25C71">
        <w:t>mailed its annual report on April 30, 2015, and does not know what caused the delay between the date of mailing and the date of receipt</w:t>
      </w:r>
      <w:r w:rsidR="00B65DFE">
        <w:t>.</w:t>
      </w:r>
    </w:p>
    <w:p w14:paraId="3AAC802D" w14:textId="77777777" w:rsidR="006D56B2" w:rsidRPr="00401D3C" w:rsidRDefault="006D56B2" w:rsidP="006D56B2">
      <w:pPr>
        <w:tabs>
          <w:tab w:val="left" w:pos="0"/>
        </w:tabs>
        <w:spacing w:line="264" w:lineRule="auto"/>
      </w:pPr>
    </w:p>
    <w:p w14:paraId="06BE1412" w14:textId="77777777" w:rsidR="008A54E8" w:rsidRDefault="008A54E8" w:rsidP="006D56B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 xml:space="preserve">On June </w:t>
      </w:r>
      <w:r w:rsidR="00B65DFE">
        <w:t>1</w:t>
      </w:r>
      <w:r w:rsidR="003C7A0C">
        <w:t>2</w:t>
      </w:r>
      <w:r w:rsidRPr="00401D3C">
        <w:t>, 201</w:t>
      </w:r>
      <w:r w:rsidR="00401D3C">
        <w:t>5</w:t>
      </w:r>
      <w:r w:rsidRPr="00401D3C">
        <w:t xml:space="preserve">, </w:t>
      </w:r>
      <w:r w:rsidR="0084534A">
        <w:t>Commission s</w:t>
      </w:r>
      <w:r w:rsidR="00126995" w:rsidRPr="00401D3C">
        <w:t>taff (</w:t>
      </w:r>
      <w:r w:rsidRPr="00401D3C">
        <w:t>Staff</w:t>
      </w:r>
      <w:r w:rsidR="00126995" w:rsidRPr="00401D3C">
        <w:t>)</w:t>
      </w:r>
      <w:r w:rsidRPr="00401D3C">
        <w:t xml:space="preserve"> filed a response </w:t>
      </w:r>
      <w:r w:rsidR="003C7A0C" w:rsidRPr="0068300F">
        <w:t xml:space="preserve">recommending the Commission deny the Company’s request for mitigation. Staff explained that the Company was previously delinquent in </w:t>
      </w:r>
      <w:r w:rsidR="00D25C71">
        <w:t>2003, 2004, and 2012</w:t>
      </w:r>
      <w:r w:rsidR="003C7A0C" w:rsidRPr="0068300F">
        <w:t xml:space="preserve">. </w:t>
      </w:r>
    </w:p>
    <w:p w14:paraId="4514A239" w14:textId="77777777" w:rsidR="0084534A" w:rsidRDefault="0084534A" w:rsidP="006D56B2">
      <w:pPr>
        <w:tabs>
          <w:tab w:val="left" w:pos="720"/>
        </w:tabs>
        <w:spacing w:line="264" w:lineRule="auto"/>
        <w:ind w:left="720"/>
      </w:pPr>
    </w:p>
    <w:p w14:paraId="43A03A93" w14:textId="77777777" w:rsidR="00841996" w:rsidRPr="00401D3C" w:rsidRDefault="00F32856" w:rsidP="006D56B2">
      <w:pPr>
        <w:spacing w:line="264" w:lineRule="auto"/>
        <w:jc w:val="center"/>
        <w:rPr>
          <w:b/>
        </w:rPr>
      </w:pPr>
      <w:r w:rsidRPr="00401D3C">
        <w:rPr>
          <w:b/>
        </w:rPr>
        <w:t>DISCUSSION</w:t>
      </w:r>
    </w:p>
    <w:p w14:paraId="74F3F962" w14:textId="77777777" w:rsidR="001A220D" w:rsidRPr="00401D3C" w:rsidRDefault="001A220D" w:rsidP="006D56B2">
      <w:pPr>
        <w:spacing w:line="264" w:lineRule="auto"/>
      </w:pPr>
    </w:p>
    <w:p w14:paraId="4EB31897" w14:textId="77777777" w:rsidR="00657E0B" w:rsidRDefault="005D7A9C" w:rsidP="006D56B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WAC </w:t>
      </w:r>
      <w:r w:rsidR="00B65DFE" w:rsidRPr="00012344">
        <w:rPr>
          <w:bCs/>
        </w:rPr>
        <w:t>480-120-382</w:t>
      </w:r>
      <w:r w:rsidR="00B65DFE">
        <w:rPr>
          <w:bCs/>
        </w:rPr>
        <w:t xml:space="preserve"> </w:t>
      </w:r>
      <w:r w:rsidRPr="00401D3C">
        <w:rPr>
          <w:bCs/>
        </w:rPr>
        <w:t xml:space="preserve">requires </w:t>
      </w:r>
      <w:r w:rsidR="00B65DFE" w:rsidRPr="00012344">
        <w:rPr>
          <w:bCs/>
        </w:rPr>
        <w:t>regulated telecommunications companies</w:t>
      </w:r>
      <w:r w:rsidR="00B65DFE" w:rsidRPr="00401D3C">
        <w:t xml:space="preserve"> </w:t>
      </w:r>
      <w:r w:rsidR="00772D78" w:rsidRPr="00401D3C">
        <w:t xml:space="preserve">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 xml:space="preserve">Companies are responsible for </w:t>
      </w:r>
      <w:r w:rsidR="009345E5" w:rsidRPr="00401D3C">
        <w:lastRenderedPageBreak/>
        <w:t>complying with their legal obligatio</w:t>
      </w:r>
      <w:r w:rsidR="008A54E8" w:rsidRPr="00401D3C">
        <w:t xml:space="preserve">ns, and the Company should </w:t>
      </w:r>
      <w:r w:rsidR="00776B35" w:rsidRPr="00401D3C">
        <w:t xml:space="preserve">have ensured its </w:t>
      </w:r>
      <w:r w:rsidR="00657E0B">
        <w:t xml:space="preserve">complete </w:t>
      </w:r>
      <w:r w:rsidR="00776B35" w:rsidRPr="00401D3C">
        <w:t>annual report was timely filed</w:t>
      </w:r>
      <w:r w:rsidR="00376AE6">
        <w:t>.</w:t>
      </w:r>
    </w:p>
    <w:p w14:paraId="47C33996" w14:textId="77777777" w:rsidR="006D56B2" w:rsidRPr="0068300F" w:rsidRDefault="006D56B2" w:rsidP="006D56B2">
      <w:pPr>
        <w:tabs>
          <w:tab w:val="left" w:pos="0"/>
        </w:tabs>
        <w:spacing w:line="264" w:lineRule="auto"/>
      </w:pPr>
    </w:p>
    <w:p w14:paraId="27851C71" w14:textId="77777777" w:rsidR="00657E0B" w:rsidRPr="0068300F" w:rsidRDefault="00657E0B" w:rsidP="006D56B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8300F">
        <w:t>The Commission agrees with Staff’s recommendation and denies the Com</w:t>
      </w:r>
      <w:r>
        <w:t xml:space="preserve">pany’s request for mitigation. </w:t>
      </w:r>
      <w:r w:rsidRPr="0068300F">
        <w:t>The Commission may consider a number of factors when entertaining a request for mitigation, including the company’s compliance history, whether the violation was promptly corrected, and the likelihood the violation will recur.</w:t>
      </w:r>
      <w:r w:rsidRPr="0068300F">
        <w:rPr>
          <w:rStyle w:val="FootnoteReference"/>
        </w:rPr>
        <w:footnoteReference w:id="1"/>
      </w:r>
      <w:r>
        <w:t xml:space="preserve"> </w:t>
      </w:r>
      <w:r w:rsidRPr="0068300F">
        <w:t xml:space="preserve">Ultimately, the Commission’s goal is to </w:t>
      </w:r>
      <w:r>
        <w:t xml:space="preserve">gain compliance going forward. </w:t>
      </w:r>
      <w:r w:rsidRPr="0068300F">
        <w:t>Here, the Company has a history of noncomp</w:t>
      </w:r>
      <w:r w:rsidR="00D25C71">
        <w:t xml:space="preserve">liance; it received and paid penalties </w:t>
      </w:r>
      <w:r>
        <w:t>of $</w:t>
      </w:r>
      <w:r w:rsidR="00D25C71">
        <w:t>100</w:t>
      </w:r>
      <w:r>
        <w:t xml:space="preserve"> </w:t>
      </w:r>
      <w:r w:rsidRPr="0068300F">
        <w:t>in 20</w:t>
      </w:r>
      <w:r w:rsidR="00D25C71">
        <w:t>0</w:t>
      </w:r>
      <w:r w:rsidRPr="0068300F">
        <w:t>3</w:t>
      </w:r>
      <w:r>
        <w:t xml:space="preserve">, </w:t>
      </w:r>
      <w:r w:rsidR="00D25C71">
        <w:t>$200 in 2004, and $325 in 2012</w:t>
      </w:r>
      <w:r w:rsidRPr="0068300F">
        <w:t xml:space="preserve">. Accordingly, the violations are likely to recur absent </w:t>
      </w:r>
      <w:r>
        <w:t>an escalated penalty</w:t>
      </w:r>
      <w:r w:rsidRPr="0068300F">
        <w:t>. The Commission finds the penalty amount to be a reasonable deterrent to overlooking future filing deadlines and requirements.</w:t>
      </w:r>
    </w:p>
    <w:p w14:paraId="38A0D293" w14:textId="77777777" w:rsidR="00347054" w:rsidRPr="00401D3C" w:rsidRDefault="00347054" w:rsidP="006D56B2">
      <w:pPr>
        <w:tabs>
          <w:tab w:val="left" w:pos="0"/>
        </w:tabs>
        <w:spacing w:line="264" w:lineRule="auto"/>
      </w:pPr>
    </w:p>
    <w:p w14:paraId="0CBB1BBC" w14:textId="77777777" w:rsidR="00F32856" w:rsidRPr="00401D3C" w:rsidRDefault="00F32856" w:rsidP="006D56B2">
      <w:pPr>
        <w:spacing w:line="264" w:lineRule="auto"/>
        <w:jc w:val="center"/>
        <w:rPr>
          <w:b/>
        </w:rPr>
      </w:pPr>
      <w:r w:rsidRPr="00401D3C">
        <w:rPr>
          <w:b/>
        </w:rPr>
        <w:t>ORDER</w:t>
      </w:r>
    </w:p>
    <w:p w14:paraId="0123B5F8" w14:textId="77777777" w:rsidR="00892232" w:rsidRPr="00401D3C" w:rsidRDefault="00892232" w:rsidP="006D56B2">
      <w:pPr>
        <w:pStyle w:val="ListParagraph"/>
        <w:spacing w:line="264" w:lineRule="auto"/>
        <w:ind w:left="0"/>
      </w:pPr>
    </w:p>
    <w:p w14:paraId="5208A72F" w14:textId="77777777" w:rsidR="00F32856" w:rsidRPr="00401D3C" w:rsidRDefault="00F32856" w:rsidP="006D56B2">
      <w:pPr>
        <w:spacing w:line="264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3102A9D7" w14:textId="77777777" w:rsidR="00F32856" w:rsidRPr="00401D3C" w:rsidRDefault="00F32856" w:rsidP="006D56B2">
      <w:pPr>
        <w:spacing w:line="264" w:lineRule="auto"/>
        <w:ind w:left="720"/>
      </w:pPr>
    </w:p>
    <w:p w14:paraId="4E3A7465" w14:textId="77777777" w:rsidR="005E3095" w:rsidRPr="00401D3C" w:rsidRDefault="005E3095" w:rsidP="006D56B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401D3C">
        <w:t>(1)</w:t>
      </w:r>
      <w:r w:rsidRPr="00401D3C">
        <w:tab/>
      </w:r>
      <w:r w:rsidR="00D25C71">
        <w:rPr>
          <w:bCs/>
        </w:rPr>
        <w:t>Convergence Technologies, Inc.</w:t>
      </w:r>
      <w:r w:rsidR="00172976">
        <w:t>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D25C71">
        <w:t>500</w:t>
      </w:r>
      <w:r w:rsidR="00E0789C" w:rsidRPr="00401D3C">
        <w:t xml:space="preserve"> penalty </w:t>
      </w:r>
      <w:r w:rsidR="006A0236" w:rsidRPr="00401D3C">
        <w:t xml:space="preserve">is </w:t>
      </w:r>
      <w:r w:rsidR="00A1104A">
        <w:t>DENIED</w:t>
      </w:r>
      <w:r w:rsidR="00E0789C" w:rsidRPr="00401D3C">
        <w:t xml:space="preserve">.  </w:t>
      </w:r>
    </w:p>
    <w:p w14:paraId="339037FC" w14:textId="77777777" w:rsidR="005E3095" w:rsidRPr="00401D3C" w:rsidRDefault="005E3095" w:rsidP="006D56B2">
      <w:pPr>
        <w:spacing w:line="264" w:lineRule="auto"/>
        <w:ind w:left="720"/>
      </w:pPr>
    </w:p>
    <w:p w14:paraId="3EC08A99" w14:textId="77777777" w:rsidR="00FA0D05" w:rsidRDefault="005E3095" w:rsidP="006D56B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</w:t>
      </w:r>
      <w:r w:rsidR="00B65DFE">
        <w:t>$</w:t>
      </w:r>
      <w:r w:rsidR="00D25C71">
        <w:t>500</w:t>
      </w:r>
      <w:r w:rsidR="00B65DFE">
        <w:t xml:space="preserve"> </w:t>
      </w:r>
      <w:r w:rsidR="00E0789C" w:rsidRPr="00401D3C">
        <w:t xml:space="preserve">penalty </w:t>
      </w:r>
      <w:r w:rsidR="00776B35" w:rsidRPr="00401D3C">
        <w:t xml:space="preserve">is due and payable no later than </w:t>
      </w:r>
      <w:r w:rsidR="0084534A">
        <w:t>July</w:t>
      </w:r>
      <w:r w:rsidR="004C2BF8">
        <w:t xml:space="preserve"> </w:t>
      </w:r>
      <w:r w:rsidR="006D56B2">
        <w:t>20</w:t>
      </w:r>
      <w:r w:rsidR="004C2BF8">
        <w:t>,</w:t>
      </w:r>
      <w:r w:rsidR="002A547A" w:rsidRPr="00401D3C">
        <w:t xml:space="preserve"> 201</w:t>
      </w:r>
      <w:r w:rsidR="00172976">
        <w:t>5</w:t>
      </w:r>
      <w:r w:rsidR="009B4C93" w:rsidRPr="00401D3C">
        <w:t>.</w:t>
      </w:r>
    </w:p>
    <w:p w14:paraId="7B91F76E" w14:textId="77777777" w:rsidR="00FA0D05" w:rsidRDefault="00FA0D05" w:rsidP="006D56B2">
      <w:pPr>
        <w:pStyle w:val="ListParagraph"/>
        <w:spacing w:line="264" w:lineRule="auto"/>
      </w:pPr>
    </w:p>
    <w:p w14:paraId="29CE2DB9" w14:textId="77777777" w:rsidR="006F2E4D" w:rsidRPr="00401D3C" w:rsidRDefault="00860038" w:rsidP="006D56B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65BCE84C" w14:textId="77777777" w:rsidR="00860038" w:rsidRPr="00401D3C" w:rsidRDefault="00860038" w:rsidP="006D56B2">
      <w:pPr>
        <w:spacing w:line="264" w:lineRule="auto"/>
      </w:pPr>
    </w:p>
    <w:p w14:paraId="1B28A080" w14:textId="77777777" w:rsidR="00C011AB" w:rsidRPr="00401D3C" w:rsidRDefault="00BD11E4" w:rsidP="006D56B2">
      <w:pPr>
        <w:spacing w:line="264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126C89">
        <w:t xml:space="preserve">July </w:t>
      </w:r>
      <w:r w:rsidR="006D56B2">
        <w:t>8</w:t>
      </w:r>
      <w:r w:rsidR="00172976">
        <w:t>, 2015</w:t>
      </w:r>
      <w:r w:rsidR="00C011AB" w:rsidRPr="00401D3C">
        <w:t>.</w:t>
      </w:r>
    </w:p>
    <w:p w14:paraId="00A20FC4" w14:textId="77777777" w:rsidR="00C011AB" w:rsidRPr="00401D3C" w:rsidRDefault="00C011AB" w:rsidP="006D56B2">
      <w:pPr>
        <w:pStyle w:val="Header"/>
        <w:tabs>
          <w:tab w:val="clear" w:pos="4320"/>
          <w:tab w:val="clear" w:pos="8640"/>
        </w:tabs>
        <w:spacing w:line="264" w:lineRule="auto"/>
      </w:pPr>
    </w:p>
    <w:p w14:paraId="64438DB2" w14:textId="77777777" w:rsidR="00C011AB" w:rsidRPr="00401D3C" w:rsidRDefault="00C011AB" w:rsidP="006D56B2">
      <w:pPr>
        <w:spacing w:line="264" w:lineRule="auto"/>
        <w:jc w:val="center"/>
      </w:pPr>
      <w:r w:rsidRPr="00401D3C">
        <w:t>WASHINGTON UTILITIES AND TRANSPORTATION COMMISSION</w:t>
      </w:r>
    </w:p>
    <w:p w14:paraId="0E9FC80D" w14:textId="77777777" w:rsidR="00981531" w:rsidRPr="00401D3C" w:rsidRDefault="00981531" w:rsidP="006D56B2">
      <w:pPr>
        <w:pStyle w:val="Header"/>
        <w:tabs>
          <w:tab w:val="clear" w:pos="4320"/>
          <w:tab w:val="clear" w:pos="8640"/>
        </w:tabs>
        <w:spacing w:line="264" w:lineRule="auto"/>
      </w:pPr>
    </w:p>
    <w:p w14:paraId="22CA4642" w14:textId="77777777" w:rsidR="00293EC2" w:rsidRPr="00401D3C" w:rsidRDefault="00293EC2" w:rsidP="006D56B2">
      <w:pPr>
        <w:spacing w:line="264" w:lineRule="auto"/>
        <w:ind w:left="2880" w:firstLine="720"/>
        <w:jc w:val="center"/>
      </w:pPr>
    </w:p>
    <w:p w14:paraId="44F619E8" w14:textId="77777777" w:rsidR="00293EC2" w:rsidRPr="00401D3C" w:rsidRDefault="00293EC2" w:rsidP="006D56B2">
      <w:pPr>
        <w:spacing w:line="264" w:lineRule="auto"/>
        <w:ind w:left="2880" w:firstLine="720"/>
        <w:jc w:val="center"/>
      </w:pPr>
    </w:p>
    <w:p w14:paraId="304CC182" w14:textId="77777777" w:rsidR="00C011AB" w:rsidRPr="00401D3C" w:rsidRDefault="008A37A3" w:rsidP="006D56B2">
      <w:pPr>
        <w:spacing w:line="264" w:lineRule="auto"/>
        <w:ind w:left="3600" w:firstLine="720"/>
      </w:pPr>
      <w:r w:rsidRPr="00401D3C">
        <w:t>STEVEN V. KING</w:t>
      </w:r>
    </w:p>
    <w:p w14:paraId="0BA8651B" w14:textId="77777777" w:rsidR="00C011AB" w:rsidRPr="00401D3C" w:rsidRDefault="00C011AB" w:rsidP="006D56B2">
      <w:pPr>
        <w:spacing w:line="264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563B7E38" w14:textId="77777777" w:rsidR="006972FB" w:rsidRPr="00401D3C" w:rsidRDefault="006972FB" w:rsidP="006D56B2">
      <w:pPr>
        <w:spacing w:line="264" w:lineRule="auto"/>
      </w:pPr>
    </w:p>
    <w:p w14:paraId="43661A23" w14:textId="77777777" w:rsidR="00F637C2" w:rsidRPr="00401D3C" w:rsidRDefault="006D56B2" w:rsidP="006D56B2">
      <w:pPr>
        <w:spacing w:line="264" w:lineRule="auto"/>
      </w:pPr>
      <w:r>
        <w:br w:type="page"/>
      </w:r>
    </w:p>
    <w:p w14:paraId="3F058ADB" w14:textId="77777777" w:rsidR="006972FB" w:rsidRPr="00401D3C" w:rsidRDefault="006972FB" w:rsidP="006D56B2">
      <w:pPr>
        <w:spacing w:line="264" w:lineRule="auto"/>
        <w:rPr>
          <w:b/>
          <w:bCs/>
        </w:rPr>
      </w:pPr>
      <w:r w:rsidRPr="00401D3C">
        <w:rPr>
          <w:b/>
        </w:rPr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5C489" w14:textId="77777777" w:rsidR="00A73E8F" w:rsidRDefault="00A73E8F">
      <w:r>
        <w:separator/>
      </w:r>
    </w:p>
  </w:endnote>
  <w:endnote w:type="continuationSeparator" w:id="0">
    <w:p w14:paraId="65B6B1C6" w14:textId="77777777" w:rsidR="00A73E8F" w:rsidRDefault="00A7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ECD8F" w14:textId="77777777" w:rsidR="00101402" w:rsidRDefault="001014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21208" w14:textId="77777777" w:rsidR="00101402" w:rsidRDefault="001014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06B62" w14:textId="77777777" w:rsidR="00101402" w:rsidRDefault="001014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B83E3" w14:textId="77777777" w:rsidR="00A73E8F" w:rsidRDefault="00A73E8F">
      <w:r>
        <w:separator/>
      </w:r>
    </w:p>
  </w:footnote>
  <w:footnote w:type="continuationSeparator" w:id="0">
    <w:p w14:paraId="6E22F9B2" w14:textId="77777777" w:rsidR="00A73E8F" w:rsidRDefault="00A73E8F">
      <w:r>
        <w:continuationSeparator/>
      </w:r>
    </w:p>
  </w:footnote>
  <w:footnote w:id="1">
    <w:p w14:paraId="590E01EF" w14:textId="77777777" w:rsidR="00657E0B" w:rsidRPr="006D56B2" w:rsidRDefault="00657E0B" w:rsidP="006D56B2">
      <w:pPr>
        <w:pStyle w:val="FootnoteText"/>
        <w:spacing w:after="120"/>
        <w:rPr>
          <w:sz w:val="22"/>
          <w:szCs w:val="22"/>
        </w:rPr>
      </w:pPr>
      <w:r w:rsidRPr="006D56B2">
        <w:rPr>
          <w:rStyle w:val="FootnoteReference"/>
          <w:sz w:val="22"/>
          <w:szCs w:val="22"/>
        </w:rPr>
        <w:footnoteRef/>
      </w:r>
      <w:r w:rsidRPr="006D56B2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292B2" w14:textId="77777777" w:rsidR="00101402" w:rsidRDefault="001014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DDE74" w14:textId="77777777" w:rsidR="009345E5" w:rsidRPr="00B85B2D" w:rsidRDefault="009345E5" w:rsidP="006D56B2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B65DFE">
      <w:rPr>
        <w:b/>
        <w:bCs/>
        <w:sz w:val="20"/>
        <w:szCs w:val="20"/>
      </w:rPr>
      <w:t>UT-15080</w:t>
    </w:r>
    <w:r w:rsidR="00D25C71">
      <w:rPr>
        <w:b/>
        <w:bCs/>
        <w:sz w:val="20"/>
        <w:szCs w:val="20"/>
      </w:rPr>
      <w:t>6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E21D0B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2FCBBF24" w14:textId="77777777" w:rsidR="009345E5" w:rsidRPr="00B85B2D" w:rsidRDefault="009345E5" w:rsidP="006D56B2">
    <w:pPr>
      <w:pStyle w:val="Header"/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367087FE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80F38" w14:textId="27048B52" w:rsidR="009345E5" w:rsidRPr="005A53AE" w:rsidRDefault="00101402" w:rsidP="006D56B2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July 8,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402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6C89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66CB0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4FFE"/>
    <w:rsid w:val="002F698C"/>
    <w:rsid w:val="00301107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76AE6"/>
    <w:rsid w:val="003815A3"/>
    <w:rsid w:val="00383B52"/>
    <w:rsid w:val="00386898"/>
    <w:rsid w:val="00397A87"/>
    <w:rsid w:val="003A38E3"/>
    <w:rsid w:val="003A7B35"/>
    <w:rsid w:val="003B10D2"/>
    <w:rsid w:val="003C70EB"/>
    <w:rsid w:val="003C7A0C"/>
    <w:rsid w:val="003D4639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2BF8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4F86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2371"/>
    <w:rsid w:val="0064785C"/>
    <w:rsid w:val="006552B9"/>
    <w:rsid w:val="00657E0B"/>
    <w:rsid w:val="00664F6A"/>
    <w:rsid w:val="00667F91"/>
    <w:rsid w:val="006704C8"/>
    <w:rsid w:val="00672F09"/>
    <w:rsid w:val="006736DC"/>
    <w:rsid w:val="00673A94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D56B2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104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055B"/>
    <w:rsid w:val="009B1AB0"/>
    <w:rsid w:val="009B4C93"/>
    <w:rsid w:val="009D1F5D"/>
    <w:rsid w:val="009D5079"/>
    <w:rsid w:val="009F7B0E"/>
    <w:rsid w:val="00A01D98"/>
    <w:rsid w:val="00A02940"/>
    <w:rsid w:val="00A05D98"/>
    <w:rsid w:val="00A1104A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664C3"/>
    <w:rsid w:val="00A71D58"/>
    <w:rsid w:val="00A73E8F"/>
    <w:rsid w:val="00A7478B"/>
    <w:rsid w:val="00A75C9C"/>
    <w:rsid w:val="00A7717D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4475E"/>
    <w:rsid w:val="00B517D3"/>
    <w:rsid w:val="00B6015A"/>
    <w:rsid w:val="00B60347"/>
    <w:rsid w:val="00B61EFD"/>
    <w:rsid w:val="00B65DFE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A2308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829A5"/>
    <w:rsid w:val="00C84737"/>
    <w:rsid w:val="00C92A52"/>
    <w:rsid w:val="00C94AC0"/>
    <w:rsid w:val="00CA0EC2"/>
    <w:rsid w:val="00CA18D9"/>
    <w:rsid w:val="00CC2029"/>
    <w:rsid w:val="00CC3B96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5C7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1D0B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5D78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2015-05-13T07:00:00+00:00</OpenedDate>
    <Date1 xmlns="dc463f71-b30c-4ab2-9473-d307f9d35888">2015-07-08T07:00:00+00:00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Convergence Technologies, Inc.</CaseCompanyNames>
    <DocketNumber xmlns="dc463f71-b30c-4ab2-9473-d307f9d35888">150806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D86AA58EE1424FAFE9CC832E9DDF2A" ma:contentTypeVersion="119" ma:contentTypeDescription="" ma:contentTypeScope="" ma:versionID="cd05b1e630dd3f54a5fb020dd234d1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6398C-E434-43D2-98DF-75306E3CE1FC}"/>
</file>

<file path=customXml/itemProps2.xml><?xml version="1.0" encoding="utf-8"?>
<ds:datastoreItem xmlns:ds="http://schemas.openxmlformats.org/officeDocument/2006/customXml" ds:itemID="{2D496C70-E8A8-490B-8AFD-368EAAEB9F43}"/>
</file>

<file path=customXml/itemProps3.xml><?xml version="1.0" encoding="utf-8"?>
<ds:datastoreItem xmlns:ds="http://schemas.openxmlformats.org/officeDocument/2006/customXml" ds:itemID="{EC74083E-F754-400F-A8B0-66E7CCE36EEF}"/>
</file>

<file path=customXml/itemProps4.xml><?xml version="1.0" encoding="utf-8"?>
<ds:datastoreItem xmlns:ds="http://schemas.openxmlformats.org/officeDocument/2006/customXml" ds:itemID="{126309CD-0870-4457-B45D-48FACF4A6458}"/>
</file>

<file path=customXml/itemProps5.xml><?xml version="1.0" encoding="utf-8"?>
<ds:datastoreItem xmlns:ds="http://schemas.openxmlformats.org/officeDocument/2006/customXml" ds:itemID="{90D9F46B-EB39-4E9F-A284-F8ACB9316C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2015-07-07T21:15:00Z</dcterms:created>
  <dcterms:modified xsi:type="dcterms:W3CDTF">2015-07-07T21:16:00Z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0x0101006E56B4D1795A2E4DB2F0B01679ED314A00D1D86AA58EE1424FAFE9CC832E9DDF2A</vt:lpwstr>
  </property>
  <property fmtid="{D5CDD505-2E9C-101B-9397-08002B2CF9AE}" pid="3" name="_docset_NoMedatataSyncRequired">
    <vt:lpwstr>False</vt:lpwstr>
  </property>
</Properties>
</file>