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F8CE" w14:textId="77777777" w:rsidR="000A1236" w:rsidRPr="00C923D6" w:rsidRDefault="000A1236">
      <w:pPr>
        <w:pStyle w:val="BodyText"/>
        <w:rPr>
          <w:b/>
          <w:bCs/>
        </w:rPr>
      </w:pPr>
      <w:bookmarkStart w:id="0" w:name="_GoBack"/>
      <w:bookmarkEnd w:id="0"/>
      <w:r w:rsidRPr="00C923D6">
        <w:rPr>
          <w:b/>
          <w:bCs/>
        </w:rPr>
        <w:t>BEFORE THE WASHINGTON</w:t>
      </w:r>
    </w:p>
    <w:p w14:paraId="1CECF8CF" w14:textId="77777777" w:rsidR="000A1236" w:rsidRPr="00C923D6" w:rsidRDefault="000A1236">
      <w:pPr>
        <w:pStyle w:val="BodyText"/>
        <w:rPr>
          <w:b/>
          <w:bCs/>
        </w:rPr>
      </w:pPr>
      <w:r w:rsidRPr="00C923D6">
        <w:rPr>
          <w:b/>
          <w:bCs/>
        </w:rPr>
        <w:t xml:space="preserve">UTILITIES AND TRANSPORTATION </w:t>
      </w:r>
      <w:r w:rsidR="00FA1C7D">
        <w:rPr>
          <w:b/>
          <w:bCs/>
        </w:rPr>
        <w:t>COMMISSION</w:t>
      </w:r>
    </w:p>
    <w:p w14:paraId="1CECF8D0" w14:textId="77777777" w:rsidR="000A1236" w:rsidRPr="00C923D6" w:rsidRDefault="000A1236">
      <w:pPr>
        <w:jc w:val="center"/>
      </w:pPr>
    </w:p>
    <w:tbl>
      <w:tblPr>
        <w:tblW w:w="8886" w:type="dxa"/>
        <w:tblLook w:val="0000" w:firstRow="0" w:lastRow="0" w:firstColumn="0" w:lastColumn="0" w:noHBand="0" w:noVBand="0"/>
      </w:tblPr>
      <w:tblGrid>
        <w:gridCol w:w="4428"/>
        <w:gridCol w:w="270"/>
        <w:gridCol w:w="4188"/>
      </w:tblGrid>
      <w:tr w:rsidR="000A1236" w:rsidRPr="00C923D6" w14:paraId="1CECF8E0" w14:textId="77777777" w:rsidTr="00516BE6">
        <w:tc>
          <w:tcPr>
            <w:tcW w:w="4428" w:type="dxa"/>
            <w:tcBorders>
              <w:bottom w:val="single" w:sz="4" w:space="0" w:color="auto"/>
              <w:right w:val="single" w:sz="4" w:space="0" w:color="auto"/>
            </w:tcBorders>
          </w:tcPr>
          <w:p w14:paraId="1CECF8D1" w14:textId="77777777" w:rsidR="000A1236" w:rsidRPr="00C923D6" w:rsidRDefault="000A1236">
            <w:pPr>
              <w:pStyle w:val="Header"/>
              <w:tabs>
                <w:tab w:val="clear" w:pos="4320"/>
                <w:tab w:val="clear" w:pos="8640"/>
              </w:tabs>
            </w:pPr>
            <w:r w:rsidRPr="00C923D6">
              <w:t xml:space="preserve">In the Matter of the Petition of </w:t>
            </w:r>
          </w:p>
          <w:p w14:paraId="1CECF8D2" w14:textId="77777777" w:rsidR="000A1236" w:rsidRPr="00C923D6" w:rsidRDefault="000A1236"/>
          <w:p w14:paraId="1CECF8D3" w14:textId="55BD48DE" w:rsidR="007308FD" w:rsidRDefault="00E1167D" w:rsidP="00D75862">
            <w:r>
              <w:t>PACIFIC POWER &amp; LIGHT COMPANY</w:t>
            </w:r>
            <w:r w:rsidR="000A1236" w:rsidRPr="00C923D6">
              <w:t>,</w:t>
            </w:r>
          </w:p>
          <w:p w14:paraId="1CECF8D4" w14:textId="77777777" w:rsidR="000A1236" w:rsidRPr="00C923D6" w:rsidRDefault="000A1236"/>
          <w:p w14:paraId="1CECF8D5" w14:textId="77777777" w:rsidR="000A1236" w:rsidRPr="00C923D6" w:rsidRDefault="000A1236" w:rsidP="00057BB3">
            <w:pPr>
              <w:jc w:val="center"/>
            </w:pPr>
            <w:r w:rsidRPr="00C923D6">
              <w:t>Petitioner,</w:t>
            </w:r>
          </w:p>
          <w:p w14:paraId="1CECF8D6" w14:textId="77777777" w:rsidR="000A1236" w:rsidRPr="00C923D6" w:rsidRDefault="000A1236"/>
          <w:p w14:paraId="41258931" w14:textId="77777777" w:rsidR="000A1236" w:rsidRDefault="000A1236" w:rsidP="007C0332">
            <w:r w:rsidRPr="00C923D6">
              <w:t xml:space="preserve">For An Accounting Order </w:t>
            </w:r>
            <w:r w:rsidR="00905891" w:rsidRPr="00905891">
              <w:t xml:space="preserve">Authorizing </w:t>
            </w:r>
            <w:r w:rsidR="007C0332">
              <w:t>Deferral of Costs</w:t>
            </w:r>
            <w:r w:rsidR="00905891" w:rsidRPr="00905891">
              <w:t xml:space="preserve"> related to the </w:t>
            </w:r>
            <w:r w:rsidR="007C0332">
              <w:t>Purchase of Unbundled Renewable Energy Certificates</w:t>
            </w:r>
          </w:p>
          <w:p w14:paraId="1CECF8D8" w14:textId="14752C99" w:rsidR="00DA0419" w:rsidRPr="00C923D6" w:rsidRDefault="00DA0419" w:rsidP="007C0332"/>
        </w:tc>
        <w:tc>
          <w:tcPr>
            <w:tcW w:w="270" w:type="dxa"/>
            <w:tcBorders>
              <w:left w:val="single" w:sz="4" w:space="0" w:color="auto"/>
            </w:tcBorders>
          </w:tcPr>
          <w:p w14:paraId="1CECF8D9" w14:textId="77777777" w:rsidR="000A1236" w:rsidRPr="00C923D6" w:rsidRDefault="000A1236">
            <w:pPr>
              <w:jc w:val="center"/>
            </w:pPr>
          </w:p>
        </w:tc>
        <w:tc>
          <w:tcPr>
            <w:tcW w:w="4188" w:type="dxa"/>
          </w:tcPr>
          <w:p w14:paraId="1CECF8DA" w14:textId="262CFC5D" w:rsidR="000A1236" w:rsidRPr="00C923D6" w:rsidRDefault="00491C72">
            <w:r>
              <w:t>DOCKET</w:t>
            </w:r>
            <w:r w:rsidR="00AC1794">
              <w:t xml:space="preserve"> </w:t>
            </w:r>
            <w:r w:rsidR="00B20DE1">
              <w:t>UE-1</w:t>
            </w:r>
            <w:r w:rsidR="007C0332">
              <w:t>43915</w:t>
            </w:r>
          </w:p>
          <w:p w14:paraId="1CECF8DB" w14:textId="77777777" w:rsidR="000A1236" w:rsidRPr="00C923D6" w:rsidRDefault="000A1236"/>
          <w:p w14:paraId="1CECF8DC" w14:textId="77777777" w:rsidR="000A1236" w:rsidRPr="00C923D6" w:rsidRDefault="00491C72">
            <w:r>
              <w:t>ORDER</w:t>
            </w:r>
            <w:r w:rsidR="000A1236" w:rsidRPr="00C923D6">
              <w:t xml:space="preserve"> </w:t>
            </w:r>
            <w:r w:rsidR="00B20DE1">
              <w:t>01</w:t>
            </w:r>
          </w:p>
          <w:p w14:paraId="1CECF8DD" w14:textId="77777777" w:rsidR="000A1236" w:rsidRPr="00C923D6" w:rsidRDefault="000A1236">
            <w:pPr>
              <w:rPr>
                <w:b/>
                <w:bCs/>
              </w:rPr>
            </w:pPr>
          </w:p>
          <w:p w14:paraId="1CECF8DE" w14:textId="77777777" w:rsidR="000A1236" w:rsidRPr="00C923D6" w:rsidRDefault="000A1236">
            <w:pPr>
              <w:rPr>
                <w:b/>
                <w:bCs/>
              </w:rPr>
            </w:pPr>
          </w:p>
          <w:p w14:paraId="1CECF8DF" w14:textId="58426E8B" w:rsidR="000A1236" w:rsidRPr="00C923D6" w:rsidRDefault="000A1236" w:rsidP="007C0332">
            <w:pPr>
              <w:pStyle w:val="Header"/>
              <w:tabs>
                <w:tab w:val="clear" w:pos="4320"/>
                <w:tab w:val="clear" w:pos="8640"/>
              </w:tabs>
            </w:pPr>
            <w:r w:rsidRPr="00C923D6">
              <w:t xml:space="preserve">ORDER </w:t>
            </w:r>
            <w:r w:rsidR="001E31D2">
              <w:t>GRANTING</w:t>
            </w:r>
            <w:r w:rsidR="00516BE6">
              <w:t xml:space="preserve"> ACCOUNTING PETITION</w:t>
            </w:r>
            <w:r w:rsidR="000F6AA3">
              <w:t>; ALLOWING RECOVERY OF COSTS</w:t>
            </w:r>
          </w:p>
        </w:tc>
      </w:tr>
    </w:tbl>
    <w:p w14:paraId="1CECF8E1" w14:textId="77777777" w:rsidR="000A1236" w:rsidRDefault="000A1236">
      <w:pPr>
        <w:jc w:val="center"/>
      </w:pPr>
    </w:p>
    <w:p w14:paraId="77F0CBE2" w14:textId="77777777" w:rsidR="005728CE" w:rsidRPr="00C923D6" w:rsidRDefault="005728CE">
      <w:pPr>
        <w:jc w:val="center"/>
      </w:pPr>
    </w:p>
    <w:p w14:paraId="1CECF8E2" w14:textId="77777777" w:rsidR="000A1236" w:rsidRPr="00C923D6" w:rsidRDefault="000A1236" w:rsidP="00DE6413">
      <w:pPr>
        <w:pStyle w:val="Heading1"/>
        <w:spacing w:line="320" w:lineRule="exact"/>
      </w:pPr>
      <w:r w:rsidRPr="00C923D6">
        <w:t>BACKGROUND</w:t>
      </w:r>
    </w:p>
    <w:p w14:paraId="1CECF8E3" w14:textId="77777777" w:rsidR="000A1236" w:rsidRPr="00C923D6" w:rsidRDefault="000A1236" w:rsidP="00DE6413">
      <w:pPr>
        <w:spacing w:line="320" w:lineRule="exact"/>
        <w:jc w:val="center"/>
      </w:pPr>
    </w:p>
    <w:p w14:paraId="1CECF8E5" w14:textId="5D01813F" w:rsidR="00905891" w:rsidRDefault="000A1236" w:rsidP="00F5011B">
      <w:pPr>
        <w:numPr>
          <w:ilvl w:val="0"/>
          <w:numId w:val="1"/>
        </w:numPr>
        <w:spacing w:line="320" w:lineRule="exact"/>
      </w:pPr>
      <w:r w:rsidRPr="00C923D6">
        <w:t>On</w:t>
      </w:r>
      <w:r w:rsidR="00525321">
        <w:t xml:space="preserve"> </w:t>
      </w:r>
      <w:r w:rsidR="007C0332">
        <w:t>November 18, 2014</w:t>
      </w:r>
      <w:r w:rsidRPr="00C923D6">
        <w:t>,</w:t>
      </w:r>
      <w:r w:rsidRPr="004F3814">
        <w:rPr>
          <w:b/>
          <w:bCs/>
        </w:rPr>
        <w:t xml:space="preserve"> </w:t>
      </w:r>
      <w:r w:rsidR="007C0332">
        <w:rPr>
          <w:bCs/>
        </w:rPr>
        <w:t>Pacific Power &amp; Light Company</w:t>
      </w:r>
      <w:r w:rsidRPr="00C923D6">
        <w:t xml:space="preserve"> (</w:t>
      </w:r>
      <w:r w:rsidR="007C0332">
        <w:t>Pacific Power</w:t>
      </w:r>
      <w:r w:rsidR="005728CE">
        <w:t xml:space="preserve"> or </w:t>
      </w:r>
      <w:r w:rsidR="00840ABC">
        <w:t>Company</w:t>
      </w:r>
      <w:r w:rsidRPr="00C923D6">
        <w:t>)</w:t>
      </w:r>
      <w:r w:rsidRPr="004F3814">
        <w:rPr>
          <w:b/>
          <w:bCs/>
        </w:rPr>
        <w:t xml:space="preserve"> </w:t>
      </w:r>
      <w:r w:rsidR="003C2270">
        <w:t xml:space="preserve">filed </w:t>
      </w:r>
      <w:r w:rsidR="008246C9">
        <w:t xml:space="preserve">with the </w:t>
      </w:r>
      <w:r w:rsidR="008246C9" w:rsidRPr="00C923D6">
        <w:t xml:space="preserve">Washington Utilities and Transportation </w:t>
      </w:r>
      <w:r w:rsidR="00FA1C7D">
        <w:t>Commission</w:t>
      </w:r>
      <w:r w:rsidR="008246C9" w:rsidRPr="00C923D6">
        <w:t xml:space="preserve"> </w:t>
      </w:r>
      <w:r w:rsidR="008246C9">
        <w:t>(</w:t>
      </w:r>
      <w:r w:rsidR="00FA1C7D">
        <w:t>Commission</w:t>
      </w:r>
      <w:r w:rsidR="008246C9">
        <w:t xml:space="preserve">) </w:t>
      </w:r>
      <w:r w:rsidR="00DA5958">
        <w:t>a</w:t>
      </w:r>
      <w:r w:rsidR="007C0332">
        <w:t>n accounting</w:t>
      </w:r>
      <w:r w:rsidR="00DA5958">
        <w:t xml:space="preserve"> </w:t>
      </w:r>
      <w:r w:rsidR="00DA5958" w:rsidRPr="000A1F1E">
        <w:t xml:space="preserve">petition </w:t>
      </w:r>
      <w:r w:rsidR="007C0332">
        <w:t>(Petition) seeking authorization to defer costs related to the purchase of unbundled Renewable Energy Certificates (RECs). Pa</w:t>
      </w:r>
      <w:r w:rsidR="002F1DE2">
        <w:t>cific Power purchased the RECs in 2014 t</w:t>
      </w:r>
      <w:r w:rsidR="007C0332">
        <w:t xml:space="preserve">o meet its Renewable Portfolio Standard (RPS) requirement in 2016. </w:t>
      </w:r>
      <w:r w:rsidR="007C0332">
        <w:br/>
      </w:r>
    </w:p>
    <w:p w14:paraId="244505E6" w14:textId="02117DC4" w:rsidR="000F6AA3" w:rsidRDefault="007C0332" w:rsidP="002F1DE2">
      <w:pPr>
        <w:pStyle w:val="ListParagraph"/>
        <w:numPr>
          <w:ilvl w:val="0"/>
          <w:numId w:val="1"/>
        </w:numPr>
        <w:spacing w:line="276" w:lineRule="auto"/>
      </w:pPr>
      <w:r w:rsidRPr="006C20E8">
        <w:t>The Energy Independence Act (EIA or Act)</w:t>
      </w:r>
      <w:r w:rsidRPr="006C20E8">
        <w:rPr>
          <w:vertAlign w:val="superscript"/>
        </w:rPr>
        <w:footnoteReference w:id="1"/>
      </w:r>
      <w:r w:rsidRPr="006C20E8">
        <w:t xml:space="preserve"> requires qualifying electric utilities to obtain certain percentages of their electricity from eligible renewable resources. The Commission enforces </w:t>
      </w:r>
      <w:r>
        <w:t xml:space="preserve">investor-owned utility </w:t>
      </w:r>
      <w:r w:rsidR="002F1DE2">
        <w:t xml:space="preserve">companies’ </w:t>
      </w:r>
      <w:r w:rsidRPr="006C20E8">
        <w:t>compliance with the EIA.</w:t>
      </w:r>
      <w:r w:rsidRPr="006C20E8">
        <w:rPr>
          <w:vertAlign w:val="superscript"/>
        </w:rPr>
        <w:footnoteReference w:id="2"/>
      </w:r>
      <w:r>
        <w:t xml:space="preserve"> Beginning in 2012, the </w:t>
      </w:r>
      <w:r w:rsidR="002F1DE2">
        <w:t>renewable resource</w:t>
      </w:r>
      <w:r>
        <w:t xml:space="preserve"> requirement was </w:t>
      </w:r>
      <w:r w:rsidR="00DA0419">
        <w:t>3</w:t>
      </w:r>
      <w:r>
        <w:t xml:space="preserve"> percent of </w:t>
      </w:r>
      <w:r w:rsidR="002F1DE2">
        <w:t xml:space="preserve">a utility’s </w:t>
      </w:r>
      <w:r>
        <w:t xml:space="preserve">retail load. This requirement adjusted upward to </w:t>
      </w:r>
      <w:r w:rsidR="00DA0419">
        <w:t>9</w:t>
      </w:r>
      <w:r>
        <w:t xml:space="preserve"> percent in 2016, and </w:t>
      </w:r>
      <w:r w:rsidR="002F1DE2">
        <w:t>will increase</w:t>
      </w:r>
      <w:r>
        <w:t xml:space="preserve"> to 15 percent in 2020.</w:t>
      </w:r>
      <w:r w:rsidR="000F6AA3">
        <w:br/>
      </w:r>
    </w:p>
    <w:p w14:paraId="60790428" w14:textId="2863FBED" w:rsidR="000F6AA3" w:rsidRDefault="000F6AA3" w:rsidP="000F6AA3">
      <w:pPr>
        <w:pStyle w:val="ListParagraph"/>
        <w:numPr>
          <w:ilvl w:val="0"/>
          <w:numId w:val="1"/>
        </w:numPr>
        <w:spacing w:line="276" w:lineRule="auto"/>
      </w:pPr>
      <w:r w:rsidRPr="00C97954">
        <w:t xml:space="preserve">Staff </w:t>
      </w:r>
      <w:r>
        <w:t xml:space="preserve">has reviewed Pacific Power’s procurement of the 2014 </w:t>
      </w:r>
      <w:r w:rsidR="002F1DE2">
        <w:t xml:space="preserve">RECs </w:t>
      </w:r>
      <w:r>
        <w:t>and recommends the Commission find them to be a prudent acquisition for RPS compliance</w:t>
      </w:r>
      <w:r w:rsidR="00225F93">
        <w:t xml:space="preserve"> purposes</w:t>
      </w:r>
      <w:r>
        <w:t>. Staff’s evaluation relied</w:t>
      </w:r>
      <w:r w:rsidR="002F1DE2">
        <w:t xml:space="preserve"> on the following </w:t>
      </w:r>
      <w:r>
        <w:t xml:space="preserve">factors </w:t>
      </w:r>
      <w:r w:rsidR="002F1DE2">
        <w:t>to establish</w:t>
      </w:r>
      <w:r>
        <w:t xml:space="preserve"> prudence:</w:t>
      </w:r>
    </w:p>
    <w:p w14:paraId="1DA165B3" w14:textId="77777777" w:rsidR="000F6AA3" w:rsidRDefault="000F6AA3" w:rsidP="000F6AA3"/>
    <w:p w14:paraId="53C73E78" w14:textId="6407A6B9" w:rsidR="000F6AA3" w:rsidRPr="00455570" w:rsidRDefault="000F6AA3" w:rsidP="000F6AA3">
      <w:pPr>
        <w:pStyle w:val="ListParagraph"/>
        <w:numPr>
          <w:ilvl w:val="0"/>
          <w:numId w:val="6"/>
        </w:numPr>
        <w:spacing w:line="276" w:lineRule="auto"/>
      </w:pPr>
      <w:r w:rsidRPr="000F6AA3">
        <w:rPr>
          <w:b/>
        </w:rPr>
        <w:t>The Need for the Resource.</w:t>
      </w:r>
      <w:r w:rsidRPr="000F6AA3">
        <w:rPr>
          <w:rStyle w:val="FootnoteReference"/>
          <w:b/>
        </w:rPr>
        <w:footnoteReference w:id="3"/>
      </w:r>
      <w:r w:rsidRPr="00455570">
        <w:t xml:space="preserve"> The RPS requirement can be met in two ways: </w:t>
      </w:r>
      <w:r>
        <w:t>applying RECs generated by the C</w:t>
      </w:r>
      <w:r w:rsidRPr="00455570">
        <w:t xml:space="preserve">ompany’s </w:t>
      </w:r>
      <w:r w:rsidR="002F1DE2">
        <w:t xml:space="preserve">own </w:t>
      </w:r>
      <w:r w:rsidRPr="00455570">
        <w:t xml:space="preserve">generating resources, or purchasing RECs from other generators. From 2012 through 2014, Pacific Power </w:t>
      </w:r>
      <w:r w:rsidRPr="00455570">
        <w:lastRenderedPageBreak/>
        <w:t xml:space="preserve">generated more RECs than were needed to meet the </w:t>
      </w:r>
      <w:r>
        <w:t>3</w:t>
      </w:r>
      <w:r w:rsidRPr="00455570">
        <w:t xml:space="preserve"> percent target.</w:t>
      </w:r>
      <w:r>
        <w:rPr>
          <w:rStyle w:val="FootnoteReference"/>
        </w:rPr>
        <w:footnoteReference w:id="4"/>
      </w:r>
      <w:r w:rsidRPr="00455570">
        <w:t xml:space="preserve"> The excess RECs were sold, and the funds generated </w:t>
      </w:r>
      <w:r>
        <w:t xml:space="preserve">were </w:t>
      </w:r>
      <w:r w:rsidRPr="00455570">
        <w:t>returned to Washington ratepayers through a separate tracking mechanism</w:t>
      </w:r>
      <w:r w:rsidR="002F1DE2">
        <w:t>,</w:t>
      </w:r>
      <w:r>
        <w:t xml:space="preserve"> discussed below</w:t>
      </w:r>
      <w:r w:rsidRPr="00455570">
        <w:t>.</w:t>
      </w:r>
      <w:r w:rsidRPr="00B57491">
        <w:rPr>
          <w:rStyle w:val="FootnoteReference"/>
        </w:rPr>
        <w:footnoteReference w:id="5"/>
      </w:r>
      <w:r w:rsidR="002F1DE2">
        <w:t xml:space="preserve"> </w:t>
      </w:r>
      <w:r w:rsidRPr="00455570">
        <w:t>The company’s future REC needs were identified and planned for in Pacific Power’s 2013 Integrated Resource Plan (IRP), and further honed in its 2013 IRP update.</w:t>
      </w:r>
      <w:r>
        <w:rPr>
          <w:rStyle w:val="FootnoteReference"/>
        </w:rPr>
        <w:footnoteReference w:id="6"/>
      </w:r>
      <w:r w:rsidRPr="00455570">
        <w:t xml:space="preserve"> The company planned for the increasing RPS requirement in 2016 by securing low-priced RECs in 2014, and by saving all Washington-allocated RECs generated in 2015. </w:t>
      </w:r>
      <w:r w:rsidRPr="00455570">
        <w:br/>
      </w:r>
    </w:p>
    <w:p w14:paraId="1DB47583" w14:textId="4CCF0BC4" w:rsidR="000F6AA3" w:rsidRPr="00B31689" w:rsidRDefault="000F6AA3" w:rsidP="000F6AA3">
      <w:pPr>
        <w:spacing w:line="276" w:lineRule="auto"/>
        <w:ind w:left="720" w:hanging="360"/>
      </w:pPr>
      <w:r w:rsidRPr="00B31689">
        <w:t>2)</w:t>
      </w:r>
      <w:r w:rsidRPr="00B31689">
        <w:tab/>
      </w:r>
      <w:r w:rsidRPr="000F6AA3">
        <w:rPr>
          <w:b/>
        </w:rPr>
        <w:t>Evaluation of Alternatives</w:t>
      </w:r>
      <w:r>
        <w:rPr>
          <w:b/>
        </w:rPr>
        <w:t>.</w:t>
      </w:r>
      <w:r w:rsidRPr="00B31689">
        <w:t xml:space="preserve"> </w:t>
      </w:r>
      <w:r>
        <w:t xml:space="preserve">The Company evaluated several alternatives both in its 2013 IRP and through a request for proposal (RFP) related to the actual purchases. Staff reviewed the RFPs at the Company’s headquarters. Staff finds that the Company conducted an appropriate evaluation of various alternatives. Staff also finds that the Company’s choice to purchase RECs was the most cost-effective way to comply with the 2016 RPS requirements. </w:t>
      </w:r>
    </w:p>
    <w:p w14:paraId="2F0CD5FE" w14:textId="77777777" w:rsidR="000F6AA3" w:rsidRPr="00B31689" w:rsidRDefault="000F6AA3" w:rsidP="000F6AA3">
      <w:pPr>
        <w:spacing w:line="276" w:lineRule="auto"/>
      </w:pPr>
    </w:p>
    <w:p w14:paraId="1A7A3BFB" w14:textId="1493EEFC" w:rsidR="000F6AA3" w:rsidRPr="00B31689" w:rsidRDefault="000F6AA3" w:rsidP="000F6AA3">
      <w:pPr>
        <w:spacing w:line="276" w:lineRule="auto"/>
        <w:ind w:left="720" w:hanging="360"/>
      </w:pPr>
      <w:r w:rsidRPr="00B31689">
        <w:t>3)</w:t>
      </w:r>
      <w:r w:rsidRPr="00B31689">
        <w:tab/>
      </w:r>
      <w:r w:rsidRPr="000F6AA3">
        <w:rPr>
          <w:b/>
        </w:rPr>
        <w:t>Involvement of the Company’s Board of Directors</w:t>
      </w:r>
      <w:r>
        <w:rPr>
          <w:b/>
        </w:rPr>
        <w:t>.</w:t>
      </w:r>
      <w:r w:rsidRPr="00B31689">
        <w:t xml:space="preserve"> </w:t>
      </w:r>
      <w:r>
        <w:t xml:space="preserve">Since Pacific Power does not operate with a formal board of directors, Staff applies a reasonableness standard for the purposes of evaluating prudence. The Company involved several key executives in the decision to purchases RECs for compliance and analyzed the business case for different options for compliance. Based on its review of internal communications, Staff finds that the REC purchases were reasonable. </w:t>
      </w:r>
    </w:p>
    <w:p w14:paraId="5E5BC354" w14:textId="77777777" w:rsidR="000F6AA3" w:rsidRPr="00B31689" w:rsidRDefault="000F6AA3" w:rsidP="000F6AA3">
      <w:pPr>
        <w:spacing w:line="276" w:lineRule="auto"/>
      </w:pPr>
    </w:p>
    <w:p w14:paraId="016161BC" w14:textId="247B4177" w:rsidR="000F6AA3" w:rsidRDefault="000F6AA3" w:rsidP="000F6AA3">
      <w:pPr>
        <w:spacing w:line="276" w:lineRule="auto"/>
        <w:ind w:left="720" w:hanging="360"/>
      </w:pPr>
      <w:r w:rsidRPr="00B31689">
        <w:t>4)</w:t>
      </w:r>
      <w:r w:rsidRPr="00B31689">
        <w:tab/>
      </w:r>
      <w:r w:rsidRPr="000F6AA3">
        <w:rPr>
          <w:b/>
        </w:rPr>
        <w:t>Adequate Documentation</w:t>
      </w:r>
      <w:r>
        <w:rPr>
          <w:b/>
        </w:rPr>
        <w:t>.</w:t>
      </w:r>
      <w:r w:rsidRPr="00B31689">
        <w:t xml:space="preserve"> </w:t>
      </w:r>
      <w:r>
        <w:t xml:space="preserve">The Company responded to several data requests along with information detailing the involvement of the Company’s management, evaluation of alternatives through an RFP, and the need for the resource. Staff has reviewed these responses in relation to each of the other standards for prudency. Staff supports a finding of prudence for the purchase of these RECs. </w:t>
      </w:r>
    </w:p>
    <w:p w14:paraId="5619C947" w14:textId="77777777" w:rsidR="00681D8A" w:rsidRDefault="00681D8A" w:rsidP="000F6AA3"/>
    <w:p w14:paraId="7F789D19" w14:textId="2E892C53" w:rsidR="00C550D3" w:rsidRDefault="000F6AA3" w:rsidP="000F6AA3">
      <w:pPr>
        <w:numPr>
          <w:ilvl w:val="0"/>
          <w:numId w:val="1"/>
        </w:numPr>
        <w:spacing w:line="276" w:lineRule="auto"/>
      </w:pPr>
      <w:r>
        <w:lastRenderedPageBreak/>
        <w:t xml:space="preserve">Concurrent with its procurement of the 2014 </w:t>
      </w:r>
      <w:r w:rsidR="002F1DE2">
        <w:t>RECs</w:t>
      </w:r>
      <w:r>
        <w:t xml:space="preserve">, Pacific Power was ordered by the Commission to recover certain costs through a tracker mechanism in </w:t>
      </w:r>
      <w:r w:rsidR="00225F93">
        <w:t>S</w:t>
      </w:r>
      <w:r>
        <w:t>chedule 95.</w:t>
      </w:r>
      <w:r>
        <w:rPr>
          <w:rStyle w:val="FootnoteReference"/>
        </w:rPr>
        <w:footnoteReference w:id="7"/>
      </w:r>
      <w:r>
        <w:t xml:space="preserve"> The remaining balance in the tracker mechanism is $898,851, which is expected to be fully amortized in March 2017. Adding an additional </w:t>
      </w:r>
      <w:r w:rsidRPr="00D077D8">
        <w:t>$</w:t>
      </w:r>
      <w:r>
        <w:t xml:space="preserve">432,137 related to the 2014 </w:t>
      </w:r>
      <w:r w:rsidR="002F1DE2">
        <w:t>RECs</w:t>
      </w:r>
      <w:r>
        <w:t xml:space="preserve"> and the accumulating interest extends the ending date of Schedule 95 from March 2017 to June 2017. </w:t>
      </w:r>
      <w:r w:rsidR="002F1DE2">
        <w:br/>
      </w:r>
    </w:p>
    <w:p w14:paraId="7CCB65AC" w14:textId="3490ABF2" w:rsidR="000F6AA3" w:rsidRDefault="000F6AA3" w:rsidP="000F6AA3">
      <w:pPr>
        <w:numPr>
          <w:ilvl w:val="0"/>
          <w:numId w:val="1"/>
        </w:numPr>
        <w:spacing w:line="276" w:lineRule="auto"/>
      </w:pPr>
      <w:r>
        <w:t xml:space="preserve">Staff has reviewed the Petition and recommends the Commission issue an order authorizing accounting treatment for the costs related to the purchase of the 2014 </w:t>
      </w:r>
      <w:r w:rsidR="00225F93">
        <w:t>RECs</w:t>
      </w:r>
      <w:r>
        <w:t xml:space="preserve">. Staff has reviewed these purchases and finds that the costs related to the 2014 </w:t>
      </w:r>
      <w:r w:rsidR="00225F93">
        <w:t>RECs</w:t>
      </w:r>
      <w:r>
        <w:t xml:space="preserve"> were prudently incurred. Staff recommends the Commission authorize Pacific Power to recover the costs of the 2014 </w:t>
      </w:r>
      <w:r w:rsidR="00225F93">
        <w:t>RECs</w:t>
      </w:r>
      <w:r>
        <w:t xml:space="preserve"> in rates through the</w:t>
      </w:r>
      <w:r w:rsidR="00225F93">
        <w:t xml:space="preserve"> Company’s</w:t>
      </w:r>
      <w:r>
        <w:t xml:space="preserve"> Schedule 95 tracker mechanism.</w:t>
      </w:r>
      <w:r>
        <w:br/>
      </w:r>
    </w:p>
    <w:p w14:paraId="73B7BA0C" w14:textId="77777777" w:rsidR="000F6AA3" w:rsidRPr="000F6AA3" w:rsidRDefault="000F6AA3" w:rsidP="000F6AA3">
      <w:pPr>
        <w:pStyle w:val="ListParagraph"/>
        <w:spacing w:line="320" w:lineRule="exact"/>
        <w:ind w:left="0"/>
        <w:jc w:val="center"/>
        <w:rPr>
          <w:b/>
        </w:rPr>
      </w:pPr>
      <w:r w:rsidRPr="000F6AA3">
        <w:rPr>
          <w:b/>
        </w:rPr>
        <w:t>DISCUSSION</w:t>
      </w:r>
    </w:p>
    <w:p w14:paraId="776B8AC6" w14:textId="77777777" w:rsidR="000F6AA3" w:rsidRPr="00D002D2" w:rsidRDefault="000F6AA3" w:rsidP="000F6AA3">
      <w:pPr>
        <w:spacing w:line="276" w:lineRule="auto"/>
      </w:pPr>
    </w:p>
    <w:p w14:paraId="1CECF8E9" w14:textId="234DB993" w:rsidR="000A1236" w:rsidRPr="00C923D6" w:rsidRDefault="00E1167D" w:rsidP="00D53583">
      <w:pPr>
        <w:numPr>
          <w:ilvl w:val="0"/>
          <w:numId w:val="1"/>
        </w:numPr>
        <w:spacing w:line="320" w:lineRule="exact"/>
      </w:pPr>
      <w:r>
        <w:t xml:space="preserve">We agree with Staff’s recommendation and grant Pacific Power’s Petition. </w:t>
      </w:r>
      <w:r w:rsidR="002F1DE2">
        <w:t>We also find that the cost</w:t>
      </w:r>
      <w:r w:rsidR="00225F93">
        <w:t xml:space="preserve">s related to </w:t>
      </w:r>
      <w:r w:rsidR="002F1DE2">
        <w:t xml:space="preserve">the RECs were prudently incurred, and authorize the Company to recover its cost by extending its Schedule 95 tracker mechanism. </w:t>
      </w:r>
      <w:r w:rsidR="00324084">
        <w:t xml:space="preserve">Extending </w:t>
      </w:r>
      <w:r w:rsidR="002F1DE2">
        <w:t xml:space="preserve">the </w:t>
      </w:r>
      <w:r w:rsidR="00225F93">
        <w:t>Schedule 95 tracker mechanism</w:t>
      </w:r>
      <w:r w:rsidR="002F1DE2">
        <w:t xml:space="preserve"> is a reasonable way to grant the Company cost recovery </w:t>
      </w:r>
      <w:r w:rsidR="00225F93">
        <w:t>without increasing customer rates</w:t>
      </w:r>
      <w:r w:rsidR="002F1DE2">
        <w:t>.</w:t>
      </w:r>
      <w:r>
        <w:br/>
      </w:r>
      <w:r w:rsidR="00C550D3">
        <w:t xml:space="preserve"> </w:t>
      </w:r>
    </w:p>
    <w:p w14:paraId="1CECF8EA" w14:textId="77777777" w:rsidR="000A1236" w:rsidRPr="00C923D6" w:rsidRDefault="000A1236" w:rsidP="00DE6413">
      <w:pPr>
        <w:pStyle w:val="Heading1"/>
        <w:spacing w:line="320" w:lineRule="exact"/>
      </w:pPr>
      <w:r w:rsidRPr="00C923D6">
        <w:t>FINDINGS AND CONCLUSIONS</w:t>
      </w:r>
    </w:p>
    <w:p w14:paraId="1CECF8EB" w14:textId="77777777" w:rsidR="000A1236" w:rsidRPr="00C923D6" w:rsidRDefault="000A1236" w:rsidP="00DE6413">
      <w:pPr>
        <w:spacing w:line="320" w:lineRule="exact"/>
        <w:ind w:left="-1080"/>
      </w:pPr>
    </w:p>
    <w:p w14:paraId="1CECF8EC" w14:textId="365AFC13" w:rsidR="000A1236" w:rsidRPr="00C923D6" w:rsidRDefault="000A1236" w:rsidP="00DE6413">
      <w:pPr>
        <w:numPr>
          <w:ilvl w:val="0"/>
          <w:numId w:val="1"/>
        </w:numPr>
        <w:spacing w:line="320" w:lineRule="exact"/>
        <w:ind w:left="720" w:hanging="1440"/>
        <w:rPr>
          <w:i/>
          <w:iCs/>
        </w:rPr>
      </w:pPr>
      <w:r w:rsidRPr="00C923D6">
        <w:t>(1)</w:t>
      </w:r>
      <w:r w:rsidRPr="00C923D6">
        <w:tab/>
        <w:t xml:space="preserve">The </w:t>
      </w:r>
      <w:r w:rsidR="00FA1C7D">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B20DE1">
        <w:t>electric</w:t>
      </w:r>
      <w:r w:rsidRPr="00C923D6">
        <w:rPr>
          <w:b/>
          <w:bCs/>
        </w:rPr>
        <w:t xml:space="preserve"> </w:t>
      </w:r>
      <w:r w:rsidRPr="00C923D6">
        <w:t xml:space="preserve">companies. </w:t>
      </w:r>
    </w:p>
    <w:p w14:paraId="1CECF8ED" w14:textId="77777777" w:rsidR="000A1236" w:rsidRPr="00C923D6" w:rsidRDefault="000A1236" w:rsidP="00DE6413">
      <w:pPr>
        <w:spacing w:line="320" w:lineRule="exact"/>
      </w:pPr>
    </w:p>
    <w:p w14:paraId="1CECF8EE" w14:textId="4C3B1E26" w:rsidR="000A1236" w:rsidRPr="00C923D6" w:rsidRDefault="000A1236" w:rsidP="00DE6413">
      <w:pPr>
        <w:numPr>
          <w:ilvl w:val="0"/>
          <w:numId w:val="1"/>
        </w:numPr>
        <w:spacing w:line="320" w:lineRule="exact"/>
        <w:ind w:left="720" w:hanging="1440"/>
      </w:pPr>
      <w:r w:rsidRPr="00C923D6">
        <w:t>(2)</w:t>
      </w:r>
      <w:r w:rsidRPr="00C923D6">
        <w:tab/>
      </w:r>
      <w:r w:rsidR="00E1167D">
        <w:t>Pacific Power</w:t>
      </w:r>
      <w:r w:rsidR="00845BCE">
        <w:t xml:space="preserve"> </w:t>
      </w:r>
      <w:r w:rsidRPr="00C923D6">
        <w:t xml:space="preserve">is </w:t>
      </w:r>
      <w:r w:rsidR="00B20DE1">
        <w:rPr>
          <w:noProof/>
        </w:rPr>
        <w:t>an electric</w:t>
      </w:r>
      <w:r w:rsidRPr="00C923D6">
        <w:t xml:space="preserve"> company and a public service company subject to </w:t>
      </w:r>
      <w:r w:rsidR="00FA1C7D">
        <w:t>Commission</w:t>
      </w:r>
      <w:r w:rsidR="004E41FF">
        <w:t xml:space="preserve"> </w:t>
      </w:r>
      <w:r w:rsidRPr="00C923D6">
        <w:t>jurisdiction.</w:t>
      </w:r>
    </w:p>
    <w:p w14:paraId="1CECF8EF" w14:textId="77777777" w:rsidR="000A1236" w:rsidRPr="00C923D6" w:rsidRDefault="000A1236" w:rsidP="00DE6413">
      <w:pPr>
        <w:spacing w:line="320" w:lineRule="exact"/>
      </w:pPr>
    </w:p>
    <w:p w14:paraId="1CECF8F0" w14:textId="613FC1EC" w:rsidR="000A1236" w:rsidRPr="00C923D6" w:rsidRDefault="000A1236" w:rsidP="00DE6413">
      <w:pPr>
        <w:numPr>
          <w:ilvl w:val="0"/>
          <w:numId w:val="1"/>
        </w:numPr>
        <w:spacing w:line="320" w:lineRule="exact"/>
        <w:ind w:left="720" w:hanging="1440"/>
      </w:pPr>
      <w:r w:rsidRPr="00C923D6">
        <w:t>(3)</w:t>
      </w:r>
      <w:r w:rsidRPr="00C923D6">
        <w:tab/>
      </w:r>
      <w:r w:rsidRPr="00FA1C7D">
        <w:t>WAC 480-07-370</w:t>
      </w:r>
      <w:r w:rsidR="00F23EAE" w:rsidRPr="00FA1C7D">
        <w:t>(1)</w:t>
      </w:r>
      <w:r w:rsidRPr="00FA1C7D">
        <w:t>(b)</w:t>
      </w:r>
      <w:r w:rsidRPr="00C923D6">
        <w:t>, allows companies to file petition</w:t>
      </w:r>
      <w:r w:rsidR="004E41FF">
        <w:t>s</w:t>
      </w:r>
      <w:r w:rsidR="00FC6244">
        <w:t>,</w:t>
      </w:r>
      <w:r w:rsidRPr="00C923D6">
        <w:t xml:space="preserve"> including </w:t>
      </w:r>
      <w:r w:rsidR="00FC6244">
        <w:t xml:space="preserve">the </w:t>
      </w:r>
      <w:r w:rsidR="00BB6432">
        <w:t xml:space="preserve">Petition </w:t>
      </w:r>
      <w:r w:rsidR="00E1167D">
        <w:t>Pacific Power</w:t>
      </w:r>
      <w:r w:rsidRPr="00C923D6">
        <w:rPr>
          <w:b/>
          <w:bCs/>
        </w:rPr>
        <w:t xml:space="preserve"> </w:t>
      </w:r>
      <w:r w:rsidR="00FC6244">
        <w:t>filed in this docket</w:t>
      </w:r>
      <w:r w:rsidRPr="00C923D6">
        <w:t>.</w:t>
      </w:r>
    </w:p>
    <w:p w14:paraId="1CECF8F1" w14:textId="77777777" w:rsidR="000A1236" w:rsidRPr="00C923D6" w:rsidRDefault="000A1236" w:rsidP="00DE6413">
      <w:pPr>
        <w:spacing w:line="320" w:lineRule="exact"/>
      </w:pPr>
    </w:p>
    <w:p w14:paraId="1CECF8F2" w14:textId="22720817" w:rsidR="00D30CD1" w:rsidRDefault="000A1236" w:rsidP="00DE6413">
      <w:pPr>
        <w:numPr>
          <w:ilvl w:val="0"/>
          <w:numId w:val="1"/>
        </w:numPr>
        <w:spacing w:line="320" w:lineRule="exact"/>
        <w:ind w:left="720" w:hanging="1440"/>
      </w:pPr>
      <w:r w:rsidRPr="00C923D6">
        <w:lastRenderedPageBreak/>
        <w:t>(4)</w:t>
      </w:r>
      <w:r w:rsidRPr="00C923D6">
        <w:tab/>
      </w:r>
      <w:r w:rsidR="00FA1C7D">
        <w:t>Staff</w:t>
      </w:r>
      <w:r w:rsidRPr="00C923D6">
        <w:t xml:space="preserve"> has reviewed the </w:t>
      </w:r>
      <w:r w:rsidR="00BB6432">
        <w:t>P</w:t>
      </w:r>
      <w:r w:rsidR="002E53B8">
        <w:t xml:space="preserve">etition </w:t>
      </w:r>
      <w:r w:rsidRPr="00C923D6">
        <w:t xml:space="preserve">in Docket </w:t>
      </w:r>
      <w:r w:rsidR="00E1167D">
        <w:t>UE-143915</w:t>
      </w:r>
      <w:r w:rsidR="00BB6432">
        <w:t>,</w:t>
      </w:r>
      <w:r w:rsidRPr="00C923D6">
        <w:t xml:space="preserve"> including related work</w:t>
      </w:r>
      <w:r w:rsidR="00DA0056">
        <w:t xml:space="preserve"> </w:t>
      </w:r>
      <w:r w:rsidR="00DE0C02">
        <w:t xml:space="preserve">papers. </w:t>
      </w:r>
    </w:p>
    <w:p w14:paraId="1CECF8F3" w14:textId="77777777" w:rsidR="00D30CD1" w:rsidRDefault="00D30CD1" w:rsidP="00DE6413">
      <w:pPr>
        <w:spacing w:line="320" w:lineRule="exact"/>
      </w:pPr>
    </w:p>
    <w:p w14:paraId="1CECF8F4" w14:textId="28C9E377" w:rsidR="000A1236" w:rsidRPr="003C2211" w:rsidRDefault="00D30CD1" w:rsidP="008D700F">
      <w:pPr>
        <w:numPr>
          <w:ilvl w:val="0"/>
          <w:numId w:val="1"/>
        </w:numPr>
        <w:spacing w:line="320" w:lineRule="exact"/>
        <w:ind w:left="720" w:hanging="1440"/>
      </w:pPr>
      <w:r>
        <w:t>(5)</w:t>
      </w:r>
      <w:r>
        <w:tab/>
      </w:r>
      <w:r w:rsidR="00FA1C7D">
        <w:t>Staff</w:t>
      </w:r>
      <w:r w:rsidR="000A1236" w:rsidRPr="00C923D6">
        <w:t xml:space="preserve"> </w:t>
      </w:r>
      <w:r w:rsidR="00BB6432">
        <w:t xml:space="preserve">finds that </w:t>
      </w:r>
      <w:r w:rsidR="00E1167D">
        <w:t>Pacific Power’s</w:t>
      </w:r>
      <w:r w:rsidR="00BB6432">
        <w:t xml:space="preserve"> Petition</w:t>
      </w:r>
      <w:r w:rsidR="00045705">
        <w:t xml:space="preserve"> </w:t>
      </w:r>
      <w:r w:rsidR="000A1236" w:rsidRPr="00C923D6">
        <w:t xml:space="preserve">is reasonable and should be </w:t>
      </w:r>
      <w:r w:rsidR="001E31D2">
        <w:t>granted</w:t>
      </w:r>
      <w:r w:rsidR="00E1167D">
        <w:t xml:space="preserve">. Staff also finds that the costs to procure the 2014 RECs were prudently incurred, and </w:t>
      </w:r>
      <w:r w:rsidR="00225F93">
        <w:t xml:space="preserve">that those costs </w:t>
      </w:r>
      <w:r w:rsidR="00E1167D">
        <w:t>should be recoverable in rates through the Schedule 95 tracker mechanism.</w:t>
      </w:r>
    </w:p>
    <w:p w14:paraId="1CECF8F5" w14:textId="77777777" w:rsidR="000A1236" w:rsidRPr="003C2211" w:rsidRDefault="000A1236" w:rsidP="00DE6413">
      <w:pPr>
        <w:spacing w:line="320" w:lineRule="exact"/>
      </w:pPr>
    </w:p>
    <w:p w14:paraId="1CECF8F6" w14:textId="04409C2E" w:rsidR="000A1236" w:rsidRPr="00C923D6" w:rsidRDefault="000A1236" w:rsidP="00DE6413">
      <w:pPr>
        <w:numPr>
          <w:ilvl w:val="0"/>
          <w:numId w:val="1"/>
        </w:numPr>
        <w:spacing w:line="320" w:lineRule="exact"/>
        <w:ind w:left="720" w:hanging="1440"/>
      </w:pPr>
      <w:r w:rsidRPr="00C923D6">
        <w:t>(</w:t>
      </w:r>
      <w:r w:rsidR="00D30CD1">
        <w:t>6</w:t>
      </w:r>
      <w:r w:rsidRPr="00C923D6">
        <w:t>)</w:t>
      </w:r>
      <w:r w:rsidRPr="00C923D6">
        <w:tab/>
        <w:t xml:space="preserve">This matter </w:t>
      </w:r>
      <w:r w:rsidR="00045705">
        <w:t>came</w:t>
      </w:r>
      <w:r w:rsidRPr="00C923D6">
        <w:t xml:space="preserve"> before the </w:t>
      </w:r>
      <w:r w:rsidR="00FA1C7D">
        <w:t>Commission</w:t>
      </w:r>
      <w:r w:rsidRPr="00C923D6">
        <w:t xml:space="preserve"> at its regularly scheduled meeting on</w:t>
      </w:r>
      <w:r w:rsidR="00AC1794">
        <w:t xml:space="preserve"> </w:t>
      </w:r>
      <w:r w:rsidR="00E1167D">
        <w:t>December 22</w:t>
      </w:r>
      <w:r w:rsidR="00B20DE1">
        <w:t>, 2016</w:t>
      </w:r>
      <w:r w:rsidR="003C2211">
        <w:t>.</w:t>
      </w:r>
    </w:p>
    <w:p w14:paraId="1CECF8F7" w14:textId="77777777" w:rsidR="000A1236" w:rsidRPr="00C923D6" w:rsidRDefault="000A1236" w:rsidP="00DE6413">
      <w:pPr>
        <w:spacing w:line="320" w:lineRule="exact"/>
      </w:pPr>
    </w:p>
    <w:p w14:paraId="1CECF8F8" w14:textId="11C13DC8" w:rsidR="000A1236" w:rsidRPr="00BB6432" w:rsidRDefault="000A1236" w:rsidP="00DE6413">
      <w:pPr>
        <w:numPr>
          <w:ilvl w:val="0"/>
          <w:numId w:val="1"/>
        </w:numPr>
        <w:spacing w:line="320" w:lineRule="exact"/>
        <w:ind w:left="720" w:hanging="1440"/>
        <w:rPr>
          <w:color w:val="FF0000"/>
        </w:rPr>
      </w:pPr>
      <w:r w:rsidRPr="00C923D6">
        <w:t>(</w:t>
      </w:r>
      <w:r w:rsidR="00D30CD1">
        <w:t>7</w:t>
      </w:r>
      <w:r w:rsidRPr="00C923D6">
        <w:t>)</w:t>
      </w:r>
      <w:r w:rsidRPr="00C923D6">
        <w:tab/>
        <w:t xml:space="preserve">After </w:t>
      </w:r>
      <w:r w:rsidR="00103788">
        <w:t>reviewing</w:t>
      </w:r>
      <w:r w:rsidR="003C2211">
        <w:t xml:space="preserve"> </w:t>
      </w:r>
      <w:r w:rsidR="00E1167D">
        <w:t>Pacific Power’s</w:t>
      </w:r>
      <w:r w:rsidR="00E82696">
        <w:rPr>
          <w:bCs/>
        </w:rPr>
        <w:t xml:space="preserve"> </w:t>
      </w:r>
      <w:r w:rsidR="00873F50">
        <w:rPr>
          <w:bCs/>
        </w:rPr>
        <w:t>P</w:t>
      </w:r>
      <w:r w:rsidRPr="00C923D6">
        <w:t xml:space="preserve">etition filed in Docket </w:t>
      </w:r>
      <w:r w:rsidR="00B20DE1">
        <w:t>UE-</w:t>
      </w:r>
      <w:r w:rsidR="00E1167D">
        <w:t>143915</w:t>
      </w:r>
      <w:r w:rsidRPr="00C923D6">
        <w:t xml:space="preserve"> on </w:t>
      </w:r>
      <w:r w:rsidR="00E1167D">
        <w:t>November 18</w:t>
      </w:r>
      <w:r w:rsidR="00952ED4">
        <w:t>, 201</w:t>
      </w:r>
      <w:r w:rsidR="00E1167D">
        <w:t>4</w:t>
      </w:r>
      <w:r w:rsidR="00873F50">
        <w:t>,</w:t>
      </w:r>
      <w:r w:rsidR="00952ED4">
        <w:t xml:space="preserve"> </w:t>
      </w:r>
      <w:r w:rsidRPr="00C923D6">
        <w:t xml:space="preserve">and giving due consideration to all relevant matters and for good cause shown, the </w:t>
      </w:r>
      <w:r w:rsidR="00FA1C7D">
        <w:t>Commission</w:t>
      </w:r>
      <w:r w:rsidRPr="00C923D6">
        <w:t xml:space="preserve"> finds that</w:t>
      </w:r>
      <w:r w:rsidR="00E1167D">
        <w:t>: 1)</w:t>
      </w:r>
      <w:r w:rsidRPr="00C923D6">
        <w:t xml:space="preserve"> the Petition should be </w:t>
      </w:r>
      <w:r w:rsidR="001E31D2">
        <w:t>granted</w:t>
      </w:r>
      <w:r w:rsidR="00E1167D">
        <w:t>; 2) the purchase of the 2014 RECs was prudent; and 3) Pacific Power should recover the costs of the RECs through its Schedule 95 tracker mechanism.</w:t>
      </w:r>
      <w:r w:rsidR="00464B1F">
        <w:t xml:space="preserve"> </w:t>
      </w:r>
    </w:p>
    <w:p w14:paraId="1CECF8FA" w14:textId="77777777" w:rsidR="002E53B8" w:rsidRDefault="002E53B8" w:rsidP="002E53B8"/>
    <w:p w14:paraId="1CECF900" w14:textId="1359C5EE" w:rsidR="000A1236" w:rsidRPr="00C923D6" w:rsidRDefault="000A1236" w:rsidP="00DE6413">
      <w:pPr>
        <w:pStyle w:val="Heading1"/>
        <w:spacing w:line="320" w:lineRule="exact"/>
      </w:pPr>
      <w:r w:rsidRPr="00C923D6">
        <w:t>ORDER</w:t>
      </w:r>
    </w:p>
    <w:p w14:paraId="1CECF901" w14:textId="77777777" w:rsidR="000A1236" w:rsidRPr="00C923D6" w:rsidRDefault="000A1236" w:rsidP="00DE6413">
      <w:pPr>
        <w:spacing w:line="320" w:lineRule="exact"/>
      </w:pPr>
    </w:p>
    <w:p w14:paraId="1CECF902" w14:textId="77777777" w:rsidR="000A1236" w:rsidRPr="004E41FF" w:rsidRDefault="000A1236" w:rsidP="00DE6413">
      <w:pPr>
        <w:spacing w:line="320" w:lineRule="exact"/>
        <w:rPr>
          <w:b/>
        </w:rPr>
      </w:pPr>
      <w:r w:rsidRPr="004E41FF">
        <w:rPr>
          <w:b/>
        </w:rPr>
        <w:t xml:space="preserve">THE </w:t>
      </w:r>
      <w:r w:rsidR="00FA1C7D">
        <w:rPr>
          <w:b/>
        </w:rPr>
        <w:t>COMMISSION</w:t>
      </w:r>
      <w:r w:rsidRPr="004E41FF">
        <w:rPr>
          <w:b/>
        </w:rPr>
        <w:t xml:space="preserve"> ORDERS:</w:t>
      </w:r>
    </w:p>
    <w:p w14:paraId="1CECF903" w14:textId="77777777" w:rsidR="000A1236" w:rsidRPr="00C923D6" w:rsidRDefault="000A1236" w:rsidP="00DE6413">
      <w:pPr>
        <w:spacing w:line="320" w:lineRule="exact"/>
      </w:pPr>
    </w:p>
    <w:p w14:paraId="1CECF904" w14:textId="1345FB62" w:rsidR="000A1236" w:rsidRPr="00C923D6" w:rsidRDefault="000A1236" w:rsidP="008D700F">
      <w:pPr>
        <w:numPr>
          <w:ilvl w:val="0"/>
          <w:numId w:val="1"/>
        </w:numPr>
        <w:spacing w:line="320" w:lineRule="exact"/>
        <w:ind w:left="720" w:hanging="1440"/>
      </w:pPr>
      <w:r w:rsidRPr="00C923D6">
        <w:t>(1)</w:t>
      </w:r>
      <w:r w:rsidRPr="00C923D6">
        <w:tab/>
      </w:r>
      <w:r w:rsidR="00E1167D">
        <w:t>Pacific Power &amp; Light Company’s Petition seeking authorization to defer costs related to the purchase of unbundled Renewable Energy Certificates in 2014 is granted.</w:t>
      </w:r>
    </w:p>
    <w:p w14:paraId="1CECF905" w14:textId="77777777" w:rsidR="000A1236" w:rsidRPr="00C923D6" w:rsidRDefault="000A1236" w:rsidP="00DE6413">
      <w:pPr>
        <w:spacing w:line="320" w:lineRule="exact"/>
      </w:pPr>
    </w:p>
    <w:p w14:paraId="1CECF906" w14:textId="688FCCF3" w:rsidR="000A1236" w:rsidRPr="00C923D6" w:rsidRDefault="000A1236" w:rsidP="00796FE4">
      <w:pPr>
        <w:numPr>
          <w:ilvl w:val="0"/>
          <w:numId w:val="1"/>
        </w:numPr>
        <w:spacing w:line="320" w:lineRule="exact"/>
        <w:ind w:left="720" w:hanging="1440"/>
      </w:pPr>
      <w:r w:rsidRPr="00C923D6">
        <w:t>(2)</w:t>
      </w:r>
      <w:r w:rsidRPr="00C923D6">
        <w:tab/>
      </w:r>
      <w:r w:rsidR="00E1167D">
        <w:t>Pacific Power &amp; Light Company’s purchase of unbundled Renewable Energy Certificates in 2014 was prudent.</w:t>
      </w:r>
    </w:p>
    <w:p w14:paraId="1CECF907" w14:textId="77777777" w:rsidR="000A1236" w:rsidRPr="00C923D6" w:rsidRDefault="000A1236" w:rsidP="00DE6413">
      <w:pPr>
        <w:spacing w:line="320" w:lineRule="exact"/>
      </w:pPr>
    </w:p>
    <w:p w14:paraId="1CECF908" w14:textId="6E86DF75" w:rsidR="000A1236" w:rsidRDefault="003C2270" w:rsidP="00DE6413">
      <w:pPr>
        <w:numPr>
          <w:ilvl w:val="0"/>
          <w:numId w:val="1"/>
        </w:numPr>
        <w:spacing w:line="320" w:lineRule="exact"/>
        <w:ind w:left="720" w:hanging="1440"/>
      </w:pPr>
      <w:r>
        <w:t>(3)</w:t>
      </w:r>
      <w:r>
        <w:tab/>
      </w:r>
      <w:r w:rsidR="00E1167D">
        <w:t>Pacific Power &amp; Light Company may recover the cost of the unbundled Renewable Energy Certificates through its Schedule 95 tracker mechanism.</w:t>
      </w:r>
    </w:p>
    <w:p w14:paraId="1CECF909" w14:textId="77777777" w:rsidR="00491C72" w:rsidRDefault="00491C72" w:rsidP="00DE6413">
      <w:pPr>
        <w:spacing w:line="320" w:lineRule="exact"/>
      </w:pPr>
    </w:p>
    <w:p w14:paraId="1CECF90A" w14:textId="2BD5562F" w:rsidR="000A1236" w:rsidRPr="00C923D6" w:rsidRDefault="000A1236" w:rsidP="00DE6413">
      <w:pPr>
        <w:numPr>
          <w:ilvl w:val="0"/>
          <w:numId w:val="1"/>
        </w:numPr>
        <w:spacing w:line="320" w:lineRule="exact"/>
        <w:ind w:left="720" w:hanging="1440"/>
      </w:pPr>
      <w:r w:rsidRPr="00C923D6">
        <w:t>(4)</w:t>
      </w:r>
      <w:r w:rsidRPr="00C923D6">
        <w:tab/>
        <w:t xml:space="preserve">The </w:t>
      </w:r>
      <w:r w:rsidR="00FA1C7D">
        <w:t>Commission</w:t>
      </w:r>
      <w:r w:rsidRPr="00C923D6">
        <w:t xml:space="preserve"> retains jurisdiction over the subject matter and </w:t>
      </w:r>
      <w:r w:rsidR="00E1167D">
        <w:t>Pacific Power &amp; Light Company</w:t>
      </w:r>
      <w:r w:rsidRPr="00C923D6">
        <w:rPr>
          <w:b/>
          <w:bCs/>
        </w:rPr>
        <w:t xml:space="preserve"> </w:t>
      </w:r>
      <w:r w:rsidRPr="00C923D6">
        <w:t>to effectuate the provisions of this Order.</w:t>
      </w:r>
    </w:p>
    <w:p w14:paraId="1CECF90B" w14:textId="77777777" w:rsidR="003C2270" w:rsidRDefault="003C2270" w:rsidP="00DE6413">
      <w:pPr>
        <w:spacing w:line="320" w:lineRule="exact"/>
      </w:pPr>
    </w:p>
    <w:p w14:paraId="1CECF90C" w14:textId="25460B18" w:rsidR="005728CE" w:rsidRDefault="005728CE">
      <w:r>
        <w:br w:type="page"/>
      </w:r>
    </w:p>
    <w:p w14:paraId="0B246114" w14:textId="77777777" w:rsidR="003C2270" w:rsidRDefault="003C2270" w:rsidP="00DE6413">
      <w:pPr>
        <w:spacing w:line="320" w:lineRule="exact"/>
      </w:pPr>
    </w:p>
    <w:p w14:paraId="1CECF90D" w14:textId="17958E03" w:rsidR="000A1236" w:rsidRPr="00AC1794" w:rsidRDefault="000A1236" w:rsidP="00DE6413">
      <w:pPr>
        <w:spacing w:line="320" w:lineRule="exact"/>
      </w:pPr>
      <w:r w:rsidRPr="00C923D6">
        <w:t xml:space="preserve">DATED at Olympia, Washington, and effective </w:t>
      </w:r>
      <w:r w:rsidR="00E1167D">
        <w:rPr>
          <w:bCs/>
        </w:rPr>
        <w:t>December 22</w:t>
      </w:r>
      <w:r w:rsidR="00B20DE1" w:rsidRPr="00B20DE1">
        <w:rPr>
          <w:bCs/>
        </w:rPr>
        <w:t>, 2016</w:t>
      </w:r>
      <w:r w:rsidRPr="00AC1794">
        <w:t>.</w:t>
      </w:r>
    </w:p>
    <w:p w14:paraId="1CECF90E" w14:textId="77777777" w:rsidR="000A1236" w:rsidRPr="00C923D6" w:rsidRDefault="000A1236" w:rsidP="00DE6413">
      <w:pPr>
        <w:spacing w:line="320" w:lineRule="exact"/>
      </w:pPr>
    </w:p>
    <w:p w14:paraId="1CECF90F" w14:textId="77777777" w:rsidR="000A1236" w:rsidRPr="00C923D6" w:rsidRDefault="000A1236" w:rsidP="00DE6413">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rsidR="00FA1C7D">
        <w:t>COMMISSION</w:t>
      </w:r>
    </w:p>
    <w:p w14:paraId="1CECF910" w14:textId="77777777" w:rsidR="000A1236" w:rsidRPr="00C923D6" w:rsidRDefault="000A1236" w:rsidP="00DE6413">
      <w:pPr>
        <w:spacing w:line="320" w:lineRule="exact"/>
      </w:pPr>
    </w:p>
    <w:p w14:paraId="1CECF911" w14:textId="77777777" w:rsidR="000A1236" w:rsidRPr="00C923D6" w:rsidRDefault="000A1236" w:rsidP="00DE6413">
      <w:pPr>
        <w:spacing w:line="320" w:lineRule="exact"/>
      </w:pPr>
    </w:p>
    <w:p w14:paraId="1CECF912" w14:textId="77777777" w:rsidR="000A1236" w:rsidRPr="00C923D6" w:rsidRDefault="000A1236" w:rsidP="00DE6413">
      <w:pPr>
        <w:spacing w:line="320" w:lineRule="exact"/>
      </w:pPr>
    </w:p>
    <w:p w14:paraId="1CECF913" w14:textId="77777777" w:rsidR="003C2270" w:rsidRPr="000C1EB1" w:rsidRDefault="003C2270" w:rsidP="00DE6413">
      <w:pPr>
        <w:spacing w:line="320" w:lineRule="exact"/>
      </w:pPr>
      <w:r w:rsidRPr="003C2270">
        <w:rPr>
          <w:i/>
        </w:rPr>
        <w:tab/>
      </w:r>
      <w:r w:rsidRPr="003C2270">
        <w:rPr>
          <w:i/>
        </w:rPr>
        <w:tab/>
      </w:r>
    </w:p>
    <w:p w14:paraId="1CECF914" w14:textId="77777777" w:rsidR="003C2270" w:rsidRDefault="003C2270" w:rsidP="00DE6413">
      <w:pPr>
        <w:spacing w:line="320" w:lineRule="exact"/>
      </w:pPr>
      <w:r>
        <w:tab/>
      </w:r>
      <w:r>
        <w:tab/>
      </w:r>
      <w:r>
        <w:tab/>
      </w:r>
      <w:r>
        <w:tab/>
      </w:r>
      <w:r w:rsidR="00374E9D">
        <w:t>DAVID W. DANNER</w:t>
      </w:r>
      <w:r>
        <w:t>, Chairman</w:t>
      </w:r>
    </w:p>
    <w:p w14:paraId="1CECF918" w14:textId="213EF15B" w:rsidR="003C2270" w:rsidRDefault="003C2270" w:rsidP="00DE6413">
      <w:pPr>
        <w:spacing w:line="320" w:lineRule="exact"/>
      </w:pPr>
    </w:p>
    <w:p w14:paraId="1CECF919" w14:textId="77777777" w:rsidR="007D62FB" w:rsidRDefault="007D62FB" w:rsidP="00DE6413">
      <w:pPr>
        <w:spacing w:line="320" w:lineRule="exact"/>
      </w:pPr>
    </w:p>
    <w:p w14:paraId="1CECF91A" w14:textId="77777777" w:rsidR="00374E9D" w:rsidRDefault="00374E9D" w:rsidP="00374E9D">
      <w:pPr>
        <w:spacing w:line="320" w:lineRule="exact"/>
        <w:ind w:left="2160" w:firstLine="720"/>
      </w:pPr>
    </w:p>
    <w:p w14:paraId="1CECF91B" w14:textId="77777777" w:rsidR="00374E9D" w:rsidRDefault="00374E9D" w:rsidP="00374E9D">
      <w:pPr>
        <w:spacing w:line="320" w:lineRule="exact"/>
        <w:ind w:left="2160" w:firstLine="720"/>
      </w:pPr>
    </w:p>
    <w:p w14:paraId="1CECF91C" w14:textId="77777777" w:rsidR="00516BE6" w:rsidRDefault="00516BE6" w:rsidP="00374E9D">
      <w:pPr>
        <w:spacing w:line="320" w:lineRule="exact"/>
        <w:ind w:left="2160" w:firstLine="720"/>
        <w:sectPr w:rsidR="00516BE6" w:rsidSect="00516BE6">
          <w:headerReference w:type="default" r:id="rId11"/>
          <w:type w:val="continuous"/>
          <w:pgSz w:w="12240" w:h="15840" w:code="1"/>
          <w:pgMar w:top="1440" w:right="1440" w:bottom="1440" w:left="2160" w:header="1008" w:footer="720" w:gutter="0"/>
          <w:cols w:space="720"/>
          <w:titlePg/>
          <w:docGrid w:linePitch="360"/>
        </w:sectPr>
      </w:pPr>
      <w:r>
        <w:t>ANN E. RENDAHL</w:t>
      </w:r>
      <w:r w:rsidR="00374E9D">
        <w:t xml:space="preserve">, </w:t>
      </w:r>
      <w:r w:rsidR="00FA1C7D">
        <w:t>Commission</w:t>
      </w:r>
      <w:r w:rsidR="00374E9D">
        <w:t>er</w:t>
      </w:r>
    </w:p>
    <w:p w14:paraId="1CECF91D" w14:textId="77777777" w:rsidR="007D62FB" w:rsidRPr="00C923D6" w:rsidRDefault="007D62FB" w:rsidP="00516BE6">
      <w:pPr>
        <w:spacing w:line="320" w:lineRule="exact"/>
      </w:pPr>
    </w:p>
    <w:sectPr w:rsidR="007D62FB" w:rsidRPr="00C923D6" w:rsidSect="00940E7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A6F1A" w14:textId="77777777" w:rsidR="00B303AE" w:rsidRDefault="00B303AE">
      <w:r>
        <w:separator/>
      </w:r>
    </w:p>
  </w:endnote>
  <w:endnote w:type="continuationSeparator" w:id="0">
    <w:p w14:paraId="4F9804BF" w14:textId="77777777" w:rsidR="00B303AE" w:rsidRDefault="00B3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CDC20" w14:textId="77777777" w:rsidR="00B303AE" w:rsidRDefault="00B303AE">
      <w:r>
        <w:separator/>
      </w:r>
    </w:p>
  </w:footnote>
  <w:footnote w:type="continuationSeparator" w:id="0">
    <w:p w14:paraId="4D4B95DE" w14:textId="77777777" w:rsidR="00B303AE" w:rsidRDefault="00B303AE">
      <w:r>
        <w:continuationSeparator/>
      </w:r>
    </w:p>
  </w:footnote>
  <w:footnote w:id="1">
    <w:p w14:paraId="35E02C58" w14:textId="227C1C9B" w:rsidR="007C0332" w:rsidRPr="000F6AA3" w:rsidRDefault="007C0332" w:rsidP="007C0332">
      <w:pPr>
        <w:pStyle w:val="FootnoteText"/>
        <w:rPr>
          <w:rFonts w:ascii="Times New Roman" w:hAnsi="Times New Roman"/>
          <w:sz w:val="22"/>
          <w:szCs w:val="22"/>
        </w:rPr>
      </w:pPr>
      <w:r w:rsidRPr="000F6AA3">
        <w:rPr>
          <w:rStyle w:val="FootnoteReference"/>
          <w:rFonts w:ascii="Times New Roman" w:hAnsi="Times New Roman"/>
          <w:sz w:val="22"/>
          <w:szCs w:val="22"/>
        </w:rPr>
        <w:footnoteRef/>
      </w:r>
      <w:r w:rsidRPr="000F6AA3">
        <w:rPr>
          <w:rFonts w:ascii="Times New Roman" w:hAnsi="Times New Roman"/>
          <w:sz w:val="22"/>
          <w:szCs w:val="22"/>
        </w:rPr>
        <w:t xml:space="preserve"> RCW Chapter 19.285.</w:t>
      </w:r>
      <w:r w:rsidR="000F6AA3">
        <w:rPr>
          <w:rFonts w:ascii="Times New Roman" w:hAnsi="Times New Roman"/>
          <w:sz w:val="22"/>
          <w:szCs w:val="22"/>
        </w:rPr>
        <w:br/>
      </w:r>
    </w:p>
  </w:footnote>
  <w:footnote w:id="2">
    <w:p w14:paraId="7411F65F" w14:textId="0E623450" w:rsidR="007C0332" w:rsidRPr="000F6AA3" w:rsidRDefault="007C0332" w:rsidP="007C0332">
      <w:pPr>
        <w:pStyle w:val="FootnoteText"/>
        <w:rPr>
          <w:rFonts w:ascii="Times New Roman" w:hAnsi="Times New Roman"/>
          <w:sz w:val="22"/>
          <w:szCs w:val="22"/>
        </w:rPr>
      </w:pPr>
      <w:r w:rsidRPr="000F6AA3">
        <w:rPr>
          <w:rStyle w:val="FootnoteReference"/>
          <w:rFonts w:ascii="Times New Roman" w:hAnsi="Times New Roman"/>
          <w:sz w:val="22"/>
          <w:szCs w:val="22"/>
        </w:rPr>
        <w:footnoteRef/>
      </w:r>
      <w:r w:rsidRPr="000F6AA3">
        <w:rPr>
          <w:rFonts w:ascii="Times New Roman" w:hAnsi="Times New Roman"/>
          <w:sz w:val="22"/>
          <w:szCs w:val="22"/>
        </w:rPr>
        <w:t xml:space="preserve"> RCW 19.285.060(6).</w:t>
      </w:r>
      <w:r w:rsidR="000F6AA3">
        <w:rPr>
          <w:rFonts w:ascii="Times New Roman" w:hAnsi="Times New Roman"/>
          <w:sz w:val="22"/>
          <w:szCs w:val="22"/>
        </w:rPr>
        <w:br/>
      </w:r>
    </w:p>
  </w:footnote>
  <w:footnote w:id="3">
    <w:p w14:paraId="619A5BD6" w14:textId="76D50B6B" w:rsidR="000F6AA3" w:rsidRPr="000F6AA3" w:rsidRDefault="000F6AA3" w:rsidP="000F6AA3">
      <w:pPr>
        <w:pStyle w:val="FootnoteText"/>
        <w:rPr>
          <w:rFonts w:ascii="Times New Roman" w:hAnsi="Times New Roman"/>
          <w:sz w:val="22"/>
          <w:szCs w:val="22"/>
        </w:rPr>
      </w:pPr>
      <w:r w:rsidRPr="000F6AA3">
        <w:rPr>
          <w:rStyle w:val="FootnoteReference"/>
          <w:rFonts w:ascii="Times New Roman" w:hAnsi="Times New Roman"/>
          <w:sz w:val="22"/>
          <w:szCs w:val="22"/>
        </w:rPr>
        <w:footnoteRef/>
      </w:r>
      <w:r w:rsidRPr="000F6AA3">
        <w:rPr>
          <w:rFonts w:ascii="Times New Roman" w:hAnsi="Times New Roman"/>
          <w:sz w:val="22"/>
          <w:szCs w:val="22"/>
        </w:rPr>
        <w:t xml:space="preserve"> More information about these criteria can be found in Docket UE-111048</w:t>
      </w:r>
      <w:r>
        <w:rPr>
          <w:rFonts w:ascii="Times New Roman" w:hAnsi="Times New Roman"/>
          <w:sz w:val="22"/>
          <w:szCs w:val="22"/>
        </w:rPr>
        <w:t>, Order 09</w:t>
      </w:r>
      <w:r w:rsidRPr="000F6AA3">
        <w:rPr>
          <w:rFonts w:ascii="Times New Roman" w:hAnsi="Times New Roman"/>
          <w:sz w:val="22"/>
          <w:szCs w:val="22"/>
        </w:rPr>
        <w:t xml:space="preserve"> at ¶409.</w:t>
      </w:r>
    </w:p>
  </w:footnote>
  <w:footnote w:id="4">
    <w:p w14:paraId="79C20B40" w14:textId="1EC48406" w:rsidR="000F6AA3" w:rsidRPr="004B2A99" w:rsidRDefault="000F6AA3" w:rsidP="000F6AA3">
      <w:pPr>
        <w:pStyle w:val="FootnoteText"/>
        <w:ind w:left="90" w:hanging="90"/>
        <w:rPr>
          <w:rFonts w:ascii="Times New Roman" w:hAnsi="Times New Roman"/>
        </w:rPr>
      </w:pPr>
      <w:r w:rsidRPr="000F6AA3">
        <w:rPr>
          <w:rStyle w:val="FootnoteReference"/>
          <w:rFonts w:ascii="Times New Roman" w:hAnsi="Times New Roman"/>
          <w:sz w:val="22"/>
          <w:szCs w:val="22"/>
        </w:rPr>
        <w:footnoteRef/>
      </w:r>
      <w:r w:rsidRPr="000F6AA3">
        <w:rPr>
          <w:rFonts w:ascii="Times New Roman" w:hAnsi="Times New Roman"/>
          <w:sz w:val="22"/>
          <w:szCs w:val="22"/>
        </w:rPr>
        <w:t xml:space="preserve"> A Company’s annual requirement is determined through a filing in June of each year. Reports are filed per WAC 480-109-210. The company’s yearly reports are filed under the following dockets: 2012 – UE-120813; 2013 – UE-131063; 2014 – UE-140802; 2015 – UE-151162; 2016 – UE-160777.</w:t>
      </w:r>
      <w:r w:rsidR="00225F93">
        <w:rPr>
          <w:rFonts w:ascii="Times New Roman" w:hAnsi="Times New Roman"/>
          <w:sz w:val="22"/>
          <w:szCs w:val="22"/>
        </w:rPr>
        <w:br/>
      </w:r>
    </w:p>
  </w:footnote>
  <w:footnote w:id="5">
    <w:p w14:paraId="24368AFE" w14:textId="39DBCCFF" w:rsidR="000F6AA3" w:rsidRPr="000F6AA3" w:rsidRDefault="000F6AA3" w:rsidP="000F6AA3">
      <w:pPr>
        <w:pStyle w:val="FootnoteText"/>
        <w:rPr>
          <w:rFonts w:ascii="Times New Roman" w:hAnsi="Times New Roman"/>
          <w:sz w:val="22"/>
        </w:rPr>
      </w:pPr>
      <w:r w:rsidRPr="000F6AA3">
        <w:rPr>
          <w:rStyle w:val="FootnoteReference"/>
          <w:rFonts w:ascii="Times New Roman" w:hAnsi="Times New Roman"/>
          <w:sz w:val="22"/>
        </w:rPr>
        <w:footnoteRef/>
      </w:r>
      <w:r w:rsidRPr="000F6AA3">
        <w:rPr>
          <w:rFonts w:ascii="Times New Roman" w:hAnsi="Times New Roman"/>
          <w:sz w:val="22"/>
        </w:rPr>
        <w:t xml:space="preserve"> For Commission orders regarding REC sales, and for Pacific Power’s yearly REC sale filings, see Docket UE-100749.</w:t>
      </w:r>
      <w:r>
        <w:rPr>
          <w:rFonts w:ascii="Times New Roman" w:hAnsi="Times New Roman"/>
          <w:sz w:val="22"/>
        </w:rPr>
        <w:br/>
      </w:r>
    </w:p>
  </w:footnote>
  <w:footnote w:id="6">
    <w:p w14:paraId="5B7EE5BF" w14:textId="1CB5AD3E" w:rsidR="000F6AA3" w:rsidRPr="000F6AA3" w:rsidRDefault="000F6AA3" w:rsidP="000F6AA3">
      <w:pPr>
        <w:pStyle w:val="FootnoteText"/>
        <w:rPr>
          <w:rFonts w:ascii="Times New Roman" w:hAnsi="Times New Roman"/>
          <w:sz w:val="22"/>
        </w:rPr>
      </w:pPr>
      <w:r w:rsidRPr="000F6AA3">
        <w:rPr>
          <w:rStyle w:val="FootnoteReference"/>
          <w:rFonts w:ascii="Times New Roman" w:hAnsi="Times New Roman"/>
          <w:sz w:val="22"/>
        </w:rPr>
        <w:footnoteRef/>
      </w:r>
      <w:r w:rsidRPr="000F6AA3">
        <w:rPr>
          <w:rFonts w:ascii="Times New Roman" w:hAnsi="Times New Roman"/>
          <w:sz w:val="22"/>
        </w:rPr>
        <w:t xml:space="preserve"> PacifiCorp 2013 IRP Update, Docket UE-120416</w:t>
      </w:r>
      <w:r>
        <w:rPr>
          <w:rFonts w:ascii="Times New Roman" w:hAnsi="Times New Roman"/>
          <w:sz w:val="22"/>
        </w:rPr>
        <w:t xml:space="preserve"> (March 14, 2014)</w:t>
      </w:r>
      <w:r w:rsidRPr="000F6AA3">
        <w:rPr>
          <w:rFonts w:ascii="Times New Roman" w:hAnsi="Times New Roman"/>
          <w:sz w:val="22"/>
        </w:rPr>
        <w:t>.</w:t>
      </w:r>
      <w:r>
        <w:rPr>
          <w:rFonts w:ascii="Times New Roman" w:hAnsi="Times New Roman"/>
          <w:sz w:val="22"/>
        </w:rPr>
        <w:br/>
      </w:r>
    </w:p>
  </w:footnote>
  <w:footnote w:id="7">
    <w:p w14:paraId="0D0F2E56" w14:textId="77777777" w:rsidR="000F6AA3" w:rsidRPr="00A34DD6" w:rsidRDefault="000F6AA3" w:rsidP="000F6AA3">
      <w:pPr>
        <w:pStyle w:val="FootnoteText"/>
        <w:rPr>
          <w:rFonts w:ascii="Times New Roman" w:hAnsi="Times New Roman"/>
        </w:rPr>
      </w:pPr>
      <w:r w:rsidRPr="000F6AA3">
        <w:rPr>
          <w:rStyle w:val="FootnoteReference"/>
          <w:rFonts w:ascii="Times New Roman" w:hAnsi="Times New Roman"/>
          <w:sz w:val="22"/>
        </w:rPr>
        <w:footnoteRef/>
      </w:r>
      <w:r w:rsidRPr="000F6AA3">
        <w:rPr>
          <w:rFonts w:ascii="Times New Roman" w:hAnsi="Times New Roman"/>
          <w:sz w:val="22"/>
        </w:rPr>
        <w:t xml:space="preserve"> These costs were related to the over-crediting of revenues from the sales of REC revenues prior to 2014, see Docket UE-100749.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F923" w14:textId="2272B57A" w:rsidR="00F23EAE" w:rsidRPr="00A748CC" w:rsidRDefault="00F23EAE" w:rsidP="00516BE6">
    <w:pPr>
      <w:pStyle w:val="Header"/>
      <w:tabs>
        <w:tab w:val="clear" w:pos="8640"/>
        <w:tab w:val="left" w:pos="7000"/>
        <w:tab w:val="right" w:pos="8460"/>
      </w:tabs>
      <w:rPr>
        <w:rStyle w:val="PageNumber"/>
        <w:b/>
        <w:sz w:val="20"/>
      </w:rPr>
    </w:pPr>
    <w:r w:rsidRPr="00A748CC">
      <w:rPr>
        <w:b/>
        <w:sz w:val="20"/>
      </w:rPr>
      <w:t xml:space="preserve">DOCKET </w:t>
    </w:r>
    <w:r w:rsidR="000F6AA3">
      <w:rPr>
        <w:b/>
        <w:sz w:val="20"/>
      </w:rPr>
      <w:t>UE-143915</w:t>
    </w:r>
    <w:r w:rsidRPr="00A748CC">
      <w:rPr>
        <w:b/>
        <w:sz w:val="20"/>
      </w:rPr>
      <w:tab/>
    </w:r>
    <w:r w:rsidRPr="00A748CC">
      <w:rPr>
        <w:b/>
        <w:sz w:val="20"/>
      </w:rPr>
      <w:tab/>
    </w:r>
    <w:r w:rsidR="00516BE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61E01">
      <w:rPr>
        <w:rStyle w:val="PageNumber"/>
        <w:b/>
        <w:noProof/>
        <w:sz w:val="20"/>
      </w:rPr>
      <w:t>2</w:t>
    </w:r>
    <w:r w:rsidRPr="00A748CC">
      <w:rPr>
        <w:rStyle w:val="PageNumber"/>
        <w:b/>
        <w:sz w:val="20"/>
      </w:rPr>
      <w:fldChar w:fldCharType="end"/>
    </w:r>
  </w:p>
  <w:p w14:paraId="1CECF924" w14:textId="77777777"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B20DE1" w:rsidRPr="00B20DE1">
      <w:rPr>
        <w:b/>
        <w:sz w:val="20"/>
      </w:rPr>
      <w:t>01</w:t>
    </w:r>
  </w:p>
  <w:p w14:paraId="1CECF925" w14:textId="77777777" w:rsidR="00F23EAE" w:rsidRPr="00C923D6" w:rsidRDefault="00F23EAE">
    <w:pPr>
      <w:pStyle w:val="Header"/>
      <w:rPr>
        <w:rStyle w:val="PageNumber"/>
        <w:sz w:val="20"/>
      </w:rPr>
    </w:pPr>
  </w:p>
  <w:p w14:paraId="1CECF926" w14:textId="77777777" w:rsidR="00F23EAE" w:rsidRPr="00C923D6" w:rsidRDefault="00F23EA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E64"/>
    <w:multiLevelType w:val="hybridMultilevel"/>
    <w:tmpl w:val="47889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AD6978"/>
    <w:multiLevelType w:val="hybridMultilevel"/>
    <w:tmpl w:val="A464194E"/>
    <w:lvl w:ilvl="0" w:tplc="BF84DC0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0C2B7D"/>
    <w:multiLevelType w:val="hybridMultilevel"/>
    <w:tmpl w:val="3738F0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36"/>
    <w:rsid w:val="00002219"/>
    <w:rsid w:val="00003776"/>
    <w:rsid w:val="00005FD9"/>
    <w:rsid w:val="00020192"/>
    <w:rsid w:val="00023C9E"/>
    <w:rsid w:val="00037C22"/>
    <w:rsid w:val="00045705"/>
    <w:rsid w:val="00050C2A"/>
    <w:rsid w:val="00057A7C"/>
    <w:rsid w:val="00057BB3"/>
    <w:rsid w:val="000670DB"/>
    <w:rsid w:val="00092D0D"/>
    <w:rsid w:val="00095DA6"/>
    <w:rsid w:val="000A1236"/>
    <w:rsid w:val="000B2415"/>
    <w:rsid w:val="000C0449"/>
    <w:rsid w:val="000C06F4"/>
    <w:rsid w:val="000C1EB1"/>
    <w:rsid w:val="000E0FD7"/>
    <w:rsid w:val="000E3146"/>
    <w:rsid w:val="000E3ECF"/>
    <w:rsid w:val="000F378C"/>
    <w:rsid w:val="000F6AA3"/>
    <w:rsid w:val="00103788"/>
    <w:rsid w:val="001223E6"/>
    <w:rsid w:val="00136461"/>
    <w:rsid w:val="00137B5D"/>
    <w:rsid w:val="00156783"/>
    <w:rsid w:val="00163E45"/>
    <w:rsid w:val="00184D11"/>
    <w:rsid w:val="00191FEF"/>
    <w:rsid w:val="00194B38"/>
    <w:rsid w:val="001A2476"/>
    <w:rsid w:val="001A2CF4"/>
    <w:rsid w:val="001C3CFC"/>
    <w:rsid w:val="001D05AF"/>
    <w:rsid w:val="001E31D2"/>
    <w:rsid w:val="001F3B0C"/>
    <w:rsid w:val="001F3B92"/>
    <w:rsid w:val="00207552"/>
    <w:rsid w:val="00210528"/>
    <w:rsid w:val="0021323F"/>
    <w:rsid w:val="00217507"/>
    <w:rsid w:val="00225F93"/>
    <w:rsid w:val="00256D8F"/>
    <w:rsid w:val="00267B11"/>
    <w:rsid w:val="00290213"/>
    <w:rsid w:val="00292960"/>
    <w:rsid w:val="002A00FC"/>
    <w:rsid w:val="002A2164"/>
    <w:rsid w:val="002A288F"/>
    <w:rsid w:val="002A391C"/>
    <w:rsid w:val="002B2DA3"/>
    <w:rsid w:val="002E53B8"/>
    <w:rsid w:val="002F1DE2"/>
    <w:rsid w:val="00304BB0"/>
    <w:rsid w:val="0030610C"/>
    <w:rsid w:val="00324084"/>
    <w:rsid w:val="003603C6"/>
    <w:rsid w:val="00361E01"/>
    <w:rsid w:val="00374E9D"/>
    <w:rsid w:val="0037519F"/>
    <w:rsid w:val="00377CDA"/>
    <w:rsid w:val="003864F6"/>
    <w:rsid w:val="003919D4"/>
    <w:rsid w:val="0039735B"/>
    <w:rsid w:val="003C0A5B"/>
    <w:rsid w:val="003C2211"/>
    <w:rsid w:val="003C2270"/>
    <w:rsid w:val="003C35D0"/>
    <w:rsid w:val="003E5242"/>
    <w:rsid w:val="003F0F55"/>
    <w:rsid w:val="0040179C"/>
    <w:rsid w:val="00406621"/>
    <w:rsid w:val="00406766"/>
    <w:rsid w:val="00412541"/>
    <w:rsid w:val="00420751"/>
    <w:rsid w:val="0043185D"/>
    <w:rsid w:val="00435481"/>
    <w:rsid w:val="004376D1"/>
    <w:rsid w:val="00446310"/>
    <w:rsid w:val="00464B1F"/>
    <w:rsid w:val="00491C72"/>
    <w:rsid w:val="004C0556"/>
    <w:rsid w:val="004E41FF"/>
    <w:rsid w:val="004E7207"/>
    <w:rsid w:val="004F3814"/>
    <w:rsid w:val="005024C1"/>
    <w:rsid w:val="00512EC6"/>
    <w:rsid w:val="00516BE6"/>
    <w:rsid w:val="00525321"/>
    <w:rsid w:val="00537A6E"/>
    <w:rsid w:val="00544C45"/>
    <w:rsid w:val="0054782A"/>
    <w:rsid w:val="005579E7"/>
    <w:rsid w:val="00560A2A"/>
    <w:rsid w:val="005728CE"/>
    <w:rsid w:val="00572F55"/>
    <w:rsid w:val="00583678"/>
    <w:rsid w:val="005A0FF8"/>
    <w:rsid w:val="005A1E76"/>
    <w:rsid w:val="005E1629"/>
    <w:rsid w:val="005E1ADB"/>
    <w:rsid w:val="00603F5F"/>
    <w:rsid w:val="006262B3"/>
    <w:rsid w:val="006279C0"/>
    <w:rsid w:val="006641CB"/>
    <w:rsid w:val="00680D48"/>
    <w:rsid w:val="00681D8A"/>
    <w:rsid w:val="006B795F"/>
    <w:rsid w:val="006C4048"/>
    <w:rsid w:val="007027C1"/>
    <w:rsid w:val="00706D7A"/>
    <w:rsid w:val="007133EB"/>
    <w:rsid w:val="007147E9"/>
    <w:rsid w:val="007308FD"/>
    <w:rsid w:val="007454F4"/>
    <w:rsid w:val="00750293"/>
    <w:rsid w:val="0076326D"/>
    <w:rsid w:val="00796FE4"/>
    <w:rsid w:val="007A49DF"/>
    <w:rsid w:val="007C0332"/>
    <w:rsid w:val="007D4C59"/>
    <w:rsid w:val="007D62FB"/>
    <w:rsid w:val="007E6159"/>
    <w:rsid w:val="007F7266"/>
    <w:rsid w:val="0080664E"/>
    <w:rsid w:val="008246C9"/>
    <w:rsid w:val="00830EB3"/>
    <w:rsid w:val="00840ABC"/>
    <w:rsid w:val="00845BCE"/>
    <w:rsid w:val="00845F18"/>
    <w:rsid w:val="00873F50"/>
    <w:rsid w:val="00883B8B"/>
    <w:rsid w:val="00887761"/>
    <w:rsid w:val="008A5BDE"/>
    <w:rsid w:val="008A75BB"/>
    <w:rsid w:val="008B6F84"/>
    <w:rsid w:val="008D148C"/>
    <w:rsid w:val="008D6469"/>
    <w:rsid w:val="008D700F"/>
    <w:rsid w:val="008F2CB1"/>
    <w:rsid w:val="008F66CE"/>
    <w:rsid w:val="00905891"/>
    <w:rsid w:val="00922662"/>
    <w:rsid w:val="0092543D"/>
    <w:rsid w:val="00940E71"/>
    <w:rsid w:val="00952ED4"/>
    <w:rsid w:val="00990F85"/>
    <w:rsid w:val="009B3E4E"/>
    <w:rsid w:val="009D5E0A"/>
    <w:rsid w:val="009E6BBD"/>
    <w:rsid w:val="00A2102B"/>
    <w:rsid w:val="00A2131C"/>
    <w:rsid w:val="00A22F56"/>
    <w:rsid w:val="00A26256"/>
    <w:rsid w:val="00A26911"/>
    <w:rsid w:val="00A272E7"/>
    <w:rsid w:val="00A32948"/>
    <w:rsid w:val="00A34118"/>
    <w:rsid w:val="00A3599C"/>
    <w:rsid w:val="00A4134E"/>
    <w:rsid w:val="00A43DD7"/>
    <w:rsid w:val="00A6402D"/>
    <w:rsid w:val="00A710A2"/>
    <w:rsid w:val="00A71C65"/>
    <w:rsid w:val="00AA6C3F"/>
    <w:rsid w:val="00AC1794"/>
    <w:rsid w:val="00AD405A"/>
    <w:rsid w:val="00B109E7"/>
    <w:rsid w:val="00B20DE1"/>
    <w:rsid w:val="00B303AE"/>
    <w:rsid w:val="00B40357"/>
    <w:rsid w:val="00B7132A"/>
    <w:rsid w:val="00B940FA"/>
    <w:rsid w:val="00B948EF"/>
    <w:rsid w:val="00BA007B"/>
    <w:rsid w:val="00BA34F6"/>
    <w:rsid w:val="00BA627E"/>
    <w:rsid w:val="00BB0385"/>
    <w:rsid w:val="00BB6432"/>
    <w:rsid w:val="00BD5323"/>
    <w:rsid w:val="00BD6086"/>
    <w:rsid w:val="00C40733"/>
    <w:rsid w:val="00C47D0C"/>
    <w:rsid w:val="00C550D3"/>
    <w:rsid w:val="00C622F6"/>
    <w:rsid w:val="00C62862"/>
    <w:rsid w:val="00C823A7"/>
    <w:rsid w:val="00C87791"/>
    <w:rsid w:val="00C923D6"/>
    <w:rsid w:val="00C94CC6"/>
    <w:rsid w:val="00C96BE9"/>
    <w:rsid w:val="00C979BD"/>
    <w:rsid w:val="00CD75FE"/>
    <w:rsid w:val="00D002D2"/>
    <w:rsid w:val="00D15422"/>
    <w:rsid w:val="00D30CD1"/>
    <w:rsid w:val="00D34764"/>
    <w:rsid w:val="00D34FDB"/>
    <w:rsid w:val="00D365AA"/>
    <w:rsid w:val="00D37AE6"/>
    <w:rsid w:val="00D564C0"/>
    <w:rsid w:val="00D75862"/>
    <w:rsid w:val="00D8358F"/>
    <w:rsid w:val="00D842FB"/>
    <w:rsid w:val="00D938E7"/>
    <w:rsid w:val="00DA0056"/>
    <w:rsid w:val="00DA0419"/>
    <w:rsid w:val="00DA34C3"/>
    <w:rsid w:val="00DA5958"/>
    <w:rsid w:val="00DD589F"/>
    <w:rsid w:val="00DE0C02"/>
    <w:rsid w:val="00DE12EB"/>
    <w:rsid w:val="00DE6413"/>
    <w:rsid w:val="00DF00C0"/>
    <w:rsid w:val="00DF6DED"/>
    <w:rsid w:val="00E013DE"/>
    <w:rsid w:val="00E02724"/>
    <w:rsid w:val="00E1167D"/>
    <w:rsid w:val="00E36BC8"/>
    <w:rsid w:val="00E464AB"/>
    <w:rsid w:val="00E4683D"/>
    <w:rsid w:val="00E56EFE"/>
    <w:rsid w:val="00E66798"/>
    <w:rsid w:val="00E67931"/>
    <w:rsid w:val="00E708AA"/>
    <w:rsid w:val="00E70E2C"/>
    <w:rsid w:val="00E82696"/>
    <w:rsid w:val="00E8335A"/>
    <w:rsid w:val="00EB66E9"/>
    <w:rsid w:val="00EE6A09"/>
    <w:rsid w:val="00F03613"/>
    <w:rsid w:val="00F23EAE"/>
    <w:rsid w:val="00F27160"/>
    <w:rsid w:val="00F54B0B"/>
    <w:rsid w:val="00F75266"/>
    <w:rsid w:val="00F84147"/>
    <w:rsid w:val="00F90B09"/>
    <w:rsid w:val="00FA1C7D"/>
    <w:rsid w:val="00FC0341"/>
    <w:rsid w:val="00FC27F2"/>
    <w:rsid w:val="00FC6244"/>
    <w:rsid w:val="00FE2919"/>
    <w:rsid w:val="00FE3B8E"/>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CECF8CE"/>
  <w15:chartTrackingRefBased/>
  <w15:docId w15:val="{93739914-BD7F-48A5-BD2E-1FB01891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905891"/>
    <w:pPr>
      <w:ind w:left="720"/>
      <w:contextualSpacing/>
    </w:pPr>
  </w:style>
  <w:style w:type="paragraph" w:styleId="FootnoteText">
    <w:name w:val="footnote text"/>
    <w:basedOn w:val="Normal"/>
    <w:link w:val="FootnoteTextChar"/>
    <w:unhideWhenUsed/>
    <w:rsid w:val="00B109E7"/>
    <w:rPr>
      <w:rFonts w:ascii="Palatino Linotype" w:hAnsi="Palatino Linotype"/>
      <w:sz w:val="20"/>
      <w:szCs w:val="20"/>
    </w:rPr>
  </w:style>
  <w:style w:type="character" w:customStyle="1" w:styleId="FootnoteTextChar">
    <w:name w:val="Footnote Text Char"/>
    <w:basedOn w:val="DefaultParagraphFont"/>
    <w:link w:val="FootnoteText"/>
    <w:rsid w:val="00B109E7"/>
    <w:rPr>
      <w:rFonts w:ascii="Palatino Linotype" w:hAnsi="Palatino Linotype"/>
    </w:rPr>
  </w:style>
  <w:style w:type="character" w:styleId="FootnoteReference">
    <w:name w:val="footnote reference"/>
    <w:basedOn w:val="DefaultParagraphFont"/>
    <w:uiPriority w:val="99"/>
    <w:unhideWhenUsed/>
    <w:rsid w:val="00B109E7"/>
    <w:rPr>
      <w:vertAlign w:val="superscript"/>
    </w:rPr>
  </w:style>
  <w:style w:type="character" w:styleId="CommentReference">
    <w:name w:val="annotation reference"/>
    <w:basedOn w:val="DefaultParagraphFont"/>
    <w:rsid w:val="00C96BE9"/>
    <w:rPr>
      <w:sz w:val="16"/>
      <w:szCs w:val="16"/>
    </w:rPr>
  </w:style>
  <w:style w:type="paragraph" w:styleId="CommentText">
    <w:name w:val="annotation text"/>
    <w:basedOn w:val="Normal"/>
    <w:link w:val="CommentTextChar"/>
    <w:uiPriority w:val="99"/>
    <w:rsid w:val="00C96BE9"/>
    <w:rPr>
      <w:sz w:val="20"/>
      <w:szCs w:val="20"/>
    </w:rPr>
  </w:style>
  <w:style w:type="character" w:customStyle="1" w:styleId="CommentTextChar">
    <w:name w:val="Comment Text Char"/>
    <w:basedOn w:val="DefaultParagraphFont"/>
    <w:link w:val="CommentText"/>
    <w:uiPriority w:val="99"/>
    <w:rsid w:val="00C96BE9"/>
  </w:style>
  <w:style w:type="paragraph" w:styleId="CommentSubject">
    <w:name w:val="annotation subject"/>
    <w:basedOn w:val="CommentText"/>
    <w:next w:val="CommentText"/>
    <w:link w:val="CommentSubjectChar"/>
    <w:rsid w:val="00C96BE9"/>
    <w:rPr>
      <w:b/>
      <w:bCs/>
    </w:rPr>
  </w:style>
  <w:style w:type="character" w:customStyle="1" w:styleId="CommentSubjectChar">
    <w:name w:val="Comment Subject Char"/>
    <w:basedOn w:val="CommentTextChar"/>
    <w:link w:val="CommentSubject"/>
    <w:rsid w:val="00C96BE9"/>
    <w:rPr>
      <w:b/>
      <w:bCs/>
    </w:rPr>
  </w:style>
  <w:style w:type="paragraph" w:styleId="Revision">
    <w:name w:val="Revision"/>
    <w:hidden/>
    <w:uiPriority w:val="99"/>
    <w:semiHidden/>
    <w:rsid w:val="00B94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903">
      <w:bodyDiv w:val="1"/>
      <w:marLeft w:val="0"/>
      <w:marRight w:val="0"/>
      <w:marTop w:val="0"/>
      <w:marBottom w:val="0"/>
      <w:divBdr>
        <w:top w:val="none" w:sz="0" w:space="0" w:color="auto"/>
        <w:left w:val="none" w:sz="0" w:space="0" w:color="auto"/>
        <w:bottom w:val="none" w:sz="0" w:space="0" w:color="auto"/>
        <w:right w:val="none" w:sz="0" w:space="0" w:color="auto"/>
      </w:divBdr>
    </w:div>
    <w:div w:id="6838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643C80764D77488DCA1FD348992143" ma:contentTypeVersion="175" ma:contentTypeDescription="" ma:contentTypeScope="" ma:versionID="d8c0892425b90bd33573e1b0dbe1f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2014-11-18T08:00:00+00:00</OpenedDate>
    <Date1 xmlns="dc463f71-b30c-4ab2-9473-d307f9d35888">2016-12-22T08:00:00+00:00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143915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AB8FAC-4F3F-4D7C-BD56-1A9AA72584B9}">
  <ds:schemaRefs>
    <ds:schemaRef ds:uri="http://schemas.microsoft.com/sharepoint/v3/contenttype/forms"/>
  </ds:schemaRefs>
</ds:datastoreItem>
</file>

<file path=customXml/itemProps2.xml><?xml version="1.0" encoding="utf-8"?>
<ds:datastoreItem xmlns:ds="http://schemas.openxmlformats.org/officeDocument/2006/customXml" ds:itemID="{BED370B3-8FE9-4A17-8D39-0FA28F816920}"/>
</file>

<file path=customXml/itemProps3.xml><?xml version="1.0" encoding="utf-8"?>
<ds:datastoreItem xmlns:ds="http://schemas.openxmlformats.org/officeDocument/2006/customXml" ds:itemID="{94EC1723-40D6-48A4-8350-C465BD45A5F4}">
  <ds:schemaRefs>
    <ds:schemaRef ds:uri="http://schemas.openxmlformats.org/package/2006/metadata/core-properties"/>
    <ds:schemaRef ds:uri="http://www.w3.org/XML/1998/namespace"/>
    <ds:schemaRef ds:uri="http://purl.org/dc/terms/"/>
    <ds:schemaRef ds:uri="http://schemas.microsoft.com/office/2006/documentManagement/types"/>
    <ds:schemaRef ds:uri="435B63BF-1577-4819-83DB-D7201CA24EE0"/>
    <ds:schemaRef ds:uri="751276d0-61bc-4dad-b75c-21dfd12630ad"/>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F791BC0-AEC1-4F27-A6D9-52F4AE1F8BA0}">
  <ds:schemaRefs>
    <ds:schemaRef ds:uri="http://schemas.openxmlformats.org/officeDocument/2006/bibliography"/>
  </ds:schemaRefs>
</ds:datastoreItem>
</file>

<file path=customXml/itemProps5.xml><?xml version="1.0" encoding="utf-8"?>
<ds:datastoreItem xmlns:ds="http://schemas.openxmlformats.org/officeDocument/2006/customXml" ds:itemID="{FCAA85C6-56C6-4D3C-9588-DD833334FE40}"/>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UE-143915 - Order 01</vt:lpstr>
    </vt:vector>
  </TitlesOfParts>
  <Company>WUTC</Company>
  <LinksUpToDate>false</LinksUpToDate>
  <CharactersWithSpaces>6937</CharactersWithSpaces>
  <SharedDoc>false</SharedDoc>
  <HLinks>
    <vt:vector size="48" baseType="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UE-143915 - Order 01</dc:title>
  <dc:subject/>
  <dc:creator>Template Team</dc:creator>
  <cp:keywords/>
  <dc:description/>
  <cp:lastModifiedBy>Kern, Cathy (UTC)</cp:lastModifiedBy>
  <cp:revision>2</cp:revision>
  <cp:lastPrinted>2016-03-10T23:00:00Z</cp:lastPrinted>
  <dcterms:created xsi:type="dcterms:W3CDTF">2016-12-22T00:19:00Z</dcterms:created>
  <dcterms:modified xsi:type="dcterms:W3CDTF">2016-12-22T00:19:00Z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0x0101006E56B4D1795A2E4DB2F0B01679ED314A00B9643C80764D77488DCA1FD348992143</vt:lpwstr>
  </property>
  <property fmtid="{D5CDD505-2E9C-101B-9397-08002B2CF9AE}" pid="3" name="_docset_NoMedatataSyncRequired">
    <vt:lpwstr>False</vt:lpwstr>
  </property>
</Properties>
</file>