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B0" w:rsidRDefault="006840B0" w:rsidP="006840B0">
      <w:pPr>
        <w:tabs>
          <w:tab w:val="left" w:pos="360"/>
          <w:tab w:val="left" w:pos="5040"/>
        </w:tabs>
        <w:jc w:val="both"/>
        <w:rPr>
          <w:u w:val="single"/>
        </w:rPr>
      </w:pPr>
      <w:bookmarkStart w:id="0" w:name="_GoBack"/>
      <w:bookmarkEnd w:id="0"/>
    </w:p>
    <w:p w:rsidR="0044364A" w:rsidRDefault="0044364A" w:rsidP="0044364A">
      <w:pPr>
        <w:tabs>
          <w:tab w:val="left" w:pos="360"/>
          <w:tab w:val="left" w:pos="720"/>
          <w:tab w:val="left" w:pos="5040"/>
        </w:tabs>
        <w:jc w:val="both"/>
        <w:rPr>
          <w:rFonts w:ascii="Arial" w:hAnsi="Arial" w:cs="Arial"/>
          <w:sz w:val="20"/>
        </w:rPr>
      </w:pPr>
      <w:r w:rsidRPr="0044364A">
        <w:rPr>
          <w:rFonts w:ascii="Arial" w:hAnsi="Arial" w:cs="Arial"/>
          <w:sz w:val="20"/>
          <w:u w:val="single"/>
        </w:rPr>
        <w:t>PROVISIONS OF SERVICE:</w:t>
      </w:r>
      <w:r w:rsidR="00CB0F83">
        <w:rPr>
          <w:rFonts w:ascii="Arial" w:hAnsi="Arial" w:cs="Arial"/>
          <w:sz w:val="20"/>
        </w:rPr>
        <w:t xml:space="preserve"> (continued)</w:t>
      </w:r>
    </w:p>
    <w:p w:rsidR="00CB0F83" w:rsidRPr="00CB0F83" w:rsidRDefault="00CB0F83" w:rsidP="00CB0F83">
      <w:pPr>
        <w:tabs>
          <w:tab w:val="left" w:pos="0"/>
          <w:tab w:val="left" w:pos="720"/>
          <w:tab w:val="left" w:pos="5040"/>
        </w:tabs>
        <w:jc w:val="both"/>
        <w:rPr>
          <w:rFonts w:ascii="Arial" w:hAnsi="Arial" w:cs="Arial"/>
          <w:sz w:val="20"/>
        </w:rPr>
      </w:pPr>
      <w:r w:rsidRPr="00CB0F83">
        <w:rPr>
          <w:rFonts w:ascii="Arial" w:hAnsi="Arial" w:cs="Arial"/>
          <w:sz w:val="20"/>
        </w:rPr>
        <w:t>(6)</w:t>
      </w:r>
      <w:r w:rsidRPr="00CB0F83">
        <w:rPr>
          <w:rFonts w:ascii="Arial" w:hAnsi="Arial" w:cs="Arial"/>
          <w:sz w:val="20"/>
        </w:rPr>
        <w:tab/>
        <w:t xml:space="preserve"> </w:t>
      </w:r>
      <w:r w:rsidRPr="00CB0F83">
        <w:rPr>
          <w:rFonts w:ascii="Arial" w:hAnsi="Arial" w:cs="Arial"/>
          <w:b/>
          <w:sz w:val="20"/>
        </w:rPr>
        <w:t>Minimum Equipment Efficiency</w:t>
      </w:r>
      <w:r w:rsidRPr="00CB0F83">
        <w:rPr>
          <w:rFonts w:ascii="Arial" w:hAnsi="Arial" w:cs="Arial"/>
          <w:sz w:val="20"/>
        </w:rPr>
        <w:tab/>
      </w:r>
    </w:p>
    <w:p w:rsidR="00CB0F83" w:rsidRPr="00CB0F83" w:rsidRDefault="00CB0F83" w:rsidP="00CB0F83">
      <w:pPr>
        <w:tabs>
          <w:tab w:val="left" w:pos="0"/>
          <w:tab w:val="left" w:pos="720"/>
          <w:tab w:val="left" w:pos="5040"/>
        </w:tabs>
        <w:jc w:val="both"/>
        <w:rPr>
          <w:rFonts w:ascii="Arial" w:hAnsi="Arial" w:cs="Arial"/>
          <w:sz w:val="20"/>
        </w:rPr>
      </w:pPr>
      <w:r>
        <w:rPr>
          <w:rFonts w:ascii="Arial" w:hAnsi="Arial" w:cs="Arial"/>
          <w:sz w:val="20"/>
        </w:rPr>
        <w:tab/>
      </w:r>
      <w:r w:rsidRPr="00CB0F83">
        <w:rPr>
          <w:rFonts w:ascii="Arial" w:hAnsi="Arial" w:cs="Arial"/>
          <w:sz w:val="20"/>
        </w:rPr>
        <w:t xml:space="preserve">For Retrofit Energy Efficiency Projects, EEMs must meet minimum equipment efficiency levels and equipment eligibility requirements in Schedule 115 to be eligible for incentives available under this Schedule.  </w:t>
      </w:r>
    </w:p>
    <w:p w:rsidR="00CB0F83" w:rsidRPr="00CB0F83" w:rsidRDefault="00CB0F83" w:rsidP="00CB0F83">
      <w:pPr>
        <w:tabs>
          <w:tab w:val="left" w:pos="720"/>
          <w:tab w:val="left" w:pos="5040"/>
        </w:tabs>
        <w:jc w:val="both"/>
        <w:rPr>
          <w:rFonts w:ascii="Arial" w:hAnsi="Arial" w:cs="Arial"/>
          <w:sz w:val="20"/>
        </w:rPr>
      </w:pPr>
      <w:r w:rsidRPr="00CB0F83">
        <w:rPr>
          <w:rFonts w:ascii="Arial" w:hAnsi="Arial" w:cs="Arial"/>
          <w:sz w:val="20"/>
        </w:rPr>
        <w:tab/>
      </w:r>
    </w:p>
    <w:p w:rsidR="00CB0F83" w:rsidRPr="00CB0F83" w:rsidRDefault="00CB0F83" w:rsidP="00CB0F83">
      <w:pPr>
        <w:tabs>
          <w:tab w:val="left" w:pos="720"/>
          <w:tab w:val="left" w:pos="5040"/>
        </w:tabs>
        <w:ind w:right="-108"/>
        <w:rPr>
          <w:rFonts w:ascii="Arial" w:hAnsi="Arial" w:cs="Arial"/>
          <w:sz w:val="20"/>
        </w:rPr>
      </w:pPr>
      <w:r w:rsidRPr="00CB0F83">
        <w:rPr>
          <w:rFonts w:ascii="Arial" w:hAnsi="Arial" w:cs="Arial"/>
          <w:sz w:val="20"/>
        </w:rPr>
        <w:t>(7)</w:t>
      </w:r>
      <w:r w:rsidRPr="00CB0F83">
        <w:rPr>
          <w:rFonts w:ascii="Arial" w:hAnsi="Arial" w:cs="Arial"/>
          <w:sz w:val="20"/>
        </w:rPr>
        <w:tab/>
        <w:t xml:space="preserve"> </w:t>
      </w:r>
      <w:r w:rsidRPr="00CB0F83">
        <w:rPr>
          <w:rFonts w:ascii="Arial" w:hAnsi="Arial" w:cs="Arial"/>
          <w:b/>
          <w:sz w:val="20"/>
        </w:rPr>
        <w:t>Prior Energy Service program participation requirements and definitions:</w:t>
      </w:r>
      <w:r w:rsidRPr="00CB0F83">
        <w:rPr>
          <w:rFonts w:ascii="Arial" w:hAnsi="Arial" w:cs="Arial"/>
          <w:sz w:val="20"/>
        </w:rPr>
        <w:t xml:space="preserve"> </w:t>
      </w:r>
    </w:p>
    <w:p w:rsidR="00CB0F83" w:rsidRPr="00CB0F83" w:rsidRDefault="00CB0F83" w:rsidP="00CB0F83">
      <w:pPr>
        <w:numPr>
          <w:ilvl w:val="0"/>
          <w:numId w:val="16"/>
        </w:numPr>
        <w:tabs>
          <w:tab w:val="clear" w:pos="360"/>
          <w:tab w:val="left" w:pos="720"/>
          <w:tab w:val="num" w:pos="1800"/>
          <w:tab w:val="left" w:pos="5040"/>
        </w:tabs>
        <w:ind w:left="720"/>
        <w:jc w:val="both"/>
        <w:rPr>
          <w:rFonts w:ascii="Arial" w:hAnsi="Arial" w:cs="Arial"/>
          <w:sz w:val="20"/>
        </w:rPr>
      </w:pPr>
      <w:r w:rsidRPr="00CB0F83">
        <w:rPr>
          <w:rFonts w:ascii="Arial" w:hAnsi="Arial" w:cs="Arial"/>
          <w:sz w:val="20"/>
        </w:rPr>
        <w:t xml:space="preserve">Energy Efficiency Payments are not available to Owners after July 16, 2001.  The elimination of the Energy Service Charge portion associated with Schedule 125 does not affect Energy Service Charges’ currently outstanding and obligations pursuant to an executed Energy Services Agreement remain in effect until the Energy Efficiency Payment with interest is re-paid in full. </w:t>
      </w:r>
    </w:p>
    <w:p w:rsidR="00CB0F83" w:rsidRPr="00CB0F83" w:rsidRDefault="00CB0F83" w:rsidP="00CB0F83">
      <w:pPr>
        <w:numPr>
          <w:ilvl w:val="0"/>
          <w:numId w:val="17"/>
        </w:numPr>
        <w:tabs>
          <w:tab w:val="clear" w:pos="360"/>
          <w:tab w:val="left" w:pos="720"/>
          <w:tab w:val="num" w:pos="1800"/>
          <w:tab w:val="left" w:pos="5040"/>
        </w:tabs>
        <w:ind w:left="720"/>
        <w:jc w:val="both"/>
        <w:rPr>
          <w:rFonts w:ascii="Arial" w:hAnsi="Arial" w:cs="Arial"/>
          <w:sz w:val="20"/>
        </w:rPr>
      </w:pPr>
      <w:r w:rsidRPr="00CB0F83">
        <w:rPr>
          <w:rFonts w:ascii="Arial" w:hAnsi="Arial" w:cs="Arial"/>
          <w:b/>
          <w:sz w:val="20"/>
        </w:rPr>
        <w:t xml:space="preserve">Energy Efficiency Payments: </w:t>
      </w:r>
      <w:r w:rsidRPr="00CB0F83">
        <w:rPr>
          <w:rFonts w:ascii="Arial" w:hAnsi="Arial" w:cs="Arial"/>
          <w:sz w:val="20"/>
        </w:rPr>
        <w:t xml:space="preserve">Any payments of money made by Company to Owner for installation of EEMs pursuant to an Energy Services Agreement. </w:t>
      </w:r>
    </w:p>
    <w:p w:rsidR="00CB0F83" w:rsidRPr="00CB0F83" w:rsidRDefault="00CB0F83" w:rsidP="00CB0F83">
      <w:pPr>
        <w:numPr>
          <w:ilvl w:val="0"/>
          <w:numId w:val="18"/>
        </w:numPr>
        <w:tabs>
          <w:tab w:val="clear" w:pos="360"/>
          <w:tab w:val="left" w:pos="720"/>
          <w:tab w:val="num" w:pos="1800"/>
          <w:tab w:val="left" w:pos="5040"/>
        </w:tabs>
        <w:ind w:left="720"/>
        <w:jc w:val="both"/>
        <w:rPr>
          <w:rFonts w:ascii="Arial" w:hAnsi="Arial" w:cs="Arial"/>
          <w:sz w:val="20"/>
        </w:rPr>
      </w:pPr>
      <w:r w:rsidRPr="00CB0F83">
        <w:rPr>
          <w:rFonts w:ascii="Arial" w:hAnsi="Arial" w:cs="Arial"/>
          <w:b/>
          <w:sz w:val="20"/>
        </w:rPr>
        <w:t>Energy Services Agreement:</w:t>
      </w:r>
      <w:r w:rsidRPr="00CB0F83">
        <w:rPr>
          <w:rFonts w:ascii="Arial" w:hAnsi="Arial" w:cs="Arial"/>
          <w:sz w:val="20"/>
        </w:rPr>
        <w:t xml:space="preserve"> An agreement between the Owner and the Company providing for Company to furnish or provide Energy Efficiency Payments with respect to EEMs pursuant to this Tariff Schedule. </w:t>
      </w:r>
    </w:p>
    <w:p w:rsidR="00CB0F83" w:rsidRPr="00CB0F83" w:rsidRDefault="00CB0F83" w:rsidP="00CB0F83">
      <w:pPr>
        <w:numPr>
          <w:ilvl w:val="0"/>
          <w:numId w:val="18"/>
        </w:numPr>
        <w:tabs>
          <w:tab w:val="clear" w:pos="360"/>
          <w:tab w:val="left" w:pos="720"/>
          <w:tab w:val="left" w:pos="5040"/>
        </w:tabs>
        <w:ind w:left="720"/>
        <w:jc w:val="both"/>
        <w:rPr>
          <w:rFonts w:ascii="Arial" w:hAnsi="Arial" w:cs="Arial"/>
          <w:sz w:val="20"/>
        </w:rPr>
      </w:pPr>
      <w:r w:rsidRPr="00CB0F83">
        <w:rPr>
          <w:rFonts w:ascii="Arial" w:hAnsi="Arial" w:cs="Arial"/>
          <w:b/>
          <w:sz w:val="20"/>
        </w:rPr>
        <w:t>Energy Services Charge:</w:t>
      </w:r>
      <w:r w:rsidRPr="00CB0F83">
        <w:rPr>
          <w:rFonts w:ascii="Arial" w:hAnsi="Arial" w:cs="Arial"/>
          <w:sz w:val="20"/>
        </w:rPr>
        <w:t xml:space="preserve"> As specified in the Energy Services Agreement, the monthly Energy Services Charge is that monthly payment required to repay the Energy Efficiency Payments, with interest at the Melded Interest Rate or the Performance Guarantee Interest Rate as applicable, in equal monthly payments over the term specified in the Energy Services Agreement. </w:t>
      </w:r>
    </w:p>
    <w:p w:rsidR="00CB0F83" w:rsidRPr="00CB0F83" w:rsidRDefault="00CB0F83" w:rsidP="00CB0F83">
      <w:pPr>
        <w:tabs>
          <w:tab w:val="left" w:pos="360"/>
          <w:tab w:val="left" w:pos="720"/>
          <w:tab w:val="left" w:pos="5040"/>
        </w:tabs>
        <w:ind w:left="360"/>
        <w:rPr>
          <w:rFonts w:ascii="Arial" w:hAnsi="Arial" w:cs="Arial"/>
          <w:sz w:val="20"/>
        </w:rPr>
      </w:pPr>
    </w:p>
    <w:p w:rsidR="00CB0F83" w:rsidRPr="00CB0F83" w:rsidRDefault="00CB0F83" w:rsidP="00CB0F83">
      <w:pPr>
        <w:tabs>
          <w:tab w:val="left" w:pos="720"/>
          <w:tab w:val="left" w:pos="5040"/>
        </w:tabs>
        <w:jc w:val="both"/>
        <w:rPr>
          <w:rFonts w:ascii="Arial" w:hAnsi="Arial" w:cs="Arial"/>
          <w:b/>
          <w:sz w:val="20"/>
        </w:rPr>
      </w:pPr>
      <w:r w:rsidRPr="00CB0F83">
        <w:rPr>
          <w:rFonts w:ascii="Arial" w:hAnsi="Arial" w:cs="Arial"/>
          <w:snapToGrid w:val="0"/>
          <w:sz w:val="20"/>
        </w:rPr>
        <w:t>(8)</w:t>
      </w:r>
      <w:r w:rsidRPr="00CB0F83">
        <w:rPr>
          <w:rFonts w:ascii="Arial" w:hAnsi="Arial" w:cs="Arial"/>
          <w:b/>
          <w:snapToGrid w:val="0"/>
          <w:sz w:val="20"/>
        </w:rPr>
        <w:t xml:space="preserve">  </w:t>
      </w:r>
      <w:r>
        <w:rPr>
          <w:rFonts w:ascii="Arial" w:hAnsi="Arial" w:cs="Arial"/>
          <w:b/>
          <w:snapToGrid w:val="0"/>
          <w:sz w:val="20"/>
        </w:rPr>
        <w:tab/>
      </w:r>
      <w:r w:rsidRPr="00CB0F83">
        <w:rPr>
          <w:rFonts w:ascii="Arial" w:hAnsi="Arial" w:cs="Arial"/>
          <w:b/>
          <w:snapToGrid w:val="0"/>
          <w:sz w:val="20"/>
        </w:rPr>
        <w:t>Fuel Switching</w:t>
      </w:r>
    </w:p>
    <w:p w:rsidR="00CB0F83" w:rsidRPr="00CB0F83" w:rsidRDefault="00CB0F83" w:rsidP="00CB0F83">
      <w:pPr>
        <w:tabs>
          <w:tab w:val="left" w:pos="720"/>
          <w:tab w:val="left" w:pos="5040"/>
        </w:tabs>
        <w:jc w:val="both"/>
        <w:rPr>
          <w:rFonts w:ascii="Arial" w:hAnsi="Arial" w:cs="Arial"/>
          <w:sz w:val="20"/>
        </w:rPr>
      </w:pPr>
      <w:r>
        <w:rPr>
          <w:rFonts w:ascii="Arial" w:hAnsi="Arial" w:cs="Arial"/>
          <w:snapToGrid w:val="0"/>
          <w:sz w:val="20"/>
        </w:rPr>
        <w:tab/>
      </w:r>
      <w:r w:rsidRPr="00CB0F83">
        <w:rPr>
          <w:rFonts w:ascii="Arial" w:hAnsi="Arial" w:cs="Arial"/>
          <w:snapToGrid w:val="0"/>
          <w:sz w:val="20"/>
        </w:rPr>
        <w:t>Energy Efficiency Incentives will not be made available to induce fuel switching by Owner.</w:t>
      </w:r>
    </w:p>
    <w:p w:rsidR="00CB0F83" w:rsidRPr="00CB0F83" w:rsidRDefault="00CB0F83" w:rsidP="00CB0F83">
      <w:pPr>
        <w:tabs>
          <w:tab w:val="left" w:pos="630"/>
          <w:tab w:val="left" w:pos="5040"/>
        </w:tabs>
        <w:jc w:val="both"/>
        <w:rPr>
          <w:rFonts w:ascii="Arial" w:hAnsi="Arial" w:cs="Arial"/>
          <w:sz w:val="20"/>
        </w:rPr>
      </w:pPr>
    </w:p>
    <w:p w:rsidR="00CB0F83" w:rsidRPr="00CB0F83" w:rsidRDefault="00CB0F83" w:rsidP="00CB0F83">
      <w:pPr>
        <w:tabs>
          <w:tab w:val="left" w:pos="720"/>
          <w:tab w:val="left" w:pos="5040"/>
        </w:tabs>
        <w:jc w:val="both"/>
        <w:rPr>
          <w:rFonts w:ascii="Arial" w:hAnsi="Arial" w:cs="Arial"/>
          <w:sz w:val="20"/>
        </w:rPr>
      </w:pPr>
      <w:r w:rsidRPr="00CB0F83">
        <w:rPr>
          <w:rFonts w:ascii="Arial" w:hAnsi="Arial" w:cs="Arial"/>
          <w:sz w:val="20"/>
        </w:rPr>
        <w:t xml:space="preserve">(9)  </w:t>
      </w:r>
      <w:r>
        <w:rPr>
          <w:rFonts w:ascii="Arial" w:hAnsi="Arial" w:cs="Arial"/>
          <w:sz w:val="20"/>
        </w:rPr>
        <w:tab/>
      </w:r>
      <w:r w:rsidRPr="00CB0F83">
        <w:rPr>
          <w:rFonts w:ascii="Arial" w:hAnsi="Arial" w:cs="Arial"/>
          <w:b/>
          <w:sz w:val="20"/>
        </w:rPr>
        <w:t>Design team incentives</w:t>
      </w:r>
    </w:p>
    <w:p w:rsidR="00CB0F83" w:rsidRPr="00CB0F83" w:rsidRDefault="00CB0F83" w:rsidP="00CB0F83">
      <w:pPr>
        <w:tabs>
          <w:tab w:val="left" w:pos="720"/>
          <w:tab w:val="left" w:pos="5040"/>
        </w:tabs>
        <w:jc w:val="both"/>
        <w:rPr>
          <w:rFonts w:ascii="Arial" w:hAnsi="Arial" w:cs="Arial"/>
          <w:sz w:val="20"/>
        </w:rPr>
      </w:pPr>
      <w:r>
        <w:rPr>
          <w:rFonts w:ascii="Arial" w:hAnsi="Arial" w:cs="Arial"/>
          <w:sz w:val="20"/>
        </w:rPr>
        <w:tab/>
      </w:r>
      <w:r w:rsidRPr="00CB0F83">
        <w:rPr>
          <w:rFonts w:ascii="Arial" w:hAnsi="Arial" w:cs="Arial"/>
          <w:sz w:val="20"/>
        </w:rPr>
        <w:t xml:space="preserve">Company may offer incentives to a design team member with current professional certification including architects and engineers. Incentives are available per Table 1 and include honorariums and design incentives. </w:t>
      </w:r>
    </w:p>
    <w:p w:rsidR="00CB0F83" w:rsidRPr="00CB0F83" w:rsidRDefault="00CB0F83" w:rsidP="00CB0F83">
      <w:pPr>
        <w:tabs>
          <w:tab w:val="left" w:pos="630"/>
          <w:tab w:val="left" w:pos="5040"/>
        </w:tabs>
        <w:jc w:val="both"/>
        <w:rPr>
          <w:rFonts w:ascii="Arial" w:hAnsi="Arial" w:cs="Arial"/>
          <w:sz w:val="20"/>
        </w:rPr>
      </w:pPr>
    </w:p>
    <w:p w:rsidR="00CB0F83" w:rsidRPr="00CB0F83" w:rsidRDefault="00CB0F83" w:rsidP="00CB0F83">
      <w:pPr>
        <w:tabs>
          <w:tab w:val="left" w:pos="630"/>
          <w:tab w:val="left" w:pos="720"/>
          <w:tab w:val="left" w:pos="5040"/>
        </w:tabs>
        <w:jc w:val="both"/>
        <w:rPr>
          <w:rFonts w:ascii="Arial" w:hAnsi="Arial" w:cs="Arial"/>
          <w:sz w:val="20"/>
        </w:rPr>
      </w:pPr>
      <w:r>
        <w:rPr>
          <w:rFonts w:ascii="Arial" w:hAnsi="Arial" w:cs="Arial"/>
          <w:sz w:val="20"/>
        </w:rPr>
        <w:tab/>
      </w:r>
      <w:r>
        <w:rPr>
          <w:rFonts w:ascii="Arial" w:hAnsi="Arial" w:cs="Arial"/>
          <w:sz w:val="20"/>
        </w:rPr>
        <w:tab/>
      </w:r>
      <w:r w:rsidRPr="00CB0F83">
        <w:rPr>
          <w:rFonts w:ascii="Arial" w:hAnsi="Arial" w:cs="Arial"/>
          <w:sz w:val="20"/>
        </w:rPr>
        <w:t xml:space="preserve">Honorariums are designed to encourage early initial Company consultation on Owner/Customer’s design and plans. Honorariums will be equally available to all professionally certified architects and engineers for Washington projects within Company’s territory and will be limited to one honorarium per project.  </w:t>
      </w:r>
    </w:p>
    <w:p w:rsidR="00CB0F83" w:rsidRPr="00CB0F83" w:rsidRDefault="00CB0F83" w:rsidP="00CB0F83">
      <w:pPr>
        <w:tabs>
          <w:tab w:val="left" w:pos="630"/>
          <w:tab w:val="left" w:pos="5040"/>
        </w:tabs>
        <w:jc w:val="both"/>
        <w:rPr>
          <w:rFonts w:ascii="Arial" w:hAnsi="Arial" w:cs="Arial"/>
          <w:sz w:val="20"/>
        </w:rPr>
      </w:pPr>
    </w:p>
    <w:p w:rsidR="00CB0F83" w:rsidRPr="00CB0F83" w:rsidRDefault="00CB0F83" w:rsidP="00CB0F83">
      <w:pPr>
        <w:tabs>
          <w:tab w:val="left" w:pos="720"/>
          <w:tab w:val="left" w:pos="5040"/>
        </w:tabs>
        <w:jc w:val="both"/>
        <w:rPr>
          <w:rFonts w:ascii="Arial" w:hAnsi="Arial" w:cs="Arial"/>
          <w:sz w:val="20"/>
        </w:rPr>
      </w:pPr>
      <w:r>
        <w:rPr>
          <w:rFonts w:ascii="Arial" w:hAnsi="Arial" w:cs="Arial"/>
          <w:sz w:val="20"/>
        </w:rPr>
        <w:tab/>
      </w:r>
      <w:r w:rsidRPr="00CB0F83">
        <w:rPr>
          <w:rFonts w:ascii="Arial" w:hAnsi="Arial" w:cs="Arial"/>
          <w:sz w:val="20"/>
        </w:rPr>
        <w:t>Design incentives will be offered to all professional certified architects and engineers for Washington projects within Company’s territory. Payment of incentives to the design team will require final construction documents include an efficient design meeting Company requirements. Incentives will be based on the square footage of the project and limited to one per project.</w:t>
      </w:r>
    </w:p>
    <w:p w:rsidR="00CB0F83" w:rsidRPr="00CB0F83" w:rsidRDefault="00CB0F83" w:rsidP="00CB0F83">
      <w:pPr>
        <w:tabs>
          <w:tab w:val="left" w:pos="630"/>
          <w:tab w:val="left" w:pos="5040"/>
        </w:tabs>
        <w:jc w:val="both"/>
        <w:rPr>
          <w:rFonts w:ascii="Arial" w:hAnsi="Arial" w:cs="Arial"/>
          <w:sz w:val="20"/>
        </w:rPr>
      </w:pPr>
    </w:p>
    <w:p w:rsidR="00CB0F83" w:rsidRPr="00CB0F83" w:rsidRDefault="00CB0F83" w:rsidP="00CB0F83">
      <w:pPr>
        <w:tabs>
          <w:tab w:val="left" w:pos="720"/>
          <w:tab w:val="left" w:pos="5040"/>
        </w:tabs>
        <w:jc w:val="both"/>
        <w:rPr>
          <w:rFonts w:ascii="Arial" w:hAnsi="Arial" w:cs="Arial"/>
          <w:sz w:val="20"/>
        </w:rPr>
      </w:pPr>
      <w:r>
        <w:rPr>
          <w:rFonts w:ascii="Arial" w:hAnsi="Arial" w:cs="Arial"/>
          <w:sz w:val="20"/>
        </w:rPr>
        <w:tab/>
      </w:r>
      <w:r w:rsidRPr="00CB0F83">
        <w:rPr>
          <w:rFonts w:ascii="Arial" w:hAnsi="Arial" w:cs="Arial"/>
          <w:sz w:val="20"/>
        </w:rPr>
        <w:t>Additional conditions for design team incentives will be available on the Washington energy efficiency program section of the Company’s web site and may be changed with 45 days notice posted on the web site.</w:t>
      </w:r>
    </w:p>
    <w:p w:rsidR="00CB0F83" w:rsidRPr="00CB0F83" w:rsidRDefault="00CB0F83" w:rsidP="00CB0F83">
      <w:pPr>
        <w:tabs>
          <w:tab w:val="left" w:pos="630"/>
          <w:tab w:val="left" w:pos="5040"/>
        </w:tabs>
        <w:jc w:val="both"/>
        <w:rPr>
          <w:rFonts w:ascii="Arial" w:hAnsi="Arial" w:cs="Arial"/>
          <w:sz w:val="20"/>
        </w:rPr>
      </w:pPr>
    </w:p>
    <w:sectPr w:rsidR="00CB0F83" w:rsidRPr="00CB0F83"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38" w:rsidRDefault="007B3438" w:rsidP="008474F2">
      <w:r>
        <w:separator/>
      </w:r>
    </w:p>
  </w:endnote>
  <w:endnote w:type="continuationSeparator" w:id="0">
    <w:p w:rsidR="007B3438" w:rsidRDefault="007B3438"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F9B" w:rsidRDefault="00EE7F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438" w:rsidRDefault="007B3438"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w:t>
    </w:r>
    <w:r w:rsidR="00EE7F9B">
      <w:rPr>
        <w:rFonts w:ascii="Arial" w:hAnsi="Arial" w:cs="Arial"/>
        <w:sz w:val="20"/>
      </w:rPr>
      <w:t>d</w:t>
    </w:r>
    <w:r>
      <w:rPr>
        <w:rFonts w:ascii="Arial" w:hAnsi="Arial" w:cs="Arial"/>
        <w:sz w:val="20"/>
      </w:rPr>
      <w:t>)</w:t>
    </w:r>
  </w:p>
  <w:p w:rsidR="007B3438" w:rsidRDefault="007B3438" w:rsidP="00087CF7">
    <w:pPr>
      <w:pStyle w:val="Footer"/>
      <w:pBdr>
        <w:bottom w:val="single" w:sz="6" w:space="0" w:color="auto"/>
      </w:pBdr>
      <w:tabs>
        <w:tab w:val="clear" w:pos="4680"/>
      </w:tabs>
      <w:ind w:left="900" w:hanging="900"/>
      <w:jc w:val="center"/>
      <w:rPr>
        <w:rFonts w:ascii="Arial" w:hAnsi="Arial" w:cs="Arial"/>
        <w:sz w:val="20"/>
      </w:rPr>
    </w:pPr>
  </w:p>
  <w:p w:rsidR="005B44A8" w:rsidRDefault="005B44A8" w:rsidP="005B44A8">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4477C9">
      <w:rPr>
        <w:rFonts w:ascii="Arial" w:hAnsi="Arial" w:cs="Arial"/>
        <w:sz w:val="20"/>
      </w:rPr>
      <w:t>May 13</w:t>
    </w:r>
    <w:r>
      <w:rPr>
        <w:rFonts w:ascii="Arial" w:hAnsi="Arial" w:cs="Arial"/>
        <w:sz w:val="20"/>
      </w:rPr>
      <w:t>, 2011</w:t>
    </w:r>
    <w:r>
      <w:rPr>
        <w:rFonts w:ascii="Arial" w:hAnsi="Arial" w:cs="Arial"/>
        <w:sz w:val="20"/>
      </w:rPr>
      <w:tab/>
    </w:r>
    <w:r>
      <w:rPr>
        <w:rFonts w:ascii="Arial" w:hAnsi="Arial" w:cs="Arial"/>
        <w:b/>
        <w:sz w:val="20"/>
      </w:rPr>
      <w:t>Effective:</w:t>
    </w:r>
    <w:r>
      <w:rPr>
        <w:rFonts w:ascii="Arial" w:hAnsi="Arial" w:cs="Arial"/>
        <w:sz w:val="20"/>
      </w:rPr>
      <w:t xml:space="preserve"> </w:t>
    </w:r>
    <w:r w:rsidR="004477C9">
      <w:rPr>
        <w:rFonts w:ascii="Arial" w:hAnsi="Arial" w:cs="Arial"/>
        <w:sz w:val="20"/>
      </w:rPr>
      <w:t>June 13</w:t>
    </w:r>
    <w:r>
      <w:rPr>
        <w:rFonts w:ascii="Arial" w:hAnsi="Arial" w:cs="Arial"/>
        <w:sz w:val="20"/>
      </w:rPr>
      <w:t>, 2011</w:t>
    </w:r>
  </w:p>
  <w:p w:rsidR="007B3438" w:rsidRDefault="007B3438"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4477C9" w:rsidRDefault="004477C9" w:rsidP="004477C9">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7B3438" w:rsidRDefault="007B3438"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7B3438" w:rsidRPr="004043D5" w:rsidRDefault="007B3438"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950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1"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7B3438" w:rsidRDefault="007B3438"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F9B" w:rsidRDefault="00EE7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38" w:rsidRDefault="007B3438" w:rsidP="008474F2">
      <w:r>
        <w:separator/>
      </w:r>
    </w:p>
  </w:footnote>
  <w:footnote w:type="continuationSeparator" w:id="0">
    <w:p w:rsidR="007B3438" w:rsidRDefault="007B3438"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F9B" w:rsidRDefault="008A13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3528" o:spid="_x0000_s10244" type="#_x0000_t136" style="position:absolute;margin-left:0;margin-top:0;width:655.5pt;height:133.5pt;rotation:315;z-index:-251637760;mso-position-horizontal:center;mso-position-horizontal-relative:margin;mso-position-vertical:center;mso-position-vertical-relative:margin" o:allowincell="f" fillcolor="#5a5a5a [2109]" stroked="f">
          <v:textpath style="font-family:&quot;Arial&quot;;font-size:120pt" string="CANCEL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438" w:rsidRPr="00EA0957" w:rsidRDefault="008A139F" w:rsidP="00EA0957">
    <w:pPr>
      <w:pStyle w:val="Header"/>
      <w:tabs>
        <w:tab w:val="clear" w:pos="4680"/>
        <w:tab w:val="right" w:pos="7200"/>
      </w:tabs>
      <w:ind w:right="2160"/>
      <w:rPr>
        <w:rFonts w:ascii="Arial" w:hAnsi="Arial" w:cs="Arial"/>
        <w:b/>
        <w:noProof/>
        <w:sz w:val="24"/>
        <w:szCs w:val="24"/>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3529" o:spid="_x0000_s10245" type="#_x0000_t136" style="position:absolute;margin-left:0;margin-top:0;width:655.5pt;height:133.5pt;rotation:315;z-index:-251635712;mso-position-horizontal:center;mso-position-horizontal-relative:margin;mso-position-vertical:center;mso-position-vertical-relative:margin" o:allowincell="f" fillcolor="#5a5a5a [2109]" stroked="f">
          <v:textpath style="font-family:&quot;Arial&quot;;font-size:120pt" string="CANCELED"/>
        </v:shape>
      </w:pic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5.6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nMbvt4AAAALAQAADwAAAGRycy9kb3ducmV2LnhtbEyPwU7DMAyG70i8&#10;Q2QkLmhLEzQYpe40IXHgyDaJa9aYttA4VZOuZU9PEAc42v70+/uLzew6caIhtJ4R1DIDQVx523KN&#10;cNg/L9YgQjRsTeeZEL4owKa8vChMbv3Er3TaxVqkEA65QWhi7HMpQ9WQM2Hpe+J0e/eDMzGNQy3t&#10;YKYU7jqps+xOOtNy+tCYnp4aqj53o0OgMK5Utn1w9eHlPN286fPH1O8Rr6/m7SOISHP8g+FHP6lD&#10;mZyOfmQbRIdwr1cqoQgLpW5BJOJ3c0TQaq1B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EJzG77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EA0957">
      <w:rPr>
        <w:rFonts w:ascii="Arial" w:hAnsi="Arial" w:cs="Arial"/>
        <w:b/>
        <w:noProof/>
        <w:sz w:val="24"/>
        <w:szCs w:val="24"/>
        <w:lang w:eastAsia="en-US"/>
      </w:rPr>
      <w:t>PACIFIC POWER &amp; LIGHT COMPANY</w:t>
    </w:r>
  </w:p>
  <w:p w:rsidR="007B3438" w:rsidRDefault="007B3438"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B3438" w:rsidRPr="00CD01ED" w:rsidRDefault="007B3438"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B3438" w:rsidRDefault="007B3438" w:rsidP="00A91A21">
    <w:pPr>
      <w:tabs>
        <w:tab w:val="left" w:pos="7200"/>
      </w:tabs>
      <w:ind w:right="2160"/>
      <w:jc w:val="right"/>
      <w:rPr>
        <w:rFonts w:ascii="Arial" w:hAnsi="Arial" w:cs="Arial"/>
        <w:sz w:val="20"/>
      </w:rPr>
    </w:pPr>
  </w:p>
  <w:p w:rsidR="007B3438" w:rsidRDefault="007B3438" w:rsidP="00A91A21">
    <w:pPr>
      <w:tabs>
        <w:tab w:val="left" w:pos="7200"/>
      </w:tabs>
      <w:ind w:right="2160"/>
      <w:jc w:val="right"/>
      <w:rPr>
        <w:rFonts w:ascii="Arial" w:hAnsi="Arial" w:cs="Arial"/>
        <w:sz w:val="20"/>
      </w:rPr>
    </w:pPr>
    <w:r>
      <w:rPr>
        <w:rFonts w:ascii="Arial" w:hAnsi="Arial" w:cs="Arial"/>
        <w:sz w:val="20"/>
      </w:rPr>
      <w:t>Original Sheet No. 125</w:t>
    </w:r>
    <w:r w:rsidR="00CB0F83">
      <w:rPr>
        <w:rFonts w:ascii="Arial" w:hAnsi="Arial" w:cs="Arial"/>
        <w:sz w:val="20"/>
      </w:rPr>
      <w:t>.6</w:t>
    </w:r>
  </w:p>
  <w:p w:rsidR="007B3438" w:rsidRDefault="007B3438">
    <w:pPr>
      <w:rPr>
        <w:rFonts w:ascii="Arial" w:hAnsi="Arial" w:cs="Arial"/>
        <w:sz w:val="20"/>
      </w:rPr>
    </w:pPr>
    <w:r>
      <w:rPr>
        <w:rFonts w:ascii="Arial" w:hAnsi="Arial" w:cs="Arial"/>
        <w:sz w:val="20"/>
      </w:rPr>
      <w:tab/>
    </w:r>
  </w:p>
  <w:p w:rsidR="007B3438" w:rsidRPr="00CF64E6" w:rsidRDefault="007B3438" w:rsidP="00A91A21">
    <w:pPr>
      <w:tabs>
        <w:tab w:val="left" w:pos="7200"/>
      </w:tabs>
      <w:ind w:right="2160"/>
      <w:rPr>
        <w:rFonts w:ascii="Arial" w:hAnsi="Arial" w:cs="Arial"/>
        <w:b/>
        <w:sz w:val="24"/>
        <w:szCs w:val="24"/>
      </w:rPr>
    </w:pPr>
    <w:r>
      <w:rPr>
        <w:rFonts w:ascii="Arial" w:hAnsi="Arial" w:cs="Arial"/>
        <w:b/>
        <w:sz w:val="24"/>
        <w:szCs w:val="24"/>
      </w:rPr>
      <w:t>Schedule 125</w:t>
    </w:r>
  </w:p>
  <w:p w:rsidR="007B3438" w:rsidRDefault="007B3438" w:rsidP="009B779C">
    <w:pPr>
      <w:pBdr>
        <w:bottom w:val="single" w:sz="12" w:space="1" w:color="auto"/>
      </w:pBdr>
      <w:rPr>
        <w:rFonts w:ascii="Arial" w:hAnsi="Arial" w:cs="Arial"/>
        <w:b/>
        <w:sz w:val="20"/>
      </w:rPr>
    </w:pPr>
    <w:r>
      <w:rPr>
        <w:rFonts w:ascii="Arial" w:hAnsi="Arial" w:cs="Arial"/>
        <w:b/>
        <w:sz w:val="20"/>
      </w:rPr>
      <w:t>COMMERCIAL &amp; INDUSTRIAL ENERGY SERVICES – OPTIONAL FOR</w:t>
    </w:r>
  </w:p>
  <w:p w:rsidR="007B3438" w:rsidRPr="009B779C" w:rsidRDefault="007B3438" w:rsidP="009B779C">
    <w:pPr>
      <w:pBdr>
        <w:bottom w:val="single" w:sz="12" w:space="1" w:color="auto"/>
      </w:pBdr>
      <w:rPr>
        <w:rFonts w:ascii="Arial" w:hAnsi="Arial" w:cs="Arial"/>
        <w:b/>
        <w:sz w:val="20"/>
      </w:rPr>
    </w:pPr>
    <w:r>
      <w:rPr>
        <w:rFonts w:ascii="Arial" w:hAnsi="Arial" w:cs="Arial"/>
        <w:b/>
        <w:sz w:val="20"/>
      </w:rPr>
      <w:t>QUALIFYING CUSTOMERS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F9B" w:rsidRDefault="008A13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3527" o:spid="_x0000_s10243" type="#_x0000_t136" style="position:absolute;margin-left:0;margin-top:0;width:655.5pt;height:133.5pt;rotation:315;z-index:-251639808;mso-position-horizontal:center;mso-position-horizontal-relative:margin;mso-position-vertical:center;mso-position-vertical-relative:margin" o:allowincell="f" fillcolor="#5a5a5a [2109]" stroked="f">
          <v:textpath style="font-family:&quot;Arial&quot;;font-size:120pt" string="CANCEL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0430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62734B"/>
    <w:multiLevelType w:val="singleLevel"/>
    <w:tmpl w:val="B52A972C"/>
    <w:lvl w:ilvl="0">
      <w:start w:val="1"/>
      <w:numFmt w:val="lowerLetter"/>
      <w:lvlText w:val="(%1)"/>
      <w:lvlJc w:val="left"/>
      <w:pPr>
        <w:tabs>
          <w:tab w:val="num" w:pos="720"/>
        </w:tabs>
        <w:ind w:left="720" w:hanging="360"/>
      </w:pPr>
      <w:rPr>
        <w:rFonts w:hint="default"/>
      </w:rPr>
    </w:lvl>
  </w:abstractNum>
  <w:abstractNum w:abstractNumId="6">
    <w:nsid w:val="1C7E504C"/>
    <w:multiLevelType w:val="singleLevel"/>
    <w:tmpl w:val="8C52AD10"/>
    <w:lvl w:ilvl="0">
      <w:start w:val="4"/>
      <w:numFmt w:val="decimal"/>
      <w:lvlText w:val="(%1)"/>
      <w:lvlJc w:val="left"/>
      <w:pPr>
        <w:tabs>
          <w:tab w:val="num" w:pos="360"/>
        </w:tabs>
        <w:ind w:left="360" w:hanging="360"/>
      </w:pPr>
      <w:rPr>
        <w:rFonts w:hint="default"/>
        <w:b w:val="0"/>
      </w:rPr>
    </w:lvl>
  </w:abstractNum>
  <w:abstractNum w:abstractNumId="7">
    <w:nsid w:val="26EE2841"/>
    <w:multiLevelType w:val="hybridMultilevel"/>
    <w:tmpl w:val="09B2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9625A1"/>
    <w:multiLevelType w:val="hybridMultilevel"/>
    <w:tmpl w:val="1A9AEE68"/>
    <w:lvl w:ilvl="0" w:tplc="914A6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11">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2">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AFE4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3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15"/>
  </w:num>
  <w:num w:numId="5">
    <w:abstractNumId w:val="10"/>
  </w:num>
  <w:num w:numId="6">
    <w:abstractNumId w:val="12"/>
  </w:num>
  <w:num w:numId="7">
    <w:abstractNumId w:val="3"/>
  </w:num>
  <w:num w:numId="8">
    <w:abstractNumId w:val="17"/>
  </w:num>
  <w:num w:numId="9">
    <w:abstractNumId w:val="0"/>
  </w:num>
  <w:num w:numId="10">
    <w:abstractNumId w:val="9"/>
  </w:num>
  <w:num w:numId="11">
    <w:abstractNumId w:val="11"/>
  </w:num>
  <w:num w:numId="12">
    <w:abstractNumId w:val="18"/>
  </w:num>
  <w:num w:numId="13">
    <w:abstractNumId w:val="5"/>
  </w:num>
  <w:num w:numId="14">
    <w:abstractNumId w:val="6"/>
  </w:num>
  <w:num w:numId="15">
    <w:abstractNumId w:val="8"/>
  </w:num>
  <w:num w:numId="16">
    <w:abstractNumId w:val="4"/>
  </w:num>
  <w:num w:numId="17">
    <w:abstractNumId w:val="1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6"/>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7B45"/>
    <w:rsid w:val="000760A1"/>
    <w:rsid w:val="00087CF7"/>
    <w:rsid w:val="000A0FF1"/>
    <w:rsid w:val="000B36F4"/>
    <w:rsid w:val="000C75B6"/>
    <w:rsid w:val="000E3B96"/>
    <w:rsid w:val="000F29F0"/>
    <w:rsid w:val="00113567"/>
    <w:rsid w:val="00135716"/>
    <w:rsid w:val="001360F4"/>
    <w:rsid w:val="001522E7"/>
    <w:rsid w:val="001620F1"/>
    <w:rsid w:val="00162DE3"/>
    <w:rsid w:val="00172D01"/>
    <w:rsid w:val="001A2436"/>
    <w:rsid w:val="001C0F5B"/>
    <w:rsid w:val="001D4F15"/>
    <w:rsid w:val="001F19AC"/>
    <w:rsid w:val="001F372F"/>
    <w:rsid w:val="00204381"/>
    <w:rsid w:val="00205735"/>
    <w:rsid w:val="00257BDC"/>
    <w:rsid w:val="00266E07"/>
    <w:rsid w:val="002739D8"/>
    <w:rsid w:val="00293B3C"/>
    <w:rsid w:val="002972ED"/>
    <w:rsid w:val="002B1262"/>
    <w:rsid w:val="002C1B76"/>
    <w:rsid w:val="002C79BC"/>
    <w:rsid w:val="002D40E8"/>
    <w:rsid w:val="002E41E4"/>
    <w:rsid w:val="002E6C6E"/>
    <w:rsid w:val="00322467"/>
    <w:rsid w:val="00341521"/>
    <w:rsid w:val="0034455A"/>
    <w:rsid w:val="003960AD"/>
    <w:rsid w:val="0039748F"/>
    <w:rsid w:val="003C2525"/>
    <w:rsid w:val="003F72C1"/>
    <w:rsid w:val="004028C8"/>
    <w:rsid w:val="004043D5"/>
    <w:rsid w:val="00416A6E"/>
    <w:rsid w:val="00422D71"/>
    <w:rsid w:val="0044364A"/>
    <w:rsid w:val="004477C9"/>
    <w:rsid w:val="00457B71"/>
    <w:rsid w:val="00464C7E"/>
    <w:rsid w:val="004659AC"/>
    <w:rsid w:val="004756BD"/>
    <w:rsid w:val="00490AF3"/>
    <w:rsid w:val="004A30F3"/>
    <w:rsid w:val="004A52F7"/>
    <w:rsid w:val="004B1617"/>
    <w:rsid w:val="004C35F1"/>
    <w:rsid w:val="004C3D14"/>
    <w:rsid w:val="004C5FE8"/>
    <w:rsid w:val="00534D32"/>
    <w:rsid w:val="005369F8"/>
    <w:rsid w:val="00546A05"/>
    <w:rsid w:val="00555712"/>
    <w:rsid w:val="00564506"/>
    <w:rsid w:val="00577682"/>
    <w:rsid w:val="00580EC3"/>
    <w:rsid w:val="00583749"/>
    <w:rsid w:val="00590227"/>
    <w:rsid w:val="00595BAA"/>
    <w:rsid w:val="005A1156"/>
    <w:rsid w:val="005B44A8"/>
    <w:rsid w:val="005C397C"/>
    <w:rsid w:val="005C79F4"/>
    <w:rsid w:val="005E008E"/>
    <w:rsid w:val="005E1B04"/>
    <w:rsid w:val="005E29DE"/>
    <w:rsid w:val="005F64B9"/>
    <w:rsid w:val="005F7880"/>
    <w:rsid w:val="00622B69"/>
    <w:rsid w:val="006638F3"/>
    <w:rsid w:val="00683DDC"/>
    <w:rsid w:val="006840B0"/>
    <w:rsid w:val="0068713C"/>
    <w:rsid w:val="006A266F"/>
    <w:rsid w:val="006E1287"/>
    <w:rsid w:val="006E402A"/>
    <w:rsid w:val="006E424F"/>
    <w:rsid w:val="00710518"/>
    <w:rsid w:val="00716B4A"/>
    <w:rsid w:val="0072316D"/>
    <w:rsid w:val="00746611"/>
    <w:rsid w:val="007504BF"/>
    <w:rsid w:val="0077488B"/>
    <w:rsid w:val="007854E0"/>
    <w:rsid w:val="0079024E"/>
    <w:rsid w:val="00790CE2"/>
    <w:rsid w:val="007B01F4"/>
    <w:rsid w:val="007B1728"/>
    <w:rsid w:val="007B3438"/>
    <w:rsid w:val="007B7A3F"/>
    <w:rsid w:val="007E0BC7"/>
    <w:rsid w:val="007F06C3"/>
    <w:rsid w:val="007F6029"/>
    <w:rsid w:val="008119C5"/>
    <w:rsid w:val="00813698"/>
    <w:rsid w:val="00823ACF"/>
    <w:rsid w:val="008474F2"/>
    <w:rsid w:val="008766A2"/>
    <w:rsid w:val="00876B56"/>
    <w:rsid w:val="00886645"/>
    <w:rsid w:val="00897348"/>
    <w:rsid w:val="008A139F"/>
    <w:rsid w:val="008A77C7"/>
    <w:rsid w:val="008E7364"/>
    <w:rsid w:val="00920A5D"/>
    <w:rsid w:val="009421D3"/>
    <w:rsid w:val="00975D61"/>
    <w:rsid w:val="009B13B6"/>
    <w:rsid w:val="009B1635"/>
    <w:rsid w:val="009B59D6"/>
    <w:rsid w:val="009B779C"/>
    <w:rsid w:val="009E0C82"/>
    <w:rsid w:val="00A261ED"/>
    <w:rsid w:val="00A43A23"/>
    <w:rsid w:val="00A75844"/>
    <w:rsid w:val="00A84ABB"/>
    <w:rsid w:val="00A91A21"/>
    <w:rsid w:val="00AA4FC3"/>
    <w:rsid w:val="00AA6EAF"/>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C0493E"/>
    <w:rsid w:val="00C210FD"/>
    <w:rsid w:val="00C2540C"/>
    <w:rsid w:val="00C31B67"/>
    <w:rsid w:val="00C41C7D"/>
    <w:rsid w:val="00C60F7D"/>
    <w:rsid w:val="00C84F36"/>
    <w:rsid w:val="00C91131"/>
    <w:rsid w:val="00CB0F83"/>
    <w:rsid w:val="00CC1A53"/>
    <w:rsid w:val="00CD01ED"/>
    <w:rsid w:val="00CE6692"/>
    <w:rsid w:val="00CF4970"/>
    <w:rsid w:val="00CF64E6"/>
    <w:rsid w:val="00D23AB3"/>
    <w:rsid w:val="00D313E0"/>
    <w:rsid w:val="00D45A57"/>
    <w:rsid w:val="00D60206"/>
    <w:rsid w:val="00D716A6"/>
    <w:rsid w:val="00D932B5"/>
    <w:rsid w:val="00DA1394"/>
    <w:rsid w:val="00DB2070"/>
    <w:rsid w:val="00DE2657"/>
    <w:rsid w:val="00DE409D"/>
    <w:rsid w:val="00E13A5F"/>
    <w:rsid w:val="00E44254"/>
    <w:rsid w:val="00E52C0F"/>
    <w:rsid w:val="00E53EC5"/>
    <w:rsid w:val="00E84454"/>
    <w:rsid w:val="00E86C83"/>
    <w:rsid w:val="00EA0957"/>
    <w:rsid w:val="00EE629E"/>
    <w:rsid w:val="00EE6CB1"/>
    <w:rsid w:val="00EE6E21"/>
    <w:rsid w:val="00EE7F9B"/>
    <w:rsid w:val="00EF6074"/>
    <w:rsid w:val="00F07160"/>
    <w:rsid w:val="00F12645"/>
    <w:rsid w:val="00F22A4C"/>
    <w:rsid w:val="00F30DDC"/>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paragraph" w:customStyle="1" w:styleId="Table">
    <w:name w:val="Table"/>
    <w:basedOn w:val="Normal"/>
    <w:rsid w:val="00F22A4C"/>
    <w:pPr>
      <w:spacing w:after="120"/>
    </w:pPr>
    <w:rPr>
      <w:rFonts w:ascii="Arial Narrow" w:hAnsi="Arial Narrow"/>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paragraph" w:customStyle="1" w:styleId="Table">
    <w:name w:val="Table"/>
    <w:basedOn w:val="Normal"/>
    <w:rsid w:val="00F22A4C"/>
    <w:pPr>
      <w:spacing w:after="120"/>
    </w:pPr>
    <w:rPr>
      <w:rFonts w:ascii="Arial Narrow" w:hAnsi="Arial Narrow"/>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201657">
      <w:bodyDiv w:val="1"/>
      <w:marLeft w:val="0"/>
      <w:marRight w:val="0"/>
      <w:marTop w:val="0"/>
      <w:marBottom w:val="0"/>
      <w:divBdr>
        <w:top w:val="none" w:sz="0" w:space="0" w:color="auto"/>
        <w:left w:val="none" w:sz="0" w:space="0" w:color="auto"/>
        <w:bottom w:val="none" w:sz="0" w:space="0" w:color="auto"/>
        <w:right w:val="none" w:sz="0" w:space="0" w:color="auto"/>
      </w:divBdr>
    </w:div>
    <w:div w:id="16792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2013-11-12T08:00:00+00:00</OpenedDate>
    <Date1 xmlns="dc463f71-b30c-4ab2-9473-d307f9d35888">2013-11-12T08:00:00+00:00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7C0586A89A94783BF854927FF99D1" ma:contentTypeVersion="135" ma:contentTypeDescription="" ma:contentTypeScope="" ma:versionID="9040b91c1bae61bfb532c6a11f06c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3FBE9-3085-4FA8-B575-74085C091D01}"/>
</file>

<file path=customXml/itemProps2.xml><?xml version="1.0" encoding="utf-8"?>
<ds:datastoreItem xmlns:ds="http://schemas.openxmlformats.org/officeDocument/2006/customXml" ds:itemID="{1CF8D2A9-F0A9-41DB-9B98-CA0A0887C4FC}"/>
</file>

<file path=customXml/itemProps3.xml><?xml version="1.0" encoding="utf-8"?>
<ds:datastoreItem xmlns:ds="http://schemas.openxmlformats.org/officeDocument/2006/customXml" ds:itemID="{19E73730-80AA-4A5B-8690-3672D38FB8F4}"/>
</file>

<file path=customXml/itemProps4.xml><?xml version="1.0" encoding="utf-8"?>
<ds:datastoreItem xmlns:ds="http://schemas.openxmlformats.org/officeDocument/2006/customXml" ds:itemID="{E7269075-9652-4AFB-811B-CB9876C2802D}"/>
</file>

<file path=customXml/itemProps5.xml><?xml version="1.0" encoding="utf-8"?>
<ds:datastoreItem xmlns:ds="http://schemas.openxmlformats.org/officeDocument/2006/customXml" ds:itemID="{5A117909-41FA-4245-8F67-A335AAC92497}"/>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Eissler</cp:lastModifiedBy>
  <cp:revision>2</cp:revision>
  <cp:lastPrinted>2011-04-06T22:22:00Z</cp:lastPrinted>
  <dcterms:created xsi:type="dcterms:W3CDTF">2013-11-04T21:17:00Z</dcterms:created>
  <dcterms:modified xsi:type="dcterms:W3CDTF">2013-11-04T21:17:00Z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0x0101006E56B4D1795A2E4DB2F0B01679ED314A001AA7C0586A89A94783BF854927FF99D1</vt:lpwstr>
  </property>
  <property fmtid="{D5CDD505-2E9C-101B-9397-08002B2CF9AE}" pid="3" name="_docset_NoMedatataSyncRequired">
    <vt:lpwstr>False</vt:lpwstr>
  </property>
</Properties>
</file>