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08" w:rsidRPr="00940222" w:rsidRDefault="00EF6E08" w:rsidP="00EF6E08">
      <w:pPr>
        <w:pStyle w:val="Heading2"/>
        <w:ind w:right="-360"/>
        <w:rPr>
          <w:b/>
          <w:sz w:val="25"/>
          <w:szCs w:val="25"/>
          <w:u w:val="none"/>
        </w:rPr>
      </w:pPr>
      <w:r w:rsidRPr="00940222">
        <w:rPr>
          <w:b/>
          <w:sz w:val="25"/>
          <w:szCs w:val="25"/>
          <w:u w:val="none"/>
        </w:rPr>
        <w:t xml:space="preserve">BEFORE THE WASHINGTON </w:t>
      </w:r>
    </w:p>
    <w:p w:rsidR="00EF6E08" w:rsidRPr="00940222" w:rsidRDefault="00EF6E08" w:rsidP="00EF6E08">
      <w:pPr>
        <w:pStyle w:val="Heading2"/>
        <w:ind w:right="-360"/>
        <w:rPr>
          <w:b/>
          <w:bCs/>
          <w:sz w:val="25"/>
          <w:szCs w:val="25"/>
          <w:u w:val="none"/>
        </w:rPr>
      </w:pPr>
      <w:r w:rsidRPr="00940222">
        <w:rPr>
          <w:b/>
          <w:sz w:val="25"/>
          <w:szCs w:val="25"/>
          <w:u w:val="none"/>
        </w:rPr>
        <w:t>UTILITIES AND TRANSPORTATION COMMISSION</w:t>
      </w:r>
    </w:p>
    <w:p w:rsidR="00EF6E08" w:rsidRPr="00940222" w:rsidRDefault="00EF6E08" w:rsidP="00EF6E08">
      <w:pPr>
        <w:pStyle w:val="Heading2"/>
        <w:ind w:right="-360"/>
        <w:rPr>
          <w:b/>
          <w:bCs/>
          <w:sz w:val="25"/>
          <w:szCs w:val="25"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940222" w:rsidTr="006F687D">
        <w:tc>
          <w:tcPr>
            <w:tcW w:w="4068" w:type="dxa"/>
          </w:tcPr>
          <w:p w:rsidR="00EF6E08" w:rsidRPr="00940222" w:rsidRDefault="00EF6E08" w:rsidP="006F687D">
            <w:pPr>
              <w:pStyle w:val="Heading2"/>
              <w:ind w:right="-360"/>
              <w:jc w:val="left"/>
              <w:rPr>
                <w:bCs/>
                <w:sz w:val="25"/>
                <w:szCs w:val="25"/>
                <w:u w:val="none"/>
              </w:rPr>
            </w:pPr>
            <w:r w:rsidRPr="00940222">
              <w:rPr>
                <w:bCs/>
                <w:sz w:val="25"/>
                <w:szCs w:val="25"/>
                <w:u w:val="none"/>
              </w:rPr>
              <w:t>In the Matter of the Petition of</w:t>
            </w:r>
          </w:p>
          <w:p w:rsidR="00EF6E08" w:rsidRPr="00940222" w:rsidRDefault="00EF6E08" w:rsidP="00EF6E08">
            <w:pPr>
              <w:rPr>
                <w:sz w:val="25"/>
                <w:szCs w:val="25"/>
              </w:rPr>
            </w:pPr>
          </w:p>
          <w:p w:rsidR="00EF6E08" w:rsidRPr="00940222" w:rsidRDefault="00DC6722" w:rsidP="00EF6E08">
            <w:pPr>
              <w:rPr>
                <w:sz w:val="25"/>
                <w:szCs w:val="25"/>
              </w:rPr>
            </w:pPr>
            <w:r w:rsidRPr="00940222">
              <w:rPr>
                <w:sz w:val="25"/>
                <w:szCs w:val="25"/>
              </w:rPr>
              <w:fldChar w:fldCharType="begin"/>
            </w:r>
            <w:r w:rsidRPr="00940222">
              <w:rPr>
                <w:sz w:val="25"/>
                <w:szCs w:val="25"/>
              </w:rPr>
              <w:instrText xml:space="preserve"> ASK company1_name "Enter Full Company 1 Name</w:instrText>
            </w:r>
            <w:r w:rsidRPr="00940222">
              <w:rPr>
                <w:sz w:val="25"/>
                <w:szCs w:val="25"/>
              </w:rPr>
              <w:fldChar w:fldCharType="separate"/>
            </w:r>
            <w:bookmarkStart w:id="0" w:name="company1_name"/>
            <w:r w:rsidR="0078429A" w:rsidRPr="00940222">
              <w:rPr>
                <w:sz w:val="25"/>
                <w:szCs w:val="25"/>
              </w:rPr>
              <w:t>Company 1</w:t>
            </w:r>
            <w:bookmarkEnd w:id="0"/>
            <w:r w:rsidRPr="00940222">
              <w:rPr>
                <w:sz w:val="25"/>
                <w:szCs w:val="25"/>
              </w:rPr>
              <w:fldChar w:fldCharType="end"/>
            </w:r>
            <w:r w:rsidR="00EF1A23" w:rsidRPr="00940222">
              <w:rPr>
                <w:sz w:val="25"/>
                <w:szCs w:val="25"/>
              </w:rPr>
              <w:t>Qwest Corporation d/b/a CenturyLink QC</w:t>
            </w:r>
          </w:p>
          <w:p w:rsidR="00EF6E08" w:rsidRPr="00940222" w:rsidRDefault="00EF6E08" w:rsidP="00EF6E08">
            <w:pPr>
              <w:rPr>
                <w:sz w:val="25"/>
                <w:szCs w:val="25"/>
              </w:rPr>
            </w:pPr>
          </w:p>
          <w:p w:rsidR="00EF6E08" w:rsidRDefault="00EF6E08" w:rsidP="00EF6E08">
            <w:pPr>
              <w:rPr>
                <w:sz w:val="25"/>
                <w:szCs w:val="25"/>
              </w:rPr>
            </w:pPr>
            <w:r w:rsidRPr="00940222">
              <w:rPr>
                <w:sz w:val="25"/>
                <w:szCs w:val="25"/>
              </w:rPr>
              <w:t xml:space="preserve">                 Petitioner,</w:t>
            </w:r>
          </w:p>
          <w:p w:rsidR="00A07632" w:rsidRDefault="00A07632" w:rsidP="00EF6E08">
            <w:pPr>
              <w:rPr>
                <w:sz w:val="25"/>
                <w:szCs w:val="25"/>
              </w:rPr>
            </w:pPr>
          </w:p>
          <w:p w:rsidR="00EF6E08" w:rsidRPr="00940222" w:rsidRDefault="00251EE5" w:rsidP="008044CC">
            <w:pPr>
              <w:ind w:right="-19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</w:t>
            </w:r>
            <w:r w:rsidR="00EF6E08" w:rsidRPr="00940222">
              <w:rPr>
                <w:sz w:val="25"/>
                <w:szCs w:val="25"/>
              </w:rPr>
              <w:t xml:space="preserve">eeking </w:t>
            </w:r>
            <w:r w:rsidR="00EF1A23" w:rsidRPr="00940222">
              <w:rPr>
                <w:sz w:val="25"/>
                <w:szCs w:val="25"/>
              </w:rPr>
              <w:t xml:space="preserve">Partial </w:t>
            </w:r>
            <w:r w:rsidR="00EF6E08" w:rsidRPr="00940222">
              <w:rPr>
                <w:sz w:val="25"/>
                <w:szCs w:val="25"/>
              </w:rPr>
              <w:t>Exemption from t</w:t>
            </w:r>
            <w:r w:rsidR="00EF1A23" w:rsidRPr="00940222">
              <w:rPr>
                <w:sz w:val="25"/>
                <w:szCs w:val="25"/>
              </w:rPr>
              <w:t>he Provisions of WAC 480-120-161(2)</w:t>
            </w:r>
            <w:r w:rsidR="00EF6E08" w:rsidRPr="00940222">
              <w:rPr>
                <w:sz w:val="25"/>
                <w:szCs w:val="25"/>
              </w:rPr>
              <w:t xml:space="preserve"> </w:t>
            </w:r>
          </w:p>
          <w:p w:rsidR="00EF6E08" w:rsidRPr="00940222" w:rsidRDefault="00EF6E08" w:rsidP="001D592B">
            <w:pPr>
              <w:pStyle w:val="Header"/>
              <w:tabs>
                <w:tab w:val="clear" w:pos="4320"/>
                <w:tab w:val="clear" w:pos="8640"/>
              </w:tabs>
              <w:rPr>
                <w:sz w:val="25"/>
                <w:szCs w:val="25"/>
              </w:rPr>
            </w:pPr>
            <w:r w:rsidRPr="00940222">
              <w:rPr>
                <w:sz w:val="25"/>
                <w:szCs w:val="25"/>
              </w:rPr>
              <w:t>. . . . . . . . . . . . . . . . . . . . . . . . . . . . . . .</w:t>
            </w:r>
            <w:r w:rsidR="00D81F93">
              <w:rPr>
                <w:sz w:val="25"/>
                <w:szCs w:val="25"/>
              </w:rPr>
              <w:t xml:space="preserve"> </w:t>
            </w:r>
            <w:r w:rsidRPr="00940222">
              <w:rPr>
                <w:sz w:val="25"/>
                <w:szCs w:val="25"/>
              </w:rPr>
              <w:t xml:space="preserve"> </w:t>
            </w:r>
          </w:p>
        </w:tc>
        <w:tc>
          <w:tcPr>
            <w:tcW w:w="540" w:type="dxa"/>
          </w:tcPr>
          <w:p w:rsidR="00EF6E08" w:rsidRPr="00940222" w:rsidRDefault="00EF6E08" w:rsidP="006F687D">
            <w:pPr>
              <w:pStyle w:val="Heading2"/>
              <w:ind w:right="-360"/>
              <w:jc w:val="left"/>
              <w:rPr>
                <w:bCs/>
                <w:sz w:val="25"/>
                <w:szCs w:val="25"/>
                <w:u w:val="none"/>
              </w:rPr>
            </w:pPr>
            <w:r w:rsidRPr="00940222">
              <w:rPr>
                <w:bCs/>
                <w:sz w:val="25"/>
                <w:szCs w:val="25"/>
                <w:u w:val="none"/>
              </w:rPr>
              <w:t>)</w:t>
            </w:r>
            <w:r w:rsidRPr="00940222">
              <w:rPr>
                <w:bCs/>
                <w:sz w:val="25"/>
                <w:szCs w:val="25"/>
                <w:u w:val="none"/>
              </w:rPr>
              <w:br/>
              <w:t>)</w:t>
            </w:r>
            <w:r w:rsidRPr="00940222">
              <w:rPr>
                <w:bCs/>
                <w:sz w:val="25"/>
                <w:szCs w:val="25"/>
                <w:u w:val="none"/>
              </w:rPr>
              <w:br/>
              <w:t>)</w:t>
            </w:r>
            <w:r w:rsidRPr="00940222">
              <w:rPr>
                <w:bCs/>
                <w:sz w:val="25"/>
                <w:szCs w:val="25"/>
                <w:u w:val="none"/>
              </w:rPr>
              <w:br/>
              <w:t>)</w:t>
            </w:r>
            <w:r w:rsidRPr="00940222">
              <w:rPr>
                <w:bCs/>
                <w:sz w:val="25"/>
                <w:szCs w:val="25"/>
                <w:u w:val="none"/>
              </w:rPr>
              <w:br/>
              <w:t>)</w:t>
            </w:r>
          </w:p>
          <w:p w:rsidR="008044CC" w:rsidRDefault="00EF6E08">
            <w:pPr>
              <w:rPr>
                <w:sz w:val="25"/>
                <w:szCs w:val="25"/>
              </w:rPr>
            </w:pPr>
            <w:r w:rsidRPr="00940222">
              <w:rPr>
                <w:sz w:val="25"/>
                <w:szCs w:val="25"/>
              </w:rPr>
              <w:t>)</w:t>
            </w:r>
            <w:r w:rsidRPr="00940222">
              <w:rPr>
                <w:sz w:val="25"/>
                <w:szCs w:val="25"/>
              </w:rPr>
              <w:br/>
              <w:t>)</w:t>
            </w:r>
            <w:r w:rsidRPr="00940222">
              <w:rPr>
                <w:sz w:val="25"/>
                <w:szCs w:val="25"/>
              </w:rPr>
              <w:br/>
              <w:t>)</w:t>
            </w:r>
            <w:r w:rsidRPr="00940222">
              <w:rPr>
                <w:sz w:val="25"/>
                <w:szCs w:val="25"/>
              </w:rPr>
              <w:br/>
              <w:t>)</w:t>
            </w:r>
          </w:p>
          <w:p w:rsidR="00EF6E08" w:rsidRPr="008044CC" w:rsidRDefault="008044CC" w:rsidP="00FA6C3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  <w:bookmarkStart w:id="1" w:name="_GoBack"/>
            <w:bookmarkEnd w:id="1"/>
          </w:p>
        </w:tc>
        <w:tc>
          <w:tcPr>
            <w:tcW w:w="4248" w:type="dxa"/>
          </w:tcPr>
          <w:p w:rsidR="00EF6E08" w:rsidRPr="00940222" w:rsidRDefault="000A1AA6" w:rsidP="006F687D">
            <w:pPr>
              <w:pStyle w:val="Heading2"/>
              <w:ind w:right="-360"/>
              <w:jc w:val="left"/>
              <w:rPr>
                <w:bCs/>
                <w:sz w:val="25"/>
                <w:szCs w:val="25"/>
                <w:u w:val="none"/>
              </w:rPr>
            </w:pPr>
            <w:r w:rsidRPr="00940222">
              <w:rPr>
                <w:bCs/>
                <w:sz w:val="25"/>
                <w:szCs w:val="25"/>
                <w:u w:val="none"/>
              </w:rPr>
              <w:t>DOCKET</w:t>
            </w:r>
            <w:r w:rsidR="00EF6E08" w:rsidRPr="00940222">
              <w:rPr>
                <w:bCs/>
                <w:sz w:val="25"/>
                <w:szCs w:val="25"/>
                <w:u w:val="none"/>
              </w:rPr>
              <w:t xml:space="preserve"> </w:t>
            </w:r>
            <w:r w:rsidR="00DC6722" w:rsidRPr="00940222">
              <w:rPr>
                <w:bCs/>
                <w:sz w:val="25"/>
                <w:szCs w:val="25"/>
                <w:u w:val="none"/>
              </w:rPr>
              <w:fldChar w:fldCharType="begin"/>
            </w:r>
            <w:r w:rsidR="00DC6722" w:rsidRPr="00940222">
              <w:rPr>
                <w:bCs/>
                <w:sz w:val="25"/>
                <w:szCs w:val="25"/>
                <w:u w:val="none"/>
              </w:rPr>
              <w:instrText xml:space="preserve"> ASK docket_no "Enter Docket Number using XX=XXXXXX Format</w:instrText>
            </w:r>
            <w:r w:rsidR="00DC6722" w:rsidRPr="00940222">
              <w:rPr>
                <w:bCs/>
                <w:sz w:val="25"/>
                <w:szCs w:val="25"/>
                <w:u w:val="none"/>
              </w:rPr>
              <w:fldChar w:fldCharType="separate"/>
            </w:r>
            <w:bookmarkStart w:id="2" w:name="docket_no"/>
            <w:r w:rsidR="0078429A" w:rsidRPr="00940222">
              <w:rPr>
                <w:bCs/>
                <w:sz w:val="25"/>
                <w:szCs w:val="25"/>
                <w:u w:val="none"/>
              </w:rPr>
              <w:t>UT-030000</w:t>
            </w:r>
            <w:bookmarkEnd w:id="2"/>
            <w:r w:rsidR="00DC6722" w:rsidRPr="00940222">
              <w:rPr>
                <w:bCs/>
                <w:sz w:val="25"/>
                <w:szCs w:val="25"/>
                <w:u w:val="none"/>
              </w:rPr>
              <w:fldChar w:fldCharType="end"/>
            </w:r>
            <w:r w:rsidR="00D95F95">
              <w:rPr>
                <w:bCs/>
                <w:sz w:val="25"/>
                <w:szCs w:val="25"/>
                <w:u w:val="none"/>
              </w:rPr>
              <w:t>UT-130701</w:t>
            </w:r>
          </w:p>
          <w:p w:rsidR="00EF6E08" w:rsidRPr="00940222" w:rsidRDefault="00EF6E08" w:rsidP="00EF6E08">
            <w:pPr>
              <w:rPr>
                <w:sz w:val="25"/>
                <w:szCs w:val="25"/>
              </w:rPr>
            </w:pPr>
          </w:p>
          <w:p w:rsidR="00EF6E08" w:rsidRPr="00940222" w:rsidRDefault="00255EBE" w:rsidP="00EF6E08">
            <w:pPr>
              <w:rPr>
                <w:sz w:val="25"/>
                <w:szCs w:val="25"/>
              </w:rPr>
            </w:pPr>
            <w:r w:rsidRPr="00940222">
              <w:rPr>
                <w:sz w:val="25"/>
                <w:szCs w:val="25"/>
              </w:rPr>
              <w:t xml:space="preserve">ORDER </w:t>
            </w:r>
            <w:r w:rsidR="00DC6722" w:rsidRPr="00940222">
              <w:rPr>
                <w:sz w:val="25"/>
                <w:szCs w:val="25"/>
              </w:rPr>
              <w:fldChar w:fldCharType="begin"/>
            </w:r>
            <w:r w:rsidR="00DC6722" w:rsidRPr="00940222">
              <w:rPr>
                <w:sz w:val="25"/>
                <w:szCs w:val="25"/>
              </w:rPr>
              <w:instrText xml:space="preserve"> ASK order_no "Enter Order Number"</w:instrText>
            </w:r>
            <w:r w:rsidR="00DC6722" w:rsidRPr="00940222">
              <w:rPr>
                <w:sz w:val="25"/>
                <w:szCs w:val="25"/>
              </w:rPr>
              <w:fldChar w:fldCharType="separate"/>
            </w:r>
            <w:bookmarkStart w:id="3" w:name="order_no"/>
            <w:r w:rsidR="0078429A" w:rsidRPr="00940222">
              <w:rPr>
                <w:sz w:val="25"/>
                <w:szCs w:val="25"/>
              </w:rPr>
              <w:t>01</w:t>
            </w:r>
            <w:bookmarkEnd w:id="3"/>
            <w:r w:rsidR="00DC6722" w:rsidRPr="00940222">
              <w:rPr>
                <w:sz w:val="25"/>
                <w:szCs w:val="25"/>
              </w:rPr>
              <w:fldChar w:fldCharType="end"/>
            </w:r>
            <w:r w:rsidR="00DC6722" w:rsidRPr="00940222">
              <w:rPr>
                <w:sz w:val="25"/>
                <w:szCs w:val="25"/>
              </w:rPr>
              <w:fldChar w:fldCharType="begin"/>
            </w:r>
            <w:r w:rsidR="00DC6722" w:rsidRPr="00940222">
              <w:rPr>
                <w:sz w:val="25"/>
                <w:szCs w:val="25"/>
              </w:rPr>
              <w:instrText xml:space="preserve"> REF order_no \* MERGEFORMAT</w:instrText>
            </w:r>
            <w:r w:rsidR="00DC6722" w:rsidRPr="00940222">
              <w:rPr>
                <w:sz w:val="25"/>
                <w:szCs w:val="25"/>
              </w:rPr>
              <w:fldChar w:fldCharType="separate"/>
            </w:r>
            <w:r w:rsidR="00A27BA1" w:rsidRPr="00940222">
              <w:rPr>
                <w:sz w:val="25"/>
                <w:szCs w:val="25"/>
              </w:rPr>
              <w:t>01</w:t>
            </w:r>
            <w:r w:rsidR="00DC6722" w:rsidRPr="00940222">
              <w:rPr>
                <w:sz w:val="25"/>
                <w:szCs w:val="25"/>
              </w:rPr>
              <w:fldChar w:fldCharType="end"/>
            </w:r>
          </w:p>
          <w:p w:rsidR="00EF6E08" w:rsidRPr="00940222" w:rsidRDefault="00EF6E08" w:rsidP="00EF6E08">
            <w:pPr>
              <w:rPr>
                <w:sz w:val="25"/>
                <w:szCs w:val="25"/>
              </w:rPr>
            </w:pPr>
          </w:p>
          <w:p w:rsidR="00EF6E08" w:rsidRPr="00940222" w:rsidRDefault="00EF6E08" w:rsidP="00803803">
            <w:pPr>
              <w:rPr>
                <w:sz w:val="25"/>
                <w:szCs w:val="25"/>
              </w:rPr>
            </w:pPr>
            <w:r w:rsidRPr="00940222">
              <w:rPr>
                <w:sz w:val="25"/>
                <w:szCs w:val="25"/>
              </w:rPr>
              <w:t>ORDER GRANTING</w:t>
            </w:r>
            <w:r w:rsidR="00BE10EF" w:rsidRPr="00940222">
              <w:rPr>
                <w:sz w:val="25"/>
                <w:szCs w:val="25"/>
              </w:rPr>
              <w:t xml:space="preserve"> </w:t>
            </w:r>
            <w:r w:rsidRPr="00940222">
              <w:rPr>
                <w:sz w:val="25"/>
                <w:szCs w:val="25"/>
              </w:rPr>
              <w:t>EXEMPTION FROM RULE</w:t>
            </w:r>
            <w:r w:rsidR="000756CD">
              <w:rPr>
                <w:sz w:val="25"/>
                <w:szCs w:val="25"/>
              </w:rPr>
              <w:t xml:space="preserve"> AND MODIFICATION</w:t>
            </w:r>
            <w:r w:rsidR="00803803">
              <w:rPr>
                <w:sz w:val="25"/>
                <w:szCs w:val="25"/>
              </w:rPr>
              <w:t xml:space="preserve"> SUBJECT TO CONDITION</w:t>
            </w:r>
          </w:p>
        </w:tc>
      </w:tr>
    </w:tbl>
    <w:p w:rsidR="00EF6E08" w:rsidRPr="00940222" w:rsidRDefault="00EF6E08" w:rsidP="00EF6E08">
      <w:pPr>
        <w:pStyle w:val="Heading2"/>
        <w:ind w:right="-360"/>
        <w:rPr>
          <w:b/>
          <w:bCs/>
          <w:sz w:val="25"/>
          <w:szCs w:val="25"/>
          <w:u w:val="none"/>
        </w:rPr>
      </w:pPr>
    </w:p>
    <w:p w:rsidR="00EF6E08" w:rsidRPr="00940222" w:rsidRDefault="00EF6E08" w:rsidP="0014618D">
      <w:pPr>
        <w:pStyle w:val="Heading2"/>
        <w:spacing w:line="320" w:lineRule="exact"/>
        <w:ind w:right="-360"/>
        <w:rPr>
          <w:b/>
          <w:bCs/>
          <w:sz w:val="25"/>
          <w:szCs w:val="25"/>
          <w:u w:val="none"/>
        </w:rPr>
      </w:pPr>
      <w:r w:rsidRPr="00940222">
        <w:rPr>
          <w:b/>
          <w:bCs/>
          <w:sz w:val="25"/>
          <w:szCs w:val="25"/>
          <w:u w:val="none"/>
        </w:rPr>
        <w:t>BACKGROUND</w:t>
      </w:r>
    </w:p>
    <w:p w:rsidR="00EF6E08" w:rsidRPr="00940222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  <w:rPr>
          <w:sz w:val="25"/>
          <w:szCs w:val="25"/>
        </w:rPr>
      </w:pPr>
    </w:p>
    <w:p w:rsidR="00940222" w:rsidRDefault="00EF6E08" w:rsidP="0014618D">
      <w:pPr>
        <w:pStyle w:val="Findings"/>
        <w:spacing w:line="320" w:lineRule="exact"/>
        <w:ind w:right="-360"/>
        <w:rPr>
          <w:sz w:val="25"/>
          <w:szCs w:val="25"/>
        </w:rPr>
      </w:pPr>
      <w:r w:rsidRPr="00940222">
        <w:rPr>
          <w:sz w:val="25"/>
          <w:szCs w:val="25"/>
        </w:rPr>
        <w:t>On</w:t>
      </w:r>
      <w:r w:rsidR="00DC6722" w:rsidRPr="00940222">
        <w:rPr>
          <w:sz w:val="25"/>
          <w:szCs w:val="25"/>
        </w:rPr>
        <w:t xml:space="preserve"> </w:t>
      </w:r>
      <w:r w:rsidR="00940222">
        <w:rPr>
          <w:sz w:val="25"/>
          <w:szCs w:val="25"/>
        </w:rPr>
        <w:t>May 6</w:t>
      </w:r>
      <w:r w:rsidR="00DC6722" w:rsidRPr="00940222">
        <w:rPr>
          <w:sz w:val="25"/>
          <w:szCs w:val="25"/>
        </w:rPr>
        <w:fldChar w:fldCharType="begin"/>
      </w:r>
      <w:r w:rsidR="00DC6722" w:rsidRPr="00940222">
        <w:rPr>
          <w:sz w:val="25"/>
          <w:szCs w:val="25"/>
        </w:rPr>
        <w:instrText xml:space="preserve"> ask filing_date "Enter Filing Date" </w:instrText>
      </w:r>
      <w:r w:rsidR="00DC6722" w:rsidRPr="00940222">
        <w:rPr>
          <w:sz w:val="25"/>
          <w:szCs w:val="25"/>
        </w:rPr>
        <w:fldChar w:fldCharType="separate"/>
      </w:r>
      <w:bookmarkStart w:id="4" w:name="filing_date"/>
      <w:r w:rsidR="0078429A" w:rsidRPr="00940222">
        <w:rPr>
          <w:sz w:val="25"/>
          <w:szCs w:val="25"/>
        </w:rPr>
        <w:t>January 1, 2025</w:t>
      </w:r>
      <w:bookmarkEnd w:id="4"/>
      <w:r w:rsidR="00DC6722" w:rsidRPr="00940222">
        <w:rPr>
          <w:sz w:val="25"/>
          <w:szCs w:val="25"/>
        </w:rPr>
        <w:fldChar w:fldCharType="end"/>
      </w:r>
      <w:r w:rsidRPr="00940222">
        <w:rPr>
          <w:sz w:val="25"/>
          <w:szCs w:val="25"/>
        </w:rPr>
        <w:t xml:space="preserve">, </w:t>
      </w:r>
      <w:r w:rsidR="00940222">
        <w:rPr>
          <w:sz w:val="25"/>
          <w:szCs w:val="25"/>
        </w:rPr>
        <w:t>2013</w:t>
      </w:r>
      <w:r w:rsidR="00D94DE1">
        <w:rPr>
          <w:sz w:val="25"/>
          <w:szCs w:val="25"/>
        </w:rPr>
        <w:t>,</w:t>
      </w:r>
      <w:r w:rsidR="00940222">
        <w:rPr>
          <w:sz w:val="25"/>
          <w:szCs w:val="25"/>
        </w:rPr>
        <w:t xml:space="preserve"> Qwest Corp</w:t>
      </w:r>
      <w:r w:rsidR="00A07632">
        <w:rPr>
          <w:sz w:val="25"/>
          <w:szCs w:val="25"/>
        </w:rPr>
        <w:t xml:space="preserve">oration </w:t>
      </w:r>
      <w:r w:rsidR="00940222">
        <w:rPr>
          <w:sz w:val="25"/>
          <w:szCs w:val="25"/>
        </w:rPr>
        <w:t xml:space="preserve">d/b/a CenturyLink QC (CenturyLink or Company) </w:t>
      </w:r>
      <w:r w:rsidRPr="00940222">
        <w:rPr>
          <w:sz w:val="25"/>
          <w:szCs w:val="25"/>
        </w:rPr>
        <w:t xml:space="preserve">filed with the </w:t>
      </w:r>
      <w:r w:rsidR="00255EBE" w:rsidRPr="00940222">
        <w:rPr>
          <w:sz w:val="25"/>
          <w:szCs w:val="25"/>
        </w:rPr>
        <w:t>Washington Utilities and Transportation Commission (</w:t>
      </w:r>
      <w:r w:rsidRPr="00940222">
        <w:rPr>
          <w:sz w:val="25"/>
          <w:szCs w:val="25"/>
        </w:rPr>
        <w:t>Commission</w:t>
      </w:r>
      <w:r w:rsidR="00255EBE" w:rsidRPr="00940222">
        <w:rPr>
          <w:sz w:val="25"/>
          <w:szCs w:val="25"/>
        </w:rPr>
        <w:t>)</w:t>
      </w:r>
      <w:r w:rsidRPr="00940222">
        <w:rPr>
          <w:sz w:val="25"/>
          <w:szCs w:val="25"/>
        </w:rPr>
        <w:t xml:space="preserve"> a petition for </w:t>
      </w:r>
      <w:r w:rsidR="00940222" w:rsidRPr="00940222">
        <w:rPr>
          <w:sz w:val="25"/>
          <w:szCs w:val="25"/>
        </w:rPr>
        <w:t xml:space="preserve">exemption from </w:t>
      </w:r>
      <w:r w:rsidR="00D94DE1">
        <w:rPr>
          <w:sz w:val="25"/>
          <w:szCs w:val="25"/>
        </w:rPr>
        <w:t>two</w:t>
      </w:r>
      <w:r w:rsidR="00940222" w:rsidRPr="00940222">
        <w:rPr>
          <w:sz w:val="25"/>
          <w:szCs w:val="25"/>
        </w:rPr>
        <w:t xml:space="preserve"> requirements</w:t>
      </w:r>
      <w:r w:rsidR="00D94DE1">
        <w:rPr>
          <w:sz w:val="25"/>
          <w:szCs w:val="25"/>
        </w:rPr>
        <w:t xml:space="preserve"> of WAC 480-120-161(2)</w:t>
      </w:r>
      <w:r w:rsidR="00720146">
        <w:rPr>
          <w:sz w:val="25"/>
          <w:szCs w:val="25"/>
        </w:rPr>
        <w:t>.  The first</w:t>
      </w:r>
      <w:r w:rsidR="00D94DE1">
        <w:rPr>
          <w:sz w:val="25"/>
          <w:szCs w:val="25"/>
        </w:rPr>
        <w:t xml:space="preserve"> require</w:t>
      </w:r>
      <w:r w:rsidR="00720146">
        <w:rPr>
          <w:sz w:val="25"/>
          <w:szCs w:val="25"/>
        </w:rPr>
        <w:t>s</w:t>
      </w:r>
      <w:r w:rsidR="00D94DE1">
        <w:rPr>
          <w:sz w:val="25"/>
          <w:szCs w:val="25"/>
        </w:rPr>
        <w:t xml:space="preserve"> the Company</w:t>
      </w:r>
      <w:r w:rsidR="00940222" w:rsidRPr="00940222">
        <w:rPr>
          <w:sz w:val="25"/>
          <w:szCs w:val="25"/>
        </w:rPr>
        <w:t xml:space="preserve"> to provide a due date </w:t>
      </w:r>
      <w:r w:rsidR="00DB28FF">
        <w:rPr>
          <w:sz w:val="25"/>
          <w:szCs w:val="25"/>
        </w:rPr>
        <w:t>on its billing statements</w:t>
      </w:r>
      <w:r w:rsidR="00720146">
        <w:rPr>
          <w:sz w:val="25"/>
          <w:szCs w:val="25"/>
        </w:rPr>
        <w:t>,</w:t>
      </w:r>
      <w:r w:rsidR="00DB28FF">
        <w:rPr>
          <w:sz w:val="25"/>
          <w:szCs w:val="25"/>
        </w:rPr>
        <w:t xml:space="preserve"> </w:t>
      </w:r>
      <w:r w:rsidR="00940222" w:rsidRPr="00940222">
        <w:rPr>
          <w:sz w:val="25"/>
          <w:szCs w:val="25"/>
        </w:rPr>
        <w:t xml:space="preserve">and </w:t>
      </w:r>
      <w:r w:rsidR="00720146">
        <w:rPr>
          <w:sz w:val="25"/>
          <w:szCs w:val="25"/>
        </w:rPr>
        <w:t xml:space="preserve">the second requires </w:t>
      </w:r>
      <w:r w:rsidR="00940222" w:rsidRPr="00940222">
        <w:rPr>
          <w:sz w:val="25"/>
          <w:szCs w:val="25"/>
        </w:rPr>
        <w:t>a 15-day interval between the mailing of a bill and the date</w:t>
      </w:r>
      <w:r w:rsidR="00DB28FF">
        <w:rPr>
          <w:sz w:val="25"/>
          <w:szCs w:val="25"/>
        </w:rPr>
        <w:t xml:space="preserve"> payment is due</w:t>
      </w:r>
      <w:r w:rsidR="00940222" w:rsidRPr="00940222">
        <w:rPr>
          <w:sz w:val="25"/>
          <w:szCs w:val="25"/>
        </w:rPr>
        <w:t>.</w:t>
      </w:r>
      <w:r w:rsidR="00965628">
        <w:rPr>
          <w:sz w:val="25"/>
          <w:szCs w:val="25"/>
        </w:rPr>
        <w:t xml:space="preserve"> </w:t>
      </w:r>
    </w:p>
    <w:p w:rsidR="00AC4EBD" w:rsidRPr="00940222" w:rsidRDefault="00AC4EBD" w:rsidP="00AC4EBD">
      <w:pPr>
        <w:pStyle w:val="Findings"/>
        <w:numPr>
          <w:ilvl w:val="0"/>
          <w:numId w:val="0"/>
        </w:numPr>
        <w:spacing w:line="320" w:lineRule="exact"/>
        <w:ind w:right="-360"/>
        <w:rPr>
          <w:sz w:val="25"/>
          <w:szCs w:val="25"/>
        </w:rPr>
      </w:pPr>
    </w:p>
    <w:p w:rsidR="00EB61B7" w:rsidRDefault="00A77FEE" w:rsidP="00EB61B7">
      <w:pPr>
        <w:pStyle w:val="Findings"/>
        <w:spacing w:line="320" w:lineRule="exact"/>
        <w:ind w:right="-360"/>
        <w:rPr>
          <w:sz w:val="25"/>
          <w:szCs w:val="25"/>
        </w:rPr>
      </w:pPr>
      <w:r w:rsidRPr="00EB61B7">
        <w:rPr>
          <w:sz w:val="25"/>
          <w:szCs w:val="25"/>
        </w:rPr>
        <w:t>CenturyLink</w:t>
      </w:r>
      <w:r w:rsidR="00AC4EBD" w:rsidRPr="00EB61B7">
        <w:rPr>
          <w:sz w:val="25"/>
          <w:szCs w:val="25"/>
        </w:rPr>
        <w:t xml:space="preserve"> explains that its request for exemptions appl</w:t>
      </w:r>
      <w:r w:rsidR="00965628" w:rsidRPr="00EB61B7">
        <w:rPr>
          <w:sz w:val="25"/>
          <w:szCs w:val="25"/>
        </w:rPr>
        <w:t>ies</w:t>
      </w:r>
      <w:r w:rsidR="00AC4EBD" w:rsidRPr="00EB61B7">
        <w:rPr>
          <w:sz w:val="25"/>
          <w:szCs w:val="25"/>
        </w:rPr>
        <w:t xml:space="preserve"> only to two payment options, </w:t>
      </w:r>
      <w:r w:rsidR="00965628" w:rsidRPr="00EB61B7">
        <w:rPr>
          <w:sz w:val="25"/>
          <w:szCs w:val="25"/>
        </w:rPr>
        <w:t xml:space="preserve">AutoPay and Direct Payment Option (DPO).  </w:t>
      </w:r>
      <w:r w:rsidRPr="00EB61B7">
        <w:rPr>
          <w:sz w:val="25"/>
          <w:szCs w:val="25"/>
        </w:rPr>
        <w:t>With AutoPay, a customer’s monthly payment is automatically withdrawn from a designated bank account</w:t>
      </w:r>
      <w:r w:rsidR="00B97B88">
        <w:rPr>
          <w:sz w:val="25"/>
          <w:szCs w:val="25"/>
        </w:rPr>
        <w:t>, but the</w:t>
      </w:r>
      <w:r w:rsidRPr="00EB61B7">
        <w:rPr>
          <w:sz w:val="25"/>
          <w:szCs w:val="25"/>
        </w:rPr>
        <w:t xml:space="preserve"> customer</w:t>
      </w:r>
      <w:r w:rsidR="00B97B88">
        <w:rPr>
          <w:sz w:val="25"/>
          <w:szCs w:val="25"/>
        </w:rPr>
        <w:t xml:space="preserve">’s </w:t>
      </w:r>
      <w:r w:rsidRPr="00EB61B7">
        <w:rPr>
          <w:sz w:val="25"/>
          <w:szCs w:val="25"/>
        </w:rPr>
        <w:t>electronic or paper bill does not bear a due date.  Instead, the bill states</w:t>
      </w:r>
      <w:r w:rsidR="00491F48">
        <w:rPr>
          <w:sz w:val="25"/>
          <w:szCs w:val="25"/>
        </w:rPr>
        <w:t>,</w:t>
      </w:r>
      <w:r w:rsidRPr="00EB61B7">
        <w:rPr>
          <w:sz w:val="25"/>
          <w:szCs w:val="25"/>
        </w:rPr>
        <w:t xml:space="preserve"> “Your payment will be made from your checking or savings account approximately 18 days after your bill date.”  With DPO, the customer receives a monthly bill and payment is automatically charged to a credit </w:t>
      </w:r>
      <w:r w:rsidR="003A0230">
        <w:rPr>
          <w:sz w:val="25"/>
          <w:szCs w:val="25"/>
        </w:rPr>
        <w:t xml:space="preserve">or debit </w:t>
      </w:r>
      <w:r w:rsidRPr="00EB61B7">
        <w:rPr>
          <w:sz w:val="25"/>
          <w:szCs w:val="25"/>
        </w:rPr>
        <w:t>card. The DPO bill also does not bear a due date</w:t>
      </w:r>
      <w:r w:rsidR="00491F48">
        <w:rPr>
          <w:sz w:val="25"/>
          <w:szCs w:val="25"/>
        </w:rPr>
        <w:t xml:space="preserve"> but</w:t>
      </w:r>
      <w:r w:rsidR="00EB61B7" w:rsidRPr="00EB61B7">
        <w:rPr>
          <w:sz w:val="25"/>
          <w:szCs w:val="25"/>
        </w:rPr>
        <w:t xml:space="preserve"> states</w:t>
      </w:r>
      <w:r w:rsidR="00491F48">
        <w:rPr>
          <w:sz w:val="25"/>
          <w:szCs w:val="25"/>
        </w:rPr>
        <w:t>,</w:t>
      </w:r>
      <w:r w:rsidR="00EB61B7" w:rsidRPr="00EB61B7">
        <w:rPr>
          <w:sz w:val="25"/>
          <w:szCs w:val="25"/>
        </w:rPr>
        <w:t xml:space="preserve"> “Payment will be charged to your credit card wit</w:t>
      </w:r>
      <w:r w:rsidR="00EB61B7">
        <w:rPr>
          <w:sz w:val="25"/>
          <w:szCs w:val="25"/>
        </w:rPr>
        <w:t>h</w:t>
      </w:r>
      <w:r w:rsidR="00EB61B7" w:rsidRPr="00EB61B7">
        <w:rPr>
          <w:sz w:val="25"/>
          <w:szCs w:val="25"/>
        </w:rPr>
        <w:t xml:space="preserve">in 5 days after your bill date.”  </w:t>
      </w:r>
      <w:r w:rsidRPr="00EB61B7">
        <w:rPr>
          <w:sz w:val="25"/>
          <w:szCs w:val="25"/>
        </w:rPr>
        <w:t xml:space="preserve"> </w:t>
      </w:r>
    </w:p>
    <w:p w:rsidR="00EB61B7" w:rsidRDefault="00EB61B7" w:rsidP="00EB61B7">
      <w:pPr>
        <w:pStyle w:val="ListParagraph"/>
        <w:rPr>
          <w:sz w:val="25"/>
          <w:szCs w:val="25"/>
        </w:rPr>
      </w:pPr>
    </w:p>
    <w:p w:rsidR="00940222" w:rsidRDefault="00EB61B7" w:rsidP="0014618D">
      <w:pPr>
        <w:pStyle w:val="Findings"/>
        <w:spacing w:line="320" w:lineRule="exact"/>
        <w:ind w:right="-360"/>
        <w:rPr>
          <w:sz w:val="25"/>
          <w:szCs w:val="25"/>
        </w:rPr>
      </w:pPr>
      <w:r>
        <w:rPr>
          <w:sz w:val="25"/>
          <w:szCs w:val="25"/>
        </w:rPr>
        <w:t xml:space="preserve">CenturyLink seeks an exemption </w:t>
      </w:r>
      <w:r w:rsidR="00D11AE8">
        <w:rPr>
          <w:sz w:val="25"/>
          <w:szCs w:val="25"/>
        </w:rPr>
        <w:t>from</w:t>
      </w:r>
      <w:r w:rsidR="004C30E2">
        <w:rPr>
          <w:sz w:val="25"/>
          <w:szCs w:val="25"/>
        </w:rPr>
        <w:t xml:space="preserve"> the requirement that bills for</w:t>
      </w:r>
      <w:r>
        <w:rPr>
          <w:sz w:val="25"/>
          <w:szCs w:val="25"/>
        </w:rPr>
        <w:t xml:space="preserve"> both </w:t>
      </w:r>
      <w:r w:rsidR="004C30E2">
        <w:rPr>
          <w:sz w:val="25"/>
          <w:szCs w:val="25"/>
        </w:rPr>
        <w:t xml:space="preserve">payment options bear a due date.  </w:t>
      </w:r>
      <w:r w:rsidR="00C34808">
        <w:rPr>
          <w:sz w:val="25"/>
          <w:szCs w:val="25"/>
        </w:rPr>
        <w:t xml:space="preserve">The Company explains that the bills already state the payment interval and </w:t>
      </w:r>
      <w:r w:rsidR="003A0230">
        <w:rPr>
          <w:sz w:val="25"/>
          <w:szCs w:val="25"/>
        </w:rPr>
        <w:t xml:space="preserve">contends that </w:t>
      </w:r>
      <w:r w:rsidR="00C34808">
        <w:rPr>
          <w:sz w:val="25"/>
          <w:szCs w:val="25"/>
        </w:rPr>
        <w:t xml:space="preserve">adding the language “due date” </w:t>
      </w:r>
      <w:r w:rsidR="00FB0F8A">
        <w:rPr>
          <w:sz w:val="25"/>
          <w:szCs w:val="25"/>
        </w:rPr>
        <w:t>is superfluous</w:t>
      </w:r>
      <w:r w:rsidR="003A0230">
        <w:rPr>
          <w:sz w:val="25"/>
          <w:szCs w:val="25"/>
        </w:rPr>
        <w:t xml:space="preserve">. </w:t>
      </w:r>
      <w:r w:rsidR="00C34808">
        <w:rPr>
          <w:sz w:val="25"/>
          <w:szCs w:val="25"/>
        </w:rPr>
        <w:t xml:space="preserve"> </w:t>
      </w:r>
      <w:r w:rsidR="003A0230">
        <w:rPr>
          <w:sz w:val="25"/>
          <w:szCs w:val="25"/>
        </w:rPr>
        <w:t xml:space="preserve">CenturyLink believes that including a due date when a customer has voluntarily entered </w:t>
      </w:r>
      <w:r w:rsidR="00C34808">
        <w:rPr>
          <w:sz w:val="25"/>
          <w:szCs w:val="25"/>
        </w:rPr>
        <w:t>in</w:t>
      </w:r>
      <w:r w:rsidR="003A0230">
        <w:rPr>
          <w:sz w:val="25"/>
          <w:szCs w:val="25"/>
        </w:rPr>
        <w:t>to</w:t>
      </w:r>
      <w:r w:rsidR="00C34808">
        <w:rPr>
          <w:sz w:val="25"/>
          <w:szCs w:val="25"/>
        </w:rPr>
        <w:t xml:space="preserve"> an automatic payment arrangement may be confusing.</w:t>
      </w:r>
    </w:p>
    <w:p w:rsidR="00C34808" w:rsidRDefault="00C34808" w:rsidP="00C34808">
      <w:pPr>
        <w:pStyle w:val="ListParagraph"/>
        <w:rPr>
          <w:sz w:val="25"/>
          <w:szCs w:val="25"/>
        </w:rPr>
      </w:pPr>
    </w:p>
    <w:p w:rsidR="00C34808" w:rsidRPr="00642210" w:rsidRDefault="00D11AE8" w:rsidP="00642210">
      <w:pPr>
        <w:pStyle w:val="Findings"/>
        <w:spacing w:line="320" w:lineRule="exact"/>
        <w:ind w:right="-360"/>
        <w:rPr>
          <w:sz w:val="25"/>
          <w:szCs w:val="25"/>
        </w:rPr>
      </w:pPr>
      <w:r>
        <w:rPr>
          <w:sz w:val="25"/>
          <w:szCs w:val="25"/>
        </w:rPr>
        <w:t>CenturyLink also seeks an exemption from the requirement</w:t>
      </w:r>
      <w:r w:rsidR="00C15607">
        <w:rPr>
          <w:sz w:val="25"/>
          <w:szCs w:val="25"/>
        </w:rPr>
        <w:t xml:space="preserve"> that the interval between a bill date and the </w:t>
      </w:r>
      <w:r w:rsidR="00C54AC5">
        <w:rPr>
          <w:sz w:val="25"/>
          <w:szCs w:val="25"/>
        </w:rPr>
        <w:t xml:space="preserve">date that the </w:t>
      </w:r>
      <w:r w:rsidR="00C15607">
        <w:rPr>
          <w:sz w:val="25"/>
          <w:szCs w:val="25"/>
        </w:rPr>
        <w:t xml:space="preserve">payment </w:t>
      </w:r>
      <w:r w:rsidR="00C54AC5">
        <w:rPr>
          <w:sz w:val="25"/>
          <w:szCs w:val="25"/>
        </w:rPr>
        <w:t>is charged to a credit or debit card</w:t>
      </w:r>
      <w:r w:rsidR="00C15607">
        <w:rPr>
          <w:sz w:val="25"/>
          <w:szCs w:val="25"/>
        </w:rPr>
        <w:t xml:space="preserve"> be at least 15 days.  Instead, the Company requests a five-day</w:t>
      </w:r>
      <w:r w:rsidR="00FB0547">
        <w:rPr>
          <w:sz w:val="25"/>
          <w:szCs w:val="25"/>
        </w:rPr>
        <w:t xml:space="preserve"> interval date for DPO only.</w:t>
      </w:r>
      <w:r w:rsidR="00642210" w:rsidRPr="00642210">
        <w:t xml:space="preserve"> </w:t>
      </w:r>
      <w:r w:rsidR="00CA7C04">
        <w:rPr>
          <w:sz w:val="25"/>
          <w:szCs w:val="25"/>
        </w:rPr>
        <w:t>The</w:t>
      </w:r>
      <w:r w:rsidR="00505B98">
        <w:rPr>
          <w:sz w:val="25"/>
          <w:szCs w:val="25"/>
        </w:rPr>
        <w:t xml:space="preserve"> </w:t>
      </w:r>
      <w:r w:rsidR="00505B98">
        <w:rPr>
          <w:sz w:val="25"/>
          <w:szCs w:val="25"/>
        </w:rPr>
        <w:lastRenderedPageBreak/>
        <w:t>C</w:t>
      </w:r>
      <w:r w:rsidR="00642210" w:rsidRPr="00642210">
        <w:rPr>
          <w:sz w:val="25"/>
          <w:szCs w:val="25"/>
        </w:rPr>
        <w:t xml:space="preserve">ompany </w:t>
      </w:r>
      <w:r w:rsidR="00505B98">
        <w:rPr>
          <w:sz w:val="25"/>
          <w:szCs w:val="25"/>
        </w:rPr>
        <w:t>states that “[e]xemption is in the public interest because these special payment arrangements do not require the type of notice that the rule otherwise requires.”</w:t>
      </w:r>
    </w:p>
    <w:p w:rsidR="00EF6E08" w:rsidRPr="00EA7C87" w:rsidRDefault="00EF6E08" w:rsidP="00EA7C87">
      <w:pPr>
        <w:pStyle w:val="Findings"/>
        <w:numPr>
          <w:ilvl w:val="0"/>
          <w:numId w:val="0"/>
        </w:numPr>
        <w:spacing w:line="320" w:lineRule="exact"/>
        <w:ind w:right="-360"/>
        <w:rPr>
          <w:sz w:val="25"/>
          <w:szCs w:val="25"/>
        </w:rPr>
      </w:pPr>
    </w:p>
    <w:p w:rsidR="0047090E" w:rsidRDefault="00EF6E08" w:rsidP="00642210">
      <w:pPr>
        <w:pStyle w:val="Findings"/>
        <w:spacing w:line="320" w:lineRule="exact"/>
        <w:ind w:right="-360"/>
        <w:rPr>
          <w:sz w:val="25"/>
          <w:szCs w:val="25"/>
        </w:rPr>
      </w:pPr>
      <w:r w:rsidRPr="00940222">
        <w:rPr>
          <w:sz w:val="25"/>
          <w:szCs w:val="25"/>
        </w:rPr>
        <w:t xml:space="preserve">Commission Staff reviewed </w:t>
      </w:r>
      <w:r w:rsidR="005761F5">
        <w:rPr>
          <w:sz w:val="25"/>
          <w:szCs w:val="25"/>
        </w:rPr>
        <w:t xml:space="preserve">CenturyLink’s petition and agrees with the Company that the words “due date” could cause customers to believe that action is required when it is not.  Staff believes that the language on </w:t>
      </w:r>
      <w:r w:rsidR="003A0230">
        <w:rPr>
          <w:sz w:val="25"/>
          <w:szCs w:val="25"/>
        </w:rPr>
        <w:t xml:space="preserve">the Company’s </w:t>
      </w:r>
      <w:r w:rsidR="005761F5">
        <w:rPr>
          <w:sz w:val="25"/>
          <w:szCs w:val="25"/>
        </w:rPr>
        <w:t xml:space="preserve">AutoPay and DPO bills adequately advises customers when funds will be withdrawn from their bank accounts or charged to their credit or debit cards.  </w:t>
      </w:r>
    </w:p>
    <w:p w:rsidR="0047090E" w:rsidRDefault="0047090E" w:rsidP="002B16DA">
      <w:pPr>
        <w:pStyle w:val="ListParagraph"/>
        <w:rPr>
          <w:sz w:val="25"/>
          <w:szCs w:val="25"/>
        </w:rPr>
      </w:pPr>
    </w:p>
    <w:p w:rsidR="00642210" w:rsidRDefault="00642210" w:rsidP="00642210">
      <w:pPr>
        <w:pStyle w:val="Findings"/>
        <w:spacing w:line="320" w:lineRule="exact"/>
        <w:ind w:right="-360"/>
        <w:rPr>
          <w:sz w:val="25"/>
          <w:szCs w:val="25"/>
        </w:rPr>
      </w:pPr>
      <w:r w:rsidRPr="00642210">
        <w:rPr>
          <w:sz w:val="25"/>
          <w:szCs w:val="25"/>
        </w:rPr>
        <w:t>Staff believes that</w:t>
      </w:r>
      <w:r w:rsidR="009619BC">
        <w:rPr>
          <w:sz w:val="25"/>
          <w:szCs w:val="25"/>
        </w:rPr>
        <w:t xml:space="preserve"> a requested </w:t>
      </w:r>
      <w:r w:rsidRPr="00642210">
        <w:rPr>
          <w:sz w:val="25"/>
          <w:szCs w:val="25"/>
        </w:rPr>
        <w:t xml:space="preserve">five-day interval between the day the bill is issued and the date payment is </w:t>
      </w:r>
      <w:r w:rsidR="00FE3A84">
        <w:rPr>
          <w:sz w:val="25"/>
          <w:szCs w:val="25"/>
        </w:rPr>
        <w:t xml:space="preserve">charged to a credit or debit </w:t>
      </w:r>
      <w:r w:rsidR="000405AA">
        <w:rPr>
          <w:sz w:val="25"/>
          <w:szCs w:val="25"/>
        </w:rPr>
        <w:t>card is</w:t>
      </w:r>
      <w:r w:rsidRPr="00642210">
        <w:rPr>
          <w:sz w:val="25"/>
          <w:szCs w:val="25"/>
        </w:rPr>
        <w:t xml:space="preserve"> insufficient</w:t>
      </w:r>
      <w:r w:rsidR="009619BC">
        <w:rPr>
          <w:sz w:val="25"/>
          <w:szCs w:val="25"/>
        </w:rPr>
        <w:t xml:space="preserve"> for CenturyLink’s DPO customers</w:t>
      </w:r>
      <w:r w:rsidRPr="00642210">
        <w:rPr>
          <w:sz w:val="25"/>
          <w:szCs w:val="25"/>
        </w:rPr>
        <w:t>.</w:t>
      </w:r>
      <w:r w:rsidR="009619BC">
        <w:rPr>
          <w:sz w:val="25"/>
          <w:szCs w:val="25"/>
        </w:rPr>
        <w:t xml:space="preserve"> </w:t>
      </w:r>
      <w:r w:rsidRPr="00642210">
        <w:rPr>
          <w:sz w:val="25"/>
          <w:szCs w:val="25"/>
        </w:rPr>
        <w:t xml:space="preserve"> If a customer opts to </w:t>
      </w:r>
      <w:r w:rsidRPr="00251EE5">
        <w:rPr>
          <w:sz w:val="25"/>
          <w:szCs w:val="25"/>
        </w:rPr>
        <w:t xml:space="preserve">receive </w:t>
      </w:r>
      <w:r w:rsidR="00251EE5">
        <w:rPr>
          <w:sz w:val="25"/>
          <w:szCs w:val="25"/>
        </w:rPr>
        <w:t>the bill</w:t>
      </w:r>
      <w:r w:rsidR="00DB3ECE" w:rsidRPr="00251EE5">
        <w:rPr>
          <w:sz w:val="25"/>
          <w:szCs w:val="25"/>
        </w:rPr>
        <w:t xml:space="preserve"> </w:t>
      </w:r>
      <w:r w:rsidRPr="00251EE5">
        <w:rPr>
          <w:sz w:val="25"/>
          <w:szCs w:val="25"/>
        </w:rPr>
        <w:t xml:space="preserve">by mail, </w:t>
      </w:r>
      <w:r w:rsidR="00251EE5">
        <w:rPr>
          <w:sz w:val="25"/>
          <w:szCs w:val="25"/>
        </w:rPr>
        <w:t xml:space="preserve">it </w:t>
      </w:r>
      <w:r w:rsidRPr="00251EE5">
        <w:rPr>
          <w:sz w:val="25"/>
          <w:szCs w:val="25"/>
        </w:rPr>
        <w:t xml:space="preserve">may arrive on the same day that payment is </w:t>
      </w:r>
      <w:r w:rsidR="00936703">
        <w:rPr>
          <w:sz w:val="25"/>
          <w:szCs w:val="25"/>
        </w:rPr>
        <w:t>charged</w:t>
      </w:r>
      <w:r w:rsidRPr="00251EE5">
        <w:rPr>
          <w:sz w:val="25"/>
          <w:szCs w:val="25"/>
        </w:rPr>
        <w:t xml:space="preserve">. </w:t>
      </w:r>
      <w:r w:rsidR="00AF07C9" w:rsidRPr="00251EE5">
        <w:rPr>
          <w:sz w:val="25"/>
          <w:szCs w:val="25"/>
        </w:rPr>
        <w:t xml:space="preserve"> </w:t>
      </w:r>
      <w:r w:rsidRPr="00251EE5">
        <w:rPr>
          <w:sz w:val="25"/>
          <w:szCs w:val="25"/>
        </w:rPr>
        <w:t>This would give the customer very little time, if any, to question or dispute a bill</w:t>
      </w:r>
      <w:r w:rsidR="003A0230" w:rsidRPr="00251EE5">
        <w:rPr>
          <w:sz w:val="25"/>
          <w:szCs w:val="25"/>
        </w:rPr>
        <w:t xml:space="preserve"> prior to making payment</w:t>
      </w:r>
      <w:r w:rsidRPr="00251EE5">
        <w:rPr>
          <w:sz w:val="25"/>
          <w:szCs w:val="25"/>
        </w:rPr>
        <w:t xml:space="preserve">. </w:t>
      </w:r>
      <w:r w:rsidR="00AF07C9" w:rsidRPr="00251EE5">
        <w:rPr>
          <w:sz w:val="25"/>
          <w:szCs w:val="25"/>
        </w:rPr>
        <w:t xml:space="preserve"> </w:t>
      </w:r>
      <w:r w:rsidRPr="00251EE5">
        <w:rPr>
          <w:sz w:val="25"/>
          <w:szCs w:val="25"/>
        </w:rPr>
        <w:t xml:space="preserve">Even for customers </w:t>
      </w:r>
      <w:r w:rsidR="00AF07C9" w:rsidRPr="00251EE5">
        <w:rPr>
          <w:sz w:val="25"/>
          <w:szCs w:val="25"/>
        </w:rPr>
        <w:t>that</w:t>
      </w:r>
      <w:r w:rsidRPr="00251EE5">
        <w:rPr>
          <w:sz w:val="25"/>
          <w:szCs w:val="25"/>
        </w:rPr>
        <w:t xml:space="preserve"> receive electronic </w:t>
      </w:r>
      <w:r w:rsidR="00251EE5">
        <w:rPr>
          <w:sz w:val="25"/>
          <w:szCs w:val="25"/>
        </w:rPr>
        <w:t>bills</w:t>
      </w:r>
      <w:r w:rsidRPr="00251EE5">
        <w:rPr>
          <w:sz w:val="25"/>
          <w:szCs w:val="25"/>
        </w:rPr>
        <w:t>, a full five days may still be insufficient to question or</w:t>
      </w:r>
      <w:r w:rsidRPr="00642210">
        <w:rPr>
          <w:sz w:val="25"/>
          <w:szCs w:val="25"/>
        </w:rPr>
        <w:t xml:space="preserve"> dispute charges. </w:t>
      </w:r>
    </w:p>
    <w:p w:rsidR="0047090E" w:rsidRDefault="0047090E" w:rsidP="002B16DA">
      <w:pPr>
        <w:pStyle w:val="ListParagraph"/>
        <w:rPr>
          <w:sz w:val="25"/>
          <w:szCs w:val="25"/>
        </w:rPr>
      </w:pPr>
    </w:p>
    <w:p w:rsidR="00A0252F" w:rsidRDefault="0047090E" w:rsidP="00642210">
      <w:pPr>
        <w:pStyle w:val="Findings"/>
        <w:spacing w:line="320" w:lineRule="exact"/>
        <w:ind w:right="-360"/>
        <w:rPr>
          <w:sz w:val="25"/>
          <w:szCs w:val="25"/>
        </w:rPr>
      </w:pPr>
      <w:r>
        <w:rPr>
          <w:sz w:val="25"/>
          <w:szCs w:val="25"/>
        </w:rPr>
        <w:t xml:space="preserve">On October 9, 2013, CenturyLink filed a list of “talking points” with the Commission.  In those talking points, CenturyLink states that </w:t>
      </w:r>
      <w:r w:rsidR="00A0252F">
        <w:rPr>
          <w:sz w:val="25"/>
          <w:szCs w:val="25"/>
        </w:rPr>
        <w:t xml:space="preserve">no customers have complained about </w:t>
      </w:r>
      <w:r>
        <w:rPr>
          <w:sz w:val="25"/>
          <w:szCs w:val="25"/>
        </w:rPr>
        <w:t>the five-day interval and that Commission rules do not require the Company to accept credit or debit card payments</w:t>
      </w:r>
      <w:r w:rsidR="00A462D0">
        <w:rPr>
          <w:sz w:val="25"/>
          <w:szCs w:val="25"/>
        </w:rPr>
        <w:t xml:space="preserve">, so </w:t>
      </w:r>
      <w:r w:rsidR="00A0252F">
        <w:rPr>
          <w:sz w:val="25"/>
          <w:szCs w:val="25"/>
        </w:rPr>
        <w:t xml:space="preserve">customers have the option to choose another payment method if they feel the need to have 15 days before </w:t>
      </w:r>
      <w:r w:rsidR="006844CA">
        <w:rPr>
          <w:sz w:val="25"/>
          <w:szCs w:val="25"/>
        </w:rPr>
        <w:t>paying the billed charges</w:t>
      </w:r>
      <w:r>
        <w:rPr>
          <w:sz w:val="25"/>
          <w:szCs w:val="25"/>
        </w:rPr>
        <w:t>.  CenturyLink adds that changing its computer system to implement a longer interval just for the state of Washington “would cost upwards of $50,000 with no real customer benefit.”</w:t>
      </w:r>
      <w:r>
        <w:rPr>
          <w:rStyle w:val="FootnoteReference"/>
          <w:sz w:val="25"/>
          <w:szCs w:val="25"/>
        </w:rPr>
        <w:footnoteReference w:id="1"/>
      </w:r>
      <w:r>
        <w:rPr>
          <w:sz w:val="25"/>
          <w:szCs w:val="25"/>
        </w:rPr>
        <w:t xml:space="preserve"> </w:t>
      </w:r>
      <w:r w:rsidR="00A0252F">
        <w:rPr>
          <w:sz w:val="25"/>
          <w:szCs w:val="25"/>
        </w:rPr>
        <w:t xml:space="preserve">CenturyLink </w:t>
      </w:r>
      <w:r w:rsidR="006844CA">
        <w:rPr>
          <w:sz w:val="25"/>
          <w:szCs w:val="25"/>
        </w:rPr>
        <w:t>repeated</w:t>
      </w:r>
      <w:r w:rsidR="00A0252F">
        <w:rPr>
          <w:sz w:val="25"/>
          <w:szCs w:val="25"/>
        </w:rPr>
        <w:t xml:space="preserve"> most of these same points at the Commission’s Open Meeting on October 10, 2013.</w:t>
      </w:r>
    </w:p>
    <w:p w:rsidR="00A0252F" w:rsidRDefault="00A0252F" w:rsidP="002B16DA">
      <w:pPr>
        <w:pStyle w:val="ListParagraph"/>
        <w:rPr>
          <w:sz w:val="25"/>
          <w:szCs w:val="25"/>
        </w:rPr>
      </w:pPr>
    </w:p>
    <w:p w:rsidR="0047090E" w:rsidRDefault="006A47B0" w:rsidP="00642210">
      <w:pPr>
        <w:pStyle w:val="Findings"/>
        <w:spacing w:line="320" w:lineRule="exact"/>
        <w:ind w:right="-360"/>
        <w:rPr>
          <w:sz w:val="25"/>
          <w:szCs w:val="25"/>
        </w:rPr>
      </w:pPr>
      <w:r>
        <w:rPr>
          <w:sz w:val="25"/>
          <w:szCs w:val="25"/>
        </w:rPr>
        <w:t xml:space="preserve">Commission Staff </w:t>
      </w:r>
      <w:r w:rsidR="00A0252F">
        <w:rPr>
          <w:sz w:val="25"/>
          <w:szCs w:val="25"/>
        </w:rPr>
        <w:t>responded at the Open Meeting</w:t>
      </w:r>
      <w:r>
        <w:rPr>
          <w:sz w:val="25"/>
          <w:szCs w:val="25"/>
        </w:rPr>
        <w:t xml:space="preserve"> that without further investigation, </w:t>
      </w:r>
      <w:r w:rsidR="00A0252F">
        <w:rPr>
          <w:sz w:val="25"/>
          <w:szCs w:val="25"/>
        </w:rPr>
        <w:t>Staff cannot definitively state</w:t>
      </w:r>
      <w:r>
        <w:rPr>
          <w:sz w:val="25"/>
          <w:szCs w:val="25"/>
        </w:rPr>
        <w:t xml:space="preserve"> whether </w:t>
      </w:r>
      <w:r w:rsidR="00A0252F">
        <w:rPr>
          <w:sz w:val="25"/>
          <w:szCs w:val="25"/>
        </w:rPr>
        <w:t>any customers have complained specifically about</w:t>
      </w:r>
      <w:r>
        <w:rPr>
          <w:sz w:val="25"/>
          <w:szCs w:val="25"/>
        </w:rPr>
        <w:t xml:space="preserve"> the five-day interval.</w:t>
      </w:r>
      <w:r w:rsidR="002003D4">
        <w:rPr>
          <w:sz w:val="25"/>
          <w:szCs w:val="25"/>
        </w:rPr>
        <w:t xml:space="preserve">  Staff also stated that the 15-</w:t>
      </w:r>
      <w:r w:rsidR="006844CA">
        <w:rPr>
          <w:sz w:val="25"/>
          <w:szCs w:val="25"/>
        </w:rPr>
        <w:t>day interval remains an important safeguard in these circumstances because some customers may need that time to manage their credit or debit card accounts to avoid exceeding their credit limits.</w:t>
      </w:r>
    </w:p>
    <w:p w:rsidR="00941467" w:rsidRDefault="00941467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DB230D" w:rsidRPr="00642210" w:rsidRDefault="00DB230D" w:rsidP="00DB230D">
      <w:pPr>
        <w:pStyle w:val="Findings"/>
        <w:numPr>
          <w:ilvl w:val="0"/>
          <w:numId w:val="0"/>
        </w:numPr>
        <w:spacing w:line="320" w:lineRule="exact"/>
        <w:ind w:right="-360"/>
        <w:rPr>
          <w:sz w:val="25"/>
          <w:szCs w:val="25"/>
        </w:rPr>
      </w:pPr>
    </w:p>
    <w:p w:rsidR="00DB230D" w:rsidRPr="00DB230D" w:rsidRDefault="00DB230D" w:rsidP="00DB230D">
      <w:pPr>
        <w:pStyle w:val="Findings"/>
        <w:numPr>
          <w:ilvl w:val="0"/>
          <w:numId w:val="0"/>
        </w:numPr>
        <w:spacing w:line="320" w:lineRule="exact"/>
        <w:ind w:right="-360"/>
        <w:jc w:val="center"/>
        <w:rPr>
          <w:b/>
          <w:sz w:val="25"/>
          <w:szCs w:val="25"/>
        </w:rPr>
      </w:pPr>
      <w:r w:rsidRPr="00DB230D">
        <w:rPr>
          <w:b/>
          <w:sz w:val="25"/>
          <w:szCs w:val="25"/>
        </w:rPr>
        <w:t>DISCUSSION</w:t>
      </w:r>
    </w:p>
    <w:p w:rsidR="00DB230D" w:rsidRPr="00DB230D" w:rsidRDefault="00DB230D" w:rsidP="00DB230D">
      <w:pPr>
        <w:pStyle w:val="Findings"/>
        <w:numPr>
          <w:ilvl w:val="0"/>
          <w:numId w:val="0"/>
        </w:numPr>
        <w:spacing w:line="320" w:lineRule="exact"/>
        <w:ind w:right="-360"/>
        <w:rPr>
          <w:sz w:val="25"/>
          <w:szCs w:val="25"/>
        </w:rPr>
      </w:pPr>
    </w:p>
    <w:p w:rsidR="00DB230D" w:rsidRDefault="00DB230D" w:rsidP="00DB230D">
      <w:pPr>
        <w:pStyle w:val="Findings"/>
        <w:rPr>
          <w:sz w:val="25"/>
          <w:szCs w:val="25"/>
        </w:rPr>
      </w:pPr>
      <w:r w:rsidRPr="00DB230D">
        <w:rPr>
          <w:sz w:val="25"/>
          <w:szCs w:val="25"/>
        </w:rPr>
        <w:t>WAC 480-07-110 provides that the Commission may grant an exemption from</w:t>
      </w:r>
      <w:r w:rsidR="00785B60">
        <w:rPr>
          <w:sz w:val="25"/>
          <w:szCs w:val="25"/>
        </w:rPr>
        <w:t>,</w:t>
      </w:r>
      <w:r w:rsidRPr="00DB230D">
        <w:rPr>
          <w:sz w:val="25"/>
          <w:szCs w:val="25"/>
        </w:rPr>
        <w:t xml:space="preserve"> or modify the application of</w:t>
      </w:r>
      <w:r w:rsidR="00785B60">
        <w:rPr>
          <w:sz w:val="25"/>
          <w:szCs w:val="25"/>
        </w:rPr>
        <w:t>,</w:t>
      </w:r>
      <w:r w:rsidRPr="00DB230D">
        <w:rPr>
          <w:sz w:val="25"/>
          <w:szCs w:val="25"/>
        </w:rPr>
        <w:t xml:space="preserve"> its rules in individual cases if consistent with the public interest and the purposes of the underlying regulation:</w:t>
      </w:r>
    </w:p>
    <w:p w:rsidR="00991D92" w:rsidRDefault="00991D92" w:rsidP="00991D92">
      <w:pPr>
        <w:pStyle w:val="Findings"/>
        <w:numPr>
          <w:ilvl w:val="0"/>
          <w:numId w:val="0"/>
        </w:numPr>
        <w:rPr>
          <w:sz w:val="25"/>
          <w:szCs w:val="25"/>
        </w:rPr>
      </w:pPr>
    </w:p>
    <w:p w:rsidR="00991D92" w:rsidRDefault="00991D92" w:rsidP="00991D92">
      <w:pPr>
        <w:pStyle w:val="Findings"/>
        <w:numPr>
          <w:ilvl w:val="0"/>
          <w:numId w:val="0"/>
        </w:numPr>
        <w:spacing w:line="320" w:lineRule="exact"/>
        <w:ind w:left="720" w:right="720"/>
        <w:rPr>
          <w:sz w:val="25"/>
          <w:szCs w:val="25"/>
        </w:rPr>
      </w:pPr>
      <w:r w:rsidRPr="00DB230D">
        <w:rPr>
          <w:sz w:val="25"/>
          <w:szCs w:val="25"/>
        </w:rPr>
        <w:t xml:space="preserve">The standard for consideration is the public interest standard. </w:t>
      </w:r>
      <w:r w:rsidR="009E63E4">
        <w:rPr>
          <w:sz w:val="25"/>
          <w:szCs w:val="25"/>
        </w:rPr>
        <w:t xml:space="preserve"> </w:t>
      </w:r>
      <w:r w:rsidRPr="00DB230D">
        <w:rPr>
          <w:sz w:val="25"/>
          <w:szCs w:val="25"/>
        </w:rPr>
        <w:t>Factors the commission may consider include whether application of the rule would impose undue hardship on the requesting person, of a degree or a kind different from hardships imposed on other similarly situated persons, and whether the effect of applying the rule would be contrary to the underlying purposes of the rule.</w:t>
      </w:r>
    </w:p>
    <w:p w:rsidR="00991D92" w:rsidRDefault="00991D92" w:rsidP="00991D92">
      <w:pPr>
        <w:pStyle w:val="Findings"/>
        <w:numPr>
          <w:ilvl w:val="0"/>
          <w:numId w:val="0"/>
        </w:numPr>
        <w:rPr>
          <w:sz w:val="25"/>
          <w:szCs w:val="25"/>
        </w:rPr>
      </w:pPr>
    </w:p>
    <w:p w:rsidR="00B66EC1" w:rsidRDefault="00B66EC1" w:rsidP="00B66EC1">
      <w:pPr>
        <w:pStyle w:val="Findings"/>
        <w:numPr>
          <w:ilvl w:val="0"/>
          <w:numId w:val="0"/>
        </w:numPr>
        <w:rPr>
          <w:sz w:val="25"/>
          <w:szCs w:val="25"/>
        </w:rPr>
      </w:pPr>
      <w:r w:rsidRPr="0008690A">
        <w:rPr>
          <w:sz w:val="25"/>
          <w:szCs w:val="25"/>
        </w:rPr>
        <w:t xml:space="preserve">We agree with </w:t>
      </w:r>
      <w:r w:rsidR="00804EA2" w:rsidRPr="0008690A">
        <w:rPr>
          <w:sz w:val="25"/>
          <w:szCs w:val="25"/>
        </w:rPr>
        <w:t xml:space="preserve">Staff and </w:t>
      </w:r>
      <w:r w:rsidRPr="0008690A">
        <w:rPr>
          <w:sz w:val="25"/>
          <w:szCs w:val="25"/>
        </w:rPr>
        <w:t>the Company that requiring the words “due date” on</w:t>
      </w:r>
      <w:r w:rsidR="00804EA2" w:rsidRPr="0008690A">
        <w:rPr>
          <w:sz w:val="25"/>
          <w:szCs w:val="25"/>
        </w:rPr>
        <w:t xml:space="preserve"> </w:t>
      </w:r>
      <w:r w:rsidRPr="0008690A">
        <w:rPr>
          <w:sz w:val="25"/>
          <w:szCs w:val="25"/>
        </w:rPr>
        <w:t xml:space="preserve">AutoPay and DPO bills is unnecessary and potentially confusing.  The underlying purpose of the Commission’s regulation is to provide notice of an action that affects a customer, and that purpose is served by the language the Company now provides on its bills.  </w:t>
      </w:r>
    </w:p>
    <w:p w:rsidR="002523DC" w:rsidRPr="0008690A" w:rsidRDefault="002523DC" w:rsidP="00B66EC1">
      <w:pPr>
        <w:pStyle w:val="Findings"/>
        <w:numPr>
          <w:ilvl w:val="0"/>
          <w:numId w:val="0"/>
        </w:numPr>
        <w:rPr>
          <w:sz w:val="25"/>
          <w:szCs w:val="25"/>
        </w:rPr>
      </w:pPr>
    </w:p>
    <w:p w:rsidR="00991D92" w:rsidRDefault="006844CA" w:rsidP="00742E6B">
      <w:pPr>
        <w:pStyle w:val="Findings"/>
        <w:rPr>
          <w:sz w:val="25"/>
          <w:szCs w:val="25"/>
        </w:rPr>
      </w:pPr>
      <w:r>
        <w:rPr>
          <w:sz w:val="25"/>
          <w:szCs w:val="25"/>
        </w:rPr>
        <w:t xml:space="preserve">We find, however, that </w:t>
      </w:r>
      <w:r w:rsidR="00742E6B">
        <w:rPr>
          <w:sz w:val="25"/>
          <w:szCs w:val="25"/>
        </w:rPr>
        <w:t>CenturyLink has</w:t>
      </w:r>
      <w:r>
        <w:rPr>
          <w:sz w:val="25"/>
          <w:szCs w:val="25"/>
        </w:rPr>
        <w:t xml:space="preserve"> identified sufficient grounds</w:t>
      </w:r>
      <w:r w:rsidR="00742E6B">
        <w:rPr>
          <w:sz w:val="25"/>
          <w:szCs w:val="25"/>
        </w:rPr>
        <w:t xml:space="preserve"> for an exemption to the Commission’s rule requiring 15 days’ notice before payment is due.  </w:t>
      </w:r>
      <w:r w:rsidR="00BC51BB">
        <w:rPr>
          <w:sz w:val="25"/>
          <w:szCs w:val="25"/>
        </w:rPr>
        <w:t>The purpose of the rule is to provide consumers with adequate notice of their financial obligations</w:t>
      </w:r>
      <w:r>
        <w:rPr>
          <w:sz w:val="25"/>
          <w:szCs w:val="25"/>
        </w:rPr>
        <w:t>.  CenturyLink has been providing only five days’ notice for some time</w:t>
      </w:r>
      <w:r w:rsidR="007C11D8">
        <w:rPr>
          <w:sz w:val="25"/>
          <w:szCs w:val="25"/>
        </w:rPr>
        <w:t xml:space="preserve">, and the </w:t>
      </w:r>
      <w:r>
        <w:rPr>
          <w:sz w:val="25"/>
          <w:szCs w:val="25"/>
        </w:rPr>
        <w:t>lack of any customer complaints is a significant indication that such notice is sufficient for the Company’s DPO customers</w:t>
      </w:r>
      <w:r w:rsidR="009868BD">
        <w:rPr>
          <w:sz w:val="25"/>
          <w:szCs w:val="25"/>
        </w:rPr>
        <w:t xml:space="preserve"> and thus</w:t>
      </w:r>
      <w:r>
        <w:rPr>
          <w:sz w:val="25"/>
          <w:szCs w:val="25"/>
        </w:rPr>
        <w:t xml:space="preserve"> consistent with the rule’s intent</w:t>
      </w:r>
      <w:r w:rsidR="005A320C">
        <w:rPr>
          <w:sz w:val="25"/>
          <w:szCs w:val="25"/>
        </w:rPr>
        <w:t xml:space="preserve"> and the public interest</w:t>
      </w:r>
      <w:r>
        <w:rPr>
          <w:sz w:val="25"/>
          <w:szCs w:val="25"/>
        </w:rPr>
        <w:t xml:space="preserve">.  </w:t>
      </w:r>
      <w:r w:rsidR="005A320C">
        <w:rPr>
          <w:sz w:val="25"/>
          <w:szCs w:val="25"/>
        </w:rPr>
        <w:t xml:space="preserve">We nevertheless seek additional assurance of this fact and so </w:t>
      </w:r>
      <w:r w:rsidR="009868BD">
        <w:rPr>
          <w:sz w:val="25"/>
          <w:szCs w:val="25"/>
        </w:rPr>
        <w:t xml:space="preserve">modify the application of the 15-day interval to require only </w:t>
      </w:r>
      <w:r w:rsidR="002003D4">
        <w:rPr>
          <w:sz w:val="25"/>
          <w:szCs w:val="25"/>
        </w:rPr>
        <w:t>a five-</w:t>
      </w:r>
      <w:r w:rsidR="009868BD">
        <w:rPr>
          <w:sz w:val="25"/>
          <w:szCs w:val="25"/>
        </w:rPr>
        <w:t>day interval for CenturyLink’s DPO customers</w:t>
      </w:r>
      <w:r w:rsidR="005A320C">
        <w:rPr>
          <w:sz w:val="25"/>
          <w:szCs w:val="25"/>
        </w:rPr>
        <w:t xml:space="preserve"> on condition that </w:t>
      </w:r>
      <w:r w:rsidR="009868BD">
        <w:rPr>
          <w:sz w:val="25"/>
          <w:szCs w:val="25"/>
        </w:rPr>
        <w:t>the Company</w:t>
      </w:r>
      <w:r w:rsidR="00854CCE">
        <w:rPr>
          <w:sz w:val="25"/>
          <w:szCs w:val="25"/>
        </w:rPr>
        <w:t xml:space="preserve"> report back to the Commission on or before October </w:t>
      </w:r>
      <w:r w:rsidR="008E6902">
        <w:rPr>
          <w:sz w:val="25"/>
          <w:szCs w:val="25"/>
        </w:rPr>
        <w:t>10, 2014,</w:t>
      </w:r>
      <w:r w:rsidR="00454D9C">
        <w:rPr>
          <w:sz w:val="25"/>
          <w:szCs w:val="25"/>
        </w:rPr>
        <w:t xml:space="preserve"> </w:t>
      </w:r>
      <w:r w:rsidR="005A320C">
        <w:rPr>
          <w:sz w:val="25"/>
          <w:szCs w:val="25"/>
        </w:rPr>
        <w:t>with information on the extent t</w:t>
      </w:r>
      <w:r w:rsidR="002003D4">
        <w:rPr>
          <w:sz w:val="25"/>
          <w:szCs w:val="25"/>
        </w:rPr>
        <w:t>o which customers find the five-</w:t>
      </w:r>
      <w:r w:rsidR="005A320C">
        <w:rPr>
          <w:sz w:val="25"/>
          <w:szCs w:val="25"/>
        </w:rPr>
        <w:t>day notice period sufficient, including but not necessarily limited to</w:t>
      </w:r>
      <w:r w:rsidR="00454D9C">
        <w:rPr>
          <w:sz w:val="25"/>
          <w:szCs w:val="25"/>
        </w:rPr>
        <w:t xml:space="preserve"> </w:t>
      </w:r>
      <w:r w:rsidR="008E6902">
        <w:rPr>
          <w:sz w:val="25"/>
          <w:szCs w:val="25"/>
        </w:rPr>
        <w:t>identify</w:t>
      </w:r>
      <w:r w:rsidR="005A320C">
        <w:rPr>
          <w:sz w:val="25"/>
          <w:szCs w:val="25"/>
        </w:rPr>
        <w:t>ing</w:t>
      </w:r>
      <w:r w:rsidR="008E6902">
        <w:rPr>
          <w:sz w:val="25"/>
          <w:szCs w:val="25"/>
        </w:rPr>
        <w:t xml:space="preserve"> any consumer complaints</w:t>
      </w:r>
      <w:r w:rsidR="009868BD">
        <w:rPr>
          <w:sz w:val="25"/>
          <w:szCs w:val="25"/>
        </w:rPr>
        <w:t xml:space="preserve"> regarding that interval</w:t>
      </w:r>
      <w:r w:rsidR="00BC51BB">
        <w:rPr>
          <w:sz w:val="25"/>
          <w:szCs w:val="25"/>
        </w:rPr>
        <w:t>.</w:t>
      </w:r>
    </w:p>
    <w:p w:rsidR="00225816" w:rsidRDefault="00225816" w:rsidP="00225816">
      <w:pPr>
        <w:pStyle w:val="ListParagraph"/>
        <w:rPr>
          <w:sz w:val="25"/>
          <w:szCs w:val="25"/>
        </w:rPr>
      </w:pPr>
    </w:p>
    <w:p w:rsidR="00225816" w:rsidRPr="008809CC" w:rsidRDefault="00225816" w:rsidP="00225816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:rsidR="00225816" w:rsidRPr="008809CC" w:rsidRDefault="00225816" w:rsidP="00225816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:rsidR="00225816" w:rsidRPr="009E63E4" w:rsidRDefault="00225816" w:rsidP="00225816">
      <w:pPr>
        <w:pStyle w:val="Findings"/>
        <w:spacing w:line="320" w:lineRule="exact"/>
        <w:ind w:left="700" w:right="-360" w:hanging="1420"/>
        <w:rPr>
          <w:sz w:val="25"/>
          <w:szCs w:val="25"/>
        </w:rPr>
      </w:pPr>
      <w:r w:rsidRPr="008809CC">
        <w:t>(1)</w:t>
      </w:r>
      <w:r w:rsidRPr="008809CC">
        <w:tab/>
      </w:r>
      <w:r w:rsidRPr="009E63E4">
        <w:rPr>
          <w:sz w:val="25"/>
          <w:szCs w:val="25"/>
        </w:rPr>
        <w:t xml:space="preserve">The Washington Utilities and Transportation Commission is an agency of the State of Washington vested by statute with the authority to regulate public service companies, including telecommunications companies.  </w:t>
      </w:r>
    </w:p>
    <w:p w:rsidR="00225816" w:rsidRPr="009E63E4" w:rsidRDefault="00225816" w:rsidP="00225816">
      <w:pPr>
        <w:pStyle w:val="Findings"/>
        <w:numPr>
          <w:ilvl w:val="0"/>
          <w:numId w:val="0"/>
        </w:numPr>
        <w:spacing w:line="320" w:lineRule="exact"/>
        <w:ind w:left="700" w:right="-360"/>
        <w:rPr>
          <w:sz w:val="25"/>
          <w:szCs w:val="25"/>
        </w:rPr>
      </w:pPr>
    </w:p>
    <w:p w:rsidR="00225816" w:rsidRPr="009E63E4" w:rsidRDefault="00225816" w:rsidP="00225816">
      <w:pPr>
        <w:pStyle w:val="Findings"/>
        <w:spacing w:line="320" w:lineRule="exact"/>
        <w:ind w:left="700" w:right="-360" w:hanging="1420"/>
        <w:rPr>
          <w:sz w:val="25"/>
          <w:szCs w:val="25"/>
        </w:rPr>
      </w:pPr>
      <w:r w:rsidRPr="009E63E4">
        <w:rPr>
          <w:sz w:val="25"/>
          <w:szCs w:val="25"/>
        </w:rPr>
        <w:lastRenderedPageBreak/>
        <w:t xml:space="preserve">(2) </w:t>
      </w:r>
      <w:r w:rsidRPr="009E63E4">
        <w:rPr>
          <w:sz w:val="25"/>
          <w:szCs w:val="25"/>
        </w:rPr>
        <w:tab/>
        <w:t xml:space="preserve">CenturyLink is </w:t>
      </w:r>
      <w:r w:rsidR="00F047FF">
        <w:rPr>
          <w:sz w:val="25"/>
          <w:szCs w:val="25"/>
        </w:rPr>
        <w:t xml:space="preserve">a </w:t>
      </w:r>
      <w:r w:rsidRPr="009E63E4">
        <w:rPr>
          <w:sz w:val="25"/>
          <w:szCs w:val="25"/>
        </w:rPr>
        <w:t xml:space="preserve">telecommunications company and a public service company subject to Commission jurisdiction. </w:t>
      </w:r>
    </w:p>
    <w:p w:rsidR="00225816" w:rsidRPr="009E63E4" w:rsidRDefault="00225816" w:rsidP="00114FE8">
      <w:pPr>
        <w:pStyle w:val="Findings"/>
        <w:numPr>
          <w:ilvl w:val="0"/>
          <w:numId w:val="0"/>
        </w:numPr>
        <w:spacing w:line="320" w:lineRule="exact"/>
        <w:ind w:right="-360"/>
        <w:rPr>
          <w:sz w:val="25"/>
          <w:szCs w:val="25"/>
        </w:rPr>
      </w:pPr>
    </w:p>
    <w:p w:rsidR="00225816" w:rsidRPr="009E63E4" w:rsidRDefault="00114FE8" w:rsidP="00114FE8">
      <w:pPr>
        <w:pStyle w:val="Findings"/>
        <w:spacing w:line="320" w:lineRule="exact"/>
        <w:ind w:left="700" w:right="-360" w:hanging="1420"/>
        <w:rPr>
          <w:sz w:val="25"/>
          <w:szCs w:val="25"/>
        </w:rPr>
      </w:pPr>
      <w:r w:rsidRPr="009E63E4">
        <w:rPr>
          <w:sz w:val="25"/>
          <w:szCs w:val="25"/>
        </w:rPr>
        <w:t>(3</w:t>
      </w:r>
      <w:r w:rsidR="00225816" w:rsidRPr="009E63E4">
        <w:rPr>
          <w:sz w:val="25"/>
          <w:szCs w:val="25"/>
        </w:rPr>
        <w:t>)</w:t>
      </w:r>
      <w:r w:rsidR="00225816" w:rsidRPr="009E63E4">
        <w:rPr>
          <w:sz w:val="25"/>
          <w:szCs w:val="25"/>
        </w:rPr>
        <w:tab/>
        <w:t>The Commission may grant exemptions from</w:t>
      </w:r>
      <w:r w:rsidR="00F047FF">
        <w:rPr>
          <w:sz w:val="25"/>
          <w:szCs w:val="25"/>
        </w:rPr>
        <w:t xml:space="preserve"> its rules</w:t>
      </w:r>
      <w:r w:rsidR="009E63E4">
        <w:rPr>
          <w:sz w:val="25"/>
          <w:szCs w:val="25"/>
        </w:rPr>
        <w:t xml:space="preserve"> </w:t>
      </w:r>
      <w:r w:rsidR="00225816" w:rsidRPr="009E63E4">
        <w:rPr>
          <w:sz w:val="25"/>
          <w:szCs w:val="25"/>
        </w:rPr>
        <w:t xml:space="preserve">if </w:t>
      </w:r>
      <w:r w:rsidR="007D5999">
        <w:rPr>
          <w:sz w:val="25"/>
          <w:szCs w:val="25"/>
        </w:rPr>
        <w:t xml:space="preserve">the exemptions are </w:t>
      </w:r>
      <w:r w:rsidR="00225816" w:rsidRPr="009E63E4">
        <w:rPr>
          <w:sz w:val="25"/>
          <w:szCs w:val="25"/>
        </w:rPr>
        <w:t xml:space="preserve">consistent with the public interest, the purposes underlying </w:t>
      </w:r>
      <w:r w:rsidR="005777A0">
        <w:rPr>
          <w:sz w:val="25"/>
          <w:szCs w:val="25"/>
        </w:rPr>
        <w:t xml:space="preserve">the </w:t>
      </w:r>
      <w:r w:rsidR="00225816" w:rsidRPr="009E63E4">
        <w:rPr>
          <w:sz w:val="25"/>
          <w:szCs w:val="25"/>
        </w:rPr>
        <w:t>regulation</w:t>
      </w:r>
      <w:r w:rsidR="005777A0">
        <w:rPr>
          <w:sz w:val="25"/>
          <w:szCs w:val="25"/>
        </w:rPr>
        <w:t>s</w:t>
      </w:r>
      <w:r w:rsidR="00225816" w:rsidRPr="009E63E4">
        <w:rPr>
          <w:sz w:val="25"/>
          <w:szCs w:val="25"/>
        </w:rPr>
        <w:t>, and applicable statutes</w:t>
      </w:r>
      <w:r w:rsidR="005777A0">
        <w:rPr>
          <w:sz w:val="25"/>
          <w:szCs w:val="25"/>
        </w:rPr>
        <w:t xml:space="preserve">. </w:t>
      </w:r>
    </w:p>
    <w:p w:rsidR="00225816" w:rsidRPr="009E63E4" w:rsidRDefault="00225816" w:rsidP="00225816">
      <w:pPr>
        <w:pStyle w:val="Findings"/>
        <w:numPr>
          <w:ilvl w:val="0"/>
          <w:numId w:val="0"/>
        </w:numPr>
        <w:spacing w:line="320" w:lineRule="exact"/>
        <w:ind w:right="-360"/>
        <w:rPr>
          <w:sz w:val="25"/>
          <w:szCs w:val="25"/>
        </w:rPr>
      </w:pPr>
    </w:p>
    <w:p w:rsidR="00225816" w:rsidRDefault="00225816" w:rsidP="00225816">
      <w:pPr>
        <w:pStyle w:val="Findings"/>
        <w:spacing w:line="320" w:lineRule="exact"/>
        <w:ind w:left="700" w:right="-360" w:hanging="1420"/>
        <w:rPr>
          <w:sz w:val="25"/>
          <w:szCs w:val="25"/>
        </w:rPr>
      </w:pPr>
      <w:r w:rsidRPr="009E63E4">
        <w:rPr>
          <w:sz w:val="25"/>
          <w:szCs w:val="25"/>
        </w:rPr>
        <w:t>(</w:t>
      </w:r>
      <w:r w:rsidR="00114FE8" w:rsidRPr="009E63E4">
        <w:rPr>
          <w:sz w:val="25"/>
          <w:szCs w:val="25"/>
        </w:rPr>
        <w:t>4</w:t>
      </w:r>
      <w:r w:rsidRPr="009E63E4">
        <w:rPr>
          <w:sz w:val="25"/>
          <w:szCs w:val="25"/>
        </w:rPr>
        <w:t>)</w:t>
      </w:r>
      <w:r w:rsidRPr="009E63E4">
        <w:rPr>
          <w:sz w:val="25"/>
          <w:szCs w:val="25"/>
        </w:rPr>
        <w:tab/>
        <w:t>This matter came before the Commission at its regularly scheduled meeting on</w:t>
      </w:r>
      <w:r w:rsidRPr="009E63E4">
        <w:rPr>
          <w:sz w:val="25"/>
          <w:szCs w:val="25"/>
        </w:rPr>
        <w:fldChar w:fldCharType="begin"/>
      </w:r>
      <w:r w:rsidRPr="009E63E4">
        <w:rPr>
          <w:sz w:val="25"/>
          <w:szCs w:val="25"/>
        </w:rPr>
        <w:instrText xml:space="preserve"> ASK om_date "Enter Open Meeting Date "</w:instrText>
      </w:r>
      <w:r w:rsidRPr="009E63E4">
        <w:rPr>
          <w:sz w:val="25"/>
          <w:szCs w:val="25"/>
        </w:rPr>
        <w:fldChar w:fldCharType="separate"/>
      </w:r>
      <w:bookmarkStart w:id="5" w:name="om_date"/>
      <w:r w:rsidRPr="009E63E4">
        <w:rPr>
          <w:sz w:val="25"/>
          <w:szCs w:val="25"/>
        </w:rPr>
        <w:t>February 1, 2025</w:t>
      </w:r>
      <w:bookmarkEnd w:id="5"/>
      <w:r w:rsidRPr="009E63E4">
        <w:rPr>
          <w:sz w:val="25"/>
          <w:szCs w:val="25"/>
        </w:rPr>
        <w:fldChar w:fldCharType="end"/>
      </w:r>
      <w:r w:rsidRPr="009E63E4">
        <w:rPr>
          <w:sz w:val="25"/>
          <w:szCs w:val="25"/>
        </w:rPr>
        <w:t xml:space="preserve"> </w:t>
      </w:r>
      <w:r w:rsidR="005777A0">
        <w:rPr>
          <w:sz w:val="25"/>
          <w:szCs w:val="25"/>
        </w:rPr>
        <w:t>October 10, 2013</w:t>
      </w:r>
      <w:r w:rsidRPr="009E63E4">
        <w:rPr>
          <w:sz w:val="25"/>
          <w:szCs w:val="25"/>
        </w:rPr>
        <w:t>.</w:t>
      </w:r>
    </w:p>
    <w:p w:rsidR="00964A73" w:rsidRDefault="00964A73" w:rsidP="00964A73">
      <w:pPr>
        <w:pStyle w:val="ListParagraph"/>
        <w:rPr>
          <w:sz w:val="25"/>
          <w:szCs w:val="25"/>
        </w:rPr>
      </w:pPr>
    </w:p>
    <w:p w:rsidR="002523DC" w:rsidRDefault="00225816" w:rsidP="00964A73">
      <w:pPr>
        <w:pStyle w:val="Findings"/>
        <w:spacing w:line="320" w:lineRule="exact"/>
        <w:ind w:left="700" w:right="-360" w:hanging="1420"/>
        <w:rPr>
          <w:sz w:val="25"/>
          <w:szCs w:val="25"/>
        </w:rPr>
      </w:pPr>
      <w:r w:rsidRPr="00964A73">
        <w:rPr>
          <w:sz w:val="25"/>
          <w:szCs w:val="25"/>
        </w:rPr>
        <w:t>(</w:t>
      </w:r>
      <w:r w:rsidR="00114FE8" w:rsidRPr="00964A73">
        <w:rPr>
          <w:sz w:val="25"/>
          <w:szCs w:val="25"/>
        </w:rPr>
        <w:t>5</w:t>
      </w:r>
      <w:r w:rsidRPr="00964A73">
        <w:rPr>
          <w:sz w:val="25"/>
          <w:szCs w:val="25"/>
        </w:rPr>
        <w:t>)</w:t>
      </w:r>
      <w:r w:rsidRPr="00964A73">
        <w:rPr>
          <w:sz w:val="25"/>
          <w:szCs w:val="25"/>
        </w:rPr>
        <w:tab/>
      </w:r>
      <w:r w:rsidR="004F5895" w:rsidRPr="00964A73">
        <w:rPr>
          <w:sz w:val="25"/>
          <w:szCs w:val="25"/>
        </w:rPr>
        <w:t>WAC 480-120-161(2) require</w:t>
      </w:r>
      <w:r w:rsidR="00785B60">
        <w:rPr>
          <w:sz w:val="25"/>
          <w:szCs w:val="25"/>
        </w:rPr>
        <w:t>s</w:t>
      </w:r>
      <w:r w:rsidR="004F5895" w:rsidRPr="00964A73">
        <w:rPr>
          <w:sz w:val="25"/>
          <w:szCs w:val="25"/>
        </w:rPr>
        <w:t xml:space="preserve"> </w:t>
      </w:r>
      <w:r w:rsidR="00785B60">
        <w:rPr>
          <w:sz w:val="25"/>
          <w:szCs w:val="25"/>
        </w:rPr>
        <w:t xml:space="preserve">companies </w:t>
      </w:r>
      <w:r w:rsidR="004F5895" w:rsidRPr="00964A73">
        <w:rPr>
          <w:sz w:val="25"/>
          <w:szCs w:val="25"/>
        </w:rPr>
        <w:t xml:space="preserve">to include due date information on </w:t>
      </w:r>
      <w:r w:rsidR="00785B60">
        <w:rPr>
          <w:sz w:val="25"/>
          <w:szCs w:val="25"/>
        </w:rPr>
        <w:t xml:space="preserve">customers’ </w:t>
      </w:r>
      <w:r w:rsidR="004F5895" w:rsidRPr="00964A73">
        <w:rPr>
          <w:sz w:val="25"/>
          <w:szCs w:val="25"/>
        </w:rPr>
        <w:t xml:space="preserve">bills </w:t>
      </w:r>
      <w:r w:rsidR="0031470D">
        <w:rPr>
          <w:sz w:val="25"/>
          <w:szCs w:val="25"/>
        </w:rPr>
        <w:t>to inform them</w:t>
      </w:r>
      <w:r w:rsidR="004F5895" w:rsidRPr="00964A73">
        <w:rPr>
          <w:sz w:val="25"/>
          <w:szCs w:val="25"/>
        </w:rPr>
        <w:t xml:space="preserve"> when </w:t>
      </w:r>
      <w:r w:rsidR="0031470D">
        <w:rPr>
          <w:sz w:val="25"/>
          <w:szCs w:val="25"/>
        </w:rPr>
        <w:t xml:space="preserve">their </w:t>
      </w:r>
      <w:r w:rsidR="004F5895" w:rsidRPr="00964A73">
        <w:rPr>
          <w:sz w:val="25"/>
          <w:szCs w:val="25"/>
        </w:rPr>
        <w:t xml:space="preserve">payment is due.  </w:t>
      </w:r>
    </w:p>
    <w:p w:rsidR="00964A73" w:rsidRDefault="00964A73" w:rsidP="00964A73">
      <w:pPr>
        <w:pStyle w:val="ListParagraph"/>
        <w:rPr>
          <w:sz w:val="25"/>
          <w:szCs w:val="25"/>
        </w:rPr>
      </w:pPr>
    </w:p>
    <w:p w:rsidR="002523DC" w:rsidRDefault="002523DC" w:rsidP="00964A73">
      <w:pPr>
        <w:pStyle w:val="Findings"/>
        <w:spacing w:line="320" w:lineRule="exact"/>
        <w:ind w:left="700" w:right="-360" w:hanging="1420"/>
        <w:rPr>
          <w:sz w:val="25"/>
          <w:szCs w:val="25"/>
        </w:rPr>
      </w:pPr>
      <w:r w:rsidRPr="00964A73">
        <w:rPr>
          <w:sz w:val="25"/>
          <w:szCs w:val="25"/>
        </w:rPr>
        <w:t>(6)</w:t>
      </w:r>
      <w:r w:rsidRPr="00964A73">
        <w:rPr>
          <w:sz w:val="25"/>
          <w:szCs w:val="25"/>
        </w:rPr>
        <w:tab/>
      </w:r>
      <w:r w:rsidR="00785B60">
        <w:rPr>
          <w:sz w:val="25"/>
          <w:szCs w:val="25"/>
        </w:rPr>
        <w:t xml:space="preserve">The language </w:t>
      </w:r>
      <w:r w:rsidR="004F5895" w:rsidRPr="00964A73">
        <w:rPr>
          <w:sz w:val="25"/>
          <w:szCs w:val="25"/>
        </w:rPr>
        <w:t>CenturyLink</w:t>
      </w:r>
      <w:r w:rsidR="00785B60">
        <w:rPr>
          <w:sz w:val="25"/>
          <w:szCs w:val="25"/>
        </w:rPr>
        <w:t xml:space="preserve"> includes in it</w:t>
      </w:r>
      <w:r w:rsidR="004F5895" w:rsidRPr="00964A73">
        <w:rPr>
          <w:sz w:val="25"/>
          <w:szCs w:val="25"/>
        </w:rPr>
        <w:t>s AutoPay and DPO bills fulfill</w:t>
      </w:r>
      <w:r w:rsidR="00785B60">
        <w:rPr>
          <w:sz w:val="25"/>
          <w:szCs w:val="25"/>
        </w:rPr>
        <w:t>s</w:t>
      </w:r>
      <w:r w:rsidR="004F5895" w:rsidRPr="00964A73">
        <w:rPr>
          <w:sz w:val="25"/>
          <w:szCs w:val="25"/>
        </w:rPr>
        <w:t xml:space="preserve"> the purpose of the rule by</w:t>
      </w:r>
      <w:r w:rsidR="002003D4">
        <w:rPr>
          <w:sz w:val="25"/>
          <w:szCs w:val="25"/>
        </w:rPr>
        <w:t xml:space="preserve"> informing its</w:t>
      </w:r>
      <w:r w:rsidR="00785B60">
        <w:rPr>
          <w:sz w:val="25"/>
          <w:szCs w:val="25"/>
        </w:rPr>
        <w:t xml:space="preserve"> customers when the Company will </w:t>
      </w:r>
      <w:r w:rsidR="00326EB4">
        <w:rPr>
          <w:sz w:val="25"/>
          <w:szCs w:val="25"/>
        </w:rPr>
        <w:t xml:space="preserve">obtain payment by </w:t>
      </w:r>
      <w:r w:rsidR="00785B60">
        <w:rPr>
          <w:sz w:val="25"/>
          <w:szCs w:val="25"/>
        </w:rPr>
        <w:t>withdraw</w:t>
      </w:r>
      <w:r w:rsidR="00326EB4">
        <w:rPr>
          <w:sz w:val="25"/>
          <w:szCs w:val="25"/>
        </w:rPr>
        <w:t>ing</w:t>
      </w:r>
      <w:r w:rsidR="004F5895" w:rsidRPr="00964A73">
        <w:rPr>
          <w:sz w:val="25"/>
          <w:szCs w:val="25"/>
        </w:rPr>
        <w:t xml:space="preserve"> funds from </w:t>
      </w:r>
      <w:r w:rsidR="00326EB4">
        <w:rPr>
          <w:sz w:val="25"/>
          <w:szCs w:val="25"/>
        </w:rPr>
        <w:t xml:space="preserve">the </w:t>
      </w:r>
      <w:r w:rsidR="0031470D">
        <w:rPr>
          <w:sz w:val="25"/>
          <w:szCs w:val="25"/>
        </w:rPr>
        <w:t>customer</w:t>
      </w:r>
      <w:r w:rsidR="00326EB4">
        <w:rPr>
          <w:sz w:val="25"/>
          <w:szCs w:val="25"/>
        </w:rPr>
        <w:t>’s</w:t>
      </w:r>
      <w:r w:rsidR="0031470D">
        <w:rPr>
          <w:sz w:val="25"/>
          <w:szCs w:val="25"/>
        </w:rPr>
        <w:t xml:space="preserve"> </w:t>
      </w:r>
      <w:r w:rsidR="004F5895" w:rsidRPr="00964A73">
        <w:rPr>
          <w:sz w:val="25"/>
          <w:szCs w:val="25"/>
        </w:rPr>
        <w:t xml:space="preserve">account </w:t>
      </w:r>
      <w:r w:rsidR="0031470D">
        <w:rPr>
          <w:sz w:val="25"/>
          <w:szCs w:val="25"/>
        </w:rPr>
        <w:t>or charg</w:t>
      </w:r>
      <w:r w:rsidR="00326EB4">
        <w:rPr>
          <w:sz w:val="25"/>
          <w:szCs w:val="25"/>
        </w:rPr>
        <w:t>ing the customer’s</w:t>
      </w:r>
      <w:r w:rsidR="004F5895" w:rsidRPr="00964A73">
        <w:rPr>
          <w:sz w:val="25"/>
          <w:szCs w:val="25"/>
        </w:rPr>
        <w:t xml:space="preserve"> credit </w:t>
      </w:r>
      <w:r w:rsidR="0031470D">
        <w:rPr>
          <w:sz w:val="25"/>
          <w:szCs w:val="25"/>
        </w:rPr>
        <w:t>or</w:t>
      </w:r>
      <w:r w:rsidR="004F5895" w:rsidRPr="00964A73">
        <w:rPr>
          <w:sz w:val="25"/>
          <w:szCs w:val="25"/>
        </w:rPr>
        <w:t xml:space="preserve"> debit card.</w:t>
      </w:r>
      <w:r w:rsidR="0008690A" w:rsidRPr="00964A73">
        <w:rPr>
          <w:sz w:val="25"/>
          <w:szCs w:val="25"/>
        </w:rPr>
        <w:t xml:space="preserve">  </w:t>
      </w:r>
    </w:p>
    <w:p w:rsidR="00964A73" w:rsidRDefault="00964A73" w:rsidP="00964A73">
      <w:pPr>
        <w:pStyle w:val="ListParagraph"/>
        <w:rPr>
          <w:sz w:val="25"/>
          <w:szCs w:val="25"/>
        </w:rPr>
      </w:pPr>
    </w:p>
    <w:p w:rsidR="0008690A" w:rsidRDefault="002523DC" w:rsidP="00964A73">
      <w:pPr>
        <w:pStyle w:val="Findings"/>
        <w:spacing w:line="320" w:lineRule="exact"/>
        <w:ind w:left="700" w:right="-360" w:hanging="1420"/>
        <w:rPr>
          <w:sz w:val="25"/>
          <w:szCs w:val="25"/>
        </w:rPr>
      </w:pPr>
      <w:r w:rsidRPr="00964A73">
        <w:rPr>
          <w:sz w:val="25"/>
          <w:szCs w:val="25"/>
        </w:rPr>
        <w:t>(7)</w:t>
      </w:r>
      <w:r w:rsidRPr="00964A73">
        <w:rPr>
          <w:sz w:val="25"/>
          <w:szCs w:val="25"/>
        </w:rPr>
        <w:tab/>
      </w:r>
      <w:r w:rsidR="0008690A" w:rsidRPr="00964A73">
        <w:rPr>
          <w:sz w:val="25"/>
          <w:szCs w:val="25"/>
        </w:rPr>
        <w:t xml:space="preserve">CenturyLink’s requested exemption </w:t>
      </w:r>
      <w:r w:rsidR="00326EB4">
        <w:rPr>
          <w:sz w:val="25"/>
          <w:szCs w:val="25"/>
        </w:rPr>
        <w:t>from the requirement in WAC 480-120-161(2) to include</w:t>
      </w:r>
      <w:r w:rsidR="0008690A" w:rsidRPr="00964A73">
        <w:rPr>
          <w:sz w:val="25"/>
          <w:szCs w:val="25"/>
        </w:rPr>
        <w:t xml:space="preserve"> “due date” language on AutoPay and DPO bills is in the public interest</w:t>
      </w:r>
      <w:r w:rsidR="002003D4">
        <w:rPr>
          <w:sz w:val="25"/>
          <w:szCs w:val="25"/>
        </w:rPr>
        <w:t xml:space="preserve"> and</w:t>
      </w:r>
      <w:r w:rsidR="0008690A" w:rsidRPr="00964A73">
        <w:rPr>
          <w:sz w:val="25"/>
          <w:szCs w:val="25"/>
        </w:rPr>
        <w:t xml:space="preserve"> consistent with the purposes underlying the </w:t>
      </w:r>
      <w:r w:rsidR="0008172C" w:rsidRPr="00964A73">
        <w:rPr>
          <w:sz w:val="25"/>
          <w:szCs w:val="25"/>
        </w:rPr>
        <w:t>regulation and applicable statutes.</w:t>
      </w:r>
    </w:p>
    <w:p w:rsidR="00964A73" w:rsidRDefault="00964A73" w:rsidP="00964A73">
      <w:pPr>
        <w:pStyle w:val="ListParagraph"/>
        <w:rPr>
          <w:sz w:val="25"/>
          <w:szCs w:val="25"/>
        </w:rPr>
      </w:pPr>
    </w:p>
    <w:p w:rsidR="002523DC" w:rsidRDefault="002523DC" w:rsidP="00964A73">
      <w:pPr>
        <w:pStyle w:val="Findings"/>
        <w:spacing w:line="320" w:lineRule="exact"/>
        <w:ind w:left="700" w:right="-360" w:hanging="1420"/>
        <w:rPr>
          <w:sz w:val="25"/>
          <w:szCs w:val="25"/>
        </w:rPr>
      </w:pPr>
      <w:r w:rsidRPr="00964A73">
        <w:rPr>
          <w:sz w:val="25"/>
          <w:szCs w:val="25"/>
        </w:rPr>
        <w:t>(8)</w:t>
      </w:r>
      <w:r w:rsidRPr="00964A73">
        <w:rPr>
          <w:sz w:val="25"/>
          <w:szCs w:val="25"/>
        </w:rPr>
        <w:tab/>
        <w:t>WAC 480-120-161(2)</w:t>
      </w:r>
      <w:r w:rsidR="00326EB4">
        <w:rPr>
          <w:sz w:val="25"/>
          <w:szCs w:val="25"/>
        </w:rPr>
        <w:t xml:space="preserve"> requires </w:t>
      </w:r>
      <w:r w:rsidR="00C63C14">
        <w:rPr>
          <w:sz w:val="25"/>
          <w:szCs w:val="25"/>
        </w:rPr>
        <w:t xml:space="preserve">that </w:t>
      </w:r>
      <w:r w:rsidR="00506928">
        <w:rPr>
          <w:sz w:val="25"/>
          <w:szCs w:val="25"/>
        </w:rPr>
        <w:t xml:space="preserve">customer </w:t>
      </w:r>
      <w:r w:rsidR="00C63C14">
        <w:rPr>
          <w:sz w:val="25"/>
          <w:szCs w:val="25"/>
        </w:rPr>
        <w:t>bill</w:t>
      </w:r>
      <w:r w:rsidR="00506928">
        <w:rPr>
          <w:sz w:val="25"/>
          <w:szCs w:val="25"/>
        </w:rPr>
        <w:t>s</w:t>
      </w:r>
      <w:r w:rsidR="00C63C14">
        <w:rPr>
          <w:sz w:val="25"/>
          <w:szCs w:val="25"/>
        </w:rPr>
        <w:t xml:space="preserve"> allow a minimum of fifteen days from the date of mailing </w:t>
      </w:r>
      <w:r w:rsidR="00B11AE3">
        <w:rPr>
          <w:sz w:val="25"/>
          <w:szCs w:val="25"/>
        </w:rPr>
        <w:t>to the date payment is due</w:t>
      </w:r>
      <w:r w:rsidR="00506928">
        <w:rPr>
          <w:sz w:val="25"/>
          <w:szCs w:val="25"/>
        </w:rPr>
        <w:t xml:space="preserve"> to give customers adequate time to review their bills and, if necessary, question or dispute the charges and </w:t>
      </w:r>
      <w:r w:rsidR="009868BD">
        <w:rPr>
          <w:sz w:val="25"/>
          <w:szCs w:val="25"/>
        </w:rPr>
        <w:t>submit payment</w:t>
      </w:r>
      <w:r w:rsidRPr="00964A73">
        <w:rPr>
          <w:sz w:val="25"/>
          <w:szCs w:val="25"/>
        </w:rPr>
        <w:t>.</w:t>
      </w:r>
    </w:p>
    <w:p w:rsidR="00964A73" w:rsidRDefault="00964A73" w:rsidP="00964A73">
      <w:pPr>
        <w:pStyle w:val="ListParagraph"/>
        <w:rPr>
          <w:sz w:val="25"/>
          <w:szCs w:val="25"/>
        </w:rPr>
      </w:pPr>
    </w:p>
    <w:p w:rsidR="003B1021" w:rsidRDefault="00530643" w:rsidP="00964A73">
      <w:pPr>
        <w:pStyle w:val="Findings"/>
        <w:spacing w:line="320" w:lineRule="exact"/>
        <w:ind w:left="700" w:right="-360" w:hanging="1420"/>
        <w:rPr>
          <w:sz w:val="25"/>
          <w:szCs w:val="25"/>
        </w:rPr>
      </w:pPr>
      <w:r w:rsidRPr="00964A73">
        <w:rPr>
          <w:sz w:val="25"/>
          <w:szCs w:val="25"/>
        </w:rPr>
        <w:t>(9)</w:t>
      </w:r>
      <w:r w:rsidRPr="00964A73">
        <w:rPr>
          <w:sz w:val="25"/>
          <w:szCs w:val="25"/>
        </w:rPr>
        <w:tab/>
      </w:r>
      <w:r w:rsidR="00034DF6">
        <w:rPr>
          <w:sz w:val="25"/>
          <w:szCs w:val="25"/>
        </w:rPr>
        <w:t>CenturyLink has been providing</w:t>
      </w:r>
      <w:r w:rsidR="00B11AE3">
        <w:rPr>
          <w:sz w:val="25"/>
          <w:szCs w:val="25"/>
        </w:rPr>
        <w:t xml:space="preserve"> DPO customers </w:t>
      </w:r>
      <w:r w:rsidR="00034DF6">
        <w:rPr>
          <w:sz w:val="25"/>
          <w:szCs w:val="25"/>
        </w:rPr>
        <w:t>with</w:t>
      </w:r>
      <w:r w:rsidR="00B11AE3">
        <w:rPr>
          <w:sz w:val="25"/>
          <w:szCs w:val="25"/>
        </w:rPr>
        <w:t xml:space="preserve"> an interval of </w:t>
      </w:r>
      <w:r w:rsidR="00034DF6">
        <w:rPr>
          <w:sz w:val="25"/>
          <w:szCs w:val="25"/>
        </w:rPr>
        <w:t xml:space="preserve">only </w:t>
      </w:r>
      <w:r w:rsidR="00B11AE3">
        <w:rPr>
          <w:sz w:val="25"/>
          <w:szCs w:val="25"/>
        </w:rPr>
        <w:t>five days from the date of transmitting the bill to the date payment is due</w:t>
      </w:r>
      <w:r w:rsidR="00034DF6">
        <w:rPr>
          <w:sz w:val="25"/>
          <w:szCs w:val="25"/>
        </w:rPr>
        <w:t xml:space="preserve"> and has received no complaints from these customers that this interval provides</w:t>
      </w:r>
      <w:r w:rsidR="00B11AE3">
        <w:rPr>
          <w:sz w:val="25"/>
          <w:szCs w:val="25"/>
        </w:rPr>
        <w:t xml:space="preserve"> </w:t>
      </w:r>
      <w:r w:rsidR="002003D4">
        <w:rPr>
          <w:sz w:val="25"/>
          <w:szCs w:val="25"/>
        </w:rPr>
        <w:t>in</w:t>
      </w:r>
      <w:r w:rsidR="003B1021">
        <w:rPr>
          <w:sz w:val="25"/>
          <w:szCs w:val="25"/>
        </w:rPr>
        <w:t xml:space="preserve">sufficient time for customers to review and raise any questions or disputes about their bills prior to paying them.  </w:t>
      </w:r>
    </w:p>
    <w:p w:rsidR="002003D4" w:rsidRDefault="002003D4" w:rsidP="002003D4">
      <w:pPr>
        <w:pStyle w:val="Findings"/>
        <w:numPr>
          <w:ilvl w:val="0"/>
          <w:numId w:val="0"/>
        </w:numPr>
        <w:spacing w:line="320" w:lineRule="exact"/>
        <w:ind w:left="700" w:right="-360"/>
        <w:rPr>
          <w:sz w:val="25"/>
          <w:szCs w:val="25"/>
        </w:rPr>
      </w:pPr>
    </w:p>
    <w:p w:rsidR="005C3DCE" w:rsidRPr="00964A73" w:rsidRDefault="00E522C7" w:rsidP="00964A73">
      <w:pPr>
        <w:pStyle w:val="Findings"/>
        <w:spacing w:line="320" w:lineRule="exact"/>
        <w:ind w:left="700" w:right="-360" w:hanging="1420"/>
        <w:rPr>
          <w:sz w:val="25"/>
          <w:szCs w:val="25"/>
        </w:rPr>
      </w:pPr>
      <w:r>
        <w:rPr>
          <w:sz w:val="25"/>
          <w:szCs w:val="25"/>
        </w:rPr>
        <w:t>(1</w:t>
      </w:r>
      <w:r w:rsidR="0052605A">
        <w:rPr>
          <w:sz w:val="25"/>
          <w:szCs w:val="25"/>
        </w:rPr>
        <w:t>0</w:t>
      </w:r>
      <w:r>
        <w:rPr>
          <w:sz w:val="25"/>
          <w:szCs w:val="25"/>
        </w:rPr>
        <w:t>)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D25FEF" w:rsidRPr="00964A73">
        <w:rPr>
          <w:sz w:val="25"/>
          <w:szCs w:val="25"/>
        </w:rPr>
        <w:t xml:space="preserve">Reducing the </w:t>
      </w:r>
      <w:r w:rsidR="00847E1F">
        <w:rPr>
          <w:sz w:val="25"/>
          <w:szCs w:val="25"/>
        </w:rPr>
        <w:t>notice</w:t>
      </w:r>
      <w:r w:rsidR="00D25FEF" w:rsidRPr="00964A73">
        <w:rPr>
          <w:sz w:val="25"/>
          <w:szCs w:val="25"/>
        </w:rPr>
        <w:t xml:space="preserve"> </w:t>
      </w:r>
      <w:r w:rsidR="003B1021">
        <w:rPr>
          <w:sz w:val="25"/>
          <w:szCs w:val="25"/>
        </w:rPr>
        <w:t xml:space="preserve">in WAC 480-120-161(2) </w:t>
      </w:r>
      <w:r w:rsidR="00D25FEF" w:rsidRPr="00964A73">
        <w:rPr>
          <w:sz w:val="25"/>
          <w:szCs w:val="25"/>
        </w:rPr>
        <w:t xml:space="preserve">from 15 to five days </w:t>
      </w:r>
      <w:r w:rsidR="0052605A">
        <w:rPr>
          <w:sz w:val="25"/>
          <w:szCs w:val="25"/>
        </w:rPr>
        <w:t>is</w:t>
      </w:r>
      <w:r w:rsidR="00D25FEF" w:rsidRPr="00964A73">
        <w:rPr>
          <w:sz w:val="25"/>
          <w:szCs w:val="25"/>
        </w:rPr>
        <w:t xml:space="preserve"> con</w:t>
      </w:r>
      <w:r w:rsidR="002420DF">
        <w:rPr>
          <w:sz w:val="25"/>
          <w:szCs w:val="25"/>
        </w:rPr>
        <w:t>sistent</w:t>
      </w:r>
      <w:r w:rsidR="00D25FEF" w:rsidRPr="00964A73">
        <w:rPr>
          <w:sz w:val="25"/>
          <w:szCs w:val="25"/>
        </w:rPr>
        <w:t xml:space="preserve"> </w:t>
      </w:r>
      <w:r w:rsidR="00106436">
        <w:rPr>
          <w:sz w:val="25"/>
          <w:szCs w:val="25"/>
        </w:rPr>
        <w:t xml:space="preserve">with </w:t>
      </w:r>
      <w:r w:rsidR="00D25FEF" w:rsidRPr="00964A73">
        <w:rPr>
          <w:sz w:val="25"/>
          <w:szCs w:val="25"/>
        </w:rPr>
        <w:t xml:space="preserve">the intent of the rule </w:t>
      </w:r>
      <w:r w:rsidR="002420DF">
        <w:rPr>
          <w:sz w:val="25"/>
          <w:szCs w:val="25"/>
        </w:rPr>
        <w:t>and</w:t>
      </w:r>
      <w:r w:rsidR="00D25FEF" w:rsidRPr="00964A73">
        <w:rPr>
          <w:sz w:val="25"/>
          <w:szCs w:val="25"/>
        </w:rPr>
        <w:t xml:space="preserve"> the public interest</w:t>
      </w:r>
      <w:r w:rsidR="0052605A">
        <w:rPr>
          <w:sz w:val="25"/>
          <w:szCs w:val="25"/>
        </w:rPr>
        <w:t>, subject to the Com</w:t>
      </w:r>
      <w:r w:rsidR="00034DF6">
        <w:rPr>
          <w:sz w:val="25"/>
          <w:szCs w:val="25"/>
        </w:rPr>
        <w:t>pany reporting on its customers’ experience with the reduced interval over the next year</w:t>
      </w:r>
      <w:r w:rsidR="00530643" w:rsidRPr="00964A73">
        <w:rPr>
          <w:sz w:val="25"/>
          <w:szCs w:val="25"/>
        </w:rPr>
        <w:t>.</w:t>
      </w:r>
    </w:p>
    <w:p w:rsidR="005C3DCE" w:rsidRPr="005C3DCE" w:rsidRDefault="005C3DCE" w:rsidP="005C3DCE">
      <w:pPr>
        <w:pStyle w:val="Findings"/>
        <w:numPr>
          <w:ilvl w:val="0"/>
          <w:numId w:val="0"/>
        </w:numPr>
        <w:spacing w:line="320" w:lineRule="exact"/>
        <w:ind w:left="700" w:right="-360"/>
        <w:rPr>
          <w:sz w:val="25"/>
          <w:szCs w:val="25"/>
        </w:rPr>
      </w:pPr>
    </w:p>
    <w:p w:rsidR="00EF6E08" w:rsidRPr="00940222" w:rsidRDefault="00EF6E08" w:rsidP="005C530C">
      <w:pPr>
        <w:pStyle w:val="Findings"/>
        <w:numPr>
          <w:ilvl w:val="0"/>
          <w:numId w:val="0"/>
        </w:numPr>
        <w:spacing w:line="320" w:lineRule="exact"/>
        <w:ind w:right="-360"/>
        <w:jc w:val="center"/>
        <w:rPr>
          <w:b/>
          <w:bCs/>
          <w:sz w:val="25"/>
          <w:szCs w:val="25"/>
        </w:rPr>
      </w:pPr>
      <w:r w:rsidRPr="00940222">
        <w:rPr>
          <w:b/>
          <w:bCs/>
          <w:sz w:val="25"/>
          <w:szCs w:val="25"/>
        </w:rPr>
        <w:lastRenderedPageBreak/>
        <w:t>ORDER</w:t>
      </w:r>
    </w:p>
    <w:p w:rsidR="00EF6E08" w:rsidRPr="00940222" w:rsidRDefault="00EF6E08" w:rsidP="0014618D">
      <w:pPr>
        <w:spacing w:line="320" w:lineRule="exact"/>
        <w:ind w:right="-360"/>
        <w:rPr>
          <w:sz w:val="25"/>
          <w:szCs w:val="25"/>
        </w:rPr>
      </w:pPr>
    </w:p>
    <w:p w:rsidR="00EF6E08" w:rsidRPr="00940222" w:rsidRDefault="00EF6E08" w:rsidP="0014618D">
      <w:pPr>
        <w:spacing w:line="320" w:lineRule="exact"/>
        <w:ind w:left="-720" w:right="-360" w:firstLine="720"/>
        <w:rPr>
          <w:b/>
          <w:sz w:val="25"/>
          <w:szCs w:val="25"/>
        </w:rPr>
      </w:pPr>
      <w:r w:rsidRPr="00940222">
        <w:rPr>
          <w:b/>
          <w:sz w:val="25"/>
          <w:szCs w:val="25"/>
        </w:rPr>
        <w:t>THE COMMISSION ORDERS:</w:t>
      </w:r>
    </w:p>
    <w:p w:rsidR="00EF6E08" w:rsidRPr="00940222" w:rsidRDefault="00EF6E08" w:rsidP="0014618D">
      <w:pPr>
        <w:spacing w:line="320" w:lineRule="exact"/>
        <w:ind w:left="-720" w:right="-360"/>
        <w:rPr>
          <w:sz w:val="25"/>
          <w:szCs w:val="25"/>
        </w:rPr>
      </w:pPr>
    </w:p>
    <w:p w:rsidR="00255EBE" w:rsidRDefault="00EF6E08" w:rsidP="00407A99">
      <w:pPr>
        <w:numPr>
          <w:ilvl w:val="0"/>
          <w:numId w:val="1"/>
        </w:numPr>
        <w:spacing w:line="320" w:lineRule="exact"/>
        <w:ind w:left="700" w:right="-360" w:hanging="1420"/>
        <w:rPr>
          <w:sz w:val="25"/>
          <w:szCs w:val="25"/>
        </w:rPr>
      </w:pPr>
      <w:r w:rsidRPr="00940222">
        <w:rPr>
          <w:sz w:val="25"/>
          <w:szCs w:val="25"/>
        </w:rPr>
        <w:t>(1)</w:t>
      </w:r>
      <w:r w:rsidRPr="00940222">
        <w:rPr>
          <w:sz w:val="25"/>
          <w:szCs w:val="25"/>
        </w:rPr>
        <w:tab/>
      </w:r>
      <w:r w:rsidR="00407A99">
        <w:rPr>
          <w:sz w:val="25"/>
          <w:szCs w:val="25"/>
        </w:rPr>
        <w:t xml:space="preserve">CenturyLink’s petition for exemption from the requirement of WAC </w:t>
      </w:r>
      <w:r w:rsidR="005E059F" w:rsidRPr="005E059F">
        <w:rPr>
          <w:sz w:val="25"/>
          <w:szCs w:val="25"/>
        </w:rPr>
        <w:t>480-120-161(2)</w:t>
      </w:r>
      <w:r w:rsidR="00804C3C">
        <w:rPr>
          <w:sz w:val="25"/>
          <w:szCs w:val="25"/>
        </w:rPr>
        <w:t xml:space="preserve"> </w:t>
      </w:r>
      <w:r w:rsidR="00407A99">
        <w:rPr>
          <w:sz w:val="25"/>
          <w:szCs w:val="25"/>
        </w:rPr>
        <w:t xml:space="preserve">to include the words “due date” on its </w:t>
      </w:r>
      <w:r w:rsidR="005B2960">
        <w:rPr>
          <w:sz w:val="25"/>
          <w:szCs w:val="25"/>
        </w:rPr>
        <w:t>AutoPay and D</w:t>
      </w:r>
      <w:r w:rsidR="00506928">
        <w:rPr>
          <w:sz w:val="25"/>
          <w:szCs w:val="25"/>
        </w:rPr>
        <w:t xml:space="preserve">irect </w:t>
      </w:r>
      <w:r w:rsidR="00E512ED">
        <w:rPr>
          <w:sz w:val="25"/>
          <w:szCs w:val="25"/>
        </w:rPr>
        <w:t>P</w:t>
      </w:r>
      <w:r w:rsidR="00506928">
        <w:rPr>
          <w:sz w:val="25"/>
          <w:szCs w:val="25"/>
        </w:rPr>
        <w:t xml:space="preserve">ayment </w:t>
      </w:r>
      <w:r w:rsidR="00E512ED">
        <w:rPr>
          <w:sz w:val="25"/>
          <w:szCs w:val="25"/>
        </w:rPr>
        <w:t>O</w:t>
      </w:r>
      <w:r w:rsidR="00506928">
        <w:rPr>
          <w:sz w:val="25"/>
          <w:szCs w:val="25"/>
        </w:rPr>
        <w:t>ption</w:t>
      </w:r>
      <w:r w:rsidR="005B2960">
        <w:rPr>
          <w:sz w:val="25"/>
          <w:szCs w:val="25"/>
        </w:rPr>
        <w:t xml:space="preserve"> </w:t>
      </w:r>
      <w:r w:rsidR="00407A99">
        <w:rPr>
          <w:sz w:val="25"/>
          <w:szCs w:val="25"/>
        </w:rPr>
        <w:t>bills is GRANTED.</w:t>
      </w:r>
      <w:r w:rsidR="00407A99" w:rsidRPr="00940222">
        <w:rPr>
          <w:sz w:val="25"/>
          <w:szCs w:val="25"/>
        </w:rPr>
        <w:t xml:space="preserve"> </w:t>
      </w:r>
    </w:p>
    <w:p w:rsidR="00407A99" w:rsidRPr="00940222" w:rsidRDefault="00407A99" w:rsidP="00407A99">
      <w:pPr>
        <w:spacing w:line="320" w:lineRule="exact"/>
        <w:ind w:left="700" w:right="-360"/>
        <w:rPr>
          <w:sz w:val="25"/>
          <w:szCs w:val="25"/>
        </w:rPr>
      </w:pPr>
    </w:p>
    <w:p w:rsidR="00EF6E08" w:rsidRPr="005C3DCE" w:rsidRDefault="00EF6E08" w:rsidP="005C3DCE">
      <w:pPr>
        <w:numPr>
          <w:ilvl w:val="0"/>
          <w:numId w:val="1"/>
        </w:numPr>
        <w:spacing w:line="320" w:lineRule="exact"/>
        <w:ind w:left="700" w:right="-360" w:hanging="1420"/>
        <w:rPr>
          <w:sz w:val="25"/>
          <w:szCs w:val="25"/>
        </w:rPr>
      </w:pPr>
      <w:r w:rsidRPr="00940222">
        <w:rPr>
          <w:sz w:val="25"/>
          <w:szCs w:val="25"/>
        </w:rPr>
        <w:t>(2)</w:t>
      </w:r>
      <w:r w:rsidRPr="00940222">
        <w:rPr>
          <w:sz w:val="25"/>
          <w:szCs w:val="25"/>
        </w:rPr>
        <w:tab/>
      </w:r>
      <w:r w:rsidR="00407A99">
        <w:rPr>
          <w:sz w:val="25"/>
          <w:szCs w:val="25"/>
        </w:rPr>
        <w:t xml:space="preserve">CenturyLink’s petition for exemption from the requirement of WAC </w:t>
      </w:r>
      <w:r w:rsidR="00804C3C" w:rsidRPr="00804C3C">
        <w:rPr>
          <w:sz w:val="25"/>
          <w:szCs w:val="25"/>
        </w:rPr>
        <w:t>480-120-161(2)</w:t>
      </w:r>
      <w:r w:rsidR="00804C3C">
        <w:rPr>
          <w:sz w:val="25"/>
          <w:szCs w:val="25"/>
        </w:rPr>
        <w:t xml:space="preserve"> </w:t>
      </w:r>
      <w:r w:rsidR="00407A99">
        <w:rPr>
          <w:sz w:val="25"/>
          <w:szCs w:val="25"/>
        </w:rPr>
        <w:t>to</w:t>
      </w:r>
      <w:r w:rsidR="00C43ED9">
        <w:rPr>
          <w:sz w:val="25"/>
          <w:szCs w:val="25"/>
        </w:rPr>
        <w:t xml:space="preserve"> provide its</w:t>
      </w:r>
      <w:r w:rsidR="00407A99">
        <w:rPr>
          <w:sz w:val="25"/>
          <w:szCs w:val="25"/>
        </w:rPr>
        <w:t xml:space="preserve"> </w:t>
      </w:r>
      <w:r w:rsidR="00BB0E3A">
        <w:rPr>
          <w:sz w:val="25"/>
          <w:szCs w:val="25"/>
        </w:rPr>
        <w:t>D</w:t>
      </w:r>
      <w:r w:rsidR="00506928">
        <w:rPr>
          <w:sz w:val="25"/>
          <w:szCs w:val="25"/>
        </w:rPr>
        <w:t xml:space="preserve">irect </w:t>
      </w:r>
      <w:r w:rsidR="00BB0E3A">
        <w:rPr>
          <w:sz w:val="25"/>
          <w:szCs w:val="25"/>
        </w:rPr>
        <w:t>P</w:t>
      </w:r>
      <w:r w:rsidR="00506928">
        <w:rPr>
          <w:sz w:val="25"/>
          <w:szCs w:val="25"/>
        </w:rPr>
        <w:t xml:space="preserve">ayment </w:t>
      </w:r>
      <w:r w:rsidR="00BB0E3A">
        <w:rPr>
          <w:sz w:val="25"/>
          <w:szCs w:val="25"/>
        </w:rPr>
        <w:t>O</w:t>
      </w:r>
      <w:r w:rsidR="00506928">
        <w:rPr>
          <w:sz w:val="25"/>
          <w:szCs w:val="25"/>
        </w:rPr>
        <w:t>ption</w:t>
      </w:r>
      <w:r w:rsidR="00BB0E3A">
        <w:rPr>
          <w:sz w:val="25"/>
          <w:szCs w:val="25"/>
        </w:rPr>
        <w:t xml:space="preserve"> </w:t>
      </w:r>
      <w:r w:rsidR="00407A99">
        <w:rPr>
          <w:sz w:val="25"/>
          <w:szCs w:val="25"/>
        </w:rPr>
        <w:t xml:space="preserve">customers 15 days’ notice before their bills are due is </w:t>
      </w:r>
      <w:r w:rsidR="003C25DC">
        <w:rPr>
          <w:sz w:val="25"/>
          <w:szCs w:val="25"/>
        </w:rPr>
        <w:t>GRANTED</w:t>
      </w:r>
      <w:r w:rsidR="00034DF6">
        <w:rPr>
          <w:sz w:val="25"/>
          <w:szCs w:val="25"/>
        </w:rPr>
        <w:t xml:space="preserve"> in part to modify the requirement to a notice period of five days</w:t>
      </w:r>
      <w:r w:rsidR="003C25DC">
        <w:rPr>
          <w:sz w:val="25"/>
          <w:szCs w:val="25"/>
        </w:rPr>
        <w:t>, subject to the condition that CenturyLink report in writing to the Commission on or before October 10, 201</w:t>
      </w:r>
      <w:r w:rsidR="00BE2F72">
        <w:rPr>
          <w:sz w:val="25"/>
          <w:szCs w:val="25"/>
        </w:rPr>
        <w:t>4,</w:t>
      </w:r>
      <w:r w:rsidR="003C25DC">
        <w:rPr>
          <w:sz w:val="25"/>
          <w:szCs w:val="25"/>
        </w:rPr>
        <w:t xml:space="preserve"> </w:t>
      </w:r>
      <w:r w:rsidR="00506928">
        <w:rPr>
          <w:sz w:val="25"/>
          <w:szCs w:val="25"/>
        </w:rPr>
        <w:t>on the extent to which customers find a five</w:t>
      </w:r>
      <w:r w:rsidR="006C19E9">
        <w:rPr>
          <w:sz w:val="25"/>
          <w:szCs w:val="25"/>
        </w:rPr>
        <w:t>-</w:t>
      </w:r>
      <w:r w:rsidR="00506928">
        <w:rPr>
          <w:sz w:val="25"/>
          <w:szCs w:val="25"/>
        </w:rPr>
        <w:t xml:space="preserve">day notice period </w:t>
      </w:r>
      <w:r w:rsidR="00230F7E">
        <w:rPr>
          <w:sz w:val="25"/>
          <w:szCs w:val="25"/>
        </w:rPr>
        <w:t>in</w:t>
      </w:r>
      <w:r w:rsidR="00506928">
        <w:rPr>
          <w:sz w:val="25"/>
          <w:szCs w:val="25"/>
        </w:rPr>
        <w:t>sufficient, including but not necessarily limited to</w:t>
      </w:r>
      <w:r w:rsidR="00281DC4">
        <w:rPr>
          <w:sz w:val="25"/>
          <w:szCs w:val="25"/>
        </w:rPr>
        <w:t xml:space="preserve"> </w:t>
      </w:r>
      <w:r w:rsidR="00281DC4" w:rsidRPr="00281DC4">
        <w:rPr>
          <w:sz w:val="25"/>
          <w:szCs w:val="25"/>
        </w:rPr>
        <w:t>identify</w:t>
      </w:r>
      <w:r w:rsidR="00506928">
        <w:rPr>
          <w:sz w:val="25"/>
          <w:szCs w:val="25"/>
        </w:rPr>
        <w:t>ing</w:t>
      </w:r>
      <w:r w:rsidR="00281DC4" w:rsidRPr="00281DC4">
        <w:rPr>
          <w:sz w:val="25"/>
          <w:szCs w:val="25"/>
        </w:rPr>
        <w:t xml:space="preserve"> any consumer complaints</w:t>
      </w:r>
      <w:r w:rsidR="00407A99">
        <w:rPr>
          <w:sz w:val="25"/>
          <w:szCs w:val="25"/>
        </w:rPr>
        <w:t>.</w:t>
      </w:r>
      <w:r w:rsidR="005E059F" w:rsidRPr="005E059F">
        <w:rPr>
          <w:sz w:val="25"/>
          <w:szCs w:val="25"/>
        </w:rPr>
        <w:t xml:space="preserve"> </w:t>
      </w:r>
    </w:p>
    <w:p w:rsidR="00EF6E08" w:rsidRPr="00940222" w:rsidRDefault="00EF6E08" w:rsidP="0014618D">
      <w:pPr>
        <w:spacing w:line="320" w:lineRule="exact"/>
        <w:ind w:right="-360"/>
        <w:rPr>
          <w:sz w:val="25"/>
          <w:szCs w:val="25"/>
        </w:rPr>
      </w:pPr>
    </w:p>
    <w:p w:rsidR="00EF6E08" w:rsidRPr="00940222" w:rsidRDefault="00EF6E08" w:rsidP="0014618D">
      <w:pPr>
        <w:spacing w:line="320" w:lineRule="exact"/>
        <w:ind w:right="-360"/>
        <w:rPr>
          <w:sz w:val="25"/>
          <w:szCs w:val="25"/>
        </w:rPr>
      </w:pPr>
      <w:r w:rsidRPr="00940222">
        <w:rPr>
          <w:sz w:val="25"/>
          <w:szCs w:val="25"/>
        </w:rPr>
        <w:t xml:space="preserve">DATED at Olympia, Washington, and effective </w:t>
      </w:r>
      <w:r w:rsidR="00621AA9">
        <w:rPr>
          <w:sz w:val="25"/>
          <w:szCs w:val="25"/>
        </w:rPr>
        <w:t>October 10</w:t>
      </w:r>
      <w:r w:rsidR="00DA1DF2" w:rsidRPr="00940222">
        <w:rPr>
          <w:bCs/>
          <w:sz w:val="25"/>
          <w:szCs w:val="25"/>
        </w:rPr>
        <w:fldChar w:fldCharType="begin"/>
      </w:r>
      <w:r w:rsidR="00DA1DF2" w:rsidRPr="00940222">
        <w:rPr>
          <w:bCs/>
          <w:sz w:val="25"/>
          <w:szCs w:val="25"/>
        </w:rPr>
        <w:instrText xml:space="preserve"> ASK effect_date "Enter Effective Date"</w:instrText>
      </w:r>
      <w:r w:rsidRPr="00940222">
        <w:rPr>
          <w:bCs/>
          <w:sz w:val="25"/>
          <w:szCs w:val="25"/>
        </w:rPr>
        <w:instrText>DATE]</w:instrText>
      </w:r>
      <w:r w:rsidR="00DA1DF2" w:rsidRPr="00940222">
        <w:rPr>
          <w:bCs/>
          <w:sz w:val="25"/>
          <w:szCs w:val="25"/>
        </w:rPr>
        <w:instrText xml:space="preserve"> </w:instrText>
      </w:r>
      <w:r w:rsidR="00DA1DF2" w:rsidRPr="00940222">
        <w:rPr>
          <w:bCs/>
          <w:sz w:val="25"/>
          <w:szCs w:val="25"/>
        </w:rPr>
        <w:fldChar w:fldCharType="separate"/>
      </w:r>
      <w:bookmarkStart w:id="6" w:name="effect_date"/>
      <w:r w:rsidR="0078429A" w:rsidRPr="00940222">
        <w:rPr>
          <w:bCs/>
          <w:sz w:val="25"/>
          <w:szCs w:val="25"/>
        </w:rPr>
        <w:t>February 2, 2025</w:t>
      </w:r>
      <w:bookmarkEnd w:id="6"/>
      <w:r w:rsidR="00DA1DF2" w:rsidRPr="00940222">
        <w:rPr>
          <w:bCs/>
          <w:sz w:val="25"/>
          <w:szCs w:val="25"/>
        </w:rPr>
        <w:fldChar w:fldCharType="end"/>
      </w:r>
      <w:r w:rsidR="00621AA9">
        <w:rPr>
          <w:bCs/>
          <w:sz w:val="25"/>
          <w:szCs w:val="25"/>
        </w:rPr>
        <w:t>, 2013</w:t>
      </w:r>
      <w:r w:rsidR="00403EC4" w:rsidRPr="00940222">
        <w:rPr>
          <w:sz w:val="25"/>
          <w:szCs w:val="25"/>
        </w:rPr>
        <w:t>.</w:t>
      </w:r>
    </w:p>
    <w:p w:rsidR="00EF6E08" w:rsidRPr="00940222" w:rsidRDefault="00EF6E08" w:rsidP="0014618D">
      <w:pPr>
        <w:spacing w:line="320" w:lineRule="exact"/>
        <w:ind w:right="-360"/>
        <w:rPr>
          <w:sz w:val="25"/>
          <w:szCs w:val="25"/>
        </w:rPr>
      </w:pPr>
    </w:p>
    <w:p w:rsidR="00EF6E08" w:rsidRPr="00940222" w:rsidRDefault="00EF6E08" w:rsidP="00941467">
      <w:pPr>
        <w:spacing w:line="320" w:lineRule="exact"/>
        <w:ind w:right="-360"/>
        <w:jc w:val="center"/>
        <w:rPr>
          <w:sz w:val="25"/>
          <w:szCs w:val="25"/>
        </w:rPr>
      </w:pPr>
      <w:r w:rsidRPr="00940222">
        <w:rPr>
          <w:sz w:val="25"/>
          <w:szCs w:val="25"/>
        </w:rPr>
        <w:t>WASHINGTON UTILITIES AND TRANSPORTATION COMMISSION</w:t>
      </w:r>
    </w:p>
    <w:p w:rsidR="00EF6E08" w:rsidRPr="00940222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  <w:rPr>
          <w:sz w:val="25"/>
          <w:szCs w:val="25"/>
        </w:rPr>
      </w:pPr>
    </w:p>
    <w:p w:rsidR="00EF6E08" w:rsidRPr="00940222" w:rsidRDefault="00EF6E08" w:rsidP="0014618D">
      <w:pPr>
        <w:spacing w:line="320" w:lineRule="exact"/>
        <w:ind w:right="-360"/>
        <w:rPr>
          <w:sz w:val="25"/>
          <w:szCs w:val="25"/>
        </w:rPr>
      </w:pPr>
    </w:p>
    <w:p w:rsidR="00EF6E08" w:rsidRPr="00940222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  <w:rPr>
          <w:sz w:val="25"/>
          <w:szCs w:val="25"/>
        </w:rPr>
      </w:pPr>
    </w:p>
    <w:p w:rsidR="00A9706F" w:rsidRPr="00551B3B" w:rsidRDefault="00A9706F" w:rsidP="00941467">
      <w:pPr>
        <w:spacing w:line="320" w:lineRule="exact"/>
        <w:ind w:left="720" w:firstLine="2880"/>
        <w:rPr>
          <w:sz w:val="25"/>
          <w:szCs w:val="25"/>
        </w:rPr>
      </w:pPr>
      <w:r w:rsidRPr="00551B3B">
        <w:rPr>
          <w:sz w:val="25"/>
          <w:szCs w:val="25"/>
        </w:rPr>
        <w:t>DAVID W. DANNER, Chairman</w:t>
      </w:r>
    </w:p>
    <w:p w:rsidR="00A9706F" w:rsidRPr="00551B3B" w:rsidRDefault="00A9706F" w:rsidP="00A9706F">
      <w:pPr>
        <w:spacing w:line="320" w:lineRule="exact"/>
        <w:rPr>
          <w:sz w:val="25"/>
          <w:szCs w:val="25"/>
        </w:rPr>
      </w:pPr>
    </w:p>
    <w:p w:rsidR="00A9706F" w:rsidRPr="00551B3B" w:rsidRDefault="00A9706F" w:rsidP="00A9706F">
      <w:pPr>
        <w:spacing w:line="320" w:lineRule="exact"/>
        <w:rPr>
          <w:sz w:val="25"/>
          <w:szCs w:val="25"/>
        </w:rPr>
      </w:pPr>
    </w:p>
    <w:p w:rsidR="00A9706F" w:rsidRPr="00551B3B" w:rsidRDefault="00A9706F" w:rsidP="00A9706F">
      <w:pPr>
        <w:spacing w:line="320" w:lineRule="exact"/>
        <w:rPr>
          <w:sz w:val="25"/>
          <w:szCs w:val="25"/>
        </w:rPr>
      </w:pPr>
    </w:p>
    <w:p w:rsidR="00A9706F" w:rsidRPr="00551B3B" w:rsidRDefault="00A9706F" w:rsidP="00A9706F">
      <w:pPr>
        <w:spacing w:line="320" w:lineRule="exact"/>
        <w:rPr>
          <w:sz w:val="25"/>
          <w:szCs w:val="25"/>
        </w:rPr>
      </w:pPr>
      <w:r w:rsidRPr="00551B3B">
        <w:rPr>
          <w:sz w:val="25"/>
          <w:szCs w:val="25"/>
        </w:rPr>
        <w:tab/>
      </w:r>
      <w:r w:rsidRPr="00551B3B">
        <w:rPr>
          <w:sz w:val="25"/>
          <w:szCs w:val="25"/>
        </w:rPr>
        <w:tab/>
      </w:r>
      <w:r w:rsidRPr="00551B3B">
        <w:rPr>
          <w:sz w:val="25"/>
          <w:szCs w:val="25"/>
        </w:rPr>
        <w:tab/>
      </w:r>
      <w:r w:rsidRPr="00551B3B">
        <w:rPr>
          <w:sz w:val="25"/>
          <w:szCs w:val="25"/>
        </w:rPr>
        <w:tab/>
      </w:r>
      <w:r w:rsidR="00941467">
        <w:rPr>
          <w:sz w:val="25"/>
          <w:szCs w:val="25"/>
        </w:rPr>
        <w:tab/>
      </w:r>
      <w:r w:rsidRPr="00551B3B">
        <w:rPr>
          <w:sz w:val="25"/>
          <w:szCs w:val="25"/>
        </w:rPr>
        <w:t>PHILIP B. JONES, Commissioner</w:t>
      </w:r>
    </w:p>
    <w:p w:rsidR="00A9706F" w:rsidRPr="00551B3B" w:rsidRDefault="00A9706F" w:rsidP="00A9706F">
      <w:pPr>
        <w:spacing w:line="320" w:lineRule="exact"/>
        <w:rPr>
          <w:sz w:val="25"/>
          <w:szCs w:val="25"/>
        </w:rPr>
      </w:pPr>
    </w:p>
    <w:p w:rsidR="00A9706F" w:rsidRPr="00551B3B" w:rsidRDefault="00A9706F" w:rsidP="00A9706F">
      <w:pPr>
        <w:spacing w:line="320" w:lineRule="exact"/>
        <w:ind w:left="2160" w:firstLine="720"/>
        <w:rPr>
          <w:sz w:val="25"/>
          <w:szCs w:val="25"/>
        </w:rPr>
      </w:pPr>
    </w:p>
    <w:p w:rsidR="00A9706F" w:rsidRPr="00551B3B" w:rsidRDefault="00A9706F" w:rsidP="00A9706F">
      <w:pPr>
        <w:spacing w:line="320" w:lineRule="exact"/>
        <w:ind w:left="2160" w:firstLine="720"/>
        <w:rPr>
          <w:sz w:val="25"/>
          <w:szCs w:val="25"/>
        </w:rPr>
      </w:pPr>
    </w:p>
    <w:p w:rsidR="00A9706F" w:rsidRPr="00551B3B" w:rsidRDefault="00A9706F" w:rsidP="00941467">
      <w:pPr>
        <w:spacing w:line="320" w:lineRule="exact"/>
        <w:ind w:left="2880" w:firstLine="720"/>
        <w:rPr>
          <w:sz w:val="25"/>
          <w:szCs w:val="25"/>
        </w:rPr>
      </w:pPr>
      <w:r w:rsidRPr="00551B3B">
        <w:rPr>
          <w:sz w:val="25"/>
          <w:szCs w:val="25"/>
        </w:rPr>
        <w:t>JEFFREY D. GOLTZ, Commissioner</w:t>
      </w:r>
    </w:p>
    <w:p w:rsidR="00AB1438" w:rsidRPr="00940222" w:rsidRDefault="00AB1438" w:rsidP="0041517A">
      <w:pPr>
        <w:spacing w:line="320" w:lineRule="exact"/>
        <w:ind w:left="2880" w:right="-360"/>
        <w:rPr>
          <w:sz w:val="25"/>
          <w:szCs w:val="25"/>
        </w:rPr>
      </w:pPr>
    </w:p>
    <w:sectPr w:rsidR="00AB1438" w:rsidRPr="00940222" w:rsidSect="00A654EE">
      <w:headerReference w:type="default" r:id="rId9"/>
      <w:headerReference w:type="first" r:id="rId1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575" w:rsidRDefault="00C97575">
      <w:r>
        <w:separator/>
      </w:r>
    </w:p>
  </w:endnote>
  <w:endnote w:type="continuationSeparator" w:id="0">
    <w:p w:rsidR="00C97575" w:rsidRDefault="00C9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575" w:rsidRDefault="00C97575">
      <w:r>
        <w:separator/>
      </w:r>
    </w:p>
  </w:footnote>
  <w:footnote w:type="continuationSeparator" w:id="0">
    <w:p w:rsidR="00C97575" w:rsidRDefault="00C97575">
      <w:r>
        <w:continuationSeparator/>
      </w:r>
    </w:p>
  </w:footnote>
  <w:footnote w:id="1">
    <w:p w:rsidR="007C11D8" w:rsidRPr="002B16DA" w:rsidRDefault="007C11D8">
      <w:pPr>
        <w:pStyle w:val="FootnoteText"/>
        <w:rPr>
          <w:sz w:val="22"/>
          <w:szCs w:val="22"/>
        </w:rPr>
      </w:pPr>
      <w:r w:rsidRPr="002B16DA">
        <w:rPr>
          <w:rStyle w:val="FootnoteReference"/>
          <w:sz w:val="22"/>
          <w:szCs w:val="22"/>
        </w:rPr>
        <w:footnoteRef/>
      </w:r>
      <w:r w:rsidRPr="002B16DA">
        <w:rPr>
          <w:sz w:val="22"/>
          <w:szCs w:val="22"/>
        </w:rPr>
        <w:t xml:space="preserve"> October 9, 2013 Talking Points at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D8" w:rsidRPr="00381546" w:rsidRDefault="007C11D8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>
      <w:rPr>
        <w:b/>
        <w:sz w:val="20"/>
      </w:rPr>
      <w:t>UT-130701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A27BA1">
      <w:rPr>
        <w:rStyle w:val="PageNumber"/>
        <w:b/>
        <w:noProof/>
        <w:sz w:val="20"/>
      </w:rPr>
      <w:t>5</w:t>
    </w:r>
    <w:r w:rsidRPr="00381546">
      <w:rPr>
        <w:rStyle w:val="PageNumber"/>
        <w:b/>
        <w:sz w:val="20"/>
      </w:rPr>
      <w:fldChar w:fldCharType="end"/>
    </w:r>
  </w:p>
  <w:p w:rsidR="007C11D8" w:rsidRPr="00381546" w:rsidRDefault="007C11D8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A27BA1" w:rsidRPr="00A27BA1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:rsidR="007C11D8" w:rsidRPr="008809CC" w:rsidRDefault="007C11D8">
    <w:pPr>
      <w:pStyle w:val="Header"/>
      <w:tabs>
        <w:tab w:val="left" w:pos="7100"/>
      </w:tabs>
      <w:rPr>
        <w:rStyle w:val="PageNumber"/>
        <w:sz w:val="20"/>
      </w:rPr>
    </w:pPr>
  </w:p>
  <w:p w:rsidR="007C11D8" w:rsidRPr="008809CC" w:rsidRDefault="007C11D8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C32" w:rsidRPr="00FA6C32" w:rsidRDefault="00FA6C32" w:rsidP="00FA6C32">
    <w:pPr>
      <w:pStyle w:val="Header"/>
      <w:tabs>
        <w:tab w:val="clear" w:pos="4320"/>
      </w:tabs>
      <w:rPr>
        <w:b/>
        <w:sz w:val="20"/>
        <w:szCs w:val="20"/>
      </w:rPr>
    </w:pPr>
    <w:r>
      <w:tab/>
    </w:r>
    <w:r w:rsidRPr="00FA6C32">
      <w:rPr>
        <w:b/>
        <w:sz w:val="20"/>
        <w:szCs w:val="20"/>
      </w:rPr>
      <w:t>[Service Date October 10,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84"/>
    <w:rsid w:val="00027989"/>
    <w:rsid w:val="00034DF6"/>
    <w:rsid w:val="00036001"/>
    <w:rsid w:val="00036C2B"/>
    <w:rsid w:val="00036E4B"/>
    <w:rsid w:val="000405AA"/>
    <w:rsid w:val="00062DB0"/>
    <w:rsid w:val="000756CD"/>
    <w:rsid w:val="0008172C"/>
    <w:rsid w:val="00083FF1"/>
    <w:rsid w:val="0008690A"/>
    <w:rsid w:val="0009751E"/>
    <w:rsid w:val="000A1AA6"/>
    <w:rsid w:val="000C29E2"/>
    <w:rsid w:val="000D0581"/>
    <w:rsid w:val="000F5727"/>
    <w:rsid w:val="00100A09"/>
    <w:rsid w:val="00106436"/>
    <w:rsid w:val="00114FE8"/>
    <w:rsid w:val="001225D1"/>
    <w:rsid w:val="0014270B"/>
    <w:rsid w:val="0014618D"/>
    <w:rsid w:val="001770DE"/>
    <w:rsid w:val="001A331C"/>
    <w:rsid w:val="001A5591"/>
    <w:rsid w:val="001A65E9"/>
    <w:rsid w:val="001D3243"/>
    <w:rsid w:val="001D592B"/>
    <w:rsid w:val="001F3F44"/>
    <w:rsid w:val="002003D4"/>
    <w:rsid w:val="002018AB"/>
    <w:rsid w:val="0021041D"/>
    <w:rsid w:val="00211BF4"/>
    <w:rsid w:val="00225816"/>
    <w:rsid w:val="0022683F"/>
    <w:rsid w:val="00230F7E"/>
    <w:rsid w:val="002420DF"/>
    <w:rsid w:val="00242EF4"/>
    <w:rsid w:val="00247792"/>
    <w:rsid w:val="00251EE5"/>
    <w:rsid w:val="002523DC"/>
    <w:rsid w:val="00255EBE"/>
    <w:rsid w:val="00257C8F"/>
    <w:rsid w:val="002667DB"/>
    <w:rsid w:val="00281DC4"/>
    <w:rsid w:val="00295FC4"/>
    <w:rsid w:val="002A745A"/>
    <w:rsid w:val="002B16DA"/>
    <w:rsid w:val="002C0B62"/>
    <w:rsid w:val="002C58D5"/>
    <w:rsid w:val="002E6B67"/>
    <w:rsid w:val="003000BB"/>
    <w:rsid w:val="00305190"/>
    <w:rsid w:val="0031470D"/>
    <w:rsid w:val="00326EB4"/>
    <w:rsid w:val="003361B1"/>
    <w:rsid w:val="00355C9D"/>
    <w:rsid w:val="00381546"/>
    <w:rsid w:val="00386BD1"/>
    <w:rsid w:val="00393C78"/>
    <w:rsid w:val="00395339"/>
    <w:rsid w:val="003A0230"/>
    <w:rsid w:val="003A2CB7"/>
    <w:rsid w:val="003B1021"/>
    <w:rsid w:val="003C25DC"/>
    <w:rsid w:val="003C5030"/>
    <w:rsid w:val="003E5223"/>
    <w:rsid w:val="003E6AE2"/>
    <w:rsid w:val="003F45EC"/>
    <w:rsid w:val="00403EC4"/>
    <w:rsid w:val="00407A99"/>
    <w:rsid w:val="00410014"/>
    <w:rsid w:val="0041517A"/>
    <w:rsid w:val="00421ACF"/>
    <w:rsid w:val="00421BB2"/>
    <w:rsid w:val="00440E00"/>
    <w:rsid w:val="00442778"/>
    <w:rsid w:val="00454D9C"/>
    <w:rsid w:val="0047090E"/>
    <w:rsid w:val="00491F48"/>
    <w:rsid w:val="004B5C31"/>
    <w:rsid w:val="004C30E2"/>
    <w:rsid w:val="004C45C8"/>
    <w:rsid w:val="004C6D9F"/>
    <w:rsid w:val="004E7E84"/>
    <w:rsid w:val="004F4CC7"/>
    <w:rsid w:val="004F5895"/>
    <w:rsid w:val="004F59FB"/>
    <w:rsid w:val="004F6DEF"/>
    <w:rsid w:val="00505B98"/>
    <w:rsid w:val="00506928"/>
    <w:rsid w:val="00524986"/>
    <w:rsid w:val="0052605A"/>
    <w:rsid w:val="00530643"/>
    <w:rsid w:val="00531B62"/>
    <w:rsid w:val="00542F55"/>
    <w:rsid w:val="005444D2"/>
    <w:rsid w:val="00551B3B"/>
    <w:rsid w:val="005571A0"/>
    <w:rsid w:val="00566EA0"/>
    <w:rsid w:val="005761F5"/>
    <w:rsid w:val="00577041"/>
    <w:rsid w:val="005777A0"/>
    <w:rsid w:val="00587275"/>
    <w:rsid w:val="005A320C"/>
    <w:rsid w:val="005B2960"/>
    <w:rsid w:val="005C3DCE"/>
    <w:rsid w:val="005C530C"/>
    <w:rsid w:val="005E059F"/>
    <w:rsid w:val="005F6132"/>
    <w:rsid w:val="006006CC"/>
    <w:rsid w:val="00610B31"/>
    <w:rsid w:val="006139C1"/>
    <w:rsid w:val="00621AA9"/>
    <w:rsid w:val="006418A0"/>
    <w:rsid w:val="00642210"/>
    <w:rsid w:val="00652BA2"/>
    <w:rsid w:val="00654742"/>
    <w:rsid w:val="006844CA"/>
    <w:rsid w:val="006A47B0"/>
    <w:rsid w:val="006B1566"/>
    <w:rsid w:val="006C19E9"/>
    <w:rsid w:val="006F0F06"/>
    <w:rsid w:val="006F687D"/>
    <w:rsid w:val="00702729"/>
    <w:rsid w:val="00720146"/>
    <w:rsid w:val="007365F8"/>
    <w:rsid w:val="00742E6B"/>
    <w:rsid w:val="007520D6"/>
    <w:rsid w:val="0076206F"/>
    <w:rsid w:val="007764D2"/>
    <w:rsid w:val="0078429A"/>
    <w:rsid w:val="00785B60"/>
    <w:rsid w:val="007A61F2"/>
    <w:rsid w:val="007A7C63"/>
    <w:rsid w:val="007C11D8"/>
    <w:rsid w:val="007C19F1"/>
    <w:rsid w:val="007C4FDE"/>
    <w:rsid w:val="007D5999"/>
    <w:rsid w:val="007F4D71"/>
    <w:rsid w:val="00803803"/>
    <w:rsid w:val="008044CC"/>
    <w:rsid w:val="00804C3C"/>
    <w:rsid w:val="00804EA2"/>
    <w:rsid w:val="008249DE"/>
    <w:rsid w:val="00831837"/>
    <w:rsid w:val="0083218F"/>
    <w:rsid w:val="00834021"/>
    <w:rsid w:val="00842810"/>
    <w:rsid w:val="00847E1F"/>
    <w:rsid w:val="0085209D"/>
    <w:rsid w:val="00854CCE"/>
    <w:rsid w:val="00864310"/>
    <w:rsid w:val="008C7E7E"/>
    <w:rsid w:val="008D6005"/>
    <w:rsid w:val="008E18C2"/>
    <w:rsid w:val="008E29D4"/>
    <w:rsid w:val="008E6902"/>
    <w:rsid w:val="008F3005"/>
    <w:rsid w:val="00916216"/>
    <w:rsid w:val="00936703"/>
    <w:rsid w:val="00940222"/>
    <w:rsid w:val="009409E5"/>
    <w:rsid w:val="00941467"/>
    <w:rsid w:val="009619BC"/>
    <w:rsid w:val="00964A73"/>
    <w:rsid w:val="00965628"/>
    <w:rsid w:val="009809AF"/>
    <w:rsid w:val="009868BD"/>
    <w:rsid w:val="00991D92"/>
    <w:rsid w:val="009E63E4"/>
    <w:rsid w:val="00A0252F"/>
    <w:rsid w:val="00A07632"/>
    <w:rsid w:val="00A1575F"/>
    <w:rsid w:val="00A23825"/>
    <w:rsid w:val="00A2603F"/>
    <w:rsid w:val="00A27BA1"/>
    <w:rsid w:val="00A3471E"/>
    <w:rsid w:val="00A462D0"/>
    <w:rsid w:val="00A654EE"/>
    <w:rsid w:val="00A65694"/>
    <w:rsid w:val="00A77FEE"/>
    <w:rsid w:val="00A840D7"/>
    <w:rsid w:val="00A8570C"/>
    <w:rsid w:val="00A915C3"/>
    <w:rsid w:val="00A9577C"/>
    <w:rsid w:val="00A9706F"/>
    <w:rsid w:val="00AB1438"/>
    <w:rsid w:val="00AB5FC4"/>
    <w:rsid w:val="00AC4EBD"/>
    <w:rsid w:val="00AD470B"/>
    <w:rsid w:val="00AF07C9"/>
    <w:rsid w:val="00B11AE3"/>
    <w:rsid w:val="00B14752"/>
    <w:rsid w:val="00B206AB"/>
    <w:rsid w:val="00B41E9D"/>
    <w:rsid w:val="00B5003C"/>
    <w:rsid w:val="00B568CD"/>
    <w:rsid w:val="00B61BED"/>
    <w:rsid w:val="00B66EC1"/>
    <w:rsid w:val="00B97B88"/>
    <w:rsid w:val="00BB0E3A"/>
    <w:rsid w:val="00BC51BB"/>
    <w:rsid w:val="00BE10EF"/>
    <w:rsid w:val="00BE2F72"/>
    <w:rsid w:val="00C04E2E"/>
    <w:rsid w:val="00C15607"/>
    <w:rsid w:val="00C34808"/>
    <w:rsid w:val="00C43ED9"/>
    <w:rsid w:val="00C54AC5"/>
    <w:rsid w:val="00C63C14"/>
    <w:rsid w:val="00C64CE9"/>
    <w:rsid w:val="00C65F53"/>
    <w:rsid w:val="00C6739B"/>
    <w:rsid w:val="00C736A8"/>
    <w:rsid w:val="00C77970"/>
    <w:rsid w:val="00C8134C"/>
    <w:rsid w:val="00C97575"/>
    <w:rsid w:val="00CA7C04"/>
    <w:rsid w:val="00CB2749"/>
    <w:rsid w:val="00CC3CA6"/>
    <w:rsid w:val="00CE0AF4"/>
    <w:rsid w:val="00D056B2"/>
    <w:rsid w:val="00D11AE8"/>
    <w:rsid w:val="00D25FEF"/>
    <w:rsid w:val="00D437ED"/>
    <w:rsid w:val="00D473FC"/>
    <w:rsid w:val="00D73C03"/>
    <w:rsid w:val="00D81F93"/>
    <w:rsid w:val="00D94DE1"/>
    <w:rsid w:val="00D95F95"/>
    <w:rsid w:val="00DA1DF2"/>
    <w:rsid w:val="00DA74D7"/>
    <w:rsid w:val="00DB230D"/>
    <w:rsid w:val="00DB28FF"/>
    <w:rsid w:val="00DB3ECE"/>
    <w:rsid w:val="00DC0F8C"/>
    <w:rsid w:val="00DC55EF"/>
    <w:rsid w:val="00DC6722"/>
    <w:rsid w:val="00DD2630"/>
    <w:rsid w:val="00E22D5D"/>
    <w:rsid w:val="00E24B8A"/>
    <w:rsid w:val="00E26446"/>
    <w:rsid w:val="00E448F7"/>
    <w:rsid w:val="00E512ED"/>
    <w:rsid w:val="00E522C7"/>
    <w:rsid w:val="00E5778F"/>
    <w:rsid w:val="00E67ADA"/>
    <w:rsid w:val="00E83485"/>
    <w:rsid w:val="00EA7C87"/>
    <w:rsid w:val="00EB61B7"/>
    <w:rsid w:val="00EC6384"/>
    <w:rsid w:val="00EC6DF8"/>
    <w:rsid w:val="00ED6429"/>
    <w:rsid w:val="00EF1A23"/>
    <w:rsid w:val="00EF6E08"/>
    <w:rsid w:val="00F047FF"/>
    <w:rsid w:val="00F06D9D"/>
    <w:rsid w:val="00F20E62"/>
    <w:rsid w:val="00F4072D"/>
    <w:rsid w:val="00F44357"/>
    <w:rsid w:val="00F45ABF"/>
    <w:rsid w:val="00F5601F"/>
    <w:rsid w:val="00FA5F1E"/>
    <w:rsid w:val="00FA6C32"/>
    <w:rsid w:val="00FB0547"/>
    <w:rsid w:val="00FB0F8A"/>
    <w:rsid w:val="00FB5D7A"/>
    <w:rsid w:val="00FC1F0E"/>
    <w:rsid w:val="00FC5D97"/>
    <w:rsid w:val="00FE3A84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621AA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B23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B230D"/>
  </w:style>
  <w:style w:type="character" w:styleId="FootnoteReference">
    <w:name w:val="footnote reference"/>
    <w:aliases w:val="o,fr,Style 3"/>
    <w:rsid w:val="00DB230D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225816"/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258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621AA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B23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B230D"/>
  </w:style>
  <w:style w:type="character" w:styleId="FootnoteReference">
    <w:name w:val="footnote reference"/>
    <w:aliases w:val="o,fr,Style 3"/>
    <w:rsid w:val="00DB230D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225816"/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25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854739ED60A14CAF950365A71D539A" ma:contentTypeVersion="135" ma:contentTypeDescription="" ma:contentTypeScope="" ma:versionID="8999d76ae09abb48427632cfb44755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2013-05-06T07:00:00+00:00</OpenedDate>
    <Date1 xmlns="dc463f71-b30c-4ab2-9473-d307f9d35888">2013-10-10T07:00:00+00:00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130701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B9D64AD-5916-4B83-A7F8-ADEAAC2776AC}"/>
</file>

<file path=customXml/itemProps2.xml><?xml version="1.0" encoding="utf-8"?>
<ds:datastoreItem xmlns:ds="http://schemas.openxmlformats.org/officeDocument/2006/customXml" ds:itemID="{C8F81495-59E4-4EB1-9DBE-C2DC980D8EC9}"/>
</file>

<file path=customXml/itemProps3.xml><?xml version="1.0" encoding="utf-8"?>
<ds:datastoreItem xmlns:ds="http://schemas.openxmlformats.org/officeDocument/2006/customXml" ds:itemID="{EBBE91EE-9E79-428B-8FFB-8DBEC1F0877E}"/>
</file>

<file path=customXml/itemProps4.xml><?xml version="1.0" encoding="utf-8"?>
<ds:datastoreItem xmlns:ds="http://schemas.openxmlformats.org/officeDocument/2006/customXml" ds:itemID="{3D7EA8B1-940F-4F8F-B73F-F7B678945E2E}"/>
</file>

<file path=customXml/itemProps5.xml><?xml version="1.0" encoding="utf-8"?>
<ds:datastoreItem xmlns:ds="http://schemas.openxmlformats.org/officeDocument/2006/customXml" ds:itemID="{B2E22E68-DFBD-4D28-A2D1-045A155B2C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9803</CharactersWithSpaces>
  <SharedDoc>false</SharedDoc>
  <HLinks>
    <vt:vector size="60" baseType="variant">
      <vt:variant>
        <vt:i4>2490368</vt:i4>
      </vt:variant>
      <vt:variant>
        <vt:i4>184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2013-10-10T21:56:00Z</dcterms:created>
  <dcterms:modified xsi:type="dcterms:W3CDTF">2013-10-10T21:56:00Z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0x0101006E56B4D1795A2E4DB2F0B01679ED314A00C3854739ED60A14CAF950365A71D539A</vt:lpwstr>
  </property>
  <property fmtid="{D5CDD505-2E9C-101B-9397-08002B2CF9AE}" pid="3" name="_docset_NoMedatataSyncRequired">
    <vt:lpwstr>False</vt:lpwstr>
  </property>
</Properties>
</file>