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9" w:rsidRPr="00C11895" w:rsidRDefault="00C11895" w:rsidP="002612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34">
        <w:rPr>
          <w:sz w:val="20"/>
        </w:rPr>
        <w:br/>
      </w:r>
      <w:r>
        <w:rPr>
          <w:sz w:val="20"/>
        </w:rPr>
        <w:t xml:space="preserve">TEL (503) 241-7242     ●     FAX (503) 241-8160     ●     </w:t>
      </w:r>
      <w:r w:rsidR="001B72BA">
        <w:rPr>
          <w:sz w:val="20"/>
        </w:rPr>
        <w:t>mjd</w:t>
      </w:r>
      <w:r w:rsidR="00261234" w:rsidRPr="00261234">
        <w:rPr>
          <w:sz w:val="20"/>
        </w:rPr>
        <w:t>@dvclaw.com</w:t>
      </w:r>
      <w:r w:rsidR="00261234">
        <w:rPr>
          <w:sz w:val="20"/>
        </w:rPr>
        <w:br/>
      </w:r>
      <w:r>
        <w:rPr>
          <w:sz w:val="20"/>
        </w:rPr>
        <w:t>Suite 400</w:t>
      </w:r>
      <w:r w:rsidR="00261234">
        <w:rPr>
          <w:sz w:val="20"/>
        </w:rPr>
        <w:br/>
      </w:r>
      <w:r>
        <w:rPr>
          <w:sz w:val="20"/>
        </w:rPr>
        <w:t>333 SW Taylor</w:t>
      </w:r>
      <w:r w:rsidR="00261234">
        <w:rPr>
          <w:sz w:val="20"/>
        </w:rPr>
        <w:br/>
      </w:r>
      <w:r>
        <w:rPr>
          <w:sz w:val="20"/>
        </w:rPr>
        <w:t>Portland, OR 97204</w:t>
      </w:r>
    </w:p>
    <w:p w:rsidR="006A0E8E" w:rsidRDefault="005D617A" w:rsidP="006A0E8E">
      <w:pPr>
        <w:spacing w:after="0"/>
        <w:jc w:val="center"/>
      </w:pPr>
      <w:r>
        <w:t>March</w:t>
      </w:r>
      <w:r w:rsidR="006D6B75">
        <w:t xml:space="preserve"> </w:t>
      </w:r>
      <w:r w:rsidR="00F5627C">
        <w:t>20</w:t>
      </w:r>
      <w:bookmarkStart w:id="0" w:name="_GoBack"/>
      <w:bookmarkEnd w:id="0"/>
      <w:r w:rsidR="001332BE">
        <w:t>, 2015</w:t>
      </w:r>
    </w:p>
    <w:p w:rsidR="006A0E8E" w:rsidRDefault="006A0E8E" w:rsidP="006A0E8E">
      <w:pPr>
        <w:pStyle w:val="Heading1"/>
      </w:pPr>
    </w:p>
    <w:p w:rsidR="007C3362" w:rsidRDefault="007C3362" w:rsidP="007C3362">
      <w:pPr>
        <w:rPr>
          <w:b/>
          <w:i/>
        </w:rPr>
      </w:pPr>
    </w:p>
    <w:p w:rsidR="007C3362" w:rsidRPr="006E0396" w:rsidRDefault="007C3362" w:rsidP="007C3362">
      <w:pPr>
        <w:rPr>
          <w:b/>
          <w:i/>
        </w:rPr>
      </w:pPr>
      <w:r>
        <w:rPr>
          <w:b/>
          <w:i/>
        </w:rPr>
        <w:t xml:space="preserve">Via Electronic Mail and </w:t>
      </w:r>
      <w:r w:rsidR="006D6B75">
        <w:rPr>
          <w:b/>
          <w:i/>
        </w:rPr>
        <w:t>U.S. Mail</w:t>
      </w:r>
    </w:p>
    <w:p w:rsidR="007C3362" w:rsidRDefault="007C3362" w:rsidP="007C3362">
      <w:pPr>
        <w:spacing w:after="0"/>
      </w:pPr>
      <w:r>
        <w:t>Chairman Dave Danner</w:t>
      </w:r>
    </w:p>
    <w:p w:rsidR="007C3362" w:rsidRDefault="007C3362" w:rsidP="007C3362">
      <w:pPr>
        <w:spacing w:after="0"/>
      </w:pPr>
      <w:r>
        <w:t xml:space="preserve">Commissioner </w:t>
      </w:r>
      <w:r w:rsidR="006D6B75">
        <w:t xml:space="preserve">Philip Jones </w:t>
      </w:r>
    </w:p>
    <w:p w:rsidR="007C3362" w:rsidRDefault="00C460F9" w:rsidP="007C3362">
      <w:pPr>
        <w:spacing w:after="0"/>
      </w:pPr>
      <w:r>
        <w:t xml:space="preserve">Commissioner </w:t>
      </w:r>
      <w:r w:rsidR="006D6B75">
        <w:t xml:space="preserve">Ann </w:t>
      </w:r>
      <w:proofErr w:type="spellStart"/>
      <w:r w:rsidR="006D6B75">
        <w:t>Rendahl</w:t>
      </w:r>
      <w:proofErr w:type="spellEnd"/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Washington Utilities and Transportation Commission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PO Box 47250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1300 S. Evergreen Park Drive, SW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Olympia, WA  98504-7250</w:t>
      </w:r>
    </w:p>
    <w:p w:rsidR="007C3362" w:rsidRDefault="007C3362" w:rsidP="007C3362">
      <w:pPr>
        <w:spacing w:after="0"/>
        <w:ind w:firstLine="720"/>
      </w:pPr>
    </w:p>
    <w:p w:rsidR="007C3362" w:rsidRDefault="007C3362" w:rsidP="001B72BA">
      <w:pPr>
        <w:spacing w:after="0"/>
        <w:ind w:firstLine="720"/>
      </w:pPr>
      <w:r w:rsidRPr="00984AE7">
        <w:t xml:space="preserve">Re: </w:t>
      </w:r>
      <w:r w:rsidRPr="00984AE7">
        <w:tab/>
      </w:r>
      <w:r w:rsidR="00317A04">
        <w:t xml:space="preserve">PacifiCorp Reliability Issues at the Boise White Paper, LLC </w:t>
      </w:r>
      <w:proofErr w:type="spellStart"/>
      <w:r w:rsidR="00317A04">
        <w:t>Wallula</w:t>
      </w:r>
      <w:proofErr w:type="spellEnd"/>
      <w:r w:rsidR="00317A04">
        <w:t xml:space="preserve"> Mill</w:t>
      </w:r>
    </w:p>
    <w:p w:rsidR="007C3362" w:rsidRDefault="00317A04" w:rsidP="007C3362">
      <w:pPr>
        <w:spacing w:after="0"/>
        <w:ind w:left="720" w:firstLine="720"/>
        <w:rPr>
          <w:b/>
          <w:bCs/>
        </w:rPr>
      </w:pPr>
      <w:r>
        <w:rPr>
          <w:b/>
          <w:bCs/>
        </w:rPr>
        <w:t>Docket UE-121680</w:t>
      </w:r>
    </w:p>
    <w:p w:rsidR="00317A04" w:rsidRDefault="00317A04" w:rsidP="007C3362">
      <w:pPr>
        <w:spacing w:after="0"/>
        <w:ind w:left="720" w:firstLine="720"/>
        <w:rPr>
          <w:b/>
          <w:bCs/>
        </w:rPr>
      </w:pPr>
    </w:p>
    <w:p w:rsidR="007C3362" w:rsidRDefault="007C3362" w:rsidP="007C3362">
      <w:pPr>
        <w:tabs>
          <w:tab w:val="left" w:pos="540"/>
          <w:tab w:val="left" w:pos="810"/>
        </w:tabs>
        <w:spacing w:after="0"/>
        <w:rPr>
          <w:bCs/>
        </w:rPr>
      </w:pPr>
      <w:r>
        <w:rPr>
          <w:bCs/>
        </w:rPr>
        <w:t>Dear Commissioners:</w:t>
      </w:r>
    </w:p>
    <w:p w:rsidR="007C3362" w:rsidRDefault="007C3362" w:rsidP="007C3362">
      <w:pPr>
        <w:tabs>
          <w:tab w:val="left" w:pos="540"/>
          <w:tab w:val="left" w:pos="810"/>
        </w:tabs>
        <w:spacing w:after="0"/>
        <w:rPr>
          <w:bCs/>
        </w:rPr>
      </w:pPr>
    </w:p>
    <w:p w:rsidR="00485875" w:rsidRDefault="00485875" w:rsidP="007C3362">
      <w:pPr>
        <w:spacing w:after="0"/>
      </w:pPr>
      <w:r>
        <w:rPr>
          <w:bCs/>
        </w:rPr>
        <w:tab/>
      </w:r>
      <w:r>
        <w:rPr>
          <w:bCs/>
        </w:rPr>
        <w:tab/>
      </w:r>
      <w:r w:rsidR="00317A04">
        <w:rPr>
          <w:bCs/>
        </w:rPr>
        <w:t>In October and November 2012</w:t>
      </w:r>
      <w:r>
        <w:rPr>
          <w:bCs/>
        </w:rPr>
        <w:t xml:space="preserve">, </w:t>
      </w:r>
      <w:r>
        <w:t>Boise Wh</w:t>
      </w:r>
      <w:r w:rsidR="00317A04">
        <w:t>ite Paper, LLC (“Boise”) filed</w:t>
      </w:r>
      <w:r>
        <w:t xml:space="preserve"> complaint </w:t>
      </w:r>
      <w:r w:rsidR="00317A04">
        <w:t xml:space="preserve">letters against PacifiCorp </w:t>
      </w:r>
      <w:r>
        <w:t>(</w:t>
      </w:r>
      <w:r w:rsidR="00724726">
        <w:t>“Company”</w:t>
      </w:r>
      <w:r>
        <w:t xml:space="preserve">) with the Washington Utilities and Transportation Commission (“Commission”).  The complaint </w:t>
      </w:r>
      <w:r w:rsidR="00317A04">
        <w:t xml:space="preserve">letters requested a Commission investigation into </w:t>
      </w:r>
      <w:r>
        <w:t xml:space="preserve">power reliability and </w:t>
      </w:r>
      <w:r w:rsidR="00317A04">
        <w:t xml:space="preserve">service </w:t>
      </w:r>
      <w:r>
        <w:t xml:space="preserve">quality issues concerning </w:t>
      </w:r>
      <w:r w:rsidR="00317A04">
        <w:t>PacifiCorp’s</w:t>
      </w:r>
      <w:r>
        <w:t xml:space="preserve"> </w:t>
      </w:r>
      <w:r w:rsidR="00317A04">
        <w:t>transmission of electricity</w:t>
      </w:r>
      <w:r>
        <w:t xml:space="preserve"> to Boise</w:t>
      </w:r>
      <w:r w:rsidR="00317A04">
        <w:t>’s mill facility</w:t>
      </w:r>
      <w:r>
        <w:t xml:space="preserve"> in </w:t>
      </w:r>
      <w:proofErr w:type="spellStart"/>
      <w:r>
        <w:t>Wall</w:t>
      </w:r>
      <w:r w:rsidR="00317A04">
        <w:t>ula</w:t>
      </w:r>
      <w:proofErr w:type="spellEnd"/>
      <w:r w:rsidR="00317A04">
        <w:t>, Washington (“</w:t>
      </w:r>
      <w:proofErr w:type="spellStart"/>
      <w:r w:rsidR="00317A04">
        <w:t>Wallula</w:t>
      </w:r>
      <w:proofErr w:type="spellEnd"/>
      <w:r w:rsidR="00317A04">
        <w:t xml:space="preserve"> Mill”).  Copies of the 2012 complaint letters are attached</w:t>
      </w:r>
      <w:r>
        <w:t>.</w:t>
      </w:r>
    </w:p>
    <w:p w:rsidR="00485875" w:rsidRDefault="00485875" w:rsidP="007C3362">
      <w:pPr>
        <w:spacing w:after="0"/>
      </w:pPr>
    </w:p>
    <w:p w:rsidR="009C27F3" w:rsidRDefault="00B3184E" w:rsidP="007C3362">
      <w:pPr>
        <w:spacing w:after="0"/>
        <w:rPr>
          <w:bCs/>
        </w:rPr>
      </w:pPr>
      <w:r>
        <w:tab/>
      </w:r>
      <w:r>
        <w:tab/>
        <w:t>T</w:t>
      </w:r>
      <w:r w:rsidR="00485875">
        <w:t xml:space="preserve">here </w:t>
      </w:r>
      <w:r w:rsidR="00724726">
        <w:t>has been little recent progress from the Company to address the inherent system deficiencies</w:t>
      </w:r>
      <w:r w:rsidR="00485875">
        <w:t xml:space="preserve"> </w:t>
      </w:r>
      <w:r w:rsidR="00724726">
        <w:t>which prompted the complaint, including unacceptably frequent outages caused by lightning</w:t>
      </w:r>
      <w:r w:rsidR="00317A04">
        <w:t xml:space="preserve"> strikes to the power lines serving the </w:t>
      </w:r>
      <w:proofErr w:type="spellStart"/>
      <w:r w:rsidR="00317A04">
        <w:t>Wallula</w:t>
      </w:r>
      <w:proofErr w:type="spellEnd"/>
      <w:r w:rsidR="00317A04">
        <w:t xml:space="preserve"> Mill</w:t>
      </w:r>
      <w:r w:rsidR="00724726">
        <w:t>.  By not addressing the power reliability issues raised in the co</w:t>
      </w:r>
      <w:r>
        <w:t>mplaint, Boise continue</w:t>
      </w:r>
      <w:r w:rsidR="00724726">
        <w:t>s</w:t>
      </w:r>
      <w:r>
        <w:t xml:space="preserve"> to maintain</w:t>
      </w:r>
      <w:r w:rsidR="00724726">
        <w:t xml:space="preserve"> that </w:t>
      </w:r>
      <w:r w:rsidR="00317A04">
        <w:t>PacifiCorp</w:t>
      </w:r>
      <w:r w:rsidR="00724726">
        <w:t xml:space="preserve"> has failed to meet service quality improvement obligations agreed to as part of the Company’s acquisition by </w:t>
      </w:r>
      <w:r w:rsidR="00724726" w:rsidRPr="00BC19B8">
        <w:rPr>
          <w:szCs w:val="24"/>
        </w:rPr>
        <w:t>B</w:t>
      </w:r>
      <w:r w:rsidR="00724726">
        <w:rPr>
          <w:szCs w:val="24"/>
        </w:rPr>
        <w:t>erkshire Hathaway Energy</w:t>
      </w:r>
      <w:r w:rsidR="00724726" w:rsidRPr="00BC19B8">
        <w:rPr>
          <w:szCs w:val="24"/>
        </w:rPr>
        <w:t xml:space="preserve"> (formerly known as MidAmerican Energy Holding Company</w:t>
      </w:r>
      <w:r w:rsidR="00724726">
        <w:rPr>
          <w:szCs w:val="24"/>
        </w:rPr>
        <w:t xml:space="preserve">). </w:t>
      </w:r>
      <w:r w:rsidR="00485875">
        <w:t xml:space="preserve"> </w:t>
      </w:r>
      <w:r w:rsidR="00724726">
        <w:rPr>
          <w:bCs/>
        </w:rPr>
        <w:t xml:space="preserve">As a result, Boise has had no choice but to spend incremental capital to secure internal protection against the risk </w:t>
      </w:r>
      <w:r w:rsidR="009C27F3">
        <w:rPr>
          <w:bCs/>
        </w:rPr>
        <w:t>of further outages—a wholly unnecessary and costly form of loss mitigation that Boise’s competitors, served by other utilities, simply do not have to bear.</w:t>
      </w:r>
    </w:p>
    <w:p w:rsidR="009C27F3" w:rsidRDefault="009C27F3" w:rsidP="007C3362">
      <w:pPr>
        <w:spacing w:after="0"/>
        <w:rPr>
          <w:bCs/>
        </w:rPr>
      </w:pPr>
    </w:p>
    <w:p w:rsidR="00D05189" w:rsidRDefault="009C27F3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3184E">
        <w:rPr>
          <w:bCs/>
        </w:rPr>
        <w:t>Fortunately</w:t>
      </w:r>
      <w:r>
        <w:rPr>
          <w:bCs/>
        </w:rPr>
        <w:t xml:space="preserve">, the number of power outages and service quality occurrences has declined over the past twelve months.  Boise can only attribute </w:t>
      </w:r>
      <w:r w:rsidR="00B3184E">
        <w:rPr>
          <w:bCs/>
        </w:rPr>
        <w:t xml:space="preserve">this reliability improvement to </w:t>
      </w:r>
      <w:r>
        <w:rPr>
          <w:bCs/>
        </w:rPr>
        <w:t xml:space="preserve">favorable weather conditions, however, rather than any beneficial system improvements recently </w:t>
      </w:r>
      <w:r>
        <w:rPr>
          <w:bCs/>
        </w:rPr>
        <w:lastRenderedPageBreak/>
        <w:t xml:space="preserve">implemented by </w:t>
      </w:r>
      <w:r w:rsidR="00317A04">
        <w:rPr>
          <w:bCs/>
        </w:rPr>
        <w:t>PacifiCorp</w:t>
      </w:r>
      <w:r>
        <w:rPr>
          <w:bCs/>
        </w:rPr>
        <w:t>.</w:t>
      </w:r>
      <w:r w:rsidR="00724726">
        <w:rPr>
          <w:bCs/>
        </w:rPr>
        <w:t xml:space="preserve"> </w:t>
      </w:r>
      <w:r>
        <w:rPr>
          <w:bCs/>
        </w:rPr>
        <w:t xml:space="preserve"> Accordingly, in the event that more typical weather patterns resume, Boise will once again be faced with </w:t>
      </w:r>
      <w:r w:rsidR="00D05189">
        <w:rPr>
          <w:bCs/>
        </w:rPr>
        <w:t>the likelihood of outage levels of unreasonably high frequency, severely impairing Boise’s operations.</w:t>
      </w:r>
    </w:p>
    <w:p w:rsidR="00D05189" w:rsidRDefault="00D05189" w:rsidP="007C3362">
      <w:pPr>
        <w:spacing w:after="0"/>
        <w:rPr>
          <w:bCs/>
        </w:rPr>
      </w:pPr>
    </w:p>
    <w:p w:rsidR="00485875" w:rsidRDefault="00D05189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In light of the strong possibility of future power service interruptions and quality issues, Boise asks the Commission to </w:t>
      </w:r>
      <w:r w:rsidR="00B3184E">
        <w:rPr>
          <w:bCs/>
        </w:rPr>
        <w:t>maintain the</w:t>
      </w:r>
      <w:r>
        <w:rPr>
          <w:bCs/>
        </w:rPr>
        <w:t xml:space="preserve"> docket based upon Boise’s complaint.  As presently favorable weather conditions have redu</w:t>
      </w:r>
      <w:r w:rsidR="003E5CC7">
        <w:rPr>
          <w:bCs/>
        </w:rPr>
        <w:t>ced the frequency of power fluctuation</w:t>
      </w:r>
      <w:r>
        <w:rPr>
          <w:bCs/>
        </w:rPr>
        <w:t xml:space="preserve">s to </w:t>
      </w:r>
      <w:r w:rsidR="003E5CC7">
        <w:rPr>
          <w:bCs/>
        </w:rPr>
        <w:t>more reasonable</w:t>
      </w:r>
      <w:r w:rsidR="00D50A39">
        <w:rPr>
          <w:bCs/>
        </w:rPr>
        <w:t xml:space="preserve"> levels, Boise would not object to the placement of the </w:t>
      </w:r>
      <w:r w:rsidR="00B3184E">
        <w:rPr>
          <w:bCs/>
        </w:rPr>
        <w:t>current</w:t>
      </w:r>
      <w:r w:rsidR="00D50A39">
        <w:rPr>
          <w:bCs/>
        </w:rPr>
        <w:t xml:space="preserve"> docket on “Inactive” status.  Essentially, the </w:t>
      </w:r>
      <w:r w:rsidR="00B3184E">
        <w:rPr>
          <w:bCs/>
        </w:rPr>
        <w:t>lack of investigatory progress</w:t>
      </w:r>
      <w:r w:rsidR="00D50A39">
        <w:rPr>
          <w:bCs/>
        </w:rPr>
        <w:t xml:space="preserve"> </w:t>
      </w:r>
      <w:r w:rsidR="00B3184E">
        <w:rPr>
          <w:bCs/>
        </w:rPr>
        <w:t>over the last two plus years has rendered the docket as inactive</w:t>
      </w:r>
      <w:r w:rsidR="00D50A39">
        <w:rPr>
          <w:bCs/>
        </w:rPr>
        <w:t xml:space="preserve"> for some time, meaning that Boise’s request should not be onerous for the Commission, </w:t>
      </w:r>
      <w:r w:rsidR="00317A04">
        <w:rPr>
          <w:bCs/>
        </w:rPr>
        <w:t>PacifiCorp</w:t>
      </w:r>
      <w:r w:rsidR="00D50A39">
        <w:rPr>
          <w:bCs/>
        </w:rPr>
        <w:t xml:space="preserve">, or Staff.  Should a considerable amount of time pass without any </w:t>
      </w:r>
      <w:r w:rsidR="00FB7EAB">
        <w:rPr>
          <w:bCs/>
        </w:rPr>
        <w:t>significant outages or service quality issues caused by the Company’s power system—</w:t>
      </w:r>
      <w:r w:rsidR="00FB7EAB" w:rsidRPr="00B3184E">
        <w:rPr>
          <w:bCs/>
          <w:u w:val="single"/>
        </w:rPr>
        <w:t>e.g.</w:t>
      </w:r>
      <w:r w:rsidR="00FB7EAB">
        <w:rPr>
          <w:bCs/>
        </w:rPr>
        <w:t xml:space="preserve">, at </w:t>
      </w:r>
      <w:r w:rsidR="00FB7EAB" w:rsidRPr="003E5CC7">
        <w:rPr>
          <w:bCs/>
          <w:i/>
        </w:rPr>
        <w:t>least</w:t>
      </w:r>
      <w:r w:rsidR="00B94833">
        <w:rPr>
          <w:bCs/>
        </w:rPr>
        <w:t xml:space="preserve"> four</w:t>
      </w:r>
      <w:r w:rsidR="00FB7EAB">
        <w:rPr>
          <w:bCs/>
        </w:rPr>
        <w:t xml:space="preserve"> years, given the </w:t>
      </w:r>
      <w:r w:rsidR="003E5CC7">
        <w:rPr>
          <w:bCs/>
        </w:rPr>
        <w:t>decades</w:t>
      </w:r>
      <w:r w:rsidR="00FB7EAB">
        <w:rPr>
          <w:bCs/>
        </w:rPr>
        <w:t xml:space="preserve"> of inadequate service previously—Boise would be willing to withdraw its complaint.</w:t>
      </w:r>
      <w:r w:rsidR="009C27F3">
        <w:rPr>
          <w:bCs/>
        </w:rPr>
        <w:t xml:space="preserve"> </w:t>
      </w:r>
      <w:r w:rsidR="007C3362">
        <w:rPr>
          <w:bCs/>
        </w:rPr>
        <w:tab/>
      </w:r>
    </w:p>
    <w:p w:rsidR="00257264" w:rsidRPr="00C60282" w:rsidRDefault="00257264" w:rsidP="007C3362">
      <w:pPr>
        <w:spacing w:after="0"/>
        <w:rPr>
          <w:bCs/>
        </w:rPr>
      </w:pPr>
    </w:p>
    <w:p w:rsidR="007C3362" w:rsidRDefault="0057525A" w:rsidP="007C3362">
      <w:pPr>
        <w:spacing w:after="0"/>
        <w:rPr>
          <w:bCs/>
        </w:rPr>
      </w:pPr>
      <w:r w:rsidRPr="00C60282">
        <w:rPr>
          <w:bCs/>
        </w:rPr>
        <w:tab/>
      </w:r>
      <w:r w:rsidRPr="00C60282">
        <w:rPr>
          <w:bCs/>
        </w:rPr>
        <w:tab/>
      </w:r>
      <w:r w:rsidR="00240566" w:rsidRPr="00C60282">
        <w:rPr>
          <w:bCs/>
        </w:rPr>
        <w:t xml:space="preserve">Thank you for your consideration of </w:t>
      </w:r>
      <w:r w:rsidR="00BB5B3C">
        <w:rPr>
          <w:bCs/>
        </w:rPr>
        <w:t>Boise</w:t>
      </w:r>
      <w:r w:rsidR="00240566" w:rsidRPr="00C60282">
        <w:rPr>
          <w:bCs/>
        </w:rPr>
        <w:t xml:space="preserve">’s concerns and </w:t>
      </w:r>
      <w:r w:rsidR="00BB5B3C">
        <w:rPr>
          <w:bCs/>
        </w:rPr>
        <w:t xml:space="preserve">request concerning the </w:t>
      </w:r>
      <w:r w:rsidR="00B3184E">
        <w:rPr>
          <w:bCs/>
        </w:rPr>
        <w:t>maintenance of its complaint docket</w:t>
      </w:r>
      <w:r w:rsidR="00340D0D">
        <w:rPr>
          <w:bCs/>
        </w:rPr>
        <w:t>.  Boise believes that a continued,</w:t>
      </w:r>
      <w:r w:rsidR="00BB5B3C">
        <w:rPr>
          <w:bCs/>
        </w:rPr>
        <w:t xml:space="preserve"> though potentially inactive docket</w:t>
      </w:r>
      <w:r w:rsidR="00240566" w:rsidRPr="00C60282">
        <w:rPr>
          <w:bCs/>
        </w:rPr>
        <w:t xml:space="preserve"> </w:t>
      </w:r>
      <w:r w:rsidR="00BB5B3C">
        <w:rPr>
          <w:bCs/>
        </w:rPr>
        <w:t>is appropriate under the circumstances</w:t>
      </w:r>
      <w:r w:rsidR="006F58E6" w:rsidRPr="00C60282">
        <w:rPr>
          <w:bCs/>
        </w:rPr>
        <w:t>.</w:t>
      </w:r>
      <w:r w:rsidR="0048733A">
        <w:rPr>
          <w:bCs/>
        </w:rPr>
        <w:t xml:space="preserve"> </w:t>
      </w:r>
      <w:r w:rsidR="00D763EB">
        <w:rPr>
          <w:bCs/>
        </w:rPr>
        <w:t xml:space="preserve">  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Sincerely yours,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</w:p>
    <w:p w:rsidR="007C3362" w:rsidRPr="00B265DA" w:rsidRDefault="00B265DA" w:rsidP="007C3362">
      <w:pPr>
        <w:spacing w:after="0"/>
        <w:rPr>
          <w:bCs/>
          <w:i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265DA">
        <w:rPr>
          <w:bCs/>
          <w:i/>
          <w:u w:val="single"/>
        </w:rPr>
        <w:t xml:space="preserve">/s/ </w:t>
      </w:r>
      <w:r w:rsidR="001B72BA">
        <w:rPr>
          <w:bCs/>
          <w:i/>
          <w:u w:val="single"/>
        </w:rPr>
        <w:t>Melinda J. Davison</w:t>
      </w: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B72BA">
        <w:rPr>
          <w:bCs/>
        </w:rPr>
        <w:t>Melinda J. Davison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  <w:r>
        <w:rPr>
          <w:bCs/>
        </w:rPr>
        <w:t>cc:</w:t>
      </w:r>
      <w:r>
        <w:rPr>
          <w:bCs/>
        </w:rPr>
        <w:tab/>
      </w:r>
      <w:r w:rsidR="00FB7EAB">
        <w:rPr>
          <w:bCs/>
        </w:rPr>
        <w:t>Patrick Loupin</w:t>
      </w:r>
    </w:p>
    <w:p w:rsidR="007C3362" w:rsidRDefault="007C3362" w:rsidP="00A422A2">
      <w:pPr>
        <w:spacing w:after="0"/>
        <w:rPr>
          <w:bCs/>
        </w:rPr>
      </w:pPr>
      <w:r>
        <w:rPr>
          <w:bCs/>
        </w:rPr>
        <w:tab/>
      </w:r>
      <w:r w:rsidR="00FB7EAB">
        <w:rPr>
          <w:bCs/>
        </w:rPr>
        <w:t>Sarah Wallace</w:t>
      </w:r>
      <w:r>
        <w:rPr>
          <w:bCs/>
        </w:rPr>
        <w:t xml:space="preserve"> </w:t>
      </w:r>
    </w:p>
    <w:p w:rsidR="00FB7EAB" w:rsidRDefault="007C3362" w:rsidP="007C3362">
      <w:pPr>
        <w:spacing w:after="0"/>
        <w:rPr>
          <w:bCs/>
        </w:rPr>
      </w:pPr>
      <w:r>
        <w:rPr>
          <w:bCs/>
        </w:rPr>
        <w:tab/>
      </w:r>
      <w:r w:rsidR="00FB7EAB">
        <w:rPr>
          <w:bCs/>
        </w:rPr>
        <w:t>Bryce Dalley</w:t>
      </w:r>
    </w:p>
    <w:p w:rsidR="007C3362" w:rsidRPr="00FB7EAB" w:rsidRDefault="00FB7EAB" w:rsidP="007C3362">
      <w:pPr>
        <w:spacing w:after="0"/>
        <w:rPr>
          <w:bCs/>
        </w:rPr>
      </w:pPr>
      <w:r>
        <w:rPr>
          <w:bCs/>
        </w:rPr>
        <w:tab/>
        <w:t>David Nightingale</w:t>
      </w:r>
      <w:r w:rsidR="007C3362">
        <w:rPr>
          <w:bCs/>
        </w:rPr>
        <w:t xml:space="preserve"> </w:t>
      </w:r>
    </w:p>
    <w:p w:rsidR="006A0E8E" w:rsidRDefault="006A0E8E" w:rsidP="006A0E8E">
      <w:pPr>
        <w:spacing w:after="0"/>
      </w:pPr>
    </w:p>
    <w:sectPr w:rsidR="006A0E8E" w:rsidSect="008354F9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4E" w:rsidRDefault="00B3184E" w:rsidP="008354F9">
      <w:pPr>
        <w:spacing w:after="0"/>
      </w:pPr>
      <w:r>
        <w:separator/>
      </w:r>
    </w:p>
  </w:endnote>
  <w:endnote w:type="continuationSeparator" w:id="0">
    <w:p w:rsidR="00B3184E" w:rsidRDefault="00B3184E" w:rsidP="00835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4E" w:rsidRDefault="00B3184E" w:rsidP="008354F9">
      <w:pPr>
        <w:spacing w:after="0"/>
      </w:pPr>
      <w:r>
        <w:separator/>
      </w:r>
    </w:p>
  </w:footnote>
  <w:footnote w:type="continuationSeparator" w:id="0">
    <w:p w:rsidR="00B3184E" w:rsidRDefault="00B3184E" w:rsidP="00835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4E" w:rsidRDefault="00B3184E" w:rsidP="007C3362">
    <w:pPr>
      <w:pStyle w:val="Header"/>
    </w:pPr>
    <w:r>
      <w:t xml:space="preserve">Commissioners Danner, Jones, and </w:t>
    </w:r>
    <w:proofErr w:type="spellStart"/>
    <w:r>
      <w:t>Rendahl</w:t>
    </w:r>
    <w:proofErr w:type="spellEnd"/>
  </w:p>
  <w:p w:rsidR="00B3184E" w:rsidRDefault="00F5627C" w:rsidP="007C3362">
    <w:pPr>
      <w:pStyle w:val="Header"/>
    </w:pPr>
    <w:r>
      <w:t>March 20</w:t>
    </w:r>
    <w:r w:rsidR="00B3184E">
      <w:t>, 2015</w:t>
    </w:r>
  </w:p>
  <w:p w:rsidR="00B3184E" w:rsidRDefault="00B3184E" w:rsidP="007C3362">
    <w:pPr>
      <w:pStyle w:val="Header"/>
    </w:pPr>
    <w:r>
      <w:t xml:space="preserve">Page </w:t>
    </w:r>
    <w:r w:rsidR="00F5627C">
      <w:fldChar w:fldCharType="begin"/>
    </w:r>
    <w:r w:rsidR="00F5627C">
      <w:instrText xml:space="preserve"> PAGE   \* MERGEFORMAT </w:instrText>
    </w:r>
    <w:r w:rsidR="00F5627C">
      <w:fldChar w:fldCharType="separate"/>
    </w:r>
    <w:r w:rsidR="00F5627C">
      <w:rPr>
        <w:noProof/>
      </w:rPr>
      <w:t>2</w:t>
    </w:r>
    <w:r w:rsidR="00F5627C">
      <w:rPr>
        <w:noProof/>
      </w:rPr>
      <w:fldChar w:fldCharType="end"/>
    </w:r>
  </w:p>
  <w:p w:rsidR="00B3184E" w:rsidRDefault="00B31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E8E"/>
    <w:rsid w:val="00021A53"/>
    <w:rsid w:val="00040163"/>
    <w:rsid w:val="00043B81"/>
    <w:rsid w:val="000573F5"/>
    <w:rsid w:val="00060432"/>
    <w:rsid w:val="00063B75"/>
    <w:rsid w:val="000771D8"/>
    <w:rsid w:val="00087CA4"/>
    <w:rsid w:val="000C564F"/>
    <w:rsid w:val="000D0CEF"/>
    <w:rsid w:val="000E579C"/>
    <w:rsid w:val="000E6187"/>
    <w:rsid w:val="000F4B03"/>
    <w:rsid w:val="000F5552"/>
    <w:rsid w:val="001332BE"/>
    <w:rsid w:val="00135751"/>
    <w:rsid w:val="001777EF"/>
    <w:rsid w:val="00182525"/>
    <w:rsid w:val="001A7AA5"/>
    <w:rsid w:val="001B11AE"/>
    <w:rsid w:val="001B2719"/>
    <w:rsid w:val="001B53D2"/>
    <w:rsid w:val="001B72BA"/>
    <w:rsid w:val="001E18AE"/>
    <w:rsid w:val="001F46A1"/>
    <w:rsid w:val="00211DA9"/>
    <w:rsid w:val="00231125"/>
    <w:rsid w:val="00231A6E"/>
    <w:rsid w:val="00232B09"/>
    <w:rsid w:val="00240566"/>
    <w:rsid w:val="00243452"/>
    <w:rsid w:val="0025261B"/>
    <w:rsid w:val="002564A2"/>
    <w:rsid w:val="00257264"/>
    <w:rsid w:val="00261234"/>
    <w:rsid w:val="002774AB"/>
    <w:rsid w:val="00285770"/>
    <w:rsid w:val="002D0C55"/>
    <w:rsid w:val="002F6486"/>
    <w:rsid w:val="00306080"/>
    <w:rsid w:val="00307425"/>
    <w:rsid w:val="00317A04"/>
    <w:rsid w:val="00340D0D"/>
    <w:rsid w:val="003552E3"/>
    <w:rsid w:val="003808EC"/>
    <w:rsid w:val="00386FB7"/>
    <w:rsid w:val="003A0391"/>
    <w:rsid w:val="003A3007"/>
    <w:rsid w:val="003A6065"/>
    <w:rsid w:val="003B5746"/>
    <w:rsid w:val="003E3FBB"/>
    <w:rsid w:val="003E5CC7"/>
    <w:rsid w:val="00406EEF"/>
    <w:rsid w:val="004424F1"/>
    <w:rsid w:val="004644D4"/>
    <w:rsid w:val="00477C8F"/>
    <w:rsid w:val="00481113"/>
    <w:rsid w:val="00485875"/>
    <w:rsid w:val="0048733A"/>
    <w:rsid w:val="00493C2E"/>
    <w:rsid w:val="004C1083"/>
    <w:rsid w:val="004C68BB"/>
    <w:rsid w:val="004D1CCA"/>
    <w:rsid w:val="004F3AB5"/>
    <w:rsid w:val="004F6161"/>
    <w:rsid w:val="004F7573"/>
    <w:rsid w:val="00500094"/>
    <w:rsid w:val="00510BA0"/>
    <w:rsid w:val="00511A47"/>
    <w:rsid w:val="00511C26"/>
    <w:rsid w:val="0051200B"/>
    <w:rsid w:val="00523144"/>
    <w:rsid w:val="00545664"/>
    <w:rsid w:val="00553ECD"/>
    <w:rsid w:val="00556B7E"/>
    <w:rsid w:val="0057525A"/>
    <w:rsid w:val="00581D69"/>
    <w:rsid w:val="00594DEE"/>
    <w:rsid w:val="005956A0"/>
    <w:rsid w:val="005B5C7A"/>
    <w:rsid w:val="005D418E"/>
    <w:rsid w:val="005D617A"/>
    <w:rsid w:val="005E6692"/>
    <w:rsid w:val="005F4AF9"/>
    <w:rsid w:val="006142C4"/>
    <w:rsid w:val="0061466C"/>
    <w:rsid w:val="00623E90"/>
    <w:rsid w:val="00666C20"/>
    <w:rsid w:val="0066796D"/>
    <w:rsid w:val="00675702"/>
    <w:rsid w:val="006A0E8E"/>
    <w:rsid w:val="006A4934"/>
    <w:rsid w:val="006B53ED"/>
    <w:rsid w:val="006B56CA"/>
    <w:rsid w:val="006D67A5"/>
    <w:rsid w:val="006D6B75"/>
    <w:rsid w:val="006E543C"/>
    <w:rsid w:val="006E76D5"/>
    <w:rsid w:val="006F58E6"/>
    <w:rsid w:val="00724726"/>
    <w:rsid w:val="00750A33"/>
    <w:rsid w:val="0075754C"/>
    <w:rsid w:val="00757DA9"/>
    <w:rsid w:val="00763BE2"/>
    <w:rsid w:val="00786BE7"/>
    <w:rsid w:val="007910C3"/>
    <w:rsid w:val="007A524A"/>
    <w:rsid w:val="007B2200"/>
    <w:rsid w:val="007C3362"/>
    <w:rsid w:val="007E26AF"/>
    <w:rsid w:val="007E61F3"/>
    <w:rsid w:val="007E7F11"/>
    <w:rsid w:val="00815C8F"/>
    <w:rsid w:val="00826C97"/>
    <w:rsid w:val="00834892"/>
    <w:rsid w:val="008354F9"/>
    <w:rsid w:val="00863158"/>
    <w:rsid w:val="00890264"/>
    <w:rsid w:val="00893CFF"/>
    <w:rsid w:val="00896784"/>
    <w:rsid w:val="008A509F"/>
    <w:rsid w:val="008F6745"/>
    <w:rsid w:val="009260DF"/>
    <w:rsid w:val="00946AEE"/>
    <w:rsid w:val="00955A40"/>
    <w:rsid w:val="00961A7C"/>
    <w:rsid w:val="00972FC0"/>
    <w:rsid w:val="0097600E"/>
    <w:rsid w:val="0099143F"/>
    <w:rsid w:val="00995019"/>
    <w:rsid w:val="00995041"/>
    <w:rsid w:val="009966F6"/>
    <w:rsid w:val="009C27F3"/>
    <w:rsid w:val="00A06596"/>
    <w:rsid w:val="00A0791C"/>
    <w:rsid w:val="00A11B39"/>
    <w:rsid w:val="00A247D8"/>
    <w:rsid w:val="00A41119"/>
    <w:rsid w:val="00A422A2"/>
    <w:rsid w:val="00A574DE"/>
    <w:rsid w:val="00A73DC8"/>
    <w:rsid w:val="00A84157"/>
    <w:rsid w:val="00A94654"/>
    <w:rsid w:val="00AB485C"/>
    <w:rsid w:val="00B21517"/>
    <w:rsid w:val="00B24168"/>
    <w:rsid w:val="00B265DA"/>
    <w:rsid w:val="00B3184E"/>
    <w:rsid w:val="00B416D0"/>
    <w:rsid w:val="00B632AB"/>
    <w:rsid w:val="00B74FED"/>
    <w:rsid w:val="00B8407D"/>
    <w:rsid w:val="00B86FFD"/>
    <w:rsid w:val="00B93276"/>
    <w:rsid w:val="00B94833"/>
    <w:rsid w:val="00BA42CD"/>
    <w:rsid w:val="00BB5B3C"/>
    <w:rsid w:val="00BC05D7"/>
    <w:rsid w:val="00BD208F"/>
    <w:rsid w:val="00BE59D3"/>
    <w:rsid w:val="00C11895"/>
    <w:rsid w:val="00C2711E"/>
    <w:rsid w:val="00C342B8"/>
    <w:rsid w:val="00C411E4"/>
    <w:rsid w:val="00C460F9"/>
    <w:rsid w:val="00C50982"/>
    <w:rsid w:val="00C60282"/>
    <w:rsid w:val="00C67966"/>
    <w:rsid w:val="00C7029D"/>
    <w:rsid w:val="00CA3A28"/>
    <w:rsid w:val="00CC0EE9"/>
    <w:rsid w:val="00CD4E8F"/>
    <w:rsid w:val="00D03D1C"/>
    <w:rsid w:val="00D05189"/>
    <w:rsid w:val="00D164AC"/>
    <w:rsid w:val="00D261AC"/>
    <w:rsid w:val="00D50A39"/>
    <w:rsid w:val="00D54057"/>
    <w:rsid w:val="00D63E59"/>
    <w:rsid w:val="00D763EB"/>
    <w:rsid w:val="00D81F5F"/>
    <w:rsid w:val="00D87E1F"/>
    <w:rsid w:val="00DD09C4"/>
    <w:rsid w:val="00DD1F5E"/>
    <w:rsid w:val="00DF2BA3"/>
    <w:rsid w:val="00E01EA5"/>
    <w:rsid w:val="00E048CF"/>
    <w:rsid w:val="00E06A7F"/>
    <w:rsid w:val="00E15482"/>
    <w:rsid w:val="00E16B65"/>
    <w:rsid w:val="00E2768F"/>
    <w:rsid w:val="00E31A03"/>
    <w:rsid w:val="00E34401"/>
    <w:rsid w:val="00E41B37"/>
    <w:rsid w:val="00E66F69"/>
    <w:rsid w:val="00E76DAF"/>
    <w:rsid w:val="00F02C29"/>
    <w:rsid w:val="00F050C1"/>
    <w:rsid w:val="00F5627C"/>
    <w:rsid w:val="00F8015E"/>
    <w:rsid w:val="00FA0457"/>
    <w:rsid w:val="00FA5E2C"/>
    <w:rsid w:val="00FA6755"/>
    <w:rsid w:val="00FB7EAB"/>
    <w:rsid w:val="00FC5CAC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2012-10-22T07:00:00+00:00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382D8B91A9064AB9F18D111430FFB0" ma:contentTypeVersion="139" ma:contentTypeDescription="" ma:contentTypeScope="" ma:versionID="343632bc31004b212a3632b136f09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40CF5-4D98-48A4-970D-3BDADB7ADE8A}"/>
</file>

<file path=customXml/itemProps2.xml><?xml version="1.0" encoding="utf-8"?>
<ds:datastoreItem xmlns:ds="http://schemas.openxmlformats.org/officeDocument/2006/customXml" ds:itemID="{9C985E6D-1F23-474F-8A7B-2C9EFCE8A8D1}"/>
</file>

<file path=customXml/itemProps3.xml><?xml version="1.0" encoding="utf-8"?>
<ds:datastoreItem xmlns:ds="http://schemas.openxmlformats.org/officeDocument/2006/customXml" ds:itemID="{0FC0C35F-38F0-4FBD-BADD-EEC899EFF7BA}"/>
</file>

<file path=customXml/itemProps4.xml><?xml version="1.0" encoding="utf-8"?>
<ds:datastoreItem xmlns:ds="http://schemas.openxmlformats.org/officeDocument/2006/customXml" ds:itemID="{C879EAB2-30F7-4CE6-8BDA-D9270B45DCAC}"/>
</file>

<file path=customXml/itemProps5.xml><?xml version="1.0" encoding="utf-8"?>
<ds:datastoreItem xmlns:ds="http://schemas.openxmlformats.org/officeDocument/2006/customXml" ds:itemID="{E2E95D09-B929-4904-A290-472AE0487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Jesse O. Gorsuch</cp:lastModifiedBy>
  <cp:revision>8</cp:revision>
  <cp:lastPrinted>2015-03-19T23:46:00Z</cp:lastPrinted>
  <dcterms:created xsi:type="dcterms:W3CDTF">2015-03-04T20:16:00Z</dcterms:created>
  <dcterms:modified xsi:type="dcterms:W3CDTF">2015-03-19T23:47:00Z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0x0101006E56B4D1795A2E4DB2F0B01679ED314A00CC382D8B91A9064AB9F18D111430FFB0</vt:lpwstr>
  </property>
  <property fmtid="{D5CDD505-2E9C-101B-9397-08002B2CF9AE}" pid="3" name="_docset_NoMedatataSyncRequired">
    <vt:lpwstr>False</vt:lpwstr>
  </property>
</Properties>
</file>