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2D" w:rsidRDefault="00254F2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-921385</wp:posOffset>
            </wp:positionH>
            <wp:positionV relativeFrom="paragraph">
              <wp:posOffset>-840740</wp:posOffset>
            </wp:positionV>
            <wp:extent cx="7734300" cy="1724025"/>
            <wp:effectExtent l="0" t="0" r="0" b="0"/>
            <wp:wrapNone/>
            <wp:docPr id="3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452D" w:rsidRDefault="00E7452D"/>
    <w:p w:rsidR="00E7452D" w:rsidRDefault="00E7452D"/>
    <w:p w:rsidR="00E7452D" w:rsidRDefault="00E7452D"/>
    <w:p w:rsidR="00E7452D" w:rsidRDefault="00E7452D"/>
    <w:p w:rsidR="00E7452D" w:rsidRDefault="00E7452D"/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94C52">
        <w:tc>
          <w:tcPr>
            <w:tcW w:w="4788" w:type="dxa"/>
          </w:tcPr>
          <w:p w:rsidR="00C94C52" w:rsidRDefault="00C94C52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C94C52" w:rsidRDefault="00C94C52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1411 </w:t>
            </w:r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East Mission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  P.O. Box 3727</w:t>
            </w:r>
          </w:p>
          <w:p w:rsidR="00C94C52" w:rsidRDefault="00C94C52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Spokane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 99220-0500</w:t>
            </w:r>
          </w:p>
          <w:p w:rsidR="00C94C52" w:rsidRDefault="00C94C52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C94C52" w:rsidRDefault="00C94C52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C94C52" w:rsidRDefault="00C94C52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C94C52" w:rsidRDefault="00C94C52" w:rsidP="00E7452D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C94C52" w:rsidRDefault="00C94C52">
      <w:pPr>
        <w:jc w:val="both"/>
        <w:rPr>
          <w:sz w:val="24"/>
        </w:rPr>
      </w:pPr>
    </w:p>
    <w:p w:rsidR="00F401EC" w:rsidRDefault="00F401EC">
      <w:pPr>
        <w:jc w:val="both"/>
        <w:rPr>
          <w:sz w:val="24"/>
        </w:rPr>
      </w:pPr>
    </w:p>
    <w:p w:rsidR="00C94C52" w:rsidRDefault="0045159F">
      <w:pPr>
        <w:jc w:val="both"/>
        <w:rPr>
          <w:sz w:val="24"/>
        </w:rPr>
      </w:pPr>
      <w:r>
        <w:rPr>
          <w:sz w:val="24"/>
        </w:rPr>
        <w:t>May 31</w:t>
      </w:r>
      <w:r w:rsidR="0021469B">
        <w:rPr>
          <w:sz w:val="24"/>
        </w:rPr>
        <w:t>, 2012</w:t>
      </w:r>
    </w:p>
    <w:p w:rsidR="00E7452D" w:rsidRDefault="00E7452D">
      <w:pPr>
        <w:jc w:val="both"/>
        <w:rPr>
          <w:sz w:val="24"/>
        </w:rPr>
      </w:pPr>
    </w:p>
    <w:p w:rsidR="00C94C52" w:rsidRDefault="00C94C52">
      <w:pPr>
        <w:jc w:val="both"/>
        <w:rPr>
          <w:sz w:val="24"/>
        </w:rPr>
      </w:pPr>
    </w:p>
    <w:p w:rsidR="00C94C52" w:rsidRPr="00A916AD" w:rsidRDefault="00E7452D">
      <w:pPr>
        <w:jc w:val="both"/>
        <w:rPr>
          <w:b/>
          <w:i/>
          <w:sz w:val="24"/>
        </w:rPr>
      </w:pPr>
      <w:r w:rsidRPr="00A916AD">
        <w:rPr>
          <w:b/>
          <w:i/>
          <w:sz w:val="24"/>
        </w:rPr>
        <w:t>VIA: Electronic Mail</w:t>
      </w:r>
    </w:p>
    <w:p w:rsidR="00792B9F" w:rsidRDefault="00792B9F">
      <w:pPr>
        <w:jc w:val="both"/>
        <w:rPr>
          <w:sz w:val="24"/>
        </w:rPr>
      </w:pPr>
    </w:p>
    <w:p w:rsidR="00B52FD5" w:rsidRDefault="00B52FD5">
      <w:pPr>
        <w:jc w:val="both"/>
        <w:rPr>
          <w:sz w:val="24"/>
        </w:rPr>
      </w:pPr>
    </w:p>
    <w:p w:rsidR="00C94C52" w:rsidRDefault="00B52FD5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r>
        <w:t xml:space="preserve">Mr. </w:t>
      </w:r>
      <w:r w:rsidR="00E7452D">
        <w:t>David Danner</w:t>
      </w:r>
    </w:p>
    <w:p w:rsidR="00C94C52" w:rsidRDefault="00C94C52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r>
        <w:t xml:space="preserve">Executive </w:t>
      </w:r>
      <w:r w:rsidR="00D17CA9">
        <w:t>Director</w:t>
      </w:r>
      <w:r w:rsidR="00E7452D">
        <w:t xml:space="preserve"> and Secretary</w:t>
      </w:r>
    </w:p>
    <w:p w:rsidR="00C94C52" w:rsidRDefault="00C94C52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C94C52" w:rsidRDefault="00C94C52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C94C52" w:rsidRDefault="00C94C52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C94C52" w:rsidRDefault="00C94C52">
      <w:pPr>
        <w:pStyle w:val="Heading1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C94C52" w:rsidRDefault="00C94C52">
      <w:pPr>
        <w:jc w:val="both"/>
        <w:rPr>
          <w:sz w:val="24"/>
        </w:rPr>
      </w:pPr>
    </w:p>
    <w:p w:rsidR="007D09B2" w:rsidRDefault="00B52FD5">
      <w:pPr>
        <w:jc w:val="both"/>
        <w:rPr>
          <w:sz w:val="24"/>
        </w:rPr>
      </w:pPr>
      <w:r>
        <w:rPr>
          <w:sz w:val="24"/>
        </w:rPr>
        <w:t xml:space="preserve">RE: Docket No. </w:t>
      </w:r>
      <w:r w:rsidR="00061AD7">
        <w:rPr>
          <w:sz w:val="24"/>
        </w:rPr>
        <w:t>UE-</w:t>
      </w:r>
      <w:r>
        <w:rPr>
          <w:sz w:val="24"/>
        </w:rPr>
        <w:t>120480</w:t>
      </w:r>
    </w:p>
    <w:p w:rsidR="00B52FD5" w:rsidRDefault="00B52FD5">
      <w:pPr>
        <w:jc w:val="both"/>
        <w:rPr>
          <w:sz w:val="24"/>
        </w:rPr>
      </w:pPr>
    </w:p>
    <w:p w:rsidR="00B52FD5" w:rsidRDefault="00B52FD5">
      <w:pPr>
        <w:jc w:val="both"/>
        <w:rPr>
          <w:sz w:val="24"/>
        </w:rPr>
      </w:pPr>
    </w:p>
    <w:p w:rsidR="00C94C52" w:rsidRDefault="00C94C52">
      <w:pPr>
        <w:jc w:val="both"/>
        <w:rPr>
          <w:sz w:val="24"/>
        </w:rPr>
      </w:pPr>
      <w:r>
        <w:rPr>
          <w:sz w:val="24"/>
        </w:rPr>
        <w:t>Dear M</w:t>
      </w:r>
      <w:r w:rsidR="00E7452D">
        <w:rPr>
          <w:sz w:val="24"/>
        </w:rPr>
        <w:t>r. Danner</w:t>
      </w:r>
      <w:r>
        <w:rPr>
          <w:sz w:val="24"/>
        </w:rPr>
        <w:t>:</w:t>
      </w:r>
    </w:p>
    <w:p w:rsidR="00C94C52" w:rsidRDefault="00C94C52">
      <w:pPr>
        <w:jc w:val="both"/>
        <w:rPr>
          <w:sz w:val="24"/>
        </w:rPr>
      </w:pPr>
    </w:p>
    <w:p w:rsidR="00C94C52" w:rsidRDefault="00C94C52">
      <w:pPr>
        <w:pStyle w:val="BodyText2"/>
      </w:pPr>
      <w:r>
        <w:t xml:space="preserve">Attached for filing with the Commission is an electronic copy of the Company’s </w:t>
      </w:r>
      <w:r w:rsidR="00B52FD5">
        <w:t xml:space="preserve">“revised” cover letter in the above referenced docket related to the following </w:t>
      </w:r>
      <w:r>
        <w:t>proposed revision</w:t>
      </w:r>
      <w:r w:rsidR="0021469B">
        <w:t>s to tariff sheet</w:t>
      </w:r>
      <w:r>
        <w:t>, WN U-28:</w:t>
      </w:r>
    </w:p>
    <w:p w:rsidR="00C94C52" w:rsidRDefault="00C94C52">
      <w:pPr>
        <w:tabs>
          <w:tab w:val="left" w:pos="720"/>
          <w:tab w:val="left" w:pos="3960"/>
          <w:tab w:val="left" w:pos="6300"/>
        </w:tabs>
        <w:jc w:val="both"/>
        <w:rPr>
          <w:sz w:val="24"/>
        </w:rPr>
      </w:pPr>
    </w:p>
    <w:p w:rsidR="00C94C52" w:rsidRDefault="0045159F" w:rsidP="000F27B1">
      <w:pPr>
        <w:tabs>
          <w:tab w:val="left" w:pos="4320"/>
          <w:tab w:val="left" w:pos="5400"/>
        </w:tabs>
        <w:ind w:left="720"/>
        <w:rPr>
          <w:sz w:val="24"/>
        </w:rPr>
      </w:pPr>
      <w:bookmarkStart w:id="1" w:name="OLE_LINK1"/>
      <w:r>
        <w:rPr>
          <w:sz w:val="24"/>
        </w:rPr>
        <w:t xml:space="preserve">Substitute </w:t>
      </w:r>
      <w:r w:rsidR="0021469B">
        <w:rPr>
          <w:sz w:val="24"/>
        </w:rPr>
        <w:t>Second Revision Sheet 70-R</w:t>
      </w:r>
      <w:r w:rsidR="00C94C52" w:rsidRPr="00E7452D">
        <w:rPr>
          <w:sz w:val="24"/>
        </w:rPr>
        <w:tab/>
        <w:t>Ca</w:t>
      </w:r>
      <w:r w:rsidR="00261B0A" w:rsidRPr="00E7452D">
        <w:rPr>
          <w:sz w:val="24"/>
        </w:rPr>
        <w:t xml:space="preserve">nceling </w:t>
      </w:r>
      <w:r w:rsidR="000F27B1">
        <w:rPr>
          <w:sz w:val="24"/>
        </w:rPr>
        <w:tab/>
      </w:r>
      <w:r>
        <w:rPr>
          <w:sz w:val="24"/>
        </w:rPr>
        <w:t>Second</w:t>
      </w:r>
      <w:r w:rsidR="0021469B">
        <w:rPr>
          <w:sz w:val="24"/>
        </w:rPr>
        <w:t xml:space="preserve"> Revision Sheet 70-R and</w:t>
      </w:r>
    </w:p>
    <w:p w:rsidR="0021469B" w:rsidRPr="00E7452D" w:rsidRDefault="0021469B" w:rsidP="000F27B1">
      <w:pPr>
        <w:tabs>
          <w:tab w:val="left" w:pos="5400"/>
        </w:tabs>
        <w:ind w:left="720"/>
        <w:rPr>
          <w:sz w:val="24"/>
        </w:rPr>
      </w:pPr>
      <w:r>
        <w:rPr>
          <w:sz w:val="24"/>
        </w:rPr>
        <w:tab/>
        <w:t>Second Revision Sheet 70-S</w:t>
      </w:r>
    </w:p>
    <w:bookmarkEnd w:id="1"/>
    <w:p w:rsidR="00792B9F" w:rsidRDefault="00792B9F">
      <w:pPr>
        <w:jc w:val="both"/>
      </w:pPr>
    </w:p>
    <w:p w:rsidR="000F27B1" w:rsidRDefault="00E552E6" w:rsidP="000F27B1">
      <w:pPr>
        <w:jc w:val="both"/>
        <w:rPr>
          <w:sz w:val="24"/>
          <w:szCs w:val="24"/>
        </w:rPr>
      </w:pPr>
      <w:r w:rsidRPr="0021469B">
        <w:rPr>
          <w:sz w:val="24"/>
          <w:szCs w:val="24"/>
        </w:rPr>
        <w:t xml:space="preserve">The purpose of this filing is to </w:t>
      </w:r>
      <w:r w:rsidR="0021469B" w:rsidRPr="0021469B">
        <w:rPr>
          <w:sz w:val="24"/>
          <w:szCs w:val="24"/>
        </w:rPr>
        <w:t xml:space="preserve">replace existing tariff language related to the “Buy-Back of Customer Power” and the “Buy-Back of Customer Power – Pumping Service”.  These programs were initiated during the 2001 western energy crisis, and </w:t>
      </w:r>
      <w:proofErr w:type="gramStart"/>
      <w:r w:rsidR="0021469B" w:rsidRPr="0021469B">
        <w:rPr>
          <w:sz w:val="24"/>
          <w:szCs w:val="24"/>
        </w:rPr>
        <w:t>expired</w:t>
      </w:r>
      <w:proofErr w:type="gramEnd"/>
      <w:r w:rsidR="0021469B" w:rsidRPr="0021469B">
        <w:rPr>
          <w:sz w:val="24"/>
          <w:szCs w:val="24"/>
        </w:rPr>
        <w:t xml:space="preserve"> effective October 31, 2001. The new tariff language is related to </w:t>
      </w:r>
      <w:r w:rsidR="0021469B">
        <w:rPr>
          <w:sz w:val="24"/>
          <w:szCs w:val="24"/>
        </w:rPr>
        <w:t xml:space="preserve">“Load Management Pilot Programs.” </w:t>
      </w:r>
      <w:r w:rsidR="0021469B" w:rsidRPr="0021469B">
        <w:rPr>
          <w:sz w:val="24"/>
          <w:szCs w:val="24"/>
        </w:rPr>
        <w:t xml:space="preserve">In order </w:t>
      </w:r>
      <w:r w:rsidR="0021469B">
        <w:rPr>
          <w:sz w:val="24"/>
          <w:szCs w:val="24"/>
        </w:rPr>
        <w:t xml:space="preserve">for the Company </w:t>
      </w:r>
      <w:r w:rsidR="0021469B" w:rsidRPr="0021469B">
        <w:rPr>
          <w:sz w:val="24"/>
          <w:szCs w:val="24"/>
        </w:rPr>
        <w:t xml:space="preserve">to evaluate load management innovative technologies or processes, </w:t>
      </w:r>
      <w:r w:rsidR="0021469B">
        <w:rPr>
          <w:sz w:val="24"/>
          <w:szCs w:val="24"/>
        </w:rPr>
        <w:t>Avista would like to periodically conduct</w:t>
      </w:r>
      <w:r w:rsidR="0021469B" w:rsidRPr="0021469B">
        <w:rPr>
          <w:sz w:val="24"/>
          <w:szCs w:val="24"/>
        </w:rPr>
        <w:t xml:space="preserve"> limited-scale pilot programs.  </w:t>
      </w:r>
    </w:p>
    <w:p w:rsidR="000F27B1" w:rsidRDefault="000F27B1" w:rsidP="000F27B1">
      <w:pPr>
        <w:jc w:val="both"/>
        <w:rPr>
          <w:sz w:val="24"/>
          <w:szCs w:val="24"/>
        </w:rPr>
      </w:pPr>
    </w:p>
    <w:p w:rsidR="00B52FD5" w:rsidRDefault="0021469B" w:rsidP="000F27B1">
      <w:pPr>
        <w:jc w:val="both"/>
        <w:rPr>
          <w:sz w:val="24"/>
          <w:szCs w:val="24"/>
        </w:rPr>
      </w:pPr>
      <w:r w:rsidRPr="0021469B">
        <w:rPr>
          <w:sz w:val="24"/>
          <w:szCs w:val="24"/>
        </w:rPr>
        <w:t xml:space="preserve">The Company </w:t>
      </w:r>
      <w:r w:rsidR="000F27B1">
        <w:rPr>
          <w:sz w:val="24"/>
          <w:szCs w:val="24"/>
        </w:rPr>
        <w:t>proposes to</w:t>
      </w:r>
      <w:r w:rsidRPr="0021469B">
        <w:rPr>
          <w:sz w:val="24"/>
          <w:szCs w:val="24"/>
        </w:rPr>
        <w:t xml:space="preserve"> maintain and make available complete pilot program descriptions as they are created </w:t>
      </w:r>
      <w:r w:rsidR="00B52FD5">
        <w:rPr>
          <w:sz w:val="24"/>
          <w:szCs w:val="24"/>
        </w:rPr>
        <w:t>and submitted to this docket as compliance filings</w:t>
      </w:r>
      <w:r w:rsidRPr="0021469B">
        <w:rPr>
          <w:sz w:val="24"/>
          <w:szCs w:val="24"/>
        </w:rPr>
        <w:t>.  The pilot program description</w:t>
      </w:r>
      <w:r w:rsidR="000F27B1">
        <w:rPr>
          <w:sz w:val="24"/>
          <w:szCs w:val="24"/>
        </w:rPr>
        <w:t>s will</w:t>
      </w:r>
      <w:r w:rsidRPr="0021469B">
        <w:rPr>
          <w:sz w:val="24"/>
          <w:szCs w:val="24"/>
        </w:rPr>
        <w:t xml:space="preserve"> list eligibility requirements, services provided by the program, funding, and measure analysis criteria.</w:t>
      </w:r>
      <w:r w:rsidR="00B52FD5">
        <w:rPr>
          <w:sz w:val="24"/>
          <w:szCs w:val="24"/>
        </w:rPr>
        <w:t xml:space="preserve"> </w:t>
      </w:r>
      <w:r w:rsidRPr="0021469B">
        <w:rPr>
          <w:sz w:val="24"/>
          <w:szCs w:val="24"/>
        </w:rPr>
        <w:t xml:space="preserve">  </w:t>
      </w:r>
    </w:p>
    <w:p w:rsidR="00B52FD5" w:rsidRDefault="00B52FD5" w:rsidP="000F27B1">
      <w:pPr>
        <w:jc w:val="both"/>
        <w:rPr>
          <w:sz w:val="24"/>
          <w:szCs w:val="24"/>
        </w:rPr>
      </w:pPr>
    </w:p>
    <w:p w:rsidR="00B52FD5" w:rsidRDefault="000F27B1" w:rsidP="000F27B1">
      <w:pPr>
        <w:jc w:val="both"/>
        <w:rPr>
          <w:sz w:val="24"/>
          <w:szCs w:val="24"/>
        </w:rPr>
      </w:pPr>
      <w:r>
        <w:rPr>
          <w:sz w:val="24"/>
          <w:szCs w:val="24"/>
        </w:rPr>
        <w:t>The Company proposes that the s</w:t>
      </w:r>
      <w:r w:rsidR="0021469B" w:rsidRPr="0021469B">
        <w:rPr>
          <w:sz w:val="24"/>
          <w:szCs w:val="24"/>
        </w:rPr>
        <w:t xml:space="preserve">ervices provided under the pilot programs </w:t>
      </w:r>
      <w:proofErr w:type="gramStart"/>
      <w:r>
        <w:rPr>
          <w:sz w:val="24"/>
          <w:szCs w:val="24"/>
        </w:rPr>
        <w:t>be</w:t>
      </w:r>
      <w:proofErr w:type="gramEnd"/>
      <w:r w:rsidR="0021469B" w:rsidRPr="0021469B">
        <w:rPr>
          <w:sz w:val="24"/>
          <w:szCs w:val="24"/>
        </w:rPr>
        <w:t xml:space="preserve"> subject to the provisions of Schedule 70, Rules and Regulations, and not </w:t>
      </w:r>
      <w:r>
        <w:rPr>
          <w:sz w:val="24"/>
          <w:szCs w:val="24"/>
        </w:rPr>
        <w:t xml:space="preserve">be </w:t>
      </w:r>
      <w:r w:rsidR="0021469B" w:rsidRPr="0021469B">
        <w:rPr>
          <w:sz w:val="24"/>
          <w:szCs w:val="24"/>
        </w:rPr>
        <w:t xml:space="preserve">subject to demonstration of energy </w:t>
      </w:r>
      <w:r w:rsidR="0021469B" w:rsidRPr="0021469B">
        <w:rPr>
          <w:sz w:val="24"/>
          <w:szCs w:val="24"/>
        </w:rPr>
        <w:lastRenderedPageBreak/>
        <w:t xml:space="preserve">efficiency cost effectiveness in the short term.  This </w:t>
      </w:r>
      <w:r>
        <w:rPr>
          <w:sz w:val="24"/>
          <w:szCs w:val="24"/>
        </w:rPr>
        <w:t xml:space="preserve">proposed </w:t>
      </w:r>
      <w:r w:rsidR="0021469B" w:rsidRPr="0021469B">
        <w:rPr>
          <w:sz w:val="24"/>
          <w:szCs w:val="24"/>
        </w:rPr>
        <w:t xml:space="preserve">rule </w:t>
      </w:r>
      <w:r>
        <w:rPr>
          <w:sz w:val="24"/>
          <w:szCs w:val="24"/>
        </w:rPr>
        <w:t>would be set to expire</w:t>
      </w:r>
      <w:r w:rsidR="0021469B" w:rsidRPr="0021469B">
        <w:rPr>
          <w:sz w:val="24"/>
          <w:szCs w:val="24"/>
        </w:rPr>
        <w:t xml:space="preserve"> on October 31, 2016.</w:t>
      </w:r>
      <w:r w:rsidR="00B52FD5">
        <w:rPr>
          <w:sz w:val="24"/>
          <w:szCs w:val="24"/>
        </w:rPr>
        <w:t xml:space="preserve"> </w:t>
      </w:r>
    </w:p>
    <w:p w:rsidR="00B52FD5" w:rsidRDefault="00B52FD5" w:rsidP="000F27B1">
      <w:pPr>
        <w:jc w:val="both"/>
        <w:rPr>
          <w:sz w:val="24"/>
          <w:szCs w:val="24"/>
        </w:rPr>
      </w:pPr>
    </w:p>
    <w:p w:rsidR="0021469B" w:rsidRDefault="00B52FD5" w:rsidP="000F27B1">
      <w:pPr>
        <w:jc w:val="both"/>
        <w:rPr>
          <w:sz w:val="24"/>
          <w:szCs w:val="24"/>
        </w:rPr>
      </w:pPr>
      <w:r>
        <w:rPr>
          <w:sz w:val="24"/>
          <w:szCs w:val="24"/>
        </w:rPr>
        <w:t>The costs associated with a pilot program under this tariff schedule will have a threshold amount of approximately $500,000 and the Company proposes to recover those costs through its general rate case process.</w:t>
      </w:r>
    </w:p>
    <w:p w:rsidR="006D293A" w:rsidRDefault="006D293A" w:rsidP="000F27B1">
      <w:pPr>
        <w:jc w:val="both"/>
        <w:rPr>
          <w:sz w:val="24"/>
          <w:szCs w:val="24"/>
        </w:rPr>
      </w:pPr>
    </w:p>
    <w:p w:rsidR="006D293A" w:rsidRPr="0021469B" w:rsidRDefault="006D293A" w:rsidP="000F27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Company proposes an effective date of </w:t>
      </w:r>
      <w:r w:rsidR="00B52FD5">
        <w:rPr>
          <w:sz w:val="24"/>
          <w:szCs w:val="24"/>
        </w:rPr>
        <w:t xml:space="preserve">June </w:t>
      </w:r>
      <w:r>
        <w:rPr>
          <w:sz w:val="24"/>
          <w:szCs w:val="24"/>
        </w:rPr>
        <w:t>1, 2012.</w:t>
      </w:r>
    </w:p>
    <w:p w:rsidR="0021469B" w:rsidRDefault="0021469B" w:rsidP="0021469B">
      <w:pPr>
        <w:pStyle w:val="BodyText2"/>
      </w:pPr>
    </w:p>
    <w:p w:rsidR="00AF78DA" w:rsidRDefault="001E47B9" w:rsidP="00AF78DA">
      <w:pPr>
        <w:pStyle w:val="BodyText2"/>
      </w:pPr>
      <w:r>
        <w:t xml:space="preserve">Pursuant to WAC 480-100-195(2), enclosed is a “Notice of Tariff Change” which will be </w:t>
      </w:r>
      <w:r w:rsidR="0021469B">
        <w:t>posted on the Company’s website</w:t>
      </w:r>
      <w:r>
        <w:t xml:space="preserve"> coincident with the date of this filing.</w:t>
      </w:r>
      <w:r w:rsidR="00AF78DA">
        <w:t xml:space="preserve"> </w:t>
      </w:r>
    </w:p>
    <w:p w:rsidR="00AF78DA" w:rsidRDefault="00AF78DA" w:rsidP="00AF78DA">
      <w:pPr>
        <w:jc w:val="both"/>
        <w:rPr>
          <w:sz w:val="24"/>
        </w:rPr>
      </w:pPr>
    </w:p>
    <w:p w:rsidR="00AF78DA" w:rsidRDefault="00AF78DA" w:rsidP="00AF78DA">
      <w:pPr>
        <w:jc w:val="both"/>
        <w:rPr>
          <w:sz w:val="24"/>
        </w:rPr>
      </w:pPr>
      <w:r>
        <w:rPr>
          <w:sz w:val="24"/>
        </w:rPr>
        <w:t xml:space="preserve">Please direct any questions on this matter to </w:t>
      </w:r>
      <w:r w:rsidR="0021469B">
        <w:rPr>
          <w:sz w:val="24"/>
        </w:rPr>
        <w:t>me</w:t>
      </w:r>
      <w:r>
        <w:rPr>
          <w:sz w:val="24"/>
        </w:rPr>
        <w:t xml:space="preserve"> at (509) 495-4975.</w:t>
      </w:r>
    </w:p>
    <w:p w:rsidR="00AF78DA" w:rsidRDefault="00AF78DA" w:rsidP="00AF78DA">
      <w:pPr>
        <w:jc w:val="both"/>
        <w:rPr>
          <w:sz w:val="24"/>
        </w:rPr>
      </w:pPr>
    </w:p>
    <w:p w:rsidR="00AF78DA" w:rsidRDefault="00AF78DA" w:rsidP="00AF78DA">
      <w:pPr>
        <w:jc w:val="both"/>
        <w:rPr>
          <w:sz w:val="24"/>
        </w:rPr>
      </w:pPr>
      <w:r>
        <w:rPr>
          <w:sz w:val="24"/>
        </w:rPr>
        <w:t>Sincerely,</w:t>
      </w:r>
    </w:p>
    <w:p w:rsidR="00AF78DA" w:rsidRDefault="00AF78DA" w:rsidP="00AF78DA">
      <w:pPr>
        <w:jc w:val="both"/>
        <w:rPr>
          <w:sz w:val="24"/>
        </w:rPr>
      </w:pPr>
    </w:p>
    <w:p w:rsidR="00AF78DA" w:rsidRPr="00D82934" w:rsidRDefault="00BB0D5B" w:rsidP="00AF78DA">
      <w:pPr>
        <w:jc w:val="both"/>
        <w:rPr>
          <w:rFonts w:ascii="Lucida Handwriting" w:hAnsi="Lucida Handwriting"/>
          <w:sz w:val="24"/>
          <w:u w:val="single"/>
        </w:rPr>
      </w:pPr>
      <w:r w:rsidRPr="00D82934">
        <w:rPr>
          <w:rFonts w:ascii="Lucida Handwriting" w:hAnsi="Lucida Handwriting"/>
          <w:sz w:val="24"/>
          <w:u w:val="single"/>
        </w:rPr>
        <w:t>/s/Linda Gervais</w:t>
      </w:r>
    </w:p>
    <w:p w:rsidR="00AF78DA" w:rsidRDefault="00AF78DA" w:rsidP="00AF78DA">
      <w:pPr>
        <w:jc w:val="both"/>
        <w:rPr>
          <w:sz w:val="24"/>
        </w:rPr>
      </w:pPr>
    </w:p>
    <w:p w:rsidR="00AF78DA" w:rsidRDefault="00AF78DA" w:rsidP="00AF78DA">
      <w:pPr>
        <w:jc w:val="both"/>
        <w:rPr>
          <w:sz w:val="24"/>
        </w:rPr>
      </w:pPr>
      <w:r>
        <w:rPr>
          <w:sz w:val="24"/>
        </w:rPr>
        <w:t>Linda Gervais</w:t>
      </w:r>
    </w:p>
    <w:p w:rsidR="00AF78DA" w:rsidRDefault="00F763D3" w:rsidP="00AF78DA">
      <w:pPr>
        <w:jc w:val="both"/>
        <w:rPr>
          <w:sz w:val="24"/>
        </w:rPr>
      </w:pPr>
      <w:r>
        <w:rPr>
          <w:sz w:val="24"/>
        </w:rPr>
        <w:t>Manager, Regulatory Policy</w:t>
      </w:r>
    </w:p>
    <w:p w:rsidR="00F763D3" w:rsidRDefault="00F763D3" w:rsidP="00AF78DA">
      <w:pPr>
        <w:jc w:val="both"/>
        <w:rPr>
          <w:sz w:val="24"/>
        </w:rPr>
      </w:pPr>
      <w:r>
        <w:rPr>
          <w:sz w:val="24"/>
        </w:rPr>
        <w:t>State and Federal Regulation</w:t>
      </w:r>
    </w:p>
    <w:p w:rsidR="00AF78DA" w:rsidRPr="0027282A" w:rsidRDefault="00AF78DA" w:rsidP="00AF78DA">
      <w:pPr>
        <w:jc w:val="both"/>
        <w:rPr>
          <w:sz w:val="24"/>
          <w:lang w:val="fr-FR"/>
        </w:rPr>
      </w:pPr>
      <w:r w:rsidRPr="0027282A">
        <w:rPr>
          <w:sz w:val="24"/>
          <w:lang w:val="fr-FR"/>
        </w:rPr>
        <w:t>Avista Utilities</w:t>
      </w:r>
    </w:p>
    <w:p w:rsidR="00AF78DA" w:rsidRPr="001B1EC7" w:rsidRDefault="00AF78DA" w:rsidP="00AF78DA">
      <w:pPr>
        <w:jc w:val="both"/>
        <w:rPr>
          <w:sz w:val="24"/>
          <w:lang w:val="fr-FR"/>
        </w:rPr>
      </w:pPr>
      <w:r w:rsidRPr="001B1EC7">
        <w:rPr>
          <w:sz w:val="24"/>
          <w:lang w:val="fr-FR"/>
        </w:rPr>
        <w:t>509-495-4975</w:t>
      </w:r>
    </w:p>
    <w:p w:rsidR="00AF78DA" w:rsidRPr="001B1EC7" w:rsidRDefault="00AF78DA" w:rsidP="00AF78DA">
      <w:pPr>
        <w:jc w:val="both"/>
        <w:rPr>
          <w:sz w:val="24"/>
          <w:lang w:val="fr-FR"/>
        </w:rPr>
      </w:pPr>
      <w:r w:rsidRPr="001B1EC7">
        <w:rPr>
          <w:sz w:val="24"/>
          <w:lang w:val="fr-FR"/>
        </w:rPr>
        <w:t>linda.gervais@avistacorp.com</w:t>
      </w:r>
    </w:p>
    <w:p w:rsidR="00AF78DA" w:rsidRPr="001B1EC7" w:rsidRDefault="00AF78DA" w:rsidP="00AF78DA">
      <w:pPr>
        <w:jc w:val="both"/>
        <w:rPr>
          <w:sz w:val="24"/>
          <w:lang w:val="fr-FR"/>
        </w:rPr>
      </w:pPr>
    </w:p>
    <w:p w:rsidR="00AF78DA" w:rsidRDefault="00AF78DA" w:rsidP="00AF78DA">
      <w:pPr>
        <w:jc w:val="both"/>
        <w:rPr>
          <w:sz w:val="24"/>
        </w:rPr>
      </w:pPr>
      <w:r>
        <w:rPr>
          <w:sz w:val="24"/>
        </w:rPr>
        <w:t>Enclosures</w:t>
      </w:r>
    </w:p>
    <w:p w:rsidR="00C94C52" w:rsidRDefault="00C94C52" w:rsidP="00AF78DA">
      <w:pPr>
        <w:pStyle w:val="BodyText2"/>
      </w:pPr>
    </w:p>
    <w:sectPr w:rsidR="00C94C52" w:rsidSect="00F60E8A">
      <w:headerReference w:type="default" r:id="rId10"/>
      <w:pgSz w:w="12240" w:h="15840"/>
      <w:pgMar w:top="1080" w:right="108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69B" w:rsidRDefault="0021469B">
      <w:r>
        <w:separator/>
      </w:r>
    </w:p>
  </w:endnote>
  <w:endnote w:type="continuationSeparator" w:id="0">
    <w:p w:rsidR="0021469B" w:rsidRDefault="0021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69B" w:rsidRDefault="0021469B">
      <w:r>
        <w:separator/>
      </w:r>
    </w:p>
  </w:footnote>
  <w:footnote w:type="continuationSeparator" w:id="0">
    <w:p w:rsidR="0021469B" w:rsidRDefault="00214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69B" w:rsidRDefault="000F27B1">
    <w:pPr>
      <w:pStyle w:val="Header"/>
      <w:rPr>
        <w:sz w:val="24"/>
      </w:rPr>
    </w:pPr>
    <w:r>
      <w:rPr>
        <w:sz w:val="24"/>
      </w:rPr>
      <w:t>Schedule 70</w:t>
    </w:r>
    <w:r w:rsidR="0021469B">
      <w:rPr>
        <w:sz w:val="24"/>
      </w:rPr>
      <w:t xml:space="preserve"> Proposed Revisions</w:t>
    </w:r>
  </w:p>
  <w:p w:rsidR="0021469B" w:rsidRDefault="0045159F">
    <w:pPr>
      <w:pStyle w:val="Header"/>
      <w:rPr>
        <w:sz w:val="24"/>
      </w:rPr>
    </w:pPr>
    <w:r>
      <w:rPr>
        <w:sz w:val="24"/>
      </w:rPr>
      <w:t>May 31</w:t>
    </w:r>
    <w:r w:rsidR="000F27B1">
      <w:rPr>
        <w:sz w:val="24"/>
      </w:rPr>
      <w:t>, 2012</w:t>
    </w:r>
  </w:p>
  <w:p w:rsidR="0021469B" w:rsidRDefault="0021469B">
    <w:pPr>
      <w:pStyle w:val="Header"/>
      <w:rPr>
        <w:rStyle w:val="PageNumber"/>
        <w:sz w:val="24"/>
      </w:rPr>
    </w:pPr>
    <w:r>
      <w:rPr>
        <w:sz w:val="24"/>
      </w:rPr>
      <w:t xml:space="preserve">Page </w:t>
    </w:r>
    <w:r w:rsidR="00B8681F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 w:rsidR="00B8681F">
      <w:rPr>
        <w:rStyle w:val="PageNumber"/>
        <w:sz w:val="24"/>
      </w:rPr>
      <w:fldChar w:fldCharType="separate"/>
    </w:r>
    <w:r w:rsidR="003913A2">
      <w:rPr>
        <w:rStyle w:val="PageNumber"/>
        <w:noProof/>
        <w:sz w:val="24"/>
      </w:rPr>
      <w:t>2</w:t>
    </w:r>
    <w:r w:rsidR="00B8681F">
      <w:rPr>
        <w:rStyle w:val="PageNumber"/>
        <w:sz w:val="24"/>
      </w:rPr>
      <w:fldChar w:fldCharType="end"/>
    </w:r>
  </w:p>
  <w:p w:rsidR="0021469B" w:rsidRDefault="0021469B">
    <w:pPr>
      <w:pStyle w:val="Header"/>
      <w:rPr>
        <w:rStyle w:val="PageNumber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86C06"/>
    <w:multiLevelType w:val="hybridMultilevel"/>
    <w:tmpl w:val="D2742B72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1">
    <w:nsid w:val="6A9C3FBF"/>
    <w:multiLevelType w:val="singleLevel"/>
    <w:tmpl w:val="7932179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">
    <w:nsid w:val="781936F2"/>
    <w:multiLevelType w:val="singleLevel"/>
    <w:tmpl w:val="20F49E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GrammaticalError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A0"/>
    <w:rsid w:val="00004EE0"/>
    <w:rsid w:val="0001214D"/>
    <w:rsid w:val="00021079"/>
    <w:rsid w:val="000367D4"/>
    <w:rsid w:val="00061AD7"/>
    <w:rsid w:val="000F27B1"/>
    <w:rsid w:val="000F3795"/>
    <w:rsid w:val="000F3B92"/>
    <w:rsid w:val="0010422A"/>
    <w:rsid w:val="0011783D"/>
    <w:rsid w:val="0015027C"/>
    <w:rsid w:val="001507DD"/>
    <w:rsid w:val="001576AF"/>
    <w:rsid w:val="0018241C"/>
    <w:rsid w:val="001B1EC7"/>
    <w:rsid w:val="001E47B9"/>
    <w:rsid w:val="001E503A"/>
    <w:rsid w:val="001F64A3"/>
    <w:rsid w:val="0020332F"/>
    <w:rsid w:val="00210FD2"/>
    <w:rsid w:val="0021469B"/>
    <w:rsid w:val="00244380"/>
    <w:rsid w:val="0024609C"/>
    <w:rsid w:val="00251F16"/>
    <w:rsid w:val="00252781"/>
    <w:rsid w:val="00254F20"/>
    <w:rsid w:val="00261B0A"/>
    <w:rsid w:val="0027282A"/>
    <w:rsid w:val="00291515"/>
    <w:rsid w:val="00295B8F"/>
    <w:rsid w:val="002B47E3"/>
    <w:rsid w:val="00322F12"/>
    <w:rsid w:val="00343263"/>
    <w:rsid w:val="00377547"/>
    <w:rsid w:val="003913A2"/>
    <w:rsid w:val="003B16D0"/>
    <w:rsid w:val="003C2AE3"/>
    <w:rsid w:val="003C615E"/>
    <w:rsid w:val="003E1708"/>
    <w:rsid w:val="0045159F"/>
    <w:rsid w:val="00456AFF"/>
    <w:rsid w:val="00472464"/>
    <w:rsid w:val="00497626"/>
    <w:rsid w:val="004A3158"/>
    <w:rsid w:val="004C2C2E"/>
    <w:rsid w:val="004D0524"/>
    <w:rsid w:val="004E2749"/>
    <w:rsid w:val="004E2A88"/>
    <w:rsid w:val="004F72E4"/>
    <w:rsid w:val="00551B02"/>
    <w:rsid w:val="00567B5C"/>
    <w:rsid w:val="005775CF"/>
    <w:rsid w:val="00587534"/>
    <w:rsid w:val="005931B7"/>
    <w:rsid w:val="005B02BB"/>
    <w:rsid w:val="005C029D"/>
    <w:rsid w:val="005C13A0"/>
    <w:rsid w:val="005E4101"/>
    <w:rsid w:val="00624171"/>
    <w:rsid w:val="00624A38"/>
    <w:rsid w:val="00671E39"/>
    <w:rsid w:val="006A2E44"/>
    <w:rsid w:val="006C5FF5"/>
    <w:rsid w:val="006D293A"/>
    <w:rsid w:val="006E4660"/>
    <w:rsid w:val="006E6512"/>
    <w:rsid w:val="0070502B"/>
    <w:rsid w:val="00721D64"/>
    <w:rsid w:val="00731F70"/>
    <w:rsid w:val="00755C7C"/>
    <w:rsid w:val="00764DB0"/>
    <w:rsid w:val="00771C6D"/>
    <w:rsid w:val="00792B9F"/>
    <w:rsid w:val="007C572F"/>
    <w:rsid w:val="007D09B2"/>
    <w:rsid w:val="007D3B59"/>
    <w:rsid w:val="007D43EF"/>
    <w:rsid w:val="007E017E"/>
    <w:rsid w:val="007E6F61"/>
    <w:rsid w:val="007F21DB"/>
    <w:rsid w:val="007F4164"/>
    <w:rsid w:val="00801BA9"/>
    <w:rsid w:val="00806434"/>
    <w:rsid w:val="0082009B"/>
    <w:rsid w:val="00840247"/>
    <w:rsid w:val="008560B9"/>
    <w:rsid w:val="00861399"/>
    <w:rsid w:val="00882B4F"/>
    <w:rsid w:val="008B6A3B"/>
    <w:rsid w:val="008D4F02"/>
    <w:rsid w:val="008E0233"/>
    <w:rsid w:val="00904251"/>
    <w:rsid w:val="00943A98"/>
    <w:rsid w:val="00966DC2"/>
    <w:rsid w:val="009755C4"/>
    <w:rsid w:val="009C485F"/>
    <w:rsid w:val="009C5F30"/>
    <w:rsid w:val="009C6AAB"/>
    <w:rsid w:val="009D4FA5"/>
    <w:rsid w:val="009F5E8B"/>
    <w:rsid w:val="00A3647B"/>
    <w:rsid w:val="00A70DA2"/>
    <w:rsid w:val="00A916AD"/>
    <w:rsid w:val="00AA0ECC"/>
    <w:rsid w:val="00AA37D9"/>
    <w:rsid w:val="00AD5762"/>
    <w:rsid w:val="00AF78DA"/>
    <w:rsid w:val="00B33A2D"/>
    <w:rsid w:val="00B52FD5"/>
    <w:rsid w:val="00B71B57"/>
    <w:rsid w:val="00B8681F"/>
    <w:rsid w:val="00BB0D5B"/>
    <w:rsid w:val="00BD479D"/>
    <w:rsid w:val="00C01D86"/>
    <w:rsid w:val="00C2548D"/>
    <w:rsid w:val="00C3302F"/>
    <w:rsid w:val="00C83AA1"/>
    <w:rsid w:val="00C94C52"/>
    <w:rsid w:val="00D17CA9"/>
    <w:rsid w:val="00D709FA"/>
    <w:rsid w:val="00D82934"/>
    <w:rsid w:val="00D915F2"/>
    <w:rsid w:val="00D92E7B"/>
    <w:rsid w:val="00DA0CDF"/>
    <w:rsid w:val="00DB576B"/>
    <w:rsid w:val="00DE22D8"/>
    <w:rsid w:val="00DE24F6"/>
    <w:rsid w:val="00E35398"/>
    <w:rsid w:val="00E370C1"/>
    <w:rsid w:val="00E552E6"/>
    <w:rsid w:val="00E63247"/>
    <w:rsid w:val="00E7452D"/>
    <w:rsid w:val="00E87966"/>
    <w:rsid w:val="00EA0644"/>
    <w:rsid w:val="00EE4323"/>
    <w:rsid w:val="00F152A9"/>
    <w:rsid w:val="00F401EC"/>
    <w:rsid w:val="00F60E8A"/>
    <w:rsid w:val="00F61C9E"/>
    <w:rsid w:val="00F763D3"/>
    <w:rsid w:val="00FA6626"/>
    <w:rsid w:val="00FF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0E8A"/>
  </w:style>
  <w:style w:type="paragraph" w:styleId="Heading1">
    <w:name w:val="heading 1"/>
    <w:basedOn w:val="Normal"/>
    <w:next w:val="Normal"/>
    <w:qFormat/>
    <w:rsid w:val="00F60E8A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60E8A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60E8A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60E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60E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60E8A"/>
  </w:style>
  <w:style w:type="paragraph" w:styleId="BodyText">
    <w:name w:val="Body Text"/>
    <w:basedOn w:val="Normal"/>
    <w:rsid w:val="00F60E8A"/>
    <w:pPr>
      <w:pBdr>
        <w:left w:val="double" w:sz="6" w:space="10" w:color="auto"/>
      </w:pBdr>
      <w:tabs>
        <w:tab w:val="left" w:pos="720"/>
        <w:tab w:val="left" w:pos="1440"/>
      </w:tabs>
      <w:spacing w:line="480" w:lineRule="auto"/>
    </w:pPr>
    <w:rPr>
      <w:sz w:val="24"/>
    </w:rPr>
  </w:style>
  <w:style w:type="paragraph" w:styleId="BodyTextIndent2">
    <w:name w:val="Body Text Indent 2"/>
    <w:basedOn w:val="Normal"/>
    <w:rsid w:val="00F60E8A"/>
    <w:pPr>
      <w:pBdr>
        <w:left w:val="double" w:sz="6" w:space="10" w:color="auto"/>
      </w:pBdr>
      <w:ind w:left="720" w:hanging="720"/>
    </w:pPr>
    <w:rPr>
      <w:sz w:val="24"/>
    </w:rPr>
  </w:style>
  <w:style w:type="paragraph" w:styleId="BodyText2">
    <w:name w:val="Body Text 2"/>
    <w:basedOn w:val="Normal"/>
    <w:rsid w:val="00F60E8A"/>
    <w:pPr>
      <w:jc w:val="both"/>
    </w:pPr>
    <w:rPr>
      <w:sz w:val="24"/>
    </w:rPr>
  </w:style>
  <w:style w:type="paragraph" w:styleId="BodyTextIndent">
    <w:name w:val="Body Text Indent"/>
    <w:basedOn w:val="Normal"/>
    <w:rsid w:val="00F60E8A"/>
    <w:pPr>
      <w:tabs>
        <w:tab w:val="left" w:pos="1440"/>
      </w:tabs>
      <w:ind w:firstLine="720"/>
      <w:jc w:val="both"/>
    </w:pPr>
    <w:rPr>
      <w:sz w:val="24"/>
    </w:rPr>
  </w:style>
  <w:style w:type="paragraph" w:styleId="BodyText3">
    <w:name w:val="Body Text 3"/>
    <w:basedOn w:val="Normal"/>
    <w:rsid w:val="00F60E8A"/>
    <w:rPr>
      <w:sz w:val="24"/>
    </w:rPr>
  </w:style>
  <w:style w:type="paragraph" w:styleId="BodyTextIndent3">
    <w:name w:val="Body Text Indent 3"/>
    <w:basedOn w:val="Normal"/>
    <w:rsid w:val="00F60E8A"/>
    <w:pPr>
      <w:ind w:left="1440" w:hanging="720"/>
      <w:jc w:val="both"/>
    </w:pPr>
    <w:rPr>
      <w:sz w:val="24"/>
    </w:rPr>
  </w:style>
  <w:style w:type="paragraph" w:styleId="FootnoteText">
    <w:name w:val="footnote text"/>
    <w:basedOn w:val="Normal"/>
    <w:semiHidden/>
    <w:rsid w:val="006E4660"/>
  </w:style>
  <w:style w:type="character" w:styleId="FootnoteReference">
    <w:name w:val="footnote reference"/>
    <w:basedOn w:val="DefaultParagraphFont"/>
    <w:semiHidden/>
    <w:rsid w:val="006E4660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709FA"/>
  </w:style>
  <w:style w:type="paragraph" w:styleId="BalloonText">
    <w:name w:val="Balloon Text"/>
    <w:basedOn w:val="Normal"/>
    <w:link w:val="BalloonTextChar"/>
    <w:rsid w:val="00B71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1B57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5775C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882B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0E8A"/>
  </w:style>
  <w:style w:type="paragraph" w:styleId="Heading1">
    <w:name w:val="heading 1"/>
    <w:basedOn w:val="Normal"/>
    <w:next w:val="Normal"/>
    <w:qFormat/>
    <w:rsid w:val="00F60E8A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60E8A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60E8A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60E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60E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60E8A"/>
  </w:style>
  <w:style w:type="paragraph" w:styleId="BodyText">
    <w:name w:val="Body Text"/>
    <w:basedOn w:val="Normal"/>
    <w:rsid w:val="00F60E8A"/>
    <w:pPr>
      <w:pBdr>
        <w:left w:val="double" w:sz="6" w:space="10" w:color="auto"/>
      </w:pBdr>
      <w:tabs>
        <w:tab w:val="left" w:pos="720"/>
        <w:tab w:val="left" w:pos="1440"/>
      </w:tabs>
      <w:spacing w:line="480" w:lineRule="auto"/>
    </w:pPr>
    <w:rPr>
      <w:sz w:val="24"/>
    </w:rPr>
  </w:style>
  <w:style w:type="paragraph" w:styleId="BodyTextIndent2">
    <w:name w:val="Body Text Indent 2"/>
    <w:basedOn w:val="Normal"/>
    <w:rsid w:val="00F60E8A"/>
    <w:pPr>
      <w:pBdr>
        <w:left w:val="double" w:sz="6" w:space="10" w:color="auto"/>
      </w:pBdr>
      <w:ind w:left="720" w:hanging="720"/>
    </w:pPr>
    <w:rPr>
      <w:sz w:val="24"/>
    </w:rPr>
  </w:style>
  <w:style w:type="paragraph" w:styleId="BodyText2">
    <w:name w:val="Body Text 2"/>
    <w:basedOn w:val="Normal"/>
    <w:rsid w:val="00F60E8A"/>
    <w:pPr>
      <w:jc w:val="both"/>
    </w:pPr>
    <w:rPr>
      <w:sz w:val="24"/>
    </w:rPr>
  </w:style>
  <w:style w:type="paragraph" w:styleId="BodyTextIndent">
    <w:name w:val="Body Text Indent"/>
    <w:basedOn w:val="Normal"/>
    <w:rsid w:val="00F60E8A"/>
    <w:pPr>
      <w:tabs>
        <w:tab w:val="left" w:pos="1440"/>
      </w:tabs>
      <w:ind w:firstLine="720"/>
      <w:jc w:val="both"/>
    </w:pPr>
    <w:rPr>
      <w:sz w:val="24"/>
    </w:rPr>
  </w:style>
  <w:style w:type="paragraph" w:styleId="BodyText3">
    <w:name w:val="Body Text 3"/>
    <w:basedOn w:val="Normal"/>
    <w:rsid w:val="00F60E8A"/>
    <w:rPr>
      <w:sz w:val="24"/>
    </w:rPr>
  </w:style>
  <w:style w:type="paragraph" w:styleId="BodyTextIndent3">
    <w:name w:val="Body Text Indent 3"/>
    <w:basedOn w:val="Normal"/>
    <w:rsid w:val="00F60E8A"/>
    <w:pPr>
      <w:ind w:left="1440" w:hanging="720"/>
      <w:jc w:val="both"/>
    </w:pPr>
    <w:rPr>
      <w:sz w:val="24"/>
    </w:rPr>
  </w:style>
  <w:style w:type="paragraph" w:styleId="FootnoteText">
    <w:name w:val="footnote text"/>
    <w:basedOn w:val="Normal"/>
    <w:semiHidden/>
    <w:rsid w:val="006E4660"/>
  </w:style>
  <w:style w:type="character" w:styleId="FootnoteReference">
    <w:name w:val="footnote reference"/>
    <w:basedOn w:val="DefaultParagraphFont"/>
    <w:semiHidden/>
    <w:rsid w:val="006E4660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709FA"/>
  </w:style>
  <w:style w:type="paragraph" w:styleId="BalloonText">
    <w:name w:val="Balloon Text"/>
    <w:basedOn w:val="Normal"/>
    <w:link w:val="BalloonTextChar"/>
    <w:rsid w:val="00B71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1B57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5775C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882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C4171216C77B44850FA1BA791CD411" ma:contentTypeVersion="139" ma:contentTypeDescription="" ma:contentTypeScope="" ma:versionID="fc854b8c5b26946f1d76b9f594f14a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2012-04-10T07:00:00+00:00</OpenedDate>
    <Date1 xmlns="dc463f71-b30c-4ab2-9473-d307f9d35888">2012-05-31T07:00:00+00:00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A11E605-2D05-4F3A-805A-ED9B37AB2936}"/>
</file>

<file path=customXml/itemProps2.xml><?xml version="1.0" encoding="utf-8"?>
<ds:datastoreItem xmlns:ds="http://schemas.openxmlformats.org/officeDocument/2006/customXml" ds:itemID="{13308538-3CCD-4B88-A28C-E1B63F4A2339}"/>
</file>

<file path=customXml/itemProps3.xml><?xml version="1.0" encoding="utf-8"?>
<ds:datastoreItem xmlns:ds="http://schemas.openxmlformats.org/officeDocument/2006/customXml" ds:itemID="{845519A8-1028-4174-B913-F5ADA9FC3477}"/>
</file>

<file path=customXml/itemProps4.xml><?xml version="1.0" encoding="utf-8"?>
<ds:datastoreItem xmlns:ds="http://schemas.openxmlformats.org/officeDocument/2006/customXml" ds:itemID="{069B6434-BA11-41C0-A568-07EF1E737548}"/>
</file>

<file path=customXml/itemProps5.xml><?xml version="1.0" encoding="utf-8"?>
<ds:datastoreItem xmlns:ds="http://schemas.openxmlformats.org/officeDocument/2006/customXml" ds:itemID="{7A3ABE6E-DC56-4DFE-BD91-AC7235A8BD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Enclosed for filing is </vt:lpstr>
    </vt:vector>
  </TitlesOfParts>
  <Company>WWP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for filing is</dc:title>
  <dc:creator>judy johnson</dc:creator>
  <cp:lastModifiedBy>Taliaferro, Catherine (UTC)</cp:lastModifiedBy>
  <cp:revision>2</cp:revision>
  <cp:lastPrinted>2012-04-09T17:56:00Z</cp:lastPrinted>
  <dcterms:created xsi:type="dcterms:W3CDTF">2012-06-01T23:21:00Z</dcterms:created>
  <dcterms:modified xsi:type="dcterms:W3CDTF">2012-06-01T23:21:00Z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0x0101006E56B4D1795A2E4DB2F0B01679ED314A004EC4171216C77B44850FA1BA791CD411</vt:lpwstr>
  </property>
  <property fmtid="{D5CDD505-2E9C-101B-9397-08002B2CF9AE}" pid="3" name="_docset_NoMedatataSyncRequired">
    <vt:lpwstr>False</vt:lpwstr>
  </property>
</Properties>
</file>