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9F" w:rsidRDefault="00431558">
      <w:pPr>
        <w:pStyle w:val="BodyText"/>
        <w:rPr>
          <w:rFonts w:ascii="Times New Roman" w:hAnsi="Times New Roman" w:cs="Times New Roman"/>
          <w:b/>
          <w:sz w:val="25"/>
          <w:szCs w:val="25"/>
        </w:rPr>
      </w:pPr>
      <w:r w:rsidRPr="00F21ACF">
        <w:rPr>
          <w:rFonts w:ascii="Times New Roman" w:hAnsi="Times New Roman" w:cs="Times New Roman"/>
          <w:b/>
          <w:sz w:val="25"/>
          <w:szCs w:val="25"/>
        </w:rPr>
        <w:t>BEFORE THE WASHINGTON UTILITIES AND</w:t>
      </w:r>
    </w:p>
    <w:p w:rsidR="00431558" w:rsidRPr="00F21ACF" w:rsidRDefault="00431558">
      <w:pPr>
        <w:pStyle w:val="BodyText"/>
        <w:rPr>
          <w:rFonts w:ascii="Times New Roman" w:hAnsi="Times New Roman" w:cs="Times New Roman"/>
          <w:b/>
          <w:sz w:val="25"/>
          <w:szCs w:val="25"/>
        </w:rPr>
      </w:pPr>
      <w:r w:rsidRPr="00F21ACF">
        <w:rPr>
          <w:rFonts w:ascii="Times New Roman" w:hAnsi="Times New Roman" w:cs="Times New Roman"/>
          <w:b/>
          <w:sz w:val="25"/>
          <w:szCs w:val="25"/>
        </w:rPr>
        <w:t>TRANSPORTATION COMMISSION</w:t>
      </w:r>
    </w:p>
    <w:p w:rsidR="000C50B9" w:rsidRPr="00F21ACF" w:rsidRDefault="000C50B9">
      <w:pPr>
        <w:rPr>
          <w:rFonts w:ascii="Times New Roman" w:hAnsi="Times New Roman"/>
          <w:sz w:val="25"/>
          <w:szCs w:val="25"/>
        </w:rPr>
      </w:pPr>
      <w:bookmarkStart w:id="0" w:name="_GoBack"/>
      <w:bookmarkEnd w:id="0"/>
    </w:p>
    <w:tbl>
      <w:tblPr>
        <w:tblW w:w="8948" w:type="dxa"/>
        <w:tblLayout w:type="fixed"/>
        <w:tblCellMar>
          <w:left w:w="0" w:type="dxa"/>
          <w:right w:w="0" w:type="dxa"/>
        </w:tblCellMar>
        <w:tblLook w:val="0000" w:firstRow="0" w:lastRow="0" w:firstColumn="0" w:lastColumn="0" w:noHBand="0" w:noVBand="0"/>
      </w:tblPr>
      <w:tblGrid>
        <w:gridCol w:w="4449"/>
        <w:gridCol w:w="51"/>
        <w:gridCol w:w="4448"/>
      </w:tblGrid>
      <w:tr w:rsidR="00431558" w:rsidRPr="00F21ACF">
        <w:tc>
          <w:tcPr>
            <w:tcW w:w="4449" w:type="dxa"/>
            <w:tcBorders>
              <w:top w:val="nil"/>
              <w:left w:val="nil"/>
              <w:bottom w:val="single" w:sz="4" w:space="0" w:color="auto"/>
              <w:right w:val="single" w:sz="4" w:space="0" w:color="auto"/>
            </w:tcBorders>
          </w:tcPr>
          <w:p w:rsidR="00431558" w:rsidRPr="00F21ACF" w:rsidRDefault="00431558">
            <w:pPr>
              <w:pStyle w:val="BodyText2"/>
              <w:rPr>
                <w:sz w:val="25"/>
                <w:szCs w:val="25"/>
              </w:rPr>
            </w:pPr>
            <w:r w:rsidRPr="00F21ACF">
              <w:rPr>
                <w:sz w:val="25"/>
                <w:szCs w:val="25"/>
              </w:rPr>
              <w:t>WASHINGTON UTILITIES AND TRANSPORTATION COMMISSION,</w:t>
            </w:r>
          </w:p>
          <w:p w:rsidR="00431558" w:rsidRPr="00F21ACF" w:rsidRDefault="00431558">
            <w:pPr>
              <w:keepNext/>
              <w:keepLines/>
              <w:rPr>
                <w:rFonts w:ascii="Times New Roman" w:hAnsi="Times New Roman"/>
                <w:sz w:val="25"/>
                <w:szCs w:val="25"/>
              </w:rPr>
            </w:pPr>
          </w:p>
          <w:p w:rsidR="00431558" w:rsidRPr="00F21ACF" w:rsidRDefault="00431558">
            <w:pPr>
              <w:keepNext/>
              <w:keepLines/>
              <w:ind w:firstLine="2160"/>
              <w:rPr>
                <w:rFonts w:ascii="Times New Roman" w:hAnsi="Times New Roman"/>
                <w:sz w:val="25"/>
                <w:szCs w:val="25"/>
              </w:rPr>
            </w:pPr>
            <w:r w:rsidRPr="00F21ACF">
              <w:rPr>
                <w:rFonts w:ascii="Times New Roman" w:hAnsi="Times New Roman"/>
                <w:sz w:val="25"/>
                <w:szCs w:val="25"/>
              </w:rPr>
              <w:t>Complainant,</w:t>
            </w:r>
          </w:p>
          <w:p w:rsidR="00431558" w:rsidRPr="00F21ACF" w:rsidRDefault="00431558">
            <w:pPr>
              <w:keepNext/>
              <w:keepLines/>
              <w:rPr>
                <w:rFonts w:ascii="Times New Roman" w:hAnsi="Times New Roman"/>
                <w:sz w:val="25"/>
                <w:szCs w:val="25"/>
              </w:rPr>
            </w:pPr>
          </w:p>
          <w:p w:rsidR="00431558" w:rsidRPr="00F21ACF" w:rsidRDefault="00431558">
            <w:pPr>
              <w:keepNext/>
              <w:keepLines/>
              <w:rPr>
                <w:rFonts w:ascii="Times New Roman" w:hAnsi="Times New Roman"/>
                <w:sz w:val="25"/>
                <w:szCs w:val="25"/>
              </w:rPr>
            </w:pPr>
            <w:r w:rsidRPr="00F21ACF">
              <w:rPr>
                <w:rFonts w:ascii="Times New Roman" w:hAnsi="Times New Roman"/>
                <w:sz w:val="25"/>
                <w:szCs w:val="25"/>
              </w:rPr>
              <w:t>v.</w:t>
            </w:r>
          </w:p>
          <w:p w:rsidR="00431558" w:rsidRPr="00F21ACF" w:rsidRDefault="00431558">
            <w:pPr>
              <w:keepNext/>
              <w:keepLines/>
              <w:rPr>
                <w:rFonts w:ascii="Times New Roman" w:hAnsi="Times New Roman"/>
                <w:sz w:val="25"/>
                <w:szCs w:val="25"/>
              </w:rPr>
            </w:pPr>
          </w:p>
          <w:p w:rsidR="00431558" w:rsidRPr="00F21ACF" w:rsidRDefault="003E0B08">
            <w:pPr>
              <w:keepNext/>
              <w:keepLines/>
              <w:rPr>
                <w:rFonts w:ascii="Times New Roman" w:hAnsi="Times New Roman"/>
                <w:sz w:val="25"/>
                <w:szCs w:val="25"/>
              </w:rPr>
            </w:pPr>
            <w:r w:rsidRPr="00F21ACF">
              <w:rPr>
                <w:rFonts w:ascii="Times New Roman" w:hAnsi="Times New Roman"/>
                <w:sz w:val="25"/>
                <w:szCs w:val="25"/>
              </w:rPr>
              <w:t xml:space="preserve">PUGET SOUND ENERGY, INC., </w:t>
            </w:r>
          </w:p>
          <w:p w:rsidR="00431558" w:rsidRPr="00F21ACF" w:rsidRDefault="00431558">
            <w:pPr>
              <w:keepNext/>
              <w:keepLines/>
              <w:rPr>
                <w:rFonts w:ascii="Times New Roman" w:hAnsi="Times New Roman"/>
                <w:sz w:val="25"/>
                <w:szCs w:val="25"/>
              </w:rPr>
            </w:pPr>
          </w:p>
          <w:p w:rsidR="00431558" w:rsidRPr="00F21ACF" w:rsidRDefault="00431558">
            <w:pPr>
              <w:keepNext/>
              <w:keepLines/>
              <w:ind w:firstLine="2160"/>
              <w:rPr>
                <w:rFonts w:ascii="Times New Roman" w:hAnsi="Times New Roman"/>
                <w:sz w:val="25"/>
                <w:szCs w:val="25"/>
              </w:rPr>
            </w:pPr>
            <w:r w:rsidRPr="00F21ACF">
              <w:rPr>
                <w:rFonts w:ascii="Times New Roman" w:hAnsi="Times New Roman"/>
                <w:sz w:val="25"/>
                <w:szCs w:val="25"/>
              </w:rPr>
              <w:t>Respondent.</w:t>
            </w:r>
          </w:p>
          <w:p w:rsidR="00431558" w:rsidRPr="00F21ACF" w:rsidRDefault="00431558">
            <w:pPr>
              <w:keepNext/>
              <w:keepLines/>
              <w:rPr>
                <w:rFonts w:ascii="Times New Roman" w:hAnsi="Times New Roman"/>
                <w:sz w:val="25"/>
                <w:szCs w:val="25"/>
              </w:rPr>
            </w:pPr>
          </w:p>
        </w:tc>
        <w:tc>
          <w:tcPr>
            <w:tcW w:w="51" w:type="dxa"/>
            <w:tcBorders>
              <w:top w:val="nil"/>
              <w:left w:val="single" w:sz="4" w:space="0" w:color="auto"/>
              <w:bottom w:val="nil"/>
              <w:right w:val="nil"/>
            </w:tcBorders>
          </w:tcPr>
          <w:p w:rsidR="00431558" w:rsidRPr="00F21ACF" w:rsidRDefault="00431558">
            <w:pPr>
              <w:rPr>
                <w:rFonts w:ascii="Times New Roman" w:hAnsi="Times New Roman"/>
                <w:sz w:val="25"/>
                <w:szCs w:val="25"/>
              </w:rPr>
            </w:pPr>
          </w:p>
        </w:tc>
        <w:tc>
          <w:tcPr>
            <w:tcW w:w="4448" w:type="dxa"/>
            <w:tcBorders>
              <w:top w:val="nil"/>
              <w:left w:val="nil"/>
              <w:bottom w:val="nil"/>
              <w:right w:val="nil"/>
            </w:tcBorders>
          </w:tcPr>
          <w:p w:rsidR="00431558" w:rsidRPr="00F21ACF" w:rsidRDefault="00431558">
            <w:pPr>
              <w:keepNext/>
              <w:keepLines/>
              <w:rPr>
                <w:rFonts w:ascii="Times New Roman" w:hAnsi="Times New Roman"/>
                <w:sz w:val="25"/>
                <w:szCs w:val="25"/>
              </w:rPr>
            </w:pPr>
          </w:p>
          <w:p w:rsidR="00431558" w:rsidRPr="00F21ACF" w:rsidRDefault="00661B6A" w:rsidP="006E2A45">
            <w:pPr>
              <w:keepNext/>
              <w:keepLines/>
              <w:ind w:firstLine="540"/>
              <w:rPr>
                <w:rFonts w:ascii="Times New Roman" w:hAnsi="Times New Roman"/>
                <w:sz w:val="25"/>
                <w:szCs w:val="25"/>
              </w:rPr>
            </w:pPr>
            <w:r w:rsidRPr="00F21ACF">
              <w:rPr>
                <w:rFonts w:ascii="Times New Roman" w:hAnsi="Times New Roman"/>
                <w:sz w:val="25"/>
                <w:szCs w:val="25"/>
              </w:rPr>
              <w:t>DOCKET PG-</w:t>
            </w:r>
            <w:r w:rsidR="004F0563" w:rsidRPr="00F21ACF">
              <w:rPr>
                <w:rFonts w:ascii="Times New Roman" w:hAnsi="Times New Roman"/>
                <w:sz w:val="25"/>
                <w:szCs w:val="25"/>
              </w:rPr>
              <w:t>111723</w:t>
            </w:r>
          </w:p>
          <w:p w:rsidR="00431558" w:rsidRPr="00F21ACF" w:rsidRDefault="00431558" w:rsidP="006E2A45">
            <w:pPr>
              <w:pStyle w:val="Heading5"/>
              <w:ind w:firstLine="540"/>
              <w:rPr>
                <w:sz w:val="25"/>
                <w:szCs w:val="25"/>
              </w:rPr>
            </w:pPr>
          </w:p>
          <w:p w:rsidR="00431558" w:rsidRPr="00F21ACF" w:rsidRDefault="003E0B08" w:rsidP="006E2A45">
            <w:pPr>
              <w:keepNext/>
              <w:keepLines/>
              <w:ind w:firstLine="540"/>
              <w:rPr>
                <w:rFonts w:ascii="Times New Roman" w:hAnsi="Times New Roman"/>
                <w:sz w:val="25"/>
                <w:szCs w:val="25"/>
              </w:rPr>
            </w:pPr>
            <w:r>
              <w:rPr>
                <w:rFonts w:ascii="Times New Roman" w:hAnsi="Times New Roman"/>
                <w:sz w:val="25"/>
                <w:szCs w:val="25"/>
              </w:rPr>
              <w:t>ORDER 01</w:t>
            </w:r>
          </w:p>
          <w:p w:rsidR="00431558" w:rsidRPr="00F21ACF" w:rsidRDefault="00431558" w:rsidP="006E2A45">
            <w:pPr>
              <w:keepNext/>
              <w:keepLines/>
              <w:ind w:firstLine="540"/>
              <w:rPr>
                <w:rFonts w:ascii="Times New Roman" w:hAnsi="Times New Roman"/>
                <w:sz w:val="25"/>
                <w:szCs w:val="25"/>
              </w:rPr>
            </w:pPr>
          </w:p>
          <w:p w:rsidR="00431558" w:rsidRPr="00F21ACF" w:rsidRDefault="00431558" w:rsidP="006E2A45">
            <w:pPr>
              <w:keepNext/>
              <w:keepLines/>
              <w:ind w:firstLine="540"/>
              <w:rPr>
                <w:rFonts w:ascii="Times New Roman" w:hAnsi="Times New Roman"/>
                <w:sz w:val="25"/>
                <w:szCs w:val="25"/>
              </w:rPr>
            </w:pPr>
            <w:r w:rsidRPr="00F21ACF">
              <w:rPr>
                <w:rFonts w:ascii="Times New Roman" w:hAnsi="Times New Roman"/>
                <w:sz w:val="25"/>
                <w:szCs w:val="25"/>
              </w:rPr>
              <w:t xml:space="preserve">COMPLAINT </w:t>
            </w:r>
          </w:p>
          <w:p w:rsidR="00431558" w:rsidRPr="00F21ACF" w:rsidRDefault="00431558">
            <w:pPr>
              <w:keepNext/>
              <w:keepLines/>
              <w:rPr>
                <w:rFonts w:ascii="Times New Roman" w:hAnsi="Times New Roman"/>
                <w:sz w:val="25"/>
                <w:szCs w:val="25"/>
              </w:rPr>
            </w:pPr>
          </w:p>
        </w:tc>
      </w:tr>
    </w:tbl>
    <w:p w:rsidR="00431558" w:rsidRPr="00F21ACF" w:rsidRDefault="00431558" w:rsidP="009128F6">
      <w:pPr>
        <w:spacing w:line="480" w:lineRule="auto"/>
        <w:rPr>
          <w:rFonts w:ascii="Times New Roman" w:hAnsi="Times New Roman"/>
          <w:sz w:val="25"/>
          <w:szCs w:val="25"/>
        </w:rPr>
      </w:pPr>
    </w:p>
    <w:p w:rsidR="00431558"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The Washington Utilities and Transportation Commission (Commission) alleges as follows:</w:t>
      </w:r>
    </w:p>
    <w:p w:rsidR="000947DD" w:rsidRPr="00F21ACF" w:rsidRDefault="000947DD" w:rsidP="000947DD">
      <w:pPr>
        <w:spacing w:line="288" w:lineRule="auto"/>
        <w:rPr>
          <w:rFonts w:ascii="Times New Roman" w:hAnsi="Times New Roman"/>
          <w:sz w:val="25"/>
          <w:szCs w:val="25"/>
        </w:rPr>
      </w:pPr>
    </w:p>
    <w:p w:rsidR="00431558" w:rsidRPr="00F21ACF" w:rsidRDefault="00431558" w:rsidP="000947DD">
      <w:pPr>
        <w:pStyle w:val="Heading1"/>
        <w:spacing w:line="288" w:lineRule="auto"/>
        <w:rPr>
          <w:rFonts w:ascii="Times New Roman" w:hAnsi="Times New Roman" w:cs="Times New Roman"/>
          <w:sz w:val="25"/>
          <w:szCs w:val="25"/>
        </w:rPr>
      </w:pPr>
      <w:r w:rsidRPr="00F21ACF">
        <w:rPr>
          <w:rFonts w:ascii="Times New Roman" w:hAnsi="Times New Roman" w:cs="Times New Roman"/>
          <w:sz w:val="25"/>
          <w:szCs w:val="25"/>
        </w:rPr>
        <w:t>I.</w:t>
      </w:r>
      <w:r w:rsidR="00C21A26" w:rsidRPr="00F21ACF">
        <w:rPr>
          <w:rFonts w:ascii="Times New Roman" w:hAnsi="Times New Roman" w:cs="Times New Roman"/>
          <w:sz w:val="25"/>
          <w:szCs w:val="25"/>
        </w:rPr>
        <w:tab/>
      </w:r>
      <w:r w:rsidRPr="00F21ACF">
        <w:rPr>
          <w:rFonts w:ascii="Times New Roman" w:hAnsi="Times New Roman" w:cs="Times New Roman"/>
          <w:sz w:val="25"/>
          <w:szCs w:val="25"/>
        </w:rPr>
        <w:t>PARTIES</w:t>
      </w:r>
    </w:p>
    <w:p w:rsidR="000947DD" w:rsidRPr="00F21ACF" w:rsidRDefault="000947DD" w:rsidP="000947DD">
      <w:pPr>
        <w:rPr>
          <w:rFonts w:ascii="Times New Roman" w:hAnsi="Times New Roman"/>
          <w:sz w:val="25"/>
          <w:szCs w:val="25"/>
        </w:rPr>
      </w:pPr>
    </w:p>
    <w:p w:rsidR="00431558"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The Commission is an agency of the state of Washington, authorized by Title 80 RCW to regulate in the public interest the rates, services, facilities, and practices of all persons engaging within this state in the business of supplying any utility service or commodity to the public for compensation, </w:t>
      </w:r>
      <w:r w:rsidR="002850AD" w:rsidRPr="00F21ACF">
        <w:rPr>
          <w:rFonts w:ascii="Times New Roman" w:hAnsi="Times New Roman"/>
          <w:sz w:val="25"/>
          <w:szCs w:val="25"/>
        </w:rPr>
        <w:t xml:space="preserve">including gas companies. In addition, the Commission is </w:t>
      </w:r>
      <w:r w:rsidR="00275C04" w:rsidRPr="00F21ACF">
        <w:rPr>
          <w:rFonts w:ascii="Times New Roman" w:hAnsi="Times New Roman"/>
          <w:sz w:val="25"/>
          <w:szCs w:val="25"/>
        </w:rPr>
        <w:t xml:space="preserve">authorized by Chapter 81.88 RCW to regulate the safety of </w:t>
      </w:r>
      <w:r w:rsidR="002850AD" w:rsidRPr="00F21ACF">
        <w:rPr>
          <w:rFonts w:ascii="Times New Roman" w:hAnsi="Times New Roman"/>
          <w:sz w:val="25"/>
          <w:szCs w:val="25"/>
        </w:rPr>
        <w:t xml:space="preserve">the </w:t>
      </w:r>
      <w:r w:rsidR="00275C04" w:rsidRPr="00F21ACF">
        <w:rPr>
          <w:rFonts w:ascii="Times New Roman" w:hAnsi="Times New Roman"/>
          <w:sz w:val="25"/>
          <w:szCs w:val="25"/>
        </w:rPr>
        <w:t>facilities of gas pipeline companies.</w:t>
      </w:r>
    </w:p>
    <w:p w:rsidR="000947DD" w:rsidRPr="00F21ACF" w:rsidRDefault="000947DD" w:rsidP="000947DD">
      <w:pPr>
        <w:spacing w:line="288" w:lineRule="auto"/>
        <w:rPr>
          <w:rFonts w:ascii="Times New Roman" w:hAnsi="Times New Roman"/>
          <w:sz w:val="25"/>
          <w:szCs w:val="25"/>
        </w:rPr>
      </w:pPr>
    </w:p>
    <w:p w:rsidR="00B77DB7"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Respondent </w:t>
      </w:r>
      <w:r w:rsidR="004F0563" w:rsidRPr="00F21ACF">
        <w:rPr>
          <w:rFonts w:ascii="Times New Roman" w:hAnsi="Times New Roman"/>
          <w:sz w:val="25"/>
          <w:szCs w:val="25"/>
        </w:rPr>
        <w:t>Puget Sound Energy, Inc. (PSE)</w:t>
      </w:r>
      <w:r w:rsidR="00C21A26" w:rsidRPr="00F21ACF">
        <w:rPr>
          <w:rFonts w:ascii="Times New Roman" w:hAnsi="Times New Roman"/>
          <w:sz w:val="25"/>
          <w:szCs w:val="25"/>
        </w:rPr>
        <w:t xml:space="preserve"> is a co</w:t>
      </w:r>
      <w:r w:rsidR="00A61866" w:rsidRPr="00F21ACF">
        <w:rPr>
          <w:rFonts w:ascii="Times New Roman" w:hAnsi="Times New Roman"/>
          <w:sz w:val="25"/>
          <w:szCs w:val="25"/>
        </w:rPr>
        <w:t>rporation</w:t>
      </w:r>
      <w:r w:rsidR="00C21A26" w:rsidRPr="00F21ACF">
        <w:rPr>
          <w:rFonts w:ascii="Times New Roman" w:hAnsi="Times New Roman"/>
          <w:sz w:val="25"/>
          <w:szCs w:val="25"/>
        </w:rPr>
        <w:t xml:space="preserve"> that, among other things,</w:t>
      </w:r>
      <w:r w:rsidRPr="00F21ACF">
        <w:rPr>
          <w:rFonts w:ascii="Times New Roman" w:hAnsi="Times New Roman"/>
          <w:sz w:val="25"/>
          <w:szCs w:val="25"/>
        </w:rPr>
        <w:t xml:space="preserve"> </w:t>
      </w:r>
      <w:r w:rsidR="004F0563" w:rsidRPr="00F21ACF">
        <w:rPr>
          <w:rFonts w:ascii="Times New Roman" w:hAnsi="Times New Roman"/>
          <w:sz w:val="25"/>
          <w:szCs w:val="25"/>
        </w:rPr>
        <w:t xml:space="preserve">is a </w:t>
      </w:r>
      <w:r w:rsidR="002850AD" w:rsidRPr="00F21ACF">
        <w:rPr>
          <w:rFonts w:ascii="Times New Roman" w:hAnsi="Times New Roman"/>
          <w:sz w:val="25"/>
          <w:szCs w:val="25"/>
        </w:rPr>
        <w:t xml:space="preserve">gas company providing gas service to the public for compensation, and PSE also is a gas </w:t>
      </w:r>
      <w:r w:rsidR="004F0563" w:rsidRPr="00F21ACF">
        <w:rPr>
          <w:rFonts w:ascii="Times New Roman" w:hAnsi="Times New Roman"/>
          <w:sz w:val="25"/>
          <w:szCs w:val="25"/>
        </w:rPr>
        <w:t>p</w:t>
      </w:r>
      <w:r w:rsidR="00323CD3" w:rsidRPr="00F21ACF">
        <w:rPr>
          <w:rFonts w:ascii="Times New Roman" w:hAnsi="Times New Roman"/>
          <w:sz w:val="25"/>
          <w:szCs w:val="25"/>
        </w:rPr>
        <w:t xml:space="preserve">ipeline </w:t>
      </w:r>
      <w:r w:rsidR="004F0563" w:rsidRPr="00F21ACF">
        <w:rPr>
          <w:rFonts w:ascii="Times New Roman" w:hAnsi="Times New Roman"/>
          <w:sz w:val="25"/>
          <w:szCs w:val="25"/>
        </w:rPr>
        <w:t xml:space="preserve">company that </w:t>
      </w:r>
      <w:r w:rsidR="00C21A26" w:rsidRPr="00F21ACF">
        <w:rPr>
          <w:rFonts w:ascii="Times New Roman" w:hAnsi="Times New Roman"/>
          <w:sz w:val="25"/>
          <w:szCs w:val="25"/>
        </w:rPr>
        <w:t>owns and operates a system for transporting natural gas within the state of Washington.</w:t>
      </w:r>
      <w:r w:rsidRPr="00F21ACF">
        <w:rPr>
          <w:rFonts w:ascii="Times New Roman" w:hAnsi="Times New Roman"/>
          <w:sz w:val="25"/>
          <w:szCs w:val="25"/>
        </w:rPr>
        <w:t xml:space="preserve"> </w:t>
      </w:r>
    </w:p>
    <w:p w:rsidR="000947DD" w:rsidRPr="00F21ACF" w:rsidRDefault="000947DD" w:rsidP="000947DD">
      <w:pPr>
        <w:spacing w:line="288" w:lineRule="auto"/>
        <w:rPr>
          <w:rFonts w:ascii="Times New Roman" w:hAnsi="Times New Roman"/>
          <w:sz w:val="25"/>
          <w:szCs w:val="25"/>
        </w:rPr>
      </w:pPr>
    </w:p>
    <w:p w:rsidR="00431558" w:rsidRPr="00F21ACF" w:rsidRDefault="00431558" w:rsidP="000947DD">
      <w:pPr>
        <w:pStyle w:val="Heading1"/>
        <w:spacing w:line="288" w:lineRule="auto"/>
        <w:rPr>
          <w:rFonts w:ascii="Times New Roman" w:hAnsi="Times New Roman" w:cs="Times New Roman"/>
          <w:sz w:val="25"/>
          <w:szCs w:val="25"/>
        </w:rPr>
      </w:pPr>
      <w:r w:rsidRPr="00F21ACF">
        <w:rPr>
          <w:rFonts w:ascii="Times New Roman" w:hAnsi="Times New Roman" w:cs="Times New Roman"/>
          <w:sz w:val="25"/>
          <w:szCs w:val="25"/>
        </w:rPr>
        <w:t>II.</w:t>
      </w:r>
      <w:r w:rsidR="00C21A26" w:rsidRPr="00F21ACF">
        <w:rPr>
          <w:rFonts w:ascii="Times New Roman" w:hAnsi="Times New Roman" w:cs="Times New Roman"/>
          <w:sz w:val="25"/>
          <w:szCs w:val="25"/>
        </w:rPr>
        <w:tab/>
      </w:r>
      <w:r w:rsidRPr="00F21ACF">
        <w:rPr>
          <w:rFonts w:ascii="Times New Roman" w:hAnsi="Times New Roman" w:cs="Times New Roman"/>
          <w:sz w:val="25"/>
          <w:szCs w:val="25"/>
        </w:rPr>
        <w:t>JURISDICTION</w:t>
      </w:r>
    </w:p>
    <w:p w:rsidR="000947DD" w:rsidRPr="00F21ACF" w:rsidRDefault="000947DD" w:rsidP="000947DD">
      <w:pPr>
        <w:rPr>
          <w:rFonts w:ascii="Times New Roman" w:hAnsi="Times New Roman"/>
          <w:sz w:val="25"/>
          <w:szCs w:val="25"/>
        </w:rPr>
      </w:pPr>
    </w:p>
    <w:p w:rsidR="00C21A26"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The Commission has jurisdiction over </w:t>
      </w:r>
      <w:r w:rsidR="004F0563" w:rsidRPr="00F21ACF">
        <w:rPr>
          <w:rFonts w:ascii="Times New Roman" w:hAnsi="Times New Roman"/>
          <w:sz w:val="25"/>
          <w:szCs w:val="25"/>
        </w:rPr>
        <w:t>PSE because PSE</w:t>
      </w:r>
      <w:r w:rsidRPr="00F21ACF">
        <w:rPr>
          <w:rFonts w:ascii="Times New Roman" w:hAnsi="Times New Roman"/>
          <w:sz w:val="25"/>
          <w:szCs w:val="25"/>
        </w:rPr>
        <w:t xml:space="preserve"> is a </w:t>
      </w:r>
      <w:r w:rsidR="00C21A26" w:rsidRPr="00F21ACF">
        <w:rPr>
          <w:rFonts w:ascii="Times New Roman" w:hAnsi="Times New Roman"/>
          <w:sz w:val="25"/>
          <w:szCs w:val="25"/>
        </w:rPr>
        <w:t>“</w:t>
      </w:r>
      <w:r w:rsidR="00661B6A" w:rsidRPr="00F21ACF">
        <w:rPr>
          <w:rFonts w:ascii="Times New Roman" w:hAnsi="Times New Roman"/>
          <w:sz w:val="25"/>
          <w:szCs w:val="25"/>
        </w:rPr>
        <w:t>pipeline company</w:t>
      </w:r>
      <w:r w:rsidR="00C21A26" w:rsidRPr="00F21ACF">
        <w:rPr>
          <w:rFonts w:ascii="Times New Roman" w:hAnsi="Times New Roman"/>
          <w:sz w:val="25"/>
          <w:szCs w:val="25"/>
        </w:rPr>
        <w:t>”</w:t>
      </w:r>
      <w:r w:rsidRPr="00F21ACF">
        <w:rPr>
          <w:rFonts w:ascii="Times New Roman" w:hAnsi="Times New Roman"/>
          <w:sz w:val="25"/>
          <w:szCs w:val="25"/>
        </w:rPr>
        <w:t xml:space="preserve"> subject to</w:t>
      </w:r>
      <w:r w:rsidR="00C21A26" w:rsidRPr="00F21ACF">
        <w:rPr>
          <w:rFonts w:ascii="Times New Roman" w:hAnsi="Times New Roman"/>
          <w:sz w:val="25"/>
          <w:szCs w:val="25"/>
        </w:rPr>
        <w:t xml:space="preserve"> </w:t>
      </w:r>
      <w:r w:rsidR="00661B6A" w:rsidRPr="00F21ACF">
        <w:rPr>
          <w:rFonts w:ascii="Times New Roman" w:hAnsi="Times New Roman"/>
          <w:sz w:val="25"/>
          <w:szCs w:val="25"/>
        </w:rPr>
        <w:t xml:space="preserve">gas </w:t>
      </w:r>
      <w:r w:rsidR="00C21A26" w:rsidRPr="00F21ACF">
        <w:rPr>
          <w:rFonts w:ascii="Times New Roman" w:hAnsi="Times New Roman"/>
          <w:sz w:val="25"/>
          <w:szCs w:val="25"/>
        </w:rPr>
        <w:t>pipeline safety regulation by the Commission pursuant to RCW 8</w:t>
      </w:r>
      <w:r w:rsidR="00661B6A" w:rsidRPr="00F21ACF">
        <w:rPr>
          <w:rFonts w:ascii="Times New Roman" w:hAnsi="Times New Roman"/>
          <w:sz w:val="25"/>
          <w:szCs w:val="25"/>
        </w:rPr>
        <w:t>1.88.040</w:t>
      </w:r>
      <w:r w:rsidR="00C21A26" w:rsidRPr="00F21ACF">
        <w:rPr>
          <w:rFonts w:ascii="Times New Roman" w:hAnsi="Times New Roman"/>
          <w:sz w:val="25"/>
          <w:szCs w:val="25"/>
        </w:rPr>
        <w:t xml:space="preserve">, </w:t>
      </w:r>
      <w:r w:rsidR="00C21A26" w:rsidRPr="00F21ACF">
        <w:rPr>
          <w:rFonts w:ascii="Times New Roman" w:hAnsi="Times New Roman"/>
          <w:i/>
          <w:iCs/>
          <w:sz w:val="25"/>
          <w:szCs w:val="25"/>
        </w:rPr>
        <w:t>et al</w:t>
      </w:r>
      <w:r w:rsidR="00C21A26" w:rsidRPr="00F21ACF">
        <w:rPr>
          <w:rFonts w:ascii="Times New Roman" w:hAnsi="Times New Roman"/>
          <w:sz w:val="25"/>
          <w:szCs w:val="25"/>
        </w:rPr>
        <w:t>.</w:t>
      </w:r>
      <w:r w:rsidR="00323CD3" w:rsidRPr="00F21ACF">
        <w:rPr>
          <w:rFonts w:ascii="Times New Roman" w:hAnsi="Times New Roman"/>
          <w:sz w:val="25"/>
          <w:szCs w:val="25"/>
        </w:rPr>
        <w:t xml:space="preserve"> as well as a </w:t>
      </w:r>
      <w:r w:rsidR="00DE7E0F" w:rsidRPr="00F21ACF">
        <w:rPr>
          <w:rFonts w:ascii="Times New Roman" w:hAnsi="Times New Roman"/>
          <w:sz w:val="25"/>
          <w:szCs w:val="25"/>
        </w:rPr>
        <w:t>“</w:t>
      </w:r>
      <w:r w:rsidR="00323CD3" w:rsidRPr="00F21ACF">
        <w:rPr>
          <w:rFonts w:ascii="Times New Roman" w:hAnsi="Times New Roman"/>
          <w:sz w:val="25"/>
          <w:szCs w:val="25"/>
        </w:rPr>
        <w:t>gas company</w:t>
      </w:r>
      <w:r w:rsidR="00DE7E0F" w:rsidRPr="00F21ACF">
        <w:rPr>
          <w:rFonts w:ascii="Times New Roman" w:hAnsi="Times New Roman"/>
          <w:sz w:val="25"/>
          <w:szCs w:val="25"/>
        </w:rPr>
        <w:t>”</w:t>
      </w:r>
      <w:r w:rsidR="00323CD3" w:rsidRPr="00F21ACF">
        <w:rPr>
          <w:rFonts w:ascii="Times New Roman" w:hAnsi="Times New Roman"/>
          <w:sz w:val="25"/>
          <w:szCs w:val="25"/>
        </w:rPr>
        <w:t xml:space="preserve"> subject to Commission regulation under RCW 81.28.</w:t>
      </w:r>
    </w:p>
    <w:p w:rsidR="000947DD" w:rsidRPr="00F21ACF" w:rsidRDefault="000947DD" w:rsidP="000947DD">
      <w:pPr>
        <w:spacing w:line="288" w:lineRule="auto"/>
        <w:rPr>
          <w:rFonts w:ascii="Times New Roman" w:hAnsi="Times New Roman"/>
          <w:sz w:val="25"/>
          <w:szCs w:val="25"/>
        </w:rPr>
      </w:pPr>
    </w:p>
    <w:p w:rsidR="00431558"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lastRenderedPageBreak/>
        <w:t xml:space="preserve">The Commission has jurisdiction over the subject matter of this Complaint pursuant to the provisions of RCW 80.01, RCW 80.04, </w:t>
      </w:r>
      <w:r w:rsidR="004F0563" w:rsidRPr="00F21ACF">
        <w:rPr>
          <w:rFonts w:ascii="Times New Roman" w:hAnsi="Times New Roman"/>
          <w:sz w:val="25"/>
          <w:szCs w:val="25"/>
        </w:rPr>
        <w:t xml:space="preserve">RCW 80.28, </w:t>
      </w:r>
      <w:r w:rsidRPr="00F21ACF">
        <w:rPr>
          <w:rFonts w:ascii="Times New Roman" w:hAnsi="Times New Roman"/>
          <w:sz w:val="25"/>
          <w:szCs w:val="25"/>
        </w:rPr>
        <w:t>RCW 8</w:t>
      </w:r>
      <w:r w:rsidR="00661B6A" w:rsidRPr="00F21ACF">
        <w:rPr>
          <w:rFonts w:ascii="Times New Roman" w:hAnsi="Times New Roman"/>
          <w:sz w:val="25"/>
          <w:szCs w:val="25"/>
        </w:rPr>
        <w:t>1.88</w:t>
      </w:r>
      <w:r w:rsidRPr="00F21ACF">
        <w:rPr>
          <w:rFonts w:ascii="Times New Roman" w:hAnsi="Times New Roman"/>
          <w:sz w:val="25"/>
          <w:szCs w:val="25"/>
        </w:rPr>
        <w:t xml:space="preserve">, and </w:t>
      </w:r>
      <w:r w:rsidR="000B7C5A" w:rsidRPr="00F21ACF">
        <w:rPr>
          <w:rFonts w:ascii="Times New Roman" w:hAnsi="Times New Roman"/>
          <w:sz w:val="25"/>
          <w:szCs w:val="25"/>
        </w:rPr>
        <w:t xml:space="preserve">WAC </w:t>
      </w:r>
      <w:r w:rsidRPr="00F21ACF">
        <w:rPr>
          <w:rFonts w:ascii="Times New Roman" w:hAnsi="Times New Roman"/>
          <w:sz w:val="25"/>
          <w:szCs w:val="25"/>
        </w:rPr>
        <w:t xml:space="preserve">480-93.  Specific provisions include but are not limited to: RCW 80.01.040, RCW 80.04.070, RCW 80.04.110, RCW 80.04.380, RCW 80.04.385, RCW 80.04.405, RCW 80.04.410, </w:t>
      </w:r>
      <w:r w:rsidR="00D1148E" w:rsidRPr="00F21ACF">
        <w:rPr>
          <w:rFonts w:ascii="Times New Roman" w:hAnsi="Times New Roman"/>
          <w:sz w:val="25"/>
          <w:szCs w:val="25"/>
        </w:rPr>
        <w:t xml:space="preserve">RCW 80.28.010, RCW 80.28.040, RCW 80.28.130, </w:t>
      </w:r>
      <w:r w:rsidRPr="00F21ACF">
        <w:rPr>
          <w:rFonts w:ascii="Times New Roman" w:hAnsi="Times New Roman"/>
          <w:sz w:val="25"/>
          <w:szCs w:val="25"/>
        </w:rPr>
        <w:t>RCW 8</w:t>
      </w:r>
      <w:r w:rsidR="00661B6A" w:rsidRPr="00F21ACF">
        <w:rPr>
          <w:rFonts w:ascii="Times New Roman" w:hAnsi="Times New Roman"/>
          <w:sz w:val="25"/>
          <w:szCs w:val="25"/>
        </w:rPr>
        <w:t>1.88.005, RCW 81.88.010, RCW 81.88.030, RCW 81.88.040, RCW 81.88.065, RCW 81.88.100,</w:t>
      </w:r>
      <w:r w:rsidRPr="00F21ACF">
        <w:rPr>
          <w:rFonts w:ascii="Times New Roman" w:hAnsi="Times New Roman"/>
          <w:sz w:val="25"/>
          <w:szCs w:val="25"/>
        </w:rPr>
        <w:t xml:space="preserve"> WAC 480-93-</w:t>
      </w:r>
      <w:r w:rsidR="00CA5BD9" w:rsidRPr="00F21ACF">
        <w:rPr>
          <w:rFonts w:ascii="Times New Roman" w:hAnsi="Times New Roman"/>
          <w:sz w:val="25"/>
          <w:szCs w:val="25"/>
        </w:rPr>
        <w:t xml:space="preserve">180 and </w:t>
      </w:r>
      <w:r w:rsidRPr="00F21ACF">
        <w:rPr>
          <w:rFonts w:ascii="Times New Roman" w:hAnsi="Times New Roman"/>
          <w:sz w:val="25"/>
          <w:szCs w:val="25"/>
        </w:rPr>
        <w:t>18</w:t>
      </w:r>
      <w:r w:rsidR="00150E3B" w:rsidRPr="00F21ACF">
        <w:rPr>
          <w:rFonts w:ascii="Times New Roman" w:hAnsi="Times New Roman"/>
          <w:sz w:val="25"/>
          <w:szCs w:val="25"/>
        </w:rPr>
        <w:t>8</w:t>
      </w:r>
      <w:r w:rsidRPr="00F21ACF">
        <w:rPr>
          <w:rFonts w:ascii="Times New Roman" w:hAnsi="Times New Roman"/>
          <w:sz w:val="25"/>
          <w:szCs w:val="25"/>
        </w:rPr>
        <w:t>.</w:t>
      </w:r>
    </w:p>
    <w:p w:rsidR="000947DD" w:rsidRPr="00F21ACF" w:rsidRDefault="000947DD" w:rsidP="000947DD">
      <w:pPr>
        <w:spacing w:line="288" w:lineRule="auto"/>
        <w:rPr>
          <w:rFonts w:ascii="Times New Roman" w:hAnsi="Times New Roman"/>
          <w:sz w:val="25"/>
          <w:szCs w:val="25"/>
        </w:rPr>
      </w:pPr>
    </w:p>
    <w:p w:rsidR="00F61197" w:rsidRPr="00F21ACF" w:rsidRDefault="00F61197" w:rsidP="000947DD">
      <w:pPr>
        <w:pStyle w:val="Heading1"/>
        <w:spacing w:line="288" w:lineRule="auto"/>
        <w:rPr>
          <w:rFonts w:ascii="Times New Roman" w:hAnsi="Times New Roman" w:cs="Times New Roman"/>
          <w:sz w:val="25"/>
          <w:szCs w:val="25"/>
        </w:rPr>
      </w:pPr>
      <w:r w:rsidRPr="00F21ACF">
        <w:rPr>
          <w:rFonts w:ascii="Times New Roman" w:hAnsi="Times New Roman" w:cs="Times New Roman"/>
          <w:sz w:val="25"/>
          <w:szCs w:val="25"/>
        </w:rPr>
        <w:t>III.</w:t>
      </w:r>
      <w:r w:rsidRPr="00F21ACF">
        <w:rPr>
          <w:rFonts w:ascii="Times New Roman" w:hAnsi="Times New Roman" w:cs="Times New Roman"/>
          <w:sz w:val="25"/>
          <w:szCs w:val="25"/>
        </w:rPr>
        <w:tab/>
        <w:t>FACTUAL ALLEGATIONS</w:t>
      </w:r>
    </w:p>
    <w:p w:rsidR="000947DD" w:rsidRPr="00F21ACF" w:rsidRDefault="000947DD" w:rsidP="000947DD">
      <w:pPr>
        <w:rPr>
          <w:rFonts w:ascii="Times New Roman" w:hAnsi="Times New Roman"/>
          <w:sz w:val="25"/>
          <w:szCs w:val="25"/>
        </w:rPr>
      </w:pPr>
    </w:p>
    <w:p w:rsidR="00A61866" w:rsidRPr="00F21ACF" w:rsidRDefault="00150E3B"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On September 26, 2011, a natural gas explosion and fire destroyed a house located at 12312 5</w:t>
      </w:r>
      <w:r w:rsidRPr="00F21ACF">
        <w:rPr>
          <w:rFonts w:ascii="Times New Roman" w:hAnsi="Times New Roman"/>
          <w:sz w:val="25"/>
          <w:szCs w:val="25"/>
          <w:vertAlign w:val="superscript"/>
        </w:rPr>
        <w:t>th</w:t>
      </w:r>
      <w:r w:rsidRPr="00F21ACF">
        <w:rPr>
          <w:rFonts w:ascii="Times New Roman" w:hAnsi="Times New Roman"/>
          <w:sz w:val="25"/>
          <w:szCs w:val="25"/>
        </w:rPr>
        <w:t xml:space="preserve"> Avenue N.E., in the Pinehurst neighborhood of Seattle, Washington. Commission Staff investigated the incident and filed its investigative report with the Commission on December 26, 2012. The following paragraphs </w:t>
      </w:r>
      <w:r w:rsidR="00055D3C" w:rsidRPr="00F21ACF">
        <w:rPr>
          <w:rFonts w:ascii="Times New Roman" w:hAnsi="Times New Roman"/>
          <w:sz w:val="25"/>
          <w:szCs w:val="25"/>
        </w:rPr>
        <w:t>7-1</w:t>
      </w:r>
      <w:r w:rsidR="00FE5053" w:rsidRPr="00F21ACF">
        <w:rPr>
          <w:rFonts w:ascii="Times New Roman" w:hAnsi="Times New Roman"/>
          <w:sz w:val="25"/>
          <w:szCs w:val="25"/>
        </w:rPr>
        <w:t>5</w:t>
      </w:r>
      <w:r w:rsidR="00055D3C" w:rsidRPr="00F21ACF">
        <w:rPr>
          <w:rFonts w:ascii="Times New Roman" w:hAnsi="Times New Roman"/>
          <w:sz w:val="25"/>
          <w:szCs w:val="25"/>
        </w:rPr>
        <w:t xml:space="preserve"> are based on </w:t>
      </w:r>
      <w:r w:rsidRPr="00F21ACF">
        <w:rPr>
          <w:rFonts w:ascii="Times New Roman" w:hAnsi="Times New Roman"/>
          <w:sz w:val="25"/>
          <w:szCs w:val="25"/>
        </w:rPr>
        <w:t xml:space="preserve">information </w:t>
      </w:r>
      <w:r w:rsidR="00055D3C" w:rsidRPr="00F21ACF">
        <w:rPr>
          <w:rFonts w:ascii="Times New Roman" w:hAnsi="Times New Roman"/>
          <w:sz w:val="25"/>
          <w:szCs w:val="25"/>
        </w:rPr>
        <w:t xml:space="preserve">contained in </w:t>
      </w:r>
      <w:r w:rsidRPr="00F21ACF">
        <w:rPr>
          <w:rFonts w:ascii="Times New Roman" w:hAnsi="Times New Roman"/>
          <w:sz w:val="25"/>
          <w:szCs w:val="25"/>
        </w:rPr>
        <w:t xml:space="preserve">that report. </w:t>
      </w:r>
    </w:p>
    <w:p w:rsidR="000947DD" w:rsidRPr="00F21ACF" w:rsidRDefault="000947DD" w:rsidP="000947DD">
      <w:pPr>
        <w:spacing w:line="288" w:lineRule="auto"/>
        <w:rPr>
          <w:rFonts w:ascii="Times New Roman" w:hAnsi="Times New Roman"/>
          <w:sz w:val="25"/>
          <w:szCs w:val="25"/>
        </w:rPr>
      </w:pPr>
    </w:p>
    <w:p w:rsidR="00150E3B" w:rsidRPr="00F21ACF" w:rsidRDefault="00150E3B"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The owners of the house are Mr. David Ingham and Ms. Hong Ingham, husband and wife. The Inghams were inside the house at the time of the explosion and they both were injured. In addition, their house and motor vehicles were destroyed. The explosion also damage</w:t>
      </w:r>
      <w:r w:rsidR="00055D3C" w:rsidRPr="00F21ACF">
        <w:rPr>
          <w:rFonts w:ascii="Times New Roman" w:hAnsi="Times New Roman"/>
          <w:sz w:val="25"/>
          <w:szCs w:val="25"/>
        </w:rPr>
        <w:t>d</w:t>
      </w:r>
      <w:r w:rsidRPr="00F21ACF">
        <w:rPr>
          <w:rFonts w:ascii="Times New Roman" w:hAnsi="Times New Roman"/>
          <w:sz w:val="25"/>
          <w:szCs w:val="25"/>
        </w:rPr>
        <w:t xml:space="preserve"> neighboring homes and other buildings in the area. </w:t>
      </w:r>
    </w:p>
    <w:p w:rsidR="000947DD" w:rsidRPr="00F21ACF" w:rsidRDefault="000947DD" w:rsidP="000947DD">
      <w:pPr>
        <w:spacing w:line="288" w:lineRule="auto"/>
        <w:rPr>
          <w:rFonts w:ascii="Times New Roman" w:hAnsi="Times New Roman"/>
          <w:sz w:val="25"/>
          <w:szCs w:val="25"/>
        </w:rPr>
      </w:pPr>
    </w:p>
    <w:p w:rsidR="00BC1478" w:rsidRPr="00F21ACF" w:rsidRDefault="00A61866"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The fuel source of the explosion and fire was natural gas</w:t>
      </w:r>
      <w:r w:rsidR="00AE015F" w:rsidRPr="00F21ACF">
        <w:rPr>
          <w:rFonts w:ascii="Times New Roman" w:hAnsi="Times New Roman"/>
          <w:sz w:val="25"/>
          <w:szCs w:val="25"/>
        </w:rPr>
        <w:t xml:space="preserve">. </w:t>
      </w:r>
      <w:r w:rsidR="00150E3B" w:rsidRPr="00F21ACF">
        <w:rPr>
          <w:rFonts w:ascii="Times New Roman" w:hAnsi="Times New Roman"/>
          <w:sz w:val="25"/>
          <w:szCs w:val="25"/>
        </w:rPr>
        <w:t xml:space="preserve">Gas leaked because </w:t>
      </w:r>
      <w:r w:rsidR="00AE01F1" w:rsidRPr="00F21ACF">
        <w:rPr>
          <w:rFonts w:ascii="Times New Roman" w:hAnsi="Times New Roman"/>
          <w:sz w:val="25"/>
          <w:szCs w:val="25"/>
        </w:rPr>
        <w:t xml:space="preserve">the day before the explosion, September 25, 2011, </w:t>
      </w:r>
      <w:r w:rsidR="00150E3B" w:rsidRPr="00F21ACF">
        <w:rPr>
          <w:rFonts w:ascii="Times New Roman" w:hAnsi="Times New Roman"/>
          <w:sz w:val="25"/>
          <w:szCs w:val="25"/>
        </w:rPr>
        <w:t xml:space="preserve">a nearby </w:t>
      </w:r>
      <w:r w:rsidR="00AE01F1" w:rsidRPr="00F21ACF">
        <w:rPr>
          <w:rFonts w:ascii="Times New Roman" w:hAnsi="Times New Roman"/>
          <w:sz w:val="25"/>
          <w:szCs w:val="25"/>
        </w:rPr>
        <w:t xml:space="preserve">high voltage </w:t>
      </w:r>
      <w:r w:rsidR="00150E3B" w:rsidRPr="00F21ACF">
        <w:rPr>
          <w:rFonts w:ascii="Times New Roman" w:hAnsi="Times New Roman"/>
          <w:sz w:val="25"/>
          <w:szCs w:val="25"/>
        </w:rPr>
        <w:t xml:space="preserve">power line owned by Seattle City Light </w:t>
      </w:r>
      <w:r w:rsidR="00AE01F1" w:rsidRPr="00F21ACF">
        <w:rPr>
          <w:rFonts w:ascii="Times New Roman" w:hAnsi="Times New Roman"/>
          <w:sz w:val="25"/>
          <w:szCs w:val="25"/>
        </w:rPr>
        <w:t xml:space="preserve">fell to the ground </w:t>
      </w:r>
      <w:r w:rsidR="006D4E6E" w:rsidRPr="00F21ACF">
        <w:rPr>
          <w:rFonts w:ascii="Times New Roman" w:hAnsi="Times New Roman"/>
          <w:sz w:val="25"/>
          <w:szCs w:val="25"/>
        </w:rPr>
        <w:t xml:space="preserve">and </w:t>
      </w:r>
      <w:r w:rsidR="00150E3B" w:rsidRPr="00F21ACF">
        <w:rPr>
          <w:rFonts w:ascii="Times New Roman" w:hAnsi="Times New Roman"/>
          <w:sz w:val="25"/>
          <w:szCs w:val="25"/>
        </w:rPr>
        <w:t>energized PSE’s gas system in the area</w:t>
      </w:r>
      <w:r w:rsidR="00AE01F1" w:rsidRPr="00F21ACF">
        <w:rPr>
          <w:rFonts w:ascii="Times New Roman" w:hAnsi="Times New Roman"/>
          <w:sz w:val="25"/>
          <w:szCs w:val="25"/>
        </w:rPr>
        <w:t xml:space="preserve">. The </w:t>
      </w:r>
      <w:r w:rsidR="00150E3B" w:rsidRPr="00F21ACF">
        <w:rPr>
          <w:rFonts w:ascii="Times New Roman" w:hAnsi="Times New Roman"/>
          <w:sz w:val="25"/>
          <w:szCs w:val="25"/>
        </w:rPr>
        <w:t>electric</w:t>
      </w:r>
      <w:r w:rsidR="00AE01F1" w:rsidRPr="00F21ACF">
        <w:rPr>
          <w:rFonts w:ascii="Times New Roman" w:hAnsi="Times New Roman"/>
          <w:sz w:val="25"/>
          <w:szCs w:val="25"/>
        </w:rPr>
        <w:t xml:space="preserve">ity </w:t>
      </w:r>
      <w:r w:rsidR="00150E3B" w:rsidRPr="00F21ACF">
        <w:rPr>
          <w:rFonts w:ascii="Times New Roman" w:hAnsi="Times New Roman"/>
          <w:sz w:val="25"/>
          <w:szCs w:val="25"/>
        </w:rPr>
        <w:t>arc</w:t>
      </w:r>
      <w:r w:rsidR="00AE01F1" w:rsidRPr="00F21ACF">
        <w:rPr>
          <w:rFonts w:ascii="Times New Roman" w:hAnsi="Times New Roman"/>
          <w:sz w:val="25"/>
          <w:szCs w:val="25"/>
        </w:rPr>
        <w:t>ed</w:t>
      </w:r>
      <w:r w:rsidR="00150E3B" w:rsidRPr="00F21ACF">
        <w:rPr>
          <w:rFonts w:ascii="Times New Roman" w:hAnsi="Times New Roman"/>
          <w:sz w:val="25"/>
          <w:szCs w:val="25"/>
        </w:rPr>
        <w:t xml:space="preserve"> </w:t>
      </w:r>
      <w:r w:rsidR="00AE01F1" w:rsidRPr="00F21ACF">
        <w:rPr>
          <w:rFonts w:ascii="Times New Roman" w:hAnsi="Times New Roman"/>
          <w:sz w:val="25"/>
          <w:szCs w:val="25"/>
        </w:rPr>
        <w:t xml:space="preserve">from PSE’s gas service line at the Inghams’ house to the Inghams’ </w:t>
      </w:r>
      <w:r w:rsidR="002C4E9C" w:rsidRPr="00F21ACF">
        <w:rPr>
          <w:rFonts w:ascii="Times New Roman" w:hAnsi="Times New Roman"/>
          <w:sz w:val="25"/>
          <w:szCs w:val="25"/>
        </w:rPr>
        <w:t>sewer</w:t>
      </w:r>
      <w:r w:rsidR="00E00A25" w:rsidRPr="00F21ACF">
        <w:rPr>
          <w:rFonts w:ascii="Times New Roman" w:hAnsi="Times New Roman"/>
          <w:sz w:val="25"/>
          <w:szCs w:val="25"/>
        </w:rPr>
        <w:t xml:space="preserve"> </w:t>
      </w:r>
      <w:r w:rsidR="00AE01F1" w:rsidRPr="00F21ACF">
        <w:rPr>
          <w:rFonts w:ascii="Times New Roman" w:hAnsi="Times New Roman"/>
          <w:sz w:val="25"/>
          <w:szCs w:val="25"/>
        </w:rPr>
        <w:t xml:space="preserve">pipe (the </w:t>
      </w:r>
      <w:r w:rsidR="002C4E9C" w:rsidRPr="00F21ACF">
        <w:rPr>
          <w:rFonts w:ascii="Times New Roman" w:hAnsi="Times New Roman"/>
          <w:sz w:val="25"/>
          <w:szCs w:val="25"/>
        </w:rPr>
        <w:t>sewer</w:t>
      </w:r>
      <w:r w:rsidR="00E00A25" w:rsidRPr="00F21ACF">
        <w:rPr>
          <w:rFonts w:ascii="Times New Roman" w:hAnsi="Times New Roman"/>
          <w:sz w:val="25"/>
          <w:szCs w:val="25"/>
        </w:rPr>
        <w:t xml:space="preserve"> </w:t>
      </w:r>
      <w:r w:rsidR="00055D3C" w:rsidRPr="00F21ACF">
        <w:rPr>
          <w:rFonts w:ascii="Times New Roman" w:hAnsi="Times New Roman"/>
          <w:sz w:val="25"/>
          <w:szCs w:val="25"/>
        </w:rPr>
        <w:t xml:space="preserve"> </w:t>
      </w:r>
      <w:r w:rsidR="00AE01F1" w:rsidRPr="00F21ACF">
        <w:rPr>
          <w:rFonts w:ascii="Times New Roman" w:hAnsi="Times New Roman"/>
          <w:sz w:val="25"/>
          <w:szCs w:val="25"/>
        </w:rPr>
        <w:t>pipe act</w:t>
      </w:r>
      <w:r w:rsidR="00055D3C" w:rsidRPr="00F21ACF">
        <w:rPr>
          <w:rFonts w:ascii="Times New Roman" w:hAnsi="Times New Roman"/>
          <w:sz w:val="25"/>
          <w:szCs w:val="25"/>
        </w:rPr>
        <w:t>ed</w:t>
      </w:r>
      <w:r w:rsidR="00AE01F1" w:rsidRPr="00F21ACF">
        <w:rPr>
          <w:rFonts w:ascii="Times New Roman" w:hAnsi="Times New Roman"/>
          <w:sz w:val="25"/>
          <w:szCs w:val="25"/>
        </w:rPr>
        <w:t xml:space="preserve"> as a ground), </w:t>
      </w:r>
      <w:r w:rsidR="006D4E6E" w:rsidRPr="00F21ACF">
        <w:rPr>
          <w:rFonts w:ascii="Times New Roman" w:hAnsi="Times New Roman"/>
          <w:sz w:val="25"/>
          <w:szCs w:val="25"/>
        </w:rPr>
        <w:t xml:space="preserve">thereby </w:t>
      </w:r>
      <w:r w:rsidR="00AE01F1" w:rsidRPr="00F21ACF">
        <w:rPr>
          <w:rFonts w:ascii="Times New Roman" w:hAnsi="Times New Roman"/>
          <w:sz w:val="25"/>
          <w:szCs w:val="25"/>
        </w:rPr>
        <w:t xml:space="preserve">creating a hole in the </w:t>
      </w:r>
      <w:r w:rsidR="00323CD3" w:rsidRPr="00F21ACF">
        <w:rPr>
          <w:rFonts w:ascii="Times New Roman" w:hAnsi="Times New Roman"/>
          <w:sz w:val="25"/>
          <w:szCs w:val="25"/>
        </w:rPr>
        <w:t xml:space="preserve">PSE </w:t>
      </w:r>
      <w:r w:rsidR="00055D3C" w:rsidRPr="00F21ACF">
        <w:rPr>
          <w:rFonts w:ascii="Times New Roman" w:hAnsi="Times New Roman"/>
          <w:sz w:val="25"/>
          <w:szCs w:val="25"/>
        </w:rPr>
        <w:t xml:space="preserve">gas </w:t>
      </w:r>
      <w:r w:rsidR="00AE01F1" w:rsidRPr="00F21ACF">
        <w:rPr>
          <w:rFonts w:ascii="Times New Roman" w:hAnsi="Times New Roman"/>
          <w:sz w:val="25"/>
          <w:szCs w:val="25"/>
        </w:rPr>
        <w:t>service pipe</w:t>
      </w:r>
      <w:r w:rsidR="00323CD3" w:rsidRPr="00F21ACF">
        <w:rPr>
          <w:rFonts w:ascii="Times New Roman" w:hAnsi="Times New Roman"/>
          <w:sz w:val="25"/>
          <w:szCs w:val="25"/>
        </w:rPr>
        <w:t>,</w:t>
      </w:r>
      <w:r w:rsidR="00AE01F1" w:rsidRPr="00F21ACF">
        <w:rPr>
          <w:rFonts w:ascii="Times New Roman" w:hAnsi="Times New Roman"/>
          <w:sz w:val="25"/>
          <w:szCs w:val="25"/>
        </w:rPr>
        <w:t xml:space="preserve"> from which gas leaked. Most likely, the gas migrated to the crawl space under the Inghams’ house, entered the living space, and was ignited, causing the explosion and fire. </w:t>
      </w:r>
    </w:p>
    <w:p w:rsidR="000947DD" w:rsidRPr="00F21ACF" w:rsidRDefault="000947DD" w:rsidP="000947DD">
      <w:pPr>
        <w:spacing w:line="288" w:lineRule="auto"/>
        <w:rPr>
          <w:rFonts w:ascii="Times New Roman" w:hAnsi="Times New Roman"/>
          <w:sz w:val="25"/>
          <w:szCs w:val="25"/>
        </w:rPr>
      </w:pPr>
    </w:p>
    <w:p w:rsidR="00AE01F1" w:rsidRPr="00F21ACF" w:rsidRDefault="00AE01F1"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However, </w:t>
      </w:r>
      <w:r w:rsidR="00323CD3" w:rsidRPr="00F21ACF">
        <w:rPr>
          <w:rFonts w:ascii="Times New Roman" w:hAnsi="Times New Roman"/>
          <w:sz w:val="25"/>
          <w:szCs w:val="25"/>
        </w:rPr>
        <w:t xml:space="preserve">Commission </w:t>
      </w:r>
      <w:r w:rsidRPr="00F21ACF">
        <w:rPr>
          <w:rFonts w:ascii="Times New Roman" w:hAnsi="Times New Roman"/>
          <w:sz w:val="25"/>
          <w:szCs w:val="25"/>
        </w:rPr>
        <w:t>Staff could not eliminate the possibility that the electrical current running through the gas pipe continued into the Ingham’s house and caused another gas leak in the Ingham’s fuel line, furnace or other facilities.</w:t>
      </w:r>
    </w:p>
    <w:p w:rsidR="000947DD" w:rsidRDefault="000947DD" w:rsidP="000947DD">
      <w:pPr>
        <w:spacing w:line="288" w:lineRule="auto"/>
        <w:rPr>
          <w:rFonts w:ascii="Times New Roman" w:hAnsi="Times New Roman"/>
          <w:sz w:val="25"/>
          <w:szCs w:val="25"/>
        </w:rPr>
      </w:pPr>
    </w:p>
    <w:p w:rsidR="00EC6E9F" w:rsidRPr="00F21ACF" w:rsidRDefault="00EC6E9F" w:rsidP="000947DD">
      <w:pPr>
        <w:spacing w:line="288" w:lineRule="auto"/>
        <w:rPr>
          <w:rFonts w:ascii="Times New Roman" w:hAnsi="Times New Roman"/>
          <w:sz w:val="25"/>
          <w:szCs w:val="25"/>
        </w:rPr>
      </w:pPr>
    </w:p>
    <w:p w:rsidR="00AE01F1" w:rsidRPr="00F21ACF" w:rsidRDefault="00AE01F1" w:rsidP="008C20EE">
      <w:pPr>
        <w:widowControl/>
        <w:numPr>
          <w:ilvl w:val="0"/>
          <w:numId w:val="3"/>
        </w:numPr>
        <w:spacing w:line="288" w:lineRule="auto"/>
        <w:rPr>
          <w:rFonts w:ascii="Times New Roman" w:hAnsi="Times New Roman"/>
          <w:sz w:val="25"/>
          <w:szCs w:val="25"/>
        </w:rPr>
      </w:pPr>
      <w:r w:rsidRPr="00F21ACF">
        <w:rPr>
          <w:rFonts w:ascii="Times New Roman" w:hAnsi="Times New Roman"/>
          <w:sz w:val="25"/>
          <w:szCs w:val="25"/>
        </w:rPr>
        <w:lastRenderedPageBreak/>
        <w:t xml:space="preserve">On September 25, 2011, PSE received </w:t>
      </w:r>
      <w:r w:rsidR="006D4E6E" w:rsidRPr="00F21ACF">
        <w:rPr>
          <w:rFonts w:ascii="Times New Roman" w:hAnsi="Times New Roman"/>
          <w:sz w:val="25"/>
          <w:szCs w:val="25"/>
        </w:rPr>
        <w:t xml:space="preserve">separate </w:t>
      </w:r>
      <w:r w:rsidRPr="00F21ACF">
        <w:rPr>
          <w:rFonts w:ascii="Times New Roman" w:hAnsi="Times New Roman"/>
          <w:sz w:val="25"/>
          <w:szCs w:val="25"/>
        </w:rPr>
        <w:t xml:space="preserve">calls indicating </w:t>
      </w:r>
      <w:r w:rsidR="00E65583" w:rsidRPr="00F21ACF">
        <w:rPr>
          <w:rFonts w:ascii="Times New Roman" w:hAnsi="Times New Roman"/>
          <w:sz w:val="25"/>
          <w:szCs w:val="25"/>
        </w:rPr>
        <w:t xml:space="preserve">there were </w:t>
      </w:r>
      <w:r w:rsidRPr="00F21ACF">
        <w:rPr>
          <w:rFonts w:ascii="Times New Roman" w:hAnsi="Times New Roman"/>
          <w:sz w:val="25"/>
          <w:szCs w:val="25"/>
        </w:rPr>
        <w:t xml:space="preserve">three separate leaks in </w:t>
      </w:r>
      <w:r w:rsidR="00E65583" w:rsidRPr="00F21ACF">
        <w:rPr>
          <w:rFonts w:ascii="Times New Roman" w:hAnsi="Times New Roman"/>
          <w:sz w:val="25"/>
          <w:szCs w:val="25"/>
        </w:rPr>
        <w:t>PSE’s</w:t>
      </w:r>
      <w:r w:rsidRPr="00F21ACF">
        <w:rPr>
          <w:rFonts w:ascii="Times New Roman" w:hAnsi="Times New Roman"/>
          <w:sz w:val="25"/>
          <w:szCs w:val="25"/>
        </w:rPr>
        <w:t xml:space="preserve"> gas system in the Pinehurst neighborhood. PSE promptly responded and addressed the three gas leaks. </w:t>
      </w:r>
      <w:r w:rsidR="002C4E9C" w:rsidRPr="00F21ACF">
        <w:rPr>
          <w:rFonts w:ascii="Times New Roman" w:hAnsi="Times New Roman"/>
          <w:sz w:val="25"/>
          <w:szCs w:val="25"/>
        </w:rPr>
        <w:t xml:space="preserve">PSE recognized the leaks were caused by electrical arcing, which is unusual. </w:t>
      </w:r>
      <w:r w:rsidR="006D4E6E" w:rsidRPr="00F21ACF">
        <w:rPr>
          <w:rFonts w:ascii="Times New Roman" w:hAnsi="Times New Roman"/>
          <w:sz w:val="25"/>
          <w:szCs w:val="25"/>
        </w:rPr>
        <w:t>In view of the</w:t>
      </w:r>
      <w:r w:rsidR="002C4E9C" w:rsidRPr="00F21ACF">
        <w:rPr>
          <w:rFonts w:ascii="Times New Roman" w:hAnsi="Times New Roman"/>
          <w:sz w:val="25"/>
          <w:szCs w:val="25"/>
        </w:rPr>
        <w:t>se</w:t>
      </w:r>
      <w:r w:rsidR="006D4E6E" w:rsidRPr="00F21ACF">
        <w:rPr>
          <w:rFonts w:ascii="Times New Roman" w:hAnsi="Times New Roman"/>
          <w:sz w:val="25"/>
          <w:szCs w:val="25"/>
        </w:rPr>
        <w:t xml:space="preserve"> unusual circumstances, </w:t>
      </w:r>
      <w:r w:rsidRPr="00F21ACF">
        <w:rPr>
          <w:rFonts w:ascii="Times New Roman" w:hAnsi="Times New Roman"/>
          <w:sz w:val="25"/>
          <w:szCs w:val="25"/>
        </w:rPr>
        <w:t xml:space="preserve">PSE promptly initiated two </w:t>
      </w:r>
      <w:r w:rsidR="00B20251" w:rsidRPr="00F21ACF">
        <w:rPr>
          <w:rFonts w:ascii="Times New Roman" w:hAnsi="Times New Roman"/>
          <w:sz w:val="25"/>
          <w:szCs w:val="25"/>
        </w:rPr>
        <w:t xml:space="preserve">special </w:t>
      </w:r>
      <w:r w:rsidRPr="00F21ACF">
        <w:rPr>
          <w:rFonts w:ascii="Times New Roman" w:hAnsi="Times New Roman"/>
          <w:sz w:val="25"/>
          <w:szCs w:val="25"/>
        </w:rPr>
        <w:t xml:space="preserve">gas leak surveys </w:t>
      </w:r>
      <w:r w:rsidR="00B20251" w:rsidRPr="00F21ACF">
        <w:rPr>
          <w:rFonts w:ascii="Times New Roman" w:hAnsi="Times New Roman"/>
          <w:sz w:val="25"/>
          <w:szCs w:val="25"/>
        </w:rPr>
        <w:t xml:space="preserve">in </w:t>
      </w:r>
      <w:r w:rsidRPr="00F21ACF">
        <w:rPr>
          <w:rFonts w:ascii="Times New Roman" w:hAnsi="Times New Roman"/>
          <w:sz w:val="25"/>
          <w:szCs w:val="25"/>
        </w:rPr>
        <w:t xml:space="preserve">the </w:t>
      </w:r>
      <w:r w:rsidR="00637C96" w:rsidRPr="00F21ACF">
        <w:rPr>
          <w:rFonts w:ascii="Times New Roman" w:hAnsi="Times New Roman"/>
          <w:sz w:val="25"/>
          <w:szCs w:val="25"/>
        </w:rPr>
        <w:t xml:space="preserve">Pinehurst </w:t>
      </w:r>
      <w:r w:rsidRPr="00F21ACF">
        <w:rPr>
          <w:rFonts w:ascii="Times New Roman" w:hAnsi="Times New Roman"/>
          <w:sz w:val="25"/>
          <w:szCs w:val="25"/>
        </w:rPr>
        <w:t xml:space="preserve">area that </w:t>
      </w:r>
      <w:r w:rsidR="006D4E6E" w:rsidRPr="00F21ACF">
        <w:rPr>
          <w:rFonts w:ascii="Times New Roman" w:hAnsi="Times New Roman"/>
          <w:sz w:val="25"/>
          <w:szCs w:val="25"/>
        </w:rPr>
        <w:t xml:space="preserve">same </w:t>
      </w:r>
      <w:r w:rsidRPr="00F21ACF">
        <w:rPr>
          <w:rFonts w:ascii="Times New Roman" w:hAnsi="Times New Roman"/>
          <w:sz w:val="25"/>
          <w:szCs w:val="25"/>
        </w:rPr>
        <w:t>day.</w:t>
      </w:r>
    </w:p>
    <w:p w:rsidR="000947DD" w:rsidRPr="00F21ACF" w:rsidRDefault="000947DD" w:rsidP="000947DD">
      <w:pPr>
        <w:spacing w:line="288" w:lineRule="auto"/>
        <w:rPr>
          <w:rFonts w:ascii="Times New Roman" w:hAnsi="Times New Roman"/>
          <w:sz w:val="25"/>
          <w:szCs w:val="25"/>
        </w:rPr>
      </w:pPr>
    </w:p>
    <w:p w:rsidR="00B20251" w:rsidRPr="00F21ACF" w:rsidRDefault="00AE01F1"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The first PSE </w:t>
      </w:r>
      <w:r w:rsidR="00B20251" w:rsidRPr="00F21ACF">
        <w:rPr>
          <w:rFonts w:ascii="Times New Roman" w:hAnsi="Times New Roman"/>
          <w:sz w:val="25"/>
          <w:szCs w:val="25"/>
        </w:rPr>
        <w:t xml:space="preserve">special </w:t>
      </w:r>
      <w:r w:rsidRPr="00F21ACF">
        <w:rPr>
          <w:rFonts w:ascii="Times New Roman" w:hAnsi="Times New Roman"/>
          <w:sz w:val="25"/>
          <w:szCs w:val="25"/>
        </w:rPr>
        <w:t xml:space="preserve">leak survey </w:t>
      </w:r>
      <w:r w:rsidR="006945BC" w:rsidRPr="00F21ACF">
        <w:rPr>
          <w:rFonts w:ascii="Times New Roman" w:hAnsi="Times New Roman"/>
          <w:sz w:val="25"/>
          <w:szCs w:val="25"/>
        </w:rPr>
        <w:t xml:space="preserve">(first special leak survey) </w:t>
      </w:r>
      <w:r w:rsidRPr="00F21ACF">
        <w:rPr>
          <w:rFonts w:ascii="Times New Roman" w:hAnsi="Times New Roman"/>
          <w:sz w:val="25"/>
          <w:szCs w:val="25"/>
        </w:rPr>
        <w:t xml:space="preserve">began at </w:t>
      </w:r>
      <w:r w:rsidR="00323CD3" w:rsidRPr="00F21ACF">
        <w:rPr>
          <w:rFonts w:ascii="Times New Roman" w:hAnsi="Times New Roman"/>
          <w:sz w:val="25"/>
          <w:szCs w:val="25"/>
        </w:rPr>
        <w:t xml:space="preserve">approximately </w:t>
      </w:r>
      <w:r w:rsidRPr="00F21ACF">
        <w:rPr>
          <w:rFonts w:ascii="Times New Roman" w:hAnsi="Times New Roman"/>
          <w:sz w:val="25"/>
          <w:szCs w:val="25"/>
        </w:rPr>
        <w:t xml:space="preserve">5:30 p.m. </w:t>
      </w:r>
      <w:r w:rsidR="00637C96" w:rsidRPr="00F21ACF">
        <w:rPr>
          <w:rFonts w:ascii="Times New Roman" w:hAnsi="Times New Roman"/>
          <w:sz w:val="25"/>
          <w:szCs w:val="25"/>
        </w:rPr>
        <w:t xml:space="preserve">on September 25, 2011. </w:t>
      </w:r>
      <w:r w:rsidR="00B20251" w:rsidRPr="00F21ACF">
        <w:rPr>
          <w:rFonts w:ascii="Times New Roman" w:hAnsi="Times New Roman"/>
          <w:sz w:val="25"/>
          <w:szCs w:val="25"/>
        </w:rPr>
        <w:t xml:space="preserve">This </w:t>
      </w:r>
      <w:r w:rsidR="006945BC" w:rsidRPr="00F21ACF">
        <w:rPr>
          <w:rFonts w:ascii="Times New Roman" w:hAnsi="Times New Roman"/>
          <w:sz w:val="25"/>
          <w:szCs w:val="25"/>
        </w:rPr>
        <w:t xml:space="preserve">first special </w:t>
      </w:r>
      <w:r w:rsidR="00B20251" w:rsidRPr="00F21ACF">
        <w:rPr>
          <w:rFonts w:ascii="Times New Roman" w:hAnsi="Times New Roman"/>
          <w:sz w:val="25"/>
          <w:szCs w:val="25"/>
        </w:rPr>
        <w:t>leak survey was for</w:t>
      </w:r>
      <w:r w:rsidRPr="00F21ACF">
        <w:rPr>
          <w:rFonts w:ascii="Times New Roman" w:hAnsi="Times New Roman"/>
          <w:sz w:val="25"/>
          <w:szCs w:val="25"/>
        </w:rPr>
        <w:t xml:space="preserve"> </w:t>
      </w:r>
      <w:r w:rsidR="001D009A" w:rsidRPr="00F21ACF">
        <w:rPr>
          <w:rFonts w:ascii="Times New Roman" w:hAnsi="Times New Roman"/>
          <w:sz w:val="25"/>
          <w:szCs w:val="25"/>
        </w:rPr>
        <w:t xml:space="preserve">PSE’s </w:t>
      </w:r>
      <w:r w:rsidRPr="00F21ACF">
        <w:rPr>
          <w:rFonts w:ascii="Times New Roman" w:hAnsi="Times New Roman"/>
          <w:sz w:val="25"/>
          <w:szCs w:val="25"/>
        </w:rPr>
        <w:t xml:space="preserve">wrapped </w:t>
      </w:r>
      <w:r w:rsidR="00B20251" w:rsidRPr="00F21ACF">
        <w:rPr>
          <w:rFonts w:ascii="Times New Roman" w:hAnsi="Times New Roman"/>
          <w:sz w:val="25"/>
          <w:szCs w:val="25"/>
        </w:rPr>
        <w:t xml:space="preserve">steel </w:t>
      </w:r>
      <w:r w:rsidR="001D009A" w:rsidRPr="00F21ACF">
        <w:rPr>
          <w:rFonts w:ascii="Times New Roman" w:hAnsi="Times New Roman"/>
          <w:sz w:val="25"/>
          <w:szCs w:val="25"/>
        </w:rPr>
        <w:t>gas piping</w:t>
      </w:r>
      <w:r w:rsidR="006945BC" w:rsidRPr="00F21ACF">
        <w:rPr>
          <w:rFonts w:ascii="Times New Roman" w:hAnsi="Times New Roman"/>
          <w:sz w:val="25"/>
          <w:szCs w:val="25"/>
        </w:rPr>
        <w:t xml:space="preserve">, and it </w:t>
      </w:r>
      <w:r w:rsidR="002C4E9C" w:rsidRPr="00F21ACF">
        <w:rPr>
          <w:rFonts w:ascii="Times New Roman" w:hAnsi="Times New Roman"/>
          <w:sz w:val="25"/>
          <w:szCs w:val="25"/>
        </w:rPr>
        <w:t xml:space="preserve">included a walking leak survey. </w:t>
      </w:r>
      <w:r w:rsidR="006D4E6E" w:rsidRPr="00F21ACF">
        <w:rPr>
          <w:rFonts w:ascii="Times New Roman" w:hAnsi="Times New Roman"/>
          <w:sz w:val="25"/>
          <w:szCs w:val="25"/>
        </w:rPr>
        <w:t xml:space="preserve">The </w:t>
      </w:r>
      <w:r w:rsidR="00323CD3" w:rsidRPr="00F21ACF">
        <w:rPr>
          <w:rFonts w:ascii="Times New Roman" w:hAnsi="Times New Roman"/>
          <w:sz w:val="25"/>
          <w:szCs w:val="25"/>
        </w:rPr>
        <w:t>area</w:t>
      </w:r>
      <w:r w:rsidR="006D4E6E" w:rsidRPr="00F21ACF">
        <w:rPr>
          <w:rFonts w:ascii="Times New Roman" w:hAnsi="Times New Roman"/>
          <w:sz w:val="25"/>
          <w:szCs w:val="25"/>
        </w:rPr>
        <w:t xml:space="preserve"> </w:t>
      </w:r>
      <w:r w:rsidR="006945BC" w:rsidRPr="00F21ACF">
        <w:rPr>
          <w:rFonts w:ascii="Times New Roman" w:hAnsi="Times New Roman"/>
          <w:sz w:val="25"/>
          <w:szCs w:val="25"/>
        </w:rPr>
        <w:t xml:space="preserve">of the first special leak survey </w:t>
      </w:r>
      <w:r w:rsidR="006D4E6E" w:rsidRPr="00F21ACF">
        <w:rPr>
          <w:rFonts w:ascii="Times New Roman" w:hAnsi="Times New Roman"/>
          <w:sz w:val="25"/>
          <w:szCs w:val="25"/>
        </w:rPr>
        <w:t>was</w:t>
      </w:r>
      <w:r w:rsidR="00B20251" w:rsidRPr="00F21ACF">
        <w:rPr>
          <w:rFonts w:ascii="Times New Roman" w:hAnsi="Times New Roman"/>
          <w:sz w:val="25"/>
          <w:szCs w:val="25"/>
        </w:rPr>
        <w:t xml:space="preserve"> </w:t>
      </w:r>
      <w:r w:rsidRPr="00F21ACF">
        <w:rPr>
          <w:rFonts w:ascii="Times New Roman" w:hAnsi="Times New Roman"/>
          <w:sz w:val="25"/>
          <w:szCs w:val="25"/>
        </w:rPr>
        <w:t>5</w:t>
      </w:r>
      <w:r w:rsidRPr="00F21ACF">
        <w:rPr>
          <w:rFonts w:ascii="Times New Roman" w:hAnsi="Times New Roman"/>
          <w:sz w:val="25"/>
          <w:szCs w:val="25"/>
          <w:vertAlign w:val="superscript"/>
        </w:rPr>
        <w:t>th</w:t>
      </w:r>
      <w:r w:rsidRPr="00F21ACF">
        <w:rPr>
          <w:rFonts w:ascii="Times New Roman" w:hAnsi="Times New Roman"/>
          <w:sz w:val="25"/>
          <w:szCs w:val="25"/>
        </w:rPr>
        <w:t xml:space="preserve"> Avenue N.E. to 12</w:t>
      </w:r>
      <w:r w:rsidRPr="00F21ACF">
        <w:rPr>
          <w:rFonts w:ascii="Times New Roman" w:hAnsi="Times New Roman"/>
          <w:sz w:val="25"/>
          <w:szCs w:val="25"/>
          <w:vertAlign w:val="superscript"/>
        </w:rPr>
        <w:t>th</w:t>
      </w:r>
      <w:r w:rsidRPr="00F21ACF">
        <w:rPr>
          <w:rFonts w:ascii="Times New Roman" w:hAnsi="Times New Roman"/>
          <w:sz w:val="25"/>
          <w:szCs w:val="25"/>
        </w:rPr>
        <w:t xml:space="preserve"> Avenue N.E. and N.E. 115</w:t>
      </w:r>
      <w:r w:rsidRPr="00F21ACF">
        <w:rPr>
          <w:rFonts w:ascii="Times New Roman" w:hAnsi="Times New Roman"/>
          <w:sz w:val="25"/>
          <w:szCs w:val="25"/>
          <w:vertAlign w:val="superscript"/>
        </w:rPr>
        <w:t>th</w:t>
      </w:r>
      <w:r w:rsidRPr="00F21ACF">
        <w:rPr>
          <w:rFonts w:ascii="Times New Roman" w:hAnsi="Times New Roman"/>
          <w:sz w:val="25"/>
          <w:szCs w:val="25"/>
        </w:rPr>
        <w:t xml:space="preserve"> Street to N.E. 130</w:t>
      </w:r>
      <w:r w:rsidRPr="00F21ACF">
        <w:rPr>
          <w:rFonts w:ascii="Times New Roman" w:hAnsi="Times New Roman"/>
          <w:sz w:val="25"/>
          <w:szCs w:val="25"/>
          <w:vertAlign w:val="superscript"/>
        </w:rPr>
        <w:t>th</w:t>
      </w:r>
      <w:r w:rsidRPr="00F21ACF">
        <w:rPr>
          <w:rFonts w:ascii="Times New Roman" w:hAnsi="Times New Roman"/>
          <w:sz w:val="25"/>
          <w:szCs w:val="25"/>
        </w:rPr>
        <w:t xml:space="preserve"> Street</w:t>
      </w:r>
      <w:r w:rsidR="00B20251" w:rsidRPr="00F21ACF">
        <w:rPr>
          <w:rFonts w:ascii="Times New Roman" w:hAnsi="Times New Roman"/>
          <w:sz w:val="25"/>
          <w:szCs w:val="25"/>
        </w:rPr>
        <w:t>.</w:t>
      </w:r>
      <w:r w:rsidRPr="00F21ACF">
        <w:rPr>
          <w:rFonts w:ascii="Times New Roman" w:hAnsi="Times New Roman"/>
          <w:sz w:val="25"/>
          <w:szCs w:val="25"/>
        </w:rPr>
        <w:t xml:space="preserve"> </w:t>
      </w:r>
      <w:r w:rsidR="001D009A" w:rsidRPr="00F21ACF">
        <w:rPr>
          <w:rFonts w:ascii="Times New Roman" w:hAnsi="Times New Roman"/>
          <w:sz w:val="25"/>
          <w:szCs w:val="25"/>
        </w:rPr>
        <w:t>Included within this area</w:t>
      </w:r>
      <w:r w:rsidR="00B20251" w:rsidRPr="00F21ACF">
        <w:rPr>
          <w:rFonts w:ascii="Times New Roman" w:hAnsi="Times New Roman"/>
          <w:sz w:val="25"/>
          <w:szCs w:val="25"/>
        </w:rPr>
        <w:t xml:space="preserve"> were t</w:t>
      </w:r>
      <w:r w:rsidRPr="00F21ACF">
        <w:rPr>
          <w:rFonts w:ascii="Times New Roman" w:hAnsi="Times New Roman"/>
          <w:sz w:val="25"/>
          <w:szCs w:val="25"/>
        </w:rPr>
        <w:t>he Inghams’ house</w:t>
      </w:r>
      <w:r w:rsidR="00B20251" w:rsidRPr="00F21ACF">
        <w:rPr>
          <w:rFonts w:ascii="Times New Roman" w:hAnsi="Times New Roman"/>
          <w:sz w:val="25"/>
          <w:szCs w:val="25"/>
        </w:rPr>
        <w:t>,</w:t>
      </w:r>
      <w:r w:rsidRPr="00F21ACF">
        <w:rPr>
          <w:rFonts w:ascii="Times New Roman" w:hAnsi="Times New Roman"/>
          <w:sz w:val="25"/>
          <w:szCs w:val="25"/>
        </w:rPr>
        <w:t xml:space="preserve"> the two </w:t>
      </w:r>
      <w:r w:rsidR="00B20251" w:rsidRPr="00F21ACF">
        <w:rPr>
          <w:rFonts w:ascii="Times New Roman" w:hAnsi="Times New Roman"/>
          <w:sz w:val="25"/>
          <w:szCs w:val="25"/>
        </w:rPr>
        <w:t>houses</w:t>
      </w:r>
      <w:r w:rsidRPr="00F21ACF">
        <w:rPr>
          <w:rFonts w:ascii="Times New Roman" w:hAnsi="Times New Roman"/>
          <w:sz w:val="25"/>
          <w:szCs w:val="25"/>
        </w:rPr>
        <w:t xml:space="preserve"> </w:t>
      </w:r>
      <w:r w:rsidR="00B20251" w:rsidRPr="00F21ACF">
        <w:rPr>
          <w:rFonts w:ascii="Times New Roman" w:hAnsi="Times New Roman"/>
          <w:sz w:val="25"/>
          <w:szCs w:val="25"/>
        </w:rPr>
        <w:t xml:space="preserve">neighboring the Inghams’ house and the </w:t>
      </w:r>
      <w:r w:rsidR="006945BC" w:rsidRPr="00F21ACF">
        <w:rPr>
          <w:rFonts w:ascii="Times New Roman" w:hAnsi="Times New Roman"/>
          <w:sz w:val="25"/>
          <w:szCs w:val="25"/>
        </w:rPr>
        <w:t xml:space="preserve">paved </w:t>
      </w:r>
      <w:r w:rsidR="00B20251" w:rsidRPr="00F21ACF">
        <w:rPr>
          <w:rFonts w:ascii="Times New Roman" w:hAnsi="Times New Roman"/>
          <w:sz w:val="25"/>
          <w:szCs w:val="25"/>
        </w:rPr>
        <w:t>private drive to these three houses.</w:t>
      </w:r>
    </w:p>
    <w:p w:rsidR="000947DD" w:rsidRPr="00F21ACF" w:rsidRDefault="000947DD" w:rsidP="000947DD">
      <w:pPr>
        <w:spacing w:line="288" w:lineRule="auto"/>
        <w:rPr>
          <w:rFonts w:ascii="Times New Roman" w:hAnsi="Times New Roman"/>
          <w:sz w:val="25"/>
          <w:szCs w:val="25"/>
        </w:rPr>
      </w:pPr>
    </w:p>
    <w:p w:rsidR="00637C96" w:rsidRPr="00F21ACF" w:rsidRDefault="00B20251"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In the first special leak survey, PSE did not leak survey the PSE wrapped steel main under the private drive to the</w:t>
      </w:r>
      <w:r w:rsidR="00E65583" w:rsidRPr="00F21ACF">
        <w:rPr>
          <w:rFonts w:ascii="Times New Roman" w:hAnsi="Times New Roman"/>
          <w:sz w:val="25"/>
          <w:szCs w:val="25"/>
        </w:rPr>
        <w:t xml:space="preserve">se three </w:t>
      </w:r>
      <w:r w:rsidRPr="00F21ACF">
        <w:rPr>
          <w:rFonts w:ascii="Times New Roman" w:hAnsi="Times New Roman"/>
          <w:sz w:val="25"/>
          <w:szCs w:val="25"/>
        </w:rPr>
        <w:t>house</w:t>
      </w:r>
      <w:r w:rsidR="00E65583" w:rsidRPr="00F21ACF">
        <w:rPr>
          <w:rFonts w:ascii="Times New Roman" w:hAnsi="Times New Roman"/>
          <w:sz w:val="25"/>
          <w:szCs w:val="25"/>
        </w:rPr>
        <w:t>s</w:t>
      </w:r>
      <w:r w:rsidR="00AE01F1" w:rsidRPr="00F21ACF">
        <w:rPr>
          <w:rFonts w:ascii="Times New Roman" w:hAnsi="Times New Roman"/>
          <w:sz w:val="25"/>
          <w:szCs w:val="25"/>
        </w:rPr>
        <w:t xml:space="preserve"> </w:t>
      </w:r>
      <w:r w:rsidRPr="00F21ACF">
        <w:rPr>
          <w:rFonts w:ascii="Times New Roman" w:hAnsi="Times New Roman"/>
          <w:sz w:val="25"/>
          <w:szCs w:val="25"/>
        </w:rPr>
        <w:t>or the PSE wrapped steel services serving the</w:t>
      </w:r>
      <w:r w:rsidR="003B5486" w:rsidRPr="00F21ACF">
        <w:rPr>
          <w:rFonts w:ascii="Times New Roman" w:hAnsi="Times New Roman"/>
          <w:sz w:val="25"/>
          <w:szCs w:val="25"/>
        </w:rPr>
        <w:t>se</w:t>
      </w:r>
      <w:r w:rsidRPr="00F21ACF">
        <w:rPr>
          <w:rFonts w:ascii="Times New Roman" w:hAnsi="Times New Roman"/>
          <w:sz w:val="25"/>
          <w:szCs w:val="25"/>
        </w:rPr>
        <w:t xml:space="preserve"> </w:t>
      </w:r>
      <w:r w:rsidR="003B5486" w:rsidRPr="00F21ACF">
        <w:rPr>
          <w:rFonts w:ascii="Times New Roman" w:hAnsi="Times New Roman"/>
          <w:sz w:val="25"/>
          <w:szCs w:val="25"/>
        </w:rPr>
        <w:t xml:space="preserve">three </w:t>
      </w:r>
      <w:r w:rsidRPr="00F21ACF">
        <w:rPr>
          <w:rFonts w:ascii="Times New Roman" w:hAnsi="Times New Roman"/>
          <w:sz w:val="25"/>
          <w:szCs w:val="25"/>
        </w:rPr>
        <w:t>houses.</w:t>
      </w:r>
    </w:p>
    <w:p w:rsidR="000947DD" w:rsidRPr="00F21ACF" w:rsidRDefault="000947DD" w:rsidP="000947DD">
      <w:pPr>
        <w:spacing w:line="288" w:lineRule="auto"/>
        <w:rPr>
          <w:rFonts w:ascii="Times New Roman" w:hAnsi="Times New Roman"/>
          <w:sz w:val="25"/>
          <w:szCs w:val="25"/>
        </w:rPr>
      </w:pPr>
    </w:p>
    <w:p w:rsidR="001D009A" w:rsidRPr="00F21ACF" w:rsidRDefault="00637C96"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The second PSE special leak survey </w:t>
      </w:r>
      <w:r w:rsidR="006945BC" w:rsidRPr="00F21ACF">
        <w:rPr>
          <w:rFonts w:ascii="Times New Roman" w:hAnsi="Times New Roman"/>
          <w:sz w:val="25"/>
          <w:szCs w:val="25"/>
        </w:rPr>
        <w:t xml:space="preserve">(second special leak survey) </w:t>
      </w:r>
      <w:r w:rsidR="00AE01F1" w:rsidRPr="00F21ACF">
        <w:rPr>
          <w:rFonts w:ascii="Times New Roman" w:hAnsi="Times New Roman"/>
          <w:sz w:val="25"/>
          <w:szCs w:val="25"/>
        </w:rPr>
        <w:t xml:space="preserve">started at </w:t>
      </w:r>
      <w:r w:rsidRPr="00F21ACF">
        <w:rPr>
          <w:rFonts w:ascii="Times New Roman" w:hAnsi="Times New Roman"/>
          <w:sz w:val="25"/>
          <w:szCs w:val="25"/>
        </w:rPr>
        <w:t xml:space="preserve">approximately </w:t>
      </w:r>
      <w:r w:rsidR="00AE01F1" w:rsidRPr="00F21ACF">
        <w:rPr>
          <w:rFonts w:ascii="Times New Roman" w:hAnsi="Times New Roman"/>
          <w:sz w:val="25"/>
          <w:szCs w:val="25"/>
        </w:rPr>
        <w:t>9:30 p.m.</w:t>
      </w:r>
      <w:r w:rsidR="003B5486" w:rsidRPr="00F21ACF">
        <w:rPr>
          <w:rFonts w:ascii="Times New Roman" w:hAnsi="Times New Roman"/>
          <w:sz w:val="25"/>
          <w:szCs w:val="25"/>
        </w:rPr>
        <w:t xml:space="preserve"> on</w:t>
      </w:r>
      <w:r w:rsidR="00AE01F1" w:rsidRPr="00F21ACF">
        <w:rPr>
          <w:rFonts w:ascii="Times New Roman" w:hAnsi="Times New Roman"/>
          <w:sz w:val="25"/>
          <w:szCs w:val="25"/>
        </w:rPr>
        <w:t xml:space="preserve"> </w:t>
      </w:r>
      <w:r w:rsidRPr="00F21ACF">
        <w:rPr>
          <w:rFonts w:ascii="Times New Roman" w:hAnsi="Times New Roman"/>
          <w:sz w:val="25"/>
          <w:szCs w:val="25"/>
        </w:rPr>
        <w:t>September 25, 2011.</w:t>
      </w:r>
      <w:r w:rsidR="00AE01F1" w:rsidRPr="00F21ACF">
        <w:rPr>
          <w:rFonts w:ascii="Times New Roman" w:hAnsi="Times New Roman"/>
          <w:sz w:val="25"/>
          <w:szCs w:val="25"/>
        </w:rPr>
        <w:t xml:space="preserve"> </w:t>
      </w:r>
      <w:r w:rsidR="006945BC" w:rsidRPr="00F21ACF">
        <w:rPr>
          <w:rFonts w:ascii="Times New Roman" w:hAnsi="Times New Roman"/>
          <w:sz w:val="25"/>
          <w:szCs w:val="25"/>
        </w:rPr>
        <w:t xml:space="preserve">This was a mobile leak survey using gas detection equipment mounted to motor vehicles. </w:t>
      </w:r>
      <w:r w:rsidR="003B5486" w:rsidRPr="00F21ACF">
        <w:rPr>
          <w:rFonts w:ascii="Times New Roman" w:hAnsi="Times New Roman"/>
          <w:sz w:val="25"/>
          <w:szCs w:val="25"/>
        </w:rPr>
        <w:t xml:space="preserve">PSE </w:t>
      </w:r>
      <w:r w:rsidR="00CC679E" w:rsidRPr="00F21ACF">
        <w:rPr>
          <w:rFonts w:ascii="Times New Roman" w:hAnsi="Times New Roman"/>
          <w:sz w:val="25"/>
          <w:szCs w:val="25"/>
        </w:rPr>
        <w:t xml:space="preserve">identified the scope of the facilities to be surveyed as PSE </w:t>
      </w:r>
      <w:r w:rsidR="001D009A" w:rsidRPr="00F21ACF">
        <w:rPr>
          <w:rFonts w:ascii="Times New Roman" w:hAnsi="Times New Roman"/>
          <w:sz w:val="25"/>
          <w:szCs w:val="25"/>
        </w:rPr>
        <w:t>gas piping located in the public rights-of-way accessible to a vehicle</w:t>
      </w:r>
      <w:r w:rsidR="006D4E6E" w:rsidRPr="00F21ACF">
        <w:rPr>
          <w:rFonts w:ascii="Times New Roman" w:hAnsi="Times New Roman"/>
          <w:sz w:val="25"/>
          <w:szCs w:val="25"/>
        </w:rPr>
        <w:t>.</w:t>
      </w:r>
      <w:r w:rsidR="002C4E9C" w:rsidRPr="00F21ACF">
        <w:rPr>
          <w:rFonts w:ascii="Times New Roman" w:hAnsi="Times New Roman"/>
          <w:sz w:val="25"/>
          <w:szCs w:val="25"/>
        </w:rPr>
        <w:t xml:space="preserve"> </w:t>
      </w:r>
      <w:r w:rsidR="006D4E6E" w:rsidRPr="00F21ACF">
        <w:rPr>
          <w:rFonts w:ascii="Times New Roman" w:hAnsi="Times New Roman"/>
          <w:sz w:val="25"/>
          <w:szCs w:val="25"/>
        </w:rPr>
        <w:t xml:space="preserve">The area </w:t>
      </w:r>
      <w:r w:rsidR="006945BC" w:rsidRPr="00F21ACF">
        <w:rPr>
          <w:rFonts w:ascii="Times New Roman" w:hAnsi="Times New Roman"/>
          <w:sz w:val="25"/>
          <w:szCs w:val="25"/>
        </w:rPr>
        <w:t xml:space="preserve">of the second special leak survey </w:t>
      </w:r>
      <w:r w:rsidR="006D4E6E" w:rsidRPr="00F21ACF">
        <w:rPr>
          <w:rFonts w:ascii="Times New Roman" w:hAnsi="Times New Roman"/>
          <w:sz w:val="25"/>
          <w:szCs w:val="25"/>
        </w:rPr>
        <w:t xml:space="preserve">was </w:t>
      </w:r>
      <w:r w:rsidR="00AE01F1" w:rsidRPr="00F21ACF">
        <w:rPr>
          <w:rFonts w:ascii="Times New Roman" w:hAnsi="Times New Roman"/>
          <w:sz w:val="25"/>
          <w:szCs w:val="25"/>
        </w:rPr>
        <w:t>5</w:t>
      </w:r>
      <w:r w:rsidR="00AE01F1" w:rsidRPr="00F21ACF">
        <w:rPr>
          <w:rFonts w:ascii="Times New Roman" w:hAnsi="Times New Roman"/>
          <w:sz w:val="25"/>
          <w:szCs w:val="25"/>
          <w:vertAlign w:val="superscript"/>
        </w:rPr>
        <w:t>th</w:t>
      </w:r>
      <w:r w:rsidR="00AE01F1" w:rsidRPr="00F21ACF">
        <w:rPr>
          <w:rFonts w:ascii="Times New Roman" w:hAnsi="Times New Roman"/>
          <w:sz w:val="25"/>
          <w:szCs w:val="25"/>
        </w:rPr>
        <w:t xml:space="preserve"> Avenue N.E. to 15</w:t>
      </w:r>
      <w:r w:rsidR="00AE01F1" w:rsidRPr="00F21ACF">
        <w:rPr>
          <w:rFonts w:ascii="Times New Roman" w:hAnsi="Times New Roman"/>
          <w:sz w:val="25"/>
          <w:szCs w:val="25"/>
          <w:vertAlign w:val="superscript"/>
        </w:rPr>
        <w:t>th</w:t>
      </w:r>
      <w:r w:rsidR="00AE01F1" w:rsidRPr="00F21ACF">
        <w:rPr>
          <w:rFonts w:ascii="Times New Roman" w:hAnsi="Times New Roman"/>
          <w:sz w:val="25"/>
          <w:szCs w:val="25"/>
        </w:rPr>
        <w:t xml:space="preserve"> Avenue N.E. and N.E. 105</w:t>
      </w:r>
      <w:r w:rsidR="00AE01F1" w:rsidRPr="00F21ACF">
        <w:rPr>
          <w:rFonts w:ascii="Times New Roman" w:hAnsi="Times New Roman"/>
          <w:sz w:val="25"/>
          <w:szCs w:val="25"/>
          <w:vertAlign w:val="superscript"/>
        </w:rPr>
        <w:t>th</w:t>
      </w:r>
      <w:r w:rsidR="00AE01F1" w:rsidRPr="00F21ACF">
        <w:rPr>
          <w:rFonts w:ascii="Times New Roman" w:hAnsi="Times New Roman"/>
          <w:sz w:val="25"/>
          <w:szCs w:val="25"/>
        </w:rPr>
        <w:t xml:space="preserve"> Street to N.E. 130</w:t>
      </w:r>
      <w:r w:rsidR="00AE01F1" w:rsidRPr="00F21ACF">
        <w:rPr>
          <w:rFonts w:ascii="Times New Roman" w:hAnsi="Times New Roman"/>
          <w:sz w:val="25"/>
          <w:szCs w:val="25"/>
          <w:vertAlign w:val="superscript"/>
        </w:rPr>
        <w:t>th</w:t>
      </w:r>
      <w:r w:rsidR="00AE01F1" w:rsidRPr="00F21ACF">
        <w:rPr>
          <w:rFonts w:ascii="Times New Roman" w:hAnsi="Times New Roman"/>
          <w:sz w:val="25"/>
          <w:szCs w:val="25"/>
        </w:rPr>
        <w:t xml:space="preserve"> Street. </w:t>
      </w:r>
      <w:r w:rsidR="001D009A" w:rsidRPr="00F21ACF">
        <w:rPr>
          <w:rFonts w:ascii="Times New Roman" w:hAnsi="Times New Roman"/>
          <w:sz w:val="25"/>
          <w:szCs w:val="25"/>
        </w:rPr>
        <w:t xml:space="preserve">Included within this area were the Inghams’ house, the two houses neighboring the Inghams’ house and the </w:t>
      </w:r>
      <w:r w:rsidR="006945BC" w:rsidRPr="00F21ACF">
        <w:rPr>
          <w:rFonts w:ascii="Times New Roman" w:hAnsi="Times New Roman"/>
          <w:sz w:val="25"/>
          <w:szCs w:val="25"/>
        </w:rPr>
        <w:t xml:space="preserve">paved </w:t>
      </w:r>
      <w:r w:rsidR="001D009A" w:rsidRPr="00F21ACF">
        <w:rPr>
          <w:rFonts w:ascii="Times New Roman" w:hAnsi="Times New Roman"/>
          <w:sz w:val="25"/>
          <w:szCs w:val="25"/>
        </w:rPr>
        <w:t>private drive to these three houses.</w:t>
      </w:r>
      <w:r w:rsidR="006D4E6E" w:rsidRPr="00F21ACF">
        <w:rPr>
          <w:rFonts w:ascii="Times New Roman" w:hAnsi="Times New Roman"/>
          <w:sz w:val="25"/>
          <w:szCs w:val="25"/>
        </w:rPr>
        <w:t xml:space="preserve"> The </w:t>
      </w:r>
      <w:r w:rsidR="006945BC" w:rsidRPr="00F21ACF">
        <w:rPr>
          <w:rFonts w:ascii="Times New Roman" w:hAnsi="Times New Roman"/>
          <w:sz w:val="25"/>
          <w:szCs w:val="25"/>
        </w:rPr>
        <w:t xml:space="preserve">paved </w:t>
      </w:r>
      <w:r w:rsidR="006D4E6E" w:rsidRPr="00F21ACF">
        <w:rPr>
          <w:rFonts w:ascii="Times New Roman" w:hAnsi="Times New Roman"/>
          <w:sz w:val="25"/>
          <w:szCs w:val="25"/>
        </w:rPr>
        <w:t>private drive is accessible to a vehicle.</w:t>
      </w:r>
    </w:p>
    <w:p w:rsidR="000947DD" w:rsidRPr="00F21ACF" w:rsidRDefault="000947DD" w:rsidP="000947DD">
      <w:pPr>
        <w:spacing w:line="288" w:lineRule="auto"/>
        <w:rPr>
          <w:rFonts w:ascii="Times New Roman" w:hAnsi="Times New Roman"/>
          <w:sz w:val="25"/>
          <w:szCs w:val="25"/>
        </w:rPr>
      </w:pPr>
    </w:p>
    <w:p w:rsidR="00CC679E" w:rsidRPr="00F21ACF" w:rsidRDefault="001D009A"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In the second special leak survey, PSE did not leak survey the PSE </w:t>
      </w:r>
      <w:r w:rsidR="00CC679E" w:rsidRPr="00F21ACF">
        <w:rPr>
          <w:rFonts w:ascii="Times New Roman" w:hAnsi="Times New Roman"/>
          <w:sz w:val="25"/>
          <w:szCs w:val="25"/>
        </w:rPr>
        <w:t xml:space="preserve">wrapped steel </w:t>
      </w:r>
      <w:r w:rsidRPr="00F21ACF">
        <w:rPr>
          <w:rFonts w:ascii="Times New Roman" w:hAnsi="Times New Roman"/>
          <w:sz w:val="25"/>
          <w:szCs w:val="25"/>
        </w:rPr>
        <w:t xml:space="preserve">gas </w:t>
      </w:r>
      <w:r w:rsidR="00CC679E" w:rsidRPr="00F21ACF">
        <w:rPr>
          <w:rFonts w:ascii="Times New Roman" w:hAnsi="Times New Roman"/>
          <w:sz w:val="25"/>
          <w:szCs w:val="25"/>
        </w:rPr>
        <w:t>main</w:t>
      </w:r>
      <w:r w:rsidRPr="00F21ACF">
        <w:rPr>
          <w:rFonts w:ascii="Times New Roman" w:hAnsi="Times New Roman"/>
          <w:sz w:val="25"/>
          <w:szCs w:val="25"/>
        </w:rPr>
        <w:t xml:space="preserve"> under the private drive to the </w:t>
      </w:r>
      <w:r w:rsidR="00323CD3" w:rsidRPr="00F21ACF">
        <w:rPr>
          <w:rFonts w:ascii="Times New Roman" w:hAnsi="Times New Roman"/>
          <w:sz w:val="25"/>
          <w:szCs w:val="25"/>
        </w:rPr>
        <w:t>three houses</w:t>
      </w:r>
      <w:r w:rsidR="006D4E6E" w:rsidRPr="00F21ACF">
        <w:rPr>
          <w:rFonts w:ascii="Times New Roman" w:hAnsi="Times New Roman"/>
          <w:sz w:val="25"/>
          <w:szCs w:val="25"/>
        </w:rPr>
        <w:t xml:space="preserve">. </w:t>
      </w:r>
    </w:p>
    <w:p w:rsidR="000947DD" w:rsidRPr="00F21ACF" w:rsidRDefault="000947DD" w:rsidP="000947DD">
      <w:pPr>
        <w:spacing w:line="288" w:lineRule="auto"/>
        <w:rPr>
          <w:rFonts w:ascii="Times New Roman" w:hAnsi="Times New Roman"/>
          <w:sz w:val="25"/>
          <w:szCs w:val="25"/>
        </w:rPr>
      </w:pPr>
    </w:p>
    <w:p w:rsidR="00AE01F1" w:rsidRPr="00F21ACF" w:rsidRDefault="00CC679E"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In the second special leak survey, PSE </w:t>
      </w:r>
      <w:r w:rsidR="002850AD" w:rsidRPr="00F21ACF">
        <w:rPr>
          <w:rFonts w:ascii="Times New Roman" w:hAnsi="Times New Roman"/>
          <w:sz w:val="25"/>
          <w:szCs w:val="25"/>
        </w:rPr>
        <w:t xml:space="preserve">did not </w:t>
      </w:r>
      <w:r w:rsidRPr="00F21ACF">
        <w:rPr>
          <w:rFonts w:ascii="Times New Roman" w:hAnsi="Times New Roman"/>
          <w:sz w:val="25"/>
          <w:szCs w:val="25"/>
        </w:rPr>
        <w:t>leak survey</w:t>
      </w:r>
      <w:r w:rsidR="002850AD" w:rsidRPr="00F21ACF">
        <w:rPr>
          <w:rFonts w:ascii="Times New Roman" w:hAnsi="Times New Roman"/>
          <w:sz w:val="25"/>
          <w:szCs w:val="25"/>
        </w:rPr>
        <w:t xml:space="preserve"> all</w:t>
      </w:r>
      <w:r w:rsidRPr="00F21ACF">
        <w:rPr>
          <w:rFonts w:ascii="Times New Roman" w:hAnsi="Times New Roman"/>
          <w:sz w:val="25"/>
          <w:szCs w:val="25"/>
        </w:rPr>
        <w:t xml:space="preserve"> gas service lines located outside the public right of way</w:t>
      </w:r>
      <w:r w:rsidR="00E21152" w:rsidRPr="00F21ACF">
        <w:rPr>
          <w:rFonts w:ascii="Times New Roman" w:hAnsi="Times New Roman"/>
          <w:sz w:val="25"/>
          <w:szCs w:val="25"/>
        </w:rPr>
        <w:t xml:space="preserve"> </w:t>
      </w:r>
      <w:r w:rsidR="00A356F5" w:rsidRPr="00F21ACF">
        <w:rPr>
          <w:rFonts w:ascii="Times New Roman" w:hAnsi="Times New Roman"/>
          <w:sz w:val="25"/>
          <w:szCs w:val="25"/>
        </w:rPr>
        <w:t xml:space="preserve">(or </w:t>
      </w:r>
      <w:r w:rsidR="001D5198" w:rsidRPr="00F21ACF">
        <w:rPr>
          <w:rFonts w:ascii="Times New Roman" w:hAnsi="Times New Roman"/>
          <w:sz w:val="25"/>
          <w:szCs w:val="25"/>
        </w:rPr>
        <w:t>inaccessible</w:t>
      </w:r>
      <w:r w:rsidR="00E21152" w:rsidRPr="00F21ACF">
        <w:rPr>
          <w:rFonts w:ascii="Times New Roman" w:hAnsi="Times New Roman"/>
          <w:sz w:val="25"/>
          <w:szCs w:val="25"/>
        </w:rPr>
        <w:t xml:space="preserve"> to vehicles within the public right of way</w:t>
      </w:r>
      <w:r w:rsidR="00A356F5" w:rsidRPr="00F21ACF">
        <w:rPr>
          <w:rFonts w:ascii="Times New Roman" w:hAnsi="Times New Roman"/>
          <w:sz w:val="25"/>
          <w:szCs w:val="25"/>
        </w:rPr>
        <w:t>)</w:t>
      </w:r>
      <w:r w:rsidR="002850AD" w:rsidRPr="00F21ACF">
        <w:rPr>
          <w:rFonts w:ascii="Times New Roman" w:hAnsi="Times New Roman"/>
          <w:sz w:val="25"/>
          <w:szCs w:val="25"/>
        </w:rPr>
        <w:t xml:space="preserve">. PSE only leak surveyed a service line </w:t>
      </w:r>
      <w:r w:rsidRPr="00F21ACF">
        <w:rPr>
          <w:rFonts w:ascii="Times New Roman" w:hAnsi="Times New Roman"/>
          <w:sz w:val="25"/>
          <w:szCs w:val="25"/>
        </w:rPr>
        <w:t xml:space="preserve">if the gas detection equipment on the vehicle detected gas. In that circumstance, PSE would conduct a leak survey </w:t>
      </w:r>
      <w:r w:rsidR="002850AD" w:rsidRPr="00F21ACF">
        <w:rPr>
          <w:rFonts w:ascii="Times New Roman" w:hAnsi="Times New Roman"/>
          <w:sz w:val="25"/>
          <w:szCs w:val="25"/>
        </w:rPr>
        <w:t xml:space="preserve">only </w:t>
      </w:r>
      <w:r w:rsidRPr="00F21ACF">
        <w:rPr>
          <w:rFonts w:ascii="Times New Roman" w:hAnsi="Times New Roman"/>
          <w:sz w:val="25"/>
          <w:szCs w:val="25"/>
        </w:rPr>
        <w:t xml:space="preserve">of service lines </w:t>
      </w:r>
      <w:r w:rsidR="002850AD" w:rsidRPr="00F21ACF">
        <w:rPr>
          <w:rFonts w:ascii="Times New Roman" w:hAnsi="Times New Roman"/>
          <w:sz w:val="25"/>
          <w:szCs w:val="25"/>
        </w:rPr>
        <w:t xml:space="preserve">around </w:t>
      </w:r>
      <w:r w:rsidRPr="00F21ACF">
        <w:rPr>
          <w:rFonts w:ascii="Times New Roman" w:hAnsi="Times New Roman"/>
          <w:sz w:val="25"/>
          <w:szCs w:val="25"/>
        </w:rPr>
        <w:t xml:space="preserve">that specific location to the extent necessary to resolve that specific </w:t>
      </w:r>
      <w:r w:rsidR="002850AD" w:rsidRPr="00F21ACF">
        <w:rPr>
          <w:rFonts w:ascii="Times New Roman" w:hAnsi="Times New Roman"/>
          <w:sz w:val="25"/>
          <w:szCs w:val="25"/>
        </w:rPr>
        <w:t>instance of gas detection</w:t>
      </w:r>
      <w:r w:rsidRPr="00F21ACF">
        <w:rPr>
          <w:rFonts w:ascii="Times New Roman" w:hAnsi="Times New Roman"/>
          <w:sz w:val="25"/>
          <w:szCs w:val="25"/>
        </w:rPr>
        <w:t>.</w:t>
      </w:r>
      <w:r w:rsidR="00AE01F1" w:rsidRPr="00F21ACF">
        <w:rPr>
          <w:rFonts w:ascii="Times New Roman" w:hAnsi="Times New Roman"/>
          <w:sz w:val="25"/>
          <w:szCs w:val="25"/>
        </w:rPr>
        <w:t xml:space="preserve"> </w:t>
      </w:r>
    </w:p>
    <w:p w:rsidR="000947DD" w:rsidRPr="00F21ACF" w:rsidRDefault="000947DD" w:rsidP="000947DD">
      <w:pPr>
        <w:spacing w:line="288" w:lineRule="auto"/>
        <w:rPr>
          <w:rFonts w:ascii="Times New Roman" w:hAnsi="Times New Roman"/>
          <w:sz w:val="25"/>
          <w:szCs w:val="25"/>
        </w:rPr>
      </w:pPr>
    </w:p>
    <w:p w:rsidR="00A349E9" w:rsidRPr="00F21ACF" w:rsidRDefault="009B3B9A" w:rsidP="00F21ACF">
      <w:pPr>
        <w:keepNext/>
        <w:spacing w:line="288" w:lineRule="auto"/>
        <w:ind w:left="720" w:hanging="720"/>
        <w:jc w:val="center"/>
        <w:rPr>
          <w:rFonts w:ascii="Times New Roman" w:hAnsi="Times New Roman"/>
          <w:b/>
          <w:sz w:val="25"/>
          <w:szCs w:val="25"/>
        </w:rPr>
      </w:pPr>
      <w:r w:rsidRPr="00F21ACF">
        <w:rPr>
          <w:rFonts w:ascii="Times New Roman" w:hAnsi="Times New Roman"/>
          <w:b/>
          <w:sz w:val="25"/>
          <w:szCs w:val="25"/>
        </w:rPr>
        <w:t>IV.</w:t>
      </w:r>
      <w:r w:rsidRPr="00F21ACF">
        <w:rPr>
          <w:rFonts w:ascii="Times New Roman" w:hAnsi="Times New Roman"/>
          <w:b/>
          <w:sz w:val="25"/>
          <w:szCs w:val="25"/>
        </w:rPr>
        <w:tab/>
      </w:r>
      <w:r w:rsidR="00A349E9" w:rsidRPr="00F21ACF">
        <w:rPr>
          <w:rFonts w:ascii="Times New Roman" w:hAnsi="Times New Roman"/>
          <w:b/>
          <w:sz w:val="25"/>
          <w:szCs w:val="25"/>
        </w:rPr>
        <w:t>VIOLATIONS</w:t>
      </w:r>
    </w:p>
    <w:p w:rsidR="00A349E9" w:rsidRPr="00F21ACF" w:rsidRDefault="00A349E9" w:rsidP="00F21ACF">
      <w:pPr>
        <w:keepNext/>
        <w:spacing w:line="288" w:lineRule="auto"/>
        <w:rPr>
          <w:rFonts w:ascii="Times New Roman" w:hAnsi="Times New Roman"/>
          <w:sz w:val="25"/>
          <w:szCs w:val="25"/>
        </w:rPr>
      </w:pPr>
    </w:p>
    <w:p w:rsidR="002C4E9C" w:rsidRPr="00F21ACF" w:rsidRDefault="00AE015F" w:rsidP="000947DD">
      <w:pPr>
        <w:pStyle w:val="BodyText2"/>
        <w:keepNext w:val="0"/>
        <w:keepLines w:val="0"/>
        <w:numPr>
          <w:ilvl w:val="0"/>
          <w:numId w:val="3"/>
        </w:numPr>
        <w:tabs>
          <w:tab w:val="clear" w:pos="0"/>
        </w:tabs>
        <w:spacing w:line="288" w:lineRule="auto"/>
        <w:rPr>
          <w:sz w:val="25"/>
          <w:szCs w:val="25"/>
        </w:rPr>
      </w:pPr>
      <w:r w:rsidRPr="00F21ACF">
        <w:rPr>
          <w:sz w:val="25"/>
          <w:szCs w:val="25"/>
        </w:rPr>
        <w:t>WAC 480-93-18</w:t>
      </w:r>
      <w:r w:rsidR="006D4E6E" w:rsidRPr="00F21ACF">
        <w:rPr>
          <w:sz w:val="25"/>
          <w:szCs w:val="25"/>
        </w:rPr>
        <w:t>8</w:t>
      </w:r>
      <w:r w:rsidRPr="00F21ACF">
        <w:rPr>
          <w:sz w:val="25"/>
          <w:szCs w:val="25"/>
        </w:rPr>
        <w:t xml:space="preserve">, entitled “Gas </w:t>
      </w:r>
      <w:r w:rsidR="006D4E6E" w:rsidRPr="00F21ACF">
        <w:rPr>
          <w:sz w:val="25"/>
          <w:szCs w:val="25"/>
        </w:rPr>
        <w:t>l</w:t>
      </w:r>
      <w:r w:rsidRPr="00F21ACF">
        <w:rPr>
          <w:sz w:val="25"/>
          <w:szCs w:val="25"/>
        </w:rPr>
        <w:t xml:space="preserve">eak </w:t>
      </w:r>
      <w:r w:rsidR="006D4E6E" w:rsidRPr="00F21ACF">
        <w:rPr>
          <w:sz w:val="25"/>
          <w:szCs w:val="25"/>
        </w:rPr>
        <w:t>surveys</w:t>
      </w:r>
      <w:r w:rsidRPr="00F21ACF">
        <w:rPr>
          <w:sz w:val="25"/>
          <w:szCs w:val="25"/>
        </w:rPr>
        <w:t>” states</w:t>
      </w:r>
      <w:r w:rsidR="00566D31" w:rsidRPr="00F21ACF">
        <w:rPr>
          <w:sz w:val="25"/>
          <w:szCs w:val="25"/>
        </w:rPr>
        <w:t xml:space="preserve"> in part</w:t>
      </w:r>
      <w:r w:rsidRPr="00F21ACF">
        <w:rPr>
          <w:sz w:val="25"/>
          <w:szCs w:val="25"/>
        </w:rPr>
        <w:t>:</w:t>
      </w:r>
    </w:p>
    <w:p w:rsidR="002C4E9C" w:rsidRPr="00F21ACF" w:rsidRDefault="002C4E9C" w:rsidP="002C4E9C">
      <w:pPr>
        <w:pStyle w:val="BodyText2"/>
        <w:keepNext w:val="0"/>
        <w:keepLines w:val="0"/>
        <w:ind w:left="720"/>
        <w:rPr>
          <w:sz w:val="25"/>
          <w:szCs w:val="25"/>
        </w:rPr>
      </w:pPr>
    </w:p>
    <w:p w:rsidR="009B3B9A" w:rsidRPr="00F21ACF" w:rsidRDefault="00566D31" w:rsidP="002C4E9C">
      <w:pPr>
        <w:pStyle w:val="BodyText2"/>
        <w:keepNext w:val="0"/>
        <w:keepLines w:val="0"/>
        <w:ind w:left="720"/>
        <w:rPr>
          <w:sz w:val="25"/>
          <w:szCs w:val="25"/>
        </w:rPr>
      </w:pPr>
      <w:r w:rsidRPr="00F21ACF">
        <w:rPr>
          <w:sz w:val="25"/>
          <w:szCs w:val="25"/>
        </w:rPr>
        <w:t xml:space="preserve">(4) </w:t>
      </w:r>
      <w:r w:rsidR="006D4E6E" w:rsidRPr="00F21ACF">
        <w:rPr>
          <w:sz w:val="25"/>
          <w:szCs w:val="25"/>
        </w:rPr>
        <w:t xml:space="preserve">Each gas pipeline company must conduct special leak surveys under the following circumstances: </w:t>
      </w:r>
      <w:r w:rsidR="0011171C" w:rsidRPr="00F21ACF">
        <w:rPr>
          <w:sz w:val="25"/>
          <w:szCs w:val="25"/>
        </w:rPr>
        <w:t>… (</w:t>
      </w:r>
      <w:r w:rsidR="006D4E6E" w:rsidRPr="00F21ACF">
        <w:rPr>
          <w:sz w:val="25"/>
          <w:szCs w:val="25"/>
        </w:rPr>
        <w:t>d) In areas and at times of unusual activity …</w:t>
      </w:r>
      <w:r w:rsidR="009B3B9A" w:rsidRPr="00F21ACF">
        <w:rPr>
          <w:sz w:val="25"/>
          <w:szCs w:val="25"/>
        </w:rPr>
        <w:t xml:space="preserve"> </w:t>
      </w:r>
    </w:p>
    <w:p w:rsidR="002C4E9C" w:rsidRPr="00F21ACF" w:rsidRDefault="002C4E9C" w:rsidP="002C4E9C">
      <w:pPr>
        <w:pStyle w:val="BodyText2"/>
        <w:keepNext w:val="0"/>
        <w:keepLines w:val="0"/>
        <w:ind w:left="720"/>
        <w:rPr>
          <w:sz w:val="25"/>
          <w:szCs w:val="25"/>
        </w:rPr>
      </w:pPr>
    </w:p>
    <w:p w:rsidR="00B10ADB" w:rsidRPr="00F21ACF" w:rsidRDefault="00B10ADB" w:rsidP="000947DD">
      <w:pPr>
        <w:pStyle w:val="BodyText2"/>
        <w:keepNext w:val="0"/>
        <w:keepLines w:val="0"/>
        <w:numPr>
          <w:ilvl w:val="0"/>
          <w:numId w:val="3"/>
        </w:numPr>
        <w:tabs>
          <w:tab w:val="clear" w:pos="0"/>
        </w:tabs>
        <w:spacing w:line="288" w:lineRule="auto"/>
        <w:rPr>
          <w:sz w:val="25"/>
          <w:szCs w:val="25"/>
        </w:rPr>
      </w:pPr>
      <w:r w:rsidRPr="00F21ACF">
        <w:rPr>
          <w:sz w:val="25"/>
          <w:szCs w:val="25"/>
        </w:rPr>
        <w:t>WAC 480-93-180 states in part:</w:t>
      </w:r>
    </w:p>
    <w:p w:rsidR="00B10ADB" w:rsidRPr="00F21ACF" w:rsidRDefault="00B10ADB" w:rsidP="00B10ADB">
      <w:pPr>
        <w:pStyle w:val="BodyText2"/>
        <w:keepNext w:val="0"/>
        <w:keepLines w:val="0"/>
        <w:rPr>
          <w:sz w:val="25"/>
          <w:szCs w:val="25"/>
        </w:rPr>
      </w:pPr>
    </w:p>
    <w:p w:rsidR="00B10ADB" w:rsidRPr="00F21ACF" w:rsidRDefault="00B10ADB" w:rsidP="00B10ADB">
      <w:pPr>
        <w:pStyle w:val="BodyText2"/>
        <w:keepNext w:val="0"/>
        <w:keepLines w:val="0"/>
        <w:ind w:left="720"/>
        <w:rPr>
          <w:sz w:val="25"/>
          <w:szCs w:val="25"/>
        </w:rPr>
      </w:pPr>
      <w:r w:rsidRPr="00F21ACF">
        <w:rPr>
          <w:sz w:val="25"/>
          <w:szCs w:val="25"/>
        </w:rPr>
        <w:t>(1) Each gas pipeline company must have and follow a gas pipeline plan and procedural manual (manual) for operation, maintenance, inspection and emergency response activities that is specific to the company’s system.</w:t>
      </w:r>
    </w:p>
    <w:p w:rsidR="00B10ADB" w:rsidRPr="00F21ACF" w:rsidRDefault="00B10ADB" w:rsidP="00B10ADB">
      <w:pPr>
        <w:pStyle w:val="BodyText2"/>
        <w:keepNext w:val="0"/>
        <w:keepLines w:val="0"/>
        <w:rPr>
          <w:sz w:val="25"/>
          <w:szCs w:val="25"/>
        </w:rPr>
      </w:pPr>
    </w:p>
    <w:p w:rsidR="00B10ADB" w:rsidRPr="00F21ACF" w:rsidRDefault="00B10ADB" w:rsidP="000947DD">
      <w:pPr>
        <w:pStyle w:val="BodyText2"/>
        <w:keepNext w:val="0"/>
        <w:keepLines w:val="0"/>
        <w:numPr>
          <w:ilvl w:val="0"/>
          <w:numId w:val="3"/>
        </w:numPr>
        <w:tabs>
          <w:tab w:val="clear" w:pos="0"/>
        </w:tabs>
        <w:spacing w:line="288" w:lineRule="auto"/>
        <w:rPr>
          <w:sz w:val="25"/>
          <w:szCs w:val="25"/>
        </w:rPr>
      </w:pPr>
      <w:r w:rsidRPr="00F21ACF">
        <w:rPr>
          <w:sz w:val="25"/>
          <w:szCs w:val="25"/>
        </w:rPr>
        <w:t xml:space="preserve">PSE has a manual of the sort </w:t>
      </w:r>
      <w:r w:rsidR="006945BC" w:rsidRPr="00F21ACF">
        <w:rPr>
          <w:sz w:val="25"/>
          <w:szCs w:val="25"/>
        </w:rPr>
        <w:t xml:space="preserve">required by </w:t>
      </w:r>
      <w:r w:rsidRPr="00F21ACF">
        <w:rPr>
          <w:sz w:val="25"/>
          <w:szCs w:val="25"/>
        </w:rPr>
        <w:t>WAC 480-93-180. Section 4625.1140 of PSE’s manual addresses “Conducting a Walking Leak Survey”, and it instructs</w:t>
      </w:r>
      <w:r w:rsidR="00CB13A4" w:rsidRPr="00F21ACF">
        <w:rPr>
          <w:sz w:val="25"/>
          <w:szCs w:val="25"/>
        </w:rPr>
        <w:t>,</w:t>
      </w:r>
      <w:r w:rsidRPr="00F21ACF">
        <w:rPr>
          <w:sz w:val="25"/>
          <w:szCs w:val="25"/>
        </w:rPr>
        <w:t xml:space="preserve"> under “Surveying Buried Pipe”, “Step 1”:</w:t>
      </w:r>
    </w:p>
    <w:p w:rsidR="000947DD" w:rsidRPr="00F21ACF" w:rsidRDefault="000947DD" w:rsidP="000947DD">
      <w:pPr>
        <w:pStyle w:val="BodyText2"/>
        <w:keepNext w:val="0"/>
        <w:keepLines w:val="0"/>
        <w:spacing w:line="288" w:lineRule="auto"/>
        <w:rPr>
          <w:sz w:val="25"/>
          <w:szCs w:val="25"/>
        </w:rPr>
      </w:pPr>
    </w:p>
    <w:p w:rsidR="000947DD" w:rsidRPr="00F21ACF" w:rsidRDefault="00755D52" w:rsidP="000947DD">
      <w:pPr>
        <w:pStyle w:val="BodyText2"/>
        <w:keepNext w:val="0"/>
        <w:keepLines w:val="0"/>
        <w:spacing w:line="288" w:lineRule="auto"/>
        <w:rPr>
          <w:sz w:val="25"/>
          <w:szCs w:val="25"/>
        </w:rPr>
      </w:pPr>
      <w:r w:rsidRPr="00F21ACF">
        <w:rPr>
          <w:sz w:val="25"/>
          <w:szCs w:val="25"/>
        </w:rPr>
        <w:tab/>
      </w:r>
      <w:r w:rsidR="00B10ADB" w:rsidRPr="00F21ACF">
        <w:rPr>
          <w:sz w:val="25"/>
          <w:szCs w:val="25"/>
        </w:rPr>
        <w:t>Walk along the route of the pipeline using the portable FI instrument …</w:t>
      </w:r>
    </w:p>
    <w:p w:rsidR="000947DD" w:rsidRPr="00F21ACF" w:rsidRDefault="000947DD" w:rsidP="000947DD">
      <w:pPr>
        <w:pStyle w:val="BodyText2"/>
        <w:keepNext w:val="0"/>
        <w:keepLines w:val="0"/>
        <w:spacing w:line="288" w:lineRule="auto"/>
        <w:rPr>
          <w:sz w:val="25"/>
          <w:szCs w:val="25"/>
        </w:rPr>
      </w:pPr>
    </w:p>
    <w:p w:rsidR="00B10ADB" w:rsidRPr="00F21ACF" w:rsidRDefault="00B10ADB" w:rsidP="000947DD">
      <w:pPr>
        <w:pStyle w:val="BodyText2"/>
        <w:keepNext w:val="0"/>
        <w:keepLines w:val="0"/>
        <w:numPr>
          <w:ilvl w:val="0"/>
          <w:numId w:val="3"/>
        </w:numPr>
        <w:tabs>
          <w:tab w:val="clear" w:pos="0"/>
        </w:tabs>
        <w:spacing w:line="288" w:lineRule="auto"/>
        <w:rPr>
          <w:sz w:val="25"/>
          <w:szCs w:val="25"/>
        </w:rPr>
      </w:pPr>
      <w:r w:rsidRPr="00F21ACF">
        <w:rPr>
          <w:sz w:val="25"/>
          <w:szCs w:val="25"/>
        </w:rPr>
        <w:t>Section 4625.1130 of PSE’s manual addresses “Conducting a Mobile Leak Survey”, and it instructs under “Performing Survey”, “Step 2”:</w:t>
      </w:r>
    </w:p>
    <w:p w:rsidR="000947DD" w:rsidRPr="00F21ACF" w:rsidRDefault="000947DD" w:rsidP="000947DD">
      <w:pPr>
        <w:pStyle w:val="BodyText2"/>
        <w:keepNext w:val="0"/>
        <w:keepLines w:val="0"/>
        <w:spacing w:line="288" w:lineRule="auto"/>
        <w:rPr>
          <w:sz w:val="25"/>
          <w:szCs w:val="25"/>
        </w:rPr>
      </w:pPr>
    </w:p>
    <w:p w:rsidR="009B3B9A" w:rsidRPr="00F21ACF" w:rsidRDefault="00B10ADB" w:rsidP="009B3B9A">
      <w:pPr>
        <w:pStyle w:val="BodyText2"/>
        <w:keepNext w:val="0"/>
        <w:keepLines w:val="0"/>
        <w:ind w:left="720"/>
        <w:rPr>
          <w:sz w:val="25"/>
          <w:szCs w:val="25"/>
        </w:rPr>
      </w:pPr>
      <w:r w:rsidRPr="00F21ACF">
        <w:rPr>
          <w:sz w:val="25"/>
          <w:szCs w:val="25"/>
        </w:rPr>
        <w:t xml:space="preserve">In paved locations, drive along the curb where the main is located or along the street and perform the survey …  </w:t>
      </w:r>
    </w:p>
    <w:p w:rsidR="00755D52" w:rsidRPr="00F21ACF" w:rsidRDefault="00755D52" w:rsidP="009B3B9A">
      <w:pPr>
        <w:pStyle w:val="BodyText2"/>
        <w:keepNext w:val="0"/>
        <w:keepLines w:val="0"/>
        <w:ind w:left="720"/>
        <w:rPr>
          <w:sz w:val="25"/>
          <w:szCs w:val="25"/>
        </w:rPr>
      </w:pPr>
    </w:p>
    <w:p w:rsidR="00F470EE" w:rsidRPr="00F21ACF" w:rsidRDefault="006D4E6E" w:rsidP="000947DD">
      <w:pPr>
        <w:pStyle w:val="BodyText2"/>
        <w:keepNext w:val="0"/>
        <w:keepLines w:val="0"/>
        <w:numPr>
          <w:ilvl w:val="0"/>
          <w:numId w:val="3"/>
        </w:numPr>
        <w:tabs>
          <w:tab w:val="clear" w:pos="0"/>
        </w:tabs>
        <w:spacing w:line="288" w:lineRule="auto"/>
        <w:rPr>
          <w:sz w:val="25"/>
          <w:szCs w:val="25"/>
        </w:rPr>
      </w:pPr>
      <w:r w:rsidRPr="00F21ACF">
        <w:rPr>
          <w:sz w:val="25"/>
          <w:szCs w:val="25"/>
        </w:rPr>
        <w:t xml:space="preserve">While </w:t>
      </w:r>
      <w:r w:rsidR="00566D31" w:rsidRPr="00F21ACF">
        <w:rPr>
          <w:sz w:val="25"/>
          <w:szCs w:val="25"/>
        </w:rPr>
        <w:t xml:space="preserve">in this instance </w:t>
      </w:r>
      <w:r w:rsidRPr="00F21ACF">
        <w:rPr>
          <w:sz w:val="25"/>
          <w:szCs w:val="25"/>
        </w:rPr>
        <w:t xml:space="preserve">PSE </w:t>
      </w:r>
      <w:r w:rsidR="006945BC" w:rsidRPr="00F21ACF">
        <w:rPr>
          <w:sz w:val="25"/>
          <w:szCs w:val="25"/>
        </w:rPr>
        <w:t xml:space="preserve">complied with WAC 480-93-188(4) to the extent PSE </w:t>
      </w:r>
      <w:r w:rsidRPr="00F21ACF">
        <w:rPr>
          <w:sz w:val="25"/>
          <w:szCs w:val="25"/>
        </w:rPr>
        <w:t>promptly initiat</w:t>
      </w:r>
      <w:r w:rsidR="003B5486" w:rsidRPr="00F21ACF">
        <w:rPr>
          <w:sz w:val="25"/>
          <w:szCs w:val="25"/>
        </w:rPr>
        <w:t>ed</w:t>
      </w:r>
      <w:r w:rsidRPr="00F21ACF">
        <w:rPr>
          <w:sz w:val="25"/>
          <w:szCs w:val="25"/>
        </w:rPr>
        <w:t xml:space="preserve"> special leak surveys in the area </w:t>
      </w:r>
      <w:r w:rsidR="00E65583" w:rsidRPr="00F21ACF">
        <w:rPr>
          <w:sz w:val="25"/>
          <w:szCs w:val="25"/>
        </w:rPr>
        <w:t xml:space="preserve">of </w:t>
      </w:r>
      <w:r w:rsidRPr="00F21ACF">
        <w:rPr>
          <w:sz w:val="25"/>
          <w:szCs w:val="25"/>
        </w:rPr>
        <w:t xml:space="preserve">unusual </w:t>
      </w:r>
      <w:r w:rsidR="00DE7E0F" w:rsidRPr="00F21ACF">
        <w:rPr>
          <w:sz w:val="25"/>
          <w:szCs w:val="25"/>
        </w:rPr>
        <w:t>activity</w:t>
      </w:r>
      <w:r w:rsidR="00CB13A4" w:rsidRPr="00F21ACF">
        <w:rPr>
          <w:sz w:val="25"/>
          <w:szCs w:val="25"/>
        </w:rPr>
        <w:t xml:space="preserve">, </w:t>
      </w:r>
      <w:r w:rsidRPr="00F21ACF">
        <w:rPr>
          <w:sz w:val="25"/>
          <w:szCs w:val="25"/>
        </w:rPr>
        <w:t>PSE violated WAC 480-93-188(4) by failing to complete the leak surveys.</w:t>
      </w:r>
      <w:r w:rsidR="00F470EE" w:rsidRPr="00F21ACF">
        <w:rPr>
          <w:sz w:val="25"/>
          <w:szCs w:val="25"/>
        </w:rPr>
        <w:t xml:space="preserve"> </w:t>
      </w:r>
      <w:r w:rsidRPr="00F21ACF">
        <w:rPr>
          <w:sz w:val="25"/>
          <w:szCs w:val="25"/>
        </w:rPr>
        <w:t>In particular</w:t>
      </w:r>
      <w:r w:rsidR="00F470EE" w:rsidRPr="00F21ACF">
        <w:rPr>
          <w:sz w:val="25"/>
          <w:szCs w:val="25"/>
        </w:rPr>
        <w:t>:</w:t>
      </w:r>
      <w:r w:rsidR="000947DD" w:rsidRPr="00F21ACF">
        <w:rPr>
          <w:sz w:val="25"/>
          <w:szCs w:val="25"/>
        </w:rPr>
        <w:t xml:space="preserve">  </w:t>
      </w:r>
    </w:p>
    <w:p w:rsidR="000947DD" w:rsidRPr="00F21ACF" w:rsidRDefault="000947DD" w:rsidP="000947DD">
      <w:pPr>
        <w:pStyle w:val="BodyText2"/>
        <w:keepNext w:val="0"/>
        <w:keepLines w:val="0"/>
        <w:spacing w:line="288" w:lineRule="auto"/>
        <w:rPr>
          <w:sz w:val="25"/>
          <w:szCs w:val="25"/>
        </w:rPr>
      </w:pPr>
    </w:p>
    <w:p w:rsidR="00F470EE" w:rsidRPr="00F21ACF" w:rsidRDefault="000947DD" w:rsidP="000947DD">
      <w:pPr>
        <w:pStyle w:val="BodyText2"/>
        <w:keepNext w:val="0"/>
        <w:keepLines w:val="0"/>
        <w:numPr>
          <w:ilvl w:val="0"/>
          <w:numId w:val="3"/>
        </w:numPr>
        <w:tabs>
          <w:tab w:val="left" w:pos="0"/>
        </w:tabs>
        <w:spacing w:line="288" w:lineRule="auto"/>
        <w:ind w:left="720" w:hanging="1440"/>
        <w:rPr>
          <w:sz w:val="25"/>
          <w:szCs w:val="25"/>
        </w:rPr>
      </w:pPr>
      <w:r w:rsidRPr="00F21ACF">
        <w:rPr>
          <w:sz w:val="25"/>
          <w:szCs w:val="25"/>
        </w:rPr>
        <w:t>A.</w:t>
      </w:r>
      <w:r w:rsidRPr="00F21ACF">
        <w:rPr>
          <w:sz w:val="25"/>
          <w:szCs w:val="25"/>
        </w:rPr>
        <w:tab/>
      </w:r>
      <w:r w:rsidR="006D4E6E" w:rsidRPr="00F21ACF">
        <w:rPr>
          <w:sz w:val="25"/>
          <w:szCs w:val="25"/>
        </w:rPr>
        <w:t xml:space="preserve">PSE failed to complete the first </w:t>
      </w:r>
      <w:r w:rsidR="00F470EE" w:rsidRPr="00F21ACF">
        <w:rPr>
          <w:sz w:val="25"/>
          <w:szCs w:val="25"/>
        </w:rPr>
        <w:t xml:space="preserve">special </w:t>
      </w:r>
      <w:r w:rsidR="006D4E6E" w:rsidRPr="00F21ACF">
        <w:rPr>
          <w:sz w:val="25"/>
          <w:szCs w:val="25"/>
        </w:rPr>
        <w:t xml:space="preserve">leak survey </w:t>
      </w:r>
      <w:r w:rsidR="003B5486" w:rsidRPr="00F21ACF">
        <w:rPr>
          <w:sz w:val="25"/>
          <w:szCs w:val="25"/>
        </w:rPr>
        <w:t xml:space="preserve">because </w:t>
      </w:r>
      <w:r w:rsidR="006D4E6E" w:rsidRPr="00F21ACF">
        <w:rPr>
          <w:sz w:val="25"/>
          <w:szCs w:val="25"/>
        </w:rPr>
        <w:t>PSE failed to leak survey</w:t>
      </w:r>
      <w:r w:rsidR="003B5486" w:rsidRPr="00F21ACF">
        <w:rPr>
          <w:sz w:val="25"/>
          <w:szCs w:val="25"/>
        </w:rPr>
        <w:t xml:space="preserve"> </w:t>
      </w:r>
      <w:r w:rsidR="006D4E6E" w:rsidRPr="00F21ACF">
        <w:rPr>
          <w:sz w:val="25"/>
          <w:szCs w:val="25"/>
        </w:rPr>
        <w:t xml:space="preserve">the PSE wrapped steel main </w:t>
      </w:r>
      <w:r w:rsidR="006945BC" w:rsidRPr="00F21ACF">
        <w:rPr>
          <w:sz w:val="25"/>
          <w:szCs w:val="25"/>
        </w:rPr>
        <w:t xml:space="preserve">located </w:t>
      </w:r>
      <w:r w:rsidR="006D4E6E" w:rsidRPr="00F21ACF">
        <w:rPr>
          <w:sz w:val="25"/>
          <w:szCs w:val="25"/>
        </w:rPr>
        <w:t>under the private drive to the Inghams’ house</w:t>
      </w:r>
      <w:r w:rsidR="003B5486" w:rsidRPr="00F21ACF">
        <w:rPr>
          <w:sz w:val="25"/>
          <w:szCs w:val="25"/>
        </w:rPr>
        <w:t xml:space="preserve"> and the two neighboring houses and </w:t>
      </w:r>
      <w:r w:rsidR="006D4E6E" w:rsidRPr="00F21ACF">
        <w:rPr>
          <w:sz w:val="25"/>
          <w:szCs w:val="25"/>
        </w:rPr>
        <w:t>the PSE</w:t>
      </w:r>
      <w:r w:rsidR="00F470EE" w:rsidRPr="00F21ACF">
        <w:rPr>
          <w:sz w:val="25"/>
          <w:szCs w:val="25"/>
        </w:rPr>
        <w:t xml:space="preserve"> wrapped steel service</w:t>
      </w:r>
      <w:r w:rsidR="003B5486" w:rsidRPr="00F21ACF">
        <w:rPr>
          <w:sz w:val="25"/>
          <w:szCs w:val="25"/>
        </w:rPr>
        <w:t>s</w:t>
      </w:r>
      <w:r w:rsidR="00F470EE" w:rsidRPr="00F21ACF">
        <w:rPr>
          <w:sz w:val="25"/>
          <w:szCs w:val="25"/>
        </w:rPr>
        <w:t xml:space="preserve"> serving </w:t>
      </w:r>
      <w:r w:rsidR="006D4E6E" w:rsidRPr="00F21ACF">
        <w:rPr>
          <w:sz w:val="25"/>
          <w:szCs w:val="25"/>
        </w:rPr>
        <w:t>the</w:t>
      </w:r>
      <w:r w:rsidR="00323CD3" w:rsidRPr="00F21ACF">
        <w:rPr>
          <w:sz w:val="25"/>
          <w:szCs w:val="25"/>
        </w:rPr>
        <w:t xml:space="preserve">se three </w:t>
      </w:r>
      <w:r w:rsidR="006D4E6E" w:rsidRPr="00F21ACF">
        <w:rPr>
          <w:sz w:val="25"/>
          <w:szCs w:val="25"/>
        </w:rPr>
        <w:t>house</w:t>
      </w:r>
      <w:r w:rsidR="00323CD3" w:rsidRPr="00F21ACF">
        <w:rPr>
          <w:sz w:val="25"/>
          <w:szCs w:val="25"/>
        </w:rPr>
        <w:t>s</w:t>
      </w:r>
      <w:r w:rsidR="00F470EE" w:rsidRPr="00F21ACF">
        <w:rPr>
          <w:sz w:val="25"/>
          <w:szCs w:val="25"/>
        </w:rPr>
        <w:t xml:space="preserve">. </w:t>
      </w:r>
    </w:p>
    <w:p w:rsidR="000947DD" w:rsidRPr="00F21ACF" w:rsidRDefault="000947DD" w:rsidP="000947DD">
      <w:pPr>
        <w:pStyle w:val="BodyText2"/>
        <w:keepNext w:val="0"/>
        <w:keepLines w:val="0"/>
        <w:spacing w:line="288" w:lineRule="auto"/>
        <w:ind w:left="720"/>
        <w:rPr>
          <w:sz w:val="25"/>
          <w:szCs w:val="25"/>
        </w:rPr>
      </w:pPr>
    </w:p>
    <w:p w:rsidR="00B10ADB" w:rsidRPr="00F21ACF" w:rsidRDefault="00F470EE" w:rsidP="008C20EE">
      <w:pPr>
        <w:pStyle w:val="BodyText2"/>
        <w:keepNext w:val="0"/>
        <w:keepLines w:val="0"/>
        <w:widowControl/>
        <w:numPr>
          <w:ilvl w:val="0"/>
          <w:numId w:val="3"/>
        </w:numPr>
        <w:tabs>
          <w:tab w:val="left" w:pos="0"/>
        </w:tabs>
        <w:spacing w:line="288" w:lineRule="auto"/>
        <w:ind w:left="720" w:hanging="1440"/>
        <w:rPr>
          <w:sz w:val="25"/>
          <w:szCs w:val="25"/>
        </w:rPr>
      </w:pPr>
      <w:r w:rsidRPr="00F21ACF">
        <w:rPr>
          <w:sz w:val="25"/>
          <w:szCs w:val="25"/>
        </w:rPr>
        <w:t>B</w:t>
      </w:r>
      <w:r w:rsidR="000947DD" w:rsidRPr="00F21ACF">
        <w:rPr>
          <w:sz w:val="25"/>
          <w:szCs w:val="25"/>
        </w:rPr>
        <w:t>.</w:t>
      </w:r>
      <w:r w:rsidR="000947DD" w:rsidRPr="00F21ACF">
        <w:rPr>
          <w:sz w:val="25"/>
          <w:szCs w:val="25"/>
        </w:rPr>
        <w:tab/>
      </w:r>
      <w:r w:rsidRPr="00F21ACF">
        <w:rPr>
          <w:sz w:val="25"/>
          <w:szCs w:val="25"/>
        </w:rPr>
        <w:t xml:space="preserve">PSE failed to complete the second special leak survey because PSE failed to leak survey the PSE gas piping </w:t>
      </w:r>
      <w:r w:rsidR="006945BC" w:rsidRPr="00F21ACF">
        <w:rPr>
          <w:sz w:val="25"/>
          <w:szCs w:val="25"/>
        </w:rPr>
        <w:t xml:space="preserve">located </w:t>
      </w:r>
      <w:r w:rsidRPr="00F21ACF">
        <w:rPr>
          <w:sz w:val="25"/>
          <w:szCs w:val="25"/>
        </w:rPr>
        <w:t xml:space="preserve">under the private drive to the Inghams’ house and </w:t>
      </w:r>
      <w:r w:rsidR="00FE5053" w:rsidRPr="00F21ACF">
        <w:rPr>
          <w:sz w:val="25"/>
          <w:szCs w:val="25"/>
        </w:rPr>
        <w:t xml:space="preserve">all </w:t>
      </w:r>
      <w:r w:rsidRPr="00F21ACF">
        <w:rPr>
          <w:sz w:val="25"/>
          <w:szCs w:val="25"/>
        </w:rPr>
        <w:t>the PSE gas service pipe located in the area of the second leak survey.</w:t>
      </w:r>
      <w:r w:rsidR="000947DD" w:rsidRPr="00F21ACF">
        <w:rPr>
          <w:sz w:val="25"/>
          <w:szCs w:val="25"/>
        </w:rPr>
        <w:t xml:space="preserve">  </w:t>
      </w:r>
    </w:p>
    <w:p w:rsidR="000947DD" w:rsidRPr="00F21ACF" w:rsidRDefault="000947DD" w:rsidP="000947DD">
      <w:pPr>
        <w:pStyle w:val="BodyText2"/>
        <w:keepNext w:val="0"/>
        <w:keepLines w:val="0"/>
        <w:spacing w:line="288" w:lineRule="auto"/>
        <w:ind w:left="720"/>
        <w:rPr>
          <w:sz w:val="25"/>
          <w:szCs w:val="25"/>
        </w:rPr>
      </w:pPr>
    </w:p>
    <w:p w:rsidR="006945BC" w:rsidRPr="00F21ACF" w:rsidRDefault="00B10ADB" w:rsidP="000947DD">
      <w:pPr>
        <w:pStyle w:val="BodyText2"/>
        <w:keepNext w:val="0"/>
        <w:keepLines w:val="0"/>
        <w:numPr>
          <w:ilvl w:val="0"/>
          <w:numId w:val="3"/>
        </w:numPr>
        <w:tabs>
          <w:tab w:val="left" w:pos="0"/>
        </w:tabs>
        <w:spacing w:line="288" w:lineRule="auto"/>
        <w:rPr>
          <w:sz w:val="25"/>
          <w:szCs w:val="25"/>
        </w:rPr>
      </w:pPr>
      <w:r w:rsidRPr="00F21ACF">
        <w:rPr>
          <w:sz w:val="25"/>
          <w:szCs w:val="25"/>
        </w:rPr>
        <w:t xml:space="preserve">PSE </w:t>
      </w:r>
      <w:r w:rsidR="006945BC" w:rsidRPr="00F21ACF">
        <w:rPr>
          <w:sz w:val="25"/>
          <w:szCs w:val="25"/>
        </w:rPr>
        <w:t xml:space="preserve">also </w:t>
      </w:r>
      <w:r w:rsidRPr="00F21ACF">
        <w:rPr>
          <w:sz w:val="25"/>
          <w:szCs w:val="25"/>
        </w:rPr>
        <w:t>violated WAC 480-93-180 because PSE failed to follow its manual Sections 4625.1140</w:t>
      </w:r>
      <w:r w:rsidR="006945BC" w:rsidRPr="00F21ACF">
        <w:rPr>
          <w:sz w:val="25"/>
          <w:szCs w:val="25"/>
        </w:rPr>
        <w:t xml:space="preserve"> and 4625.1130 in the following respects:</w:t>
      </w:r>
      <w:r w:rsidR="000947DD" w:rsidRPr="00F21ACF">
        <w:rPr>
          <w:sz w:val="25"/>
          <w:szCs w:val="25"/>
        </w:rPr>
        <w:t xml:space="preserve">  </w:t>
      </w:r>
    </w:p>
    <w:p w:rsidR="000947DD" w:rsidRPr="00F21ACF" w:rsidRDefault="000947DD" w:rsidP="000947DD">
      <w:pPr>
        <w:pStyle w:val="BodyText2"/>
        <w:keepNext w:val="0"/>
        <w:keepLines w:val="0"/>
        <w:spacing w:line="288" w:lineRule="auto"/>
        <w:rPr>
          <w:sz w:val="25"/>
          <w:szCs w:val="25"/>
        </w:rPr>
      </w:pPr>
    </w:p>
    <w:p w:rsidR="00B10ADB" w:rsidRPr="00F21ACF" w:rsidRDefault="000947DD" w:rsidP="000947DD">
      <w:pPr>
        <w:pStyle w:val="BodyText2"/>
        <w:keepNext w:val="0"/>
        <w:keepLines w:val="0"/>
        <w:numPr>
          <w:ilvl w:val="0"/>
          <w:numId w:val="3"/>
        </w:numPr>
        <w:tabs>
          <w:tab w:val="left" w:pos="0"/>
        </w:tabs>
        <w:spacing w:line="288" w:lineRule="auto"/>
        <w:ind w:left="720" w:hanging="1440"/>
        <w:rPr>
          <w:sz w:val="25"/>
          <w:szCs w:val="25"/>
        </w:rPr>
      </w:pPr>
      <w:r w:rsidRPr="00F21ACF">
        <w:rPr>
          <w:sz w:val="25"/>
          <w:szCs w:val="25"/>
        </w:rPr>
        <w:t>C.</w:t>
      </w:r>
      <w:r w:rsidR="00B10ADB" w:rsidRPr="00F21ACF">
        <w:rPr>
          <w:sz w:val="25"/>
          <w:szCs w:val="25"/>
        </w:rPr>
        <w:t xml:space="preserve"> </w:t>
      </w:r>
      <w:r w:rsidRPr="00F21ACF">
        <w:rPr>
          <w:sz w:val="25"/>
          <w:szCs w:val="25"/>
        </w:rPr>
        <w:tab/>
      </w:r>
      <w:r w:rsidR="00B10ADB" w:rsidRPr="00F21ACF">
        <w:rPr>
          <w:sz w:val="25"/>
          <w:szCs w:val="25"/>
        </w:rPr>
        <w:t xml:space="preserve">PSE </w:t>
      </w:r>
      <w:r w:rsidR="006945BC" w:rsidRPr="00F21ACF">
        <w:rPr>
          <w:sz w:val="25"/>
          <w:szCs w:val="25"/>
        </w:rPr>
        <w:t xml:space="preserve">failed to follow Section 4625.1140 as to the first special leak survey, because PSE </w:t>
      </w:r>
      <w:r w:rsidR="00B10ADB" w:rsidRPr="00F21ACF">
        <w:rPr>
          <w:sz w:val="25"/>
          <w:szCs w:val="25"/>
        </w:rPr>
        <w:t>failed “to walk along the route of the pipeline using the portable FI instrument”</w:t>
      </w:r>
      <w:r w:rsidR="006945BC" w:rsidRPr="00F21ACF">
        <w:rPr>
          <w:sz w:val="25"/>
          <w:szCs w:val="25"/>
        </w:rPr>
        <w:t xml:space="preserve"> with respect to </w:t>
      </w:r>
      <w:r w:rsidR="00B10ADB" w:rsidRPr="00F21ACF">
        <w:rPr>
          <w:sz w:val="25"/>
          <w:szCs w:val="25"/>
        </w:rPr>
        <w:t xml:space="preserve">the section of pipeline consisting of PSE’s wrapped steel main under the </w:t>
      </w:r>
      <w:r w:rsidR="00CA5BD9" w:rsidRPr="00F21ACF">
        <w:rPr>
          <w:sz w:val="25"/>
          <w:szCs w:val="25"/>
        </w:rPr>
        <w:t xml:space="preserve">paved </w:t>
      </w:r>
      <w:r w:rsidR="00B10ADB" w:rsidRPr="00F21ACF">
        <w:rPr>
          <w:sz w:val="25"/>
          <w:szCs w:val="25"/>
        </w:rPr>
        <w:t xml:space="preserve">private drive to the Inghams’ house and the two neighboring houses and the PSE wrapped steel services serving these three houses.  </w:t>
      </w:r>
    </w:p>
    <w:p w:rsidR="000947DD" w:rsidRPr="00F21ACF" w:rsidRDefault="000947DD" w:rsidP="000947DD">
      <w:pPr>
        <w:pStyle w:val="BodyText2"/>
        <w:keepNext w:val="0"/>
        <w:keepLines w:val="0"/>
        <w:spacing w:line="288" w:lineRule="auto"/>
        <w:ind w:left="720"/>
        <w:rPr>
          <w:sz w:val="25"/>
          <w:szCs w:val="25"/>
        </w:rPr>
      </w:pPr>
    </w:p>
    <w:p w:rsidR="006945BC" w:rsidRPr="00F21ACF" w:rsidRDefault="000947DD" w:rsidP="00CB22D9">
      <w:pPr>
        <w:pStyle w:val="BodyText2"/>
        <w:keepNext w:val="0"/>
        <w:keepLines w:val="0"/>
        <w:widowControl/>
        <w:numPr>
          <w:ilvl w:val="0"/>
          <w:numId w:val="3"/>
        </w:numPr>
        <w:tabs>
          <w:tab w:val="left" w:pos="0"/>
        </w:tabs>
        <w:spacing w:line="288" w:lineRule="auto"/>
        <w:ind w:left="720" w:hanging="1440"/>
        <w:rPr>
          <w:sz w:val="25"/>
          <w:szCs w:val="25"/>
        </w:rPr>
      </w:pPr>
      <w:r w:rsidRPr="00F21ACF">
        <w:rPr>
          <w:sz w:val="25"/>
          <w:szCs w:val="25"/>
        </w:rPr>
        <w:t>D.</w:t>
      </w:r>
      <w:r w:rsidRPr="00F21ACF">
        <w:rPr>
          <w:sz w:val="25"/>
          <w:szCs w:val="25"/>
        </w:rPr>
        <w:tab/>
      </w:r>
      <w:r w:rsidR="006945BC" w:rsidRPr="00F21ACF">
        <w:rPr>
          <w:sz w:val="25"/>
          <w:szCs w:val="25"/>
        </w:rPr>
        <w:t xml:space="preserve">PSE failed to follow Section 4625.1140 as to the second special leak survey, because PSE failed to “drive along the curb where the main is located or along the street” with respect to the section of pipeline consisting of PSE’s wrapped steel main located under the </w:t>
      </w:r>
      <w:r w:rsidR="00CA5BD9" w:rsidRPr="00F21ACF">
        <w:rPr>
          <w:sz w:val="25"/>
          <w:szCs w:val="25"/>
        </w:rPr>
        <w:t xml:space="preserve">paved </w:t>
      </w:r>
      <w:r w:rsidR="006945BC" w:rsidRPr="00F21ACF">
        <w:rPr>
          <w:sz w:val="25"/>
          <w:szCs w:val="25"/>
        </w:rPr>
        <w:t>private drive to the Inghams’ house and the two neighboring houses.</w:t>
      </w:r>
    </w:p>
    <w:p w:rsidR="00F470EE" w:rsidRPr="00F21ACF" w:rsidRDefault="00F470EE" w:rsidP="000947DD">
      <w:pPr>
        <w:spacing w:line="288" w:lineRule="auto"/>
        <w:rPr>
          <w:rFonts w:ascii="Times New Roman" w:hAnsi="Times New Roman"/>
          <w:sz w:val="25"/>
          <w:szCs w:val="25"/>
        </w:rPr>
      </w:pPr>
    </w:p>
    <w:p w:rsidR="00F470EE" w:rsidRPr="00F21ACF" w:rsidRDefault="00F470EE" w:rsidP="000947DD">
      <w:pPr>
        <w:pStyle w:val="Heading1"/>
        <w:spacing w:line="288" w:lineRule="auto"/>
        <w:rPr>
          <w:rFonts w:ascii="Times New Roman" w:hAnsi="Times New Roman" w:cs="Times New Roman"/>
          <w:sz w:val="25"/>
          <w:szCs w:val="25"/>
        </w:rPr>
      </w:pPr>
      <w:r w:rsidRPr="00F21ACF">
        <w:rPr>
          <w:rFonts w:ascii="Times New Roman" w:hAnsi="Times New Roman" w:cs="Times New Roman"/>
          <w:sz w:val="25"/>
          <w:szCs w:val="25"/>
        </w:rPr>
        <w:t>V.</w:t>
      </w:r>
      <w:r w:rsidRPr="00F21ACF">
        <w:rPr>
          <w:rFonts w:ascii="Times New Roman" w:hAnsi="Times New Roman" w:cs="Times New Roman"/>
          <w:sz w:val="25"/>
          <w:szCs w:val="25"/>
        </w:rPr>
        <w:tab/>
        <w:t>CLAIM FOR RELIEF</w:t>
      </w:r>
    </w:p>
    <w:p w:rsidR="00F470EE" w:rsidRPr="00F21ACF" w:rsidRDefault="00F470EE" w:rsidP="000947DD">
      <w:pPr>
        <w:spacing w:line="288" w:lineRule="auto"/>
        <w:rPr>
          <w:rFonts w:ascii="Times New Roman" w:hAnsi="Times New Roman"/>
          <w:sz w:val="25"/>
          <w:szCs w:val="25"/>
        </w:rPr>
      </w:pPr>
    </w:p>
    <w:p w:rsidR="00431558"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The Commission realleges </w:t>
      </w:r>
      <w:r w:rsidR="00DA5254" w:rsidRPr="00F21ACF">
        <w:rPr>
          <w:rFonts w:ascii="Times New Roman" w:hAnsi="Times New Roman"/>
          <w:sz w:val="25"/>
          <w:szCs w:val="25"/>
        </w:rPr>
        <w:t>P</w:t>
      </w:r>
      <w:r w:rsidRPr="00F21ACF">
        <w:rPr>
          <w:rFonts w:ascii="Times New Roman" w:hAnsi="Times New Roman"/>
          <w:sz w:val="25"/>
          <w:szCs w:val="25"/>
        </w:rPr>
        <w:t>aragraphs</w:t>
      </w:r>
      <w:r w:rsidR="00661B6A" w:rsidRPr="00F21ACF">
        <w:rPr>
          <w:rFonts w:ascii="Times New Roman" w:hAnsi="Times New Roman"/>
          <w:sz w:val="25"/>
          <w:szCs w:val="25"/>
        </w:rPr>
        <w:t xml:space="preserve"> </w:t>
      </w:r>
      <w:r w:rsidR="009128F6" w:rsidRPr="00F21ACF">
        <w:rPr>
          <w:rFonts w:ascii="Times New Roman" w:hAnsi="Times New Roman"/>
          <w:sz w:val="25"/>
          <w:szCs w:val="25"/>
        </w:rPr>
        <w:t>1-</w:t>
      </w:r>
      <w:r w:rsidR="00DA5254" w:rsidRPr="00F21ACF">
        <w:rPr>
          <w:rFonts w:ascii="Times New Roman" w:hAnsi="Times New Roman"/>
          <w:sz w:val="25"/>
          <w:szCs w:val="25"/>
        </w:rPr>
        <w:t>20</w:t>
      </w:r>
      <w:r w:rsidRPr="00F21ACF">
        <w:rPr>
          <w:rFonts w:ascii="Times New Roman" w:hAnsi="Times New Roman"/>
          <w:sz w:val="25"/>
          <w:szCs w:val="25"/>
        </w:rPr>
        <w:t xml:space="preserve">.  </w:t>
      </w:r>
    </w:p>
    <w:p w:rsidR="00431558" w:rsidRPr="00F21ACF" w:rsidRDefault="00431558" w:rsidP="000947DD">
      <w:pPr>
        <w:spacing w:line="288" w:lineRule="auto"/>
        <w:ind w:left="-720"/>
        <w:rPr>
          <w:rFonts w:ascii="Times New Roman" w:hAnsi="Times New Roman"/>
          <w:sz w:val="25"/>
          <w:szCs w:val="25"/>
        </w:rPr>
      </w:pPr>
    </w:p>
    <w:p w:rsidR="009B3B9A"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RCW 8</w:t>
      </w:r>
      <w:r w:rsidR="00661B6A" w:rsidRPr="00F21ACF">
        <w:rPr>
          <w:rFonts w:ascii="Times New Roman" w:hAnsi="Times New Roman"/>
          <w:sz w:val="25"/>
          <w:szCs w:val="25"/>
        </w:rPr>
        <w:t>1.88.040</w:t>
      </w:r>
      <w:r w:rsidR="00566D31" w:rsidRPr="00F21ACF">
        <w:rPr>
          <w:rFonts w:ascii="Times New Roman" w:hAnsi="Times New Roman"/>
          <w:sz w:val="25"/>
          <w:szCs w:val="25"/>
        </w:rPr>
        <w:t>(2)(a)</w:t>
      </w:r>
      <w:r w:rsidRPr="00F21ACF">
        <w:rPr>
          <w:rFonts w:ascii="Times New Roman" w:hAnsi="Times New Roman"/>
          <w:sz w:val="25"/>
          <w:szCs w:val="25"/>
        </w:rPr>
        <w:t xml:space="preserve"> </w:t>
      </w:r>
      <w:r w:rsidR="00CA5BD9" w:rsidRPr="00F21ACF">
        <w:rPr>
          <w:rFonts w:ascii="Times New Roman" w:hAnsi="Times New Roman"/>
          <w:sz w:val="25"/>
          <w:szCs w:val="25"/>
        </w:rPr>
        <w:t xml:space="preserve">provides for “a civil penalty to be directly assessed by the commission” for violations of Commission gas pipeline safety rules. </w:t>
      </w:r>
      <w:r w:rsidR="00F60526" w:rsidRPr="00F21ACF">
        <w:rPr>
          <w:rFonts w:ascii="Times New Roman" w:hAnsi="Times New Roman"/>
          <w:sz w:val="25"/>
          <w:szCs w:val="25"/>
        </w:rPr>
        <w:t xml:space="preserve">According to WAC 480-93-223, the maximum civil penalty for </w:t>
      </w:r>
      <w:r w:rsidR="00CA5BD9" w:rsidRPr="00F21ACF">
        <w:rPr>
          <w:rFonts w:ascii="Times New Roman" w:hAnsi="Times New Roman"/>
          <w:sz w:val="25"/>
          <w:szCs w:val="25"/>
        </w:rPr>
        <w:t xml:space="preserve">each such </w:t>
      </w:r>
      <w:r w:rsidR="00DE7E0F" w:rsidRPr="00F21ACF">
        <w:rPr>
          <w:rFonts w:ascii="Times New Roman" w:hAnsi="Times New Roman"/>
          <w:sz w:val="25"/>
          <w:szCs w:val="25"/>
        </w:rPr>
        <w:t>violation is</w:t>
      </w:r>
      <w:r w:rsidR="00F60526" w:rsidRPr="00F21ACF">
        <w:rPr>
          <w:rFonts w:ascii="Times New Roman" w:hAnsi="Times New Roman"/>
          <w:sz w:val="25"/>
          <w:szCs w:val="25"/>
        </w:rPr>
        <w:t xml:space="preserve"> </w:t>
      </w:r>
      <w:r w:rsidR="009B3B9A" w:rsidRPr="00F21ACF">
        <w:rPr>
          <w:rFonts w:ascii="Times New Roman" w:hAnsi="Times New Roman"/>
          <w:sz w:val="25"/>
          <w:szCs w:val="25"/>
        </w:rPr>
        <w:t xml:space="preserve">one hundred </w:t>
      </w:r>
      <w:r w:rsidR="00F60526" w:rsidRPr="00F21ACF">
        <w:rPr>
          <w:rFonts w:ascii="Times New Roman" w:hAnsi="Times New Roman"/>
          <w:sz w:val="25"/>
          <w:szCs w:val="25"/>
        </w:rPr>
        <w:t xml:space="preserve">thousand dollars </w:t>
      </w:r>
      <w:r w:rsidR="00AF4807" w:rsidRPr="00F21ACF">
        <w:rPr>
          <w:rFonts w:ascii="Times New Roman" w:hAnsi="Times New Roman"/>
          <w:sz w:val="25"/>
          <w:szCs w:val="25"/>
        </w:rPr>
        <w:t>($</w:t>
      </w:r>
      <w:r w:rsidR="00844E19" w:rsidRPr="00F21ACF">
        <w:rPr>
          <w:rFonts w:ascii="Times New Roman" w:hAnsi="Times New Roman"/>
          <w:sz w:val="25"/>
          <w:szCs w:val="25"/>
        </w:rPr>
        <w:t>100</w:t>
      </w:r>
      <w:r w:rsidR="00AF4807" w:rsidRPr="00F21ACF">
        <w:rPr>
          <w:rFonts w:ascii="Times New Roman" w:hAnsi="Times New Roman"/>
          <w:sz w:val="25"/>
          <w:szCs w:val="25"/>
        </w:rPr>
        <w:t xml:space="preserve">,000.00) </w:t>
      </w:r>
      <w:r w:rsidR="00F60526" w:rsidRPr="00F21ACF">
        <w:rPr>
          <w:rFonts w:ascii="Times New Roman" w:hAnsi="Times New Roman"/>
          <w:sz w:val="25"/>
          <w:szCs w:val="25"/>
        </w:rPr>
        <w:t xml:space="preserve">for each violation for each day that the violation persists, and the maximum civil penalty for a related series of violations is </w:t>
      </w:r>
      <w:r w:rsidR="009B3B9A" w:rsidRPr="00F21ACF">
        <w:rPr>
          <w:rFonts w:ascii="Times New Roman" w:hAnsi="Times New Roman"/>
          <w:sz w:val="25"/>
          <w:szCs w:val="25"/>
        </w:rPr>
        <w:t>one million dollars</w:t>
      </w:r>
      <w:r w:rsidR="00AF4807" w:rsidRPr="00F21ACF">
        <w:rPr>
          <w:rFonts w:ascii="Times New Roman" w:hAnsi="Times New Roman"/>
          <w:sz w:val="25"/>
          <w:szCs w:val="25"/>
        </w:rPr>
        <w:t xml:space="preserve"> ($</w:t>
      </w:r>
      <w:r w:rsidR="00844E19" w:rsidRPr="00F21ACF">
        <w:rPr>
          <w:rFonts w:ascii="Times New Roman" w:hAnsi="Times New Roman"/>
          <w:sz w:val="25"/>
          <w:szCs w:val="25"/>
        </w:rPr>
        <w:t>1,0</w:t>
      </w:r>
      <w:r w:rsidR="00AF4807" w:rsidRPr="00F21ACF">
        <w:rPr>
          <w:rFonts w:ascii="Times New Roman" w:hAnsi="Times New Roman"/>
          <w:sz w:val="25"/>
          <w:szCs w:val="25"/>
        </w:rPr>
        <w:t>00,000.00)</w:t>
      </w:r>
      <w:r w:rsidR="00F60526" w:rsidRPr="00F21ACF">
        <w:rPr>
          <w:rFonts w:ascii="Times New Roman" w:hAnsi="Times New Roman"/>
          <w:sz w:val="25"/>
          <w:szCs w:val="25"/>
        </w:rPr>
        <w:t xml:space="preserve">.   </w:t>
      </w:r>
    </w:p>
    <w:p w:rsidR="00CB22D9" w:rsidRPr="00F21ACF" w:rsidRDefault="00CB22D9" w:rsidP="00CB22D9">
      <w:pPr>
        <w:spacing w:line="288" w:lineRule="auto"/>
        <w:rPr>
          <w:rFonts w:ascii="Times New Roman" w:hAnsi="Times New Roman"/>
          <w:sz w:val="25"/>
          <w:szCs w:val="25"/>
        </w:rPr>
      </w:pPr>
    </w:p>
    <w:p w:rsidR="00E65583" w:rsidRPr="00F21ACF" w:rsidRDefault="00E65583"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With regard to the violations described in Paragraph </w:t>
      </w:r>
      <w:r w:rsidR="00FE5053" w:rsidRPr="00F21ACF">
        <w:rPr>
          <w:rFonts w:ascii="Times New Roman" w:hAnsi="Times New Roman"/>
          <w:sz w:val="25"/>
          <w:szCs w:val="25"/>
        </w:rPr>
        <w:t>20</w:t>
      </w:r>
      <w:r w:rsidRPr="00F21ACF">
        <w:rPr>
          <w:rFonts w:ascii="Times New Roman" w:hAnsi="Times New Roman"/>
          <w:sz w:val="25"/>
          <w:szCs w:val="25"/>
        </w:rPr>
        <w:t xml:space="preserve"> A </w:t>
      </w:r>
      <w:r w:rsidR="00CA5BD9" w:rsidRPr="00F21ACF">
        <w:rPr>
          <w:rFonts w:ascii="Times New Roman" w:hAnsi="Times New Roman"/>
          <w:sz w:val="25"/>
          <w:szCs w:val="25"/>
        </w:rPr>
        <w:t xml:space="preserve">and C </w:t>
      </w:r>
      <w:r w:rsidRPr="00F21ACF">
        <w:rPr>
          <w:rFonts w:ascii="Times New Roman" w:hAnsi="Times New Roman"/>
          <w:sz w:val="25"/>
          <w:szCs w:val="25"/>
        </w:rPr>
        <w:t>above</w:t>
      </w:r>
      <w:r w:rsidR="00323CD3" w:rsidRPr="00F21ACF">
        <w:rPr>
          <w:rFonts w:ascii="Times New Roman" w:hAnsi="Times New Roman"/>
          <w:sz w:val="25"/>
          <w:szCs w:val="25"/>
        </w:rPr>
        <w:t xml:space="preserve"> (</w:t>
      </w:r>
      <w:r w:rsidR="00CA5BD9" w:rsidRPr="00F21ACF">
        <w:rPr>
          <w:rFonts w:ascii="Times New Roman" w:hAnsi="Times New Roman"/>
          <w:sz w:val="25"/>
          <w:szCs w:val="25"/>
        </w:rPr>
        <w:t xml:space="preserve">related to the </w:t>
      </w:r>
      <w:r w:rsidR="00323CD3" w:rsidRPr="00F21ACF">
        <w:rPr>
          <w:rFonts w:ascii="Times New Roman" w:hAnsi="Times New Roman"/>
          <w:sz w:val="25"/>
          <w:szCs w:val="25"/>
        </w:rPr>
        <w:t>first special leak survey)</w:t>
      </w:r>
      <w:r w:rsidRPr="00F21ACF">
        <w:rPr>
          <w:rFonts w:ascii="Times New Roman" w:hAnsi="Times New Roman"/>
          <w:sz w:val="25"/>
          <w:szCs w:val="25"/>
        </w:rPr>
        <w:t xml:space="preserve">, the Commission alleges </w:t>
      </w:r>
      <w:r w:rsidR="00FE5053" w:rsidRPr="00F21ACF">
        <w:rPr>
          <w:rFonts w:ascii="Times New Roman" w:hAnsi="Times New Roman"/>
          <w:sz w:val="25"/>
          <w:szCs w:val="25"/>
        </w:rPr>
        <w:t xml:space="preserve">four </w:t>
      </w:r>
      <w:r w:rsidRPr="00F21ACF">
        <w:rPr>
          <w:rFonts w:ascii="Times New Roman" w:hAnsi="Times New Roman"/>
          <w:sz w:val="25"/>
          <w:szCs w:val="25"/>
        </w:rPr>
        <w:t>violations of WAC 480-93-188(4)</w:t>
      </w:r>
      <w:r w:rsidR="00FE5053" w:rsidRPr="00F21ACF">
        <w:rPr>
          <w:rFonts w:ascii="Times New Roman" w:hAnsi="Times New Roman"/>
          <w:sz w:val="25"/>
          <w:szCs w:val="25"/>
        </w:rPr>
        <w:t xml:space="preserve"> and four violations of WAC 480-93-180</w:t>
      </w:r>
      <w:r w:rsidRPr="00F21ACF">
        <w:rPr>
          <w:rFonts w:ascii="Times New Roman" w:hAnsi="Times New Roman"/>
          <w:sz w:val="25"/>
          <w:szCs w:val="25"/>
        </w:rPr>
        <w:t>. Per WAC 480-93-223, the maximum monetary penalty is $</w:t>
      </w:r>
      <w:r w:rsidR="00CA5BD9" w:rsidRPr="00F21ACF">
        <w:rPr>
          <w:rFonts w:ascii="Times New Roman" w:hAnsi="Times New Roman"/>
          <w:sz w:val="25"/>
          <w:szCs w:val="25"/>
        </w:rPr>
        <w:t>8</w:t>
      </w:r>
      <w:r w:rsidRPr="00F21ACF">
        <w:rPr>
          <w:rFonts w:ascii="Times New Roman" w:hAnsi="Times New Roman"/>
          <w:sz w:val="25"/>
          <w:szCs w:val="25"/>
        </w:rPr>
        <w:t>00,000</w:t>
      </w:r>
      <w:r w:rsidR="003B5486" w:rsidRPr="00F21ACF">
        <w:rPr>
          <w:rFonts w:ascii="Times New Roman" w:hAnsi="Times New Roman"/>
          <w:sz w:val="25"/>
          <w:szCs w:val="25"/>
        </w:rPr>
        <w:t>.00</w:t>
      </w:r>
      <w:r w:rsidRPr="00F21ACF">
        <w:rPr>
          <w:rFonts w:ascii="Times New Roman" w:hAnsi="Times New Roman"/>
          <w:sz w:val="25"/>
          <w:szCs w:val="25"/>
        </w:rPr>
        <w:t xml:space="preserve"> (</w:t>
      </w:r>
      <w:r w:rsidR="00CA5BD9" w:rsidRPr="00F21ACF">
        <w:rPr>
          <w:rFonts w:ascii="Times New Roman" w:hAnsi="Times New Roman"/>
          <w:sz w:val="25"/>
          <w:szCs w:val="25"/>
        </w:rPr>
        <w:t>eight</w:t>
      </w:r>
      <w:r w:rsidRPr="00F21ACF">
        <w:rPr>
          <w:rFonts w:ascii="Times New Roman" w:hAnsi="Times New Roman"/>
          <w:sz w:val="25"/>
          <w:szCs w:val="25"/>
        </w:rPr>
        <w:t xml:space="preserve"> hundred thousand dollars). </w:t>
      </w:r>
      <w:r w:rsidR="003B5486" w:rsidRPr="00F21ACF">
        <w:rPr>
          <w:rFonts w:ascii="Times New Roman" w:hAnsi="Times New Roman"/>
          <w:sz w:val="25"/>
          <w:szCs w:val="25"/>
        </w:rPr>
        <w:t xml:space="preserve">This figure could be higher if the evidence shows PSE failed to leak survey other wrapped steel piping in the area of the first leak survey. If so, the additional violations would be a related series of violations, and if the violation number total is ten or more, per WAC 480-93-223, the maximum monetary penalty is </w:t>
      </w:r>
      <w:r w:rsidR="00FB0904" w:rsidRPr="00F21ACF">
        <w:rPr>
          <w:rFonts w:ascii="Times New Roman" w:hAnsi="Times New Roman"/>
          <w:sz w:val="25"/>
          <w:szCs w:val="25"/>
        </w:rPr>
        <w:t>$1,000,000.00 (one million dollars)</w:t>
      </w:r>
      <w:r w:rsidR="003B5486" w:rsidRPr="00F21ACF">
        <w:rPr>
          <w:rFonts w:ascii="Times New Roman" w:hAnsi="Times New Roman"/>
          <w:sz w:val="25"/>
          <w:szCs w:val="25"/>
        </w:rPr>
        <w:t>.</w:t>
      </w:r>
    </w:p>
    <w:p w:rsidR="00CB22D9" w:rsidRPr="00F21ACF" w:rsidRDefault="00CB22D9" w:rsidP="00CB22D9">
      <w:pPr>
        <w:spacing w:line="288" w:lineRule="auto"/>
        <w:rPr>
          <w:rFonts w:ascii="Times New Roman" w:hAnsi="Times New Roman"/>
          <w:sz w:val="25"/>
          <w:szCs w:val="25"/>
        </w:rPr>
      </w:pPr>
    </w:p>
    <w:p w:rsidR="00E65583" w:rsidRPr="00F21ACF" w:rsidRDefault="00E65583"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With regard to the violations described in Paragraph </w:t>
      </w:r>
      <w:r w:rsidR="00FE5053" w:rsidRPr="00F21ACF">
        <w:rPr>
          <w:rFonts w:ascii="Times New Roman" w:hAnsi="Times New Roman"/>
          <w:sz w:val="25"/>
          <w:szCs w:val="25"/>
        </w:rPr>
        <w:t>20</w:t>
      </w:r>
      <w:r w:rsidRPr="00F21ACF">
        <w:rPr>
          <w:rFonts w:ascii="Times New Roman" w:hAnsi="Times New Roman"/>
          <w:sz w:val="25"/>
          <w:szCs w:val="25"/>
        </w:rPr>
        <w:t xml:space="preserve"> B </w:t>
      </w:r>
      <w:r w:rsidR="00CA5BD9" w:rsidRPr="00F21ACF">
        <w:rPr>
          <w:rFonts w:ascii="Times New Roman" w:hAnsi="Times New Roman"/>
          <w:sz w:val="25"/>
          <w:szCs w:val="25"/>
        </w:rPr>
        <w:t>and D</w:t>
      </w:r>
      <w:r w:rsidR="00323CD3" w:rsidRPr="00F21ACF">
        <w:rPr>
          <w:rFonts w:ascii="Times New Roman" w:hAnsi="Times New Roman"/>
          <w:sz w:val="25"/>
          <w:szCs w:val="25"/>
        </w:rPr>
        <w:t xml:space="preserve"> (</w:t>
      </w:r>
      <w:r w:rsidR="00CA5BD9" w:rsidRPr="00F21ACF">
        <w:rPr>
          <w:rFonts w:ascii="Times New Roman" w:hAnsi="Times New Roman"/>
          <w:sz w:val="25"/>
          <w:szCs w:val="25"/>
        </w:rPr>
        <w:t xml:space="preserve">related to the </w:t>
      </w:r>
      <w:r w:rsidR="00323CD3" w:rsidRPr="00F21ACF">
        <w:rPr>
          <w:rFonts w:ascii="Times New Roman" w:hAnsi="Times New Roman"/>
          <w:sz w:val="25"/>
          <w:szCs w:val="25"/>
        </w:rPr>
        <w:t>second special leak survey)</w:t>
      </w:r>
      <w:r w:rsidRPr="00F21ACF">
        <w:rPr>
          <w:rFonts w:ascii="Times New Roman" w:hAnsi="Times New Roman"/>
          <w:sz w:val="25"/>
          <w:szCs w:val="25"/>
        </w:rPr>
        <w:t>, the Commission alleges multiple violations of WAC 480-93-188(4).</w:t>
      </w:r>
      <w:r w:rsidR="003B5486" w:rsidRPr="00F21ACF">
        <w:rPr>
          <w:rFonts w:ascii="Times New Roman" w:hAnsi="Times New Roman"/>
          <w:sz w:val="25"/>
          <w:szCs w:val="25"/>
        </w:rPr>
        <w:t xml:space="preserve"> </w:t>
      </w:r>
      <w:r w:rsidRPr="00F21ACF">
        <w:rPr>
          <w:rFonts w:ascii="Times New Roman" w:hAnsi="Times New Roman"/>
          <w:sz w:val="25"/>
          <w:szCs w:val="25"/>
        </w:rPr>
        <w:t>The exact number of violations would be the total of the number of PSE services not surveyed, plus the PSE main under the Inghams’ private drive that was not surveyed</w:t>
      </w:r>
      <w:r w:rsidR="003B5486" w:rsidRPr="00F21ACF">
        <w:rPr>
          <w:rFonts w:ascii="Times New Roman" w:hAnsi="Times New Roman"/>
          <w:sz w:val="25"/>
          <w:szCs w:val="25"/>
        </w:rPr>
        <w:t xml:space="preserve">. This </w:t>
      </w:r>
      <w:r w:rsidRPr="00F21ACF">
        <w:rPr>
          <w:rFonts w:ascii="Times New Roman" w:hAnsi="Times New Roman"/>
          <w:sz w:val="25"/>
          <w:szCs w:val="25"/>
        </w:rPr>
        <w:t>total is not known to the Commission</w:t>
      </w:r>
      <w:r w:rsidR="003B5486" w:rsidRPr="00F21ACF">
        <w:rPr>
          <w:rFonts w:ascii="Times New Roman" w:hAnsi="Times New Roman"/>
          <w:sz w:val="25"/>
          <w:szCs w:val="25"/>
        </w:rPr>
        <w:t xml:space="preserve"> at this time</w:t>
      </w:r>
      <w:r w:rsidRPr="00F21ACF">
        <w:rPr>
          <w:rFonts w:ascii="Times New Roman" w:hAnsi="Times New Roman"/>
          <w:sz w:val="25"/>
          <w:szCs w:val="25"/>
        </w:rPr>
        <w:t xml:space="preserve">. However. The Commission believes and therefore alleges that </w:t>
      </w:r>
      <w:r w:rsidR="00DA5254" w:rsidRPr="00F21ACF">
        <w:rPr>
          <w:rFonts w:ascii="Times New Roman" w:hAnsi="Times New Roman"/>
          <w:sz w:val="25"/>
          <w:szCs w:val="25"/>
        </w:rPr>
        <w:t xml:space="preserve">because </w:t>
      </w:r>
      <w:r w:rsidRPr="00F21ACF">
        <w:rPr>
          <w:rFonts w:ascii="Times New Roman" w:hAnsi="Times New Roman"/>
          <w:sz w:val="25"/>
          <w:szCs w:val="25"/>
        </w:rPr>
        <w:t xml:space="preserve">the number </w:t>
      </w:r>
      <w:r w:rsidR="005F0B0A" w:rsidRPr="00F21ACF">
        <w:rPr>
          <w:rFonts w:ascii="Times New Roman" w:hAnsi="Times New Roman"/>
          <w:sz w:val="25"/>
          <w:szCs w:val="25"/>
        </w:rPr>
        <w:t xml:space="preserve">far </w:t>
      </w:r>
      <w:r w:rsidRPr="00F21ACF">
        <w:rPr>
          <w:rFonts w:ascii="Times New Roman" w:hAnsi="Times New Roman"/>
          <w:sz w:val="25"/>
          <w:szCs w:val="25"/>
        </w:rPr>
        <w:t xml:space="preserve">exceeds </w:t>
      </w:r>
      <w:r w:rsidR="00CA5BD9" w:rsidRPr="00F21ACF">
        <w:rPr>
          <w:rFonts w:ascii="Times New Roman" w:hAnsi="Times New Roman"/>
          <w:sz w:val="25"/>
          <w:szCs w:val="25"/>
        </w:rPr>
        <w:t>nine</w:t>
      </w:r>
      <w:r w:rsidR="00FE5053" w:rsidRPr="00F21ACF">
        <w:rPr>
          <w:rFonts w:ascii="Times New Roman" w:hAnsi="Times New Roman"/>
          <w:sz w:val="25"/>
          <w:szCs w:val="25"/>
        </w:rPr>
        <w:t xml:space="preserve"> (because there are far more than nine service lines in the area of the second special leak survey that PSE did not survey)</w:t>
      </w:r>
      <w:r w:rsidRPr="00F21ACF">
        <w:rPr>
          <w:rFonts w:ascii="Times New Roman" w:hAnsi="Times New Roman"/>
          <w:sz w:val="25"/>
          <w:szCs w:val="25"/>
        </w:rPr>
        <w:t xml:space="preserve">, and </w:t>
      </w:r>
      <w:r w:rsidR="00DA5254" w:rsidRPr="00F21ACF">
        <w:rPr>
          <w:rFonts w:ascii="Times New Roman" w:hAnsi="Times New Roman"/>
          <w:sz w:val="25"/>
          <w:szCs w:val="25"/>
        </w:rPr>
        <w:t xml:space="preserve">because </w:t>
      </w:r>
      <w:r w:rsidRPr="00F21ACF">
        <w:rPr>
          <w:rFonts w:ascii="Times New Roman" w:hAnsi="Times New Roman"/>
          <w:sz w:val="25"/>
          <w:szCs w:val="25"/>
        </w:rPr>
        <w:t>the violations are a related series of violations</w:t>
      </w:r>
      <w:r w:rsidR="00DA5254" w:rsidRPr="00F21ACF">
        <w:rPr>
          <w:rFonts w:ascii="Times New Roman" w:hAnsi="Times New Roman"/>
          <w:sz w:val="25"/>
          <w:szCs w:val="25"/>
        </w:rPr>
        <w:t xml:space="preserve">, </w:t>
      </w:r>
      <w:r w:rsidRPr="00F21ACF">
        <w:rPr>
          <w:rFonts w:ascii="Times New Roman" w:hAnsi="Times New Roman"/>
          <w:sz w:val="25"/>
          <w:szCs w:val="25"/>
        </w:rPr>
        <w:t xml:space="preserve">per WAC 480-93-223, the maximum monetary penalty is </w:t>
      </w:r>
      <w:r w:rsidR="00FB0904" w:rsidRPr="00F21ACF">
        <w:rPr>
          <w:rFonts w:ascii="Times New Roman" w:hAnsi="Times New Roman"/>
          <w:sz w:val="25"/>
          <w:szCs w:val="25"/>
        </w:rPr>
        <w:t>$1,000,000.00 (one million dollars).</w:t>
      </w:r>
      <w:r w:rsidR="00DA5254" w:rsidRPr="00F21ACF">
        <w:rPr>
          <w:rFonts w:ascii="Times New Roman" w:hAnsi="Times New Roman"/>
          <w:sz w:val="25"/>
          <w:szCs w:val="25"/>
        </w:rPr>
        <w:t xml:space="preserve"> This amount is in addition to the one million dollar amount described in Paragraph 23.</w:t>
      </w:r>
    </w:p>
    <w:p w:rsidR="00CB22D9" w:rsidRPr="00F21ACF" w:rsidRDefault="00CB22D9" w:rsidP="00CB22D9">
      <w:pPr>
        <w:spacing w:line="288" w:lineRule="auto"/>
        <w:rPr>
          <w:rFonts w:ascii="Times New Roman" w:hAnsi="Times New Roman"/>
          <w:sz w:val="25"/>
          <w:szCs w:val="25"/>
        </w:rPr>
      </w:pPr>
    </w:p>
    <w:p w:rsidR="000A054E" w:rsidRDefault="00E65583"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 xml:space="preserve">Based on information available at the time this Complaint was issued, Commission Staff intends to recommend a monetary penalty of </w:t>
      </w:r>
      <w:r w:rsidR="00755D52" w:rsidRPr="00F21ACF">
        <w:rPr>
          <w:rFonts w:ascii="Times New Roman" w:hAnsi="Times New Roman"/>
          <w:sz w:val="25"/>
          <w:szCs w:val="25"/>
        </w:rPr>
        <w:t>$400,000.00 (four hundred thousand dollars).</w:t>
      </w:r>
      <w:r w:rsidR="009B3B9A" w:rsidRPr="00F21ACF">
        <w:rPr>
          <w:rFonts w:ascii="Times New Roman" w:hAnsi="Times New Roman"/>
          <w:sz w:val="25"/>
          <w:szCs w:val="25"/>
        </w:rPr>
        <w:t xml:space="preserve"> </w:t>
      </w:r>
      <w:r w:rsidR="000A054E" w:rsidRPr="00F21ACF" w:rsidDel="000A054E">
        <w:rPr>
          <w:rFonts w:ascii="Times New Roman" w:hAnsi="Times New Roman"/>
          <w:sz w:val="25"/>
          <w:szCs w:val="25"/>
        </w:rPr>
        <w:t xml:space="preserve"> </w:t>
      </w:r>
    </w:p>
    <w:p w:rsidR="00F21ACF" w:rsidRPr="00F21ACF" w:rsidRDefault="00F21ACF" w:rsidP="00F21ACF">
      <w:pPr>
        <w:spacing w:line="288" w:lineRule="auto"/>
        <w:rPr>
          <w:rFonts w:ascii="Times New Roman" w:hAnsi="Times New Roman"/>
          <w:sz w:val="25"/>
          <w:szCs w:val="25"/>
        </w:rPr>
      </w:pPr>
    </w:p>
    <w:p w:rsidR="00431558" w:rsidRPr="00F21ACF" w:rsidRDefault="000A054E" w:rsidP="000947DD">
      <w:pPr>
        <w:widowControl/>
        <w:numPr>
          <w:ilvl w:val="0"/>
          <w:numId w:val="3"/>
        </w:numPr>
        <w:spacing w:line="288" w:lineRule="auto"/>
        <w:rPr>
          <w:rFonts w:ascii="Times New Roman" w:hAnsi="Times New Roman"/>
          <w:sz w:val="25"/>
          <w:szCs w:val="25"/>
        </w:rPr>
      </w:pPr>
      <w:r w:rsidRPr="00F21ACF">
        <w:rPr>
          <w:rFonts w:ascii="Times New Roman" w:hAnsi="Times New Roman"/>
          <w:sz w:val="25"/>
          <w:szCs w:val="25"/>
        </w:rPr>
        <w:t>The Commission will determine the monetary penalty to be issued, if any, based on a consideration of all relevant factors.</w:t>
      </w:r>
      <w:r w:rsidR="00E65583" w:rsidRPr="00F21ACF">
        <w:rPr>
          <w:rFonts w:ascii="Times New Roman" w:hAnsi="Times New Roman"/>
          <w:sz w:val="25"/>
          <w:szCs w:val="25"/>
        </w:rPr>
        <w:t xml:space="preserve"> </w:t>
      </w:r>
      <w:r w:rsidR="00431558" w:rsidRPr="00F21ACF">
        <w:rPr>
          <w:rFonts w:ascii="Times New Roman" w:hAnsi="Times New Roman"/>
          <w:sz w:val="25"/>
          <w:szCs w:val="25"/>
        </w:rPr>
        <w:t xml:space="preserve">The Commission is not bound by </w:t>
      </w:r>
      <w:r w:rsidR="00AF4807" w:rsidRPr="00F21ACF">
        <w:rPr>
          <w:rFonts w:ascii="Times New Roman" w:hAnsi="Times New Roman"/>
          <w:sz w:val="25"/>
          <w:szCs w:val="25"/>
        </w:rPr>
        <w:t xml:space="preserve">Staff’s </w:t>
      </w:r>
      <w:r w:rsidR="00431558" w:rsidRPr="00F21ACF">
        <w:rPr>
          <w:rFonts w:ascii="Times New Roman" w:hAnsi="Times New Roman"/>
          <w:sz w:val="25"/>
          <w:szCs w:val="25"/>
        </w:rPr>
        <w:t>recommendation</w:t>
      </w:r>
      <w:r w:rsidR="00AF4807" w:rsidRPr="00F21ACF">
        <w:rPr>
          <w:rFonts w:ascii="Times New Roman" w:hAnsi="Times New Roman"/>
          <w:sz w:val="25"/>
          <w:szCs w:val="25"/>
        </w:rPr>
        <w:t>s</w:t>
      </w:r>
      <w:r w:rsidR="000C50B9" w:rsidRPr="00F21ACF">
        <w:rPr>
          <w:rFonts w:ascii="Times New Roman" w:hAnsi="Times New Roman"/>
          <w:sz w:val="25"/>
          <w:szCs w:val="25"/>
        </w:rPr>
        <w:t xml:space="preserve">. The </w:t>
      </w:r>
      <w:r w:rsidR="00AF4807" w:rsidRPr="00F21ACF">
        <w:rPr>
          <w:rFonts w:ascii="Times New Roman" w:hAnsi="Times New Roman"/>
          <w:sz w:val="25"/>
          <w:szCs w:val="25"/>
        </w:rPr>
        <w:t xml:space="preserve">Commission </w:t>
      </w:r>
      <w:r w:rsidR="00431558" w:rsidRPr="00F21ACF">
        <w:rPr>
          <w:rFonts w:ascii="Times New Roman" w:hAnsi="Times New Roman"/>
          <w:sz w:val="25"/>
          <w:szCs w:val="25"/>
        </w:rPr>
        <w:t xml:space="preserve">may impose penalties up to the maximum amount permitted by law. The Commission may also order </w:t>
      </w:r>
      <w:r w:rsidR="00E65583" w:rsidRPr="00F21ACF">
        <w:rPr>
          <w:rFonts w:ascii="Times New Roman" w:hAnsi="Times New Roman"/>
          <w:sz w:val="25"/>
          <w:szCs w:val="25"/>
        </w:rPr>
        <w:t>PSE</w:t>
      </w:r>
      <w:r w:rsidR="00431558" w:rsidRPr="00F21ACF">
        <w:rPr>
          <w:rFonts w:ascii="Times New Roman" w:hAnsi="Times New Roman"/>
          <w:sz w:val="25"/>
          <w:szCs w:val="25"/>
        </w:rPr>
        <w:t xml:space="preserve"> to make </w:t>
      </w:r>
      <w:r w:rsidR="009B3B9A" w:rsidRPr="00F21ACF">
        <w:rPr>
          <w:rFonts w:ascii="Times New Roman" w:hAnsi="Times New Roman"/>
          <w:sz w:val="25"/>
          <w:szCs w:val="25"/>
        </w:rPr>
        <w:t xml:space="preserve">such further </w:t>
      </w:r>
      <w:r w:rsidR="00431558" w:rsidRPr="00F21ACF">
        <w:rPr>
          <w:rFonts w:ascii="Times New Roman" w:hAnsi="Times New Roman"/>
          <w:sz w:val="25"/>
          <w:szCs w:val="25"/>
        </w:rPr>
        <w:t>repairs, improvements or other changes as may be deem</w:t>
      </w:r>
      <w:r w:rsidR="00CB22D9" w:rsidRPr="00F21ACF">
        <w:rPr>
          <w:rFonts w:ascii="Times New Roman" w:hAnsi="Times New Roman"/>
          <w:sz w:val="25"/>
          <w:szCs w:val="25"/>
        </w:rPr>
        <w:t xml:space="preserve">ed appropriate. RCW 80.28.130. </w:t>
      </w:r>
    </w:p>
    <w:p w:rsidR="00CB22D9" w:rsidRPr="00F21ACF" w:rsidRDefault="00CB22D9" w:rsidP="00CB22D9">
      <w:pPr>
        <w:widowControl/>
        <w:spacing w:line="288" w:lineRule="auto"/>
        <w:rPr>
          <w:rFonts w:ascii="Times New Roman" w:hAnsi="Times New Roman"/>
          <w:sz w:val="25"/>
          <w:szCs w:val="25"/>
        </w:rPr>
      </w:pPr>
    </w:p>
    <w:p w:rsidR="00431558" w:rsidRPr="00F21ACF" w:rsidRDefault="00431558" w:rsidP="000947DD">
      <w:pPr>
        <w:pStyle w:val="BodyTextIndent"/>
        <w:spacing w:line="288" w:lineRule="auto"/>
        <w:ind w:left="-720" w:firstLine="0"/>
        <w:jc w:val="center"/>
        <w:rPr>
          <w:rFonts w:ascii="Times New Roman" w:hAnsi="Times New Roman" w:cs="Times New Roman"/>
          <w:b/>
          <w:bCs/>
          <w:sz w:val="25"/>
          <w:szCs w:val="25"/>
        </w:rPr>
      </w:pPr>
      <w:r w:rsidRPr="00F21ACF">
        <w:rPr>
          <w:rFonts w:ascii="Times New Roman" w:hAnsi="Times New Roman" w:cs="Times New Roman"/>
          <w:b/>
          <w:bCs/>
          <w:sz w:val="25"/>
          <w:szCs w:val="25"/>
        </w:rPr>
        <w:t>V.</w:t>
      </w:r>
      <w:r w:rsidR="007E6192" w:rsidRPr="00F21ACF">
        <w:rPr>
          <w:rFonts w:ascii="Times New Roman" w:hAnsi="Times New Roman" w:cs="Times New Roman"/>
          <w:b/>
          <w:bCs/>
          <w:sz w:val="25"/>
          <w:szCs w:val="25"/>
        </w:rPr>
        <w:tab/>
      </w:r>
      <w:r w:rsidRPr="00F21ACF">
        <w:rPr>
          <w:rFonts w:ascii="Times New Roman" w:hAnsi="Times New Roman" w:cs="Times New Roman"/>
          <w:b/>
          <w:bCs/>
          <w:sz w:val="25"/>
          <w:szCs w:val="25"/>
        </w:rPr>
        <w:t>COMPLAINT</w:t>
      </w:r>
    </w:p>
    <w:p w:rsidR="00CB22D9" w:rsidRPr="00F21ACF" w:rsidRDefault="00CB22D9" w:rsidP="000947DD">
      <w:pPr>
        <w:pStyle w:val="BodyTextIndent"/>
        <w:spacing w:line="288" w:lineRule="auto"/>
        <w:ind w:left="-720" w:firstLine="0"/>
        <w:jc w:val="center"/>
        <w:rPr>
          <w:rFonts w:ascii="Times New Roman" w:hAnsi="Times New Roman" w:cs="Times New Roman"/>
          <w:b/>
          <w:bCs/>
          <w:sz w:val="25"/>
          <w:szCs w:val="25"/>
        </w:rPr>
      </w:pPr>
    </w:p>
    <w:p w:rsidR="00431558" w:rsidRPr="00F21ACF" w:rsidRDefault="00431558" w:rsidP="000947DD">
      <w:pPr>
        <w:numPr>
          <w:ilvl w:val="0"/>
          <w:numId w:val="3"/>
        </w:numPr>
        <w:spacing w:line="288" w:lineRule="auto"/>
        <w:rPr>
          <w:rFonts w:ascii="Times New Roman" w:hAnsi="Times New Roman"/>
          <w:sz w:val="25"/>
          <w:szCs w:val="25"/>
        </w:rPr>
      </w:pPr>
      <w:r w:rsidRPr="00F21ACF">
        <w:rPr>
          <w:rFonts w:ascii="Times New Roman" w:hAnsi="Times New Roman"/>
          <w:sz w:val="25"/>
          <w:szCs w:val="25"/>
        </w:rPr>
        <w:t>The Commissi</w:t>
      </w:r>
      <w:r w:rsidRPr="00224136">
        <w:rPr>
          <w:rFonts w:ascii="Times New Roman" w:hAnsi="Times New Roman"/>
          <w:bCs/>
          <w:sz w:val="25"/>
          <w:szCs w:val="25"/>
        </w:rPr>
        <w:t>o</w:t>
      </w:r>
      <w:r w:rsidRPr="00F21ACF">
        <w:rPr>
          <w:rFonts w:ascii="Times New Roman" w:hAnsi="Times New Roman"/>
          <w:sz w:val="25"/>
          <w:szCs w:val="25"/>
        </w:rPr>
        <w:t>n finds that probable cause exists to issue this complaint against the Respondent as follows:</w:t>
      </w:r>
    </w:p>
    <w:p w:rsidR="00CB22D9" w:rsidRDefault="00CB22D9" w:rsidP="00CB22D9">
      <w:pPr>
        <w:spacing w:line="288" w:lineRule="auto"/>
        <w:rPr>
          <w:rFonts w:ascii="Times New Roman" w:hAnsi="Times New Roman"/>
          <w:sz w:val="25"/>
          <w:szCs w:val="25"/>
        </w:rPr>
      </w:pPr>
    </w:p>
    <w:p w:rsidR="00224136" w:rsidRPr="00F21ACF" w:rsidRDefault="00224136" w:rsidP="00CB22D9">
      <w:pPr>
        <w:spacing w:line="288" w:lineRule="auto"/>
        <w:rPr>
          <w:rFonts w:ascii="Times New Roman" w:hAnsi="Times New Roman"/>
          <w:sz w:val="25"/>
          <w:szCs w:val="25"/>
        </w:rPr>
      </w:pPr>
    </w:p>
    <w:p w:rsidR="00431558" w:rsidRDefault="00431558" w:rsidP="000947DD">
      <w:pPr>
        <w:spacing w:line="288" w:lineRule="auto"/>
        <w:ind w:left="720" w:hanging="720"/>
        <w:rPr>
          <w:rFonts w:ascii="Times New Roman" w:hAnsi="Times New Roman"/>
          <w:sz w:val="25"/>
          <w:szCs w:val="25"/>
        </w:rPr>
      </w:pPr>
      <w:r w:rsidRPr="00F21ACF">
        <w:rPr>
          <w:rFonts w:ascii="Times New Roman" w:hAnsi="Times New Roman"/>
          <w:sz w:val="25"/>
          <w:szCs w:val="25"/>
        </w:rPr>
        <w:t>(1)</w:t>
      </w:r>
      <w:r w:rsidRPr="00F21ACF">
        <w:rPr>
          <w:rFonts w:ascii="Times New Roman" w:hAnsi="Times New Roman"/>
          <w:sz w:val="25"/>
          <w:szCs w:val="25"/>
        </w:rPr>
        <w:tab/>
        <w:t>Respondent has failed to comply with the statutes and rules of the Commission as set forth in the allegations above.</w:t>
      </w:r>
      <w:r w:rsidR="00F21ACF">
        <w:rPr>
          <w:rFonts w:ascii="Times New Roman" w:hAnsi="Times New Roman"/>
          <w:sz w:val="25"/>
          <w:szCs w:val="25"/>
        </w:rPr>
        <w:t xml:space="preserve"> </w:t>
      </w:r>
    </w:p>
    <w:p w:rsidR="00F21ACF" w:rsidRPr="00F21ACF" w:rsidRDefault="00F21ACF" w:rsidP="000947DD">
      <w:pPr>
        <w:spacing w:line="288" w:lineRule="auto"/>
        <w:ind w:left="720" w:hanging="720"/>
        <w:rPr>
          <w:rFonts w:ascii="Times New Roman" w:hAnsi="Times New Roman"/>
          <w:sz w:val="25"/>
          <w:szCs w:val="25"/>
        </w:rPr>
      </w:pPr>
    </w:p>
    <w:p w:rsidR="00431558" w:rsidRDefault="00431558" w:rsidP="000947DD">
      <w:pPr>
        <w:spacing w:line="288" w:lineRule="auto"/>
        <w:ind w:left="720" w:hanging="720"/>
        <w:rPr>
          <w:rFonts w:ascii="Times New Roman" w:hAnsi="Times New Roman"/>
          <w:sz w:val="25"/>
          <w:szCs w:val="25"/>
        </w:rPr>
      </w:pPr>
      <w:r w:rsidRPr="00F21ACF">
        <w:rPr>
          <w:rFonts w:ascii="Times New Roman" w:hAnsi="Times New Roman"/>
          <w:sz w:val="25"/>
          <w:szCs w:val="25"/>
        </w:rPr>
        <w:t>(2)</w:t>
      </w:r>
      <w:r w:rsidRPr="00F21ACF">
        <w:rPr>
          <w:rFonts w:ascii="Times New Roman" w:hAnsi="Times New Roman"/>
          <w:sz w:val="25"/>
          <w:szCs w:val="25"/>
        </w:rPr>
        <w:tab/>
        <w:t>The Commission should assess monetary penalties and/or other sanctions against the Respondent if the alleged violations of state law or Commission rules are proven.</w:t>
      </w:r>
    </w:p>
    <w:p w:rsidR="00F21ACF" w:rsidRPr="00F21ACF" w:rsidRDefault="00F21ACF" w:rsidP="000947DD">
      <w:pPr>
        <w:spacing w:line="288" w:lineRule="auto"/>
        <w:ind w:left="720" w:hanging="720"/>
        <w:rPr>
          <w:rFonts w:ascii="Times New Roman" w:hAnsi="Times New Roman"/>
          <w:sz w:val="25"/>
          <w:szCs w:val="25"/>
        </w:rPr>
      </w:pPr>
    </w:p>
    <w:p w:rsidR="00431558" w:rsidRPr="00F21ACF" w:rsidRDefault="00431558" w:rsidP="000947DD">
      <w:pPr>
        <w:spacing w:line="288" w:lineRule="auto"/>
        <w:ind w:left="720" w:hanging="720"/>
        <w:rPr>
          <w:rFonts w:ascii="Times New Roman" w:hAnsi="Times New Roman"/>
          <w:sz w:val="25"/>
          <w:szCs w:val="25"/>
        </w:rPr>
      </w:pPr>
      <w:r w:rsidRPr="00F21ACF">
        <w:rPr>
          <w:rFonts w:ascii="Times New Roman" w:hAnsi="Times New Roman"/>
          <w:sz w:val="25"/>
          <w:szCs w:val="25"/>
        </w:rPr>
        <w:t>(</w:t>
      </w:r>
      <w:r w:rsidR="003B5486" w:rsidRPr="00F21ACF">
        <w:rPr>
          <w:rFonts w:ascii="Times New Roman" w:hAnsi="Times New Roman"/>
          <w:sz w:val="25"/>
          <w:szCs w:val="25"/>
        </w:rPr>
        <w:t>3</w:t>
      </w:r>
      <w:r w:rsidRPr="00F21ACF">
        <w:rPr>
          <w:rFonts w:ascii="Times New Roman" w:hAnsi="Times New Roman"/>
          <w:sz w:val="25"/>
          <w:szCs w:val="25"/>
        </w:rPr>
        <w:t>)</w:t>
      </w:r>
      <w:r w:rsidRPr="00F21ACF">
        <w:rPr>
          <w:rFonts w:ascii="Times New Roman" w:hAnsi="Times New Roman"/>
          <w:sz w:val="25"/>
          <w:szCs w:val="25"/>
        </w:rPr>
        <w:tab/>
        <w:t>The Commission should order such other and/or further relief as is appropriate under the circumstances.</w:t>
      </w:r>
    </w:p>
    <w:p w:rsidR="00CB22D9" w:rsidRPr="00F21ACF" w:rsidRDefault="00CB22D9" w:rsidP="000947DD">
      <w:pPr>
        <w:spacing w:line="288" w:lineRule="auto"/>
        <w:ind w:left="720" w:hanging="720"/>
        <w:rPr>
          <w:rFonts w:ascii="Times New Roman" w:hAnsi="Times New Roman"/>
          <w:sz w:val="25"/>
          <w:szCs w:val="25"/>
        </w:rPr>
      </w:pPr>
    </w:p>
    <w:p w:rsidR="00431558" w:rsidRPr="00F21ACF" w:rsidRDefault="00431558" w:rsidP="000947DD">
      <w:pPr>
        <w:spacing w:line="288" w:lineRule="auto"/>
        <w:rPr>
          <w:rFonts w:ascii="Times New Roman" w:hAnsi="Times New Roman"/>
          <w:sz w:val="25"/>
          <w:szCs w:val="25"/>
        </w:rPr>
      </w:pPr>
      <w:r w:rsidRPr="00F21ACF">
        <w:rPr>
          <w:rFonts w:ascii="Times New Roman" w:hAnsi="Times New Roman"/>
          <w:sz w:val="25"/>
          <w:szCs w:val="25"/>
        </w:rPr>
        <w:t xml:space="preserve">DATED at Olympia, Washington, and effective </w:t>
      </w:r>
      <w:r w:rsidR="00DA38C0">
        <w:rPr>
          <w:rFonts w:ascii="Times New Roman" w:hAnsi="Times New Roman"/>
          <w:sz w:val="25"/>
          <w:szCs w:val="25"/>
        </w:rPr>
        <w:t>March 1</w:t>
      </w:r>
      <w:r w:rsidR="00EC6E9F">
        <w:rPr>
          <w:rFonts w:ascii="Times New Roman" w:hAnsi="Times New Roman"/>
          <w:sz w:val="25"/>
          <w:szCs w:val="25"/>
        </w:rPr>
        <w:t xml:space="preserve">, </w:t>
      </w:r>
      <w:r w:rsidRPr="00F21ACF">
        <w:rPr>
          <w:rFonts w:ascii="Times New Roman" w:hAnsi="Times New Roman"/>
          <w:sz w:val="25"/>
          <w:szCs w:val="25"/>
        </w:rPr>
        <w:t>20</w:t>
      </w:r>
      <w:r w:rsidR="00FE5EA5" w:rsidRPr="00F21ACF">
        <w:rPr>
          <w:rFonts w:ascii="Times New Roman" w:hAnsi="Times New Roman"/>
          <w:sz w:val="25"/>
          <w:szCs w:val="25"/>
        </w:rPr>
        <w:t>1</w:t>
      </w:r>
      <w:r w:rsidR="003B5486" w:rsidRPr="00F21ACF">
        <w:rPr>
          <w:rFonts w:ascii="Times New Roman" w:hAnsi="Times New Roman"/>
          <w:sz w:val="25"/>
          <w:szCs w:val="25"/>
        </w:rPr>
        <w:t>3</w:t>
      </w:r>
      <w:r w:rsidRPr="00F21ACF">
        <w:rPr>
          <w:rFonts w:ascii="Times New Roman" w:hAnsi="Times New Roman"/>
          <w:sz w:val="25"/>
          <w:szCs w:val="25"/>
        </w:rPr>
        <w:t>.</w:t>
      </w:r>
    </w:p>
    <w:p w:rsidR="00431558" w:rsidRPr="00F21ACF" w:rsidRDefault="00431558" w:rsidP="009128F6">
      <w:pPr>
        <w:spacing w:line="480" w:lineRule="auto"/>
        <w:rPr>
          <w:rFonts w:ascii="Times New Roman" w:hAnsi="Times New Roman"/>
          <w:sz w:val="25"/>
          <w:szCs w:val="25"/>
        </w:rPr>
      </w:pPr>
    </w:p>
    <w:p w:rsidR="0024068F" w:rsidRPr="00F21ACF" w:rsidRDefault="0024068F" w:rsidP="0024068F">
      <w:pPr>
        <w:rPr>
          <w:rFonts w:ascii="Times New Roman" w:hAnsi="Times New Roman"/>
          <w:sz w:val="25"/>
          <w:szCs w:val="25"/>
        </w:rPr>
      </w:pPr>
    </w:p>
    <w:p w:rsidR="0024068F" w:rsidRPr="00F21ACF" w:rsidRDefault="0024068F" w:rsidP="0024068F">
      <w:pPr>
        <w:rPr>
          <w:rFonts w:ascii="Times New Roman" w:hAnsi="Times New Roman"/>
          <w:sz w:val="25"/>
          <w:szCs w:val="25"/>
        </w:rPr>
      </w:pPr>
    </w:p>
    <w:p w:rsidR="00C97580" w:rsidRPr="00F21ACF" w:rsidRDefault="00C97580" w:rsidP="00C97580">
      <w:pPr>
        <w:rPr>
          <w:rFonts w:ascii="Times New Roman" w:hAnsi="Times New Roman"/>
          <w:sz w:val="25"/>
          <w:szCs w:val="25"/>
        </w:rPr>
      </w:pP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r>
      <w:r w:rsidR="009A03BF">
        <w:rPr>
          <w:rFonts w:ascii="Times New Roman" w:hAnsi="Times New Roman"/>
          <w:sz w:val="25"/>
          <w:szCs w:val="25"/>
        </w:rPr>
        <w:t>GREGORY J. KOPTA</w:t>
      </w:r>
      <w:r w:rsidR="00B81656" w:rsidRPr="00F21ACF">
        <w:rPr>
          <w:rFonts w:ascii="Times New Roman" w:hAnsi="Times New Roman"/>
          <w:sz w:val="25"/>
          <w:szCs w:val="25"/>
        </w:rPr>
        <w:t xml:space="preserve"> </w:t>
      </w:r>
    </w:p>
    <w:p w:rsidR="00C97580" w:rsidRPr="00F21ACF" w:rsidRDefault="00C97580" w:rsidP="00C97580">
      <w:pPr>
        <w:rPr>
          <w:rFonts w:ascii="Times New Roman" w:hAnsi="Times New Roman"/>
          <w:sz w:val="25"/>
          <w:szCs w:val="25"/>
        </w:rPr>
      </w:pP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r>
      <w:r w:rsidRPr="00F21ACF">
        <w:rPr>
          <w:rFonts w:ascii="Times New Roman" w:hAnsi="Times New Roman"/>
          <w:sz w:val="25"/>
          <w:szCs w:val="25"/>
        </w:rPr>
        <w:tab/>
        <w:t>Director, Administrative Law Division</w:t>
      </w:r>
    </w:p>
    <w:p w:rsidR="00431558" w:rsidRPr="00F21ACF" w:rsidRDefault="00431558" w:rsidP="00C97580">
      <w:pPr>
        <w:pStyle w:val="Heading6"/>
        <w:ind w:left="4320"/>
        <w:jc w:val="left"/>
        <w:rPr>
          <w:rFonts w:ascii="Times New Roman" w:hAnsi="Times New Roman"/>
          <w:sz w:val="25"/>
          <w:szCs w:val="25"/>
        </w:rPr>
      </w:pPr>
      <w:r w:rsidRPr="00F21ACF">
        <w:rPr>
          <w:rFonts w:ascii="Times New Roman" w:hAnsi="Times New Roman"/>
          <w:sz w:val="25"/>
          <w:szCs w:val="25"/>
        </w:rPr>
        <w:t>W</w:t>
      </w:r>
      <w:r w:rsidR="00C97580" w:rsidRPr="00F21ACF">
        <w:rPr>
          <w:rFonts w:ascii="Times New Roman" w:hAnsi="Times New Roman"/>
          <w:sz w:val="25"/>
          <w:szCs w:val="25"/>
        </w:rPr>
        <w:t>ashington Utilities and Transportation Commission</w:t>
      </w:r>
    </w:p>
    <w:p w:rsidR="00431558" w:rsidRPr="00F21ACF" w:rsidRDefault="00431558" w:rsidP="0024068F">
      <w:pPr>
        <w:rPr>
          <w:rFonts w:ascii="Times New Roman" w:hAnsi="Times New Roman"/>
          <w:sz w:val="25"/>
          <w:szCs w:val="25"/>
        </w:rPr>
      </w:pPr>
    </w:p>
    <w:sectPr w:rsidR="00431558" w:rsidRPr="00F21ACF" w:rsidSect="008C20EE">
      <w:headerReference w:type="default" r:id="rId9"/>
      <w:headerReference w:type="first" r:id="rId10"/>
      <w:endnotePr>
        <w:numFmt w:val="decimal"/>
      </w:endnotePr>
      <w:type w:val="continuous"/>
      <w:pgSz w:w="12240" w:h="15840" w:code="1"/>
      <w:pgMar w:top="1440" w:right="1440" w:bottom="1440" w:left="2160" w:header="144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E1" w:rsidRDefault="00F848E1">
      <w:r>
        <w:separator/>
      </w:r>
    </w:p>
  </w:endnote>
  <w:endnote w:type="continuationSeparator" w:id="0">
    <w:p w:rsidR="00F848E1" w:rsidRDefault="00F8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E1" w:rsidRDefault="00F848E1">
      <w:r>
        <w:separator/>
      </w:r>
    </w:p>
  </w:footnote>
  <w:footnote w:type="continuationSeparator" w:id="0">
    <w:p w:rsidR="00F848E1" w:rsidRDefault="00F84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52" w:rsidRPr="003E0B08" w:rsidRDefault="00755D52">
    <w:pPr>
      <w:tabs>
        <w:tab w:val="left" w:pos="7200"/>
        <w:tab w:val="right" w:pos="9360"/>
      </w:tabs>
      <w:rPr>
        <w:rFonts w:ascii="Times New Roman" w:hAnsi="Times New Roman"/>
        <w:b/>
        <w:szCs w:val="20"/>
      </w:rPr>
    </w:pPr>
    <w:r w:rsidRPr="003E0B08">
      <w:rPr>
        <w:rFonts w:ascii="Times New Roman" w:hAnsi="Times New Roman"/>
        <w:b/>
        <w:szCs w:val="20"/>
      </w:rPr>
      <w:t>DOCKET PG-111723</w:t>
    </w:r>
    <w:r w:rsidRPr="003E0B08">
      <w:rPr>
        <w:rFonts w:ascii="Times New Roman" w:hAnsi="Times New Roman"/>
        <w:b/>
        <w:szCs w:val="20"/>
      </w:rPr>
      <w:tab/>
      <w:t xml:space="preserve">PAGE </w:t>
    </w:r>
    <w:r w:rsidRPr="003E0B08">
      <w:rPr>
        <w:rFonts w:ascii="Times New Roman" w:hAnsi="Times New Roman"/>
        <w:b/>
        <w:szCs w:val="20"/>
      </w:rPr>
      <w:fldChar w:fldCharType="begin"/>
    </w:r>
    <w:r w:rsidRPr="003E0B08">
      <w:rPr>
        <w:rFonts w:ascii="Times New Roman" w:hAnsi="Times New Roman"/>
        <w:b/>
        <w:szCs w:val="20"/>
      </w:rPr>
      <w:instrText xml:space="preserve">PAGE </w:instrText>
    </w:r>
    <w:r w:rsidRPr="003E0B08">
      <w:rPr>
        <w:rFonts w:ascii="Times New Roman" w:hAnsi="Times New Roman"/>
        <w:b/>
        <w:szCs w:val="20"/>
      </w:rPr>
      <w:fldChar w:fldCharType="separate"/>
    </w:r>
    <w:r w:rsidR="00EC45C7">
      <w:rPr>
        <w:rFonts w:ascii="Times New Roman" w:hAnsi="Times New Roman"/>
        <w:b/>
        <w:noProof/>
        <w:szCs w:val="20"/>
      </w:rPr>
      <w:t>2</w:t>
    </w:r>
    <w:r w:rsidRPr="003E0B08">
      <w:rPr>
        <w:rFonts w:ascii="Times New Roman" w:hAnsi="Times New Roman"/>
        <w:b/>
        <w:szCs w:val="20"/>
      </w:rPr>
      <w:fldChar w:fldCharType="end"/>
    </w:r>
  </w:p>
  <w:p w:rsidR="00755D52" w:rsidRDefault="003E0B08">
    <w:pPr>
      <w:spacing w:line="240" w:lineRule="exact"/>
      <w:rPr>
        <w:rFonts w:ascii="Times New Roman" w:hAnsi="Times New Roman"/>
        <w:b/>
        <w:szCs w:val="20"/>
      </w:rPr>
    </w:pPr>
    <w:r>
      <w:rPr>
        <w:rFonts w:ascii="Times New Roman" w:hAnsi="Times New Roman"/>
        <w:b/>
        <w:szCs w:val="20"/>
      </w:rPr>
      <w:t>ORDER 01</w:t>
    </w:r>
  </w:p>
  <w:p w:rsidR="003E0B08" w:rsidRPr="003E0B08" w:rsidRDefault="003E0B08">
    <w:pPr>
      <w:spacing w:line="240" w:lineRule="exact"/>
      <w:rPr>
        <w:rFonts w:ascii="Times New Roman" w:hAnsi="Times New Roman"/>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CD" w:rsidRPr="00CD44CD" w:rsidRDefault="00CD44CD" w:rsidP="00CD44CD">
    <w:pPr>
      <w:pStyle w:val="Header"/>
      <w:tabs>
        <w:tab w:val="clear" w:pos="4320"/>
      </w:tabs>
      <w:rPr>
        <w:rFonts w:ascii="Times New Roman" w:hAnsi="Times New Roman"/>
        <w:b/>
      </w:rPr>
    </w:pPr>
    <w:r>
      <w:rPr>
        <w:rFonts w:ascii="Times New Roman" w:hAnsi="Times New Roman"/>
      </w:rPr>
      <w:tab/>
    </w:r>
    <w:r w:rsidRPr="00CD44CD">
      <w:rPr>
        <w:rFonts w:ascii="Times New Roman" w:hAnsi="Times New Roman"/>
        <w:b/>
      </w:rPr>
      <w:t>[Service Date March 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989"/>
    <w:multiLevelType w:val="multilevel"/>
    <w:tmpl w:val="FFC605F0"/>
    <w:lvl w:ilvl="0">
      <w:start w:val="6"/>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F92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266318"/>
    <w:multiLevelType w:val="hybridMultilevel"/>
    <w:tmpl w:val="899A461C"/>
    <w:lvl w:ilvl="0" w:tplc="5332FD1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7690A0A"/>
    <w:multiLevelType w:val="hybridMultilevel"/>
    <w:tmpl w:val="C9265986"/>
    <w:lvl w:ilvl="0" w:tplc="3EA221F8">
      <w:start w:val="6"/>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8A409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9842AD"/>
    <w:multiLevelType w:val="multilevel"/>
    <w:tmpl w:val="3576622E"/>
    <w:lvl w:ilvl="0">
      <w:start w:val="6"/>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731B3A"/>
    <w:multiLevelType w:val="hybridMultilevel"/>
    <w:tmpl w:val="9192346E"/>
    <w:lvl w:ilvl="0" w:tplc="3EA221F8">
      <w:start w:val="6"/>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D1393A"/>
    <w:multiLevelType w:val="hybridMultilevel"/>
    <w:tmpl w:val="6748C128"/>
    <w:lvl w:ilvl="0" w:tplc="5332FD1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1899656F"/>
    <w:multiLevelType w:val="singleLevel"/>
    <w:tmpl w:val="0409000F"/>
    <w:lvl w:ilvl="0">
      <w:start w:val="1"/>
      <w:numFmt w:val="decimal"/>
      <w:lvlText w:val="%1."/>
      <w:lvlJc w:val="left"/>
      <w:pPr>
        <w:tabs>
          <w:tab w:val="num" w:pos="360"/>
        </w:tabs>
        <w:ind w:left="360" w:hanging="360"/>
      </w:pPr>
    </w:lvl>
  </w:abstractNum>
  <w:abstractNum w:abstractNumId="9">
    <w:nsid w:val="1F844D35"/>
    <w:multiLevelType w:val="multilevel"/>
    <w:tmpl w:val="62C6D882"/>
    <w:lvl w:ilvl="0">
      <w:start w:val="6"/>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D856E8"/>
    <w:multiLevelType w:val="hybridMultilevel"/>
    <w:tmpl w:val="58263720"/>
    <w:lvl w:ilvl="0" w:tplc="3B64D0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0015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2C332C5"/>
    <w:multiLevelType w:val="hybridMultilevel"/>
    <w:tmpl w:val="5A806C3C"/>
    <w:lvl w:ilvl="0" w:tplc="B5F62CDA">
      <w:start w:val="1"/>
      <w:numFmt w:val="decimal"/>
      <w:pStyle w:val="Heading3"/>
      <w:lvlText w:val="%1"/>
      <w:lvlJc w:val="left"/>
      <w:pPr>
        <w:tabs>
          <w:tab w:val="num" w:pos="4320"/>
        </w:tabs>
        <w:ind w:left="4320" w:hanging="1080"/>
      </w:pPr>
      <w:rPr>
        <w:rFonts w:hint="default"/>
        <w:b w:val="0"/>
        <w:i/>
        <w:sz w:val="20"/>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3">
    <w:nsid w:val="338667B2"/>
    <w:multiLevelType w:val="hybridMultilevel"/>
    <w:tmpl w:val="DC3CAD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0E2800"/>
    <w:multiLevelType w:val="multilevel"/>
    <w:tmpl w:val="DB92FE3E"/>
    <w:lvl w:ilvl="0">
      <w:start w:val="6"/>
      <w:numFmt w:val="decimal"/>
      <w:lvlText w:val="%1"/>
      <w:lvlJc w:val="left"/>
      <w:pPr>
        <w:tabs>
          <w:tab w:val="num" w:pos="720"/>
        </w:tabs>
        <w:ind w:left="720" w:hanging="720"/>
      </w:pPr>
      <w:rPr>
        <w:rFonts w:ascii="Palatino Linotype" w:hAnsi="Palatino Linotype" w:hint="default"/>
        <w:b w:val="0"/>
        <w:i/>
        <w:sz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3A2C7782"/>
    <w:multiLevelType w:val="hybridMultilevel"/>
    <w:tmpl w:val="FFC605F0"/>
    <w:lvl w:ilvl="0" w:tplc="3EA221F8">
      <w:start w:val="6"/>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4E5A48"/>
    <w:multiLevelType w:val="multilevel"/>
    <w:tmpl w:val="8E4212FE"/>
    <w:lvl w:ilvl="0">
      <w:start w:val="6"/>
      <w:numFmt w:val="decimal"/>
      <w:lvlText w:val="%1"/>
      <w:lvlJc w:val="left"/>
      <w:pPr>
        <w:tabs>
          <w:tab w:val="num" w:pos="0"/>
        </w:tabs>
        <w:ind w:left="0" w:hanging="720"/>
      </w:pPr>
      <w:rPr>
        <w:rFonts w:ascii="Palatino Linotype" w:hAnsi="Palatino Linotype" w:hint="default"/>
        <w:b w:val="0"/>
        <w:i/>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B77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2FE3E89"/>
    <w:multiLevelType w:val="hybridMultilevel"/>
    <w:tmpl w:val="92DC7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05D25"/>
    <w:multiLevelType w:val="hybridMultilevel"/>
    <w:tmpl w:val="3576622E"/>
    <w:lvl w:ilvl="0" w:tplc="3EA221F8">
      <w:start w:val="6"/>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795D9C"/>
    <w:multiLevelType w:val="hybridMultilevel"/>
    <w:tmpl w:val="D38E94B0"/>
    <w:lvl w:ilvl="0" w:tplc="72964F84">
      <w:start w:val="11"/>
      <w:numFmt w:val="decimal"/>
      <w:lvlText w:val="%1"/>
      <w:lvlJc w:val="left"/>
      <w:pPr>
        <w:tabs>
          <w:tab w:val="num" w:pos="0"/>
        </w:tabs>
        <w:ind w:left="0" w:hanging="360"/>
      </w:pPr>
      <w:rPr>
        <w:rFonts w:hint="default"/>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B391D2C"/>
    <w:multiLevelType w:val="multilevel"/>
    <w:tmpl w:val="9D02D510"/>
    <w:lvl w:ilvl="0">
      <w:start w:val="1"/>
      <w:numFmt w:val="decimal"/>
      <w:lvlText w:val="%1"/>
      <w:lvlJc w:val="left"/>
      <w:pPr>
        <w:tabs>
          <w:tab w:val="num" w:pos="0"/>
        </w:tabs>
        <w:ind w:left="0" w:hanging="720"/>
      </w:pPr>
      <w:rPr>
        <w:rFonts w:hint="default"/>
        <w:b w:val="0"/>
        <w:i/>
        <w:sz w:val="20"/>
      </w:rPr>
    </w:lvl>
    <w:lvl w:ilvl="1">
      <w:start w:val="1"/>
      <w:numFmt w:val="decimal"/>
      <w:lvlText w:val="(%2)"/>
      <w:lvlJc w:val="left"/>
      <w:pPr>
        <w:tabs>
          <w:tab w:val="num" w:pos="1500"/>
        </w:tabs>
        <w:ind w:left="1500" w:hanging="420"/>
      </w:pPr>
      <w:rPr>
        <w:rFonts w:hint="default"/>
      </w:rPr>
    </w:lvl>
    <w:lvl w:ilvl="2">
      <w:start w:val="1"/>
      <w:numFmt w:val="decimal"/>
      <w:lvlText w:val="%3"/>
      <w:lvlJc w:val="left"/>
      <w:pPr>
        <w:tabs>
          <w:tab w:val="num" w:pos="2700"/>
        </w:tabs>
        <w:ind w:left="2700" w:hanging="720"/>
      </w:pPr>
      <w:rPr>
        <w:rFonts w:hint="default"/>
        <w:b w:val="0"/>
        <w:i/>
        <w:sz w:val="20"/>
      </w:rPr>
    </w:lvl>
    <w:lvl w:ilvl="3">
      <w:start w:val="6"/>
      <w:numFmt w:val="decimal"/>
      <w:lvlText w:val="%4."/>
      <w:lvlJc w:val="left"/>
      <w:pPr>
        <w:tabs>
          <w:tab w:val="num" w:pos="3060"/>
        </w:tabs>
        <w:ind w:left="3060" w:hanging="540"/>
      </w:pPr>
      <w:rPr>
        <w:rFonts w:hint="default"/>
      </w:rPr>
    </w:lvl>
    <w:lvl w:ilvl="4">
      <w:start w:val="1"/>
      <w:numFmt w:val="upp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0563AE"/>
    <w:multiLevelType w:val="multilevel"/>
    <w:tmpl w:val="0FCC700A"/>
    <w:lvl w:ilvl="0">
      <w:start w:val="6"/>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7B6EC7"/>
    <w:multiLevelType w:val="hybridMultilevel"/>
    <w:tmpl w:val="536E36B6"/>
    <w:lvl w:ilvl="0" w:tplc="5332FD1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4C2CB0"/>
    <w:multiLevelType w:val="hybridMultilevel"/>
    <w:tmpl w:val="7F66E03A"/>
    <w:lvl w:ilvl="0" w:tplc="9BD48C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7F5699"/>
    <w:multiLevelType w:val="multilevel"/>
    <w:tmpl w:val="4AD8BACE"/>
    <w:lvl w:ilvl="0">
      <w:start w:val="6"/>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447434"/>
    <w:multiLevelType w:val="hybridMultilevel"/>
    <w:tmpl w:val="75327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8249F7"/>
    <w:multiLevelType w:val="hybridMultilevel"/>
    <w:tmpl w:val="8B9672A8"/>
    <w:lvl w:ilvl="0" w:tplc="FA02EB48">
      <w:start w:val="7"/>
      <w:numFmt w:val="decimal"/>
      <w:lvlText w:val="%1"/>
      <w:lvlJc w:val="left"/>
      <w:pPr>
        <w:tabs>
          <w:tab w:val="num" w:pos="0"/>
        </w:tabs>
        <w:ind w:left="0" w:hanging="720"/>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4C5E9D"/>
    <w:multiLevelType w:val="hybridMultilevel"/>
    <w:tmpl w:val="AEB4BF02"/>
    <w:lvl w:ilvl="0" w:tplc="300A6804">
      <w:start w:val="1"/>
      <w:numFmt w:val="upperRoman"/>
      <w:pStyle w:val="ListParagraph"/>
      <w:lvlText w:val="%1."/>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AC634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CD5147B"/>
    <w:multiLevelType w:val="hybridMultilevel"/>
    <w:tmpl w:val="B8648418"/>
    <w:lvl w:ilvl="0" w:tplc="56C2AB0E">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303B03"/>
    <w:multiLevelType w:val="hybridMultilevel"/>
    <w:tmpl w:val="4AD8BACE"/>
    <w:lvl w:ilvl="0" w:tplc="3EA221F8">
      <w:start w:val="6"/>
      <w:numFmt w:val="decimal"/>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E75A70"/>
    <w:multiLevelType w:val="multilevel"/>
    <w:tmpl w:val="8432F354"/>
    <w:lvl w:ilvl="0">
      <w:start w:val="6"/>
      <w:numFmt w:val="decimal"/>
      <w:lvlText w:val="%1"/>
      <w:lvlJc w:val="left"/>
      <w:pPr>
        <w:tabs>
          <w:tab w:val="num" w:pos="456"/>
        </w:tabs>
        <w:ind w:left="456" w:hanging="456"/>
      </w:pPr>
      <w:rPr>
        <w:rFonts w:hint="default"/>
      </w:rPr>
    </w:lvl>
    <w:lvl w:ilvl="1">
      <w:start w:val="32"/>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7F43D46"/>
    <w:multiLevelType w:val="hybridMultilevel"/>
    <w:tmpl w:val="9DB4A9E6"/>
    <w:lvl w:ilvl="0" w:tplc="54AA589A">
      <w:start w:val="1"/>
      <w:numFmt w:val="decimal"/>
      <w:lvlText w:val="%1"/>
      <w:lvlJc w:val="left"/>
      <w:pPr>
        <w:tabs>
          <w:tab w:val="num" w:pos="0"/>
        </w:tabs>
        <w:ind w:left="0" w:hanging="720"/>
      </w:pPr>
      <w:rPr>
        <w:rFonts w:ascii="Palatino Linotype" w:hAnsi="Palatino Linotype" w:hint="default"/>
        <w:b w:val="0"/>
        <w:i/>
        <w:sz w:val="20"/>
      </w:rPr>
    </w:lvl>
    <w:lvl w:ilvl="1" w:tplc="7E3C65DC">
      <w:start w:val="1"/>
      <w:numFmt w:val="decimal"/>
      <w:lvlText w:val="(%2)"/>
      <w:lvlJc w:val="left"/>
      <w:pPr>
        <w:tabs>
          <w:tab w:val="num" w:pos="1500"/>
        </w:tabs>
        <w:ind w:left="1500" w:hanging="420"/>
      </w:pPr>
      <w:rPr>
        <w:rFonts w:hint="default"/>
      </w:rPr>
    </w:lvl>
    <w:lvl w:ilvl="2" w:tplc="4642A3AE">
      <w:start w:val="1"/>
      <w:numFmt w:val="decimal"/>
      <w:lvlText w:val="%3"/>
      <w:lvlJc w:val="left"/>
      <w:pPr>
        <w:tabs>
          <w:tab w:val="num" w:pos="2700"/>
        </w:tabs>
        <w:ind w:left="2700" w:hanging="720"/>
      </w:pPr>
      <w:rPr>
        <w:rFonts w:hint="default"/>
        <w:b w:val="0"/>
        <w:i/>
        <w:sz w:val="20"/>
      </w:rPr>
    </w:lvl>
    <w:lvl w:ilvl="3" w:tplc="844CDB82">
      <w:start w:val="6"/>
      <w:numFmt w:val="decimal"/>
      <w:lvlText w:val="%4."/>
      <w:lvlJc w:val="left"/>
      <w:pPr>
        <w:tabs>
          <w:tab w:val="num" w:pos="3060"/>
        </w:tabs>
        <w:ind w:left="3060" w:hanging="540"/>
      </w:pPr>
      <w:rPr>
        <w:rFonts w:hint="default"/>
      </w:rPr>
    </w:lvl>
    <w:lvl w:ilvl="4" w:tplc="84843DDE">
      <w:start w:val="1"/>
      <w:numFmt w:val="upperLetter"/>
      <w:pStyle w:val="Heading7"/>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D35924"/>
    <w:multiLevelType w:val="hybridMultilevel"/>
    <w:tmpl w:val="28D831A8"/>
    <w:lvl w:ilvl="0" w:tplc="6C9C3F90">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5E05D9A"/>
    <w:multiLevelType w:val="hybridMultilevel"/>
    <w:tmpl w:val="62C6D882"/>
    <w:lvl w:ilvl="0" w:tplc="3EA221F8">
      <w:start w:val="6"/>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5C0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6D64AE8"/>
    <w:multiLevelType w:val="hybridMultilevel"/>
    <w:tmpl w:val="DB92FE3E"/>
    <w:lvl w:ilvl="0" w:tplc="3EA221F8">
      <w:start w:val="6"/>
      <w:numFmt w:val="decimal"/>
      <w:lvlText w:val="%1"/>
      <w:lvlJc w:val="left"/>
      <w:pPr>
        <w:tabs>
          <w:tab w:val="num" w:pos="720"/>
        </w:tabs>
        <w:ind w:left="720" w:hanging="720"/>
      </w:pPr>
      <w:rPr>
        <w:rFonts w:ascii="Palatino Linotype" w:hAnsi="Palatino Linotype" w:hint="default"/>
        <w:b w:val="0"/>
        <w:i/>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B096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9">
    <w:nsid w:val="7BD9194D"/>
    <w:multiLevelType w:val="hybridMultilevel"/>
    <w:tmpl w:val="CD4A3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036274"/>
    <w:multiLevelType w:val="multilevel"/>
    <w:tmpl w:val="4AD8BACE"/>
    <w:lvl w:ilvl="0">
      <w:start w:val="6"/>
      <w:numFmt w:val="decimal"/>
      <w:lvlText w:val="%1"/>
      <w:lvlJc w:val="left"/>
      <w:pPr>
        <w:tabs>
          <w:tab w:val="num" w:pos="0"/>
        </w:tabs>
        <w:ind w:left="0" w:hanging="720"/>
      </w:pPr>
      <w:rPr>
        <w:rFonts w:ascii="Palatino Linotype" w:hAnsi="Palatino Linotype" w:hint="default"/>
        <w:b w:val="0"/>
        <w:i/>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577313"/>
    <w:multiLevelType w:val="hybridMultilevel"/>
    <w:tmpl w:val="0FCC700A"/>
    <w:lvl w:ilvl="0" w:tplc="3EA221F8">
      <w:start w:val="6"/>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0"/>
  </w:num>
  <w:num w:numId="3">
    <w:abstractNumId w:val="33"/>
  </w:num>
  <w:num w:numId="4">
    <w:abstractNumId w:val="2"/>
  </w:num>
  <w:num w:numId="5">
    <w:abstractNumId w:val="7"/>
  </w:num>
  <w:num w:numId="6">
    <w:abstractNumId w:val="23"/>
  </w:num>
  <w:num w:numId="7">
    <w:abstractNumId w:val="26"/>
  </w:num>
  <w:num w:numId="8">
    <w:abstractNumId w:val="20"/>
  </w:num>
  <w:num w:numId="9">
    <w:abstractNumId w:val="36"/>
  </w:num>
  <w:num w:numId="10">
    <w:abstractNumId w:val="17"/>
  </w:num>
  <w:num w:numId="11">
    <w:abstractNumId w:val="1"/>
  </w:num>
  <w:num w:numId="12">
    <w:abstractNumId w:val="29"/>
  </w:num>
  <w:num w:numId="13">
    <w:abstractNumId w:val="32"/>
  </w:num>
  <w:num w:numId="14">
    <w:abstractNumId w:val="8"/>
  </w:num>
  <w:num w:numId="15">
    <w:abstractNumId w:val="34"/>
  </w:num>
  <w:num w:numId="16">
    <w:abstractNumId w:val="38"/>
  </w:num>
  <w:num w:numId="17">
    <w:abstractNumId w:val="18"/>
  </w:num>
  <w:num w:numId="18">
    <w:abstractNumId w:val="31"/>
  </w:num>
  <w:num w:numId="19">
    <w:abstractNumId w:val="27"/>
  </w:num>
  <w:num w:numId="20">
    <w:abstractNumId w:val="10"/>
  </w:num>
  <w:num w:numId="21">
    <w:abstractNumId w:val="13"/>
  </w:num>
  <w:num w:numId="22">
    <w:abstractNumId w:val="24"/>
  </w:num>
  <w:num w:numId="23">
    <w:abstractNumId w:val="25"/>
  </w:num>
  <w:num w:numId="24">
    <w:abstractNumId w:val="37"/>
  </w:num>
  <w:num w:numId="25">
    <w:abstractNumId w:val="39"/>
  </w:num>
  <w:num w:numId="26">
    <w:abstractNumId w:val="40"/>
  </w:num>
  <w:num w:numId="27">
    <w:abstractNumId w:val="6"/>
  </w:num>
  <w:num w:numId="28">
    <w:abstractNumId w:val="19"/>
  </w:num>
  <w:num w:numId="29">
    <w:abstractNumId w:val="35"/>
  </w:num>
  <w:num w:numId="30">
    <w:abstractNumId w:val="9"/>
  </w:num>
  <w:num w:numId="31">
    <w:abstractNumId w:val="5"/>
  </w:num>
  <w:num w:numId="32">
    <w:abstractNumId w:val="41"/>
  </w:num>
  <w:num w:numId="33">
    <w:abstractNumId w:val="22"/>
  </w:num>
  <w:num w:numId="34">
    <w:abstractNumId w:val="4"/>
  </w:num>
  <w:num w:numId="35">
    <w:abstractNumId w:val="11"/>
  </w:num>
  <w:num w:numId="36">
    <w:abstractNumId w:val="3"/>
  </w:num>
  <w:num w:numId="37">
    <w:abstractNumId w:val="14"/>
  </w:num>
  <w:num w:numId="38">
    <w:abstractNumId w:val="15"/>
  </w:num>
  <w:num w:numId="39">
    <w:abstractNumId w:val="0"/>
  </w:num>
  <w:num w:numId="40">
    <w:abstractNumId w:val="21"/>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B7"/>
    <w:rsid w:val="00024C46"/>
    <w:rsid w:val="000338B3"/>
    <w:rsid w:val="00055D3C"/>
    <w:rsid w:val="00067C4E"/>
    <w:rsid w:val="000812A7"/>
    <w:rsid w:val="00084D43"/>
    <w:rsid w:val="000947DD"/>
    <w:rsid w:val="000A054E"/>
    <w:rsid w:val="000A102A"/>
    <w:rsid w:val="000B2AB7"/>
    <w:rsid w:val="000B4667"/>
    <w:rsid w:val="000B7C5A"/>
    <w:rsid w:val="000C2E37"/>
    <w:rsid w:val="000C50B9"/>
    <w:rsid w:val="000D1679"/>
    <w:rsid w:val="000D3CF2"/>
    <w:rsid w:val="000F3BD2"/>
    <w:rsid w:val="0011171C"/>
    <w:rsid w:val="00150E3B"/>
    <w:rsid w:val="0015700D"/>
    <w:rsid w:val="001570BF"/>
    <w:rsid w:val="00176B30"/>
    <w:rsid w:val="00182377"/>
    <w:rsid w:val="00184565"/>
    <w:rsid w:val="001A678F"/>
    <w:rsid w:val="001C7A34"/>
    <w:rsid w:val="001D009A"/>
    <w:rsid w:val="001D5198"/>
    <w:rsid w:val="001D525B"/>
    <w:rsid w:val="001F6DA7"/>
    <w:rsid w:val="00224136"/>
    <w:rsid w:val="00234793"/>
    <w:rsid w:val="00235ECD"/>
    <w:rsid w:val="00240168"/>
    <w:rsid w:val="0024068F"/>
    <w:rsid w:val="00241BA1"/>
    <w:rsid w:val="0025165F"/>
    <w:rsid w:val="00275BF7"/>
    <w:rsid w:val="00275C04"/>
    <w:rsid w:val="002850AD"/>
    <w:rsid w:val="00285A51"/>
    <w:rsid w:val="002C4E9C"/>
    <w:rsid w:val="002D4B73"/>
    <w:rsid w:val="002E05DA"/>
    <w:rsid w:val="002F0F7B"/>
    <w:rsid w:val="0030410E"/>
    <w:rsid w:val="003042A7"/>
    <w:rsid w:val="00312A58"/>
    <w:rsid w:val="00323CD3"/>
    <w:rsid w:val="00327C92"/>
    <w:rsid w:val="00343D43"/>
    <w:rsid w:val="00344FA9"/>
    <w:rsid w:val="003818D2"/>
    <w:rsid w:val="003957EC"/>
    <w:rsid w:val="003B5486"/>
    <w:rsid w:val="003C364B"/>
    <w:rsid w:val="003C5797"/>
    <w:rsid w:val="003E0B08"/>
    <w:rsid w:val="003E73F1"/>
    <w:rsid w:val="003F0C94"/>
    <w:rsid w:val="003F728C"/>
    <w:rsid w:val="00431558"/>
    <w:rsid w:val="00471CEE"/>
    <w:rsid w:val="00472BD5"/>
    <w:rsid w:val="0048490E"/>
    <w:rsid w:val="0049287D"/>
    <w:rsid w:val="00494DF4"/>
    <w:rsid w:val="004D0120"/>
    <w:rsid w:val="004D28D3"/>
    <w:rsid w:val="004E2549"/>
    <w:rsid w:val="004F0563"/>
    <w:rsid w:val="005007FF"/>
    <w:rsid w:val="00501C68"/>
    <w:rsid w:val="005032CB"/>
    <w:rsid w:val="0050616E"/>
    <w:rsid w:val="005261DA"/>
    <w:rsid w:val="00526673"/>
    <w:rsid w:val="0054405C"/>
    <w:rsid w:val="00547A46"/>
    <w:rsid w:val="00562DC4"/>
    <w:rsid w:val="00566D31"/>
    <w:rsid w:val="00572287"/>
    <w:rsid w:val="00587D1B"/>
    <w:rsid w:val="00597618"/>
    <w:rsid w:val="005B2638"/>
    <w:rsid w:val="005D1600"/>
    <w:rsid w:val="005E5E29"/>
    <w:rsid w:val="005E64FF"/>
    <w:rsid w:val="005F0B0A"/>
    <w:rsid w:val="00637C96"/>
    <w:rsid w:val="00651945"/>
    <w:rsid w:val="00661B6A"/>
    <w:rsid w:val="006731B2"/>
    <w:rsid w:val="0068044E"/>
    <w:rsid w:val="006945BC"/>
    <w:rsid w:val="006A18C1"/>
    <w:rsid w:val="006B4DCC"/>
    <w:rsid w:val="006B6941"/>
    <w:rsid w:val="006D1AE9"/>
    <w:rsid w:val="006D4E6E"/>
    <w:rsid w:val="006E2A45"/>
    <w:rsid w:val="00717CAE"/>
    <w:rsid w:val="007233CF"/>
    <w:rsid w:val="007235C6"/>
    <w:rsid w:val="00735414"/>
    <w:rsid w:val="00753928"/>
    <w:rsid w:val="00755D52"/>
    <w:rsid w:val="007A5E1B"/>
    <w:rsid w:val="007B5277"/>
    <w:rsid w:val="007C123C"/>
    <w:rsid w:val="007C5695"/>
    <w:rsid w:val="007E6192"/>
    <w:rsid w:val="007F7969"/>
    <w:rsid w:val="00844E19"/>
    <w:rsid w:val="0087160A"/>
    <w:rsid w:val="00873D2D"/>
    <w:rsid w:val="0089100A"/>
    <w:rsid w:val="008940D2"/>
    <w:rsid w:val="00897841"/>
    <w:rsid w:val="008B71A3"/>
    <w:rsid w:val="008C20EE"/>
    <w:rsid w:val="008D6C0D"/>
    <w:rsid w:val="00910676"/>
    <w:rsid w:val="009128F6"/>
    <w:rsid w:val="009276BD"/>
    <w:rsid w:val="009535A6"/>
    <w:rsid w:val="009579EF"/>
    <w:rsid w:val="00964130"/>
    <w:rsid w:val="00973E1D"/>
    <w:rsid w:val="00993696"/>
    <w:rsid w:val="009A03BF"/>
    <w:rsid w:val="009B3B9A"/>
    <w:rsid w:val="009C6824"/>
    <w:rsid w:val="009E0972"/>
    <w:rsid w:val="009E4C81"/>
    <w:rsid w:val="009E6FEA"/>
    <w:rsid w:val="00A34982"/>
    <w:rsid w:val="00A349E9"/>
    <w:rsid w:val="00A356F5"/>
    <w:rsid w:val="00A36A37"/>
    <w:rsid w:val="00A61866"/>
    <w:rsid w:val="00A67234"/>
    <w:rsid w:val="00A900D1"/>
    <w:rsid w:val="00A95737"/>
    <w:rsid w:val="00A95D01"/>
    <w:rsid w:val="00AE015F"/>
    <w:rsid w:val="00AE01F1"/>
    <w:rsid w:val="00AF4807"/>
    <w:rsid w:val="00B10ADB"/>
    <w:rsid w:val="00B14EA9"/>
    <w:rsid w:val="00B20251"/>
    <w:rsid w:val="00B258CD"/>
    <w:rsid w:val="00B76769"/>
    <w:rsid w:val="00B77DB7"/>
    <w:rsid w:val="00B81656"/>
    <w:rsid w:val="00BB1A3F"/>
    <w:rsid w:val="00BB34AF"/>
    <w:rsid w:val="00BC1478"/>
    <w:rsid w:val="00BE18B3"/>
    <w:rsid w:val="00BE2BCB"/>
    <w:rsid w:val="00BF0D00"/>
    <w:rsid w:val="00C21435"/>
    <w:rsid w:val="00C21A26"/>
    <w:rsid w:val="00C23809"/>
    <w:rsid w:val="00C5591C"/>
    <w:rsid w:val="00C57A1F"/>
    <w:rsid w:val="00C74EAC"/>
    <w:rsid w:val="00C81550"/>
    <w:rsid w:val="00C81EAD"/>
    <w:rsid w:val="00C85923"/>
    <w:rsid w:val="00C97580"/>
    <w:rsid w:val="00CA5BD9"/>
    <w:rsid w:val="00CA7E95"/>
    <w:rsid w:val="00CB13A4"/>
    <w:rsid w:val="00CB22D9"/>
    <w:rsid w:val="00CB64D6"/>
    <w:rsid w:val="00CC520E"/>
    <w:rsid w:val="00CC679E"/>
    <w:rsid w:val="00CD44CD"/>
    <w:rsid w:val="00D03FC0"/>
    <w:rsid w:val="00D1148E"/>
    <w:rsid w:val="00D7485D"/>
    <w:rsid w:val="00D86010"/>
    <w:rsid w:val="00D95B63"/>
    <w:rsid w:val="00DA38C0"/>
    <w:rsid w:val="00DA5228"/>
    <w:rsid w:val="00DA5254"/>
    <w:rsid w:val="00DD7C53"/>
    <w:rsid w:val="00DE7E0F"/>
    <w:rsid w:val="00E00A25"/>
    <w:rsid w:val="00E21152"/>
    <w:rsid w:val="00E65583"/>
    <w:rsid w:val="00E70C4E"/>
    <w:rsid w:val="00E74A58"/>
    <w:rsid w:val="00E756A2"/>
    <w:rsid w:val="00EB519A"/>
    <w:rsid w:val="00EB5FC0"/>
    <w:rsid w:val="00EB6246"/>
    <w:rsid w:val="00EC45C7"/>
    <w:rsid w:val="00EC6E9F"/>
    <w:rsid w:val="00EE2EA6"/>
    <w:rsid w:val="00EE7F32"/>
    <w:rsid w:val="00F21ACF"/>
    <w:rsid w:val="00F4697C"/>
    <w:rsid w:val="00F470EE"/>
    <w:rsid w:val="00F60526"/>
    <w:rsid w:val="00F61197"/>
    <w:rsid w:val="00F62BE7"/>
    <w:rsid w:val="00F848E1"/>
    <w:rsid w:val="00F851F3"/>
    <w:rsid w:val="00F86370"/>
    <w:rsid w:val="00F95BDD"/>
    <w:rsid w:val="00FA4EE3"/>
    <w:rsid w:val="00FB0904"/>
    <w:rsid w:val="00FB11B7"/>
    <w:rsid w:val="00FE5053"/>
    <w:rsid w:val="00FE5EA5"/>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jc w:val="center"/>
      <w:outlineLvl w:val="0"/>
    </w:pPr>
    <w:rPr>
      <w:rFonts w:ascii="Arial" w:hAnsi="Arial" w:cs="Arial"/>
      <w:b/>
      <w:bCs/>
      <w:sz w:val="24"/>
    </w:rPr>
  </w:style>
  <w:style w:type="paragraph" w:styleId="Heading2">
    <w:name w:val="heading 2"/>
    <w:basedOn w:val="Normal"/>
    <w:next w:val="Normal"/>
    <w:qFormat/>
    <w:pPr>
      <w:keepNext/>
      <w:ind w:left="4320" w:right="-450"/>
      <w:outlineLvl w:val="1"/>
    </w:pPr>
    <w:rPr>
      <w:rFonts w:ascii="Arial" w:hAnsi="Arial" w:cs="Arial"/>
      <w:sz w:val="24"/>
    </w:rPr>
  </w:style>
  <w:style w:type="paragraph" w:styleId="Heading3">
    <w:name w:val="heading 3"/>
    <w:basedOn w:val="Normal"/>
    <w:next w:val="Normal"/>
    <w:qFormat/>
    <w:pPr>
      <w:keepNext/>
      <w:numPr>
        <w:numId w:val="1"/>
      </w:numPr>
      <w:ind w:right="-270"/>
      <w:outlineLvl w:val="2"/>
    </w:pPr>
    <w:rPr>
      <w:rFonts w:ascii="Arial" w:hAnsi="Arial" w:cs="Arial"/>
      <w:sz w:val="24"/>
    </w:rPr>
  </w:style>
  <w:style w:type="paragraph" w:styleId="Heading4">
    <w:name w:val="heading 4"/>
    <w:basedOn w:val="Normal"/>
    <w:next w:val="Normal"/>
    <w:qFormat/>
    <w:pPr>
      <w:keepNext/>
      <w:ind w:left="2160" w:firstLine="720"/>
      <w:outlineLvl w:val="3"/>
    </w:pPr>
    <w:rPr>
      <w:rFonts w:ascii="Arial" w:hAnsi="Arial" w:cs="Arial"/>
      <w:b/>
      <w:bCs/>
      <w:sz w:val="24"/>
    </w:rPr>
  </w:style>
  <w:style w:type="paragraph" w:styleId="Heading5">
    <w:name w:val="heading 5"/>
    <w:basedOn w:val="Normal"/>
    <w:next w:val="Normal"/>
    <w:qFormat/>
    <w:pPr>
      <w:keepNext/>
      <w:keepLines/>
      <w:outlineLvl w:val="4"/>
    </w:pPr>
    <w:rPr>
      <w:rFonts w:ascii="Times New Roman" w:hAnsi="Times New Roman"/>
      <w:sz w:val="24"/>
    </w:rPr>
  </w:style>
  <w:style w:type="paragraph" w:styleId="Heading6">
    <w:name w:val="heading 6"/>
    <w:basedOn w:val="Normal"/>
    <w:next w:val="Normal"/>
    <w:qFormat/>
    <w:pPr>
      <w:keepNext/>
      <w:jc w:val="center"/>
      <w:outlineLvl w:val="5"/>
    </w:pPr>
    <w:rPr>
      <w:rFonts w:ascii="Palatino Linotype" w:hAnsi="Palatino Linotype"/>
      <w:sz w:val="24"/>
    </w:rPr>
  </w:style>
  <w:style w:type="paragraph" w:styleId="Heading7">
    <w:name w:val="heading 7"/>
    <w:basedOn w:val="Normal"/>
    <w:next w:val="Normal"/>
    <w:qFormat/>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1440"/>
    </w:pPr>
    <w:rPr>
      <w:rFonts w:ascii="Arial" w:hAnsi="Arial" w:cs="Arial"/>
      <w:sz w:val="24"/>
    </w:rPr>
  </w:style>
  <w:style w:type="paragraph" w:styleId="BodyText">
    <w:name w:val="Body Text"/>
    <w:basedOn w:val="Normal"/>
    <w:pPr>
      <w:tabs>
        <w:tab w:val="center" w:pos="4680"/>
      </w:tabs>
      <w:jc w:val="center"/>
    </w:pPr>
    <w:rPr>
      <w:rFonts w:ascii="Arial" w:hAnsi="Arial" w:cs="Arial"/>
      <w:sz w:val="24"/>
    </w:rPr>
  </w:style>
  <w:style w:type="paragraph" w:styleId="BodyTextIndent2">
    <w:name w:val="Body Text Indent 2"/>
    <w:basedOn w:val="Normal"/>
    <w:pPr>
      <w:ind w:left="1080"/>
    </w:pPr>
    <w:rPr>
      <w:rFonts w:ascii="Arial" w:hAnsi="Arial" w:cs="Arial"/>
      <w:sz w:val="24"/>
    </w:rPr>
  </w:style>
  <w:style w:type="paragraph" w:styleId="BodyText2">
    <w:name w:val="Body Text 2"/>
    <w:basedOn w:val="Normal"/>
    <w:pPr>
      <w:keepNext/>
      <w:keepLines/>
    </w:pPr>
    <w:rPr>
      <w:rFonts w:ascii="Times New Roman" w:hAnsi="Times New Roman"/>
      <w:sz w:val="24"/>
    </w:rPr>
  </w:style>
  <w:style w:type="paragraph" w:styleId="BodyText3">
    <w:name w:val="Body Text 3"/>
    <w:basedOn w:val="Normal"/>
    <w:pPr>
      <w:widowControl/>
      <w:autoSpaceDE/>
      <w:autoSpaceDN/>
      <w:adjustRightInd/>
    </w:pPr>
    <w:rPr>
      <w:rFonts w:ascii="Times New Roman" w:hAnsi="Times New Roman"/>
      <w:snapToGrid w:val="0"/>
      <w:sz w:val="24"/>
      <w:szCs w:val="20"/>
    </w:rPr>
  </w:style>
  <w:style w:type="paragraph" w:styleId="BodyTextIndent3">
    <w:name w:val="Body Text Indent 3"/>
    <w:basedOn w:val="Normal"/>
    <w:pPr>
      <w:ind w:left="720"/>
    </w:pPr>
    <w:rPr>
      <w:rFonts w:ascii="Palatino Linotype" w:hAnsi="Palatino Linotype"/>
      <w:snapToGrid w:val="0"/>
      <w:color w:val="000000"/>
      <w:sz w:val="24"/>
    </w:rPr>
  </w:style>
  <w:style w:type="paragraph" w:styleId="BalloonText">
    <w:name w:val="Balloon Text"/>
    <w:basedOn w:val="Normal"/>
    <w:semiHidden/>
    <w:rsid w:val="00275BF7"/>
    <w:rPr>
      <w:rFonts w:ascii="Tahoma" w:hAnsi="Tahoma" w:cs="Tahoma"/>
      <w:sz w:val="16"/>
      <w:szCs w:val="16"/>
    </w:rPr>
  </w:style>
  <w:style w:type="paragraph" w:styleId="ListParagraph">
    <w:name w:val="List Paragraph"/>
    <w:basedOn w:val="Normal"/>
    <w:uiPriority w:val="34"/>
    <w:qFormat/>
    <w:rsid w:val="00AE015F"/>
    <w:pPr>
      <w:widowControl/>
      <w:numPr>
        <w:numId w:val="42"/>
      </w:numPr>
      <w:autoSpaceDE/>
      <w:autoSpaceDN/>
      <w:adjustRightInd/>
      <w:spacing w:after="200" w:line="276" w:lineRule="auto"/>
      <w:contextualSpacing/>
    </w:pPr>
    <w:rPr>
      <w:rFonts w:ascii="Times New Roman" w:eastAsia="Calibri" w:hAnsi="Times New Roman"/>
      <w:sz w:val="24"/>
    </w:rPr>
  </w:style>
  <w:style w:type="character" w:styleId="CommentReference">
    <w:name w:val="annotation reference"/>
    <w:basedOn w:val="DefaultParagraphFont"/>
    <w:uiPriority w:val="99"/>
    <w:unhideWhenUsed/>
    <w:rsid w:val="00AE015F"/>
    <w:rPr>
      <w:sz w:val="16"/>
      <w:szCs w:val="16"/>
    </w:rPr>
  </w:style>
  <w:style w:type="paragraph" w:styleId="CommentText">
    <w:name w:val="annotation text"/>
    <w:basedOn w:val="Normal"/>
    <w:link w:val="CommentTextChar"/>
    <w:uiPriority w:val="99"/>
    <w:unhideWhenUsed/>
    <w:rsid w:val="00AE015F"/>
    <w:pPr>
      <w:widowControl/>
      <w:autoSpaceDE/>
      <w:autoSpaceDN/>
      <w:adjustRightInd/>
      <w:spacing w:after="200"/>
    </w:pPr>
    <w:rPr>
      <w:rFonts w:ascii="Calibri" w:eastAsia="Calibri" w:hAnsi="Calibri"/>
      <w:szCs w:val="20"/>
    </w:rPr>
  </w:style>
  <w:style w:type="character" w:customStyle="1" w:styleId="CommentTextChar">
    <w:name w:val="Comment Text Char"/>
    <w:basedOn w:val="DefaultParagraphFont"/>
    <w:link w:val="CommentText"/>
    <w:uiPriority w:val="99"/>
    <w:rsid w:val="00AE015F"/>
    <w:rPr>
      <w:rFonts w:ascii="Calibri" w:eastAsia="Calibri" w:hAnsi="Calibri" w:cs="Times New Roman"/>
    </w:rPr>
  </w:style>
  <w:style w:type="paragraph" w:styleId="CommentSubject">
    <w:name w:val="annotation subject"/>
    <w:basedOn w:val="CommentText"/>
    <w:next w:val="CommentText"/>
    <w:link w:val="CommentSubjectChar"/>
    <w:rsid w:val="000C50B9"/>
    <w:pPr>
      <w:widowControl w:val="0"/>
      <w:autoSpaceDE w:val="0"/>
      <w:autoSpaceDN w:val="0"/>
      <w:adjustRightInd w:val="0"/>
      <w:spacing w:after="0"/>
    </w:pPr>
    <w:rPr>
      <w:rFonts w:ascii="Courier New" w:eastAsia="Times New Roman" w:hAnsi="Courier New"/>
      <w:b/>
      <w:bCs/>
    </w:rPr>
  </w:style>
  <w:style w:type="character" w:customStyle="1" w:styleId="CommentSubjectChar">
    <w:name w:val="Comment Subject Char"/>
    <w:basedOn w:val="CommentTextChar"/>
    <w:link w:val="CommentSubject"/>
    <w:rsid w:val="000C50B9"/>
    <w:rPr>
      <w:rFonts w:ascii="Courier New" w:eastAsia="Calibri" w:hAnsi="Courier New" w:cs="Times New Roman"/>
      <w:b/>
      <w:bCs/>
    </w:rPr>
  </w:style>
  <w:style w:type="paragraph" w:styleId="FootnoteText">
    <w:name w:val="footnote text"/>
    <w:basedOn w:val="Normal"/>
    <w:link w:val="FootnoteTextChar"/>
    <w:uiPriority w:val="99"/>
    <w:unhideWhenUsed/>
    <w:rsid w:val="00150E3B"/>
    <w:pPr>
      <w:widowControl/>
      <w:autoSpaceDE/>
      <w:autoSpaceDN/>
      <w:adjustRightInd/>
      <w:spacing w:before="120"/>
    </w:pPr>
    <w:rPr>
      <w:rFonts w:ascii="Times New Roman" w:eastAsia="Calibri" w:hAnsi="Times New Roman"/>
      <w:szCs w:val="20"/>
    </w:rPr>
  </w:style>
  <w:style w:type="character" w:customStyle="1" w:styleId="FootnoteTextChar">
    <w:name w:val="Footnote Text Char"/>
    <w:basedOn w:val="DefaultParagraphFont"/>
    <w:link w:val="FootnoteText"/>
    <w:uiPriority w:val="99"/>
    <w:rsid w:val="00150E3B"/>
    <w:rPr>
      <w:rFonts w:eastAsia="Calibri"/>
    </w:rPr>
  </w:style>
  <w:style w:type="paragraph" w:styleId="Revision">
    <w:name w:val="Revision"/>
    <w:hidden/>
    <w:uiPriority w:val="99"/>
    <w:semiHidden/>
    <w:rsid w:val="001D5198"/>
    <w:rPr>
      <w:rFonts w:ascii="Courier New" w:hAnsi="Courier New"/>
      <w:szCs w:val="24"/>
    </w:rPr>
  </w:style>
  <w:style w:type="character" w:customStyle="1" w:styleId="HeaderChar">
    <w:name w:val="Header Char"/>
    <w:basedOn w:val="DefaultParagraphFont"/>
    <w:link w:val="Header"/>
    <w:uiPriority w:val="99"/>
    <w:rsid w:val="00CD44CD"/>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jc w:val="center"/>
      <w:outlineLvl w:val="0"/>
    </w:pPr>
    <w:rPr>
      <w:rFonts w:ascii="Arial" w:hAnsi="Arial" w:cs="Arial"/>
      <w:b/>
      <w:bCs/>
      <w:sz w:val="24"/>
    </w:rPr>
  </w:style>
  <w:style w:type="paragraph" w:styleId="Heading2">
    <w:name w:val="heading 2"/>
    <w:basedOn w:val="Normal"/>
    <w:next w:val="Normal"/>
    <w:qFormat/>
    <w:pPr>
      <w:keepNext/>
      <w:ind w:left="4320" w:right="-450"/>
      <w:outlineLvl w:val="1"/>
    </w:pPr>
    <w:rPr>
      <w:rFonts w:ascii="Arial" w:hAnsi="Arial" w:cs="Arial"/>
      <w:sz w:val="24"/>
    </w:rPr>
  </w:style>
  <w:style w:type="paragraph" w:styleId="Heading3">
    <w:name w:val="heading 3"/>
    <w:basedOn w:val="Normal"/>
    <w:next w:val="Normal"/>
    <w:qFormat/>
    <w:pPr>
      <w:keepNext/>
      <w:numPr>
        <w:numId w:val="1"/>
      </w:numPr>
      <w:ind w:right="-270"/>
      <w:outlineLvl w:val="2"/>
    </w:pPr>
    <w:rPr>
      <w:rFonts w:ascii="Arial" w:hAnsi="Arial" w:cs="Arial"/>
      <w:sz w:val="24"/>
    </w:rPr>
  </w:style>
  <w:style w:type="paragraph" w:styleId="Heading4">
    <w:name w:val="heading 4"/>
    <w:basedOn w:val="Normal"/>
    <w:next w:val="Normal"/>
    <w:qFormat/>
    <w:pPr>
      <w:keepNext/>
      <w:ind w:left="2160" w:firstLine="720"/>
      <w:outlineLvl w:val="3"/>
    </w:pPr>
    <w:rPr>
      <w:rFonts w:ascii="Arial" w:hAnsi="Arial" w:cs="Arial"/>
      <w:b/>
      <w:bCs/>
      <w:sz w:val="24"/>
    </w:rPr>
  </w:style>
  <w:style w:type="paragraph" w:styleId="Heading5">
    <w:name w:val="heading 5"/>
    <w:basedOn w:val="Normal"/>
    <w:next w:val="Normal"/>
    <w:qFormat/>
    <w:pPr>
      <w:keepNext/>
      <w:keepLines/>
      <w:outlineLvl w:val="4"/>
    </w:pPr>
    <w:rPr>
      <w:rFonts w:ascii="Times New Roman" w:hAnsi="Times New Roman"/>
      <w:sz w:val="24"/>
    </w:rPr>
  </w:style>
  <w:style w:type="paragraph" w:styleId="Heading6">
    <w:name w:val="heading 6"/>
    <w:basedOn w:val="Normal"/>
    <w:next w:val="Normal"/>
    <w:qFormat/>
    <w:pPr>
      <w:keepNext/>
      <w:jc w:val="center"/>
      <w:outlineLvl w:val="5"/>
    </w:pPr>
    <w:rPr>
      <w:rFonts w:ascii="Palatino Linotype" w:hAnsi="Palatino Linotype"/>
      <w:sz w:val="24"/>
    </w:rPr>
  </w:style>
  <w:style w:type="paragraph" w:styleId="Heading7">
    <w:name w:val="heading 7"/>
    <w:basedOn w:val="Normal"/>
    <w:next w:val="Normal"/>
    <w:qFormat/>
    <w:pPr>
      <w:keepNext/>
      <w:numPr>
        <w:ilvl w:val="4"/>
        <w:numId w:val="3"/>
      </w:numPr>
      <w:tabs>
        <w:tab w:val="clear" w:pos="3960"/>
      </w:tabs>
      <w:ind w:hanging="3960"/>
      <w:outlineLvl w:val="6"/>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1440"/>
    </w:pPr>
    <w:rPr>
      <w:rFonts w:ascii="Arial" w:hAnsi="Arial" w:cs="Arial"/>
      <w:sz w:val="24"/>
    </w:rPr>
  </w:style>
  <w:style w:type="paragraph" w:styleId="BodyText">
    <w:name w:val="Body Text"/>
    <w:basedOn w:val="Normal"/>
    <w:pPr>
      <w:tabs>
        <w:tab w:val="center" w:pos="4680"/>
      </w:tabs>
      <w:jc w:val="center"/>
    </w:pPr>
    <w:rPr>
      <w:rFonts w:ascii="Arial" w:hAnsi="Arial" w:cs="Arial"/>
      <w:sz w:val="24"/>
    </w:rPr>
  </w:style>
  <w:style w:type="paragraph" w:styleId="BodyTextIndent2">
    <w:name w:val="Body Text Indent 2"/>
    <w:basedOn w:val="Normal"/>
    <w:pPr>
      <w:ind w:left="1080"/>
    </w:pPr>
    <w:rPr>
      <w:rFonts w:ascii="Arial" w:hAnsi="Arial" w:cs="Arial"/>
      <w:sz w:val="24"/>
    </w:rPr>
  </w:style>
  <w:style w:type="paragraph" w:styleId="BodyText2">
    <w:name w:val="Body Text 2"/>
    <w:basedOn w:val="Normal"/>
    <w:pPr>
      <w:keepNext/>
      <w:keepLines/>
    </w:pPr>
    <w:rPr>
      <w:rFonts w:ascii="Times New Roman" w:hAnsi="Times New Roman"/>
      <w:sz w:val="24"/>
    </w:rPr>
  </w:style>
  <w:style w:type="paragraph" w:styleId="BodyText3">
    <w:name w:val="Body Text 3"/>
    <w:basedOn w:val="Normal"/>
    <w:pPr>
      <w:widowControl/>
      <w:autoSpaceDE/>
      <w:autoSpaceDN/>
      <w:adjustRightInd/>
    </w:pPr>
    <w:rPr>
      <w:rFonts w:ascii="Times New Roman" w:hAnsi="Times New Roman"/>
      <w:snapToGrid w:val="0"/>
      <w:sz w:val="24"/>
      <w:szCs w:val="20"/>
    </w:rPr>
  </w:style>
  <w:style w:type="paragraph" w:styleId="BodyTextIndent3">
    <w:name w:val="Body Text Indent 3"/>
    <w:basedOn w:val="Normal"/>
    <w:pPr>
      <w:ind w:left="720"/>
    </w:pPr>
    <w:rPr>
      <w:rFonts w:ascii="Palatino Linotype" w:hAnsi="Palatino Linotype"/>
      <w:snapToGrid w:val="0"/>
      <w:color w:val="000000"/>
      <w:sz w:val="24"/>
    </w:rPr>
  </w:style>
  <w:style w:type="paragraph" w:styleId="BalloonText">
    <w:name w:val="Balloon Text"/>
    <w:basedOn w:val="Normal"/>
    <w:semiHidden/>
    <w:rsid w:val="00275BF7"/>
    <w:rPr>
      <w:rFonts w:ascii="Tahoma" w:hAnsi="Tahoma" w:cs="Tahoma"/>
      <w:sz w:val="16"/>
      <w:szCs w:val="16"/>
    </w:rPr>
  </w:style>
  <w:style w:type="paragraph" w:styleId="ListParagraph">
    <w:name w:val="List Paragraph"/>
    <w:basedOn w:val="Normal"/>
    <w:uiPriority w:val="34"/>
    <w:qFormat/>
    <w:rsid w:val="00AE015F"/>
    <w:pPr>
      <w:widowControl/>
      <w:numPr>
        <w:numId w:val="42"/>
      </w:numPr>
      <w:autoSpaceDE/>
      <w:autoSpaceDN/>
      <w:adjustRightInd/>
      <w:spacing w:after="200" w:line="276" w:lineRule="auto"/>
      <w:contextualSpacing/>
    </w:pPr>
    <w:rPr>
      <w:rFonts w:ascii="Times New Roman" w:eastAsia="Calibri" w:hAnsi="Times New Roman"/>
      <w:sz w:val="24"/>
    </w:rPr>
  </w:style>
  <w:style w:type="character" w:styleId="CommentReference">
    <w:name w:val="annotation reference"/>
    <w:basedOn w:val="DefaultParagraphFont"/>
    <w:uiPriority w:val="99"/>
    <w:unhideWhenUsed/>
    <w:rsid w:val="00AE015F"/>
    <w:rPr>
      <w:sz w:val="16"/>
      <w:szCs w:val="16"/>
    </w:rPr>
  </w:style>
  <w:style w:type="paragraph" w:styleId="CommentText">
    <w:name w:val="annotation text"/>
    <w:basedOn w:val="Normal"/>
    <w:link w:val="CommentTextChar"/>
    <w:uiPriority w:val="99"/>
    <w:unhideWhenUsed/>
    <w:rsid w:val="00AE015F"/>
    <w:pPr>
      <w:widowControl/>
      <w:autoSpaceDE/>
      <w:autoSpaceDN/>
      <w:adjustRightInd/>
      <w:spacing w:after="200"/>
    </w:pPr>
    <w:rPr>
      <w:rFonts w:ascii="Calibri" w:eastAsia="Calibri" w:hAnsi="Calibri"/>
      <w:szCs w:val="20"/>
    </w:rPr>
  </w:style>
  <w:style w:type="character" w:customStyle="1" w:styleId="CommentTextChar">
    <w:name w:val="Comment Text Char"/>
    <w:basedOn w:val="DefaultParagraphFont"/>
    <w:link w:val="CommentText"/>
    <w:uiPriority w:val="99"/>
    <w:rsid w:val="00AE015F"/>
    <w:rPr>
      <w:rFonts w:ascii="Calibri" w:eastAsia="Calibri" w:hAnsi="Calibri" w:cs="Times New Roman"/>
    </w:rPr>
  </w:style>
  <w:style w:type="paragraph" w:styleId="CommentSubject">
    <w:name w:val="annotation subject"/>
    <w:basedOn w:val="CommentText"/>
    <w:next w:val="CommentText"/>
    <w:link w:val="CommentSubjectChar"/>
    <w:rsid w:val="000C50B9"/>
    <w:pPr>
      <w:widowControl w:val="0"/>
      <w:autoSpaceDE w:val="0"/>
      <w:autoSpaceDN w:val="0"/>
      <w:adjustRightInd w:val="0"/>
      <w:spacing w:after="0"/>
    </w:pPr>
    <w:rPr>
      <w:rFonts w:ascii="Courier New" w:eastAsia="Times New Roman" w:hAnsi="Courier New"/>
      <w:b/>
      <w:bCs/>
    </w:rPr>
  </w:style>
  <w:style w:type="character" w:customStyle="1" w:styleId="CommentSubjectChar">
    <w:name w:val="Comment Subject Char"/>
    <w:basedOn w:val="CommentTextChar"/>
    <w:link w:val="CommentSubject"/>
    <w:rsid w:val="000C50B9"/>
    <w:rPr>
      <w:rFonts w:ascii="Courier New" w:eastAsia="Calibri" w:hAnsi="Courier New" w:cs="Times New Roman"/>
      <w:b/>
      <w:bCs/>
    </w:rPr>
  </w:style>
  <w:style w:type="paragraph" w:styleId="FootnoteText">
    <w:name w:val="footnote text"/>
    <w:basedOn w:val="Normal"/>
    <w:link w:val="FootnoteTextChar"/>
    <w:uiPriority w:val="99"/>
    <w:unhideWhenUsed/>
    <w:rsid w:val="00150E3B"/>
    <w:pPr>
      <w:widowControl/>
      <w:autoSpaceDE/>
      <w:autoSpaceDN/>
      <w:adjustRightInd/>
      <w:spacing w:before="120"/>
    </w:pPr>
    <w:rPr>
      <w:rFonts w:ascii="Times New Roman" w:eastAsia="Calibri" w:hAnsi="Times New Roman"/>
      <w:szCs w:val="20"/>
    </w:rPr>
  </w:style>
  <w:style w:type="character" w:customStyle="1" w:styleId="FootnoteTextChar">
    <w:name w:val="Footnote Text Char"/>
    <w:basedOn w:val="DefaultParagraphFont"/>
    <w:link w:val="FootnoteText"/>
    <w:uiPriority w:val="99"/>
    <w:rsid w:val="00150E3B"/>
    <w:rPr>
      <w:rFonts w:eastAsia="Calibri"/>
    </w:rPr>
  </w:style>
  <w:style w:type="paragraph" w:styleId="Revision">
    <w:name w:val="Revision"/>
    <w:hidden/>
    <w:uiPriority w:val="99"/>
    <w:semiHidden/>
    <w:rsid w:val="001D5198"/>
    <w:rPr>
      <w:rFonts w:ascii="Courier New" w:hAnsi="Courier New"/>
      <w:szCs w:val="24"/>
    </w:rPr>
  </w:style>
  <w:style w:type="character" w:customStyle="1" w:styleId="HeaderChar">
    <w:name w:val="Header Char"/>
    <w:basedOn w:val="DefaultParagraphFont"/>
    <w:link w:val="Header"/>
    <w:uiPriority w:val="99"/>
    <w:rsid w:val="00CD44CD"/>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C9CA30E3A8344BA19A432E5058CEC2" ma:contentTypeVersion="143" ma:contentTypeDescription="" ma:contentTypeScope="" ma:versionID="d6f2a199f321db56439ba316ed06b1b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Complaint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2011-09-27T07:00:00+00:00</OpenedDate>
    <Date1 xmlns="dc463f71-b30c-4ab2-9473-d307f9d35888">2013-03-01T08:00:00+00:00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111723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5B6E87-53D0-43C4-8414-1FC7ABB46CB2}"/>
</file>

<file path=customXml/itemProps2.xml><?xml version="1.0" encoding="utf-8"?>
<ds:datastoreItem xmlns:ds="http://schemas.openxmlformats.org/officeDocument/2006/customXml" ds:itemID="{9EE26979-FAAB-4037-9474-802AAF1614CA}"/>
</file>

<file path=customXml/itemProps3.xml><?xml version="1.0" encoding="utf-8"?>
<ds:datastoreItem xmlns:ds="http://schemas.openxmlformats.org/officeDocument/2006/customXml" ds:itemID="{C6B22C8C-7469-4596-A46E-753FDC3ACCB0}"/>
</file>

<file path=customXml/itemProps4.xml><?xml version="1.0" encoding="utf-8"?>
<ds:datastoreItem xmlns:ds="http://schemas.openxmlformats.org/officeDocument/2006/customXml" ds:itemID="{DF710374-CA08-4A48-AD3B-4F61BA94F9ED}"/>
</file>

<file path=customXml/itemProps5.xml><?xml version="1.0" encoding="utf-8"?>
<ds:datastoreItem xmlns:ds="http://schemas.openxmlformats.org/officeDocument/2006/customXml" ds:itemID="{ABDE2A6B-1DD0-4523-9AC0-B2B45862FB61}"/>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9811</Characters>
  <Application>Microsoft Office Word</Application>
  <DocSecurity>0</DocSecurity>
  <Lines>81</Lines>
  <Paragraphs>23</Paragraphs>
  <ScaleCrop>false</ScaleCrop>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2013-03-01T19:03:00Z</dcterms:created>
  <dcterms:modified xsi:type="dcterms:W3CDTF">2013-03-01T19:03:00Z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0x0101006E56B4D1795A2E4DB2F0B01679ED314A0077C9CA30E3A8344BA19A432E5058CEC2</vt:lpwstr>
  </property>
  <property fmtid="{D5CDD505-2E9C-101B-9397-08002B2CF9AE}" pid="3" name="_docset_NoMedatataSyncRequired">
    <vt:lpwstr>False</vt:lpwstr>
  </property>
</Properties>
</file>