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9"/>
        <w:gridCol w:w="5527"/>
        <w:gridCol w:w="1902"/>
        <w:gridCol w:w="2521"/>
      </w:tblGrid>
      <w:tr w:rsidR="00457841" w:rsidRPr="00457841" w14:paraId="4F590535" w14:textId="77777777" w:rsidTr="00EE5D26">
        <w:trPr>
          <w:trHeight w:val="280"/>
        </w:trPr>
        <w:tc>
          <w:tcPr>
            <w:tcW w:w="1140" w:type="pct"/>
            <w:vAlign w:val="center"/>
          </w:tcPr>
          <w:p w14:paraId="4F590531" w14:textId="77777777" w:rsidR="00457841" w:rsidRPr="00457841" w:rsidRDefault="00457841" w:rsidP="00457841">
            <w:pPr>
              <w:keepNext/>
              <w:keepLines/>
              <w:autoSpaceDE w:val="0"/>
              <w:autoSpaceDN w:val="0"/>
              <w:adjustRightInd w:val="0"/>
              <w:jc w:val="center"/>
              <w:rPr>
                <w:rFonts w:eastAsia="Cambria" w:cs="Calibri"/>
                <w:b/>
                <w:bCs/>
                <w:color w:val="000000"/>
                <w:sz w:val="24"/>
                <w:szCs w:val="24"/>
              </w:rPr>
            </w:pPr>
            <w:bookmarkStart w:id="0" w:name="_GoBack"/>
            <w:bookmarkEnd w:id="0"/>
            <w:r>
              <w:rPr>
                <w:rFonts w:eastAsia="Cambria" w:cs="Calibri"/>
                <w:b/>
                <w:bCs/>
                <w:color w:val="000000"/>
                <w:sz w:val="24"/>
                <w:szCs w:val="24"/>
              </w:rPr>
              <w:t>Document</w:t>
            </w:r>
          </w:p>
        </w:tc>
        <w:tc>
          <w:tcPr>
            <w:tcW w:w="2144" w:type="pct"/>
            <w:vAlign w:val="center"/>
          </w:tcPr>
          <w:p w14:paraId="4F590532" w14:textId="77777777" w:rsidR="00457841" w:rsidRPr="00457841" w:rsidRDefault="00457841" w:rsidP="003D2281">
            <w:pPr>
              <w:keepNext/>
              <w:keepLines/>
              <w:autoSpaceDE w:val="0"/>
              <w:autoSpaceDN w:val="0"/>
              <w:adjustRightInd w:val="0"/>
              <w:jc w:val="center"/>
              <w:rPr>
                <w:rFonts w:eastAsia="Cambria" w:cs="Calibri"/>
                <w:b/>
                <w:bCs/>
                <w:color w:val="000000"/>
                <w:sz w:val="24"/>
                <w:szCs w:val="24"/>
              </w:rPr>
            </w:pPr>
            <w:r w:rsidRPr="00457841">
              <w:rPr>
                <w:rFonts w:eastAsia="Cambria" w:cs="Calibri"/>
                <w:b/>
                <w:bCs/>
                <w:color w:val="000000"/>
                <w:sz w:val="24"/>
                <w:szCs w:val="24"/>
              </w:rPr>
              <w:t>Description</w:t>
            </w:r>
          </w:p>
        </w:tc>
        <w:tc>
          <w:tcPr>
            <w:tcW w:w="738" w:type="pct"/>
            <w:vAlign w:val="center"/>
          </w:tcPr>
          <w:p w14:paraId="4F590533" w14:textId="77777777" w:rsidR="00457841" w:rsidRPr="00457841" w:rsidRDefault="00457841" w:rsidP="003D2281">
            <w:pPr>
              <w:keepNext/>
              <w:keepLines/>
              <w:autoSpaceDE w:val="0"/>
              <w:autoSpaceDN w:val="0"/>
              <w:adjustRightInd w:val="0"/>
              <w:jc w:val="center"/>
              <w:rPr>
                <w:rFonts w:eastAsia="Cambria" w:cs="Calibri"/>
                <w:b/>
                <w:bCs/>
                <w:color w:val="000000"/>
                <w:sz w:val="24"/>
                <w:szCs w:val="24"/>
              </w:rPr>
            </w:pPr>
            <w:r>
              <w:rPr>
                <w:rFonts w:eastAsia="Cambria" w:cs="Calibri"/>
                <w:b/>
                <w:bCs/>
                <w:color w:val="000000"/>
                <w:sz w:val="24"/>
                <w:szCs w:val="24"/>
              </w:rPr>
              <w:t>Filing</w:t>
            </w:r>
            <w:r w:rsidRPr="00457841">
              <w:rPr>
                <w:rFonts w:eastAsia="Cambria" w:cs="Calibri"/>
                <w:b/>
                <w:bCs/>
                <w:color w:val="000000"/>
                <w:sz w:val="24"/>
                <w:szCs w:val="24"/>
              </w:rPr>
              <w:t xml:space="preserve"> Date</w:t>
            </w:r>
          </w:p>
        </w:tc>
        <w:tc>
          <w:tcPr>
            <w:tcW w:w="978" w:type="pct"/>
            <w:vAlign w:val="center"/>
          </w:tcPr>
          <w:p w14:paraId="4F590534" w14:textId="77777777" w:rsidR="00457841" w:rsidRPr="00457841" w:rsidRDefault="00EE5D26" w:rsidP="003D2281">
            <w:pPr>
              <w:keepNext/>
              <w:keepLines/>
              <w:autoSpaceDE w:val="0"/>
              <w:autoSpaceDN w:val="0"/>
              <w:adjustRightInd w:val="0"/>
              <w:jc w:val="center"/>
              <w:rPr>
                <w:rFonts w:eastAsia="Cambria" w:cs="Calibri"/>
                <w:b/>
                <w:bCs/>
                <w:color w:val="000000"/>
                <w:sz w:val="24"/>
                <w:szCs w:val="24"/>
              </w:rPr>
            </w:pPr>
            <w:r>
              <w:rPr>
                <w:rFonts w:eastAsia="Cambria" w:cs="Calibri"/>
                <w:b/>
                <w:bCs/>
                <w:color w:val="000000"/>
                <w:sz w:val="24"/>
                <w:szCs w:val="24"/>
              </w:rPr>
              <w:t>Electric, Gas, or Both</w:t>
            </w:r>
          </w:p>
        </w:tc>
      </w:tr>
      <w:tr w:rsidR="00457841" w:rsidRPr="00457841" w14:paraId="4F59053A" w14:textId="77777777" w:rsidTr="00AB259A">
        <w:trPr>
          <w:trHeight w:val="1502"/>
        </w:trPr>
        <w:tc>
          <w:tcPr>
            <w:tcW w:w="1140" w:type="pct"/>
            <w:vAlign w:val="center"/>
          </w:tcPr>
          <w:p w14:paraId="4F590536"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Biennial Conservation Plan</w:t>
            </w:r>
            <w:r w:rsidR="00AB259A">
              <w:rPr>
                <w:rFonts w:eastAsia="Cambria" w:cs="Calibri"/>
                <w:color w:val="262626"/>
                <w:sz w:val="24"/>
                <w:szCs w:val="24"/>
              </w:rPr>
              <w:t xml:space="preserve"> 2010-2011</w:t>
            </w:r>
          </w:p>
        </w:tc>
        <w:tc>
          <w:tcPr>
            <w:tcW w:w="2144" w:type="pct"/>
            <w:vAlign w:val="center"/>
          </w:tcPr>
          <w:p w14:paraId="4F590537" w14:textId="77777777" w:rsidR="00457841" w:rsidRPr="00457841" w:rsidRDefault="00457841" w:rsidP="00EE5D26">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Initial</w:t>
            </w:r>
            <w:r w:rsidRPr="00457841">
              <w:rPr>
                <w:rFonts w:eastAsia="Cambria" w:cs="Calibri"/>
                <w:color w:val="262626"/>
                <w:sz w:val="24"/>
                <w:szCs w:val="24"/>
              </w:rPr>
              <w:t xml:space="preserve"> Biennial Conservation Plan, together with identification of the 10 year ac</w:t>
            </w:r>
            <w:r>
              <w:rPr>
                <w:rFonts w:eastAsia="Cambria" w:cs="Calibri"/>
                <w:color w:val="262626"/>
                <w:sz w:val="24"/>
                <w:szCs w:val="24"/>
              </w:rPr>
              <w:t>hievable conservation potential.</w:t>
            </w:r>
          </w:p>
        </w:tc>
        <w:tc>
          <w:tcPr>
            <w:tcW w:w="738" w:type="pct"/>
            <w:vAlign w:val="center"/>
          </w:tcPr>
          <w:p w14:paraId="4F590538"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January 31, 2010</w:t>
            </w:r>
          </w:p>
        </w:tc>
        <w:tc>
          <w:tcPr>
            <w:tcW w:w="978" w:type="pct"/>
            <w:vAlign w:val="center"/>
          </w:tcPr>
          <w:p w14:paraId="4F590539" w14:textId="77777777" w:rsidR="00457841" w:rsidRPr="00457841" w:rsidRDefault="00EE5D26"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Both</w:t>
            </w:r>
          </w:p>
        </w:tc>
      </w:tr>
      <w:tr w:rsidR="00AB259A" w:rsidRPr="00457841" w14:paraId="4F59053F" w14:textId="77777777" w:rsidTr="009C5101">
        <w:trPr>
          <w:trHeight w:val="946"/>
        </w:trPr>
        <w:tc>
          <w:tcPr>
            <w:tcW w:w="1140" w:type="pct"/>
            <w:vAlign w:val="center"/>
          </w:tcPr>
          <w:p w14:paraId="4F59053B" w14:textId="77777777" w:rsidR="00AB259A" w:rsidRPr="00457841" w:rsidRDefault="00AB259A" w:rsidP="009C510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Annual Energy Efficiency Report</w:t>
            </w:r>
            <w:r>
              <w:rPr>
                <w:rFonts w:eastAsia="Cambria" w:cs="Calibri"/>
                <w:color w:val="262626"/>
                <w:sz w:val="24"/>
                <w:szCs w:val="24"/>
              </w:rPr>
              <w:t xml:space="preserve"> 2009</w:t>
            </w:r>
          </w:p>
        </w:tc>
        <w:tc>
          <w:tcPr>
            <w:tcW w:w="2144" w:type="pct"/>
            <w:vAlign w:val="center"/>
          </w:tcPr>
          <w:p w14:paraId="4F59053C" w14:textId="77777777" w:rsidR="00AB259A" w:rsidRPr="00457841" w:rsidRDefault="00AB259A" w:rsidP="009C510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 xml:space="preserve">Backward looking.  Preliminary Reported Program level savings, adjustment, changes, comprehensive report on EM&amp;V activities of the prior year (Avista </w:t>
            </w:r>
            <w:r w:rsidRPr="00457841">
              <w:rPr>
                <w:rFonts w:eastAsia="Cambria" w:cs="Calibri"/>
                <w:i/>
                <w:color w:val="262626"/>
                <w:sz w:val="24"/>
                <w:szCs w:val="24"/>
              </w:rPr>
              <w:t>ex-post</w:t>
            </w:r>
            <w:r w:rsidRPr="00457841">
              <w:rPr>
                <w:rFonts w:eastAsia="Cambria" w:cs="Calibri"/>
                <w:color w:val="262626"/>
                <w:sz w:val="24"/>
                <w:szCs w:val="24"/>
              </w:rPr>
              <w:t xml:space="preserve"> reported savings)</w:t>
            </w:r>
          </w:p>
        </w:tc>
        <w:tc>
          <w:tcPr>
            <w:tcW w:w="738" w:type="pct"/>
            <w:vAlign w:val="center"/>
          </w:tcPr>
          <w:p w14:paraId="4F59053D" w14:textId="77777777" w:rsidR="00AB259A" w:rsidRPr="00457841" w:rsidRDefault="00AB259A" w:rsidP="00AB259A">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March 31</w:t>
            </w:r>
            <w:r>
              <w:rPr>
                <w:rFonts w:eastAsia="Cambria" w:cs="Calibri"/>
                <w:color w:val="262626"/>
                <w:sz w:val="24"/>
                <w:szCs w:val="24"/>
              </w:rPr>
              <w:t>, 2010</w:t>
            </w:r>
          </w:p>
        </w:tc>
        <w:tc>
          <w:tcPr>
            <w:tcW w:w="978" w:type="pct"/>
            <w:vAlign w:val="center"/>
          </w:tcPr>
          <w:p w14:paraId="4F59053E" w14:textId="77777777" w:rsidR="00AB259A" w:rsidRPr="00457841" w:rsidRDefault="00AB259A" w:rsidP="009C510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Both</w:t>
            </w:r>
          </w:p>
        </w:tc>
      </w:tr>
      <w:tr w:rsidR="00AB259A" w:rsidRPr="00457841" w14:paraId="4F590544" w14:textId="77777777" w:rsidTr="00C22E05">
        <w:trPr>
          <w:trHeight w:val="560"/>
        </w:trPr>
        <w:tc>
          <w:tcPr>
            <w:tcW w:w="1140" w:type="pct"/>
            <w:vAlign w:val="center"/>
          </w:tcPr>
          <w:p w14:paraId="4F590540" w14:textId="77777777" w:rsidR="00AB259A" w:rsidRPr="00457841" w:rsidRDefault="00AB259A" w:rsidP="00C22E05">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Midyear Acquisition Report</w:t>
            </w:r>
            <w:r>
              <w:rPr>
                <w:rFonts w:eastAsia="Cambria" w:cs="Calibri"/>
                <w:color w:val="262626"/>
                <w:sz w:val="24"/>
                <w:szCs w:val="24"/>
              </w:rPr>
              <w:t xml:space="preserve"> 2010</w:t>
            </w:r>
          </w:p>
        </w:tc>
        <w:tc>
          <w:tcPr>
            <w:tcW w:w="2144" w:type="pct"/>
            <w:vAlign w:val="center"/>
          </w:tcPr>
          <w:p w14:paraId="4F590541" w14:textId="77777777" w:rsidR="00AB259A" w:rsidRPr="00457841" w:rsidRDefault="00AB259A" w:rsidP="00C22E05">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Midyear acquisition report comparing actual to budgeted savings values</w:t>
            </w:r>
          </w:p>
        </w:tc>
        <w:tc>
          <w:tcPr>
            <w:tcW w:w="738" w:type="pct"/>
            <w:vAlign w:val="center"/>
          </w:tcPr>
          <w:p w14:paraId="4F590542" w14:textId="77777777" w:rsidR="00AB259A" w:rsidRPr="00457841" w:rsidRDefault="00AB259A" w:rsidP="00C22E05">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August 15, 2010</w:t>
            </w:r>
          </w:p>
        </w:tc>
        <w:tc>
          <w:tcPr>
            <w:tcW w:w="978" w:type="pct"/>
            <w:vAlign w:val="center"/>
          </w:tcPr>
          <w:p w14:paraId="4F590543" w14:textId="77777777" w:rsidR="00AB259A" w:rsidRPr="00457841" w:rsidRDefault="00AB259A" w:rsidP="00C22E05">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Both</w:t>
            </w:r>
          </w:p>
        </w:tc>
      </w:tr>
      <w:tr w:rsidR="00457841" w:rsidRPr="00457841" w14:paraId="4F590549" w14:textId="77777777" w:rsidTr="00EE5D26">
        <w:trPr>
          <w:trHeight w:val="946"/>
        </w:trPr>
        <w:tc>
          <w:tcPr>
            <w:tcW w:w="1140" w:type="pct"/>
            <w:vAlign w:val="center"/>
          </w:tcPr>
          <w:p w14:paraId="4F590545"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Decoupling Evaluation Report</w:t>
            </w:r>
            <w:r w:rsidR="00AB259A">
              <w:rPr>
                <w:rFonts w:eastAsia="Cambria" w:cs="Calibri"/>
                <w:color w:val="262626"/>
                <w:sz w:val="24"/>
                <w:szCs w:val="24"/>
              </w:rPr>
              <w:t xml:space="preserve"> 2009</w:t>
            </w:r>
          </w:p>
        </w:tc>
        <w:tc>
          <w:tcPr>
            <w:tcW w:w="2144" w:type="pct"/>
            <w:vAlign w:val="center"/>
          </w:tcPr>
          <w:p w14:paraId="4F590546" w14:textId="77777777" w:rsidR="00457841" w:rsidRPr="00457841" w:rsidRDefault="00457841" w:rsidP="00AB259A">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Impact evaluation of gas savings for the previous calendar year with Realization rate by External Evaluators</w:t>
            </w:r>
          </w:p>
        </w:tc>
        <w:tc>
          <w:tcPr>
            <w:tcW w:w="738" w:type="pct"/>
            <w:vAlign w:val="center"/>
          </w:tcPr>
          <w:p w14:paraId="4F590547"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September 1, 2010</w:t>
            </w:r>
          </w:p>
        </w:tc>
        <w:tc>
          <w:tcPr>
            <w:tcW w:w="978" w:type="pct"/>
            <w:vAlign w:val="center"/>
          </w:tcPr>
          <w:p w14:paraId="4F590548" w14:textId="77777777" w:rsidR="00457841" w:rsidRPr="00457841" w:rsidRDefault="00AB259A"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Gas</w:t>
            </w:r>
          </w:p>
        </w:tc>
      </w:tr>
      <w:tr w:rsidR="00457841" w:rsidRPr="00457841" w14:paraId="4F59054F" w14:textId="77777777" w:rsidTr="00EE5D26">
        <w:trPr>
          <w:trHeight w:val="946"/>
        </w:trPr>
        <w:tc>
          <w:tcPr>
            <w:tcW w:w="1140" w:type="pct"/>
            <w:vAlign w:val="center"/>
          </w:tcPr>
          <w:p w14:paraId="4F59054A"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DSM Business Plan (includes EM&amp;V Plan)</w:t>
            </w:r>
            <w:r w:rsidR="00AB259A">
              <w:rPr>
                <w:rFonts w:eastAsia="Cambria" w:cs="Calibri"/>
                <w:color w:val="262626"/>
                <w:sz w:val="24"/>
                <w:szCs w:val="24"/>
              </w:rPr>
              <w:t xml:space="preserve"> 2011</w:t>
            </w:r>
          </w:p>
        </w:tc>
        <w:tc>
          <w:tcPr>
            <w:tcW w:w="2144" w:type="pct"/>
            <w:vAlign w:val="center"/>
          </w:tcPr>
          <w:p w14:paraId="4F59054B"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Forward looking. Program-level expected savings, adjustments, major changes, EM&amp;V</w:t>
            </w:r>
          </w:p>
          <w:p w14:paraId="4F59054C"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 xml:space="preserve">(Avista </w:t>
            </w:r>
            <w:r w:rsidRPr="00457841">
              <w:rPr>
                <w:rFonts w:eastAsia="Cambria" w:cs="Calibri"/>
                <w:i/>
                <w:color w:val="262626"/>
                <w:sz w:val="24"/>
                <w:szCs w:val="24"/>
              </w:rPr>
              <w:t>ex-ante</w:t>
            </w:r>
            <w:r w:rsidRPr="00457841">
              <w:rPr>
                <w:rFonts w:eastAsia="Cambria" w:cs="Calibri"/>
                <w:color w:val="262626"/>
                <w:sz w:val="24"/>
                <w:szCs w:val="24"/>
              </w:rPr>
              <w:t xml:space="preserve"> forecast)</w:t>
            </w:r>
          </w:p>
        </w:tc>
        <w:tc>
          <w:tcPr>
            <w:tcW w:w="738" w:type="pct"/>
            <w:vAlign w:val="center"/>
          </w:tcPr>
          <w:p w14:paraId="4F59054D"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November 1, 201</w:t>
            </w:r>
            <w:r>
              <w:rPr>
                <w:rFonts w:eastAsia="Cambria" w:cs="Calibri"/>
                <w:color w:val="262626"/>
                <w:sz w:val="24"/>
                <w:szCs w:val="24"/>
              </w:rPr>
              <w:t>0</w:t>
            </w:r>
          </w:p>
        </w:tc>
        <w:tc>
          <w:tcPr>
            <w:tcW w:w="978" w:type="pct"/>
            <w:vAlign w:val="center"/>
          </w:tcPr>
          <w:p w14:paraId="4F59054E" w14:textId="77777777" w:rsidR="00457841" w:rsidRPr="00457841" w:rsidRDefault="00AB259A"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Both</w:t>
            </w:r>
          </w:p>
        </w:tc>
      </w:tr>
      <w:tr w:rsidR="00457841" w:rsidRPr="00457841" w14:paraId="4F590554" w14:textId="77777777" w:rsidTr="001C41C6">
        <w:trPr>
          <w:trHeight w:val="946"/>
        </w:trPr>
        <w:tc>
          <w:tcPr>
            <w:tcW w:w="1140" w:type="pct"/>
            <w:tcBorders>
              <w:bottom w:val="thinThickSmallGap" w:sz="24" w:space="0" w:color="auto"/>
            </w:tcBorders>
            <w:vAlign w:val="center"/>
          </w:tcPr>
          <w:p w14:paraId="4F590550"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Annual Energy Efficiency Report</w:t>
            </w:r>
            <w:r w:rsidR="00AB259A">
              <w:rPr>
                <w:rFonts w:eastAsia="Cambria" w:cs="Calibri"/>
                <w:color w:val="262626"/>
                <w:sz w:val="24"/>
                <w:szCs w:val="24"/>
              </w:rPr>
              <w:t xml:space="preserve"> 2010</w:t>
            </w:r>
          </w:p>
        </w:tc>
        <w:tc>
          <w:tcPr>
            <w:tcW w:w="2144" w:type="pct"/>
            <w:tcBorders>
              <w:bottom w:val="thinThickSmallGap" w:sz="24" w:space="0" w:color="auto"/>
            </w:tcBorders>
            <w:vAlign w:val="center"/>
          </w:tcPr>
          <w:p w14:paraId="4F590551"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 xml:space="preserve">Backward looking.  Preliminary Reported Program level savings, adjustment, changes, comprehensive report on EM&amp;V activities of the prior year (Avista </w:t>
            </w:r>
            <w:r w:rsidRPr="00457841">
              <w:rPr>
                <w:rFonts w:eastAsia="Cambria" w:cs="Calibri"/>
                <w:i/>
                <w:color w:val="262626"/>
                <w:sz w:val="24"/>
                <w:szCs w:val="24"/>
              </w:rPr>
              <w:t>ex-post</w:t>
            </w:r>
            <w:r w:rsidRPr="00457841">
              <w:rPr>
                <w:rFonts w:eastAsia="Cambria" w:cs="Calibri"/>
                <w:color w:val="262626"/>
                <w:sz w:val="24"/>
                <w:szCs w:val="24"/>
              </w:rPr>
              <w:t xml:space="preserve"> reported savings)</w:t>
            </w:r>
          </w:p>
        </w:tc>
        <w:tc>
          <w:tcPr>
            <w:tcW w:w="738" w:type="pct"/>
            <w:tcBorders>
              <w:bottom w:val="thinThickSmallGap" w:sz="24" w:space="0" w:color="auto"/>
            </w:tcBorders>
            <w:vAlign w:val="center"/>
          </w:tcPr>
          <w:p w14:paraId="4F590552"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March 31</w:t>
            </w:r>
            <w:r>
              <w:rPr>
                <w:rFonts w:eastAsia="Cambria" w:cs="Calibri"/>
                <w:color w:val="262626"/>
                <w:sz w:val="24"/>
                <w:szCs w:val="24"/>
              </w:rPr>
              <w:t>, 2011</w:t>
            </w:r>
          </w:p>
        </w:tc>
        <w:tc>
          <w:tcPr>
            <w:tcW w:w="978" w:type="pct"/>
            <w:tcBorders>
              <w:bottom w:val="thinThickSmallGap" w:sz="24" w:space="0" w:color="auto"/>
            </w:tcBorders>
            <w:vAlign w:val="center"/>
          </w:tcPr>
          <w:p w14:paraId="4F590553" w14:textId="77777777" w:rsidR="00457841" w:rsidRPr="00457841" w:rsidRDefault="00AB259A"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Both</w:t>
            </w:r>
          </w:p>
        </w:tc>
      </w:tr>
      <w:tr w:rsidR="00457841" w:rsidRPr="00457841" w14:paraId="4F590559" w14:textId="77777777" w:rsidTr="001C41C6">
        <w:trPr>
          <w:trHeight w:val="946"/>
        </w:trPr>
        <w:tc>
          <w:tcPr>
            <w:tcW w:w="1140" w:type="pct"/>
            <w:tcBorders>
              <w:top w:val="thinThickSmallGap" w:sz="24" w:space="0" w:color="auto"/>
              <w:left w:val="thinThickSmallGap" w:sz="24" w:space="0" w:color="auto"/>
              <w:bottom w:val="thinThickSmallGap" w:sz="24" w:space="0" w:color="auto"/>
              <w:right w:val="thinThickSmallGap" w:sz="24" w:space="0" w:color="auto"/>
            </w:tcBorders>
            <w:vAlign w:val="center"/>
          </w:tcPr>
          <w:p w14:paraId="4F590555" w14:textId="77777777" w:rsidR="00457841" w:rsidRPr="00457841" w:rsidRDefault="00AB259A"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Recovery Filing 2010</w:t>
            </w:r>
          </w:p>
        </w:tc>
        <w:tc>
          <w:tcPr>
            <w:tcW w:w="2144" w:type="pct"/>
            <w:tcBorders>
              <w:top w:val="thinThickSmallGap" w:sz="24" w:space="0" w:color="auto"/>
              <w:left w:val="thinThickSmallGap" w:sz="24" w:space="0" w:color="auto"/>
              <w:bottom w:val="thinThickSmallGap" w:sz="24" w:space="0" w:color="auto"/>
              <w:right w:val="thinThickSmallGap" w:sz="24" w:space="0" w:color="auto"/>
            </w:tcBorders>
            <w:vAlign w:val="center"/>
          </w:tcPr>
          <w:p w14:paraId="4F590556" w14:textId="77777777" w:rsidR="00457841" w:rsidRPr="00457841" w:rsidRDefault="00457841" w:rsidP="00AB259A">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 xml:space="preserve">Request any Schedule 91 and 191Tariff changes with an effective date of July </w:t>
            </w:r>
            <w:r>
              <w:rPr>
                <w:rFonts w:eastAsia="Cambria" w:cs="Calibri"/>
                <w:color w:val="262626"/>
                <w:sz w:val="24"/>
                <w:szCs w:val="24"/>
              </w:rPr>
              <w:t>1</w:t>
            </w:r>
          </w:p>
        </w:tc>
        <w:tc>
          <w:tcPr>
            <w:tcW w:w="738" w:type="pct"/>
            <w:tcBorders>
              <w:top w:val="thinThickSmallGap" w:sz="24" w:space="0" w:color="auto"/>
              <w:left w:val="thinThickSmallGap" w:sz="24" w:space="0" w:color="auto"/>
              <w:bottom w:val="thinThickSmallGap" w:sz="24" w:space="0" w:color="auto"/>
              <w:right w:val="thinThickSmallGap" w:sz="24" w:space="0" w:color="auto"/>
            </w:tcBorders>
            <w:vAlign w:val="center"/>
          </w:tcPr>
          <w:p w14:paraId="4F590557"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May 1, 2011</w:t>
            </w:r>
          </w:p>
        </w:tc>
        <w:tc>
          <w:tcPr>
            <w:tcW w:w="978" w:type="pct"/>
            <w:tcBorders>
              <w:top w:val="thinThickSmallGap" w:sz="24" w:space="0" w:color="auto"/>
              <w:left w:val="thinThickSmallGap" w:sz="24" w:space="0" w:color="auto"/>
              <w:bottom w:val="thinThickSmallGap" w:sz="24" w:space="0" w:color="auto"/>
              <w:right w:val="thinThickSmallGap" w:sz="24" w:space="0" w:color="auto"/>
            </w:tcBorders>
            <w:vAlign w:val="center"/>
          </w:tcPr>
          <w:p w14:paraId="4F590558" w14:textId="77777777" w:rsidR="00457841" w:rsidRPr="00457841" w:rsidRDefault="00AB259A"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Both</w:t>
            </w:r>
          </w:p>
        </w:tc>
      </w:tr>
      <w:tr w:rsidR="00457841" w:rsidRPr="00457841" w14:paraId="4F59055E" w14:textId="77777777" w:rsidTr="001C41C6">
        <w:trPr>
          <w:trHeight w:val="560"/>
        </w:trPr>
        <w:tc>
          <w:tcPr>
            <w:tcW w:w="1140" w:type="pct"/>
            <w:tcBorders>
              <w:top w:val="thinThickSmallGap" w:sz="24" w:space="0" w:color="auto"/>
            </w:tcBorders>
            <w:vAlign w:val="center"/>
          </w:tcPr>
          <w:p w14:paraId="4F59055A"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Midyear Acquisition Report</w:t>
            </w:r>
            <w:r w:rsidR="00AB259A">
              <w:rPr>
                <w:rFonts w:eastAsia="Cambria" w:cs="Calibri"/>
                <w:color w:val="262626"/>
                <w:sz w:val="24"/>
                <w:szCs w:val="24"/>
              </w:rPr>
              <w:t xml:space="preserve"> 2011</w:t>
            </w:r>
          </w:p>
        </w:tc>
        <w:tc>
          <w:tcPr>
            <w:tcW w:w="2144" w:type="pct"/>
            <w:tcBorders>
              <w:top w:val="thinThickSmallGap" w:sz="24" w:space="0" w:color="auto"/>
            </w:tcBorders>
            <w:vAlign w:val="center"/>
          </w:tcPr>
          <w:p w14:paraId="4F59055B" w14:textId="77777777" w:rsidR="00457841" w:rsidRPr="00457841" w:rsidRDefault="00457841" w:rsidP="00AB259A">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Midyear acquisition report comparing actual to budgeted savings values</w:t>
            </w:r>
          </w:p>
        </w:tc>
        <w:tc>
          <w:tcPr>
            <w:tcW w:w="738" w:type="pct"/>
            <w:tcBorders>
              <w:top w:val="thinThickSmallGap" w:sz="24" w:space="0" w:color="auto"/>
            </w:tcBorders>
            <w:vAlign w:val="center"/>
          </w:tcPr>
          <w:p w14:paraId="4F59055C"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August 15, 201</w:t>
            </w:r>
            <w:r w:rsidR="00AB259A">
              <w:rPr>
                <w:rFonts w:eastAsia="Cambria" w:cs="Calibri"/>
                <w:color w:val="262626"/>
                <w:sz w:val="24"/>
                <w:szCs w:val="24"/>
              </w:rPr>
              <w:t>1</w:t>
            </w:r>
          </w:p>
        </w:tc>
        <w:tc>
          <w:tcPr>
            <w:tcW w:w="978" w:type="pct"/>
            <w:tcBorders>
              <w:top w:val="thinThickSmallGap" w:sz="24" w:space="0" w:color="auto"/>
            </w:tcBorders>
            <w:vAlign w:val="center"/>
          </w:tcPr>
          <w:p w14:paraId="4F59055D" w14:textId="77777777" w:rsidR="00457841" w:rsidRPr="00457841" w:rsidRDefault="00AB259A"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Both</w:t>
            </w:r>
          </w:p>
        </w:tc>
      </w:tr>
      <w:tr w:rsidR="00AB259A" w:rsidRPr="00457841" w14:paraId="4F590563" w14:textId="77777777" w:rsidTr="001558A6">
        <w:trPr>
          <w:trHeight w:val="946"/>
        </w:trPr>
        <w:tc>
          <w:tcPr>
            <w:tcW w:w="1140" w:type="pct"/>
            <w:vAlign w:val="center"/>
          </w:tcPr>
          <w:p w14:paraId="4F59055F" w14:textId="77777777" w:rsidR="00AB259A" w:rsidRPr="00457841" w:rsidRDefault="00AB259A" w:rsidP="001558A6">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Decoupling Evaluation Report</w:t>
            </w:r>
            <w:r>
              <w:rPr>
                <w:rFonts w:eastAsia="Cambria" w:cs="Calibri"/>
                <w:color w:val="262626"/>
                <w:sz w:val="24"/>
                <w:szCs w:val="24"/>
              </w:rPr>
              <w:t xml:space="preserve"> 2010</w:t>
            </w:r>
          </w:p>
        </w:tc>
        <w:tc>
          <w:tcPr>
            <w:tcW w:w="2144" w:type="pct"/>
            <w:vAlign w:val="center"/>
          </w:tcPr>
          <w:p w14:paraId="4F590560" w14:textId="77777777" w:rsidR="00AB259A" w:rsidRPr="00457841" w:rsidRDefault="00AB259A" w:rsidP="00AB259A">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Impact evaluation of gas savings for the previous calendar year with Realization rate by External Evaluators</w:t>
            </w:r>
          </w:p>
        </w:tc>
        <w:tc>
          <w:tcPr>
            <w:tcW w:w="738" w:type="pct"/>
            <w:vAlign w:val="center"/>
          </w:tcPr>
          <w:p w14:paraId="4F590561" w14:textId="77777777" w:rsidR="00AB259A" w:rsidRPr="00457841" w:rsidRDefault="00AB259A" w:rsidP="001558A6">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September 1, 2011</w:t>
            </w:r>
          </w:p>
        </w:tc>
        <w:tc>
          <w:tcPr>
            <w:tcW w:w="978" w:type="pct"/>
            <w:vAlign w:val="center"/>
          </w:tcPr>
          <w:p w14:paraId="4F590562" w14:textId="77777777" w:rsidR="00AB259A" w:rsidRPr="00457841" w:rsidRDefault="00AB259A" w:rsidP="001558A6">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Gas</w:t>
            </w:r>
          </w:p>
        </w:tc>
      </w:tr>
      <w:tr w:rsidR="00457841" w:rsidRPr="00457841" w14:paraId="4F590568" w14:textId="77777777" w:rsidTr="00EE5D26">
        <w:trPr>
          <w:trHeight w:val="2146"/>
        </w:trPr>
        <w:tc>
          <w:tcPr>
            <w:tcW w:w="1140" w:type="pct"/>
            <w:vAlign w:val="center"/>
          </w:tcPr>
          <w:p w14:paraId="4F590564"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lastRenderedPageBreak/>
              <w:t>Biennial Conservation Plan</w:t>
            </w:r>
            <w:r w:rsidR="00AB259A">
              <w:rPr>
                <w:rFonts w:eastAsia="Cambria" w:cs="Calibri"/>
                <w:color w:val="262626"/>
                <w:sz w:val="24"/>
                <w:szCs w:val="24"/>
              </w:rPr>
              <w:t xml:space="preserve"> 2012-2013</w:t>
            </w:r>
          </w:p>
        </w:tc>
        <w:tc>
          <w:tcPr>
            <w:tcW w:w="2144" w:type="pct"/>
            <w:vAlign w:val="center"/>
          </w:tcPr>
          <w:p w14:paraId="4F590565" w14:textId="77777777" w:rsidR="00457841" w:rsidRPr="00457841" w:rsidRDefault="00457841" w:rsidP="00AB259A">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A Biennial Conservation Plan including revised program details and program tariffs, together with identification of the 10 year achievable conservation potential, by November 1,  requesting effective date of January 1, the following year.</w:t>
            </w:r>
          </w:p>
        </w:tc>
        <w:tc>
          <w:tcPr>
            <w:tcW w:w="738" w:type="pct"/>
            <w:vAlign w:val="center"/>
          </w:tcPr>
          <w:p w14:paraId="4F590566"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November 1</w:t>
            </w:r>
            <w:r w:rsidR="00AB259A">
              <w:rPr>
                <w:rFonts w:eastAsia="Cambria" w:cs="Calibri"/>
                <w:color w:val="262626"/>
                <w:sz w:val="24"/>
                <w:szCs w:val="24"/>
              </w:rPr>
              <w:t>, 2011</w:t>
            </w:r>
          </w:p>
        </w:tc>
        <w:tc>
          <w:tcPr>
            <w:tcW w:w="978" w:type="pct"/>
            <w:vAlign w:val="center"/>
          </w:tcPr>
          <w:p w14:paraId="4F590567" w14:textId="77777777" w:rsidR="00457841" w:rsidRPr="00457841" w:rsidRDefault="00AB259A"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Both</w:t>
            </w:r>
          </w:p>
        </w:tc>
      </w:tr>
      <w:tr w:rsidR="00457841" w:rsidRPr="00457841" w14:paraId="4F59056E" w14:textId="77777777" w:rsidTr="00EE5D26">
        <w:trPr>
          <w:trHeight w:val="1277"/>
        </w:trPr>
        <w:tc>
          <w:tcPr>
            <w:tcW w:w="1140" w:type="pct"/>
            <w:vAlign w:val="center"/>
          </w:tcPr>
          <w:p w14:paraId="4F590569"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Biennial Acquisition Report</w:t>
            </w:r>
            <w:r w:rsidR="00AB259A">
              <w:rPr>
                <w:rFonts w:eastAsia="Cambria" w:cs="Calibri"/>
                <w:color w:val="262626"/>
                <w:sz w:val="24"/>
                <w:szCs w:val="24"/>
              </w:rPr>
              <w:t xml:space="preserve"> 2010-2011</w:t>
            </w:r>
          </w:p>
        </w:tc>
        <w:tc>
          <w:tcPr>
            <w:tcW w:w="2144" w:type="pct"/>
            <w:vAlign w:val="center"/>
          </w:tcPr>
          <w:p w14:paraId="4F59056A"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A two-year report on conservation program achievement by June 1, every two years starting in 2012.</w:t>
            </w:r>
          </w:p>
          <w:p w14:paraId="4F59056B"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p>
        </w:tc>
        <w:tc>
          <w:tcPr>
            <w:tcW w:w="738" w:type="pct"/>
            <w:vAlign w:val="center"/>
          </w:tcPr>
          <w:p w14:paraId="4F59056C" w14:textId="77777777" w:rsidR="00457841" w:rsidRPr="00457841" w:rsidRDefault="00457841" w:rsidP="003D2281">
            <w:pPr>
              <w:keepNext/>
              <w:keepLines/>
              <w:autoSpaceDE w:val="0"/>
              <w:autoSpaceDN w:val="0"/>
              <w:adjustRightInd w:val="0"/>
              <w:jc w:val="center"/>
              <w:rPr>
                <w:rFonts w:eastAsia="Cambria" w:cs="Calibri"/>
                <w:color w:val="262626"/>
                <w:sz w:val="24"/>
                <w:szCs w:val="24"/>
              </w:rPr>
            </w:pPr>
            <w:r w:rsidRPr="00457841">
              <w:rPr>
                <w:rFonts w:eastAsia="Cambria" w:cs="Calibri"/>
                <w:color w:val="262626"/>
                <w:sz w:val="24"/>
                <w:szCs w:val="24"/>
              </w:rPr>
              <w:t>June 1</w:t>
            </w:r>
            <w:r w:rsidR="00AB259A">
              <w:rPr>
                <w:rFonts w:eastAsia="Cambria" w:cs="Calibri"/>
                <w:color w:val="262626"/>
                <w:sz w:val="24"/>
                <w:szCs w:val="24"/>
              </w:rPr>
              <w:t>, 2012</w:t>
            </w:r>
          </w:p>
        </w:tc>
        <w:tc>
          <w:tcPr>
            <w:tcW w:w="978" w:type="pct"/>
            <w:vAlign w:val="center"/>
          </w:tcPr>
          <w:p w14:paraId="4F59056D" w14:textId="77777777" w:rsidR="00457841" w:rsidRPr="00457841" w:rsidRDefault="00AB259A" w:rsidP="003D2281">
            <w:pPr>
              <w:keepNext/>
              <w:keepLines/>
              <w:autoSpaceDE w:val="0"/>
              <w:autoSpaceDN w:val="0"/>
              <w:adjustRightInd w:val="0"/>
              <w:jc w:val="center"/>
              <w:rPr>
                <w:rFonts w:eastAsia="Cambria" w:cs="Calibri"/>
                <w:color w:val="262626"/>
                <w:sz w:val="24"/>
                <w:szCs w:val="24"/>
              </w:rPr>
            </w:pPr>
            <w:r>
              <w:rPr>
                <w:rFonts w:eastAsia="Cambria" w:cs="Calibri"/>
                <w:color w:val="262626"/>
                <w:sz w:val="24"/>
                <w:szCs w:val="24"/>
              </w:rPr>
              <w:t>Both</w:t>
            </w:r>
          </w:p>
        </w:tc>
      </w:tr>
    </w:tbl>
    <w:p w14:paraId="4F59056F" w14:textId="77777777" w:rsidR="002C039A" w:rsidRPr="00457841" w:rsidRDefault="002C039A" w:rsidP="00AD3312">
      <w:pPr>
        <w:rPr>
          <w:sz w:val="24"/>
          <w:szCs w:val="24"/>
        </w:rPr>
      </w:pPr>
    </w:p>
    <w:sectPr w:rsidR="002C039A" w:rsidRPr="00457841" w:rsidSect="00EE5D26">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90572" w14:textId="77777777" w:rsidR="00B13837" w:rsidRDefault="00B13837" w:rsidP="001B50C4">
      <w:r>
        <w:separator/>
      </w:r>
    </w:p>
  </w:endnote>
  <w:endnote w:type="continuationSeparator" w:id="0">
    <w:p w14:paraId="4F590573" w14:textId="77777777" w:rsidR="00B13837" w:rsidRDefault="00B13837" w:rsidP="001B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90570" w14:textId="77777777" w:rsidR="00B13837" w:rsidRDefault="00B13837" w:rsidP="001B50C4">
      <w:r>
        <w:separator/>
      </w:r>
    </w:p>
  </w:footnote>
  <w:footnote w:type="continuationSeparator" w:id="0">
    <w:p w14:paraId="4F590571" w14:textId="77777777" w:rsidR="00B13837" w:rsidRDefault="00B13837" w:rsidP="001B5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90574" w14:textId="77777777" w:rsidR="001B50C4" w:rsidRPr="001B50C4" w:rsidRDefault="00E3577B" w:rsidP="001B50C4">
    <w:pPr>
      <w:pStyle w:val="Header"/>
      <w:tabs>
        <w:tab w:val="center" w:pos="6480"/>
        <w:tab w:val="right" w:pos="12960"/>
      </w:tabs>
      <w:rPr>
        <w:b/>
        <w:sz w:val="28"/>
        <w:szCs w:val="28"/>
      </w:rPr>
    </w:pPr>
    <w:r w:rsidRPr="00E3577B">
      <w:rPr>
        <w:sz w:val="24"/>
        <w:szCs w:val="24"/>
      </w:rPr>
      <w:t>Docket</w:t>
    </w:r>
    <w:r w:rsidR="007F7FB5">
      <w:rPr>
        <w:sz w:val="24"/>
        <w:szCs w:val="24"/>
      </w:rPr>
      <w:t>s</w:t>
    </w:r>
    <w:r w:rsidRPr="00E3577B">
      <w:rPr>
        <w:sz w:val="24"/>
        <w:szCs w:val="24"/>
      </w:rPr>
      <w:t xml:space="preserve"> UG-110790</w:t>
    </w:r>
    <w:r w:rsidR="007F7FB5">
      <w:rPr>
        <w:sz w:val="24"/>
        <w:szCs w:val="24"/>
      </w:rPr>
      <w:t xml:space="preserve"> &amp; UE-100176</w:t>
    </w:r>
    <w:r w:rsidR="001B50C4" w:rsidRPr="00E3577B">
      <w:rPr>
        <w:sz w:val="24"/>
        <w:szCs w:val="24"/>
      </w:rPr>
      <w:tab/>
    </w:r>
    <w:r w:rsidR="007F7FB5">
      <w:rPr>
        <w:sz w:val="24"/>
        <w:szCs w:val="24"/>
      </w:rPr>
      <w:tab/>
    </w:r>
    <w:r w:rsidR="001B50C4" w:rsidRPr="001B50C4">
      <w:rPr>
        <w:b/>
        <w:sz w:val="28"/>
        <w:szCs w:val="28"/>
      </w:rPr>
      <w:t>Attachment 1 – Avista Timeline of Filings</w:t>
    </w:r>
    <w:r w:rsidR="001B50C4">
      <w:rPr>
        <w:b/>
        <w:sz w:val="28"/>
        <w:szCs w:val="28"/>
      </w:rPr>
      <w:tab/>
    </w:r>
    <w:r w:rsidR="001B50C4" w:rsidRPr="001B50C4">
      <w:rPr>
        <w:sz w:val="24"/>
        <w:szCs w:val="24"/>
      </w:rPr>
      <w:t xml:space="preserve">Page </w:t>
    </w:r>
    <w:r w:rsidR="00CD4A31" w:rsidRPr="001B50C4">
      <w:rPr>
        <w:sz w:val="24"/>
        <w:szCs w:val="24"/>
      </w:rPr>
      <w:fldChar w:fldCharType="begin"/>
    </w:r>
    <w:r w:rsidR="001B50C4" w:rsidRPr="001B50C4">
      <w:rPr>
        <w:sz w:val="24"/>
        <w:szCs w:val="24"/>
      </w:rPr>
      <w:instrText xml:space="preserve"> PAGE   \* MERGEFORMAT </w:instrText>
    </w:r>
    <w:r w:rsidR="00CD4A31" w:rsidRPr="001B50C4">
      <w:rPr>
        <w:sz w:val="24"/>
        <w:szCs w:val="24"/>
      </w:rPr>
      <w:fldChar w:fldCharType="separate"/>
    </w:r>
    <w:r w:rsidR="00090673">
      <w:rPr>
        <w:noProof/>
        <w:sz w:val="24"/>
        <w:szCs w:val="24"/>
      </w:rPr>
      <w:t>2</w:t>
    </w:r>
    <w:r w:rsidR="00CD4A31" w:rsidRPr="001B50C4">
      <w:rPr>
        <w:sz w:val="24"/>
        <w:szCs w:val="24"/>
      </w:rPr>
      <w:fldChar w:fldCharType="end"/>
    </w:r>
  </w:p>
  <w:p w14:paraId="4F590575" w14:textId="77777777" w:rsidR="001B50C4" w:rsidRDefault="001B50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841"/>
    <w:rsid w:val="000006F2"/>
    <w:rsid w:val="00067410"/>
    <w:rsid w:val="00090673"/>
    <w:rsid w:val="000E640C"/>
    <w:rsid w:val="00191845"/>
    <w:rsid w:val="001B50C4"/>
    <w:rsid w:val="001C41C6"/>
    <w:rsid w:val="001C5AB1"/>
    <w:rsid w:val="002702FE"/>
    <w:rsid w:val="002A180A"/>
    <w:rsid w:val="002C039A"/>
    <w:rsid w:val="003137B2"/>
    <w:rsid w:val="003709C8"/>
    <w:rsid w:val="003B33C6"/>
    <w:rsid w:val="003E038A"/>
    <w:rsid w:val="00457841"/>
    <w:rsid w:val="00471C7C"/>
    <w:rsid w:val="004B1A95"/>
    <w:rsid w:val="005415E4"/>
    <w:rsid w:val="00552600"/>
    <w:rsid w:val="005A6C74"/>
    <w:rsid w:val="006421AE"/>
    <w:rsid w:val="00672F7B"/>
    <w:rsid w:val="006939F7"/>
    <w:rsid w:val="006A41EE"/>
    <w:rsid w:val="00725C05"/>
    <w:rsid w:val="007C564D"/>
    <w:rsid w:val="007F7FB5"/>
    <w:rsid w:val="00865E3F"/>
    <w:rsid w:val="008D2A76"/>
    <w:rsid w:val="00926806"/>
    <w:rsid w:val="009C7850"/>
    <w:rsid w:val="00A5099A"/>
    <w:rsid w:val="00A84C2A"/>
    <w:rsid w:val="00AB259A"/>
    <w:rsid w:val="00AB378C"/>
    <w:rsid w:val="00AD3312"/>
    <w:rsid w:val="00AF43EA"/>
    <w:rsid w:val="00B00624"/>
    <w:rsid w:val="00B13041"/>
    <w:rsid w:val="00B13837"/>
    <w:rsid w:val="00B1574A"/>
    <w:rsid w:val="00C97FFD"/>
    <w:rsid w:val="00CD4A31"/>
    <w:rsid w:val="00CD6688"/>
    <w:rsid w:val="00DA1B86"/>
    <w:rsid w:val="00DA3F77"/>
    <w:rsid w:val="00DD2A47"/>
    <w:rsid w:val="00E2757B"/>
    <w:rsid w:val="00E3577B"/>
    <w:rsid w:val="00E74A9B"/>
    <w:rsid w:val="00E76203"/>
    <w:rsid w:val="00EE5D26"/>
    <w:rsid w:val="00F02DE5"/>
    <w:rsid w:val="00F21B68"/>
    <w:rsid w:val="00F3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59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84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rsid w:val="00E2757B"/>
  </w:style>
  <w:style w:type="character" w:customStyle="1" w:styleId="FootnoteTextChar">
    <w:name w:val="Footnote Text Char"/>
    <w:basedOn w:val="DefaultParagraphFont"/>
    <w:link w:val="FootnoteText"/>
    <w:rsid w:val="00E2757B"/>
  </w:style>
  <w:style w:type="paragraph" w:styleId="ListParagraph">
    <w:name w:val="List Paragraph"/>
    <w:basedOn w:val="Normal"/>
    <w:uiPriority w:val="34"/>
    <w:qFormat/>
    <w:rsid w:val="00C97FFD"/>
    <w:pPr>
      <w:ind w:left="720"/>
      <w:contextualSpacing/>
    </w:pPr>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457841"/>
  </w:style>
  <w:style w:type="paragraph" w:styleId="CommentText">
    <w:name w:val="annotation text"/>
    <w:basedOn w:val="Normal"/>
    <w:link w:val="CommentTextChar"/>
    <w:uiPriority w:val="99"/>
    <w:semiHidden/>
    <w:rsid w:val="00457841"/>
  </w:style>
  <w:style w:type="character" w:customStyle="1" w:styleId="CommentTextChar1">
    <w:name w:val="Comment Text Char1"/>
    <w:basedOn w:val="DefaultParagraphFont"/>
    <w:uiPriority w:val="99"/>
    <w:semiHidden/>
    <w:rsid w:val="00457841"/>
  </w:style>
  <w:style w:type="character" w:styleId="CommentReference">
    <w:name w:val="annotation reference"/>
    <w:basedOn w:val="DefaultParagraphFont"/>
    <w:uiPriority w:val="99"/>
    <w:rsid w:val="00457841"/>
    <w:rPr>
      <w:sz w:val="18"/>
      <w:szCs w:val="18"/>
    </w:rPr>
  </w:style>
  <w:style w:type="paragraph" w:styleId="BalloonText">
    <w:name w:val="Balloon Text"/>
    <w:basedOn w:val="Normal"/>
    <w:link w:val="BalloonTextChar"/>
    <w:uiPriority w:val="99"/>
    <w:semiHidden/>
    <w:unhideWhenUsed/>
    <w:rsid w:val="00457841"/>
    <w:rPr>
      <w:rFonts w:ascii="Tahoma" w:hAnsi="Tahoma" w:cs="Tahoma"/>
      <w:sz w:val="16"/>
      <w:szCs w:val="16"/>
    </w:rPr>
  </w:style>
  <w:style w:type="character" w:customStyle="1" w:styleId="BalloonTextChar">
    <w:name w:val="Balloon Text Char"/>
    <w:basedOn w:val="DefaultParagraphFont"/>
    <w:link w:val="BalloonText"/>
    <w:uiPriority w:val="99"/>
    <w:semiHidden/>
    <w:rsid w:val="00457841"/>
    <w:rPr>
      <w:rFonts w:ascii="Tahoma" w:hAnsi="Tahoma" w:cs="Tahoma"/>
      <w:sz w:val="16"/>
      <w:szCs w:val="16"/>
    </w:rPr>
  </w:style>
  <w:style w:type="paragraph" w:styleId="Header">
    <w:name w:val="header"/>
    <w:basedOn w:val="Normal"/>
    <w:link w:val="HeaderChar"/>
    <w:uiPriority w:val="99"/>
    <w:semiHidden/>
    <w:unhideWhenUsed/>
    <w:rsid w:val="001B50C4"/>
    <w:pPr>
      <w:tabs>
        <w:tab w:val="center" w:pos="4680"/>
        <w:tab w:val="right" w:pos="9360"/>
      </w:tabs>
    </w:pPr>
  </w:style>
  <w:style w:type="character" w:customStyle="1" w:styleId="HeaderChar">
    <w:name w:val="Header Char"/>
    <w:basedOn w:val="DefaultParagraphFont"/>
    <w:link w:val="Header"/>
    <w:uiPriority w:val="99"/>
    <w:semiHidden/>
    <w:rsid w:val="001B50C4"/>
  </w:style>
  <w:style w:type="paragraph" w:styleId="Footer">
    <w:name w:val="footer"/>
    <w:basedOn w:val="Normal"/>
    <w:link w:val="FooterChar"/>
    <w:uiPriority w:val="99"/>
    <w:semiHidden/>
    <w:unhideWhenUsed/>
    <w:rsid w:val="001B50C4"/>
    <w:pPr>
      <w:tabs>
        <w:tab w:val="center" w:pos="4680"/>
        <w:tab w:val="right" w:pos="9360"/>
      </w:tabs>
    </w:pPr>
  </w:style>
  <w:style w:type="character" w:customStyle="1" w:styleId="FooterChar">
    <w:name w:val="Footer Char"/>
    <w:basedOn w:val="DefaultParagraphFont"/>
    <w:link w:val="Footer"/>
    <w:uiPriority w:val="99"/>
    <w:semiHidden/>
    <w:rsid w:val="001B50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841"/>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B8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rsid w:val="00E2757B"/>
  </w:style>
  <w:style w:type="character" w:customStyle="1" w:styleId="FootnoteTextChar">
    <w:name w:val="Footnote Text Char"/>
    <w:basedOn w:val="DefaultParagraphFont"/>
    <w:link w:val="FootnoteText"/>
    <w:rsid w:val="00E2757B"/>
  </w:style>
  <w:style w:type="paragraph" w:styleId="ListParagraph">
    <w:name w:val="List Paragraph"/>
    <w:basedOn w:val="Normal"/>
    <w:uiPriority w:val="34"/>
    <w:qFormat/>
    <w:rsid w:val="00C97FFD"/>
    <w:pPr>
      <w:ind w:left="720"/>
      <w:contextualSpacing/>
    </w:pPr>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457841"/>
  </w:style>
  <w:style w:type="paragraph" w:styleId="CommentText">
    <w:name w:val="annotation text"/>
    <w:basedOn w:val="Normal"/>
    <w:link w:val="CommentTextChar"/>
    <w:uiPriority w:val="99"/>
    <w:semiHidden/>
    <w:rsid w:val="00457841"/>
  </w:style>
  <w:style w:type="character" w:customStyle="1" w:styleId="CommentTextChar1">
    <w:name w:val="Comment Text Char1"/>
    <w:basedOn w:val="DefaultParagraphFont"/>
    <w:uiPriority w:val="99"/>
    <w:semiHidden/>
    <w:rsid w:val="00457841"/>
  </w:style>
  <w:style w:type="character" w:styleId="CommentReference">
    <w:name w:val="annotation reference"/>
    <w:basedOn w:val="DefaultParagraphFont"/>
    <w:uiPriority w:val="99"/>
    <w:rsid w:val="00457841"/>
    <w:rPr>
      <w:sz w:val="18"/>
      <w:szCs w:val="18"/>
    </w:rPr>
  </w:style>
  <w:style w:type="paragraph" w:styleId="BalloonText">
    <w:name w:val="Balloon Text"/>
    <w:basedOn w:val="Normal"/>
    <w:link w:val="BalloonTextChar"/>
    <w:uiPriority w:val="99"/>
    <w:semiHidden/>
    <w:unhideWhenUsed/>
    <w:rsid w:val="00457841"/>
    <w:rPr>
      <w:rFonts w:ascii="Tahoma" w:hAnsi="Tahoma" w:cs="Tahoma"/>
      <w:sz w:val="16"/>
      <w:szCs w:val="16"/>
    </w:rPr>
  </w:style>
  <w:style w:type="character" w:customStyle="1" w:styleId="BalloonTextChar">
    <w:name w:val="Balloon Text Char"/>
    <w:basedOn w:val="DefaultParagraphFont"/>
    <w:link w:val="BalloonText"/>
    <w:uiPriority w:val="99"/>
    <w:semiHidden/>
    <w:rsid w:val="00457841"/>
    <w:rPr>
      <w:rFonts w:ascii="Tahoma" w:hAnsi="Tahoma" w:cs="Tahoma"/>
      <w:sz w:val="16"/>
      <w:szCs w:val="16"/>
    </w:rPr>
  </w:style>
  <w:style w:type="paragraph" w:styleId="Header">
    <w:name w:val="header"/>
    <w:basedOn w:val="Normal"/>
    <w:link w:val="HeaderChar"/>
    <w:uiPriority w:val="99"/>
    <w:semiHidden/>
    <w:unhideWhenUsed/>
    <w:rsid w:val="001B50C4"/>
    <w:pPr>
      <w:tabs>
        <w:tab w:val="center" w:pos="4680"/>
        <w:tab w:val="right" w:pos="9360"/>
      </w:tabs>
    </w:pPr>
  </w:style>
  <w:style w:type="character" w:customStyle="1" w:styleId="HeaderChar">
    <w:name w:val="Header Char"/>
    <w:basedOn w:val="DefaultParagraphFont"/>
    <w:link w:val="Header"/>
    <w:uiPriority w:val="99"/>
    <w:semiHidden/>
    <w:rsid w:val="001B50C4"/>
  </w:style>
  <w:style w:type="paragraph" w:styleId="Footer">
    <w:name w:val="footer"/>
    <w:basedOn w:val="Normal"/>
    <w:link w:val="FooterChar"/>
    <w:uiPriority w:val="99"/>
    <w:semiHidden/>
    <w:unhideWhenUsed/>
    <w:rsid w:val="001B50C4"/>
    <w:pPr>
      <w:tabs>
        <w:tab w:val="center" w:pos="4680"/>
        <w:tab w:val="right" w:pos="9360"/>
      </w:tabs>
    </w:pPr>
  </w:style>
  <w:style w:type="character" w:customStyle="1" w:styleId="FooterChar">
    <w:name w:val="Footer Char"/>
    <w:basedOn w:val="DefaultParagraphFont"/>
    <w:link w:val="Footer"/>
    <w:uiPriority w:val="99"/>
    <w:semiHidden/>
    <w:rsid w:val="001B5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UG</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2011-04-29T07:00:00+00:00</OpenedDate>
    <Date1 xmlns="dc463f71-b30c-4ab2-9473-d307f9d35888">2011-06-30T07:00:00+00:00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110790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ED07C1574D35E45974FB9C6629D749F" ma:contentTypeVersion="143" ma:contentTypeDescription="" ma:contentTypeScope="" ma:versionID="c3ad925df3c4790dfa6042161e77f5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1307835-F48B-4B65-8594-7380588DA5D3}"/>
</file>

<file path=customXml/itemProps2.xml><?xml version="1.0" encoding="utf-8"?>
<ds:datastoreItem xmlns:ds="http://schemas.openxmlformats.org/officeDocument/2006/customXml" ds:itemID="{E8406DFE-343F-4FBE-B204-5B86B81F03A0}"/>
</file>

<file path=customXml/itemProps3.xml><?xml version="1.0" encoding="utf-8"?>
<ds:datastoreItem xmlns:ds="http://schemas.openxmlformats.org/officeDocument/2006/customXml" ds:itemID="{169A0647-2839-4C79-B2F1-C579985F8717}"/>
</file>

<file path=customXml/itemProps4.xml><?xml version="1.0" encoding="utf-8"?>
<ds:datastoreItem xmlns:ds="http://schemas.openxmlformats.org/officeDocument/2006/customXml" ds:itemID="{242B02F9-1B75-4882-8ECC-E10F3DADED9F}"/>
</file>

<file path=customXml/itemProps5.xml><?xml version="1.0" encoding="utf-8"?>
<ds:datastoreItem xmlns:ds="http://schemas.openxmlformats.org/officeDocument/2006/customXml" ds:itemID="{20842A97-3345-4DC0-B6C3-B6E6510A471A}"/>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Reynolds</dc:creator>
  <cp:keywords/>
  <dc:description/>
  <cp:lastModifiedBy>Catherine Taliaferro</cp:lastModifiedBy>
  <cp:revision>2</cp:revision>
  <dcterms:created xsi:type="dcterms:W3CDTF">2011-06-28T16:03:00Z</dcterms:created>
  <dcterms:modified xsi:type="dcterms:W3CDTF">2011-06-28T16:03:00Z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0x0101006E56B4D1795A2E4DB2F0B01679ED314A00EED07C1574D35E45974FB9C6629D749F</vt:lpwstr>
  </property>
  <property fmtid="{D5CDD505-2E9C-101B-9397-08002B2CF9AE}" pid="3" name="_docset_NoMedatataSyncRequired">
    <vt:lpwstr>False</vt:lpwstr>
  </property>
</Properties>
</file>