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7E" w:rsidRDefault="00BB567E">
      <w:pPr>
        <w:pStyle w:val="Heading1"/>
      </w:pPr>
      <w:r>
        <w:t xml:space="preserve">Item 100 – Residential Service </w:t>
      </w:r>
      <w:proofErr w:type="gramStart"/>
      <w:r>
        <w:t>--  Monthly</w:t>
      </w:r>
      <w:proofErr w:type="gramEnd"/>
      <w:r>
        <w:t xml:space="preserve"> Rates (continued on next page)</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BB567E" w:rsidRDefault="00BB567E">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BB567E" w:rsidRDefault="00BB567E">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BB567E" w:rsidRDefault="00BB567E">
      <w:pPr>
        <w:pStyle w:val="BodyTextIndent"/>
        <w:tabs>
          <w:tab w:val="clear" w:pos="720"/>
          <w:tab w:val="left" w:pos="360"/>
        </w:tabs>
        <w:ind w:left="360" w:hanging="360"/>
        <w:jc w:val="left"/>
        <w:rPr>
          <w:szCs w:val="20"/>
        </w:rPr>
      </w:pPr>
    </w:p>
    <w:p w:rsidR="00BB567E" w:rsidRDefault="00BB567E">
      <w:pPr>
        <w:pStyle w:val="BodyTextIndent"/>
        <w:tabs>
          <w:tab w:val="clear" w:pos="720"/>
          <w:tab w:val="left" w:pos="360"/>
        </w:tabs>
        <w:ind w:left="360" w:hanging="360"/>
        <w:jc w:val="left"/>
        <w:rPr>
          <w:szCs w:val="20"/>
        </w:rPr>
      </w:pPr>
      <w:r>
        <w:rPr>
          <w:szCs w:val="20"/>
        </w:rPr>
        <w:tab/>
        <w:t>Rates below apply in the following service area:</w:t>
      </w:r>
    </w:p>
    <w:p w:rsidR="00BB567E" w:rsidRDefault="00BB567E">
      <w:pPr>
        <w:pStyle w:val="BodyTextIndent"/>
        <w:tabs>
          <w:tab w:val="clear" w:pos="720"/>
          <w:tab w:val="left" w:pos="360"/>
        </w:tabs>
        <w:ind w:left="360" w:hanging="360"/>
        <w:jc w:val="left"/>
        <w:rPr>
          <w:szCs w:val="20"/>
        </w:rPr>
      </w:pPr>
    </w:p>
    <w:p w:rsidR="00BB567E" w:rsidRDefault="00BB567E">
      <w:pPr>
        <w:pStyle w:val="BodyTextIndent"/>
        <w:tabs>
          <w:tab w:val="clear" w:pos="720"/>
          <w:tab w:val="left" w:pos="360"/>
        </w:tabs>
        <w:ind w:left="360" w:hanging="360"/>
        <w:jc w:val="left"/>
        <w:rPr>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1001"/>
        <w:gridCol w:w="1001"/>
        <w:gridCol w:w="1001"/>
        <w:gridCol w:w="1001"/>
        <w:gridCol w:w="236"/>
        <w:gridCol w:w="1152"/>
        <w:gridCol w:w="1002"/>
        <w:gridCol w:w="1002"/>
        <w:gridCol w:w="1002"/>
        <w:gridCol w:w="1002"/>
      </w:tblGrid>
      <w:tr w:rsidR="00BB567E">
        <w:tblPrEx>
          <w:tblCellMar>
            <w:top w:w="0" w:type="dxa"/>
            <w:bottom w:w="0" w:type="dxa"/>
          </w:tblCellMar>
        </w:tblPrEx>
        <w:tc>
          <w:tcPr>
            <w:tcW w:w="115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Number of Units or Type of Container</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Frequency of Service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Garbage Service Rate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Recycle Service Rate</w:t>
            </w:r>
          </w:p>
        </w:tc>
        <w:tc>
          <w:tcPr>
            <w:tcW w:w="1001"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Yardwaste Service Rate</w:t>
            </w:r>
          </w:p>
        </w:tc>
        <w:tc>
          <w:tcPr>
            <w:tcW w:w="236" w:type="dxa"/>
            <w:tcBorders>
              <w:top w:val="nil"/>
              <w:bottom w:val="nil"/>
            </w:tcBorders>
            <w:vAlign w:val="bottom"/>
          </w:tcPr>
          <w:p w:rsidR="00BB567E" w:rsidRDefault="00BB567E">
            <w:pPr>
              <w:pStyle w:val="BodyTextIndent"/>
              <w:tabs>
                <w:tab w:val="clear" w:pos="720"/>
                <w:tab w:val="left" w:pos="360"/>
              </w:tabs>
              <w:ind w:left="0" w:firstLine="0"/>
              <w:jc w:val="center"/>
              <w:rPr>
                <w:sz w:val="16"/>
                <w:szCs w:val="20"/>
              </w:rPr>
            </w:pPr>
          </w:p>
        </w:tc>
        <w:tc>
          <w:tcPr>
            <w:tcW w:w="115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Number of Units or Type of Container</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Frequency of Service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Garbage Service Rate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Recycle Service Rate</w:t>
            </w:r>
          </w:p>
        </w:tc>
        <w:tc>
          <w:tcPr>
            <w:tcW w:w="1002" w:type="dxa"/>
            <w:vAlign w:val="bottom"/>
          </w:tcPr>
          <w:p w:rsidR="00BB567E" w:rsidRDefault="00BB567E">
            <w:pPr>
              <w:pStyle w:val="BodyTextIndent"/>
              <w:tabs>
                <w:tab w:val="clear" w:pos="720"/>
                <w:tab w:val="left" w:pos="360"/>
              </w:tabs>
              <w:ind w:left="0" w:firstLine="0"/>
              <w:jc w:val="center"/>
              <w:rPr>
                <w:sz w:val="16"/>
                <w:szCs w:val="20"/>
              </w:rPr>
            </w:pPr>
            <w:r>
              <w:rPr>
                <w:sz w:val="16"/>
                <w:szCs w:val="20"/>
              </w:rPr>
              <w:t>Yardwaste Service Rate</w:t>
            </w: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Micro-mini</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 xml:space="preserve">$ </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11004B">
              <w:rPr>
                <w:sz w:val="20"/>
                <w:szCs w:val="20"/>
                <w:lang w:val="fr-FR"/>
              </w:rPr>
              <w:t>D</w:t>
            </w:r>
            <w:r>
              <w:rPr>
                <w:sz w:val="20"/>
                <w:szCs w:val="20"/>
                <w:lang w:val="fr-FR"/>
              </w:rPr>
              <w:t>)</w:t>
            </w: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lang w:val="fr-FR"/>
              </w:rPr>
            </w:pPr>
          </w:p>
        </w:tc>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6 Cans</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B96AA5">
              <w:rPr>
                <w:sz w:val="20"/>
                <w:szCs w:val="20"/>
                <w:lang w:val="fr-FR"/>
              </w:rPr>
              <w:t>4</w:t>
            </w:r>
            <w:r w:rsidR="002B2296">
              <w:rPr>
                <w:sz w:val="20"/>
                <w:szCs w:val="20"/>
                <w:lang w:val="fr-FR"/>
              </w:rPr>
              <w:t>7.18</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(A)</w:t>
            </w:r>
          </w:p>
        </w:tc>
        <w:tc>
          <w:tcPr>
            <w:tcW w:w="1002" w:type="dxa"/>
          </w:tcPr>
          <w:p w:rsidR="00BB567E" w:rsidRDefault="00BB567E">
            <w:pPr>
              <w:pStyle w:val="BodyTextIndent"/>
              <w:tabs>
                <w:tab w:val="clear" w:pos="720"/>
                <w:tab w:val="left" w:pos="360"/>
              </w:tabs>
              <w:ind w:left="0" w:firstLine="0"/>
              <w:jc w:val="left"/>
              <w:rPr>
                <w:sz w:val="20"/>
                <w:szCs w:val="20"/>
                <w:lang w:val="fr-FR"/>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Minican</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WG</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p>
        </w:tc>
        <w:tc>
          <w:tcPr>
            <w:tcW w:w="1001"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w:t>
            </w:r>
            <w:r w:rsidR="0011004B">
              <w:rPr>
                <w:sz w:val="20"/>
                <w:szCs w:val="20"/>
                <w:lang w:val="fr-FR"/>
              </w:rPr>
              <w:t>D</w:t>
            </w:r>
          </w:p>
        </w:tc>
        <w:tc>
          <w:tcPr>
            <w:tcW w:w="1001" w:type="dxa"/>
          </w:tcPr>
          <w:p w:rsidR="00BB567E" w:rsidRDefault="00BB567E">
            <w:pPr>
              <w:pStyle w:val="BodyTextIndent"/>
              <w:tabs>
                <w:tab w:val="clear" w:pos="720"/>
                <w:tab w:val="left" w:pos="360"/>
              </w:tabs>
              <w:ind w:left="0" w:firstLine="0"/>
              <w:jc w:val="left"/>
              <w:rPr>
                <w:sz w:val="20"/>
                <w:szCs w:val="20"/>
                <w:lang w:val="fr-FR"/>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lang w:val="fr-FR"/>
              </w:rPr>
            </w:pPr>
          </w:p>
        </w:tc>
        <w:tc>
          <w:tcPr>
            <w:tcW w:w="115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45 Gal Can</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MG</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$12.</w:t>
            </w:r>
            <w:r w:rsidR="002B2296">
              <w:rPr>
                <w:sz w:val="20"/>
                <w:szCs w:val="20"/>
                <w:lang w:val="fr-FR"/>
              </w:rPr>
              <w:t>46</w:t>
            </w:r>
          </w:p>
        </w:tc>
        <w:tc>
          <w:tcPr>
            <w:tcW w:w="1002" w:type="dxa"/>
          </w:tcPr>
          <w:p w:rsidR="00BB567E" w:rsidRDefault="00BB567E">
            <w:pPr>
              <w:pStyle w:val="BodyTextIndent"/>
              <w:tabs>
                <w:tab w:val="clear" w:pos="720"/>
                <w:tab w:val="left" w:pos="360"/>
              </w:tabs>
              <w:ind w:left="0" w:firstLine="0"/>
              <w:jc w:val="left"/>
              <w:rPr>
                <w:sz w:val="20"/>
                <w:szCs w:val="20"/>
                <w:lang w:val="fr-FR"/>
              </w:rPr>
            </w:pPr>
            <w:r>
              <w:rPr>
                <w:sz w:val="20"/>
                <w:szCs w:val="20"/>
                <w:lang w:val="fr-FR"/>
              </w:rPr>
              <w:t>(A)</w:t>
            </w:r>
          </w:p>
        </w:tc>
        <w:tc>
          <w:tcPr>
            <w:tcW w:w="1002" w:type="dxa"/>
          </w:tcPr>
          <w:p w:rsidR="00BB567E" w:rsidRDefault="00BB567E">
            <w:pPr>
              <w:pStyle w:val="BodyTextIndent"/>
              <w:tabs>
                <w:tab w:val="clear" w:pos="720"/>
                <w:tab w:val="left" w:pos="360"/>
              </w:tabs>
              <w:ind w:left="0" w:firstLine="0"/>
              <w:jc w:val="left"/>
              <w:rPr>
                <w:sz w:val="20"/>
                <w:szCs w:val="20"/>
                <w:lang w:val="fr-FR"/>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18"/>
                <w:szCs w:val="20"/>
              </w:rPr>
            </w:pPr>
            <w:r>
              <w:rPr>
                <w:sz w:val="18"/>
                <w:szCs w:val="20"/>
              </w:rPr>
              <w:t>Recycle Only</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n/a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n/a</w:t>
            </w: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18"/>
                <w:szCs w:val="20"/>
              </w:rPr>
            </w:pPr>
            <w:r>
              <w:rPr>
                <w:sz w:val="18"/>
                <w:szCs w:val="20"/>
              </w:rPr>
              <w:t>45 Gal Can</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w:t>
            </w:r>
            <w:r w:rsidR="00B96AA5">
              <w:rPr>
                <w:sz w:val="20"/>
                <w:szCs w:val="20"/>
              </w:rPr>
              <w:t>6</w:t>
            </w:r>
            <w:r w:rsidR="002B2296">
              <w:rPr>
                <w:sz w:val="20"/>
                <w:szCs w:val="20"/>
              </w:rPr>
              <w:t>5.83</w:t>
            </w:r>
          </w:p>
        </w:tc>
        <w:tc>
          <w:tcPr>
            <w:tcW w:w="1002"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Mini Can</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EOWG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r w:rsidR="0011004B">
              <w:rPr>
                <w:sz w:val="20"/>
                <w:szCs w:val="20"/>
              </w:rPr>
              <w:t>D</w:t>
            </w:r>
            <w:r>
              <w:rPr>
                <w:sz w:val="20"/>
                <w:szCs w:val="20"/>
              </w:rPr>
              <w:t>)</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1 Can</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MG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r w:rsidR="00B96AA5">
              <w:rPr>
                <w:sz w:val="20"/>
                <w:szCs w:val="20"/>
              </w:rPr>
              <w:t>8.</w:t>
            </w:r>
            <w:r w:rsidR="002B2296">
              <w:rPr>
                <w:sz w:val="20"/>
                <w:szCs w:val="20"/>
              </w:rPr>
              <w:t>16</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1 Can</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EOWG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r w:rsidR="00B96AA5">
              <w:rPr>
                <w:sz w:val="20"/>
                <w:szCs w:val="20"/>
              </w:rPr>
              <w:t>12.</w:t>
            </w:r>
            <w:r w:rsidR="002B2296">
              <w:rPr>
                <w:sz w:val="20"/>
                <w:szCs w:val="20"/>
              </w:rPr>
              <w:t>49</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1 Can</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$1</w:t>
            </w:r>
            <w:r w:rsidR="002B2296">
              <w:rPr>
                <w:sz w:val="20"/>
                <w:szCs w:val="20"/>
              </w:rPr>
              <w:t>7.61</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2 Cans</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$2</w:t>
            </w:r>
            <w:r w:rsidR="002B2296">
              <w:rPr>
                <w:sz w:val="20"/>
                <w:szCs w:val="20"/>
              </w:rPr>
              <w:t>2.95</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3 Cans</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$2</w:t>
            </w:r>
            <w:r w:rsidR="002B2296">
              <w:rPr>
                <w:sz w:val="20"/>
                <w:szCs w:val="20"/>
              </w:rPr>
              <w:t>8.39</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4 Cans</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t>
            </w:r>
            <w:r w:rsidR="00B96AA5">
              <w:rPr>
                <w:sz w:val="20"/>
                <w:szCs w:val="20"/>
              </w:rPr>
              <w:t>3</w:t>
            </w:r>
            <w:r w:rsidR="002B2296">
              <w:rPr>
                <w:sz w:val="20"/>
                <w:szCs w:val="20"/>
              </w:rPr>
              <w:t>4.63</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r w:rsidR="00BB567E">
        <w:tblPrEx>
          <w:tblCellMar>
            <w:top w:w="0" w:type="dxa"/>
            <w:bottom w:w="0" w:type="dxa"/>
          </w:tblCellMar>
        </w:tblPrEx>
        <w:tc>
          <w:tcPr>
            <w:tcW w:w="1152" w:type="dxa"/>
          </w:tcPr>
          <w:p w:rsidR="00BB567E" w:rsidRDefault="00BB567E">
            <w:pPr>
              <w:pStyle w:val="BodyTextIndent"/>
              <w:tabs>
                <w:tab w:val="clear" w:pos="720"/>
                <w:tab w:val="left" w:pos="360"/>
              </w:tabs>
              <w:ind w:left="0" w:firstLine="0"/>
              <w:jc w:val="left"/>
              <w:rPr>
                <w:sz w:val="20"/>
                <w:szCs w:val="20"/>
              </w:rPr>
            </w:pPr>
            <w:r>
              <w:rPr>
                <w:sz w:val="20"/>
                <w:szCs w:val="20"/>
              </w:rPr>
              <w:t>5 Cans</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WG</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$4</w:t>
            </w:r>
            <w:r w:rsidR="002B2296">
              <w:rPr>
                <w:sz w:val="20"/>
                <w:szCs w:val="20"/>
              </w:rPr>
              <w:t>0.87</w:t>
            </w:r>
          </w:p>
        </w:tc>
        <w:tc>
          <w:tcPr>
            <w:tcW w:w="1001" w:type="dxa"/>
          </w:tcPr>
          <w:p w:rsidR="00BB567E" w:rsidRDefault="00BB567E">
            <w:pPr>
              <w:pStyle w:val="BodyTextIndent"/>
              <w:tabs>
                <w:tab w:val="clear" w:pos="720"/>
                <w:tab w:val="left" w:pos="360"/>
              </w:tabs>
              <w:ind w:left="0" w:firstLine="0"/>
              <w:jc w:val="left"/>
              <w:rPr>
                <w:sz w:val="20"/>
                <w:szCs w:val="20"/>
              </w:rPr>
            </w:pPr>
            <w:r>
              <w:rPr>
                <w:sz w:val="20"/>
                <w:szCs w:val="20"/>
              </w:rPr>
              <w:t>(A)</w:t>
            </w:r>
          </w:p>
        </w:tc>
        <w:tc>
          <w:tcPr>
            <w:tcW w:w="1001" w:type="dxa"/>
          </w:tcPr>
          <w:p w:rsidR="00BB567E" w:rsidRDefault="00BB567E">
            <w:pPr>
              <w:pStyle w:val="BodyTextIndent"/>
              <w:tabs>
                <w:tab w:val="clear" w:pos="720"/>
                <w:tab w:val="left" w:pos="360"/>
              </w:tabs>
              <w:ind w:left="0" w:firstLine="0"/>
              <w:jc w:val="left"/>
              <w:rPr>
                <w:sz w:val="20"/>
                <w:szCs w:val="20"/>
              </w:rPr>
            </w:pPr>
          </w:p>
        </w:tc>
        <w:tc>
          <w:tcPr>
            <w:tcW w:w="236" w:type="dxa"/>
            <w:tcBorders>
              <w:top w:val="nil"/>
              <w:bottom w:val="nil"/>
            </w:tcBorders>
          </w:tcPr>
          <w:p w:rsidR="00BB567E" w:rsidRDefault="00BB567E">
            <w:pPr>
              <w:pStyle w:val="BodyTextIndent"/>
              <w:tabs>
                <w:tab w:val="clear" w:pos="720"/>
                <w:tab w:val="left" w:pos="360"/>
              </w:tabs>
              <w:ind w:left="0" w:firstLine="0"/>
              <w:jc w:val="left"/>
              <w:rPr>
                <w:sz w:val="20"/>
                <w:szCs w:val="20"/>
              </w:rPr>
            </w:pPr>
          </w:p>
        </w:tc>
        <w:tc>
          <w:tcPr>
            <w:tcW w:w="115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c>
          <w:tcPr>
            <w:tcW w:w="1002" w:type="dxa"/>
          </w:tcPr>
          <w:p w:rsidR="00BB567E" w:rsidRDefault="00BB567E">
            <w:pPr>
              <w:pStyle w:val="BodyTextIndent"/>
              <w:tabs>
                <w:tab w:val="clear" w:pos="720"/>
                <w:tab w:val="left" w:pos="360"/>
              </w:tabs>
              <w:ind w:left="0" w:firstLine="0"/>
              <w:jc w:val="left"/>
              <w:rPr>
                <w:sz w:val="20"/>
                <w:szCs w:val="20"/>
              </w:rPr>
            </w:pPr>
          </w:p>
        </w:tc>
      </w:tr>
    </w:tbl>
    <w:p w:rsidR="00BB567E" w:rsidRDefault="00BB567E">
      <w:pPr>
        <w:pStyle w:val="BodyTextIndent"/>
        <w:tabs>
          <w:tab w:val="clear" w:pos="720"/>
          <w:tab w:val="left" w:pos="360"/>
        </w:tabs>
        <w:ind w:left="360" w:hanging="360"/>
        <w:jc w:val="left"/>
        <w:rPr>
          <w:sz w:val="20"/>
          <w:szCs w:val="20"/>
        </w:rPr>
      </w:pP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BB567E" w:rsidRDefault="00BB567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BB567E" w:rsidRDefault="00BB567E">
      <w:pPr>
        <w:pStyle w:val="Header"/>
        <w:widowControl w:val="0"/>
        <w:tabs>
          <w:tab w:val="clear" w:pos="4320"/>
          <w:tab w:val="clear" w:pos="864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Description/rules related to recycling program are shown on </w:t>
      </w:r>
      <w:proofErr w:type="gramStart"/>
      <w:r>
        <w:rPr>
          <w:szCs w:val="20"/>
        </w:rPr>
        <w:t>page  _</w:t>
      </w:r>
      <w:proofErr w:type="gramEnd"/>
      <w:r>
        <w:rPr>
          <w:szCs w:val="20"/>
        </w:rPr>
        <w:t>_n/a____.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Description/rules related to yardwaste program are shown on page __n/a____.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Recycling rates shown above are subject to a recycling credit/debit of $___n/a______________.</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r>
        <w:rPr>
          <w:szCs w:val="20"/>
        </w:rPr>
        <w:tab/>
      </w:r>
      <w:r>
        <w:rPr>
          <w:szCs w:val="20"/>
        </w:rPr>
        <w:tab/>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BB567E" w:rsidRDefault="00BB567E">
      <w:pPr>
        <w:pStyle w:val="Heading6"/>
        <w:rPr>
          <w:szCs w:val="24"/>
        </w:rPr>
      </w:pPr>
      <w:r>
        <w:rPr>
          <w:szCs w:val="24"/>
        </w:rPr>
        <w:t>Recycling service rates on this page expire</w:t>
      </w:r>
      <w:proofErr w:type="gramStart"/>
      <w:r>
        <w:rPr>
          <w:szCs w:val="24"/>
        </w:rPr>
        <w:t>:_</w:t>
      </w:r>
      <w:proofErr w:type="gramEnd"/>
      <w:r>
        <w:rPr>
          <w:szCs w:val="24"/>
        </w:rPr>
        <w:t>___n/a__________</w:t>
      </w:r>
    </w:p>
    <w:p w:rsidR="00BB567E" w:rsidRDefault="00BB567E"/>
    <w:p w:rsidR="00BB567E" w:rsidRDefault="00BB567E">
      <w:pPr>
        <w:pStyle w:val="Heading1"/>
      </w:pPr>
      <w:r>
        <w:lastRenderedPageBreak/>
        <w:t>Item 100 – Residential Service – Monthly Rates (continued from previous page)</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BB567E" w:rsidRDefault="00BB56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BB567E" w:rsidRDefault="00BB567E"/>
    <w:p w:rsidR="00BB567E" w:rsidRDefault="00BB56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_________ feet in order to reach the truck.  The charge for this roll-out service is:    $_____________ per cart or toter, per pickup.</w:t>
      </w:r>
    </w:p>
    <w:p w:rsidR="00BB567E" w:rsidRDefault="00BB567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BB567E">
        <w:tblPrEx>
          <w:tblCellMar>
            <w:top w:w="0" w:type="dxa"/>
            <w:bottom w:w="0" w:type="dxa"/>
          </w:tblCellMar>
        </w:tblPrEx>
        <w:trPr>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BB567E" w:rsidRDefault="00BB567E">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xml:space="preserve">$ </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BB567E" w:rsidRDefault="00863EC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xml:space="preserve">$ </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CA3542">
              <w:rPr>
                <w:sz w:val="20"/>
                <w:szCs w:val="20"/>
              </w:rPr>
              <w:t xml:space="preserve"> </w:t>
            </w:r>
          </w:p>
        </w:tc>
      </w:tr>
      <w:tr w:rsidR="00BB567E">
        <w:tblPrEx>
          <w:tblCellMar>
            <w:top w:w="0" w:type="dxa"/>
            <w:bottom w:w="0" w:type="dxa"/>
          </w:tblCellMar>
        </w:tblPrEx>
        <w:trPr>
          <w:trHeight w:val="396"/>
          <w:jc w:val="center"/>
        </w:trPr>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7:</w:t>
      </w:r>
      <w:r>
        <w:rPr>
          <w:szCs w:val="20"/>
        </w:rPr>
        <w:tab/>
        <w:t>Customers may request no more than one pickup per month, on an "on call" basis, at $</w:t>
      </w:r>
      <w:r w:rsidR="00863EC5">
        <w:rPr>
          <w:szCs w:val="20"/>
        </w:rPr>
        <w:t xml:space="preserve">          </w:t>
      </w:r>
      <w:r>
        <w:rPr>
          <w:szCs w:val="20"/>
        </w:rPr>
        <w:t xml:space="preserve">per can/unit.  Service will be rendered on the normal scheduled pickup day for the area in which the customer resides.  Note:  If customer requires service be provided on other than normal scheduled pickup day, rates for special pickups will apply.  </w:t>
      </w:r>
    </w:p>
    <w:p w:rsidR="00BB567E" w:rsidRDefault="00BB567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rPr>
          <w:u w:val="single"/>
        </w:rPr>
      </w:pPr>
      <w:r>
        <w:rPr>
          <w:u w:val="single"/>
        </w:rPr>
        <w:lastRenderedPageBreak/>
        <w:t>Item 100 – Residential Service – Monthly Rates (continued)</w:t>
      </w:r>
    </w:p>
    <w:p w:rsidR="00BB567E" w:rsidRDefault="00BB567E">
      <w:pPr>
        <w:rPr>
          <w:b/>
          <w:bCs/>
        </w:rPr>
      </w:pPr>
    </w:p>
    <w:p w:rsidR="00BB567E" w:rsidRDefault="00BB567E">
      <w:r>
        <w:rPr>
          <w:b/>
          <w:bCs/>
        </w:rPr>
        <w:t>Curbside recycling</w:t>
      </w:r>
      <w:r>
        <w:t xml:space="preserve"> provisions shown on this page apply only in the following service area:</w:t>
      </w:r>
    </w:p>
    <w:p w:rsidR="00BB567E" w:rsidRDefault="00BB567E"/>
    <w:p w:rsidR="00BB567E" w:rsidRDefault="00BB567E"/>
    <w:p w:rsidR="00BB567E" w:rsidRDefault="00BB567E"/>
    <w:p w:rsidR="00BB567E" w:rsidRDefault="00BB567E">
      <w:r>
        <w:t xml:space="preserve">Following is a description of the recycling program (type of containers, frequency, etc.).  Program provided </w:t>
      </w:r>
      <w:proofErr w:type="gramStart"/>
      <w:r>
        <w:t>in  accordance</w:t>
      </w:r>
      <w:proofErr w:type="gramEnd"/>
      <w:r>
        <w:t xml:space="preserve"> with Ordinance No. _________ </w:t>
      </w:r>
      <w:proofErr w:type="gramStart"/>
      <w:r>
        <w:t>of</w:t>
      </w:r>
      <w:proofErr w:type="gramEnd"/>
      <w:r>
        <w:t xml:space="preserve"> _________________(name of county or city).</w:t>
      </w:r>
    </w:p>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r>
        <w:t>Special rules related to recycling program:</w:t>
      </w:r>
    </w:p>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Pr>
        <w:jc w:val="center"/>
        <w:rPr>
          <w:u w:val="single"/>
        </w:rPr>
      </w:pPr>
    </w:p>
    <w:p w:rsidR="00BB567E" w:rsidRDefault="00BB567E">
      <w:pPr>
        <w:jc w:val="center"/>
        <w:rPr>
          <w:u w:val="single"/>
        </w:rPr>
      </w:pPr>
    </w:p>
    <w:p w:rsidR="00BB567E" w:rsidRDefault="00BB567E">
      <w:pPr>
        <w:jc w:val="center"/>
        <w:rPr>
          <w:u w:val="single"/>
        </w:rPr>
      </w:pPr>
    </w:p>
    <w:p w:rsidR="00BB567E" w:rsidRDefault="00BB567E">
      <w:pPr>
        <w:jc w:val="center"/>
      </w:pPr>
      <w:r>
        <w:rPr>
          <w:u w:val="single"/>
        </w:rPr>
        <w:t>Item 100 – Residential Service – Monthly Rates (continued)</w:t>
      </w:r>
    </w:p>
    <w:p w:rsidR="00BB567E" w:rsidRDefault="00BB567E">
      <w:pPr>
        <w:jc w:val="center"/>
      </w:pPr>
    </w:p>
    <w:p w:rsidR="00BB567E" w:rsidRDefault="00BB567E">
      <w:r>
        <w:rPr>
          <w:b/>
          <w:bCs/>
        </w:rPr>
        <w:t xml:space="preserve">Yardwaste service </w:t>
      </w:r>
      <w:r>
        <w:t>provisions shown apply only in the following service area:</w:t>
      </w:r>
    </w:p>
    <w:p w:rsidR="00BB567E" w:rsidRDefault="00BB567E"/>
    <w:p w:rsidR="00BB567E" w:rsidRDefault="00BB567E"/>
    <w:p w:rsidR="00BB567E" w:rsidRDefault="00BB567E"/>
    <w:p w:rsidR="00BB567E" w:rsidRDefault="00BB567E">
      <w:r>
        <w:t xml:space="preserve">Following is a description of yardwaste program (type of containers, frequency, etc.).  Program provided </w:t>
      </w:r>
      <w:proofErr w:type="gramStart"/>
      <w:r>
        <w:t>in  accordance</w:t>
      </w:r>
      <w:proofErr w:type="gramEnd"/>
      <w:r>
        <w:t xml:space="preserve"> with Ordinance No. _________ </w:t>
      </w:r>
      <w:proofErr w:type="gramStart"/>
      <w:r>
        <w:t>of</w:t>
      </w:r>
      <w:proofErr w:type="gramEnd"/>
      <w:r>
        <w:t xml:space="preserve"> _________________(name of county or city).</w:t>
      </w:r>
    </w:p>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p w:rsidR="00BB567E" w:rsidRDefault="00BB567E">
      <w:r>
        <w:t>Special rules relating to yardwaste program:</w:t>
      </w:r>
    </w:p>
    <w:sectPr w:rsidR="00BB567E">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CA" w:rsidRDefault="004660CA">
      <w:r>
        <w:separator/>
      </w:r>
    </w:p>
  </w:endnote>
  <w:endnote w:type="continuationSeparator" w:id="0">
    <w:p w:rsidR="004660CA" w:rsidRDefault="00466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7E" w:rsidRDefault="00BB567E">
    <w:pPr>
      <w:pStyle w:val="Footer"/>
      <w:pBdr>
        <w:bottom w:val="single" w:sz="12" w:space="1" w:color="auto"/>
      </w:pBdr>
      <w:tabs>
        <w:tab w:val="clear" w:pos="8640"/>
        <w:tab w:val="right" w:pos="9360"/>
      </w:tabs>
    </w:pPr>
  </w:p>
  <w:p w:rsidR="00BB567E" w:rsidRDefault="00BB567E">
    <w:pPr>
      <w:pStyle w:val="Footer"/>
      <w:tabs>
        <w:tab w:val="clear" w:pos="8640"/>
        <w:tab w:val="right" w:pos="9360"/>
      </w:tabs>
    </w:pPr>
    <w:r>
      <w:t>Issued by:  Clifford W. Couse, Pres</w:t>
    </w:r>
  </w:p>
  <w:p w:rsidR="00BB567E" w:rsidRDefault="00BB567E">
    <w:pPr>
      <w:pStyle w:val="Footer"/>
      <w:tabs>
        <w:tab w:val="clear" w:pos="8640"/>
        <w:tab w:val="right" w:pos="9360"/>
      </w:tabs>
    </w:pPr>
  </w:p>
  <w:p w:rsidR="00BB567E" w:rsidRDefault="00BB567E">
    <w:pPr>
      <w:pStyle w:val="Footer"/>
      <w:pBdr>
        <w:bottom w:val="single" w:sz="12" w:space="1" w:color="auto"/>
      </w:pBdr>
      <w:tabs>
        <w:tab w:val="clear" w:pos="8640"/>
        <w:tab w:val="left" w:pos="8100"/>
        <w:tab w:val="right" w:pos="9360"/>
      </w:tabs>
    </w:pPr>
    <w:r>
      <w:t xml:space="preserve">Issue date:  </w:t>
    </w:r>
    <w:r w:rsidR="00B96AA5">
      <w:t>Oct. 21</w:t>
    </w:r>
    <w:r>
      <w:t xml:space="preserve">, 2009 </w:t>
    </w:r>
    <w:r>
      <w:tab/>
      <w:t xml:space="preserve">                                                                            Effective date: </w:t>
    </w:r>
    <w:r w:rsidR="00B96AA5">
      <w:t>Dec. 7</w:t>
    </w:r>
    <w:r>
      <w:t>, 2009</w:t>
    </w:r>
  </w:p>
  <w:p w:rsidR="00BB567E" w:rsidRDefault="00BB567E">
    <w:pPr>
      <w:pStyle w:val="Footer"/>
      <w:tabs>
        <w:tab w:val="clear" w:pos="8640"/>
        <w:tab w:val="left" w:pos="8100"/>
        <w:tab w:val="right" w:pos="9360"/>
      </w:tabs>
      <w:jc w:val="center"/>
    </w:pPr>
    <w:r>
      <w:t>(For Official Use Only)</w:t>
    </w:r>
  </w:p>
  <w:p w:rsidR="00BB567E" w:rsidRDefault="00BB567E">
    <w:pPr>
      <w:pStyle w:val="Footer"/>
      <w:tabs>
        <w:tab w:val="clear" w:pos="8640"/>
        <w:tab w:val="left" w:pos="8100"/>
        <w:tab w:val="right" w:pos="9360"/>
      </w:tabs>
      <w:jc w:val="center"/>
    </w:pPr>
  </w:p>
  <w:p w:rsidR="00BB567E" w:rsidRDefault="00BB567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CA" w:rsidRDefault="004660CA">
      <w:r>
        <w:separator/>
      </w:r>
    </w:p>
  </w:footnote>
  <w:footnote w:type="continuationSeparator" w:id="0">
    <w:p w:rsidR="004660CA" w:rsidRDefault="00466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7E" w:rsidRDefault="00BB567E">
    <w:pPr>
      <w:pStyle w:val="Header"/>
      <w:tabs>
        <w:tab w:val="clear" w:pos="8640"/>
        <w:tab w:val="right" w:pos="10440"/>
      </w:tabs>
    </w:pPr>
    <w:r>
      <w:t xml:space="preserve">Tariff No. </w:t>
    </w:r>
    <w:r w:rsidR="00DA6C7A">
      <w:t>6</w:t>
    </w:r>
    <w:r>
      <w:tab/>
    </w:r>
    <w:r w:rsidR="00863EC5">
      <w:t xml:space="preserve">                                                                                                                  3rd</w:t>
    </w:r>
    <w:r>
      <w:tab/>
      <w:t xml:space="preserve">Revised Page No. </w:t>
    </w:r>
    <w:r w:rsidR="00CA3542">
      <w:t>20</w:t>
    </w:r>
  </w:p>
  <w:p w:rsidR="00BB567E" w:rsidRDefault="00BB567E">
    <w:pPr>
      <w:pStyle w:val="Header"/>
      <w:tabs>
        <w:tab w:val="clear" w:pos="8640"/>
        <w:tab w:val="right" w:pos="10440"/>
      </w:tabs>
    </w:pPr>
  </w:p>
  <w:p w:rsidR="00BB567E" w:rsidRDefault="00BB567E">
    <w:pPr>
      <w:pStyle w:val="Header"/>
      <w:pBdr>
        <w:bottom w:val="single" w:sz="12" w:space="1" w:color="auto"/>
      </w:pBdr>
      <w:tabs>
        <w:tab w:val="clear" w:pos="8640"/>
        <w:tab w:val="right" w:pos="10440"/>
      </w:tabs>
    </w:pPr>
    <w:r>
      <w:t>Company Name/Permit Number:  Couse’s Sanitation &amp; Recycle, Inc.    G-169</w:t>
    </w:r>
  </w:p>
  <w:p w:rsidR="00BB567E" w:rsidRDefault="00BB567E">
    <w:pPr>
      <w:pStyle w:val="Header"/>
      <w:pBdr>
        <w:bottom w:val="single" w:sz="12" w:space="1" w:color="auto"/>
      </w:pBdr>
      <w:tabs>
        <w:tab w:val="clear" w:pos="8640"/>
        <w:tab w:val="right" w:pos="10440"/>
      </w:tabs>
    </w:pPr>
    <w:r>
      <w:t>Registered Trade Name:</w:t>
    </w:r>
  </w:p>
  <w:p w:rsidR="00BB567E" w:rsidRDefault="00BB567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B567E"/>
    <w:rsid w:val="0011004B"/>
    <w:rsid w:val="002B2296"/>
    <w:rsid w:val="004660CA"/>
    <w:rsid w:val="00863EC5"/>
    <w:rsid w:val="008845F0"/>
    <w:rsid w:val="00B96AA5"/>
    <w:rsid w:val="00BB567E"/>
    <w:rsid w:val="00CA3542"/>
    <w:rsid w:val="00CC47DA"/>
    <w:rsid w:val="00DA6C7A"/>
    <w:rsid w:val="00DC793E"/>
    <w:rsid w:val="00E10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2009-10-21T07:00:00+00:00</OpenedDate>
    <Date1 xmlns="dc463f71-b30c-4ab2-9473-d307f9d35888">2009-11-17T08:00:00+00:00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091673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74E9B6718F7742869D68DA6A8E9EC2" ma:contentTypeVersion="131" ma:contentTypeDescription="" ma:contentTypeScope="" ma:versionID="13584126cc46f13c24371437ecbd9d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6D4EE2-41D4-4C6F-961A-868D88CADF61}"/>
</file>

<file path=customXml/itemProps2.xml><?xml version="1.0" encoding="utf-8"?>
<ds:datastoreItem xmlns:ds="http://schemas.openxmlformats.org/officeDocument/2006/customXml" ds:itemID="{BFA482E6-601B-4A0B-A116-7EB11FE90093}"/>
</file>

<file path=customXml/itemProps3.xml><?xml version="1.0" encoding="utf-8"?>
<ds:datastoreItem xmlns:ds="http://schemas.openxmlformats.org/officeDocument/2006/customXml" ds:itemID="{0BA1D6B2-C09D-42FD-8658-EDA6B4169914}"/>
</file>

<file path=customXml/itemProps4.xml><?xml version="1.0" encoding="utf-8"?>
<ds:datastoreItem xmlns:ds="http://schemas.openxmlformats.org/officeDocument/2006/customXml" ds:itemID="{188A9953-FB6F-4374-844B-5374F72E06AE}"/>
</file>

<file path=docProps/app.xml><?xml version="1.0" encoding="utf-8"?>
<Properties xmlns="http://schemas.openxmlformats.org/officeDocument/2006/extended-properties" xmlns:vt="http://schemas.openxmlformats.org/officeDocument/2006/docPropsVTypes">
  <Template>Solid Waste Tariff Page.dot</Template>
  <TotalTime>0</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2009-09-02T16:32:00Z</cp:lastPrinted>
  <dcterms:created xsi:type="dcterms:W3CDTF">2009-11-19T00:06:00Z</dcterms:created>
  <dcterms:modified xsi:type="dcterms:W3CDTF">2009-11-19T00:06:00Z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0x0101006E56B4D1795A2E4DB2F0B01679ED314A002674E9B6718F7742869D68DA6A8E9EC2</vt:lpwstr>
  </property>
  <property fmtid="{D5CDD505-2E9C-101B-9397-08002B2CF9AE}" pid="3" name="_docset_NoMedatataSyncRequired">
    <vt:lpwstr>False</vt:lpwstr>
  </property>
</Properties>
</file>