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  <w:ind w:left="4320" w:firstLine="720"/>
        <w:rPr>
          <w:rFonts w:ascii="Times New Roman" w:hAnsi="Times New Roman"/>
          <w:sz w:val="24"/>
          <w:szCs w:val="24"/>
        </w:rPr>
      </w:pPr>
      <w:bookmarkStart w:id="0" w:name="InsertAddress"/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Heading1"/>
        <w:ind w:left="43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Via Overnight mail and web portal</w:t>
      </w:r>
    </w:p>
    <w:p>
      <w:pPr>
        <w:rPr>
          <w:szCs w:val="24"/>
        </w:rPr>
      </w:pPr>
    </w:p>
    <w:p>
      <w:pPr>
        <w:rPr>
          <w:szCs w:val="24"/>
        </w:rPr>
      </w:pPr>
      <w:r>
        <w:rPr>
          <w:szCs w:val="24"/>
        </w:rPr>
        <w:t>May 29, 2013</w:t>
      </w:r>
    </w:p>
    <w:p>
      <w:pPr>
        <w:rPr>
          <w:szCs w:val="24"/>
        </w:rPr>
      </w:pPr>
    </w:p>
    <w:p>
      <w:pPr>
        <w:rPr>
          <w:b/>
        </w:rPr>
      </w:pPr>
    </w:p>
    <w:p>
      <w:proofErr w:type="gramStart"/>
      <w:r>
        <w:t>Mr.</w:t>
      </w:r>
      <w:proofErr w:type="gramEnd"/>
      <w:r>
        <w:t xml:space="preserve">  Steven V. King</w:t>
      </w:r>
    </w:p>
    <w:p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Utilities &amp; Transportation Commission</w:t>
      </w:r>
    </w:p>
    <w:p>
      <w:smartTag w:uri="urn:schemas-microsoft-com:office:smarttags" w:element="Street">
        <w:smartTag w:uri="urn:schemas-microsoft-com:office:smarttags" w:element="address">
          <w:r>
            <w:t>1300 S. Evergreen Park Drive SW</w:t>
          </w:r>
        </w:smartTag>
      </w:smartTag>
    </w:p>
    <w:p>
      <w:smartTag w:uri="urn:schemas-microsoft-com:office:smarttags" w:element="address">
        <w:smartTag w:uri="urn:schemas-microsoft-com:office:smarttags" w:element="Street">
          <w:r>
            <w:t>P.O. Box</w:t>
          </w:r>
        </w:smartTag>
        <w:r>
          <w:t xml:space="preserve"> 47250</w:t>
        </w:r>
      </w:smartTag>
    </w:p>
    <w:p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>
      <w:pPr>
        <w:rPr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260"/>
        <w:gridCol w:w="7560"/>
      </w:tblGrid>
      <w:tr>
        <w:trPr>
          <w:trHeight w:val="288"/>
        </w:trPr>
        <w:tc>
          <w:tcPr>
            <w:tcW w:w="1260" w:type="dxa"/>
          </w:tcPr>
          <w:p>
            <w:pPr>
              <w:ind w:left="612"/>
              <w:rPr>
                <w:szCs w:val="24"/>
              </w:rPr>
            </w:pPr>
            <w:r>
              <w:rPr>
                <w:szCs w:val="24"/>
              </w:rPr>
              <w:t>Re:</w:t>
            </w:r>
          </w:p>
        </w:tc>
        <w:tc>
          <w:tcPr>
            <w:tcW w:w="7560" w:type="dxa"/>
          </w:tcPr>
          <w:p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</w:rPr>
            </w:pPr>
            <w:bookmarkStart w:id="1" w:name="InRe"/>
            <w:bookmarkEnd w:id="1"/>
            <w:r>
              <w:rPr>
                <w:szCs w:val="24"/>
              </w:rPr>
              <w:t>Docket No. UT-053035</w:t>
            </w:r>
          </w:p>
          <w:p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</w:rPr>
            </w:pPr>
            <w:r>
              <w:rPr>
                <w:szCs w:val="24"/>
              </w:rPr>
              <w:t xml:space="preserve">Interconnection Amendment between United Telephone Company of the Northwest </w:t>
            </w:r>
            <w:proofErr w:type="spellStart"/>
            <w:r>
              <w:rPr>
                <w:szCs w:val="24"/>
              </w:rPr>
              <w:t>dba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CenturyLink</w:t>
            </w:r>
            <w:proofErr w:type="spellEnd"/>
            <w:r>
              <w:rPr>
                <w:szCs w:val="24"/>
              </w:rPr>
              <w:t xml:space="preserve"> (“</w:t>
            </w:r>
            <w:proofErr w:type="spellStart"/>
            <w:r>
              <w:rPr>
                <w:szCs w:val="24"/>
              </w:rPr>
              <w:t>CenturyLink</w:t>
            </w:r>
            <w:proofErr w:type="spellEnd"/>
            <w:r>
              <w:rPr>
                <w:szCs w:val="24"/>
              </w:rPr>
              <w:t>”) and Comcast Phone of Washington, LLC d/b/a Comcast Digital Phone (“Comcast”)</w:t>
            </w:r>
          </w:p>
        </w:tc>
      </w:tr>
    </w:tbl>
    <w:p>
      <w:pPr>
        <w:rPr>
          <w:b/>
          <w:szCs w:val="24"/>
        </w:rPr>
      </w:pPr>
    </w:p>
    <w:p>
      <w:pPr>
        <w:rPr>
          <w:szCs w:val="24"/>
        </w:rPr>
      </w:pPr>
      <w:r>
        <w:rPr>
          <w:szCs w:val="24"/>
        </w:rPr>
        <w:t xml:space="preserve">Dear </w:t>
      </w:r>
      <w:bookmarkStart w:id="2" w:name="Dear"/>
      <w:bookmarkEnd w:id="2"/>
      <w:r>
        <w:rPr>
          <w:szCs w:val="24"/>
        </w:rPr>
        <w:t>Mr. King:</w:t>
      </w:r>
    </w:p>
    <w:p>
      <w:pPr>
        <w:pStyle w:val="Title"/>
        <w:jc w:val="left"/>
        <w:rPr>
          <w:rFonts w:ascii="Times New Roman" w:hAnsi="Times New Roman"/>
          <w:b w:val="0"/>
          <w:sz w:val="24"/>
          <w:szCs w:val="24"/>
        </w:rPr>
      </w:pPr>
    </w:p>
    <w:p>
      <w:pPr>
        <w:pStyle w:val="Title"/>
        <w:jc w:val="left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sz w:val="24"/>
          <w:szCs w:val="24"/>
        </w:rPr>
        <w:t>CenturyLink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hereby withdraws the ICC VOIP Amendment filed in this docket.  The VOIP </w:t>
      </w:r>
      <w:proofErr w:type="gramStart"/>
      <w:r>
        <w:rPr>
          <w:rFonts w:ascii="Times New Roman" w:hAnsi="Times New Roman"/>
          <w:b w:val="0"/>
          <w:sz w:val="24"/>
          <w:szCs w:val="24"/>
        </w:rPr>
        <w:t>Amendment  is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now filed under docket number UT-083025.</w:t>
      </w:r>
    </w:p>
    <w:p>
      <w:pPr>
        <w:pStyle w:val="Title"/>
        <w:jc w:val="left"/>
        <w:rPr>
          <w:szCs w:val="24"/>
        </w:rPr>
      </w:pPr>
      <w:r>
        <w:rPr>
          <w:szCs w:val="24"/>
        </w:rPr>
        <w:t xml:space="preserve"> </w:t>
      </w:r>
    </w:p>
    <w:p>
      <w:pPr>
        <w:ind w:left="2880" w:firstLine="720"/>
        <w:jc w:val="both"/>
        <w:rPr>
          <w:szCs w:val="24"/>
        </w:rPr>
      </w:pPr>
      <w:r>
        <w:rPr>
          <w:szCs w:val="24"/>
        </w:rPr>
        <w:t>Sincerely,</w:t>
      </w:r>
    </w:p>
    <w:p>
      <w:pPr>
        <w:jc w:val="both"/>
        <w:rPr>
          <w:szCs w:val="24"/>
        </w:rPr>
      </w:pPr>
    </w:p>
    <w:p>
      <w:pPr>
        <w:jc w:val="both"/>
        <w:rPr>
          <w:szCs w:val="24"/>
        </w:rPr>
      </w:pPr>
    </w:p>
    <w:p>
      <w:pPr>
        <w:ind w:left="2880" w:firstLine="720"/>
        <w:jc w:val="both"/>
        <w:rPr>
          <w:szCs w:val="24"/>
        </w:rPr>
      </w:pPr>
      <w:r>
        <w:rPr>
          <w:szCs w:val="24"/>
        </w:rPr>
        <w:t>Maura E. Peterson</w:t>
      </w:r>
    </w:p>
    <w:p>
      <w:pPr>
        <w:jc w:val="both"/>
        <w:rPr>
          <w:szCs w:val="24"/>
        </w:rPr>
      </w:pPr>
      <w:r>
        <w:rPr>
          <w:szCs w:val="24"/>
        </w:rPr>
        <w:t>MEP:mep</w:t>
      </w:r>
    </w:p>
    <w:p>
      <w:pPr>
        <w:rPr>
          <w:szCs w:val="24"/>
        </w:rPr>
      </w:pPr>
      <w:r>
        <w:rPr>
          <w:szCs w:val="24"/>
        </w:rPr>
        <w:t>Enclosures</w:t>
      </w:r>
    </w:p>
    <w:p>
      <w:pPr>
        <w:rPr>
          <w:szCs w:val="24"/>
        </w:rPr>
      </w:pPr>
      <w:r>
        <w:rPr>
          <w:szCs w:val="24"/>
        </w:rPr>
        <w:t>cc:  Comcast</w:t>
      </w:r>
    </w:p>
    <w:sectPr>
      <w:headerReference w:type="first" r:id="rId6"/>
      <w:pgSz w:w="12240" w:h="15840" w:code="1"/>
      <w:pgMar w:top="1440" w:right="1440" w:bottom="1440" w:left="1440" w:header="720" w:footer="720" w:gutter="0"/>
      <w:paperSrc w:first="258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rPr>
        <w:rFonts w:ascii="Univers (W1)" w:hAnsi="Univers (W1)"/>
        <w:b/>
        <w:sz w:val="16"/>
        <w:szCs w:val="16"/>
      </w:rPr>
    </w:pPr>
    <w:r>
      <w:rPr>
        <w:rFonts w:ascii="Univers (W1)" w:hAnsi="Univers (W1)"/>
        <w:b/>
        <w:sz w:val="16"/>
        <w:szCs w:val="16"/>
      </w:rPr>
      <w:t>CENTURYLINK</w:t>
    </w:r>
  </w:p>
  <w:p>
    <w:pPr>
      <w:pStyle w:val="Header"/>
      <w:rPr>
        <w:rFonts w:ascii="Univers (W1)" w:hAnsi="Univers (W1)"/>
        <w:sz w:val="16"/>
        <w:szCs w:val="16"/>
      </w:rPr>
    </w:pPr>
    <w:r>
      <w:rPr>
        <w:rFonts w:ascii="Univers (W1)" w:hAnsi="Univers (W1)"/>
        <w:sz w:val="16"/>
        <w:szCs w:val="16"/>
      </w:rPr>
      <w:t>1600 7th Avenue, Room 1506</w:t>
    </w:r>
  </w:p>
  <w:p>
    <w:pPr>
      <w:pStyle w:val="Header"/>
      <w:rPr>
        <w:rFonts w:ascii="Univers (W1)" w:hAnsi="Univers (W1)"/>
        <w:sz w:val="16"/>
        <w:szCs w:val="16"/>
      </w:rPr>
    </w:pPr>
    <w:smartTag w:uri="urn:schemas-microsoft-com:office:smarttags" w:element="place">
      <w:smartTag w:uri="urn:schemas-microsoft-com:office:smarttags" w:element="City">
        <w:r>
          <w:rPr>
            <w:rFonts w:ascii="Univers (W1)" w:hAnsi="Univers (W1)"/>
            <w:sz w:val="16"/>
            <w:szCs w:val="16"/>
          </w:rPr>
          <w:t>Seattle</w:t>
        </w:r>
      </w:smartTag>
      <w:r>
        <w:rPr>
          <w:rFonts w:ascii="Univers (W1)" w:hAnsi="Univers (W1)"/>
          <w:sz w:val="16"/>
          <w:szCs w:val="16"/>
        </w:rPr>
        <w:t xml:space="preserve">, </w:t>
      </w:r>
      <w:smartTag w:uri="urn:schemas-microsoft-com:office:smarttags" w:element="State">
        <w:r>
          <w:rPr>
            <w:rFonts w:ascii="Univers (W1)" w:hAnsi="Univers (W1)"/>
            <w:sz w:val="16"/>
            <w:szCs w:val="16"/>
          </w:rPr>
          <w:t>Washington</w:t>
        </w:r>
      </w:smartTag>
      <w:r>
        <w:rPr>
          <w:rFonts w:ascii="Univers (W1)" w:hAnsi="Univers (W1)"/>
          <w:sz w:val="16"/>
          <w:szCs w:val="16"/>
        </w:rPr>
        <w:t xml:space="preserve">  </w:t>
      </w:r>
      <w:smartTag w:uri="urn:schemas-microsoft-com:office:smarttags" w:element="PostalCode">
        <w:r>
          <w:rPr>
            <w:rFonts w:ascii="Univers (W1)" w:hAnsi="Univers (W1)"/>
            <w:sz w:val="16"/>
            <w:szCs w:val="16"/>
          </w:rPr>
          <w:t>98191</w:t>
        </w:r>
      </w:smartTag>
    </w:smartTag>
  </w:p>
  <w:p>
    <w:pPr>
      <w:pStyle w:val="Header"/>
      <w:rPr>
        <w:rFonts w:ascii="Univers (W1)" w:hAnsi="Univers (W1)"/>
        <w:sz w:val="16"/>
        <w:szCs w:val="16"/>
      </w:rPr>
    </w:pPr>
    <w:r>
      <w:rPr>
        <w:rFonts w:ascii="Univers (W1)" w:hAnsi="Univers (W1)"/>
        <w:sz w:val="16"/>
        <w:szCs w:val="16"/>
      </w:rPr>
      <w:t>(206) 733-5178</w:t>
    </w:r>
  </w:p>
  <w:p>
    <w:pPr>
      <w:pStyle w:val="Header"/>
      <w:rPr>
        <w:rFonts w:ascii="Univers (W1)" w:hAnsi="Univers (W1)"/>
        <w:sz w:val="16"/>
        <w:szCs w:val="16"/>
      </w:rPr>
    </w:pPr>
    <w:r>
      <w:rPr>
        <w:rFonts w:ascii="Univers (W1)" w:hAnsi="Univers (W1)"/>
        <w:sz w:val="16"/>
        <w:szCs w:val="16"/>
      </w:rPr>
      <w:t>Facsimile (206) 343-4040</w:t>
    </w:r>
  </w:p>
  <w:p>
    <w:pPr>
      <w:pStyle w:val="Header"/>
      <w:rPr>
        <w:rFonts w:ascii="Univers (W1)" w:hAnsi="Univers (W1)"/>
        <w:sz w:val="16"/>
        <w:szCs w:val="16"/>
      </w:rPr>
    </w:pPr>
  </w:p>
  <w:p>
    <w:pPr>
      <w:pStyle w:val="Header"/>
      <w:rPr>
        <w:rFonts w:ascii="Univers (W1)" w:hAnsi="Univers (W1)"/>
        <w:b/>
        <w:sz w:val="16"/>
        <w:szCs w:val="16"/>
      </w:rPr>
    </w:pPr>
    <w:r>
      <w:rPr>
        <w:rFonts w:ascii="Univers (W1)" w:hAnsi="Univers (W1)"/>
        <w:b/>
        <w:sz w:val="16"/>
        <w:szCs w:val="16"/>
      </w:rPr>
      <w:t>Maura E. Peterson</w:t>
    </w:r>
  </w:p>
  <w:p>
    <w:pPr>
      <w:pStyle w:val="Header"/>
      <w:rPr>
        <w:rFonts w:ascii="Univers (W1)" w:hAnsi="Univers (W1)"/>
        <w:sz w:val="16"/>
        <w:szCs w:val="16"/>
      </w:rPr>
    </w:pPr>
    <w:r>
      <w:rPr>
        <w:rFonts w:ascii="Univers (W1)" w:hAnsi="Univers (W1)"/>
        <w:sz w:val="16"/>
        <w:szCs w:val="16"/>
      </w:rPr>
      <w:t>Paralegal</w:t>
    </w:r>
  </w:p>
  <w:p>
    <w:pPr>
      <w:pStyle w:val="Header"/>
      <w:rPr>
        <w:rFonts w:ascii="Univers (W1)" w:hAnsi="Univers (W1)"/>
        <w:b/>
        <w:sz w:val="16"/>
        <w:szCs w:val="16"/>
      </w:rPr>
    </w:pPr>
    <w:r>
      <w:rPr>
        <w:rFonts w:ascii="Univers (W1)" w:hAnsi="Univers (W1)"/>
        <w:sz w:val="16"/>
        <w:szCs w:val="16"/>
      </w:rPr>
      <w:t xml:space="preserve">Regulatory Law </w:t>
    </w:r>
  </w:p>
  <w:p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uppressTopSpacing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Lines/>
      <w:spacing w:before="240" w:after="60"/>
      <w:outlineLvl w:val="0"/>
    </w:pPr>
    <w:rPr>
      <w:rFonts w:ascii="CG Omega" w:hAnsi="CG Omega"/>
      <w:b/>
      <w:smallCaps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rFonts w:ascii="Arial" w:hAnsi="Arial"/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aliases w:val="ALTS FOOTNOTE,fn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AHeading">
    <w:name w:val="toa heading"/>
    <w:basedOn w:val="Normal"/>
    <w:next w:val="Normal"/>
    <w:semiHidden/>
    <w:pPr>
      <w:widowControl w:val="0"/>
      <w:tabs>
        <w:tab w:val="right" w:pos="9360"/>
      </w:tabs>
      <w:suppressAutoHyphens/>
    </w:pPr>
    <w:rPr>
      <w:snapToGrid w:val="0"/>
      <w:kern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tabs>
        <w:tab w:val="left" w:pos="-720"/>
      </w:tabs>
      <w:jc w:val="center"/>
    </w:pPr>
    <w:rPr>
      <w:rFonts w:ascii="Arial" w:hAnsi="Arial"/>
      <w:b/>
      <w:sz w:val="22"/>
    </w:rPr>
  </w:style>
  <w:style w:type="paragraph" w:styleId="BodyText">
    <w:name w:val="Body Text"/>
    <w:basedOn w:val="Normal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Pr>
      <w:rFonts w:ascii="Arial" w:hAnsi="Arial" w:cs="Arial"/>
      <w:sz w:val="20"/>
    </w:rPr>
  </w:style>
  <w:style w:type="paragraph" w:customStyle="1" w:styleId="indent1">
    <w:name w:val="indent1"/>
    <w:basedOn w:val="Normal"/>
    <w:pPr>
      <w:widowControl w:val="0"/>
      <w:tabs>
        <w:tab w:val="left" w:pos="1260"/>
      </w:tabs>
      <w:jc w:val="both"/>
    </w:pPr>
    <w:rPr>
      <w:rFonts w:ascii="Arial" w:hAnsi="Arial"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9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041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957BC6586EDE94BB06649A2994C48D6" ma:contentTypeVersion="128" ma:contentTypeDescription="" ma:contentTypeScope="" ma:versionID="5d882099ca4dc5803645a5da02f1803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Closed</CaseStatus>
    <OpenedDate xmlns="dc463f71-b30c-4ab2-9473-d307f9d35888">2005-06-03T07:00:00+00:00</OpenedDate>
    <Date1 xmlns="dc463f71-b30c-4ab2-9473-d307f9d35888">2013-05-29T07:00:00+00:00</Date1>
    <IsDocumentOrder xmlns="dc463f71-b30c-4ab2-9473-d307f9d35888" xsi:nil="true"/>
    <IsHighlyConfidential xmlns="dc463f71-b30c-4ab2-9473-d307f9d35888">false</IsHighlyConfidential>
    <CaseCompanyNames xmlns="dc463f71-b30c-4ab2-9473-d307f9d35888">United Telephone Company of the Northwest;Comcast Phone of Washington, LLC</CaseCompanyNames>
    <DocketNumber xmlns="dc463f71-b30c-4ab2-9473-d307f9d35888">053035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7791FCF-BE00-4BBB-8AD6-2E1FEB10444B}"/>
</file>

<file path=customXml/itemProps2.xml><?xml version="1.0" encoding="utf-8"?>
<ds:datastoreItem xmlns:ds="http://schemas.openxmlformats.org/officeDocument/2006/customXml" ds:itemID="{392B163B-E03C-4314-8715-8203F589EF12}"/>
</file>

<file path=customXml/itemProps3.xml><?xml version="1.0" encoding="utf-8"?>
<ds:datastoreItem xmlns:ds="http://schemas.openxmlformats.org/officeDocument/2006/customXml" ds:itemID="{46D667AF-97D5-4732-9396-9567B9D43462}"/>
</file>

<file path=customXml/itemProps4.xml><?xml version="1.0" encoding="utf-8"?>
<ds:datastoreItem xmlns:ds="http://schemas.openxmlformats.org/officeDocument/2006/customXml" ds:itemID="{C7E95164-B3CE-40D3-BFF9-1488B056EE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 ______________, Qwest filed with the Commission an amendment to the interconnection agreement with [NAME OF CARRIER] for review and approval under Section 252(a) and (e) of the Telecommunications Act</vt:lpstr>
    </vt:vector>
  </TitlesOfParts>
  <Company>U S WEST Inc.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______________, Qwest filed with the Commission an amendment to the interconnection agreement with [NAME OF CARRIER] for review and approval under Section 252(a) and (e) of the Telecommunications Act</dc:title>
  <dc:subject/>
  <dc:creator>Luke Maez</dc:creator>
  <cp:keywords/>
  <dc:description/>
  <cp:lastModifiedBy>Peterson, Maura</cp:lastModifiedBy>
  <cp:revision>3</cp:revision>
  <cp:lastPrinted>2013-04-29T20:47:00Z</cp:lastPrinted>
  <dcterms:created xsi:type="dcterms:W3CDTF">2013-05-29T22:54:00Z</dcterms:created>
  <dcterms:modified xsi:type="dcterms:W3CDTF">2013-05-29T22:56:00Z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0x0101006E56B4D1795A2E4DB2F0B01679ED314A001957BC6586EDE94BB06649A2994C48D6</vt:lpwstr>
  </property>
  <property fmtid="{D5CDD505-2E9C-101B-9397-08002B2CF9AE}" pid="3" name="_docset_NoMedatataSyncRequired">
    <vt:lpwstr>False</vt:lpwstr>
  </property>
</Properties>
</file>