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customXml/itemProps3.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B0" w:rsidRDefault="009170B0" w:rsidP="009D75E7">
      <w:pPr>
        <w:pStyle w:val="ListParagraph"/>
        <w:ind w:left="360"/>
        <w:jc w:val="center"/>
        <w:rPr>
          <w:b/>
        </w:rPr>
      </w:pPr>
      <w:bookmarkStart w:id="0" w:name="_GoBack"/>
      <w:bookmarkEnd w:id="0"/>
    </w:p>
    <w:p w:rsidR="009170B0" w:rsidRPr="009D75E7" w:rsidRDefault="009170B0" w:rsidP="009D75E7"/>
    <w:p w:rsidR="009170B0" w:rsidRPr="009D75E7" w:rsidRDefault="009170B0" w:rsidP="009D75E7"/>
    <w:p w:rsidR="009170B0" w:rsidRPr="009D75E7" w:rsidRDefault="009170B0" w:rsidP="009D75E7"/>
    <w:p w:rsidR="009170B0" w:rsidRDefault="009170B0" w:rsidP="009D75E7"/>
    <w:p w:rsidR="009170B0" w:rsidRPr="009D75E7" w:rsidRDefault="009170B0" w:rsidP="009D75E7">
      <w:pPr>
        <w:jc w:val="center"/>
        <w:rPr>
          <w:b/>
          <w:sz w:val="56"/>
          <w:szCs w:val="56"/>
        </w:rPr>
      </w:pPr>
      <w:r>
        <w:rPr>
          <w:b/>
          <w:sz w:val="56"/>
          <w:szCs w:val="56"/>
        </w:rPr>
        <w:t>ATTACHMENT B</w:t>
      </w:r>
    </w:p>
    <w:p w:rsidR="009170B0" w:rsidRDefault="009170B0" w:rsidP="009D75E7"/>
    <w:p w:rsidR="009170B0" w:rsidRPr="009D75E7" w:rsidRDefault="009170B0" w:rsidP="009D75E7">
      <w:pPr>
        <w:sectPr w:rsidR="009170B0" w:rsidRPr="009D75E7" w:rsidSect="009D75E7">
          <w:pgSz w:w="12240" w:h="15840"/>
          <w:pgMar w:top="5040" w:right="1440" w:bottom="1440" w:left="1440" w:header="720" w:footer="720" w:gutter="0"/>
          <w:pgNumType w:start="1"/>
          <w:cols w:space="720"/>
          <w:docGrid w:linePitch="360"/>
        </w:sectPr>
      </w:pPr>
    </w:p>
    <w:p w:rsidR="009170B0" w:rsidRDefault="009170B0" w:rsidP="009D75E7">
      <w:pPr>
        <w:pStyle w:val="ListParagraph"/>
        <w:ind w:left="360"/>
        <w:jc w:val="center"/>
        <w:rPr>
          <w:b/>
        </w:rPr>
      </w:pPr>
      <w:r>
        <w:rPr>
          <w:b/>
        </w:rPr>
        <w:lastRenderedPageBreak/>
        <w:t xml:space="preserve">Gas Revenue </w:t>
      </w:r>
      <w:r w:rsidRPr="00636D00">
        <w:rPr>
          <w:b/>
        </w:rPr>
        <w:t>Decoupling Mechanism</w:t>
      </w:r>
      <w:r>
        <w:rPr>
          <w:b/>
        </w:rPr>
        <w:t xml:space="preserve"> </w:t>
      </w:r>
    </w:p>
    <w:p w:rsidR="009170B0" w:rsidRDefault="009170B0" w:rsidP="009D75E7">
      <w:pPr>
        <w:pStyle w:val="ListParagraph"/>
        <w:ind w:left="360"/>
        <w:jc w:val="center"/>
        <w:rPr>
          <w:b/>
        </w:rPr>
      </w:pPr>
    </w:p>
    <w:p w:rsidR="009170B0" w:rsidRDefault="009170B0" w:rsidP="009D75E7">
      <w:pPr>
        <w:pStyle w:val="ListParagraph"/>
        <w:ind w:left="360"/>
        <w:jc w:val="center"/>
        <w:rPr>
          <w:b/>
        </w:rPr>
      </w:pPr>
    </w:p>
    <w:p w:rsidR="009170B0" w:rsidRPr="00636D00" w:rsidRDefault="009170B0" w:rsidP="009D75E7">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9170B0" w:rsidRDefault="009170B0" w:rsidP="009D75E7">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9170B0" w:rsidRDefault="009170B0" w:rsidP="009D75E7">
      <w:pPr>
        <w:pStyle w:val="ListParagraph"/>
        <w:numPr>
          <w:ilvl w:val="1"/>
          <w:numId w:val="11"/>
        </w:numPr>
        <w:suppressAutoHyphens/>
        <w:spacing w:line="480" w:lineRule="auto"/>
      </w:pPr>
      <w:r>
        <w:t>Rate Group: Groups of rate schedules treated as a single class for purposes of the Mechanism.</w:t>
      </w:r>
    </w:p>
    <w:p w:rsidR="009170B0" w:rsidRPr="00636D00" w:rsidRDefault="009170B0" w:rsidP="009D75E7">
      <w:pPr>
        <w:pStyle w:val="ListParagraph"/>
        <w:numPr>
          <w:ilvl w:val="1"/>
          <w:numId w:val="11"/>
        </w:numPr>
        <w:suppressAutoHyphens/>
        <w:spacing w:line="480" w:lineRule="auto"/>
      </w:pPr>
      <w:r>
        <w:t>Test Year:  The 12-month test period ending June 30, 2012 in PSE’s expedited rate filing (“ERF”), Docket Nos. UE-130137 and UG-130138.</w:t>
      </w:r>
    </w:p>
    <w:p w:rsidR="009170B0" w:rsidRDefault="009170B0" w:rsidP="009D75E7">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w:t>
      </w:r>
      <w:proofErr w:type="spellStart"/>
      <w:r>
        <w:t>therms</w:t>
      </w:r>
      <w:proofErr w:type="spellEnd"/>
      <w:r>
        <w:t xml:space="preserve">, </w:t>
      </w:r>
      <w:r w:rsidRPr="00636D00">
        <w:t xml:space="preserve">for each </w:t>
      </w:r>
      <w:r>
        <w:t xml:space="preserve">Rate Group </w:t>
      </w:r>
      <w:r w:rsidRPr="00636D00">
        <w:t xml:space="preserve">and for each month of the test period in the </w:t>
      </w:r>
      <w:r>
        <w:t>GRC</w:t>
      </w:r>
      <w:r w:rsidRPr="00636D00">
        <w:t>.</w:t>
      </w:r>
      <w:r>
        <w:t xml:space="preserve">  </w:t>
      </w:r>
    </w:p>
    <w:p w:rsidR="009170B0" w:rsidRDefault="009170B0" w:rsidP="009D75E7">
      <w:pPr>
        <w:pStyle w:val="ListParagraph"/>
        <w:numPr>
          <w:ilvl w:val="1"/>
          <w:numId w:val="11"/>
        </w:numPr>
        <w:suppressAutoHyphens/>
        <w:spacing w:line="480" w:lineRule="auto"/>
      </w:pPr>
      <w:r>
        <w:t>Test Year Base Customers:  The gas Base Customers in each Rate Group in the test period in the GRC.</w:t>
      </w:r>
    </w:p>
    <w:p w:rsidR="009170B0" w:rsidRDefault="009170B0" w:rsidP="009D75E7">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9170B0" w:rsidRDefault="009170B0" w:rsidP="009D75E7">
      <w:pPr>
        <w:pStyle w:val="ListParagraph"/>
        <w:numPr>
          <w:ilvl w:val="0"/>
          <w:numId w:val="11"/>
        </w:numPr>
        <w:tabs>
          <w:tab w:val="left" w:pos="360"/>
          <w:tab w:val="left" w:pos="6930"/>
        </w:tabs>
        <w:suppressAutoHyphens/>
        <w:spacing w:line="480" w:lineRule="auto"/>
        <w:rPr>
          <w:szCs w:val="16"/>
        </w:rPr>
      </w:pPr>
      <w:r w:rsidRPr="00383C88">
        <w:rPr>
          <w:szCs w:val="16"/>
          <w:u w:val="single"/>
        </w:rPr>
        <w:lastRenderedPageBreak/>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9170B0" w:rsidRDefault="009170B0" w:rsidP="009D75E7">
      <w:pPr>
        <w:pStyle w:val="ListParagraph"/>
        <w:numPr>
          <w:ilvl w:val="1"/>
          <w:numId w:val="11"/>
        </w:numPr>
        <w:suppressAutoHyphens/>
        <w:spacing w:line="480" w:lineRule="auto"/>
        <w:rPr>
          <w:szCs w:val="16"/>
        </w:rPr>
      </w:pPr>
      <w:r>
        <w:rPr>
          <w:szCs w:val="16"/>
        </w:rPr>
        <w:t>Residential – Schedule 23 and 53.</w:t>
      </w:r>
    </w:p>
    <w:p w:rsidR="009170B0" w:rsidRDefault="009170B0" w:rsidP="009D75E7">
      <w:pPr>
        <w:pStyle w:val="ListParagraph"/>
        <w:numPr>
          <w:ilvl w:val="1"/>
          <w:numId w:val="11"/>
        </w:numPr>
        <w:suppressAutoHyphens/>
        <w:spacing w:line="480" w:lineRule="auto"/>
        <w:rPr>
          <w:szCs w:val="16"/>
        </w:rPr>
      </w:pPr>
      <w:r>
        <w:rPr>
          <w:szCs w:val="16"/>
        </w:rPr>
        <w:t>Non-Residential – Schedules 31, 31T, 41, 41T, 85, 85T, 86, 86T, 87 and 87T.</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9170B0" w:rsidRDefault="009170B0" w:rsidP="009D75E7">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9170B0" w:rsidRDefault="009170B0" w:rsidP="009D75E7">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9170B0" w:rsidRDefault="009170B0" w:rsidP="009D75E7">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9170B0" w:rsidRDefault="009170B0" w:rsidP="009D75E7">
      <w:pPr>
        <w:pStyle w:val="ListParagraph"/>
        <w:numPr>
          <w:ilvl w:val="1"/>
          <w:numId w:val="11"/>
        </w:numPr>
        <w:suppressAutoHyphens/>
        <w:spacing w:line="480" w:lineRule="auto"/>
      </w:pPr>
      <w:r w:rsidRPr="00FB0D95">
        <w:rPr>
          <w:u w:val="single"/>
        </w:rPr>
        <w:lastRenderedPageBreak/>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9170B0" w:rsidRDefault="009170B0" w:rsidP="009D75E7">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9170B0" w:rsidRDefault="009170B0" w:rsidP="009D75E7">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9170B0" w:rsidRDefault="009170B0" w:rsidP="009D75E7">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9170B0" w:rsidRDefault="009170B0" w:rsidP="009D75E7">
      <w:pPr>
        <w:pStyle w:val="ListParagraph"/>
        <w:numPr>
          <w:ilvl w:val="1"/>
          <w:numId w:val="11"/>
        </w:numPr>
        <w:suppressAutoHyphens/>
        <w:spacing w:line="480" w:lineRule="auto"/>
      </w:pPr>
      <w:r>
        <w:rPr>
          <w:u w:val="single"/>
        </w:rPr>
        <w:lastRenderedPageBreak/>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9170B0" w:rsidRPr="00706D53" w:rsidRDefault="009170B0" w:rsidP="009D75E7">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9170B0" w:rsidRDefault="009170B0" w:rsidP="009D75E7">
      <w:pPr>
        <w:pStyle w:val="ListParagraph"/>
        <w:suppressAutoHyphens/>
        <w:spacing w:line="480" w:lineRule="auto"/>
        <w:ind w:left="360"/>
      </w:pPr>
    </w:p>
    <w:p w:rsidR="009170B0" w:rsidRPr="00CD18CF" w:rsidRDefault="009170B0" w:rsidP="009D75E7">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9170B0" w:rsidRPr="00AF2808" w:rsidRDefault="009170B0" w:rsidP="009D75E7">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9170B0" w:rsidRPr="00BD72BD" w:rsidRDefault="009170B0" w:rsidP="009D75E7">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w:t>
      </w:r>
      <w:r w:rsidR="00507A95" w:rsidRPr="00507A95">
        <w:rPr>
          <w:u w:val="single"/>
        </w:rPr>
        <w:t>excluding the portion recovering the accumulated decoupling deferrals from prior calendar year</w:t>
      </w:r>
      <w:r w:rsidR="00F870E3">
        <w:rPr>
          <w:u w:val="single"/>
        </w:rPr>
        <w:t>s</w:t>
      </w:r>
      <w:r w:rsidR="00507A95">
        <w:t xml:space="preserve"> </w:t>
      </w:r>
      <w:r>
        <w:t xml:space="preserve">for each Rate </w:t>
      </w:r>
      <w:r>
        <w:lastRenderedPageBreak/>
        <w:t xml:space="preserve">Group </w:t>
      </w:r>
      <w:r w:rsidRPr="00CD18CF">
        <w:t>for the</w:t>
      </w:r>
      <w:r>
        <w:t xml:space="preserve"> current</w:t>
      </w:r>
      <w:r w:rsidRPr="00CD18CF">
        <w:t xml:space="preserve"> calendar month </w:t>
      </w:r>
      <w:r>
        <w:t xml:space="preserve">by the </w:t>
      </w:r>
      <w:proofErr w:type="spellStart"/>
      <w:r>
        <w:t>therm</w:t>
      </w:r>
      <w:proofErr w:type="spellEnd"/>
      <w:r>
        <w:t xml:space="preserve"> sales in the group for the current calendar month (“Current Sales”).</w:t>
      </w:r>
    </w:p>
    <w:p w:rsidR="009170B0" w:rsidRDefault="009170B0" w:rsidP="009D75E7">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9170B0" w:rsidRPr="00CD18CF" w:rsidRDefault="009170B0" w:rsidP="009D75E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9170B0" w:rsidRDefault="009170B0" w:rsidP="009D75E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9170B0" w:rsidRDefault="009170B0" w:rsidP="009D75E7">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9170B0" w:rsidRDefault="009170B0" w:rsidP="009D75E7">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9170B0" w:rsidRPr="005F525D" w:rsidRDefault="009170B0" w:rsidP="009D75E7">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9170B0" w:rsidRDefault="009170B0" w:rsidP="009D75E7">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9170B0" w:rsidRDefault="009170B0" w:rsidP="009D75E7">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9170B0" w:rsidRDefault="009170B0" w:rsidP="009D75E7">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9170B0" w:rsidRDefault="009170B0" w:rsidP="009D75E7">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9170B0" w:rsidRDefault="009170B0" w:rsidP="009D75E7">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9170B0" w:rsidRDefault="009170B0" w:rsidP="009D75E7">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9170B0" w:rsidRDefault="009170B0" w:rsidP="009D75E7">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9170B0" w:rsidRDefault="009170B0" w:rsidP="009D75E7">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9170B0" w:rsidRDefault="009170B0" w:rsidP="009D75E7">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9170B0" w:rsidRDefault="009170B0" w:rsidP="009D75E7">
      <w:pPr>
        <w:pStyle w:val="ListParagraph"/>
        <w:numPr>
          <w:ilvl w:val="1"/>
          <w:numId w:val="11"/>
        </w:numPr>
        <w:spacing w:line="480" w:lineRule="auto"/>
      </w:pPr>
      <w:r w:rsidRPr="00E90BDF">
        <w:t xml:space="preserve">The Company will include, with its tariff, workpapers showing application of the Earnings Test.  </w:t>
      </w:r>
    </w:p>
    <w:p w:rsidR="009170B0" w:rsidRPr="00AD3312" w:rsidRDefault="009170B0" w:rsidP="009D75E7">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9170B0" w:rsidRPr="009D75E7" w:rsidRDefault="009170B0" w:rsidP="009D75E7"/>
    <w:sectPr w:rsidR="009170B0" w:rsidRPr="009D75E7" w:rsidSect="00DB3A4E">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B0" w:rsidRDefault="006003B0" w:rsidP="00B416CA">
      <w:r>
        <w:separator/>
      </w:r>
    </w:p>
  </w:endnote>
  <w:endnote w:type="continuationSeparator" w:id="0">
    <w:p w:rsidR="006003B0" w:rsidRDefault="006003B0" w:rsidP="00B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B0" w:rsidRDefault="006003B0" w:rsidP="00B416CA">
      <w:r>
        <w:separator/>
      </w:r>
    </w:p>
  </w:footnote>
  <w:footnote w:type="continuationSeparator" w:id="0">
    <w:p w:rsidR="006003B0" w:rsidRDefault="006003B0" w:rsidP="00B416CA">
      <w:r>
        <w:continuationSeparator/>
      </w:r>
    </w:p>
  </w:footnote>
  <w:footnote w:id="1">
    <w:p w:rsidR="009170B0" w:rsidRDefault="009170B0" w:rsidP="009D75E7">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9170B0" w:rsidRDefault="009170B0" w:rsidP="009D75E7">
      <w:pPr>
        <w:pStyle w:val="FootnoteText"/>
      </w:pPr>
      <w:r>
        <w:rPr>
          <w:rStyle w:val="FootnoteReference"/>
        </w:rPr>
        <w:footnoteRef/>
      </w:r>
      <w:r>
        <w:t xml:space="preserve"> This will include revenue associated with PSE’s allocated gas costs.</w:t>
      </w:r>
    </w:p>
  </w:footnote>
  <w:footnote w:id="3">
    <w:p w:rsidR="009170B0" w:rsidRDefault="009170B0" w:rsidP="009D75E7">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9170B0" w:rsidRDefault="009170B0" w:rsidP="009D75E7">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B0" w:rsidRDefault="009170B0" w:rsidP="00BA3EFA">
    <w:pPr>
      <w:pStyle w:val="Header"/>
      <w:ind w:left="6930"/>
      <w:jc w:val="right"/>
    </w:pPr>
    <w:r>
      <w:t>ATTACHMENT B</w:t>
    </w:r>
  </w:p>
  <w:p w:rsidR="009170B0" w:rsidRPr="00DB3A4E" w:rsidRDefault="009170B0" w:rsidP="00BA3EFA">
    <w:pPr>
      <w:pStyle w:val="Header"/>
      <w:ind w:left="6930"/>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52685">
      <w:rPr>
        <w:rStyle w:val="PageNumber"/>
        <w:noProof/>
      </w:rPr>
      <w:t>4</w:t>
    </w:r>
    <w:r>
      <w:rPr>
        <w:rStyle w:val="PageNumber"/>
      </w:rPr>
      <w:fldChar w:fldCharType="end"/>
    </w:r>
    <w:r>
      <w:rPr>
        <w:rStyle w:val="PageNumber"/>
      </w:rPr>
      <w:t xml:space="preserve"> of 8</w:t>
    </w:r>
  </w:p>
  <w:p w:rsidR="009170B0" w:rsidRPr="00DB3A4E" w:rsidRDefault="009170B0" w:rsidP="00DB3A4E">
    <w:pPr>
      <w:pStyle w:val="Header"/>
      <w:ind w:left="69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3CFC"/>
    <w:rsid w:val="00011391"/>
    <w:rsid w:val="00015C86"/>
    <w:rsid w:val="00015F82"/>
    <w:rsid w:val="00023B1A"/>
    <w:rsid w:val="00041004"/>
    <w:rsid w:val="000539ED"/>
    <w:rsid w:val="00056C59"/>
    <w:rsid w:val="00072915"/>
    <w:rsid w:val="000765A1"/>
    <w:rsid w:val="00076D26"/>
    <w:rsid w:val="000A6204"/>
    <w:rsid w:val="000B45EF"/>
    <w:rsid w:val="000C567F"/>
    <w:rsid w:val="000D6F3F"/>
    <w:rsid w:val="000E0B70"/>
    <w:rsid w:val="000E640C"/>
    <w:rsid w:val="00100C84"/>
    <w:rsid w:val="0010321B"/>
    <w:rsid w:val="00115E6D"/>
    <w:rsid w:val="001231F8"/>
    <w:rsid w:val="00136DAC"/>
    <w:rsid w:val="00140382"/>
    <w:rsid w:val="00146525"/>
    <w:rsid w:val="0016333F"/>
    <w:rsid w:val="0016427F"/>
    <w:rsid w:val="00174604"/>
    <w:rsid w:val="00185016"/>
    <w:rsid w:val="00192A0F"/>
    <w:rsid w:val="00193CD3"/>
    <w:rsid w:val="001B7002"/>
    <w:rsid w:val="001C5AB1"/>
    <w:rsid w:val="001D2420"/>
    <w:rsid w:val="001D3832"/>
    <w:rsid w:val="001D7907"/>
    <w:rsid w:val="001E3E17"/>
    <w:rsid w:val="001E46DB"/>
    <w:rsid w:val="001E68CA"/>
    <w:rsid w:val="0020649E"/>
    <w:rsid w:val="00211E3C"/>
    <w:rsid w:val="00212F3D"/>
    <w:rsid w:val="00215511"/>
    <w:rsid w:val="00242F79"/>
    <w:rsid w:val="002460D5"/>
    <w:rsid w:val="00260570"/>
    <w:rsid w:val="00271AEA"/>
    <w:rsid w:val="0028186A"/>
    <w:rsid w:val="00285AF5"/>
    <w:rsid w:val="002A73CD"/>
    <w:rsid w:val="002B2A44"/>
    <w:rsid w:val="002B3DB8"/>
    <w:rsid w:val="002B494E"/>
    <w:rsid w:val="002C039A"/>
    <w:rsid w:val="002C4089"/>
    <w:rsid w:val="002C4FAD"/>
    <w:rsid w:val="002F318A"/>
    <w:rsid w:val="00305C13"/>
    <w:rsid w:val="00307A35"/>
    <w:rsid w:val="00314E86"/>
    <w:rsid w:val="0032758A"/>
    <w:rsid w:val="003529AA"/>
    <w:rsid w:val="003548C5"/>
    <w:rsid w:val="003831A5"/>
    <w:rsid w:val="00383C88"/>
    <w:rsid w:val="00395209"/>
    <w:rsid w:val="003A2722"/>
    <w:rsid w:val="003B709A"/>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07A95"/>
    <w:rsid w:val="005113B5"/>
    <w:rsid w:val="0051681B"/>
    <w:rsid w:val="00520B71"/>
    <w:rsid w:val="005215E9"/>
    <w:rsid w:val="00530E79"/>
    <w:rsid w:val="00544C2C"/>
    <w:rsid w:val="00552600"/>
    <w:rsid w:val="00561BA5"/>
    <w:rsid w:val="005A6C74"/>
    <w:rsid w:val="005B71EE"/>
    <w:rsid w:val="005D1F38"/>
    <w:rsid w:val="005E0670"/>
    <w:rsid w:val="005E41A6"/>
    <w:rsid w:val="005F3138"/>
    <w:rsid w:val="005F525D"/>
    <w:rsid w:val="005F7BE7"/>
    <w:rsid w:val="0060035C"/>
    <w:rsid w:val="006003B0"/>
    <w:rsid w:val="006066F9"/>
    <w:rsid w:val="00612036"/>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76EBB"/>
    <w:rsid w:val="007945CB"/>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170B0"/>
    <w:rsid w:val="009342DA"/>
    <w:rsid w:val="009359BD"/>
    <w:rsid w:val="00936B25"/>
    <w:rsid w:val="00944A7C"/>
    <w:rsid w:val="00952317"/>
    <w:rsid w:val="00954F73"/>
    <w:rsid w:val="009558CA"/>
    <w:rsid w:val="00957B21"/>
    <w:rsid w:val="00961325"/>
    <w:rsid w:val="009620B7"/>
    <w:rsid w:val="00963B1D"/>
    <w:rsid w:val="00963D94"/>
    <w:rsid w:val="00971E7A"/>
    <w:rsid w:val="00972897"/>
    <w:rsid w:val="00972A28"/>
    <w:rsid w:val="00985088"/>
    <w:rsid w:val="009850E2"/>
    <w:rsid w:val="00996B9C"/>
    <w:rsid w:val="009A2457"/>
    <w:rsid w:val="009B2C66"/>
    <w:rsid w:val="009B487B"/>
    <w:rsid w:val="009D36FC"/>
    <w:rsid w:val="009D75E7"/>
    <w:rsid w:val="009E3DE0"/>
    <w:rsid w:val="009F6F2D"/>
    <w:rsid w:val="00A00471"/>
    <w:rsid w:val="00A04F5B"/>
    <w:rsid w:val="00A20269"/>
    <w:rsid w:val="00A21849"/>
    <w:rsid w:val="00A347CF"/>
    <w:rsid w:val="00A50613"/>
    <w:rsid w:val="00A56DD1"/>
    <w:rsid w:val="00A6072A"/>
    <w:rsid w:val="00A70A70"/>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3EFA"/>
    <w:rsid w:val="00BA4B2F"/>
    <w:rsid w:val="00BB4671"/>
    <w:rsid w:val="00BB6FB7"/>
    <w:rsid w:val="00BC29D7"/>
    <w:rsid w:val="00BD42D2"/>
    <w:rsid w:val="00BD72BD"/>
    <w:rsid w:val="00BE6E8A"/>
    <w:rsid w:val="00C00A58"/>
    <w:rsid w:val="00C139B0"/>
    <w:rsid w:val="00C25902"/>
    <w:rsid w:val="00C34FB1"/>
    <w:rsid w:val="00C400B5"/>
    <w:rsid w:val="00C52685"/>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E2AA3"/>
    <w:rsid w:val="00CF03DA"/>
    <w:rsid w:val="00CF28C8"/>
    <w:rsid w:val="00CF34A8"/>
    <w:rsid w:val="00D26BD2"/>
    <w:rsid w:val="00D30504"/>
    <w:rsid w:val="00D33D0B"/>
    <w:rsid w:val="00D35520"/>
    <w:rsid w:val="00D51488"/>
    <w:rsid w:val="00D64940"/>
    <w:rsid w:val="00D65553"/>
    <w:rsid w:val="00D663E8"/>
    <w:rsid w:val="00D712B0"/>
    <w:rsid w:val="00D853D8"/>
    <w:rsid w:val="00D871A7"/>
    <w:rsid w:val="00D90FB2"/>
    <w:rsid w:val="00D91DA1"/>
    <w:rsid w:val="00DA1B86"/>
    <w:rsid w:val="00DB3A4E"/>
    <w:rsid w:val="00DB6593"/>
    <w:rsid w:val="00DC4DA1"/>
    <w:rsid w:val="00DC51FB"/>
    <w:rsid w:val="00DD2A47"/>
    <w:rsid w:val="00DD4627"/>
    <w:rsid w:val="00DE0053"/>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0E8F"/>
    <w:rsid w:val="00EF6C8C"/>
    <w:rsid w:val="00F06B58"/>
    <w:rsid w:val="00F21B68"/>
    <w:rsid w:val="00F23869"/>
    <w:rsid w:val="00F34E07"/>
    <w:rsid w:val="00F4038D"/>
    <w:rsid w:val="00F41E9C"/>
    <w:rsid w:val="00F43645"/>
    <w:rsid w:val="00F45799"/>
    <w:rsid w:val="00F6382C"/>
    <w:rsid w:val="00F64BD8"/>
    <w:rsid w:val="00F657B6"/>
    <w:rsid w:val="00F73CAA"/>
    <w:rsid w:val="00F870E3"/>
    <w:rsid w:val="00FA2ED9"/>
    <w:rsid w:val="00FA6E8F"/>
    <w:rsid w:val="00FB0D95"/>
    <w:rsid w:val="00FB4156"/>
    <w:rsid w:val="00FD150E"/>
    <w:rsid w:val="00FD7585"/>
    <w:rsid w:val="00FE1388"/>
    <w:rsid w:val="00FE2247"/>
    <w:rsid w:val="00FE3C7A"/>
    <w:rsid w:val="00FE736B"/>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microsoft.com/office/2007/relationships/stylesWithEffects" Target="stylesWithEffect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endnotes" Target="endnotes.xml" />
  <Relationship Id="rId5" Type="http://schemas.openxmlformats.org/officeDocument/2006/relationships/numbering" Target="numbering.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44D7628-822F-4D4E-9576-034D24E0F5E0}"/>
</file>

<file path=customXml/itemProps2.xml><?xml version="1.0" encoding="utf-8"?>
<ds:datastoreItem xmlns:ds="http://schemas.openxmlformats.org/officeDocument/2006/customXml" ds:itemID="{4C4B3E58-4145-4A01-A9AE-CF136B2613B7}"/>
</file>

<file path=customXml/itemProps3.xml><?xml version="1.0" encoding="utf-8"?>
<ds:datastoreItem xmlns:ds="http://schemas.openxmlformats.org/officeDocument/2006/customXml" ds:itemID="{F31F4C74-6EC7-42D9-A63A-7E538C9C20D0}"/>
</file>

<file path=customXml/itemProps4.xml><?xml version="1.0" encoding="utf-8"?>
<ds:datastoreItem xmlns:ds="http://schemas.openxmlformats.org/officeDocument/2006/customXml" ds:itemID="{D26680A5-ADFA-4A39-BFD0-6CDC8FA4D244}"/>
</file>

<file path=docProps/app.xml><?xml version="1.0" encoding="utf-8"?>
<Properties xmlns="http://schemas.openxmlformats.org/officeDocument/2006/extended-properties" xmlns:vt="http://schemas.openxmlformats.org/officeDocument/2006/docPropsVTypes">
  <Pages>6</Pages>
  <Words>2104</Words>
  <Characters>10719</Characters>
  <Application>Microsoft Office Word</Application>
  <DocSecurity>0</DocSecurity>
  <Lines>183</Lines>
  <Paragraphs>46</Paragraphs>
  <ScaleCrop>false</ScaleCrop>
  <HeadingPairs>
    <vt:vector size="2" baseType="variant">
      <vt:variant>
        <vt:lpstr>Title</vt:lpstr>
      </vt:variant>
      <vt:variant>
        <vt:i4>1</vt:i4>
      </vt:variant>
    </vt:vector>
  </HeadingPairs>
  <TitlesOfParts>
    <vt:vector size="1" baseType="lpstr">
      <vt:lpstr>EXHIBIT NO</vt:lpstr>
    </vt:vector>
  </TitlesOfParts>
  <Company/>
  <LinksUpToDate>false</LinksUpToDate>
  <CharactersWithSpaces>12890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UFAAkxpNJwTxbICqnuveMMX5whzGYgtIiQFzNXqihRGmgV+0wFNEjMu5Sc4W4lnLwqG/usvAuTFa8lHZ
zgY/YNiI7Hb/8cw6+p87oaU5WOgI+QKHAK1GdWczQGD4USybz0wJ+PUb4gQvAUKsemwjqNP/GaW4
XWZj0hE5eX5yobobc2NcKKpMOTYj921NlbQqfAMND6/h7TydvnB8AgaeyOevx9VCbw43qmesFPKR
ToQCxyjduZC4Tnxf9</vt:lpwstr>
  </property>
  <property fmtid="{D5CDD505-2E9C-101B-9397-08002B2CF9AE}" pid="3" name="MAIL_MSG_ID2">
    <vt:lpwstr>y09g922T6528+JDJJHoD/2TgUq82dBKb8jJTKTEjTlVIq1CQ2Qlyqdkpka4
Wc/DXm5+RnZpyAa3Ol/K0KuA4wQ=</vt:lpwstr>
  </property>
  <property fmtid="{D5CDD505-2E9C-101B-9397-08002B2CF9AE}" pid="4" name="RESPONSE_SENDER_NAME">
    <vt:lpwstr>ABAAMV6B7YzPbaII0ytbveqTRHbwBcwlPCvGil6JPnR/M0wREEYlX9An/SoEq/huP8A0</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