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D5AD4" w14:textId="77777777" w:rsidR="00663322" w:rsidRDefault="00663322" w:rsidP="00EE1CD1">
      <w:pPr>
        <w:tabs>
          <w:tab w:val="center" w:pos="4680"/>
        </w:tabs>
        <w:ind w:right="-108" w:hanging="180"/>
        <w:jc w:val="both"/>
        <w:rPr>
          <w:sz w:val="24"/>
        </w:rPr>
      </w:pPr>
      <w:bookmarkStart w:id="0" w:name="_GoBack"/>
      <w:bookmarkEnd w:id="0"/>
    </w:p>
    <w:p w14:paraId="46DFCF86" w14:textId="77777777" w:rsidR="00F748D8" w:rsidRPr="00EE1CD1" w:rsidRDefault="00F748D8" w:rsidP="00EE1CD1">
      <w:pPr>
        <w:tabs>
          <w:tab w:val="center" w:pos="4680"/>
        </w:tabs>
        <w:ind w:right="-108" w:hanging="180"/>
        <w:jc w:val="both"/>
        <w:rPr>
          <w:sz w:val="24"/>
        </w:rPr>
      </w:pPr>
      <w:r w:rsidRPr="00EE1CD1">
        <w:rPr>
          <w:sz w:val="24"/>
        </w:rPr>
        <w:t>BEFORE THE WASHINGTON UTILITIES AND TRANSPORTATION COMMISSION</w:t>
      </w:r>
    </w:p>
    <w:p w14:paraId="46DFCF88" w14:textId="77777777" w:rsidR="00F748D8" w:rsidRPr="00EE1CD1" w:rsidRDefault="00F748D8" w:rsidP="00EE1CD1">
      <w:pPr>
        <w:jc w:val="both"/>
        <w:rPr>
          <w:sz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F748D8" w:rsidRPr="00EE1CD1" w14:paraId="46DFCF95" w14:textId="77777777" w:rsidTr="00EC5B23">
        <w:tc>
          <w:tcPr>
            <w:tcW w:w="4590" w:type="dxa"/>
            <w:tcBorders>
              <w:top w:val="single" w:sz="6" w:space="0" w:color="FFFFFF"/>
              <w:left w:val="single" w:sz="6" w:space="0" w:color="FFFFFF"/>
              <w:bottom w:val="single" w:sz="6" w:space="0" w:color="FFFFFF"/>
              <w:right w:val="single" w:sz="6" w:space="0" w:color="FFFFFF"/>
            </w:tcBorders>
          </w:tcPr>
          <w:p w14:paraId="662C3CBE" w14:textId="77777777" w:rsidR="00EE1CD1" w:rsidRPr="00EE1CD1" w:rsidRDefault="00EE1CD1" w:rsidP="00EE1CD1">
            <w:pPr>
              <w:rPr>
                <w:sz w:val="24"/>
              </w:rPr>
            </w:pPr>
            <w:r w:rsidRPr="00EE1CD1">
              <w:rPr>
                <w:sz w:val="24"/>
              </w:rPr>
              <w:t>WASHINGTON UTILITIES AND TRANSPORTATION COMMISSION,</w:t>
            </w:r>
          </w:p>
          <w:p w14:paraId="4A2338CA" w14:textId="77777777" w:rsidR="00EE1CD1" w:rsidRPr="00EE1CD1" w:rsidRDefault="00EE1CD1" w:rsidP="00EE1CD1">
            <w:pPr>
              <w:rPr>
                <w:sz w:val="24"/>
              </w:rPr>
            </w:pPr>
          </w:p>
          <w:p w14:paraId="44466936" w14:textId="77777777" w:rsidR="00EE1CD1" w:rsidRPr="00EE1CD1" w:rsidRDefault="00EE1CD1" w:rsidP="00EE1CD1">
            <w:pPr>
              <w:rPr>
                <w:sz w:val="24"/>
              </w:rPr>
            </w:pPr>
            <w:r w:rsidRPr="00EE1CD1">
              <w:rPr>
                <w:sz w:val="24"/>
              </w:rPr>
              <w:t xml:space="preserve">                           Complainant,</w:t>
            </w:r>
          </w:p>
          <w:p w14:paraId="5C3F0F90" w14:textId="77777777" w:rsidR="00EE1CD1" w:rsidRPr="00EE1CD1" w:rsidRDefault="00EE1CD1" w:rsidP="00EE1CD1">
            <w:pPr>
              <w:rPr>
                <w:sz w:val="24"/>
              </w:rPr>
            </w:pPr>
          </w:p>
          <w:p w14:paraId="7A44E412" w14:textId="77777777" w:rsidR="00EE1CD1" w:rsidRPr="00EE1CD1" w:rsidRDefault="00EE1CD1" w:rsidP="00EE1CD1">
            <w:pPr>
              <w:rPr>
                <w:sz w:val="24"/>
              </w:rPr>
            </w:pPr>
            <w:r w:rsidRPr="00EE1CD1">
              <w:rPr>
                <w:sz w:val="24"/>
              </w:rPr>
              <w:t>v.</w:t>
            </w:r>
          </w:p>
          <w:p w14:paraId="3FEE81CC" w14:textId="77777777" w:rsidR="00EE1CD1" w:rsidRPr="00EE1CD1" w:rsidRDefault="00EE1CD1" w:rsidP="00EE1CD1">
            <w:pPr>
              <w:rPr>
                <w:sz w:val="24"/>
              </w:rPr>
            </w:pPr>
          </w:p>
          <w:p w14:paraId="3BF6414E" w14:textId="77777777" w:rsidR="00EE1CD1" w:rsidRPr="00EE1CD1" w:rsidRDefault="00EE1CD1" w:rsidP="00EE1CD1">
            <w:pPr>
              <w:rPr>
                <w:sz w:val="24"/>
              </w:rPr>
            </w:pPr>
            <w:r w:rsidRPr="00EE1CD1">
              <w:rPr>
                <w:sz w:val="24"/>
              </w:rPr>
              <w:t>PUGET SOUND ENERGY,</w:t>
            </w:r>
          </w:p>
          <w:p w14:paraId="71343123" w14:textId="77777777" w:rsidR="00EE1CD1" w:rsidRPr="00EE1CD1" w:rsidRDefault="00EE1CD1" w:rsidP="00EE1CD1">
            <w:pPr>
              <w:rPr>
                <w:sz w:val="24"/>
              </w:rPr>
            </w:pPr>
          </w:p>
          <w:p w14:paraId="0690A697" w14:textId="7A4E09D1" w:rsidR="00EC5B23" w:rsidRPr="00EE1CD1" w:rsidRDefault="00EE1CD1" w:rsidP="00EE1CD1">
            <w:pPr>
              <w:rPr>
                <w:sz w:val="24"/>
              </w:rPr>
            </w:pPr>
            <w:r w:rsidRPr="00EE1CD1">
              <w:rPr>
                <w:sz w:val="24"/>
              </w:rPr>
              <w:t xml:space="preserve">                           Respondent.</w:t>
            </w:r>
          </w:p>
          <w:p w14:paraId="017BE912" w14:textId="77777777" w:rsidR="00EC5B23" w:rsidRPr="00EE1CD1" w:rsidRDefault="00EC5B23" w:rsidP="00EE1CD1">
            <w:pPr>
              <w:rPr>
                <w:sz w:val="24"/>
              </w:rPr>
            </w:pPr>
            <w:r w:rsidRPr="00EE1CD1">
              <w:rPr>
                <w:sz w:val="24"/>
              </w:rPr>
              <w:t>____________________________________</w:t>
            </w:r>
          </w:p>
          <w:p w14:paraId="3EE40745" w14:textId="77777777" w:rsidR="00EC5B23" w:rsidRPr="00EE1CD1" w:rsidRDefault="00EC5B23" w:rsidP="00EE1CD1">
            <w:pPr>
              <w:rPr>
                <w:sz w:val="24"/>
              </w:rPr>
            </w:pPr>
          </w:p>
          <w:p w14:paraId="193ABF2D" w14:textId="77777777" w:rsidR="00EC5B23" w:rsidRPr="00EE1CD1" w:rsidRDefault="00EC5B23" w:rsidP="00EE1CD1">
            <w:pPr>
              <w:rPr>
                <w:sz w:val="24"/>
              </w:rPr>
            </w:pPr>
            <w:r w:rsidRPr="00EE1CD1">
              <w:rPr>
                <w:sz w:val="24"/>
              </w:rPr>
              <w:t>WASHINGTON UTILITIES AND TRANSPORTATION COMMISSION,</w:t>
            </w:r>
          </w:p>
          <w:p w14:paraId="7DC4F1F8" w14:textId="77777777" w:rsidR="00EC5B23" w:rsidRPr="00EE1CD1" w:rsidRDefault="00EC5B23" w:rsidP="00EE1CD1">
            <w:pPr>
              <w:rPr>
                <w:sz w:val="24"/>
              </w:rPr>
            </w:pPr>
          </w:p>
          <w:p w14:paraId="0783A205" w14:textId="0034A872" w:rsidR="00EC5B23" w:rsidRPr="00EE1CD1" w:rsidRDefault="00EC5B23" w:rsidP="00EE1CD1">
            <w:pPr>
              <w:rPr>
                <w:sz w:val="24"/>
              </w:rPr>
            </w:pPr>
            <w:r w:rsidRPr="00EE1CD1">
              <w:rPr>
                <w:sz w:val="24"/>
              </w:rPr>
              <w:tab/>
            </w:r>
            <w:r w:rsidRPr="00EE1CD1">
              <w:rPr>
                <w:sz w:val="24"/>
              </w:rPr>
              <w:tab/>
              <w:t>Complainant,</w:t>
            </w:r>
          </w:p>
          <w:p w14:paraId="5FEB5515" w14:textId="77777777" w:rsidR="00EC5B23" w:rsidRPr="00EE1CD1" w:rsidRDefault="00EC5B23" w:rsidP="00EE1CD1">
            <w:pPr>
              <w:rPr>
                <w:sz w:val="24"/>
              </w:rPr>
            </w:pPr>
          </w:p>
          <w:p w14:paraId="622BFA77" w14:textId="77777777" w:rsidR="00EC5B23" w:rsidRPr="00EE1CD1" w:rsidRDefault="00EC5B23" w:rsidP="00EE1CD1">
            <w:pPr>
              <w:rPr>
                <w:sz w:val="24"/>
              </w:rPr>
            </w:pPr>
            <w:r w:rsidRPr="00EE1CD1">
              <w:rPr>
                <w:sz w:val="24"/>
              </w:rPr>
              <w:t>v.</w:t>
            </w:r>
          </w:p>
          <w:p w14:paraId="4C34A064" w14:textId="77777777" w:rsidR="00EC5B23" w:rsidRPr="00EE1CD1" w:rsidRDefault="00EC5B23" w:rsidP="00EE1CD1">
            <w:pPr>
              <w:rPr>
                <w:sz w:val="24"/>
              </w:rPr>
            </w:pPr>
          </w:p>
          <w:p w14:paraId="19F9EB28" w14:textId="77777777" w:rsidR="00EC5B23" w:rsidRPr="00EE1CD1" w:rsidRDefault="00EC5B23" w:rsidP="00EE1CD1">
            <w:pPr>
              <w:rPr>
                <w:sz w:val="24"/>
              </w:rPr>
            </w:pPr>
            <w:r w:rsidRPr="00EE1CD1">
              <w:rPr>
                <w:sz w:val="24"/>
              </w:rPr>
              <w:t>PUGET SOUND ENERGY, INC.</w:t>
            </w:r>
          </w:p>
          <w:p w14:paraId="23BF144E" w14:textId="77777777" w:rsidR="00EC5B23" w:rsidRPr="00EE1CD1" w:rsidRDefault="00EC5B23" w:rsidP="00EE1CD1">
            <w:pPr>
              <w:rPr>
                <w:sz w:val="24"/>
              </w:rPr>
            </w:pPr>
          </w:p>
          <w:p w14:paraId="46DFCF91" w14:textId="3E23B7B0" w:rsidR="004F69A5" w:rsidRPr="00EE1CD1" w:rsidRDefault="00EC5B23" w:rsidP="00EE1CD1">
            <w:pPr>
              <w:rPr>
                <w:sz w:val="24"/>
              </w:rPr>
            </w:pPr>
            <w:r w:rsidRPr="00EE1CD1">
              <w:rPr>
                <w:sz w:val="24"/>
              </w:rPr>
              <w:tab/>
            </w:r>
            <w:r w:rsidRPr="00EE1CD1">
              <w:rPr>
                <w:sz w:val="24"/>
              </w:rPr>
              <w:tab/>
              <w:t>Respondent.</w:t>
            </w:r>
          </w:p>
        </w:tc>
        <w:tc>
          <w:tcPr>
            <w:tcW w:w="4590" w:type="dxa"/>
            <w:tcBorders>
              <w:top w:val="single" w:sz="6" w:space="0" w:color="FFFFFF"/>
              <w:left w:val="single" w:sz="7" w:space="0" w:color="000000"/>
              <w:bottom w:val="single" w:sz="6" w:space="0" w:color="FFFFFF"/>
              <w:right w:val="single" w:sz="6" w:space="0" w:color="FFFFFF"/>
            </w:tcBorders>
          </w:tcPr>
          <w:p w14:paraId="6B41826D" w14:textId="77777777" w:rsidR="00EC5B23" w:rsidRPr="00EE1CD1" w:rsidRDefault="004C3D65" w:rsidP="00EE1CD1">
            <w:pPr>
              <w:ind w:firstLine="720"/>
              <w:rPr>
                <w:sz w:val="24"/>
              </w:rPr>
            </w:pPr>
            <w:r w:rsidRPr="00EE1CD1">
              <w:rPr>
                <w:sz w:val="24"/>
              </w:rPr>
              <w:t>DOCKET</w:t>
            </w:r>
            <w:r w:rsidR="00EC5B23" w:rsidRPr="00EE1CD1">
              <w:rPr>
                <w:sz w:val="24"/>
              </w:rPr>
              <w:t>S UE-121697 and</w:t>
            </w:r>
          </w:p>
          <w:p w14:paraId="46DFCF92" w14:textId="656A67F9" w:rsidR="00F748D8" w:rsidRPr="00EE1CD1" w:rsidRDefault="00EC5B23" w:rsidP="00EE1CD1">
            <w:pPr>
              <w:ind w:firstLine="720"/>
              <w:rPr>
                <w:sz w:val="24"/>
              </w:rPr>
            </w:pPr>
            <w:r w:rsidRPr="00EE1CD1">
              <w:rPr>
                <w:sz w:val="24"/>
              </w:rPr>
              <w:t>UG-121705 (</w:t>
            </w:r>
            <w:r w:rsidRPr="00EE1CD1">
              <w:rPr>
                <w:i/>
                <w:sz w:val="24"/>
              </w:rPr>
              <w:t>consolidated</w:t>
            </w:r>
            <w:r w:rsidRPr="00EE1CD1">
              <w:rPr>
                <w:sz w:val="24"/>
              </w:rPr>
              <w:t>)</w:t>
            </w:r>
            <w:r w:rsidR="004C3D65" w:rsidRPr="00EE1CD1">
              <w:rPr>
                <w:sz w:val="24"/>
              </w:rPr>
              <w:t xml:space="preserve"> </w:t>
            </w:r>
          </w:p>
          <w:p w14:paraId="46DFCF93" w14:textId="77777777" w:rsidR="00F748D8" w:rsidRPr="00EE1CD1" w:rsidRDefault="00F748D8" w:rsidP="00EE1CD1">
            <w:pPr>
              <w:rPr>
                <w:sz w:val="24"/>
              </w:rPr>
            </w:pPr>
          </w:p>
          <w:p w14:paraId="7E54EC2F" w14:textId="77777777" w:rsidR="00F748D8" w:rsidRPr="00EE1CD1" w:rsidRDefault="00F748D8" w:rsidP="00EE1CD1">
            <w:pPr>
              <w:ind w:left="720"/>
              <w:rPr>
                <w:sz w:val="24"/>
              </w:rPr>
            </w:pPr>
          </w:p>
          <w:p w14:paraId="08E53BE9" w14:textId="77777777" w:rsidR="00EC5B23" w:rsidRPr="00EE1CD1" w:rsidRDefault="00EC5B23" w:rsidP="00EE1CD1">
            <w:pPr>
              <w:ind w:left="720"/>
              <w:rPr>
                <w:sz w:val="24"/>
              </w:rPr>
            </w:pPr>
          </w:p>
          <w:p w14:paraId="5D3800FB" w14:textId="77777777" w:rsidR="00EC5B23" w:rsidRPr="00EE1CD1" w:rsidRDefault="00EC5B23" w:rsidP="00EE1CD1">
            <w:pPr>
              <w:ind w:left="720"/>
              <w:rPr>
                <w:sz w:val="24"/>
              </w:rPr>
            </w:pPr>
          </w:p>
          <w:p w14:paraId="488A84E2" w14:textId="77777777" w:rsidR="00EC5B23" w:rsidRPr="00EE1CD1" w:rsidRDefault="00EC5B23" w:rsidP="00EE1CD1">
            <w:pPr>
              <w:ind w:left="720"/>
              <w:rPr>
                <w:sz w:val="24"/>
              </w:rPr>
            </w:pPr>
          </w:p>
          <w:p w14:paraId="0518BAEE" w14:textId="77777777" w:rsidR="00EC5B23" w:rsidRPr="00EE1CD1" w:rsidRDefault="00EC5B23" w:rsidP="00EE1CD1">
            <w:pPr>
              <w:ind w:left="720"/>
              <w:rPr>
                <w:sz w:val="24"/>
              </w:rPr>
            </w:pPr>
          </w:p>
          <w:p w14:paraId="20C7F45C" w14:textId="77777777" w:rsidR="00EC5B23" w:rsidRPr="00EE1CD1" w:rsidRDefault="00EC5B23" w:rsidP="00EE1CD1">
            <w:pPr>
              <w:ind w:left="720"/>
              <w:rPr>
                <w:sz w:val="24"/>
              </w:rPr>
            </w:pPr>
          </w:p>
          <w:p w14:paraId="31F6343B" w14:textId="77777777" w:rsidR="00EC5B23" w:rsidRPr="00EE1CD1" w:rsidRDefault="00EC5B23" w:rsidP="00EE1CD1">
            <w:pPr>
              <w:ind w:left="720"/>
              <w:rPr>
                <w:sz w:val="24"/>
              </w:rPr>
            </w:pPr>
          </w:p>
          <w:p w14:paraId="4D3E87DC" w14:textId="77777777" w:rsidR="00EC5B23" w:rsidRPr="00EE1CD1" w:rsidRDefault="00EC5B23" w:rsidP="00EE1CD1">
            <w:pPr>
              <w:ind w:left="720"/>
              <w:rPr>
                <w:sz w:val="24"/>
              </w:rPr>
            </w:pPr>
          </w:p>
          <w:p w14:paraId="380181F7" w14:textId="77777777" w:rsidR="00EE1CD1" w:rsidRDefault="00EE1CD1" w:rsidP="00EE1CD1">
            <w:pPr>
              <w:ind w:left="720"/>
              <w:rPr>
                <w:sz w:val="24"/>
              </w:rPr>
            </w:pPr>
          </w:p>
          <w:p w14:paraId="25059CAE" w14:textId="77777777" w:rsidR="00EC5B23" w:rsidRPr="00EE1CD1" w:rsidRDefault="00EC5B23" w:rsidP="00EE1CD1">
            <w:pPr>
              <w:ind w:left="720"/>
              <w:rPr>
                <w:sz w:val="24"/>
              </w:rPr>
            </w:pPr>
            <w:r w:rsidRPr="00EE1CD1">
              <w:rPr>
                <w:sz w:val="24"/>
              </w:rPr>
              <w:t>DOCKETS UE-130137 and</w:t>
            </w:r>
          </w:p>
          <w:p w14:paraId="6B67E4D0" w14:textId="77777777" w:rsidR="00EC5B23" w:rsidRPr="00EE1CD1" w:rsidRDefault="00EC5B23" w:rsidP="00EE1CD1">
            <w:pPr>
              <w:ind w:left="720"/>
              <w:rPr>
                <w:sz w:val="24"/>
              </w:rPr>
            </w:pPr>
            <w:r w:rsidRPr="00EE1CD1">
              <w:rPr>
                <w:sz w:val="24"/>
              </w:rPr>
              <w:t>UG-130138 (</w:t>
            </w:r>
            <w:r w:rsidRPr="00EE1CD1">
              <w:rPr>
                <w:i/>
                <w:sz w:val="24"/>
              </w:rPr>
              <w:t>consolidated</w:t>
            </w:r>
            <w:r w:rsidRPr="00EE1CD1">
              <w:rPr>
                <w:sz w:val="24"/>
              </w:rPr>
              <w:t>)</w:t>
            </w:r>
          </w:p>
          <w:p w14:paraId="2CD13020" w14:textId="77777777" w:rsidR="00EC5B23" w:rsidRPr="00EE1CD1" w:rsidRDefault="00EC5B23" w:rsidP="00EE1CD1">
            <w:pPr>
              <w:ind w:left="720"/>
              <w:rPr>
                <w:sz w:val="24"/>
              </w:rPr>
            </w:pPr>
          </w:p>
          <w:p w14:paraId="70301097" w14:textId="77777777" w:rsidR="00EC5B23" w:rsidRPr="00EE1CD1" w:rsidRDefault="00EC5B23" w:rsidP="00EE1CD1">
            <w:pPr>
              <w:ind w:left="720"/>
              <w:rPr>
                <w:sz w:val="24"/>
              </w:rPr>
            </w:pPr>
          </w:p>
          <w:p w14:paraId="7EF9704E" w14:textId="77777777" w:rsidR="00EC5B23" w:rsidRPr="00EE1CD1" w:rsidRDefault="00EC5B23" w:rsidP="00EE1CD1">
            <w:pPr>
              <w:ind w:left="720"/>
              <w:rPr>
                <w:sz w:val="24"/>
              </w:rPr>
            </w:pPr>
          </w:p>
          <w:p w14:paraId="46DFCF94" w14:textId="7E94CA18" w:rsidR="00EC5B23" w:rsidRPr="00EE1CD1" w:rsidRDefault="00EC5B23" w:rsidP="00860D8D">
            <w:pPr>
              <w:ind w:left="720"/>
              <w:rPr>
                <w:sz w:val="24"/>
              </w:rPr>
            </w:pPr>
            <w:r w:rsidRPr="00EE1CD1">
              <w:rPr>
                <w:sz w:val="24"/>
              </w:rPr>
              <w:t>RE</w:t>
            </w:r>
            <w:r w:rsidR="00860D8D">
              <w:rPr>
                <w:sz w:val="24"/>
              </w:rPr>
              <w:t>PLY BRIEF</w:t>
            </w:r>
            <w:r w:rsidRPr="00EE1CD1">
              <w:rPr>
                <w:sz w:val="24"/>
              </w:rPr>
              <w:t xml:space="preserve"> OF COMMISSION STAFF</w:t>
            </w:r>
          </w:p>
        </w:tc>
      </w:tr>
      <w:tr w:rsidR="00EC5B23" w:rsidRPr="00EE1CD1" w14:paraId="36E96044" w14:textId="77777777">
        <w:tc>
          <w:tcPr>
            <w:tcW w:w="4590" w:type="dxa"/>
            <w:tcBorders>
              <w:top w:val="single" w:sz="6" w:space="0" w:color="FFFFFF"/>
              <w:left w:val="single" w:sz="6" w:space="0" w:color="FFFFFF"/>
              <w:bottom w:val="single" w:sz="7" w:space="0" w:color="000000"/>
              <w:right w:val="single" w:sz="6" w:space="0" w:color="FFFFFF"/>
            </w:tcBorders>
          </w:tcPr>
          <w:p w14:paraId="3E4370FB" w14:textId="0BC201F1" w:rsidR="00EC5B23" w:rsidRPr="00EE1CD1" w:rsidRDefault="00EC5B23" w:rsidP="00EE1CD1">
            <w:pPr>
              <w:rPr>
                <w:sz w:val="24"/>
              </w:rPr>
            </w:pPr>
          </w:p>
        </w:tc>
        <w:tc>
          <w:tcPr>
            <w:tcW w:w="4590" w:type="dxa"/>
            <w:tcBorders>
              <w:top w:val="single" w:sz="6" w:space="0" w:color="FFFFFF"/>
              <w:left w:val="single" w:sz="7" w:space="0" w:color="000000"/>
              <w:bottom w:val="single" w:sz="6" w:space="0" w:color="FFFFFF"/>
              <w:right w:val="single" w:sz="6" w:space="0" w:color="FFFFFF"/>
            </w:tcBorders>
          </w:tcPr>
          <w:p w14:paraId="3C522886" w14:textId="77777777" w:rsidR="00EC5B23" w:rsidRPr="00EE1CD1" w:rsidRDefault="00EC5B23" w:rsidP="00EE1CD1">
            <w:pPr>
              <w:ind w:firstLine="720"/>
              <w:rPr>
                <w:sz w:val="24"/>
              </w:rPr>
            </w:pPr>
          </w:p>
        </w:tc>
      </w:tr>
    </w:tbl>
    <w:p w14:paraId="2E78D3EE" w14:textId="09FD6520" w:rsidR="007A4C62" w:rsidRDefault="007A4C62" w:rsidP="00EE1CD1">
      <w:pPr>
        <w:jc w:val="both"/>
        <w:rPr>
          <w:sz w:val="24"/>
        </w:rPr>
      </w:pPr>
    </w:p>
    <w:p w14:paraId="494227CB" w14:textId="77777777" w:rsidR="007A4C62" w:rsidRDefault="007A4C62" w:rsidP="00EE1CD1">
      <w:pPr>
        <w:jc w:val="both"/>
        <w:rPr>
          <w:sz w:val="24"/>
        </w:rPr>
      </w:pPr>
    </w:p>
    <w:p w14:paraId="764093CD" w14:textId="77777777" w:rsidR="007A4C62" w:rsidRDefault="007A4C62" w:rsidP="007A4C62">
      <w:pPr>
        <w:spacing w:line="240" w:lineRule="exact"/>
        <w:ind w:left="3600" w:firstLine="720"/>
        <w:rPr>
          <w:b/>
          <w:sz w:val="24"/>
        </w:rPr>
      </w:pPr>
    </w:p>
    <w:p w14:paraId="26731F3A" w14:textId="77777777" w:rsidR="007A4C62" w:rsidRDefault="007A4C62" w:rsidP="007A4C62">
      <w:pPr>
        <w:spacing w:line="240" w:lineRule="exact"/>
        <w:ind w:left="3600" w:firstLine="720"/>
        <w:rPr>
          <w:b/>
          <w:sz w:val="24"/>
        </w:rPr>
      </w:pPr>
    </w:p>
    <w:p w14:paraId="2981C25F" w14:textId="3B6DD0B6" w:rsidR="007A4C62" w:rsidRPr="00B36EA3" w:rsidRDefault="007A4C62" w:rsidP="007A4C62">
      <w:pPr>
        <w:spacing w:line="240" w:lineRule="exact"/>
        <w:ind w:left="3600" w:firstLine="720"/>
        <w:rPr>
          <w:bCs/>
          <w:sz w:val="24"/>
        </w:rPr>
      </w:pPr>
      <w:r>
        <w:rPr>
          <w:bCs/>
          <w:sz w:val="24"/>
        </w:rPr>
        <w:t>March 20</w:t>
      </w:r>
      <w:r w:rsidRPr="00B36EA3">
        <w:rPr>
          <w:bCs/>
          <w:sz w:val="24"/>
        </w:rPr>
        <w:t>, 2015</w:t>
      </w:r>
    </w:p>
    <w:p w14:paraId="720A893B" w14:textId="77777777" w:rsidR="007A4C62" w:rsidRPr="00B36EA3" w:rsidRDefault="007A4C62" w:rsidP="007A4C62">
      <w:pPr>
        <w:spacing w:line="240" w:lineRule="exact"/>
        <w:rPr>
          <w:bCs/>
          <w:sz w:val="24"/>
        </w:rPr>
      </w:pPr>
    </w:p>
    <w:p w14:paraId="193F8AA8" w14:textId="77777777" w:rsidR="007A4C62" w:rsidRPr="00B36EA3" w:rsidRDefault="007A4C62" w:rsidP="007A4C62">
      <w:pPr>
        <w:spacing w:line="240" w:lineRule="exact"/>
        <w:rPr>
          <w:bCs/>
          <w:sz w:val="24"/>
        </w:rPr>
      </w:pPr>
      <w:r w:rsidRPr="00B36EA3">
        <w:rPr>
          <w:bCs/>
          <w:sz w:val="24"/>
        </w:rPr>
        <w:tab/>
      </w:r>
      <w:r w:rsidRPr="00B36EA3">
        <w:rPr>
          <w:bCs/>
          <w:sz w:val="24"/>
        </w:rPr>
        <w:tab/>
      </w:r>
      <w:r w:rsidRPr="00B36EA3">
        <w:rPr>
          <w:bCs/>
          <w:sz w:val="24"/>
        </w:rPr>
        <w:tab/>
      </w:r>
      <w:r w:rsidRPr="00B36EA3">
        <w:rPr>
          <w:bCs/>
          <w:sz w:val="24"/>
        </w:rPr>
        <w:tab/>
      </w:r>
      <w:r w:rsidRPr="00B36EA3">
        <w:rPr>
          <w:bCs/>
          <w:sz w:val="24"/>
        </w:rPr>
        <w:tab/>
      </w:r>
      <w:r w:rsidRPr="00B36EA3">
        <w:rPr>
          <w:bCs/>
          <w:sz w:val="24"/>
        </w:rPr>
        <w:tab/>
        <w:t>ROBERT W. FERGUSON</w:t>
      </w:r>
    </w:p>
    <w:p w14:paraId="35B70A00" w14:textId="77777777" w:rsidR="007A4C62" w:rsidRPr="00B36EA3" w:rsidRDefault="007A4C62" w:rsidP="007A4C62">
      <w:pPr>
        <w:spacing w:line="240" w:lineRule="exact"/>
        <w:rPr>
          <w:bCs/>
          <w:sz w:val="24"/>
        </w:rPr>
      </w:pPr>
      <w:r w:rsidRPr="00B36EA3">
        <w:rPr>
          <w:bCs/>
          <w:sz w:val="24"/>
        </w:rPr>
        <w:tab/>
      </w:r>
      <w:r w:rsidRPr="00B36EA3">
        <w:rPr>
          <w:bCs/>
          <w:sz w:val="24"/>
        </w:rPr>
        <w:tab/>
      </w:r>
      <w:r w:rsidRPr="00B36EA3">
        <w:rPr>
          <w:bCs/>
          <w:sz w:val="24"/>
        </w:rPr>
        <w:tab/>
      </w:r>
      <w:r w:rsidRPr="00B36EA3">
        <w:rPr>
          <w:bCs/>
          <w:sz w:val="24"/>
        </w:rPr>
        <w:tab/>
      </w:r>
      <w:r w:rsidRPr="00B36EA3">
        <w:rPr>
          <w:bCs/>
          <w:sz w:val="24"/>
        </w:rPr>
        <w:tab/>
      </w:r>
      <w:r w:rsidRPr="00B36EA3">
        <w:rPr>
          <w:bCs/>
          <w:sz w:val="24"/>
        </w:rPr>
        <w:tab/>
        <w:t xml:space="preserve">Attorney General </w:t>
      </w:r>
    </w:p>
    <w:p w14:paraId="4A0779F7" w14:textId="77777777" w:rsidR="007A4C62" w:rsidRPr="00B36EA3" w:rsidRDefault="007A4C62" w:rsidP="007A4C62">
      <w:pPr>
        <w:spacing w:line="240" w:lineRule="exact"/>
        <w:rPr>
          <w:bCs/>
          <w:sz w:val="24"/>
        </w:rPr>
      </w:pPr>
    </w:p>
    <w:p w14:paraId="1BDEDC03" w14:textId="77777777" w:rsidR="007A4C62" w:rsidRPr="00B36EA3" w:rsidRDefault="007A4C62" w:rsidP="007A4C62">
      <w:pPr>
        <w:spacing w:line="240" w:lineRule="exact"/>
        <w:rPr>
          <w:bCs/>
          <w:sz w:val="24"/>
        </w:rPr>
      </w:pPr>
      <w:r w:rsidRPr="00B36EA3">
        <w:rPr>
          <w:bCs/>
          <w:sz w:val="24"/>
        </w:rPr>
        <w:tab/>
      </w:r>
      <w:r w:rsidRPr="00B36EA3">
        <w:rPr>
          <w:bCs/>
          <w:sz w:val="24"/>
        </w:rPr>
        <w:tab/>
      </w:r>
      <w:r w:rsidRPr="00B36EA3">
        <w:rPr>
          <w:bCs/>
          <w:sz w:val="24"/>
        </w:rPr>
        <w:tab/>
      </w:r>
      <w:r w:rsidRPr="00B36EA3">
        <w:rPr>
          <w:bCs/>
          <w:sz w:val="24"/>
        </w:rPr>
        <w:tab/>
      </w:r>
      <w:r w:rsidRPr="00B36EA3">
        <w:rPr>
          <w:bCs/>
          <w:sz w:val="24"/>
        </w:rPr>
        <w:tab/>
      </w:r>
      <w:r w:rsidRPr="00B36EA3">
        <w:rPr>
          <w:bCs/>
          <w:sz w:val="24"/>
        </w:rPr>
        <w:tab/>
        <w:t>JENNIFER CAMERON-RULKOWSKI</w:t>
      </w:r>
    </w:p>
    <w:p w14:paraId="4FAB2C6A" w14:textId="77777777" w:rsidR="007A4C62" w:rsidRPr="00B36EA3" w:rsidRDefault="007A4C62" w:rsidP="007A4C62">
      <w:pPr>
        <w:spacing w:line="240" w:lineRule="exact"/>
        <w:rPr>
          <w:sz w:val="24"/>
        </w:rPr>
      </w:pPr>
      <w:r w:rsidRPr="00B36EA3">
        <w:rPr>
          <w:sz w:val="24"/>
        </w:rPr>
        <w:tab/>
      </w:r>
      <w:r w:rsidRPr="00B36EA3">
        <w:rPr>
          <w:sz w:val="24"/>
        </w:rPr>
        <w:tab/>
      </w:r>
      <w:r w:rsidRPr="00B36EA3">
        <w:rPr>
          <w:sz w:val="24"/>
        </w:rPr>
        <w:tab/>
      </w:r>
      <w:r w:rsidRPr="00B36EA3">
        <w:rPr>
          <w:sz w:val="24"/>
        </w:rPr>
        <w:tab/>
      </w:r>
      <w:r w:rsidRPr="00B36EA3">
        <w:rPr>
          <w:sz w:val="24"/>
        </w:rPr>
        <w:tab/>
      </w:r>
      <w:r w:rsidRPr="00B36EA3">
        <w:rPr>
          <w:sz w:val="24"/>
        </w:rPr>
        <w:tab/>
        <w:t xml:space="preserve">Assistant Attorney General </w:t>
      </w:r>
    </w:p>
    <w:p w14:paraId="74D3C9BA" w14:textId="77777777" w:rsidR="007A4C62" w:rsidRPr="00B36EA3" w:rsidRDefault="007A4C62" w:rsidP="007A4C62">
      <w:pPr>
        <w:spacing w:line="240" w:lineRule="exact"/>
        <w:rPr>
          <w:sz w:val="24"/>
        </w:rPr>
      </w:pPr>
      <w:r w:rsidRPr="00B36EA3">
        <w:rPr>
          <w:sz w:val="24"/>
        </w:rPr>
        <w:tab/>
      </w:r>
      <w:r w:rsidRPr="00B36EA3">
        <w:rPr>
          <w:sz w:val="24"/>
        </w:rPr>
        <w:tab/>
      </w:r>
      <w:r w:rsidRPr="00B36EA3">
        <w:rPr>
          <w:sz w:val="24"/>
        </w:rPr>
        <w:tab/>
      </w:r>
      <w:r w:rsidRPr="00B36EA3">
        <w:rPr>
          <w:sz w:val="24"/>
        </w:rPr>
        <w:tab/>
      </w:r>
      <w:r w:rsidRPr="00B36EA3">
        <w:rPr>
          <w:sz w:val="24"/>
        </w:rPr>
        <w:tab/>
      </w:r>
      <w:r w:rsidRPr="00B36EA3">
        <w:rPr>
          <w:sz w:val="24"/>
        </w:rPr>
        <w:tab/>
        <w:t xml:space="preserve">Office of the Attorney General </w:t>
      </w:r>
    </w:p>
    <w:p w14:paraId="7BEEE1FF" w14:textId="77777777" w:rsidR="007A4C62" w:rsidRPr="00B36EA3" w:rsidRDefault="007A4C62" w:rsidP="007A4C62">
      <w:pPr>
        <w:spacing w:line="240" w:lineRule="exact"/>
        <w:rPr>
          <w:sz w:val="24"/>
        </w:rPr>
      </w:pPr>
      <w:r w:rsidRPr="00B36EA3">
        <w:rPr>
          <w:sz w:val="24"/>
        </w:rPr>
        <w:tab/>
      </w:r>
      <w:r w:rsidRPr="00B36EA3">
        <w:rPr>
          <w:sz w:val="24"/>
        </w:rPr>
        <w:tab/>
      </w:r>
      <w:r w:rsidRPr="00B36EA3">
        <w:rPr>
          <w:sz w:val="24"/>
        </w:rPr>
        <w:tab/>
      </w:r>
      <w:r w:rsidRPr="00B36EA3">
        <w:rPr>
          <w:sz w:val="24"/>
        </w:rPr>
        <w:tab/>
      </w:r>
      <w:r w:rsidRPr="00B36EA3">
        <w:rPr>
          <w:sz w:val="24"/>
        </w:rPr>
        <w:tab/>
      </w:r>
      <w:r w:rsidRPr="00B36EA3">
        <w:rPr>
          <w:sz w:val="24"/>
        </w:rPr>
        <w:tab/>
        <w:t>Utilities &amp; Transportation Division</w:t>
      </w:r>
    </w:p>
    <w:p w14:paraId="1660F68A" w14:textId="77777777" w:rsidR="007A4C62" w:rsidRPr="00B36EA3" w:rsidRDefault="007A4C62" w:rsidP="007A4C62">
      <w:pPr>
        <w:spacing w:line="240" w:lineRule="exact"/>
        <w:rPr>
          <w:sz w:val="24"/>
        </w:rPr>
      </w:pPr>
      <w:r w:rsidRPr="00B36EA3">
        <w:rPr>
          <w:sz w:val="24"/>
        </w:rPr>
        <w:tab/>
      </w:r>
      <w:r w:rsidRPr="00B36EA3">
        <w:rPr>
          <w:sz w:val="24"/>
        </w:rPr>
        <w:tab/>
      </w:r>
      <w:r w:rsidRPr="00B36EA3">
        <w:rPr>
          <w:sz w:val="24"/>
        </w:rPr>
        <w:tab/>
      </w:r>
      <w:r w:rsidRPr="00B36EA3">
        <w:rPr>
          <w:sz w:val="24"/>
        </w:rPr>
        <w:tab/>
      </w:r>
      <w:r w:rsidRPr="00B36EA3">
        <w:rPr>
          <w:sz w:val="24"/>
        </w:rPr>
        <w:tab/>
      </w:r>
      <w:r w:rsidRPr="00B36EA3">
        <w:rPr>
          <w:sz w:val="24"/>
        </w:rPr>
        <w:tab/>
        <w:t>1400 S Evergreen Park Drive S.W.</w:t>
      </w:r>
    </w:p>
    <w:p w14:paraId="20DECC33" w14:textId="77777777" w:rsidR="007A4C62" w:rsidRPr="00B36EA3" w:rsidRDefault="007A4C62" w:rsidP="007A4C62">
      <w:pPr>
        <w:spacing w:line="240" w:lineRule="exact"/>
        <w:rPr>
          <w:sz w:val="24"/>
        </w:rPr>
      </w:pPr>
      <w:r w:rsidRPr="00B36EA3">
        <w:rPr>
          <w:sz w:val="24"/>
        </w:rPr>
        <w:tab/>
      </w:r>
      <w:r w:rsidRPr="00B36EA3">
        <w:rPr>
          <w:sz w:val="24"/>
        </w:rPr>
        <w:tab/>
      </w:r>
      <w:r w:rsidRPr="00B36EA3">
        <w:rPr>
          <w:sz w:val="24"/>
        </w:rPr>
        <w:tab/>
      </w:r>
      <w:r w:rsidRPr="00B36EA3">
        <w:rPr>
          <w:sz w:val="24"/>
        </w:rPr>
        <w:tab/>
      </w:r>
      <w:r w:rsidRPr="00B36EA3">
        <w:rPr>
          <w:sz w:val="24"/>
        </w:rPr>
        <w:tab/>
      </w:r>
      <w:r w:rsidRPr="00B36EA3">
        <w:rPr>
          <w:sz w:val="24"/>
        </w:rPr>
        <w:tab/>
        <w:t>P.O. Box 40128</w:t>
      </w:r>
    </w:p>
    <w:p w14:paraId="1E4C7F9F" w14:textId="77777777" w:rsidR="007A4C62" w:rsidRPr="00B36EA3" w:rsidRDefault="007A4C62" w:rsidP="007A4C62">
      <w:pPr>
        <w:spacing w:line="240" w:lineRule="exact"/>
        <w:rPr>
          <w:sz w:val="24"/>
        </w:rPr>
      </w:pPr>
      <w:r w:rsidRPr="00B36EA3">
        <w:rPr>
          <w:sz w:val="24"/>
        </w:rPr>
        <w:tab/>
      </w:r>
      <w:r w:rsidRPr="00B36EA3">
        <w:rPr>
          <w:sz w:val="24"/>
        </w:rPr>
        <w:tab/>
      </w:r>
      <w:r w:rsidRPr="00B36EA3">
        <w:rPr>
          <w:sz w:val="24"/>
        </w:rPr>
        <w:tab/>
      </w:r>
      <w:r w:rsidRPr="00B36EA3">
        <w:rPr>
          <w:sz w:val="24"/>
        </w:rPr>
        <w:tab/>
      </w:r>
      <w:r w:rsidRPr="00B36EA3">
        <w:rPr>
          <w:sz w:val="24"/>
        </w:rPr>
        <w:tab/>
      </w:r>
      <w:r w:rsidRPr="00B36EA3">
        <w:rPr>
          <w:sz w:val="24"/>
        </w:rPr>
        <w:tab/>
        <w:t xml:space="preserve">Olympia, WA  98504-0128 </w:t>
      </w:r>
    </w:p>
    <w:p w14:paraId="12815B31" w14:textId="77C8A7FD" w:rsidR="007A4C62" w:rsidRDefault="007A4C62" w:rsidP="007A4C62">
      <w:pPr>
        <w:jc w:val="both"/>
        <w:rPr>
          <w:sz w:val="24"/>
        </w:rPr>
      </w:pPr>
      <w:r w:rsidRPr="00B36EA3">
        <w:rPr>
          <w:sz w:val="24"/>
        </w:rPr>
        <w:tab/>
      </w:r>
      <w:r w:rsidRPr="00B36EA3">
        <w:rPr>
          <w:sz w:val="24"/>
        </w:rPr>
        <w:tab/>
      </w:r>
      <w:r w:rsidRPr="00B36EA3">
        <w:rPr>
          <w:sz w:val="24"/>
        </w:rPr>
        <w:tab/>
      </w:r>
      <w:r w:rsidRPr="00B36EA3">
        <w:rPr>
          <w:sz w:val="24"/>
        </w:rPr>
        <w:tab/>
      </w:r>
      <w:r w:rsidRPr="00B36EA3">
        <w:rPr>
          <w:sz w:val="24"/>
        </w:rPr>
        <w:tab/>
      </w:r>
      <w:r w:rsidRPr="00B36EA3">
        <w:rPr>
          <w:sz w:val="24"/>
        </w:rPr>
        <w:tab/>
        <w:t>(360) 664-1186</w:t>
      </w:r>
    </w:p>
    <w:p w14:paraId="754E017C" w14:textId="77777777" w:rsidR="007A4C62" w:rsidRDefault="007A4C62" w:rsidP="00EE1CD1">
      <w:pPr>
        <w:jc w:val="both"/>
        <w:rPr>
          <w:sz w:val="24"/>
        </w:rPr>
        <w:sectPr w:rsidR="007A4C62" w:rsidSect="00F748D8">
          <w:pgSz w:w="12240" w:h="15840" w:code="1"/>
          <w:pgMar w:top="1440" w:right="1440" w:bottom="1440" w:left="1872" w:header="720" w:footer="720" w:gutter="0"/>
          <w:cols w:space="720"/>
          <w:docGrid w:linePitch="360"/>
        </w:sectPr>
      </w:pPr>
    </w:p>
    <w:p w14:paraId="11840A86" w14:textId="77777777" w:rsidR="007A4C62" w:rsidRPr="00B36EA3" w:rsidRDefault="007A4C62" w:rsidP="007A4C62">
      <w:pPr>
        <w:spacing w:line="240" w:lineRule="exact"/>
        <w:jc w:val="center"/>
        <w:rPr>
          <w:sz w:val="24"/>
        </w:rPr>
      </w:pPr>
      <w:r w:rsidRPr="00B36EA3">
        <w:rPr>
          <w:b/>
          <w:sz w:val="24"/>
        </w:rPr>
        <w:lastRenderedPageBreak/>
        <w:t>TABLE OF CONTENTS</w:t>
      </w:r>
    </w:p>
    <w:p w14:paraId="1194684A" w14:textId="77777777" w:rsidR="007A4C62" w:rsidRPr="00B36EA3" w:rsidRDefault="007A4C62" w:rsidP="007A4C62">
      <w:pPr>
        <w:spacing w:line="240" w:lineRule="exact"/>
        <w:rPr>
          <w:sz w:val="24"/>
        </w:rPr>
      </w:pPr>
    </w:p>
    <w:p w14:paraId="05718C71" w14:textId="77777777" w:rsidR="007A4C62" w:rsidRPr="00B36EA3" w:rsidRDefault="007A4C62" w:rsidP="007A4C62">
      <w:pPr>
        <w:spacing w:line="240" w:lineRule="exact"/>
        <w:rPr>
          <w:sz w:val="24"/>
        </w:rPr>
      </w:pPr>
    </w:p>
    <w:p w14:paraId="70258F4F" w14:textId="77777777" w:rsidR="007A4C62" w:rsidRDefault="007A4C62" w:rsidP="007A4C62">
      <w:pPr>
        <w:tabs>
          <w:tab w:val="left" w:pos="720"/>
          <w:tab w:val="left" w:pos="1440"/>
          <w:tab w:val="left" w:pos="2160"/>
          <w:tab w:val="right" w:leader="dot" w:pos="8640"/>
        </w:tabs>
        <w:ind w:right="288"/>
        <w:rPr>
          <w:sz w:val="24"/>
        </w:rPr>
      </w:pPr>
    </w:p>
    <w:p w14:paraId="6BF7B5BE" w14:textId="77777777" w:rsidR="007A4C62" w:rsidRPr="00B36EA3" w:rsidRDefault="007A4C62" w:rsidP="007A4C62">
      <w:pPr>
        <w:tabs>
          <w:tab w:val="left" w:pos="720"/>
          <w:tab w:val="left" w:pos="1440"/>
          <w:tab w:val="left" w:pos="2160"/>
          <w:tab w:val="right" w:leader="dot" w:pos="8640"/>
        </w:tabs>
        <w:ind w:right="288"/>
        <w:rPr>
          <w:sz w:val="24"/>
        </w:rPr>
      </w:pPr>
      <w:r w:rsidRPr="00B36EA3">
        <w:rPr>
          <w:sz w:val="24"/>
        </w:rPr>
        <w:t>I.</w:t>
      </w:r>
      <w:r w:rsidRPr="00B36EA3">
        <w:rPr>
          <w:sz w:val="24"/>
        </w:rPr>
        <w:tab/>
        <w:t xml:space="preserve">INTRODUCTION </w:t>
      </w:r>
      <w:r w:rsidRPr="00B36EA3">
        <w:rPr>
          <w:sz w:val="24"/>
        </w:rPr>
        <w:tab/>
        <w:t>1</w:t>
      </w:r>
    </w:p>
    <w:p w14:paraId="19043788" w14:textId="77777777" w:rsidR="007A4C62" w:rsidRPr="00B36EA3" w:rsidRDefault="007A4C62" w:rsidP="007A4C62">
      <w:pPr>
        <w:tabs>
          <w:tab w:val="right" w:leader="dot" w:pos="8640"/>
        </w:tabs>
        <w:ind w:right="288"/>
        <w:rPr>
          <w:sz w:val="24"/>
        </w:rPr>
      </w:pPr>
    </w:p>
    <w:p w14:paraId="4E18D153" w14:textId="290D509F" w:rsidR="007A4C62" w:rsidRPr="00B36EA3" w:rsidRDefault="007A4C62" w:rsidP="007A4C62">
      <w:pPr>
        <w:tabs>
          <w:tab w:val="left" w:pos="720"/>
          <w:tab w:val="left" w:pos="1440"/>
          <w:tab w:val="right" w:leader="dot" w:pos="8640"/>
        </w:tabs>
        <w:ind w:right="288"/>
        <w:rPr>
          <w:sz w:val="24"/>
        </w:rPr>
      </w:pPr>
      <w:r w:rsidRPr="00B36EA3">
        <w:rPr>
          <w:sz w:val="24"/>
        </w:rPr>
        <w:t>II.</w:t>
      </w:r>
      <w:r w:rsidRPr="00B36EA3">
        <w:rPr>
          <w:sz w:val="24"/>
        </w:rPr>
        <w:tab/>
      </w:r>
      <w:r>
        <w:rPr>
          <w:sz w:val="24"/>
        </w:rPr>
        <w:t>ARGUMENT</w:t>
      </w:r>
      <w:r>
        <w:rPr>
          <w:sz w:val="24"/>
        </w:rPr>
        <w:tab/>
        <w:t>1</w:t>
      </w:r>
    </w:p>
    <w:p w14:paraId="292334F8" w14:textId="77777777" w:rsidR="007A4C62" w:rsidRPr="00B36EA3" w:rsidRDefault="007A4C62" w:rsidP="007A4C62">
      <w:pPr>
        <w:tabs>
          <w:tab w:val="left" w:pos="720"/>
          <w:tab w:val="left" w:pos="1440"/>
          <w:tab w:val="left" w:pos="2160"/>
          <w:tab w:val="right" w:leader="dot" w:pos="8640"/>
        </w:tabs>
        <w:ind w:right="288"/>
        <w:rPr>
          <w:sz w:val="24"/>
        </w:rPr>
      </w:pPr>
    </w:p>
    <w:p w14:paraId="13AC45F1" w14:textId="4B8E1B90" w:rsidR="007A4C62" w:rsidRDefault="007A4C62" w:rsidP="007A4C62">
      <w:pPr>
        <w:tabs>
          <w:tab w:val="left" w:pos="720"/>
          <w:tab w:val="left" w:pos="1440"/>
          <w:tab w:val="left" w:pos="2160"/>
          <w:tab w:val="right" w:leader="dot" w:pos="8640"/>
        </w:tabs>
        <w:ind w:left="1440" w:hanging="1440"/>
        <w:rPr>
          <w:sz w:val="24"/>
        </w:rPr>
      </w:pPr>
      <w:r>
        <w:rPr>
          <w:b/>
          <w:sz w:val="24"/>
        </w:rPr>
        <w:tab/>
      </w:r>
      <w:r w:rsidR="008600C6">
        <w:rPr>
          <w:sz w:val="24"/>
        </w:rPr>
        <w:t>A.</w:t>
      </w:r>
      <w:r w:rsidR="008600C6">
        <w:rPr>
          <w:sz w:val="24"/>
        </w:rPr>
        <w:tab/>
        <w:t>The Selection of the M</w:t>
      </w:r>
      <w:r w:rsidRPr="007A4C62">
        <w:rPr>
          <w:sz w:val="24"/>
        </w:rPr>
        <w:t xml:space="preserve">idpoint of </w:t>
      </w:r>
      <w:r w:rsidR="008600C6">
        <w:rPr>
          <w:sz w:val="24"/>
        </w:rPr>
        <w:t>the Range is R</w:t>
      </w:r>
      <w:r w:rsidRPr="007A4C62">
        <w:rPr>
          <w:sz w:val="24"/>
        </w:rPr>
        <w:t>easonable</w:t>
      </w:r>
    </w:p>
    <w:p w14:paraId="0B36378E" w14:textId="40BBC05F" w:rsidR="007A4C62" w:rsidRDefault="008600C6" w:rsidP="007A4C62">
      <w:pPr>
        <w:tabs>
          <w:tab w:val="left" w:pos="720"/>
          <w:tab w:val="left" w:pos="1440"/>
          <w:tab w:val="left" w:pos="2160"/>
          <w:tab w:val="right" w:leader="dot" w:pos="8640"/>
        </w:tabs>
        <w:ind w:left="1440" w:hanging="1440"/>
        <w:rPr>
          <w:sz w:val="24"/>
        </w:rPr>
      </w:pPr>
      <w:r>
        <w:rPr>
          <w:sz w:val="24"/>
        </w:rPr>
        <w:tab/>
      </w:r>
      <w:r>
        <w:rPr>
          <w:sz w:val="24"/>
        </w:rPr>
        <w:tab/>
        <w:t>Given That PSE Has Average R</w:t>
      </w:r>
      <w:r w:rsidR="007A4C62">
        <w:rPr>
          <w:sz w:val="24"/>
        </w:rPr>
        <w:t>isk</w:t>
      </w:r>
      <w:r w:rsidR="007A4C62">
        <w:rPr>
          <w:sz w:val="24"/>
        </w:rPr>
        <w:tab/>
        <w:t>1</w:t>
      </w:r>
    </w:p>
    <w:p w14:paraId="39FDECC5" w14:textId="77777777" w:rsidR="007A4C62" w:rsidRPr="00B36EA3" w:rsidRDefault="007A4C62" w:rsidP="007A4C62">
      <w:pPr>
        <w:pStyle w:val="ListParagraph"/>
        <w:tabs>
          <w:tab w:val="left" w:pos="720"/>
          <w:tab w:val="left" w:pos="1440"/>
          <w:tab w:val="left" w:pos="2160"/>
          <w:tab w:val="right" w:leader="dot" w:pos="8640"/>
          <w:tab w:val="right" w:leader="dot" w:pos="8910"/>
        </w:tabs>
        <w:ind w:left="1440" w:right="288" w:hanging="720"/>
        <w:rPr>
          <w:sz w:val="24"/>
        </w:rPr>
      </w:pPr>
    </w:p>
    <w:p w14:paraId="5698B0C5" w14:textId="146B4747" w:rsidR="007A4C62" w:rsidRPr="00B36EA3" w:rsidRDefault="007A4C62" w:rsidP="007A4C62">
      <w:pPr>
        <w:pStyle w:val="ListParagraph"/>
        <w:tabs>
          <w:tab w:val="left" w:pos="2160"/>
          <w:tab w:val="right" w:leader="dot" w:pos="8640"/>
        </w:tabs>
        <w:ind w:left="1440" w:hanging="720"/>
        <w:rPr>
          <w:sz w:val="24"/>
        </w:rPr>
      </w:pPr>
      <w:r>
        <w:rPr>
          <w:sz w:val="24"/>
        </w:rPr>
        <w:t>B.</w:t>
      </w:r>
      <w:r>
        <w:rPr>
          <w:sz w:val="24"/>
        </w:rPr>
        <w:tab/>
      </w:r>
      <w:r w:rsidR="008600C6">
        <w:rPr>
          <w:sz w:val="24"/>
        </w:rPr>
        <w:t>Staff’s Analysis Is Appropriately T</w:t>
      </w:r>
      <w:r w:rsidRPr="007A4C62">
        <w:rPr>
          <w:sz w:val="24"/>
        </w:rPr>
        <w:t xml:space="preserve">ailored to the </w:t>
      </w:r>
      <w:r w:rsidR="008600C6">
        <w:rPr>
          <w:sz w:val="24"/>
        </w:rPr>
        <w:t>C</w:t>
      </w:r>
      <w:r w:rsidRPr="007A4C62">
        <w:rPr>
          <w:sz w:val="24"/>
        </w:rPr>
        <w:t>ase</w:t>
      </w:r>
      <w:r>
        <w:rPr>
          <w:sz w:val="24"/>
        </w:rPr>
        <w:tab/>
        <w:t>2</w:t>
      </w:r>
    </w:p>
    <w:p w14:paraId="3AC25001" w14:textId="77777777" w:rsidR="007A4C62" w:rsidRPr="00B36EA3" w:rsidRDefault="007A4C62" w:rsidP="007A4C62">
      <w:pPr>
        <w:tabs>
          <w:tab w:val="right" w:leader="dot" w:pos="8640"/>
        </w:tabs>
        <w:rPr>
          <w:sz w:val="24"/>
        </w:rPr>
      </w:pPr>
    </w:p>
    <w:p w14:paraId="371C8A41" w14:textId="16C4E8E7" w:rsidR="007A4C62" w:rsidRDefault="007A4C62" w:rsidP="007A4C62">
      <w:pPr>
        <w:pStyle w:val="ListParagraph"/>
        <w:tabs>
          <w:tab w:val="left" w:pos="720"/>
          <w:tab w:val="left" w:pos="1440"/>
          <w:tab w:val="left" w:pos="2160"/>
          <w:tab w:val="right" w:leader="dot" w:pos="8640"/>
        </w:tabs>
        <w:ind w:left="1440" w:hanging="720"/>
        <w:rPr>
          <w:sz w:val="24"/>
        </w:rPr>
      </w:pPr>
      <w:r>
        <w:rPr>
          <w:sz w:val="24"/>
        </w:rPr>
        <w:t>C.</w:t>
      </w:r>
      <w:r w:rsidRPr="00A1687B">
        <w:rPr>
          <w:sz w:val="24"/>
        </w:rPr>
        <w:tab/>
      </w:r>
      <w:r w:rsidRPr="007A4C62">
        <w:rPr>
          <w:sz w:val="24"/>
        </w:rPr>
        <w:t>The Commission Can Have Confidence in Staff’s Range</w:t>
      </w:r>
      <w:r>
        <w:rPr>
          <w:sz w:val="24"/>
        </w:rPr>
        <w:tab/>
        <w:t>3</w:t>
      </w:r>
    </w:p>
    <w:p w14:paraId="6460FF18" w14:textId="77777777" w:rsidR="007A4C62" w:rsidRDefault="007A4C62" w:rsidP="007A4C62">
      <w:pPr>
        <w:pStyle w:val="ListParagraph"/>
        <w:tabs>
          <w:tab w:val="left" w:pos="720"/>
          <w:tab w:val="left" w:pos="1440"/>
          <w:tab w:val="left" w:pos="2160"/>
          <w:tab w:val="right" w:leader="dot" w:pos="8640"/>
        </w:tabs>
        <w:ind w:left="1440" w:hanging="720"/>
        <w:rPr>
          <w:sz w:val="24"/>
        </w:rPr>
      </w:pPr>
    </w:p>
    <w:p w14:paraId="7827175A" w14:textId="4EEA7615" w:rsidR="007A4C62" w:rsidRPr="007A4C62" w:rsidRDefault="007A4C62" w:rsidP="007A4C62">
      <w:pPr>
        <w:pStyle w:val="ListParagraph"/>
        <w:tabs>
          <w:tab w:val="left" w:pos="720"/>
          <w:tab w:val="left" w:pos="1440"/>
          <w:tab w:val="left" w:pos="2160"/>
          <w:tab w:val="right" w:leader="dot" w:pos="8640"/>
        </w:tabs>
        <w:ind w:left="1440" w:right="108" w:hanging="720"/>
        <w:rPr>
          <w:sz w:val="24"/>
        </w:rPr>
      </w:pPr>
      <w:r>
        <w:rPr>
          <w:sz w:val="24"/>
        </w:rPr>
        <w:t>D.</w:t>
      </w:r>
      <w:r>
        <w:rPr>
          <w:sz w:val="24"/>
        </w:rPr>
        <w:tab/>
      </w:r>
      <w:r w:rsidRPr="007A4C62">
        <w:rPr>
          <w:sz w:val="24"/>
        </w:rPr>
        <w:t>The Issue of the Effect of Decoupling on Cost of Equity Was Not Remanded and Need Not Be Considered At This Time</w:t>
      </w:r>
      <w:r>
        <w:rPr>
          <w:sz w:val="24"/>
        </w:rPr>
        <w:tab/>
        <w:t>6</w:t>
      </w:r>
    </w:p>
    <w:p w14:paraId="5CF0B58E" w14:textId="77777777" w:rsidR="007A4C62" w:rsidRPr="00A1687B" w:rsidRDefault="007A4C62" w:rsidP="007A4C62">
      <w:pPr>
        <w:tabs>
          <w:tab w:val="left" w:pos="720"/>
          <w:tab w:val="left" w:pos="1440"/>
          <w:tab w:val="left" w:pos="2160"/>
          <w:tab w:val="right" w:leader="dot" w:pos="8640"/>
        </w:tabs>
        <w:ind w:firstLine="720"/>
        <w:rPr>
          <w:sz w:val="24"/>
        </w:rPr>
      </w:pPr>
    </w:p>
    <w:p w14:paraId="1971EF8A" w14:textId="6C38811B" w:rsidR="007A4C62" w:rsidRPr="00B36EA3" w:rsidRDefault="007A4C62" w:rsidP="007A4C62">
      <w:pPr>
        <w:tabs>
          <w:tab w:val="left" w:pos="720"/>
          <w:tab w:val="left" w:pos="1440"/>
          <w:tab w:val="left" w:pos="2160"/>
          <w:tab w:val="right" w:leader="dot" w:pos="8640"/>
        </w:tabs>
        <w:spacing w:line="240" w:lineRule="exact"/>
        <w:rPr>
          <w:sz w:val="24"/>
        </w:rPr>
      </w:pPr>
      <w:r>
        <w:rPr>
          <w:sz w:val="24"/>
        </w:rPr>
        <w:t>IV.</w:t>
      </w:r>
      <w:r>
        <w:rPr>
          <w:sz w:val="24"/>
        </w:rPr>
        <w:tab/>
        <w:t>CONCLUSION</w:t>
      </w:r>
      <w:r>
        <w:rPr>
          <w:sz w:val="24"/>
        </w:rPr>
        <w:tab/>
        <w:t>8</w:t>
      </w:r>
    </w:p>
    <w:p w14:paraId="42FF4AA3" w14:textId="77777777" w:rsidR="007A4C62" w:rsidRPr="00B36EA3" w:rsidRDefault="007A4C62" w:rsidP="007A4C62">
      <w:pPr>
        <w:spacing w:line="240" w:lineRule="exact"/>
        <w:rPr>
          <w:sz w:val="24"/>
        </w:rPr>
      </w:pPr>
    </w:p>
    <w:p w14:paraId="56DF3052" w14:textId="77777777" w:rsidR="007A4C62" w:rsidRPr="00B36EA3" w:rsidRDefault="007A4C62" w:rsidP="007A4C62">
      <w:pPr>
        <w:rPr>
          <w:sz w:val="24"/>
        </w:rPr>
      </w:pPr>
    </w:p>
    <w:p w14:paraId="4B4DA336" w14:textId="181D4567" w:rsidR="005E5D7E" w:rsidRDefault="005E5D7E" w:rsidP="007A4C62">
      <w:pPr>
        <w:rPr>
          <w:b/>
          <w:sz w:val="24"/>
        </w:rPr>
      </w:pPr>
    </w:p>
    <w:p w14:paraId="77D681D0" w14:textId="77777777" w:rsidR="005E5D7E" w:rsidRPr="005E5D7E" w:rsidRDefault="005E5D7E" w:rsidP="005E5D7E">
      <w:pPr>
        <w:rPr>
          <w:sz w:val="24"/>
        </w:rPr>
      </w:pPr>
    </w:p>
    <w:p w14:paraId="3985984D" w14:textId="77777777" w:rsidR="005E5D7E" w:rsidRPr="005E5D7E" w:rsidRDefault="005E5D7E" w:rsidP="005E5D7E">
      <w:pPr>
        <w:rPr>
          <w:sz w:val="24"/>
        </w:rPr>
      </w:pPr>
    </w:p>
    <w:p w14:paraId="45604607" w14:textId="77777777" w:rsidR="005E5D7E" w:rsidRPr="005E5D7E" w:rsidRDefault="005E5D7E" w:rsidP="005E5D7E">
      <w:pPr>
        <w:rPr>
          <w:sz w:val="24"/>
        </w:rPr>
      </w:pPr>
    </w:p>
    <w:p w14:paraId="4499D065" w14:textId="77777777" w:rsidR="005E5D7E" w:rsidRPr="005E5D7E" w:rsidRDefault="005E5D7E" w:rsidP="005E5D7E">
      <w:pPr>
        <w:rPr>
          <w:sz w:val="24"/>
        </w:rPr>
      </w:pPr>
    </w:p>
    <w:p w14:paraId="38558014" w14:textId="77777777" w:rsidR="005E5D7E" w:rsidRPr="005E5D7E" w:rsidRDefault="005E5D7E" w:rsidP="005E5D7E">
      <w:pPr>
        <w:rPr>
          <w:sz w:val="24"/>
        </w:rPr>
      </w:pPr>
    </w:p>
    <w:p w14:paraId="21F291C8" w14:textId="77777777" w:rsidR="005E5D7E" w:rsidRPr="005E5D7E" w:rsidRDefault="005E5D7E" w:rsidP="005E5D7E">
      <w:pPr>
        <w:rPr>
          <w:sz w:val="24"/>
        </w:rPr>
      </w:pPr>
    </w:p>
    <w:p w14:paraId="3A84400F" w14:textId="77777777" w:rsidR="005E5D7E" w:rsidRPr="005E5D7E" w:rsidRDefault="005E5D7E" w:rsidP="005E5D7E">
      <w:pPr>
        <w:rPr>
          <w:sz w:val="24"/>
        </w:rPr>
      </w:pPr>
    </w:p>
    <w:p w14:paraId="0185C763" w14:textId="77777777" w:rsidR="005E5D7E" w:rsidRPr="005E5D7E" w:rsidRDefault="005E5D7E" w:rsidP="005E5D7E">
      <w:pPr>
        <w:rPr>
          <w:sz w:val="24"/>
        </w:rPr>
      </w:pPr>
    </w:p>
    <w:p w14:paraId="7A4EBA60" w14:textId="77777777" w:rsidR="005E5D7E" w:rsidRPr="005E5D7E" w:rsidRDefault="005E5D7E" w:rsidP="005E5D7E">
      <w:pPr>
        <w:rPr>
          <w:sz w:val="24"/>
        </w:rPr>
      </w:pPr>
    </w:p>
    <w:p w14:paraId="7014C848" w14:textId="77777777" w:rsidR="005E5D7E" w:rsidRPr="005E5D7E" w:rsidRDefault="005E5D7E" w:rsidP="005E5D7E">
      <w:pPr>
        <w:rPr>
          <w:sz w:val="24"/>
        </w:rPr>
      </w:pPr>
    </w:p>
    <w:p w14:paraId="08164361" w14:textId="77777777" w:rsidR="005E5D7E" w:rsidRPr="005E5D7E" w:rsidRDefault="005E5D7E" w:rsidP="005E5D7E">
      <w:pPr>
        <w:rPr>
          <w:sz w:val="24"/>
        </w:rPr>
      </w:pPr>
    </w:p>
    <w:p w14:paraId="47172BEF" w14:textId="77777777" w:rsidR="005E5D7E" w:rsidRPr="005E5D7E" w:rsidRDefault="005E5D7E" w:rsidP="005E5D7E">
      <w:pPr>
        <w:rPr>
          <w:sz w:val="24"/>
        </w:rPr>
      </w:pPr>
    </w:p>
    <w:p w14:paraId="363C2DB7" w14:textId="77777777" w:rsidR="005E5D7E" w:rsidRPr="005E5D7E" w:rsidRDefault="005E5D7E" w:rsidP="005E5D7E">
      <w:pPr>
        <w:rPr>
          <w:sz w:val="24"/>
        </w:rPr>
      </w:pPr>
    </w:p>
    <w:p w14:paraId="070D102F" w14:textId="77777777" w:rsidR="005E5D7E" w:rsidRPr="005E5D7E" w:rsidRDefault="005E5D7E" w:rsidP="005E5D7E">
      <w:pPr>
        <w:rPr>
          <w:sz w:val="24"/>
        </w:rPr>
      </w:pPr>
    </w:p>
    <w:p w14:paraId="7BE17C6B" w14:textId="77777777" w:rsidR="005E5D7E" w:rsidRPr="005E5D7E" w:rsidRDefault="005E5D7E" w:rsidP="005E5D7E">
      <w:pPr>
        <w:rPr>
          <w:sz w:val="24"/>
        </w:rPr>
      </w:pPr>
    </w:p>
    <w:p w14:paraId="05BBDDE4" w14:textId="77777777" w:rsidR="005E5D7E" w:rsidRPr="005E5D7E" w:rsidRDefault="005E5D7E" w:rsidP="005E5D7E">
      <w:pPr>
        <w:rPr>
          <w:sz w:val="24"/>
        </w:rPr>
      </w:pPr>
    </w:p>
    <w:p w14:paraId="04EAD674" w14:textId="77777777" w:rsidR="005E5D7E" w:rsidRPr="005E5D7E" w:rsidRDefault="005E5D7E" w:rsidP="005E5D7E">
      <w:pPr>
        <w:rPr>
          <w:sz w:val="24"/>
        </w:rPr>
      </w:pPr>
    </w:p>
    <w:p w14:paraId="51961152" w14:textId="77777777" w:rsidR="005E5D7E" w:rsidRPr="005E5D7E" w:rsidRDefault="005E5D7E" w:rsidP="005E5D7E">
      <w:pPr>
        <w:rPr>
          <w:sz w:val="24"/>
        </w:rPr>
      </w:pPr>
    </w:p>
    <w:p w14:paraId="38C48C0C" w14:textId="77777777" w:rsidR="005E5D7E" w:rsidRPr="005E5D7E" w:rsidRDefault="005E5D7E" w:rsidP="005E5D7E">
      <w:pPr>
        <w:rPr>
          <w:sz w:val="24"/>
        </w:rPr>
      </w:pPr>
    </w:p>
    <w:p w14:paraId="35FC5144" w14:textId="673D7396" w:rsidR="005E5D7E" w:rsidRDefault="005E5D7E" w:rsidP="005E5D7E">
      <w:pPr>
        <w:rPr>
          <w:sz w:val="24"/>
        </w:rPr>
      </w:pPr>
    </w:p>
    <w:p w14:paraId="1900870F" w14:textId="77777777" w:rsidR="005E5D7E" w:rsidRPr="005E5D7E" w:rsidRDefault="005E5D7E" w:rsidP="005E5D7E">
      <w:pPr>
        <w:rPr>
          <w:sz w:val="24"/>
        </w:rPr>
      </w:pPr>
    </w:p>
    <w:p w14:paraId="3B88296B" w14:textId="444A1275" w:rsidR="005E5D7E" w:rsidRDefault="005E5D7E" w:rsidP="005E5D7E">
      <w:pPr>
        <w:rPr>
          <w:sz w:val="24"/>
        </w:rPr>
      </w:pPr>
    </w:p>
    <w:p w14:paraId="68B2DB55" w14:textId="30953B00" w:rsidR="007A4C62" w:rsidRPr="005E5D7E" w:rsidRDefault="005E5D7E" w:rsidP="005E5D7E">
      <w:pPr>
        <w:tabs>
          <w:tab w:val="center" w:pos="4374"/>
        </w:tabs>
        <w:rPr>
          <w:sz w:val="24"/>
        </w:rPr>
        <w:sectPr w:rsidR="007A4C62" w:rsidRPr="005E5D7E" w:rsidSect="005E3C36">
          <w:footerReference w:type="default" r:id="rId11"/>
          <w:pgSz w:w="12240" w:h="15840" w:code="1"/>
          <w:pgMar w:top="1440" w:right="1620" w:bottom="1440" w:left="1872" w:header="720" w:footer="720" w:gutter="0"/>
          <w:pgNumType w:fmt="lowerRoman" w:start="1"/>
          <w:cols w:space="720"/>
          <w:docGrid w:linePitch="360"/>
        </w:sectPr>
      </w:pPr>
      <w:r>
        <w:rPr>
          <w:sz w:val="24"/>
        </w:rPr>
        <w:tab/>
      </w:r>
    </w:p>
    <w:p w14:paraId="7C7B3E42" w14:textId="77777777" w:rsidR="007A4C62" w:rsidRPr="001D698F" w:rsidRDefault="007A4C62" w:rsidP="007A4C62">
      <w:pPr>
        <w:spacing w:line="240" w:lineRule="exact"/>
        <w:jc w:val="center"/>
        <w:rPr>
          <w:b/>
          <w:sz w:val="24"/>
        </w:rPr>
      </w:pPr>
      <w:r w:rsidRPr="001D698F">
        <w:rPr>
          <w:b/>
          <w:sz w:val="24"/>
        </w:rPr>
        <w:lastRenderedPageBreak/>
        <w:t>TABLE OF AUTHORITIES</w:t>
      </w:r>
    </w:p>
    <w:p w14:paraId="1F105C8B" w14:textId="77777777" w:rsidR="007A4C62" w:rsidRPr="001D698F" w:rsidRDefault="007A4C62" w:rsidP="007A4C62">
      <w:pPr>
        <w:spacing w:line="240" w:lineRule="exact"/>
        <w:rPr>
          <w:sz w:val="24"/>
        </w:rPr>
      </w:pPr>
    </w:p>
    <w:p w14:paraId="51BB0FFF" w14:textId="77777777" w:rsidR="007A4C62" w:rsidRPr="001D698F" w:rsidRDefault="007A4C62" w:rsidP="007A4C62">
      <w:pPr>
        <w:jc w:val="center"/>
        <w:rPr>
          <w:sz w:val="24"/>
        </w:rPr>
      </w:pPr>
    </w:p>
    <w:p w14:paraId="106178C4" w14:textId="77777777" w:rsidR="007A4C62" w:rsidRPr="001D698F" w:rsidRDefault="007A4C62" w:rsidP="007A4C62">
      <w:pPr>
        <w:jc w:val="center"/>
        <w:rPr>
          <w:b/>
          <w:sz w:val="24"/>
        </w:rPr>
      </w:pPr>
      <w:r w:rsidRPr="001D698F">
        <w:rPr>
          <w:b/>
          <w:i/>
          <w:sz w:val="24"/>
        </w:rPr>
        <w:t>Cases</w:t>
      </w:r>
    </w:p>
    <w:p w14:paraId="0662A37D" w14:textId="77777777" w:rsidR="007A4C62" w:rsidRPr="001D698F" w:rsidRDefault="007A4C62" w:rsidP="007A4C62">
      <w:pPr>
        <w:rPr>
          <w:sz w:val="24"/>
        </w:rPr>
      </w:pPr>
    </w:p>
    <w:p w14:paraId="1126B34D" w14:textId="01F65B60" w:rsidR="007A4C62" w:rsidRDefault="007A4C62" w:rsidP="007A4C62">
      <w:pPr>
        <w:rPr>
          <w:sz w:val="24"/>
        </w:rPr>
      </w:pPr>
      <w:r w:rsidRPr="001D698F">
        <w:rPr>
          <w:i/>
          <w:sz w:val="24"/>
        </w:rPr>
        <w:t>Bluefield Waterworks &amp; Impr</w:t>
      </w:r>
      <w:r w:rsidR="00432347">
        <w:rPr>
          <w:i/>
          <w:sz w:val="24"/>
        </w:rPr>
        <w:t>.</w:t>
      </w:r>
      <w:r w:rsidRPr="001D698F">
        <w:rPr>
          <w:i/>
          <w:sz w:val="24"/>
        </w:rPr>
        <w:t xml:space="preserve"> Co. v. Pub. Serv. Comm’n of W. Va.</w:t>
      </w:r>
      <w:r w:rsidRPr="001D698F">
        <w:rPr>
          <w:sz w:val="24"/>
        </w:rPr>
        <w:t>,</w:t>
      </w:r>
    </w:p>
    <w:p w14:paraId="14B94FFE" w14:textId="33F67CDF" w:rsidR="007A4C62" w:rsidRDefault="007A4C62" w:rsidP="007A4C62">
      <w:pPr>
        <w:tabs>
          <w:tab w:val="left" w:pos="720"/>
          <w:tab w:val="left" w:pos="1440"/>
          <w:tab w:val="left" w:pos="2160"/>
          <w:tab w:val="right" w:leader="dot" w:pos="8820"/>
        </w:tabs>
        <w:ind w:right="108"/>
        <w:rPr>
          <w:color w:val="000000"/>
          <w:sz w:val="24"/>
        </w:rPr>
      </w:pPr>
      <w:r>
        <w:rPr>
          <w:sz w:val="24"/>
        </w:rPr>
        <w:tab/>
      </w:r>
      <w:r w:rsidRPr="001D698F">
        <w:rPr>
          <w:color w:val="000000"/>
          <w:sz w:val="24"/>
        </w:rPr>
        <w:t>262 U.S. 679, 43 S.</w:t>
      </w:r>
      <w:r>
        <w:rPr>
          <w:color w:val="000000"/>
          <w:sz w:val="24"/>
        </w:rPr>
        <w:t xml:space="preserve"> </w:t>
      </w:r>
      <w:r w:rsidRPr="001D698F">
        <w:rPr>
          <w:color w:val="000000"/>
          <w:sz w:val="24"/>
        </w:rPr>
        <w:t>Ct. 675, 67 L.</w:t>
      </w:r>
      <w:r>
        <w:rPr>
          <w:color w:val="000000"/>
          <w:sz w:val="24"/>
        </w:rPr>
        <w:t xml:space="preserve"> </w:t>
      </w:r>
      <w:r w:rsidRPr="001D698F">
        <w:rPr>
          <w:color w:val="000000"/>
          <w:sz w:val="24"/>
        </w:rPr>
        <w:t>Ed. 1176 (1923)</w:t>
      </w:r>
      <w:r>
        <w:rPr>
          <w:color w:val="000000"/>
          <w:sz w:val="24"/>
        </w:rPr>
        <w:tab/>
      </w:r>
      <w:r w:rsidR="005E5D7E">
        <w:rPr>
          <w:color w:val="000000"/>
          <w:sz w:val="24"/>
        </w:rPr>
        <w:t>4</w:t>
      </w:r>
    </w:p>
    <w:p w14:paraId="27B77638" w14:textId="77777777" w:rsidR="005E5D7E" w:rsidRDefault="005E5D7E" w:rsidP="007A4C62">
      <w:pPr>
        <w:tabs>
          <w:tab w:val="left" w:pos="720"/>
          <w:tab w:val="left" w:pos="1440"/>
          <w:tab w:val="left" w:pos="2160"/>
          <w:tab w:val="right" w:leader="dot" w:pos="8820"/>
        </w:tabs>
        <w:ind w:right="108"/>
        <w:rPr>
          <w:color w:val="000000"/>
          <w:sz w:val="24"/>
        </w:rPr>
      </w:pPr>
    </w:p>
    <w:p w14:paraId="6A03F020" w14:textId="77777777" w:rsidR="005E5D7E" w:rsidRDefault="005E5D7E" w:rsidP="007A4C62">
      <w:pPr>
        <w:tabs>
          <w:tab w:val="left" w:pos="720"/>
          <w:tab w:val="left" w:pos="1440"/>
          <w:tab w:val="left" w:pos="2160"/>
          <w:tab w:val="right" w:leader="dot" w:pos="8820"/>
        </w:tabs>
        <w:ind w:right="108"/>
        <w:rPr>
          <w:color w:val="000000"/>
          <w:sz w:val="24"/>
        </w:rPr>
      </w:pPr>
      <w:r w:rsidRPr="005E5D7E">
        <w:rPr>
          <w:i/>
          <w:color w:val="000000"/>
          <w:sz w:val="24"/>
        </w:rPr>
        <w:t>Fed. Power Comm’n v. Hope Natural Gas Co.</w:t>
      </w:r>
      <w:r w:rsidRPr="005E5D7E">
        <w:rPr>
          <w:color w:val="000000"/>
          <w:sz w:val="24"/>
        </w:rPr>
        <w:t>,</w:t>
      </w:r>
    </w:p>
    <w:p w14:paraId="3A0ECBE6" w14:textId="26CCD3AC" w:rsidR="005E5D7E" w:rsidRDefault="005E5D7E" w:rsidP="007A4C62">
      <w:pPr>
        <w:tabs>
          <w:tab w:val="left" w:pos="720"/>
          <w:tab w:val="left" w:pos="1440"/>
          <w:tab w:val="left" w:pos="2160"/>
          <w:tab w:val="right" w:leader="dot" w:pos="8820"/>
        </w:tabs>
        <w:ind w:right="108"/>
        <w:rPr>
          <w:i/>
          <w:color w:val="000000"/>
          <w:sz w:val="24"/>
        </w:rPr>
      </w:pPr>
      <w:r>
        <w:rPr>
          <w:color w:val="000000"/>
          <w:sz w:val="24"/>
        </w:rPr>
        <w:tab/>
      </w:r>
      <w:r w:rsidRPr="005E5D7E">
        <w:rPr>
          <w:color w:val="000000"/>
          <w:sz w:val="24"/>
        </w:rPr>
        <w:t>320 U.S. 591, 64 S. Ct. 281, 605, 88 L. E</w:t>
      </w:r>
      <w:r w:rsidR="00663322">
        <w:rPr>
          <w:color w:val="000000"/>
          <w:sz w:val="24"/>
        </w:rPr>
        <w:t>d</w:t>
      </w:r>
      <w:r w:rsidRPr="005E5D7E">
        <w:rPr>
          <w:color w:val="000000"/>
          <w:sz w:val="24"/>
        </w:rPr>
        <w:t>. 333 (1944)</w:t>
      </w:r>
      <w:r>
        <w:rPr>
          <w:color w:val="000000"/>
          <w:sz w:val="24"/>
        </w:rPr>
        <w:tab/>
        <w:t>4</w:t>
      </w:r>
      <w:r w:rsidR="0014611A">
        <w:rPr>
          <w:color w:val="000000"/>
          <w:sz w:val="24"/>
        </w:rPr>
        <w:t>, 6</w:t>
      </w:r>
      <w:r>
        <w:rPr>
          <w:color w:val="000000"/>
          <w:sz w:val="24"/>
        </w:rPr>
        <w:t>, 7</w:t>
      </w:r>
    </w:p>
    <w:p w14:paraId="04E9AE4D" w14:textId="77777777" w:rsidR="005E5D7E" w:rsidRDefault="005E5D7E" w:rsidP="007A4C62">
      <w:pPr>
        <w:tabs>
          <w:tab w:val="left" w:pos="720"/>
          <w:tab w:val="left" w:pos="1440"/>
          <w:tab w:val="left" w:pos="2160"/>
          <w:tab w:val="right" w:leader="dot" w:pos="8820"/>
        </w:tabs>
        <w:ind w:right="108"/>
        <w:rPr>
          <w:i/>
          <w:color w:val="000000"/>
          <w:sz w:val="24"/>
        </w:rPr>
      </w:pPr>
    </w:p>
    <w:p w14:paraId="431C53A0" w14:textId="55777AE1" w:rsidR="005E5D7E" w:rsidRDefault="005E5D7E" w:rsidP="007A4C62">
      <w:pPr>
        <w:tabs>
          <w:tab w:val="left" w:pos="720"/>
          <w:tab w:val="left" w:pos="1440"/>
          <w:tab w:val="left" w:pos="2160"/>
          <w:tab w:val="right" w:leader="dot" w:pos="8820"/>
        </w:tabs>
        <w:ind w:right="108"/>
        <w:rPr>
          <w:sz w:val="24"/>
        </w:rPr>
      </w:pPr>
      <w:r w:rsidRPr="005E5D7E">
        <w:rPr>
          <w:i/>
          <w:sz w:val="24"/>
        </w:rPr>
        <w:t>People’s Org</w:t>
      </w:r>
      <w:r>
        <w:rPr>
          <w:i/>
          <w:sz w:val="24"/>
        </w:rPr>
        <w:t>.</w:t>
      </w:r>
      <w:r w:rsidRPr="005E5D7E">
        <w:rPr>
          <w:i/>
          <w:sz w:val="24"/>
        </w:rPr>
        <w:t xml:space="preserve"> for Wash. Energy Res</w:t>
      </w:r>
      <w:r w:rsidR="00432347">
        <w:rPr>
          <w:i/>
          <w:sz w:val="24"/>
        </w:rPr>
        <w:t>.</w:t>
      </w:r>
      <w:r w:rsidRPr="005E5D7E">
        <w:rPr>
          <w:i/>
          <w:sz w:val="24"/>
        </w:rPr>
        <w:t xml:space="preserve"> v. Utils. &amp; Transp. Comm’n</w:t>
      </w:r>
      <w:r w:rsidRPr="005E5D7E">
        <w:rPr>
          <w:sz w:val="24"/>
        </w:rPr>
        <w:t>,</w:t>
      </w:r>
    </w:p>
    <w:p w14:paraId="3E8B2929" w14:textId="51BBE509" w:rsidR="005E5D7E" w:rsidRPr="005E5D7E" w:rsidRDefault="005E5D7E" w:rsidP="007A4C62">
      <w:pPr>
        <w:tabs>
          <w:tab w:val="left" w:pos="720"/>
          <w:tab w:val="left" w:pos="1440"/>
          <w:tab w:val="left" w:pos="2160"/>
          <w:tab w:val="right" w:leader="dot" w:pos="8820"/>
        </w:tabs>
        <w:ind w:right="108"/>
        <w:rPr>
          <w:color w:val="000000"/>
          <w:sz w:val="24"/>
        </w:rPr>
      </w:pPr>
      <w:r>
        <w:rPr>
          <w:sz w:val="24"/>
        </w:rPr>
        <w:tab/>
      </w:r>
      <w:r w:rsidRPr="005E5D7E">
        <w:rPr>
          <w:sz w:val="24"/>
        </w:rPr>
        <w:t>104 Wn.2d 798 (1985)</w:t>
      </w:r>
      <w:r>
        <w:rPr>
          <w:sz w:val="24"/>
        </w:rPr>
        <w:tab/>
        <w:t>6</w:t>
      </w:r>
    </w:p>
    <w:p w14:paraId="0351E5BC" w14:textId="77777777" w:rsidR="007A4C62" w:rsidRPr="001D698F" w:rsidRDefault="007A4C62" w:rsidP="007A4C62">
      <w:pPr>
        <w:tabs>
          <w:tab w:val="left" w:pos="720"/>
          <w:tab w:val="left" w:pos="1440"/>
          <w:tab w:val="left" w:pos="2160"/>
          <w:tab w:val="right" w:leader="dot" w:pos="9187"/>
        </w:tabs>
        <w:ind w:right="108"/>
        <w:rPr>
          <w:sz w:val="24"/>
        </w:rPr>
      </w:pPr>
    </w:p>
    <w:p w14:paraId="645CDF8C" w14:textId="77777777" w:rsidR="00787AFC" w:rsidRDefault="00787AFC" w:rsidP="005E5D7E">
      <w:pPr>
        <w:pStyle w:val="FootnoteText"/>
        <w:tabs>
          <w:tab w:val="left" w:pos="720"/>
          <w:tab w:val="left" w:pos="1440"/>
          <w:tab w:val="left" w:pos="2160"/>
          <w:tab w:val="right" w:leader="dot" w:pos="8820"/>
        </w:tabs>
        <w:ind w:right="108"/>
        <w:jc w:val="center"/>
        <w:rPr>
          <w:sz w:val="24"/>
          <w:szCs w:val="24"/>
        </w:rPr>
      </w:pPr>
    </w:p>
    <w:p w14:paraId="7C2069B9" w14:textId="59F8F12C" w:rsidR="005E5D7E" w:rsidRDefault="005E5D7E" w:rsidP="005E5D7E">
      <w:pPr>
        <w:pStyle w:val="FootnoteText"/>
        <w:tabs>
          <w:tab w:val="left" w:pos="720"/>
          <w:tab w:val="left" w:pos="1440"/>
          <w:tab w:val="left" w:pos="2160"/>
          <w:tab w:val="right" w:leader="dot" w:pos="8820"/>
        </w:tabs>
        <w:ind w:right="108"/>
        <w:jc w:val="center"/>
        <w:rPr>
          <w:sz w:val="24"/>
          <w:szCs w:val="24"/>
        </w:rPr>
      </w:pPr>
      <w:r>
        <w:rPr>
          <w:b/>
          <w:i/>
          <w:sz w:val="24"/>
          <w:szCs w:val="24"/>
        </w:rPr>
        <w:t>Statutes</w:t>
      </w:r>
    </w:p>
    <w:p w14:paraId="596CC826" w14:textId="77777777" w:rsidR="005E5D7E" w:rsidRDefault="005E5D7E" w:rsidP="005E5D7E">
      <w:pPr>
        <w:pStyle w:val="FootnoteText"/>
        <w:tabs>
          <w:tab w:val="left" w:pos="720"/>
          <w:tab w:val="left" w:pos="1440"/>
          <w:tab w:val="left" w:pos="2160"/>
          <w:tab w:val="right" w:leader="dot" w:pos="8820"/>
        </w:tabs>
        <w:ind w:right="108"/>
        <w:jc w:val="center"/>
        <w:rPr>
          <w:sz w:val="24"/>
          <w:szCs w:val="24"/>
        </w:rPr>
      </w:pPr>
    </w:p>
    <w:p w14:paraId="65596523" w14:textId="243D4080" w:rsidR="005E5D7E" w:rsidRDefault="005E5D7E" w:rsidP="005E5D7E">
      <w:pPr>
        <w:pStyle w:val="FootnoteText"/>
        <w:tabs>
          <w:tab w:val="left" w:pos="720"/>
          <w:tab w:val="left" w:pos="1440"/>
          <w:tab w:val="right" w:leader="dot" w:pos="8820"/>
        </w:tabs>
        <w:ind w:right="108"/>
        <w:rPr>
          <w:sz w:val="24"/>
          <w:szCs w:val="24"/>
        </w:rPr>
      </w:pPr>
      <w:r>
        <w:rPr>
          <w:sz w:val="24"/>
          <w:szCs w:val="24"/>
        </w:rPr>
        <w:t>RCW 80.28.020</w:t>
      </w:r>
      <w:r>
        <w:rPr>
          <w:sz w:val="24"/>
          <w:szCs w:val="24"/>
        </w:rPr>
        <w:tab/>
        <w:t>6</w:t>
      </w:r>
    </w:p>
    <w:p w14:paraId="35AF6187" w14:textId="77777777" w:rsidR="005E5D7E" w:rsidRDefault="005E5D7E" w:rsidP="005E5D7E">
      <w:pPr>
        <w:pStyle w:val="FootnoteText"/>
        <w:tabs>
          <w:tab w:val="left" w:pos="720"/>
          <w:tab w:val="left" w:pos="1440"/>
          <w:tab w:val="right" w:leader="dot" w:pos="8820"/>
        </w:tabs>
        <w:ind w:right="108"/>
        <w:rPr>
          <w:sz w:val="24"/>
          <w:szCs w:val="24"/>
        </w:rPr>
      </w:pPr>
    </w:p>
    <w:p w14:paraId="5C07ECC9" w14:textId="3B6849EA" w:rsidR="005E5D7E" w:rsidRPr="007A4C62" w:rsidRDefault="005E5D7E" w:rsidP="005E5D7E">
      <w:pPr>
        <w:pStyle w:val="FootnoteText"/>
        <w:tabs>
          <w:tab w:val="left" w:pos="720"/>
          <w:tab w:val="left" w:pos="1440"/>
          <w:tab w:val="right" w:leader="dot" w:pos="8820"/>
        </w:tabs>
        <w:ind w:right="108"/>
        <w:rPr>
          <w:sz w:val="24"/>
          <w:szCs w:val="24"/>
        </w:rPr>
        <w:sectPr w:rsidR="005E5D7E" w:rsidRPr="007A4C62" w:rsidSect="005E3C36">
          <w:headerReference w:type="default" r:id="rId12"/>
          <w:footerReference w:type="default" r:id="rId13"/>
          <w:pgSz w:w="12240" w:h="15840" w:code="1"/>
          <w:pgMar w:top="1440" w:right="1440" w:bottom="1440" w:left="1872" w:header="720" w:footer="720" w:gutter="0"/>
          <w:pgNumType w:fmt="lowerRoman" w:start="2"/>
          <w:cols w:space="720"/>
          <w:docGrid w:linePitch="360"/>
        </w:sectPr>
      </w:pPr>
      <w:r>
        <w:rPr>
          <w:sz w:val="24"/>
        </w:rPr>
        <w:t>RCW 80.28.010</w:t>
      </w:r>
      <w:r>
        <w:rPr>
          <w:sz w:val="24"/>
        </w:rPr>
        <w:tab/>
        <w:t>7</w:t>
      </w:r>
    </w:p>
    <w:p w14:paraId="2D19FD78" w14:textId="062A8099" w:rsidR="00860D8D" w:rsidRDefault="00860D8D" w:rsidP="00860D8D">
      <w:pPr>
        <w:jc w:val="center"/>
        <w:rPr>
          <w:sz w:val="24"/>
        </w:rPr>
      </w:pPr>
      <w:r>
        <w:rPr>
          <w:b/>
          <w:sz w:val="24"/>
        </w:rPr>
        <w:lastRenderedPageBreak/>
        <w:t>I.</w:t>
      </w:r>
      <w:r>
        <w:rPr>
          <w:b/>
          <w:sz w:val="24"/>
        </w:rPr>
        <w:tab/>
        <w:t>INTRODUCTION</w:t>
      </w:r>
    </w:p>
    <w:p w14:paraId="64EBBC52" w14:textId="77777777" w:rsidR="00860D8D" w:rsidRPr="00860D8D" w:rsidRDefault="00860D8D" w:rsidP="00860D8D">
      <w:pPr>
        <w:jc w:val="center"/>
        <w:rPr>
          <w:sz w:val="24"/>
        </w:rPr>
      </w:pPr>
    </w:p>
    <w:p w14:paraId="0FCCF31F" w14:textId="28F51072" w:rsidR="00860D8D" w:rsidRPr="00860D8D" w:rsidRDefault="00860D8D" w:rsidP="00860D8D">
      <w:pPr>
        <w:numPr>
          <w:ilvl w:val="0"/>
          <w:numId w:val="2"/>
        </w:numPr>
        <w:spacing w:line="480" w:lineRule="auto"/>
        <w:rPr>
          <w:sz w:val="24"/>
        </w:rPr>
      </w:pPr>
      <w:r>
        <w:rPr>
          <w:sz w:val="24"/>
        </w:rPr>
        <w:tab/>
      </w:r>
      <w:r w:rsidR="00C02798">
        <w:rPr>
          <w:sz w:val="24"/>
        </w:rPr>
        <w:t xml:space="preserve">In this remand phase of the proceeding, Staff </w:t>
      </w:r>
      <w:r w:rsidR="00985277">
        <w:rPr>
          <w:sz w:val="24"/>
        </w:rPr>
        <w:t xml:space="preserve">of the Washington Utilities and Transportation Commission (Commission) </w:t>
      </w:r>
      <w:r w:rsidR="00C02798">
        <w:rPr>
          <w:sz w:val="24"/>
        </w:rPr>
        <w:t xml:space="preserve">has done what it set out to do: supplement the record </w:t>
      </w:r>
      <w:r w:rsidR="00985277">
        <w:rPr>
          <w:sz w:val="24"/>
        </w:rPr>
        <w:t xml:space="preserve">so that the Commission can set Puget Sound Energy’s (PSE’s) cost of equity as of </w:t>
      </w:r>
      <w:r w:rsidR="00713BC9">
        <w:rPr>
          <w:sz w:val="24"/>
        </w:rPr>
        <w:t xml:space="preserve">spring </w:t>
      </w:r>
      <w:r w:rsidR="00985277">
        <w:rPr>
          <w:sz w:val="24"/>
        </w:rPr>
        <w:t xml:space="preserve">2013.  </w:t>
      </w:r>
      <w:r w:rsidR="00713BC9">
        <w:rPr>
          <w:sz w:val="24"/>
        </w:rPr>
        <w:t xml:space="preserve">Commission Staff has provided the same kind of rigorous analysis and informed judgment, tailored to the circumstances of the case, that it customarily presents. As is generally the case, the cost of equity experts presenting testimony in this proceeding disagree with respect to results and methodologies.  Staff has elected </w:t>
      </w:r>
      <w:r w:rsidR="00B33584">
        <w:rPr>
          <w:sz w:val="24"/>
        </w:rPr>
        <w:t>not to attack</w:t>
      </w:r>
      <w:r w:rsidR="00711240">
        <w:rPr>
          <w:sz w:val="24"/>
        </w:rPr>
        <w:t xml:space="preserve"> </w:t>
      </w:r>
      <w:r w:rsidR="00854959">
        <w:rPr>
          <w:sz w:val="24"/>
        </w:rPr>
        <w:t xml:space="preserve">the cost of equity analyses that result in a higher or lower recommendation than Staff’s, </w:t>
      </w:r>
      <w:r w:rsidR="00B33584">
        <w:rPr>
          <w:sz w:val="24"/>
        </w:rPr>
        <w:t>as they</w:t>
      </w:r>
      <w:r w:rsidR="003B7674">
        <w:rPr>
          <w:sz w:val="24"/>
        </w:rPr>
        <w:t xml:space="preserve"> have been prepared by credible experts and</w:t>
      </w:r>
      <w:r w:rsidR="00B33584">
        <w:rPr>
          <w:sz w:val="24"/>
        </w:rPr>
        <w:t xml:space="preserve"> </w:t>
      </w:r>
      <w:r w:rsidR="003B7674">
        <w:rPr>
          <w:sz w:val="24"/>
        </w:rPr>
        <w:t>establish</w:t>
      </w:r>
      <w:r w:rsidR="00055EF8">
        <w:rPr>
          <w:sz w:val="24"/>
        </w:rPr>
        <w:t xml:space="preserve"> </w:t>
      </w:r>
      <w:r w:rsidR="000D7816">
        <w:rPr>
          <w:sz w:val="24"/>
        </w:rPr>
        <w:t>a</w:t>
      </w:r>
      <w:r w:rsidR="00B33584">
        <w:rPr>
          <w:sz w:val="24"/>
        </w:rPr>
        <w:t xml:space="preserve"> more complete record. </w:t>
      </w:r>
      <w:r w:rsidR="00711240">
        <w:rPr>
          <w:sz w:val="24"/>
        </w:rPr>
        <w:t xml:space="preserve"> </w:t>
      </w:r>
      <w:r w:rsidR="00CD2224">
        <w:rPr>
          <w:sz w:val="24"/>
        </w:rPr>
        <w:t>Instead</w:t>
      </w:r>
      <w:r w:rsidR="00B33584">
        <w:rPr>
          <w:sz w:val="24"/>
        </w:rPr>
        <w:t>, Staff has</w:t>
      </w:r>
      <w:r w:rsidR="00711240">
        <w:rPr>
          <w:sz w:val="24"/>
        </w:rPr>
        <w:t xml:space="preserve"> </w:t>
      </w:r>
      <w:r w:rsidR="00055EF8">
        <w:rPr>
          <w:sz w:val="24"/>
        </w:rPr>
        <w:t xml:space="preserve">focused on </w:t>
      </w:r>
      <w:r w:rsidR="00711240">
        <w:rPr>
          <w:sz w:val="24"/>
        </w:rPr>
        <w:t>present</w:t>
      </w:r>
      <w:r w:rsidR="00055EF8">
        <w:rPr>
          <w:sz w:val="24"/>
        </w:rPr>
        <w:t xml:space="preserve">ing its independent </w:t>
      </w:r>
      <w:r w:rsidR="00711240">
        <w:rPr>
          <w:sz w:val="24"/>
        </w:rPr>
        <w:t xml:space="preserve">expert opinion on </w:t>
      </w:r>
      <w:r w:rsidR="00B33584">
        <w:rPr>
          <w:sz w:val="24"/>
        </w:rPr>
        <w:t xml:space="preserve">the reasonable range of </w:t>
      </w:r>
      <w:r w:rsidR="00711240">
        <w:rPr>
          <w:sz w:val="24"/>
        </w:rPr>
        <w:t>PSE’s cost of equity dur</w:t>
      </w:r>
      <w:r w:rsidR="00915690">
        <w:rPr>
          <w:sz w:val="24"/>
        </w:rPr>
        <w:t xml:space="preserve">ing the relevant time period.  </w:t>
      </w:r>
      <w:r w:rsidR="005675C3">
        <w:rPr>
          <w:sz w:val="24"/>
        </w:rPr>
        <w:t xml:space="preserve">Staff’s cost of equity analysis does not consider decoupling, as Staff believes </w:t>
      </w:r>
      <w:r w:rsidR="009A12E4">
        <w:rPr>
          <w:sz w:val="24"/>
        </w:rPr>
        <w:t>decoupling should not be considered without concurrently considering other mechanisms and data that can provide a more complete picture of PSE’s risk.</w:t>
      </w:r>
    </w:p>
    <w:p w14:paraId="06371A17" w14:textId="72988D0F" w:rsidR="00860D8D" w:rsidRPr="00950610" w:rsidRDefault="00860D8D" w:rsidP="00950610">
      <w:pPr>
        <w:spacing w:line="480" w:lineRule="auto"/>
        <w:jc w:val="center"/>
        <w:rPr>
          <w:b/>
          <w:sz w:val="24"/>
        </w:rPr>
      </w:pPr>
      <w:r>
        <w:rPr>
          <w:sz w:val="24"/>
        </w:rPr>
        <w:tab/>
      </w:r>
      <w:r w:rsidR="007A4C62">
        <w:rPr>
          <w:b/>
          <w:sz w:val="24"/>
        </w:rPr>
        <w:t>II.</w:t>
      </w:r>
      <w:r w:rsidR="007A4C62">
        <w:rPr>
          <w:b/>
          <w:sz w:val="24"/>
        </w:rPr>
        <w:tab/>
      </w:r>
      <w:r w:rsidR="00950610" w:rsidRPr="00950610">
        <w:rPr>
          <w:b/>
          <w:sz w:val="24"/>
        </w:rPr>
        <w:t>ARGUMENT</w:t>
      </w:r>
    </w:p>
    <w:p w14:paraId="3B0A91AC" w14:textId="157EAD5D" w:rsidR="002C5BF6" w:rsidRPr="008C6A75" w:rsidRDefault="00502478" w:rsidP="008C6A75">
      <w:pPr>
        <w:pStyle w:val="ListParagraph"/>
        <w:numPr>
          <w:ilvl w:val="0"/>
          <w:numId w:val="3"/>
        </w:numPr>
        <w:ind w:left="720" w:hanging="720"/>
        <w:rPr>
          <w:b/>
          <w:sz w:val="24"/>
        </w:rPr>
      </w:pPr>
      <w:r w:rsidRPr="008C6A75">
        <w:rPr>
          <w:b/>
          <w:sz w:val="24"/>
        </w:rPr>
        <w:t>The</w:t>
      </w:r>
      <w:r w:rsidR="00BD7F99">
        <w:rPr>
          <w:b/>
          <w:sz w:val="24"/>
        </w:rPr>
        <w:t xml:space="preserve"> Selection of the M</w:t>
      </w:r>
      <w:r w:rsidR="00785995" w:rsidRPr="008C6A75">
        <w:rPr>
          <w:b/>
          <w:sz w:val="24"/>
        </w:rPr>
        <w:t xml:space="preserve">idpoint of </w:t>
      </w:r>
      <w:r w:rsidRPr="008C6A75">
        <w:rPr>
          <w:b/>
          <w:sz w:val="24"/>
        </w:rPr>
        <w:t>the</w:t>
      </w:r>
      <w:r w:rsidR="00BD7F99">
        <w:rPr>
          <w:b/>
          <w:sz w:val="24"/>
        </w:rPr>
        <w:t xml:space="preserve"> Range Is Reasonable Given That PSE Has Average R</w:t>
      </w:r>
      <w:r w:rsidR="00785995" w:rsidRPr="008C6A75">
        <w:rPr>
          <w:b/>
          <w:sz w:val="24"/>
        </w:rPr>
        <w:t>isk.</w:t>
      </w:r>
    </w:p>
    <w:p w14:paraId="7943881D" w14:textId="77777777" w:rsidR="008C6A75" w:rsidRPr="008C6A75" w:rsidRDefault="008C6A75" w:rsidP="008C6A75">
      <w:pPr>
        <w:rPr>
          <w:b/>
          <w:sz w:val="24"/>
        </w:rPr>
      </w:pPr>
    </w:p>
    <w:p w14:paraId="44F33F09" w14:textId="3DBA1989" w:rsidR="008C6A75" w:rsidRDefault="009C746C" w:rsidP="007A4C62">
      <w:pPr>
        <w:widowControl/>
        <w:numPr>
          <w:ilvl w:val="0"/>
          <w:numId w:val="2"/>
        </w:numPr>
        <w:spacing w:line="480" w:lineRule="auto"/>
        <w:rPr>
          <w:sz w:val="24"/>
        </w:rPr>
      </w:pPr>
      <w:r>
        <w:rPr>
          <w:sz w:val="24"/>
        </w:rPr>
        <w:tab/>
        <w:t xml:space="preserve">Industrial Customers of Northwest Utilities (ICNU) </w:t>
      </w:r>
      <w:r w:rsidR="008851AD">
        <w:rPr>
          <w:sz w:val="24"/>
        </w:rPr>
        <w:t xml:space="preserve">compares Mr. Parcell’s recommendation in the recent PacifiCorp general rate case with his recommendation in this proceeding and </w:t>
      </w:r>
      <w:r>
        <w:rPr>
          <w:sz w:val="24"/>
        </w:rPr>
        <w:t xml:space="preserve">criticizes </w:t>
      </w:r>
      <w:r w:rsidR="008851AD">
        <w:rPr>
          <w:sz w:val="24"/>
        </w:rPr>
        <w:t>his</w:t>
      </w:r>
      <w:r>
        <w:rPr>
          <w:sz w:val="24"/>
        </w:rPr>
        <w:t xml:space="preserve"> selection of the midpoint of his range as his recommended cost of equity</w:t>
      </w:r>
      <w:r w:rsidR="008851AD">
        <w:rPr>
          <w:sz w:val="24"/>
        </w:rPr>
        <w:t xml:space="preserve"> for PSE</w:t>
      </w:r>
      <w:r>
        <w:rPr>
          <w:sz w:val="24"/>
        </w:rPr>
        <w:t>.</w:t>
      </w:r>
      <w:r>
        <w:rPr>
          <w:rStyle w:val="FootnoteReference"/>
          <w:sz w:val="24"/>
        </w:rPr>
        <w:footnoteReference w:id="1"/>
      </w:r>
      <w:r w:rsidR="008851AD">
        <w:rPr>
          <w:sz w:val="24"/>
        </w:rPr>
        <w:t xml:space="preserve">  There is a distinction between the two companies, however</w:t>
      </w:r>
      <w:r w:rsidR="00CC02DB">
        <w:rPr>
          <w:sz w:val="24"/>
        </w:rPr>
        <w:t xml:space="preserve">, that ICNU </w:t>
      </w:r>
      <w:r w:rsidR="00CC02DB">
        <w:rPr>
          <w:sz w:val="24"/>
        </w:rPr>
        <w:lastRenderedPageBreak/>
        <w:t>simply glosses over:</w:t>
      </w:r>
      <w:r w:rsidR="008851AD">
        <w:rPr>
          <w:sz w:val="24"/>
        </w:rPr>
        <w:t xml:space="preserve">  PSE has average risk in the industry, while PacifiCorp enjoys significantly less risk.</w:t>
      </w:r>
      <w:r w:rsidR="00281DCB">
        <w:rPr>
          <w:sz w:val="24"/>
        </w:rPr>
        <w:t xml:space="preserve">  </w:t>
      </w:r>
    </w:p>
    <w:p w14:paraId="066A39E7" w14:textId="0E1CA5F3" w:rsidR="00281DCB" w:rsidRDefault="00281DCB" w:rsidP="00860D8D">
      <w:pPr>
        <w:numPr>
          <w:ilvl w:val="0"/>
          <w:numId w:val="2"/>
        </w:numPr>
        <w:spacing w:line="480" w:lineRule="auto"/>
        <w:rPr>
          <w:sz w:val="24"/>
        </w:rPr>
      </w:pPr>
      <w:r>
        <w:rPr>
          <w:sz w:val="24"/>
        </w:rPr>
        <w:tab/>
        <w:t>In his testimony, Mr. Parcell states, “PSE’s ratings were at or above the most common rating categories of most electric utilities in early 2013.”</w:t>
      </w:r>
      <w:r>
        <w:rPr>
          <w:rStyle w:val="FootnoteReference"/>
          <w:sz w:val="24"/>
        </w:rPr>
        <w:footnoteReference w:id="2"/>
      </w:r>
      <w:r w:rsidR="00824069">
        <w:rPr>
          <w:sz w:val="24"/>
        </w:rPr>
        <w:t xml:space="preserve">  In contrast, Mr. Parcell testified </w:t>
      </w:r>
      <w:r w:rsidR="00162B64">
        <w:rPr>
          <w:sz w:val="24"/>
        </w:rPr>
        <w:t xml:space="preserve">in the recent PacifiCorp general rate case </w:t>
      </w:r>
      <w:r w:rsidR="00824069">
        <w:rPr>
          <w:sz w:val="24"/>
        </w:rPr>
        <w:t>that PacifiCorp’s rating</w:t>
      </w:r>
      <w:r w:rsidR="00001D42">
        <w:rPr>
          <w:sz w:val="24"/>
        </w:rPr>
        <w:t>s</w:t>
      </w:r>
      <w:r w:rsidR="00824069">
        <w:rPr>
          <w:sz w:val="24"/>
        </w:rPr>
        <w:t xml:space="preserve"> “are </w:t>
      </w:r>
      <w:r w:rsidR="00824069" w:rsidRPr="00824069">
        <w:rPr>
          <w:i/>
          <w:sz w:val="24"/>
        </w:rPr>
        <w:t>above</w:t>
      </w:r>
      <w:r w:rsidR="00824069">
        <w:rPr>
          <w:sz w:val="24"/>
        </w:rPr>
        <w:t xml:space="preserve"> the common rating categories of most electric utilities.”</w:t>
      </w:r>
      <w:r w:rsidR="00824069">
        <w:rPr>
          <w:rStyle w:val="FootnoteReference"/>
          <w:sz w:val="24"/>
        </w:rPr>
        <w:footnoteReference w:id="3"/>
      </w:r>
      <w:r w:rsidR="00162B64">
        <w:rPr>
          <w:sz w:val="24"/>
        </w:rPr>
        <w:t xml:space="preserve">  </w:t>
      </w:r>
      <w:r w:rsidR="00CD2224">
        <w:rPr>
          <w:sz w:val="24"/>
        </w:rPr>
        <w:t>Mr. Parcell also points out that PSE’s common equity ratio is similar to those of electric utilities in general, which indicates similar financial risk.</w:t>
      </w:r>
      <w:r w:rsidR="00CD2224">
        <w:rPr>
          <w:rStyle w:val="FootnoteReference"/>
          <w:sz w:val="24"/>
        </w:rPr>
        <w:footnoteReference w:id="4"/>
      </w:r>
      <w:r w:rsidR="00CD2224">
        <w:rPr>
          <w:sz w:val="24"/>
        </w:rPr>
        <w:t xml:space="preserve">  </w:t>
      </w:r>
      <w:r w:rsidR="00A02905">
        <w:rPr>
          <w:sz w:val="24"/>
        </w:rPr>
        <w:t>S</w:t>
      </w:r>
      <w:r w:rsidR="00162B64">
        <w:rPr>
          <w:sz w:val="24"/>
        </w:rPr>
        <w:t xml:space="preserve">electing the midpoint of </w:t>
      </w:r>
      <w:r w:rsidR="00A02905">
        <w:rPr>
          <w:sz w:val="24"/>
        </w:rPr>
        <w:t>the</w:t>
      </w:r>
      <w:r w:rsidR="00162B64">
        <w:rPr>
          <w:sz w:val="24"/>
        </w:rPr>
        <w:t xml:space="preserve"> range in the PSE remand proceeding </w:t>
      </w:r>
      <w:r w:rsidR="00A02905">
        <w:rPr>
          <w:sz w:val="24"/>
        </w:rPr>
        <w:t>is justified, given Mr. Parcell’s conclusion that PSE has</w:t>
      </w:r>
      <w:r w:rsidR="00162B64">
        <w:rPr>
          <w:sz w:val="24"/>
        </w:rPr>
        <w:t xml:space="preserve"> average risk. </w:t>
      </w:r>
    </w:p>
    <w:p w14:paraId="5B99F240" w14:textId="7E70D286" w:rsidR="008C6A75" w:rsidRPr="008C6A75" w:rsidRDefault="00502478" w:rsidP="008C6A75">
      <w:pPr>
        <w:pStyle w:val="ListParagraph"/>
        <w:numPr>
          <w:ilvl w:val="0"/>
          <w:numId w:val="3"/>
        </w:numPr>
        <w:ind w:left="720" w:hanging="720"/>
        <w:rPr>
          <w:b/>
          <w:sz w:val="24"/>
        </w:rPr>
      </w:pPr>
      <w:r w:rsidRPr="008C6A75">
        <w:rPr>
          <w:b/>
          <w:sz w:val="24"/>
        </w:rPr>
        <w:t xml:space="preserve">Staff’s </w:t>
      </w:r>
      <w:r w:rsidR="00BD7F99">
        <w:rPr>
          <w:b/>
          <w:sz w:val="24"/>
        </w:rPr>
        <w:t>A</w:t>
      </w:r>
      <w:r w:rsidR="002C5BF6" w:rsidRPr="008C6A75">
        <w:rPr>
          <w:b/>
          <w:sz w:val="24"/>
        </w:rPr>
        <w:t xml:space="preserve">nalysis </w:t>
      </w:r>
      <w:r w:rsidR="00BD7F99">
        <w:rPr>
          <w:b/>
          <w:sz w:val="24"/>
        </w:rPr>
        <w:t>Is Appropriately Tailored to the C</w:t>
      </w:r>
      <w:r w:rsidR="00863EB0" w:rsidRPr="008C6A75">
        <w:rPr>
          <w:b/>
          <w:sz w:val="24"/>
        </w:rPr>
        <w:t>ase.</w:t>
      </w:r>
    </w:p>
    <w:p w14:paraId="42BC4DA4" w14:textId="77777777" w:rsidR="008C6A75" w:rsidRPr="008C6A75" w:rsidRDefault="008C6A75" w:rsidP="008C6A75">
      <w:pPr>
        <w:rPr>
          <w:b/>
          <w:sz w:val="24"/>
        </w:rPr>
      </w:pPr>
    </w:p>
    <w:p w14:paraId="32657E5D" w14:textId="719454B5" w:rsidR="005208C7" w:rsidRDefault="004C531F" w:rsidP="00860D8D">
      <w:pPr>
        <w:numPr>
          <w:ilvl w:val="0"/>
          <w:numId w:val="2"/>
        </w:numPr>
        <w:spacing w:line="480" w:lineRule="auto"/>
        <w:rPr>
          <w:sz w:val="24"/>
        </w:rPr>
      </w:pPr>
      <w:r>
        <w:rPr>
          <w:sz w:val="24"/>
        </w:rPr>
        <w:tab/>
      </w:r>
      <w:r w:rsidR="005208C7">
        <w:rPr>
          <w:sz w:val="24"/>
        </w:rPr>
        <w:t>Staff’s testimony is tailored to this proceeding, which is a remand of one p</w:t>
      </w:r>
      <w:r w:rsidR="004F3234">
        <w:rPr>
          <w:sz w:val="24"/>
        </w:rPr>
        <w:t xml:space="preserve">articular issue, the determination of PSE’s cost of equity.  </w:t>
      </w:r>
      <w:r w:rsidR="000C4164">
        <w:rPr>
          <w:sz w:val="24"/>
        </w:rPr>
        <w:t xml:space="preserve">Public Counsel criticizes Mr. Parcell’s testimony on the grounds that it is not “consistent” with his testimony in the PacifiCorp </w:t>
      </w:r>
      <w:r w:rsidR="009D7BFF">
        <w:rPr>
          <w:sz w:val="24"/>
        </w:rPr>
        <w:t xml:space="preserve">general </w:t>
      </w:r>
      <w:r w:rsidR="000C4164">
        <w:rPr>
          <w:sz w:val="24"/>
        </w:rPr>
        <w:t>rate case.</w:t>
      </w:r>
      <w:r w:rsidR="002B4287">
        <w:rPr>
          <w:rStyle w:val="FootnoteReference"/>
          <w:sz w:val="24"/>
        </w:rPr>
        <w:footnoteReference w:id="5"/>
      </w:r>
      <w:r w:rsidR="000C4164">
        <w:rPr>
          <w:sz w:val="24"/>
        </w:rPr>
        <w:t xml:space="preserve"> </w:t>
      </w:r>
      <w:r w:rsidR="009D7BFF">
        <w:rPr>
          <w:sz w:val="24"/>
        </w:rPr>
        <w:t xml:space="preserve"> </w:t>
      </w:r>
      <w:r w:rsidR="000C4164">
        <w:rPr>
          <w:sz w:val="24"/>
        </w:rPr>
        <w:t>Specifically, Public Counsel takes issue with Mr. Parcell’s range</w:t>
      </w:r>
      <w:r w:rsidR="002B4287">
        <w:rPr>
          <w:sz w:val="24"/>
        </w:rPr>
        <w:t xml:space="preserve"> because it </w:t>
      </w:r>
      <w:r w:rsidR="00410281">
        <w:rPr>
          <w:sz w:val="24"/>
        </w:rPr>
        <w:t>differs</w:t>
      </w:r>
      <w:r w:rsidR="002B4287">
        <w:rPr>
          <w:sz w:val="24"/>
        </w:rPr>
        <w:t xml:space="preserve"> from the scope of the range Mr. Parcell recommended in the PacifiCorp general rate case.</w:t>
      </w:r>
      <w:r w:rsidR="002B4287">
        <w:rPr>
          <w:rStyle w:val="FootnoteReference"/>
          <w:sz w:val="24"/>
        </w:rPr>
        <w:footnoteReference w:id="6"/>
      </w:r>
      <w:r w:rsidR="009D7BFF">
        <w:rPr>
          <w:sz w:val="24"/>
        </w:rPr>
        <w:t xml:space="preserve">  Public Counsel essentially argues that Mr. Parcell’s testimony should be discounted because Mr. Parcell adapted his testimony to </w:t>
      </w:r>
      <w:r w:rsidR="00410281">
        <w:rPr>
          <w:sz w:val="24"/>
        </w:rPr>
        <w:t>this</w:t>
      </w:r>
      <w:r w:rsidR="009D7BFF">
        <w:rPr>
          <w:sz w:val="24"/>
        </w:rPr>
        <w:t xml:space="preserve"> particular proceeding.</w:t>
      </w:r>
      <w:r w:rsidR="00587C75">
        <w:rPr>
          <w:sz w:val="24"/>
        </w:rPr>
        <w:t xml:space="preserve">  Finally, Public Counsel implies that Mr. Parcell’s testimony is not </w:t>
      </w:r>
      <w:r w:rsidR="009308D6">
        <w:rPr>
          <w:sz w:val="24"/>
        </w:rPr>
        <w:t>objective</w:t>
      </w:r>
      <w:r w:rsidR="00587C75">
        <w:rPr>
          <w:sz w:val="24"/>
        </w:rPr>
        <w:t>.</w:t>
      </w:r>
      <w:r w:rsidR="00587C75">
        <w:rPr>
          <w:rStyle w:val="FootnoteReference"/>
          <w:sz w:val="24"/>
        </w:rPr>
        <w:footnoteReference w:id="7"/>
      </w:r>
    </w:p>
    <w:p w14:paraId="1A6E08B3" w14:textId="35B3C897" w:rsidR="00587C75" w:rsidRDefault="00587C75" w:rsidP="00860D8D">
      <w:pPr>
        <w:numPr>
          <w:ilvl w:val="0"/>
          <w:numId w:val="2"/>
        </w:numPr>
        <w:spacing w:line="480" w:lineRule="auto"/>
        <w:rPr>
          <w:sz w:val="24"/>
        </w:rPr>
      </w:pPr>
      <w:r>
        <w:rPr>
          <w:sz w:val="24"/>
        </w:rPr>
        <w:tab/>
        <w:t>Public Counsel</w:t>
      </w:r>
      <w:r w:rsidR="00880614">
        <w:rPr>
          <w:sz w:val="24"/>
        </w:rPr>
        <w:t>’s argu</w:t>
      </w:r>
      <w:r w:rsidR="00F2277B">
        <w:rPr>
          <w:sz w:val="24"/>
        </w:rPr>
        <w:t xml:space="preserve">ment is specious given that counsel for ICNU </w:t>
      </w:r>
      <w:r w:rsidR="00880614">
        <w:rPr>
          <w:sz w:val="24"/>
        </w:rPr>
        <w:t xml:space="preserve">cross examined Mr. Parcell at hearing exactly </w:t>
      </w:r>
      <w:r w:rsidR="00282C7C">
        <w:rPr>
          <w:sz w:val="24"/>
        </w:rPr>
        <w:t xml:space="preserve">on </w:t>
      </w:r>
      <w:r w:rsidR="00410281">
        <w:rPr>
          <w:sz w:val="24"/>
        </w:rPr>
        <w:t xml:space="preserve">the topic of his range of reasonableness in the two </w:t>
      </w:r>
      <w:r w:rsidR="00410281">
        <w:rPr>
          <w:sz w:val="24"/>
        </w:rPr>
        <w:lastRenderedPageBreak/>
        <w:t>proceedings</w:t>
      </w:r>
      <w:r w:rsidR="00880614">
        <w:rPr>
          <w:sz w:val="24"/>
        </w:rPr>
        <w:t xml:space="preserve">, and </w:t>
      </w:r>
      <w:r w:rsidR="00282C7C">
        <w:rPr>
          <w:sz w:val="24"/>
        </w:rPr>
        <w:t xml:space="preserve">Mr. Parcell </w:t>
      </w:r>
      <w:r w:rsidR="00410281">
        <w:rPr>
          <w:sz w:val="24"/>
        </w:rPr>
        <w:t>fully</w:t>
      </w:r>
      <w:r w:rsidR="00282C7C">
        <w:rPr>
          <w:sz w:val="24"/>
        </w:rPr>
        <w:t xml:space="preserve"> addressed </w:t>
      </w:r>
      <w:r w:rsidR="00410281">
        <w:rPr>
          <w:sz w:val="24"/>
        </w:rPr>
        <w:t>that issue</w:t>
      </w:r>
      <w:r w:rsidR="00880614">
        <w:rPr>
          <w:sz w:val="24"/>
        </w:rPr>
        <w:t xml:space="preserve"> on the stand.</w:t>
      </w:r>
      <w:r w:rsidR="008F2F9D">
        <w:rPr>
          <w:sz w:val="24"/>
        </w:rPr>
        <w:t xml:space="preserve"> At hearing, Mr. Parcell </w:t>
      </w:r>
      <w:r w:rsidR="00455C37">
        <w:rPr>
          <w:sz w:val="24"/>
        </w:rPr>
        <w:t>testified</w:t>
      </w:r>
      <w:r w:rsidR="008F2F9D">
        <w:rPr>
          <w:sz w:val="24"/>
        </w:rPr>
        <w:t xml:space="preserve"> that he carefully considered the remand </w:t>
      </w:r>
      <w:r w:rsidR="00F2277B">
        <w:rPr>
          <w:sz w:val="24"/>
        </w:rPr>
        <w:t>directions provided in Order 10</w:t>
      </w:r>
      <w:r w:rsidR="00C029A8">
        <w:rPr>
          <w:sz w:val="24"/>
        </w:rPr>
        <w:t>,</w:t>
      </w:r>
      <w:r w:rsidR="00F2277B">
        <w:rPr>
          <w:sz w:val="24"/>
        </w:rPr>
        <w:t xml:space="preserve"> and </w:t>
      </w:r>
      <w:r w:rsidR="00C029A8">
        <w:rPr>
          <w:sz w:val="24"/>
        </w:rPr>
        <w:t>he expounded on</w:t>
      </w:r>
      <w:r w:rsidR="00F2277B">
        <w:rPr>
          <w:sz w:val="24"/>
        </w:rPr>
        <w:t xml:space="preserve"> </w:t>
      </w:r>
      <w:r w:rsidR="00C029A8">
        <w:rPr>
          <w:sz w:val="24"/>
        </w:rPr>
        <w:t>how he applied his considerations</w:t>
      </w:r>
      <w:r w:rsidR="008F2F9D">
        <w:rPr>
          <w:sz w:val="24"/>
        </w:rPr>
        <w:t xml:space="preserve"> from the order</w:t>
      </w:r>
      <w:r w:rsidR="00C029A8">
        <w:rPr>
          <w:sz w:val="24"/>
        </w:rPr>
        <w:t xml:space="preserve"> to his analysis</w:t>
      </w:r>
      <w:r w:rsidR="008F2F9D">
        <w:rPr>
          <w:sz w:val="24"/>
        </w:rPr>
        <w:t>.</w:t>
      </w:r>
      <w:r w:rsidR="00F2277B">
        <w:rPr>
          <w:rStyle w:val="FootnoteReference"/>
          <w:sz w:val="24"/>
        </w:rPr>
        <w:footnoteReference w:id="8"/>
      </w:r>
      <w:r w:rsidR="008F2F9D">
        <w:rPr>
          <w:sz w:val="24"/>
        </w:rPr>
        <w:t xml:space="preserve">  </w:t>
      </w:r>
      <w:r w:rsidR="00455C37">
        <w:rPr>
          <w:sz w:val="24"/>
        </w:rPr>
        <w:t>Accordingly, Mr. Parcell explained, “I also believe that I have an obligation as a Staff witness, almost in a policy context, to tell the commission what their options would be at that point in time. . . [a]nd. . .that’s why I acknowledged that I’m not recommending 9.8, but it did fall within my zone of reasonableness.”</w:t>
      </w:r>
      <w:r w:rsidR="00455C37">
        <w:rPr>
          <w:rStyle w:val="FootnoteReference"/>
          <w:sz w:val="24"/>
        </w:rPr>
        <w:footnoteReference w:id="9"/>
      </w:r>
      <w:r w:rsidR="00455C37">
        <w:rPr>
          <w:sz w:val="24"/>
        </w:rPr>
        <w:t xml:space="preserve">  </w:t>
      </w:r>
      <w:r w:rsidR="008F2F9D">
        <w:rPr>
          <w:sz w:val="24"/>
        </w:rPr>
        <w:t>It is empty rhetoric on Public Counsel’s part to claim that, because, in Public Counsel’s view, Mr. P</w:t>
      </w:r>
      <w:r w:rsidR="00410281">
        <w:rPr>
          <w:sz w:val="24"/>
        </w:rPr>
        <w:t>arcell did something different</w:t>
      </w:r>
      <w:r w:rsidR="008F2F9D">
        <w:rPr>
          <w:sz w:val="24"/>
        </w:rPr>
        <w:t xml:space="preserve"> fro</w:t>
      </w:r>
      <w:r w:rsidR="00410281">
        <w:rPr>
          <w:sz w:val="24"/>
        </w:rPr>
        <w:t>m Public Counsel and different</w:t>
      </w:r>
      <w:r w:rsidR="008F2F9D">
        <w:rPr>
          <w:sz w:val="24"/>
        </w:rPr>
        <w:t xml:space="preserve"> from the PacifiCorp case, the Commission should not rely on it.  Public Counsel would have the Commission elevate a </w:t>
      </w:r>
      <w:r w:rsidR="00410281">
        <w:rPr>
          <w:sz w:val="24"/>
        </w:rPr>
        <w:t>“</w:t>
      </w:r>
      <w:r w:rsidR="008F2F9D">
        <w:rPr>
          <w:sz w:val="24"/>
        </w:rPr>
        <w:t>foolish consistency</w:t>
      </w:r>
      <w:r w:rsidR="00410281">
        <w:rPr>
          <w:sz w:val="24"/>
        </w:rPr>
        <w:t>”</w:t>
      </w:r>
      <w:r w:rsidR="008F2F9D">
        <w:rPr>
          <w:sz w:val="24"/>
        </w:rPr>
        <w:t xml:space="preserve"> above analysis tailored </w:t>
      </w:r>
      <w:r w:rsidR="00E2549C">
        <w:rPr>
          <w:sz w:val="24"/>
        </w:rPr>
        <w:t xml:space="preserve">thoughtfully </w:t>
      </w:r>
      <w:r w:rsidR="008F2F9D">
        <w:rPr>
          <w:sz w:val="24"/>
        </w:rPr>
        <w:t>to</w:t>
      </w:r>
      <w:r w:rsidR="005F6460">
        <w:rPr>
          <w:sz w:val="24"/>
        </w:rPr>
        <w:t xml:space="preserve"> the circumstances of this</w:t>
      </w:r>
      <w:r w:rsidR="008F2F9D">
        <w:rPr>
          <w:sz w:val="24"/>
        </w:rPr>
        <w:t xml:space="preserve"> particular proceeding</w:t>
      </w:r>
      <w:r w:rsidR="00C55ECE">
        <w:rPr>
          <w:sz w:val="24"/>
        </w:rPr>
        <w:t>.</w:t>
      </w:r>
    </w:p>
    <w:p w14:paraId="493A5ECD" w14:textId="3A8C32D9" w:rsidR="00636FFB" w:rsidRPr="008C6A75" w:rsidRDefault="00502478" w:rsidP="008C6A75">
      <w:pPr>
        <w:pStyle w:val="ListParagraph"/>
        <w:numPr>
          <w:ilvl w:val="0"/>
          <w:numId w:val="3"/>
        </w:numPr>
        <w:ind w:left="720" w:hanging="720"/>
        <w:rPr>
          <w:b/>
          <w:sz w:val="24"/>
        </w:rPr>
      </w:pPr>
      <w:r w:rsidRPr="008C6A75">
        <w:rPr>
          <w:b/>
          <w:sz w:val="24"/>
        </w:rPr>
        <w:t>The Commission Can Have Confidence in Staff’s Range</w:t>
      </w:r>
      <w:r w:rsidR="00D1527D">
        <w:rPr>
          <w:b/>
          <w:sz w:val="24"/>
        </w:rPr>
        <w:t>.</w:t>
      </w:r>
    </w:p>
    <w:p w14:paraId="7B41F6B7" w14:textId="77777777" w:rsidR="008C6A75" w:rsidRPr="008C6A75" w:rsidRDefault="008C6A75" w:rsidP="008C6A75">
      <w:pPr>
        <w:rPr>
          <w:sz w:val="24"/>
        </w:rPr>
      </w:pPr>
    </w:p>
    <w:p w14:paraId="4715F21D" w14:textId="0C90D82A" w:rsidR="00B525DE" w:rsidRDefault="00636FFB" w:rsidP="00860D8D">
      <w:pPr>
        <w:numPr>
          <w:ilvl w:val="0"/>
          <w:numId w:val="2"/>
        </w:numPr>
        <w:spacing w:line="480" w:lineRule="auto"/>
        <w:rPr>
          <w:sz w:val="24"/>
        </w:rPr>
      </w:pPr>
      <w:r>
        <w:rPr>
          <w:sz w:val="24"/>
        </w:rPr>
        <w:tab/>
        <w:t xml:space="preserve">Mr. Parcell’s results represent an independent determination of the reasonable range of equity returns </w:t>
      </w:r>
      <w:r w:rsidR="00934152">
        <w:rPr>
          <w:sz w:val="24"/>
        </w:rPr>
        <w:t xml:space="preserve">for PSE </w:t>
      </w:r>
      <w:r w:rsidR="005E0809">
        <w:rPr>
          <w:sz w:val="24"/>
        </w:rPr>
        <w:t xml:space="preserve">at the relevant time.  In his expert judgment, the range of reasonable equity returns for PSE in early 2013 extended from 9.0 to 10.0 percent.  </w:t>
      </w:r>
      <w:r w:rsidR="002977AB">
        <w:rPr>
          <w:sz w:val="24"/>
        </w:rPr>
        <w:t xml:space="preserve">Public Counsel criticizes Mr. Parcell’s exclusion of his </w:t>
      </w:r>
      <w:r w:rsidR="009479C1">
        <w:rPr>
          <w:sz w:val="24"/>
        </w:rPr>
        <w:t>Capital Asset Pricing Model (</w:t>
      </w:r>
      <w:r w:rsidR="002977AB">
        <w:rPr>
          <w:sz w:val="24"/>
        </w:rPr>
        <w:t>CAPM</w:t>
      </w:r>
      <w:r w:rsidR="009479C1">
        <w:rPr>
          <w:sz w:val="24"/>
        </w:rPr>
        <w:t>)</w:t>
      </w:r>
      <w:r w:rsidR="002977AB">
        <w:rPr>
          <w:sz w:val="24"/>
        </w:rPr>
        <w:t xml:space="preserve"> results from his range.</w:t>
      </w:r>
      <w:r w:rsidR="002977AB">
        <w:rPr>
          <w:rStyle w:val="FootnoteReference"/>
          <w:sz w:val="24"/>
        </w:rPr>
        <w:footnoteReference w:id="10"/>
      </w:r>
      <w:r w:rsidR="002977AB">
        <w:rPr>
          <w:sz w:val="24"/>
        </w:rPr>
        <w:t xml:space="preserve">  </w:t>
      </w:r>
      <w:r w:rsidR="00B525DE">
        <w:rPr>
          <w:sz w:val="24"/>
        </w:rPr>
        <w:t>As Mr. Parcell explained, however, in answer to questioning from Commission</w:t>
      </w:r>
      <w:r w:rsidR="00D1154E">
        <w:rPr>
          <w:sz w:val="24"/>
        </w:rPr>
        <w:t>er</w:t>
      </w:r>
      <w:r w:rsidR="00B525DE">
        <w:rPr>
          <w:sz w:val="24"/>
        </w:rPr>
        <w:t xml:space="preserve"> Jones regarding the weight to be accorded to the various methodologies,</w:t>
      </w:r>
      <w:r w:rsidR="009479C1">
        <w:rPr>
          <w:sz w:val="24"/>
        </w:rPr>
        <w:t xml:space="preserve"> specifically CAPM and Risk Premium,</w:t>
      </w:r>
      <w:r w:rsidR="00B525DE">
        <w:rPr>
          <w:sz w:val="24"/>
        </w:rPr>
        <w:t xml:space="preserve"> the analyst can accord weight to the results he considers to be reasonable:</w:t>
      </w:r>
    </w:p>
    <w:p w14:paraId="11B0C945" w14:textId="39F8183B" w:rsidR="00B525DE" w:rsidRDefault="00B525DE" w:rsidP="00CF1A74">
      <w:pPr>
        <w:pStyle w:val="PlainText"/>
        <w:ind w:left="720"/>
        <w:rPr>
          <w:rFonts w:ascii="Times New Roman" w:hAnsi="Times New Roman" w:cs="Times New Roman"/>
          <w:sz w:val="24"/>
          <w:szCs w:val="24"/>
        </w:rPr>
      </w:pPr>
      <w:r w:rsidRPr="00B525DE">
        <w:rPr>
          <w:rFonts w:ascii="Times New Roman" w:hAnsi="Times New Roman" w:cs="Times New Roman"/>
          <w:sz w:val="24"/>
          <w:szCs w:val="24"/>
        </w:rPr>
        <w:t>I have for a long, long time used three methodologies.  And in some cases, I've used all three for my recommendation.</w:t>
      </w:r>
      <w:r>
        <w:rPr>
          <w:rFonts w:ascii="Times New Roman" w:hAnsi="Times New Roman" w:cs="Times New Roman"/>
          <w:sz w:val="24"/>
          <w:szCs w:val="24"/>
        </w:rPr>
        <w:t xml:space="preserve">  […]  </w:t>
      </w:r>
      <w:r w:rsidRPr="00B525DE">
        <w:rPr>
          <w:rFonts w:ascii="Times New Roman" w:hAnsi="Times New Roman" w:cs="Times New Roman"/>
          <w:sz w:val="24"/>
          <w:szCs w:val="24"/>
        </w:rPr>
        <w:t xml:space="preserve">But if this is an outlier, like I have right now, I use two.  And that's the beauty of having three, to see if there is an outlier.  So that's </w:t>
      </w:r>
      <w:r w:rsidRPr="00B525DE">
        <w:rPr>
          <w:rFonts w:ascii="Times New Roman" w:hAnsi="Times New Roman" w:cs="Times New Roman"/>
          <w:sz w:val="24"/>
          <w:szCs w:val="24"/>
        </w:rPr>
        <w:lastRenderedPageBreak/>
        <w:t>why I think it's useful to have more than two, but you don't have to give equal weight to all of them.</w:t>
      </w:r>
      <w:r w:rsidR="00CF1A74">
        <w:rPr>
          <w:rStyle w:val="FootnoteReference"/>
          <w:rFonts w:ascii="Times New Roman" w:hAnsi="Times New Roman" w:cs="Times New Roman"/>
          <w:sz w:val="24"/>
          <w:szCs w:val="24"/>
        </w:rPr>
        <w:footnoteReference w:id="11"/>
      </w:r>
    </w:p>
    <w:p w14:paraId="28EA2772" w14:textId="77777777" w:rsidR="00CF1A74" w:rsidRPr="00B525DE" w:rsidRDefault="00CF1A74" w:rsidP="00CF1A74">
      <w:pPr>
        <w:pStyle w:val="PlainText"/>
        <w:ind w:left="720"/>
        <w:rPr>
          <w:rFonts w:ascii="Times New Roman" w:hAnsi="Times New Roman" w:cs="Times New Roman"/>
          <w:sz w:val="24"/>
          <w:szCs w:val="24"/>
        </w:rPr>
      </w:pPr>
    </w:p>
    <w:p w14:paraId="26D5B051" w14:textId="08B8D6A0" w:rsidR="00D1154E" w:rsidRDefault="007A4C62" w:rsidP="00860D8D">
      <w:pPr>
        <w:numPr>
          <w:ilvl w:val="0"/>
          <w:numId w:val="2"/>
        </w:numPr>
        <w:spacing w:line="480" w:lineRule="auto"/>
        <w:rPr>
          <w:sz w:val="24"/>
        </w:rPr>
      </w:pPr>
      <w:r>
        <w:rPr>
          <w:sz w:val="24"/>
        </w:rPr>
        <w:tab/>
      </w:r>
      <w:r w:rsidR="009479C1">
        <w:rPr>
          <w:sz w:val="24"/>
        </w:rPr>
        <w:t xml:space="preserve">Mr. Parcell’s three methodologies are DCF, CAPM, and CE.  </w:t>
      </w:r>
      <w:r w:rsidR="00856995">
        <w:rPr>
          <w:sz w:val="24"/>
        </w:rPr>
        <w:t>His analysis under these methodologies produce</w:t>
      </w:r>
      <w:r w:rsidR="009A12E4">
        <w:rPr>
          <w:sz w:val="24"/>
        </w:rPr>
        <w:t>s</w:t>
      </w:r>
      <w:r w:rsidR="00856995">
        <w:rPr>
          <w:sz w:val="24"/>
        </w:rPr>
        <w:t xml:space="preserve"> results of 9.1 to 9.7 percent for DCF; 6.5 to 6.8 percent for CAPM; and 9.0 to 10.0 for CE.</w:t>
      </w:r>
      <w:r w:rsidR="00856995">
        <w:rPr>
          <w:rStyle w:val="FootnoteReference"/>
          <w:sz w:val="24"/>
        </w:rPr>
        <w:footnoteReference w:id="12"/>
      </w:r>
      <w:r w:rsidR="00856995">
        <w:rPr>
          <w:sz w:val="24"/>
        </w:rPr>
        <w:t xml:space="preserve">  </w:t>
      </w:r>
      <w:r w:rsidR="009479C1">
        <w:rPr>
          <w:sz w:val="24"/>
        </w:rPr>
        <w:t>In his results, CAPM is an outlier, and accordingly his recommendation focuses on his DCF and CE results.</w:t>
      </w:r>
    </w:p>
    <w:p w14:paraId="1FE22C1D" w14:textId="05BE8A58" w:rsidR="009C746C" w:rsidRDefault="00E21268" w:rsidP="00860D8D">
      <w:pPr>
        <w:numPr>
          <w:ilvl w:val="0"/>
          <w:numId w:val="2"/>
        </w:numPr>
        <w:spacing w:line="480" w:lineRule="auto"/>
        <w:rPr>
          <w:sz w:val="24"/>
        </w:rPr>
      </w:pPr>
      <w:r>
        <w:rPr>
          <w:sz w:val="24"/>
        </w:rPr>
        <w:tab/>
      </w:r>
      <w:r w:rsidR="002977AB">
        <w:rPr>
          <w:sz w:val="24"/>
        </w:rPr>
        <w:t xml:space="preserve">Public Counsel </w:t>
      </w:r>
      <w:r w:rsidR="00231A4D">
        <w:rPr>
          <w:sz w:val="24"/>
        </w:rPr>
        <w:t>and ICNU take</w:t>
      </w:r>
      <w:r w:rsidR="002977AB">
        <w:rPr>
          <w:sz w:val="24"/>
        </w:rPr>
        <w:t xml:space="preserve"> issue with Mr. Parcell’s </w:t>
      </w:r>
      <w:r w:rsidR="0024464E">
        <w:rPr>
          <w:sz w:val="24"/>
        </w:rPr>
        <w:t xml:space="preserve">focus on the highest DCF rates to develop his </w:t>
      </w:r>
      <w:r w:rsidR="002977AB">
        <w:rPr>
          <w:sz w:val="24"/>
        </w:rPr>
        <w:t xml:space="preserve">Discounted Cash Flow (DCF) </w:t>
      </w:r>
      <w:r w:rsidR="00E2549C">
        <w:rPr>
          <w:sz w:val="24"/>
        </w:rPr>
        <w:t>results</w:t>
      </w:r>
      <w:r w:rsidR="00B662DA">
        <w:rPr>
          <w:sz w:val="24"/>
        </w:rPr>
        <w:t>.</w:t>
      </w:r>
      <w:r w:rsidR="0024464E">
        <w:rPr>
          <w:rStyle w:val="FootnoteReference"/>
          <w:sz w:val="24"/>
        </w:rPr>
        <w:footnoteReference w:id="13"/>
      </w:r>
      <w:r w:rsidR="00B662DA">
        <w:rPr>
          <w:sz w:val="24"/>
        </w:rPr>
        <w:t xml:space="preserve">  </w:t>
      </w:r>
      <w:r w:rsidR="00E1483E">
        <w:rPr>
          <w:sz w:val="24"/>
        </w:rPr>
        <w:t xml:space="preserve">As </w:t>
      </w:r>
      <w:r w:rsidR="00B662DA">
        <w:rPr>
          <w:sz w:val="24"/>
        </w:rPr>
        <w:t xml:space="preserve">Mr. Parcell </w:t>
      </w:r>
      <w:r w:rsidR="00E1483E">
        <w:rPr>
          <w:sz w:val="24"/>
        </w:rPr>
        <w:t xml:space="preserve">testified, however, he believes </w:t>
      </w:r>
      <w:r w:rsidR="0024464E">
        <w:rPr>
          <w:sz w:val="24"/>
        </w:rPr>
        <w:t>that it is</w:t>
      </w:r>
      <w:r w:rsidR="00B662DA">
        <w:rPr>
          <w:sz w:val="24"/>
        </w:rPr>
        <w:t xml:space="preserve"> appropriate to focus on the highest DCF results.</w:t>
      </w:r>
      <w:r w:rsidR="00B662DA">
        <w:rPr>
          <w:rStyle w:val="FootnoteReference"/>
          <w:sz w:val="24"/>
        </w:rPr>
        <w:footnoteReference w:id="14"/>
      </w:r>
      <w:r w:rsidR="00B662DA">
        <w:rPr>
          <w:sz w:val="24"/>
        </w:rPr>
        <w:t xml:space="preserve">  </w:t>
      </w:r>
      <w:r w:rsidR="009D4830">
        <w:rPr>
          <w:sz w:val="24"/>
        </w:rPr>
        <w:t xml:space="preserve">This is a situation in which various experts review the same or similar data and </w:t>
      </w:r>
      <w:r w:rsidR="001636BB">
        <w:rPr>
          <w:sz w:val="24"/>
        </w:rPr>
        <w:t>derive</w:t>
      </w:r>
      <w:r w:rsidR="009D4830">
        <w:rPr>
          <w:sz w:val="24"/>
        </w:rPr>
        <w:t xml:space="preserve"> different conclusions.  </w:t>
      </w:r>
      <w:r w:rsidR="0024464E">
        <w:rPr>
          <w:sz w:val="24"/>
        </w:rPr>
        <w:t xml:space="preserve">In Mr. Parcell’s </w:t>
      </w:r>
      <w:r w:rsidR="00B15F13">
        <w:rPr>
          <w:sz w:val="24"/>
        </w:rPr>
        <w:t xml:space="preserve">recent </w:t>
      </w:r>
      <w:r w:rsidR="0024464E">
        <w:rPr>
          <w:sz w:val="24"/>
        </w:rPr>
        <w:t>PacifiCorp testimony, he also focusses on the highest DCF results, but neither Public Counsel nor ICNU mentions this</w:t>
      </w:r>
      <w:r w:rsidR="00E1483E">
        <w:rPr>
          <w:sz w:val="24"/>
        </w:rPr>
        <w:t xml:space="preserve"> in their briefing</w:t>
      </w:r>
      <w:r w:rsidR="0024464E">
        <w:rPr>
          <w:sz w:val="24"/>
        </w:rPr>
        <w:t>.</w:t>
      </w:r>
      <w:r w:rsidR="0024464E">
        <w:rPr>
          <w:rStyle w:val="FootnoteReference"/>
          <w:sz w:val="24"/>
        </w:rPr>
        <w:footnoteReference w:id="15"/>
      </w:r>
      <w:r w:rsidR="0024464E">
        <w:rPr>
          <w:sz w:val="24"/>
        </w:rPr>
        <w:t xml:space="preserve">  </w:t>
      </w:r>
      <w:r w:rsidR="00C96090">
        <w:rPr>
          <w:sz w:val="24"/>
        </w:rPr>
        <w:t>This indicates that, essentially</w:t>
      </w:r>
      <w:r w:rsidR="00B662DA">
        <w:rPr>
          <w:sz w:val="24"/>
        </w:rPr>
        <w:t xml:space="preserve">, Public Counsel and ICNU </w:t>
      </w:r>
      <w:r w:rsidR="009D4830">
        <w:rPr>
          <w:sz w:val="24"/>
        </w:rPr>
        <w:t>disagree with</w:t>
      </w:r>
      <w:r w:rsidR="00B662DA">
        <w:rPr>
          <w:sz w:val="24"/>
        </w:rPr>
        <w:t xml:space="preserve"> Mr. Parcell’s </w:t>
      </w:r>
      <w:r w:rsidR="00B75534">
        <w:rPr>
          <w:sz w:val="24"/>
        </w:rPr>
        <w:t xml:space="preserve">DCF </w:t>
      </w:r>
      <w:r w:rsidR="009D4830">
        <w:rPr>
          <w:sz w:val="24"/>
        </w:rPr>
        <w:t>numbers, which happen to be higher than those of Public Counsel and ICNU</w:t>
      </w:r>
      <w:r w:rsidR="0024464E">
        <w:rPr>
          <w:sz w:val="24"/>
        </w:rPr>
        <w:t xml:space="preserve"> in this proceeding</w:t>
      </w:r>
      <w:r w:rsidR="00B662DA">
        <w:rPr>
          <w:sz w:val="24"/>
        </w:rPr>
        <w:t>.</w:t>
      </w:r>
    </w:p>
    <w:p w14:paraId="1F55B3CE" w14:textId="7C172035" w:rsidR="00910EB9" w:rsidRDefault="0091680C" w:rsidP="00860D8D">
      <w:pPr>
        <w:numPr>
          <w:ilvl w:val="0"/>
          <w:numId w:val="2"/>
        </w:numPr>
        <w:spacing w:line="480" w:lineRule="auto"/>
        <w:rPr>
          <w:sz w:val="24"/>
        </w:rPr>
      </w:pPr>
      <w:r>
        <w:rPr>
          <w:sz w:val="24"/>
        </w:rPr>
        <w:tab/>
      </w:r>
      <w:r w:rsidR="003B6525">
        <w:rPr>
          <w:sz w:val="24"/>
        </w:rPr>
        <w:t xml:space="preserve">Public Counsel and ICNU also criticize Mr. Parcell’s </w:t>
      </w:r>
      <w:r w:rsidR="0024464E">
        <w:rPr>
          <w:sz w:val="24"/>
        </w:rPr>
        <w:t xml:space="preserve">Comparable Earnings (CE) </w:t>
      </w:r>
      <w:r w:rsidR="003B6525">
        <w:rPr>
          <w:sz w:val="24"/>
        </w:rPr>
        <w:t>analysis</w:t>
      </w:r>
      <w:r w:rsidR="0024464E">
        <w:rPr>
          <w:sz w:val="24"/>
        </w:rPr>
        <w:t>.</w:t>
      </w:r>
      <w:r w:rsidR="008848DF">
        <w:rPr>
          <w:sz w:val="24"/>
        </w:rPr>
        <w:t xml:space="preserve">  </w:t>
      </w:r>
      <w:r w:rsidR="00B744FF">
        <w:rPr>
          <w:sz w:val="24"/>
        </w:rPr>
        <w:t>As Mr. Parcell explains, the CE method is derived from the corresponding risk</w:t>
      </w:r>
      <w:r w:rsidR="00B94C54">
        <w:rPr>
          <w:sz w:val="24"/>
        </w:rPr>
        <w:t xml:space="preserve"> </w:t>
      </w:r>
      <w:r w:rsidR="00B744FF">
        <w:rPr>
          <w:sz w:val="24"/>
        </w:rPr>
        <w:t xml:space="preserve">concept discussed in the </w:t>
      </w:r>
      <w:r w:rsidR="00B744FF">
        <w:rPr>
          <w:i/>
          <w:sz w:val="24"/>
        </w:rPr>
        <w:t xml:space="preserve">Hope </w:t>
      </w:r>
      <w:r w:rsidR="00B744FF">
        <w:rPr>
          <w:sz w:val="24"/>
        </w:rPr>
        <w:t xml:space="preserve">and </w:t>
      </w:r>
      <w:r w:rsidR="00B744FF">
        <w:rPr>
          <w:i/>
          <w:sz w:val="24"/>
        </w:rPr>
        <w:t xml:space="preserve">Bluefield </w:t>
      </w:r>
      <w:r w:rsidR="00B744FF">
        <w:rPr>
          <w:sz w:val="24"/>
        </w:rPr>
        <w:t>cases.</w:t>
      </w:r>
      <w:r w:rsidR="00B744FF">
        <w:rPr>
          <w:rStyle w:val="FootnoteReference"/>
          <w:sz w:val="24"/>
        </w:rPr>
        <w:footnoteReference w:id="16"/>
      </w:r>
      <w:r w:rsidR="00B744FF">
        <w:rPr>
          <w:sz w:val="24"/>
        </w:rPr>
        <w:t xml:space="preserve">  Mr. Parcell’s analysis under this method considers the experienced equity returns, the prospective returns, and the market-to-book ratio of the utilities in the proxy groups</w:t>
      </w:r>
      <w:r w:rsidR="00B94C54">
        <w:rPr>
          <w:sz w:val="24"/>
        </w:rPr>
        <w:t xml:space="preserve"> to</w:t>
      </w:r>
      <w:r w:rsidR="009203C1">
        <w:rPr>
          <w:sz w:val="24"/>
        </w:rPr>
        <w:t xml:space="preserve"> derive the opportunity cost of investing in </w:t>
      </w:r>
      <w:r w:rsidR="009203C1">
        <w:rPr>
          <w:sz w:val="24"/>
        </w:rPr>
        <w:lastRenderedPageBreak/>
        <w:t>alternative investments of similar risk.</w:t>
      </w:r>
      <w:r w:rsidR="009D0C7C">
        <w:rPr>
          <w:rStyle w:val="FootnoteReference"/>
          <w:sz w:val="24"/>
        </w:rPr>
        <w:footnoteReference w:id="17"/>
      </w:r>
      <w:r w:rsidR="00910EB9">
        <w:rPr>
          <w:sz w:val="24"/>
        </w:rPr>
        <w:t xml:space="preserve">  </w:t>
      </w:r>
      <w:r w:rsidR="00B94C54">
        <w:rPr>
          <w:sz w:val="24"/>
        </w:rPr>
        <w:t>Considering each of these elements, Mr. Parcell’s results under the CE methodology r</w:t>
      </w:r>
      <w:r w:rsidR="00270F44">
        <w:rPr>
          <w:sz w:val="24"/>
        </w:rPr>
        <w:t>ange</w:t>
      </w:r>
      <w:r w:rsidR="00B94C54">
        <w:rPr>
          <w:sz w:val="24"/>
        </w:rPr>
        <w:t xml:space="preserve"> from 8.3 percent </w:t>
      </w:r>
      <w:r w:rsidR="006F0569">
        <w:rPr>
          <w:sz w:val="24"/>
        </w:rPr>
        <w:t>to 10.3 percent applying historic returns</w:t>
      </w:r>
      <w:r w:rsidR="00A02905">
        <w:rPr>
          <w:sz w:val="24"/>
        </w:rPr>
        <w:t>,</w:t>
      </w:r>
      <w:r w:rsidR="006F0569">
        <w:rPr>
          <w:sz w:val="24"/>
        </w:rPr>
        <w:t xml:space="preserve"> and from 8.7 to 10.4 percent applying prospective returns.</w:t>
      </w:r>
      <w:r w:rsidR="006F0569">
        <w:rPr>
          <w:rStyle w:val="FootnoteReference"/>
          <w:sz w:val="24"/>
        </w:rPr>
        <w:footnoteReference w:id="18"/>
      </w:r>
      <w:r w:rsidR="002F18B4">
        <w:rPr>
          <w:sz w:val="24"/>
        </w:rPr>
        <w:t xml:space="preserve">  From these results, Mr. Parcell estimates a reasonable CE range for PSE to be 9.0 to 10.0 percent.</w:t>
      </w:r>
      <w:r w:rsidR="002F18B4">
        <w:rPr>
          <w:rStyle w:val="FootnoteReference"/>
          <w:sz w:val="24"/>
        </w:rPr>
        <w:footnoteReference w:id="19"/>
      </w:r>
      <w:r w:rsidR="002F18B4">
        <w:rPr>
          <w:sz w:val="24"/>
        </w:rPr>
        <w:t xml:space="preserve"> </w:t>
      </w:r>
    </w:p>
    <w:p w14:paraId="6D4F8A36" w14:textId="62A7A2F5" w:rsidR="0091680C" w:rsidRDefault="00910EB9" w:rsidP="007A4C62">
      <w:pPr>
        <w:widowControl/>
        <w:numPr>
          <w:ilvl w:val="0"/>
          <w:numId w:val="2"/>
        </w:numPr>
        <w:spacing w:line="480" w:lineRule="auto"/>
        <w:rPr>
          <w:sz w:val="24"/>
        </w:rPr>
      </w:pPr>
      <w:r>
        <w:rPr>
          <w:sz w:val="24"/>
        </w:rPr>
        <w:tab/>
      </w:r>
      <w:r w:rsidR="0005333B">
        <w:rPr>
          <w:sz w:val="24"/>
        </w:rPr>
        <w:t>Public Counsel opines that Mr. Parcell’s CE results are too high because Mr. Parcell uses the highest CE results and he uses CE results from proxy groups other than his own.</w:t>
      </w:r>
      <w:r w:rsidR="0005333B">
        <w:rPr>
          <w:rStyle w:val="FootnoteReference"/>
          <w:sz w:val="24"/>
        </w:rPr>
        <w:footnoteReference w:id="20"/>
      </w:r>
      <w:r w:rsidR="0005333B">
        <w:rPr>
          <w:sz w:val="24"/>
        </w:rPr>
        <w:t xml:space="preserve">  </w:t>
      </w:r>
      <w:r w:rsidR="0091680C">
        <w:rPr>
          <w:sz w:val="24"/>
        </w:rPr>
        <w:t xml:space="preserve">ICNU </w:t>
      </w:r>
      <w:r w:rsidR="00E20101">
        <w:rPr>
          <w:sz w:val="24"/>
        </w:rPr>
        <w:t xml:space="preserve">contends that Mr. Parcell’s CE range is arbitrary and </w:t>
      </w:r>
      <w:r w:rsidR="00C96090">
        <w:rPr>
          <w:sz w:val="24"/>
        </w:rPr>
        <w:t xml:space="preserve">asserts that the Commission should reject Mr. Parcell’s CE analysis </w:t>
      </w:r>
      <w:r w:rsidR="00B321AA">
        <w:rPr>
          <w:sz w:val="24"/>
        </w:rPr>
        <w:t xml:space="preserve">entirely </w:t>
      </w:r>
      <w:r w:rsidR="00C96090">
        <w:rPr>
          <w:sz w:val="24"/>
        </w:rPr>
        <w:t xml:space="preserve">and use </w:t>
      </w:r>
      <w:r w:rsidR="00FB0843">
        <w:rPr>
          <w:sz w:val="24"/>
        </w:rPr>
        <w:t xml:space="preserve">it </w:t>
      </w:r>
      <w:r w:rsidR="00C96090">
        <w:rPr>
          <w:sz w:val="24"/>
        </w:rPr>
        <w:t>only as a cross-check of other methodolo</w:t>
      </w:r>
      <w:r w:rsidR="00B321AA">
        <w:rPr>
          <w:sz w:val="24"/>
        </w:rPr>
        <w:t>gies.</w:t>
      </w:r>
      <w:r w:rsidR="00FB0843">
        <w:rPr>
          <w:rStyle w:val="FootnoteReference"/>
          <w:sz w:val="24"/>
        </w:rPr>
        <w:footnoteReference w:id="21"/>
      </w:r>
      <w:r w:rsidR="00E20101">
        <w:rPr>
          <w:sz w:val="24"/>
        </w:rPr>
        <w:t xml:space="preserve"> </w:t>
      </w:r>
      <w:r w:rsidR="0091680C">
        <w:rPr>
          <w:sz w:val="24"/>
        </w:rPr>
        <w:t xml:space="preserve"> </w:t>
      </w:r>
      <w:r w:rsidR="003F6911">
        <w:rPr>
          <w:sz w:val="24"/>
        </w:rPr>
        <w:t>It is worth noting, at the outset, that ICNU’s cost of equity witness, Mr. Gorman, generally disfavors the CE methodology;</w:t>
      </w:r>
      <w:r w:rsidR="003F6911">
        <w:rPr>
          <w:rStyle w:val="FootnoteReference"/>
          <w:sz w:val="24"/>
        </w:rPr>
        <w:footnoteReference w:id="22"/>
      </w:r>
      <w:r w:rsidR="003F6911">
        <w:rPr>
          <w:sz w:val="24"/>
        </w:rPr>
        <w:t xml:space="preserve"> accordingly ICNU’s position is unsurprising.  </w:t>
      </w:r>
      <w:r w:rsidR="003F49BE">
        <w:rPr>
          <w:sz w:val="24"/>
        </w:rPr>
        <w:t>ICNU posits that there is no ceiling to CE results, and that Mr. Parcell’s floor could be lower given that returns below the low end of Mr. Parcell’s range still could produce market-to-book ratios above 100 percent.</w:t>
      </w:r>
      <w:r w:rsidR="008848DF">
        <w:rPr>
          <w:rStyle w:val="FootnoteReference"/>
          <w:sz w:val="24"/>
        </w:rPr>
        <w:footnoteReference w:id="23"/>
      </w:r>
      <w:r w:rsidR="002F18B4">
        <w:rPr>
          <w:sz w:val="24"/>
        </w:rPr>
        <w:t xml:space="preserve">  ICNU’s criticism does not consider, however, that Mr. Parcell’s CE methodology also </w:t>
      </w:r>
      <w:r w:rsidR="00595B23">
        <w:rPr>
          <w:sz w:val="24"/>
        </w:rPr>
        <w:t>considers</w:t>
      </w:r>
      <w:r w:rsidR="002F18B4">
        <w:rPr>
          <w:sz w:val="24"/>
        </w:rPr>
        <w:t xml:space="preserve"> prospective returns.  Mr. Parcell considered Value Line’s projected returns on equity for proxy group firms, which is information</w:t>
      </w:r>
      <w:r w:rsidR="00595B23">
        <w:rPr>
          <w:sz w:val="24"/>
        </w:rPr>
        <w:t xml:space="preserve"> that</w:t>
      </w:r>
      <w:r w:rsidR="002F18B4">
        <w:rPr>
          <w:sz w:val="24"/>
        </w:rPr>
        <w:t xml:space="preserve"> </w:t>
      </w:r>
      <w:r w:rsidR="00595B23">
        <w:rPr>
          <w:sz w:val="24"/>
        </w:rPr>
        <w:t xml:space="preserve">is available to </w:t>
      </w:r>
      <w:r w:rsidR="002F18B4">
        <w:rPr>
          <w:sz w:val="24"/>
        </w:rPr>
        <w:t>investors as indicators of prospective utility earnings.</w:t>
      </w:r>
      <w:r w:rsidR="00061C72">
        <w:rPr>
          <w:rStyle w:val="FootnoteReference"/>
          <w:sz w:val="24"/>
        </w:rPr>
        <w:footnoteReference w:id="24"/>
      </w:r>
      <w:r w:rsidR="00061C72">
        <w:rPr>
          <w:sz w:val="24"/>
        </w:rPr>
        <w:t xml:space="preserve">  </w:t>
      </w:r>
      <w:r w:rsidR="00595B23">
        <w:rPr>
          <w:sz w:val="24"/>
        </w:rPr>
        <w:t xml:space="preserve">These projected returns in concert with market-to-book ratios provide market information that informs the analyst’s </w:t>
      </w:r>
      <w:r w:rsidR="00181B29">
        <w:rPr>
          <w:sz w:val="24"/>
        </w:rPr>
        <w:t>selection of a reasonable</w:t>
      </w:r>
      <w:r w:rsidR="00C411C6">
        <w:rPr>
          <w:sz w:val="24"/>
        </w:rPr>
        <w:t xml:space="preserve"> CE range.  The analyst’s results are </w:t>
      </w:r>
      <w:r w:rsidR="00C411C6">
        <w:rPr>
          <w:sz w:val="24"/>
        </w:rPr>
        <w:lastRenderedPageBreak/>
        <w:t>guided by this market information and are, thus, not arbitrary.</w:t>
      </w:r>
      <w:r w:rsidR="006A6108">
        <w:rPr>
          <w:sz w:val="24"/>
        </w:rPr>
        <w:t xml:space="preserve">  Mr. Parcell analyzed this data to develop a CE range that, in his informed judgment, he believes is reasonable for PSE.</w:t>
      </w:r>
    </w:p>
    <w:p w14:paraId="581C4640" w14:textId="668CBE85" w:rsidR="00860D8D" w:rsidRDefault="00EB3431" w:rsidP="00EB3431">
      <w:pPr>
        <w:pStyle w:val="ListParagraph"/>
        <w:ind w:hanging="720"/>
        <w:rPr>
          <w:sz w:val="24"/>
        </w:rPr>
      </w:pPr>
      <w:r w:rsidRPr="00EB3431">
        <w:rPr>
          <w:b/>
          <w:sz w:val="24"/>
        </w:rPr>
        <w:t>D.</w:t>
      </w:r>
      <w:r w:rsidRPr="00EB3431">
        <w:rPr>
          <w:b/>
          <w:sz w:val="24"/>
        </w:rPr>
        <w:tab/>
        <w:t>The Issue of the Effect of Decoupling on Cost of Equity Was Not Remanded and Need Not Be Considered At This Time</w:t>
      </w:r>
      <w:r>
        <w:rPr>
          <w:b/>
          <w:sz w:val="24"/>
        </w:rPr>
        <w:t>.</w:t>
      </w:r>
    </w:p>
    <w:p w14:paraId="616229BC" w14:textId="43733989" w:rsidR="00EB3431" w:rsidRPr="00EB3431" w:rsidRDefault="00EB3431" w:rsidP="00EB3431">
      <w:pPr>
        <w:pStyle w:val="ListParagraph"/>
        <w:ind w:hanging="720"/>
        <w:rPr>
          <w:sz w:val="24"/>
        </w:rPr>
      </w:pPr>
    </w:p>
    <w:p w14:paraId="00577839" w14:textId="7A6A079C" w:rsidR="00EB3431" w:rsidRDefault="00EB3431" w:rsidP="00860D8D">
      <w:pPr>
        <w:numPr>
          <w:ilvl w:val="0"/>
          <w:numId w:val="2"/>
        </w:numPr>
        <w:spacing w:line="480" w:lineRule="auto"/>
        <w:rPr>
          <w:sz w:val="24"/>
        </w:rPr>
      </w:pPr>
      <w:r>
        <w:rPr>
          <w:sz w:val="24"/>
        </w:rPr>
        <w:tab/>
        <w:t>Public Counsel contends that the Commission must consider the issue of the effect of decoupling on PSE’s cost of equity on remand.</w:t>
      </w:r>
      <w:r>
        <w:rPr>
          <w:rStyle w:val="FootnoteReference"/>
          <w:sz w:val="24"/>
        </w:rPr>
        <w:footnoteReference w:id="25"/>
      </w:r>
      <w:r>
        <w:rPr>
          <w:sz w:val="24"/>
        </w:rPr>
        <w:t xml:space="preserve">  As Staff explained in its initial brief, the remand does not encompass this issue.  Moreover, the Commission can evaluate and decide this issue, as originally planned in Order 07, once more data is in and all factors affecting risk </w:t>
      </w:r>
      <w:r w:rsidR="00355025">
        <w:rPr>
          <w:sz w:val="24"/>
        </w:rPr>
        <w:t>are available for examination</w:t>
      </w:r>
      <w:r w:rsidR="00065753">
        <w:rPr>
          <w:sz w:val="24"/>
        </w:rPr>
        <w:t>.  This can all happen</w:t>
      </w:r>
      <w:r w:rsidR="00355025">
        <w:rPr>
          <w:sz w:val="24"/>
        </w:rPr>
        <w:t xml:space="preserve"> </w:t>
      </w:r>
      <w:r>
        <w:rPr>
          <w:sz w:val="24"/>
        </w:rPr>
        <w:t>in PSE’s next general rate case.</w:t>
      </w:r>
      <w:r w:rsidR="000E27C2">
        <w:rPr>
          <w:sz w:val="24"/>
        </w:rPr>
        <w:t xml:space="preserve">  </w:t>
      </w:r>
    </w:p>
    <w:p w14:paraId="561227E4" w14:textId="5859A650" w:rsidR="00DA082B" w:rsidRDefault="002A50EA" w:rsidP="002A50EA">
      <w:pPr>
        <w:numPr>
          <w:ilvl w:val="0"/>
          <w:numId w:val="2"/>
        </w:numPr>
        <w:spacing w:line="480" w:lineRule="auto"/>
        <w:rPr>
          <w:sz w:val="24"/>
        </w:rPr>
      </w:pPr>
      <w:r>
        <w:rPr>
          <w:sz w:val="24"/>
        </w:rPr>
        <w:tab/>
      </w:r>
      <w:r w:rsidR="008C0B12">
        <w:rPr>
          <w:sz w:val="24"/>
        </w:rPr>
        <w:t>Public Counsel argues that the Commission cannot legally set a return on equity unless that return includes a reduction associated with decoupling.</w:t>
      </w:r>
      <w:r w:rsidR="008C0B12">
        <w:rPr>
          <w:rStyle w:val="FootnoteReference"/>
          <w:sz w:val="24"/>
        </w:rPr>
        <w:footnoteReference w:id="26"/>
      </w:r>
      <w:r w:rsidR="008C0B12">
        <w:rPr>
          <w:sz w:val="24"/>
        </w:rPr>
        <w:t xml:space="preserve">  </w:t>
      </w:r>
      <w:r w:rsidR="00DA082B">
        <w:rPr>
          <w:sz w:val="24"/>
        </w:rPr>
        <w:t xml:space="preserve">Public Counsel, however, does not have credible authority for this position.  The Commission’s policy statement on decoupling is not binding on the Commission, and Public Counsel has cited no litigated Commission </w:t>
      </w:r>
      <w:r w:rsidR="00927543">
        <w:rPr>
          <w:sz w:val="24"/>
        </w:rPr>
        <w:t>decisions</w:t>
      </w:r>
      <w:r w:rsidR="00DA082B">
        <w:rPr>
          <w:sz w:val="24"/>
        </w:rPr>
        <w:t xml:space="preserve"> in which the Commission reduced a utility’s return on equity due to decoupling.</w:t>
      </w:r>
      <w:r w:rsidR="00927543">
        <w:rPr>
          <w:sz w:val="24"/>
        </w:rPr>
        <w:t xml:space="preserve">  In contrast, Mr. Cavanagh’s testimony showed that, in the majority of </w:t>
      </w:r>
      <w:r w:rsidR="00B6161E">
        <w:rPr>
          <w:sz w:val="24"/>
        </w:rPr>
        <w:t>cases</w:t>
      </w:r>
      <w:r w:rsidR="00927543">
        <w:rPr>
          <w:sz w:val="24"/>
        </w:rPr>
        <w:t>, public service commissions that considered the issue did not reduce the utility’s return on equity due to decoupling.</w:t>
      </w:r>
      <w:r w:rsidR="00927543">
        <w:rPr>
          <w:rStyle w:val="FootnoteReference"/>
          <w:sz w:val="24"/>
        </w:rPr>
        <w:footnoteReference w:id="27"/>
      </w:r>
      <w:r w:rsidR="00384FBC">
        <w:rPr>
          <w:sz w:val="24"/>
        </w:rPr>
        <w:t xml:space="preserve">  The Commission has the authority</w:t>
      </w:r>
      <w:r w:rsidR="007D519D">
        <w:rPr>
          <w:sz w:val="24"/>
        </w:rPr>
        <w:t xml:space="preserve"> </w:t>
      </w:r>
      <w:r w:rsidR="00E27074">
        <w:rPr>
          <w:sz w:val="24"/>
        </w:rPr>
        <w:t>to decide how to assess any effects of decoupling.  I</w:t>
      </w:r>
      <w:r w:rsidR="007D519D">
        <w:rPr>
          <w:sz w:val="24"/>
        </w:rPr>
        <w:t>ts</w:t>
      </w:r>
      <w:r w:rsidR="00E27074">
        <w:rPr>
          <w:sz w:val="24"/>
        </w:rPr>
        <w:t xml:space="preserve"> legislative</w:t>
      </w:r>
      <w:r w:rsidR="007D519D">
        <w:rPr>
          <w:sz w:val="24"/>
        </w:rPr>
        <w:t xml:space="preserve"> mandate to fix just, reasonable, </w:t>
      </w:r>
      <w:r w:rsidR="00E27074">
        <w:rPr>
          <w:sz w:val="24"/>
        </w:rPr>
        <w:t>and</w:t>
      </w:r>
      <w:r w:rsidR="007D519D">
        <w:rPr>
          <w:sz w:val="24"/>
        </w:rPr>
        <w:t xml:space="preserve"> sufficient rates</w:t>
      </w:r>
      <w:r w:rsidR="00E27074">
        <w:rPr>
          <w:sz w:val="24"/>
        </w:rPr>
        <w:t>,</w:t>
      </w:r>
      <w:r w:rsidR="007D519D">
        <w:rPr>
          <w:rStyle w:val="FootnoteReference"/>
          <w:sz w:val="24"/>
        </w:rPr>
        <w:footnoteReference w:id="28"/>
      </w:r>
      <w:r w:rsidR="00384FBC">
        <w:rPr>
          <w:sz w:val="24"/>
        </w:rPr>
        <w:t xml:space="preserve"> </w:t>
      </w:r>
      <w:r w:rsidR="00E27074">
        <w:rPr>
          <w:sz w:val="24"/>
        </w:rPr>
        <w:t>affords the Commission a “fairly broad range . . . in selecting t</w:t>
      </w:r>
      <w:r w:rsidR="00050049">
        <w:rPr>
          <w:sz w:val="24"/>
        </w:rPr>
        <w:t>he appropriate ratemaking metho</w:t>
      </w:r>
      <w:r w:rsidR="00E27074">
        <w:rPr>
          <w:sz w:val="24"/>
        </w:rPr>
        <w:t>dology.”</w:t>
      </w:r>
      <w:r w:rsidR="00416C9B">
        <w:rPr>
          <w:rStyle w:val="FootnoteReference"/>
          <w:sz w:val="24"/>
        </w:rPr>
        <w:footnoteReference w:id="29"/>
      </w:r>
      <w:r w:rsidR="00706E14">
        <w:rPr>
          <w:sz w:val="24"/>
        </w:rPr>
        <w:t xml:space="preserve">  Consistent with </w:t>
      </w:r>
      <w:r w:rsidR="003B7B89">
        <w:rPr>
          <w:sz w:val="24"/>
        </w:rPr>
        <w:t>the Washington</w:t>
      </w:r>
      <w:r w:rsidR="00706E14">
        <w:rPr>
          <w:sz w:val="24"/>
        </w:rPr>
        <w:t xml:space="preserve"> State Supreme Court’s favorable view of the “end results” test </w:t>
      </w:r>
      <w:r w:rsidR="003B7B89">
        <w:rPr>
          <w:sz w:val="24"/>
        </w:rPr>
        <w:t>from</w:t>
      </w:r>
      <w:r w:rsidR="00706E14">
        <w:rPr>
          <w:sz w:val="24"/>
        </w:rPr>
        <w:t xml:space="preserve"> the </w:t>
      </w:r>
      <w:r w:rsidR="00706E14">
        <w:rPr>
          <w:i/>
          <w:sz w:val="24"/>
        </w:rPr>
        <w:t xml:space="preserve">Hope </w:t>
      </w:r>
      <w:r w:rsidR="00706E14">
        <w:rPr>
          <w:sz w:val="24"/>
        </w:rPr>
        <w:t xml:space="preserve">case, </w:t>
      </w:r>
      <w:r w:rsidR="003B7B89">
        <w:rPr>
          <w:sz w:val="24"/>
        </w:rPr>
        <w:t xml:space="preserve">the Commission must ensure </w:t>
      </w:r>
      <w:r w:rsidR="003B7B89">
        <w:rPr>
          <w:sz w:val="24"/>
        </w:rPr>
        <w:lastRenderedPageBreak/>
        <w:t>under RCW 80.28.010 that a utility charges just, fair, reasonable and sufficient rates; but the Commission is</w:t>
      </w:r>
      <w:r w:rsidR="00706E14">
        <w:rPr>
          <w:sz w:val="24"/>
        </w:rPr>
        <w:t xml:space="preserve"> not bound </w:t>
      </w:r>
      <w:r w:rsidR="003B7B89">
        <w:rPr>
          <w:sz w:val="24"/>
        </w:rPr>
        <w:t>to approve or disapprove of a particular operating expense or approve or disapprove of a particular adjustment to a utility’s rate of return.</w:t>
      </w:r>
      <w:r w:rsidR="003B7B89">
        <w:rPr>
          <w:rStyle w:val="FootnoteReference"/>
          <w:sz w:val="24"/>
        </w:rPr>
        <w:footnoteReference w:id="30"/>
      </w:r>
    </w:p>
    <w:p w14:paraId="000D49DC" w14:textId="3AFAAEA8" w:rsidR="00DA082B" w:rsidRDefault="00DA082B" w:rsidP="002A50EA">
      <w:pPr>
        <w:numPr>
          <w:ilvl w:val="0"/>
          <w:numId w:val="2"/>
        </w:numPr>
        <w:spacing w:line="480" w:lineRule="auto"/>
        <w:rPr>
          <w:sz w:val="24"/>
        </w:rPr>
      </w:pPr>
      <w:r>
        <w:rPr>
          <w:sz w:val="24"/>
        </w:rPr>
        <w:tab/>
        <w:t xml:space="preserve"> </w:t>
      </w:r>
      <w:r w:rsidR="008C0B12">
        <w:rPr>
          <w:sz w:val="24"/>
        </w:rPr>
        <w:t xml:space="preserve">Public Counsel </w:t>
      </w:r>
      <w:r w:rsidR="00384FBC">
        <w:rPr>
          <w:sz w:val="24"/>
        </w:rPr>
        <w:t>asserts that</w:t>
      </w:r>
      <w:r w:rsidR="008C0B12">
        <w:rPr>
          <w:sz w:val="24"/>
        </w:rPr>
        <w:t xml:space="preserve"> “[d]etermining a utility’s cost of capital as part of rate setting without consideration of a major change in its ris</w:t>
      </w:r>
      <w:r>
        <w:rPr>
          <w:sz w:val="24"/>
        </w:rPr>
        <w:t xml:space="preserve">k profile is a violation of . . </w:t>
      </w:r>
      <w:r w:rsidR="008C0B12">
        <w:rPr>
          <w:sz w:val="24"/>
        </w:rPr>
        <w:t>.</w:t>
      </w:r>
      <w:r>
        <w:rPr>
          <w:sz w:val="24"/>
        </w:rPr>
        <w:t xml:space="preserve"> </w:t>
      </w:r>
      <w:r w:rsidR="008C0B12">
        <w:rPr>
          <w:sz w:val="24"/>
        </w:rPr>
        <w:t>fundamental legal and economic principles.”</w:t>
      </w:r>
      <w:r w:rsidR="008C0B12">
        <w:rPr>
          <w:rStyle w:val="FootnoteReference"/>
          <w:sz w:val="24"/>
        </w:rPr>
        <w:footnoteReference w:id="31"/>
      </w:r>
      <w:r>
        <w:rPr>
          <w:sz w:val="24"/>
        </w:rPr>
        <w:t xml:space="preserve">  Staff does not entirely disagree.  The question is whether decoupling represents a “major change” </w:t>
      </w:r>
      <w:r w:rsidR="00DC0A75">
        <w:rPr>
          <w:sz w:val="24"/>
        </w:rPr>
        <w:t xml:space="preserve">or even a significant change </w:t>
      </w:r>
      <w:r>
        <w:rPr>
          <w:sz w:val="24"/>
        </w:rPr>
        <w:t xml:space="preserve">in PSE’s risk profile.  </w:t>
      </w:r>
      <w:r w:rsidR="00384FBC">
        <w:rPr>
          <w:sz w:val="24"/>
        </w:rPr>
        <w:t xml:space="preserve">Stated another way, it is not clear that applying decoupling to </w:t>
      </w:r>
      <w:r w:rsidR="001C0D8D">
        <w:rPr>
          <w:sz w:val="24"/>
        </w:rPr>
        <w:t xml:space="preserve">the portion of </w:t>
      </w:r>
      <w:r w:rsidR="00384FBC">
        <w:rPr>
          <w:sz w:val="24"/>
        </w:rPr>
        <w:t>PSE’s revenues</w:t>
      </w:r>
      <w:r w:rsidR="001C0D8D">
        <w:rPr>
          <w:sz w:val="24"/>
        </w:rPr>
        <w:t xml:space="preserve"> subject to decoupling</w:t>
      </w:r>
      <w:r w:rsidR="0003467F">
        <w:rPr>
          <w:rStyle w:val="FootnoteReference"/>
          <w:sz w:val="24"/>
        </w:rPr>
        <w:footnoteReference w:id="32"/>
      </w:r>
      <w:r w:rsidR="00384FBC">
        <w:rPr>
          <w:sz w:val="24"/>
        </w:rPr>
        <w:t xml:space="preserve"> has any significant effect on PSE’s risk</w:t>
      </w:r>
      <w:r w:rsidR="00DC0A75">
        <w:rPr>
          <w:sz w:val="24"/>
        </w:rPr>
        <w:t xml:space="preserve"> or that any effect is not offset by other factors</w:t>
      </w:r>
      <w:r w:rsidR="00384FBC">
        <w:rPr>
          <w:sz w:val="24"/>
        </w:rPr>
        <w:t>.</w:t>
      </w:r>
      <w:r w:rsidR="0003467F">
        <w:rPr>
          <w:sz w:val="24"/>
        </w:rPr>
        <w:t xml:space="preserve">  Decoupling smoothes revenue volatility for both customers and the utility, but this does not translate into a windfall for PSE’</w:t>
      </w:r>
      <w:r w:rsidR="002A7B11">
        <w:rPr>
          <w:sz w:val="24"/>
        </w:rPr>
        <w:t xml:space="preserve">s owners.  PSE does not receive more revenue </w:t>
      </w:r>
      <w:r w:rsidR="00CD601F">
        <w:rPr>
          <w:sz w:val="24"/>
        </w:rPr>
        <w:t xml:space="preserve">or less revenue </w:t>
      </w:r>
      <w:r w:rsidR="002A7B11">
        <w:rPr>
          <w:sz w:val="24"/>
        </w:rPr>
        <w:t>under decoupling than it otherwise would</w:t>
      </w:r>
      <w:r w:rsidR="00CD601F">
        <w:rPr>
          <w:sz w:val="24"/>
        </w:rPr>
        <w:t xml:space="preserve"> over time</w:t>
      </w:r>
      <w:r w:rsidR="00410281">
        <w:rPr>
          <w:sz w:val="24"/>
        </w:rPr>
        <w:t xml:space="preserve">.  Rather, PSE must continue its cost control efforts </w:t>
      </w:r>
      <w:r w:rsidR="002A7B11">
        <w:rPr>
          <w:sz w:val="24"/>
        </w:rPr>
        <w:t>to actually earn its authorized return.</w:t>
      </w:r>
    </w:p>
    <w:p w14:paraId="70461C50" w14:textId="2817F737" w:rsidR="002A50EA" w:rsidRPr="00860D8D" w:rsidRDefault="00CD601F" w:rsidP="002A50EA">
      <w:pPr>
        <w:numPr>
          <w:ilvl w:val="0"/>
          <w:numId w:val="2"/>
        </w:numPr>
        <w:spacing w:line="480" w:lineRule="auto"/>
        <w:rPr>
          <w:sz w:val="24"/>
        </w:rPr>
      </w:pPr>
      <w:r>
        <w:rPr>
          <w:sz w:val="24"/>
        </w:rPr>
        <w:tab/>
      </w:r>
      <w:r w:rsidR="00D17421">
        <w:rPr>
          <w:sz w:val="24"/>
        </w:rPr>
        <w:t>Given the history of this case, the testimony on file from Mr. Cavanagh</w:t>
      </w:r>
      <w:r>
        <w:rPr>
          <w:sz w:val="24"/>
        </w:rPr>
        <w:t>, the emerging nature of this issue</w:t>
      </w:r>
      <w:r w:rsidR="00D17421">
        <w:rPr>
          <w:sz w:val="24"/>
        </w:rPr>
        <w:t>, and the Commission’s</w:t>
      </w:r>
      <w:r>
        <w:rPr>
          <w:sz w:val="24"/>
        </w:rPr>
        <w:t xml:space="preserve"> earlier decision to examine the effects of decoupling </w:t>
      </w:r>
      <w:r w:rsidR="00D17421">
        <w:rPr>
          <w:sz w:val="24"/>
        </w:rPr>
        <w:t xml:space="preserve">at a later date, it makes sense to </w:t>
      </w:r>
      <w:r>
        <w:rPr>
          <w:sz w:val="24"/>
        </w:rPr>
        <w:t>fully examine decoupling effects in PSE’s next general rate case</w:t>
      </w:r>
      <w:r w:rsidR="00D17421">
        <w:rPr>
          <w:sz w:val="24"/>
        </w:rPr>
        <w:t xml:space="preserve">. </w:t>
      </w:r>
      <w:r w:rsidR="008C0B12">
        <w:rPr>
          <w:sz w:val="24"/>
        </w:rPr>
        <w:t xml:space="preserve"> </w:t>
      </w:r>
      <w:r>
        <w:rPr>
          <w:sz w:val="24"/>
        </w:rPr>
        <w:t xml:space="preserve">It is not fair, at this juncture, to simply </w:t>
      </w:r>
      <w:r w:rsidR="00C64E35">
        <w:rPr>
          <w:sz w:val="24"/>
        </w:rPr>
        <w:t>trim</w:t>
      </w:r>
      <w:r>
        <w:rPr>
          <w:sz w:val="24"/>
        </w:rPr>
        <w:t xml:space="preserve"> a few basis points from the return on equity, based on speculation that decoupling reduces risk in any sort of a numerically significant fashion</w:t>
      </w:r>
      <w:r w:rsidR="00D17421">
        <w:rPr>
          <w:sz w:val="24"/>
        </w:rPr>
        <w:t>.</w:t>
      </w:r>
      <w:r w:rsidR="00261348">
        <w:rPr>
          <w:sz w:val="24"/>
        </w:rPr>
        <w:t xml:space="preserve">  Finally, decoupling is perhaps best viewed as a rate design </w:t>
      </w:r>
      <w:r w:rsidR="00261348">
        <w:rPr>
          <w:sz w:val="24"/>
        </w:rPr>
        <w:lastRenderedPageBreak/>
        <w:t xml:space="preserve">tool, a tool designed to </w:t>
      </w:r>
      <w:r w:rsidR="00410281">
        <w:rPr>
          <w:sz w:val="24"/>
        </w:rPr>
        <w:t>provide</w:t>
      </w:r>
      <w:r w:rsidR="00261348">
        <w:rPr>
          <w:sz w:val="24"/>
        </w:rPr>
        <w:t xml:space="preserve"> the utility </w:t>
      </w:r>
      <w:r w:rsidR="005F6460">
        <w:rPr>
          <w:sz w:val="24"/>
        </w:rPr>
        <w:t xml:space="preserve">with </w:t>
      </w:r>
      <w:r w:rsidR="00410281">
        <w:rPr>
          <w:sz w:val="24"/>
        </w:rPr>
        <w:t>an opportunity to a</w:t>
      </w:r>
      <w:r w:rsidR="005F6460">
        <w:rPr>
          <w:sz w:val="24"/>
        </w:rPr>
        <w:t>chieve</w:t>
      </w:r>
      <w:r w:rsidR="00410281">
        <w:rPr>
          <w:sz w:val="24"/>
        </w:rPr>
        <w:t xml:space="preserve"> </w:t>
      </w:r>
      <w:r w:rsidR="00261348">
        <w:rPr>
          <w:sz w:val="24"/>
        </w:rPr>
        <w:t xml:space="preserve">revenues from its authorized rates. Now that the Commission has granted PSE this tool, among other </w:t>
      </w:r>
      <w:r w:rsidR="00EE2F38">
        <w:rPr>
          <w:sz w:val="24"/>
        </w:rPr>
        <w:t>supportive</w:t>
      </w:r>
      <w:r w:rsidR="00261348">
        <w:rPr>
          <w:sz w:val="24"/>
        </w:rPr>
        <w:t xml:space="preserve"> regulatory mechanisms, it does not make sense to </w:t>
      </w:r>
      <w:r w:rsidR="00410281">
        <w:rPr>
          <w:sz w:val="24"/>
        </w:rPr>
        <w:t>thwart</w:t>
      </w:r>
      <w:r w:rsidR="00261348">
        <w:rPr>
          <w:sz w:val="24"/>
        </w:rPr>
        <w:t xml:space="preserve"> the mechanism by reducing the utility’s equity return and thereby impairing the company’s opportunity to actually earn its authorized return.  </w:t>
      </w:r>
    </w:p>
    <w:p w14:paraId="46DFCF98" w14:textId="60092E71" w:rsidR="00F748D8" w:rsidRPr="00860D8D" w:rsidRDefault="00860D8D" w:rsidP="00860D8D">
      <w:pPr>
        <w:spacing w:line="480" w:lineRule="auto"/>
        <w:jc w:val="center"/>
        <w:rPr>
          <w:b/>
          <w:sz w:val="24"/>
        </w:rPr>
      </w:pPr>
      <w:r>
        <w:rPr>
          <w:b/>
          <w:sz w:val="24"/>
        </w:rPr>
        <w:t>IV.</w:t>
      </w:r>
      <w:r>
        <w:rPr>
          <w:b/>
          <w:sz w:val="24"/>
        </w:rPr>
        <w:tab/>
      </w:r>
      <w:r w:rsidRPr="00860D8D">
        <w:rPr>
          <w:b/>
          <w:sz w:val="24"/>
        </w:rPr>
        <w:t>CONCLUSION</w:t>
      </w:r>
    </w:p>
    <w:p w14:paraId="73A2A163" w14:textId="572E022F" w:rsidR="00546538" w:rsidRDefault="00D1527D" w:rsidP="00546538">
      <w:pPr>
        <w:numPr>
          <w:ilvl w:val="0"/>
          <w:numId w:val="2"/>
        </w:numPr>
        <w:spacing w:line="480" w:lineRule="auto"/>
        <w:rPr>
          <w:sz w:val="24"/>
        </w:rPr>
      </w:pPr>
      <w:r>
        <w:rPr>
          <w:sz w:val="24"/>
        </w:rPr>
        <w:tab/>
      </w:r>
      <w:r w:rsidR="00863EB0">
        <w:rPr>
          <w:sz w:val="24"/>
        </w:rPr>
        <w:t>Staff takes umbrage at Public Counsel’s insinuation</w:t>
      </w:r>
      <w:r w:rsidR="001B7F10">
        <w:rPr>
          <w:sz w:val="24"/>
        </w:rPr>
        <w:t>s</w:t>
      </w:r>
      <w:r w:rsidR="00863EB0">
        <w:rPr>
          <w:sz w:val="24"/>
        </w:rPr>
        <w:t xml:space="preserve"> that Mr. Parcell did not </w:t>
      </w:r>
      <w:r w:rsidR="001B7F10">
        <w:rPr>
          <w:sz w:val="24"/>
        </w:rPr>
        <w:t>conduct</w:t>
      </w:r>
      <w:r w:rsidR="00863EB0">
        <w:rPr>
          <w:sz w:val="24"/>
        </w:rPr>
        <w:t xml:space="preserve"> an independent analysis.  In this remand, Staff has done what it always does: provide an expert and independent </w:t>
      </w:r>
      <w:r w:rsidR="008E7DE4">
        <w:rPr>
          <w:sz w:val="24"/>
        </w:rPr>
        <w:t>opinion</w:t>
      </w:r>
      <w:r w:rsidR="00863EB0">
        <w:rPr>
          <w:sz w:val="24"/>
        </w:rPr>
        <w:t>.</w:t>
      </w:r>
      <w:r>
        <w:rPr>
          <w:sz w:val="24"/>
        </w:rPr>
        <w:t xml:space="preserve">  </w:t>
      </w:r>
      <w:r w:rsidR="002B1AD0">
        <w:rPr>
          <w:sz w:val="24"/>
        </w:rPr>
        <w:t xml:space="preserve">According to Staff’s analysis, prepared by Mr. Parcell, </w:t>
      </w:r>
      <w:r>
        <w:rPr>
          <w:sz w:val="24"/>
        </w:rPr>
        <w:t>PSE’s</w:t>
      </w:r>
      <w:r w:rsidR="00D45AD0">
        <w:rPr>
          <w:sz w:val="24"/>
        </w:rPr>
        <w:t xml:space="preserve"> cost of equity as of early 2013</w:t>
      </w:r>
      <w:r>
        <w:rPr>
          <w:sz w:val="24"/>
        </w:rPr>
        <w:t xml:space="preserve"> lies at the midpoint </w:t>
      </w:r>
      <w:r w:rsidR="00065753">
        <w:rPr>
          <w:sz w:val="24"/>
        </w:rPr>
        <w:t xml:space="preserve">of </w:t>
      </w:r>
      <w:r>
        <w:rPr>
          <w:sz w:val="24"/>
        </w:rPr>
        <w:t xml:space="preserve">a range of reasonable </w:t>
      </w:r>
      <w:r w:rsidR="00D45AD0">
        <w:rPr>
          <w:sz w:val="24"/>
        </w:rPr>
        <w:t xml:space="preserve">equity </w:t>
      </w:r>
      <w:r>
        <w:rPr>
          <w:sz w:val="24"/>
        </w:rPr>
        <w:t>returns from 9.0 to 10.0 percent.</w:t>
      </w:r>
      <w:r w:rsidR="007F3E44">
        <w:rPr>
          <w:sz w:val="24"/>
        </w:rPr>
        <w:t xml:space="preserve">  Fairness would be best served by reserving a review of the effects of decoupling on cost of capital until PSE’s n</w:t>
      </w:r>
      <w:r w:rsidR="00065753">
        <w:rPr>
          <w:sz w:val="24"/>
        </w:rPr>
        <w:t>ext general rate case.  Simply h</w:t>
      </w:r>
      <w:r w:rsidR="007F3E44">
        <w:rPr>
          <w:sz w:val="24"/>
        </w:rPr>
        <w:t>acking off a few basis points from PSE’s return on equity</w:t>
      </w:r>
      <w:r w:rsidR="00065753">
        <w:rPr>
          <w:sz w:val="24"/>
        </w:rPr>
        <w:t xml:space="preserve"> now</w:t>
      </w:r>
      <w:r w:rsidR="007F3E44">
        <w:rPr>
          <w:sz w:val="24"/>
        </w:rPr>
        <w:t xml:space="preserve"> is not the deliberate and reasoned approach that Staff advocates and is not required by the remand</w:t>
      </w:r>
      <w:r w:rsidR="00DC0A75">
        <w:rPr>
          <w:sz w:val="24"/>
        </w:rPr>
        <w:t xml:space="preserve"> or by law</w:t>
      </w:r>
      <w:r w:rsidR="007F3E44">
        <w:rPr>
          <w:sz w:val="24"/>
        </w:rPr>
        <w:t>.</w:t>
      </w:r>
    </w:p>
    <w:p w14:paraId="46DFCF9A" w14:textId="0B911DB0" w:rsidR="00F748D8" w:rsidRPr="00EE1CD1" w:rsidRDefault="00F748D8" w:rsidP="00EE1CD1">
      <w:pPr>
        <w:ind w:left="720"/>
        <w:rPr>
          <w:sz w:val="24"/>
        </w:rPr>
      </w:pPr>
      <w:r w:rsidRPr="00EE1CD1">
        <w:rPr>
          <w:sz w:val="24"/>
        </w:rPr>
        <w:t xml:space="preserve">DATED this </w:t>
      </w:r>
      <w:r w:rsidR="00E46DB8">
        <w:rPr>
          <w:sz w:val="24"/>
        </w:rPr>
        <w:t>20</w:t>
      </w:r>
      <w:r w:rsidR="00D7253F">
        <w:rPr>
          <w:sz w:val="24"/>
        </w:rPr>
        <w:t>th</w:t>
      </w:r>
      <w:r w:rsidRPr="00EE1CD1">
        <w:rPr>
          <w:sz w:val="24"/>
        </w:rPr>
        <w:t xml:space="preserve"> day of </w:t>
      </w:r>
      <w:r w:rsidR="00D7253F">
        <w:rPr>
          <w:sz w:val="24"/>
        </w:rPr>
        <w:t>March</w:t>
      </w:r>
      <w:r w:rsidR="00EC5B23" w:rsidRPr="00EE1CD1">
        <w:rPr>
          <w:sz w:val="24"/>
        </w:rPr>
        <w:t>,</w:t>
      </w:r>
      <w:r w:rsidRPr="00EE1CD1">
        <w:rPr>
          <w:sz w:val="24"/>
        </w:rPr>
        <w:t xml:space="preserve"> 20</w:t>
      </w:r>
      <w:r w:rsidR="004A26FF" w:rsidRPr="00EE1CD1">
        <w:rPr>
          <w:sz w:val="24"/>
        </w:rPr>
        <w:t>1</w:t>
      </w:r>
      <w:r w:rsidR="00D7253F">
        <w:rPr>
          <w:sz w:val="24"/>
        </w:rPr>
        <w:t>5</w:t>
      </w:r>
      <w:r w:rsidRPr="00EE1CD1">
        <w:rPr>
          <w:sz w:val="24"/>
        </w:rPr>
        <w:t>.</w:t>
      </w:r>
    </w:p>
    <w:p w14:paraId="46DFCF9B" w14:textId="77777777" w:rsidR="00F748D8" w:rsidRPr="00EE1CD1" w:rsidRDefault="00F748D8" w:rsidP="00EE1CD1">
      <w:pPr>
        <w:ind w:left="720"/>
        <w:rPr>
          <w:sz w:val="24"/>
        </w:rPr>
      </w:pPr>
    </w:p>
    <w:p w14:paraId="46DFCF9C" w14:textId="77777777" w:rsidR="00F748D8" w:rsidRPr="00EE1CD1" w:rsidRDefault="00F748D8" w:rsidP="00EE1CD1">
      <w:pPr>
        <w:ind w:left="720"/>
        <w:rPr>
          <w:sz w:val="24"/>
        </w:rPr>
      </w:pPr>
      <w:r w:rsidRPr="00EE1CD1">
        <w:rPr>
          <w:sz w:val="24"/>
        </w:rPr>
        <w:tab/>
      </w:r>
      <w:r w:rsidRPr="00EE1CD1">
        <w:rPr>
          <w:sz w:val="24"/>
        </w:rPr>
        <w:tab/>
      </w:r>
      <w:r w:rsidRPr="00EE1CD1">
        <w:rPr>
          <w:sz w:val="24"/>
        </w:rPr>
        <w:tab/>
      </w:r>
      <w:r w:rsidRPr="00EE1CD1">
        <w:rPr>
          <w:sz w:val="24"/>
        </w:rPr>
        <w:tab/>
      </w:r>
      <w:r w:rsidRPr="00EE1CD1">
        <w:rPr>
          <w:sz w:val="24"/>
        </w:rPr>
        <w:tab/>
      </w:r>
      <w:r w:rsidRPr="00EE1CD1">
        <w:rPr>
          <w:sz w:val="24"/>
        </w:rPr>
        <w:tab/>
        <w:t xml:space="preserve">Respectfully submitted, </w:t>
      </w:r>
    </w:p>
    <w:p w14:paraId="46DFCF9D" w14:textId="77777777" w:rsidR="00F748D8" w:rsidRPr="00EE1CD1" w:rsidRDefault="00F748D8" w:rsidP="00EE1CD1">
      <w:pPr>
        <w:pStyle w:val="BodyTextIndent2"/>
        <w:rPr>
          <w:rFonts w:ascii="Times New Roman" w:hAnsi="Times New Roman"/>
        </w:rPr>
      </w:pPr>
    </w:p>
    <w:p w14:paraId="46DFCF9E" w14:textId="77777777" w:rsidR="00F748D8" w:rsidRPr="00EE1CD1" w:rsidRDefault="00F748D8" w:rsidP="00EE1CD1">
      <w:pPr>
        <w:ind w:left="5040"/>
        <w:jc w:val="both"/>
        <w:rPr>
          <w:sz w:val="24"/>
        </w:rPr>
      </w:pPr>
      <w:r w:rsidRPr="00EE1CD1">
        <w:rPr>
          <w:sz w:val="24"/>
        </w:rPr>
        <w:t>ROB</w:t>
      </w:r>
      <w:r w:rsidR="00BF3CD1" w:rsidRPr="00EE1CD1">
        <w:rPr>
          <w:sz w:val="24"/>
        </w:rPr>
        <w:t xml:space="preserve">ERT </w:t>
      </w:r>
      <w:r w:rsidR="009D3E3D" w:rsidRPr="00EE1CD1">
        <w:rPr>
          <w:sz w:val="24"/>
        </w:rPr>
        <w:t>W. FERGUSON</w:t>
      </w:r>
      <w:r w:rsidRPr="00EE1CD1">
        <w:rPr>
          <w:sz w:val="24"/>
        </w:rPr>
        <w:t xml:space="preserve"> </w:t>
      </w:r>
    </w:p>
    <w:p w14:paraId="46DFCF9F" w14:textId="77777777" w:rsidR="00F748D8" w:rsidRPr="00EE1CD1" w:rsidRDefault="00F748D8" w:rsidP="00EE1CD1">
      <w:pPr>
        <w:ind w:firstLine="5040"/>
        <w:jc w:val="both"/>
        <w:rPr>
          <w:sz w:val="24"/>
        </w:rPr>
      </w:pPr>
      <w:r w:rsidRPr="00EE1CD1">
        <w:rPr>
          <w:sz w:val="24"/>
        </w:rPr>
        <w:t>Attorney General</w:t>
      </w:r>
    </w:p>
    <w:p w14:paraId="46DFCFA0" w14:textId="77777777" w:rsidR="00F748D8" w:rsidRDefault="00F748D8" w:rsidP="00EE1CD1">
      <w:pPr>
        <w:jc w:val="both"/>
        <w:rPr>
          <w:sz w:val="24"/>
        </w:rPr>
      </w:pPr>
    </w:p>
    <w:p w14:paraId="22EC586E" w14:textId="77777777" w:rsidR="00D7253F" w:rsidRPr="00EE1CD1" w:rsidRDefault="00D7253F" w:rsidP="00EE1CD1">
      <w:pPr>
        <w:jc w:val="both"/>
        <w:rPr>
          <w:sz w:val="24"/>
        </w:rPr>
      </w:pPr>
    </w:p>
    <w:p w14:paraId="46DFCFA3" w14:textId="77E5976F" w:rsidR="00F748D8" w:rsidRPr="00EE1CD1" w:rsidRDefault="00F748D8" w:rsidP="00EE1CD1">
      <w:pPr>
        <w:ind w:left="1440" w:firstLine="3600"/>
        <w:jc w:val="both"/>
        <w:rPr>
          <w:sz w:val="24"/>
        </w:rPr>
      </w:pPr>
      <w:r w:rsidRPr="00EE1CD1">
        <w:rPr>
          <w:sz w:val="24"/>
        </w:rPr>
        <w:t>______________________________</w:t>
      </w:r>
      <w:r w:rsidR="00EC5B23" w:rsidRPr="00EE1CD1">
        <w:rPr>
          <w:sz w:val="24"/>
        </w:rPr>
        <w:t>__</w:t>
      </w:r>
    </w:p>
    <w:p w14:paraId="46DFCFA4" w14:textId="7A731228" w:rsidR="00F748D8" w:rsidRPr="00EE1CD1" w:rsidRDefault="00EC5B23" w:rsidP="00EE1CD1">
      <w:pPr>
        <w:ind w:firstLine="5040"/>
        <w:jc w:val="both"/>
        <w:rPr>
          <w:sz w:val="24"/>
        </w:rPr>
      </w:pPr>
      <w:r w:rsidRPr="00EE1CD1">
        <w:rPr>
          <w:sz w:val="24"/>
        </w:rPr>
        <w:t>JENNIFER CAMERON-RULKOWSKI</w:t>
      </w:r>
    </w:p>
    <w:p w14:paraId="46DFCFA5" w14:textId="77777777" w:rsidR="00F748D8" w:rsidRPr="00EE1CD1" w:rsidRDefault="00F748D8" w:rsidP="00EE1CD1">
      <w:pPr>
        <w:ind w:left="1440" w:firstLine="3600"/>
        <w:jc w:val="both"/>
        <w:rPr>
          <w:sz w:val="24"/>
        </w:rPr>
      </w:pPr>
      <w:r w:rsidRPr="00EE1CD1">
        <w:rPr>
          <w:sz w:val="24"/>
        </w:rPr>
        <w:t>Assistant Attorney General</w:t>
      </w:r>
    </w:p>
    <w:p w14:paraId="46DFCFA6" w14:textId="77777777" w:rsidR="00F748D8" w:rsidRPr="00EE1CD1" w:rsidRDefault="00F748D8" w:rsidP="00EE1CD1">
      <w:pPr>
        <w:ind w:left="2160" w:firstLine="2880"/>
        <w:jc w:val="both"/>
        <w:rPr>
          <w:sz w:val="24"/>
        </w:rPr>
      </w:pPr>
      <w:r w:rsidRPr="00EE1CD1">
        <w:rPr>
          <w:sz w:val="24"/>
        </w:rPr>
        <w:t>Counsel for Washington Utilities and</w:t>
      </w:r>
    </w:p>
    <w:p w14:paraId="46DFCFA8" w14:textId="30ABE874" w:rsidR="00F748D8" w:rsidRPr="00EE1CD1" w:rsidRDefault="004F69A5" w:rsidP="00EE1CD1">
      <w:pPr>
        <w:ind w:left="2880" w:firstLine="2160"/>
        <w:jc w:val="both"/>
        <w:rPr>
          <w:sz w:val="24"/>
        </w:rPr>
      </w:pPr>
      <w:r w:rsidRPr="00EE1CD1">
        <w:rPr>
          <w:sz w:val="24"/>
        </w:rPr>
        <w:t>Transportation Commission</w:t>
      </w:r>
      <w:r w:rsidR="005E07C2" w:rsidRPr="00EE1CD1">
        <w:rPr>
          <w:sz w:val="24"/>
        </w:rPr>
        <w:t xml:space="preserve"> Staff</w:t>
      </w:r>
    </w:p>
    <w:sectPr w:rsidR="00F748D8" w:rsidRPr="00EE1CD1" w:rsidSect="007A4C62">
      <w:footerReference w:type="default" r:id="rId14"/>
      <w:pgSz w:w="12240" w:h="15840" w:code="1"/>
      <w:pgMar w:top="1440" w:right="1440" w:bottom="1440" w:left="1872"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FCFAB" w14:textId="77777777" w:rsidR="00835284" w:rsidRDefault="00835284">
      <w:r>
        <w:separator/>
      </w:r>
    </w:p>
  </w:endnote>
  <w:endnote w:type="continuationSeparator" w:id="0">
    <w:p w14:paraId="46DFCFAC" w14:textId="77777777" w:rsidR="00835284" w:rsidRDefault="0083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6EBC9" w14:textId="1454E68C" w:rsidR="007A4C62" w:rsidRPr="005E5D7E" w:rsidRDefault="005E5D7E" w:rsidP="00B36EA3">
    <w:pPr>
      <w:pStyle w:val="Footer"/>
      <w:rPr>
        <w:sz w:val="22"/>
        <w:szCs w:val="22"/>
      </w:rPr>
    </w:pPr>
    <w:r>
      <w:rPr>
        <w:sz w:val="22"/>
        <w:szCs w:val="22"/>
      </w:rPr>
      <w:t>REPLY</w:t>
    </w:r>
    <w:r w:rsidR="007A4C62" w:rsidRPr="005E5D7E">
      <w:rPr>
        <w:sz w:val="22"/>
        <w:szCs w:val="22"/>
      </w:rPr>
      <w:t xml:space="preserve"> BRIEF OF COMMISSION STAFF - </w:t>
    </w:r>
    <w:r w:rsidR="007A4C62" w:rsidRPr="005E5D7E">
      <w:rPr>
        <w:sz w:val="22"/>
        <w:szCs w:val="22"/>
      </w:rPr>
      <w:fldChar w:fldCharType="begin"/>
    </w:r>
    <w:r w:rsidR="007A4C62" w:rsidRPr="005E5D7E">
      <w:rPr>
        <w:sz w:val="22"/>
        <w:szCs w:val="22"/>
      </w:rPr>
      <w:instrText xml:space="preserve"> PAGE   \* MERGEFORMAT </w:instrText>
    </w:r>
    <w:r w:rsidR="007A4C62" w:rsidRPr="005E5D7E">
      <w:rPr>
        <w:sz w:val="22"/>
        <w:szCs w:val="22"/>
      </w:rPr>
      <w:fldChar w:fldCharType="separate"/>
    </w:r>
    <w:r w:rsidR="0014611A">
      <w:rPr>
        <w:noProof/>
        <w:sz w:val="22"/>
        <w:szCs w:val="22"/>
      </w:rPr>
      <w:t>i</w:t>
    </w:r>
    <w:r w:rsidR="007A4C62" w:rsidRPr="005E5D7E">
      <w:rPr>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F7802" w14:textId="1B24AD67" w:rsidR="007A4C62" w:rsidRPr="005E5D7E" w:rsidRDefault="005E5D7E" w:rsidP="00B36EA3">
    <w:pPr>
      <w:pStyle w:val="Footer"/>
      <w:rPr>
        <w:sz w:val="22"/>
        <w:szCs w:val="22"/>
      </w:rPr>
    </w:pPr>
    <w:r w:rsidRPr="005E5D7E">
      <w:rPr>
        <w:sz w:val="22"/>
        <w:szCs w:val="22"/>
      </w:rPr>
      <w:t>REPLY</w:t>
    </w:r>
    <w:r w:rsidR="007A4C62" w:rsidRPr="005E5D7E">
      <w:rPr>
        <w:sz w:val="22"/>
        <w:szCs w:val="22"/>
      </w:rPr>
      <w:t xml:space="preserve"> BRIEF OF COMMISSION STAFF - </w:t>
    </w:r>
    <w:r w:rsidR="007A4C62" w:rsidRPr="005E5D7E">
      <w:rPr>
        <w:sz w:val="22"/>
        <w:szCs w:val="22"/>
      </w:rPr>
      <w:fldChar w:fldCharType="begin"/>
    </w:r>
    <w:r w:rsidR="007A4C62" w:rsidRPr="005E5D7E">
      <w:rPr>
        <w:sz w:val="22"/>
        <w:szCs w:val="22"/>
      </w:rPr>
      <w:instrText xml:space="preserve"> PAGE   \* MERGEFORMAT </w:instrText>
    </w:r>
    <w:r w:rsidR="007A4C62" w:rsidRPr="005E5D7E">
      <w:rPr>
        <w:sz w:val="22"/>
        <w:szCs w:val="22"/>
      </w:rPr>
      <w:fldChar w:fldCharType="separate"/>
    </w:r>
    <w:r w:rsidR="0014611A">
      <w:rPr>
        <w:noProof/>
        <w:sz w:val="22"/>
        <w:szCs w:val="22"/>
      </w:rPr>
      <w:t>ii</w:t>
    </w:r>
    <w:r w:rsidR="007A4C62" w:rsidRPr="005E5D7E">
      <w:rPr>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42362" w14:textId="0B831E82" w:rsidR="007A4C62" w:rsidRPr="005E5D7E" w:rsidRDefault="005E5D7E" w:rsidP="00B36EA3">
    <w:pPr>
      <w:pStyle w:val="Footer"/>
      <w:rPr>
        <w:sz w:val="22"/>
        <w:szCs w:val="22"/>
      </w:rPr>
    </w:pPr>
    <w:r>
      <w:rPr>
        <w:sz w:val="22"/>
        <w:szCs w:val="22"/>
      </w:rPr>
      <w:t>REPLY</w:t>
    </w:r>
    <w:r w:rsidR="007A4C62" w:rsidRPr="005E5D7E">
      <w:rPr>
        <w:sz w:val="22"/>
        <w:szCs w:val="22"/>
      </w:rPr>
      <w:t xml:space="preserve"> BRIEF OF COMMISSION STAFF - </w:t>
    </w:r>
    <w:r w:rsidR="007A4C62" w:rsidRPr="005E5D7E">
      <w:rPr>
        <w:sz w:val="22"/>
        <w:szCs w:val="22"/>
      </w:rPr>
      <w:fldChar w:fldCharType="begin"/>
    </w:r>
    <w:r w:rsidR="007A4C62" w:rsidRPr="005E5D7E">
      <w:rPr>
        <w:sz w:val="22"/>
        <w:szCs w:val="22"/>
      </w:rPr>
      <w:instrText xml:space="preserve"> PAGE   \* MERGEFORMAT </w:instrText>
    </w:r>
    <w:r w:rsidR="007A4C62" w:rsidRPr="005E5D7E">
      <w:rPr>
        <w:sz w:val="22"/>
        <w:szCs w:val="22"/>
      </w:rPr>
      <w:fldChar w:fldCharType="separate"/>
    </w:r>
    <w:r w:rsidR="0014611A">
      <w:rPr>
        <w:noProof/>
        <w:sz w:val="22"/>
        <w:szCs w:val="22"/>
      </w:rPr>
      <w:t>8</w:t>
    </w:r>
    <w:r w:rsidR="007A4C62" w:rsidRPr="005E5D7E">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FCFA9" w14:textId="77777777" w:rsidR="00835284" w:rsidRDefault="00835284">
      <w:r>
        <w:separator/>
      </w:r>
    </w:p>
  </w:footnote>
  <w:footnote w:type="continuationSeparator" w:id="0">
    <w:p w14:paraId="46DFCFAA" w14:textId="77777777" w:rsidR="00835284" w:rsidRDefault="00835284">
      <w:r>
        <w:continuationSeparator/>
      </w:r>
    </w:p>
  </w:footnote>
  <w:footnote w:id="1">
    <w:p w14:paraId="3CFE00B9" w14:textId="7EABC623" w:rsidR="009C746C" w:rsidRDefault="009C746C">
      <w:pPr>
        <w:pStyle w:val="FootnoteText"/>
      </w:pPr>
      <w:r>
        <w:rPr>
          <w:rStyle w:val="FootnoteReference"/>
        </w:rPr>
        <w:footnoteRef/>
      </w:r>
      <w:r>
        <w:t xml:space="preserve"> Initial Brief of ICNU, p. 27.</w:t>
      </w:r>
    </w:p>
  </w:footnote>
  <w:footnote w:id="2">
    <w:p w14:paraId="636B3389" w14:textId="1221115A" w:rsidR="00281DCB" w:rsidRDefault="00281DCB">
      <w:pPr>
        <w:pStyle w:val="FootnoteText"/>
      </w:pPr>
      <w:r>
        <w:rPr>
          <w:rStyle w:val="FootnoteReference"/>
        </w:rPr>
        <w:footnoteRef/>
      </w:r>
      <w:r>
        <w:t xml:space="preserve"> </w:t>
      </w:r>
      <w:r w:rsidRPr="00281DCB">
        <w:t>Parcell, Exh. No. DCP-1T 10:1</w:t>
      </w:r>
      <w:r w:rsidR="00423C7E">
        <w:t>–</w:t>
      </w:r>
      <w:r w:rsidRPr="00281DCB">
        <w:t>3</w:t>
      </w:r>
      <w:r>
        <w:t>.</w:t>
      </w:r>
    </w:p>
  </w:footnote>
  <w:footnote w:id="3">
    <w:p w14:paraId="29CF729D" w14:textId="789506A2" w:rsidR="00824069" w:rsidRDefault="00824069">
      <w:pPr>
        <w:pStyle w:val="FootnoteText"/>
      </w:pPr>
      <w:r>
        <w:rPr>
          <w:rStyle w:val="FootnoteReference"/>
        </w:rPr>
        <w:footnoteRef/>
      </w:r>
      <w:r>
        <w:t xml:space="preserve"> </w:t>
      </w:r>
      <w:r w:rsidRPr="00824069">
        <w:t xml:space="preserve">Parcell, </w:t>
      </w:r>
      <w:r w:rsidR="00CD2224">
        <w:t xml:space="preserve">Exh. No. </w:t>
      </w:r>
      <w:r w:rsidR="00423C7E">
        <w:t>DCP-17CX 17:11–</w:t>
      </w:r>
      <w:r w:rsidRPr="00824069">
        <w:t>13 (emphasis added).</w:t>
      </w:r>
    </w:p>
  </w:footnote>
  <w:footnote w:id="4">
    <w:p w14:paraId="43195FAF" w14:textId="7989F464" w:rsidR="00CD2224" w:rsidRDefault="00CD2224">
      <w:pPr>
        <w:pStyle w:val="FootnoteText"/>
      </w:pPr>
      <w:r>
        <w:rPr>
          <w:rStyle w:val="FootnoteReference"/>
        </w:rPr>
        <w:footnoteRef/>
      </w:r>
      <w:r>
        <w:t xml:space="preserve"> Parcell, Exh. No. DCP-1T</w:t>
      </w:r>
      <w:r w:rsidR="000111D8">
        <w:t xml:space="preserve"> 11:17–12:13.</w:t>
      </w:r>
    </w:p>
  </w:footnote>
  <w:footnote w:id="5">
    <w:p w14:paraId="761B5E32" w14:textId="16FDA0BC" w:rsidR="002B4287" w:rsidRDefault="002B4287">
      <w:pPr>
        <w:pStyle w:val="FootnoteText"/>
      </w:pPr>
      <w:r>
        <w:rPr>
          <w:rStyle w:val="FootnoteReference"/>
        </w:rPr>
        <w:footnoteRef/>
      </w:r>
      <w:r>
        <w:t xml:space="preserve"> Initial Brief of Public Counsel, p. 27.</w:t>
      </w:r>
    </w:p>
  </w:footnote>
  <w:footnote w:id="6">
    <w:p w14:paraId="36D5FB4D" w14:textId="1E01D3F3" w:rsidR="002B4287" w:rsidRDefault="002B4287">
      <w:pPr>
        <w:pStyle w:val="FootnoteText"/>
      </w:pPr>
      <w:r>
        <w:rPr>
          <w:rStyle w:val="FootnoteReference"/>
        </w:rPr>
        <w:footnoteRef/>
      </w:r>
      <w:r>
        <w:t xml:space="preserve"> </w:t>
      </w:r>
      <w:r w:rsidR="00B9142F">
        <w:rPr>
          <w:i/>
        </w:rPr>
        <w:t xml:space="preserve">Id. </w:t>
      </w:r>
      <w:r>
        <w:t>at 28.</w:t>
      </w:r>
    </w:p>
  </w:footnote>
  <w:footnote w:id="7">
    <w:p w14:paraId="26A0CCFE" w14:textId="12767AEC" w:rsidR="00587C75" w:rsidRPr="00587C75" w:rsidRDefault="00587C75">
      <w:pPr>
        <w:pStyle w:val="FootnoteText"/>
      </w:pPr>
      <w:r>
        <w:rPr>
          <w:rStyle w:val="FootnoteReference"/>
        </w:rPr>
        <w:footnoteRef/>
      </w:r>
      <w:r>
        <w:t xml:space="preserve"> </w:t>
      </w:r>
      <w:r>
        <w:rPr>
          <w:i/>
        </w:rPr>
        <w:t xml:space="preserve">Id. </w:t>
      </w:r>
      <w:r>
        <w:t>at 28.</w:t>
      </w:r>
    </w:p>
  </w:footnote>
  <w:footnote w:id="8">
    <w:p w14:paraId="752E8EFC" w14:textId="77777777" w:rsidR="00F2277B" w:rsidRDefault="00F2277B" w:rsidP="00F2277B">
      <w:pPr>
        <w:pStyle w:val="FootnoteText"/>
      </w:pPr>
      <w:r>
        <w:rPr>
          <w:rStyle w:val="FootnoteReference"/>
        </w:rPr>
        <w:footnoteRef/>
      </w:r>
      <w:r>
        <w:t xml:space="preserve"> Parcell, TR. 601:15–604:3.</w:t>
      </w:r>
    </w:p>
  </w:footnote>
  <w:footnote w:id="9">
    <w:p w14:paraId="0A5F7031" w14:textId="0779D847" w:rsidR="00455C37" w:rsidRDefault="00455C37">
      <w:pPr>
        <w:pStyle w:val="FootnoteText"/>
      </w:pPr>
      <w:r>
        <w:rPr>
          <w:rStyle w:val="FootnoteReference"/>
        </w:rPr>
        <w:footnoteRef/>
      </w:r>
      <w:r>
        <w:t xml:space="preserve"> </w:t>
      </w:r>
      <w:r w:rsidR="00423C7E">
        <w:t>Parcell, TR. 603:9–</w:t>
      </w:r>
      <w:r>
        <w:t>14.</w:t>
      </w:r>
    </w:p>
  </w:footnote>
  <w:footnote w:id="10">
    <w:p w14:paraId="65EE95AB" w14:textId="76696415" w:rsidR="002977AB" w:rsidRDefault="002977AB">
      <w:pPr>
        <w:pStyle w:val="FootnoteText"/>
      </w:pPr>
      <w:r>
        <w:rPr>
          <w:rStyle w:val="FootnoteReference"/>
        </w:rPr>
        <w:footnoteRef/>
      </w:r>
      <w:r>
        <w:t xml:space="preserve"> Initial Brief of Public Counsel at 25.</w:t>
      </w:r>
    </w:p>
  </w:footnote>
  <w:footnote w:id="11">
    <w:p w14:paraId="7DC664C6" w14:textId="27CF14D5" w:rsidR="00CF1A74" w:rsidRDefault="00CF1A74">
      <w:pPr>
        <w:pStyle w:val="FootnoteText"/>
      </w:pPr>
      <w:r>
        <w:rPr>
          <w:rStyle w:val="FootnoteReference"/>
        </w:rPr>
        <w:footnoteRef/>
      </w:r>
      <w:r w:rsidR="00423C7E">
        <w:t xml:space="preserve"> Parcell, TR. 659:10-12, 14–</w:t>
      </w:r>
      <w:r>
        <w:t>18.</w:t>
      </w:r>
    </w:p>
  </w:footnote>
  <w:footnote w:id="12">
    <w:p w14:paraId="2647B7F6" w14:textId="37CA7A84" w:rsidR="00856995" w:rsidRDefault="00856995">
      <w:pPr>
        <w:pStyle w:val="FootnoteText"/>
      </w:pPr>
      <w:r>
        <w:rPr>
          <w:rStyle w:val="FootnoteReference"/>
        </w:rPr>
        <w:footnoteRef/>
      </w:r>
      <w:r w:rsidR="00423C7E">
        <w:t xml:space="preserve"> Parcell, Exh. No. DCP-1T 27:14–</w:t>
      </w:r>
      <w:r>
        <w:t>17.</w:t>
      </w:r>
    </w:p>
  </w:footnote>
  <w:footnote w:id="13">
    <w:p w14:paraId="76D0CCB2" w14:textId="3E37017B" w:rsidR="0024464E" w:rsidRDefault="0024464E">
      <w:pPr>
        <w:pStyle w:val="FootnoteText"/>
      </w:pPr>
      <w:r>
        <w:rPr>
          <w:rStyle w:val="FootnoteReference"/>
        </w:rPr>
        <w:footnoteRef/>
      </w:r>
      <w:r>
        <w:t xml:space="preserve"> Initia</w:t>
      </w:r>
      <w:r w:rsidR="00423C7E">
        <w:t>l brief of Public Counsel at 22–24; Initial Brief of ICNU at 25–</w:t>
      </w:r>
      <w:r>
        <w:t>26.</w:t>
      </w:r>
    </w:p>
  </w:footnote>
  <w:footnote w:id="14">
    <w:p w14:paraId="45C03D5B" w14:textId="3CEE93F1" w:rsidR="00B662DA" w:rsidRDefault="00B662DA">
      <w:pPr>
        <w:pStyle w:val="FootnoteText"/>
      </w:pPr>
      <w:r>
        <w:rPr>
          <w:rStyle w:val="FootnoteReference"/>
        </w:rPr>
        <w:footnoteRef/>
      </w:r>
      <w:r>
        <w:t xml:space="preserve"> Parcell, Exh. No. DCP-1T 18:</w:t>
      </w:r>
      <w:r w:rsidR="00423C7E">
        <w:t>8–</w:t>
      </w:r>
      <w:r w:rsidR="009D4830">
        <w:t>14</w:t>
      </w:r>
      <w:r>
        <w:t>.</w:t>
      </w:r>
    </w:p>
  </w:footnote>
  <w:footnote w:id="15">
    <w:p w14:paraId="4EAE70DF" w14:textId="0791B11A" w:rsidR="0024464E" w:rsidRDefault="0024464E">
      <w:pPr>
        <w:pStyle w:val="FootnoteText"/>
      </w:pPr>
      <w:r>
        <w:rPr>
          <w:rStyle w:val="FootnoteReference"/>
        </w:rPr>
        <w:footnoteRef/>
      </w:r>
      <w:r>
        <w:t xml:space="preserve"> </w:t>
      </w:r>
      <w:r w:rsidR="00423C7E">
        <w:t>Parcell, Exh. No. DCP-17CX 32:4–</w:t>
      </w:r>
      <w:r>
        <w:t>12.</w:t>
      </w:r>
    </w:p>
  </w:footnote>
  <w:footnote w:id="16">
    <w:p w14:paraId="7AB01DBC" w14:textId="2F034282" w:rsidR="00B744FF" w:rsidRDefault="00B744FF">
      <w:pPr>
        <w:pStyle w:val="FootnoteText"/>
      </w:pPr>
      <w:r>
        <w:rPr>
          <w:rStyle w:val="FootnoteReference"/>
        </w:rPr>
        <w:footnoteRef/>
      </w:r>
      <w:r>
        <w:t xml:space="preserve"> </w:t>
      </w:r>
      <w:r w:rsidR="009D0C7C">
        <w:t>Parcell, Exh. No. DCP-1T 22</w:t>
      </w:r>
      <w:r w:rsidR="00423C7E">
        <w:t>:18–</w:t>
      </w:r>
      <w:r>
        <w:t>20.</w:t>
      </w:r>
    </w:p>
  </w:footnote>
  <w:footnote w:id="17">
    <w:p w14:paraId="0404B2CA" w14:textId="01894D0E" w:rsidR="009D0C7C" w:rsidRPr="009D0C7C" w:rsidRDefault="009D0C7C">
      <w:pPr>
        <w:pStyle w:val="FootnoteText"/>
      </w:pPr>
      <w:r>
        <w:rPr>
          <w:rStyle w:val="FootnoteReference"/>
        </w:rPr>
        <w:footnoteRef/>
      </w:r>
      <w:r>
        <w:t xml:space="preserve"> </w:t>
      </w:r>
      <w:r>
        <w:rPr>
          <w:i/>
        </w:rPr>
        <w:t xml:space="preserve">Id. </w:t>
      </w:r>
      <w:r>
        <w:t>at 22:20–23:</w:t>
      </w:r>
      <w:r w:rsidR="009F368E">
        <w:t>4; 23:13–24:7.</w:t>
      </w:r>
    </w:p>
  </w:footnote>
  <w:footnote w:id="18">
    <w:p w14:paraId="0C50B934" w14:textId="0E2162DC" w:rsidR="006F0569" w:rsidRPr="006F0569" w:rsidRDefault="006F0569">
      <w:pPr>
        <w:pStyle w:val="FootnoteText"/>
      </w:pPr>
      <w:r>
        <w:rPr>
          <w:rStyle w:val="FootnoteReference"/>
        </w:rPr>
        <w:footnoteRef/>
      </w:r>
      <w:r>
        <w:t xml:space="preserve"> </w:t>
      </w:r>
      <w:r>
        <w:rPr>
          <w:i/>
        </w:rPr>
        <w:t xml:space="preserve">Id. </w:t>
      </w:r>
      <w:r w:rsidR="00423C7E">
        <w:t>at 25:5–</w:t>
      </w:r>
      <w:r>
        <w:t>13.</w:t>
      </w:r>
    </w:p>
  </w:footnote>
  <w:footnote w:id="19">
    <w:p w14:paraId="1911C9B4" w14:textId="01EF8E72" w:rsidR="002F18B4" w:rsidRPr="002F18B4" w:rsidRDefault="002F18B4">
      <w:pPr>
        <w:pStyle w:val="FootnoteText"/>
      </w:pPr>
      <w:r>
        <w:rPr>
          <w:rStyle w:val="FootnoteReference"/>
        </w:rPr>
        <w:footnoteRef/>
      </w:r>
      <w:r>
        <w:t xml:space="preserve"> </w:t>
      </w:r>
      <w:r>
        <w:rPr>
          <w:i/>
        </w:rPr>
        <w:t>Id.</w:t>
      </w:r>
      <w:r w:rsidR="00423C7E">
        <w:t xml:space="preserve"> at 26:17–</w:t>
      </w:r>
      <w:r>
        <w:t>19.</w:t>
      </w:r>
    </w:p>
  </w:footnote>
  <w:footnote w:id="20">
    <w:p w14:paraId="74E06A8E" w14:textId="67D3552D" w:rsidR="0005333B" w:rsidRDefault="0005333B">
      <w:pPr>
        <w:pStyle w:val="FootnoteText"/>
      </w:pPr>
      <w:r>
        <w:rPr>
          <w:rStyle w:val="FootnoteReference"/>
        </w:rPr>
        <w:footnoteRef/>
      </w:r>
      <w:r>
        <w:t xml:space="preserve"> Initial Brief of Public Counsel at 25.</w:t>
      </w:r>
    </w:p>
  </w:footnote>
  <w:footnote w:id="21">
    <w:p w14:paraId="0072314B" w14:textId="5E0B98C2" w:rsidR="00FB0843" w:rsidRDefault="00FB0843">
      <w:pPr>
        <w:pStyle w:val="FootnoteText"/>
      </w:pPr>
      <w:r>
        <w:rPr>
          <w:rStyle w:val="FootnoteReference"/>
        </w:rPr>
        <w:footnoteRef/>
      </w:r>
      <w:r>
        <w:t xml:space="preserve"> Initial Brief of ICNU at 23</w:t>
      </w:r>
      <w:r w:rsidR="00423C7E">
        <w:t>–</w:t>
      </w:r>
      <w:r w:rsidR="00E20101">
        <w:t>25</w:t>
      </w:r>
      <w:r>
        <w:t>.</w:t>
      </w:r>
    </w:p>
  </w:footnote>
  <w:footnote w:id="22">
    <w:p w14:paraId="42E77B42" w14:textId="624134DC" w:rsidR="003F6911" w:rsidRDefault="003F6911">
      <w:pPr>
        <w:pStyle w:val="FootnoteText"/>
      </w:pPr>
      <w:r>
        <w:rPr>
          <w:rStyle w:val="FootnoteReference"/>
        </w:rPr>
        <w:footnoteRef/>
      </w:r>
      <w:r w:rsidR="00423C7E">
        <w:t xml:space="preserve"> Gorman, TR. 647:13–</w:t>
      </w:r>
      <w:r>
        <w:t>15.</w:t>
      </w:r>
    </w:p>
  </w:footnote>
  <w:footnote w:id="23">
    <w:p w14:paraId="0BA25520" w14:textId="0D7D2603" w:rsidR="008848DF" w:rsidRDefault="008848DF">
      <w:pPr>
        <w:pStyle w:val="FootnoteText"/>
      </w:pPr>
      <w:r>
        <w:rPr>
          <w:rStyle w:val="FootnoteReference"/>
        </w:rPr>
        <w:footnoteRef/>
      </w:r>
      <w:r>
        <w:t xml:space="preserve"> Initial Brief of ICNU at 24.</w:t>
      </w:r>
    </w:p>
  </w:footnote>
  <w:footnote w:id="24">
    <w:p w14:paraId="334141A1" w14:textId="1465EC3C" w:rsidR="00061C72" w:rsidRPr="00061C72" w:rsidRDefault="00061C72">
      <w:pPr>
        <w:pStyle w:val="FootnoteText"/>
      </w:pPr>
      <w:r>
        <w:rPr>
          <w:rStyle w:val="FootnoteReference"/>
        </w:rPr>
        <w:footnoteRef/>
      </w:r>
      <w:r>
        <w:t xml:space="preserve"> </w:t>
      </w:r>
      <w:r>
        <w:rPr>
          <w:i/>
        </w:rPr>
        <w:t xml:space="preserve">See </w:t>
      </w:r>
      <w:r>
        <w:t>Parcell, Exh. No. DCP-10, p. 1.</w:t>
      </w:r>
    </w:p>
  </w:footnote>
  <w:footnote w:id="25">
    <w:p w14:paraId="68BEA0AD" w14:textId="5F5BDBD9" w:rsidR="00EB3431" w:rsidRDefault="00EB3431">
      <w:pPr>
        <w:pStyle w:val="FootnoteText"/>
      </w:pPr>
      <w:r>
        <w:rPr>
          <w:rStyle w:val="FootnoteReference"/>
        </w:rPr>
        <w:footnoteRef/>
      </w:r>
      <w:r>
        <w:t xml:space="preserve"> Initial Brief of Public Counsel at 8.</w:t>
      </w:r>
    </w:p>
  </w:footnote>
  <w:footnote w:id="26">
    <w:p w14:paraId="4018445C" w14:textId="0B17B12A" w:rsidR="008C0B12" w:rsidRDefault="008C0B12">
      <w:pPr>
        <w:pStyle w:val="FootnoteText"/>
      </w:pPr>
      <w:r>
        <w:rPr>
          <w:rStyle w:val="FootnoteReference"/>
        </w:rPr>
        <w:footnoteRef/>
      </w:r>
      <w:r w:rsidR="00B9142F">
        <w:t xml:space="preserve"> </w:t>
      </w:r>
      <w:r w:rsidR="00B9142F">
        <w:rPr>
          <w:i/>
        </w:rPr>
        <w:t>Id.</w:t>
      </w:r>
      <w:r>
        <w:t xml:space="preserve"> at 44.</w:t>
      </w:r>
    </w:p>
  </w:footnote>
  <w:footnote w:id="27">
    <w:p w14:paraId="5EA732B1" w14:textId="7BB2E25A" w:rsidR="00927543" w:rsidRDefault="00927543">
      <w:pPr>
        <w:pStyle w:val="FootnoteText"/>
      </w:pPr>
      <w:r>
        <w:rPr>
          <w:rStyle w:val="FootnoteReference"/>
        </w:rPr>
        <w:footnoteRef/>
      </w:r>
      <w:r w:rsidR="00B6161E">
        <w:t xml:space="preserve"> Cavanagh, Exh. No. RCC-5, p. 14 (“As the table demonstrates, the large majority of decisions adopting decoupling make no ROE reduction”)</w:t>
      </w:r>
      <w:r>
        <w:t>.</w:t>
      </w:r>
    </w:p>
  </w:footnote>
  <w:footnote w:id="28">
    <w:p w14:paraId="7A3320F9" w14:textId="13234EC4" w:rsidR="007D519D" w:rsidRDefault="007D519D">
      <w:pPr>
        <w:pStyle w:val="FootnoteText"/>
      </w:pPr>
      <w:r>
        <w:rPr>
          <w:rStyle w:val="FootnoteReference"/>
        </w:rPr>
        <w:footnoteRef/>
      </w:r>
      <w:r>
        <w:t xml:space="preserve"> RCW 80.28.020.</w:t>
      </w:r>
    </w:p>
  </w:footnote>
  <w:footnote w:id="29">
    <w:p w14:paraId="0823551A" w14:textId="6DAF2482" w:rsidR="00416C9B" w:rsidRDefault="00416C9B">
      <w:pPr>
        <w:pStyle w:val="FootnoteText"/>
      </w:pPr>
      <w:r>
        <w:rPr>
          <w:rStyle w:val="FootnoteReference"/>
        </w:rPr>
        <w:footnoteRef/>
      </w:r>
      <w:r>
        <w:t xml:space="preserve"> </w:t>
      </w:r>
      <w:r w:rsidR="0098297C">
        <w:rPr>
          <w:i/>
        </w:rPr>
        <w:t>People’s Org. for Wash. Energy Res.</w:t>
      </w:r>
      <w:r w:rsidRPr="006C42AB">
        <w:rPr>
          <w:i/>
        </w:rPr>
        <w:t xml:space="preserve"> v. Utils. &amp; Transp. Comm’n</w:t>
      </w:r>
      <w:r>
        <w:t>, 104 Wn.2d 798, 812 (1985).</w:t>
      </w:r>
    </w:p>
  </w:footnote>
  <w:footnote w:id="30">
    <w:p w14:paraId="13B27097" w14:textId="09908AD3" w:rsidR="003B7B89" w:rsidRPr="00D97837" w:rsidRDefault="003B7B89">
      <w:pPr>
        <w:pStyle w:val="FootnoteText"/>
      </w:pPr>
      <w:r>
        <w:rPr>
          <w:rStyle w:val="FootnoteReference"/>
        </w:rPr>
        <w:footnoteRef/>
      </w:r>
      <w:r>
        <w:t xml:space="preserve"> </w:t>
      </w:r>
      <w:r>
        <w:rPr>
          <w:i/>
        </w:rPr>
        <w:t xml:space="preserve">See id. </w:t>
      </w:r>
      <w:r>
        <w:t xml:space="preserve">at </w:t>
      </w:r>
      <w:r w:rsidR="00423C7E">
        <w:t>811–</w:t>
      </w:r>
      <w:r w:rsidR="00D97837">
        <w:t xml:space="preserve">12, </w:t>
      </w:r>
      <w:r w:rsidR="00D97837">
        <w:rPr>
          <w:i/>
        </w:rPr>
        <w:t>citing F</w:t>
      </w:r>
      <w:r w:rsidR="00600B45">
        <w:rPr>
          <w:i/>
        </w:rPr>
        <w:t>ed. Power Comm’n</w:t>
      </w:r>
      <w:r w:rsidR="00D97837">
        <w:rPr>
          <w:i/>
        </w:rPr>
        <w:t xml:space="preserve"> v. Hope Natural Gas Co., </w:t>
      </w:r>
      <w:r w:rsidR="00D97837" w:rsidRPr="00D97837">
        <w:t>320 U.S. 591, 605, 64 S. Ct. 281</w:t>
      </w:r>
      <w:r w:rsidR="00663322" w:rsidRPr="00D97837">
        <w:t>, 88 L. E</w:t>
      </w:r>
      <w:r w:rsidR="00663322">
        <w:t>d</w:t>
      </w:r>
      <w:r w:rsidR="00663322" w:rsidRPr="00D97837">
        <w:t>. 333</w:t>
      </w:r>
      <w:r w:rsidR="00D97837" w:rsidRPr="00D97837">
        <w:t xml:space="preserve"> (1944).</w:t>
      </w:r>
    </w:p>
  </w:footnote>
  <w:footnote w:id="31">
    <w:p w14:paraId="46A29216" w14:textId="6B255142" w:rsidR="008C0B12" w:rsidRPr="008C0B12" w:rsidRDefault="008C0B12">
      <w:pPr>
        <w:pStyle w:val="FootnoteText"/>
      </w:pPr>
      <w:r>
        <w:rPr>
          <w:rStyle w:val="FootnoteReference"/>
        </w:rPr>
        <w:footnoteRef/>
      </w:r>
      <w:r>
        <w:t xml:space="preserve"> </w:t>
      </w:r>
      <w:r w:rsidR="007D519D">
        <w:t>Initial Brief of Public Counsel</w:t>
      </w:r>
      <w:r>
        <w:t xml:space="preserve"> at 44.</w:t>
      </w:r>
    </w:p>
  </w:footnote>
  <w:footnote w:id="32">
    <w:p w14:paraId="3AA099C5" w14:textId="5778D320" w:rsidR="0003467F" w:rsidRDefault="0003467F">
      <w:pPr>
        <w:pStyle w:val="FootnoteText"/>
      </w:pPr>
      <w:r>
        <w:rPr>
          <w:rStyle w:val="FootnoteReference"/>
        </w:rPr>
        <w:footnoteRef/>
      </w:r>
      <w:r>
        <w:t xml:space="preserve"> Decoupling applies only to delivery revenues.  </w:t>
      </w:r>
      <w:r w:rsidR="00036F89">
        <w:t>Schooley</w:t>
      </w:r>
      <w:r>
        <w:t>, Exh. No</w:t>
      </w:r>
      <w:r w:rsidR="00BC6065">
        <w:t>. TES-1T 16:18 (“The [revenue per customer] revenues are only for electric delivery revenues”);</w:t>
      </w:r>
      <w:r w:rsidR="00E46446">
        <w:t xml:space="preserve"> Exh. No. TES-1T 7:4-7 (“Power costs are excluded and . . . [p]roperty taxes are also removed”).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915CC" w14:textId="77777777" w:rsidR="007A4C62" w:rsidRDefault="007A4C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3B0C4E"/>
    <w:multiLevelType w:val="hybridMultilevel"/>
    <w:tmpl w:val="433A879E"/>
    <w:lvl w:ilvl="0" w:tplc="F9A0082E">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01D42"/>
    <w:rsid w:val="000111D8"/>
    <w:rsid w:val="00025DB8"/>
    <w:rsid w:val="0003467F"/>
    <w:rsid w:val="00036F89"/>
    <w:rsid w:val="00050049"/>
    <w:rsid w:val="0005333B"/>
    <w:rsid w:val="00055EF8"/>
    <w:rsid w:val="00061C72"/>
    <w:rsid w:val="00065753"/>
    <w:rsid w:val="000C4164"/>
    <w:rsid w:val="000D7816"/>
    <w:rsid w:val="000E27C2"/>
    <w:rsid w:val="000E656F"/>
    <w:rsid w:val="001031A4"/>
    <w:rsid w:val="0014611A"/>
    <w:rsid w:val="00162B64"/>
    <w:rsid w:val="001636BB"/>
    <w:rsid w:val="00181B29"/>
    <w:rsid w:val="001A3E51"/>
    <w:rsid w:val="001B50FA"/>
    <w:rsid w:val="001B5B3F"/>
    <w:rsid w:val="001B7F10"/>
    <w:rsid w:val="001C0D8D"/>
    <w:rsid w:val="00231A4D"/>
    <w:rsid w:val="0024464E"/>
    <w:rsid w:val="00255923"/>
    <w:rsid w:val="00261348"/>
    <w:rsid w:val="00270F44"/>
    <w:rsid w:val="00281DCB"/>
    <w:rsid w:val="00282C7C"/>
    <w:rsid w:val="002977AB"/>
    <w:rsid w:val="002A03D3"/>
    <w:rsid w:val="002A50EA"/>
    <w:rsid w:val="002A7B11"/>
    <w:rsid w:val="002B1AD0"/>
    <w:rsid w:val="002B4287"/>
    <w:rsid w:val="002C5BF6"/>
    <w:rsid w:val="002D7862"/>
    <w:rsid w:val="002F18B4"/>
    <w:rsid w:val="00301085"/>
    <w:rsid w:val="00355025"/>
    <w:rsid w:val="00384FBC"/>
    <w:rsid w:val="003863FC"/>
    <w:rsid w:val="003A18CF"/>
    <w:rsid w:val="003B6525"/>
    <w:rsid w:val="003B7674"/>
    <w:rsid w:val="003B7B89"/>
    <w:rsid w:val="003C5390"/>
    <w:rsid w:val="003E3B7E"/>
    <w:rsid w:val="003F1945"/>
    <w:rsid w:val="003F49BE"/>
    <w:rsid w:val="003F6911"/>
    <w:rsid w:val="00410281"/>
    <w:rsid w:val="00416C9B"/>
    <w:rsid w:val="00420F5F"/>
    <w:rsid w:val="00423C7E"/>
    <w:rsid w:val="00432347"/>
    <w:rsid w:val="0045597A"/>
    <w:rsid w:val="00455C37"/>
    <w:rsid w:val="004A26FF"/>
    <w:rsid w:val="004A4F64"/>
    <w:rsid w:val="004C3D65"/>
    <w:rsid w:val="004C531F"/>
    <w:rsid w:val="004F3234"/>
    <w:rsid w:val="004F69A5"/>
    <w:rsid w:val="00501FFC"/>
    <w:rsid w:val="00502478"/>
    <w:rsid w:val="005208C7"/>
    <w:rsid w:val="00546538"/>
    <w:rsid w:val="005675C3"/>
    <w:rsid w:val="00587C75"/>
    <w:rsid w:val="00595B23"/>
    <w:rsid w:val="00595D41"/>
    <w:rsid w:val="005E07C2"/>
    <w:rsid w:val="005E0809"/>
    <w:rsid w:val="005E5D7E"/>
    <w:rsid w:val="005F6460"/>
    <w:rsid w:val="00600B45"/>
    <w:rsid w:val="00636FFB"/>
    <w:rsid w:val="00641F98"/>
    <w:rsid w:val="0065561B"/>
    <w:rsid w:val="00663322"/>
    <w:rsid w:val="006A6108"/>
    <w:rsid w:val="006C42AB"/>
    <w:rsid w:val="006D1707"/>
    <w:rsid w:val="006F0569"/>
    <w:rsid w:val="00706E14"/>
    <w:rsid w:val="00711240"/>
    <w:rsid w:val="00713BC9"/>
    <w:rsid w:val="00737B08"/>
    <w:rsid w:val="007464F1"/>
    <w:rsid w:val="00761AF6"/>
    <w:rsid w:val="00764F8B"/>
    <w:rsid w:val="0076699B"/>
    <w:rsid w:val="00785995"/>
    <w:rsid w:val="00787AFC"/>
    <w:rsid w:val="007A4C62"/>
    <w:rsid w:val="007B73E7"/>
    <w:rsid w:val="007C1BA6"/>
    <w:rsid w:val="007C7320"/>
    <w:rsid w:val="007D519D"/>
    <w:rsid w:val="007F3E44"/>
    <w:rsid w:val="00824069"/>
    <w:rsid w:val="00835284"/>
    <w:rsid w:val="00845C8A"/>
    <w:rsid w:val="00854959"/>
    <w:rsid w:val="00856995"/>
    <w:rsid w:val="008600C6"/>
    <w:rsid w:val="00860D8D"/>
    <w:rsid w:val="00863EB0"/>
    <w:rsid w:val="00880614"/>
    <w:rsid w:val="008848DF"/>
    <w:rsid w:val="008851AD"/>
    <w:rsid w:val="0089062F"/>
    <w:rsid w:val="00894DDF"/>
    <w:rsid w:val="008C0B12"/>
    <w:rsid w:val="008C6A75"/>
    <w:rsid w:val="008D632C"/>
    <w:rsid w:val="008E7DE4"/>
    <w:rsid w:val="008F2F9D"/>
    <w:rsid w:val="00910EB9"/>
    <w:rsid w:val="00915690"/>
    <w:rsid w:val="0091680C"/>
    <w:rsid w:val="009203C1"/>
    <w:rsid w:val="00927543"/>
    <w:rsid w:val="009308D6"/>
    <w:rsid w:val="00934152"/>
    <w:rsid w:val="009447EA"/>
    <w:rsid w:val="009479C1"/>
    <w:rsid w:val="00950610"/>
    <w:rsid w:val="009631F8"/>
    <w:rsid w:val="0098297C"/>
    <w:rsid w:val="00985277"/>
    <w:rsid w:val="009A12E4"/>
    <w:rsid w:val="009C2DB0"/>
    <w:rsid w:val="009C746C"/>
    <w:rsid w:val="009D0C7C"/>
    <w:rsid w:val="009D3E3D"/>
    <w:rsid w:val="009D4830"/>
    <w:rsid w:val="009D6057"/>
    <w:rsid w:val="009D7BFF"/>
    <w:rsid w:val="009F368E"/>
    <w:rsid w:val="00A02905"/>
    <w:rsid w:val="00A22DCC"/>
    <w:rsid w:val="00A30C52"/>
    <w:rsid w:val="00A80028"/>
    <w:rsid w:val="00A918DE"/>
    <w:rsid w:val="00B13E13"/>
    <w:rsid w:val="00B15F13"/>
    <w:rsid w:val="00B258E6"/>
    <w:rsid w:val="00B321AA"/>
    <w:rsid w:val="00B33584"/>
    <w:rsid w:val="00B525DE"/>
    <w:rsid w:val="00B539D1"/>
    <w:rsid w:val="00B6161E"/>
    <w:rsid w:val="00B662DA"/>
    <w:rsid w:val="00B73691"/>
    <w:rsid w:val="00B73973"/>
    <w:rsid w:val="00B744FF"/>
    <w:rsid w:val="00B75534"/>
    <w:rsid w:val="00B9142F"/>
    <w:rsid w:val="00B94C54"/>
    <w:rsid w:val="00BC6065"/>
    <w:rsid w:val="00BD7F99"/>
    <w:rsid w:val="00BE0D35"/>
    <w:rsid w:val="00BF2F67"/>
    <w:rsid w:val="00BF3CD1"/>
    <w:rsid w:val="00C02798"/>
    <w:rsid w:val="00C029A8"/>
    <w:rsid w:val="00C16626"/>
    <w:rsid w:val="00C360A4"/>
    <w:rsid w:val="00C411C6"/>
    <w:rsid w:val="00C5478B"/>
    <w:rsid w:val="00C55ECE"/>
    <w:rsid w:val="00C64DF0"/>
    <w:rsid w:val="00C64E35"/>
    <w:rsid w:val="00C96090"/>
    <w:rsid w:val="00CA0FB6"/>
    <w:rsid w:val="00CC02DB"/>
    <w:rsid w:val="00CD2224"/>
    <w:rsid w:val="00CD601F"/>
    <w:rsid w:val="00CE640D"/>
    <w:rsid w:val="00CF1A74"/>
    <w:rsid w:val="00CF7C58"/>
    <w:rsid w:val="00D1154E"/>
    <w:rsid w:val="00D1527D"/>
    <w:rsid w:val="00D17421"/>
    <w:rsid w:val="00D22816"/>
    <w:rsid w:val="00D45AD0"/>
    <w:rsid w:val="00D7253F"/>
    <w:rsid w:val="00D92139"/>
    <w:rsid w:val="00D97837"/>
    <w:rsid w:val="00DA082B"/>
    <w:rsid w:val="00DA492F"/>
    <w:rsid w:val="00DC0A75"/>
    <w:rsid w:val="00DD7597"/>
    <w:rsid w:val="00E1483E"/>
    <w:rsid w:val="00E20101"/>
    <w:rsid w:val="00E21268"/>
    <w:rsid w:val="00E2549C"/>
    <w:rsid w:val="00E27074"/>
    <w:rsid w:val="00E3381A"/>
    <w:rsid w:val="00E46446"/>
    <w:rsid w:val="00E46DB8"/>
    <w:rsid w:val="00EB3431"/>
    <w:rsid w:val="00EC5B23"/>
    <w:rsid w:val="00EC6CC4"/>
    <w:rsid w:val="00EE1CD1"/>
    <w:rsid w:val="00EE2F38"/>
    <w:rsid w:val="00F2277B"/>
    <w:rsid w:val="00F748D8"/>
    <w:rsid w:val="00F77C60"/>
    <w:rsid w:val="00F87857"/>
    <w:rsid w:val="00FB0843"/>
    <w:rsid w:val="00FE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6DFCF81"/>
  <w15:docId w15:val="{B4BD5D0B-BB40-4299-BC95-B6BAE3B0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ListParagraph">
    <w:name w:val="List Paragraph"/>
    <w:basedOn w:val="Normal"/>
    <w:uiPriority w:val="34"/>
    <w:qFormat/>
    <w:rsid w:val="008C6A75"/>
    <w:pPr>
      <w:ind w:left="720"/>
      <w:contextualSpacing/>
    </w:pPr>
  </w:style>
  <w:style w:type="paragraph" w:styleId="PlainText">
    <w:name w:val="Plain Text"/>
    <w:basedOn w:val="Normal"/>
    <w:link w:val="PlainTextChar"/>
    <w:uiPriority w:val="99"/>
    <w:unhideWhenUsed/>
    <w:rsid w:val="00B525DE"/>
    <w:pPr>
      <w:widowControl/>
      <w:autoSpaceDE/>
      <w:autoSpaceDN/>
      <w:adjustRightInd/>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525DE"/>
    <w:rPr>
      <w:rFonts w:ascii="Consolas" w:eastAsiaTheme="minorHAnsi" w:hAnsi="Consolas" w:cstheme="minorBidi"/>
      <w:sz w:val="21"/>
      <w:szCs w:val="21"/>
    </w:rPr>
  </w:style>
  <w:style w:type="character" w:styleId="CommentReference">
    <w:name w:val="annotation reference"/>
    <w:basedOn w:val="DefaultParagraphFont"/>
    <w:semiHidden/>
    <w:unhideWhenUsed/>
    <w:rsid w:val="007A4C62"/>
    <w:rPr>
      <w:sz w:val="16"/>
      <w:szCs w:val="16"/>
    </w:rPr>
  </w:style>
  <w:style w:type="paragraph" w:styleId="CommentText">
    <w:name w:val="annotation text"/>
    <w:basedOn w:val="Normal"/>
    <w:link w:val="CommentTextChar"/>
    <w:semiHidden/>
    <w:unhideWhenUsed/>
    <w:rsid w:val="007A4C62"/>
    <w:rPr>
      <w:szCs w:val="20"/>
    </w:rPr>
  </w:style>
  <w:style w:type="character" w:customStyle="1" w:styleId="CommentTextChar">
    <w:name w:val="Comment Text Char"/>
    <w:basedOn w:val="DefaultParagraphFont"/>
    <w:link w:val="CommentText"/>
    <w:semiHidden/>
    <w:rsid w:val="007A4C62"/>
  </w:style>
  <w:style w:type="paragraph" w:styleId="CommentSubject">
    <w:name w:val="annotation subject"/>
    <w:basedOn w:val="CommentText"/>
    <w:next w:val="CommentText"/>
    <w:link w:val="CommentSubjectChar"/>
    <w:semiHidden/>
    <w:unhideWhenUsed/>
    <w:rsid w:val="007A4C62"/>
    <w:rPr>
      <w:b/>
      <w:bCs/>
    </w:rPr>
  </w:style>
  <w:style w:type="character" w:customStyle="1" w:styleId="CommentSubjectChar">
    <w:name w:val="Comment Subject Char"/>
    <w:basedOn w:val="CommentTextChar"/>
    <w:link w:val="CommentSubject"/>
    <w:semiHidden/>
    <w:rsid w:val="007A4C62"/>
    <w:rPr>
      <w:b/>
      <w:bCs/>
    </w:rPr>
  </w:style>
  <w:style w:type="paragraph" w:styleId="BalloonText">
    <w:name w:val="Balloon Text"/>
    <w:basedOn w:val="Normal"/>
    <w:link w:val="BalloonTextChar"/>
    <w:semiHidden/>
    <w:unhideWhenUsed/>
    <w:rsid w:val="007A4C62"/>
    <w:rPr>
      <w:rFonts w:ascii="Segoe UI" w:hAnsi="Segoe UI" w:cs="Segoe UI"/>
      <w:sz w:val="18"/>
      <w:szCs w:val="18"/>
    </w:rPr>
  </w:style>
  <w:style w:type="character" w:customStyle="1" w:styleId="BalloonTextChar">
    <w:name w:val="Balloon Text Char"/>
    <w:basedOn w:val="DefaultParagraphFont"/>
    <w:link w:val="BalloonText"/>
    <w:semiHidden/>
    <w:rsid w:val="007A4C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2015-03-20T23:05:20+00:00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BAECC3D-4BEC-4A32-B602-129075061A11}"/>
</file>

<file path=customXml/itemProps2.xml><?xml version="1.0" encoding="utf-8"?>
<ds:datastoreItem xmlns:ds="http://schemas.openxmlformats.org/officeDocument/2006/customXml" ds:itemID="{74998970-627B-4707-8E23-D95CDD87B502}"/>
</file>

<file path=customXml/itemProps3.xml><?xml version="1.0" encoding="utf-8"?>
<ds:datastoreItem xmlns:ds="http://schemas.openxmlformats.org/officeDocument/2006/customXml" ds:itemID="{C191DCFB-D936-49D9-B154-DE0CE7473E1C}"/>
</file>

<file path=customXml/itemProps4.xml><?xml version="1.0" encoding="utf-8"?>
<ds:datastoreItem xmlns:ds="http://schemas.openxmlformats.org/officeDocument/2006/customXml" ds:itemID="{FD306269-7A1A-4B5C-A27B-F8A683E7015A}"/>
</file>

<file path=customXml/itemProps5.xml><?xml version="1.0" encoding="utf-8"?>
<ds:datastoreItem xmlns:ds="http://schemas.openxmlformats.org/officeDocument/2006/customXml" ds:itemID="{53EAE6C6-77F2-4948-BA97-2BC0DD74AB4B}"/>
</file>

<file path=docProps/app.xml><?xml version="1.0" encoding="utf-8"?>
<Properties xmlns="http://schemas.openxmlformats.org/officeDocument/2006/extended-properties" xmlns:vt="http://schemas.openxmlformats.org/officeDocument/2006/docPropsVTypes">
  <Template>Normal.dotm</Template>
  <TotalTime>1078</TotalTime>
  <Pages>11</Pages>
  <Words>2235</Words>
  <Characters>12741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 Linley</dc:creator>
  <cp:lastModifiedBy>DeMarco, Betsy (UTC)</cp:lastModifiedBy>
  <cp:revision>142</cp:revision>
  <dcterms:created xsi:type="dcterms:W3CDTF">2015-03-02T17:08:00Z</dcterms:created>
  <dcterms:modified xsi:type="dcterms:W3CDTF">2015-03-20T20:07:00Z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