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12" w:rsidRPr="00B63112" w:rsidRDefault="00B63112" w:rsidP="00B63112">
      <w:pPr>
        <w:spacing w:after="0" w:line="240" w:lineRule="auto"/>
        <w:jc w:val="center"/>
        <w:rPr>
          <w:rFonts w:eastAsia="Times New Roman" w:cs="Times New Roman"/>
          <w:b/>
          <w:sz w:val="24"/>
          <w:szCs w:val="24"/>
        </w:rPr>
      </w:pPr>
      <w:r w:rsidRPr="00B63112">
        <w:rPr>
          <w:rFonts w:eastAsia="Times New Roman" w:cs="Times New Roman"/>
          <w:b/>
          <w:sz w:val="24"/>
          <w:szCs w:val="24"/>
        </w:rPr>
        <w:t>BEFORE THE WASHINGTON</w:t>
      </w:r>
    </w:p>
    <w:p w:rsidR="00B63112" w:rsidRPr="00B63112" w:rsidRDefault="00B63112" w:rsidP="00B63112">
      <w:pPr>
        <w:spacing w:after="0" w:line="240" w:lineRule="auto"/>
        <w:jc w:val="center"/>
        <w:rPr>
          <w:rFonts w:eastAsia="Times New Roman" w:cs="Times New Roman"/>
          <w:b/>
          <w:sz w:val="24"/>
          <w:szCs w:val="24"/>
        </w:rPr>
      </w:pPr>
      <w:r w:rsidRPr="00B63112">
        <w:rPr>
          <w:rFonts w:eastAsia="Times New Roman" w:cs="Times New Roman"/>
          <w:b/>
          <w:sz w:val="24"/>
          <w:szCs w:val="24"/>
        </w:rPr>
        <w:t>UTILITIES AND TRANSPORTATION COMMISSION</w:t>
      </w:r>
    </w:p>
    <w:p w:rsidR="00B63112" w:rsidRDefault="00B63112" w:rsidP="00B63112">
      <w:pPr>
        <w:spacing w:after="0" w:line="240" w:lineRule="auto"/>
        <w:jc w:val="center"/>
        <w:rPr>
          <w:rFonts w:eastAsia="Times New Roman" w:cs="Times New Roman"/>
          <w:b/>
          <w:sz w:val="24"/>
          <w:szCs w:val="24"/>
        </w:rPr>
      </w:pPr>
    </w:p>
    <w:p w:rsidR="003727F5" w:rsidRPr="00B63112" w:rsidRDefault="003727F5" w:rsidP="00B63112">
      <w:pPr>
        <w:spacing w:after="0" w:line="240" w:lineRule="auto"/>
        <w:jc w:val="center"/>
        <w:rPr>
          <w:rFonts w:eastAsia="Times New Roman" w:cs="Times New Roman"/>
          <w:b/>
          <w:sz w:val="24"/>
          <w:szCs w:val="24"/>
        </w:rPr>
      </w:pPr>
    </w:p>
    <w:tbl>
      <w:tblPr>
        <w:tblW w:w="8667" w:type="dxa"/>
        <w:tblLook w:val="01E0" w:firstRow="1" w:lastRow="1" w:firstColumn="1" w:lastColumn="1" w:noHBand="0" w:noVBand="0"/>
      </w:tblPr>
      <w:tblGrid>
        <w:gridCol w:w="4068"/>
        <w:gridCol w:w="540"/>
        <w:gridCol w:w="4059"/>
      </w:tblGrid>
      <w:tr w:rsidR="00B63112" w:rsidRPr="00B63112" w:rsidTr="00B63112">
        <w:tc>
          <w:tcPr>
            <w:tcW w:w="4068" w:type="dxa"/>
          </w:tcPr>
          <w:p w:rsidR="00B63112" w:rsidRPr="00B63112" w:rsidRDefault="00B63112" w:rsidP="00B63112">
            <w:pPr>
              <w:spacing w:after="0" w:line="240" w:lineRule="auto"/>
              <w:rPr>
                <w:rFonts w:eastAsia="Times New Roman" w:cs="Times New Roman"/>
                <w:sz w:val="24"/>
                <w:szCs w:val="24"/>
              </w:rPr>
            </w:pPr>
            <w:smartTag w:uri="urn:schemas-microsoft-com:office:smarttags" w:element="State">
              <w:smartTag w:uri="urn:schemas-microsoft-com:office:smarttags" w:element="place">
                <w:r w:rsidRPr="00B63112">
                  <w:rPr>
                    <w:rFonts w:eastAsia="Times New Roman" w:cs="Times New Roman"/>
                    <w:sz w:val="24"/>
                    <w:szCs w:val="24"/>
                  </w:rPr>
                  <w:t>WASHINGTON</w:t>
                </w:r>
              </w:smartTag>
            </w:smartTag>
            <w:r w:rsidRPr="00B63112">
              <w:rPr>
                <w:rFonts w:eastAsia="Times New Roman" w:cs="Times New Roman"/>
                <w:sz w:val="24"/>
                <w:szCs w:val="24"/>
              </w:rPr>
              <w:t xml:space="preserve"> UTILITIES AND TRANSPORTATION COMMISSION,</w:t>
            </w:r>
          </w:p>
          <w:p w:rsidR="00B63112" w:rsidRPr="00B63112" w:rsidRDefault="00B63112" w:rsidP="00B63112">
            <w:pPr>
              <w:spacing w:after="0" w:line="240" w:lineRule="auto"/>
              <w:rPr>
                <w:rFonts w:eastAsia="Times New Roman" w:cs="Times New Roman"/>
                <w:sz w:val="24"/>
                <w:szCs w:val="24"/>
              </w:rPr>
            </w:pPr>
          </w:p>
          <w:p w:rsidR="00B63112" w:rsidRPr="00B63112" w:rsidRDefault="003727F5" w:rsidP="003727F5">
            <w:pPr>
              <w:tabs>
                <w:tab w:val="left" w:pos="2133"/>
              </w:tabs>
              <w:spacing w:after="0" w:line="240" w:lineRule="auto"/>
              <w:rPr>
                <w:rFonts w:eastAsia="Times New Roman" w:cs="Times New Roman"/>
                <w:sz w:val="24"/>
                <w:szCs w:val="24"/>
              </w:rPr>
            </w:pPr>
            <w:r>
              <w:rPr>
                <w:rFonts w:eastAsia="Times New Roman" w:cs="Times New Roman"/>
                <w:sz w:val="24"/>
                <w:szCs w:val="24"/>
              </w:rPr>
              <w:tab/>
            </w:r>
            <w:r w:rsidR="00B63112" w:rsidRPr="00B63112">
              <w:rPr>
                <w:rFonts w:eastAsia="Times New Roman" w:cs="Times New Roman"/>
                <w:sz w:val="24"/>
                <w:szCs w:val="24"/>
              </w:rPr>
              <w:t>Complainant,</w:t>
            </w:r>
          </w:p>
          <w:p w:rsidR="00B63112" w:rsidRPr="00B63112" w:rsidRDefault="00B63112" w:rsidP="00B63112">
            <w:pPr>
              <w:spacing w:after="0" w:line="240" w:lineRule="auto"/>
              <w:rPr>
                <w:rFonts w:eastAsia="Times New Roman" w:cs="Times New Roman"/>
                <w:sz w:val="24"/>
                <w:szCs w:val="24"/>
              </w:rPr>
            </w:pPr>
          </w:p>
          <w:p w:rsidR="00B63112" w:rsidRPr="00B63112" w:rsidRDefault="00B63112" w:rsidP="003727F5">
            <w:pPr>
              <w:spacing w:after="0" w:line="240" w:lineRule="auto"/>
              <w:rPr>
                <w:rFonts w:eastAsia="Times New Roman" w:cs="Times New Roman"/>
                <w:sz w:val="24"/>
                <w:szCs w:val="24"/>
              </w:rPr>
            </w:pPr>
            <w:r w:rsidRPr="00B63112">
              <w:rPr>
                <w:rFonts w:eastAsia="Times New Roman" w:cs="Times New Roman"/>
                <w:sz w:val="24"/>
                <w:szCs w:val="24"/>
              </w:rPr>
              <w:t>v.</w:t>
            </w:r>
          </w:p>
          <w:p w:rsidR="00B63112" w:rsidRPr="00B63112" w:rsidRDefault="00B63112" w:rsidP="00B63112">
            <w:pPr>
              <w:spacing w:after="0" w:line="240" w:lineRule="auto"/>
              <w:jc w:val="center"/>
              <w:rPr>
                <w:rFonts w:eastAsia="Times New Roman" w:cs="Times New Roman"/>
                <w:sz w:val="24"/>
                <w:szCs w:val="24"/>
              </w:rPr>
            </w:pPr>
          </w:p>
          <w:p w:rsidR="00B63112" w:rsidRPr="00B63112" w:rsidRDefault="00B63112" w:rsidP="00B63112">
            <w:pPr>
              <w:spacing w:after="0" w:line="240" w:lineRule="auto"/>
              <w:rPr>
                <w:rFonts w:eastAsia="Times New Roman" w:cs="Times New Roman"/>
                <w:sz w:val="24"/>
                <w:szCs w:val="24"/>
              </w:rPr>
            </w:pPr>
            <w:r w:rsidRPr="00B63112">
              <w:rPr>
                <w:rFonts w:eastAsia="Times New Roman" w:cs="Times New Roman"/>
                <w:sz w:val="24"/>
                <w:szCs w:val="24"/>
              </w:rPr>
              <w:fldChar w:fldCharType="begin"/>
            </w:r>
            <w:r w:rsidRPr="00B63112">
              <w:rPr>
                <w:rFonts w:eastAsia="Times New Roman" w:cs="Times New Roman"/>
                <w:sz w:val="24"/>
                <w:szCs w:val="24"/>
              </w:rPr>
              <w:instrText xml:space="preserve"> ASK company1_name "Enter Full Company 1 Name</w:instrText>
            </w:r>
            <w:r w:rsidRPr="00B63112">
              <w:rPr>
                <w:rFonts w:eastAsia="Times New Roman" w:cs="Times New Roman"/>
                <w:sz w:val="24"/>
                <w:szCs w:val="24"/>
              </w:rPr>
              <w:fldChar w:fldCharType="separate"/>
            </w:r>
            <w:bookmarkStart w:id="0" w:name="company1_name"/>
            <w:r w:rsidRPr="00B63112">
              <w:rPr>
                <w:rFonts w:eastAsia="Times New Roman" w:cs="Times New Roman"/>
                <w:sz w:val="24"/>
                <w:szCs w:val="24"/>
              </w:rPr>
              <w:t>Company 1</w:t>
            </w:r>
            <w:bookmarkEnd w:id="0"/>
            <w:r w:rsidRPr="00B63112">
              <w:rPr>
                <w:rFonts w:eastAsia="Times New Roman" w:cs="Times New Roman"/>
                <w:sz w:val="24"/>
                <w:szCs w:val="24"/>
              </w:rPr>
              <w:fldChar w:fldCharType="end"/>
            </w:r>
            <w:r w:rsidRPr="00B63112">
              <w:rPr>
                <w:rFonts w:eastAsia="Times New Roman" w:cs="Times New Roman"/>
                <w:sz w:val="24"/>
                <w:szCs w:val="24"/>
              </w:rPr>
              <w:t>NORTHWEST NATURAL GAS COMPANY,</w:t>
            </w:r>
          </w:p>
          <w:p w:rsidR="00B63112" w:rsidRPr="00B63112" w:rsidRDefault="00B63112" w:rsidP="00B63112">
            <w:pPr>
              <w:spacing w:after="0" w:line="240" w:lineRule="auto"/>
              <w:jc w:val="center"/>
              <w:rPr>
                <w:rFonts w:eastAsia="Times New Roman" w:cs="Times New Roman"/>
                <w:sz w:val="24"/>
                <w:szCs w:val="24"/>
              </w:rPr>
            </w:pPr>
            <w:r w:rsidRPr="00B63112">
              <w:rPr>
                <w:rFonts w:eastAsia="Times New Roman" w:cs="Times New Roman"/>
                <w:sz w:val="24"/>
                <w:szCs w:val="24"/>
              </w:rPr>
              <w:fldChar w:fldCharType="begin"/>
            </w:r>
            <w:r w:rsidRPr="00B63112">
              <w:rPr>
                <w:rFonts w:eastAsia="Times New Roman" w:cs="Times New Roman"/>
                <w:sz w:val="24"/>
                <w:szCs w:val="24"/>
              </w:rPr>
              <w:instrText xml:space="preserve"> ASK acronym1 "Enter company 1's Short Name" \* MERGEFORMAT </w:instrText>
            </w:r>
            <w:r w:rsidRPr="00B63112">
              <w:rPr>
                <w:rFonts w:eastAsia="Times New Roman" w:cs="Times New Roman"/>
                <w:sz w:val="24"/>
                <w:szCs w:val="24"/>
              </w:rPr>
              <w:fldChar w:fldCharType="separate"/>
            </w:r>
            <w:bookmarkStart w:id="1" w:name="acronym1"/>
            <w:r w:rsidRPr="00B63112">
              <w:rPr>
                <w:rFonts w:eastAsia="Times New Roman" w:cs="Times New Roman"/>
                <w:sz w:val="24"/>
                <w:szCs w:val="24"/>
              </w:rPr>
              <w:t>Co. 1</w:t>
            </w:r>
            <w:bookmarkEnd w:id="1"/>
            <w:r w:rsidRPr="00B63112">
              <w:rPr>
                <w:rFonts w:eastAsia="Times New Roman" w:cs="Times New Roman"/>
                <w:sz w:val="24"/>
                <w:szCs w:val="24"/>
              </w:rPr>
              <w:fldChar w:fldCharType="end"/>
            </w:r>
          </w:p>
          <w:p w:rsidR="00B63112" w:rsidRPr="00B63112" w:rsidRDefault="003727F5" w:rsidP="003727F5">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00B63112" w:rsidRPr="00B63112">
              <w:rPr>
                <w:rFonts w:eastAsia="Times New Roman" w:cs="Times New Roman"/>
                <w:sz w:val="24"/>
                <w:szCs w:val="24"/>
              </w:rPr>
              <w:t>Respondent.</w:t>
            </w:r>
          </w:p>
          <w:p w:rsidR="00B63112" w:rsidRPr="00B63112" w:rsidRDefault="00B63112" w:rsidP="00B63112">
            <w:pPr>
              <w:spacing w:after="0" w:line="240" w:lineRule="auto"/>
              <w:ind w:right="-288"/>
              <w:rPr>
                <w:rFonts w:eastAsia="Times New Roman" w:cs="Times New Roman"/>
                <w:sz w:val="24"/>
                <w:szCs w:val="24"/>
              </w:rPr>
            </w:pPr>
            <w:r w:rsidRPr="00B63112">
              <w:rPr>
                <w:rFonts w:eastAsia="Times New Roman" w:cs="Times New Roman"/>
                <w:sz w:val="24"/>
                <w:szCs w:val="24"/>
              </w:rPr>
              <w:t>. . . . . . . . . . . . . . . . . . . . . . . . . . . . . . . . .  ..</w:t>
            </w:r>
          </w:p>
        </w:tc>
        <w:tc>
          <w:tcPr>
            <w:tcW w:w="540" w:type="dxa"/>
          </w:tcPr>
          <w:p w:rsidR="00B63112" w:rsidRPr="00B63112" w:rsidRDefault="00B63112" w:rsidP="00B63112">
            <w:pPr>
              <w:spacing w:after="0" w:line="240" w:lineRule="auto"/>
              <w:jc w:val="center"/>
              <w:rPr>
                <w:rFonts w:eastAsia="Times New Roman" w:cs="Times New Roman"/>
                <w:sz w:val="24"/>
                <w:szCs w:val="24"/>
              </w:rPr>
            </w:pPr>
            <w:r w:rsidRPr="00B63112">
              <w:rPr>
                <w:rFonts w:eastAsia="Times New Roman" w:cs="Times New Roman"/>
                <w:sz w:val="24"/>
                <w:szCs w:val="24"/>
              </w:rP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p>
          <w:p w:rsidR="00B63112" w:rsidRPr="00B63112" w:rsidRDefault="00B63112" w:rsidP="00B63112">
            <w:pPr>
              <w:spacing w:after="0" w:line="240" w:lineRule="auto"/>
              <w:jc w:val="center"/>
              <w:rPr>
                <w:rFonts w:eastAsia="Times New Roman" w:cs="Times New Roman"/>
                <w:sz w:val="24"/>
                <w:szCs w:val="24"/>
              </w:rPr>
            </w:pPr>
            <w:r w:rsidRPr="00B63112">
              <w:rPr>
                <w:rFonts w:eastAsia="Times New Roman" w:cs="Times New Roman"/>
                <w:sz w:val="24"/>
                <w:szCs w:val="24"/>
              </w:rPr>
              <w:t>)</w:t>
            </w:r>
          </w:p>
        </w:tc>
        <w:tc>
          <w:tcPr>
            <w:tcW w:w="4059" w:type="dxa"/>
          </w:tcPr>
          <w:p w:rsidR="00B63112" w:rsidRPr="00B63112" w:rsidRDefault="00B63112" w:rsidP="00B63112">
            <w:pPr>
              <w:spacing w:after="0" w:line="240" w:lineRule="auto"/>
              <w:rPr>
                <w:rFonts w:eastAsia="Times New Roman" w:cs="Times New Roman"/>
                <w:b/>
                <w:sz w:val="24"/>
                <w:szCs w:val="24"/>
              </w:rPr>
            </w:pPr>
            <w:r w:rsidRPr="00B63112">
              <w:rPr>
                <w:rFonts w:eastAsia="Times New Roman" w:cs="Times New Roman"/>
                <w:sz w:val="24"/>
                <w:szCs w:val="24"/>
              </w:rPr>
              <w:t xml:space="preserve">DOCKET </w:t>
            </w:r>
            <w:r w:rsidRPr="00B63112">
              <w:rPr>
                <w:rFonts w:eastAsia="Times New Roman" w:cs="Times New Roman"/>
                <w:sz w:val="24"/>
                <w:szCs w:val="24"/>
              </w:rPr>
              <w:fldChar w:fldCharType="begin"/>
            </w:r>
            <w:r w:rsidRPr="00B63112">
              <w:rPr>
                <w:rFonts w:eastAsia="Times New Roman" w:cs="Times New Roman"/>
                <w:sz w:val="24"/>
                <w:szCs w:val="24"/>
              </w:rPr>
              <w:instrText xml:space="preserve"> ASK docket_no "Enter Docket Number using XX=XXXXXX Format</w:instrText>
            </w:r>
            <w:r w:rsidRPr="00B63112">
              <w:rPr>
                <w:rFonts w:eastAsia="Times New Roman" w:cs="Times New Roman"/>
                <w:sz w:val="24"/>
                <w:szCs w:val="24"/>
              </w:rPr>
              <w:fldChar w:fldCharType="separate"/>
            </w:r>
            <w:bookmarkStart w:id="2" w:name="docket_no"/>
            <w:r w:rsidRPr="00B63112">
              <w:rPr>
                <w:rFonts w:eastAsia="Times New Roman" w:cs="Times New Roman"/>
                <w:sz w:val="24"/>
                <w:szCs w:val="24"/>
              </w:rPr>
              <w:t>UG-111233</w:t>
            </w:r>
            <w:bookmarkEnd w:id="2"/>
            <w:r w:rsidRPr="00B63112">
              <w:rPr>
                <w:rFonts w:eastAsia="Times New Roman" w:cs="Times New Roman"/>
                <w:sz w:val="24"/>
                <w:szCs w:val="24"/>
              </w:rPr>
              <w:fldChar w:fldCharType="end"/>
            </w:r>
            <w:r w:rsidRPr="00B63112">
              <w:rPr>
                <w:rFonts w:eastAsia="Times New Roman" w:cs="Times New Roman"/>
                <w:sz w:val="24"/>
                <w:szCs w:val="24"/>
              </w:rPr>
              <w:fldChar w:fldCharType="begin"/>
            </w:r>
            <w:r w:rsidRPr="00B63112">
              <w:rPr>
                <w:rFonts w:eastAsia="Times New Roman" w:cs="Times New Roman"/>
                <w:sz w:val="24"/>
                <w:szCs w:val="24"/>
              </w:rPr>
              <w:instrText xml:space="preserve"> REF docket_no \* MERGEFORMAT</w:instrText>
            </w:r>
            <w:r w:rsidRPr="00B63112">
              <w:rPr>
                <w:rFonts w:eastAsia="Times New Roman" w:cs="Times New Roman"/>
                <w:sz w:val="24"/>
                <w:szCs w:val="24"/>
              </w:rPr>
              <w:fldChar w:fldCharType="separate"/>
            </w:r>
            <w:r w:rsidR="00A52A4F" w:rsidRPr="00B63112">
              <w:rPr>
                <w:rFonts w:eastAsia="Times New Roman" w:cs="Times New Roman"/>
                <w:sz w:val="24"/>
                <w:szCs w:val="24"/>
              </w:rPr>
              <w:t>UG-111233</w:t>
            </w:r>
            <w:r w:rsidRPr="00B63112">
              <w:rPr>
                <w:rFonts w:eastAsia="Times New Roman" w:cs="Times New Roman"/>
                <w:sz w:val="24"/>
                <w:szCs w:val="24"/>
              </w:rPr>
              <w:fldChar w:fldCharType="end"/>
            </w:r>
          </w:p>
          <w:p w:rsidR="00B63112" w:rsidRPr="00B63112" w:rsidRDefault="00B63112" w:rsidP="00B63112">
            <w:pPr>
              <w:spacing w:after="0" w:line="240" w:lineRule="auto"/>
              <w:rPr>
                <w:rFonts w:eastAsia="Times New Roman" w:cs="Times New Roman"/>
                <w:b/>
                <w:sz w:val="24"/>
                <w:szCs w:val="24"/>
              </w:rPr>
            </w:pPr>
          </w:p>
          <w:p w:rsidR="00B63112" w:rsidRDefault="00B63112" w:rsidP="00B63112">
            <w:pPr>
              <w:spacing w:after="0" w:line="240" w:lineRule="auto"/>
              <w:rPr>
                <w:rFonts w:eastAsia="Times New Roman" w:cs="Times New Roman"/>
                <w:sz w:val="24"/>
                <w:szCs w:val="24"/>
              </w:rPr>
            </w:pPr>
          </w:p>
          <w:p w:rsidR="00B63112" w:rsidRDefault="00B63112" w:rsidP="00B63112">
            <w:pPr>
              <w:spacing w:after="0" w:line="240" w:lineRule="auto"/>
              <w:rPr>
                <w:rFonts w:eastAsia="Times New Roman" w:cs="Times New Roman"/>
                <w:sz w:val="24"/>
                <w:szCs w:val="24"/>
              </w:rPr>
            </w:pPr>
            <w:r w:rsidRPr="00B63112">
              <w:rPr>
                <w:rFonts w:eastAsia="Times New Roman" w:cs="Times New Roman"/>
                <w:sz w:val="24"/>
                <w:szCs w:val="24"/>
              </w:rPr>
              <w:fldChar w:fldCharType="begin"/>
            </w:r>
            <w:r w:rsidRPr="00B63112">
              <w:rPr>
                <w:rFonts w:eastAsia="Times New Roman" w:cs="Times New Roman"/>
                <w:sz w:val="24"/>
                <w:szCs w:val="24"/>
              </w:rPr>
              <w:instrText xml:space="preserve"> ASK num_revisions "Does this filing change more than one tariff sheet? (yes/no)" \* MERGEFORMAT </w:instrText>
            </w:r>
            <w:r w:rsidRPr="00B63112">
              <w:rPr>
                <w:rFonts w:eastAsia="Times New Roman" w:cs="Times New Roman"/>
                <w:sz w:val="24"/>
                <w:szCs w:val="24"/>
              </w:rPr>
              <w:fldChar w:fldCharType="separate"/>
            </w:r>
            <w:bookmarkStart w:id="3" w:name="num_revisions"/>
            <w:r w:rsidRPr="00B63112">
              <w:rPr>
                <w:rFonts w:eastAsia="Times New Roman" w:cs="Times New Roman"/>
                <w:sz w:val="24"/>
                <w:szCs w:val="24"/>
              </w:rPr>
              <w:t>No</w:t>
            </w:r>
            <w:bookmarkEnd w:id="3"/>
            <w:r w:rsidRPr="00B63112">
              <w:rPr>
                <w:rFonts w:eastAsia="Times New Roman" w:cs="Times New Roman"/>
                <w:sz w:val="24"/>
                <w:szCs w:val="24"/>
              </w:rPr>
              <w:fldChar w:fldCharType="end"/>
            </w:r>
            <w:r w:rsidRPr="00B63112">
              <w:rPr>
                <w:rFonts w:eastAsia="Times New Roman" w:cs="Times New Roman"/>
                <w:sz w:val="24"/>
                <w:szCs w:val="24"/>
              </w:rPr>
              <w:t xml:space="preserve">ORDER </w:t>
            </w:r>
            <w:r w:rsidRPr="00B63112">
              <w:rPr>
                <w:rFonts w:eastAsia="Times New Roman" w:cs="Times New Roman"/>
                <w:sz w:val="24"/>
                <w:szCs w:val="24"/>
              </w:rPr>
              <w:fldChar w:fldCharType="begin"/>
            </w:r>
            <w:r w:rsidRPr="00B63112">
              <w:rPr>
                <w:rFonts w:eastAsia="Times New Roman" w:cs="Times New Roman"/>
                <w:sz w:val="24"/>
                <w:szCs w:val="24"/>
              </w:rPr>
              <w:instrText xml:space="preserve"> ASK order_no "Enter Order Number"</w:instrText>
            </w:r>
            <w:r w:rsidRPr="00B63112">
              <w:rPr>
                <w:rFonts w:eastAsia="Times New Roman" w:cs="Times New Roman"/>
                <w:sz w:val="24"/>
                <w:szCs w:val="24"/>
              </w:rPr>
              <w:fldChar w:fldCharType="separate"/>
            </w:r>
            <w:bookmarkStart w:id="4" w:name="order_no"/>
            <w:r w:rsidRPr="00B63112">
              <w:rPr>
                <w:rFonts w:eastAsia="Times New Roman" w:cs="Times New Roman"/>
                <w:sz w:val="24"/>
                <w:szCs w:val="24"/>
              </w:rPr>
              <w:t>01</w:t>
            </w:r>
            <w:bookmarkEnd w:id="4"/>
            <w:r w:rsidRPr="00B63112">
              <w:rPr>
                <w:rFonts w:eastAsia="Times New Roman" w:cs="Times New Roman"/>
                <w:sz w:val="24"/>
                <w:szCs w:val="24"/>
              </w:rPr>
              <w:fldChar w:fldCharType="end"/>
            </w:r>
            <w:r w:rsidR="000308E9">
              <w:rPr>
                <w:rFonts w:eastAsia="Times New Roman" w:cs="Times New Roman"/>
                <w:sz w:val="24"/>
                <w:szCs w:val="24"/>
              </w:rPr>
              <w:t>0</w:t>
            </w:r>
            <w:r w:rsidR="00C02134">
              <w:rPr>
                <w:rFonts w:eastAsia="Times New Roman" w:cs="Times New Roman"/>
                <w:sz w:val="24"/>
                <w:szCs w:val="24"/>
              </w:rPr>
              <w:t>6</w:t>
            </w:r>
          </w:p>
          <w:p w:rsidR="00F763DF" w:rsidRDefault="00F763DF" w:rsidP="00B63112">
            <w:pPr>
              <w:spacing w:after="0" w:line="240" w:lineRule="auto"/>
              <w:rPr>
                <w:rFonts w:eastAsia="Times New Roman" w:cs="Times New Roman"/>
                <w:sz w:val="24"/>
                <w:szCs w:val="24"/>
              </w:rPr>
            </w:pPr>
          </w:p>
          <w:p w:rsidR="003727F5" w:rsidRDefault="003727F5" w:rsidP="00B63112">
            <w:pPr>
              <w:spacing w:after="0" w:line="240" w:lineRule="auto"/>
              <w:rPr>
                <w:rFonts w:eastAsia="Times New Roman" w:cs="Times New Roman"/>
                <w:sz w:val="24"/>
                <w:szCs w:val="24"/>
              </w:rPr>
            </w:pPr>
          </w:p>
          <w:p w:rsidR="00F763DF" w:rsidRPr="00B63112" w:rsidRDefault="00F763DF" w:rsidP="00B63112">
            <w:pPr>
              <w:spacing w:after="0" w:line="240" w:lineRule="auto"/>
              <w:rPr>
                <w:rFonts w:eastAsia="Times New Roman" w:cs="Times New Roman"/>
                <w:b/>
                <w:sz w:val="24"/>
                <w:szCs w:val="24"/>
              </w:rPr>
            </w:pPr>
            <w:r>
              <w:rPr>
                <w:rFonts w:eastAsia="Times New Roman" w:cs="Times New Roman"/>
                <w:sz w:val="24"/>
                <w:szCs w:val="24"/>
              </w:rPr>
              <w:t xml:space="preserve">GRANTING </w:t>
            </w:r>
            <w:r w:rsidR="00C02134">
              <w:rPr>
                <w:rFonts w:eastAsia="Times New Roman" w:cs="Times New Roman"/>
                <w:sz w:val="24"/>
                <w:szCs w:val="24"/>
              </w:rPr>
              <w:t>MOTION</w:t>
            </w:r>
            <w:r>
              <w:rPr>
                <w:rFonts w:eastAsia="Times New Roman" w:cs="Times New Roman"/>
                <w:sz w:val="24"/>
                <w:szCs w:val="24"/>
              </w:rPr>
              <w:t xml:space="preserve"> TO WITHDRAW TARIFF FILING</w:t>
            </w:r>
          </w:p>
          <w:p w:rsidR="00B63112" w:rsidRPr="00B63112" w:rsidRDefault="00B63112" w:rsidP="00B63112">
            <w:pPr>
              <w:spacing w:after="0" w:line="240" w:lineRule="auto"/>
              <w:rPr>
                <w:rFonts w:eastAsia="Times New Roman" w:cs="Times New Roman"/>
                <w:b/>
                <w:sz w:val="24"/>
                <w:szCs w:val="24"/>
              </w:rPr>
            </w:pPr>
          </w:p>
          <w:p w:rsidR="00B63112" w:rsidRDefault="00B63112" w:rsidP="00B63112">
            <w:pPr>
              <w:spacing w:after="0" w:line="240" w:lineRule="auto"/>
              <w:rPr>
                <w:rFonts w:eastAsia="Times New Roman" w:cs="Times New Roman"/>
                <w:sz w:val="24"/>
                <w:szCs w:val="24"/>
              </w:rPr>
            </w:pPr>
          </w:p>
          <w:p w:rsidR="00B63112" w:rsidRPr="00B63112" w:rsidRDefault="00B63112" w:rsidP="00B63112">
            <w:pPr>
              <w:spacing w:after="0" w:line="240" w:lineRule="auto"/>
              <w:rPr>
                <w:rFonts w:eastAsia="Times New Roman" w:cs="Times New Roman"/>
                <w:sz w:val="24"/>
                <w:szCs w:val="24"/>
              </w:rPr>
            </w:pPr>
          </w:p>
          <w:p w:rsidR="00B63112" w:rsidRPr="00B63112" w:rsidRDefault="00B63112" w:rsidP="00B63112">
            <w:pPr>
              <w:spacing w:after="0" w:line="240" w:lineRule="auto"/>
              <w:rPr>
                <w:rFonts w:eastAsia="Times New Roman" w:cs="Times New Roman"/>
                <w:sz w:val="24"/>
                <w:szCs w:val="24"/>
              </w:rPr>
            </w:pPr>
          </w:p>
        </w:tc>
      </w:tr>
    </w:tbl>
    <w:p w:rsidR="00B63112" w:rsidRDefault="00B63112" w:rsidP="00B63112">
      <w:pPr>
        <w:spacing w:after="0" w:line="240" w:lineRule="auto"/>
        <w:jc w:val="center"/>
        <w:rPr>
          <w:rFonts w:eastAsia="Times New Roman" w:cs="Times New Roman"/>
          <w:b/>
          <w:sz w:val="24"/>
          <w:szCs w:val="24"/>
        </w:rPr>
      </w:pPr>
    </w:p>
    <w:p w:rsidR="00B63112" w:rsidRDefault="003B3231" w:rsidP="003B3231">
      <w:pPr>
        <w:spacing w:after="0" w:line="288" w:lineRule="auto"/>
        <w:jc w:val="center"/>
        <w:rPr>
          <w:bCs/>
          <w:szCs w:val="25"/>
        </w:rPr>
      </w:pPr>
      <w:bookmarkStart w:id="5" w:name="_GoBack"/>
      <w:bookmarkEnd w:id="5"/>
      <w:r>
        <w:rPr>
          <w:b/>
          <w:bCs/>
          <w:szCs w:val="25"/>
          <w:u w:val="single"/>
        </w:rPr>
        <w:t>SUMMARY</w:t>
      </w:r>
    </w:p>
    <w:p w:rsidR="003B3231" w:rsidRPr="003B3231" w:rsidRDefault="003B3231" w:rsidP="003B3231">
      <w:pPr>
        <w:spacing w:after="0" w:line="288" w:lineRule="auto"/>
        <w:jc w:val="center"/>
        <w:rPr>
          <w:bCs/>
          <w:szCs w:val="25"/>
        </w:rPr>
      </w:pPr>
    </w:p>
    <w:p w:rsidR="00844DE3" w:rsidRDefault="008C7CFB" w:rsidP="003727F5">
      <w:pPr>
        <w:numPr>
          <w:ilvl w:val="0"/>
          <w:numId w:val="1"/>
        </w:numPr>
        <w:tabs>
          <w:tab w:val="clear" w:pos="360"/>
          <w:tab w:val="num" w:pos="0"/>
        </w:tabs>
        <w:spacing w:after="0" w:line="288" w:lineRule="auto"/>
        <w:ind w:left="0" w:hanging="720"/>
        <w:rPr>
          <w:bCs/>
          <w:szCs w:val="25"/>
        </w:rPr>
      </w:pPr>
      <w:r>
        <w:rPr>
          <w:b/>
          <w:bCs/>
          <w:szCs w:val="25"/>
        </w:rPr>
        <w:t xml:space="preserve">PROCEEDING.  </w:t>
      </w:r>
      <w:r w:rsidR="000308E9">
        <w:rPr>
          <w:bCs/>
          <w:szCs w:val="25"/>
        </w:rPr>
        <w:t xml:space="preserve">On </w:t>
      </w:r>
      <w:r w:rsidR="000308E9" w:rsidRPr="00857D9F">
        <w:rPr>
          <w:bCs/>
          <w:szCs w:val="25"/>
        </w:rPr>
        <w:t>July 7, 2011, Northwest Natural Gas Company (NW Natural</w:t>
      </w:r>
      <w:r w:rsidR="000308E9">
        <w:rPr>
          <w:bCs/>
          <w:szCs w:val="25"/>
        </w:rPr>
        <w:t xml:space="preserve"> or Company</w:t>
      </w:r>
      <w:r w:rsidR="000308E9" w:rsidRPr="00857D9F">
        <w:rPr>
          <w:bCs/>
          <w:szCs w:val="25"/>
        </w:rPr>
        <w:t>) filed with the Washington</w:t>
      </w:r>
      <w:r w:rsidR="000308E9" w:rsidRPr="00857D9F">
        <w:rPr>
          <w:szCs w:val="25"/>
        </w:rPr>
        <w:t xml:space="preserve"> Utilities and Transportation Commission (Commission) a revision to its</w:t>
      </w:r>
      <w:r w:rsidR="000308E9">
        <w:rPr>
          <w:szCs w:val="25"/>
        </w:rPr>
        <w:t xml:space="preserve"> Tariff WN U-6.  The Company</w:t>
      </w:r>
      <w:r w:rsidR="000308E9" w:rsidRPr="00FC71CA">
        <w:rPr>
          <w:szCs w:val="25"/>
        </w:rPr>
        <w:t xml:space="preserve"> filed a revised Schedule P “Determination of Company’s Purchased Gas Cost Adjustments and Weighted Costs of Gas,” with a stated effective date of August 6, 2011.</w:t>
      </w:r>
      <w:r w:rsidR="000308E9" w:rsidRPr="00971A54">
        <w:rPr>
          <w:rStyle w:val="FootnoteReference"/>
          <w:szCs w:val="25"/>
        </w:rPr>
        <w:footnoteReference w:id="1"/>
      </w:r>
      <w:r w:rsidR="000308E9" w:rsidRPr="00FC71CA">
        <w:rPr>
          <w:szCs w:val="25"/>
        </w:rPr>
        <w:t xml:space="preserve">  The filed</w:t>
      </w:r>
      <w:r w:rsidR="000308E9">
        <w:rPr>
          <w:bCs/>
          <w:szCs w:val="25"/>
        </w:rPr>
        <w:t xml:space="preserve"> revisions</w:t>
      </w:r>
      <w:r w:rsidR="000308E9" w:rsidRPr="00FC71CA">
        <w:rPr>
          <w:bCs/>
          <w:szCs w:val="25"/>
        </w:rPr>
        <w:t>, if allowed to become effective, would change the definition of gas commodity costs</w:t>
      </w:r>
      <w:r w:rsidR="000308E9">
        <w:rPr>
          <w:bCs/>
          <w:szCs w:val="25"/>
        </w:rPr>
        <w:t xml:space="preserve"> recovered via the Company’s PGA</w:t>
      </w:r>
      <w:r w:rsidR="000308E9" w:rsidRPr="00FC71CA">
        <w:rPr>
          <w:bCs/>
          <w:szCs w:val="25"/>
        </w:rPr>
        <w:t xml:space="preserve"> to include the costs of developing gas reserves</w:t>
      </w:r>
      <w:r w:rsidR="000308E9" w:rsidRPr="00FC71CA">
        <w:rPr>
          <w:szCs w:val="25"/>
        </w:rPr>
        <w:t xml:space="preserve"> NW Natural</w:t>
      </w:r>
      <w:r w:rsidR="000308E9" w:rsidRPr="00FC71CA">
        <w:rPr>
          <w:bCs/>
          <w:szCs w:val="25"/>
        </w:rPr>
        <w:t xml:space="preserve"> acquired through a joint venture with Encana Oil and Gas (USA) Inc. (Encana).</w:t>
      </w:r>
      <w:r w:rsidR="000308E9" w:rsidRPr="00FC71CA">
        <w:rPr>
          <w:szCs w:val="25"/>
        </w:rPr>
        <w:t xml:space="preserve">  </w:t>
      </w:r>
      <w:r w:rsidR="000308E9" w:rsidRPr="00FC71CA">
        <w:rPr>
          <w:bCs/>
          <w:szCs w:val="25"/>
        </w:rPr>
        <w:t xml:space="preserve">NW Natural requests an express finding that the Company’s decision to enter into the transaction with Encana was prudent, </w:t>
      </w:r>
      <w:r w:rsidR="000308E9">
        <w:rPr>
          <w:bCs/>
          <w:szCs w:val="25"/>
        </w:rPr>
        <w:t>authorization</w:t>
      </w:r>
      <w:r w:rsidR="000308E9" w:rsidRPr="00FC71CA">
        <w:rPr>
          <w:bCs/>
          <w:szCs w:val="25"/>
        </w:rPr>
        <w:t xml:space="preserve"> to recover in rates the associated costs</w:t>
      </w:r>
      <w:r w:rsidR="000308E9">
        <w:rPr>
          <w:bCs/>
          <w:szCs w:val="25"/>
        </w:rPr>
        <w:t xml:space="preserve"> (including</w:t>
      </w:r>
      <w:r w:rsidR="000308E9" w:rsidRPr="00B863FC">
        <w:rPr>
          <w:rFonts w:eastAsia="Times New Roman"/>
          <w:bCs/>
          <w:szCs w:val="24"/>
        </w:rPr>
        <w:t xml:space="preserve"> </w:t>
      </w:r>
      <w:r w:rsidR="000308E9" w:rsidRPr="00B863FC">
        <w:rPr>
          <w:bCs/>
          <w:szCs w:val="25"/>
        </w:rPr>
        <w:t>rate base treatment for the initial $251 million fixed cost investment</w:t>
      </w:r>
      <w:r w:rsidR="000308E9">
        <w:rPr>
          <w:bCs/>
          <w:szCs w:val="25"/>
        </w:rPr>
        <w:t>)</w:t>
      </w:r>
      <w:r w:rsidR="000308E9" w:rsidRPr="00FC71CA">
        <w:rPr>
          <w:bCs/>
          <w:szCs w:val="25"/>
        </w:rPr>
        <w:t>, and approv</w:t>
      </w:r>
      <w:r w:rsidR="000308E9">
        <w:rPr>
          <w:bCs/>
          <w:szCs w:val="25"/>
        </w:rPr>
        <w:t xml:space="preserve">al of </w:t>
      </w:r>
      <w:r w:rsidR="000308E9" w:rsidRPr="00FC71CA">
        <w:rPr>
          <w:bCs/>
          <w:szCs w:val="25"/>
        </w:rPr>
        <w:t>the proposed revisions to Schedule P.</w:t>
      </w:r>
    </w:p>
    <w:p w:rsidR="008C7CFB" w:rsidRDefault="008C7CFB" w:rsidP="008C7CFB">
      <w:pPr>
        <w:spacing w:after="0" w:line="288" w:lineRule="auto"/>
        <w:rPr>
          <w:bCs/>
          <w:szCs w:val="25"/>
        </w:rPr>
      </w:pPr>
    </w:p>
    <w:p w:rsidR="00C02134" w:rsidRDefault="000308E9" w:rsidP="003727F5">
      <w:pPr>
        <w:numPr>
          <w:ilvl w:val="0"/>
          <w:numId w:val="1"/>
        </w:numPr>
        <w:tabs>
          <w:tab w:val="clear" w:pos="360"/>
          <w:tab w:val="num" w:pos="0"/>
        </w:tabs>
        <w:spacing w:after="0" w:line="288" w:lineRule="auto"/>
        <w:ind w:left="0" w:hanging="720"/>
        <w:rPr>
          <w:rFonts w:eastAsia="Times New Roman" w:cs="Times New Roman"/>
          <w:szCs w:val="25"/>
        </w:rPr>
      </w:pPr>
      <w:r w:rsidRPr="00C02134">
        <w:rPr>
          <w:bCs/>
          <w:szCs w:val="25"/>
        </w:rPr>
        <w:t xml:space="preserve">The parties, on April 24, 2012, </w:t>
      </w:r>
      <w:r w:rsidR="00C02134" w:rsidRPr="00C02134">
        <w:rPr>
          <w:bCs/>
          <w:szCs w:val="25"/>
        </w:rPr>
        <w:t>f</w:t>
      </w:r>
      <w:r w:rsidRPr="00C02134">
        <w:rPr>
          <w:bCs/>
          <w:szCs w:val="25"/>
        </w:rPr>
        <w:t>iled a Settlement Stipulation supported as required by the Commission’s rules.</w:t>
      </w:r>
      <w:r>
        <w:rPr>
          <w:rStyle w:val="FootnoteReference"/>
          <w:bCs/>
          <w:szCs w:val="25"/>
        </w:rPr>
        <w:footnoteReference w:id="2"/>
      </w:r>
      <w:r w:rsidR="0052410C" w:rsidRPr="00C02134">
        <w:rPr>
          <w:bCs/>
          <w:szCs w:val="25"/>
        </w:rPr>
        <w:t xml:space="preserve">  The Commission elected to resolve this matter on the basis </w:t>
      </w:r>
      <w:r w:rsidR="0052410C" w:rsidRPr="00C02134">
        <w:rPr>
          <w:bCs/>
          <w:szCs w:val="25"/>
        </w:rPr>
        <w:lastRenderedPageBreak/>
        <w:t>of the prefiled record of evidence, without conducting a live hearing, and gave notice of this process determination on May 10, 2012.</w:t>
      </w:r>
      <w:r w:rsidR="00C02134" w:rsidRPr="00C02134">
        <w:rPr>
          <w:bCs/>
          <w:szCs w:val="25"/>
        </w:rPr>
        <w:t xml:space="preserve">  </w:t>
      </w:r>
      <w:r w:rsidR="003B3231" w:rsidRPr="00C02134">
        <w:rPr>
          <w:rFonts w:eastAsia="Times New Roman" w:cs="Times New Roman"/>
          <w:szCs w:val="25"/>
        </w:rPr>
        <w:t>The Commission approve</w:t>
      </w:r>
      <w:r w:rsidR="00C02134" w:rsidRPr="00C02134">
        <w:rPr>
          <w:rFonts w:eastAsia="Times New Roman" w:cs="Times New Roman"/>
          <w:szCs w:val="25"/>
        </w:rPr>
        <w:t>d</w:t>
      </w:r>
      <w:r w:rsidR="003B3231" w:rsidRPr="00C02134">
        <w:rPr>
          <w:rFonts w:eastAsia="Times New Roman" w:cs="Times New Roman"/>
          <w:szCs w:val="25"/>
        </w:rPr>
        <w:t xml:space="preserve"> and adopt</w:t>
      </w:r>
      <w:r w:rsidR="00C02134" w:rsidRPr="00C02134">
        <w:rPr>
          <w:rFonts w:eastAsia="Times New Roman" w:cs="Times New Roman"/>
          <w:szCs w:val="25"/>
        </w:rPr>
        <w:t>ed</w:t>
      </w:r>
      <w:r w:rsidR="003B3231" w:rsidRPr="00C02134">
        <w:rPr>
          <w:rFonts w:eastAsia="Times New Roman" w:cs="Times New Roman"/>
          <w:szCs w:val="25"/>
        </w:rPr>
        <w:t xml:space="preserve"> the Settlement Stipulation, and grant</w:t>
      </w:r>
      <w:r w:rsidR="00C02134" w:rsidRPr="00C02134">
        <w:rPr>
          <w:rFonts w:eastAsia="Times New Roman" w:cs="Times New Roman"/>
          <w:szCs w:val="25"/>
        </w:rPr>
        <w:t>ed</w:t>
      </w:r>
      <w:r w:rsidR="003B3231" w:rsidRPr="00C02134">
        <w:rPr>
          <w:rFonts w:eastAsia="Times New Roman" w:cs="Times New Roman"/>
          <w:szCs w:val="25"/>
        </w:rPr>
        <w:t xml:space="preserve"> NW Natural </w:t>
      </w:r>
      <w:r w:rsidR="00E40548" w:rsidRPr="00C02134">
        <w:rPr>
          <w:rFonts w:eastAsia="Times New Roman" w:cs="Times New Roman"/>
          <w:szCs w:val="25"/>
        </w:rPr>
        <w:t>leave to</w:t>
      </w:r>
      <w:r w:rsidR="003B3231" w:rsidRPr="00C02134">
        <w:rPr>
          <w:rFonts w:eastAsia="Times New Roman" w:cs="Times New Roman"/>
          <w:szCs w:val="25"/>
        </w:rPr>
        <w:t xml:space="preserve"> withdraw its tariff filing</w:t>
      </w:r>
      <w:r w:rsidR="00C02134" w:rsidRPr="00C02134">
        <w:rPr>
          <w:rFonts w:eastAsia="Times New Roman" w:cs="Times New Roman"/>
          <w:szCs w:val="25"/>
        </w:rPr>
        <w:t xml:space="preserve"> in Order 05, entered on May 25, 2012</w:t>
      </w:r>
      <w:r w:rsidR="003B3231" w:rsidRPr="00C02134">
        <w:rPr>
          <w:rFonts w:eastAsia="Times New Roman" w:cs="Times New Roman"/>
          <w:szCs w:val="25"/>
        </w:rPr>
        <w:t>.</w:t>
      </w:r>
      <w:r w:rsidR="00C02134" w:rsidRPr="00C02134">
        <w:rPr>
          <w:rFonts w:eastAsia="Times New Roman" w:cs="Times New Roman"/>
          <w:szCs w:val="25"/>
        </w:rPr>
        <w:t xml:space="preserve">  NW Natural filed its Motion to Withdraw Tariff Filing on May 30, 2012.</w:t>
      </w:r>
    </w:p>
    <w:p w:rsidR="00C02134" w:rsidRPr="00C02134" w:rsidRDefault="00C02134" w:rsidP="00C02134">
      <w:pPr>
        <w:spacing w:after="0" w:line="288" w:lineRule="auto"/>
        <w:rPr>
          <w:rFonts w:eastAsia="Times New Roman" w:cs="Times New Roman"/>
          <w:szCs w:val="25"/>
        </w:rPr>
      </w:pPr>
    </w:p>
    <w:p w:rsidR="00C02134" w:rsidRPr="00C02134" w:rsidRDefault="00C02134" w:rsidP="003727F5">
      <w:pPr>
        <w:numPr>
          <w:ilvl w:val="0"/>
          <w:numId w:val="1"/>
        </w:numPr>
        <w:tabs>
          <w:tab w:val="clear" w:pos="360"/>
          <w:tab w:val="num" w:pos="0"/>
        </w:tabs>
        <w:spacing w:after="0" w:line="288" w:lineRule="auto"/>
        <w:ind w:left="0" w:hanging="720"/>
        <w:rPr>
          <w:rFonts w:eastAsia="Times New Roman" w:cs="Times New Roman"/>
          <w:szCs w:val="25"/>
        </w:rPr>
      </w:pPr>
      <w:r>
        <w:rPr>
          <w:rFonts w:eastAsia="Times New Roman" w:cs="Times New Roman"/>
          <w:szCs w:val="25"/>
        </w:rPr>
        <w:t>NW Natural’s Motion to Withdraw Tariff Filing complies with the terms of the Settlement Stipulation and the requirements of Order 05.  The Commission determines that it should be granted.</w:t>
      </w:r>
    </w:p>
    <w:p w:rsidR="009822B4" w:rsidRDefault="009822B4" w:rsidP="009822B4">
      <w:pPr>
        <w:pStyle w:val="ListParagraph"/>
        <w:rPr>
          <w:rFonts w:eastAsia="Times New Roman" w:cs="Times New Roman"/>
          <w:szCs w:val="25"/>
        </w:rPr>
      </w:pPr>
    </w:p>
    <w:p w:rsidR="009822B4" w:rsidRPr="009822B4" w:rsidRDefault="009822B4" w:rsidP="00D74B65">
      <w:pPr>
        <w:pStyle w:val="ListParagraph"/>
        <w:ind w:left="0"/>
        <w:jc w:val="center"/>
        <w:rPr>
          <w:rFonts w:eastAsia="Times New Roman" w:cs="Times New Roman"/>
          <w:b/>
          <w:szCs w:val="25"/>
          <w:u w:val="single"/>
        </w:rPr>
      </w:pPr>
      <w:r>
        <w:rPr>
          <w:rFonts w:eastAsia="Times New Roman" w:cs="Times New Roman"/>
          <w:b/>
          <w:szCs w:val="25"/>
          <w:u w:val="single"/>
        </w:rPr>
        <w:t>ORDER</w:t>
      </w:r>
    </w:p>
    <w:p w:rsidR="00C02134" w:rsidRDefault="009822B4" w:rsidP="003727F5">
      <w:pPr>
        <w:spacing w:after="0" w:line="288" w:lineRule="auto"/>
        <w:rPr>
          <w:rFonts w:eastAsia="Times New Roman" w:cs="Times New Roman"/>
          <w:szCs w:val="25"/>
        </w:rPr>
      </w:pPr>
      <w:r>
        <w:rPr>
          <w:rFonts w:eastAsia="Times New Roman" w:cs="Times New Roman"/>
          <w:szCs w:val="25"/>
        </w:rPr>
        <w:t>THE COMMISSION ORDERS T</w:t>
      </w:r>
      <w:r w:rsidR="00C02134">
        <w:rPr>
          <w:rFonts w:eastAsia="Times New Roman" w:cs="Times New Roman"/>
          <w:szCs w:val="25"/>
        </w:rPr>
        <w:t xml:space="preserve">HAT: </w:t>
      </w:r>
    </w:p>
    <w:p w:rsidR="00C02134" w:rsidRDefault="00C02134" w:rsidP="00C02134">
      <w:pPr>
        <w:spacing w:after="0" w:line="288" w:lineRule="auto"/>
        <w:ind w:left="360"/>
        <w:rPr>
          <w:rFonts w:eastAsia="Times New Roman" w:cs="Times New Roman"/>
          <w:szCs w:val="25"/>
        </w:rPr>
      </w:pPr>
    </w:p>
    <w:p w:rsidR="0009103D" w:rsidRPr="0009103D" w:rsidRDefault="00C02134" w:rsidP="003727F5">
      <w:pPr>
        <w:numPr>
          <w:ilvl w:val="0"/>
          <w:numId w:val="1"/>
        </w:numPr>
        <w:tabs>
          <w:tab w:val="clear" w:pos="360"/>
          <w:tab w:val="num" w:pos="0"/>
        </w:tabs>
        <w:spacing w:after="0" w:line="288" w:lineRule="auto"/>
        <w:ind w:left="720" w:hanging="1440"/>
        <w:rPr>
          <w:rFonts w:eastAsia="Times New Roman" w:cs="Times New Roman"/>
          <w:szCs w:val="25"/>
        </w:rPr>
      </w:pPr>
      <w:r>
        <w:rPr>
          <w:rFonts w:eastAsia="Times New Roman" w:cs="Times New Roman"/>
          <w:szCs w:val="25"/>
        </w:rPr>
        <w:t>(1)</w:t>
      </w:r>
      <w:r>
        <w:rPr>
          <w:rFonts w:eastAsia="Times New Roman" w:cs="Times New Roman"/>
          <w:szCs w:val="25"/>
        </w:rPr>
        <w:tab/>
        <w:t xml:space="preserve">NW Natural’s Motion to Withdraw Tariff Filing is granted.  Upon entry of this Order, the Company’s tariff filing made </w:t>
      </w:r>
      <w:r w:rsidRPr="00857D9F">
        <w:rPr>
          <w:bCs/>
          <w:szCs w:val="25"/>
        </w:rPr>
        <w:t>July 7, 2011</w:t>
      </w:r>
      <w:r>
        <w:rPr>
          <w:bCs/>
          <w:szCs w:val="25"/>
        </w:rPr>
        <w:t>, is considered to be withdrawn and this Docket UG-111233 is closed.</w:t>
      </w:r>
    </w:p>
    <w:p w:rsidR="0009103D" w:rsidRPr="0009103D" w:rsidRDefault="0009103D" w:rsidP="0009103D">
      <w:pPr>
        <w:spacing w:after="0" w:line="288" w:lineRule="auto"/>
        <w:rPr>
          <w:rFonts w:eastAsia="Times New Roman" w:cs="Times New Roman"/>
          <w:szCs w:val="25"/>
        </w:rPr>
      </w:pPr>
    </w:p>
    <w:p w:rsidR="0009103D" w:rsidRPr="005F7B6D" w:rsidRDefault="0009103D" w:rsidP="003727F5">
      <w:pPr>
        <w:numPr>
          <w:ilvl w:val="0"/>
          <w:numId w:val="1"/>
        </w:numPr>
        <w:tabs>
          <w:tab w:val="clear" w:pos="360"/>
          <w:tab w:val="num" w:pos="0"/>
        </w:tabs>
        <w:spacing w:after="0" w:line="288" w:lineRule="auto"/>
        <w:ind w:left="0" w:hanging="720"/>
        <w:rPr>
          <w:rFonts w:eastAsia="Times New Roman" w:cs="Times New Roman"/>
          <w:szCs w:val="25"/>
        </w:rPr>
      </w:pPr>
      <w:r>
        <w:rPr>
          <w:rFonts w:eastAsia="Times New Roman" w:cs="Times New Roman"/>
          <w:szCs w:val="25"/>
        </w:rPr>
        <w:t>(</w:t>
      </w:r>
      <w:r w:rsidR="00C02134">
        <w:rPr>
          <w:rFonts w:eastAsia="Times New Roman" w:cs="Times New Roman"/>
          <w:szCs w:val="25"/>
        </w:rPr>
        <w:t>2</w:t>
      </w:r>
      <w:r>
        <w:rPr>
          <w:rFonts w:eastAsia="Times New Roman" w:cs="Times New Roman"/>
          <w:szCs w:val="25"/>
        </w:rPr>
        <w:t>)</w:t>
      </w:r>
      <w:r w:rsidR="003727F5">
        <w:rPr>
          <w:rFonts w:eastAsia="Times New Roman" w:cs="Times New Roman"/>
          <w:szCs w:val="25"/>
        </w:rPr>
        <w:tab/>
      </w:r>
      <w:r>
        <w:rPr>
          <w:rFonts w:eastAsia="Times New Roman" w:cs="Times New Roman"/>
          <w:szCs w:val="25"/>
        </w:rPr>
        <w:t>The Commission retains jurisdiction to enforce the terms of this Order.</w:t>
      </w:r>
    </w:p>
    <w:p w:rsidR="0009103D" w:rsidRDefault="0009103D" w:rsidP="00302AA1">
      <w:pPr>
        <w:spacing w:after="0" w:line="288" w:lineRule="auto"/>
        <w:ind w:firstLine="360"/>
        <w:rPr>
          <w:rFonts w:eastAsia="Times New Roman" w:cs="Times New Roman"/>
          <w:szCs w:val="25"/>
        </w:rPr>
      </w:pPr>
    </w:p>
    <w:p w:rsidR="005F7B6D" w:rsidRPr="005F7B6D" w:rsidRDefault="005F7B6D" w:rsidP="00302AA1">
      <w:pPr>
        <w:spacing w:after="0" w:line="288" w:lineRule="auto"/>
        <w:ind w:firstLine="360"/>
        <w:rPr>
          <w:rFonts w:eastAsia="Times New Roman" w:cs="Times New Roman"/>
          <w:szCs w:val="25"/>
        </w:rPr>
      </w:pPr>
      <w:r w:rsidRPr="005F7B6D">
        <w:rPr>
          <w:rFonts w:eastAsia="Times New Roman" w:cs="Times New Roman"/>
          <w:szCs w:val="25"/>
        </w:rPr>
        <w:t xml:space="preserve">Dated at Olympia, Washington, and effective </w:t>
      </w:r>
      <w:r w:rsidR="00C02134">
        <w:rPr>
          <w:rFonts w:eastAsia="Times New Roman" w:cs="Times New Roman"/>
          <w:szCs w:val="25"/>
        </w:rPr>
        <w:t>June 12,</w:t>
      </w:r>
      <w:r w:rsidR="0052410C">
        <w:rPr>
          <w:rFonts w:eastAsia="Times New Roman" w:cs="Times New Roman"/>
          <w:szCs w:val="25"/>
        </w:rPr>
        <w:t xml:space="preserve"> 2012</w:t>
      </w:r>
      <w:r w:rsidRPr="005F7B6D">
        <w:rPr>
          <w:rFonts w:eastAsia="Times New Roman" w:cs="Times New Roman"/>
          <w:szCs w:val="25"/>
        </w:rPr>
        <w:t>.</w:t>
      </w:r>
    </w:p>
    <w:p w:rsidR="005F7B6D" w:rsidRPr="005F7B6D" w:rsidRDefault="005F7B6D" w:rsidP="005F7B6D">
      <w:pPr>
        <w:spacing w:after="0" w:line="288" w:lineRule="auto"/>
        <w:rPr>
          <w:rFonts w:eastAsia="Times New Roman" w:cs="Times New Roman"/>
          <w:szCs w:val="25"/>
        </w:rPr>
      </w:pPr>
    </w:p>
    <w:p w:rsidR="005F7B6D" w:rsidRPr="005F7B6D" w:rsidRDefault="005F7B6D" w:rsidP="005F7B6D">
      <w:pPr>
        <w:spacing w:after="0" w:line="288" w:lineRule="auto"/>
        <w:jc w:val="center"/>
        <w:rPr>
          <w:rFonts w:eastAsia="Times New Roman" w:cs="Times New Roman"/>
          <w:szCs w:val="25"/>
        </w:rPr>
      </w:pPr>
      <w:r w:rsidRPr="005F7B6D">
        <w:rPr>
          <w:rFonts w:eastAsia="Times New Roman" w:cs="Times New Roman"/>
          <w:szCs w:val="25"/>
        </w:rPr>
        <w:t>WASHINGTON UTILITIES AND TRANSPORTATION COMMISSION</w:t>
      </w:r>
    </w:p>
    <w:p w:rsidR="005F7B6D" w:rsidRPr="005F7B6D" w:rsidRDefault="005F7B6D" w:rsidP="005F7B6D">
      <w:pPr>
        <w:spacing w:after="0" w:line="288" w:lineRule="auto"/>
        <w:rPr>
          <w:rFonts w:eastAsia="Times New Roman" w:cs="Times New Roman"/>
          <w:szCs w:val="25"/>
        </w:rPr>
      </w:pPr>
    </w:p>
    <w:p w:rsidR="005F7B6D" w:rsidRDefault="005F7B6D" w:rsidP="005F7B6D">
      <w:pPr>
        <w:spacing w:after="0" w:line="288" w:lineRule="auto"/>
        <w:rPr>
          <w:rFonts w:eastAsia="Times New Roman" w:cs="Times New Roman"/>
          <w:szCs w:val="25"/>
        </w:rPr>
      </w:pPr>
    </w:p>
    <w:p w:rsidR="00C02134" w:rsidRPr="005F7B6D" w:rsidRDefault="00C02134" w:rsidP="005F7B6D">
      <w:pPr>
        <w:spacing w:after="0" w:line="288" w:lineRule="auto"/>
        <w:rPr>
          <w:rFonts w:eastAsia="Times New Roman" w:cs="Times New Roman"/>
          <w:szCs w:val="25"/>
        </w:rPr>
      </w:pPr>
    </w:p>
    <w:p w:rsidR="00C02134" w:rsidRPr="00C02134" w:rsidRDefault="005F7B6D" w:rsidP="00C02134">
      <w:pPr>
        <w:spacing w:after="0" w:line="288" w:lineRule="auto"/>
        <w:rPr>
          <w:rFonts w:eastAsia="Times New Roman" w:cs="Times New Roman"/>
          <w:bCs/>
          <w:szCs w:val="25"/>
        </w:rPr>
      </w:pPr>
      <w:r w:rsidRPr="005F7B6D">
        <w:rPr>
          <w:rFonts w:eastAsia="Times New Roman" w:cs="Times New Roman"/>
          <w:szCs w:val="25"/>
        </w:rPr>
        <w:tab/>
      </w:r>
      <w:r w:rsidRPr="005F7B6D">
        <w:rPr>
          <w:rFonts w:eastAsia="Times New Roman" w:cs="Times New Roman"/>
          <w:szCs w:val="25"/>
        </w:rPr>
        <w:tab/>
      </w:r>
      <w:r w:rsidRPr="005F7B6D">
        <w:rPr>
          <w:rFonts w:eastAsia="Times New Roman" w:cs="Times New Roman"/>
          <w:szCs w:val="25"/>
        </w:rPr>
        <w:tab/>
      </w:r>
      <w:r w:rsidRPr="005F7B6D">
        <w:rPr>
          <w:rFonts w:eastAsia="Times New Roman" w:cs="Times New Roman"/>
          <w:szCs w:val="25"/>
        </w:rPr>
        <w:tab/>
      </w:r>
      <w:r w:rsidRPr="005F7B6D">
        <w:rPr>
          <w:rFonts w:eastAsia="Times New Roman" w:cs="Times New Roman"/>
          <w:szCs w:val="25"/>
        </w:rPr>
        <w:tab/>
      </w:r>
      <w:r w:rsidR="00C02134">
        <w:rPr>
          <w:rFonts w:eastAsia="Times New Roman" w:cs="Times New Roman"/>
          <w:szCs w:val="25"/>
        </w:rPr>
        <w:tab/>
      </w:r>
      <w:r w:rsidR="00C02134" w:rsidRPr="00C02134">
        <w:rPr>
          <w:rFonts w:eastAsia="Times New Roman" w:cs="Times New Roman"/>
          <w:bCs/>
          <w:szCs w:val="25"/>
        </w:rPr>
        <w:t>DENNIS J. MOSS</w:t>
      </w:r>
    </w:p>
    <w:p w:rsidR="00C02134" w:rsidRPr="00C02134" w:rsidRDefault="00C02134" w:rsidP="00C02134">
      <w:pPr>
        <w:spacing w:after="0" w:line="288" w:lineRule="auto"/>
        <w:rPr>
          <w:rFonts w:eastAsia="Times New Roman" w:cs="Times New Roman"/>
          <w:szCs w:val="25"/>
        </w:rPr>
      </w:pPr>
      <w:r w:rsidRPr="00C02134">
        <w:rPr>
          <w:rFonts w:eastAsia="Times New Roman" w:cs="Times New Roman"/>
          <w:szCs w:val="25"/>
        </w:rPr>
        <w:tab/>
      </w:r>
      <w:r w:rsidRPr="00C02134">
        <w:rPr>
          <w:rFonts w:eastAsia="Times New Roman" w:cs="Times New Roman"/>
          <w:szCs w:val="25"/>
        </w:rPr>
        <w:tab/>
      </w:r>
      <w:r w:rsidRPr="00C02134">
        <w:rPr>
          <w:rFonts w:eastAsia="Times New Roman" w:cs="Times New Roman"/>
          <w:szCs w:val="25"/>
        </w:rPr>
        <w:tab/>
      </w:r>
      <w:r w:rsidRPr="00C02134">
        <w:rPr>
          <w:rFonts w:eastAsia="Times New Roman" w:cs="Times New Roman"/>
          <w:szCs w:val="25"/>
        </w:rPr>
        <w:tab/>
      </w:r>
      <w:r w:rsidRPr="00C02134">
        <w:rPr>
          <w:rFonts w:eastAsia="Times New Roman" w:cs="Times New Roman"/>
          <w:szCs w:val="25"/>
        </w:rPr>
        <w:tab/>
      </w:r>
      <w:r w:rsidRPr="00C02134">
        <w:rPr>
          <w:rFonts w:eastAsia="Times New Roman" w:cs="Times New Roman"/>
          <w:szCs w:val="25"/>
        </w:rPr>
        <w:tab/>
        <w:t>Administrative Law Judge</w:t>
      </w:r>
    </w:p>
    <w:p w:rsidR="005F7B6D" w:rsidRPr="005F7B6D" w:rsidRDefault="005F7B6D" w:rsidP="005F7B6D">
      <w:pPr>
        <w:spacing w:after="0" w:line="288" w:lineRule="auto"/>
        <w:rPr>
          <w:rFonts w:eastAsia="Times New Roman" w:cs="Times New Roman"/>
          <w:szCs w:val="25"/>
        </w:rPr>
      </w:pPr>
    </w:p>
    <w:sectPr w:rsidR="005F7B6D" w:rsidRPr="005F7B6D" w:rsidSect="003727F5">
      <w:headerReference w:type="default" r:id="rId9"/>
      <w:headerReference w:type="first" r:id="rId10"/>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2B4" w:rsidRDefault="009822B4" w:rsidP="00E41BDC">
      <w:pPr>
        <w:spacing w:after="0" w:line="240" w:lineRule="auto"/>
      </w:pPr>
      <w:r>
        <w:separator/>
      </w:r>
    </w:p>
  </w:endnote>
  <w:endnote w:type="continuationSeparator" w:id="0">
    <w:p w:rsidR="009822B4" w:rsidRDefault="009822B4" w:rsidP="00E4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2B4" w:rsidRDefault="009822B4" w:rsidP="00E41BDC">
      <w:pPr>
        <w:spacing w:after="0" w:line="240" w:lineRule="auto"/>
      </w:pPr>
      <w:r>
        <w:separator/>
      </w:r>
    </w:p>
  </w:footnote>
  <w:footnote w:type="continuationSeparator" w:id="0">
    <w:p w:rsidR="009822B4" w:rsidRDefault="009822B4" w:rsidP="00E41BDC">
      <w:pPr>
        <w:spacing w:after="0" w:line="240" w:lineRule="auto"/>
      </w:pPr>
      <w:r>
        <w:continuationSeparator/>
      </w:r>
    </w:p>
  </w:footnote>
  <w:footnote w:id="1">
    <w:p w:rsidR="009822B4" w:rsidRPr="00971A54" w:rsidRDefault="009822B4" w:rsidP="000308E9">
      <w:pPr>
        <w:pStyle w:val="FootnoteText"/>
        <w:spacing w:after="120"/>
        <w:rPr>
          <w:rFonts w:ascii="Times New Roman" w:hAnsi="Times New Roman"/>
          <w:sz w:val="22"/>
          <w:szCs w:val="22"/>
        </w:rPr>
      </w:pPr>
      <w:r w:rsidRPr="00971A54">
        <w:rPr>
          <w:rStyle w:val="FootnoteReference"/>
          <w:rFonts w:ascii="Times New Roman" w:hAnsi="Times New Roman"/>
          <w:sz w:val="22"/>
          <w:szCs w:val="22"/>
        </w:rPr>
        <w:footnoteRef/>
      </w:r>
      <w:r w:rsidRPr="00971A54">
        <w:rPr>
          <w:rFonts w:ascii="Times New Roman" w:hAnsi="Times New Roman"/>
          <w:sz w:val="22"/>
          <w:szCs w:val="22"/>
        </w:rPr>
        <w:t xml:space="preserve"> NW Natural and Staff requested and were granted three extensions of time to file their settlement.  On the third occasion, we required them to waive the suspension date for 30 days.  Hence, the suspension date now is July 6, 2012.</w:t>
      </w:r>
    </w:p>
  </w:footnote>
  <w:footnote w:id="2">
    <w:p w:rsidR="009822B4" w:rsidRDefault="009822B4" w:rsidP="003B3231">
      <w:pPr>
        <w:pStyle w:val="FootnoteText"/>
        <w:spacing w:after="120"/>
      </w:pPr>
      <w:r w:rsidRPr="0052410C">
        <w:rPr>
          <w:rStyle w:val="FootnoteReference"/>
          <w:rFonts w:ascii="Times New Roman" w:hAnsi="Times New Roman"/>
          <w:sz w:val="22"/>
          <w:szCs w:val="22"/>
        </w:rPr>
        <w:footnoteRef/>
      </w:r>
      <w:r>
        <w:t xml:space="preserve"> </w:t>
      </w:r>
      <w:r w:rsidRPr="0052410C">
        <w:rPr>
          <w:rFonts w:ascii="Times New Roman" w:hAnsi="Times New Roman"/>
          <w:sz w:val="22"/>
          <w:szCs w:val="22"/>
        </w:rPr>
        <w:t>WAC 480-07-730 (“Parties who file a full settlement should file supporting evidence at the same time</w:t>
      </w:r>
      <w:r w:rsidR="003727F5">
        <w:rPr>
          <w:rFonts w:ascii="Times New Roman" w:hAnsi="Times New Roman"/>
          <w:sz w:val="22"/>
          <w:szCs w:val="22"/>
        </w:rPr>
        <w:t xml:space="preserve"> </w:t>
      </w:r>
      <w:r w:rsidRPr="0052410C">
        <w:rPr>
          <w:rFonts w:ascii="Times New Roman" w:hAnsi="Times New Roman"/>
          <w:sz w:val="22"/>
          <w:szCs w:val="22"/>
        </w:rPr>
        <w:t>. . . or within a reasonable time following filing of the settlement agreement.”); WAC 480-07-740(2) (“When filing a proposed settlement agreement, parties must also file supporting documentation sufficient to demonstrate to the commission that the proposal is consistent with law and the public interest, and that it is appropriate for adoption.”).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2B4" w:rsidRPr="006E2101" w:rsidRDefault="009822B4" w:rsidP="006E2101">
    <w:pPr>
      <w:tabs>
        <w:tab w:val="left" w:pos="0"/>
        <w:tab w:val="right" w:pos="8460"/>
      </w:tabs>
      <w:spacing w:after="0" w:line="240" w:lineRule="auto"/>
      <w:rPr>
        <w:rFonts w:eastAsia="Times New Roman" w:cs="Times New Roman"/>
        <w:b/>
        <w:sz w:val="18"/>
        <w:szCs w:val="20"/>
      </w:rPr>
    </w:pPr>
    <w:r w:rsidRPr="006E2101">
      <w:rPr>
        <w:rFonts w:eastAsia="Times New Roman" w:cs="Times New Roman"/>
        <w:b/>
        <w:sz w:val="18"/>
        <w:szCs w:val="20"/>
      </w:rPr>
      <w:t>DOCKET UG-111233</w:t>
    </w:r>
    <w:r w:rsidRPr="006E2101">
      <w:rPr>
        <w:rFonts w:eastAsia="Times New Roman" w:cs="Times New Roman"/>
        <w:b/>
        <w:sz w:val="18"/>
        <w:szCs w:val="20"/>
      </w:rPr>
      <w:tab/>
      <w:t xml:space="preserve">PAGE </w:t>
    </w:r>
    <w:r w:rsidRPr="006E2101">
      <w:rPr>
        <w:rFonts w:eastAsia="Times New Roman" w:cs="Times New Roman"/>
        <w:b/>
        <w:sz w:val="18"/>
        <w:szCs w:val="20"/>
      </w:rPr>
      <w:fldChar w:fldCharType="begin"/>
    </w:r>
    <w:r w:rsidRPr="006E2101">
      <w:rPr>
        <w:rFonts w:eastAsia="Times New Roman" w:cs="Times New Roman"/>
        <w:b/>
        <w:sz w:val="18"/>
        <w:szCs w:val="20"/>
      </w:rPr>
      <w:instrText xml:space="preserve"> PAGE </w:instrText>
    </w:r>
    <w:r w:rsidRPr="006E2101">
      <w:rPr>
        <w:rFonts w:eastAsia="Times New Roman" w:cs="Times New Roman"/>
        <w:b/>
        <w:sz w:val="18"/>
        <w:szCs w:val="20"/>
      </w:rPr>
      <w:fldChar w:fldCharType="separate"/>
    </w:r>
    <w:r w:rsidR="005057BD">
      <w:rPr>
        <w:rFonts w:eastAsia="Times New Roman" w:cs="Times New Roman"/>
        <w:b/>
        <w:noProof/>
        <w:sz w:val="18"/>
        <w:szCs w:val="20"/>
      </w:rPr>
      <w:t>2</w:t>
    </w:r>
    <w:r w:rsidRPr="006E2101">
      <w:rPr>
        <w:rFonts w:eastAsia="Times New Roman" w:cs="Times New Roman"/>
        <w:b/>
        <w:sz w:val="18"/>
        <w:szCs w:val="20"/>
      </w:rPr>
      <w:fldChar w:fldCharType="end"/>
    </w:r>
  </w:p>
  <w:p w:rsidR="009822B4" w:rsidRDefault="009822B4" w:rsidP="006E2101">
    <w:pPr>
      <w:tabs>
        <w:tab w:val="left" w:pos="0"/>
        <w:tab w:val="right" w:pos="8460"/>
      </w:tabs>
      <w:spacing w:after="0" w:line="240" w:lineRule="auto"/>
      <w:rPr>
        <w:b/>
        <w:sz w:val="18"/>
        <w:szCs w:val="20"/>
      </w:rPr>
    </w:pPr>
    <w:r w:rsidRPr="006E2101">
      <w:rPr>
        <w:b/>
        <w:sz w:val="18"/>
        <w:szCs w:val="20"/>
      </w:rPr>
      <w:t>ORDER 0</w:t>
    </w:r>
    <w:r w:rsidR="00C02134">
      <w:rPr>
        <w:b/>
        <w:sz w:val="18"/>
        <w:szCs w:val="20"/>
      </w:rPr>
      <w:t>6</w:t>
    </w:r>
  </w:p>
  <w:p w:rsidR="003727F5" w:rsidRPr="006E2101" w:rsidRDefault="003727F5" w:rsidP="006E2101">
    <w:pPr>
      <w:tabs>
        <w:tab w:val="left" w:pos="0"/>
        <w:tab w:val="right" w:pos="8460"/>
      </w:tabs>
      <w:spacing w:after="0" w:line="240" w:lineRule="auto"/>
      <w:rPr>
        <w:b/>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F" w:rsidRPr="00A52A4F" w:rsidRDefault="00A52A4F" w:rsidP="00A52A4F">
    <w:pPr>
      <w:pStyle w:val="Header"/>
      <w:tabs>
        <w:tab w:val="clear" w:pos="4680"/>
        <w:tab w:val="clear" w:pos="9360"/>
        <w:tab w:val="right" w:pos="8370"/>
      </w:tabs>
      <w:rPr>
        <w:b/>
        <w:sz w:val="20"/>
        <w:szCs w:val="20"/>
      </w:rPr>
    </w:pPr>
    <w:r>
      <w:tab/>
    </w:r>
    <w:r w:rsidRPr="00A52A4F">
      <w:rPr>
        <w:b/>
        <w:sz w:val="20"/>
        <w:szCs w:val="20"/>
      </w:rPr>
      <w:t>[Service Date June 12,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D9"/>
    <w:multiLevelType w:val="hybridMultilevel"/>
    <w:tmpl w:val="B7A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C73CE"/>
    <w:multiLevelType w:val="hybridMultilevel"/>
    <w:tmpl w:val="FBA6B0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21171526"/>
    <w:multiLevelType w:val="hybridMultilevel"/>
    <w:tmpl w:val="063C7670"/>
    <w:lvl w:ilvl="0" w:tplc="DEE8E57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01">
      <w:start w:val="1"/>
      <w:numFmt w:val="bullet"/>
      <w:lvlText w:val=""/>
      <w:lvlJc w:val="left"/>
      <w:pPr>
        <w:tabs>
          <w:tab w:val="num" w:pos="1800"/>
        </w:tabs>
        <w:ind w:left="1800" w:hanging="360"/>
      </w:pPr>
      <w:rPr>
        <w:rFonts w:ascii="Symbol" w:hAnsi="Symbol" w:hint="default"/>
        <w:b w:val="0"/>
        <w:i/>
        <w:color w:val="00000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701C45"/>
    <w:multiLevelType w:val="hybridMultilevel"/>
    <w:tmpl w:val="8642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B005F0"/>
    <w:multiLevelType w:val="hybridMultilevel"/>
    <w:tmpl w:val="063C7670"/>
    <w:lvl w:ilvl="0" w:tplc="DEE8E57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01">
      <w:start w:val="1"/>
      <w:numFmt w:val="bullet"/>
      <w:lvlText w:val=""/>
      <w:lvlJc w:val="left"/>
      <w:pPr>
        <w:tabs>
          <w:tab w:val="num" w:pos="1800"/>
        </w:tabs>
        <w:ind w:left="1800" w:hanging="360"/>
      </w:pPr>
      <w:rPr>
        <w:rFonts w:ascii="Symbol" w:hAnsi="Symbol" w:hint="default"/>
        <w:b w:val="0"/>
        <w:i/>
        <w:color w:val="00000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FB"/>
    <w:rsid w:val="00017B9D"/>
    <w:rsid w:val="00022A43"/>
    <w:rsid w:val="000308E9"/>
    <w:rsid w:val="000314DC"/>
    <w:rsid w:val="0009103D"/>
    <w:rsid w:val="000A78FC"/>
    <w:rsid w:val="000F7493"/>
    <w:rsid w:val="00120FA8"/>
    <w:rsid w:val="00162EA2"/>
    <w:rsid w:val="00171A4C"/>
    <w:rsid w:val="00197B5C"/>
    <w:rsid w:val="001E4D2D"/>
    <w:rsid w:val="00225B0E"/>
    <w:rsid w:val="002545D9"/>
    <w:rsid w:val="0026574B"/>
    <w:rsid w:val="00275FD7"/>
    <w:rsid w:val="002842B1"/>
    <w:rsid w:val="002A3B47"/>
    <w:rsid w:val="002C1F20"/>
    <w:rsid w:val="002D384D"/>
    <w:rsid w:val="002D7FDE"/>
    <w:rsid w:val="002E3307"/>
    <w:rsid w:val="002F53F6"/>
    <w:rsid w:val="00302AA1"/>
    <w:rsid w:val="00335063"/>
    <w:rsid w:val="0033786C"/>
    <w:rsid w:val="003727F5"/>
    <w:rsid w:val="003B0626"/>
    <w:rsid w:val="003B3231"/>
    <w:rsid w:val="003F3F0D"/>
    <w:rsid w:val="003F523F"/>
    <w:rsid w:val="00447A19"/>
    <w:rsid w:val="004823BB"/>
    <w:rsid w:val="004A1372"/>
    <w:rsid w:val="004D6EA8"/>
    <w:rsid w:val="00502289"/>
    <w:rsid w:val="005057BD"/>
    <w:rsid w:val="0052410C"/>
    <w:rsid w:val="00551392"/>
    <w:rsid w:val="005C267E"/>
    <w:rsid w:val="005C39CB"/>
    <w:rsid w:val="005F7B6D"/>
    <w:rsid w:val="0064689D"/>
    <w:rsid w:val="006503FE"/>
    <w:rsid w:val="006A0B6E"/>
    <w:rsid w:val="006E2101"/>
    <w:rsid w:val="00720FC9"/>
    <w:rsid w:val="007515A3"/>
    <w:rsid w:val="007B54C6"/>
    <w:rsid w:val="007E3016"/>
    <w:rsid w:val="00801058"/>
    <w:rsid w:val="00805D29"/>
    <w:rsid w:val="00844DE3"/>
    <w:rsid w:val="0087044F"/>
    <w:rsid w:val="008C7CFB"/>
    <w:rsid w:val="008E68A2"/>
    <w:rsid w:val="008F4CFE"/>
    <w:rsid w:val="00915660"/>
    <w:rsid w:val="00921CE3"/>
    <w:rsid w:val="00930B43"/>
    <w:rsid w:val="009822B4"/>
    <w:rsid w:val="0099482D"/>
    <w:rsid w:val="009E0AE5"/>
    <w:rsid w:val="00A10ED7"/>
    <w:rsid w:val="00A330AB"/>
    <w:rsid w:val="00A52A4F"/>
    <w:rsid w:val="00A52AF1"/>
    <w:rsid w:val="00AB4F72"/>
    <w:rsid w:val="00AB505D"/>
    <w:rsid w:val="00AC2095"/>
    <w:rsid w:val="00AC50E2"/>
    <w:rsid w:val="00AE5E21"/>
    <w:rsid w:val="00B14839"/>
    <w:rsid w:val="00B22995"/>
    <w:rsid w:val="00B239F0"/>
    <w:rsid w:val="00B56C35"/>
    <w:rsid w:val="00B63112"/>
    <w:rsid w:val="00BC0945"/>
    <w:rsid w:val="00C02134"/>
    <w:rsid w:val="00CA33CC"/>
    <w:rsid w:val="00D2563A"/>
    <w:rsid w:val="00D74B65"/>
    <w:rsid w:val="00D80394"/>
    <w:rsid w:val="00DA12B0"/>
    <w:rsid w:val="00E24B2B"/>
    <w:rsid w:val="00E40548"/>
    <w:rsid w:val="00E41BDC"/>
    <w:rsid w:val="00ED37AF"/>
    <w:rsid w:val="00F05846"/>
    <w:rsid w:val="00F403BD"/>
    <w:rsid w:val="00F73B59"/>
    <w:rsid w:val="00F763DF"/>
    <w:rsid w:val="00F86595"/>
    <w:rsid w:val="00FA776C"/>
    <w:rsid w:val="00FC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DC"/>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E41BDC"/>
    <w:pPr>
      <w:spacing w:after="0" w:line="240" w:lineRule="auto"/>
    </w:pPr>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E41BDC"/>
    <w:rPr>
      <w:rFonts w:ascii="Palatino Linotype" w:eastAsia="Times New Roman" w:hAnsi="Palatino Linotype" w:cs="Times New Roman"/>
      <w:sz w:val="20"/>
      <w:szCs w:val="20"/>
    </w:rPr>
  </w:style>
  <w:style w:type="character" w:styleId="FootnoteReference">
    <w:name w:val="footnote reference"/>
    <w:uiPriority w:val="99"/>
    <w:rsid w:val="00E41BDC"/>
    <w:rPr>
      <w:vertAlign w:val="superscript"/>
    </w:rPr>
  </w:style>
  <w:style w:type="character" w:styleId="Hyperlink">
    <w:name w:val="Hyperlink"/>
    <w:basedOn w:val="DefaultParagraphFont"/>
    <w:uiPriority w:val="99"/>
    <w:unhideWhenUsed/>
    <w:rsid w:val="00197B5C"/>
    <w:rPr>
      <w:color w:val="0000FF" w:themeColor="hyperlink"/>
      <w:u w:val="single"/>
    </w:rPr>
  </w:style>
  <w:style w:type="paragraph" w:styleId="Header">
    <w:name w:val="header"/>
    <w:basedOn w:val="Normal"/>
    <w:link w:val="HeaderChar"/>
    <w:uiPriority w:val="99"/>
    <w:unhideWhenUsed/>
    <w:rsid w:val="006E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101"/>
  </w:style>
  <w:style w:type="paragraph" w:styleId="Footer">
    <w:name w:val="footer"/>
    <w:basedOn w:val="Normal"/>
    <w:link w:val="FooterChar"/>
    <w:uiPriority w:val="99"/>
    <w:unhideWhenUsed/>
    <w:rsid w:val="006E2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101"/>
  </w:style>
  <w:style w:type="character" w:styleId="FollowedHyperlink">
    <w:name w:val="FollowedHyperlink"/>
    <w:basedOn w:val="DefaultParagraphFont"/>
    <w:uiPriority w:val="99"/>
    <w:semiHidden/>
    <w:unhideWhenUsed/>
    <w:rsid w:val="003F3F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DC"/>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E41BDC"/>
    <w:pPr>
      <w:spacing w:after="0" w:line="240" w:lineRule="auto"/>
    </w:pPr>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E41BDC"/>
    <w:rPr>
      <w:rFonts w:ascii="Palatino Linotype" w:eastAsia="Times New Roman" w:hAnsi="Palatino Linotype" w:cs="Times New Roman"/>
      <w:sz w:val="20"/>
      <w:szCs w:val="20"/>
    </w:rPr>
  </w:style>
  <w:style w:type="character" w:styleId="FootnoteReference">
    <w:name w:val="footnote reference"/>
    <w:uiPriority w:val="99"/>
    <w:rsid w:val="00E41BDC"/>
    <w:rPr>
      <w:vertAlign w:val="superscript"/>
    </w:rPr>
  </w:style>
  <w:style w:type="character" w:styleId="Hyperlink">
    <w:name w:val="Hyperlink"/>
    <w:basedOn w:val="DefaultParagraphFont"/>
    <w:uiPriority w:val="99"/>
    <w:unhideWhenUsed/>
    <w:rsid w:val="00197B5C"/>
    <w:rPr>
      <w:color w:val="0000FF" w:themeColor="hyperlink"/>
      <w:u w:val="single"/>
    </w:rPr>
  </w:style>
  <w:style w:type="paragraph" w:styleId="Header">
    <w:name w:val="header"/>
    <w:basedOn w:val="Normal"/>
    <w:link w:val="HeaderChar"/>
    <w:uiPriority w:val="99"/>
    <w:unhideWhenUsed/>
    <w:rsid w:val="006E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101"/>
  </w:style>
  <w:style w:type="paragraph" w:styleId="Footer">
    <w:name w:val="footer"/>
    <w:basedOn w:val="Normal"/>
    <w:link w:val="FooterChar"/>
    <w:uiPriority w:val="99"/>
    <w:unhideWhenUsed/>
    <w:rsid w:val="006E2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101"/>
  </w:style>
  <w:style w:type="character" w:styleId="FollowedHyperlink">
    <w:name w:val="FollowedHyperlink"/>
    <w:basedOn w:val="DefaultParagraphFont"/>
    <w:uiPriority w:val="99"/>
    <w:semiHidden/>
    <w:unhideWhenUsed/>
    <w:rsid w:val="003F3F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F0DD49B3CB1048B10E86A324F609BC" ma:contentTypeVersion="143" ma:contentTypeDescription="" ma:contentTypeScope="" ma:versionID="4985c6e453cd79f3a95266c0ba7bb6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2011-07-06T07:00:00+00:00</OpenedDate>
    <Date1 xmlns="dc463f71-b30c-4ab2-9473-d307f9d35888">2012-06-12T07:00:00+00:00</Date1>
    <IsDocumentOrder xmlns="dc463f71-b30c-4ab2-9473-d307f9d35888">true</IsDocumentOrder>
    <IsHighlyConfidential xmlns="dc463f71-b30c-4ab2-9473-d307f9d35888">false</IsHighlyConfidential>
    <CaseCompanyNames xmlns="dc463f71-b30c-4ab2-9473-d307f9d35888">Northwest Natural Gas Company</CaseCompanyNames>
    <DocketNumber xmlns="dc463f71-b30c-4ab2-9473-d307f9d35888">111233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D2D0D8-80D9-4BF5-91EC-D859568232F5}"/>
</file>

<file path=customXml/itemProps2.xml><?xml version="1.0" encoding="utf-8"?>
<ds:datastoreItem xmlns:ds="http://schemas.openxmlformats.org/officeDocument/2006/customXml" ds:itemID="{21AE87C4-D273-4C54-B855-19CA1C403B12}"/>
</file>

<file path=customXml/itemProps3.xml><?xml version="1.0" encoding="utf-8"?>
<ds:datastoreItem xmlns:ds="http://schemas.openxmlformats.org/officeDocument/2006/customXml" ds:itemID="{D50A2D3C-B433-4A53-9166-035B4B515997}"/>
</file>

<file path=customXml/itemProps4.xml><?xml version="1.0" encoding="utf-8"?>
<ds:datastoreItem xmlns:ds="http://schemas.openxmlformats.org/officeDocument/2006/customXml" ds:itemID="{77E9CC49-9B75-427F-BFB9-DE937B6F4467}"/>
</file>

<file path=customXml/itemProps5.xml><?xml version="1.0" encoding="utf-8"?>
<ds:datastoreItem xmlns:ds="http://schemas.openxmlformats.org/officeDocument/2006/customXml" ds:itemID="{A5BC5697-9CE2-4769-B649-8F2979E084F8}"/>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2012-06-12T16:29:00Z</dcterms:created>
  <dcterms:modified xsi:type="dcterms:W3CDTF">2012-06-12T16:37:00Z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0x0101006E56B4D1795A2E4DB2F0B01679ED314A0084F0DD49B3CB1048B10E86A324F609BC</vt:lpwstr>
  </property>
  <property fmtid="{D5CDD505-2E9C-101B-9397-08002B2CF9AE}" pid="3" name="_docset_NoMedatataSyncRequired">
    <vt:lpwstr>False</vt:lpwstr>
  </property>
</Properties>
</file>