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DE" w:rsidRDefault="00D0390D" w:rsidP="009273DE">
      <w:p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7E9483A" wp14:editId="2B84B65C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3DE" w:rsidRDefault="009273DE" w:rsidP="009273DE">
      <w:pPr>
        <w:rPr>
          <w:rFonts w:ascii="Times New Roman" w:hAnsi="Times New Roman"/>
          <w:szCs w:val="24"/>
        </w:rPr>
      </w:pPr>
    </w:p>
    <w:p w:rsidR="00964072" w:rsidRPr="00C456C2" w:rsidRDefault="00E80FA5" w:rsidP="009273D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27, 2015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</w:p>
    <w:p w:rsidR="00964072" w:rsidRPr="00C456C2" w:rsidRDefault="00964072" w:rsidP="000B3DB4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smartTag w:uri="urn:schemas-microsoft-com:office:smarttags" w:element="stockticker">
        <w:r w:rsidRPr="00C456C2">
          <w:rPr>
            <w:rFonts w:ascii="Times New Roman" w:hAnsi="Times New Roman"/>
            <w:b/>
            <w:bCs/>
            <w:i/>
            <w:iCs/>
            <w:szCs w:val="24"/>
          </w:rPr>
          <w:t>VIA</w:t>
        </w:r>
      </w:smartTag>
      <w:r w:rsidRPr="00C456C2">
        <w:rPr>
          <w:rFonts w:ascii="Times New Roman" w:hAnsi="Times New Roman"/>
          <w:b/>
          <w:bCs/>
          <w:i/>
          <w:iCs/>
          <w:szCs w:val="24"/>
        </w:rPr>
        <w:t xml:space="preserve"> ELECTRONIC FILING</w:t>
      </w:r>
    </w:p>
    <w:p w:rsidR="00875C27" w:rsidRPr="00C456C2" w:rsidRDefault="00875C27" w:rsidP="000B3DB4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C456C2">
        <w:rPr>
          <w:rFonts w:ascii="Times New Roman" w:hAnsi="Times New Roman"/>
          <w:b/>
          <w:bCs/>
          <w:i/>
          <w:iCs/>
          <w:szCs w:val="24"/>
        </w:rPr>
        <w:t>AND OVERNIGHT DELIVERY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</w:p>
    <w:p w:rsidR="007D1902" w:rsidRPr="00C456C2" w:rsidRDefault="007D1902" w:rsidP="007D1902">
      <w:pPr>
        <w:ind w:left="1440" w:hanging="1440"/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Steven V. King</w:t>
      </w:r>
    </w:p>
    <w:p w:rsidR="007D1902" w:rsidRPr="00C456C2" w:rsidRDefault="007D1902" w:rsidP="007D1902">
      <w:pPr>
        <w:ind w:left="1440" w:hanging="1440"/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Executive Director and Secretary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Washington Utilities and Transportation Commission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1300 S. Evergreen Park Drive SW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P.O. Box 47250</w:t>
      </w:r>
    </w:p>
    <w:p w:rsidR="00964072" w:rsidRPr="00C456C2" w:rsidRDefault="00964072" w:rsidP="000B3DB4">
      <w:pPr>
        <w:jc w:val="both"/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Olympia, WA  98504-7250</w:t>
      </w:r>
    </w:p>
    <w:p w:rsidR="00FF7F41" w:rsidRPr="00C456C2" w:rsidRDefault="00FF7F41" w:rsidP="007D1902">
      <w:pPr>
        <w:jc w:val="both"/>
        <w:rPr>
          <w:rFonts w:ascii="Times New Roman" w:hAnsi="Times New Roman"/>
          <w:szCs w:val="24"/>
        </w:rPr>
      </w:pPr>
    </w:p>
    <w:p w:rsidR="007D1902" w:rsidRDefault="00964072" w:rsidP="007D1902">
      <w:pPr>
        <w:ind w:left="720" w:hanging="720"/>
        <w:rPr>
          <w:rFonts w:ascii="Times New Roman" w:hAnsi="Times New Roman"/>
          <w:b/>
          <w:szCs w:val="24"/>
        </w:rPr>
      </w:pPr>
      <w:r w:rsidRPr="007D1902">
        <w:rPr>
          <w:rFonts w:ascii="Times New Roman" w:hAnsi="Times New Roman"/>
          <w:b/>
          <w:szCs w:val="24"/>
        </w:rPr>
        <w:t>RE:</w:t>
      </w:r>
      <w:r w:rsidRPr="00C456C2">
        <w:rPr>
          <w:rFonts w:ascii="Times New Roman" w:hAnsi="Times New Roman"/>
          <w:szCs w:val="24"/>
        </w:rPr>
        <w:tab/>
      </w:r>
      <w:r w:rsidR="006D0410" w:rsidRPr="00C456C2">
        <w:rPr>
          <w:rFonts w:ascii="Times New Roman" w:hAnsi="Times New Roman"/>
          <w:b/>
          <w:szCs w:val="24"/>
        </w:rPr>
        <w:t>Compliance Filing</w:t>
      </w:r>
      <w:r w:rsidR="00056E80" w:rsidRPr="00C456C2">
        <w:rPr>
          <w:rFonts w:ascii="Times New Roman" w:hAnsi="Times New Roman"/>
          <w:b/>
          <w:szCs w:val="24"/>
        </w:rPr>
        <w:t>—</w:t>
      </w:r>
      <w:r w:rsidR="009273DE">
        <w:rPr>
          <w:rFonts w:ascii="Times New Roman" w:hAnsi="Times New Roman"/>
          <w:b/>
          <w:szCs w:val="24"/>
        </w:rPr>
        <w:t>Order 08</w:t>
      </w:r>
      <w:r w:rsidR="004757EC">
        <w:rPr>
          <w:rFonts w:ascii="Times New Roman" w:hAnsi="Times New Roman"/>
          <w:b/>
          <w:szCs w:val="24"/>
        </w:rPr>
        <w:t xml:space="preserve"> in Docket UE-</w:t>
      </w:r>
      <w:r w:rsidR="009273DE">
        <w:rPr>
          <w:rFonts w:ascii="Times New Roman" w:hAnsi="Times New Roman"/>
          <w:b/>
          <w:szCs w:val="24"/>
        </w:rPr>
        <w:t>140762</w:t>
      </w:r>
      <w:r w:rsidR="00820B1C">
        <w:rPr>
          <w:rFonts w:ascii="Times New Roman" w:hAnsi="Times New Roman"/>
          <w:b/>
          <w:szCs w:val="24"/>
        </w:rPr>
        <w:t xml:space="preserve"> </w:t>
      </w:r>
      <w:r w:rsidR="00820B1C" w:rsidRPr="00DE5801">
        <w:rPr>
          <w:rFonts w:ascii="Times New Roman" w:hAnsi="Times New Roman"/>
          <w:b/>
          <w:i/>
          <w:szCs w:val="24"/>
        </w:rPr>
        <w:t>et al</w:t>
      </w:r>
      <w:r w:rsidR="00820B1C">
        <w:rPr>
          <w:rFonts w:ascii="Times New Roman" w:hAnsi="Times New Roman"/>
          <w:b/>
          <w:szCs w:val="24"/>
        </w:rPr>
        <w:t>.</w:t>
      </w:r>
      <w:r w:rsidR="009273DE">
        <w:rPr>
          <w:rFonts w:ascii="Times New Roman" w:hAnsi="Times New Roman"/>
          <w:b/>
          <w:szCs w:val="24"/>
        </w:rPr>
        <w:t xml:space="preserve"> </w:t>
      </w:r>
      <w:r w:rsidR="009273DE" w:rsidRPr="00DE5801">
        <w:rPr>
          <w:rFonts w:ascii="Times New Roman" w:hAnsi="Times New Roman"/>
          <w:b/>
          <w:szCs w:val="24"/>
        </w:rPr>
        <w:t>(Consolidated</w:t>
      </w:r>
      <w:r w:rsidR="009273DE" w:rsidRPr="009273DE">
        <w:rPr>
          <w:rFonts w:ascii="Times New Roman" w:hAnsi="Times New Roman"/>
          <w:b/>
          <w:i/>
          <w:szCs w:val="24"/>
        </w:rPr>
        <w:t>)</w:t>
      </w:r>
    </w:p>
    <w:p w:rsidR="00DD5BAC" w:rsidRPr="00C456C2" w:rsidRDefault="004757EC" w:rsidP="007D1902">
      <w:p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Revisions to Pacifi</w:t>
      </w:r>
      <w:r w:rsidR="00820B1C">
        <w:rPr>
          <w:rFonts w:ascii="Times New Roman" w:hAnsi="Times New Roman"/>
          <w:b/>
          <w:szCs w:val="24"/>
        </w:rPr>
        <w:t>c Power’s</w:t>
      </w:r>
      <w:r>
        <w:rPr>
          <w:rFonts w:ascii="Times New Roman" w:hAnsi="Times New Roman"/>
          <w:b/>
          <w:szCs w:val="24"/>
        </w:rPr>
        <w:t xml:space="preserve"> General Tariffs</w:t>
      </w:r>
    </w:p>
    <w:p w:rsidR="00FF7F41" w:rsidRPr="00C456C2" w:rsidRDefault="00FF7F41" w:rsidP="009719A3">
      <w:pPr>
        <w:ind w:left="1440"/>
        <w:jc w:val="both"/>
        <w:rPr>
          <w:rFonts w:ascii="Times New Roman" w:hAnsi="Times New Roman"/>
          <w:b/>
          <w:szCs w:val="24"/>
        </w:rPr>
      </w:pPr>
    </w:p>
    <w:p w:rsidR="00DD5BAC" w:rsidRPr="00EF219F" w:rsidRDefault="004757EC" w:rsidP="00406824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 xml:space="preserve">In accordance with RCW 80.28.060, WAC 480-07-550, WAC 480-07-880, </w:t>
      </w:r>
      <w:r w:rsidR="009273DE">
        <w:rPr>
          <w:rFonts w:ascii="Times New Roman" w:hAnsi="Times New Roman"/>
          <w:szCs w:val="24"/>
        </w:rPr>
        <w:t xml:space="preserve">WAC 480-07-883, </w:t>
      </w:r>
      <w:r w:rsidRPr="00EF219F">
        <w:rPr>
          <w:rFonts w:ascii="Times New Roman" w:hAnsi="Times New Roman"/>
          <w:szCs w:val="24"/>
        </w:rPr>
        <w:t>and WAC Chapter 480-80, Pacific Power &amp; Light Company</w:t>
      </w:r>
      <w:r w:rsidR="009273DE">
        <w:rPr>
          <w:rFonts w:ascii="Times New Roman" w:hAnsi="Times New Roman"/>
          <w:szCs w:val="24"/>
        </w:rPr>
        <w:t>, a division of PacifiCorp</w:t>
      </w:r>
      <w:r w:rsidRPr="00EF219F">
        <w:rPr>
          <w:rFonts w:ascii="Times New Roman" w:hAnsi="Times New Roman"/>
          <w:szCs w:val="24"/>
        </w:rPr>
        <w:t xml:space="preserve"> (</w:t>
      </w:r>
      <w:r w:rsidR="00820B1C">
        <w:rPr>
          <w:rFonts w:ascii="Times New Roman" w:hAnsi="Times New Roman"/>
          <w:szCs w:val="24"/>
        </w:rPr>
        <w:t xml:space="preserve">Pacific Power </w:t>
      </w:r>
      <w:r w:rsidR="009273DE">
        <w:rPr>
          <w:rFonts w:ascii="Times New Roman" w:hAnsi="Times New Roman"/>
          <w:szCs w:val="24"/>
        </w:rPr>
        <w:t xml:space="preserve">or </w:t>
      </w:r>
      <w:r w:rsidRPr="00EF219F">
        <w:rPr>
          <w:rFonts w:ascii="Times New Roman" w:hAnsi="Times New Roman"/>
          <w:szCs w:val="24"/>
        </w:rPr>
        <w:t>Company)</w:t>
      </w:r>
      <w:r w:rsidR="009273DE">
        <w:rPr>
          <w:rFonts w:ascii="Times New Roman" w:hAnsi="Times New Roman"/>
          <w:szCs w:val="24"/>
        </w:rPr>
        <w:t>,</w:t>
      </w:r>
      <w:r w:rsidRPr="00EF219F">
        <w:rPr>
          <w:rFonts w:ascii="Times New Roman" w:hAnsi="Times New Roman"/>
          <w:szCs w:val="24"/>
        </w:rPr>
        <w:t xml:space="preserve"> submits the following revised tariff sheets in compliance with Washington Utilities and Transportation Commission Order 0</w:t>
      </w:r>
      <w:r w:rsidR="009273DE">
        <w:rPr>
          <w:rFonts w:ascii="Times New Roman" w:hAnsi="Times New Roman"/>
          <w:szCs w:val="24"/>
        </w:rPr>
        <w:t>8</w:t>
      </w:r>
      <w:r w:rsidRPr="00EF219F">
        <w:rPr>
          <w:rFonts w:ascii="Times New Roman" w:hAnsi="Times New Roman"/>
          <w:szCs w:val="24"/>
        </w:rPr>
        <w:t xml:space="preserve"> in Docket UE-</w:t>
      </w:r>
      <w:r w:rsidR="009273DE">
        <w:rPr>
          <w:rFonts w:ascii="Times New Roman" w:hAnsi="Times New Roman"/>
          <w:szCs w:val="24"/>
        </w:rPr>
        <w:t>140762</w:t>
      </w:r>
      <w:r w:rsidRPr="00EF219F">
        <w:rPr>
          <w:rFonts w:ascii="Times New Roman" w:hAnsi="Times New Roman"/>
          <w:szCs w:val="24"/>
        </w:rPr>
        <w:t>.</w:t>
      </w:r>
    </w:p>
    <w:p w:rsidR="006D0410" w:rsidRPr="00EF219F" w:rsidRDefault="006D0410" w:rsidP="00406824">
      <w:pPr>
        <w:rPr>
          <w:rFonts w:ascii="Times New Roman" w:hAnsi="Times New Roman"/>
          <w:szCs w:val="24"/>
        </w:rPr>
      </w:pPr>
    </w:p>
    <w:p w:rsidR="009719A3" w:rsidRPr="00C456C2" w:rsidRDefault="00056475" w:rsidP="009719A3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56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revised tariff sheets </w:t>
      </w:r>
      <w:r w:rsidR="004757EC">
        <w:rPr>
          <w:rFonts w:ascii="Times New Roman" w:hAnsi="Times New Roman" w:cs="Times New Roman"/>
          <w:b w:val="0"/>
          <w:bCs w:val="0"/>
          <w:sz w:val="24"/>
          <w:szCs w:val="24"/>
        </w:rPr>
        <w:t>are designated as follows:</w:t>
      </w:r>
    </w:p>
    <w:p w:rsidR="00056E80" w:rsidRPr="00EF219F" w:rsidRDefault="00056E80">
      <w:pPr>
        <w:rPr>
          <w:rFonts w:ascii="Times New Roman" w:hAnsi="Times New Roman"/>
          <w:szCs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1710"/>
        <w:gridCol w:w="4230"/>
      </w:tblGrid>
      <w:tr w:rsidR="00DE5801" w:rsidRPr="00430A86" w:rsidTr="00A63B39">
        <w:tc>
          <w:tcPr>
            <w:tcW w:w="3978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bookmarkStart w:id="0" w:name="_GoBack"/>
            <w:r w:rsidRPr="00430A86">
              <w:rPr>
                <w:rFonts w:ascii="Times New Roman" w:hAnsi="Times New Roman"/>
              </w:rPr>
              <w:t>Fi</w:t>
            </w:r>
            <w:r w:rsidR="001C4EB9">
              <w:rPr>
                <w:rFonts w:ascii="Times New Roman" w:hAnsi="Times New Roman"/>
              </w:rPr>
              <w:t>fth Revision of Sheet No. INDEX.</w:t>
            </w:r>
            <w:r w:rsidRPr="00430A86">
              <w:rPr>
                <w:rFonts w:ascii="Times New Roman" w:hAnsi="Times New Roman"/>
              </w:rPr>
              <w:t>3</w:t>
            </w:r>
          </w:p>
        </w:tc>
        <w:tc>
          <w:tcPr>
            <w:tcW w:w="1710" w:type="dxa"/>
          </w:tcPr>
          <w:p w:rsidR="00DE5801" w:rsidRPr="00430A86" w:rsidRDefault="00DE5801" w:rsidP="00DE5801">
            <w:pPr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Index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1C4E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</w:t>
            </w:r>
            <w:r w:rsidR="00DE5801" w:rsidRPr="00430A86">
              <w:rPr>
                <w:rFonts w:ascii="Times New Roman" w:hAnsi="Times New Roman"/>
              </w:rPr>
              <w:t xml:space="preserve"> of Sheet No. 15</w:t>
            </w:r>
            <w:r>
              <w:rPr>
                <w:rFonts w:ascii="Times New Roman" w:hAnsi="Times New Roman"/>
              </w:rPr>
              <w:t>.</w:t>
            </w:r>
            <w:r w:rsidR="00DE5801"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15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Outdoor Area Lighting Service – No New Service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16.</w:t>
            </w:r>
            <w:r w:rsidR="00DE5801"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16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Residential Service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17.</w:t>
            </w:r>
            <w:r w:rsidR="00DE5801"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17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Low Income Bill Assistance Program – Residential Service Optional for Qualifying Customers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18.</w:t>
            </w:r>
            <w:r w:rsidR="00DE5801"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18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Three Phase Residential Service Rider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Third Rev</w:t>
            </w:r>
            <w:r w:rsidR="001C4EB9">
              <w:rPr>
                <w:rFonts w:ascii="Times New Roman" w:hAnsi="Times New Roman"/>
              </w:rPr>
              <w:t>ision of Sheet No. 24.</w:t>
            </w:r>
            <w:r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24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Small General Service 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24.</w:t>
            </w:r>
            <w:r w:rsidR="00DE5801" w:rsidRPr="00430A86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24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Small General Service 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33.</w:t>
            </w:r>
            <w:r w:rsidR="00DE5801"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33</w:t>
            </w:r>
          </w:p>
        </w:tc>
        <w:tc>
          <w:tcPr>
            <w:tcW w:w="4230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Partial </w:t>
            </w:r>
            <w:r w:rsidR="00DE5801" w:rsidRPr="00430A86">
              <w:rPr>
                <w:rFonts w:ascii="Times New Roman" w:hAnsi="Times New Roman"/>
              </w:rPr>
              <w:t xml:space="preserve">Requirements Service – Less than 1,000 KW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</w:t>
            </w:r>
            <w:r w:rsidR="00DE5801" w:rsidRPr="00430A86">
              <w:rPr>
                <w:rFonts w:ascii="Times New Roman" w:hAnsi="Times New Roman"/>
              </w:rPr>
              <w:t xml:space="preserve"> of Sheet</w:t>
            </w:r>
            <w:r>
              <w:rPr>
                <w:rFonts w:ascii="Times New Roman" w:hAnsi="Times New Roman"/>
              </w:rPr>
              <w:t xml:space="preserve"> No. 36.</w:t>
            </w:r>
            <w:r w:rsidR="00DE5801"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36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Large General Service – Less than 1,000 KW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36.</w:t>
            </w:r>
            <w:r w:rsidR="00DE5801" w:rsidRPr="00430A86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36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Large General Service – Less than 1,000 KW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</w:t>
            </w:r>
            <w:r w:rsidR="00DE5801" w:rsidRPr="00430A86">
              <w:rPr>
                <w:rFonts w:ascii="Times New Roman" w:hAnsi="Times New Roman"/>
              </w:rPr>
              <w:t xml:space="preserve"> of Sheet No. 40.1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40.1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Agricultural Pumping Service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</w:t>
            </w:r>
            <w:r w:rsidR="00DE5801" w:rsidRPr="00430A86">
              <w:rPr>
                <w:rFonts w:ascii="Times New Roman" w:hAnsi="Times New Roman"/>
              </w:rPr>
              <w:t xml:space="preserve"> of S</w:t>
            </w:r>
            <w:r>
              <w:rPr>
                <w:rFonts w:ascii="Times New Roman" w:hAnsi="Times New Roman"/>
              </w:rPr>
              <w:t>heet No. 47T.</w:t>
            </w:r>
            <w:r w:rsidR="00DE5801"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47T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Large General Service – Partial Requirements Service Metered Time of Use 1,000 KW and Over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48T.</w:t>
            </w:r>
            <w:r w:rsidR="00DE5801"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48T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Large General Service – Metered Time of Use 1,000 KW and Over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Third Revision</w:t>
            </w:r>
            <w:r w:rsidR="00DE5801" w:rsidRPr="00430A86">
              <w:rPr>
                <w:rFonts w:ascii="Times New Roman" w:hAnsi="Times New Roman"/>
              </w:rPr>
              <w:t xml:space="preserve"> of Sheet </w:t>
            </w:r>
            <w:r>
              <w:rPr>
                <w:rFonts w:ascii="Times New Roman" w:hAnsi="Times New Roman"/>
              </w:rPr>
              <w:t>No. 51.</w:t>
            </w:r>
            <w:r w:rsidR="00DE5801"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51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Street Lighting Service – Company-Owned System</w:t>
            </w:r>
          </w:p>
        </w:tc>
      </w:tr>
      <w:tr w:rsidR="001C4EB9" w:rsidRPr="00430A86" w:rsidTr="00A63B39">
        <w:tc>
          <w:tcPr>
            <w:tcW w:w="3978" w:type="dxa"/>
          </w:tcPr>
          <w:p w:rsidR="001C4EB9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Third Revision of Sheet No. 52.1</w:t>
            </w:r>
          </w:p>
        </w:tc>
        <w:tc>
          <w:tcPr>
            <w:tcW w:w="1710" w:type="dxa"/>
          </w:tcPr>
          <w:p w:rsidR="001C4EB9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52</w:t>
            </w:r>
          </w:p>
        </w:tc>
        <w:tc>
          <w:tcPr>
            <w:tcW w:w="4230" w:type="dxa"/>
          </w:tcPr>
          <w:p w:rsidR="001C4EB9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Street Lighting Service – Company-Owned System No New Service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53.</w:t>
            </w:r>
            <w:r w:rsidR="00DE5801"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53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Street Lighting Service – Customer-Owned System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54.</w:t>
            </w:r>
            <w:r w:rsidR="00DE5801"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54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Recreational Field Lighting – Restricted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57.</w:t>
            </w:r>
            <w:r w:rsidR="00DE5801" w:rsidRPr="00430A86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57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Mercury Vapor Street Lighting Service – No New Service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 of Sheet No. 57.</w:t>
            </w:r>
            <w:r w:rsidR="00DE5801" w:rsidRPr="00430A86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57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Mercury Vapor Street Lighting Service – No New Service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Original Sheet No. 80.1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80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Summary of Effective Rate Adjustments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Original Sheet No. 92.1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92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Deferral Adjustments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</w:t>
            </w:r>
            <w:r w:rsidR="00DE5801" w:rsidRPr="00430A86">
              <w:rPr>
                <w:rFonts w:ascii="Times New Roman" w:hAnsi="Times New Roman"/>
              </w:rPr>
              <w:t xml:space="preserve"> of Sheet No. 300.1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300</w:t>
            </w:r>
          </w:p>
        </w:tc>
        <w:tc>
          <w:tcPr>
            <w:tcW w:w="4230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</w:t>
            </w:r>
            <w:r w:rsidR="00DE5801" w:rsidRPr="00430A86">
              <w:rPr>
                <w:rFonts w:ascii="Times New Roman" w:hAnsi="Times New Roman"/>
              </w:rPr>
              <w:t>ges as Defined by the Rules and Regulations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Revision</w:t>
            </w:r>
            <w:r w:rsidR="00DE5801" w:rsidRPr="00430A86">
              <w:rPr>
                <w:rFonts w:ascii="Times New Roman" w:hAnsi="Times New Roman"/>
              </w:rPr>
              <w:t xml:space="preserve"> of Sheet No. 300.2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300</w:t>
            </w:r>
          </w:p>
        </w:tc>
        <w:tc>
          <w:tcPr>
            <w:tcW w:w="4230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</w:t>
            </w:r>
            <w:r w:rsidR="00DE5801" w:rsidRPr="00430A86">
              <w:rPr>
                <w:rFonts w:ascii="Times New Roman" w:hAnsi="Times New Roman"/>
              </w:rPr>
              <w:t>ges as Defined by the Rules and Regulations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 Revision</w:t>
            </w:r>
            <w:r w:rsidR="00DE5801" w:rsidRPr="00430A86">
              <w:rPr>
                <w:rFonts w:ascii="Times New Roman" w:hAnsi="Times New Roman"/>
              </w:rPr>
              <w:t xml:space="preserve"> of Sheet No. 300.3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Schedule 300</w:t>
            </w:r>
          </w:p>
        </w:tc>
        <w:tc>
          <w:tcPr>
            <w:tcW w:w="4230" w:type="dxa"/>
          </w:tcPr>
          <w:p w:rsidR="00DE5801" w:rsidRPr="00430A86" w:rsidRDefault="001C4EB9" w:rsidP="0001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</w:t>
            </w:r>
            <w:r w:rsidR="00DE5801" w:rsidRPr="00430A86">
              <w:rPr>
                <w:rFonts w:ascii="Times New Roman" w:hAnsi="Times New Roman"/>
              </w:rPr>
              <w:t>ges as Defined by the Rules and Regulations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First Revision of Sheet No. R8.1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Rule 8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General Rules and Regulations – Metering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First Revision of Sheet No. R8.3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Rule 8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General Rules and Regulations – Metering </w:t>
            </w:r>
          </w:p>
        </w:tc>
      </w:tr>
      <w:tr w:rsidR="00DE5801" w:rsidRPr="00430A86" w:rsidTr="00A63B39">
        <w:tc>
          <w:tcPr>
            <w:tcW w:w="3978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Original Sheet No. R8.4</w:t>
            </w:r>
          </w:p>
        </w:tc>
        <w:tc>
          <w:tcPr>
            <w:tcW w:w="171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>Rule 8</w:t>
            </w:r>
          </w:p>
        </w:tc>
        <w:tc>
          <w:tcPr>
            <w:tcW w:w="4230" w:type="dxa"/>
          </w:tcPr>
          <w:p w:rsidR="00DE5801" w:rsidRPr="00430A86" w:rsidRDefault="00DE5801" w:rsidP="00011D68">
            <w:pPr>
              <w:rPr>
                <w:rFonts w:ascii="Times New Roman" w:hAnsi="Times New Roman"/>
              </w:rPr>
            </w:pPr>
            <w:r w:rsidRPr="00430A86">
              <w:rPr>
                <w:rFonts w:ascii="Times New Roman" w:hAnsi="Times New Roman"/>
              </w:rPr>
              <w:t xml:space="preserve">General Rules and Regulations – Metering </w:t>
            </w:r>
          </w:p>
        </w:tc>
      </w:tr>
      <w:bookmarkEnd w:id="0"/>
    </w:tbl>
    <w:p w:rsidR="005449A4" w:rsidRPr="00C456C2" w:rsidRDefault="005449A4" w:rsidP="00601AAB">
      <w:pPr>
        <w:rPr>
          <w:rFonts w:ascii="Times New Roman" w:hAnsi="Times New Roman"/>
          <w:szCs w:val="24"/>
        </w:rPr>
      </w:pPr>
    </w:p>
    <w:p w:rsidR="000A1770" w:rsidRPr="00C456C2" w:rsidRDefault="005449A4" w:rsidP="000A1770">
      <w:pPr>
        <w:rPr>
          <w:rFonts w:ascii="Times New Roman" w:hAnsi="Times New Roman"/>
          <w:szCs w:val="24"/>
        </w:rPr>
      </w:pPr>
      <w:r w:rsidRPr="00C456C2">
        <w:rPr>
          <w:rFonts w:ascii="Times New Roman" w:hAnsi="Times New Roman"/>
          <w:szCs w:val="24"/>
        </w:rPr>
        <w:t>The Co</w:t>
      </w:r>
      <w:r w:rsidR="00373D33" w:rsidRPr="00C456C2">
        <w:rPr>
          <w:rFonts w:ascii="Times New Roman" w:hAnsi="Times New Roman"/>
          <w:szCs w:val="24"/>
        </w:rPr>
        <w:t>mmission’</w:t>
      </w:r>
      <w:r w:rsidR="007D1902">
        <w:rPr>
          <w:rFonts w:ascii="Times New Roman" w:hAnsi="Times New Roman"/>
          <w:szCs w:val="24"/>
        </w:rPr>
        <w:t>s Order 08</w:t>
      </w:r>
      <w:r w:rsidR="00373D33" w:rsidRPr="00C456C2">
        <w:rPr>
          <w:rFonts w:ascii="Times New Roman" w:hAnsi="Times New Roman"/>
          <w:szCs w:val="24"/>
        </w:rPr>
        <w:t xml:space="preserve"> authorized a revenue requirement</w:t>
      </w:r>
      <w:r w:rsidR="007D1902">
        <w:rPr>
          <w:rFonts w:ascii="Times New Roman" w:hAnsi="Times New Roman"/>
          <w:szCs w:val="24"/>
        </w:rPr>
        <w:t xml:space="preserve"> increase of </w:t>
      </w:r>
      <w:r w:rsidR="00820B1C">
        <w:rPr>
          <w:rFonts w:ascii="Times New Roman" w:hAnsi="Times New Roman"/>
          <w:szCs w:val="24"/>
        </w:rPr>
        <w:t>$9,568,464</w:t>
      </w:r>
      <w:r w:rsidR="007B291D" w:rsidRPr="00C456C2">
        <w:rPr>
          <w:rFonts w:ascii="Times New Roman" w:hAnsi="Times New Roman"/>
          <w:szCs w:val="24"/>
        </w:rPr>
        <w:t> </w:t>
      </w:r>
      <w:r w:rsidR="004757EC" w:rsidRPr="00EF219F">
        <w:rPr>
          <w:rFonts w:ascii="Times New Roman" w:hAnsi="Times New Roman"/>
          <w:szCs w:val="24"/>
        </w:rPr>
        <w:t>million to the Company’s base rates.</w:t>
      </w:r>
      <w:r w:rsidR="00820B1C">
        <w:rPr>
          <w:rStyle w:val="FootnoteReference"/>
          <w:rFonts w:ascii="Times New Roman" w:hAnsi="Times New Roman"/>
          <w:szCs w:val="24"/>
        </w:rPr>
        <w:footnoteReference w:id="2"/>
      </w:r>
      <w:r w:rsidR="004757EC" w:rsidRPr="00EF219F">
        <w:rPr>
          <w:rFonts w:ascii="Times New Roman" w:hAnsi="Times New Roman"/>
          <w:szCs w:val="24"/>
        </w:rPr>
        <w:t xml:space="preserve">  The Company’s calculations resulted in a revenue requirement </w:t>
      </w:r>
      <w:r w:rsidR="00F74831">
        <w:rPr>
          <w:rFonts w:ascii="Times New Roman" w:hAnsi="Times New Roman"/>
          <w:szCs w:val="24"/>
        </w:rPr>
        <w:t xml:space="preserve">deficiency </w:t>
      </w:r>
      <w:r w:rsidR="004757EC" w:rsidRPr="00EF219F">
        <w:rPr>
          <w:rFonts w:ascii="Times New Roman" w:hAnsi="Times New Roman"/>
          <w:szCs w:val="24"/>
        </w:rPr>
        <w:t xml:space="preserve">of </w:t>
      </w:r>
      <w:r w:rsidR="00A3312F">
        <w:rPr>
          <w:rFonts w:ascii="Times New Roman" w:hAnsi="Times New Roman"/>
          <w:szCs w:val="24"/>
        </w:rPr>
        <w:t>$9,563,202.  Th</w:t>
      </w:r>
      <w:r w:rsidR="00820B1C">
        <w:rPr>
          <w:rFonts w:ascii="Times New Roman" w:hAnsi="Times New Roman"/>
          <w:szCs w:val="24"/>
        </w:rPr>
        <w:t>is</w:t>
      </w:r>
      <w:r w:rsidR="00A3312F">
        <w:rPr>
          <w:rFonts w:ascii="Times New Roman" w:hAnsi="Times New Roman"/>
          <w:szCs w:val="24"/>
        </w:rPr>
        <w:t xml:space="preserve"> </w:t>
      </w:r>
      <w:r w:rsidR="00F74831">
        <w:rPr>
          <w:rFonts w:ascii="Times New Roman" w:hAnsi="Times New Roman"/>
          <w:szCs w:val="24"/>
        </w:rPr>
        <w:t>reduction of $5,262</w:t>
      </w:r>
      <w:r w:rsidR="00A3312F">
        <w:rPr>
          <w:rFonts w:ascii="Times New Roman" w:hAnsi="Times New Roman"/>
          <w:szCs w:val="24"/>
        </w:rPr>
        <w:t xml:space="preserve"> </w:t>
      </w:r>
      <w:r w:rsidR="00820B1C">
        <w:rPr>
          <w:rFonts w:ascii="Times New Roman" w:hAnsi="Times New Roman"/>
          <w:szCs w:val="24"/>
        </w:rPr>
        <w:t>is associated with small differences in the revenue requirement impact of Commission-ordered adjustments using the Company’s revenue requirement models.</w:t>
      </w:r>
      <w:r w:rsidR="004757EC" w:rsidRPr="00EF219F">
        <w:rPr>
          <w:rFonts w:ascii="Times New Roman" w:hAnsi="Times New Roman"/>
          <w:szCs w:val="24"/>
        </w:rPr>
        <w:t xml:space="preserve"> </w:t>
      </w:r>
      <w:r w:rsidR="00460A86">
        <w:rPr>
          <w:rFonts w:ascii="Times New Roman" w:hAnsi="Times New Roman"/>
          <w:szCs w:val="24"/>
        </w:rPr>
        <w:t xml:space="preserve"> </w:t>
      </w:r>
      <w:r w:rsidR="004757EC" w:rsidRPr="00EF219F">
        <w:rPr>
          <w:rFonts w:ascii="Times New Roman" w:hAnsi="Times New Roman"/>
          <w:szCs w:val="24"/>
        </w:rPr>
        <w:t xml:space="preserve">The Company </w:t>
      </w:r>
      <w:r w:rsidR="00F74831">
        <w:rPr>
          <w:rFonts w:ascii="Times New Roman" w:hAnsi="Times New Roman"/>
          <w:szCs w:val="24"/>
        </w:rPr>
        <w:t>reviewed the revenue requirement models with</w:t>
      </w:r>
      <w:r w:rsidR="004757EC" w:rsidRPr="00EF219F">
        <w:rPr>
          <w:rFonts w:ascii="Times New Roman" w:hAnsi="Times New Roman"/>
          <w:szCs w:val="24"/>
        </w:rPr>
        <w:t xml:space="preserve"> Commission </w:t>
      </w:r>
      <w:r w:rsidR="00460A86">
        <w:rPr>
          <w:rFonts w:ascii="Times New Roman" w:hAnsi="Times New Roman"/>
          <w:szCs w:val="24"/>
        </w:rPr>
        <w:t>s</w:t>
      </w:r>
      <w:r w:rsidR="004757EC" w:rsidRPr="00EF219F">
        <w:rPr>
          <w:rFonts w:ascii="Times New Roman" w:hAnsi="Times New Roman"/>
          <w:szCs w:val="24"/>
        </w:rPr>
        <w:t>taff</w:t>
      </w:r>
      <w:r w:rsidR="00F74831">
        <w:rPr>
          <w:rFonts w:ascii="Times New Roman" w:hAnsi="Times New Roman"/>
          <w:szCs w:val="24"/>
        </w:rPr>
        <w:t xml:space="preserve"> before submission of this filing. </w:t>
      </w:r>
      <w:r w:rsidR="004757EC" w:rsidRPr="00EF219F">
        <w:rPr>
          <w:rFonts w:ascii="Times New Roman" w:hAnsi="Times New Roman"/>
          <w:szCs w:val="24"/>
        </w:rPr>
        <w:t xml:space="preserve"> </w:t>
      </w:r>
      <w:r w:rsidR="00B52BFA">
        <w:rPr>
          <w:rFonts w:ascii="Times New Roman" w:hAnsi="Times New Roman"/>
          <w:szCs w:val="24"/>
        </w:rPr>
        <w:t>Also attached</w:t>
      </w:r>
      <w:r w:rsidR="00B52BFA" w:rsidRPr="00EF219F">
        <w:rPr>
          <w:rFonts w:ascii="Times New Roman" w:hAnsi="Times New Roman"/>
          <w:szCs w:val="24"/>
        </w:rPr>
        <w:t xml:space="preserve"> are </w:t>
      </w:r>
      <w:r w:rsidR="00B52BFA">
        <w:rPr>
          <w:rFonts w:ascii="Times New Roman" w:hAnsi="Times New Roman"/>
          <w:szCs w:val="24"/>
        </w:rPr>
        <w:t xml:space="preserve">(1) </w:t>
      </w:r>
      <w:r w:rsidR="00B52BFA" w:rsidRPr="00EF219F">
        <w:rPr>
          <w:rFonts w:ascii="Times New Roman" w:hAnsi="Times New Roman"/>
          <w:szCs w:val="24"/>
        </w:rPr>
        <w:t>the estimated effect of the ordered prices, including billing determinants an</w:t>
      </w:r>
      <w:r w:rsidR="00B52BFA">
        <w:rPr>
          <w:rFonts w:ascii="Times New Roman" w:hAnsi="Times New Roman"/>
          <w:szCs w:val="24"/>
        </w:rPr>
        <w:t>d monthly billing comparisons, and (2)</w:t>
      </w:r>
      <w:r w:rsidR="00B52BFA" w:rsidRPr="00B52BFA">
        <w:rPr>
          <w:rFonts w:ascii="Times New Roman" w:hAnsi="Times New Roman"/>
          <w:szCs w:val="24"/>
        </w:rPr>
        <w:t xml:space="preserve"> </w:t>
      </w:r>
      <w:r w:rsidR="00B52BFA" w:rsidRPr="00EF219F">
        <w:rPr>
          <w:rFonts w:ascii="Times New Roman" w:hAnsi="Times New Roman"/>
          <w:szCs w:val="24"/>
        </w:rPr>
        <w:t>a summary of the revenue requirement calculation</w:t>
      </w:r>
      <w:r w:rsidR="00B52BFA">
        <w:rPr>
          <w:rFonts w:ascii="Times New Roman" w:hAnsi="Times New Roman"/>
          <w:szCs w:val="24"/>
        </w:rPr>
        <w:t xml:space="preserve">.  </w:t>
      </w:r>
      <w:r w:rsidR="004757EC" w:rsidRPr="00EF219F">
        <w:rPr>
          <w:rFonts w:ascii="Times New Roman" w:hAnsi="Times New Roman"/>
          <w:szCs w:val="24"/>
        </w:rPr>
        <w:t>Electronic copies of the Company’s revenue requirement models are included in the work pa</w:t>
      </w:r>
      <w:r w:rsidR="00FD4C33">
        <w:rPr>
          <w:rFonts w:ascii="Times New Roman" w:hAnsi="Times New Roman"/>
          <w:szCs w:val="24"/>
        </w:rPr>
        <w:t xml:space="preserve">pers accompanying this filing. </w:t>
      </w:r>
    </w:p>
    <w:p w:rsidR="000A1770" w:rsidRPr="00C456C2" w:rsidRDefault="000A1770" w:rsidP="00601AAB">
      <w:pPr>
        <w:rPr>
          <w:rFonts w:ascii="Times New Roman" w:hAnsi="Times New Roman"/>
          <w:szCs w:val="24"/>
        </w:rPr>
      </w:pPr>
    </w:p>
    <w:p w:rsidR="00C456C2" w:rsidRDefault="004757EC" w:rsidP="00601AAB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 xml:space="preserve">The revenue requirement increase reflected in the attached compliance tariffs is </w:t>
      </w:r>
      <w:r w:rsidR="00980616" w:rsidRPr="00EF219F">
        <w:rPr>
          <w:rFonts w:ascii="Times New Roman" w:hAnsi="Times New Roman"/>
          <w:szCs w:val="24"/>
        </w:rPr>
        <w:t>$</w:t>
      </w:r>
      <w:r w:rsidR="006C1C62">
        <w:rPr>
          <w:rFonts w:ascii="Times New Roman" w:hAnsi="Times New Roman"/>
          <w:szCs w:val="24"/>
        </w:rPr>
        <w:t>9,563,202, or 3.0</w:t>
      </w:r>
      <w:r w:rsidRPr="00EF219F">
        <w:rPr>
          <w:rFonts w:ascii="Times New Roman" w:hAnsi="Times New Roman"/>
          <w:szCs w:val="24"/>
        </w:rPr>
        <w:t xml:space="preserve"> percent</w:t>
      </w:r>
      <w:r w:rsidR="00F74831">
        <w:rPr>
          <w:rFonts w:ascii="Times New Roman" w:hAnsi="Times New Roman"/>
          <w:szCs w:val="24"/>
        </w:rPr>
        <w:t xml:space="preserve"> overall</w:t>
      </w:r>
      <w:r w:rsidRPr="00EF219F">
        <w:rPr>
          <w:rFonts w:ascii="Times New Roman" w:hAnsi="Times New Roman"/>
          <w:szCs w:val="24"/>
        </w:rPr>
        <w:t>.  The average residential customer using 1300 kWh per month w</w:t>
      </w:r>
      <w:r w:rsidR="002D4A34">
        <w:rPr>
          <w:rFonts w:ascii="Times New Roman" w:hAnsi="Times New Roman"/>
          <w:szCs w:val="24"/>
        </w:rPr>
        <w:t>ill</w:t>
      </w:r>
      <w:r w:rsidRPr="00EF219F">
        <w:rPr>
          <w:rFonts w:ascii="Times New Roman" w:hAnsi="Times New Roman"/>
          <w:szCs w:val="24"/>
        </w:rPr>
        <w:t xml:space="preserve"> see an increase of $</w:t>
      </w:r>
      <w:r w:rsidR="006C1C62">
        <w:rPr>
          <w:rFonts w:ascii="Times New Roman" w:hAnsi="Times New Roman"/>
          <w:szCs w:val="24"/>
        </w:rPr>
        <w:t>3.67</w:t>
      </w:r>
      <w:r w:rsidRPr="00EF219F">
        <w:rPr>
          <w:rFonts w:ascii="Times New Roman" w:hAnsi="Times New Roman"/>
          <w:szCs w:val="24"/>
        </w:rPr>
        <w:t>.</w:t>
      </w:r>
      <w:r w:rsidR="002D4A34">
        <w:rPr>
          <w:rFonts w:ascii="Times New Roman" w:hAnsi="Times New Roman"/>
          <w:szCs w:val="24"/>
        </w:rPr>
        <w:t xml:space="preserve"> </w:t>
      </w:r>
      <w:r w:rsidRPr="00EF219F">
        <w:rPr>
          <w:rFonts w:ascii="Times New Roman" w:hAnsi="Times New Roman"/>
          <w:szCs w:val="24"/>
        </w:rPr>
        <w:t xml:space="preserve"> The filing also reflects an increase in Pacifi</w:t>
      </w:r>
      <w:r w:rsidR="00820B1C">
        <w:rPr>
          <w:rFonts w:ascii="Times New Roman" w:hAnsi="Times New Roman"/>
          <w:szCs w:val="24"/>
        </w:rPr>
        <w:t>c Power</w:t>
      </w:r>
      <w:r w:rsidRPr="00EF219F">
        <w:rPr>
          <w:rFonts w:ascii="Times New Roman" w:hAnsi="Times New Roman"/>
          <w:szCs w:val="24"/>
        </w:rPr>
        <w:t>’s Low Income Bill Assistance Progra</w:t>
      </w:r>
      <w:r w:rsidR="00A3312F">
        <w:rPr>
          <w:rFonts w:ascii="Times New Roman" w:hAnsi="Times New Roman"/>
          <w:szCs w:val="24"/>
        </w:rPr>
        <w:t xml:space="preserve">m benefits per participant of </w:t>
      </w:r>
      <w:r w:rsidR="002D4A34">
        <w:rPr>
          <w:rFonts w:ascii="Times New Roman" w:hAnsi="Times New Roman"/>
          <w:szCs w:val="24"/>
        </w:rPr>
        <w:t>6.7</w:t>
      </w:r>
      <w:r w:rsidRPr="00EF219F">
        <w:rPr>
          <w:rFonts w:ascii="Times New Roman" w:hAnsi="Times New Roman"/>
          <w:szCs w:val="24"/>
        </w:rPr>
        <w:t xml:space="preserve"> percent.</w:t>
      </w:r>
      <w:r w:rsidR="002D4A34">
        <w:rPr>
          <w:rStyle w:val="FootnoteReference"/>
          <w:rFonts w:ascii="Times New Roman" w:hAnsi="Times New Roman"/>
          <w:szCs w:val="24"/>
        </w:rPr>
        <w:footnoteReference w:id="3"/>
      </w:r>
    </w:p>
    <w:p w:rsidR="002D4A34" w:rsidRDefault="002D4A34" w:rsidP="00601AAB">
      <w:pPr>
        <w:rPr>
          <w:rFonts w:ascii="Times New Roman" w:hAnsi="Times New Roman"/>
          <w:szCs w:val="24"/>
        </w:rPr>
      </w:pPr>
    </w:p>
    <w:p w:rsidR="002D4A34" w:rsidRPr="00C456C2" w:rsidRDefault="002D4A34" w:rsidP="00601AAB">
      <w:pPr>
        <w:rPr>
          <w:rFonts w:ascii="Times New Roman" w:hAnsi="Times New Roman"/>
          <w:szCs w:val="24"/>
        </w:rPr>
      </w:pPr>
      <w:r w:rsidRPr="002D4A34">
        <w:rPr>
          <w:rFonts w:ascii="Times New Roman" w:hAnsi="Times New Roman"/>
          <w:szCs w:val="24"/>
        </w:rPr>
        <w:lastRenderedPageBreak/>
        <w:t xml:space="preserve">Also included in this filing is </w:t>
      </w:r>
      <w:r>
        <w:rPr>
          <w:rFonts w:ascii="Times New Roman" w:hAnsi="Times New Roman"/>
          <w:szCs w:val="24"/>
        </w:rPr>
        <w:t xml:space="preserve">a revision to </w:t>
      </w:r>
      <w:r w:rsidRPr="002D4A34">
        <w:rPr>
          <w:rFonts w:ascii="Times New Roman" w:hAnsi="Times New Roman"/>
          <w:szCs w:val="24"/>
        </w:rPr>
        <w:t>Schedule 92, Deferral Adjustments, which reflects a net credit to customers of $348,033 or -0.1 percent.</w:t>
      </w:r>
      <w:r>
        <w:rPr>
          <w:rStyle w:val="FootnoteReference"/>
          <w:rFonts w:ascii="Times New Roman" w:hAnsi="Times New Roman"/>
          <w:szCs w:val="24"/>
        </w:rPr>
        <w:footnoteReference w:id="4"/>
      </w:r>
      <w:r w:rsidRPr="002D4A34">
        <w:rPr>
          <w:rFonts w:ascii="Times New Roman" w:hAnsi="Times New Roman"/>
          <w:szCs w:val="24"/>
        </w:rPr>
        <w:t xml:space="preserve">  The average residential customer using 1300</w:t>
      </w:r>
      <w:r>
        <w:rPr>
          <w:rFonts w:ascii="Times New Roman" w:hAnsi="Times New Roman"/>
          <w:szCs w:val="24"/>
        </w:rPr>
        <w:t> </w:t>
      </w:r>
      <w:r w:rsidRPr="002D4A34">
        <w:rPr>
          <w:rFonts w:ascii="Times New Roman" w:hAnsi="Times New Roman"/>
          <w:szCs w:val="24"/>
        </w:rPr>
        <w:t>kWh per month w</w:t>
      </w:r>
      <w:r w:rsidR="0077075F">
        <w:rPr>
          <w:rFonts w:ascii="Times New Roman" w:hAnsi="Times New Roman"/>
          <w:szCs w:val="24"/>
        </w:rPr>
        <w:t>ill</w:t>
      </w:r>
      <w:r w:rsidRPr="002D4A34">
        <w:rPr>
          <w:rFonts w:ascii="Times New Roman" w:hAnsi="Times New Roman"/>
          <w:szCs w:val="24"/>
        </w:rPr>
        <w:t xml:space="preserve"> see a decrease of $0.13.  </w:t>
      </w:r>
    </w:p>
    <w:p w:rsidR="00C456C2" w:rsidRPr="00C456C2" w:rsidRDefault="00C456C2" w:rsidP="00601AAB">
      <w:pPr>
        <w:rPr>
          <w:rFonts w:ascii="Times New Roman" w:hAnsi="Times New Roman"/>
          <w:szCs w:val="24"/>
        </w:rPr>
      </w:pPr>
    </w:p>
    <w:p w:rsidR="003B2223" w:rsidRPr="00C456C2" w:rsidRDefault="004757EC" w:rsidP="00601AAB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 xml:space="preserve">The Company requests an effective date of </w:t>
      </w:r>
      <w:r w:rsidR="007D1902">
        <w:rPr>
          <w:rFonts w:ascii="Times New Roman" w:hAnsi="Times New Roman"/>
          <w:szCs w:val="24"/>
        </w:rPr>
        <w:t>March 31, 2015</w:t>
      </w:r>
      <w:r w:rsidRPr="00EF219F">
        <w:rPr>
          <w:rFonts w:ascii="Times New Roman" w:hAnsi="Times New Roman"/>
          <w:szCs w:val="24"/>
        </w:rPr>
        <w:t>, for the tariff revisions</w:t>
      </w:r>
      <w:r w:rsidR="006C1C62">
        <w:rPr>
          <w:rFonts w:ascii="Times New Roman" w:hAnsi="Times New Roman"/>
          <w:szCs w:val="24"/>
        </w:rPr>
        <w:t xml:space="preserve"> in accordance with the </w:t>
      </w:r>
      <w:r w:rsidR="002D4A34">
        <w:rPr>
          <w:rFonts w:ascii="Times New Roman" w:hAnsi="Times New Roman"/>
          <w:szCs w:val="24"/>
        </w:rPr>
        <w:t>e</w:t>
      </w:r>
      <w:r w:rsidR="006C1C62">
        <w:rPr>
          <w:rFonts w:ascii="Times New Roman" w:hAnsi="Times New Roman"/>
          <w:szCs w:val="24"/>
        </w:rPr>
        <w:t>rrata correcting Order 08 issued on March 26, 2015</w:t>
      </w:r>
      <w:r w:rsidRPr="00EF219F">
        <w:rPr>
          <w:rFonts w:ascii="Times New Roman" w:hAnsi="Times New Roman"/>
          <w:szCs w:val="24"/>
        </w:rPr>
        <w:t xml:space="preserve">.  </w:t>
      </w:r>
    </w:p>
    <w:p w:rsidR="003B2223" w:rsidRPr="00C456C2" w:rsidRDefault="003B2223" w:rsidP="00601AAB">
      <w:pPr>
        <w:rPr>
          <w:rFonts w:ascii="Times New Roman" w:hAnsi="Times New Roman"/>
          <w:szCs w:val="24"/>
        </w:rPr>
      </w:pPr>
    </w:p>
    <w:p w:rsidR="00601AAB" w:rsidRPr="00C456C2" w:rsidRDefault="004757EC" w:rsidP="00601AAB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 xml:space="preserve">Please direct any informal inquiries regarding this filing to </w:t>
      </w:r>
      <w:r w:rsidR="007D1902">
        <w:rPr>
          <w:rFonts w:ascii="Times New Roman" w:hAnsi="Times New Roman"/>
          <w:szCs w:val="24"/>
        </w:rPr>
        <w:t>Natasha Siores</w:t>
      </w:r>
      <w:r w:rsidRPr="00EF219F">
        <w:rPr>
          <w:rFonts w:ascii="Times New Roman" w:hAnsi="Times New Roman"/>
          <w:szCs w:val="24"/>
        </w:rPr>
        <w:t xml:space="preserve">, </w:t>
      </w:r>
      <w:r w:rsidR="007D1902">
        <w:rPr>
          <w:rFonts w:ascii="Times New Roman" w:hAnsi="Times New Roman"/>
          <w:szCs w:val="24"/>
        </w:rPr>
        <w:t xml:space="preserve">Director, </w:t>
      </w:r>
      <w:r w:rsidRPr="00EF219F">
        <w:rPr>
          <w:rFonts w:ascii="Times New Roman" w:hAnsi="Times New Roman"/>
          <w:szCs w:val="24"/>
        </w:rPr>
        <w:t>Regulatory Affairs</w:t>
      </w:r>
      <w:r w:rsidR="007D1902">
        <w:rPr>
          <w:rFonts w:ascii="Times New Roman" w:hAnsi="Times New Roman"/>
          <w:szCs w:val="24"/>
        </w:rPr>
        <w:t xml:space="preserve"> &amp; Revenue Requirement</w:t>
      </w:r>
      <w:r w:rsidRPr="00EF219F">
        <w:rPr>
          <w:rFonts w:ascii="Times New Roman" w:hAnsi="Times New Roman"/>
          <w:szCs w:val="24"/>
        </w:rPr>
        <w:t>, at 503-813-</w:t>
      </w:r>
      <w:r w:rsidR="007D1902">
        <w:rPr>
          <w:rFonts w:ascii="Times New Roman" w:hAnsi="Times New Roman"/>
          <w:szCs w:val="24"/>
        </w:rPr>
        <w:t>6583</w:t>
      </w:r>
      <w:r w:rsidRPr="00EF219F">
        <w:rPr>
          <w:rFonts w:ascii="Times New Roman" w:hAnsi="Times New Roman"/>
          <w:szCs w:val="24"/>
        </w:rPr>
        <w:t>.</w:t>
      </w:r>
    </w:p>
    <w:p w:rsidR="00601AAB" w:rsidRPr="00C456C2" w:rsidRDefault="00601AAB" w:rsidP="00601AAB">
      <w:pPr>
        <w:rPr>
          <w:rFonts w:ascii="Times New Roman" w:hAnsi="Times New Roman"/>
          <w:szCs w:val="24"/>
        </w:rPr>
      </w:pPr>
    </w:p>
    <w:p w:rsidR="00601AAB" w:rsidRPr="00C456C2" w:rsidRDefault="004757EC" w:rsidP="00601AAB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 xml:space="preserve">Sincerely, </w:t>
      </w:r>
    </w:p>
    <w:p w:rsidR="00601AAB" w:rsidRPr="00C456C2" w:rsidRDefault="00601AAB" w:rsidP="00601AAB">
      <w:pPr>
        <w:rPr>
          <w:rFonts w:ascii="Times New Roman" w:hAnsi="Times New Roman"/>
          <w:b/>
          <w:szCs w:val="24"/>
        </w:rPr>
      </w:pPr>
    </w:p>
    <w:p w:rsidR="00601AAB" w:rsidRPr="00C456C2" w:rsidRDefault="00601AAB" w:rsidP="00601AAB">
      <w:pPr>
        <w:rPr>
          <w:rFonts w:ascii="Times New Roman" w:hAnsi="Times New Roman"/>
          <w:b/>
          <w:szCs w:val="24"/>
        </w:rPr>
      </w:pPr>
    </w:p>
    <w:p w:rsidR="00601AAB" w:rsidRPr="00C456C2" w:rsidRDefault="00601AAB" w:rsidP="00601AAB">
      <w:pPr>
        <w:rPr>
          <w:rFonts w:ascii="Times New Roman" w:hAnsi="Times New Roman"/>
          <w:b/>
          <w:szCs w:val="24"/>
        </w:rPr>
      </w:pPr>
    </w:p>
    <w:p w:rsidR="00601AAB" w:rsidRPr="00C456C2" w:rsidRDefault="007D1902" w:rsidP="00601AA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601AAB" w:rsidRPr="00C456C2" w:rsidRDefault="004757EC" w:rsidP="00601AAB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>Vice President, Regulation</w:t>
      </w:r>
    </w:p>
    <w:p w:rsidR="00601AAB" w:rsidRPr="00C456C2" w:rsidRDefault="00601AAB" w:rsidP="00601AAB">
      <w:pPr>
        <w:rPr>
          <w:rFonts w:ascii="Times New Roman" w:hAnsi="Times New Roman"/>
          <w:szCs w:val="24"/>
        </w:rPr>
      </w:pPr>
    </w:p>
    <w:p w:rsidR="006A47C5" w:rsidRDefault="004757EC" w:rsidP="00EF219F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>Enclosures</w:t>
      </w:r>
    </w:p>
    <w:sectPr w:rsidR="006A47C5" w:rsidSect="009273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36" w:rsidRDefault="00765236" w:rsidP="00964072">
      <w:r>
        <w:separator/>
      </w:r>
    </w:p>
  </w:endnote>
  <w:endnote w:type="continuationSeparator" w:id="0">
    <w:p w:rsidR="00765236" w:rsidRDefault="00765236" w:rsidP="00964072">
      <w:r>
        <w:continuationSeparator/>
      </w:r>
    </w:p>
  </w:endnote>
  <w:endnote w:type="continuationNotice" w:id="1">
    <w:p w:rsidR="00765236" w:rsidRDefault="00765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27" w:rsidRDefault="00C31E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27" w:rsidRDefault="00C31E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27" w:rsidRDefault="00C31E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36" w:rsidRDefault="00765236" w:rsidP="00964072">
      <w:r>
        <w:separator/>
      </w:r>
    </w:p>
  </w:footnote>
  <w:footnote w:type="continuationSeparator" w:id="0">
    <w:p w:rsidR="00765236" w:rsidRDefault="00765236" w:rsidP="00964072">
      <w:r>
        <w:continuationSeparator/>
      </w:r>
    </w:p>
  </w:footnote>
  <w:footnote w:type="continuationNotice" w:id="1">
    <w:p w:rsidR="00765236" w:rsidRDefault="00765236"/>
  </w:footnote>
  <w:footnote w:id="2">
    <w:p w:rsidR="00820B1C" w:rsidRDefault="00820B1C">
      <w:pPr>
        <w:pStyle w:val="FootnoteText"/>
      </w:pPr>
      <w:r>
        <w:rPr>
          <w:rStyle w:val="FootnoteReference"/>
        </w:rPr>
        <w:footnoteRef/>
      </w:r>
      <w:r>
        <w:t xml:space="preserve"> Order 08</w:t>
      </w:r>
      <w:r w:rsidR="002D4A34">
        <w:t xml:space="preserve">, </w:t>
      </w:r>
      <w:r>
        <w:t>¶ 307.</w:t>
      </w:r>
    </w:p>
  </w:footnote>
  <w:footnote w:id="3">
    <w:p w:rsidR="002D4A34" w:rsidRPr="002D4A34" w:rsidRDefault="002D4A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i/>
        </w:rPr>
        <w:t>Id.</w:t>
      </w:r>
      <w:r>
        <w:t>, ¶ 242.</w:t>
      </w:r>
      <w:proofErr w:type="gramEnd"/>
      <w:r>
        <w:t xml:space="preserve">  Consistent with the five-year program approved by the Commission in 2012, this increase is two times the annual rate increase for residential customers.</w:t>
      </w:r>
    </w:p>
  </w:footnote>
  <w:footnote w:id="4">
    <w:p w:rsidR="002D4A34" w:rsidRDefault="002D4A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  <w:r>
        <w:t>, Appendix 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27" w:rsidRDefault="00C31E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33" w:rsidRDefault="00373D33">
    <w:pPr>
      <w:pStyle w:val="Header"/>
    </w:pPr>
    <w:r>
      <w:t>Washington Utilities and Transportation Commission</w:t>
    </w:r>
  </w:p>
  <w:p w:rsidR="00373D33" w:rsidRDefault="00E80FA5">
    <w:pPr>
      <w:pStyle w:val="Header"/>
    </w:pPr>
    <w:r>
      <w:t>March 27, 2015</w:t>
    </w:r>
  </w:p>
  <w:p w:rsidR="00373D33" w:rsidRDefault="00373D33">
    <w:pPr>
      <w:pStyle w:val="Header"/>
    </w:pPr>
    <w:r>
      <w:t xml:space="preserve">Page </w:t>
    </w:r>
    <w:r w:rsidR="004757EC">
      <w:fldChar w:fldCharType="begin"/>
    </w:r>
    <w:r>
      <w:instrText xml:space="preserve"> PAGE   \* MERGEFORMAT </w:instrText>
    </w:r>
    <w:r w:rsidR="004757EC">
      <w:fldChar w:fldCharType="separate"/>
    </w:r>
    <w:r w:rsidR="00C83420">
      <w:rPr>
        <w:noProof/>
      </w:rPr>
      <w:t>2</w:t>
    </w:r>
    <w:r w:rsidR="004757EC">
      <w:rPr>
        <w:noProof/>
      </w:rPr>
      <w:fldChar w:fldCharType="end"/>
    </w:r>
  </w:p>
  <w:p w:rsidR="00373D33" w:rsidRDefault="00373D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27" w:rsidRDefault="00C31E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16D"/>
    <w:multiLevelType w:val="hybridMultilevel"/>
    <w:tmpl w:val="FFD6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16CE"/>
    <w:multiLevelType w:val="hybridMultilevel"/>
    <w:tmpl w:val="1DD4C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D127DD"/>
    <w:multiLevelType w:val="hybridMultilevel"/>
    <w:tmpl w:val="7D303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41EFD"/>
    <w:multiLevelType w:val="hybridMultilevel"/>
    <w:tmpl w:val="3D2AD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3707A"/>
    <w:multiLevelType w:val="hybridMultilevel"/>
    <w:tmpl w:val="8956515A"/>
    <w:lvl w:ilvl="0" w:tplc="16D8CE72">
      <w:start w:val="1"/>
      <w:numFmt w:val="decimal"/>
      <w:lvlText w:val="Exhibit %1 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4B0193"/>
    <w:multiLevelType w:val="hybridMultilevel"/>
    <w:tmpl w:val="4B16E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B746E5"/>
    <w:multiLevelType w:val="hybridMultilevel"/>
    <w:tmpl w:val="C9B6E9C0"/>
    <w:lvl w:ilvl="0" w:tplc="5C882C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A2A37"/>
    <w:multiLevelType w:val="hybridMultilevel"/>
    <w:tmpl w:val="745ED336"/>
    <w:lvl w:ilvl="0" w:tplc="553691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02F8E"/>
    <w:rsid w:val="000078B5"/>
    <w:rsid w:val="000127EA"/>
    <w:rsid w:val="00020467"/>
    <w:rsid w:val="00056475"/>
    <w:rsid w:val="00056E80"/>
    <w:rsid w:val="00073485"/>
    <w:rsid w:val="0008154A"/>
    <w:rsid w:val="00087031"/>
    <w:rsid w:val="00093756"/>
    <w:rsid w:val="000A039D"/>
    <w:rsid w:val="000A1770"/>
    <w:rsid w:val="000A1A56"/>
    <w:rsid w:val="000B3DB4"/>
    <w:rsid w:val="000B679C"/>
    <w:rsid w:val="000D424B"/>
    <w:rsid w:val="000D6421"/>
    <w:rsid w:val="000D6661"/>
    <w:rsid w:val="000E52A3"/>
    <w:rsid w:val="001028F3"/>
    <w:rsid w:val="0010419F"/>
    <w:rsid w:val="00104940"/>
    <w:rsid w:val="00120ED6"/>
    <w:rsid w:val="00146750"/>
    <w:rsid w:val="00153ADF"/>
    <w:rsid w:val="001544F1"/>
    <w:rsid w:val="00155569"/>
    <w:rsid w:val="001608C7"/>
    <w:rsid w:val="00161A49"/>
    <w:rsid w:val="0017049D"/>
    <w:rsid w:val="001711C6"/>
    <w:rsid w:val="001810B6"/>
    <w:rsid w:val="00184DEC"/>
    <w:rsid w:val="001867CD"/>
    <w:rsid w:val="00194B73"/>
    <w:rsid w:val="001A0E4F"/>
    <w:rsid w:val="001A1AAA"/>
    <w:rsid w:val="001B5731"/>
    <w:rsid w:val="001C03CC"/>
    <w:rsid w:val="001C4EB9"/>
    <w:rsid w:val="001D3F1E"/>
    <w:rsid w:val="001D5E3E"/>
    <w:rsid w:val="001E5191"/>
    <w:rsid w:val="001E7A07"/>
    <w:rsid w:val="001F2ACC"/>
    <w:rsid w:val="001F666C"/>
    <w:rsid w:val="0020053B"/>
    <w:rsid w:val="002023C3"/>
    <w:rsid w:val="00204C32"/>
    <w:rsid w:val="00223901"/>
    <w:rsid w:val="0023742A"/>
    <w:rsid w:val="00245893"/>
    <w:rsid w:val="00246066"/>
    <w:rsid w:val="00256D1D"/>
    <w:rsid w:val="0026251F"/>
    <w:rsid w:val="00264351"/>
    <w:rsid w:val="002732B3"/>
    <w:rsid w:val="00294D95"/>
    <w:rsid w:val="00295285"/>
    <w:rsid w:val="002A5F22"/>
    <w:rsid w:val="002B6E29"/>
    <w:rsid w:val="002C4FF5"/>
    <w:rsid w:val="002C5379"/>
    <w:rsid w:val="002D4A34"/>
    <w:rsid w:val="002D4B38"/>
    <w:rsid w:val="002D558C"/>
    <w:rsid w:val="002D566A"/>
    <w:rsid w:val="002E2100"/>
    <w:rsid w:val="0030206E"/>
    <w:rsid w:val="00324462"/>
    <w:rsid w:val="00336116"/>
    <w:rsid w:val="003529A2"/>
    <w:rsid w:val="0036142F"/>
    <w:rsid w:val="00362362"/>
    <w:rsid w:val="003725D8"/>
    <w:rsid w:val="00373D33"/>
    <w:rsid w:val="00390857"/>
    <w:rsid w:val="003953C1"/>
    <w:rsid w:val="003B2223"/>
    <w:rsid w:val="003C06E2"/>
    <w:rsid w:val="003C0961"/>
    <w:rsid w:val="003C3A72"/>
    <w:rsid w:val="003D1750"/>
    <w:rsid w:val="003D4C3A"/>
    <w:rsid w:val="003F1BF1"/>
    <w:rsid w:val="003F46BF"/>
    <w:rsid w:val="00401389"/>
    <w:rsid w:val="00406824"/>
    <w:rsid w:val="00415673"/>
    <w:rsid w:val="00416F66"/>
    <w:rsid w:val="004251F1"/>
    <w:rsid w:val="00427F34"/>
    <w:rsid w:val="00430A5B"/>
    <w:rsid w:val="00433F8F"/>
    <w:rsid w:val="00444015"/>
    <w:rsid w:val="004519DE"/>
    <w:rsid w:val="00460A86"/>
    <w:rsid w:val="00461F6B"/>
    <w:rsid w:val="00465CD0"/>
    <w:rsid w:val="004665FF"/>
    <w:rsid w:val="004703DE"/>
    <w:rsid w:val="004757EC"/>
    <w:rsid w:val="004864BC"/>
    <w:rsid w:val="00490EF1"/>
    <w:rsid w:val="004912AA"/>
    <w:rsid w:val="004A2CB1"/>
    <w:rsid w:val="004B6416"/>
    <w:rsid w:val="004C0652"/>
    <w:rsid w:val="004E21BD"/>
    <w:rsid w:val="004F2A17"/>
    <w:rsid w:val="005032F4"/>
    <w:rsid w:val="00512797"/>
    <w:rsid w:val="005333D1"/>
    <w:rsid w:val="0054156C"/>
    <w:rsid w:val="005449A4"/>
    <w:rsid w:val="0055510F"/>
    <w:rsid w:val="00567B61"/>
    <w:rsid w:val="00570932"/>
    <w:rsid w:val="005809A3"/>
    <w:rsid w:val="005B5656"/>
    <w:rsid w:val="005C1D31"/>
    <w:rsid w:val="005C7B60"/>
    <w:rsid w:val="005D0D90"/>
    <w:rsid w:val="005D31B6"/>
    <w:rsid w:val="005E4534"/>
    <w:rsid w:val="00601AAB"/>
    <w:rsid w:val="00602D96"/>
    <w:rsid w:val="00607AC6"/>
    <w:rsid w:val="006256E3"/>
    <w:rsid w:val="0062691B"/>
    <w:rsid w:val="0063012A"/>
    <w:rsid w:val="00630B8F"/>
    <w:rsid w:val="00630E32"/>
    <w:rsid w:val="00630EFC"/>
    <w:rsid w:val="00635EE3"/>
    <w:rsid w:val="006545EE"/>
    <w:rsid w:val="00654CBD"/>
    <w:rsid w:val="006657F4"/>
    <w:rsid w:val="00673B1F"/>
    <w:rsid w:val="006768B8"/>
    <w:rsid w:val="006811E3"/>
    <w:rsid w:val="0069250E"/>
    <w:rsid w:val="006970F0"/>
    <w:rsid w:val="006A47C5"/>
    <w:rsid w:val="006C1C62"/>
    <w:rsid w:val="006C4A31"/>
    <w:rsid w:val="006D0410"/>
    <w:rsid w:val="006E0B27"/>
    <w:rsid w:val="006E26AB"/>
    <w:rsid w:val="00707CB4"/>
    <w:rsid w:val="0071709D"/>
    <w:rsid w:val="00726CC1"/>
    <w:rsid w:val="00736C33"/>
    <w:rsid w:val="00740321"/>
    <w:rsid w:val="007557AB"/>
    <w:rsid w:val="00761271"/>
    <w:rsid w:val="00761853"/>
    <w:rsid w:val="00761CD2"/>
    <w:rsid w:val="007644B8"/>
    <w:rsid w:val="00765236"/>
    <w:rsid w:val="00765F30"/>
    <w:rsid w:val="0077075F"/>
    <w:rsid w:val="00786A19"/>
    <w:rsid w:val="00797F5A"/>
    <w:rsid w:val="007A1865"/>
    <w:rsid w:val="007A2B12"/>
    <w:rsid w:val="007B291D"/>
    <w:rsid w:val="007B7BE5"/>
    <w:rsid w:val="007D1902"/>
    <w:rsid w:val="007D4D94"/>
    <w:rsid w:val="007D7BC6"/>
    <w:rsid w:val="007E22BC"/>
    <w:rsid w:val="007E2AA1"/>
    <w:rsid w:val="007E5F59"/>
    <w:rsid w:val="007E7BD7"/>
    <w:rsid w:val="00800B4E"/>
    <w:rsid w:val="00813422"/>
    <w:rsid w:val="0081496A"/>
    <w:rsid w:val="00816E57"/>
    <w:rsid w:val="00820B1C"/>
    <w:rsid w:val="008256E3"/>
    <w:rsid w:val="00830EE8"/>
    <w:rsid w:val="0083371F"/>
    <w:rsid w:val="00846DFE"/>
    <w:rsid w:val="00855EAC"/>
    <w:rsid w:val="00856D02"/>
    <w:rsid w:val="00862F65"/>
    <w:rsid w:val="00874DFF"/>
    <w:rsid w:val="00875C27"/>
    <w:rsid w:val="008806A0"/>
    <w:rsid w:val="00881054"/>
    <w:rsid w:val="00884EE8"/>
    <w:rsid w:val="008A048F"/>
    <w:rsid w:val="008A6AD9"/>
    <w:rsid w:val="008C38C2"/>
    <w:rsid w:val="008C5B1F"/>
    <w:rsid w:val="008D22F5"/>
    <w:rsid w:val="008E5EB7"/>
    <w:rsid w:val="008E6FB7"/>
    <w:rsid w:val="008F5112"/>
    <w:rsid w:val="00902A86"/>
    <w:rsid w:val="009100EA"/>
    <w:rsid w:val="00910441"/>
    <w:rsid w:val="009115EE"/>
    <w:rsid w:val="00921099"/>
    <w:rsid w:val="009238EF"/>
    <w:rsid w:val="009273DE"/>
    <w:rsid w:val="0093083A"/>
    <w:rsid w:val="00932772"/>
    <w:rsid w:val="0094413D"/>
    <w:rsid w:val="00953370"/>
    <w:rsid w:val="00964072"/>
    <w:rsid w:val="009719A3"/>
    <w:rsid w:val="00980616"/>
    <w:rsid w:val="00984DE0"/>
    <w:rsid w:val="00985F57"/>
    <w:rsid w:val="00990199"/>
    <w:rsid w:val="009A7E4D"/>
    <w:rsid w:val="009B187B"/>
    <w:rsid w:val="009B2806"/>
    <w:rsid w:val="009B35AF"/>
    <w:rsid w:val="009B4F02"/>
    <w:rsid w:val="009B6768"/>
    <w:rsid w:val="009C778E"/>
    <w:rsid w:val="009D7379"/>
    <w:rsid w:val="009E2BC0"/>
    <w:rsid w:val="009E4426"/>
    <w:rsid w:val="009F1DA9"/>
    <w:rsid w:val="00A00F2B"/>
    <w:rsid w:val="00A046E4"/>
    <w:rsid w:val="00A165B3"/>
    <w:rsid w:val="00A3312F"/>
    <w:rsid w:val="00A63B39"/>
    <w:rsid w:val="00A73B8D"/>
    <w:rsid w:val="00A76DD3"/>
    <w:rsid w:val="00A82A56"/>
    <w:rsid w:val="00A86A08"/>
    <w:rsid w:val="00A94D36"/>
    <w:rsid w:val="00AA6891"/>
    <w:rsid w:val="00AB6B55"/>
    <w:rsid w:val="00AC175E"/>
    <w:rsid w:val="00AC5065"/>
    <w:rsid w:val="00AC713D"/>
    <w:rsid w:val="00AD525E"/>
    <w:rsid w:val="00AD5E3D"/>
    <w:rsid w:val="00AE3851"/>
    <w:rsid w:val="00AF35A9"/>
    <w:rsid w:val="00AF4DE3"/>
    <w:rsid w:val="00AF75D1"/>
    <w:rsid w:val="00B05CE1"/>
    <w:rsid w:val="00B32FF3"/>
    <w:rsid w:val="00B37839"/>
    <w:rsid w:val="00B428AA"/>
    <w:rsid w:val="00B44A3F"/>
    <w:rsid w:val="00B45451"/>
    <w:rsid w:val="00B52BFA"/>
    <w:rsid w:val="00B7372B"/>
    <w:rsid w:val="00B74533"/>
    <w:rsid w:val="00B95E36"/>
    <w:rsid w:val="00BA4CEE"/>
    <w:rsid w:val="00BC61BC"/>
    <w:rsid w:val="00BC716A"/>
    <w:rsid w:val="00BD22FD"/>
    <w:rsid w:val="00BD3612"/>
    <w:rsid w:val="00C02FB1"/>
    <w:rsid w:val="00C05C76"/>
    <w:rsid w:val="00C17024"/>
    <w:rsid w:val="00C20FF6"/>
    <w:rsid w:val="00C219B7"/>
    <w:rsid w:val="00C31E27"/>
    <w:rsid w:val="00C456C2"/>
    <w:rsid w:val="00C50380"/>
    <w:rsid w:val="00C52A4A"/>
    <w:rsid w:val="00C559C9"/>
    <w:rsid w:val="00C56CB3"/>
    <w:rsid w:val="00C64F06"/>
    <w:rsid w:val="00C66AEE"/>
    <w:rsid w:val="00C76B10"/>
    <w:rsid w:val="00C8212F"/>
    <w:rsid w:val="00C83420"/>
    <w:rsid w:val="00C862FC"/>
    <w:rsid w:val="00C90214"/>
    <w:rsid w:val="00CA03E0"/>
    <w:rsid w:val="00CA3520"/>
    <w:rsid w:val="00CA3572"/>
    <w:rsid w:val="00CB7DAC"/>
    <w:rsid w:val="00CD240F"/>
    <w:rsid w:val="00CE3E12"/>
    <w:rsid w:val="00D0390D"/>
    <w:rsid w:val="00D119CC"/>
    <w:rsid w:val="00D16AF8"/>
    <w:rsid w:val="00D1787B"/>
    <w:rsid w:val="00D5568D"/>
    <w:rsid w:val="00D57F9B"/>
    <w:rsid w:val="00D604AC"/>
    <w:rsid w:val="00D71FA8"/>
    <w:rsid w:val="00D72C2E"/>
    <w:rsid w:val="00D73BE9"/>
    <w:rsid w:val="00D7512F"/>
    <w:rsid w:val="00D9430E"/>
    <w:rsid w:val="00D9496C"/>
    <w:rsid w:val="00DA1474"/>
    <w:rsid w:val="00DA3AED"/>
    <w:rsid w:val="00DD1D88"/>
    <w:rsid w:val="00DD322E"/>
    <w:rsid w:val="00DD5BAC"/>
    <w:rsid w:val="00DE5801"/>
    <w:rsid w:val="00DF610A"/>
    <w:rsid w:val="00DF786C"/>
    <w:rsid w:val="00E03255"/>
    <w:rsid w:val="00E10ABB"/>
    <w:rsid w:val="00E204F2"/>
    <w:rsid w:val="00E24619"/>
    <w:rsid w:val="00E25622"/>
    <w:rsid w:val="00E27A65"/>
    <w:rsid w:val="00E27ABE"/>
    <w:rsid w:val="00E30A0E"/>
    <w:rsid w:val="00E32459"/>
    <w:rsid w:val="00E340E8"/>
    <w:rsid w:val="00E41497"/>
    <w:rsid w:val="00E5529C"/>
    <w:rsid w:val="00E60AA9"/>
    <w:rsid w:val="00E61028"/>
    <w:rsid w:val="00E648C5"/>
    <w:rsid w:val="00E67AF3"/>
    <w:rsid w:val="00E76F0B"/>
    <w:rsid w:val="00E80FA5"/>
    <w:rsid w:val="00E8112C"/>
    <w:rsid w:val="00E82305"/>
    <w:rsid w:val="00E927DA"/>
    <w:rsid w:val="00E9388C"/>
    <w:rsid w:val="00E96C13"/>
    <w:rsid w:val="00EA38AA"/>
    <w:rsid w:val="00EA44CE"/>
    <w:rsid w:val="00EB2F1F"/>
    <w:rsid w:val="00EC13EE"/>
    <w:rsid w:val="00EC1407"/>
    <w:rsid w:val="00ED3559"/>
    <w:rsid w:val="00ED434E"/>
    <w:rsid w:val="00EE1FC0"/>
    <w:rsid w:val="00EF0CF7"/>
    <w:rsid w:val="00EF1147"/>
    <w:rsid w:val="00EF219F"/>
    <w:rsid w:val="00F050E2"/>
    <w:rsid w:val="00F179BA"/>
    <w:rsid w:val="00F3529F"/>
    <w:rsid w:val="00F35A44"/>
    <w:rsid w:val="00F4002C"/>
    <w:rsid w:val="00F5586E"/>
    <w:rsid w:val="00F61C4F"/>
    <w:rsid w:val="00F61D02"/>
    <w:rsid w:val="00F63A42"/>
    <w:rsid w:val="00F74831"/>
    <w:rsid w:val="00FA61BD"/>
    <w:rsid w:val="00FC1B0A"/>
    <w:rsid w:val="00FD4C33"/>
    <w:rsid w:val="00FE5AC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6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E2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E2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D9430E"/>
    <w:pPr>
      <w:spacing w:before="120" w:line="480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inChar">
    <w:name w:val="in Char"/>
    <w:aliases w:val="into bullet Char"/>
    <w:basedOn w:val="DefaultParagraphFont"/>
    <w:link w:val="in"/>
    <w:locked/>
    <w:rsid w:val="00D9430E"/>
    <w:rPr>
      <w:rFonts w:ascii="Calibri" w:hAnsi="Calibri" w:cs="Arial"/>
    </w:rPr>
  </w:style>
  <w:style w:type="paragraph" w:customStyle="1" w:styleId="in">
    <w:name w:val="in"/>
    <w:aliases w:val="into bullet"/>
    <w:basedOn w:val="Normal"/>
    <w:link w:val="inChar"/>
    <w:rsid w:val="00D9430E"/>
    <w:pPr>
      <w:spacing w:after="120" w:line="264" w:lineRule="auto"/>
      <w:ind w:left="360"/>
    </w:pPr>
    <w:rPr>
      <w:rFonts w:ascii="Calibri" w:hAnsi="Calibri" w:cs="Arial"/>
      <w:sz w:val="20"/>
    </w:rPr>
  </w:style>
  <w:style w:type="paragraph" w:customStyle="1" w:styleId="tabletitle">
    <w:name w:val="table title"/>
    <w:basedOn w:val="Normal"/>
    <w:rsid w:val="00786A19"/>
    <w:pPr>
      <w:keepNext/>
      <w:spacing w:before="180" w:after="60"/>
      <w:jc w:val="center"/>
    </w:pPr>
    <w:rPr>
      <w:rFonts w:ascii="Times New Roman" w:eastAsia="Times New Roman" w:hAnsi="Times New Roman"/>
      <w:b/>
      <w:bCs/>
    </w:rPr>
  </w:style>
  <w:style w:type="paragraph" w:customStyle="1" w:styleId="HangingIndent">
    <w:name w:val="Hanging Indent"/>
    <w:basedOn w:val="Normal"/>
    <w:rsid w:val="00DA1474"/>
    <w:pPr>
      <w:ind w:left="576" w:hanging="576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01AAB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601AA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6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E2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E2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D9430E"/>
    <w:pPr>
      <w:spacing w:before="120" w:line="480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inChar">
    <w:name w:val="in Char"/>
    <w:aliases w:val="into bullet Char"/>
    <w:basedOn w:val="DefaultParagraphFont"/>
    <w:link w:val="in"/>
    <w:locked/>
    <w:rsid w:val="00D9430E"/>
    <w:rPr>
      <w:rFonts w:ascii="Calibri" w:hAnsi="Calibri" w:cs="Arial"/>
    </w:rPr>
  </w:style>
  <w:style w:type="paragraph" w:customStyle="1" w:styleId="in">
    <w:name w:val="in"/>
    <w:aliases w:val="into bullet"/>
    <w:basedOn w:val="Normal"/>
    <w:link w:val="inChar"/>
    <w:rsid w:val="00D9430E"/>
    <w:pPr>
      <w:spacing w:after="120" w:line="264" w:lineRule="auto"/>
      <w:ind w:left="360"/>
    </w:pPr>
    <w:rPr>
      <w:rFonts w:ascii="Calibri" w:hAnsi="Calibri" w:cs="Arial"/>
      <w:sz w:val="20"/>
    </w:rPr>
  </w:style>
  <w:style w:type="paragraph" w:customStyle="1" w:styleId="tabletitle">
    <w:name w:val="table title"/>
    <w:basedOn w:val="Normal"/>
    <w:rsid w:val="00786A19"/>
    <w:pPr>
      <w:keepNext/>
      <w:spacing w:before="180" w:after="60"/>
      <w:jc w:val="center"/>
    </w:pPr>
    <w:rPr>
      <w:rFonts w:ascii="Times New Roman" w:eastAsia="Times New Roman" w:hAnsi="Times New Roman"/>
      <w:b/>
      <w:bCs/>
    </w:rPr>
  </w:style>
  <w:style w:type="paragraph" w:customStyle="1" w:styleId="HangingIndent">
    <w:name w:val="Hanging Indent"/>
    <w:basedOn w:val="Normal"/>
    <w:rsid w:val="00DA1474"/>
    <w:pPr>
      <w:ind w:left="576" w:hanging="576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01AAB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601A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72E37-7943-4AF4-8ED4-1B74C8286066}"/>
</file>

<file path=customXml/itemProps2.xml><?xml version="1.0" encoding="utf-8"?>
<ds:datastoreItem xmlns:ds="http://schemas.openxmlformats.org/officeDocument/2006/customXml" ds:itemID="{E3F61EC7-23CF-44D2-9F54-1614BF612BA2}"/>
</file>

<file path=customXml/itemProps3.xml><?xml version="1.0" encoding="utf-8"?>
<ds:datastoreItem xmlns:ds="http://schemas.openxmlformats.org/officeDocument/2006/customXml" ds:itemID="{ECF3AB6D-C1CF-45CC-B09C-AED474D4831C}"/>
</file>

<file path=customXml/itemProps4.xml><?xml version="1.0" encoding="utf-8"?>
<ds:datastoreItem xmlns:ds="http://schemas.openxmlformats.org/officeDocument/2006/customXml" ds:itemID="{3690E865-073C-43EC-9C2B-D317F6C91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2015-03-27T22:39:00Z</dcterms:created>
  <dcterms:modified xsi:type="dcterms:W3CDTF">2015-03-27T23:08:00Z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