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30" w:rsidRPr="003A72DD" w:rsidRDefault="006F5990" w:rsidP="00BF3230">
      <w:pPr>
        <w:rPr>
          <w:b/>
          <w:color w:val="000000"/>
          <w:sz w:val="44"/>
        </w:rPr>
      </w:pPr>
      <w:r>
        <w:rPr>
          <w:noProof/>
        </w:rPr>
        <w:drawing>
          <wp:anchor distT="0" distB="0" distL="114300" distR="114300" simplePos="0" relativeHeight="251678720" behindDoc="0" locked="0" layoutInCell="1" allowOverlap="1">
            <wp:simplePos x="0" y="0"/>
            <wp:positionH relativeFrom="column">
              <wp:posOffset>5221605</wp:posOffset>
            </wp:positionH>
            <wp:positionV relativeFrom="paragraph">
              <wp:posOffset>-200025</wp:posOffset>
            </wp:positionV>
            <wp:extent cx="1224280" cy="812800"/>
            <wp:effectExtent l="0" t="0" r="0" b="6350"/>
            <wp:wrapTight wrapText="bothSides">
              <wp:wrapPolygon edited="0">
                <wp:start x="0" y="0"/>
                <wp:lineTo x="0" y="21263"/>
                <wp:lineTo x="21174" y="21263"/>
                <wp:lineTo x="21174" y="0"/>
                <wp:lineTo x="0" y="0"/>
              </wp:wrapPolygon>
            </wp:wrapTight>
            <wp:docPr id="6" name="Picture 6" descr="100726_NEEA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726_NEEA_logo.ep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4280" cy="812800"/>
                    </a:xfrm>
                    <a:prstGeom prst="rect">
                      <a:avLst/>
                    </a:prstGeom>
                    <a:noFill/>
                    <a:ln>
                      <a:noFill/>
                    </a:ln>
                  </pic:spPr>
                </pic:pic>
              </a:graphicData>
            </a:graphic>
          </wp:anchor>
        </w:drawing>
      </w:r>
      <w:r w:rsidR="00BF3230" w:rsidRPr="003A72DD">
        <w:rPr>
          <w:b/>
          <w:color w:val="000000"/>
          <w:sz w:val="44"/>
        </w:rPr>
        <w:t>Memorandum</w:t>
      </w:r>
    </w:p>
    <w:p w:rsidR="00BF3230" w:rsidRPr="003A72DD" w:rsidRDefault="00BF3230" w:rsidP="00BF3230">
      <w:pPr>
        <w:rPr>
          <w:color w:val="000000"/>
        </w:rPr>
      </w:pPr>
    </w:p>
    <w:p w:rsidR="003A72DD" w:rsidRPr="003A72DD" w:rsidRDefault="000E1733" w:rsidP="003A72DD">
      <w:pPr>
        <w:rPr>
          <w:color w:val="000000"/>
          <w:sz w:val="22"/>
        </w:rPr>
      </w:pPr>
      <w:r>
        <w:rPr>
          <w:color w:val="000000"/>
          <w:sz w:val="22"/>
        </w:rPr>
        <w:t xml:space="preserve">March </w:t>
      </w:r>
      <w:r w:rsidR="003B2C9E">
        <w:rPr>
          <w:color w:val="000000"/>
          <w:sz w:val="22"/>
        </w:rPr>
        <w:t>30</w:t>
      </w:r>
      <w:r>
        <w:rPr>
          <w:color w:val="000000"/>
          <w:sz w:val="22"/>
        </w:rPr>
        <w:t>, 2012</w:t>
      </w:r>
    </w:p>
    <w:p w:rsidR="00BF3230" w:rsidRPr="003A72DD" w:rsidRDefault="00BF3230" w:rsidP="00BF3230">
      <w:pPr>
        <w:rPr>
          <w:color w:val="000000"/>
          <w:sz w:val="22"/>
        </w:rPr>
      </w:pPr>
    </w:p>
    <w:p w:rsidR="00BF3230" w:rsidRPr="003A72DD" w:rsidRDefault="00BF3230" w:rsidP="00D928AB">
      <w:pPr>
        <w:ind w:left="1440" w:hanging="1440"/>
        <w:rPr>
          <w:color w:val="000000"/>
          <w:sz w:val="22"/>
        </w:rPr>
      </w:pPr>
      <w:r w:rsidRPr="003A72DD">
        <w:rPr>
          <w:caps/>
          <w:color w:val="000000"/>
          <w:sz w:val="22"/>
        </w:rPr>
        <w:t>To</w:t>
      </w:r>
      <w:r w:rsidRPr="003A72DD">
        <w:rPr>
          <w:color w:val="000000"/>
          <w:sz w:val="22"/>
        </w:rPr>
        <w:t xml:space="preserve">: </w:t>
      </w:r>
      <w:r w:rsidR="00D928AB">
        <w:rPr>
          <w:color w:val="000000"/>
          <w:sz w:val="22"/>
        </w:rPr>
        <w:tab/>
      </w:r>
      <w:r w:rsidR="003B2C9E">
        <w:rPr>
          <w:color w:val="000000"/>
          <w:sz w:val="22"/>
        </w:rPr>
        <w:t>Jon Powell</w:t>
      </w:r>
      <w:r w:rsidR="00844A26">
        <w:rPr>
          <w:color w:val="000000"/>
          <w:sz w:val="22"/>
        </w:rPr>
        <w:t xml:space="preserve">, </w:t>
      </w:r>
      <w:r w:rsidR="003B2C9E">
        <w:rPr>
          <w:color w:val="000000"/>
          <w:sz w:val="22"/>
        </w:rPr>
        <w:t>Avista Corporation</w:t>
      </w:r>
    </w:p>
    <w:p w:rsidR="00BF3230" w:rsidRPr="003A72DD" w:rsidRDefault="00BF3230" w:rsidP="00BF3230">
      <w:pPr>
        <w:rPr>
          <w:color w:val="000000"/>
          <w:sz w:val="22"/>
        </w:rPr>
      </w:pPr>
    </w:p>
    <w:p w:rsidR="00BF3230" w:rsidRPr="003A72DD" w:rsidRDefault="0084421C" w:rsidP="0084421C">
      <w:pPr>
        <w:ind w:left="1440" w:hanging="1440"/>
        <w:rPr>
          <w:color w:val="000000"/>
          <w:sz w:val="22"/>
        </w:rPr>
      </w:pPr>
      <w:r>
        <w:rPr>
          <w:caps/>
          <w:color w:val="000000"/>
          <w:sz w:val="22"/>
        </w:rPr>
        <w:t>CC</w:t>
      </w:r>
      <w:r w:rsidR="00BF3230" w:rsidRPr="003A72DD">
        <w:rPr>
          <w:color w:val="000000"/>
          <w:sz w:val="22"/>
        </w:rPr>
        <w:t xml:space="preserve">: </w:t>
      </w:r>
      <w:r w:rsidR="003A72DD">
        <w:rPr>
          <w:color w:val="000000"/>
          <w:sz w:val="22"/>
        </w:rPr>
        <w:tab/>
      </w:r>
      <w:r w:rsidR="003B2C9E">
        <w:rPr>
          <w:color w:val="000000"/>
          <w:sz w:val="22"/>
        </w:rPr>
        <w:t>Jeff Harris, director, Emerging Technology</w:t>
      </w:r>
      <w:r>
        <w:rPr>
          <w:color w:val="000000"/>
          <w:sz w:val="22"/>
        </w:rPr>
        <w:t>; Susan Hermenet, NEEA Senior Manager of Market Operations Planning</w:t>
      </w:r>
    </w:p>
    <w:p w:rsidR="00BF3230" w:rsidRDefault="00BF3230" w:rsidP="00BF3230">
      <w:pPr>
        <w:rPr>
          <w:color w:val="000000"/>
          <w:sz w:val="22"/>
        </w:rPr>
      </w:pPr>
    </w:p>
    <w:p w:rsidR="0084421C" w:rsidRDefault="0084421C" w:rsidP="00BF3230">
      <w:pPr>
        <w:rPr>
          <w:color w:val="000000"/>
          <w:sz w:val="22"/>
        </w:rPr>
      </w:pPr>
      <w:r>
        <w:rPr>
          <w:color w:val="000000"/>
          <w:sz w:val="22"/>
        </w:rPr>
        <w:t xml:space="preserve">FROM: </w:t>
      </w:r>
      <w:r>
        <w:rPr>
          <w:color w:val="000000"/>
          <w:sz w:val="22"/>
        </w:rPr>
        <w:tab/>
      </w:r>
      <w:r w:rsidR="00D928AB">
        <w:rPr>
          <w:color w:val="000000"/>
          <w:sz w:val="22"/>
        </w:rPr>
        <w:tab/>
      </w:r>
      <w:r>
        <w:rPr>
          <w:color w:val="000000"/>
          <w:sz w:val="22"/>
        </w:rPr>
        <w:t>Christina Steinhoff, Planning Analyst III</w:t>
      </w:r>
    </w:p>
    <w:p w:rsidR="0084421C" w:rsidRPr="003A72DD" w:rsidRDefault="0084421C" w:rsidP="00BF3230">
      <w:pPr>
        <w:rPr>
          <w:color w:val="000000"/>
          <w:sz w:val="22"/>
        </w:rPr>
      </w:pPr>
    </w:p>
    <w:p w:rsidR="00BF4440" w:rsidRDefault="00BF3230" w:rsidP="00BF3230">
      <w:pPr>
        <w:rPr>
          <w:color w:val="000000"/>
          <w:sz w:val="22"/>
        </w:rPr>
      </w:pPr>
      <w:r w:rsidRPr="003A72DD">
        <w:rPr>
          <w:caps/>
          <w:color w:val="000000"/>
          <w:sz w:val="22"/>
        </w:rPr>
        <w:t>Subject</w:t>
      </w:r>
      <w:r w:rsidRPr="003A72DD">
        <w:rPr>
          <w:color w:val="000000"/>
          <w:sz w:val="22"/>
        </w:rPr>
        <w:t>:</w:t>
      </w:r>
      <w:r w:rsidR="003A72DD">
        <w:rPr>
          <w:color w:val="000000"/>
          <w:sz w:val="22"/>
        </w:rPr>
        <w:tab/>
      </w:r>
      <w:r w:rsidR="00E0459C">
        <w:rPr>
          <w:color w:val="000000"/>
          <w:sz w:val="22"/>
        </w:rPr>
        <w:t xml:space="preserve">Draft </w:t>
      </w:r>
      <w:r w:rsidR="004F07DC">
        <w:rPr>
          <w:color w:val="000000"/>
          <w:sz w:val="22"/>
        </w:rPr>
        <w:t xml:space="preserve">2010 &amp; </w:t>
      </w:r>
      <w:r w:rsidR="0084421C">
        <w:rPr>
          <w:color w:val="000000"/>
          <w:sz w:val="22"/>
        </w:rPr>
        <w:t xml:space="preserve">2011 </w:t>
      </w:r>
      <w:r w:rsidR="000855A1">
        <w:rPr>
          <w:color w:val="000000"/>
          <w:sz w:val="22"/>
        </w:rPr>
        <w:t>Final</w:t>
      </w:r>
      <w:r w:rsidR="00430AED">
        <w:rPr>
          <w:color w:val="000000"/>
          <w:sz w:val="22"/>
        </w:rPr>
        <w:t xml:space="preserve"> </w:t>
      </w:r>
      <w:r w:rsidR="009A1C44">
        <w:rPr>
          <w:color w:val="000000"/>
          <w:sz w:val="22"/>
        </w:rPr>
        <w:t>6</w:t>
      </w:r>
      <w:r w:rsidR="009A1C44" w:rsidRPr="009A1C44">
        <w:rPr>
          <w:color w:val="000000"/>
          <w:sz w:val="22"/>
          <w:vertAlign w:val="superscript"/>
        </w:rPr>
        <w:t>th</w:t>
      </w:r>
      <w:r w:rsidR="00BA0C91">
        <w:rPr>
          <w:color w:val="000000"/>
          <w:sz w:val="22"/>
        </w:rPr>
        <w:t xml:space="preserve"> Power Plan Savings Report </w:t>
      </w:r>
    </w:p>
    <w:p w:rsidR="00BF3230" w:rsidRPr="003A72DD" w:rsidRDefault="009374BA" w:rsidP="00BF3230">
      <w:pPr>
        <w:rPr>
          <w:color w:val="000000"/>
          <w:sz w:val="22"/>
        </w:rPr>
      </w:pPr>
      <w:r>
        <w:rPr>
          <w:noProof/>
          <w:color w:val="000000"/>
          <w:sz w:val="22"/>
        </w:rPr>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pt" to="47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" strokecolor="#72b633" strokeweight="3pt">
            <v:stroke dashstyle="1 1"/>
            <v:shadow opacity="22938f" offset="0"/>
          </v:line>
        </w:pict>
      </w:r>
    </w:p>
    <w:p w:rsidR="002C2870" w:rsidRDefault="004F07DC" w:rsidP="0084421C">
      <w:r>
        <w:t xml:space="preserve">This memo summarizes </w:t>
      </w:r>
      <w:r w:rsidR="0084421C">
        <w:t>the</w:t>
      </w:r>
      <w:r w:rsidR="00736D04">
        <w:t xml:space="preserve"> </w:t>
      </w:r>
      <w:r w:rsidR="00E0459C" w:rsidRPr="00E0459C">
        <w:rPr>
          <w:i/>
        </w:rPr>
        <w:t>Draft</w:t>
      </w:r>
      <w:r w:rsidR="0084421C">
        <w:t xml:space="preserve"> </w:t>
      </w:r>
      <w:r w:rsidR="0084421C" w:rsidRPr="000209B0">
        <w:rPr>
          <w:i/>
        </w:rPr>
        <w:t>201</w:t>
      </w:r>
      <w:r w:rsidR="002C2870">
        <w:rPr>
          <w:i/>
        </w:rPr>
        <w:t>0 &amp; 2011</w:t>
      </w:r>
      <w:r>
        <w:rPr>
          <w:i/>
        </w:rPr>
        <w:t xml:space="preserve"> </w:t>
      </w:r>
      <w:r w:rsidR="009A1C44">
        <w:rPr>
          <w:i/>
        </w:rPr>
        <w:t>6</w:t>
      </w:r>
      <w:r w:rsidR="009A1C44" w:rsidRPr="009A1C44">
        <w:rPr>
          <w:i/>
          <w:vertAlign w:val="superscript"/>
        </w:rPr>
        <w:t>th</w:t>
      </w:r>
      <w:r w:rsidR="002C2870">
        <w:rPr>
          <w:i/>
        </w:rPr>
        <w:t xml:space="preserve"> Power Plan</w:t>
      </w:r>
      <w:r w:rsidR="0084421C" w:rsidRPr="00F2602B">
        <w:rPr>
          <w:i/>
        </w:rPr>
        <w:t xml:space="preserve"> Savings Report</w:t>
      </w:r>
      <w:r w:rsidR="0084421C">
        <w:t xml:space="preserve">.  The Excel-based report provides </w:t>
      </w:r>
      <w:r w:rsidR="002C2870">
        <w:t xml:space="preserve">2010 and 2011 </w:t>
      </w:r>
      <w:r w:rsidR="0084421C">
        <w:t xml:space="preserve">savings estimates </w:t>
      </w:r>
      <w:r w:rsidR="002C2870">
        <w:t xml:space="preserve">for </w:t>
      </w:r>
      <w:r w:rsidR="002176A8">
        <w:t>Avista</w:t>
      </w:r>
      <w:r w:rsidR="0084421C">
        <w:t xml:space="preserve"> </w:t>
      </w:r>
      <w:r w:rsidR="000B4194">
        <w:t>Corporation</w:t>
      </w:r>
      <w:r w:rsidR="00424B5C">
        <w:t>, Wash.,</w:t>
      </w:r>
      <w:r w:rsidR="003B2345">
        <w:t xml:space="preserve"> </w:t>
      </w:r>
      <w:r w:rsidR="002C2870">
        <w:t xml:space="preserve">using the </w:t>
      </w:r>
      <w:r w:rsidR="000B4194">
        <w:t>Northwest Power and Conservation Council’s (NWPCC</w:t>
      </w:r>
      <w:bookmarkStart w:id="0" w:name="_GoBack"/>
      <w:bookmarkEnd w:id="0"/>
      <w:r w:rsidR="000B4194">
        <w:t xml:space="preserve">) </w:t>
      </w:r>
      <w:r w:rsidR="00424B5C">
        <w:t>6</w:t>
      </w:r>
      <w:r w:rsidR="00424B5C" w:rsidRPr="00424B5C">
        <w:rPr>
          <w:vertAlign w:val="superscript"/>
        </w:rPr>
        <w:t>th</w:t>
      </w:r>
      <w:r w:rsidR="002C2870">
        <w:t xml:space="preserve"> Power Plan baseline</w:t>
      </w:r>
      <w:r w:rsidR="0084421C">
        <w:t xml:space="preserve">. </w:t>
      </w:r>
      <w:r w:rsidR="003B2345">
        <w:t xml:space="preserve">Avista’s share of the regional savings is based on the best available service territory data. </w:t>
      </w:r>
      <w:r w:rsidR="0026743E">
        <w:t xml:space="preserve">The report also contains Avista’s total </w:t>
      </w:r>
      <w:r w:rsidR="00403DEC">
        <w:t xml:space="preserve">(Idaho and Washington) </w:t>
      </w:r>
      <w:r w:rsidR="0026743E">
        <w:t xml:space="preserve">service territory savings.  </w:t>
      </w:r>
      <w:r w:rsidR="0084421C">
        <w:t xml:space="preserve">This memo </w:t>
      </w:r>
      <w:r w:rsidR="00997EEF">
        <w:t xml:space="preserve">summarizes the </w:t>
      </w:r>
      <w:r w:rsidR="0026743E">
        <w:t xml:space="preserve">Washington </w:t>
      </w:r>
      <w:r w:rsidR="00997EEF">
        <w:t>results</w:t>
      </w:r>
      <w:r w:rsidR="00424B5C">
        <w:t xml:space="preserve">, the allocation methodology, and </w:t>
      </w:r>
      <w:r w:rsidR="00997EEF">
        <w:t xml:space="preserve">the variance from </w:t>
      </w:r>
      <w:r w:rsidR="000855A1">
        <w:t>prior</w:t>
      </w:r>
      <w:r w:rsidR="002176A8">
        <w:t xml:space="preserve"> reports </w:t>
      </w:r>
      <w:r w:rsidR="006665E4">
        <w:t>of</w:t>
      </w:r>
      <w:r w:rsidR="002176A8">
        <w:t xml:space="preserve"> 2010 savings</w:t>
      </w:r>
      <w:r w:rsidR="00997EEF">
        <w:t>.</w:t>
      </w:r>
      <w:r w:rsidR="0084421C">
        <w:t xml:space="preserve"> </w:t>
      </w:r>
      <w:r w:rsidR="00E0459C">
        <w:t xml:space="preserve"> NEEA will provide a final version of this report in June after an annual review process. </w:t>
      </w:r>
    </w:p>
    <w:p w:rsidR="000855A1" w:rsidRDefault="000855A1" w:rsidP="000855A1">
      <w:pPr>
        <w:pStyle w:val="Heading1"/>
      </w:pPr>
      <w:r>
        <w:t xml:space="preserve">Summary of </w:t>
      </w:r>
      <w:r w:rsidR="002176A8">
        <w:t xml:space="preserve">Washington </w:t>
      </w:r>
      <w:r>
        <w:t>Results</w:t>
      </w:r>
    </w:p>
    <w:p w:rsidR="002C1949" w:rsidRDefault="002176A8" w:rsidP="000855A1">
      <w:r>
        <w:t>Avista’s</w:t>
      </w:r>
      <w:r w:rsidR="000855A1">
        <w:t xml:space="preserve"> savings </w:t>
      </w:r>
      <w:r w:rsidR="003B2345">
        <w:t xml:space="preserve">in Washington </w:t>
      </w:r>
      <w:r w:rsidR="000855A1">
        <w:t xml:space="preserve">is </w:t>
      </w:r>
      <w:r w:rsidR="0026743E">
        <w:t>2.5 aMW for 2010 and 3.</w:t>
      </w:r>
      <w:r w:rsidR="00F529AF">
        <w:t>2</w:t>
      </w:r>
      <w:r w:rsidR="0026743E">
        <w:t xml:space="preserve"> aMW</w:t>
      </w:r>
      <w:r w:rsidR="000855A1">
        <w:t xml:space="preserve"> for 2011.  Approximately</w:t>
      </w:r>
      <w:r w:rsidR="0026743E">
        <w:t>,</w:t>
      </w:r>
      <w:r w:rsidR="000855A1">
        <w:t xml:space="preserve"> </w:t>
      </w:r>
      <w:r w:rsidR="0026743E">
        <w:t>0.8</w:t>
      </w:r>
      <w:r w:rsidR="000855A1">
        <w:t xml:space="preserve"> aMW in 2010 and </w:t>
      </w:r>
      <w:r w:rsidR="0026743E">
        <w:t>0.6</w:t>
      </w:r>
      <w:r w:rsidR="000855A1">
        <w:t xml:space="preserve"> aMW in 2011 were part of </w:t>
      </w:r>
      <w:r>
        <w:t>Avista’s</w:t>
      </w:r>
      <w:r w:rsidR="000855A1">
        <w:t xml:space="preserve"> utility program</w:t>
      </w:r>
      <w:r>
        <w:t>s in Washington</w:t>
      </w:r>
      <w:r w:rsidR="000855A1">
        <w:t>.</w:t>
      </w:r>
      <w:r w:rsidR="00DA4B3B">
        <w:rPr>
          <w:rStyle w:val="FootnoteReference"/>
        </w:rPr>
        <w:footnoteReference w:id="1"/>
      </w:r>
      <w:r w:rsidR="00DA4B3B">
        <w:t xml:space="preserve">  </w:t>
      </w:r>
      <w:r w:rsidR="000855A1">
        <w:t xml:space="preserve">  The difference between the </w:t>
      </w:r>
      <w:r w:rsidR="000855A1" w:rsidRPr="000B4194">
        <w:rPr>
          <w:i/>
        </w:rPr>
        <w:t>Total Regional Savings</w:t>
      </w:r>
      <w:r w:rsidR="000855A1">
        <w:t xml:space="preserve"> and </w:t>
      </w:r>
      <w:r>
        <w:t>Avista’s</w:t>
      </w:r>
      <w:r w:rsidR="000855A1">
        <w:t xml:space="preserve"> </w:t>
      </w:r>
      <w:r w:rsidR="000855A1" w:rsidRPr="000B4194">
        <w:rPr>
          <w:i/>
        </w:rPr>
        <w:t>Local Program Savings</w:t>
      </w:r>
      <w:r w:rsidR="000855A1">
        <w:t xml:space="preserve"> is </w:t>
      </w:r>
      <w:r w:rsidR="0026743E">
        <w:t>1.7</w:t>
      </w:r>
      <w:r w:rsidR="000855A1">
        <w:t xml:space="preserve"> for 2010 and </w:t>
      </w:r>
      <w:r w:rsidR="0026743E">
        <w:t>2.5 aMW</w:t>
      </w:r>
      <w:r w:rsidR="000855A1">
        <w:t xml:space="preserve"> for 2011.  </w:t>
      </w:r>
      <w:r w:rsidR="002E1045">
        <w:t>Avista</w:t>
      </w:r>
      <w:r w:rsidR="000855A1">
        <w:t xml:space="preserve"> can count these savings toward the </w:t>
      </w:r>
      <w:r w:rsidR="000948A3">
        <w:t>6</w:t>
      </w:r>
      <w:r w:rsidR="000948A3" w:rsidRPr="000948A3">
        <w:rPr>
          <w:vertAlign w:val="superscript"/>
        </w:rPr>
        <w:t>th</w:t>
      </w:r>
      <w:r w:rsidR="000855A1">
        <w:t xml:space="preserve"> Power Plan </w:t>
      </w:r>
      <w:r w:rsidR="000B4194">
        <w:t>savings t</w:t>
      </w:r>
      <w:r w:rsidR="000855A1">
        <w:t>argets.</w:t>
      </w:r>
      <w:r w:rsidR="000855A1">
        <w:rPr>
          <w:rStyle w:val="FootnoteReference"/>
        </w:rPr>
        <w:footnoteReference w:id="2"/>
      </w:r>
      <w:r w:rsidR="000855A1">
        <w:t xml:space="preserve"> </w:t>
      </w:r>
      <w:r w:rsidR="00B27F20">
        <w:t xml:space="preserve"> </w:t>
      </w:r>
    </w:p>
    <w:p w:rsidR="002C1949" w:rsidRDefault="002C1949" w:rsidP="000855A1"/>
    <w:p w:rsidR="00B27F20" w:rsidRDefault="002E1045" w:rsidP="000855A1">
      <w:r>
        <w:lastRenderedPageBreak/>
        <w:t xml:space="preserve">In addition, Avista can count its Washington funder share of </w:t>
      </w:r>
      <w:r w:rsidR="003B2345">
        <w:t>a</w:t>
      </w:r>
      <w:r>
        <w:t xml:space="preserve"> </w:t>
      </w:r>
      <w:r w:rsidR="003B2345">
        <w:t>“</w:t>
      </w:r>
      <w:r>
        <w:t>one-time baseline adjustment</w:t>
      </w:r>
      <w:r w:rsidR="003B2345">
        <w:t>”</w:t>
      </w:r>
      <w:r>
        <w:t>.</w:t>
      </w:r>
      <w:r>
        <w:rPr>
          <w:rStyle w:val="FootnoteReference"/>
        </w:rPr>
        <w:footnoteReference w:id="3"/>
      </w:r>
      <w:r>
        <w:t xml:space="preserve"> </w:t>
      </w:r>
      <w:r w:rsidR="003D58E8">
        <w:t xml:space="preserve">NEEA </w:t>
      </w:r>
      <w:r w:rsidR="003B2345">
        <w:t>adjust</w:t>
      </w:r>
      <w:r w:rsidR="000948A3">
        <w:t>s</w:t>
      </w:r>
      <w:r w:rsidR="003D58E8">
        <w:t xml:space="preserve"> the 6</w:t>
      </w:r>
      <w:r w:rsidR="003D58E8" w:rsidRPr="003D58E8">
        <w:rPr>
          <w:vertAlign w:val="superscript"/>
        </w:rPr>
        <w:t>th</w:t>
      </w:r>
      <w:r w:rsidR="003D58E8">
        <w:t xml:space="preserve"> Power Plan baseline for its Residential Lighting, Televisions, and Ductless Heat Pump </w:t>
      </w:r>
      <w:r w:rsidR="000B4194">
        <w:t>i</w:t>
      </w:r>
      <w:r w:rsidR="000948A3">
        <w:t>nitiatives because it has</w:t>
      </w:r>
      <w:r w:rsidR="003D58E8">
        <w:t xml:space="preserve"> </w:t>
      </w:r>
      <w:r w:rsidR="000B4194">
        <w:t>more sufficient</w:t>
      </w:r>
      <w:r w:rsidR="003D58E8">
        <w:t xml:space="preserve"> 2009 data</w:t>
      </w:r>
      <w:r w:rsidR="000B4194">
        <w:t xml:space="preserve"> than the NWPCC</w:t>
      </w:r>
      <w:r w:rsidR="003D58E8">
        <w:t xml:space="preserve">.  </w:t>
      </w:r>
      <w:r w:rsidR="00246543">
        <w:t xml:space="preserve">The </w:t>
      </w:r>
      <w:r w:rsidR="003D58E8">
        <w:t xml:space="preserve">difference </w:t>
      </w:r>
      <w:r w:rsidR="003B2345">
        <w:t xml:space="preserve">between the NEEA “adjusted” baseline and the original council baseline </w:t>
      </w:r>
      <w:r w:rsidR="003D58E8">
        <w:t>count</w:t>
      </w:r>
      <w:r w:rsidR="002C1949">
        <w:t>s</w:t>
      </w:r>
      <w:r w:rsidR="003D58E8">
        <w:t xml:space="preserve"> toward the 6</w:t>
      </w:r>
      <w:r w:rsidR="003D58E8" w:rsidRPr="003D58E8">
        <w:rPr>
          <w:vertAlign w:val="superscript"/>
        </w:rPr>
        <w:t>th</w:t>
      </w:r>
      <w:r w:rsidR="003D58E8">
        <w:t xml:space="preserve"> Power Plan targets.  </w:t>
      </w:r>
      <w:r w:rsidR="00B27F20">
        <w:t xml:space="preserve">Table 1 shows </w:t>
      </w:r>
      <w:r w:rsidR="003D58E8">
        <w:t>Avista’s share</w:t>
      </w:r>
      <w:r w:rsidR="002C1949">
        <w:rPr>
          <w:rStyle w:val="FootnoteReference"/>
        </w:rPr>
        <w:footnoteReference w:id="4"/>
      </w:r>
      <w:r w:rsidR="002C1949">
        <w:t xml:space="preserve"> </w:t>
      </w:r>
      <w:r w:rsidR="003D58E8">
        <w:t xml:space="preserve">of the “one-time” adjustment as well as its </w:t>
      </w:r>
      <w:r w:rsidR="00246543">
        <w:t xml:space="preserve">service territory </w:t>
      </w:r>
      <w:r w:rsidR="003D58E8">
        <w:t>savings from activities in 2010 and 2011</w:t>
      </w:r>
      <w:r w:rsidR="00B27F20">
        <w:t>.</w:t>
      </w:r>
      <w:r w:rsidR="000B4194">
        <w:t xml:space="preserve">  </w:t>
      </w:r>
    </w:p>
    <w:p w:rsidR="009A1C44" w:rsidRDefault="009A1C44" w:rsidP="009A1C44">
      <w:pPr>
        <w:pStyle w:val="Caption"/>
        <w:keepNext/>
      </w:pPr>
      <w:r>
        <w:t xml:space="preserve">Table </w:t>
      </w:r>
      <w:r w:rsidR="009374BA">
        <w:fldChar w:fldCharType="begin"/>
      </w:r>
      <w:r w:rsidR="00F4510C">
        <w:instrText xml:space="preserve"> SEQ Table \* ARABIC </w:instrText>
      </w:r>
      <w:r w:rsidR="009374BA">
        <w:fldChar w:fldCharType="separate"/>
      </w:r>
      <w:r>
        <w:rPr>
          <w:noProof/>
        </w:rPr>
        <w:t>1</w:t>
      </w:r>
      <w:r w:rsidR="009374BA">
        <w:rPr>
          <w:noProof/>
        </w:rPr>
        <w:fldChar w:fldCharType="end"/>
      </w:r>
      <w:r>
        <w:t xml:space="preserve">: </w:t>
      </w:r>
      <w:r w:rsidRPr="009A1C44">
        <w:t xml:space="preserve">2010 &amp; 2011 </w:t>
      </w:r>
      <w:r>
        <w:t>6</w:t>
      </w:r>
      <w:r w:rsidRPr="009A1C44">
        <w:rPr>
          <w:vertAlign w:val="superscript"/>
        </w:rPr>
        <w:t>th</w:t>
      </w:r>
      <w:r w:rsidRPr="009A1C44">
        <w:t xml:space="preserve"> Power Plan Savings Report</w:t>
      </w:r>
      <w:r w:rsidR="002F7515">
        <w:t xml:space="preserve"> for Avista Washington’s Service Territory</w:t>
      </w:r>
    </w:p>
    <w:tbl>
      <w:tblPr>
        <w:tblW w:w="9530" w:type="dxa"/>
        <w:tblInd w:w="98" w:type="dxa"/>
        <w:tblLook w:val="04A0"/>
      </w:tblPr>
      <w:tblGrid>
        <w:gridCol w:w="2029"/>
        <w:gridCol w:w="1966"/>
        <w:gridCol w:w="1476"/>
        <w:gridCol w:w="1191"/>
        <w:gridCol w:w="1787"/>
        <w:gridCol w:w="1203"/>
      </w:tblGrid>
      <w:tr w:rsidR="000A6B53" w:rsidRPr="000B4194" w:rsidTr="000A6B53">
        <w:trPr>
          <w:trHeight w:val="410"/>
        </w:trPr>
        <w:tc>
          <w:tcPr>
            <w:tcW w:w="6662" w:type="dxa"/>
            <w:gridSpan w:val="4"/>
            <w:tcBorders>
              <w:top w:val="single" w:sz="8" w:space="0" w:color="808080"/>
              <w:left w:val="single" w:sz="8" w:space="0" w:color="808080"/>
              <w:bottom w:val="nil"/>
              <w:right w:val="nil"/>
            </w:tcBorders>
            <w:shd w:val="clear" w:color="000000" w:fill="1F497D"/>
            <w:noWrap/>
            <w:vAlign w:val="center"/>
            <w:hideMark/>
          </w:tcPr>
          <w:p w:rsidR="000A6B53" w:rsidRPr="000B4194" w:rsidRDefault="000A6B53" w:rsidP="000B4194">
            <w:pPr>
              <w:spacing w:line="240" w:lineRule="auto"/>
              <w:rPr>
                <w:rFonts w:ascii="Cambria" w:eastAsia="Times New Roman" w:hAnsi="Cambria" w:cs="Calibri"/>
                <w:b/>
                <w:bCs/>
                <w:color w:val="FFFFFF"/>
                <w:sz w:val="22"/>
                <w:szCs w:val="22"/>
              </w:rPr>
            </w:pPr>
            <w:r w:rsidRPr="000B4194">
              <w:rPr>
                <w:rFonts w:ascii="Cambria" w:eastAsia="Times New Roman" w:hAnsi="Cambria" w:cs="Calibri"/>
                <w:b/>
                <w:bCs/>
                <w:color w:val="FFFFFF"/>
                <w:sz w:val="22"/>
                <w:szCs w:val="22"/>
              </w:rPr>
              <w:t>Avista Corporation, Inc.'s 6th Power Plan Savings Report for 2011 (WA)</w:t>
            </w:r>
          </w:p>
        </w:tc>
        <w:tc>
          <w:tcPr>
            <w:tcW w:w="1787" w:type="dxa"/>
            <w:tcBorders>
              <w:top w:val="single" w:sz="8" w:space="0" w:color="808080"/>
              <w:left w:val="nil"/>
              <w:bottom w:val="nil"/>
              <w:right w:val="single" w:sz="8" w:space="0" w:color="808080"/>
            </w:tcBorders>
            <w:shd w:val="clear" w:color="000000" w:fill="1F497D"/>
            <w:noWrap/>
            <w:vAlign w:val="center"/>
            <w:hideMark/>
          </w:tcPr>
          <w:p w:rsidR="000A6B53" w:rsidRPr="000B4194" w:rsidRDefault="000A6B53" w:rsidP="000B4194">
            <w:pPr>
              <w:spacing w:line="240" w:lineRule="auto"/>
              <w:jc w:val="center"/>
              <w:rPr>
                <w:rFonts w:ascii="Cambria" w:eastAsia="Times New Roman" w:hAnsi="Cambria" w:cs="Calibri"/>
                <w:b/>
                <w:bCs/>
                <w:color w:val="FFFFFF"/>
                <w:sz w:val="22"/>
                <w:szCs w:val="22"/>
              </w:rPr>
            </w:pPr>
            <w:r w:rsidRPr="000B4194">
              <w:rPr>
                <w:rFonts w:ascii="Cambria" w:eastAsia="Times New Roman" w:hAnsi="Cambria" w:cs="Calibri"/>
                <w:b/>
                <w:bCs/>
                <w:color w:val="FFFFFF"/>
                <w:sz w:val="22"/>
                <w:szCs w:val="22"/>
              </w:rPr>
              <w:t> </w:t>
            </w:r>
          </w:p>
        </w:tc>
        <w:tc>
          <w:tcPr>
            <w:tcW w:w="1081" w:type="dxa"/>
            <w:tcBorders>
              <w:top w:val="single" w:sz="8" w:space="0" w:color="808080"/>
              <w:left w:val="nil"/>
              <w:bottom w:val="nil"/>
              <w:right w:val="single" w:sz="8" w:space="0" w:color="808080"/>
            </w:tcBorders>
            <w:shd w:val="clear" w:color="000000" w:fill="1F497D"/>
          </w:tcPr>
          <w:p w:rsidR="000A6B53" w:rsidRPr="000B4194" w:rsidRDefault="000A6B53" w:rsidP="000B4194">
            <w:pPr>
              <w:spacing w:line="240" w:lineRule="auto"/>
              <w:jc w:val="center"/>
              <w:rPr>
                <w:rFonts w:ascii="Cambria" w:eastAsia="Times New Roman" w:hAnsi="Cambria" w:cs="Calibri"/>
                <w:b/>
                <w:bCs/>
                <w:color w:val="FFFFFF"/>
                <w:sz w:val="22"/>
                <w:szCs w:val="22"/>
              </w:rPr>
            </w:pPr>
          </w:p>
        </w:tc>
      </w:tr>
      <w:tr w:rsidR="000A6B53" w:rsidRPr="000B4194" w:rsidTr="000A6B53">
        <w:trPr>
          <w:trHeight w:val="619"/>
        </w:trPr>
        <w:tc>
          <w:tcPr>
            <w:tcW w:w="3995" w:type="dxa"/>
            <w:gridSpan w:val="2"/>
            <w:tcBorders>
              <w:top w:val="nil"/>
              <w:left w:val="single" w:sz="8" w:space="0" w:color="808080"/>
              <w:bottom w:val="nil"/>
              <w:right w:val="single" w:sz="4" w:space="0" w:color="808080"/>
            </w:tcBorders>
            <w:shd w:val="clear" w:color="000000" w:fill="FFFFFF"/>
            <w:vAlign w:val="bottom"/>
            <w:hideMark/>
          </w:tcPr>
          <w:p w:rsidR="000A6B53" w:rsidRPr="000B4194" w:rsidRDefault="000A6B53" w:rsidP="009A1C44">
            <w:pPr>
              <w:spacing w:line="240" w:lineRule="auto"/>
              <w:rPr>
                <w:rFonts w:ascii="Calibri" w:eastAsia="Times New Roman" w:hAnsi="Calibri" w:cs="Calibri"/>
                <w:i/>
                <w:iCs/>
                <w:color w:val="D9D9D9"/>
                <w:sz w:val="20"/>
                <w:szCs w:val="20"/>
              </w:rPr>
            </w:pPr>
            <w:r w:rsidRPr="009A1C44">
              <w:rPr>
                <w:rFonts w:ascii="Calibri" w:eastAsia="Times New Roman" w:hAnsi="Calibri" w:cs="Calibri"/>
                <w:i/>
                <w:iCs/>
                <w:color w:val="4F81BD" w:themeColor="accent1"/>
                <w:sz w:val="20"/>
                <w:szCs w:val="20"/>
              </w:rPr>
              <w:t>Avista Corporation, Inc.'s 6th Power Plan Savings Report (WA) </w:t>
            </w:r>
          </w:p>
        </w:tc>
        <w:tc>
          <w:tcPr>
            <w:tcW w:w="1476" w:type="dxa"/>
            <w:tcBorders>
              <w:top w:val="nil"/>
              <w:left w:val="nil"/>
              <w:bottom w:val="nil"/>
              <w:right w:val="nil"/>
            </w:tcBorders>
            <w:shd w:val="clear" w:color="000000" w:fill="FFFFFF"/>
            <w:vAlign w:val="bottom"/>
            <w:hideMark/>
          </w:tcPr>
          <w:p w:rsidR="000A6B53" w:rsidRPr="000B4194" w:rsidRDefault="000A6B53" w:rsidP="000B4194">
            <w:pPr>
              <w:spacing w:line="240" w:lineRule="auto"/>
              <w:jc w:val="center"/>
              <w:rPr>
                <w:rFonts w:ascii="Calibri" w:eastAsia="Times New Roman" w:hAnsi="Calibri" w:cs="Calibri"/>
                <w:b/>
                <w:bCs/>
                <w:color w:val="000000"/>
                <w:sz w:val="22"/>
                <w:szCs w:val="22"/>
              </w:rPr>
            </w:pPr>
            <w:r w:rsidRPr="000B4194">
              <w:rPr>
                <w:rFonts w:ascii="Calibri" w:eastAsia="Times New Roman" w:hAnsi="Calibri" w:cs="Calibri"/>
                <w:b/>
                <w:bCs/>
                <w:color w:val="000000"/>
                <w:sz w:val="22"/>
                <w:szCs w:val="22"/>
              </w:rPr>
              <w:t>2010</w:t>
            </w:r>
          </w:p>
        </w:tc>
        <w:tc>
          <w:tcPr>
            <w:tcW w:w="1191" w:type="dxa"/>
            <w:tcBorders>
              <w:top w:val="nil"/>
              <w:left w:val="single" w:sz="4" w:space="0" w:color="808080"/>
              <w:bottom w:val="nil"/>
              <w:right w:val="single" w:sz="8" w:space="0" w:color="808080"/>
            </w:tcBorders>
            <w:shd w:val="clear" w:color="000000" w:fill="FFFFFF"/>
            <w:vAlign w:val="bottom"/>
            <w:hideMark/>
          </w:tcPr>
          <w:p w:rsidR="000A6B53" w:rsidRPr="000B4194" w:rsidRDefault="000A6B53" w:rsidP="000B4194">
            <w:pPr>
              <w:spacing w:line="240" w:lineRule="auto"/>
              <w:jc w:val="center"/>
              <w:rPr>
                <w:rFonts w:ascii="Calibri" w:eastAsia="Times New Roman" w:hAnsi="Calibri" w:cs="Calibri"/>
                <w:b/>
                <w:bCs/>
                <w:color w:val="000000"/>
                <w:sz w:val="22"/>
                <w:szCs w:val="22"/>
              </w:rPr>
            </w:pPr>
            <w:r w:rsidRPr="000B4194">
              <w:rPr>
                <w:rFonts w:ascii="Calibri" w:eastAsia="Times New Roman" w:hAnsi="Calibri" w:cs="Calibri"/>
                <w:b/>
                <w:bCs/>
                <w:color w:val="000000"/>
                <w:sz w:val="22"/>
                <w:szCs w:val="22"/>
              </w:rPr>
              <w:t>2011</w:t>
            </w:r>
          </w:p>
        </w:tc>
        <w:tc>
          <w:tcPr>
            <w:tcW w:w="1787" w:type="dxa"/>
            <w:tcBorders>
              <w:top w:val="nil"/>
              <w:left w:val="single" w:sz="4" w:space="0" w:color="808080"/>
              <w:bottom w:val="nil"/>
              <w:right w:val="single" w:sz="8" w:space="0" w:color="808080"/>
            </w:tcBorders>
            <w:shd w:val="clear" w:color="000000" w:fill="FFFFFF"/>
            <w:vAlign w:val="bottom"/>
            <w:hideMark/>
          </w:tcPr>
          <w:p w:rsidR="000A6B53" w:rsidRPr="000B4194" w:rsidRDefault="000A6B53" w:rsidP="000B4194">
            <w:pPr>
              <w:spacing w:line="240" w:lineRule="auto"/>
              <w:jc w:val="center"/>
              <w:rPr>
                <w:rFonts w:ascii="Calibri" w:eastAsia="Times New Roman" w:hAnsi="Calibri" w:cs="Calibri"/>
                <w:b/>
                <w:bCs/>
                <w:color w:val="000000"/>
                <w:sz w:val="22"/>
                <w:szCs w:val="22"/>
              </w:rPr>
            </w:pPr>
            <w:r w:rsidRPr="000B4194">
              <w:rPr>
                <w:rFonts w:ascii="Calibri" w:eastAsia="Times New Roman" w:hAnsi="Calibri" w:cs="Calibri"/>
                <w:b/>
                <w:bCs/>
                <w:color w:val="000000"/>
                <w:sz w:val="22"/>
                <w:szCs w:val="22"/>
              </w:rPr>
              <w:t>One-Time Adjustment</w:t>
            </w:r>
          </w:p>
        </w:tc>
        <w:tc>
          <w:tcPr>
            <w:tcW w:w="1081" w:type="dxa"/>
            <w:tcBorders>
              <w:top w:val="nil"/>
              <w:left w:val="single" w:sz="4" w:space="0" w:color="808080"/>
              <w:bottom w:val="nil"/>
              <w:right w:val="single" w:sz="8" w:space="0" w:color="808080"/>
            </w:tcBorders>
            <w:shd w:val="clear" w:color="000000" w:fill="FFFFFF"/>
            <w:vAlign w:val="bottom"/>
          </w:tcPr>
          <w:p w:rsidR="000A6B53" w:rsidRPr="000B4194" w:rsidRDefault="000A6B53" w:rsidP="000A6B53">
            <w:pPr>
              <w:spacing w:line="240" w:lineRule="auto"/>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2010/2011 Total</w:t>
            </w:r>
          </w:p>
        </w:tc>
      </w:tr>
      <w:tr w:rsidR="000A6B53" w:rsidRPr="000B4194" w:rsidTr="000A6B53">
        <w:trPr>
          <w:trHeight w:val="98"/>
        </w:trPr>
        <w:tc>
          <w:tcPr>
            <w:tcW w:w="2029" w:type="dxa"/>
            <w:tcBorders>
              <w:top w:val="single" w:sz="8" w:space="0" w:color="808080"/>
              <w:left w:val="single" w:sz="8" w:space="0" w:color="808080"/>
              <w:bottom w:val="single" w:sz="8" w:space="0" w:color="808080"/>
              <w:right w:val="nil"/>
            </w:tcBorders>
            <w:shd w:val="clear" w:color="000000" w:fill="D9D9D9"/>
            <w:noWrap/>
            <w:vAlign w:val="bottom"/>
            <w:hideMark/>
          </w:tcPr>
          <w:p w:rsidR="000A6B53" w:rsidRPr="000B4194" w:rsidRDefault="000A6B53" w:rsidP="000B4194">
            <w:pPr>
              <w:spacing w:line="240" w:lineRule="auto"/>
              <w:rPr>
                <w:rFonts w:ascii="Calibri" w:eastAsia="Times New Roman" w:hAnsi="Calibri" w:cs="Calibri"/>
                <w:color w:val="000000"/>
                <w:sz w:val="22"/>
                <w:szCs w:val="22"/>
              </w:rPr>
            </w:pPr>
            <w:r w:rsidRPr="000B4194">
              <w:rPr>
                <w:rFonts w:ascii="Calibri" w:eastAsia="Times New Roman" w:hAnsi="Calibri" w:cs="Calibri"/>
                <w:color w:val="000000"/>
                <w:sz w:val="22"/>
                <w:szCs w:val="22"/>
              </w:rPr>
              <w:t xml:space="preserve"> Total </w:t>
            </w:r>
          </w:p>
        </w:tc>
        <w:tc>
          <w:tcPr>
            <w:tcW w:w="1965" w:type="dxa"/>
            <w:tcBorders>
              <w:top w:val="single" w:sz="8" w:space="0" w:color="808080"/>
              <w:left w:val="nil"/>
              <w:bottom w:val="single" w:sz="8" w:space="0" w:color="808080"/>
              <w:right w:val="nil"/>
            </w:tcBorders>
            <w:shd w:val="clear" w:color="000000" w:fill="D9D9D9"/>
            <w:noWrap/>
            <w:vAlign w:val="bottom"/>
            <w:hideMark/>
          </w:tcPr>
          <w:p w:rsidR="000A6B53" w:rsidRPr="000B4194" w:rsidRDefault="000A6B53" w:rsidP="000B4194">
            <w:pPr>
              <w:spacing w:line="240" w:lineRule="auto"/>
              <w:rPr>
                <w:rFonts w:ascii="Calibri" w:eastAsia="Times New Roman" w:hAnsi="Calibri" w:cs="Calibri"/>
                <w:color w:val="000000"/>
                <w:sz w:val="22"/>
                <w:szCs w:val="22"/>
              </w:rPr>
            </w:pPr>
          </w:p>
        </w:tc>
        <w:tc>
          <w:tcPr>
            <w:tcW w:w="1476" w:type="dxa"/>
            <w:tcBorders>
              <w:top w:val="single" w:sz="8" w:space="0" w:color="808080"/>
              <w:left w:val="single" w:sz="4" w:space="0" w:color="808080"/>
              <w:bottom w:val="single" w:sz="8" w:space="0" w:color="808080"/>
              <w:right w:val="nil"/>
            </w:tcBorders>
            <w:shd w:val="clear" w:color="000000" w:fill="D9D9D9"/>
            <w:noWrap/>
            <w:vAlign w:val="bottom"/>
            <w:hideMark/>
          </w:tcPr>
          <w:p w:rsidR="000A6B53" w:rsidRPr="000B4194" w:rsidRDefault="000A6B53" w:rsidP="000A6B53">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2.53</w:t>
            </w:r>
          </w:p>
        </w:tc>
        <w:tc>
          <w:tcPr>
            <w:tcW w:w="1191" w:type="dxa"/>
            <w:tcBorders>
              <w:top w:val="single" w:sz="8" w:space="0" w:color="808080"/>
              <w:left w:val="single" w:sz="4" w:space="0" w:color="808080"/>
              <w:bottom w:val="single" w:sz="8" w:space="0" w:color="808080"/>
              <w:right w:val="single" w:sz="4" w:space="0" w:color="808080"/>
            </w:tcBorders>
            <w:shd w:val="clear" w:color="000000" w:fill="D9D9D9"/>
            <w:noWrap/>
            <w:vAlign w:val="bottom"/>
          </w:tcPr>
          <w:p w:rsidR="000A6B53" w:rsidRPr="000B4194" w:rsidRDefault="000A6B53" w:rsidP="000A6B53">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3.18</w:t>
            </w:r>
          </w:p>
        </w:tc>
        <w:tc>
          <w:tcPr>
            <w:tcW w:w="1787" w:type="dxa"/>
            <w:tcBorders>
              <w:top w:val="single" w:sz="8" w:space="0" w:color="808080"/>
              <w:left w:val="nil"/>
              <w:bottom w:val="single" w:sz="8" w:space="0" w:color="808080"/>
              <w:right w:val="single" w:sz="8" w:space="0" w:color="808080"/>
            </w:tcBorders>
            <w:shd w:val="clear" w:color="000000" w:fill="D9D9D9"/>
            <w:noWrap/>
            <w:vAlign w:val="bottom"/>
            <w:hideMark/>
          </w:tcPr>
          <w:p w:rsidR="000A6B53" w:rsidRPr="000B4194" w:rsidRDefault="000A6B53" w:rsidP="00467EC4">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1.13</w:t>
            </w:r>
            <w:r w:rsidRPr="000B4194">
              <w:rPr>
                <w:rFonts w:ascii="Calibri" w:eastAsia="Times New Roman" w:hAnsi="Calibri" w:cs="Calibri"/>
                <w:color w:val="000000"/>
                <w:sz w:val="22"/>
                <w:szCs w:val="22"/>
              </w:rPr>
              <w:t xml:space="preserve"> </w:t>
            </w:r>
          </w:p>
        </w:tc>
        <w:tc>
          <w:tcPr>
            <w:tcW w:w="1081" w:type="dxa"/>
            <w:tcBorders>
              <w:top w:val="single" w:sz="8" w:space="0" w:color="808080"/>
              <w:left w:val="nil"/>
              <w:bottom w:val="single" w:sz="8" w:space="0" w:color="808080"/>
              <w:right w:val="single" w:sz="8" w:space="0" w:color="808080"/>
            </w:tcBorders>
            <w:shd w:val="clear" w:color="000000" w:fill="D9D9D9"/>
          </w:tcPr>
          <w:p w:rsidR="000A6B53" w:rsidRPr="000A6B53" w:rsidRDefault="000A6B53" w:rsidP="00002004">
            <w:pPr>
              <w:spacing w:line="240" w:lineRule="auto"/>
              <w:jc w:val="right"/>
              <w:rPr>
                <w:rFonts w:ascii="Calibri" w:eastAsia="Times New Roman" w:hAnsi="Calibri" w:cs="Calibri"/>
                <w:b/>
                <w:color w:val="000000"/>
                <w:sz w:val="22"/>
                <w:szCs w:val="22"/>
              </w:rPr>
            </w:pPr>
            <w:r w:rsidRPr="000A6B53">
              <w:rPr>
                <w:rFonts w:ascii="Calibri" w:eastAsia="Times New Roman" w:hAnsi="Calibri" w:cs="Calibri"/>
                <w:b/>
                <w:color w:val="000000"/>
                <w:sz w:val="22"/>
                <w:szCs w:val="22"/>
              </w:rPr>
              <w:t>6.</w:t>
            </w:r>
            <w:r w:rsidR="00002004">
              <w:rPr>
                <w:rFonts w:ascii="Calibri" w:eastAsia="Times New Roman" w:hAnsi="Calibri" w:cs="Calibri"/>
                <w:b/>
                <w:color w:val="000000"/>
                <w:sz w:val="22"/>
                <w:szCs w:val="22"/>
              </w:rPr>
              <w:t>83</w:t>
            </w:r>
          </w:p>
        </w:tc>
      </w:tr>
      <w:tr w:rsidR="000A6B53" w:rsidRPr="000B4194" w:rsidTr="000A6B53">
        <w:trPr>
          <w:trHeight w:val="226"/>
        </w:trPr>
        <w:tc>
          <w:tcPr>
            <w:tcW w:w="3995" w:type="dxa"/>
            <w:gridSpan w:val="2"/>
            <w:tcBorders>
              <w:top w:val="nil"/>
              <w:left w:val="single" w:sz="8" w:space="0" w:color="808080"/>
              <w:bottom w:val="single" w:sz="4" w:space="0" w:color="808080"/>
              <w:right w:val="single" w:sz="4" w:space="0" w:color="808080"/>
            </w:tcBorders>
            <w:shd w:val="clear" w:color="000000" w:fill="FFFFFF"/>
            <w:noWrap/>
            <w:vAlign w:val="bottom"/>
            <w:hideMark/>
          </w:tcPr>
          <w:p w:rsidR="000A6B53" w:rsidRPr="000B4194" w:rsidRDefault="000A6B53" w:rsidP="000B4194">
            <w:pPr>
              <w:spacing w:line="240" w:lineRule="auto"/>
              <w:ind w:firstLineChars="100" w:firstLine="220"/>
              <w:rPr>
                <w:rFonts w:ascii="Calibri" w:eastAsia="Times New Roman" w:hAnsi="Calibri" w:cs="Calibri"/>
                <w:sz w:val="22"/>
                <w:szCs w:val="22"/>
              </w:rPr>
            </w:pPr>
            <w:r>
              <w:rPr>
                <w:rFonts w:ascii="Calibri" w:eastAsia="Times New Roman" w:hAnsi="Calibri" w:cs="Calibri"/>
                <w:sz w:val="22"/>
                <w:szCs w:val="22"/>
              </w:rPr>
              <w:t xml:space="preserve"> Local I</w:t>
            </w:r>
            <w:r w:rsidRPr="000B4194">
              <w:rPr>
                <w:rFonts w:ascii="Calibri" w:eastAsia="Times New Roman" w:hAnsi="Calibri" w:cs="Calibri"/>
                <w:sz w:val="22"/>
                <w:szCs w:val="22"/>
              </w:rPr>
              <w:t xml:space="preserve">ncentives </w:t>
            </w:r>
          </w:p>
        </w:tc>
        <w:tc>
          <w:tcPr>
            <w:tcW w:w="1476" w:type="dxa"/>
            <w:tcBorders>
              <w:top w:val="nil"/>
              <w:left w:val="nil"/>
              <w:bottom w:val="single" w:sz="4" w:space="0" w:color="808080"/>
              <w:right w:val="nil"/>
            </w:tcBorders>
            <w:shd w:val="clear" w:color="000000" w:fill="FFFFFF"/>
            <w:noWrap/>
            <w:vAlign w:val="bottom"/>
            <w:hideMark/>
          </w:tcPr>
          <w:p w:rsidR="000A6B53" w:rsidRPr="000B4194" w:rsidRDefault="000A6B53" w:rsidP="0026743E">
            <w:pPr>
              <w:spacing w:line="240" w:lineRule="auto"/>
              <w:jc w:val="right"/>
              <w:rPr>
                <w:rFonts w:ascii="Calibri" w:eastAsia="Times New Roman" w:hAnsi="Calibri" w:cs="Calibri"/>
                <w:sz w:val="22"/>
                <w:szCs w:val="22"/>
              </w:rPr>
            </w:pPr>
            <w:r>
              <w:rPr>
                <w:rFonts w:ascii="Calibri" w:eastAsia="Times New Roman" w:hAnsi="Calibri" w:cs="Calibri"/>
                <w:sz w:val="22"/>
                <w:szCs w:val="22"/>
              </w:rPr>
              <w:t>0.81</w:t>
            </w:r>
          </w:p>
        </w:tc>
        <w:tc>
          <w:tcPr>
            <w:tcW w:w="1191" w:type="dxa"/>
            <w:tcBorders>
              <w:top w:val="nil"/>
              <w:left w:val="single" w:sz="4" w:space="0" w:color="808080"/>
              <w:bottom w:val="single" w:sz="4" w:space="0" w:color="808080"/>
              <w:right w:val="single" w:sz="8" w:space="0" w:color="808080"/>
            </w:tcBorders>
            <w:shd w:val="clear" w:color="000000" w:fill="FFFFFF"/>
            <w:noWrap/>
            <w:vAlign w:val="bottom"/>
          </w:tcPr>
          <w:p w:rsidR="000A6B53" w:rsidRPr="000B4194" w:rsidRDefault="000A6B53" w:rsidP="0026743E">
            <w:pPr>
              <w:spacing w:line="240" w:lineRule="auto"/>
              <w:jc w:val="right"/>
              <w:rPr>
                <w:rFonts w:ascii="Calibri" w:eastAsia="Times New Roman" w:hAnsi="Calibri" w:cs="Calibri"/>
                <w:sz w:val="22"/>
                <w:szCs w:val="22"/>
              </w:rPr>
            </w:pPr>
            <w:r>
              <w:rPr>
                <w:rFonts w:ascii="Calibri" w:eastAsia="Times New Roman" w:hAnsi="Calibri" w:cs="Calibri"/>
                <w:sz w:val="22"/>
                <w:szCs w:val="22"/>
              </w:rPr>
              <w:t>0.64</w:t>
            </w:r>
          </w:p>
        </w:tc>
        <w:tc>
          <w:tcPr>
            <w:tcW w:w="1787" w:type="dxa"/>
            <w:tcBorders>
              <w:top w:val="nil"/>
              <w:left w:val="single" w:sz="4" w:space="0" w:color="808080"/>
              <w:bottom w:val="single" w:sz="4" w:space="0" w:color="808080"/>
              <w:right w:val="single" w:sz="8" w:space="0" w:color="808080"/>
            </w:tcBorders>
            <w:shd w:val="clear" w:color="000000" w:fill="FFFFFF"/>
            <w:noWrap/>
            <w:vAlign w:val="bottom"/>
            <w:hideMark/>
          </w:tcPr>
          <w:p w:rsidR="000A6B53" w:rsidRPr="000B4194" w:rsidRDefault="000A6B53" w:rsidP="000B4194">
            <w:pPr>
              <w:spacing w:line="240" w:lineRule="auto"/>
              <w:jc w:val="right"/>
              <w:rPr>
                <w:rFonts w:ascii="Calibri" w:eastAsia="Times New Roman" w:hAnsi="Calibri" w:cs="Calibri"/>
                <w:sz w:val="22"/>
                <w:szCs w:val="22"/>
              </w:rPr>
            </w:pPr>
            <w:r>
              <w:rPr>
                <w:rFonts w:ascii="Calibri" w:eastAsia="Times New Roman" w:hAnsi="Calibri" w:cs="Calibri"/>
                <w:sz w:val="22"/>
                <w:szCs w:val="22"/>
              </w:rPr>
              <w:t>NA</w:t>
            </w:r>
          </w:p>
        </w:tc>
        <w:tc>
          <w:tcPr>
            <w:tcW w:w="1081" w:type="dxa"/>
            <w:tcBorders>
              <w:top w:val="nil"/>
              <w:left w:val="single" w:sz="4" w:space="0" w:color="808080"/>
              <w:bottom w:val="single" w:sz="4" w:space="0" w:color="808080"/>
              <w:right w:val="single" w:sz="8" w:space="0" w:color="808080"/>
            </w:tcBorders>
            <w:shd w:val="clear" w:color="000000" w:fill="FFFFFF"/>
          </w:tcPr>
          <w:p w:rsidR="000A6B53" w:rsidRPr="000A6B53" w:rsidRDefault="000A6B53" w:rsidP="000B4194">
            <w:pPr>
              <w:spacing w:line="240" w:lineRule="auto"/>
              <w:jc w:val="right"/>
              <w:rPr>
                <w:rFonts w:ascii="Calibri" w:eastAsia="Times New Roman" w:hAnsi="Calibri" w:cs="Calibri"/>
                <w:b/>
                <w:sz w:val="22"/>
                <w:szCs w:val="22"/>
              </w:rPr>
            </w:pPr>
            <w:r w:rsidRPr="000A6B53">
              <w:rPr>
                <w:rFonts w:ascii="Calibri" w:eastAsia="Times New Roman" w:hAnsi="Calibri" w:cs="Calibri"/>
                <w:b/>
                <w:sz w:val="22"/>
                <w:szCs w:val="22"/>
              </w:rPr>
              <w:t>1.45</w:t>
            </w:r>
          </w:p>
        </w:tc>
      </w:tr>
      <w:tr w:rsidR="000A6B53" w:rsidRPr="000B4194" w:rsidTr="000A6B53">
        <w:trPr>
          <w:trHeight w:val="126"/>
        </w:trPr>
        <w:tc>
          <w:tcPr>
            <w:tcW w:w="2029" w:type="dxa"/>
            <w:tcBorders>
              <w:top w:val="nil"/>
              <w:left w:val="single" w:sz="8" w:space="0" w:color="808080"/>
              <w:bottom w:val="single" w:sz="8" w:space="0" w:color="808080"/>
              <w:right w:val="nil"/>
            </w:tcBorders>
            <w:shd w:val="clear" w:color="000000" w:fill="FFFFFF"/>
            <w:noWrap/>
            <w:vAlign w:val="bottom"/>
            <w:hideMark/>
          </w:tcPr>
          <w:p w:rsidR="000A6B53" w:rsidRPr="000B4194" w:rsidRDefault="000A6B53" w:rsidP="000B4194">
            <w:pPr>
              <w:spacing w:line="240" w:lineRule="auto"/>
              <w:ind w:firstLineChars="100" w:firstLine="220"/>
              <w:rPr>
                <w:rFonts w:ascii="Calibri" w:eastAsia="Times New Roman" w:hAnsi="Calibri" w:cs="Calibri"/>
                <w:color w:val="000000"/>
                <w:sz w:val="22"/>
                <w:szCs w:val="22"/>
              </w:rPr>
            </w:pPr>
            <w:r w:rsidRPr="000B4194">
              <w:rPr>
                <w:rFonts w:ascii="Calibri" w:eastAsia="Times New Roman" w:hAnsi="Calibri" w:cs="Calibri"/>
                <w:color w:val="000000"/>
                <w:sz w:val="22"/>
                <w:szCs w:val="22"/>
              </w:rPr>
              <w:t xml:space="preserve"> Net </w:t>
            </w:r>
          </w:p>
        </w:tc>
        <w:tc>
          <w:tcPr>
            <w:tcW w:w="1965" w:type="dxa"/>
            <w:tcBorders>
              <w:top w:val="nil"/>
              <w:left w:val="nil"/>
              <w:bottom w:val="single" w:sz="8" w:space="0" w:color="808080"/>
              <w:right w:val="single" w:sz="4" w:space="0" w:color="808080"/>
            </w:tcBorders>
            <w:shd w:val="clear" w:color="000000" w:fill="FFFFFF"/>
            <w:noWrap/>
            <w:vAlign w:val="bottom"/>
            <w:hideMark/>
          </w:tcPr>
          <w:p w:rsidR="000A6B53" w:rsidRPr="000B4194" w:rsidRDefault="000A6B53" w:rsidP="000B4194">
            <w:pPr>
              <w:spacing w:line="240" w:lineRule="auto"/>
              <w:ind w:firstLineChars="100" w:firstLine="220"/>
              <w:rPr>
                <w:rFonts w:ascii="Calibri" w:eastAsia="Times New Roman" w:hAnsi="Calibri" w:cs="Calibri"/>
                <w:color w:val="000000"/>
                <w:sz w:val="22"/>
                <w:szCs w:val="22"/>
              </w:rPr>
            </w:pPr>
            <w:r w:rsidRPr="000B4194">
              <w:rPr>
                <w:rFonts w:ascii="Calibri" w:eastAsia="Times New Roman" w:hAnsi="Calibri" w:cs="Calibri"/>
                <w:color w:val="000000"/>
                <w:sz w:val="22"/>
                <w:szCs w:val="22"/>
              </w:rPr>
              <w:t> </w:t>
            </w:r>
          </w:p>
        </w:tc>
        <w:tc>
          <w:tcPr>
            <w:tcW w:w="1476" w:type="dxa"/>
            <w:tcBorders>
              <w:top w:val="nil"/>
              <w:left w:val="nil"/>
              <w:bottom w:val="single" w:sz="8" w:space="0" w:color="808080"/>
              <w:right w:val="nil"/>
            </w:tcBorders>
            <w:shd w:val="clear" w:color="000000" w:fill="FFFFFF"/>
            <w:noWrap/>
            <w:vAlign w:val="bottom"/>
            <w:hideMark/>
          </w:tcPr>
          <w:p w:rsidR="000A6B53" w:rsidRPr="000B4194" w:rsidRDefault="000A6B53" w:rsidP="000A6B53">
            <w:pPr>
              <w:spacing w:line="240" w:lineRule="auto"/>
              <w:jc w:val="right"/>
              <w:rPr>
                <w:rFonts w:ascii="Calibri" w:eastAsia="Times New Roman" w:hAnsi="Calibri" w:cs="Calibri"/>
                <w:sz w:val="22"/>
                <w:szCs w:val="22"/>
              </w:rPr>
            </w:pPr>
            <w:r w:rsidRPr="000B4194">
              <w:rPr>
                <w:rFonts w:ascii="Calibri" w:eastAsia="Times New Roman" w:hAnsi="Calibri" w:cs="Calibri"/>
                <w:sz w:val="22"/>
                <w:szCs w:val="22"/>
              </w:rPr>
              <w:t xml:space="preserve">  </w:t>
            </w:r>
            <w:r>
              <w:rPr>
                <w:rFonts w:ascii="Calibri" w:eastAsia="Times New Roman" w:hAnsi="Calibri" w:cs="Calibri"/>
                <w:sz w:val="22"/>
                <w:szCs w:val="22"/>
              </w:rPr>
              <w:t>1.71</w:t>
            </w:r>
          </w:p>
        </w:tc>
        <w:tc>
          <w:tcPr>
            <w:tcW w:w="1191" w:type="dxa"/>
            <w:tcBorders>
              <w:top w:val="nil"/>
              <w:left w:val="single" w:sz="4" w:space="0" w:color="808080"/>
              <w:bottom w:val="single" w:sz="8" w:space="0" w:color="808080"/>
              <w:right w:val="single" w:sz="8" w:space="0" w:color="808080"/>
            </w:tcBorders>
            <w:shd w:val="clear" w:color="000000" w:fill="FFFFFF"/>
            <w:noWrap/>
            <w:vAlign w:val="bottom"/>
          </w:tcPr>
          <w:p w:rsidR="000A6B53" w:rsidRPr="000B4194" w:rsidRDefault="000A6B53" w:rsidP="000A6B53">
            <w:pPr>
              <w:spacing w:line="240" w:lineRule="auto"/>
              <w:jc w:val="right"/>
              <w:rPr>
                <w:rFonts w:ascii="Calibri" w:eastAsia="Times New Roman" w:hAnsi="Calibri" w:cs="Calibri"/>
                <w:sz w:val="22"/>
                <w:szCs w:val="22"/>
              </w:rPr>
            </w:pPr>
            <w:r>
              <w:rPr>
                <w:rFonts w:ascii="Calibri" w:eastAsia="Times New Roman" w:hAnsi="Calibri" w:cs="Calibri"/>
                <w:sz w:val="22"/>
                <w:szCs w:val="22"/>
              </w:rPr>
              <w:t>2.54</w:t>
            </w:r>
          </w:p>
        </w:tc>
        <w:tc>
          <w:tcPr>
            <w:tcW w:w="1787" w:type="dxa"/>
            <w:tcBorders>
              <w:top w:val="nil"/>
              <w:left w:val="single" w:sz="4" w:space="0" w:color="808080"/>
              <w:bottom w:val="single" w:sz="8" w:space="0" w:color="808080"/>
              <w:right w:val="single" w:sz="8" w:space="0" w:color="808080"/>
            </w:tcBorders>
            <w:shd w:val="clear" w:color="000000" w:fill="FFFFFF"/>
            <w:noWrap/>
            <w:vAlign w:val="bottom"/>
            <w:hideMark/>
          </w:tcPr>
          <w:p w:rsidR="000A6B53" w:rsidRPr="000B4194" w:rsidRDefault="000A6B53" w:rsidP="00D208C9">
            <w:pPr>
              <w:spacing w:line="240" w:lineRule="auto"/>
              <w:jc w:val="right"/>
              <w:rPr>
                <w:rFonts w:ascii="Calibri" w:eastAsia="Times New Roman" w:hAnsi="Calibri" w:cs="Calibri"/>
                <w:sz w:val="22"/>
                <w:szCs w:val="22"/>
              </w:rPr>
            </w:pPr>
            <w:r w:rsidRPr="000B4194">
              <w:rPr>
                <w:rFonts w:ascii="Calibri" w:eastAsia="Times New Roman" w:hAnsi="Calibri" w:cs="Calibri"/>
                <w:sz w:val="22"/>
                <w:szCs w:val="22"/>
              </w:rPr>
              <w:t xml:space="preserve"> </w:t>
            </w:r>
            <w:r>
              <w:rPr>
                <w:rFonts w:ascii="Calibri" w:eastAsia="Times New Roman" w:hAnsi="Calibri" w:cs="Calibri"/>
                <w:sz w:val="22"/>
                <w:szCs w:val="22"/>
              </w:rPr>
              <w:t>1.13</w:t>
            </w:r>
            <w:r w:rsidRPr="000B4194">
              <w:rPr>
                <w:rFonts w:ascii="Calibri" w:eastAsia="Times New Roman" w:hAnsi="Calibri" w:cs="Calibri"/>
                <w:sz w:val="22"/>
                <w:szCs w:val="22"/>
              </w:rPr>
              <w:t xml:space="preserve"> </w:t>
            </w:r>
          </w:p>
        </w:tc>
        <w:tc>
          <w:tcPr>
            <w:tcW w:w="1081" w:type="dxa"/>
            <w:tcBorders>
              <w:top w:val="nil"/>
              <w:left w:val="single" w:sz="4" w:space="0" w:color="808080"/>
              <w:bottom w:val="single" w:sz="8" w:space="0" w:color="808080"/>
              <w:right w:val="single" w:sz="8" w:space="0" w:color="808080"/>
            </w:tcBorders>
            <w:shd w:val="clear" w:color="000000" w:fill="FFFFFF"/>
          </w:tcPr>
          <w:p w:rsidR="000A6B53" w:rsidRPr="000A6B53" w:rsidRDefault="000A6B53" w:rsidP="00002004">
            <w:pPr>
              <w:spacing w:line="240" w:lineRule="auto"/>
              <w:jc w:val="right"/>
              <w:rPr>
                <w:rFonts w:ascii="Calibri" w:eastAsia="Times New Roman" w:hAnsi="Calibri" w:cs="Calibri"/>
                <w:b/>
                <w:sz w:val="22"/>
                <w:szCs w:val="22"/>
              </w:rPr>
            </w:pPr>
            <w:r w:rsidRPr="000A6B53">
              <w:rPr>
                <w:rFonts w:ascii="Calibri" w:eastAsia="Times New Roman" w:hAnsi="Calibri" w:cs="Calibri"/>
                <w:b/>
                <w:sz w:val="22"/>
                <w:szCs w:val="22"/>
              </w:rPr>
              <w:t>5.</w:t>
            </w:r>
            <w:r w:rsidR="00002004">
              <w:rPr>
                <w:rFonts w:ascii="Calibri" w:eastAsia="Times New Roman" w:hAnsi="Calibri" w:cs="Calibri"/>
                <w:b/>
                <w:sz w:val="22"/>
                <w:szCs w:val="22"/>
              </w:rPr>
              <w:t>38</w:t>
            </w:r>
          </w:p>
        </w:tc>
      </w:tr>
    </w:tbl>
    <w:p w:rsidR="00C45407" w:rsidRDefault="00123F1F" w:rsidP="00E92005">
      <w:pPr>
        <w:pStyle w:val="Heading1"/>
      </w:pPr>
      <w:r>
        <w:t>S</w:t>
      </w:r>
      <w:r w:rsidR="00C45407">
        <w:t>avings Allocation Methodology</w:t>
      </w:r>
    </w:p>
    <w:p w:rsidR="002176A8" w:rsidRDefault="002176A8" w:rsidP="002176A8">
      <w:r w:rsidRPr="00D82668">
        <w:t>NEEA use</w:t>
      </w:r>
      <w:r w:rsidR="00BD5972" w:rsidRPr="00D82668">
        <w:t>s</w:t>
      </w:r>
      <w:r w:rsidRPr="00D82668">
        <w:t xml:space="preserve"> one of </w:t>
      </w:r>
      <w:r w:rsidR="00E250AA" w:rsidRPr="00D82668">
        <w:t>four</w:t>
      </w:r>
      <w:r w:rsidRPr="00D82668">
        <w:t xml:space="preserve"> methods to allocate the savings to </w:t>
      </w:r>
      <w:r w:rsidR="000B4194" w:rsidRPr="00D82668">
        <w:t>Avista</w:t>
      </w:r>
      <w:r w:rsidRPr="00D82668">
        <w:t>.</w:t>
      </w:r>
      <w:r w:rsidR="00501C26" w:rsidRPr="00D82668">
        <w:rPr>
          <w:rStyle w:val="FootnoteReference"/>
        </w:rPr>
        <w:footnoteReference w:id="5"/>
      </w:r>
      <w:r w:rsidR="00E250AA" w:rsidRPr="00D82668">
        <w:t xml:space="preserve"> </w:t>
      </w:r>
      <w:r w:rsidR="00D82668">
        <w:t xml:space="preserve">Table </w:t>
      </w:r>
      <w:r w:rsidR="000948A3">
        <w:t>2</w:t>
      </w:r>
      <w:r w:rsidR="00D82668">
        <w:t xml:space="preserve"> describes the methodologies</w:t>
      </w:r>
      <w:r w:rsidR="0083267C">
        <w:t>, which range from service territory savings reports to funder share allocation</w:t>
      </w:r>
      <w:r w:rsidR="00D82668">
        <w:t>.</w:t>
      </w:r>
      <w:r w:rsidR="008C454C">
        <w:rPr>
          <w:rStyle w:val="FootnoteReference"/>
        </w:rPr>
        <w:footnoteReference w:id="6"/>
      </w:r>
      <w:r w:rsidR="00D82668">
        <w:t xml:space="preserve">  NEEA allocate</w:t>
      </w:r>
      <w:r w:rsidR="000948A3">
        <w:t>s</w:t>
      </w:r>
      <w:r w:rsidR="00D82668">
        <w:t xml:space="preserve"> approximately </w:t>
      </w:r>
      <w:r w:rsidR="0026743E">
        <w:t>90</w:t>
      </w:r>
      <w:r w:rsidR="00D82668">
        <w:t>% of the 2011</w:t>
      </w:r>
      <w:r w:rsidR="00602CE6">
        <w:t xml:space="preserve"> savings to Avista </w:t>
      </w:r>
      <w:r w:rsidR="000948A3">
        <w:t>using</w:t>
      </w:r>
      <w:r w:rsidR="00602CE6">
        <w:t xml:space="preserve"> zip-</w:t>
      </w:r>
      <w:r w:rsidR="000948A3">
        <w:t xml:space="preserve">code </w:t>
      </w:r>
      <w:r w:rsidR="0083267C">
        <w:t>or</w:t>
      </w:r>
      <w:r w:rsidR="000948A3">
        <w:t xml:space="preserve"> service-</w:t>
      </w:r>
      <w:r w:rsidR="0083267C">
        <w:t xml:space="preserve">territory </w:t>
      </w:r>
      <w:r w:rsidR="00D82668">
        <w:t xml:space="preserve">data.  </w:t>
      </w:r>
    </w:p>
    <w:p w:rsidR="00D82668" w:rsidRDefault="00D82668" w:rsidP="002176A8">
      <w:pPr>
        <w:sectPr w:rsidR="00D82668" w:rsidSect="00C274E4">
          <w:footerReference w:type="even" r:id="rId9"/>
          <w:footerReference w:type="default" r:id="rId10"/>
          <w:headerReference w:type="first" r:id="rId11"/>
          <w:footerReference w:type="first" r:id="rId12"/>
          <w:pgSz w:w="12240" w:h="15840"/>
          <w:pgMar w:top="1440" w:right="1296" w:bottom="720" w:left="1296" w:header="720" w:footer="720" w:gutter="0"/>
          <w:cols w:space="720"/>
          <w:titlePg/>
        </w:sectPr>
      </w:pPr>
    </w:p>
    <w:p w:rsidR="00D82668" w:rsidRDefault="00D82668" w:rsidP="002176A8"/>
    <w:p w:rsidR="00D82668" w:rsidRDefault="00D82668" w:rsidP="002176A8"/>
    <w:p w:rsidR="009A1C44" w:rsidRDefault="009A1C44" w:rsidP="009A1C44">
      <w:pPr>
        <w:pStyle w:val="Caption"/>
        <w:keepNext/>
      </w:pPr>
      <w:r>
        <w:t xml:space="preserve">Table </w:t>
      </w:r>
      <w:r w:rsidR="009374BA">
        <w:fldChar w:fldCharType="begin"/>
      </w:r>
      <w:r w:rsidR="00F4510C">
        <w:instrText xml:space="preserve"> SEQ Table \* ARABIC </w:instrText>
      </w:r>
      <w:r w:rsidR="009374BA">
        <w:fldChar w:fldCharType="separate"/>
      </w:r>
      <w:r>
        <w:rPr>
          <w:noProof/>
        </w:rPr>
        <w:t>2</w:t>
      </w:r>
      <w:r w:rsidR="009374BA">
        <w:rPr>
          <w:noProof/>
        </w:rPr>
        <w:fldChar w:fldCharType="end"/>
      </w:r>
      <w:r>
        <w:t>: Savings Allocation Methodologies</w:t>
      </w:r>
    </w:p>
    <w:tbl>
      <w:tblPr>
        <w:tblW w:w="14040" w:type="dxa"/>
        <w:tblInd w:w="93" w:type="dxa"/>
        <w:tblLook w:val="04A0"/>
      </w:tblPr>
      <w:tblGrid>
        <w:gridCol w:w="1373"/>
        <w:gridCol w:w="1522"/>
        <w:gridCol w:w="8910"/>
        <w:gridCol w:w="2235"/>
      </w:tblGrid>
      <w:tr w:rsidR="00D82668" w:rsidRPr="00D82668" w:rsidTr="000948A3">
        <w:trPr>
          <w:trHeight w:val="885"/>
        </w:trPr>
        <w:tc>
          <w:tcPr>
            <w:tcW w:w="2895" w:type="dxa"/>
            <w:gridSpan w:val="2"/>
            <w:tcBorders>
              <w:top w:val="single" w:sz="4" w:space="0" w:color="808080"/>
              <w:left w:val="single" w:sz="4" w:space="0" w:color="808080"/>
              <w:bottom w:val="double" w:sz="6" w:space="0" w:color="808080"/>
              <w:right w:val="single" w:sz="4" w:space="0" w:color="808080"/>
            </w:tcBorders>
            <w:shd w:val="clear" w:color="000000" w:fill="1F497D"/>
            <w:noWrap/>
            <w:vAlign w:val="bottom"/>
            <w:hideMark/>
          </w:tcPr>
          <w:p w:rsidR="00D82668" w:rsidRPr="00D82668" w:rsidRDefault="00D82668" w:rsidP="00D82668">
            <w:pPr>
              <w:spacing w:line="240" w:lineRule="auto"/>
              <w:jc w:val="center"/>
              <w:rPr>
                <w:rFonts w:ascii="Cambria" w:eastAsia="Times New Roman" w:hAnsi="Cambria" w:cs="Calibri"/>
                <w:b/>
                <w:bCs/>
                <w:color w:val="FFFFFF"/>
                <w:sz w:val="22"/>
                <w:szCs w:val="22"/>
              </w:rPr>
            </w:pPr>
            <w:r w:rsidRPr="00D82668">
              <w:rPr>
                <w:rFonts w:ascii="Cambria" w:eastAsia="Times New Roman" w:hAnsi="Cambria" w:cs="Calibri"/>
                <w:b/>
                <w:bCs/>
                <w:color w:val="FFFFFF"/>
                <w:sz w:val="22"/>
                <w:szCs w:val="22"/>
              </w:rPr>
              <w:t>Methodology</w:t>
            </w:r>
          </w:p>
        </w:tc>
        <w:tc>
          <w:tcPr>
            <w:tcW w:w="8910" w:type="dxa"/>
            <w:tcBorders>
              <w:top w:val="single" w:sz="4" w:space="0" w:color="808080"/>
              <w:left w:val="nil"/>
              <w:bottom w:val="double" w:sz="6" w:space="0" w:color="808080"/>
              <w:right w:val="single" w:sz="4" w:space="0" w:color="808080"/>
            </w:tcBorders>
            <w:shd w:val="clear" w:color="000000" w:fill="1F497D"/>
            <w:noWrap/>
            <w:vAlign w:val="bottom"/>
            <w:hideMark/>
          </w:tcPr>
          <w:p w:rsidR="00D82668" w:rsidRPr="00D82668" w:rsidRDefault="00D82668" w:rsidP="00D82668">
            <w:pPr>
              <w:spacing w:line="240" w:lineRule="auto"/>
              <w:rPr>
                <w:rFonts w:ascii="Cambria" w:eastAsia="Times New Roman" w:hAnsi="Cambria" w:cs="Calibri"/>
                <w:b/>
                <w:bCs/>
                <w:color w:val="FFFFFF"/>
                <w:sz w:val="22"/>
                <w:szCs w:val="22"/>
              </w:rPr>
            </w:pPr>
            <w:r w:rsidRPr="00D82668">
              <w:rPr>
                <w:rFonts w:ascii="Cambria" w:eastAsia="Times New Roman" w:hAnsi="Cambria" w:cs="Calibri"/>
                <w:b/>
                <w:bCs/>
                <w:color w:val="FFFFFF"/>
                <w:sz w:val="22"/>
                <w:szCs w:val="22"/>
              </w:rPr>
              <w:t>Description</w:t>
            </w:r>
          </w:p>
        </w:tc>
        <w:tc>
          <w:tcPr>
            <w:tcW w:w="2235" w:type="dxa"/>
            <w:tcBorders>
              <w:top w:val="single" w:sz="4" w:space="0" w:color="808080"/>
              <w:left w:val="nil"/>
              <w:bottom w:val="double" w:sz="6" w:space="0" w:color="808080"/>
              <w:right w:val="single" w:sz="4" w:space="0" w:color="808080"/>
            </w:tcBorders>
            <w:shd w:val="clear" w:color="000000" w:fill="1F497D"/>
            <w:vAlign w:val="bottom"/>
            <w:hideMark/>
          </w:tcPr>
          <w:p w:rsidR="00D82668" w:rsidRPr="00D82668" w:rsidRDefault="000948A3" w:rsidP="00D82668">
            <w:pPr>
              <w:spacing w:line="240" w:lineRule="auto"/>
              <w:rPr>
                <w:rFonts w:ascii="Cambria" w:eastAsia="Times New Roman" w:hAnsi="Cambria" w:cs="Calibri"/>
                <w:b/>
                <w:bCs/>
                <w:color w:val="FFFFFF"/>
                <w:sz w:val="22"/>
                <w:szCs w:val="22"/>
              </w:rPr>
            </w:pPr>
            <w:r>
              <w:rPr>
                <w:rFonts w:ascii="Cambria" w:eastAsia="Times New Roman" w:hAnsi="Cambria" w:cs="Calibri"/>
                <w:b/>
                <w:bCs/>
                <w:color w:val="FFFFFF"/>
                <w:sz w:val="22"/>
                <w:szCs w:val="22"/>
              </w:rPr>
              <w:t>Percent</w:t>
            </w:r>
            <w:r w:rsidR="00D82668" w:rsidRPr="00D82668">
              <w:rPr>
                <w:rFonts w:ascii="Cambria" w:eastAsia="Times New Roman" w:hAnsi="Cambria" w:cs="Calibri"/>
                <w:b/>
                <w:bCs/>
                <w:color w:val="FFFFFF"/>
                <w:sz w:val="22"/>
                <w:szCs w:val="22"/>
              </w:rPr>
              <w:t xml:space="preserve"> of Avista's 2011 </w:t>
            </w:r>
            <w:r>
              <w:rPr>
                <w:rFonts w:ascii="Cambria" w:eastAsia="Times New Roman" w:hAnsi="Cambria" w:cs="Calibri"/>
                <w:b/>
                <w:bCs/>
                <w:color w:val="FFFFFF"/>
                <w:sz w:val="22"/>
                <w:szCs w:val="22"/>
              </w:rPr>
              <w:t xml:space="preserve">Total Regional </w:t>
            </w:r>
            <w:r w:rsidR="00D82668" w:rsidRPr="00D82668">
              <w:rPr>
                <w:rFonts w:ascii="Cambria" w:eastAsia="Times New Roman" w:hAnsi="Cambria" w:cs="Calibri"/>
                <w:b/>
                <w:bCs/>
                <w:color w:val="FFFFFF"/>
                <w:sz w:val="22"/>
                <w:szCs w:val="22"/>
              </w:rPr>
              <w:t>Savings</w:t>
            </w:r>
          </w:p>
        </w:tc>
      </w:tr>
      <w:tr w:rsidR="00D82668" w:rsidRPr="00D82668" w:rsidTr="000948A3">
        <w:trPr>
          <w:trHeight w:val="189"/>
        </w:trPr>
        <w:tc>
          <w:tcPr>
            <w:tcW w:w="2895" w:type="dxa"/>
            <w:gridSpan w:val="2"/>
            <w:tcBorders>
              <w:top w:val="double" w:sz="6" w:space="0" w:color="808080"/>
              <w:left w:val="single" w:sz="4" w:space="0" w:color="808080"/>
              <w:bottom w:val="single" w:sz="4" w:space="0" w:color="808080"/>
              <w:right w:val="single" w:sz="4" w:space="0" w:color="808080"/>
            </w:tcBorders>
            <w:shd w:val="clear" w:color="auto" w:fill="auto"/>
            <w:noWrap/>
            <w:vAlign w:val="center"/>
            <w:hideMark/>
          </w:tcPr>
          <w:p w:rsidR="00D82668" w:rsidRPr="00D82668" w:rsidRDefault="00D82668" w:rsidP="00D82668">
            <w:pPr>
              <w:spacing w:line="240" w:lineRule="auto"/>
              <w:rPr>
                <w:rFonts w:asciiTheme="majorHAnsi" w:eastAsia="Times New Roman" w:hAnsiTheme="majorHAnsi" w:cs="Calibri"/>
                <w:color w:val="000000"/>
                <w:sz w:val="22"/>
                <w:szCs w:val="22"/>
              </w:rPr>
            </w:pPr>
            <w:r w:rsidRPr="00D82668">
              <w:rPr>
                <w:rFonts w:asciiTheme="majorHAnsi" w:eastAsia="Times New Roman" w:hAnsiTheme="majorHAnsi" w:cs="Calibri"/>
                <w:color w:val="000000"/>
                <w:sz w:val="22"/>
                <w:szCs w:val="22"/>
              </w:rPr>
              <w:t>Service Territory</w:t>
            </w:r>
          </w:p>
        </w:tc>
        <w:tc>
          <w:tcPr>
            <w:tcW w:w="8910" w:type="dxa"/>
            <w:tcBorders>
              <w:top w:val="nil"/>
              <w:left w:val="nil"/>
              <w:bottom w:val="single" w:sz="4" w:space="0" w:color="808080"/>
              <w:right w:val="single" w:sz="4" w:space="0" w:color="808080"/>
            </w:tcBorders>
            <w:shd w:val="clear" w:color="auto" w:fill="auto"/>
            <w:vAlign w:val="bottom"/>
            <w:hideMark/>
          </w:tcPr>
          <w:p w:rsidR="00D82668" w:rsidRPr="00D82668" w:rsidRDefault="00D82668" w:rsidP="0083267C">
            <w:pPr>
              <w:spacing w:line="240" w:lineRule="auto"/>
              <w:rPr>
                <w:rFonts w:eastAsia="Times New Roman" w:cstheme="minorHAnsi"/>
                <w:color w:val="000000"/>
                <w:sz w:val="22"/>
                <w:szCs w:val="22"/>
              </w:rPr>
            </w:pPr>
            <w:r w:rsidRPr="00D82668">
              <w:rPr>
                <w:rFonts w:eastAsia="Times New Roman" w:cstheme="minorHAnsi"/>
                <w:color w:val="000000"/>
                <w:sz w:val="22"/>
                <w:szCs w:val="22"/>
              </w:rPr>
              <w:t xml:space="preserve">NEEA is able to track energy savings by utility for some initiatives. </w:t>
            </w:r>
          </w:p>
        </w:tc>
        <w:tc>
          <w:tcPr>
            <w:tcW w:w="2235" w:type="dxa"/>
            <w:tcBorders>
              <w:top w:val="nil"/>
              <w:left w:val="nil"/>
              <w:bottom w:val="single" w:sz="4" w:space="0" w:color="808080"/>
              <w:right w:val="single" w:sz="4" w:space="0" w:color="808080"/>
            </w:tcBorders>
            <w:shd w:val="clear" w:color="auto" w:fill="auto"/>
            <w:noWrap/>
            <w:vAlign w:val="bottom"/>
            <w:hideMark/>
          </w:tcPr>
          <w:p w:rsidR="00D82668" w:rsidRPr="00D82668" w:rsidRDefault="005B47A2" w:rsidP="00D82668">
            <w:pPr>
              <w:spacing w:line="240" w:lineRule="auto"/>
              <w:jc w:val="right"/>
              <w:rPr>
                <w:rFonts w:eastAsia="Times New Roman" w:cstheme="minorHAnsi"/>
                <w:color w:val="000000"/>
                <w:sz w:val="22"/>
                <w:szCs w:val="22"/>
              </w:rPr>
            </w:pPr>
            <w:r>
              <w:rPr>
                <w:rFonts w:eastAsia="Times New Roman" w:cstheme="minorHAnsi"/>
                <w:color w:val="000000"/>
                <w:sz w:val="22"/>
                <w:szCs w:val="22"/>
              </w:rPr>
              <w:t>24</w:t>
            </w:r>
            <w:r w:rsidR="00D82668" w:rsidRPr="00D82668">
              <w:rPr>
                <w:rFonts w:eastAsia="Times New Roman" w:cstheme="minorHAnsi"/>
                <w:color w:val="000000"/>
                <w:sz w:val="22"/>
                <w:szCs w:val="22"/>
              </w:rPr>
              <w:t>%</w:t>
            </w:r>
          </w:p>
        </w:tc>
      </w:tr>
      <w:tr w:rsidR="00D82668" w:rsidRPr="00D82668" w:rsidTr="000948A3">
        <w:trPr>
          <w:trHeight w:val="900"/>
        </w:trPr>
        <w:tc>
          <w:tcPr>
            <w:tcW w:w="13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rsidR="00D82668" w:rsidRPr="00D82668" w:rsidRDefault="00D82668" w:rsidP="00D82668">
            <w:pPr>
              <w:spacing w:line="240" w:lineRule="auto"/>
              <w:rPr>
                <w:rFonts w:asciiTheme="majorHAnsi" w:eastAsia="Times New Roman" w:hAnsiTheme="majorHAnsi" w:cs="Calibri"/>
                <w:color w:val="000000"/>
                <w:sz w:val="22"/>
                <w:szCs w:val="22"/>
              </w:rPr>
            </w:pPr>
            <w:r w:rsidRPr="00D82668">
              <w:rPr>
                <w:rFonts w:asciiTheme="majorHAnsi" w:eastAsia="Times New Roman" w:hAnsiTheme="majorHAnsi" w:cs="Calibri"/>
                <w:color w:val="000000"/>
                <w:sz w:val="22"/>
                <w:szCs w:val="22"/>
              </w:rPr>
              <w:t>Zip Code</w:t>
            </w:r>
          </w:p>
        </w:tc>
        <w:tc>
          <w:tcPr>
            <w:tcW w:w="1522" w:type="dxa"/>
            <w:tcBorders>
              <w:top w:val="nil"/>
              <w:left w:val="nil"/>
              <w:bottom w:val="single" w:sz="4" w:space="0" w:color="808080"/>
              <w:right w:val="single" w:sz="4" w:space="0" w:color="808080"/>
            </w:tcBorders>
            <w:shd w:val="clear" w:color="auto" w:fill="auto"/>
            <w:vAlign w:val="bottom"/>
            <w:hideMark/>
          </w:tcPr>
          <w:p w:rsidR="00D82668" w:rsidRDefault="00D82668" w:rsidP="00D82668">
            <w:pPr>
              <w:spacing w:line="240" w:lineRule="auto"/>
              <w:rPr>
                <w:rFonts w:asciiTheme="majorHAnsi" w:eastAsia="Times New Roman" w:hAnsiTheme="majorHAnsi" w:cs="Calibri"/>
                <w:color w:val="000000"/>
                <w:sz w:val="22"/>
                <w:szCs w:val="22"/>
              </w:rPr>
            </w:pPr>
            <w:r w:rsidRPr="00D82668">
              <w:rPr>
                <w:rFonts w:asciiTheme="majorHAnsi" w:eastAsia="Times New Roman" w:hAnsiTheme="majorHAnsi" w:cs="Calibri"/>
                <w:color w:val="000000"/>
                <w:sz w:val="22"/>
                <w:szCs w:val="22"/>
              </w:rPr>
              <w:t xml:space="preserve">Residential </w:t>
            </w:r>
          </w:p>
          <w:p w:rsidR="00D82668" w:rsidRPr="00D82668" w:rsidRDefault="00D82668" w:rsidP="00D82668">
            <w:pPr>
              <w:spacing w:line="240" w:lineRule="auto"/>
              <w:rPr>
                <w:rFonts w:asciiTheme="majorHAnsi" w:eastAsia="Times New Roman" w:hAnsiTheme="majorHAnsi" w:cs="Calibri"/>
                <w:i/>
                <w:color w:val="000000"/>
                <w:sz w:val="22"/>
                <w:szCs w:val="22"/>
              </w:rPr>
            </w:pPr>
            <w:r w:rsidRPr="00D82668">
              <w:rPr>
                <w:rFonts w:asciiTheme="majorHAnsi" w:eastAsia="Times New Roman" w:hAnsiTheme="majorHAnsi" w:cs="Calibri"/>
                <w:i/>
                <w:color w:val="000000"/>
                <w:sz w:val="20"/>
                <w:szCs w:val="22"/>
              </w:rPr>
              <w:t>(Point of Sale)</w:t>
            </w:r>
          </w:p>
        </w:tc>
        <w:tc>
          <w:tcPr>
            <w:tcW w:w="8910" w:type="dxa"/>
            <w:tcBorders>
              <w:top w:val="nil"/>
              <w:left w:val="nil"/>
              <w:bottom w:val="single" w:sz="4" w:space="0" w:color="808080"/>
              <w:right w:val="single" w:sz="4" w:space="0" w:color="808080"/>
            </w:tcBorders>
            <w:shd w:val="clear" w:color="auto" w:fill="auto"/>
            <w:vAlign w:val="bottom"/>
            <w:hideMark/>
          </w:tcPr>
          <w:p w:rsidR="00D82668" w:rsidRPr="00D82668" w:rsidRDefault="0083267C" w:rsidP="00D946AC">
            <w:pPr>
              <w:spacing w:line="240" w:lineRule="auto"/>
              <w:rPr>
                <w:rFonts w:eastAsia="Times New Roman" w:cstheme="minorHAnsi"/>
                <w:color w:val="000000"/>
                <w:sz w:val="22"/>
                <w:szCs w:val="22"/>
              </w:rPr>
            </w:pPr>
            <w:r>
              <w:rPr>
                <w:rFonts w:eastAsia="Times New Roman" w:cstheme="minorHAnsi"/>
                <w:color w:val="000000"/>
                <w:sz w:val="22"/>
                <w:szCs w:val="22"/>
              </w:rPr>
              <w:t>NEEA uses a</w:t>
            </w:r>
            <w:r w:rsidR="00D82668" w:rsidRPr="00D82668">
              <w:rPr>
                <w:rFonts w:eastAsia="Times New Roman" w:cstheme="minorHAnsi"/>
                <w:color w:val="000000"/>
                <w:sz w:val="22"/>
                <w:szCs w:val="22"/>
              </w:rPr>
              <w:t xml:space="preserve"> Residential Mapping System </w:t>
            </w:r>
            <w:r>
              <w:rPr>
                <w:rFonts w:eastAsia="Times New Roman" w:cstheme="minorHAnsi"/>
                <w:color w:val="000000"/>
                <w:sz w:val="22"/>
                <w:szCs w:val="22"/>
              </w:rPr>
              <w:t>to allocat</w:t>
            </w:r>
            <w:r w:rsidR="008B3761">
              <w:rPr>
                <w:rFonts w:eastAsia="Times New Roman" w:cstheme="minorHAnsi"/>
                <w:color w:val="000000"/>
                <w:sz w:val="22"/>
                <w:szCs w:val="22"/>
              </w:rPr>
              <w:t>e</w:t>
            </w:r>
            <w:r>
              <w:rPr>
                <w:rFonts w:eastAsia="Times New Roman" w:cstheme="minorHAnsi"/>
                <w:color w:val="000000"/>
                <w:sz w:val="22"/>
                <w:szCs w:val="22"/>
              </w:rPr>
              <w:t xml:space="preserve"> the point-of-sale, zip-code data.  The mapping system aggregates the zip-</w:t>
            </w:r>
            <w:r w:rsidR="00B43032">
              <w:rPr>
                <w:rFonts w:eastAsia="Times New Roman" w:cstheme="minorHAnsi"/>
                <w:color w:val="000000"/>
                <w:sz w:val="22"/>
                <w:szCs w:val="22"/>
              </w:rPr>
              <w:t xml:space="preserve">code data into market regions, which are an aggregation of counties, </w:t>
            </w:r>
            <w:r w:rsidR="00D82668" w:rsidRPr="00D82668">
              <w:rPr>
                <w:rFonts w:eastAsia="Times New Roman" w:cstheme="minorHAnsi"/>
                <w:color w:val="000000"/>
                <w:sz w:val="22"/>
                <w:szCs w:val="22"/>
              </w:rPr>
              <w:t xml:space="preserve">and apportions the savings to service territories based on </w:t>
            </w:r>
            <w:r w:rsidR="00B43032">
              <w:rPr>
                <w:rFonts w:eastAsia="Times New Roman" w:cstheme="minorHAnsi"/>
                <w:color w:val="000000"/>
                <w:sz w:val="22"/>
                <w:szCs w:val="22"/>
              </w:rPr>
              <w:t xml:space="preserve">the share of </w:t>
            </w:r>
            <w:r w:rsidR="00D82668" w:rsidRPr="00D82668">
              <w:rPr>
                <w:rFonts w:eastAsia="Times New Roman" w:cstheme="minorHAnsi"/>
                <w:color w:val="000000"/>
                <w:sz w:val="22"/>
                <w:szCs w:val="22"/>
              </w:rPr>
              <w:t>residential customer accounts</w:t>
            </w:r>
            <w:r w:rsidR="00B43032">
              <w:rPr>
                <w:rFonts w:eastAsia="Times New Roman" w:cstheme="minorHAnsi"/>
                <w:color w:val="000000"/>
                <w:sz w:val="22"/>
                <w:szCs w:val="22"/>
              </w:rPr>
              <w:t xml:space="preserve"> in the market region</w:t>
            </w:r>
            <w:r w:rsidR="00D82668" w:rsidRPr="00D82668">
              <w:rPr>
                <w:rFonts w:eastAsia="Times New Roman" w:cstheme="minorHAnsi"/>
                <w:color w:val="000000"/>
                <w:sz w:val="22"/>
                <w:szCs w:val="22"/>
              </w:rPr>
              <w:t>.</w:t>
            </w:r>
            <w:r w:rsidR="00B43032">
              <w:rPr>
                <w:rFonts w:eastAsia="Times New Roman" w:cstheme="minorHAnsi"/>
                <w:color w:val="000000"/>
                <w:sz w:val="22"/>
                <w:szCs w:val="22"/>
              </w:rPr>
              <w:t xml:space="preserve"> The number of residential customer accounts </w:t>
            </w:r>
            <w:r w:rsidR="00D946AC">
              <w:rPr>
                <w:rFonts w:eastAsia="Times New Roman" w:cstheme="minorHAnsi"/>
                <w:color w:val="000000"/>
                <w:sz w:val="22"/>
                <w:szCs w:val="22"/>
              </w:rPr>
              <w:t>is based on the E</w:t>
            </w:r>
            <w:r w:rsidR="00B43032" w:rsidRPr="004C0D81">
              <w:rPr>
                <w:rFonts w:eastAsia="Times New Roman" w:cstheme="minorHAnsi"/>
                <w:color w:val="000000"/>
                <w:sz w:val="22"/>
                <w:szCs w:val="22"/>
              </w:rPr>
              <w:t>IA Form</w:t>
            </w:r>
            <w:r w:rsidR="004C0D81" w:rsidRPr="004C0D81">
              <w:rPr>
                <w:rFonts w:eastAsia="Times New Roman" w:cstheme="minorHAnsi"/>
                <w:color w:val="000000"/>
                <w:sz w:val="22"/>
                <w:szCs w:val="22"/>
              </w:rPr>
              <w:t>-861 Final Data File for 2010</w:t>
            </w:r>
            <w:r w:rsidR="00B43032" w:rsidRPr="004C0D81">
              <w:rPr>
                <w:rFonts w:eastAsia="Times New Roman" w:cstheme="minorHAnsi"/>
                <w:color w:val="000000"/>
                <w:sz w:val="22"/>
                <w:szCs w:val="22"/>
              </w:rPr>
              <w:t>.</w:t>
            </w:r>
            <w:r w:rsidR="00B43032">
              <w:rPr>
                <w:rFonts w:eastAsia="Times New Roman" w:cstheme="minorHAnsi"/>
                <w:color w:val="000000"/>
                <w:sz w:val="22"/>
                <w:szCs w:val="22"/>
              </w:rPr>
              <w:t xml:space="preserve">  The individual utilities distribute the total customers to the market regions.</w:t>
            </w:r>
          </w:p>
        </w:tc>
        <w:tc>
          <w:tcPr>
            <w:tcW w:w="2235"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rsidR="00D82668" w:rsidRPr="00D82668" w:rsidRDefault="005B47A2" w:rsidP="00D82668">
            <w:pPr>
              <w:spacing w:line="240" w:lineRule="auto"/>
              <w:jc w:val="right"/>
              <w:rPr>
                <w:rFonts w:eastAsia="Times New Roman" w:cstheme="minorHAnsi"/>
                <w:color w:val="000000"/>
                <w:sz w:val="22"/>
                <w:szCs w:val="22"/>
              </w:rPr>
            </w:pPr>
            <w:r>
              <w:rPr>
                <w:rFonts w:eastAsia="Times New Roman" w:cstheme="minorHAnsi"/>
                <w:color w:val="000000"/>
                <w:sz w:val="22"/>
                <w:szCs w:val="22"/>
              </w:rPr>
              <w:t>66</w:t>
            </w:r>
            <w:r w:rsidR="00D82668" w:rsidRPr="00D82668">
              <w:rPr>
                <w:rFonts w:eastAsia="Times New Roman" w:cstheme="minorHAnsi"/>
                <w:color w:val="000000"/>
                <w:sz w:val="22"/>
                <w:szCs w:val="22"/>
              </w:rPr>
              <w:t>%</w:t>
            </w:r>
          </w:p>
        </w:tc>
      </w:tr>
      <w:tr w:rsidR="00D82668" w:rsidRPr="00D82668" w:rsidTr="000948A3">
        <w:trPr>
          <w:trHeight w:val="600"/>
        </w:trPr>
        <w:tc>
          <w:tcPr>
            <w:tcW w:w="1373" w:type="dxa"/>
            <w:vMerge/>
            <w:tcBorders>
              <w:top w:val="nil"/>
              <w:left w:val="single" w:sz="4" w:space="0" w:color="808080"/>
              <w:bottom w:val="single" w:sz="4" w:space="0" w:color="808080"/>
              <w:right w:val="single" w:sz="4" w:space="0" w:color="808080"/>
            </w:tcBorders>
            <w:vAlign w:val="center"/>
            <w:hideMark/>
          </w:tcPr>
          <w:p w:rsidR="00D82668" w:rsidRPr="00D82668" w:rsidRDefault="00D82668" w:rsidP="00D82668">
            <w:pPr>
              <w:spacing w:line="240" w:lineRule="auto"/>
              <w:rPr>
                <w:rFonts w:asciiTheme="majorHAnsi" w:eastAsia="Times New Roman" w:hAnsiTheme="majorHAnsi" w:cs="Calibri"/>
                <w:color w:val="000000"/>
                <w:sz w:val="22"/>
                <w:szCs w:val="22"/>
              </w:rPr>
            </w:pPr>
          </w:p>
        </w:tc>
        <w:tc>
          <w:tcPr>
            <w:tcW w:w="1522" w:type="dxa"/>
            <w:tcBorders>
              <w:top w:val="nil"/>
              <w:left w:val="nil"/>
              <w:bottom w:val="single" w:sz="4" w:space="0" w:color="808080"/>
              <w:right w:val="single" w:sz="4" w:space="0" w:color="808080"/>
            </w:tcBorders>
            <w:shd w:val="clear" w:color="auto" w:fill="auto"/>
            <w:vAlign w:val="bottom"/>
            <w:hideMark/>
          </w:tcPr>
          <w:p w:rsidR="00D82668" w:rsidRDefault="00D82668" w:rsidP="00D82668">
            <w:pPr>
              <w:spacing w:line="240" w:lineRule="auto"/>
              <w:rPr>
                <w:rFonts w:asciiTheme="majorHAnsi" w:eastAsia="Times New Roman" w:hAnsiTheme="majorHAnsi" w:cs="Calibri"/>
                <w:color w:val="000000"/>
                <w:sz w:val="22"/>
                <w:szCs w:val="22"/>
              </w:rPr>
            </w:pPr>
            <w:r w:rsidRPr="00D82668">
              <w:rPr>
                <w:rFonts w:asciiTheme="majorHAnsi" w:eastAsia="Times New Roman" w:hAnsiTheme="majorHAnsi" w:cs="Calibri"/>
                <w:color w:val="000000"/>
                <w:sz w:val="22"/>
                <w:szCs w:val="22"/>
              </w:rPr>
              <w:t xml:space="preserve">Commercial </w:t>
            </w:r>
          </w:p>
          <w:p w:rsidR="00D82668" w:rsidRPr="00D82668" w:rsidRDefault="00D82668" w:rsidP="00D82668">
            <w:pPr>
              <w:spacing w:line="240" w:lineRule="auto"/>
              <w:rPr>
                <w:rFonts w:asciiTheme="majorHAnsi" w:eastAsia="Times New Roman" w:hAnsiTheme="majorHAnsi" w:cs="Calibri"/>
                <w:i/>
                <w:color w:val="000000"/>
                <w:sz w:val="22"/>
                <w:szCs w:val="22"/>
              </w:rPr>
            </w:pPr>
            <w:r w:rsidRPr="00D82668">
              <w:rPr>
                <w:rFonts w:asciiTheme="majorHAnsi" w:eastAsia="Times New Roman" w:hAnsiTheme="majorHAnsi" w:cs="Calibri"/>
                <w:i/>
                <w:color w:val="000000"/>
                <w:sz w:val="20"/>
                <w:szCs w:val="22"/>
              </w:rPr>
              <w:t>(Point of Sale)</w:t>
            </w:r>
          </w:p>
        </w:tc>
        <w:tc>
          <w:tcPr>
            <w:tcW w:w="8910" w:type="dxa"/>
            <w:tcBorders>
              <w:top w:val="nil"/>
              <w:left w:val="nil"/>
              <w:bottom w:val="single" w:sz="4" w:space="0" w:color="808080"/>
              <w:right w:val="single" w:sz="4" w:space="0" w:color="808080"/>
            </w:tcBorders>
            <w:shd w:val="clear" w:color="auto" w:fill="auto"/>
            <w:vAlign w:val="bottom"/>
            <w:hideMark/>
          </w:tcPr>
          <w:p w:rsidR="0083267C" w:rsidRPr="00B43032" w:rsidRDefault="0083267C" w:rsidP="00D946AC">
            <w:pPr>
              <w:spacing w:line="240" w:lineRule="auto"/>
              <w:rPr>
                <w:rFonts w:eastAsia="Times New Roman" w:cstheme="minorHAnsi"/>
                <w:color w:val="000000"/>
                <w:sz w:val="22"/>
                <w:szCs w:val="22"/>
              </w:rPr>
            </w:pPr>
            <w:r>
              <w:rPr>
                <w:rFonts w:eastAsia="Times New Roman" w:cstheme="minorHAnsi"/>
                <w:color w:val="000000"/>
                <w:sz w:val="22"/>
                <w:szCs w:val="22"/>
              </w:rPr>
              <w:t>NEEA uses a</w:t>
            </w:r>
            <w:r w:rsidRPr="00D82668">
              <w:rPr>
                <w:rFonts w:eastAsia="Times New Roman" w:cstheme="minorHAnsi"/>
                <w:color w:val="000000"/>
                <w:sz w:val="22"/>
                <w:szCs w:val="22"/>
              </w:rPr>
              <w:t xml:space="preserve"> </w:t>
            </w:r>
            <w:r>
              <w:rPr>
                <w:rFonts w:eastAsia="Times New Roman" w:cstheme="minorHAnsi"/>
                <w:color w:val="000000"/>
                <w:sz w:val="22"/>
                <w:szCs w:val="22"/>
              </w:rPr>
              <w:t>Non-Residential</w:t>
            </w:r>
            <w:r w:rsidRPr="00D82668">
              <w:rPr>
                <w:rFonts w:eastAsia="Times New Roman" w:cstheme="minorHAnsi"/>
                <w:color w:val="000000"/>
                <w:sz w:val="22"/>
                <w:szCs w:val="22"/>
              </w:rPr>
              <w:t xml:space="preserve"> Mapping System </w:t>
            </w:r>
            <w:r>
              <w:rPr>
                <w:rFonts w:eastAsia="Times New Roman" w:cstheme="minorHAnsi"/>
                <w:color w:val="000000"/>
                <w:sz w:val="22"/>
                <w:szCs w:val="22"/>
              </w:rPr>
              <w:t>to allocat</w:t>
            </w:r>
            <w:r w:rsidR="008B3761">
              <w:rPr>
                <w:rFonts w:eastAsia="Times New Roman" w:cstheme="minorHAnsi"/>
                <w:color w:val="000000"/>
                <w:sz w:val="22"/>
                <w:szCs w:val="22"/>
              </w:rPr>
              <w:t xml:space="preserve">e </w:t>
            </w:r>
            <w:r>
              <w:rPr>
                <w:rFonts w:eastAsia="Times New Roman" w:cstheme="minorHAnsi"/>
                <w:color w:val="000000"/>
                <w:sz w:val="22"/>
                <w:szCs w:val="22"/>
              </w:rPr>
              <w:t>the point-of-sale, zip-code data.  The mapping system aggregates the zip-</w:t>
            </w:r>
            <w:r w:rsidRPr="00D82668">
              <w:rPr>
                <w:rFonts w:eastAsia="Times New Roman" w:cstheme="minorHAnsi"/>
                <w:color w:val="000000"/>
                <w:sz w:val="22"/>
                <w:szCs w:val="22"/>
              </w:rPr>
              <w:t xml:space="preserve">code data into market regions and apportions the savings to service territories based on </w:t>
            </w:r>
            <w:r>
              <w:rPr>
                <w:rFonts w:eastAsia="Times New Roman" w:cstheme="minorHAnsi"/>
                <w:color w:val="000000"/>
                <w:sz w:val="22"/>
                <w:szCs w:val="22"/>
              </w:rPr>
              <w:t>non-residential load.</w:t>
            </w:r>
            <w:r w:rsidR="00B43032">
              <w:rPr>
                <w:rFonts w:eastAsia="Times New Roman" w:cstheme="minorHAnsi"/>
                <w:color w:val="000000"/>
                <w:sz w:val="22"/>
                <w:szCs w:val="22"/>
              </w:rPr>
              <w:t xml:space="preserve"> The non-residential load is </w:t>
            </w:r>
            <w:r w:rsidR="00B43032" w:rsidRPr="002C7117">
              <w:rPr>
                <w:i/>
              </w:rPr>
              <w:t xml:space="preserve">Total Sales - Residential Sales - Transportation Sales </w:t>
            </w:r>
            <w:r w:rsidR="004C0D81">
              <w:t>based on</w:t>
            </w:r>
            <w:r w:rsidR="00B43032">
              <w:t xml:space="preserve"> the </w:t>
            </w:r>
            <w:r w:rsidR="004C0D81" w:rsidRPr="004C0D81">
              <w:rPr>
                <w:rFonts w:eastAsia="Times New Roman" w:cstheme="minorHAnsi"/>
                <w:color w:val="000000"/>
                <w:sz w:val="22"/>
                <w:szCs w:val="22"/>
              </w:rPr>
              <w:t>EIA Form-861 Final Data File for 2010</w:t>
            </w:r>
            <w:r w:rsidR="004C0D81">
              <w:rPr>
                <w:rFonts w:eastAsia="Times New Roman" w:cstheme="minorHAnsi"/>
                <w:color w:val="000000"/>
                <w:sz w:val="22"/>
                <w:szCs w:val="22"/>
              </w:rPr>
              <w:t xml:space="preserve">. </w:t>
            </w:r>
            <w:r w:rsidR="008B3761">
              <w:rPr>
                <w:rFonts w:eastAsia="Times New Roman" w:cstheme="minorHAnsi"/>
                <w:color w:val="000000"/>
                <w:sz w:val="22"/>
                <w:szCs w:val="22"/>
              </w:rPr>
              <w:t xml:space="preserve">The utilities distribute the total customers to the market regions. </w:t>
            </w:r>
          </w:p>
        </w:tc>
        <w:tc>
          <w:tcPr>
            <w:tcW w:w="2235" w:type="dxa"/>
            <w:vMerge/>
            <w:tcBorders>
              <w:top w:val="nil"/>
              <w:left w:val="single" w:sz="4" w:space="0" w:color="808080"/>
              <w:bottom w:val="single" w:sz="4" w:space="0" w:color="808080"/>
              <w:right w:val="single" w:sz="4" w:space="0" w:color="808080"/>
            </w:tcBorders>
            <w:vAlign w:val="center"/>
            <w:hideMark/>
          </w:tcPr>
          <w:p w:rsidR="00D82668" w:rsidRPr="00D82668" w:rsidRDefault="00D82668" w:rsidP="00D82668">
            <w:pPr>
              <w:spacing w:line="240" w:lineRule="auto"/>
              <w:rPr>
                <w:rFonts w:eastAsia="Times New Roman" w:cstheme="minorHAnsi"/>
                <w:color w:val="000000"/>
                <w:sz w:val="22"/>
                <w:szCs w:val="22"/>
              </w:rPr>
            </w:pPr>
          </w:p>
        </w:tc>
      </w:tr>
      <w:tr w:rsidR="00D82668" w:rsidRPr="00D82668" w:rsidTr="000948A3">
        <w:trPr>
          <w:trHeight w:val="600"/>
        </w:trPr>
        <w:tc>
          <w:tcPr>
            <w:tcW w:w="1373" w:type="dxa"/>
            <w:vMerge/>
            <w:tcBorders>
              <w:top w:val="nil"/>
              <w:left w:val="single" w:sz="4" w:space="0" w:color="808080"/>
              <w:bottom w:val="single" w:sz="4" w:space="0" w:color="808080"/>
              <w:right w:val="single" w:sz="4" w:space="0" w:color="808080"/>
            </w:tcBorders>
            <w:vAlign w:val="center"/>
            <w:hideMark/>
          </w:tcPr>
          <w:p w:rsidR="00D82668" w:rsidRPr="00D82668" w:rsidRDefault="00D82668" w:rsidP="00D82668">
            <w:pPr>
              <w:spacing w:line="240" w:lineRule="auto"/>
              <w:rPr>
                <w:rFonts w:asciiTheme="majorHAnsi" w:eastAsia="Times New Roman" w:hAnsiTheme="majorHAnsi" w:cs="Calibri"/>
                <w:color w:val="000000"/>
                <w:sz w:val="22"/>
                <w:szCs w:val="22"/>
              </w:rPr>
            </w:pPr>
          </w:p>
        </w:tc>
        <w:tc>
          <w:tcPr>
            <w:tcW w:w="1522" w:type="dxa"/>
            <w:tcBorders>
              <w:top w:val="nil"/>
              <w:left w:val="nil"/>
              <w:bottom w:val="single" w:sz="4" w:space="0" w:color="808080"/>
              <w:right w:val="single" w:sz="4" w:space="0" w:color="808080"/>
            </w:tcBorders>
            <w:shd w:val="clear" w:color="auto" w:fill="auto"/>
            <w:vAlign w:val="bottom"/>
            <w:hideMark/>
          </w:tcPr>
          <w:p w:rsidR="00D82668" w:rsidRPr="00D82668" w:rsidRDefault="00D82668" w:rsidP="00D82668">
            <w:pPr>
              <w:spacing w:line="240" w:lineRule="auto"/>
              <w:rPr>
                <w:rFonts w:asciiTheme="majorHAnsi" w:eastAsia="Times New Roman" w:hAnsiTheme="majorHAnsi" w:cs="Calibri"/>
                <w:color w:val="000000"/>
                <w:sz w:val="22"/>
                <w:szCs w:val="22"/>
              </w:rPr>
            </w:pPr>
            <w:r w:rsidRPr="00D82668">
              <w:rPr>
                <w:rFonts w:asciiTheme="majorHAnsi" w:eastAsia="Times New Roman" w:hAnsiTheme="majorHAnsi" w:cs="Calibri"/>
                <w:color w:val="000000"/>
                <w:sz w:val="22"/>
                <w:szCs w:val="22"/>
              </w:rPr>
              <w:t>Place of Use</w:t>
            </w:r>
          </w:p>
        </w:tc>
        <w:tc>
          <w:tcPr>
            <w:tcW w:w="8910" w:type="dxa"/>
            <w:tcBorders>
              <w:top w:val="nil"/>
              <w:left w:val="nil"/>
              <w:bottom w:val="single" w:sz="4" w:space="0" w:color="808080"/>
              <w:right w:val="single" w:sz="4" w:space="0" w:color="808080"/>
            </w:tcBorders>
            <w:shd w:val="clear" w:color="auto" w:fill="auto"/>
            <w:vAlign w:val="bottom"/>
            <w:hideMark/>
          </w:tcPr>
          <w:p w:rsidR="00D82668" w:rsidRPr="00D82668" w:rsidRDefault="008B3761" w:rsidP="00A44AF0">
            <w:pPr>
              <w:spacing w:line="240" w:lineRule="auto"/>
              <w:rPr>
                <w:rFonts w:eastAsia="Times New Roman" w:cstheme="minorHAnsi"/>
                <w:color w:val="000000"/>
                <w:sz w:val="22"/>
                <w:szCs w:val="22"/>
              </w:rPr>
            </w:pPr>
            <w:r>
              <w:rPr>
                <w:rFonts w:eastAsia="Times New Roman" w:cstheme="minorHAnsi"/>
                <w:color w:val="000000"/>
                <w:sz w:val="22"/>
                <w:szCs w:val="22"/>
              </w:rPr>
              <w:t>NEEA uses a</w:t>
            </w:r>
            <w:r w:rsidR="00D82668" w:rsidRPr="00D82668">
              <w:rPr>
                <w:rFonts w:eastAsia="Times New Roman" w:cstheme="minorHAnsi"/>
                <w:color w:val="000000"/>
                <w:sz w:val="22"/>
                <w:szCs w:val="22"/>
              </w:rPr>
              <w:t xml:space="preserve"> Direct Place of Use Mapping System </w:t>
            </w:r>
            <w:r w:rsidR="00C1457B">
              <w:rPr>
                <w:rFonts w:eastAsia="Times New Roman" w:cstheme="minorHAnsi"/>
                <w:color w:val="000000"/>
                <w:sz w:val="22"/>
                <w:szCs w:val="22"/>
              </w:rPr>
              <w:t>to allocate the savings</w:t>
            </w:r>
            <w:r w:rsidR="00A44AF0">
              <w:rPr>
                <w:rFonts w:eastAsia="Times New Roman" w:cstheme="minorHAnsi"/>
                <w:color w:val="000000"/>
                <w:sz w:val="22"/>
                <w:szCs w:val="22"/>
              </w:rPr>
              <w:t xml:space="preserve"> when NEEA has a zip-code place of use</w:t>
            </w:r>
            <w:r w:rsidR="00C1457B">
              <w:rPr>
                <w:rFonts w:eastAsia="Times New Roman" w:cstheme="minorHAnsi"/>
                <w:color w:val="000000"/>
                <w:sz w:val="22"/>
                <w:szCs w:val="22"/>
              </w:rPr>
              <w:t xml:space="preserve">.  The system </w:t>
            </w:r>
            <w:r w:rsidR="00D82668" w:rsidRPr="00D82668">
              <w:rPr>
                <w:rFonts w:eastAsia="Times New Roman" w:cstheme="minorHAnsi"/>
                <w:color w:val="000000"/>
                <w:sz w:val="22"/>
                <w:szCs w:val="22"/>
              </w:rPr>
              <w:t xml:space="preserve">looks up </w:t>
            </w:r>
            <w:r w:rsidR="00A44AF0">
              <w:rPr>
                <w:rFonts w:eastAsia="Times New Roman" w:cstheme="minorHAnsi"/>
                <w:color w:val="000000"/>
                <w:sz w:val="22"/>
                <w:szCs w:val="22"/>
              </w:rPr>
              <w:t>the utilities</w:t>
            </w:r>
            <w:r w:rsidR="00C1457B">
              <w:rPr>
                <w:rFonts w:eastAsia="Times New Roman" w:cstheme="minorHAnsi"/>
                <w:color w:val="000000"/>
                <w:sz w:val="22"/>
                <w:szCs w:val="22"/>
              </w:rPr>
              <w:t xml:space="preserve"> within a </w:t>
            </w:r>
            <w:r w:rsidR="00D82668" w:rsidRPr="00D82668">
              <w:rPr>
                <w:rFonts w:eastAsia="Times New Roman" w:cstheme="minorHAnsi"/>
                <w:color w:val="000000"/>
                <w:sz w:val="22"/>
                <w:szCs w:val="22"/>
              </w:rPr>
              <w:t xml:space="preserve">zip code and allocates the savings to </w:t>
            </w:r>
            <w:r w:rsidR="00C1457B">
              <w:rPr>
                <w:rFonts w:eastAsia="Times New Roman" w:cstheme="minorHAnsi"/>
                <w:color w:val="000000"/>
                <w:sz w:val="22"/>
                <w:szCs w:val="22"/>
              </w:rPr>
              <w:t>a</w:t>
            </w:r>
            <w:r w:rsidR="00D82668" w:rsidRPr="00D82668">
              <w:rPr>
                <w:rFonts w:eastAsia="Times New Roman" w:cstheme="minorHAnsi"/>
                <w:color w:val="000000"/>
                <w:sz w:val="22"/>
                <w:szCs w:val="22"/>
              </w:rPr>
              <w:t xml:space="preserve"> service territory. </w:t>
            </w:r>
            <w:r w:rsidR="00C1457B">
              <w:rPr>
                <w:rFonts w:eastAsia="Times New Roman" w:cstheme="minorHAnsi"/>
                <w:color w:val="000000"/>
                <w:sz w:val="22"/>
                <w:szCs w:val="22"/>
              </w:rPr>
              <w:t xml:space="preserve"> NEEA will contact the utilities if a zip code has more than one service provider.  The zip code list with</w:t>
            </w:r>
            <w:r w:rsidR="00A44AF0">
              <w:rPr>
                <w:rFonts w:eastAsia="Times New Roman" w:cstheme="minorHAnsi"/>
                <w:color w:val="000000"/>
                <w:sz w:val="22"/>
                <w:szCs w:val="22"/>
              </w:rPr>
              <w:t xml:space="preserve"> the</w:t>
            </w:r>
            <w:r w:rsidR="00C1457B">
              <w:rPr>
                <w:rFonts w:eastAsia="Times New Roman" w:cstheme="minorHAnsi"/>
                <w:color w:val="000000"/>
                <w:sz w:val="22"/>
                <w:szCs w:val="22"/>
              </w:rPr>
              <w:t xml:space="preserve"> potential utility providers comes from the BPA.</w:t>
            </w:r>
          </w:p>
        </w:tc>
        <w:tc>
          <w:tcPr>
            <w:tcW w:w="2235" w:type="dxa"/>
            <w:vMerge/>
            <w:tcBorders>
              <w:top w:val="nil"/>
              <w:left w:val="single" w:sz="4" w:space="0" w:color="808080"/>
              <w:bottom w:val="single" w:sz="4" w:space="0" w:color="808080"/>
              <w:right w:val="single" w:sz="4" w:space="0" w:color="808080"/>
            </w:tcBorders>
            <w:vAlign w:val="center"/>
            <w:hideMark/>
          </w:tcPr>
          <w:p w:rsidR="00D82668" w:rsidRPr="00D82668" w:rsidRDefault="00D82668" w:rsidP="00D82668">
            <w:pPr>
              <w:spacing w:line="240" w:lineRule="auto"/>
              <w:rPr>
                <w:rFonts w:eastAsia="Times New Roman" w:cstheme="minorHAnsi"/>
                <w:color w:val="000000"/>
                <w:sz w:val="22"/>
                <w:szCs w:val="22"/>
              </w:rPr>
            </w:pPr>
          </w:p>
        </w:tc>
      </w:tr>
      <w:tr w:rsidR="00D82668" w:rsidRPr="00D82668" w:rsidTr="000948A3">
        <w:trPr>
          <w:trHeight w:val="900"/>
        </w:trPr>
        <w:tc>
          <w:tcPr>
            <w:tcW w:w="2895"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82668" w:rsidRPr="00D82668" w:rsidRDefault="00D82668" w:rsidP="00D82668">
            <w:pPr>
              <w:spacing w:line="240" w:lineRule="auto"/>
              <w:rPr>
                <w:rFonts w:asciiTheme="majorHAnsi" w:eastAsia="Times New Roman" w:hAnsiTheme="majorHAnsi" w:cs="Calibri"/>
                <w:color w:val="000000"/>
                <w:sz w:val="22"/>
                <w:szCs w:val="22"/>
              </w:rPr>
            </w:pPr>
            <w:r w:rsidRPr="00D82668">
              <w:rPr>
                <w:rFonts w:asciiTheme="majorHAnsi" w:eastAsia="Times New Roman" w:hAnsiTheme="majorHAnsi" w:cs="Calibri"/>
                <w:color w:val="000000"/>
                <w:sz w:val="22"/>
                <w:szCs w:val="22"/>
              </w:rPr>
              <w:t>State</w:t>
            </w:r>
          </w:p>
        </w:tc>
        <w:tc>
          <w:tcPr>
            <w:tcW w:w="8910" w:type="dxa"/>
            <w:tcBorders>
              <w:top w:val="nil"/>
              <w:left w:val="nil"/>
              <w:bottom w:val="single" w:sz="4" w:space="0" w:color="808080"/>
              <w:right w:val="single" w:sz="4" w:space="0" w:color="808080"/>
            </w:tcBorders>
            <w:shd w:val="clear" w:color="auto" w:fill="auto"/>
            <w:vAlign w:val="bottom"/>
            <w:hideMark/>
          </w:tcPr>
          <w:p w:rsidR="00D82668" w:rsidRPr="00D82668" w:rsidRDefault="00D82668" w:rsidP="00D82668">
            <w:pPr>
              <w:spacing w:line="240" w:lineRule="auto"/>
              <w:rPr>
                <w:rFonts w:eastAsia="Times New Roman" w:cstheme="minorHAnsi"/>
                <w:color w:val="000000"/>
                <w:sz w:val="22"/>
                <w:szCs w:val="22"/>
              </w:rPr>
            </w:pPr>
            <w:r w:rsidRPr="00D82668">
              <w:rPr>
                <w:rFonts w:eastAsia="Times New Roman" w:cstheme="minorHAnsi"/>
                <w:color w:val="000000"/>
                <w:sz w:val="22"/>
                <w:szCs w:val="22"/>
              </w:rPr>
              <w:t>The “state” option is applicable when NEEA only has state-level data.  NEEA allocates the savings based on Avista’s share of Washington residential accounts (8.2%) or share of nonresidential load (6.4%).</w:t>
            </w:r>
          </w:p>
        </w:tc>
        <w:tc>
          <w:tcPr>
            <w:tcW w:w="2235" w:type="dxa"/>
            <w:tcBorders>
              <w:top w:val="nil"/>
              <w:left w:val="nil"/>
              <w:bottom w:val="single" w:sz="4" w:space="0" w:color="808080"/>
              <w:right w:val="single" w:sz="4" w:space="0" w:color="808080"/>
            </w:tcBorders>
            <w:shd w:val="clear" w:color="auto" w:fill="auto"/>
            <w:noWrap/>
            <w:vAlign w:val="bottom"/>
            <w:hideMark/>
          </w:tcPr>
          <w:p w:rsidR="00D82668" w:rsidRPr="00D82668" w:rsidRDefault="005B47A2" w:rsidP="00D82668">
            <w:pPr>
              <w:spacing w:line="240" w:lineRule="auto"/>
              <w:jc w:val="right"/>
              <w:rPr>
                <w:rFonts w:eastAsia="Times New Roman" w:cstheme="minorHAnsi"/>
                <w:color w:val="000000"/>
                <w:sz w:val="22"/>
                <w:szCs w:val="22"/>
              </w:rPr>
            </w:pPr>
            <w:r>
              <w:rPr>
                <w:rFonts w:eastAsia="Times New Roman" w:cstheme="minorHAnsi"/>
                <w:color w:val="000000"/>
                <w:sz w:val="22"/>
                <w:szCs w:val="22"/>
              </w:rPr>
              <w:t>7</w:t>
            </w:r>
            <w:r w:rsidR="00D82668" w:rsidRPr="00D82668">
              <w:rPr>
                <w:rFonts w:eastAsia="Times New Roman" w:cstheme="minorHAnsi"/>
                <w:color w:val="000000"/>
                <w:sz w:val="22"/>
                <w:szCs w:val="22"/>
              </w:rPr>
              <w:t>%</w:t>
            </w:r>
          </w:p>
        </w:tc>
      </w:tr>
      <w:tr w:rsidR="00D82668" w:rsidRPr="00D82668" w:rsidTr="000948A3">
        <w:trPr>
          <w:trHeight w:val="458"/>
        </w:trPr>
        <w:tc>
          <w:tcPr>
            <w:tcW w:w="2895"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82668" w:rsidRPr="00D82668" w:rsidRDefault="00D82668" w:rsidP="00D82668">
            <w:pPr>
              <w:spacing w:line="240" w:lineRule="auto"/>
              <w:rPr>
                <w:rFonts w:asciiTheme="majorHAnsi" w:eastAsia="Times New Roman" w:hAnsiTheme="majorHAnsi" w:cs="Calibri"/>
                <w:color w:val="000000"/>
                <w:sz w:val="22"/>
                <w:szCs w:val="22"/>
              </w:rPr>
            </w:pPr>
            <w:r w:rsidRPr="00D82668">
              <w:rPr>
                <w:rFonts w:asciiTheme="majorHAnsi" w:eastAsia="Times New Roman" w:hAnsiTheme="majorHAnsi" w:cs="Calibri"/>
                <w:color w:val="000000"/>
                <w:sz w:val="22"/>
                <w:szCs w:val="22"/>
              </w:rPr>
              <w:t>Funder Share</w:t>
            </w:r>
          </w:p>
        </w:tc>
        <w:tc>
          <w:tcPr>
            <w:tcW w:w="8910" w:type="dxa"/>
            <w:tcBorders>
              <w:top w:val="nil"/>
              <w:left w:val="nil"/>
              <w:bottom w:val="single" w:sz="4" w:space="0" w:color="808080"/>
              <w:right w:val="single" w:sz="4" w:space="0" w:color="808080"/>
            </w:tcBorders>
            <w:shd w:val="clear" w:color="auto" w:fill="auto"/>
            <w:vAlign w:val="bottom"/>
            <w:hideMark/>
          </w:tcPr>
          <w:p w:rsidR="00D82668" w:rsidRPr="00D82668" w:rsidRDefault="00D82668" w:rsidP="00DD321C">
            <w:pPr>
              <w:spacing w:line="240" w:lineRule="auto"/>
              <w:rPr>
                <w:rFonts w:eastAsia="Times New Roman" w:cstheme="minorHAnsi"/>
                <w:color w:val="000000"/>
                <w:sz w:val="22"/>
                <w:szCs w:val="22"/>
              </w:rPr>
            </w:pPr>
            <w:r w:rsidRPr="00D82668">
              <w:rPr>
                <w:rFonts w:eastAsia="Times New Roman" w:cstheme="minorHAnsi"/>
                <w:color w:val="000000"/>
                <w:sz w:val="22"/>
                <w:szCs w:val="22"/>
              </w:rPr>
              <w:t>In few cases, NEEA only has regional data.   The best method to allocate the savings is by funder share.  For Avista, NEEA apportion</w:t>
            </w:r>
            <w:r w:rsidR="00DD321C">
              <w:rPr>
                <w:rFonts w:eastAsia="Times New Roman" w:cstheme="minorHAnsi"/>
                <w:color w:val="000000"/>
                <w:sz w:val="22"/>
                <w:szCs w:val="22"/>
              </w:rPr>
              <w:t>s</w:t>
            </w:r>
            <w:r w:rsidRPr="00D82668">
              <w:rPr>
                <w:rFonts w:eastAsia="Times New Roman" w:cstheme="minorHAnsi"/>
                <w:color w:val="000000"/>
                <w:sz w:val="22"/>
                <w:szCs w:val="22"/>
              </w:rPr>
              <w:t xml:space="preserve"> 70% of its funder share to Washington and 30% to Idaho. </w:t>
            </w:r>
            <w:r>
              <w:rPr>
                <w:rStyle w:val="FootnoteReference"/>
              </w:rPr>
              <w:footnoteReference w:id="7"/>
            </w:r>
          </w:p>
        </w:tc>
        <w:tc>
          <w:tcPr>
            <w:tcW w:w="2235" w:type="dxa"/>
            <w:tcBorders>
              <w:top w:val="nil"/>
              <w:left w:val="nil"/>
              <w:bottom w:val="single" w:sz="4" w:space="0" w:color="808080"/>
              <w:right w:val="single" w:sz="4" w:space="0" w:color="808080"/>
            </w:tcBorders>
            <w:shd w:val="clear" w:color="auto" w:fill="auto"/>
            <w:noWrap/>
            <w:vAlign w:val="bottom"/>
            <w:hideMark/>
          </w:tcPr>
          <w:p w:rsidR="00D82668" w:rsidRPr="00D82668" w:rsidRDefault="005B47A2" w:rsidP="00D82668">
            <w:pPr>
              <w:spacing w:line="240" w:lineRule="auto"/>
              <w:jc w:val="right"/>
              <w:rPr>
                <w:rFonts w:eastAsia="Times New Roman" w:cstheme="minorHAnsi"/>
                <w:color w:val="000000"/>
                <w:sz w:val="22"/>
                <w:szCs w:val="22"/>
              </w:rPr>
            </w:pPr>
            <w:r>
              <w:rPr>
                <w:rFonts w:eastAsia="Times New Roman" w:cstheme="minorHAnsi"/>
                <w:color w:val="000000"/>
                <w:sz w:val="22"/>
                <w:szCs w:val="22"/>
              </w:rPr>
              <w:t>3</w:t>
            </w:r>
            <w:r w:rsidR="00D82668" w:rsidRPr="00D82668">
              <w:rPr>
                <w:rFonts w:eastAsia="Times New Roman" w:cstheme="minorHAnsi"/>
                <w:color w:val="000000"/>
                <w:sz w:val="22"/>
                <w:szCs w:val="22"/>
              </w:rPr>
              <w:t>%</w:t>
            </w:r>
          </w:p>
        </w:tc>
      </w:tr>
    </w:tbl>
    <w:p w:rsidR="00D82668" w:rsidRPr="00D82668" w:rsidRDefault="00D82668" w:rsidP="002176A8">
      <w:pPr>
        <w:rPr>
          <w:rFonts w:asciiTheme="majorHAnsi" w:hAnsiTheme="majorHAnsi"/>
        </w:rPr>
      </w:pPr>
    </w:p>
    <w:p w:rsidR="00602CE6" w:rsidRDefault="00602CE6">
      <w:pPr>
        <w:spacing w:line="240" w:lineRule="auto"/>
      </w:pPr>
    </w:p>
    <w:p w:rsidR="003F194D" w:rsidRDefault="007D068E" w:rsidP="003F194D">
      <w:r>
        <w:lastRenderedPageBreak/>
        <w:t xml:space="preserve">NEEA uses a variety of the methodologies in Table 2 to allocate the savings to Avista.  In a few cases, NEEA applies more than one methodology. </w:t>
      </w:r>
      <w:r w:rsidR="002176A8">
        <w:t xml:space="preserve">Table </w:t>
      </w:r>
      <w:r>
        <w:t>3</w:t>
      </w:r>
      <w:r w:rsidR="002176A8">
        <w:t xml:space="preserve"> shows the</w:t>
      </w:r>
      <w:r>
        <w:t xml:space="preserve"> methodologies by initiative</w:t>
      </w:r>
      <w:r w:rsidR="002176A8">
        <w:t>.</w:t>
      </w:r>
      <w:r w:rsidR="009A1C44">
        <w:t xml:space="preserve"> </w:t>
      </w:r>
      <w:r w:rsidR="002176A8">
        <w:t xml:space="preserve"> </w:t>
      </w:r>
    </w:p>
    <w:p w:rsidR="002176A8" w:rsidRDefault="002176A8" w:rsidP="002176A8">
      <w:pPr>
        <w:pStyle w:val="Caption"/>
        <w:keepNext/>
      </w:pPr>
      <w:r>
        <w:t xml:space="preserve">Table </w:t>
      </w:r>
      <w:r w:rsidR="009374BA">
        <w:fldChar w:fldCharType="begin"/>
      </w:r>
      <w:r w:rsidR="00F4510C">
        <w:instrText xml:space="preserve"> SEQ Table \* ARABIC </w:instrText>
      </w:r>
      <w:r w:rsidR="009374BA">
        <w:fldChar w:fldCharType="separate"/>
      </w:r>
      <w:r w:rsidR="009A1C44">
        <w:rPr>
          <w:noProof/>
        </w:rPr>
        <w:t>3</w:t>
      </w:r>
      <w:r w:rsidR="009374BA">
        <w:rPr>
          <w:noProof/>
        </w:rPr>
        <w:fldChar w:fldCharType="end"/>
      </w:r>
      <w:r>
        <w:t>: Methodology for the Service Territory Savings Allocation</w:t>
      </w:r>
      <w:r w:rsidR="000A33EA">
        <w:t xml:space="preserve"> </w:t>
      </w:r>
    </w:p>
    <w:tbl>
      <w:tblPr>
        <w:tblW w:w="13777" w:type="dxa"/>
        <w:tblInd w:w="93" w:type="dxa"/>
        <w:tblLook w:val="04A0"/>
      </w:tblPr>
      <w:tblGrid>
        <w:gridCol w:w="2985"/>
        <w:gridCol w:w="1800"/>
        <w:gridCol w:w="1586"/>
        <w:gridCol w:w="7406"/>
      </w:tblGrid>
      <w:tr w:rsidR="000948A3" w:rsidRPr="000948A3" w:rsidTr="00C274E4">
        <w:trPr>
          <w:cantSplit/>
          <w:trHeight w:val="356"/>
          <w:tblHeader/>
        </w:trPr>
        <w:tc>
          <w:tcPr>
            <w:tcW w:w="2985" w:type="dxa"/>
            <w:tcBorders>
              <w:top w:val="single" w:sz="8" w:space="0" w:color="808080"/>
              <w:left w:val="single" w:sz="8" w:space="0" w:color="808080"/>
              <w:bottom w:val="double" w:sz="6" w:space="0" w:color="808080"/>
              <w:right w:val="nil"/>
            </w:tcBorders>
            <w:shd w:val="clear" w:color="auto" w:fill="17365D" w:themeFill="text2" w:themeFillShade="BF"/>
            <w:vAlign w:val="bottom"/>
            <w:hideMark/>
          </w:tcPr>
          <w:p w:rsidR="002176A8" w:rsidRPr="000948A3" w:rsidRDefault="002176A8" w:rsidP="000A33EA">
            <w:pPr>
              <w:spacing w:line="240" w:lineRule="auto"/>
              <w:rPr>
                <w:rFonts w:ascii="Cambria" w:eastAsia="Times New Roman" w:hAnsi="Cambria" w:cs="Calibri"/>
                <w:b/>
                <w:color w:val="FFFFFF" w:themeColor="background1"/>
                <w:sz w:val="22"/>
                <w:szCs w:val="22"/>
              </w:rPr>
            </w:pPr>
            <w:r w:rsidRPr="000948A3">
              <w:rPr>
                <w:rFonts w:ascii="Cambria" w:eastAsia="Times New Roman" w:hAnsi="Cambria" w:cs="Calibri"/>
                <w:b/>
                <w:color w:val="FFFFFF" w:themeColor="background1"/>
                <w:sz w:val="22"/>
                <w:szCs w:val="22"/>
              </w:rPr>
              <w:t>Initiative</w:t>
            </w:r>
          </w:p>
        </w:tc>
        <w:tc>
          <w:tcPr>
            <w:tcW w:w="1800" w:type="dxa"/>
            <w:tcBorders>
              <w:top w:val="single" w:sz="8" w:space="0" w:color="808080"/>
              <w:left w:val="nil"/>
              <w:bottom w:val="double" w:sz="6" w:space="0" w:color="808080"/>
              <w:right w:val="nil"/>
            </w:tcBorders>
            <w:shd w:val="clear" w:color="auto" w:fill="17365D" w:themeFill="text2" w:themeFillShade="BF"/>
            <w:vAlign w:val="bottom"/>
            <w:hideMark/>
          </w:tcPr>
          <w:p w:rsidR="002176A8" w:rsidRPr="000948A3" w:rsidRDefault="002176A8" w:rsidP="000A33EA">
            <w:pPr>
              <w:spacing w:line="240" w:lineRule="auto"/>
              <w:rPr>
                <w:rFonts w:ascii="Cambria" w:eastAsia="Times New Roman" w:hAnsi="Cambria" w:cs="Calibri"/>
                <w:b/>
                <w:color w:val="FFFFFF" w:themeColor="background1"/>
                <w:sz w:val="22"/>
                <w:szCs w:val="22"/>
              </w:rPr>
            </w:pPr>
            <w:r w:rsidRPr="000948A3">
              <w:rPr>
                <w:rFonts w:ascii="Cambria" w:eastAsia="Times New Roman" w:hAnsi="Cambria" w:cs="Calibri"/>
                <w:b/>
                <w:color w:val="FFFFFF" w:themeColor="background1"/>
                <w:sz w:val="22"/>
                <w:szCs w:val="22"/>
              </w:rPr>
              <w:t>Method</w:t>
            </w:r>
            <w:r w:rsidR="00A1438B" w:rsidRPr="000948A3">
              <w:rPr>
                <w:rFonts w:ascii="Cambria" w:eastAsia="Times New Roman" w:hAnsi="Cambria" w:cs="Calibri"/>
                <w:b/>
                <w:color w:val="FFFFFF" w:themeColor="background1"/>
                <w:sz w:val="22"/>
                <w:szCs w:val="22"/>
              </w:rPr>
              <w:t>ology</w:t>
            </w:r>
          </w:p>
        </w:tc>
        <w:tc>
          <w:tcPr>
            <w:tcW w:w="1586" w:type="dxa"/>
            <w:tcBorders>
              <w:top w:val="single" w:sz="8" w:space="0" w:color="808080"/>
              <w:left w:val="nil"/>
              <w:bottom w:val="double" w:sz="6" w:space="0" w:color="808080"/>
              <w:right w:val="nil"/>
            </w:tcBorders>
            <w:shd w:val="clear" w:color="auto" w:fill="17365D" w:themeFill="text2" w:themeFillShade="BF"/>
            <w:vAlign w:val="bottom"/>
            <w:hideMark/>
          </w:tcPr>
          <w:p w:rsidR="002176A8" w:rsidRPr="000948A3" w:rsidRDefault="002176A8" w:rsidP="000A33EA">
            <w:pPr>
              <w:spacing w:line="240" w:lineRule="auto"/>
              <w:rPr>
                <w:rFonts w:ascii="Cambria" w:eastAsia="Times New Roman" w:hAnsi="Cambria" w:cs="Calibri"/>
                <w:b/>
                <w:color w:val="FFFFFF" w:themeColor="background1"/>
                <w:sz w:val="22"/>
                <w:szCs w:val="22"/>
              </w:rPr>
            </w:pPr>
            <w:r w:rsidRPr="000948A3">
              <w:rPr>
                <w:rFonts w:ascii="Cambria" w:eastAsia="Times New Roman" w:hAnsi="Cambria" w:cs="Calibri"/>
                <w:b/>
                <w:color w:val="FFFFFF" w:themeColor="background1"/>
                <w:sz w:val="22"/>
                <w:szCs w:val="22"/>
              </w:rPr>
              <w:t>Year of Data Source</w:t>
            </w:r>
          </w:p>
        </w:tc>
        <w:tc>
          <w:tcPr>
            <w:tcW w:w="7406" w:type="dxa"/>
            <w:tcBorders>
              <w:top w:val="single" w:sz="8" w:space="0" w:color="808080"/>
              <w:left w:val="nil"/>
              <w:bottom w:val="double" w:sz="6" w:space="0" w:color="808080"/>
              <w:right w:val="single" w:sz="8" w:space="0" w:color="808080"/>
            </w:tcBorders>
            <w:shd w:val="clear" w:color="auto" w:fill="17365D" w:themeFill="text2" w:themeFillShade="BF"/>
            <w:vAlign w:val="bottom"/>
            <w:hideMark/>
          </w:tcPr>
          <w:p w:rsidR="002176A8" w:rsidRPr="000948A3" w:rsidRDefault="002176A8" w:rsidP="000A33EA">
            <w:pPr>
              <w:spacing w:line="240" w:lineRule="auto"/>
              <w:rPr>
                <w:rFonts w:ascii="Cambria" w:eastAsia="Times New Roman" w:hAnsi="Cambria" w:cs="Calibri"/>
                <w:b/>
                <w:color w:val="FFFFFF" w:themeColor="background1"/>
                <w:sz w:val="22"/>
                <w:szCs w:val="22"/>
              </w:rPr>
            </w:pPr>
            <w:r w:rsidRPr="000948A3">
              <w:rPr>
                <w:rFonts w:ascii="Cambria" w:eastAsia="Times New Roman" w:hAnsi="Cambria" w:cs="Calibri"/>
                <w:b/>
                <w:color w:val="FFFFFF" w:themeColor="background1"/>
                <w:sz w:val="22"/>
                <w:szCs w:val="22"/>
              </w:rPr>
              <w:t>Methodology</w:t>
            </w:r>
          </w:p>
        </w:tc>
      </w:tr>
      <w:tr w:rsidR="002176A8" w:rsidRPr="00B74A18" w:rsidTr="00C274E4">
        <w:trPr>
          <w:trHeight w:val="302"/>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Efficient Homes</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Service Territory</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002176A8"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has service territory data.</w:t>
            </w:r>
          </w:p>
        </w:tc>
      </w:tr>
      <w:tr w:rsidR="002176A8" w:rsidRPr="00B74A18" w:rsidTr="00C274E4">
        <w:trPr>
          <w:trHeight w:val="566"/>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Televisions</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602C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Zip Code</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002176A8"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E14FEB">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has zip-code sales for</w:t>
            </w:r>
            <w:r w:rsidR="00E14FEB">
              <w:rPr>
                <w:rFonts w:ascii="Calibri" w:eastAsia="Times New Roman" w:hAnsi="Calibri" w:cs="Calibri"/>
                <w:color w:val="000000"/>
                <w:sz w:val="20"/>
                <w:szCs w:val="22"/>
              </w:rPr>
              <w:t xml:space="preserve"> a significant share of qualifying televisions</w:t>
            </w:r>
            <w:r w:rsidRPr="00B74A18">
              <w:rPr>
                <w:rFonts w:ascii="Calibri" w:eastAsia="Times New Roman" w:hAnsi="Calibri" w:cs="Calibri"/>
                <w:color w:val="000000"/>
                <w:sz w:val="20"/>
                <w:szCs w:val="22"/>
              </w:rPr>
              <w:t xml:space="preserve"> </w:t>
            </w:r>
            <w:r w:rsidR="00E14FEB">
              <w:rPr>
                <w:rFonts w:ascii="Calibri" w:eastAsia="Times New Roman" w:hAnsi="Calibri" w:cs="Calibri"/>
                <w:color w:val="000000"/>
                <w:sz w:val="20"/>
                <w:szCs w:val="22"/>
              </w:rPr>
              <w:t>(&gt;</w:t>
            </w:r>
            <w:r w:rsidRPr="00B74A18">
              <w:rPr>
                <w:rFonts w:ascii="Calibri" w:eastAsia="Times New Roman" w:hAnsi="Calibri" w:cs="Calibri"/>
                <w:color w:val="000000"/>
                <w:sz w:val="20"/>
                <w:szCs w:val="22"/>
              </w:rPr>
              <w:t xml:space="preserve"> 460,000 </w:t>
            </w:r>
            <w:r w:rsidR="00E14FEB">
              <w:rPr>
                <w:rFonts w:ascii="Calibri" w:eastAsia="Times New Roman" w:hAnsi="Calibri" w:cs="Calibri"/>
                <w:color w:val="000000"/>
                <w:sz w:val="20"/>
                <w:szCs w:val="22"/>
              </w:rPr>
              <w:t>in 2011)</w:t>
            </w:r>
            <w:r w:rsidRPr="00B74A18">
              <w:rPr>
                <w:rFonts w:ascii="Calibri" w:eastAsia="Times New Roman" w:hAnsi="Calibri" w:cs="Calibri"/>
                <w:color w:val="000000"/>
                <w:sz w:val="20"/>
                <w:szCs w:val="22"/>
              </w:rPr>
              <w:t xml:space="preserve">. NEEA </w:t>
            </w:r>
            <w:r>
              <w:rPr>
                <w:rFonts w:ascii="Calibri" w:eastAsia="Times New Roman" w:hAnsi="Calibri" w:cs="Calibri"/>
                <w:color w:val="000000"/>
                <w:sz w:val="20"/>
                <w:szCs w:val="22"/>
              </w:rPr>
              <w:t>uses this data and</w:t>
            </w:r>
            <w:r w:rsidRPr="00B74A18">
              <w:rPr>
                <w:rFonts w:ascii="Calibri" w:eastAsia="Times New Roman" w:hAnsi="Calibri" w:cs="Calibri"/>
                <w:color w:val="000000"/>
                <w:sz w:val="20"/>
                <w:szCs w:val="22"/>
              </w:rPr>
              <w:t xml:space="preserve"> its Residential Mapping System</w:t>
            </w:r>
            <w:r>
              <w:rPr>
                <w:rFonts w:ascii="Calibri" w:eastAsia="Times New Roman" w:hAnsi="Calibri" w:cs="Calibri"/>
                <w:color w:val="000000"/>
                <w:sz w:val="20"/>
                <w:szCs w:val="22"/>
              </w:rPr>
              <w:t xml:space="preserve"> to allocate the savings</w:t>
            </w:r>
            <w:r w:rsidRPr="00B74A18">
              <w:rPr>
                <w:rFonts w:ascii="Calibri" w:eastAsia="Times New Roman" w:hAnsi="Calibri" w:cs="Calibri"/>
                <w:color w:val="000000"/>
                <w:sz w:val="20"/>
                <w:szCs w:val="22"/>
              </w:rPr>
              <w:t>.</w:t>
            </w:r>
          </w:p>
        </w:tc>
      </w:tr>
      <w:tr w:rsidR="002176A8" w:rsidRPr="00B74A18" w:rsidTr="00C274E4">
        <w:trPr>
          <w:trHeight w:val="341"/>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Ductless Heat Pumps</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Service Territory</w:t>
            </w:r>
            <w:r w:rsidR="00602CE6">
              <w:rPr>
                <w:rFonts w:ascii="Calibri" w:eastAsia="Times New Roman" w:hAnsi="Calibri" w:cs="Calibri"/>
                <w:color w:val="000000"/>
                <w:sz w:val="22"/>
                <w:szCs w:val="22"/>
              </w:rPr>
              <w:t xml:space="preserve"> and State</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002176A8"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E14FEB" w:rsidP="00E14FEB">
            <w:pPr>
              <w:spacing w:line="240" w:lineRule="auto"/>
              <w:rPr>
                <w:rFonts w:ascii="Calibri" w:eastAsia="Times New Roman" w:hAnsi="Calibri" w:cs="Calibri"/>
                <w:color w:val="000000"/>
                <w:sz w:val="20"/>
                <w:szCs w:val="22"/>
              </w:rPr>
            </w:pPr>
            <w:r>
              <w:rPr>
                <w:rFonts w:ascii="Calibri" w:eastAsia="Times New Roman" w:hAnsi="Calibri" w:cs="Calibri"/>
                <w:color w:val="000000"/>
                <w:sz w:val="20"/>
                <w:szCs w:val="22"/>
              </w:rPr>
              <w:t>NEEA has service-t</w:t>
            </w:r>
            <w:r w:rsidR="002176A8" w:rsidRPr="00B74A18">
              <w:rPr>
                <w:rFonts w:ascii="Calibri" w:eastAsia="Times New Roman" w:hAnsi="Calibri" w:cs="Calibri"/>
                <w:color w:val="000000"/>
                <w:sz w:val="20"/>
                <w:szCs w:val="22"/>
              </w:rPr>
              <w:t xml:space="preserve">erritory </w:t>
            </w:r>
            <w:r>
              <w:rPr>
                <w:rFonts w:ascii="Calibri" w:eastAsia="Times New Roman" w:hAnsi="Calibri" w:cs="Calibri"/>
                <w:color w:val="000000"/>
                <w:sz w:val="20"/>
                <w:szCs w:val="22"/>
              </w:rPr>
              <w:t>d</w:t>
            </w:r>
            <w:r w:rsidR="002176A8" w:rsidRPr="00B74A18">
              <w:rPr>
                <w:rFonts w:ascii="Calibri" w:eastAsia="Times New Roman" w:hAnsi="Calibri" w:cs="Calibri"/>
                <w:color w:val="000000"/>
                <w:sz w:val="20"/>
                <w:szCs w:val="22"/>
              </w:rPr>
              <w:t>ata for a majority of the installations and state data for the remaining units</w:t>
            </w:r>
            <w:r>
              <w:rPr>
                <w:rFonts w:ascii="Calibri" w:eastAsia="Times New Roman" w:hAnsi="Calibri" w:cs="Calibri"/>
                <w:color w:val="000000"/>
                <w:sz w:val="20"/>
                <w:szCs w:val="22"/>
              </w:rPr>
              <w:t xml:space="preserve"> (the non-incented installations)</w:t>
            </w:r>
            <w:r w:rsidR="002176A8" w:rsidRPr="00B74A18">
              <w:rPr>
                <w:rFonts w:ascii="Calibri" w:eastAsia="Times New Roman" w:hAnsi="Calibri" w:cs="Calibri"/>
                <w:color w:val="000000"/>
                <w:sz w:val="20"/>
                <w:szCs w:val="22"/>
              </w:rPr>
              <w:t xml:space="preserve">. NEEA uses the state share of the residential customer accounts to allocate the savings </w:t>
            </w:r>
            <w:r>
              <w:rPr>
                <w:rFonts w:ascii="Calibri" w:eastAsia="Times New Roman" w:hAnsi="Calibri" w:cs="Calibri"/>
                <w:color w:val="000000"/>
                <w:sz w:val="20"/>
                <w:szCs w:val="22"/>
              </w:rPr>
              <w:t>for the non-incented units</w:t>
            </w:r>
            <w:r w:rsidR="002176A8" w:rsidRPr="00B74A18">
              <w:rPr>
                <w:rFonts w:ascii="Calibri" w:eastAsia="Times New Roman" w:hAnsi="Calibri" w:cs="Calibri"/>
                <w:color w:val="000000"/>
                <w:sz w:val="20"/>
                <w:szCs w:val="22"/>
              </w:rPr>
              <w:t>.</w:t>
            </w:r>
          </w:p>
        </w:tc>
      </w:tr>
      <w:tr w:rsidR="002176A8" w:rsidRPr="00B74A18" w:rsidTr="00C274E4">
        <w:trPr>
          <w:trHeight w:val="323"/>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Other Residential Codes</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State</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jc w:val="right"/>
              <w:rPr>
                <w:rFonts w:ascii="Calibri" w:eastAsia="Times New Roman" w:hAnsi="Calibri" w:cs="Calibri"/>
                <w:color w:val="000000"/>
                <w:sz w:val="22"/>
                <w:szCs w:val="22"/>
              </w:rPr>
            </w:pPr>
            <w:r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 xml:space="preserve">NEEA allocates the savings </w:t>
            </w:r>
            <w:r>
              <w:rPr>
                <w:rFonts w:ascii="Calibri" w:eastAsia="Times New Roman" w:hAnsi="Calibri" w:cs="Calibri"/>
                <w:color w:val="000000"/>
                <w:sz w:val="20"/>
                <w:szCs w:val="22"/>
              </w:rPr>
              <w:t>using</w:t>
            </w:r>
            <w:r w:rsidRPr="00B74A18">
              <w:rPr>
                <w:rFonts w:ascii="Calibri" w:eastAsia="Times New Roman" w:hAnsi="Calibri" w:cs="Calibri"/>
                <w:color w:val="000000"/>
                <w:sz w:val="20"/>
                <w:szCs w:val="22"/>
              </w:rPr>
              <w:t xml:space="preserve"> the share of</w:t>
            </w:r>
            <w:r>
              <w:rPr>
                <w:rFonts w:ascii="Calibri" w:eastAsia="Times New Roman" w:hAnsi="Calibri" w:cs="Calibri"/>
                <w:color w:val="000000"/>
                <w:sz w:val="20"/>
                <w:szCs w:val="22"/>
              </w:rPr>
              <w:t xml:space="preserve"> state</w:t>
            </w:r>
            <w:r w:rsidRPr="00B74A18">
              <w:rPr>
                <w:rFonts w:ascii="Calibri" w:eastAsia="Times New Roman" w:hAnsi="Calibri" w:cs="Calibri"/>
                <w:color w:val="000000"/>
                <w:sz w:val="20"/>
                <w:szCs w:val="22"/>
              </w:rPr>
              <w:t xml:space="preserve"> residential customer accounts</w:t>
            </w:r>
            <w:r>
              <w:rPr>
                <w:rFonts w:ascii="Calibri" w:eastAsia="Times New Roman" w:hAnsi="Calibri" w:cs="Calibri"/>
                <w:color w:val="000000"/>
                <w:sz w:val="20"/>
                <w:szCs w:val="22"/>
              </w:rPr>
              <w:t>.</w:t>
            </w:r>
          </w:p>
        </w:tc>
      </w:tr>
      <w:tr w:rsidR="002176A8" w:rsidRPr="00B74A18" w:rsidTr="00C274E4">
        <w:trPr>
          <w:trHeight w:val="760"/>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Lighting</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602C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Zip Code</w:t>
            </w:r>
          </w:p>
        </w:tc>
        <w:tc>
          <w:tcPr>
            <w:tcW w:w="1586" w:type="dxa"/>
            <w:tcBorders>
              <w:top w:val="nil"/>
              <w:left w:val="nil"/>
              <w:bottom w:val="single" w:sz="4" w:space="0" w:color="808080"/>
              <w:right w:val="nil"/>
            </w:tcBorders>
            <w:shd w:val="clear" w:color="auto" w:fill="auto"/>
            <w:noWrap/>
            <w:vAlign w:val="bottom"/>
            <w:hideMark/>
          </w:tcPr>
          <w:p w:rsidR="002176A8" w:rsidRPr="000A33EA" w:rsidRDefault="000A33EA" w:rsidP="000A33EA">
            <w:pPr>
              <w:spacing w:line="240" w:lineRule="auto"/>
              <w:jc w:val="right"/>
              <w:rPr>
                <w:rFonts w:ascii="Calibri" w:eastAsia="Times New Roman" w:hAnsi="Calibri" w:cs="Calibri"/>
                <w:color w:val="FF0000"/>
                <w:sz w:val="22"/>
                <w:szCs w:val="22"/>
              </w:rPr>
            </w:pPr>
            <w:r>
              <w:rPr>
                <w:rFonts w:ascii="Calibri" w:eastAsia="Times New Roman" w:hAnsi="Calibri" w:cs="Calibri"/>
                <w:color w:val="000000"/>
                <w:sz w:val="22"/>
                <w:szCs w:val="22"/>
              </w:rPr>
              <w:t xml:space="preserve">2010, </w:t>
            </w:r>
            <w:r w:rsidRPr="004B2554">
              <w:rPr>
                <w:rFonts w:ascii="Calibri" w:eastAsia="Times New Roman" w:hAnsi="Calibri" w:cs="Calibri"/>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2A6310">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 xml:space="preserve">NEEA has zip-code data for a majority of sales. NEEA uses its Residential Mapping System to </w:t>
            </w:r>
            <w:r w:rsidR="00E14FEB">
              <w:rPr>
                <w:rFonts w:ascii="Calibri" w:eastAsia="Times New Roman" w:hAnsi="Calibri" w:cs="Calibri"/>
                <w:color w:val="000000"/>
                <w:sz w:val="20"/>
                <w:szCs w:val="22"/>
              </w:rPr>
              <w:t>allocate the savings from these sales</w:t>
            </w:r>
            <w:r w:rsidRPr="00B74A18">
              <w:rPr>
                <w:rFonts w:ascii="Calibri" w:eastAsia="Times New Roman" w:hAnsi="Calibri" w:cs="Calibri"/>
                <w:color w:val="000000"/>
                <w:sz w:val="20"/>
                <w:szCs w:val="22"/>
              </w:rPr>
              <w:t xml:space="preserve">. NEEA apportions the remaining sales using </w:t>
            </w:r>
            <w:r w:rsidR="00AC51EE">
              <w:rPr>
                <w:rFonts w:ascii="Calibri" w:eastAsia="Times New Roman" w:hAnsi="Calibri" w:cs="Calibri"/>
                <w:color w:val="000000"/>
                <w:sz w:val="20"/>
                <w:szCs w:val="22"/>
              </w:rPr>
              <w:t>the same distribution as the</w:t>
            </w:r>
            <w:r w:rsidRPr="00B74A18">
              <w:rPr>
                <w:rFonts w:ascii="Calibri" w:eastAsia="Times New Roman" w:hAnsi="Calibri" w:cs="Calibri"/>
                <w:color w:val="000000"/>
                <w:sz w:val="20"/>
                <w:szCs w:val="22"/>
              </w:rPr>
              <w:t xml:space="preserve"> non-incented</w:t>
            </w:r>
            <w:r w:rsidR="00E14FEB">
              <w:rPr>
                <w:rFonts w:ascii="Calibri" w:eastAsia="Times New Roman" w:hAnsi="Calibri" w:cs="Calibri"/>
                <w:color w:val="000000"/>
                <w:sz w:val="20"/>
                <w:szCs w:val="22"/>
              </w:rPr>
              <w:t>,</w:t>
            </w:r>
            <w:r w:rsidRPr="00B74A18">
              <w:rPr>
                <w:rFonts w:ascii="Calibri" w:eastAsia="Times New Roman" w:hAnsi="Calibri" w:cs="Calibri"/>
                <w:color w:val="000000"/>
                <w:sz w:val="20"/>
                <w:szCs w:val="22"/>
              </w:rPr>
              <w:t xml:space="preserve"> zip-code sales data. </w:t>
            </w:r>
          </w:p>
        </w:tc>
      </w:tr>
      <w:tr w:rsidR="002176A8" w:rsidRPr="00B74A18" w:rsidTr="00C274E4">
        <w:trPr>
          <w:trHeight w:val="224"/>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Appliances</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State</w:t>
            </w:r>
            <w:r w:rsidR="001230EC">
              <w:rPr>
                <w:rFonts w:ascii="Calibri" w:eastAsia="Times New Roman" w:hAnsi="Calibri" w:cs="Calibri"/>
                <w:color w:val="000000"/>
                <w:sz w:val="22"/>
                <w:szCs w:val="22"/>
              </w:rPr>
              <w:t>/County</w:t>
            </w:r>
          </w:p>
        </w:tc>
        <w:tc>
          <w:tcPr>
            <w:tcW w:w="1586" w:type="dxa"/>
            <w:tcBorders>
              <w:top w:val="nil"/>
              <w:left w:val="nil"/>
              <w:bottom w:val="single" w:sz="4" w:space="0" w:color="808080"/>
              <w:right w:val="nil"/>
            </w:tcBorders>
            <w:shd w:val="clear" w:color="auto" w:fill="auto"/>
            <w:noWrap/>
            <w:vAlign w:val="bottom"/>
            <w:hideMark/>
          </w:tcPr>
          <w:p w:rsidR="002176A8" w:rsidRPr="000A33EA" w:rsidRDefault="000A33EA" w:rsidP="00602CE6">
            <w:pPr>
              <w:spacing w:line="240" w:lineRule="auto"/>
              <w:jc w:val="right"/>
              <w:rPr>
                <w:rFonts w:ascii="Calibri" w:eastAsia="Times New Roman" w:hAnsi="Calibri" w:cs="Calibri"/>
                <w:color w:val="FF0000"/>
                <w:sz w:val="22"/>
                <w:szCs w:val="22"/>
              </w:rPr>
            </w:pPr>
            <w:r>
              <w:rPr>
                <w:rFonts w:ascii="Calibri" w:eastAsia="Times New Roman" w:hAnsi="Calibri" w:cs="Calibri"/>
                <w:color w:val="000000"/>
                <w:sz w:val="22"/>
                <w:szCs w:val="22"/>
              </w:rPr>
              <w:t>2010 (</w:t>
            </w:r>
            <w:r w:rsidR="00602CE6">
              <w:rPr>
                <w:rFonts w:ascii="Calibri" w:eastAsia="Times New Roman" w:hAnsi="Calibri" w:cs="Calibri"/>
                <w:color w:val="000000"/>
                <w:sz w:val="22"/>
                <w:szCs w:val="22"/>
              </w:rPr>
              <w:t>S</w:t>
            </w:r>
            <w:r>
              <w:rPr>
                <w:rFonts w:ascii="Calibri" w:eastAsia="Times New Roman" w:hAnsi="Calibri" w:cs="Calibri"/>
                <w:color w:val="000000"/>
                <w:sz w:val="22"/>
                <w:szCs w:val="22"/>
              </w:rPr>
              <w:t xml:space="preserve">tate), </w:t>
            </w:r>
            <w:r w:rsidRPr="00B74A18">
              <w:rPr>
                <w:rFonts w:ascii="Calibri" w:eastAsia="Times New Roman" w:hAnsi="Calibri" w:cs="Calibri"/>
                <w:color w:val="000000"/>
                <w:sz w:val="22"/>
                <w:szCs w:val="22"/>
              </w:rPr>
              <w:t>2011</w:t>
            </w:r>
            <w:r>
              <w:rPr>
                <w:rFonts w:ascii="Calibri" w:eastAsia="Times New Roman" w:hAnsi="Calibri" w:cs="Calibri"/>
                <w:color w:val="000000"/>
                <w:sz w:val="22"/>
                <w:szCs w:val="22"/>
              </w:rPr>
              <w:t xml:space="preserve"> (</w:t>
            </w:r>
            <w:r w:rsidR="00602CE6">
              <w:rPr>
                <w:rFonts w:ascii="Calibri" w:eastAsia="Times New Roman" w:hAnsi="Calibri" w:cs="Calibri"/>
                <w:color w:val="000000"/>
                <w:sz w:val="22"/>
                <w:szCs w:val="22"/>
              </w:rPr>
              <w:t>County</w:t>
            </w:r>
            <w:r>
              <w:rPr>
                <w:rFonts w:ascii="Calibri" w:eastAsia="Times New Roman" w:hAnsi="Calibri" w:cs="Calibri"/>
                <w:color w:val="000000"/>
                <w:sz w:val="22"/>
                <w:szCs w:val="22"/>
              </w:rPr>
              <w:t>)</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C274E4" w:rsidP="00C274E4">
            <w:pPr>
              <w:spacing w:line="240" w:lineRule="auto"/>
              <w:rPr>
                <w:rFonts w:ascii="Calibri" w:eastAsia="Times New Roman" w:hAnsi="Calibri" w:cs="Calibri"/>
                <w:color w:val="000000"/>
                <w:sz w:val="20"/>
                <w:szCs w:val="22"/>
              </w:rPr>
            </w:pPr>
            <w:r>
              <w:rPr>
                <w:rFonts w:ascii="Calibri" w:eastAsia="Times New Roman" w:hAnsi="Calibri" w:cs="Calibri"/>
                <w:color w:val="000000"/>
                <w:sz w:val="20"/>
                <w:szCs w:val="22"/>
              </w:rPr>
              <w:t xml:space="preserve">NEEA </w:t>
            </w:r>
            <w:r w:rsidR="002A6310">
              <w:rPr>
                <w:rFonts w:ascii="Calibri" w:eastAsia="Times New Roman" w:hAnsi="Calibri" w:cs="Calibri"/>
                <w:color w:val="000000"/>
                <w:sz w:val="20"/>
                <w:szCs w:val="22"/>
              </w:rPr>
              <w:t xml:space="preserve">has </w:t>
            </w:r>
            <w:r>
              <w:rPr>
                <w:rFonts w:ascii="Calibri" w:eastAsia="Times New Roman" w:hAnsi="Calibri" w:cs="Calibri"/>
                <w:color w:val="000000"/>
                <w:sz w:val="20"/>
                <w:szCs w:val="22"/>
              </w:rPr>
              <w:t xml:space="preserve">total </w:t>
            </w:r>
            <w:r w:rsidR="002A6310">
              <w:rPr>
                <w:rFonts w:ascii="Calibri" w:eastAsia="Times New Roman" w:hAnsi="Calibri" w:cs="Calibri"/>
                <w:color w:val="000000"/>
                <w:sz w:val="20"/>
                <w:szCs w:val="22"/>
              </w:rPr>
              <w:t xml:space="preserve">appliance </w:t>
            </w:r>
            <w:r>
              <w:rPr>
                <w:rFonts w:ascii="Calibri" w:eastAsia="Times New Roman" w:hAnsi="Calibri" w:cs="Calibri"/>
                <w:color w:val="000000"/>
                <w:sz w:val="20"/>
                <w:szCs w:val="22"/>
              </w:rPr>
              <w:t xml:space="preserve">sales data by county for 2011 and by state for 2010.  </w:t>
            </w:r>
            <w:r w:rsidR="002176A8" w:rsidRPr="00B74A18">
              <w:rPr>
                <w:rFonts w:ascii="Calibri" w:eastAsia="Times New Roman" w:hAnsi="Calibri" w:cs="Calibri"/>
                <w:color w:val="000000"/>
                <w:sz w:val="20"/>
                <w:szCs w:val="22"/>
              </w:rPr>
              <w:t xml:space="preserve">NEEA allocates the </w:t>
            </w:r>
            <w:r>
              <w:rPr>
                <w:rFonts w:ascii="Calibri" w:eastAsia="Times New Roman" w:hAnsi="Calibri" w:cs="Calibri"/>
                <w:color w:val="000000"/>
                <w:sz w:val="20"/>
                <w:szCs w:val="22"/>
              </w:rPr>
              <w:t xml:space="preserve">2011 </w:t>
            </w:r>
            <w:r w:rsidR="002176A8" w:rsidRPr="00B74A18">
              <w:rPr>
                <w:rFonts w:ascii="Calibri" w:eastAsia="Times New Roman" w:hAnsi="Calibri" w:cs="Calibri"/>
                <w:color w:val="000000"/>
                <w:sz w:val="20"/>
                <w:szCs w:val="22"/>
              </w:rPr>
              <w:t xml:space="preserve">savings </w:t>
            </w:r>
            <w:r w:rsidR="002176A8">
              <w:rPr>
                <w:rFonts w:ascii="Calibri" w:eastAsia="Times New Roman" w:hAnsi="Calibri" w:cs="Calibri"/>
                <w:color w:val="000000"/>
                <w:sz w:val="20"/>
                <w:szCs w:val="22"/>
              </w:rPr>
              <w:t>using</w:t>
            </w:r>
            <w:r w:rsidR="00AD06C6">
              <w:rPr>
                <w:rFonts w:ascii="Calibri" w:eastAsia="Times New Roman" w:hAnsi="Calibri" w:cs="Calibri"/>
                <w:color w:val="000000"/>
                <w:sz w:val="20"/>
                <w:szCs w:val="22"/>
              </w:rPr>
              <w:t xml:space="preserve"> its </w:t>
            </w:r>
            <w:r w:rsidR="00AD06C6" w:rsidRPr="00B74A18">
              <w:rPr>
                <w:rFonts w:ascii="Calibri" w:eastAsia="Times New Roman" w:hAnsi="Calibri" w:cs="Calibri"/>
                <w:color w:val="000000"/>
                <w:sz w:val="20"/>
                <w:szCs w:val="22"/>
              </w:rPr>
              <w:t>Residential Mapping System</w:t>
            </w:r>
            <w:r>
              <w:rPr>
                <w:rFonts w:ascii="Calibri" w:eastAsia="Times New Roman" w:hAnsi="Calibri" w:cs="Calibri"/>
                <w:color w:val="000000"/>
                <w:sz w:val="20"/>
                <w:szCs w:val="22"/>
              </w:rPr>
              <w:t xml:space="preserve"> and the 2010 savings using </w:t>
            </w:r>
            <w:r w:rsidRPr="00B74A18">
              <w:rPr>
                <w:rFonts w:ascii="Calibri" w:eastAsia="Times New Roman" w:hAnsi="Calibri" w:cs="Calibri"/>
                <w:color w:val="000000"/>
                <w:sz w:val="20"/>
                <w:szCs w:val="22"/>
              </w:rPr>
              <w:t>the share of</w:t>
            </w:r>
            <w:r>
              <w:rPr>
                <w:rFonts w:ascii="Calibri" w:eastAsia="Times New Roman" w:hAnsi="Calibri" w:cs="Calibri"/>
                <w:color w:val="000000"/>
                <w:sz w:val="20"/>
                <w:szCs w:val="22"/>
              </w:rPr>
              <w:t xml:space="preserve"> state</w:t>
            </w:r>
            <w:r w:rsidRPr="00B74A18">
              <w:rPr>
                <w:rFonts w:ascii="Calibri" w:eastAsia="Times New Roman" w:hAnsi="Calibri" w:cs="Calibri"/>
                <w:color w:val="000000"/>
                <w:sz w:val="20"/>
                <w:szCs w:val="22"/>
              </w:rPr>
              <w:t xml:space="preserve"> residential customer accounts</w:t>
            </w:r>
            <w:r>
              <w:rPr>
                <w:rFonts w:ascii="Calibri" w:eastAsia="Times New Roman" w:hAnsi="Calibri" w:cs="Calibri"/>
                <w:color w:val="000000"/>
                <w:sz w:val="20"/>
                <w:szCs w:val="22"/>
              </w:rPr>
              <w:t xml:space="preserve">.  </w:t>
            </w:r>
          </w:p>
        </w:tc>
      </w:tr>
      <w:tr w:rsidR="002176A8" w:rsidRPr="00B74A18" w:rsidTr="00C274E4">
        <w:trPr>
          <w:trHeight w:val="287"/>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 xml:space="preserve">Commercial Lighting Solutions </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Service Territory</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has service territory data.</w:t>
            </w:r>
          </w:p>
        </w:tc>
      </w:tr>
      <w:tr w:rsidR="00970FE6" w:rsidRPr="00B74A18" w:rsidTr="00C274E4">
        <w:trPr>
          <w:trHeight w:val="287"/>
        </w:trPr>
        <w:tc>
          <w:tcPr>
            <w:tcW w:w="2985" w:type="dxa"/>
            <w:tcBorders>
              <w:top w:val="nil"/>
              <w:left w:val="single" w:sz="8" w:space="0" w:color="808080"/>
              <w:bottom w:val="single" w:sz="4" w:space="0" w:color="808080"/>
              <w:right w:val="nil"/>
            </w:tcBorders>
            <w:shd w:val="clear" w:color="auto" w:fill="auto"/>
            <w:noWrap/>
            <w:vAlign w:val="bottom"/>
          </w:tcPr>
          <w:p w:rsidR="00970FE6" w:rsidRPr="00B74A18" w:rsidRDefault="00970F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Commercial Real Estate</w:t>
            </w:r>
          </w:p>
        </w:tc>
        <w:tc>
          <w:tcPr>
            <w:tcW w:w="1800" w:type="dxa"/>
            <w:tcBorders>
              <w:top w:val="nil"/>
              <w:left w:val="nil"/>
              <w:bottom w:val="single" w:sz="4" w:space="0" w:color="808080"/>
              <w:right w:val="nil"/>
            </w:tcBorders>
            <w:shd w:val="clear" w:color="auto" w:fill="auto"/>
            <w:noWrap/>
            <w:vAlign w:val="bottom"/>
          </w:tcPr>
          <w:p w:rsidR="00970FE6" w:rsidRPr="00B74A18" w:rsidRDefault="00970FE6" w:rsidP="00467EC4">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Service Territory</w:t>
            </w:r>
          </w:p>
        </w:tc>
        <w:tc>
          <w:tcPr>
            <w:tcW w:w="1586" w:type="dxa"/>
            <w:tcBorders>
              <w:top w:val="nil"/>
              <w:left w:val="nil"/>
              <w:bottom w:val="single" w:sz="4" w:space="0" w:color="808080"/>
              <w:right w:val="nil"/>
            </w:tcBorders>
            <w:shd w:val="clear" w:color="auto" w:fill="auto"/>
            <w:noWrap/>
            <w:vAlign w:val="bottom"/>
          </w:tcPr>
          <w:p w:rsidR="00970FE6" w:rsidRPr="00B74A18" w:rsidRDefault="00970FE6" w:rsidP="00467EC4">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tcPr>
          <w:p w:rsidR="00970FE6" w:rsidRPr="00B74A18" w:rsidRDefault="00970FE6" w:rsidP="00467EC4">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has service territory data.</w:t>
            </w:r>
          </w:p>
        </w:tc>
      </w:tr>
      <w:tr w:rsidR="002176A8" w:rsidRPr="00B74A18" w:rsidTr="00C274E4">
        <w:trPr>
          <w:trHeight w:val="287"/>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Healthcare</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Service Territory</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has service territory data.</w:t>
            </w:r>
          </w:p>
        </w:tc>
      </w:tr>
      <w:tr w:rsidR="002176A8" w:rsidRPr="00B74A18" w:rsidTr="00C274E4">
        <w:trPr>
          <w:trHeight w:val="576"/>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Business IT</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602C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Zip Code</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1230EC" w:rsidP="00DB3F3B">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 xml:space="preserve">NEEA has zip-code sales for </w:t>
            </w:r>
            <w:r w:rsidR="00970FE6">
              <w:rPr>
                <w:rFonts w:ascii="Calibri" w:eastAsia="Times New Roman" w:hAnsi="Calibri" w:cs="Calibri"/>
                <w:color w:val="000000"/>
                <w:sz w:val="20"/>
                <w:szCs w:val="22"/>
              </w:rPr>
              <w:t xml:space="preserve">approximately </w:t>
            </w:r>
            <w:r w:rsidR="00970FE6" w:rsidRPr="00DB3F3B">
              <w:rPr>
                <w:rFonts w:ascii="Calibri" w:eastAsia="Times New Roman" w:hAnsi="Calibri" w:cs="Calibri"/>
                <w:color w:val="000000"/>
                <w:sz w:val="20"/>
                <w:szCs w:val="22"/>
              </w:rPr>
              <w:t>1</w:t>
            </w:r>
            <w:r w:rsidR="00DB3F3B" w:rsidRPr="00DB3F3B">
              <w:rPr>
                <w:rFonts w:ascii="Calibri" w:eastAsia="Times New Roman" w:hAnsi="Calibri" w:cs="Calibri"/>
                <w:color w:val="000000"/>
                <w:sz w:val="20"/>
                <w:szCs w:val="22"/>
              </w:rPr>
              <w:t>5</w:t>
            </w:r>
            <w:r w:rsidR="00970FE6" w:rsidRPr="00DB3F3B">
              <w:rPr>
                <w:rFonts w:ascii="Calibri" w:eastAsia="Times New Roman" w:hAnsi="Calibri" w:cs="Calibri"/>
                <w:color w:val="000000"/>
                <w:sz w:val="20"/>
                <w:szCs w:val="22"/>
              </w:rPr>
              <w:t>%</w:t>
            </w:r>
            <w:r w:rsidR="00970FE6">
              <w:rPr>
                <w:rFonts w:ascii="Calibri" w:eastAsia="Times New Roman" w:hAnsi="Calibri" w:cs="Calibri"/>
                <w:color w:val="000000"/>
                <w:sz w:val="20"/>
                <w:szCs w:val="22"/>
              </w:rPr>
              <w:t xml:space="preserve"> </w:t>
            </w:r>
            <w:r>
              <w:rPr>
                <w:rFonts w:ascii="Calibri" w:eastAsia="Times New Roman" w:hAnsi="Calibri" w:cs="Calibri"/>
                <w:color w:val="000000"/>
                <w:sz w:val="20"/>
                <w:szCs w:val="22"/>
              </w:rPr>
              <w:t>of the desktop shipments</w:t>
            </w:r>
            <w:r w:rsidRPr="00B74A18">
              <w:rPr>
                <w:rFonts w:ascii="Calibri" w:eastAsia="Times New Roman" w:hAnsi="Calibri" w:cs="Calibri"/>
                <w:color w:val="000000"/>
                <w:sz w:val="20"/>
                <w:szCs w:val="22"/>
              </w:rPr>
              <w:t xml:space="preserve">. NEEA </w:t>
            </w:r>
            <w:r>
              <w:rPr>
                <w:rFonts w:ascii="Calibri" w:eastAsia="Times New Roman" w:hAnsi="Calibri" w:cs="Calibri"/>
                <w:color w:val="000000"/>
                <w:sz w:val="20"/>
                <w:szCs w:val="22"/>
              </w:rPr>
              <w:t>uses this data and</w:t>
            </w:r>
            <w:r w:rsidRPr="00B74A18">
              <w:rPr>
                <w:rFonts w:ascii="Calibri" w:eastAsia="Times New Roman" w:hAnsi="Calibri" w:cs="Calibri"/>
                <w:color w:val="000000"/>
                <w:sz w:val="20"/>
                <w:szCs w:val="22"/>
              </w:rPr>
              <w:t xml:space="preserve"> its </w:t>
            </w:r>
            <w:r>
              <w:rPr>
                <w:rFonts w:ascii="Calibri" w:eastAsia="Times New Roman" w:hAnsi="Calibri" w:cs="Calibri"/>
                <w:color w:val="000000"/>
                <w:sz w:val="20"/>
                <w:szCs w:val="22"/>
              </w:rPr>
              <w:t>Non-</w:t>
            </w:r>
            <w:r w:rsidRPr="00B74A18">
              <w:rPr>
                <w:rFonts w:ascii="Calibri" w:eastAsia="Times New Roman" w:hAnsi="Calibri" w:cs="Calibri"/>
                <w:color w:val="000000"/>
                <w:sz w:val="20"/>
                <w:szCs w:val="22"/>
              </w:rPr>
              <w:t>Residential Mapping System</w:t>
            </w:r>
            <w:r>
              <w:rPr>
                <w:rFonts w:ascii="Calibri" w:eastAsia="Times New Roman" w:hAnsi="Calibri" w:cs="Calibri"/>
                <w:color w:val="000000"/>
                <w:sz w:val="20"/>
                <w:szCs w:val="22"/>
              </w:rPr>
              <w:t xml:space="preserve"> to allocate the savings</w:t>
            </w:r>
            <w:r w:rsidRPr="00B74A18">
              <w:rPr>
                <w:rFonts w:ascii="Calibri" w:eastAsia="Times New Roman" w:hAnsi="Calibri" w:cs="Calibri"/>
                <w:color w:val="000000"/>
                <w:sz w:val="20"/>
                <w:szCs w:val="22"/>
              </w:rPr>
              <w:t>.</w:t>
            </w:r>
          </w:p>
        </w:tc>
      </w:tr>
      <w:tr w:rsidR="002176A8" w:rsidRPr="00B74A18" w:rsidTr="00C274E4">
        <w:trPr>
          <w:trHeight w:val="188"/>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Commercial Codes</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State</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allocates the savings based on the</w:t>
            </w:r>
            <w:r>
              <w:rPr>
                <w:rFonts w:ascii="Calibri" w:eastAsia="Times New Roman" w:hAnsi="Calibri" w:cs="Calibri"/>
                <w:color w:val="000000"/>
                <w:sz w:val="20"/>
                <w:szCs w:val="22"/>
              </w:rPr>
              <w:t xml:space="preserve"> </w:t>
            </w:r>
            <w:r w:rsidRPr="00B74A18">
              <w:rPr>
                <w:rFonts w:ascii="Calibri" w:eastAsia="Times New Roman" w:hAnsi="Calibri" w:cs="Calibri"/>
                <w:color w:val="000000"/>
                <w:sz w:val="20"/>
                <w:szCs w:val="22"/>
              </w:rPr>
              <w:t>share of non-residential load within the state</w:t>
            </w:r>
            <w:r w:rsidR="007D3541">
              <w:rPr>
                <w:rFonts w:ascii="Calibri" w:eastAsia="Times New Roman" w:hAnsi="Calibri" w:cs="Calibri"/>
                <w:color w:val="000000"/>
                <w:sz w:val="20"/>
                <w:szCs w:val="22"/>
              </w:rPr>
              <w:t>s</w:t>
            </w:r>
            <w:r w:rsidRPr="00B74A18">
              <w:rPr>
                <w:rFonts w:ascii="Calibri" w:eastAsia="Times New Roman" w:hAnsi="Calibri" w:cs="Calibri"/>
                <w:color w:val="000000"/>
                <w:sz w:val="20"/>
                <w:szCs w:val="22"/>
              </w:rPr>
              <w:t>.</w:t>
            </w:r>
          </w:p>
        </w:tc>
      </w:tr>
      <w:tr w:rsidR="002176A8" w:rsidRPr="00B74A18" w:rsidTr="00C274E4">
        <w:trPr>
          <w:trHeight w:val="287"/>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Building Operator Certification</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602C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State</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0A33EA"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Pr="00B74A18">
              <w:rPr>
                <w:rFonts w:ascii="Calibri" w:eastAsia="Times New Roman" w:hAnsi="Calibri" w:cs="Calibri"/>
                <w:color w:val="000000"/>
                <w:sz w:val="22"/>
                <w:szCs w:val="22"/>
              </w:rPr>
              <w:t>2011</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7D3541"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allocates the savings based on the</w:t>
            </w:r>
            <w:r>
              <w:rPr>
                <w:rFonts w:ascii="Calibri" w:eastAsia="Times New Roman" w:hAnsi="Calibri" w:cs="Calibri"/>
                <w:color w:val="000000"/>
                <w:sz w:val="20"/>
                <w:szCs w:val="22"/>
              </w:rPr>
              <w:t xml:space="preserve"> </w:t>
            </w:r>
            <w:r w:rsidRPr="00B74A18">
              <w:rPr>
                <w:rFonts w:ascii="Calibri" w:eastAsia="Times New Roman" w:hAnsi="Calibri" w:cs="Calibri"/>
                <w:color w:val="000000"/>
                <w:sz w:val="20"/>
                <w:szCs w:val="22"/>
              </w:rPr>
              <w:t>share of non-residential load within the state</w:t>
            </w:r>
            <w:r>
              <w:rPr>
                <w:rFonts w:ascii="Calibri" w:eastAsia="Times New Roman" w:hAnsi="Calibri" w:cs="Calibri"/>
                <w:color w:val="000000"/>
                <w:sz w:val="20"/>
                <w:szCs w:val="22"/>
              </w:rPr>
              <w:t>s</w:t>
            </w:r>
            <w:r w:rsidRPr="00B74A18">
              <w:rPr>
                <w:rFonts w:ascii="Calibri" w:eastAsia="Times New Roman" w:hAnsi="Calibri" w:cs="Calibri"/>
                <w:color w:val="000000"/>
                <w:sz w:val="20"/>
                <w:szCs w:val="22"/>
              </w:rPr>
              <w:t>.</w:t>
            </w:r>
          </w:p>
        </w:tc>
      </w:tr>
      <w:tr w:rsidR="002176A8" w:rsidRPr="00B74A18" w:rsidTr="00C274E4">
        <w:trPr>
          <w:trHeight w:val="503"/>
        </w:trPr>
        <w:tc>
          <w:tcPr>
            <w:tcW w:w="2985" w:type="dxa"/>
            <w:tcBorders>
              <w:top w:val="nil"/>
              <w:left w:val="single" w:sz="8" w:space="0" w:color="808080"/>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Drive Power</w:t>
            </w:r>
          </w:p>
        </w:tc>
        <w:tc>
          <w:tcPr>
            <w:tcW w:w="1800"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State</w:t>
            </w:r>
          </w:p>
        </w:tc>
        <w:tc>
          <w:tcPr>
            <w:tcW w:w="1586" w:type="dxa"/>
            <w:tcBorders>
              <w:top w:val="nil"/>
              <w:left w:val="nil"/>
              <w:bottom w:val="single" w:sz="4" w:space="0" w:color="808080"/>
              <w:right w:val="nil"/>
            </w:tcBorders>
            <w:shd w:val="clear" w:color="auto" w:fill="auto"/>
            <w:noWrap/>
            <w:vAlign w:val="bottom"/>
            <w:hideMark/>
          </w:tcPr>
          <w:p w:rsidR="002176A8" w:rsidRPr="00B74A18" w:rsidRDefault="002176A8" w:rsidP="000A33EA">
            <w:pPr>
              <w:spacing w:line="240" w:lineRule="auto"/>
              <w:jc w:val="right"/>
              <w:rPr>
                <w:rFonts w:ascii="Calibri" w:eastAsia="Times New Roman" w:hAnsi="Calibri" w:cs="Calibri"/>
                <w:color w:val="000000"/>
                <w:sz w:val="22"/>
                <w:szCs w:val="22"/>
              </w:rPr>
            </w:pPr>
            <w:r w:rsidRPr="00B74A18">
              <w:rPr>
                <w:rFonts w:ascii="Calibri" w:eastAsia="Times New Roman" w:hAnsi="Calibri" w:cs="Calibri"/>
                <w:color w:val="000000"/>
                <w:sz w:val="22"/>
                <w:szCs w:val="22"/>
              </w:rPr>
              <w:t>2009</w:t>
            </w:r>
          </w:p>
        </w:tc>
        <w:tc>
          <w:tcPr>
            <w:tcW w:w="7406" w:type="dxa"/>
            <w:tcBorders>
              <w:top w:val="nil"/>
              <w:left w:val="nil"/>
              <w:bottom w:val="single" w:sz="4" w:space="0" w:color="808080"/>
              <w:right w:val="single" w:sz="8" w:space="0" w:color="808080"/>
            </w:tcBorders>
            <w:shd w:val="clear" w:color="auto" w:fill="auto"/>
            <w:vAlign w:val="bottom"/>
            <w:hideMark/>
          </w:tcPr>
          <w:p w:rsidR="002176A8" w:rsidRPr="00B74A18" w:rsidRDefault="002176A8" w:rsidP="002315A3">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has state data</w:t>
            </w:r>
            <w:r w:rsidR="007D068E">
              <w:rPr>
                <w:rFonts w:ascii="Calibri" w:eastAsia="Times New Roman" w:hAnsi="Calibri" w:cs="Calibri"/>
                <w:color w:val="000000"/>
                <w:sz w:val="20"/>
                <w:szCs w:val="22"/>
              </w:rPr>
              <w:t xml:space="preserve"> for 2009 and a regional</w:t>
            </w:r>
            <w:r w:rsidR="002315A3">
              <w:rPr>
                <w:rFonts w:ascii="Calibri" w:eastAsia="Times New Roman" w:hAnsi="Calibri" w:cs="Calibri"/>
                <w:color w:val="000000"/>
                <w:sz w:val="20"/>
                <w:szCs w:val="22"/>
              </w:rPr>
              <w:t xml:space="preserve"> estimate of 2010-</w:t>
            </w:r>
            <w:r w:rsidR="007D068E">
              <w:rPr>
                <w:rFonts w:ascii="Calibri" w:eastAsia="Times New Roman" w:hAnsi="Calibri" w:cs="Calibri"/>
                <w:color w:val="000000"/>
                <w:sz w:val="20"/>
                <w:szCs w:val="22"/>
              </w:rPr>
              <w:t>2011 savings</w:t>
            </w:r>
            <w:r w:rsidRPr="00B74A18">
              <w:rPr>
                <w:rFonts w:ascii="Calibri" w:eastAsia="Times New Roman" w:hAnsi="Calibri" w:cs="Calibri"/>
                <w:color w:val="000000"/>
                <w:sz w:val="20"/>
                <w:szCs w:val="22"/>
              </w:rPr>
              <w:t xml:space="preserve">. NEEA allocates the savings based on the </w:t>
            </w:r>
            <w:r w:rsidR="007D068E">
              <w:rPr>
                <w:rFonts w:ascii="Calibri" w:eastAsia="Times New Roman" w:hAnsi="Calibri" w:cs="Calibri"/>
                <w:color w:val="000000"/>
                <w:sz w:val="20"/>
                <w:szCs w:val="22"/>
              </w:rPr>
              <w:t xml:space="preserve">2009 </w:t>
            </w:r>
            <w:r w:rsidRPr="00B74A18">
              <w:rPr>
                <w:rFonts w:ascii="Calibri" w:eastAsia="Times New Roman" w:hAnsi="Calibri" w:cs="Calibri"/>
                <w:color w:val="000000"/>
                <w:sz w:val="20"/>
                <w:szCs w:val="22"/>
              </w:rPr>
              <w:t>share of non-residential load within the state</w:t>
            </w:r>
            <w:r w:rsidR="007D068E">
              <w:rPr>
                <w:rFonts w:ascii="Calibri" w:eastAsia="Times New Roman" w:hAnsi="Calibri" w:cs="Calibri"/>
                <w:color w:val="000000"/>
                <w:sz w:val="20"/>
                <w:szCs w:val="22"/>
              </w:rPr>
              <w:t>s</w:t>
            </w:r>
            <w:r w:rsidRPr="00B74A18">
              <w:rPr>
                <w:rFonts w:ascii="Calibri" w:eastAsia="Times New Roman" w:hAnsi="Calibri" w:cs="Calibri"/>
                <w:color w:val="000000"/>
                <w:sz w:val="20"/>
                <w:szCs w:val="22"/>
              </w:rPr>
              <w:t>.</w:t>
            </w:r>
          </w:p>
        </w:tc>
      </w:tr>
      <w:tr w:rsidR="00DB0E81" w:rsidRPr="00B74A18" w:rsidTr="002315A3">
        <w:trPr>
          <w:trHeight w:val="71"/>
        </w:trPr>
        <w:tc>
          <w:tcPr>
            <w:tcW w:w="2985" w:type="dxa"/>
            <w:tcBorders>
              <w:top w:val="nil"/>
              <w:left w:val="single" w:sz="8" w:space="0" w:color="808080"/>
              <w:bottom w:val="single" w:sz="4" w:space="0" w:color="808080"/>
              <w:right w:val="nil"/>
            </w:tcBorders>
            <w:shd w:val="clear" w:color="auto" w:fill="auto"/>
            <w:noWrap/>
            <w:vAlign w:val="bottom"/>
          </w:tcPr>
          <w:p w:rsidR="00DB0E81" w:rsidRPr="00B74A18" w:rsidRDefault="00DB0E81"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Drive Power Rewinds</w:t>
            </w:r>
          </w:p>
        </w:tc>
        <w:tc>
          <w:tcPr>
            <w:tcW w:w="1800" w:type="dxa"/>
            <w:tcBorders>
              <w:top w:val="nil"/>
              <w:left w:val="nil"/>
              <w:bottom w:val="single" w:sz="4" w:space="0" w:color="808080"/>
              <w:right w:val="nil"/>
            </w:tcBorders>
            <w:shd w:val="clear" w:color="auto" w:fill="auto"/>
            <w:noWrap/>
            <w:vAlign w:val="bottom"/>
          </w:tcPr>
          <w:p w:rsidR="00DB0E81" w:rsidRPr="00B74A18" w:rsidRDefault="00DB0E81"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State</w:t>
            </w:r>
          </w:p>
        </w:tc>
        <w:tc>
          <w:tcPr>
            <w:tcW w:w="1586" w:type="dxa"/>
            <w:tcBorders>
              <w:top w:val="nil"/>
              <w:left w:val="nil"/>
              <w:bottom w:val="single" w:sz="4" w:space="0" w:color="808080"/>
              <w:right w:val="nil"/>
            </w:tcBorders>
            <w:shd w:val="clear" w:color="auto" w:fill="auto"/>
            <w:noWrap/>
            <w:vAlign w:val="bottom"/>
          </w:tcPr>
          <w:p w:rsidR="00DB0E81" w:rsidRPr="00B74A18" w:rsidRDefault="00DB0E81"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2010, 2011</w:t>
            </w:r>
          </w:p>
        </w:tc>
        <w:tc>
          <w:tcPr>
            <w:tcW w:w="7406" w:type="dxa"/>
            <w:tcBorders>
              <w:top w:val="nil"/>
              <w:left w:val="nil"/>
              <w:bottom w:val="single" w:sz="4" w:space="0" w:color="808080"/>
              <w:right w:val="single" w:sz="8" w:space="0" w:color="808080"/>
            </w:tcBorders>
            <w:shd w:val="clear" w:color="auto" w:fill="auto"/>
            <w:vAlign w:val="bottom"/>
          </w:tcPr>
          <w:p w:rsidR="00DB0E81" w:rsidRPr="00B74A18" w:rsidRDefault="00DB0E81"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allocates the savings based on the share of non-residential load within the state</w:t>
            </w:r>
            <w:r w:rsidR="007D068E">
              <w:rPr>
                <w:rFonts w:ascii="Calibri" w:eastAsia="Times New Roman" w:hAnsi="Calibri" w:cs="Calibri"/>
                <w:color w:val="000000"/>
                <w:sz w:val="20"/>
                <w:szCs w:val="22"/>
              </w:rPr>
              <w:t>s</w:t>
            </w:r>
            <w:r w:rsidRPr="00B74A18">
              <w:rPr>
                <w:rFonts w:ascii="Calibri" w:eastAsia="Times New Roman" w:hAnsi="Calibri" w:cs="Calibri"/>
                <w:color w:val="000000"/>
                <w:sz w:val="20"/>
                <w:szCs w:val="22"/>
              </w:rPr>
              <w:t>.</w:t>
            </w:r>
          </w:p>
        </w:tc>
      </w:tr>
      <w:tr w:rsidR="002176A8" w:rsidRPr="00B74A18" w:rsidTr="00C274E4">
        <w:trPr>
          <w:trHeight w:val="89"/>
        </w:trPr>
        <w:tc>
          <w:tcPr>
            <w:tcW w:w="2985" w:type="dxa"/>
            <w:tcBorders>
              <w:top w:val="nil"/>
              <w:left w:val="single" w:sz="8" w:space="0" w:color="808080"/>
              <w:bottom w:val="single" w:sz="8" w:space="0" w:color="808080"/>
              <w:right w:val="nil"/>
            </w:tcBorders>
            <w:shd w:val="clear" w:color="auto" w:fill="auto"/>
            <w:noWrap/>
            <w:vAlign w:val="bottom"/>
            <w:hideMark/>
          </w:tcPr>
          <w:p w:rsidR="002176A8" w:rsidRPr="00B74A18" w:rsidRDefault="002176A8" w:rsidP="000A33EA">
            <w:pPr>
              <w:spacing w:line="240" w:lineRule="auto"/>
              <w:rPr>
                <w:rFonts w:ascii="Calibri" w:eastAsia="Times New Roman" w:hAnsi="Calibri" w:cs="Calibri"/>
                <w:color w:val="000000"/>
                <w:sz w:val="22"/>
                <w:szCs w:val="22"/>
              </w:rPr>
            </w:pPr>
            <w:r w:rsidRPr="00B74A18">
              <w:rPr>
                <w:rFonts w:ascii="Calibri" w:eastAsia="Times New Roman" w:hAnsi="Calibri" w:cs="Calibri"/>
                <w:color w:val="000000"/>
                <w:sz w:val="22"/>
                <w:szCs w:val="22"/>
              </w:rPr>
              <w:t>AM400 Data Logger</w:t>
            </w:r>
          </w:p>
        </w:tc>
        <w:tc>
          <w:tcPr>
            <w:tcW w:w="1800" w:type="dxa"/>
            <w:tcBorders>
              <w:top w:val="nil"/>
              <w:left w:val="nil"/>
              <w:bottom w:val="single" w:sz="8" w:space="0" w:color="808080"/>
              <w:right w:val="nil"/>
            </w:tcBorders>
            <w:shd w:val="clear" w:color="auto" w:fill="auto"/>
            <w:noWrap/>
            <w:vAlign w:val="bottom"/>
            <w:hideMark/>
          </w:tcPr>
          <w:p w:rsidR="002176A8" w:rsidRPr="00B74A18" w:rsidRDefault="00602C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Zip Code</w:t>
            </w:r>
          </w:p>
        </w:tc>
        <w:tc>
          <w:tcPr>
            <w:tcW w:w="1586" w:type="dxa"/>
            <w:tcBorders>
              <w:top w:val="nil"/>
              <w:left w:val="nil"/>
              <w:bottom w:val="single" w:sz="8" w:space="0" w:color="808080"/>
              <w:right w:val="nil"/>
            </w:tcBorders>
            <w:shd w:val="clear" w:color="auto" w:fill="auto"/>
            <w:noWrap/>
            <w:vAlign w:val="bottom"/>
            <w:hideMark/>
          </w:tcPr>
          <w:p w:rsidR="002176A8" w:rsidRPr="00B74A18" w:rsidRDefault="00DB0E81"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2010, </w:t>
            </w:r>
            <w:r w:rsidR="002176A8" w:rsidRPr="00B74A18">
              <w:rPr>
                <w:rFonts w:ascii="Calibri" w:eastAsia="Times New Roman" w:hAnsi="Calibri" w:cs="Calibri"/>
                <w:color w:val="000000"/>
                <w:sz w:val="22"/>
                <w:szCs w:val="22"/>
              </w:rPr>
              <w:t>2011</w:t>
            </w:r>
          </w:p>
        </w:tc>
        <w:tc>
          <w:tcPr>
            <w:tcW w:w="7406" w:type="dxa"/>
            <w:tcBorders>
              <w:top w:val="nil"/>
              <w:left w:val="nil"/>
              <w:bottom w:val="single" w:sz="8" w:space="0" w:color="808080"/>
              <w:right w:val="single" w:sz="8" w:space="0" w:color="808080"/>
            </w:tcBorders>
            <w:shd w:val="clear" w:color="auto" w:fill="auto"/>
            <w:vAlign w:val="bottom"/>
            <w:hideMark/>
          </w:tcPr>
          <w:p w:rsidR="002176A8" w:rsidRPr="00B74A18" w:rsidRDefault="002176A8" w:rsidP="002315A3">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 xml:space="preserve">NEEA has zip code place of use data. NEEA allocates the savings based on the utility provider within the zip code. </w:t>
            </w:r>
          </w:p>
        </w:tc>
      </w:tr>
      <w:tr w:rsidR="00CB2645" w:rsidRPr="00B74A18" w:rsidTr="002315A3">
        <w:trPr>
          <w:trHeight w:val="88"/>
        </w:trPr>
        <w:tc>
          <w:tcPr>
            <w:tcW w:w="2985" w:type="dxa"/>
            <w:tcBorders>
              <w:top w:val="single" w:sz="8" w:space="0" w:color="808080"/>
              <w:left w:val="single" w:sz="8" w:space="0" w:color="808080"/>
              <w:bottom w:val="single" w:sz="8" w:space="0" w:color="808080"/>
              <w:right w:val="nil"/>
            </w:tcBorders>
            <w:shd w:val="clear" w:color="auto" w:fill="auto"/>
            <w:noWrap/>
            <w:vAlign w:val="bottom"/>
          </w:tcPr>
          <w:p w:rsidR="00CB2645" w:rsidRPr="00B74A18" w:rsidRDefault="00CB2645"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Magna Drive</w:t>
            </w:r>
          </w:p>
        </w:tc>
        <w:tc>
          <w:tcPr>
            <w:tcW w:w="1800" w:type="dxa"/>
            <w:tcBorders>
              <w:top w:val="single" w:sz="8" w:space="0" w:color="808080"/>
              <w:left w:val="nil"/>
              <w:bottom w:val="single" w:sz="8" w:space="0" w:color="808080"/>
              <w:right w:val="nil"/>
            </w:tcBorders>
            <w:shd w:val="clear" w:color="auto" w:fill="auto"/>
            <w:noWrap/>
            <w:vAlign w:val="bottom"/>
          </w:tcPr>
          <w:p w:rsidR="00CB2645" w:rsidRPr="00B74A18" w:rsidRDefault="00CB2645"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State</w:t>
            </w:r>
          </w:p>
        </w:tc>
        <w:tc>
          <w:tcPr>
            <w:tcW w:w="1586" w:type="dxa"/>
            <w:tcBorders>
              <w:top w:val="single" w:sz="8" w:space="0" w:color="808080"/>
              <w:left w:val="nil"/>
              <w:bottom w:val="single" w:sz="8" w:space="0" w:color="808080"/>
              <w:right w:val="nil"/>
            </w:tcBorders>
            <w:shd w:val="clear" w:color="auto" w:fill="auto"/>
            <w:noWrap/>
            <w:vAlign w:val="bottom"/>
          </w:tcPr>
          <w:p w:rsidR="00CB2645" w:rsidRDefault="00CB2645"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2010</w:t>
            </w:r>
          </w:p>
        </w:tc>
        <w:tc>
          <w:tcPr>
            <w:tcW w:w="7406" w:type="dxa"/>
            <w:tcBorders>
              <w:top w:val="single" w:sz="8" w:space="0" w:color="808080"/>
              <w:left w:val="nil"/>
              <w:bottom w:val="single" w:sz="8" w:space="0" w:color="808080"/>
              <w:right w:val="single" w:sz="8" w:space="0" w:color="808080"/>
            </w:tcBorders>
            <w:shd w:val="clear" w:color="auto" w:fill="auto"/>
            <w:vAlign w:val="bottom"/>
          </w:tcPr>
          <w:p w:rsidR="00CB2645" w:rsidRPr="00B74A18" w:rsidRDefault="00CB2645" w:rsidP="000A33EA">
            <w:pPr>
              <w:spacing w:line="240" w:lineRule="auto"/>
              <w:rPr>
                <w:rFonts w:ascii="Calibri" w:eastAsia="Times New Roman" w:hAnsi="Calibri" w:cs="Calibri"/>
                <w:color w:val="000000"/>
                <w:sz w:val="20"/>
                <w:szCs w:val="22"/>
              </w:rPr>
            </w:pPr>
            <w:r w:rsidRPr="00B74A18">
              <w:rPr>
                <w:rFonts w:ascii="Calibri" w:eastAsia="Times New Roman" w:hAnsi="Calibri" w:cs="Calibri"/>
                <w:color w:val="000000"/>
                <w:sz w:val="20"/>
                <w:szCs w:val="22"/>
              </w:rPr>
              <w:t>NEEA allocates the savings based on the share of non-residential load within the state</w:t>
            </w:r>
            <w:r w:rsidR="002315A3">
              <w:rPr>
                <w:rFonts w:ascii="Calibri" w:eastAsia="Times New Roman" w:hAnsi="Calibri" w:cs="Calibri"/>
                <w:color w:val="000000"/>
                <w:sz w:val="20"/>
                <w:szCs w:val="22"/>
              </w:rPr>
              <w:t>s</w:t>
            </w:r>
            <w:r w:rsidRPr="00B74A18">
              <w:rPr>
                <w:rFonts w:ascii="Calibri" w:eastAsia="Times New Roman" w:hAnsi="Calibri" w:cs="Calibri"/>
                <w:color w:val="000000"/>
                <w:sz w:val="20"/>
                <w:szCs w:val="22"/>
              </w:rPr>
              <w:t>.</w:t>
            </w:r>
          </w:p>
        </w:tc>
      </w:tr>
      <w:tr w:rsidR="00970FE6" w:rsidRPr="00B74A18" w:rsidTr="002315A3">
        <w:trPr>
          <w:trHeight w:val="79"/>
        </w:trPr>
        <w:tc>
          <w:tcPr>
            <w:tcW w:w="2985" w:type="dxa"/>
            <w:tcBorders>
              <w:top w:val="single" w:sz="8" w:space="0" w:color="808080"/>
              <w:left w:val="single" w:sz="8" w:space="0" w:color="808080"/>
              <w:bottom w:val="single" w:sz="8" w:space="0" w:color="808080"/>
              <w:right w:val="nil"/>
            </w:tcBorders>
            <w:shd w:val="clear" w:color="auto" w:fill="auto"/>
            <w:noWrap/>
            <w:vAlign w:val="bottom"/>
          </w:tcPr>
          <w:p w:rsidR="00970FE6" w:rsidRPr="00B74A18" w:rsidRDefault="00970F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Commissioning</w:t>
            </w:r>
          </w:p>
        </w:tc>
        <w:tc>
          <w:tcPr>
            <w:tcW w:w="1800" w:type="dxa"/>
            <w:tcBorders>
              <w:top w:val="single" w:sz="8" w:space="0" w:color="808080"/>
              <w:left w:val="nil"/>
              <w:bottom w:val="single" w:sz="8" w:space="0" w:color="808080"/>
              <w:right w:val="nil"/>
            </w:tcBorders>
            <w:shd w:val="clear" w:color="auto" w:fill="auto"/>
            <w:noWrap/>
            <w:vAlign w:val="bottom"/>
          </w:tcPr>
          <w:p w:rsidR="00970FE6" w:rsidRPr="00B74A18" w:rsidRDefault="00970FE6" w:rsidP="000A33E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Funder Share</w:t>
            </w:r>
          </w:p>
        </w:tc>
        <w:tc>
          <w:tcPr>
            <w:tcW w:w="1586" w:type="dxa"/>
            <w:tcBorders>
              <w:top w:val="single" w:sz="8" w:space="0" w:color="808080"/>
              <w:left w:val="nil"/>
              <w:bottom w:val="single" w:sz="8" w:space="0" w:color="808080"/>
              <w:right w:val="nil"/>
            </w:tcBorders>
            <w:shd w:val="clear" w:color="auto" w:fill="auto"/>
            <w:noWrap/>
            <w:vAlign w:val="bottom"/>
          </w:tcPr>
          <w:p w:rsidR="00970FE6" w:rsidRDefault="00970FE6" w:rsidP="000A33EA">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2010,2010</w:t>
            </w:r>
          </w:p>
        </w:tc>
        <w:tc>
          <w:tcPr>
            <w:tcW w:w="7406" w:type="dxa"/>
            <w:tcBorders>
              <w:top w:val="single" w:sz="8" w:space="0" w:color="808080"/>
              <w:left w:val="nil"/>
              <w:bottom w:val="single" w:sz="8" w:space="0" w:color="808080"/>
              <w:right w:val="single" w:sz="8" w:space="0" w:color="808080"/>
            </w:tcBorders>
            <w:shd w:val="clear" w:color="auto" w:fill="auto"/>
            <w:vAlign w:val="bottom"/>
          </w:tcPr>
          <w:p w:rsidR="00970FE6" w:rsidRPr="00B74A18" w:rsidRDefault="00970FE6" w:rsidP="002315A3">
            <w:pPr>
              <w:spacing w:line="240" w:lineRule="auto"/>
              <w:rPr>
                <w:rFonts w:ascii="Calibri" w:eastAsia="Times New Roman" w:hAnsi="Calibri" w:cs="Calibri"/>
                <w:color w:val="000000"/>
                <w:sz w:val="20"/>
                <w:szCs w:val="22"/>
              </w:rPr>
            </w:pPr>
            <w:r>
              <w:rPr>
                <w:rFonts w:ascii="Calibri" w:eastAsia="Times New Roman" w:hAnsi="Calibri" w:cs="Calibri"/>
                <w:color w:val="000000"/>
                <w:sz w:val="20"/>
                <w:szCs w:val="22"/>
              </w:rPr>
              <w:t xml:space="preserve">NEEA only has regional data.  As a result, NEEA uses </w:t>
            </w:r>
            <w:r w:rsidR="002315A3">
              <w:rPr>
                <w:rFonts w:ascii="Calibri" w:eastAsia="Times New Roman" w:hAnsi="Calibri" w:cs="Calibri"/>
                <w:color w:val="000000"/>
                <w:sz w:val="20"/>
                <w:szCs w:val="22"/>
              </w:rPr>
              <w:t>a</w:t>
            </w:r>
            <w:r>
              <w:rPr>
                <w:rFonts w:ascii="Calibri" w:eastAsia="Times New Roman" w:hAnsi="Calibri" w:cs="Calibri"/>
                <w:color w:val="000000"/>
                <w:sz w:val="20"/>
                <w:szCs w:val="22"/>
              </w:rPr>
              <w:t xml:space="preserve"> funder share allocation. </w:t>
            </w:r>
          </w:p>
        </w:tc>
      </w:tr>
    </w:tbl>
    <w:p w:rsidR="002176A8" w:rsidRDefault="002176A8" w:rsidP="002176A8">
      <w:pPr>
        <w:rPr>
          <w:i/>
          <w:sz w:val="22"/>
        </w:rPr>
      </w:pPr>
      <w:r w:rsidRPr="00270BDA">
        <w:rPr>
          <w:i/>
          <w:sz w:val="22"/>
        </w:rPr>
        <w:t xml:space="preserve">  </w:t>
      </w:r>
    </w:p>
    <w:p w:rsidR="00107BA6" w:rsidRDefault="00107BA6" w:rsidP="00107BA6"/>
    <w:p w:rsidR="00DA4B3B" w:rsidRDefault="00DA4B3B" w:rsidP="00ED52DB">
      <w:pPr>
        <w:pStyle w:val="Heading1"/>
        <w:rPr>
          <w:rStyle w:val="A5"/>
          <w:rFonts w:cstheme="majorBidi"/>
          <w:b/>
          <w:bCs/>
          <w:color w:val="365F91" w:themeColor="accent1" w:themeShade="BF"/>
          <w:sz w:val="28"/>
          <w:szCs w:val="28"/>
        </w:rPr>
        <w:sectPr w:rsidR="00DA4B3B" w:rsidSect="00DA4B3B">
          <w:headerReference w:type="default" r:id="rId13"/>
          <w:footerReference w:type="even" r:id="rId14"/>
          <w:footerReference w:type="default" r:id="rId15"/>
          <w:headerReference w:type="first" r:id="rId16"/>
          <w:footerReference w:type="first" r:id="rId17"/>
          <w:pgSz w:w="15840" w:h="12240" w:orient="landscape"/>
          <w:pgMar w:top="1296" w:right="1440" w:bottom="1296" w:left="720" w:header="720" w:footer="720" w:gutter="0"/>
          <w:cols w:space="720"/>
          <w:titlePg/>
          <w:docGrid w:linePitch="326"/>
        </w:sectPr>
      </w:pPr>
    </w:p>
    <w:p w:rsidR="00C45407" w:rsidRPr="007F24E9" w:rsidRDefault="00997EEF" w:rsidP="00ED52DB">
      <w:pPr>
        <w:pStyle w:val="Heading1"/>
        <w:rPr>
          <w:rStyle w:val="A5"/>
          <w:rFonts w:cstheme="majorBidi"/>
          <w:b/>
          <w:bCs/>
          <w:color w:val="365F91" w:themeColor="accent1" w:themeShade="BF"/>
          <w:sz w:val="28"/>
          <w:szCs w:val="28"/>
        </w:rPr>
      </w:pPr>
      <w:r w:rsidRPr="007F24E9">
        <w:rPr>
          <w:rStyle w:val="A5"/>
          <w:rFonts w:cstheme="majorBidi"/>
          <w:b/>
          <w:bCs/>
          <w:color w:val="365F91" w:themeColor="accent1" w:themeShade="BF"/>
          <w:sz w:val="28"/>
          <w:szCs w:val="28"/>
        </w:rPr>
        <w:lastRenderedPageBreak/>
        <w:t xml:space="preserve">Updated on the </w:t>
      </w:r>
      <w:r w:rsidR="00C45407" w:rsidRPr="007F24E9">
        <w:rPr>
          <w:rStyle w:val="A5"/>
          <w:rFonts w:cstheme="majorBidi"/>
          <w:b/>
          <w:bCs/>
          <w:color w:val="365F91" w:themeColor="accent1" w:themeShade="BF"/>
          <w:sz w:val="28"/>
          <w:szCs w:val="28"/>
        </w:rPr>
        <w:t xml:space="preserve">Variance from the July 2011 </w:t>
      </w:r>
      <w:r w:rsidR="002176A8" w:rsidRPr="007F24E9">
        <w:rPr>
          <w:rStyle w:val="A5"/>
          <w:rFonts w:cstheme="majorBidi"/>
          <w:b/>
          <w:bCs/>
          <w:color w:val="365F91" w:themeColor="accent1" w:themeShade="BF"/>
          <w:sz w:val="28"/>
          <w:szCs w:val="28"/>
        </w:rPr>
        <w:t>Sixth</w:t>
      </w:r>
      <w:r w:rsidR="00C45407" w:rsidRPr="007F24E9">
        <w:rPr>
          <w:rStyle w:val="A5"/>
          <w:rFonts w:cstheme="majorBidi"/>
          <w:b/>
          <w:bCs/>
          <w:color w:val="365F91" w:themeColor="accent1" w:themeShade="BF"/>
          <w:sz w:val="28"/>
          <w:szCs w:val="28"/>
        </w:rPr>
        <w:t xml:space="preserve"> Power Plan Savings Report</w:t>
      </w:r>
      <w:r w:rsidRPr="007F24E9">
        <w:rPr>
          <w:rStyle w:val="A5"/>
          <w:rFonts w:cstheme="majorBidi"/>
          <w:b/>
          <w:bCs/>
          <w:color w:val="365F91" w:themeColor="accent1" w:themeShade="BF"/>
          <w:sz w:val="28"/>
          <w:szCs w:val="28"/>
        </w:rPr>
        <w:t xml:space="preserve"> for 2010 Savings</w:t>
      </w:r>
    </w:p>
    <w:p w:rsidR="00571EBA" w:rsidRPr="002176A8" w:rsidRDefault="00C45407" w:rsidP="00C45407">
      <w:pPr>
        <w:rPr>
          <w:color w:val="000000"/>
          <w:highlight w:val="yellow"/>
        </w:rPr>
      </w:pPr>
      <w:r w:rsidRPr="007F24E9">
        <w:t xml:space="preserve">NEEA reported 2010 energy savings to </w:t>
      </w:r>
      <w:r w:rsidR="007F24E9" w:rsidRPr="007F24E9">
        <w:t>Avista</w:t>
      </w:r>
      <w:r w:rsidRPr="007F24E9">
        <w:t xml:space="preserve"> in July 201</w:t>
      </w:r>
      <w:r w:rsidR="00733ED6" w:rsidRPr="007F24E9">
        <w:t>1</w:t>
      </w:r>
      <w:r w:rsidRPr="007F24E9">
        <w:t xml:space="preserve">. </w:t>
      </w:r>
      <w:r w:rsidR="005F246D" w:rsidRPr="007F24E9">
        <w:t xml:space="preserve">The savings was approximately </w:t>
      </w:r>
      <w:r w:rsidR="007F24E9" w:rsidRPr="007F24E9">
        <w:t>2.9 aMW for both Idaho and Washington</w:t>
      </w:r>
      <w:r w:rsidR="005F246D" w:rsidRPr="007F24E9">
        <w:t xml:space="preserve">. NEEA </w:t>
      </w:r>
      <w:r w:rsidR="00403DEC">
        <w:t xml:space="preserve">is </w:t>
      </w:r>
      <w:r w:rsidR="005F246D" w:rsidRPr="007F24E9">
        <w:t>revis</w:t>
      </w:r>
      <w:r w:rsidR="00403DEC">
        <w:t>ing</w:t>
      </w:r>
      <w:r w:rsidR="005F246D" w:rsidRPr="007F24E9">
        <w:t xml:space="preserve"> the estimate to </w:t>
      </w:r>
      <w:r w:rsidR="00585C56" w:rsidRPr="007F24E9">
        <w:t xml:space="preserve">approximately </w:t>
      </w:r>
      <w:r w:rsidR="00DB3F3B" w:rsidRPr="00045118">
        <w:t>3.51</w:t>
      </w:r>
      <w:r w:rsidR="005F246D" w:rsidRPr="00045118">
        <w:t xml:space="preserve"> </w:t>
      </w:r>
      <w:r w:rsidR="007F24E9" w:rsidRPr="00045118">
        <w:t>aMW</w:t>
      </w:r>
      <w:r w:rsidR="005F246D" w:rsidRPr="00045118">
        <w:t xml:space="preserve">. </w:t>
      </w:r>
      <w:r w:rsidR="005F246D" w:rsidRPr="00045118">
        <w:rPr>
          <w:color w:val="000000"/>
        </w:rPr>
        <w:t>The</w:t>
      </w:r>
      <w:r w:rsidR="005F246D" w:rsidRPr="007F24E9">
        <w:rPr>
          <w:color w:val="000000"/>
        </w:rPr>
        <w:t xml:space="preserve"> variance is </w:t>
      </w:r>
      <w:r w:rsidR="00DB3F3B">
        <w:rPr>
          <w:color w:val="000000"/>
        </w:rPr>
        <w:t>largely from applying a service territory methodology as opposed a funder share allocation.  For example, instead of getting 3.95% (funder share</w:t>
      </w:r>
      <w:r w:rsidR="00045118">
        <w:rPr>
          <w:color w:val="000000"/>
        </w:rPr>
        <w:t xml:space="preserve"> for previously funded initiatives</w:t>
      </w:r>
      <w:r w:rsidR="00DB3F3B">
        <w:rPr>
          <w:color w:val="000000"/>
        </w:rPr>
        <w:t xml:space="preserve">) of the regional general purpose lighting savings, Avista received </w:t>
      </w:r>
      <w:r w:rsidR="00045118">
        <w:rPr>
          <w:color w:val="000000"/>
        </w:rPr>
        <w:t>5.51</w:t>
      </w:r>
      <w:r w:rsidR="00267C19">
        <w:rPr>
          <w:color w:val="000000"/>
        </w:rPr>
        <w:t>% using the service territory allocation.</w:t>
      </w:r>
      <w:r w:rsidR="00DB3F3B" w:rsidRPr="007F24E9">
        <w:rPr>
          <w:color w:val="000000"/>
        </w:rPr>
        <w:t xml:space="preserve"> </w:t>
      </w:r>
      <w:r w:rsidR="00267C19">
        <w:rPr>
          <w:color w:val="000000"/>
        </w:rPr>
        <w:t>NEEA also made some retroactive changes to the 2010 savings</w:t>
      </w:r>
      <w:r w:rsidR="005F246D" w:rsidRPr="007F24E9">
        <w:rPr>
          <w:color w:val="000000"/>
        </w:rPr>
        <w:t xml:space="preserve">.  </w:t>
      </w:r>
    </w:p>
    <w:p w:rsidR="00571EBA" w:rsidRPr="002176A8" w:rsidRDefault="00571EBA" w:rsidP="00C45407">
      <w:pPr>
        <w:rPr>
          <w:color w:val="000000"/>
          <w:highlight w:val="yellow"/>
        </w:rPr>
      </w:pPr>
    </w:p>
    <w:p w:rsidR="007F24E9" w:rsidRPr="007F24E9" w:rsidRDefault="005F246D" w:rsidP="00C45407">
      <w:pPr>
        <w:rPr>
          <w:color w:val="000000"/>
        </w:rPr>
      </w:pPr>
      <w:r w:rsidRPr="007F24E9">
        <w:rPr>
          <w:color w:val="000000"/>
        </w:rPr>
        <w:t xml:space="preserve">On the positive side, the </w:t>
      </w:r>
      <w:r w:rsidR="004E7F1C" w:rsidRPr="007F24E9">
        <w:rPr>
          <w:color w:val="000000"/>
        </w:rPr>
        <w:t>savings</w:t>
      </w:r>
      <w:r w:rsidRPr="007F24E9">
        <w:rPr>
          <w:color w:val="000000"/>
        </w:rPr>
        <w:t xml:space="preserve"> increased because</w:t>
      </w:r>
      <w:r w:rsidR="00585C56" w:rsidRPr="007F24E9">
        <w:rPr>
          <w:color w:val="000000"/>
        </w:rPr>
        <w:t xml:space="preserve"> NEEA was able to verify more savings from some initiatives.</w:t>
      </w:r>
      <w:r w:rsidRPr="007F24E9">
        <w:rPr>
          <w:color w:val="000000"/>
        </w:rPr>
        <w:t xml:space="preserve"> </w:t>
      </w:r>
    </w:p>
    <w:p w:rsidR="007F24E9" w:rsidRPr="007F24E9" w:rsidRDefault="007F24E9" w:rsidP="007F24E9">
      <w:pPr>
        <w:pStyle w:val="ListParagraph"/>
        <w:numPr>
          <w:ilvl w:val="0"/>
          <w:numId w:val="25"/>
        </w:numPr>
        <w:rPr>
          <w:color w:val="000000"/>
        </w:rPr>
      </w:pPr>
      <w:r w:rsidRPr="007F24E9">
        <w:rPr>
          <w:color w:val="000000"/>
        </w:rPr>
        <w:t xml:space="preserve">Ductless Heat Pumps: NEEA was able to track ductless heat pump installations that did not receive an incentive.  </w:t>
      </w:r>
    </w:p>
    <w:p w:rsidR="007F24E9" w:rsidRPr="007F24E9" w:rsidRDefault="007F24E9" w:rsidP="007F24E9">
      <w:pPr>
        <w:pStyle w:val="ListParagraph"/>
        <w:numPr>
          <w:ilvl w:val="0"/>
          <w:numId w:val="25"/>
        </w:numPr>
        <w:rPr>
          <w:color w:val="000000"/>
        </w:rPr>
      </w:pPr>
      <w:r w:rsidRPr="007F24E9">
        <w:rPr>
          <w:color w:val="000000"/>
        </w:rPr>
        <w:t xml:space="preserve">80 Plus: </w:t>
      </w:r>
      <w:r w:rsidR="00BC33D4" w:rsidRPr="007F24E9">
        <w:rPr>
          <w:color w:val="000000"/>
        </w:rPr>
        <w:t>NEEA receive more comprehensive data to estimate the market size and market penetr</w:t>
      </w:r>
      <w:r w:rsidR="00270CFC" w:rsidRPr="007F24E9">
        <w:rPr>
          <w:color w:val="000000"/>
        </w:rPr>
        <w:t>ation</w:t>
      </w:r>
      <w:r w:rsidR="00BC33D4" w:rsidRPr="007F24E9">
        <w:rPr>
          <w:color w:val="000000"/>
        </w:rPr>
        <w:t xml:space="preserve">. </w:t>
      </w:r>
    </w:p>
    <w:p w:rsidR="00571EBA" w:rsidRPr="007F24E9" w:rsidRDefault="007F24E9" w:rsidP="007F24E9">
      <w:pPr>
        <w:pStyle w:val="ListParagraph"/>
        <w:numPr>
          <w:ilvl w:val="0"/>
          <w:numId w:val="25"/>
        </w:numPr>
        <w:rPr>
          <w:color w:val="000000"/>
        </w:rPr>
      </w:pPr>
      <w:r w:rsidRPr="007F24E9">
        <w:rPr>
          <w:color w:val="000000"/>
        </w:rPr>
        <w:t xml:space="preserve">Drive Power: </w:t>
      </w:r>
      <w:r w:rsidR="00571EBA" w:rsidRPr="007F24E9">
        <w:rPr>
          <w:color w:val="000000"/>
        </w:rPr>
        <w:t>NEEA was able to verify a methodology to track savings from motor r</w:t>
      </w:r>
      <w:r w:rsidR="00585C56" w:rsidRPr="007F24E9">
        <w:rPr>
          <w:color w:val="000000"/>
        </w:rPr>
        <w:t xml:space="preserve">ewinds—a measure </w:t>
      </w:r>
      <w:r w:rsidR="00571EBA" w:rsidRPr="007F24E9">
        <w:rPr>
          <w:color w:val="000000"/>
        </w:rPr>
        <w:t xml:space="preserve">a part of the Drive Power Initiative. </w:t>
      </w:r>
    </w:p>
    <w:p w:rsidR="00571EBA" w:rsidRPr="002176A8" w:rsidRDefault="00571EBA" w:rsidP="00C45407">
      <w:pPr>
        <w:rPr>
          <w:color w:val="000000"/>
          <w:highlight w:val="yellow"/>
        </w:rPr>
      </w:pPr>
    </w:p>
    <w:p w:rsidR="007F24E9" w:rsidRPr="007F24E9" w:rsidRDefault="00BC33D4" w:rsidP="007F24E9">
      <w:pPr>
        <w:rPr>
          <w:color w:val="000000"/>
        </w:rPr>
      </w:pPr>
      <w:r w:rsidRPr="007F24E9">
        <w:rPr>
          <w:color w:val="000000"/>
        </w:rPr>
        <w:t>On the negative side</w:t>
      </w:r>
      <w:r w:rsidR="005F246D" w:rsidRPr="007F24E9">
        <w:rPr>
          <w:color w:val="000000"/>
        </w:rPr>
        <w:t xml:space="preserve">, </w:t>
      </w:r>
      <w:r w:rsidR="00997EEF" w:rsidRPr="007F24E9">
        <w:rPr>
          <w:color w:val="000000"/>
        </w:rPr>
        <w:t xml:space="preserve">NEEA had to revise </w:t>
      </w:r>
      <w:r w:rsidR="00571EBA" w:rsidRPr="007F24E9">
        <w:rPr>
          <w:color w:val="000000"/>
        </w:rPr>
        <w:t xml:space="preserve">some </w:t>
      </w:r>
      <w:r w:rsidRPr="007F24E9">
        <w:rPr>
          <w:color w:val="000000"/>
        </w:rPr>
        <w:t>savings estimates</w:t>
      </w:r>
      <w:r w:rsidR="00571EBA" w:rsidRPr="007F24E9">
        <w:rPr>
          <w:color w:val="000000"/>
        </w:rPr>
        <w:t xml:space="preserve"> down</w:t>
      </w:r>
      <w:r w:rsidRPr="007F24E9">
        <w:rPr>
          <w:color w:val="000000"/>
        </w:rPr>
        <w:t xml:space="preserve">. </w:t>
      </w:r>
    </w:p>
    <w:p w:rsidR="00DE48DD" w:rsidRDefault="007F24E9" w:rsidP="00DE48DD">
      <w:pPr>
        <w:pStyle w:val="ListParagraph"/>
        <w:numPr>
          <w:ilvl w:val="0"/>
          <w:numId w:val="26"/>
        </w:numPr>
        <w:rPr>
          <w:color w:val="000000"/>
        </w:rPr>
      </w:pPr>
      <w:r w:rsidRPr="007F24E9">
        <w:rPr>
          <w:color w:val="000000"/>
        </w:rPr>
        <w:t xml:space="preserve">Commercial Buildings: </w:t>
      </w:r>
      <w:r w:rsidR="00733ED6" w:rsidRPr="007F24E9">
        <w:rPr>
          <w:color w:val="000000"/>
        </w:rPr>
        <w:t>NEEA</w:t>
      </w:r>
      <w:r w:rsidR="004E7F1C" w:rsidRPr="007F24E9">
        <w:rPr>
          <w:color w:val="000000"/>
        </w:rPr>
        <w:t xml:space="preserve"> </w:t>
      </w:r>
      <w:r w:rsidR="00733ED6" w:rsidRPr="007F24E9">
        <w:rPr>
          <w:color w:val="000000"/>
        </w:rPr>
        <w:t>revised its estimate of validated s</w:t>
      </w:r>
      <w:r w:rsidR="00571EBA" w:rsidRPr="007F24E9">
        <w:rPr>
          <w:color w:val="000000"/>
        </w:rPr>
        <w:t>avings from Building Operations and Commercial Real Estate based on recommendation</w:t>
      </w:r>
      <w:r w:rsidR="004E7F1C" w:rsidRPr="007F24E9">
        <w:rPr>
          <w:color w:val="000000"/>
        </w:rPr>
        <w:t>s</w:t>
      </w:r>
      <w:r w:rsidR="00571EBA" w:rsidRPr="007F24E9">
        <w:rPr>
          <w:color w:val="000000"/>
        </w:rPr>
        <w:t xml:space="preserve"> </w:t>
      </w:r>
      <w:r w:rsidR="004E7F1C" w:rsidRPr="007F24E9">
        <w:rPr>
          <w:color w:val="000000"/>
        </w:rPr>
        <w:t>from</w:t>
      </w:r>
      <w:r w:rsidR="00571EBA" w:rsidRPr="007F24E9">
        <w:rPr>
          <w:color w:val="000000"/>
        </w:rPr>
        <w:t xml:space="preserve"> third party evaluators.</w:t>
      </w:r>
      <w:r w:rsidR="00571EBA" w:rsidRPr="007F24E9">
        <w:rPr>
          <w:rStyle w:val="FootnoteReference"/>
          <w:color w:val="000000" w:themeColor="text1"/>
        </w:rPr>
        <w:t xml:space="preserve"> </w:t>
      </w:r>
      <w:r w:rsidR="00571EBA" w:rsidRPr="007F24E9">
        <w:rPr>
          <w:rStyle w:val="FootnoteReference"/>
          <w:color w:val="000000" w:themeColor="text1"/>
        </w:rPr>
        <w:footnoteReference w:id="8"/>
      </w:r>
      <w:r w:rsidR="00884E84" w:rsidRPr="007F24E9">
        <w:rPr>
          <w:rStyle w:val="FootnoteReference"/>
          <w:color w:val="000000" w:themeColor="text1"/>
        </w:rPr>
        <w:t>,</w:t>
      </w:r>
      <w:r w:rsidR="00884E84" w:rsidRPr="007F24E9">
        <w:rPr>
          <w:rStyle w:val="FootnoteReference"/>
          <w:color w:val="000000" w:themeColor="text1"/>
        </w:rPr>
        <w:footnoteReference w:id="9"/>
      </w:r>
      <w:r w:rsidR="00571EBA" w:rsidRPr="007F24E9">
        <w:rPr>
          <w:color w:val="000000"/>
        </w:rPr>
        <w:t xml:space="preserve">  </w:t>
      </w:r>
    </w:p>
    <w:p w:rsidR="00DB3F3B" w:rsidRPr="001E435B" w:rsidRDefault="007F24E9" w:rsidP="001E435B">
      <w:pPr>
        <w:pStyle w:val="ListParagraph"/>
        <w:numPr>
          <w:ilvl w:val="0"/>
          <w:numId w:val="26"/>
        </w:numPr>
      </w:pPr>
      <w:r w:rsidRPr="001E435B">
        <w:t xml:space="preserve">Lighting: </w:t>
      </w:r>
      <w:r w:rsidR="001E435B" w:rsidRPr="001E435B">
        <w:rPr>
          <w:rFonts w:ascii="Calibri" w:hAnsi="Calibri" w:cs="Calibri"/>
        </w:rPr>
        <w:t>For 2011, some new data sources and methodologies were applied to estimate total market sales of CFLs.  Together, the new data and analysis has resulted in a fairly significant downward adjustment in CFL total market sales for both 2011 and 2010.  NEEA is currently conducting a more detailed assessment of the new data sources and analysis methods and will have final results in June 2012.  In the mean-time, this report is based on our best estimate of CFL sales for 2010 and 2011.</w:t>
      </w:r>
      <w:r w:rsidR="001E435B" w:rsidRPr="001E435B">
        <w:t xml:space="preserve"> </w:t>
      </w:r>
    </w:p>
    <w:p w:rsidR="00C45407" w:rsidRPr="007F24E9" w:rsidRDefault="00C45407" w:rsidP="007F24E9">
      <w:pPr>
        <w:pStyle w:val="ListParagraph"/>
        <w:numPr>
          <w:ilvl w:val="0"/>
          <w:numId w:val="26"/>
        </w:numPr>
        <w:rPr>
          <w:color w:val="000000"/>
          <w:highlight w:val="yellow"/>
        </w:rPr>
      </w:pPr>
      <w:r w:rsidRPr="007F24E9">
        <w:rPr>
          <w:highlight w:val="yellow"/>
        </w:rPr>
        <w:br w:type="page"/>
      </w:r>
    </w:p>
    <w:p w:rsidR="00C45407" w:rsidRPr="00C45407" w:rsidRDefault="00C45407" w:rsidP="00C45407"/>
    <w:p w:rsidR="000935A8" w:rsidRPr="00F924E9" w:rsidRDefault="000935A8" w:rsidP="000935A8">
      <w:pPr>
        <w:autoSpaceDE w:val="0"/>
        <w:autoSpaceDN w:val="0"/>
        <w:adjustRightInd w:val="0"/>
        <w:rPr>
          <w:rStyle w:val="A5"/>
          <w:rFonts w:cs="Arial"/>
          <w:sz w:val="32"/>
          <w:szCs w:val="32"/>
        </w:rPr>
      </w:pPr>
      <w:r w:rsidRPr="00F924E9">
        <w:rPr>
          <w:rStyle w:val="A5"/>
          <w:rFonts w:cs="Arial"/>
          <w:sz w:val="32"/>
          <w:szCs w:val="32"/>
        </w:rPr>
        <w:t xml:space="preserve">2011 Initiatives-At-A-Glance </w:t>
      </w:r>
    </w:p>
    <w:p w:rsidR="000935A8" w:rsidRPr="00F924E9" w:rsidRDefault="000935A8" w:rsidP="000935A8">
      <w:pPr>
        <w:autoSpaceDE w:val="0"/>
        <w:autoSpaceDN w:val="0"/>
        <w:adjustRightInd w:val="0"/>
        <w:rPr>
          <w:rFonts w:cs="Arial"/>
          <w:color w:val="000000"/>
          <w:sz w:val="22"/>
          <w:szCs w:val="22"/>
        </w:rPr>
      </w:pPr>
    </w:p>
    <w:p w:rsidR="000935A8" w:rsidRPr="00BE52D5" w:rsidRDefault="000935A8" w:rsidP="000935A8">
      <w:pPr>
        <w:pStyle w:val="Pa1"/>
        <w:spacing w:line="240" w:lineRule="auto"/>
        <w:rPr>
          <w:rFonts w:ascii="Arial" w:hAnsi="Arial" w:cs="Arial"/>
          <w:color w:val="00345B"/>
        </w:rPr>
      </w:pPr>
      <w:r w:rsidRPr="00BE52D5">
        <w:rPr>
          <w:rStyle w:val="A2"/>
          <w:rFonts w:ascii="Arial" w:hAnsi="Arial" w:cs="Arial"/>
        </w:rPr>
        <w:t xml:space="preserve">Commercial </w:t>
      </w:r>
    </w:p>
    <w:p w:rsidR="000935A8" w:rsidRPr="00F924E9" w:rsidRDefault="000935A8" w:rsidP="000935A8">
      <w:pPr>
        <w:autoSpaceDE w:val="0"/>
        <w:autoSpaceDN w:val="0"/>
        <w:adjustRightInd w:val="0"/>
        <w:rPr>
          <w:rFonts w:cs="Arial"/>
          <w:i/>
          <w:iCs/>
          <w:color w:val="0079C3"/>
          <w:sz w:val="22"/>
          <w:szCs w:val="22"/>
        </w:rPr>
      </w:pPr>
      <w:r w:rsidRPr="00F924E9">
        <w:rPr>
          <w:rFonts w:cs="Arial"/>
          <w:i/>
          <w:iCs/>
          <w:color w:val="0079C3"/>
          <w:sz w:val="22"/>
          <w:szCs w:val="22"/>
        </w:rPr>
        <w:t xml:space="preserve">NEEA accelerates the adoption of energy-efficient products, practices and services within the commercial sector through the following initiatives, helping Northwest businesses reap the bottom line financial benefits from energy management. </w:t>
      </w:r>
    </w:p>
    <w:p w:rsidR="000935A8" w:rsidRPr="00F924E9" w:rsidRDefault="000935A8" w:rsidP="000935A8">
      <w:pPr>
        <w:autoSpaceDE w:val="0"/>
        <w:autoSpaceDN w:val="0"/>
        <w:adjustRightInd w:val="0"/>
        <w:rPr>
          <w:rFonts w:cs="Arial"/>
          <w:color w:val="00345B"/>
          <w:sz w:val="22"/>
          <w:szCs w:val="22"/>
        </w:rPr>
      </w:pPr>
      <w:r w:rsidRPr="00F924E9">
        <w:rPr>
          <w:rFonts w:cs="Arial"/>
          <w:b/>
          <w:bCs/>
          <w:color w:val="00345B"/>
          <w:sz w:val="22"/>
          <w:szCs w:val="22"/>
        </w:rPr>
        <w:t xml:space="preserve"> </w:t>
      </w:r>
    </w:p>
    <w:p w:rsidR="000935A8"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Existing Building Renewal: </w:t>
      </w:r>
      <w:r w:rsidRPr="00F924E9">
        <w:rPr>
          <w:rFonts w:cs="Arial"/>
          <w:color w:val="485E29"/>
          <w:sz w:val="22"/>
          <w:szCs w:val="22"/>
        </w:rPr>
        <w:t xml:space="preserve">Creating a market-attractive pathway to large scale energy-efficient retrofits of existing buildings. </w:t>
      </w:r>
    </w:p>
    <w:p w:rsidR="000935A8" w:rsidRDefault="000935A8" w:rsidP="000935A8">
      <w:pPr>
        <w:autoSpaceDE w:val="0"/>
        <w:autoSpaceDN w:val="0"/>
        <w:adjustRightInd w:val="0"/>
        <w:ind w:left="720"/>
        <w:rPr>
          <w:rFonts w:cs="Arial"/>
          <w:color w:val="485E29"/>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Commercial Real Estate: </w:t>
      </w:r>
      <w:r w:rsidRPr="00F924E9">
        <w:rPr>
          <w:rFonts w:cs="Arial"/>
          <w:color w:val="485E29"/>
          <w:sz w:val="22"/>
          <w:szCs w:val="22"/>
        </w:rPr>
        <w:t xml:space="preserve">Embedding energy-efficient building management practices among property owners.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Commercial Lighting Solutions: </w:t>
      </w:r>
      <w:r w:rsidRPr="00F924E9">
        <w:rPr>
          <w:rFonts w:cs="Arial"/>
          <w:color w:val="485E29"/>
          <w:sz w:val="22"/>
          <w:szCs w:val="22"/>
        </w:rPr>
        <w:t xml:space="preserve">Creating tools and market capabilities to support continued advances in efficiency under new lighting standards.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Healthcare: </w:t>
      </w:r>
      <w:r w:rsidRPr="00F924E9">
        <w:rPr>
          <w:rFonts w:cs="Arial"/>
          <w:color w:val="485E29"/>
          <w:sz w:val="22"/>
          <w:szCs w:val="22"/>
        </w:rPr>
        <w:t xml:space="preserve">Embedding energy-efficient practices throughout the healthcare industry.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Business Information Technologies: </w:t>
      </w:r>
      <w:r w:rsidRPr="00F924E9">
        <w:rPr>
          <w:rFonts w:cs="Arial"/>
          <w:color w:val="485E29"/>
          <w:sz w:val="22"/>
          <w:szCs w:val="22"/>
        </w:rPr>
        <w:t xml:space="preserve">Embedding energy-efficient practices for business IT technologies and management. </w:t>
      </w:r>
    </w:p>
    <w:p w:rsidR="000935A8" w:rsidRDefault="000935A8" w:rsidP="000935A8">
      <w:pPr>
        <w:autoSpaceDE w:val="0"/>
        <w:autoSpaceDN w:val="0"/>
        <w:adjustRightInd w:val="0"/>
        <w:rPr>
          <w:rFonts w:cs="Arial"/>
          <w:color w:val="485E29"/>
          <w:sz w:val="22"/>
          <w:szCs w:val="22"/>
        </w:rPr>
      </w:pPr>
    </w:p>
    <w:p w:rsidR="000935A8" w:rsidRPr="00A740F9" w:rsidRDefault="000935A8" w:rsidP="000935A8">
      <w:pPr>
        <w:autoSpaceDE w:val="0"/>
        <w:autoSpaceDN w:val="0"/>
        <w:adjustRightInd w:val="0"/>
        <w:spacing w:line="241" w:lineRule="atLeast"/>
        <w:rPr>
          <w:rFonts w:cs="Arial"/>
          <w:color w:val="00345B"/>
        </w:rPr>
      </w:pPr>
      <w:r w:rsidRPr="00BE52D5">
        <w:rPr>
          <w:rFonts w:cs="Arial"/>
          <w:b/>
          <w:bCs/>
          <w:color w:val="00345B"/>
        </w:rPr>
        <w:t xml:space="preserve">Residential </w:t>
      </w:r>
    </w:p>
    <w:p w:rsidR="000935A8" w:rsidRPr="00F924E9" w:rsidRDefault="000935A8" w:rsidP="000935A8">
      <w:pPr>
        <w:autoSpaceDE w:val="0"/>
        <w:autoSpaceDN w:val="0"/>
        <w:adjustRightInd w:val="0"/>
        <w:rPr>
          <w:rFonts w:cs="Arial"/>
          <w:i/>
          <w:iCs/>
          <w:color w:val="0079C3"/>
          <w:sz w:val="22"/>
          <w:szCs w:val="22"/>
        </w:rPr>
      </w:pPr>
      <w:r w:rsidRPr="00F924E9">
        <w:rPr>
          <w:rFonts w:cs="Arial"/>
          <w:i/>
          <w:iCs/>
          <w:color w:val="0079C3"/>
          <w:sz w:val="22"/>
          <w:szCs w:val="22"/>
        </w:rPr>
        <w:t xml:space="preserve">NEEA accelerates the delivery and adoption of energy-efficient products and services through the following residential initiatives. </w:t>
      </w:r>
    </w:p>
    <w:p w:rsidR="000935A8" w:rsidRPr="00F924E9" w:rsidRDefault="000935A8" w:rsidP="000935A8">
      <w:pPr>
        <w:autoSpaceDE w:val="0"/>
        <w:autoSpaceDN w:val="0"/>
        <w:adjustRightInd w:val="0"/>
        <w:rPr>
          <w:rFonts w:cs="Arial"/>
          <w:i/>
          <w:iCs/>
          <w:color w:val="0079C3"/>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Efficient Homes: </w:t>
      </w:r>
      <w:r w:rsidRPr="00F924E9">
        <w:rPr>
          <w:rFonts w:cs="Arial"/>
          <w:color w:val="485E29"/>
          <w:sz w:val="22"/>
          <w:szCs w:val="22"/>
        </w:rPr>
        <w:t xml:space="preserve">Building market availability and consumer interest in more energy-efficient homes.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Televisions: </w:t>
      </w:r>
      <w:r w:rsidRPr="00F924E9">
        <w:rPr>
          <w:rFonts w:cs="Arial"/>
          <w:color w:val="485E29"/>
          <w:sz w:val="22"/>
          <w:szCs w:val="22"/>
        </w:rPr>
        <w:t xml:space="preserve">Increasing the presence and sale of the most energy-efficient televisions in retail channels.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Desktop PCs: </w:t>
      </w:r>
      <w:r w:rsidRPr="00F924E9">
        <w:rPr>
          <w:rFonts w:cs="Arial"/>
          <w:color w:val="485E29"/>
          <w:sz w:val="22"/>
          <w:szCs w:val="22"/>
        </w:rPr>
        <w:t xml:space="preserve">Increasing the energy efficiency of PCs by engaging manufacturers and part suppliers.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Heat Pump Water Heaters: </w:t>
      </w:r>
      <w:r w:rsidRPr="00F924E9">
        <w:rPr>
          <w:rFonts w:cs="Arial"/>
          <w:color w:val="485E29"/>
          <w:sz w:val="22"/>
          <w:szCs w:val="22"/>
        </w:rPr>
        <w:t xml:space="preserve">Engaging manufacturers to produce HPWHs that meet the Northern Tier Specification with the long-term goal of impacting a federal standard.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Ductless Heat Pumps: </w:t>
      </w:r>
      <w:r w:rsidRPr="00F924E9">
        <w:rPr>
          <w:rFonts w:cs="Arial"/>
          <w:color w:val="485E29"/>
          <w:sz w:val="22"/>
          <w:szCs w:val="22"/>
        </w:rPr>
        <w:t xml:space="preserve">Building market capability and consumer awareness of efficient new residential HVAC technology. </w:t>
      </w:r>
    </w:p>
    <w:p w:rsidR="000935A8" w:rsidRDefault="000935A8" w:rsidP="000935A8">
      <w:pPr>
        <w:autoSpaceDE w:val="0"/>
        <w:autoSpaceDN w:val="0"/>
        <w:adjustRightInd w:val="0"/>
        <w:rPr>
          <w:rFonts w:cs="Arial"/>
          <w:color w:val="485E29"/>
          <w:sz w:val="22"/>
          <w:szCs w:val="22"/>
        </w:rPr>
      </w:pPr>
    </w:p>
    <w:p w:rsidR="000935A8" w:rsidRPr="00BE52D5" w:rsidRDefault="000935A8" w:rsidP="000935A8">
      <w:pPr>
        <w:pStyle w:val="Pa1"/>
        <w:rPr>
          <w:rFonts w:ascii="Arial" w:hAnsi="Arial" w:cs="Arial"/>
          <w:color w:val="00345B"/>
        </w:rPr>
      </w:pPr>
      <w:r w:rsidRPr="00BE52D5">
        <w:rPr>
          <w:rStyle w:val="A2"/>
          <w:rFonts w:ascii="Arial" w:hAnsi="Arial" w:cs="Arial"/>
        </w:rPr>
        <w:t xml:space="preserve">Industrial </w:t>
      </w:r>
    </w:p>
    <w:p w:rsidR="000935A8" w:rsidRPr="00F924E9" w:rsidRDefault="000935A8" w:rsidP="000935A8">
      <w:pPr>
        <w:autoSpaceDE w:val="0"/>
        <w:autoSpaceDN w:val="0"/>
        <w:adjustRightInd w:val="0"/>
        <w:rPr>
          <w:rFonts w:cs="Arial"/>
          <w:i/>
          <w:iCs/>
          <w:color w:val="0079C3"/>
          <w:sz w:val="22"/>
          <w:szCs w:val="22"/>
        </w:rPr>
      </w:pPr>
      <w:r w:rsidRPr="00F924E9">
        <w:rPr>
          <w:rFonts w:cs="Arial"/>
          <w:i/>
          <w:iCs/>
          <w:color w:val="0079C3"/>
          <w:sz w:val="22"/>
          <w:szCs w:val="22"/>
        </w:rPr>
        <w:lastRenderedPageBreak/>
        <w:t xml:space="preserve">NEEA is increasing demand for strategic energy management solutions by targeting industry cluster groups to set industry-wide energy intensity reduction goals and increasing the market’s capability to meet this increased demand by working with its regional utility partners to provide tools and training. </w:t>
      </w:r>
    </w:p>
    <w:p w:rsidR="000935A8" w:rsidRPr="00F924E9" w:rsidRDefault="000935A8" w:rsidP="000935A8">
      <w:pPr>
        <w:autoSpaceDE w:val="0"/>
        <w:autoSpaceDN w:val="0"/>
        <w:adjustRightInd w:val="0"/>
        <w:rPr>
          <w:rFonts w:cs="Arial"/>
          <w:i/>
          <w:iCs/>
          <w:color w:val="0079C3"/>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Small/Medium Industrial: </w:t>
      </w:r>
      <w:r w:rsidRPr="00F924E9">
        <w:rPr>
          <w:rFonts w:cs="Arial"/>
          <w:color w:val="485E29"/>
          <w:sz w:val="22"/>
          <w:szCs w:val="22"/>
        </w:rPr>
        <w:t xml:space="preserve">Embedding Strategic Energy Management into small- to medium-sized industrial businesses.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Food Processors: </w:t>
      </w:r>
      <w:r w:rsidRPr="00F924E9">
        <w:rPr>
          <w:rFonts w:cs="Arial"/>
          <w:color w:val="485E29"/>
          <w:sz w:val="22"/>
          <w:szCs w:val="22"/>
        </w:rPr>
        <w:t>Em</w:t>
      </w:r>
      <w:r w:rsidR="0083589C">
        <w:rPr>
          <w:rFonts w:cs="Arial"/>
          <w:color w:val="485E29"/>
          <w:sz w:val="22"/>
          <w:szCs w:val="22"/>
        </w:rPr>
        <w:t>bedding strategic energy manage</w:t>
      </w:r>
      <w:r w:rsidRPr="00F924E9">
        <w:rPr>
          <w:rFonts w:cs="Arial"/>
          <w:color w:val="485E29"/>
          <w:sz w:val="22"/>
          <w:szCs w:val="22"/>
        </w:rPr>
        <w:t xml:space="preserve">ment within the Northwest food processing industry.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Agriculture: </w:t>
      </w:r>
      <w:r w:rsidRPr="00F924E9">
        <w:rPr>
          <w:rFonts w:cs="Arial"/>
          <w:color w:val="485E29"/>
          <w:sz w:val="22"/>
          <w:szCs w:val="22"/>
        </w:rPr>
        <w:t xml:space="preserve">Characterizing the market to identify barriers and opportunities for energy-efficient practices. </w:t>
      </w:r>
    </w:p>
    <w:p w:rsidR="000935A8" w:rsidRPr="00F924E9" w:rsidRDefault="000935A8" w:rsidP="000935A8">
      <w:pPr>
        <w:autoSpaceDE w:val="0"/>
        <w:autoSpaceDN w:val="0"/>
        <w:adjustRightInd w:val="0"/>
        <w:rPr>
          <w:rFonts w:cs="Arial"/>
          <w:color w:val="485E29"/>
          <w:sz w:val="22"/>
          <w:szCs w:val="22"/>
        </w:rPr>
      </w:pPr>
    </w:p>
    <w:p w:rsidR="000935A8" w:rsidRPr="002F4427" w:rsidRDefault="000935A8" w:rsidP="000935A8">
      <w:pPr>
        <w:autoSpaceDE w:val="0"/>
        <w:autoSpaceDN w:val="0"/>
        <w:adjustRightInd w:val="0"/>
        <w:rPr>
          <w:rFonts w:cs="Arial"/>
          <w:b/>
          <w:bCs/>
          <w:color w:val="00345B"/>
        </w:rPr>
      </w:pPr>
      <w:r w:rsidRPr="002F4427">
        <w:rPr>
          <w:rFonts w:cs="Arial"/>
          <w:b/>
          <w:bCs/>
          <w:color w:val="00345B"/>
        </w:rPr>
        <w:t>Codes &amp; Standards</w:t>
      </w:r>
    </w:p>
    <w:p w:rsidR="000935A8" w:rsidRPr="00F924E9" w:rsidRDefault="000935A8" w:rsidP="000935A8">
      <w:pPr>
        <w:autoSpaceDE w:val="0"/>
        <w:autoSpaceDN w:val="0"/>
        <w:adjustRightInd w:val="0"/>
        <w:rPr>
          <w:rFonts w:cs="Arial"/>
          <w:i/>
          <w:iCs/>
          <w:color w:val="0079C3"/>
          <w:sz w:val="22"/>
          <w:szCs w:val="22"/>
        </w:rPr>
      </w:pPr>
      <w:r w:rsidRPr="00F924E9">
        <w:rPr>
          <w:rFonts w:cs="Arial"/>
          <w:i/>
          <w:iCs/>
          <w:color w:val="0079C3"/>
          <w:sz w:val="22"/>
          <w:szCs w:val="22"/>
        </w:rPr>
        <w:t xml:space="preserve">More stringent codes and standards play an important role in helping the Northwest “lock-in” long-term energy savings. Through the following codes and standards initiatives, NEEA helps the region “lock in” these energy savings, which help the Northwest meet its growing energy needs. </w:t>
      </w:r>
    </w:p>
    <w:p w:rsidR="000935A8" w:rsidRPr="00F924E9" w:rsidRDefault="000935A8" w:rsidP="000935A8">
      <w:pPr>
        <w:autoSpaceDE w:val="0"/>
        <w:autoSpaceDN w:val="0"/>
        <w:adjustRightInd w:val="0"/>
        <w:rPr>
          <w:rFonts w:cs="Arial"/>
          <w:i/>
          <w:iCs/>
          <w:color w:val="0079C3"/>
          <w:sz w:val="22"/>
          <w:szCs w:val="22"/>
        </w:rPr>
      </w:pPr>
    </w:p>
    <w:p w:rsidR="000935A8" w:rsidRPr="00F924E9" w:rsidRDefault="000935A8" w:rsidP="000935A8">
      <w:pPr>
        <w:autoSpaceDE w:val="0"/>
        <w:autoSpaceDN w:val="0"/>
        <w:adjustRightInd w:val="0"/>
        <w:ind w:left="720"/>
        <w:rPr>
          <w:rFonts w:cs="Arial"/>
          <w:color w:val="00345B"/>
          <w:sz w:val="22"/>
          <w:szCs w:val="22"/>
        </w:rPr>
      </w:pPr>
      <w:r w:rsidRPr="00F924E9">
        <w:rPr>
          <w:rFonts w:cs="Arial"/>
          <w:b/>
          <w:bCs/>
          <w:color w:val="485E29"/>
          <w:sz w:val="22"/>
          <w:szCs w:val="22"/>
        </w:rPr>
        <w:t xml:space="preserve">Codes: </w:t>
      </w:r>
      <w:r w:rsidRPr="00F924E9">
        <w:rPr>
          <w:rFonts w:cs="Arial"/>
          <w:color w:val="485E29"/>
          <w:sz w:val="22"/>
          <w:szCs w:val="22"/>
        </w:rPr>
        <w:t xml:space="preserve">Helping to create new and more stringent building codes and providing technical support and training after adoption.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Standards: </w:t>
      </w:r>
      <w:r w:rsidRPr="00F924E9">
        <w:rPr>
          <w:rFonts w:cs="Arial"/>
          <w:color w:val="485E29"/>
          <w:sz w:val="22"/>
          <w:szCs w:val="22"/>
        </w:rPr>
        <w:t xml:space="preserve">Serving as a technical expert during U.S. Department of Energy rulemaking process to encourage the adoption of optimal efficiency federal appliance and equipment standards. </w:t>
      </w:r>
    </w:p>
    <w:p w:rsidR="000935A8" w:rsidRDefault="000935A8" w:rsidP="000935A8">
      <w:pPr>
        <w:autoSpaceDE w:val="0"/>
        <w:autoSpaceDN w:val="0"/>
        <w:adjustRightInd w:val="0"/>
        <w:rPr>
          <w:rFonts w:cs="Arial"/>
          <w:color w:val="485E29"/>
          <w:sz w:val="22"/>
          <w:szCs w:val="22"/>
        </w:rPr>
      </w:pPr>
    </w:p>
    <w:p w:rsidR="000935A8" w:rsidRPr="00F924E9" w:rsidRDefault="000935A8" w:rsidP="000935A8">
      <w:pPr>
        <w:autoSpaceDE w:val="0"/>
        <w:autoSpaceDN w:val="0"/>
        <w:adjustRightInd w:val="0"/>
        <w:rPr>
          <w:rFonts w:cs="Arial"/>
          <w:color w:val="00345B"/>
        </w:rPr>
      </w:pPr>
      <w:r w:rsidRPr="002F4427">
        <w:rPr>
          <w:rFonts w:cs="Arial"/>
          <w:b/>
          <w:bCs/>
          <w:color w:val="00345B"/>
        </w:rPr>
        <w:t xml:space="preserve">Partner Services </w:t>
      </w:r>
    </w:p>
    <w:p w:rsidR="000935A8" w:rsidRPr="00F924E9" w:rsidRDefault="000935A8" w:rsidP="000935A8">
      <w:pPr>
        <w:autoSpaceDE w:val="0"/>
        <w:autoSpaceDN w:val="0"/>
        <w:adjustRightInd w:val="0"/>
        <w:rPr>
          <w:rStyle w:val="A6"/>
          <w:rFonts w:cs="Arial"/>
          <w:sz w:val="22"/>
          <w:szCs w:val="22"/>
        </w:rPr>
      </w:pPr>
      <w:r w:rsidRPr="00F924E9">
        <w:rPr>
          <w:rStyle w:val="A6"/>
          <w:rFonts w:cs="Arial"/>
          <w:sz w:val="22"/>
          <w:szCs w:val="22"/>
        </w:rPr>
        <w:t xml:space="preserve">More than ever, the region is looking to increase its information sharing, coordination and collaboration efforts to meet aggressive energy saving goals. NEEA is committed to delivering a variety of services through the following initiatives that support its funders and regional stakeholders’ energy efficiency efforts. </w:t>
      </w:r>
    </w:p>
    <w:p w:rsidR="000935A8" w:rsidRPr="00F924E9" w:rsidRDefault="000935A8" w:rsidP="000935A8">
      <w:pPr>
        <w:autoSpaceDE w:val="0"/>
        <w:autoSpaceDN w:val="0"/>
        <w:adjustRightInd w:val="0"/>
        <w:rPr>
          <w:rStyle w:val="A6"/>
          <w:rFonts w:cs="Arial"/>
          <w:sz w:val="22"/>
          <w:szCs w:val="22"/>
        </w:rPr>
      </w:pPr>
    </w:p>
    <w:p w:rsidR="000935A8"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ConduitNW.org: </w:t>
      </w:r>
      <w:r w:rsidRPr="00F924E9">
        <w:rPr>
          <w:rFonts w:cs="Arial"/>
          <w:color w:val="485E29"/>
          <w:sz w:val="22"/>
          <w:szCs w:val="22"/>
        </w:rPr>
        <w:t xml:space="preserve">Facilitating online information-sharing, coordination and collaboration among energy efficiency professionals in the Northwest. </w:t>
      </w:r>
    </w:p>
    <w:p w:rsidR="000935A8" w:rsidRDefault="000935A8" w:rsidP="000935A8">
      <w:pPr>
        <w:autoSpaceDE w:val="0"/>
        <w:autoSpaceDN w:val="0"/>
        <w:adjustRightInd w:val="0"/>
        <w:ind w:left="720"/>
        <w:rPr>
          <w:rFonts w:cs="Arial"/>
          <w:color w:val="485E29"/>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EFFICIENCY CONNECTIONS NORTHWEST: </w:t>
      </w:r>
      <w:r w:rsidRPr="00F924E9">
        <w:rPr>
          <w:rFonts w:cs="Arial"/>
          <w:color w:val="485E29"/>
          <w:sz w:val="22"/>
          <w:szCs w:val="22"/>
        </w:rPr>
        <w:t xml:space="preserve">Providing a forum for Northwest utilities to tap into the collective knowledge and innovation of the energy efficiency community through knowledge-sharing, networking and break-out sessions. </w:t>
      </w:r>
    </w:p>
    <w:p w:rsidR="000935A8" w:rsidRPr="00F924E9" w:rsidRDefault="000935A8" w:rsidP="000935A8">
      <w:pPr>
        <w:autoSpaceDE w:val="0"/>
        <w:autoSpaceDN w:val="0"/>
        <w:adjustRightInd w:val="0"/>
        <w:rPr>
          <w:rFonts w:cs="Arial"/>
          <w:color w:val="485E29"/>
          <w:sz w:val="22"/>
          <w:szCs w:val="22"/>
        </w:rPr>
      </w:pPr>
    </w:p>
    <w:p w:rsidR="000935A8" w:rsidRPr="00F924E9" w:rsidRDefault="000935A8" w:rsidP="000935A8">
      <w:pPr>
        <w:autoSpaceDE w:val="0"/>
        <w:autoSpaceDN w:val="0"/>
        <w:adjustRightInd w:val="0"/>
        <w:rPr>
          <w:rFonts w:cs="Arial"/>
          <w:color w:val="00345B"/>
        </w:rPr>
      </w:pPr>
      <w:r w:rsidRPr="002F4427">
        <w:rPr>
          <w:rFonts w:cs="Arial"/>
          <w:b/>
          <w:bCs/>
          <w:color w:val="00345B"/>
        </w:rPr>
        <w:t xml:space="preserve">Emerging Technology </w:t>
      </w:r>
    </w:p>
    <w:p w:rsidR="000935A8" w:rsidRPr="00F924E9" w:rsidRDefault="000935A8" w:rsidP="000935A8">
      <w:pPr>
        <w:autoSpaceDE w:val="0"/>
        <w:autoSpaceDN w:val="0"/>
        <w:adjustRightInd w:val="0"/>
        <w:rPr>
          <w:rStyle w:val="A6"/>
          <w:rFonts w:cs="Arial"/>
          <w:sz w:val="22"/>
          <w:szCs w:val="22"/>
        </w:rPr>
      </w:pPr>
      <w:r w:rsidRPr="00F924E9">
        <w:rPr>
          <w:rStyle w:val="A6"/>
          <w:rFonts w:cs="Arial"/>
          <w:sz w:val="22"/>
          <w:szCs w:val="22"/>
        </w:rPr>
        <w:t xml:space="preserve">NEEA’s work in accelerating the innovation and market adoption of energy-efficient products, services and practices requires a continuous supply of new commercially available energy efficiency technologies and practices. NEEA is filling this emerging technology pipeline through the following initiatives. </w:t>
      </w:r>
    </w:p>
    <w:p w:rsidR="000935A8" w:rsidRPr="00F924E9" w:rsidRDefault="000935A8" w:rsidP="000935A8">
      <w:pPr>
        <w:autoSpaceDE w:val="0"/>
        <w:autoSpaceDN w:val="0"/>
        <w:adjustRightInd w:val="0"/>
        <w:rPr>
          <w:rStyle w:val="A6"/>
          <w:rFonts w:cs="Arial"/>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Heat Pump Water Heaters: </w:t>
      </w:r>
      <w:r w:rsidRPr="00F924E9">
        <w:rPr>
          <w:rFonts w:cs="Arial"/>
          <w:color w:val="485E29"/>
          <w:sz w:val="22"/>
          <w:szCs w:val="22"/>
        </w:rPr>
        <w:t xml:space="preserve">Engaging manufacturers to produce HPWHs that meet the Northern Tier Specification with the long-term goal of impacting a federal standard.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High Performance Windows: </w:t>
      </w:r>
      <w:r w:rsidRPr="00F924E9">
        <w:rPr>
          <w:rFonts w:cs="Arial"/>
          <w:color w:val="485E29"/>
          <w:sz w:val="22"/>
          <w:szCs w:val="22"/>
        </w:rPr>
        <w:t xml:space="preserve">Developing a new strategic market intervention strategy for the next generation of high performance windows.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color w:val="485E29"/>
          <w:sz w:val="22"/>
          <w:szCs w:val="22"/>
        </w:rPr>
      </w:pPr>
      <w:r w:rsidRPr="00F924E9">
        <w:rPr>
          <w:rFonts w:cs="Arial"/>
          <w:b/>
          <w:bCs/>
          <w:color w:val="485E29"/>
          <w:sz w:val="22"/>
          <w:szCs w:val="22"/>
        </w:rPr>
        <w:t xml:space="preserve">Green Pumps: </w:t>
      </w:r>
      <w:r w:rsidRPr="00F924E9">
        <w:rPr>
          <w:rFonts w:cs="Arial"/>
          <w:color w:val="485E29"/>
          <w:sz w:val="22"/>
          <w:szCs w:val="22"/>
        </w:rPr>
        <w:t xml:space="preserve">Standardizing emerging techniques for refurbishing large industrial pumps back to their original state and integrating this as a standard business practice in the market. </w:t>
      </w:r>
    </w:p>
    <w:p w:rsidR="000935A8" w:rsidRDefault="000935A8" w:rsidP="000935A8">
      <w:pPr>
        <w:autoSpaceDE w:val="0"/>
        <w:autoSpaceDN w:val="0"/>
        <w:adjustRightInd w:val="0"/>
        <w:ind w:left="720"/>
        <w:rPr>
          <w:rFonts w:cs="Arial"/>
          <w:color w:val="000000"/>
          <w:sz w:val="22"/>
          <w:szCs w:val="22"/>
        </w:rPr>
      </w:pPr>
    </w:p>
    <w:p w:rsidR="000935A8" w:rsidRPr="00F924E9" w:rsidRDefault="000935A8" w:rsidP="000935A8">
      <w:pPr>
        <w:autoSpaceDE w:val="0"/>
        <w:autoSpaceDN w:val="0"/>
        <w:adjustRightInd w:val="0"/>
        <w:ind w:left="720"/>
        <w:rPr>
          <w:rFonts w:cs="Arial"/>
          <w:sz w:val="22"/>
          <w:szCs w:val="22"/>
        </w:rPr>
      </w:pPr>
      <w:r w:rsidRPr="00F924E9">
        <w:rPr>
          <w:rFonts w:cs="Arial"/>
          <w:b/>
          <w:bCs/>
          <w:color w:val="485E29"/>
          <w:sz w:val="22"/>
          <w:szCs w:val="22"/>
        </w:rPr>
        <w:t xml:space="preserve">Solid State Lighting: </w:t>
      </w:r>
      <w:r w:rsidRPr="00F924E9">
        <w:rPr>
          <w:rFonts w:cs="Arial"/>
          <w:color w:val="485E29"/>
          <w:sz w:val="22"/>
          <w:szCs w:val="22"/>
        </w:rPr>
        <w:t xml:space="preserve">Testing visual acuity, energy savings and cost-effectiveness of combining LED lighting with network control systems in pilot locations across the Northwest. </w:t>
      </w:r>
      <w:r w:rsidRPr="00F924E9">
        <w:rPr>
          <w:rFonts w:cs="Arial"/>
          <w:color w:val="221E1F"/>
          <w:sz w:val="22"/>
          <w:szCs w:val="22"/>
        </w:rPr>
        <w:t xml:space="preserve"> </w:t>
      </w:r>
    </w:p>
    <w:p w:rsidR="000935A8" w:rsidRDefault="000935A8" w:rsidP="000935A8">
      <w:pPr>
        <w:autoSpaceDE w:val="0"/>
        <w:autoSpaceDN w:val="0"/>
        <w:adjustRightInd w:val="0"/>
        <w:spacing w:line="241" w:lineRule="atLeast"/>
        <w:rPr>
          <w:rFonts w:cs="Arial"/>
          <w:b/>
          <w:bCs/>
          <w:color w:val="00345B"/>
          <w:sz w:val="32"/>
          <w:szCs w:val="32"/>
        </w:rPr>
      </w:pPr>
      <w:r>
        <w:rPr>
          <w:rFonts w:cs="Arial"/>
          <w:b/>
          <w:bCs/>
          <w:color w:val="00345B"/>
          <w:sz w:val="32"/>
          <w:szCs w:val="32"/>
        </w:rPr>
        <w:br w:type="page"/>
      </w:r>
    </w:p>
    <w:p w:rsidR="000935A8" w:rsidRPr="00A740F9" w:rsidRDefault="000935A8" w:rsidP="000935A8">
      <w:pPr>
        <w:autoSpaceDE w:val="0"/>
        <w:autoSpaceDN w:val="0"/>
        <w:adjustRightInd w:val="0"/>
        <w:spacing w:line="241" w:lineRule="atLeast"/>
        <w:rPr>
          <w:rFonts w:cs="Arial"/>
          <w:color w:val="00345B"/>
          <w:sz w:val="32"/>
          <w:szCs w:val="32"/>
        </w:rPr>
      </w:pPr>
      <w:r w:rsidRPr="006B17E6">
        <w:rPr>
          <w:rFonts w:cs="Arial"/>
          <w:b/>
          <w:bCs/>
          <w:color w:val="00345B"/>
          <w:sz w:val="32"/>
          <w:szCs w:val="32"/>
        </w:rPr>
        <w:lastRenderedPageBreak/>
        <w:t xml:space="preserve">Former Initiatives-At-A-Glance </w:t>
      </w:r>
    </w:p>
    <w:p w:rsidR="000935A8" w:rsidRDefault="000935A8" w:rsidP="000935A8">
      <w:pPr>
        <w:autoSpaceDE w:val="0"/>
        <w:autoSpaceDN w:val="0"/>
        <w:adjustRightInd w:val="0"/>
        <w:spacing w:after="180" w:line="241" w:lineRule="atLeast"/>
        <w:rPr>
          <w:rFonts w:cs="Arial"/>
          <w:i/>
          <w:iCs/>
          <w:color w:val="0079C3"/>
          <w:sz w:val="22"/>
          <w:szCs w:val="22"/>
        </w:rPr>
      </w:pPr>
    </w:p>
    <w:p w:rsidR="000935A8" w:rsidRPr="00A740F9" w:rsidRDefault="000935A8" w:rsidP="000935A8">
      <w:pPr>
        <w:autoSpaceDE w:val="0"/>
        <w:autoSpaceDN w:val="0"/>
        <w:adjustRightInd w:val="0"/>
        <w:spacing w:after="180" w:line="241" w:lineRule="atLeast"/>
        <w:rPr>
          <w:rFonts w:cs="Arial"/>
          <w:color w:val="0079C3"/>
          <w:sz w:val="22"/>
          <w:szCs w:val="22"/>
        </w:rPr>
      </w:pPr>
      <w:r w:rsidRPr="006B17E6">
        <w:rPr>
          <w:rFonts w:cs="Arial"/>
          <w:i/>
          <w:iCs/>
          <w:color w:val="0079C3"/>
          <w:sz w:val="22"/>
          <w:szCs w:val="22"/>
        </w:rPr>
        <w:t xml:space="preserve">NEEA accelerates the delivery and adoption of energy-efficient products, practices and services. NEEA accomplished this between 1997 and 2009 through the following former NEEA </w:t>
      </w:r>
      <w:r>
        <w:rPr>
          <w:rFonts w:cs="Arial"/>
          <w:i/>
          <w:iCs/>
          <w:color w:val="0079C3"/>
          <w:sz w:val="22"/>
          <w:szCs w:val="22"/>
        </w:rPr>
        <w:t>i</w:t>
      </w:r>
      <w:r w:rsidRPr="006B17E6">
        <w:rPr>
          <w:rFonts w:cs="Arial"/>
          <w:i/>
          <w:iCs/>
          <w:color w:val="0079C3"/>
          <w:sz w:val="22"/>
          <w:szCs w:val="22"/>
        </w:rPr>
        <w:t xml:space="preserve">nitiatives. </w:t>
      </w:r>
    </w:p>
    <w:p w:rsidR="000935A8" w:rsidRPr="00A740F9" w:rsidRDefault="000935A8" w:rsidP="000935A8">
      <w:pPr>
        <w:autoSpaceDE w:val="0"/>
        <w:autoSpaceDN w:val="0"/>
        <w:adjustRightInd w:val="0"/>
        <w:spacing w:line="241" w:lineRule="atLeast"/>
        <w:rPr>
          <w:rFonts w:cs="Arial"/>
          <w:color w:val="00345B"/>
        </w:rPr>
      </w:pPr>
      <w:r w:rsidRPr="00BE52D5">
        <w:rPr>
          <w:rFonts w:cs="Arial"/>
          <w:b/>
          <w:bCs/>
          <w:color w:val="00345B"/>
        </w:rPr>
        <w:t xml:space="preserve">Residential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Refrigerator (current ENERGY STAR over federal standard baseline): </w:t>
      </w:r>
      <w:r w:rsidRPr="006B17E6">
        <w:rPr>
          <w:rFonts w:cs="Arial"/>
          <w:color w:val="221E1F"/>
          <w:sz w:val="22"/>
          <w:szCs w:val="22"/>
        </w:rPr>
        <w:t xml:space="preserve">NEEA leveraged its relationships with retailers to accelerate the market adoption of ENERGY STAR refrigerators as part of a “white goods” strategy to increase market awareness of ENERGY STAR “white goods” appliances such as refrigerators and dishwashers.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Clothes Washers (above Modified Energy Factor 1.43): </w:t>
      </w:r>
      <w:r w:rsidRPr="006B17E6">
        <w:rPr>
          <w:rFonts w:cs="Arial"/>
          <w:color w:val="221E1F"/>
          <w:sz w:val="22"/>
          <w:szCs w:val="22"/>
        </w:rPr>
        <w:t xml:space="preserve">NEEA influenced more stringent efficiency standards for clothes washers and accelerated market adoption by partnering with manufacturers, utilities and retailers to increase availability and increase consumer demand through targeted public outreach and marketing campaigns.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Super Good Cents Manufactured Homes: </w:t>
      </w:r>
      <w:r w:rsidRPr="006B17E6">
        <w:rPr>
          <w:rFonts w:cs="Arial"/>
          <w:color w:val="221E1F"/>
          <w:sz w:val="22"/>
          <w:szCs w:val="22"/>
        </w:rPr>
        <w:t xml:space="preserve">NEEA partnered to create a self-sustaining, market supported Super Good Cents (SGC) Manufactured Homes certification and quality assurance program throughout the region to provide a quality assurance structure within the market and accelerate the market adoption of SGC homes throughout the Northwest.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Windows: </w:t>
      </w:r>
      <w:r w:rsidRPr="006B17E6">
        <w:rPr>
          <w:rFonts w:cs="Arial"/>
          <w:color w:val="221E1F"/>
          <w:sz w:val="22"/>
          <w:szCs w:val="22"/>
        </w:rPr>
        <w:t xml:space="preserve">NEEA accelerated the market adoption of high-efficiency ENERGY STAR residential windows by working with manufacturers and retailers to increase availability and increase consumer demand through strategic marketing campaigns with manufacturers.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Other Residential Codes (Multi-family) (1997–2009): </w:t>
      </w:r>
      <w:r w:rsidRPr="006B17E6">
        <w:rPr>
          <w:rFonts w:cs="Arial"/>
          <w:color w:val="221E1F"/>
          <w:sz w:val="22"/>
          <w:szCs w:val="22"/>
        </w:rPr>
        <w:t xml:space="preserve">NEEA influenced the adoption of more stringent codes in multi-family homes by participating in and providing technical data throughout state and federal code adoption processes and providing education and training to the market.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Other Residential Standards (1997–2009): </w:t>
      </w:r>
      <w:r w:rsidRPr="006B17E6">
        <w:rPr>
          <w:rFonts w:cs="Arial"/>
          <w:color w:val="221E1F"/>
          <w:sz w:val="22"/>
          <w:szCs w:val="22"/>
        </w:rPr>
        <w:t xml:space="preserve">NEEA collaborated to leverage the market power of the Northwest’s 12 million energy consumers to accelerate the market adoption of more stringent residential appliance and equipment standards at the regional and national level. </w:t>
      </w:r>
    </w:p>
    <w:p w:rsidR="000935A8" w:rsidRPr="00A740F9" w:rsidRDefault="000935A8" w:rsidP="000935A8">
      <w:pPr>
        <w:autoSpaceDE w:val="0"/>
        <w:autoSpaceDN w:val="0"/>
        <w:adjustRightInd w:val="0"/>
        <w:rPr>
          <w:rFonts w:cs="Arial"/>
          <w:color w:val="221E1F"/>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ENERGY STAR Homes Tier 1 (2005–2009): </w:t>
      </w:r>
      <w:r w:rsidRPr="006B17E6">
        <w:rPr>
          <w:rFonts w:cs="Arial"/>
          <w:color w:val="221E1F"/>
          <w:sz w:val="22"/>
          <w:szCs w:val="22"/>
        </w:rPr>
        <w:t xml:space="preserve">NEEA helped adapt and advance the Federal ENERGY STAR Homes’ specifications to align the federal specification with the market progression in the Northwest.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Energy Codes Single Family (1997–2009): </w:t>
      </w:r>
      <w:r w:rsidRPr="006B17E6">
        <w:rPr>
          <w:rFonts w:cs="Arial"/>
          <w:color w:val="221E1F"/>
          <w:sz w:val="22"/>
          <w:szCs w:val="22"/>
        </w:rPr>
        <w:t xml:space="preserve">NEEA influenced the adoption of more stringent codes in single family homes by participating in the state and federal code adoption processes and providing education and training to the market.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Lighting General: </w:t>
      </w:r>
      <w:r w:rsidRPr="006B17E6">
        <w:rPr>
          <w:rFonts w:cs="Arial"/>
          <w:color w:val="221E1F"/>
          <w:sz w:val="22"/>
          <w:szCs w:val="22"/>
        </w:rPr>
        <w:t xml:space="preserve">NEEA’s ENERGY STAR residential lighting initiative accelerated the market adoption of residential ENERGY STAR lighting products, specifically targeting technologies such as the screw-based </w:t>
      </w:r>
      <w:r w:rsidRPr="006B17E6">
        <w:rPr>
          <w:rFonts w:cs="Arial"/>
          <w:color w:val="221E1F"/>
          <w:sz w:val="22"/>
          <w:szCs w:val="22"/>
        </w:rPr>
        <w:lastRenderedPageBreak/>
        <w:t xml:space="preserve">compact fluorescent lamps (CFLs), indoor and outdoor fixtures and portable lamps. NEEA accelerated the adopted of CFLs by working with the region to increase product performance, availability, affordability and increasing consumer awareness.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Lighting Fixtures: </w:t>
      </w:r>
      <w:r w:rsidRPr="006B17E6">
        <w:rPr>
          <w:rFonts w:cs="Arial"/>
          <w:color w:val="221E1F"/>
          <w:sz w:val="22"/>
          <w:szCs w:val="22"/>
        </w:rPr>
        <w:t xml:space="preserve">NEEA accelerated product availability and market adoption of ENERGY STAR fluorescent residential light fixtures by partnering with its utility partners to facilitate product rebates to lower product cost, increasing retailer education and stocking practices, and increasing consumer demand through regional education and marketing.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Lighting Specialty: </w:t>
      </w:r>
      <w:r w:rsidRPr="006B17E6">
        <w:rPr>
          <w:rFonts w:cs="Arial"/>
          <w:color w:val="221E1F"/>
          <w:sz w:val="22"/>
          <w:szCs w:val="22"/>
        </w:rPr>
        <w:t xml:space="preserve">NEEA collaborated with the region to develop and implement strategic market interventions that accelerated the market adoption of specialty (non-twister) ENERGY STAR compact fluorescent lamps.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Dishwashers: </w:t>
      </w:r>
      <w:r w:rsidRPr="006B17E6">
        <w:rPr>
          <w:rFonts w:cs="Arial"/>
          <w:color w:val="221E1F"/>
          <w:sz w:val="22"/>
          <w:szCs w:val="22"/>
        </w:rPr>
        <w:t xml:space="preserve">NEEA accelerated the market adoption of ENERGY STAR dishwashers by partnering with manufacturers, retailers and regional utilities to increase the availability and consumer awareness of these products. </w:t>
      </w:r>
    </w:p>
    <w:p w:rsidR="000935A8" w:rsidRPr="006B17E6" w:rsidRDefault="000935A8" w:rsidP="000935A8">
      <w:pPr>
        <w:rPr>
          <w:rFonts w:cs="Arial"/>
          <w:sz w:val="22"/>
          <w:szCs w:val="22"/>
        </w:rPr>
      </w:pPr>
    </w:p>
    <w:p w:rsidR="000935A8" w:rsidRPr="00BE52D5" w:rsidRDefault="000935A8" w:rsidP="000935A8">
      <w:pPr>
        <w:pStyle w:val="Pa1"/>
        <w:rPr>
          <w:rFonts w:ascii="Arial" w:hAnsi="Arial" w:cs="Arial"/>
          <w:color w:val="00345B"/>
        </w:rPr>
      </w:pPr>
      <w:r w:rsidRPr="00BE52D5">
        <w:rPr>
          <w:rStyle w:val="A2"/>
          <w:rFonts w:ascii="Arial" w:hAnsi="Arial" w:cs="Arial"/>
        </w:rPr>
        <w:t xml:space="preserve">Commercial </w:t>
      </w:r>
    </w:p>
    <w:p w:rsidR="000935A8" w:rsidRPr="006B17E6" w:rsidRDefault="000935A8" w:rsidP="000935A8">
      <w:pPr>
        <w:rPr>
          <w:rStyle w:val="A1"/>
          <w:rFonts w:ascii="Arial" w:hAnsi="Arial" w:cs="Arial"/>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Commercial New Construction: </w:t>
      </w:r>
      <w:r w:rsidRPr="006B17E6">
        <w:rPr>
          <w:rFonts w:cs="Arial"/>
          <w:color w:val="221E1F"/>
          <w:sz w:val="22"/>
          <w:szCs w:val="22"/>
        </w:rPr>
        <w:t xml:space="preserve">NEEA accelerated the market adoption of energy-efficient commercial buildings by increasing the demand within the hospital/healthcare, office real estate and grocery sectors for highly energy-efficient commercial building design and expanding the capability of the market to meet this demand.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Building Operations (Non-target Markets): </w:t>
      </w:r>
      <w:r w:rsidRPr="006B17E6">
        <w:rPr>
          <w:rFonts w:cs="Arial"/>
          <w:color w:val="221E1F"/>
          <w:sz w:val="22"/>
          <w:szCs w:val="22"/>
        </w:rPr>
        <w:t xml:space="preserve">NEEA accelerated the market adoption of energy-efficient commercial buildings by increasing the supply of service providers with business models, product offerings and skills in high performance building operations maintenance.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Building Operator Certification: </w:t>
      </w:r>
      <w:r w:rsidRPr="006B17E6">
        <w:rPr>
          <w:rFonts w:cs="Arial"/>
          <w:color w:val="221E1F"/>
          <w:sz w:val="22"/>
          <w:szCs w:val="22"/>
        </w:rPr>
        <w:t xml:space="preserve">NEEA developed this regional certification program to educate building operator professionals on how to manage commercial building controls to reduce energy and operating costs.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80 PLUS (2005–2009): </w:t>
      </w:r>
      <w:r w:rsidRPr="006B17E6">
        <w:rPr>
          <w:rFonts w:cs="Arial"/>
          <w:color w:val="221E1F"/>
          <w:sz w:val="22"/>
          <w:szCs w:val="22"/>
        </w:rPr>
        <w:t xml:space="preserve">NEEA partnered with the 80 PLUS program to increase the availability of 80 PLUS power supplies by working with both manufacturers—such as Dell and Hewlett-Packard—to incorporate these power supplies into their products and the Environmental Protection Agency to include 80 PLUS power supplies into their specifications for desktop PCs.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Verdiem Network Energy Management: </w:t>
      </w:r>
      <w:r w:rsidRPr="006B17E6">
        <w:rPr>
          <w:rFonts w:cs="Arial"/>
          <w:color w:val="221E1F"/>
          <w:sz w:val="22"/>
          <w:szCs w:val="22"/>
        </w:rPr>
        <w:t xml:space="preserve">NEEA partnered with Verdiem, Inc. to commercialize this software that enables IT administrators to effectively control power management settings of desktop computers through network controls.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Grocery: </w:t>
      </w:r>
      <w:r w:rsidRPr="006B17E6">
        <w:rPr>
          <w:rFonts w:cs="Arial"/>
          <w:color w:val="221E1F"/>
          <w:sz w:val="22"/>
          <w:szCs w:val="22"/>
        </w:rPr>
        <w:t xml:space="preserve">NEEA accelerated the adoption of energy-efficient building design and operations within the grocery market by working with regional grocery wholesalers and larger chain operators to increase the </w:t>
      </w:r>
      <w:r w:rsidRPr="006B17E6">
        <w:rPr>
          <w:rFonts w:cs="Arial"/>
          <w:color w:val="221E1F"/>
          <w:sz w:val="22"/>
          <w:szCs w:val="22"/>
        </w:rPr>
        <w:lastRenderedPageBreak/>
        <w:t xml:space="preserve">demand for these products and services while building the capacity of the market through education and training to meet this demand. </w:t>
      </w:r>
    </w:p>
    <w:p w:rsidR="000935A8" w:rsidRPr="00A740F9" w:rsidRDefault="000935A8" w:rsidP="000935A8">
      <w:pPr>
        <w:autoSpaceDE w:val="0"/>
        <w:autoSpaceDN w:val="0"/>
        <w:adjustRightInd w:val="0"/>
        <w:rPr>
          <w:rFonts w:cs="Arial"/>
          <w:color w:val="221E1F"/>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Energy Management Degree Program: </w:t>
      </w:r>
      <w:r w:rsidRPr="006B17E6">
        <w:rPr>
          <w:rFonts w:cs="Arial"/>
          <w:color w:val="221E1F"/>
          <w:sz w:val="22"/>
          <w:szCs w:val="22"/>
        </w:rPr>
        <w:t xml:space="preserve">NEEA developed this multifaceted program that offered a certification program for the professional energy management community, provide customized courses, support the training requirement of NEEA’s initiatives and stimulate development of a network of training centers around the region.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Commissioning Public Buildings: </w:t>
      </w:r>
      <w:r w:rsidRPr="006B17E6">
        <w:rPr>
          <w:rFonts w:cs="Arial"/>
          <w:color w:val="221E1F"/>
          <w:sz w:val="22"/>
          <w:szCs w:val="22"/>
        </w:rPr>
        <w:t xml:space="preserve">NEEA helped make commissioning standard practice in public buildings in the Northwest by educating and building awareness of the value of commissioning, supporting the Building Commissioning Association and supporting projects like the commissioning certification.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Other Commercial Standards (1997-2009): </w:t>
      </w:r>
      <w:r w:rsidRPr="006B17E6">
        <w:rPr>
          <w:rFonts w:cs="Arial"/>
          <w:color w:val="221E1F"/>
          <w:sz w:val="22"/>
          <w:szCs w:val="22"/>
        </w:rPr>
        <w:t xml:space="preserve">NEEA collaborated with its utility partners to leverage the market power of the Northwest’s 12 million energy consumers to accelerate the market adoption of more stringent commercial equipment standards at the regional and national level. </w:t>
      </w:r>
    </w:p>
    <w:p w:rsidR="000935A8" w:rsidRDefault="000935A8" w:rsidP="000935A8">
      <w:pPr>
        <w:autoSpaceDE w:val="0"/>
        <w:autoSpaceDN w:val="0"/>
        <w:adjustRightInd w:val="0"/>
        <w:rPr>
          <w:rFonts w:cs="Arial"/>
          <w:b/>
          <w:bCs/>
          <w:color w:val="485E29"/>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Other Commercial Codes (1997-2009): </w:t>
      </w:r>
      <w:r w:rsidRPr="006B17E6">
        <w:rPr>
          <w:rFonts w:cs="Arial"/>
          <w:color w:val="221E1F"/>
          <w:sz w:val="22"/>
          <w:szCs w:val="22"/>
        </w:rPr>
        <w:t xml:space="preserve">NEEA influenced the adoption of more stringent codes in commercial buildings by participating in and providing technical data throughout state and federal code adoption processes and providing education and training to the market. </w:t>
      </w:r>
    </w:p>
    <w:p w:rsidR="000935A8" w:rsidRPr="006B17E6" w:rsidRDefault="000935A8" w:rsidP="000935A8">
      <w:pPr>
        <w:rPr>
          <w:rFonts w:cs="Arial"/>
          <w:color w:val="221E1F"/>
          <w:sz w:val="22"/>
          <w:szCs w:val="22"/>
        </w:rPr>
      </w:pPr>
    </w:p>
    <w:p w:rsidR="000935A8" w:rsidRPr="00BE52D5" w:rsidRDefault="000935A8" w:rsidP="000935A8">
      <w:pPr>
        <w:pStyle w:val="Pa1"/>
        <w:rPr>
          <w:rFonts w:ascii="Arial" w:hAnsi="Arial" w:cs="Arial"/>
          <w:color w:val="00345B"/>
        </w:rPr>
      </w:pPr>
      <w:r w:rsidRPr="00BE52D5">
        <w:rPr>
          <w:rStyle w:val="A2"/>
          <w:rFonts w:ascii="Arial" w:hAnsi="Arial" w:cs="Arial"/>
        </w:rPr>
        <w:t xml:space="preserve">Industrial </w:t>
      </w:r>
    </w:p>
    <w:p w:rsidR="000935A8" w:rsidRPr="006B17E6" w:rsidRDefault="000935A8" w:rsidP="000935A8">
      <w:pPr>
        <w:rPr>
          <w:rStyle w:val="A1"/>
          <w:rFonts w:ascii="Arial" w:hAnsi="Arial" w:cs="Arial"/>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Pulp and Paper: </w:t>
      </w:r>
      <w:r w:rsidRPr="006B17E6">
        <w:rPr>
          <w:rFonts w:cs="Arial"/>
          <w:color w:val="221E1F"/>
          <w:sz w:val="22"/>
          <w:szCs w:val="22"/>
        </w:rPr>
        <w:t xml:space="preserve">NEEA sought to engage 10 pulp and paper mills in Continuous Energy Improvement, a framework developed that embeds strategic energy management into business and manufacturing operations.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Drive Power: </w:t>
      </w:r>
      <w:r w:rsidRPr="006B17E6">
        <w:rPr>
          <w:rFonts w:cs="Arial"/>
          <w:color w:val="221E1F"/>
          <w:sz w:val="22"/>
          <w:szCs w:val="22"/>
        </w:rPr>
        <w:t xml:space="preserve">NEEA partnered with the League of the Pacific Northwest to increase the region’s motor fleet efficiency by influencing end-users to incorporate life-cycle analysis in investment decisions and helping motor service centers improve repair and motor management services.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MagnaDrive Innovative Industrial Speed Control: </w:t>
      </w:r>
      <w:r w:rsidRPr="006B17E6">
        <w:rPr>
          <w:rFonts w:cs="Arial"/>
          <w:color w:val="221E1F"/>
          <w:sz w:val="22"/>
          <w:szCs w:val="22"/>
        </w:rPr>
        <w:t xml:space="preserve">NEEA supported development and commercialization of technology that allows older motors to operate more efficiently through a magnetic industrial adjustable speed drive.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Variable Frequency Drives: </w:t>
      </w:r>
      <w:r w:rsidRPr="006B17E6">
        <w:rPr>
          <w:rFonts w:cs="Arial"/>
          <w:color w:val="221E1F"/>
          <w:sz w:val="22"/>
          <w:szCs w:val="22"/>
        </w:rPr>
        <w:t xml:space="preserve">NEEA accelerated market adoption of variable frequency drives, which allow evaporator fan motors to run at slower speeds, by funding pilot research and strategic market intervention strategies.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BacGen Waste Water Optimization Service: </w:t>
      </w:r>
      <w:r w:rsidRPr="006B17E6">
        <w:rPr>
          <w:rFonts w:cs="Arial"/>
          <w:color w:val="221E1F"/>
          <w:sz w:val="22"/>
          <w:szCs w:val="22"/>
        </w:rPr>
        <w:t xml:space="preserve">NEEA and BacGen Technologies, Inc. developed a method for reducing the energy consumption of small- to medium-sized wastewater treatment facilities with a proprietary mix of micronutrients and process control technologies. </w:t>
      </w:r>
    </w:p>
    <w:p w:rsidR="000935A8" w:rsidRPr="006B17E6" w:rsidRDefault="000935A8" w:rsidP="000935A8">
      <w:pPr>
        <w:rPr>
          <w:rStyle w:val="A1"/>
          <w:rFonts w:ascii="Arial" w:hAnsi="Arial" w:cs="Arial"/>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lastRenderedPageBreak/>
        <w:t xml:space="preserve">Pneu-Logic (SAV-AIR): </w:t>
      </w:r>
      <w:r w:rsidRPr="006B17E6">
        <w:rPr>
          <w:rFonts w:cs="Arial"/>
          <w:color w:val="221E1F"/>
          <w:sz w:val="22"/>
          <w:szCs w:val="22"/>
        </w:rPr>
        <w:t xml:space="preserve">NEEA partnered with SAV-AIR, LLC on the Pneu-Logic SAV-AIR initiative, which delivered comprehensive compressed air management systems and engineering services to help customers control compressed air systems using sensors, computers and software.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Microelectronics (Asimi, Silicon Crystal Growing Facilities): </w:t>
      </w:r>
      <w:r w:rsidRPr="006B17E6">
        <w:rPr>
          <w:rFonts w:cs="Arial"/>
          <w:color w:val="221E1F"/>
          <w:sz w:val="22"/>
          <w:szCs w:val="22"/>
        </w:rPr>
        <w:t xml:space="preserve">NEEA targeted the microelectronics industry to accelerate the market adoption of more energy-efficient production furnaces used for manufacturing crystalline silicon for photovoltaic applications.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Compressed Air Challenge Training: </w:t>
      </w:r>
      <w:r w:rsidRPr="006B17E6">
        <w:rPr>
          <w:rFonts w:cs="Arial"/>
          <w:color w:val="221E1F"/>
          <w:sz w:val="22"/>
          <w:szCs w:val="22"/>
        </w:rPr>
        <w:t xml:space="preserve">NEEA developed and facilitated regional trainings which provided resources to educate industry on the opportunities to increase net profits and energy efficiency through compressed air system optimization. </w:t>
      </w:r>
    </w:p>
    <w:p w:rsidR="000935A8" w:rsidRDefault="000935A8" w:rsidP="000935A8">
      <w:pPr>
        <w:autoSpaceDE w:val="0"/>
        <w:autoSpaceDN w:val="0"/>
        <w:adjustRightInd w:val="0"/>
        <w:rPr>
          <w:rFonts w:cs="Arial"/>
          <w:color w:val="000000"/>
          <w:sz w:val="22"/>
          <w:szCs w:val="22"/>
        </w:rPr>
      </w:pPr>
    </w:p>
    <w:p w:rsidR="000935A8" w:rsidRPr="00A740F9" w:rsidRDefault="000935A8" w:rsidP="000935A8">
      <w:pPr>
        <w:autoSpaceDE w:val="0"/>
        <w:autoSpaceDN w:val="0"/>
        <w:adjustRightInd w:val="0"/>
        <w:rPr>
          <w:rFonts w:cs="Arial"/>
          <w:color w:val="221E1F"/>
          <w:sz w:val="22"/>
          <w:szCs w:val="22"/>
        </w:rPr>
      </w:pPr>
      <w:r w:rsidRPr="006B17E6">
        <w:rPr>
          <w:rFonts w:cs="Arial"/>
          <w:b/>
          <w:bCs/>
          <w:color w:val="485E29"/>
          <w:sz w:val="22"/>
          <w:szCs w:val="22"/>
        </w:rPr>
        <w:t xml:space="preserve">Distribution Efficiency Initiative (DEI): </w:t>
      </w:r>
      <w:r w:rsidRPr="006B17E6">
        <w:rPr>
          <w:rFonts w:cs="Arial"/>
          <w:color w:val="221E1F"/>
          <w:sz w:val="22"/>
          <w:szCs w:val="22"/>
        </w:rPr>
        <w:t xml:space="preserve">Building on a BPA study, the region asked NEEA to coordinate a multi-state research effort to look at the savings potential of optimizing substation operations and introduce voltage regulation devices to residential customers. </w:t>
      </w:r>
    </w:p>
    <w:p w:rsidR="000935A8" w:rsidRDefault="000935A8" w:rsidP="000935A8">
      <w:pPr>
        <w:autoSpaceDE w:val="0"/>
        <w:autoSpaceDN w:val="0"/>
        <w:adjustRightInd w:val="0"/>
        <w:spacing w:line="241" w:lineRule="atLeast"/>
        <w:rPr>
          <w:rFonts w:cs="Arial"/>
          <w:b/>
          <w:bCs/>
          <w:color w:val="00345B"/>
          <w:sz w:val="22"/>
          <w:szCs w:val="22"/>
        </w:rPr>
      </w:pPr>
    </w:p>
    <w:p w:rsidR="000935A8" w:rsidRPr="00A740F9" w:rsidRDefault="000935A8" w:rsidP="000935A8">
      <w:pPr>
        <w:autoSpaceDE w:val="0"/>
        <w:autoSpaceDN w:val="0"/>
        <w:adjustRightInd w:val="0"/>
        <w:spacing w:line="241" w:lineRule="atLeast"/>
        <w:rPr>
          <w:rFonts w:cs="Arial"/>
          <w:color w:val="00345B"/>
        </w:rPr>
      </w:pPr>
      <w:r w:rsidRPr="00BE52D5">
        <w:rPr>
          <w:rFonts w:cs="Arial"/>
          <w:b/>
          <w:bCs/>
          <w:color w:val="00345B"/>
        </w:rPr>
        <w:t xml:space="preserve">Agriculture </w:t>
      </w:r>
    </w:p>
    <w:p w:rsidR="000935A8" w:rsidRDefault="000935A8" w:rsidP="000935A8">
      <w:pPr>
        <w:autoSpaceDE w:val="0"/>
        <w:autoSpaceDN w:val="0"/>
        <w:adjustRightInd w:val="0"/>
        <w:rPr>
          <w:rFonts w:cs="Arial"/>
          <w:b/>
          <w:bCs/>
          <w:color w:val="485E29"/>
          <w:sz w:val="22"/>
          <w:szCs w:val="22"/>
        </w:rPr>
      </w:pPr>
    </w:p>
    <w:p w:rsidR="000935A8" w:rsidRPr="006B17E6" w:rsidRDefault="000935A8" w:rsidP="000935A8">
      <w:pPr>
        <w:autoSpaceDE w:val="0"/>
        <w:autoSpaceDN w:val="0"/>
        <w:adjustRightInd w:val="0"/>
        <w:rPr>
          <w:rFonts w:cs="Arial"/>
          <w:sz w:val="22"/>
          <w:szCs w:val="22"/>
        </w:rPr>
      </w:pPr>
      <w:r w:rsidRPr="006B17E6">
        <w:rPr>
          <w:rFonts w:cs="Arial"/>
          <w:b/>
          <w:bCs/>
          <w:color w:val="485E29"/>
          <w:sz w:val="22"/>
          <w:szCs w:val="22"/>
        </w:rPr>
        <w:t xml:space="preserve">AM400 Data Logger: </w:t>
      </w:r>
      <w:r w:rsidRPr="006B17E6">
        <w:rPr>
          <w:rFonts w:cs="Arial"/>
          <w:color w:val="221E1F"/>
          <w:sz w:val="22"/>
          <w:szCs w:val="22"/>
        </w:rPr>
        <w:t xml:space="preserve">NEEA helped accelerate the adoption of AM400, a soil moister data logger that helps reduce the amount of electricity consumed for pumping water into fields, by conducting training and outreach. </w:t>
      </w:r>
    </w:p>
    <w:p w:rsidR="000935A8" w:rsidRPr="00B22B7F" w:rsidRDefault="000935A8" w:rsidP="000935A8"/>
    <w:p w:rsidR="000935A8" w:rsidRPr="000935A8" w:rsidRDefault="000935A8" w:rsidP="000935A8"/>
    <w:sectPr w:rsidR="000935A8" w:rsidRPr="000935A8" w:rsidSect="00C274E4">
      <w:pgSz w:w="12240" w:h="15840"/>
      <w:pgMar w:top="1440" w:right="1296" w:bottom="720"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0C" w:rsidRDefault="00F4510C" w:rsidP="00BF3230">
      <w:r>
        <w:separator/>
      </w:r>
    </w:p>
  </w:endnote>
  <w:endnote w:type="continuationSeparator" w:id="0">
    <w:p w:rsidR="00F4510C" w:rsidRDefault="00F4510C" w:rsidP="00BF3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Arial Unicode MS"/>
    <w:panose1 w:val="020203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BE4B3E" w:rsidRDefault="009374BA" w:rsidP="00BF3230">
    <w:pPr>
      <w:pStyle w:val="Footer"/>
      <w:framePr w:wrap="around" w:vAnchor="text" w:hAnchor="margin" w:xAlign="right" w:y="1"/>
      <w:rPr>
        <w:rStyle w:val="PageNumber"/>
        <w:rFonts w:cs="Arial"/>
      </w:rPr>
    </w:pPr>
    <w:r>
      <w:rPr>
        <w:rStyle w:val="PageNumber"/>
      </w:rPr>
      <w:fldChar w:fldCharType="begin"/>
    </w:r>
    <w:r w:rsidR="00DB3F3B">
      <w:rPr>
        <w:rStyle w:val="PageNumber"/>
      </w:rPr>
      <w:instrText xml:space="preserve">PAGE  </w:instrText>
    </w:r>
    <w:r>
      <w:rPr>
        <w:rStyle w:val="PageNumber"/>
      </w:rPr>
      <w:fldChar w:fldCharType="end"/>
    </w:r>
  </w:p>
  <w:p w:rsidR="00DB3F3B" w:rsidRPr="00BE4B3E" w:rsidRDefault="00DB3F3B" w:rsidP="00BF3230">
    <w:pPr>
      <w:pStyle w:val="Footer"/>
      <w:ind w:right="360"/>
      <w:rPr>
        <w:rFonts w:cs="Arial"/>
      </w:rPr>
    </w:pPr>
  </w:p>
  <w:p w:rsidR="00DB3F3B" w:rsidRDefault="00DB3F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E413A2" w:rsidRDefault="00DB3F3B" w:rsidP="00BF3230">
    <w:pPr>
      <w:pStyle w:val="Footer"/>
      <w:framePr w:wrap="around" w:vAnchor="text" w:hAnchor="margin" w:xAlign="right" w:y="1"/>
      <w:rPr>
        <w:rFonts w:cs="Arial"/>
      </w:rPr>
    </w:pPr>
    <w:r w:rsidRPr="00E413A2">
      <w:rPr>
        <w:rFonts w:cs="Arial"/>
        <w:color w:val="3B3D3C"/>
        <w:sz w:val="20"/>
      </w:rPr>
      <w:t xml:space="preserve">- </w:t>
    </w:r>
    <w:r w:rsidR="009374BA" w:rsidRPr="00E413A2">
      <w:rPr>
        <w:rStyle w:val="PageNumber"/>
        <w:rFonts w:cs="Arial"/>
        <w:color w:val="3B3D3C"/>
        <w:sz w:val="20"/>
      </w:rPr>
      <w:fldChar w:fldCharType="begin"/>
    </w:r>
    <w:r w:rsidRPr="00E413A2">
      <w:rPr>
        <w:rStyle w:val="PageNumber"/>
        <w:rFonts w:cs="Arial"/>
        <w:color w:val="3B3D3C"/>
        <w:sz w:val="20"/>
      </w:rPr>
      <w:instrText xml:space="preserve">PAGE  </w:instrText>
    </w:r>
    <w:r w:rsidR="009374BA" w:rsidRPr="00E413A2">
      <w:rPr>
        <w:rStyle w:val="PageNumber"/>
        <w:rFonts w:cs="Arial"/>
        <w:color w:val="3B3D3C"/>
        <w:sz w:val="20"/>
      </w:rPr>
      <w:fldChar w:fldCharType="separate"/>
    </w:r>
    <w:r w:rsidR="00A12054">
      <w:rPr>
        <w:rStyle w:val="PageNumber"/>
        <w:rFonts w:cs="Arial"/>
        <w:noProof/>
        <w:color w:val="3B3D3C"/>
        <w:sz w:val="20"/>
      </w:rPr>
      <w:t>2</w:t>
    </w:r>
    <w:r w:rsidR="009374BA" w:rsidRPr="00E413A2">
      <w:rPr>
        <w:rStyle w:val="PageNumber"/>
        <w:rFonts w:cs="Arial"/>
        <w:color w:val="3B3D3C"/>
        <w:sz w:val="20"/>
      </w:rPr>
      <w:fldChar w:fldCharType="end"/>
    </w:r>
    <w:r w:rsidRPr="00E413A2">
      <w:rPr>
        <w:rStyle w:val="PageNumber"/>
        <w:rFonts w:cs="Arial"/>
        <w:color w:val="3B3D3C"/>
        <w:sz w:val="20"/>
      </w:rPr>
      <w:t xml:space="preserve"> </w:t>
    </w:r>
    <w:r w:rsidRPr="00E413A2">
      <w:rPr>
        <w:rFonts w:cs="Arial"/>
        <w:color w:val="3B3D3C"/>
        <w:sz w:val="20"/>
      </w:rPr>
      <w:t>-</w:t>
    </w:r>
  </w:p>
  <w:p w:rsidR="00DB3F3B" w:rsidRPr="00E413A2" w:rsidRDefault="00DB3F3B" w:rsidP="00BF3230">
    <w:pPr>
      <w:tabs>
        <w:tab w:val="right" w:pos="9090"/>
      </w:tabs>
      <w:ind w:right="360"/>
      <w:rPr>
        <w:rFonts w:cs="Arial"/>
        <w:color w:val="0092D2"/>
        <w:sz w:val="20"/>
      </w:rPr>
    </w:pPr>
    <w:r w:rsidRPr="00E413A2">
      <w:rPr>
        <w:rFonts w:cs="Arial"/>
        <w:color w:val="0092D2"/>
        <w:sz w:val="20"/>
      </w:rPr>
      <w:tab/>
      <w:t xml:space="preserve">Northwest Energy Efficiency Alliance  </w:t>
    </w:r>
  </w:p>
  <w:p w:rsidR="00DB3F3B" w:rsidRDefault="00DB3F3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AD2B69" w:rsidRDefault="00DB3F3B" w:rsidP="00BF3230">
    <w:pPr>
      <w:jc w:val="right"/>
      <w:rPr>
        <w:color w:val="0092D2"/>
        <w:sz w:val="20"/>
      </w:rPr>
    </w:pPr>
    <w:r w:rsidRPr="004000DE">
      <w:rPr>
        <w:rFonts w:cs="Arial"/>
      </w:rPr>
      <w:tab/>
    </w:r>
    <w:r w:rsidRPr="00AD2B69">
      <w:rPr>
        <w:color w:val="0092D2"/>
        <w:sz w:val="20"/>
      </w:rPr>
      <w:t>Northwest Energy Efficiency Alliance</w:t>
    </w:r>
  </w:p>
  <w:p w:rsidR="00DB3F3B" w:rsidRPr="00AD2B69" w:rsidRDefault="00DB3F3B" w:rsidP="00BF3230">
    <w:pPr>
      <w:jc w:val="right"/>
      <w:rPr>
        <w:color w:val="0092D2"/>
        <w:sz w:val="20"/>
      </w:rPr>
    </w:pPr>
    <w:r w:rsidRPr="00AD2B69">
      <w:rPr>
        <w:color w:val="0092D2"/>
        <w:sz w:val="20"/>
      </w:rPr>
      <w:t>421 SW Sixth Avenue, Suite 600, Portland, OR 97204</w:t>
    </w:r>
  </w:p>
  <w:p w:rsidR="00DB3F3B" w:rsidRPr="00AD2B69" w:rsidRDefault="00DB3F3B" w:rsidP="00BF3230">
    <w:pPr>
      <w:jc w:val="right"/>
      <w:rPr>
        <w:color w:val="3B3D3C"/>
        <w:sz w:val="20"/>
      </w:rPr>
    </w:pPr>
    <w:r w:rsidRPr="00AD2B69">
      <w:rPr>
        <w:color w:val="3B3D3C"/>
        <w:sz w:val="20"/>
      </w:rPr>
      <w:t>503.688.5400   |   Fax 503.688.5447</w:t>
    </w:r>
  </w:p>
  <w:p w:rsidR="00DB3F3B" w:rsidRPr="004000DE" w:rsidRDefault="009374BA" w:rsidP="00BF3230">
    <w:pPr>
      <w:pStyle w:val="Footer"/>
      <w:tabs>
        <w:tab w:val="clear" w:pos="4320"/>
        <w:tab w:val="clear" w:pos="8640"/>
        <w:tab w:val="left" w:pos="5952"/>
      </w:tabs>
      <w:jc w:val="right"/>
      <w:rPr>
        <w:rFonts w:cs="Arial"/>
      </w:rPr>
    </w:pPr>
    <w:hyperlink r:id="rId1" w:history="1">
      <w:r w:rsidR="00DB3F3B" w:rsidRPr="00AD2B69">
        <w:rPr>
          <w:color w:val="0092D2"/>
          <w:sz w:val="20"/>
        </w:rPr>
        <w:t>neea.org</w:t>
      </w:r>
    </w:hyperlink>
    <w:r w:rsidR="00DB3F3B" w:rsidRPr="00AD2B69">
      <w:rPr>
        <w:color w:val="0092D2"/>
        <w:sz w:val="20"/>
      </w:rPr>
      <w:t xml:space="preserve">   |   </w:t>
    </w:r>
    <w:hyperlink r:id="rId2" w:history="1">
      <w:r w:rsidR="00DB3F3B" w:rsidRPr="00AD2B69">
        <w:rPr>
          <w:color w:val="0092D2"/>
          <w:sz w:val="20"/>
        </w:rPr>
        <w:t>info@neea.org</w:t>
      </w:r>
    </w:hyperlink>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C45BD5" w:rsidRDefault="009374BA" w:rsidP="0084421C">
    <w:pPr>
      <w:pStyle w:val="Footer"/>
      <w:framePr w:wrap="around" w:vAnchor="text" w:hAnchor="margin" w:xAlign="right" w:y="1"/>
      <w:rPr>
        <w:rStyle w:val="PageNumber"/>
        <w:rFonts w:cs="Arial"/>
      </w:rPr>
    </w:pPr>
    <w:r>
      <w:rPr>
        <w:rStyle w:val="PageNumber"/>
      </w:rPr>
      <w:fldChar w:fldCharType="begin"/>
    </w:r>
    <w:r w:rsidR="00DB3F3B">
      <w:rPr>
        <w:rStyle w:val="PageNumber"/>
      </w:rPr>
      <w:instrText xml:space="preserve">PAGE  </w:instrText>
    </w:r>
    <w:r>
      <w:rPr>
        <w:rStyle w:val="PageNumber"/>
      </w:rPr>
      <w:fldChar w:fldCharType="end"/>
    </w:r>
  </w:p>
  <w:p w:rsidR="00DB3F3B" w:rsidRPr="00C45BD5" w:rsidRDefault="00DB3F3B" w:rsidP="0084421C">
    <w:pPr>
      <w:pStyle w:val="Footer"/>
      <w:ind w:right="360"/>
      <w:rPr>
        <w:rFonts w:cs="Aria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472DF0" w:rsidRDefault="00DB3F3B" w:rsidP="0084421C">
    <w:pPr>
      <w:pStyle w:val="Footer"/>
      <w:framePr w:wrap="around" w:vAnchor="text" w:hAnchor="margin" w:xAlign="right" w:y="1"/>
      <w:rPr>
        <w:rFonts w:cs="Arial"/>
      </w:rPr>
    </w:pPr>
    <w:r w:rsidRPr="00472DF0">
      <w:rPr>
        <w:rFonts w:cs="Arial"/>
        <w:color w:val="3B3D3C"/>
        <w:sz w:val="20"/>
      </w:rPr>
      <w:t xml:space="preserve">- </w:t>
    </w:r>
    <w:r w:rsidR="009374BA" w:rsidRPr="00472DF0">
      <w:rPr>
        <w:rStyle w:val="PageNumber"/>
        <w:rFonts w:cs="Arial"/>
        <w:color w:val="3B3D3C"/>
        <w:sz w:val="20"/>
      </w:rPr>
      <w:fldChar w:fldCharType="begin"/>
    </w:r>
    <w:r w:rsidRPr="00472DF0">
      <w:rPr>
        <w:rStyle w:val="PageNumber"/>
        <w:rFonts w:cs="Arial"/>
        <w:color w:val="3B3D3C"/>
        <w:sz w:val="20"/>
      </w:rPr>
      <w:instrText xml:space="preserve">PAGE  </w:instrText>
    </w:r>
    <w:r w:rsidR="009374BA" w:rsidRPr="00472DF0">
      <w:rPr>
        <w:rStyle w:val="PageNumber"/>
        <w:rFonts w:cs="Arial"/>
        <w:color w:val="3B3D3C"/>
        <w:sz w:val="20"/>
      </w:rPr>
      <w:fldChar w:fldCharType="separate"/>
    </w:r>
    <w:r w:rsidR="00A12054">
      <w:rPr>
        <w:rStyle w:val="PageNumber"/>
        <w:rFonts w:cs="Arial"/>
        <w:noProof/>
        <w:color w:val="3B3D3C"/>
        <w:sz w:val="20"/>
      </w:rPr>
      <w:t>4</w:t>
    </w:r>
    <w:r w:rsidR="009374BA" w:rsidRPr="00472DF0">
      <w:rPr>
        <w:rStyle w:val="PageNumber"/>
        <w:rFonts w:cs="Arial"/>
        <w:color w:val="3B3D3C"/>
        <w:sz w:val="20"/>
      </w:rPr>
      <w:fldChar w:fldCharType="end"/>
    </w:r>
    <w:r w:rsidRPr="00472DF0">
      <w:rPr>
        <w:rStyle w:val="PageNumber"/>
        <w:rFonts w:cs="Arial"/>
        <w:color w:val="3B3D3C"/>
        <w:sz w:val="20"/>
      </w:rPr>
      <w:t xml:space="preserve"> </w:t>
    </w:r>
    <w:r w:rsidRPr="00472DF0">
      <w:rPr>
        <w:rFonts w:cs="Arial"/>
        <w:color w:val="3B3D3C"/>
        <w:sz w:val="20"/>
      </w:rPr>
      <w:t>-</w:t>
    </w:r>
  </w:p>
  <w:p w:rsidR="00DB3F3B" w:rsidRPr="00AD2B69" w:rsidRDefault="00DB3F3B" w:rsidP="0084421C">
    <w:pPr>
      <w:tabs>
        <w:tab w:val="right" w:pos="9090"/>
      </w:tabs>
      <w:ind w:right="18"/>
      <w:rPr>
        <w:color w:val="0092D2"/>
        <w:sz w:val="20"/>
      </w:rPr>
    </w:pPr>
    <w:r>
      <w:rPr>
        <w:color w:val="0092D2"/>
        <w:sz w:val="20"/>
      </w:rPr>
      <w:tab/>
      <w:t>N</w:t>
    </w:r>
    <w:r w:rsidRPr="00AD2B69">
      <w:rPr>
        <w:color w:val="0092D2"/>
        <w:sz w:val="20"/>
      </w:rPr>
      <w:t>ort</w:t>
    </w:r>
    <w:r>
      <w:rPr>
        <w:color w:val="0092D2"/>
        <w:sz w:val="20"/>
      </w:rPr>
      <w:t xml:space="preserve">hwest Energy Efficiency Alliance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AD2B69" w:rsidRDefault="00DB3F3B" w:rsidP="0084421C">
    <w:pPr>
      <w:jc w:val="right"/>
      <w:rPr>
        <w:color w:val="0092D2"/>
        <w:sz w:val="20"/>
      </w:rPr>
    </w:pPr>
    <w:r w:rsidRPr="00C45BD5">
      <w:rPr>
        <w:rFonts w:cs="Arial"/>
      </w:rPr>
      <w:tab/>
    </w:r>
    <w:r w:rsidRPr="00AD2B69">
      <w:rPr>
        <w:color w:val="0092D2"/>
        <w:sz w:val="20"/>
      </w:rPr>
      <w:t>Northwest Energy Efficiency Alliance</w:t>
    </w:r>
  </w:p>
  <w:p w:rsidR="00DB3F3B" w:rsidRPr="00AD2B69" w:rsidRDefault="00DB3F3B" w:rsidP="0084421C">
    <w:pPr>
      <w:jc w:val="right"/>
      <w:rPr>
        <w:color w:val="0092D2"/>
        <w:sz w:val="20"/>
      </w:rPr>
    </w:pPr>
    <w:r w:rsidRPr="00AD2B69">
      <w:rPr>
        <w:color w:val="0092D2"/>
        <w:sz w:val="20"/>
      </w:rPr>
      <w:t>421 SW Sixth Avenue, Suite 600, Portland, OR 97204</w:t>
    </w:r>
  </w:p>
  <w:p w:rsidR="00DB3F3B" w:rsidRPr="00AD2B69" w:rsidRDefault="00DB3F3B" w:rsidP="0084421C">
    <w:pPr>
      <w:jc w:val="right"/>
      <w:rPr>
        <w:color w:val="3B3D3C"/>
        <w:sz w:val="20"/>
      </w:rPr>
    </w:pPr>
    <w:r w:rsidRPr="00AD2B69">
      <w:rPr>
        <w:color w:val="3B3D3C"/>
        <w:sz w:val="20"/>
      </w:rPr>
      <w:t>503.688.5400   |   Fax 503.688.5447</w:t>
    </w:r>
  </w:p>
  <w:p w:rsidR="00DB3F3B" w:rsidRPr="008F12EA" w:rsidRDefault="009374BA" w:rsidP="0084421C">
    <w:pPr>
      <w:pStyle w:val="Footer"/>
      <w:tabs>
        <w:tab w:val="clear" w:pos="4320"/>
        <w:tab w:val="clear" w:pos="8640"/>
        <w:tab w:val="left" w:pos="5952"/>
      </w:tabs>
      <w:jc w:val="right"/>
      <w:rPr>
        <w:rFonts w:cs="Arial"/>
      </w:rPr>
    </w:pPr>
    <w:hyperlink r:id="rId1" w:history="1">
      <w:r w:rsidR="00DB3F3B" w:rsidRPr="00AD2B69">
        <w:rPr>
          <w:color w:val="0092D2"/>
          <w:sz w:val="20"/>
        </w:rPr>
        <w:t>neea.org</w:t>
      </w:r>
    </w:hyperlink>
    <w:r w:rsidR="00DB3F3B" w:rsidRPr="00AD2B69">
      <w:rPr>
        <w:color w:val="0092D2"/>
        <w:sz w:val="20"/>
      </w:rPr>
      <w:t xml:space="preserve">   |   </w:t>
    </w:r>
    <w:hyperlink r:id="rId2" w:history="1">
      <w:r w:rsidR="00DB3F3B" w:rsidRPr="00AD2B69">
        <w:rPr>
          <w:color w:val="0092D2"/>
          <w:sz w:val="20"/>
        </w:rPr>
        <w:t>info@neea.org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0C" w:rsidRDefault="00F4510C" w:rsidP="00BF3230">
      <w:r>
        <w:separator/>
      </w:r>
    </w:p>
  </w:footnote>
  <w:footnote w:type="continuationSeparator" w:id="0">
    <w:p w:rsidR="00F4510C" w:rsidRDefault="00F4510C" w:rsidP="00BF3230">
      <w:r>
        <w:continuationSeparator/>
      </w:r>
    </w:p>
  </w:footnote>
  <w:footnote w:id="1">
    <w:p w:rsidR="00DB3F3B" w:rsidRDefault="00DB3F3B" w:rsidP="00DA4B3B">
      <w:pPr>
        <w:pStyle w:val="FootnoteText"/>
      </w:pPr>
      <w:r>
        <w:rPr>
          <w:rStyle w:val="FootnoteReference"/>
        </w:rPr>
        <w:footnoteRef/>
      </w:r>
      <w:r>
        <w:t xml:space="preserve">Avista reported in March 2012 its local program savings for 2010 and 2011. Avista split the incentives by Washington and Idaho. NEEA normalized the units for initiatives where Avista reported incentives in kWh-yr. saved.  Specifically, NEEA made this adjustment for Drive Power. The reported </w:t>
      </w:r>
      <w:r w:rsidR="000A6B53">
        <w:t xml:space="preserve">local program units </w:t>
      </w:r>
      <w:r>
        <w:t>are available in the Excel spreadsheet that goes with this memo.</w:t>
      </w:r>
      <w:r w:rsidR="000A6B53">
        <w:t xml:space="preserve"> </w:t>
      </w:r>
    </w:p>
  </w:footnote>
  <w:footnote w:id="2">
    <w:p w:rsidR="00DB3F3B" w:rsidRDefault="00DB3F3B">
      <w:pPr>
        <w:pStyle w:val="FootnoteText"/>
      </w:pPr>
      <w:r>
        <w:rPr>
          <w:rStyle w:val="FootnoteReference"/>
        </w:rPr>
        <w:footnoteRef/>
      </w:r>
      <w:r>
        <w:t xml:space="preserve"> Eckman, Tom. 2011.  Communications with Tom Eckman, conservation manager, Northwest Power and Conservation Council. The baseline adjustment counts toward the 6</w:t>
      </w:r>
      <w:r w:rsidRPr="002E1045">
        <w:rPr>
          <w:vertAlign w:val="superscript"/>
        </w:rPr>
        <w:t>th</w:t>
      </w:r>
      <w:r>
        <w:t xml:space="preserve"> Power Plan targets. </w:t>
      </w:r>
    </w:p>
  </w:footnote>
  <w:footnote w:id="3">
    <w:p w:rsidR="00DB3F3B" w:rsidRDefault="00DB3F3B" w:rsidP="002E1045">
      <w:pPr>
        <w:pStyle w:val="FootnoteText"/>
      </w:pPr>
      <w:r>
        <w:rPr>
          <w:rStyle w:val="FootnoteReference"/>
        </w:rPr>
        <w:footnoteRef/>
      </w:r>
      <w:r>
        <w:t xml:space="preserve"> The difference between NEEA’s Total Regional Savings calculation (using the Fifth Power Plan baseline) and the Local Program savings (using the Fifth Power Plan baseline) count toward the Fifth Power Plan targets (Eckman, Tom. March 20, 2012.  Communications with Tom Eckman, conservation manager, Northwest Power and Conservation Council). </w:t>
      </w:r>
    </w:p>
  </w:footnote>
  <w:footnote w:id="4">
    <w:p w:rsidR="00DB3F3B" w:rsidRDefault="00DB3F3B">
      <w:pPr>
        <w:pStyle w:val="FootnoteText"/>
      </w:pPr>
      <w:r>
        <w:rPr>
          <w:rStyle w:val="FootnoteReference"/>
        </w:rPr>
        <w:footnoteRef/>
      </w:r>
      <w:r>
        <w:t xml:space="preserve"> Avista Washington receives 70% of its current funder share (5.62%) for savings from Televisions and Ductless Heat Pumps.   Avista Washington receives 70% of its previous funder share (3.95%) for savings from Lighting.   </w:t>
      </w:r>
    </w:p>
  </w:footnote>
  <w:footnote w:id="5">
    <w:p w:rsidR="00DB3F3B" w:rsidRDefault="00DB3F3B">
      <w:pPr>
        <w:pStyle w:val="FootnoteText"/>
      </w:pPr>
      <w:r>
        <w:rPr>
          <w:rStyle w:val="FootnoteReference"/>
        </w:rPr>
        <w:footnoteRef/>
      </w:r>
      <w:r>
        <w:t xml:space="preserve"> NEEA can also use a “funder specified” method if Avista has better data to support an alternative allocation.  </w:t>
      </w:r>
    </w:p>
  </w:footnote>
  <w:footnote w:id="6">
    <w:p w:rsidR="008C454C" w:rsidRDefault="008C454C">
      <w:pPr>
        <w:pStyle w:val="FootnoteText"/>
      </w:pPr>
      <w:r>
        <w:rPr>
          <w:rStyle w:val="FootnoteReference"/>
        </w:rPr>
        <w:footnoteRef/>
      </w:r>
      <w:r>
        <w:t xml:space="preserve"> NEEA uses state or regional savings rates. </w:t>
      </w:r>
    </w:p>
  </w:footnote>
  <w:footnote w:id="7">
    <w:p w:rsidR="00DB3F3B" w:rsidRDefault="00DB3F3B" w:rsidP="00D82668">
      <w:pPr>
        <w:pStyle w:val="FootnoteText"/>
      </w:pPr>
      <w:r>
        <w:rPr>
          <w:rStyle w:val="FootnoteReference"/>
        </w:rPr>
        <w:footnoteRef/>
      </w:r>
      <w:r>
        <w:t xml:space="preserve"> Powell, Jon. March 2012. Communications with Jon Powell, DSM Analyst, for Avista.  </w:t>
      </w:r>
    </w:p>
  </w:footnote>
  <w:footnote w:id="8">
    <w:p w:rsidR="00DB3F3B" w:rsidRPr="00D65DF5" w:rsidRDefault="00DB3F3B" w:rsidP="00571EBA">
      <w:pPr>
        <w:rPr>
          <w:rFonts w:ascii="Arial" w:hAnsi="Arial" w:cs="Arial"/>
          <w:color w:val="00B050"/>
        </w:rPr>
      </w:pPr>
      <w:r w:rsidRPr="00D65DF5">
        <w:rPr>
          <w:rStyle w:val="FootnoteReference"/>
          <w:sz w:val="20"/>
          <w:szCs w:val="20"/>
        </w:rPr>
        <w:footnoteRef/>
      </w:r>
      <w:r w:rsidRPr="00D65DF5">
        <w:rPr>
          <w:rStyle w:val="FootnoteReference"/>
          <w:sz w:val="20"/>
          <w:szCs w:val="20"/>
          <w:vertAlign w:val="baseline"/>
        </w:rPr>
        <w:t xml:space="preserve"> Kilowatt Crackdown Billing Analysis Results.  Memo from Research Into Action.  November 18, 2011.</w:t>
      </w:r>
    </w:p>
  </w:footnote>
  <w:footnote w:id="9">
    <w:p w:rsidR="00DB3F3B" w:rsidRDefault="00DB3F3B">
      <w:pPr>
        <w:pStyle w:val="FootnoteText"/>
      </w:pPr>
      <w:r>
        <w:rPr>
          <w:rStyle w:val="FootnoteReference"/>
        </w:rPr>
        <w:footnoteRef/>
      </w:r>
      <w:r>
        <w:t xml:space="preserve"> </w:t>
      </w:r>
      <w:r w:rsidR="00002004" w:rsidRPr="00002004">
        <w:rPr>
          <w:rStyle w:val="FootnoteReference"/>
          <w:vertAlign w:val="baseline"/>
        </w:rPr>
        <w:t>The savings NEEA reported in July 2011 for 2010 Commercial Real Estate and Building Operations were estimated based on reports directly from the Initiatives.  Due to timing constraints, the savings had not yet been reviewed by third party evaluation contractor. In this report, third party review of the 2010 savings resulted in a downward adjustment from the estimate published in July of 2011.  It is NEEA’s general policy to only report savings validated by third-party review.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4000DE" w:rsidRDefault="00DB3F3B">
    <w:pPr>
      <w:pStyle w:val="Header"/>
      <w:rPr>
        <w:rFonts w:cs="Arial"/>
      </w:rPr>
    </w:pPr>
    <w:r>
      <w:rPr>
        <w:noProof/>
      </w:rPr>
      <w:drawing>
        <wp:anchor distT="0" distB="0" distL="114300" distR="114300" simplePos="0" relativeHeight="251661312" behindDoc="0" locked="0" layoutInCell="1" allowOverlap="1">
          <wp:simplePos x="0" y="0"/>
          <wp:positionH relativeFrom="column">
            <wp:posOffset>4983480</wp:posOffset>
          </wp:positionH>
          <wp:positionV relativeFrom="paragraph">
            <wp:posOffset>152400</wp:posOffset>
          </wp:positionV>
          <wp:extent cx="1224280" cy="812800"/>
          <wp:effectExtent l="0" t="0" r="0" b="0"/>
          <wp:wrapTight wrapText="bothSides">
            <wp:wrapPolygon edited="0">
              <wp:start x="0" y="0"/>
              <wp:lineTo x="0" y="21263"/>
              <wp:lineTo x="21174" y="21263"/>
              <wp:lineTo x="21174" y="0"/>
              <wp:lineTo x="0" y="0"/>
            </wp:wrapPolygon>
          </wp:wrapTight>
          <wp:docPr id="2" name="Picture 1" descr="100726_NEEA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726_NEEA_logo.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4280" cy="8128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C45BD5" w:rsidRDefault="00DB3F3B" w:rsidP="0084421C">
    <w:pPr>
      <w:pStyle w:val="Header"/>
      <w:tabs>
        <w:tab w:val="clear" w:pos="4320"/>
        <w:tab w:val="clear" w:pos="8640"/>
      </w:tabs>
      <w:rPr>
        <w:rFonts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3B" w:rsidRPr="00C45BD5" w:rsidRDefault="00DB3F3B">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D4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A479C6"/>
    <w:lvl w:ilvl="0">
      <w:start w:val="1"/>
      <w:numFmt w:val="decimal"/>
      <w:lvlText w:val="%1."/>
      <w:lvlJc w:val="left"/>
      <w:pPr>
        <w:tabs>
          <w:tab w:val="num" w:pos="1800"/>
        </w:tabs>
        <w:ind w:left="1800" w:hanging="360"/>
      </w:pPr>
    </w:lvl>
  </w:abstractNum>
  <w:abstractNum w:abstractNumId="2">
    <w:nsid w:val="FFFFFF7D"/>
    <w:multiLevelType w:val="singleLevel"/>
    <w:tmpl w:val="030E9898"/>
    <w:lvl w:ilvl="0">
      <w:start w:val="1"/>
      <w:numFmt w:val="decimal"/>
      <w:lvlText w:val="%1."/>
      <w:lvlJc w:val="left"/>
      <w:pPr>
        <w:tabs>
          <w:tab w:val="num" w:pos="1440"/>
        </w:tabs>
        <w:ind w:left="1440" w:hanging="360"/>
      </w:pPr>
    </w:lvl>
  </w:abstractNum>
  <w:abstractNum w:abstractNumId="3">
    <w:nsid w:val="FFFFFF7E"/>
    <w:multiLevelType w:val="singleLevel"/>
    <w:tmpl w:val="378202C8"/>
    <w:lvl w:ilvl="0">
      <w:start w:val="1"/>
      <w:numFmt w:val="decimal"/>
      <w:lvlText w:val="%1."/>
      <w:lvlJc w:val="left"/>
      <w:pPr>
        <w:tabs>
          <w:tab w:val="num" w:pos="1080"/>
        </w:tabs>
        <w:ind w:left="1080" w:hanging="360"/>
      </w:pPr>
    </w:lvl>
  </w:abstractNum>
  <w:abstractNum w:abstractNumId="4">
    <w:nsid w:val="FFFFFF7F"/>
    <w:multiLevelType w:val="singleLevel"/>
    <w:tmpl w:val="82240BE2"/>
    <w:lvl w:ilvl="0">
      <w:start w:val="1"/>
      <w:numFmt w:val="decimal"/>
      <w:lvlText w:val="%1."/>
      <w:lvlJc w:val="left"/>
      <w:pPr>
        <w:tabs>
          <w:tab w:val="num" w:pos="720"/>
        </w:tabs>
        <w:ind w:left="720" w:hanging="360"/>
      </w:pPr>
    </w:lvl>
  </w:abstractNum>
  <w:abstractNum w:abstractNumId="5">
    <w:nsid w:val="FFFFFF80"/>
    <w:multiLevelType w:val="singleLevel"/>
    <w:tmpl w:val="0D0026E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BEA6F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1043A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B885F3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9094AE"/>
    <w:lvl w:ilvl="0">
      <w:start w:val="1"/>
      <w:numFmt w:val="decimal"/>
      <w:lvlText w:val="%1."/>
      <w:lvlJc w:val="left"/>
      <w:pPr>
        <w:tabs>
          <w:tab w:val="num" w:pos="360"/>
        </w:tabs>
        <w:ind w:left="360" w:hanging="360"/>
      </w:pPr>
    </w:lvl>
  </w:abstractNum>
  <w:abstractNum w:abstractNumId="10">
    <w:nsid w:val="FFFFFF89"/>
    <w:multiLevelType w:val="singleLevel"/>
    <w:tmpl w:val="3C4A5CFC"/>
    <w:lvl w:ilvl="0">
      <w:start w:val="1"/>
      <w:numFmt w:val="bullet"/>
      <w:lvlText w:val=""/>
      <w:lvlJc w:val="left"/>
      <w:pPr>
        <w:tabs>
          <w:tab w:val="num" w:pos="360"/>
        </w:tabs>
        <w:ind w:left="360" w:hanging="360"/>
      </w:pPr>
      <w:rPr>
        <w:rFonts w:ascii="Symbol" w:hAnsi="Symbol" w:hint="default"/>
      </w:rPr>
    </w:lvl>
  </w:abstractNum>
  <w:abstractNum w:abstractNumId="11">
    <w:nsid w:val="01887EFD"/>
    <w:multiLevelType w:val="hybridMultilevel"/>
    <w:tmpl w:val="1F185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3962B4"/>
    <w:multiLevelType w:val="hybridMultilevel"/>
    <w:tmpl w:val="9DEE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9C5AA4"/>
    <w:multiLevelType w:val="hybridMultilevel"/>
    <w:tmpl w:val="17AA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6A5A42"/>
    <w:multiLevelType w:val="hybridMultilevel"/>
    <w:tmpl w:val="CC9881AA"/>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nsid w:val="0D1E691E"/>
    <w:multiLevelType w:val="hybridMultilevel"/>
    <w:tmpl w:val="DBEE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5089D"/>
    <w:multiLevelType w:val="hybridMultilevel"/>
    <w:tmpl w:val="22C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D91419"/>
    <w:multiLevelType w:val="hybridMultilevel"/>
    <w:tmpl w:val="65004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A4A29"/>
    <w:multiLevelType w:val="hybridMultilevel"/>
    <w:tmpl w:val="83E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777E1"/>
    <w:multiLevelType w:val="hybridMultilevel"/>
    <w:tmpl w:val="845E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B20CB"/>
    <w:multiLevelType w:val="hybridMultilevel"/>
    <w:tmpl w:val="93C0D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8C3D2A"/>
    <w:multiLevelType w:val="hybridMultilevel"/>
    <w:tmpl w:val="754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BE64D6"/>
    <w:multiLevelType w:val="hybridMultilevel"/>
    <w:tmpl w:val="6BFE8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741C6"/>
    <w:multiLevelType w:val="hybridMultilevel"/>
    <w:tmpl w:val="15A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56359"/>
    <w:multiLevelType w:val="hybridMultilevel"/>
    <w:tmpl w:val="1498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0"/>
  </w:num>
  <w:num w:numId="15">
    <w:abstractNumId w:val="17"/>
  </w:num>
  <w:num w:numId="16">
    <w:abstractNumId w:val="23"/>
  </w:num>
  <w:num w:numId="17">
    <w:abstractNumId w:val="18"/>
  </w:num>
  <w:num w:numId="18">
    <w:abstractNumId w:val="15"/>
  </w:num>
  <w:num w:numId="19">
    <w:abstractNumId w:val="19"/>
  </w:num>
  <w:num w:numId="20">
    <w:abstractNumId w:val="22"/>
  </w:num>
  <w:num w:numId="21">
    <w:abstractNumId w:val="22"/>
  </w:num>
  <w:num w:numId="22">
    <w:abstractNumId w:val="13"/>
  </w:num>
  <w:num w:numId="23">
    <w:abstractNumId w:val="14"/>
  </w:num>
  <w:num w:numId="24">
    <w:abstractNumId w:val="24"/>
  </w:num>
  <w:num w:numId="25">
    <w:abstractNumId w:val="21"/>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BA0C91"/>
    <w:rsid w:val="00002004"/>
    <w:rsid w:val="00005927"/>
    <w:rsid w:val="000143C1"/>
    <w:rsid w:val="00022A10"/>
    <w:rsid w:val="00024B75"/>
    <w:rsid w:val="000375C8"/>
    <w:rsid w:val="00044B39"/>
    <w:rsid w:val="00045118"/>
    <w:rsid w:val="00065E74"/>
    <w:rsid w:val="00066E98"/>
    <w:rsid w:val="000855A1"/>
    <w:rsid w:val="000935A8"/>
    <w:rsid w:val="000948A3"/>
    <w:rsid w:val="000A33EA"/>
    <w:rsid w:val="000A6B53"/>
    <w:rsid w:val="000A73DB"/>
    <w:rsid w:val="000B4194"/>
    <w:rsid w:val="000C2094"/>
    <w:rsid w:val="000C4E42"/>
    <w:rsid w:val="000E1733"/>
    <w:rsid w:val="000E506D"/>
    <w:rsid w:val="000F0F63"/>
    <w:rsid w:val="00105C21"/>
    <w:rsid w:val="00107186"/>
    <w:rsid w:val="00107BA6"/>
    <w:rsid w:val="0011027A"/>
    <w:rsid w:val="001117D8"/>
    <w:rsid w:val="001211A5"/>
    <w:rsid w:val="001230EC"/>
    <w:rsid w:val="00123F1F"/>
    <w:rsid w:val="00137B33"/>
    <w:rsid w:val="00175A49"/>
    <w:rsid w:val="0018407E"/>
    <w:rsid w:val="001959CB"/>
    <w:rsid w:val="001B2B23"/>
    <w:rsid w:val="001E435B"/>
    <w:rsid w:val="002176A8"/>
    <w:rsid w:val="002315A3"/>
    <w:rsid w:val="002324C3"/>
    <w:rsid w:val="00246543"/>
    <w:rsid w:val="0025549E"/>
    <w:rsid w:val="002653EB"/>
    <w:rsid w:val="0026743E"/>
    <w:rsid w:val="00267C19"/>
    <w:rsid w:val="00270CFC"/>
    <w:rsid w:val="00273550"/>
    <w:rsid w:val="00283407"/>
    <w:rsid w:val="0028473A"/>
    <w:rsid w:val="00291CF9"/>
    <w:rsid w:val="002A2EC2"/>
    <w:rsid w:val="002A30DD"/>
    <w:rsid w:val="002A6310"/>
    <w:rsid w:val="002C1949"/>
    <w:rsid w:val="002C2870"/>
    <w:rsid w:val="002C691C"/>
    <w:rsid w:val="002E1045"/>
    <w:rsid w:val="002F306F"/>
    <w:rsid w:val="002F321A"/>
    <w:rsid w:val="002F7515"/>
    <w:rsid w:val="00305DE3"/>
    <w:rsid w:val="00322F51"/>
    <w:rsid w:val="0032751F"/>
    <w:rsid w:val="0033096D"/>
    <w:rsid w:val="00354A75"/>
    <w:rsid w:val="00364112"/>
    <w:rsid w:val="0037407D"/>
    <w:rsid w:val="003869E7"/>
    <w:rsid w:val="0039361F"/>
    <w:rsid w:val="003956CD"/>
    <w:rsid w:val="00397949"/>
    <w:rsid w:val="003A72DD"/>
    <w:rsid w:val="003B2345"/>
    <w:rsid w:val="003B2C9E"/>
    <w:rsid w:val="003C127F"/>
    <w:rsid w:val="003C5FA3"/>
    <w:rsid w:val="003D58E8"/>
    <w:rsid w:val="003D682E"/>
    <w:rsid w:val="003E3B97"/>
    <w:rsid w:val="003E47AD"/>
    <w:rsid w:val="003F194D"/>
    <w:rsid w:val="004000DE"/>
    <w:rsid w:val="00403DEC"/>
    <w:rsid w:val="00424B5C"/>
    <w:rsid w:val="00430AED"/>
    <w:rsid w:val="00447445"/>
    <w:rsid w:val="00451540"/>
    <w:rsid w:val="00455CBB"/>
    <w:rsid w:val="00467EC4"/>
    <w:rsid w:val="00480238"/>
    <w:rsid w:val="00484320"/>
    <w:rsid w:val="00492D2F"/>
    <w:rsid w:val="004A7985"/>
    <w:rsid w:val="004B2554"/>
    <w:rsid w:val="004B2598"/>
    <w:rsid w:val="004B3803"/>
    <w:rsid w:val="004C0D81"/>
    <w:rsid w:val="004C59B7"/>
    <w:rsid w:val="004D0BE6"/>
    <w:rsid w:val="004E0F6C"/>
    <w:rsid w:val="004E321B"/>
    <w:rsid w:val="004E5E0F"/>
    <w:rsid w:val="004E702C"/>
    <w:rsid w:val="004E7F1C"/>
    <w:rsid w:val="004F0796"/>
    <w:rsid w:val="004F07DC"/>
    <w:rsid w:val="004F10A1"/>
    <w:rsid w:val="004F76B4"/>
    <w:rsid w:val="00501C26"/>
    <w:rsid w:val="00504E97"/>
    <w:rsid w:val="00507CA3"/>
    <w:rsid w:val="00510B4F"/>
    <w:rsid w:val="005203B1"/>
    <w:rsid w:val="0054421F"/>
    <w:rsid w:val="00560DCD"/>
    <w:rsid w:val="00563D51"/>
    <w:rsid w:val="00571EBA"/>
    <w:rsid w:val="00585C56"/>
    <w:rsid w:val="005A54D3"/>
    <w:rsid w:val="005A6C64"/>
    <w:rsid w:val="005B47A2"/>
    <w:rsid w:val="005F246D"/>
    <w:rsid w:val="0060255D"/>
    <w:rsid w:val="00602CE6"/>
    <w:rsid w:val="00612B72"/>
    <w:rsid w:val="006170DC"/>
    <w:rsid w:val="00630F92"/>
    <w:rsid w:val="00634D6E"/>
    <w:rsid w:val="006665E4"/>
    <w:rsid w:val="006801E5"/>
    <w:rsid w:val="00684DB9"/>
    <w:rsid w:val="006D0E21"/>
    <w:rsid w:val="006F5990"/>
    <w:rsid w:val="0072199B"/>
    <w:rsid w:val="00733ED6"/>
    <w:rsid w:val="00733F29"/>
    <w:rsid w:val="00736D04"/>
    <w:rsid w:val="00754DFE"/>
    <w:rsid w:val="00761C30"/>
    <w:rsid w:val="00764B4F"/>
    <w:rsid w:val="007818B5"/>
    <w:rsid w:val="007C651A"/>
    <w:rsid w:val="007D068E"/>
    <w:rsid w:val="007D3541"/>
    <w:rsid w:val="007D5889"/>
    <w:rsid w:val="007D5917"/>
    <w:rsid w:val="007D5DBB"/>
    <w:rsid w:val="007F24E9"/>
    <w:rsid w:val="00801C5B"/>
    <w:rsid w:val="0080300B"/>
    <w:rsid w:val="0083267C"/>
    <w:rsid w:val="0083589C"/>
    <w:rsid w:val="00840C59"/>
    <w:rsid w:val="008428B3"/>
    <w:rsid w:val="0084421C"/>
    <w:rsid w:val="00844A26"/>
    <w:rsid w:val="0085502E"/>
    <w:rsid w:val="00884E84"/>
    <w:rsid w:val="008A4DC8"/>
    <w:rsid w:val="008A5A8A"/>
    <w:rsid w:val="008B3761"/>
    <w:rsid w:val="008B3C86"/>
    <w:rsid w:val="008C35AD"/>
    <w:rsid w:val="008C454C"/>
    <w:rsid w:val="008C7918"/>
    <w:rsid w:val="008D2962"/>
    <w:rsid w:val="008D590E"/>
    <w:rsid w:val="00930B7B"/>
    <w:rsid w:val="00931033"/>
    <w:rsid w:val="00935446"/>
    <w:rsid w:val="009374BA"/>
    <w:rsid w:val="00940AB6"/>
    <w:rsid w:val="00970FE6"/>
    <w:rsid w:val="00975A89"/>
    <w:rsid w:val="00997EEF"/>
    <w:rsid w:val="009A1A01"/>
    <w:rsid w:val="009A1C44"/>
    <w:rsid w:val="009A5B33"/>
    <w:rsid w:val="009A63DA"/>
    <w:rsid w:val="009B698C"/>
    <w:rsid w:val="009C10CB"/>
    <w:rsid w:val="009C3E46"/>
    <w:rsid w:val="009C6C31"/>
    <w:rsid w:val="009E23E2"/>
    <w:rsid w:val="009E6759"/>
    <w:rsid w:val="00A12054"/>
    <w:rsid w:val="00A1438B"/>
    <w:rsid w:val="00A24EAF"/>
    <w:rsid w:val="00A31F8B"/>
    <w:rsid w:val="00A44AF0"/>
    <w:rsid w:val="00A51870"/>
    <w:rsid w:val="00A814C9"/>
    <w:rsid w:val="00AC51EE"/>
    <w:rsid w:val="00AD06C6"/>
    <w:rsid w:val="00AF6FB8"/>
    <w:rsid w:val="00B1190F"/>
    <w:rsid w:val="00B27F20"/>
    <w:rsid w:val="00B43032"/>
    <w:rsid w:val="00B56CA5"/>
    <w:rsid w:val="00B618C2"/>
    <w:rsid w:val="00B649A7"/>
    <w:rsid w:val="00B9565B"/>
    <w:rsid w:val="00BA0C91"/>
    <w:rsid w:val="00BA18E1"/>
    <w:rsid w:val="00BA20D0"/>
    <w:rsid w:val="00BB2B79"/>
    <w:rsid w:val="00BC0760"/>
    <w:rsid w:val="00BC33D4"/>
    <w:rsid w:val="00BD5972"/>
    <w:rsid w:val="00BE4B3E"/>
    <w:rsid w:val="00BF3230"/>
    <w:rsid w:val="00BF4440"/>
    <w:rsid w:val="00C1457B"/>
    <w:rsid w:val="00C226A4"/>
    <w:rsid w:val="00C274E4"/>
    <w:rsid w:val="00C43F12"/>
    <w:rsid w:val="00C45407"/>
    <w:rsid w:val="00C55FDF"/>
    <w:rsid w:val="00C63F62"/>
    <w:rsid w:val="00C77EE8"/>
    <w:rsid w:val="00C80224"/>
    <w:rsid w:val="00C92C33"/>
    <w:rsid w:val="00C93730"/>
    <w:rsid w:val="00C94145"/>
    <w:rsid w:val="00CB2645"/>
    <w:rsid w:val="00CB3B15"/>
    <w:rsid w:val="00CD1864"/>
    <w:rsid w:val="00CD5C9F"/>
    <w:rsid w:val="00CD6465"/>
    <w:rsid w:val="00CF15B9"/>
    <w:rsid w:val="00D05B5C"/>
    <w:rsid w:val="00D07422"/>
    <w:rsid w:val="00D208C9"/>
    <w:rsid w:val="00D30ECB"/>
    <w:rsid w:val="00D403A1"/>
    <w:rsid w:val="00D5572D"/>
    <w:rsid w:val="00D60BF1"/>
    <w:rsid w:val="00D65DF5"/>
    <w:rsid w:val="00D77493"/>
    <w:rsid w:val="00D82668"/>
    <w:rsid w:val="00D928AB"/>
    <w:rsid w:val="00D946AC"/>
    <w:rsid w:val="00D957F7"/>
    <w:rsid w:val="00DA1197"/>
    <w:rsid w:val="00DA4B3B"/>
    <w:rsid w:val="00DB0E81"/>
    <w:rsid w:val="00DB3F3B"/>
    <w:rsid w:val="00DB5C78"/>
    <w:rsid w:val="00DB60E1"/>
    <w:rsid w:val="00DD321C"/>
    <w:rsid w:val="00DD6DA7"/>
    <w:rsid w:val="00DE48DD"/>
    <w:rsid w:val="00DE7285"/>
    <w:rsid w:val="00E0459C"/>
    <w:rsid w:val="00E14FEB"/>
    <w:rsid w:val="00E250AA"/>
    <w:rsid w:val="00E318A0"/>
    <w:rsid w:val="00E413A2"/>
    <w:rsid w:val="00E50D2B"/>
    <w:rsid w:val="00E67333"/>
    <w:rsid w:val="00E7036A"/>
    <w:rsid w:val="00E75E8F"/>
    <w:rsid w:val="00E7728E"/>
    <w:rsid w:val="00E92005"/>
    <w:rsid w:val="00EC12DA"/>
    <w:rsid w:val="00EC4A80"/>
    <w:rsid w:val="00ED52DB"/>
    <w:rsid w:val="00EE7C62"/>
    <w:rsid w:val="00EF096A"/>
    <w:rsid w:val="00F044F4"/>
    <w:rsid w:val="00F06BBE"/>
    <w:rsid w:val="00F33397"/>
    <w:rsid w:val="00F4510C"/>
    <w:rsid w:val="00F46CCE"/>
    <w:rsid w:val="00F529AF"/>
    <w:rsid w:val="00F93D5D"/>
    <w:rsid w:val="00FE39A8"/>
    <w:rsid w:val="00FE7883"/>
    <w:rsid w:val="00FF3266"/>
    <w:rsid w:val="00FF3A33"/>
    <w:rsid w:val="00FF6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1C"/>
    <w:pPr>
      <w:spacing w:line="276" w:lineRule="auto"/>
    </w:pPr>
    <w:rPr>
      <w:rFonts w:asciiTheme="minorHAnsi" w:hAnsiTheme="minorHAnsi"/>
      <w:sz w:val="24"/>
      <w:szCs w:val="24"/>
    </w:rPr>
  </w:style>
  <w:style w:type="paragraph" w:styleId="Heading1">
    <w:name w:val="heading 1"/>
    <w:basedOn w:val="Normal"/>
    <w:next w:val="Normal"/>
    <w:link w:val="Heading1Char"/>
    <w:qFormat/>
    <w:rsid w:val="00BA0C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44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paragraph" w:styleId="ListParagraph">
    <w:name w:val="List Paragraph"/>
    <w:basedOn w:val="Normal"/>
    <w:uiPriority w:val="34"/>
    <w:qFormat/>
    <w:rsid w:val="00BA0C91"/>
    <w:pPr>
      <w:ind w:left="720"/>
      <w:contextualSpacing/>
    </w:pPr>
  </w:style>
  <w:style w:type="character" w:customStyle="1" w:styleId="Heading1Char">
    <w:name w:val="Heading 1 Char"/>
    <w:basedOn w:val="DefaultParagraphFont"/>
    <w:link w:val="Heading1"/>
    <w:rsid w:val="00BA0C9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05B5C"/>
    <w:rPr>
      <w:rFonts w:ascii="Tahoma" w:hAnsi="Tahoma" w:cs="Tahoma"/>
      <w:sz w:val="16"/>
      <w:szCs w:val="16"/>
    </w:rPr>
  </w:style>
  <w:style w:type="character" w:customStyle="1" w:styleId="BalloonTextChar">
    <w:name w:val="Balloon Text Char"/>
    <w:basedOn w:val="DefaultParagraphFont"/>
    <w:link w:val="BalloonText"/>
    <w:rsid w:val="00D05B5C"/>
    <w:rPr>
      <w:rFonts w:ascii="Tahoma" w:hAnsi="Tahoma" w:cs="Tahoma"/>
      <w:sz w:val="16"/>
      <w:szCs w:val="16"/>
    </w:rPr>
  </w:style>
  <w:style w:type="paragraph" w:styleId="Caption">
    <w:name w:val="caption"/>
    <w:basedOn w:val="Normal"/>
    <w:next w:val="Normal"/>
    <w:unhideWhenUsed/>
    <w:qFormat/>
    <w:rsid w:val="00AF6FB8"/>
    <w:pPr>
      <w:spacing w:before="120"/>
    </w:pPr>
    <w:rPr>
      <w:b/>
      <w:bCs/>
      <w:color w:val="4F81BD" w:themeColor="accent1"/>
      <w:sz w:val="18"/>
      <w:szCs w:val="18"/>
    </w:rPr>
  </w:style>
  <w:style w:type="paragraph" w:customStyle="1" w:styleId="StyleCaptionSuperscript">
    <w:name w:val="Style Caption + Superscript"/>
    <w:basedOn w:val="Caption"/>
    <w:rsid w:val="00D05B5C"/>
    <w:rPr>
      <w:sz w:val="20"/>
    </w:rPr>
  </w:style>
  <w:style w:type="paragraph" w:styleId="FootnoteText">
    <w:name w:val="footnote text"/>
    <w:basedOn w:val="Normal"/>
    <w:link w:val="FootnoteTextChar"/>
    <w:rsid w:val="003C127F"/>
    <w:rPr>
      <w:sz w:val="20"/>
      <w:szCs w:val="20"/>
    </w:rPr>
  </w:style>
  <w:style w:type="character" w:customStyle="1" w:styleId="FootnoteTextChar">
    <w:name w:val="Footnote Text Char"/>
    <w:basedOn w:val="DefaultParagraphFont"/>
    <w:link w:val="FootnoteText"/>
    <w:rsid w:val="003C127F"/>
    <w:rPr>
      <w:rFonts w:ascii="Times New Roman" w:hAnsi="Times New Roman"/>
    </w:rPr>
  </w:style>
  <w:style w:type="character" w:styleId="FootnoteReference">
    <w:name w:val="footnote reference"/>
    <w:basedOn w:val="DefaultParagraphFont"/>
    <w:rsid w:val="003C127F"/>
    <w:rPr>
      <w:vertAlign w:val="superscript"/>
    </w:rPr>
  </w:style>
  <w:style w:type="character" w:customStyle="1" w:styleId="Heading2Char">
    <w:name w:val="Heading 2 Char"/>
    <w:basedOn w:val="DefaultParagraphFont"/>
    <w:link w:val="Heading2"/>
    <w:rsid w:val="00F044F4"/>
    <w:rPr>
      <w:rFonts w:asciiTheme="majorHAnsi" w:eastAsiaTheme="majorEastAsia" w:hAnsiTheme="majorHAnsi" w:cstheme="majorBidi"/>
      <w:b/>
      <w:bCs/>
      <w:color w:val="4F81BD" w:themeColor="accent1"/>
      <w:sz w:val="26"/>
      <w:szCs w:val="26"/>
    </w:rPr>
  </w:style>
  <w:style w:type="table" w:styleId="TableGrid">
    <w:name w:val="Table Grid"/>
    <w:basedOn w:val="TableNormal"/>
    <w:rsid w:val="00F0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0935A8"/>
    <w:pPr>
      <w:autoSpaceDE w:val="0"/>
      <w:autoSpaceDN w:val="0"/>
      <w:adjustRightInd w:val="0"/>
      <w:spacing w:line="241" w:lineRule="atLeast"/>
    </w:pPr>
    <w:rPr>
      <w:rFonts w:ascii="TradeGothic Bold" w:hAnsi="TradeGothic Bold"/>
    </w:rPr>
  </w:style>
  <w:style w:type="character" w:customStyle="1" w:styleId="A2">
    <w:name w:val="A2"/>
    <w:uiPriority w:val="99"/>
    <w:rsid w:val="000935A8"/>
    <w:rPr>
      <w:rFonts w:cs="TradeGothic Bold"/>
      <w:b/>
      <w:bCs/>
      <w:color w:val="00345B"/>
      <w:sz w:val="26"/>
      <w:szCs w:val="26"/>
    </w:rPr>
  </w:style>
  <w:style w:type="character" w:customStyle="1" w:styleId="A1">
    <w:name w:val="A1"/>
    <w:uiPriority w:val="99"/>
    <w:rsid w:val="000935A8"/>
    <w:rPr>
      <w:rFonts w:ascii="TradeGothic Light" w:hAnsi="TradeGothic Light" w:cs="TradeGothic Light"/>
      <w:i/>
      <w:iCs/>
      <w:color w:val="0079C3"/>
      <w:sz w:val="20"/>
      <w:szCs w:val="20"/>
    </w:rPr>
  </w:style>
  <w:style w:type="character" w:customStyle="1" w:styleId="A5">
    <w:name w:val="A5"/>
    <w:uiPriority w:val="99"/>
    <w:rsid w:val="000935A8"/>
    <w:rPr>
      <w:rFonts w:cs="TradeGothic Bold"/>
      <w:b/>
      <w:bCs/>
      <w:color w:val="00345B"/>
      <w:sz w:val="34"/>
      <w:szCs w:val="34"/>
    </w:rPr>
  </w:style>
  <w:style w:type="character" w:customStyle="1" w:styleId="A6">
    <w:name w:val="A6"/>
    <w:uiPriority w:val="99"/>
    <w:rsid w:val="000935A8"/>
    <w:rPr>
      <w:rFonts w:cs="TradeGothic Light"/>
      <w:i/>
      <w:iCs/>
      <w:color w:val="0079C3"/>
      <w:sz w:val="18"/>
      <w:szCs w:val="18"/>
    </w:rPr>
  </w:style>
  <w:style w:type="character" w:styleId="CommentReference">
    <w:name w:val="annotation reference"/>
    <w:basedOn w:val="DefaultParagraphFont"/>
    <w:rsid w:val="00560DCD"/>
    <w:rPr>
      <w:sz w:val="16"/>
      <w:szCs w:val="16"/>
    </w:rPr>
  </w:style>
  <w:style w:type="paragraph" w:styleId="CommentText">
    <w:name w:val="annotation text"/>
    <w:basedOn w:val="Normal"/>
    <w:link w:val="CommentTextChar"/>
    <w:rsid w:val="00560DCD"/>
    <w:pPr>
      <w:spacing w:line="240" w:lineRule="auto"/>
    </w:pPr>
    <w:rPr>
      <w:sz w:val="20"/>
      <w:szCs w:val="20"/>
    </w:rPr>
  </w:style>
  <w:style w:type="character" w:customStyle="1" w:styleId="CommentTextChar">
    <w:name w:val="Comment Text Char"/>
    <w:basedOn w:val="DefaultParagraphFont"/>
    <w:link w:val="CommentText"/>
    <w:rsid w:val="00560DCD"/>
    <w:rPr>
      <w:rFonts w:asciiTheme="minorHAnsi" w:hAnsiTheme="minorHAnsi"/>
    </w:rPr>
  </w:style>
  <w:style w:type="paragraph" w:styleId="CommentSubject">
    <w:name w:val="annotation subject"/>
    <w:basedOn w:val="CommentText"/>
    <w:next w:val="CommentText"/>
    <w:link w:val="CommentSubjectChar"/>
    <w:rsid w:val="00560DCD"/>
    <w:rPr>
      <w:b/>
      <w:bCs/>
    </w:rPr>
  </w:style>
  <w:style w:type="character" w:customStyle="1" w:styleId="CommentSubjectChar">
    <w:name w:val="Comment Subject Char"/>
    <w:basedOn w:val="CommentTextChar"/>
    <w:link w:val="CommentSubject"/>
    <w:rsid w:val="00560DCD"/>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1C"/>
    <w:pPr>
      <w:spacing w:line="276" w:lineRule="auto"/>
    </w:pPr>
    <w:rPr>
      <w:rFonts w:asciiTheme="minorHAnsi" w:hAnsiTheme="minorHAnsi"/>
      <w:sz w:val="24"/>
      <w:szCs w:val="24"/>
    </w:rPr>
  </w:style>
  <w:style w:type="paragraph" w:styleId="Heading1">
    <w:name w:val="heading 1"/>
    <w:basedOn w:val="Normal"/>
    <w:next w:val="Normal"/>
    <w:link w:val="Heading1Char"/>
    <w:qFormat/>
    <w:rsid w:val="00BA0C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44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paragraph" w:styleId="ListParagraph">
    <w:name w:val="List Paragraph"/>
    <w:basedOn w:val="Normal"/>
    <w:uiPriority w:val="34"/>
    <w:qFormat/>
    <w:rsid w:val="00BA0C91"/>
    <w:pPr>
      <w:ind w:left="720"/>
      <w:contextualSpacing/>
    </w:pPr>
  </w:style>
  <w:style w:type="character" w:customStyle="1" w:styleId="Heading1Char">
    <w:name w:val="Heading 1 Char"/>
    <w:basedOn w:val="DefaultParagraphFont"/>
    <w:link w:val="Heading1"/>
    <w:rsid w:val="00BA0C9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05B5C"/>
    <w:rPr>
      <w:rFonts w:ascii="Tahoma" w:hAnsi="Tahoma" w:cs="Tahoma"/>
      <w:sz w:val="16"/>
      <w:szCs w:val="16"/>
    </w:rPr>
  </w:style>
  <w:style w:type="character" w:customStyle="1" w:styleId="BalloonTextChar">
    <w:name w:val="Balloon Text Char"/>
    <w:basedOn w:val="DefaultParagraphFont"/>
    <w:link w:val="BalloonText"/>
    <w:rsid w:val="00D05B5C"/>
    <w:rPr>
      <w:rFonts w:ascii="Tahoma" w:hAnsi="Tahoma" w:cs="Tahoma"/>
      <w:sz w:val="16"/>
      <w:szCs w:val="16"/>
    </w:rPr>
  </w:style>
  <w:style w:type="paragraph" w:styleId="Caption">
    <w:name w:val="caption"/>
    <w:basedOn w:val="Normal"/>
    <w:next w:val="Normal"/>
    <w:unhideWhenUsed/>
    <w:qFormat/>
    <w:rsid w:val="00AF6FB8"/>
    <w:pPr>
      <w:spacing w:before="120"/>
    </w:pPr>
    <w:rPr>
      <w:b/>
      <w:bCs/>
      <w:color w:val="4F81BD" w:themeColor="accent1"/>
      <w:sz w:val="18"/>
      <w:szCs w:val="18"/>
    </w:rPr>
  </w:style>
  <w:style w:type="paragraph" w:customStyle="1" w:styleId="StyleCaptionSuperscript">
    <w:name w:val="Style Caption + Superscript"/>
    <w:basedOn w:val="Caption"/>
    <w:rsid w:val="00D05B5C"/>
    <w:rPr>
      <w:sz w:val="20"/>
    </w:rPr>
  </w:style>
  <w:style w:type="paragraph" w:styleId="FootnoteText">
    <w:name w:val="footnote text"/>
    <w:basedOn w:val="Normal"/>
    <w:link w:val="FootnoteTextChar"/>
    <w:rsid w:val="003C127F"/>
    <w:rPr>
      <w:sz w:val="20"/>
      <w:szCs w:val="20"/>
    </w:rPr>
  </w:style>
  <w:style w:type="character" w:customStyle="1" w:styleId="FootnoteTextChar">
    <w:name w:val="Footnote Text Char"/>
    <w:basedOn w:val="DefaultParagraphFont"/>
    <w:link w:val="FootnoteText"/>
    <w:rsid w:val="003C127F"/>
    <w:rPr>
      <w:rFonts w:ascii="Times New Roman" w:hAnsi="Times New Roman"/>
    </w:rPr>
  </w:style>
  <w:style w:type="character" w:styleId="FootnoteReference">
    <w:name w:val="footnote reference"/>
    <w:basedOn w:val="DefaultParagraphFont"/>
    <w:rsid w:val="003C127F"/>
    <w:rPr>
      <w:vertAlign w:val="superscript"/>
    </w:rPr>
  </w:style>
  <w:style w:type="character" w:customStyle="1" w:styleId="Heading2Char">
    <w:name w:val="Heading 2 Char"/>
    <w:basedOn w:val="DefaultParagraphFont"/>
    <w:link w:val="Heading2"/>
    <w:rsid w:val="00F044F4"/>
    <w:rPr>
      <w:rFonts w:asciiTheme="majorHAnsi" w:eastAsiaTheme="majorEastAsia" w:hAnsiTheme="majorHAnsi" w:cstheme="majorBidi"/>
      <w:b/>
      <w:bCs/>
      <w:color w:val="4F81BD" w:themeColor="accent1"/>
      <w:sz w:val="26"/>
      <w:szCs w:val="26"/>
    </w:rPr>
  </w:style>
  <w:style w:type="table" w:styleId="TableGrid">
    <w:name w:val="Table Grid"/>
    <w:basedOn w:val="TableNormal"/>
    <w:rsid w:val="00F0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0935A8"/>
    <w:pPr>
      <w:autoSpaceDE w:val="0"/>
      <w:autoSpaceDN w:val="0"/>
      <w:adjustRightInd w:val="0"/>
      <w:spacing w:line="241" w:lineRule="atLeast"/>
    </w:pPr>
    <w:rPr>
      <w:rFonts w:ascii="TradeGothic Bold" w:hAnsi="TradeGothic Bold"/>
    </w:rPr>
  </w:style>
  <w:style w:type="character" w:customStyle="1" w:styleId="A2">
    <w:name w:val="A2"/>
    <w:uiPriority w:val="99"/>
    <w:rsid w:val="000935A8"/>
    <w:rPr>
      <w:rFonts w:cs="TradeGothic Bold"/>
      <w:b/>
      <w:bCs/>
      <w:color w:val="00345B"/>
      <w:sz w:val="26"/>
      <w:szCs w:val="26"/>
    </w:rPr>
  </w:style>
  <w:style w:type="character" w:customStyle="1" w:styleId="A1">
    <w:name w:val="A1"/>
    <w:uiPriority w:val="99"/>
    <w:rsid w:val="000935A8"/>
    <w:rPr>
      <w:rFonts w:ascii="TradeGothic Light" w:hAnsi="TradeGothic Light" w:cs="TradeGothic Light"/>
      <w:i/>
      <w:iCs/>
      <w:color w:val="0079C3"/>
      <w:sz w:val="20"/>
      <w:szCs w:val="20"/>
    </w:rPr>
  </w:style>
  <w:style w:type="character" w:customStyle="1" w:styleId="A5">
    <w:name w:val="A5"/>
    <w:uiPriority w:val="99"/>
    <w:rsid w:val="000935A8"/>
    <w:rPr>
      <w:rFonts w:cs="TradeGothic Bold"/>
      <w:b/>
      <w:bCs/>
      <w:color w:val="00345B"/>
      <w:sz w:val="34"/>
      <w:szCs w:val="34"/>
    </w:rPr>
  </w:style>
  <w:style w:type="character" w:customStyle="1" w:styleId="A6">
    <w:name w:val="A6"/>
    <w:uiPriority w:val="99"/>
    <w:rsid w:val="000935A8"/>
    <w:rPr>
      <w:rFonts w:cs="TradeGothic Light"/>
      <w:i/>
      <w:iCs/>
      <w:color w:val="0079C3"/>
      <w:sz w:val="18"/>
      <w:szCs w:val="18"/>
    </w:rPr>
  </w:style>
  <w:style w:type="character" w:styleId="CommentReference">
    <w:name w:val="annotation reference"/>
    <w:basedOn w:val="DefaultParagraphFont"/>
    <w:rsid w:val="00560DCD"/>
    <w:rPr>
      <w:sz w:val="16"/>
      <w:szCs w:val="16"/>
    </w:rPr>
  </w:style>
  <w:style w:type="paragraph" w:styleId="CommentText">
    <w:name w:val="annotation text"/>
    <w:basedOn w:val="Normal"/>
    <w:link w:val="CommentTextChar"/>
    <w:rsid w:val="00560DCD"/>
    <w:pPr>
      <w:spacing w:line="240" w:lineRule="auto"/>
    </w:pPr>
    <w:rPr>
      <w:sz w:val="20"/>
      <w:szCs w:val="20"/>
    </w:rPr>
  </w:style>
  <w:style w:type="character" w:customStyle="1" w:styleId="CommentTextChar">
    <w:name w:val="Comment Text Char"/>
    <w:basedOn w:val="DefaultParagraphFont"/>
    <w:link w:val="CommentText"/>
    <w:rsid w:val="00560DCD"/>
    <w:rPr>
      <w:rFonts w:asciiTheme="minorHAnsi" w:hAnsiTheme="minorHAnsi"/>
    </w:rPr>
  </w:style>
  <w:style w:type="paragraph" w:styleId="CommentSubject">
    <w:name w:val="annotation subject"/>
    <w:basedOn w:val="CommentText"/>
    <w:next w:val="CommentText"/>
    <w:link w:val="CommentSubjectChar"/>
    <w:rsid w:val="00560DCD"/>
    <w:rPr>
      <w:b/>
      <w:bCs/>
    </w:rPr>
  </w:style>
  <w:style w:type="character" w:customStyle="1" w:styleId="CommentSubjectChar">
    <w:name w:val="Comment Subject Char"/>
    <w:basedOn w:val="CommentTextChar"/>
    <w:link w:val="CommentSubject"/>
    <w:rsid w:val="00560DCD"/>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6831597">
      <w:bodyDiv w:val="1"/>
      <w:marLeft w:val="0"/>
      <w:marRight w:val="0"/>
      <w:marTop w:val="0"/>
      <w:marBottom w:val="0"/>
      <w:divBdr>
        <w:top w:val="none" w:sz="0" w:space="0" w:color="auto"/>
        <w:left w:val="none" w:sz="0" w:space="0" w:color="auto"/>
        <w:bottom w:val="none" w:sz="0" w:space="0" w:color="auto"/>
        <w:right w:val="none" w:sz="0" w:space="0" w:color="auto"/>
      </w:divBdr>
    </w:div>
    <w:div w:id="598031535">
      <w:bodyDiv w:val="1"/>
      <w:marLeft w:val="0"/>
      <w:marRight w:val="0"/>
      <w:marTop w:val="0"/>
      <w:marBottom w:val="0"/>
      <w:divBdr>
        <w:top w:val="none" w:sz="0" w:space="0" w:color="auto"/>
        <w:left w:val="none" w:sz="0" w:space="0" w:color="auto"/>
        <w:bottom w:val="none" w:sz="0" w:space="0" w:color="auto"/>
        <w:right w:val="none" w:sz="0" w:space="0" w:color="auto"/>
      </w:divBdr>
    </w:div>
    <w:div w:id="688414341">
      <w:bodyDiv w:val="1"/>
      <w:marLeft w:val="0"/>
      <w:marRight w:val="0"/>
      <w:marTop w:val="0"/>
      <w:marBottom w:val="0"/>
      <w:divBdr>
        <w:top w:val="none" w:sz="0" w:space="0" w:color="auto"/>
        <w:left w:val="none" w:sz="0" w:space="0" w:color="auto"/>
        <w:bottom w:val="none" w:sz="0" w:space="0" w:color="auto"/>
        <w:right w:val="none" w:sz="0" w:space="0" w:color="auto"/>
      </w:divBdr>
    </w:div>
    <w:div w:id="921060050">
      <w:bodyDiv w:val="1"/>
      <w:marLeft w:val="0"/>
      <w:marRight w:val="0"/>
      <w:marTop w:val="0"/>
      <w:marBottom w:val="0"/>
      <w:divBdr>
        <w:top w:val="none" w:sz="0" w:space="0" w:color="auto"/>
        <w:left w:val="none" w:sz="0" w:space="0" w:color="auto"/>
        <w:bottom w:val="none" w:sz="0" w:space="0" w:color="auto"/>
        <w:right w:val="none" w:sz="0" w:space="0" w:color="auto"/>
      </w:divBdr>
    </w:div>
    <w:div w:id="1379158501">
      <w:bodyDiv w:val="1"/>
      <w:marLeft w:val="0"/>
      <w:marRight w:val="0"/>
      <w:marTop w:val="0"/>
      <w:marBottom w:val="0"/>
      <w:divBdr>
        <w:top w:val="none" w:sz="0" w:space="0" w:color="auto"/>
        <w:left w:val="none" w:sz="0" w:space="0" w:color="auto"/>
        <w:bottom w:val="none" w:sz="0" w:space="0" w:color="auto"/>
        <w:right w:val="none" w:sz="0" w:space="0" w:color="auto"/>
      </w:divBdr>
    </w:div>
    <w:div w:id="1714187645">
      <w:bodyDiv w:val="1"/>
      <w:marLeft w:val="0"/>
      <w:marRight w:val="0"/>
      <w:marTop w:val="0"/>
      <w:marBottom w:val="0"/>
      <w:divBdr>
        <w:top w:val="none" w:sz="0" w:space="0" w:color="auto"/>
        <w:left w:val="none" w:sz="0" w:space="0" w:color="auto"/>
        <w:bottom w:val="none" w:sz="0" w:space="0" w:color="auto"/>
        <w:right w:val="none" w:sz="0" w:space="0" w:color="auto"/>
      </w:divBdr>
    </w:div>
    <w:div w:id="2126850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mailto:info@neea.org" TargetMode="External"/><Relationship Id="rId1" Type="http://schemas.openxmlformats.org/officeDocument/2006/relationships/hyperlink" Target="http://www.neea.org"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info@neea.org" TargetMode="External"/><Relationship Id="rId1" Type="http://schemas.openxmlformats.org/officeDocument/2006/relationships/hyperlink" Target="http://www.ne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D2E0F-FC79-4165-9549-C56A8F4EAA14}"/>
</file>

<file path=customXml/itemProps2.xml><?xml version="1.0" encoding="utf-8"?>
<ds:datastoreItem xmlns:ds="http://schemas.openxmlformats.org/officeDocument/2006/customXml" ds:itemID="{1749B32F-5833-4C87-ABCD-F0F8FDFD1503}"/>
</file>

<file path=customXml/itemProps3.xml><?xml version="1.0" encoding="utf-8"?>
<ds:datastoreItem xmlns:ds="http://schemas.openxmlformats.org/officeDocument/2006/customXml" ds:itemID="{E2F44AD2-C58D-4F50-A835-2FBD4FC4C7F8}"/>
</file>

<file path=customXml/itemProps4.xml><?xml version="1.0" encoding="utf-8"?>
<ds:datastoreItem xmlns:ds="http://schemas.openxmlformats.org/officeDocument/2006/customXml" ds:itemID="{24B87BF1-16DC-4908-8A67-651D554C56F4}"/>
</file>

<file path=customXml/itemProps5.xml><?xml version="1.0" encoding="utf-8"?>
<ds:datastoreItem xmlns:ds="http://schemas.openxmlformats.org/officeDocument/2006/customXml" ds:itemID="{B1E04D94-01F6-4B67-8D70-39C32E7C9659}"/>
</file>

<file path=docProps/app.xml><?xml version="1.0" encoding="utf-8"?>
<Properties xmlns="http://schemas.openxmlformats.org/officeDocument/2006/extended-properties" xmlns:vt="http://schemas.openxmlformats.org/officeDocument/2006/docPropsVTypes">
  <Template>Normal.dotm</Template>
  <TotalTime>2</TotalTime>
  <Pages>12</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NEEA Memo</vt:lpstr>
    </vt:vector>
  </TitlesOfParts>
  <Company>Northwest Energy Efficiency Alliance</Company>
  <LinksUpToDate>false</LinksUpToDate>
  <CharactersWithSpaces>23253</CharactersWithSpaces>
  <SharedDoc>false</SharedDoc>
  <HLinks>
    <vt:vector size="12" baseType="variant">
      <vt:variant>
        <vt:i4>2162716</vt:i4>
      </vt:variant>
      <vt:variant>
        <vt:i4>8</vt:i4>
      </vt:variant>
      <vt:variant>
        <vt:i4>0</vt:i4>
      </vt:variant>
      <vt:variant>
        <vt:i4>5</vt:i4>
      </vt:variant>
      <vt:variant>
        <vt:lpwstr>mailto:info@neea.org</vt:lpwstr>
      </vt:variant>
      <vt:variant>
        <vt:lpwstr/>
      </vt:variant>
      <vt:variant>
        <vt:i4>5439580</vt:i4>
      </vt:variant>
      <vt:variant>
        <vt:i4>5</vt:i4>
      </vt:variant>
      <vt:variant>
        <vt:i4>0</vt:i4>
      </vt:variant>
      <vt:variant>
        <vt:i4>5</vt:i4>
      </vt:variant>
      <vt:variant>
        <vt:lpwstr>http://www.neea.org/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NEEA Memo</dc:title>
  <dc:creator>Christina Steinhoff</dc:creator>
  <cp:lastModifiedBy>Linda Gervais</cp:lastModifiedBy>
  <cp:revision>2</cp:revision>
  <cp:lastPrinted>2012-03-21T21:59:00Z</cp:lastPrinted>
  <dcterms:created xsi:type="dcterms:W3CDTF">2012-05-23T17:35:00Z</dcterms:created>
  <dcterms:modified xsi:type="dcterms:W3CDTF">2012-05-23T17:35:00Z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