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152"/>
      </w:tblGrid>
      <w:tr w:rsidR="002416A0" w:rsidTr="00DF1117">
        <w:trPr>
          <w:trHeight w:val="1440"/>
          <w:jc w:val="center"/>
        </w:trPr>
        <w:tc>
          <w:tcPr>
            <w:tcW w:w="5000" w:type="pct"/>
            <w:tcBorders>
              <w:top w:val="nil"/>
              <w:left w:val="nil"/>
              <w:bottom w:val="single" w:sz="4" w:space="0" w:color="4F81BD" w:themeColor="accent1"/>
              <w:right w:val="nil"/>
            </w:tcBorders>
            <w:vAlign w:val="center"/>
          </w:tcPr>
          <w:p w:rsidR="002416A0" w:rsidRDefault="002416A0" w:rsidP="00DF1117">
            <w:pPr>
              <w:pStyle w:val="NoSpacing"/>
              <w:spacing w:line="276" w:lineRule="auto"/>
              <w:jc w:val="center"/>
              <w:rPr>
                <w:b/>
                <w:szCs w:val="24"/>
              </w:rPr>
            </w:pPr>
            <w:r>
              <w:rPr>
                <w:b/>
                <w:szCs w:val="24"/>
              </w:rPr>
              <w:br w:type="page"/>
            </w:r>
          </w:p>
          <w:p w:rsidR="002416A0" w:rsidRDefault="002416A0" w:rsidP="00DF1117">
            <w:pPr>
              <w:pStyle w:val="NoSpacing"/>
              <w:spacing w:line="276" w:lineRule="auto"/>
              <w:jc w:val="center"/>
              <w:rPr>
                <w:b/>
                <w:szCs w:val="24"/>
              </w:rPr>
            </w:pPr>
          </w:p>
          <w:p w:rsidR="00DD4041" w:rsidRPr="00DD4041" w:rsidRDefault="00DD4041" w:rsidP="00DD4041">
            <w:pPr>
              <w:jc w:val="center"/>
              <w:rPr>
                <w:rFonts w:cs="Times New Roman"/>
                <w:bCs/>
                <w:sz w:val="48"/>
                <w:szCs w:val="48"/>
              </w:rPr>
            </w:pPr>
            <w:r w:rsidRPr="00DD4041">
              <w:rPr>
                <w:rFonts w:cs="Times New Roman"/>
                <w:bCs/>
                <w:sz w:val="48"/>
                <w:szCs w:val="48"/>
              </w:rPr>
              <w:t>2010-2011</w:t>
            </w:r>
          </w:p>
          <w:p w:rsidR="00DD4041" w:rsidRDefault="00DD4041" w:rsidP="00DD4041">
            <w:pPr>
              <w:jc w:val="center"/>
              <w:rPr>
                <w:rFonts w:cs="Times New Roman"/>
                <w:bCs/>
                <w:sz w:val="48"/>
                <w:szCs w:val="48"/>
              </w:rPr>
            </w:pPr>
            <w:r w:rsidRPr="00DD4041">
              <w:rPr>
                <w:rFonts w:cs="Times New Roman"/>
                <w:bCs/>
                <w:sz w:val="48"/>
                <w:szCs w:val="48"/>
              </w:rPr>
              <w:t xml:space="preserve">Washington </w:t>
            </w:r>
          </w:p>
          <w:p w:rsidR="00DD4041" w:rsidRPr="00DD4041" w:rsidRDefault="00DD4041" w:rsidP="00DD4041">
            <w:pPr>
              <w:jc w:val="center"/>
              <w:rPr>
                <w:rFonts w:cs="Times New Roman"/>
                <w:bCs/>
                <w:sz w:val="48"/>
                <w:szCs w:val="48"/>
              </w:rPr>
            </w:pPr>
            <w:r w:rsidRPr="00DD4041">
              <w:rPr>
                <w:rFonts w:cs="Times New Roman"/>
                <w:bCs/>
                <w:sz w:val="48"/>
                <w:szCs w:val="48"/>
              </w:rPr>
              <w:t>Conservation Report</w:t>
            </w:r>
          </w:p>
          <w:p w:rsidR="002416A0" w:rsidRDefault="002416A0" w:rsidP="00DF1117">
            <w:pPr>
              <w:pStyle w:val="NoSpacing"/>
              <w:spacing w:line="276" w:lineRule="auto"/>
              <w:jc w:val="center"/>
              <w:rPr>
                <w:b/>
                <w:szCs w:val="24"/>
              </w:rPr>
            </w:pPr>
          </w:p>
          <w:p w:rsidR="002416A0" w:rsidRDefault="002416A0" w:rsidP="00DF1117">
            <w:pPr>
              <w:pStyle w:val="NoSpacing"/>
              <w:spacing w:line="276" w:lineRule="auto"/>
              <w:jc w:val="center"/>
              <w:rPr>
                <w:b/>
                <w:szCs w:val="24"/>
              </w:rPr>
            </w:pPr>
          </w:p>
          <w:p w:rsidR="002416A0" w:rsidRDefault="002416A0" w:rsidP="00DF1117">
            <w:pPr>
              <w:pStyle w:val="NoSpacing"/>
              <w:spacing w:line="276" w:lineRule="auto"/>
              <w:jc w:val="center"/>
              <w:rPr>
                <w:rFonts w:ascii="Times New Roman" w:eastAsiaTheme="majorEastAsia" w:hAnsi="Times New Roman" w:cs="Times New Roman"/>
                <w:sz w:val="80"/>
                <w:szCs w:val="80"/>
              </w:rPr>
            </w:pPr>
            <w:r>
              <w:rPr>
                <w:b/>
                <w:sz w:val="28"/>
                <w:szCs w:val="28"/>
              </w:rPr>
              <w:br w:type="page"/>
            </w:r>
          </w:p>
          <w:p w:rsidR="002416A0" w:rsidRDefault="002416A0" w:rsidP="002416A0">
            <w:pPr>
              <w:pStyle w:val="NoSpacing"/>
              <w:spacing w:line="276" w:lineRule="auto"/>
              <w:jc w:val="center"/>
              <w:rPr>
                <w:rFonts w:ascii="Times New Roman" w:eastAsiaTheme="majorEastAsia" w:hAnsi="Times New Roman" w:cs="Times New Roman"/>
                <w:sz w:val="80"/>
                <w:szCs w:val="80"/>
              </w:rPr>
            </w:pPr>
            <w:r>
              <w:rPr>
                <w:rFonts w:ascii="Times New Roman" w:eastAsiaTheme="majorEastAsia" w:hAnsi="Times New Roman" w:cs="Times New Roman"/>
                <w:sz w:val="80"/>
                <w:szCs w:val="80"/>
              </w:rPr>
              <w:t>Appendix 2</w:t>
            </w:r>
          </w:p>
        </w:tc>
      </w:tr>
      <w:tr w:rsidR="002416A0" w:rsidTr="00DF1117">
        <w:trPr>
          <w:trHeight w:val="800"/>
          <w:jc w:val="center"/>
        </w:trPr>
        <w:tc>
          <w:tcPr>
            <w:tcW w:w="5000" w:type="pct"/>
            <w:tcBorders>
              <w:top w:val="single" w:sz="4" w:space="0" w:color="4F81BD" w:themeColor="accent1"/>
              <w:left w:val="nil"/>
              <w:bottom w:val="nil"/>
              <w:right w:val="nil"/>
            </w:tcBorders>
            <w:vAlign w:val="center"/>
          </w:tcPr>
          <w:p w:rsidR="002416A0" w:rsidRDefault="002416A0" w:rsidP="00DF1117">
            <w:pPr>
              <w:pStyle w:val="NoSpacing"/>
              <w:spacing w:line="276" w:lineRule="auto"/>
              <w:jc w:val="center"/>
              <w:rPr>
                <w:rFonts w:ascii="Times New Roman" w:eastAsiaTheme="majorEastAsia" w:hAnsi="Times New Roman" w:cs="Times New Roman"/>
                <w:sz w:val="44"/>
                <w:szCs w:val="44"/>
              </w:rPr>
            </w:pPr>
          </w:p>
          <w:p w:rsidR="002416A0" w:rsidRDefault="002416A0" w:rsidP="00DF1117">
            <w:pPr>
              <w:pStyle w:val="NoSpacing"/>
              <w:spacing w:line="276" w:lineRule="auto"/>
              <w:jc w:val="center"/>
              <w:rPr>
                <w:rFonts w:ascii="Times New Roman" w:eastAsiaTheme="majorEastAsia" w:hAnsi="Times New Roman" w:cs="Times New Roman"/>
                <w:sz w:val="44"/>
                <w:szCs w:val="44"/>
              </w:rPr>
            </w:pPr>
            <w:r>
              <w:rPr>
                <w:rFonts w:ascii="Times New Roman" w:eastAsiaTheme="majorEastAsia" w:hAnsi="Times New Roman" w:cs="Times New Roman"/>
                <w:sz w:val="44"/>
                <w:szCs w:val="44"/>
              </w:rPr>
              <w:t>2010-2011</w:t>
            </w:r>
          </w:p>
          <w:p w:rsidR="002416A0" w:rsidRDefault="002416A0" w:rsidP="00DF1117">
            <w:pPr>
              <w:pStyle w:val="NoSpacing"/>
              <w:spacing w:line="276" w:lineRule="auto"/>
              <w:jc w:val="center"/>
              <w:rPr>
                <w:rFonts w:ascii="Times New Roman" w:eastAsiaTheme="majorEastAsia" w:hAnsi="Times New Roman" w:cs="Times New Roman"/>
                <w:sz w:val="44"/>
                <w:szCs w:val="44"/>
              </w:rPr>
            </w:pPr>
            <w:r>
              <w:rPr>
                <w:rFonts w:ascii="Times New Roman" w:eastAsiaTheme="majorEastAsia" w:hAnsi="Times New Roman" w:cs="Times New Roman"/>
                <w:sz w:val="44"/>
                <w:szCs w:val="44"/>
              </w:rPr>
              <w:t>Plan Condition Requirements and Compliance</w:t>
            </w:r>
          </w:p>
          <w:p w:rsidR="002416A0" w:rsidRDefault="002416A0" w:rsidP="00DF1117">
            <w:pPr>
              <w:pStyle w:val="NoSpacing"/>
              <w:spacing w:line="276" w:lineRule="auto"/>
              <w:jc w:val="center"/>
              <w:rPr>
                <w:rFonts w:ascii="Times New Roman" w:eastAsiaTheme="majorEastAsia" w:hAnsi="Times New Roman" w:cs="Times New Roman"/>
                <w:sz w:val="44"/>
                <w:szCs w:val="44"/>
              </w:rPr>
            </w:pPr>
          </w:p>
          <w:p w:rsidR="002416A0" w:rsidRDefault="002416A0" w:rsidP="00DF1117">
            <w:pPr>
              <w:pStyle w:val="NoSpacing"/>
              <w:spacing w:line="276" w:lineRule="auto"/>
              <w:jc w:val="center"/>
              <w:rPr>
                <w:rFonts w:ascii="Times New Roman" w:eastAsiaTheme="majorEastAsia" w:hAnsi="Times New Roman" w:cs="Times New Roman"/>
                <w:sz w:val="44"/>
                <w:szCs w:val="44"/>
              </w:rPr>
            </w:pPr>
          </w:p>
        </w:tc>
      </w:tr>
      <w:tr w:rsidR="002416A0" w:rsidTr="00DF1117">
        <w:trPr>
          <w:trHeight w:val="360"/>
          <w:jc w:val="center"/>
        </w:trPr>
        <w:tc>
          <w:tcPr>
            <w:tcW w:w="5000" w:type="pct"/>
            <w:vAlign w:val="center"/>
          </w:tcPr>
          <w:p w:rsidR="002416A0" w:rsidRDefault="002416A0" w:rsidP="00DF1117">
            <w:pPr>
              <w:pStyle w:val="NoSpacing"/>
              <w:spacing w:line="276" w:lineRule="auto"/>
              <w:jc w:val="center"/>
              <w:rPr>
                <w:rFonts w:ascii="Times New Roman" w:hAnsi="Times New Roman" w:cs="Times New Roman"/>
              </w:rPr>
            </w:pPr>
          </w:p>
          <w:p w:rsidR="002416A0" w:rsidRDefault="002416A0" w:rsidP="00DF1117">
            <w:pPr>
              <w:pStyle w:val="NoSpacing"/>
              <w:spacing w:line="276" w:lineRule="auto"/>
              <w:jc w:val="center"/>
              <w:rPr>
                <w:rFonts w:ascii="Times New Roman" w:hAnsi="Times New Roman" w:cs="Times New Roman"/>
              </w:rPr>
            </w:pPr>
          </w:p>
          <w:p w:rsidR="002416A0" w:rsidRDefault="002416A0" w:rsidP="00DF1117">
            <w:pPr>
              <w:pStyle w:val="NoSpacing"/>
              <w:spacing w:line="276" w:lineRule="auto"/>
              <w:jc w:val="center"/>
              <w:rPr>
                <w:rFonts w:ascii="Times New Roman" w:hAnsi="Times New Roman" w:cs="Times New Roman"/>
              </w:rPr>
            </w:pPr>
          </w:p>
          <w:p w:rsidR="002416A0" w:rsidRDefault="002416A0" w:rsidP="00DF1117">
            <w:pPr>
              <w:pStyle w:val="NoSpacing"/>
              <w:spacing w:line="276" w:lineRule="auto"/>
              <w:jc w:val="center"/>
              <w:rPr>
                <w:rFonts w:ascii="Times New Roman" w:hAnsi="Times New Roman" w:cs="Times New Roman"/>
              </w:rPr>
            </w:pPr>
          </w:p>
          <w:p w:rsidR="002416A0" w:rsidRDefault="002416A0" w:rsidP="00DF1117">
            <w:pPr>
              <w:pStyle w:val="NoSpacing"/>
              <w:spacing w:line="276" w:lineRule="auto"/>
              <w:jc w:val="center"/>
              <w:rPr>
                <w:rFonts w:ascii="Times New Roman" w:hAnsi="Times New Roman" w:cs="Times New Roman"/>
              </w:rPr>
            </w:pPr>
          </w:p>
        </w:tc>
      </w:tr>
      <w:tr w:rsidR="002416A0" w:rsidTr="00DF1117">
        <w:trPr>
          <w:trHeight w:val="360"/>
          <w:jc w:val="center"/>
        </w:trPr>
        <w:tc>
          <w:tcPr>
            <w:tcW w:w="5000" w:type="pct"/>
            <w:vAlign w:val="center"/>
            <w:hideMark/>
          </w:tcPr>
          <w:p w:rsidR="002416A0" w:rsidRDefault="002416A0" w:rsidP="00DF1117">
            <w:pPr>
              <w:pStyle w:val="NoSpacing"/>
              <w:spacing w:line="276" w:lineRule="auto"/>
              <w:jc w:val="center"/>
              <w:rPr>
                <w:rFonts w:ascii="Times New Roman" w:hAnsi="Times New Roman" w:cs="Times New Roman"/>
                <w:bCs/>
                <w:sz w:val="24"/>
                <w:szCs w:val="24"/>
              </w:rPr>
            </w:pPr>
          </w:p>
        </w:tc>
      </w:tr>
      <w:tr w:rsidR="002416A0" w:rsidTr="00DF1117">
        <w:trPr>
          <w:trHeight w:val="360"/>
          <w:jc w:val="center"/>
        </w:trPr>
        <w:tc>
          <w:tcPr>
            <w:tcW w:w="5000" w:type="pct"/>
            <w:vAlign w:val="center"/>
            <w:hideMark/>
          </w:tcPr>
          <w:p w:rsidR="002416A0" w:rsidRPr="00CE26FE" w:rsidRDefault="002416A0" w:rsidP="00DF1117">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44"/>
                <w:szCs w:val="44"/>
              </w:rPr>
              <w:t>Pacific</w:t>
            </w:r>
            <w:r w:rsidRPr="00CE26FE">
              <w:rPr>
                <w:rFonts w:ascii="Times New Roman" w:hAnsi="Times New Roman" w:cs="Times New Roman"/>
                <w:bCs/>
                <w:sz w:val="44"/>
                <w:szCs w:val="44"/>
              </w:rPr>
              <w:t xml:space="preserve"> Power</w:t>
            </w:r>
          </w:p>
        </w:tc>
      </w:tr>
    </w:tbl>
    <w:p w:rsidR="002416A0" w:rsidRDefault="002416A0">
      <w:pPr>
        <w:spacing w:after="200" w:line="276" w:lineRule="auto"/>
        <w:jc w:val="left"/>
        <w:rPr>
          <w:b/>
          <w:szCs w:val="24"/>
        </w:rPr>
        <w:sectPr w:rsidR="002416A0" w:rsidSect="002416A0">
          <w:headerReference w:type="even" r:id="rId7"/>
          <w:headerReference w:type="default" r:id="rId8"/>
          <w:footerReference w:type="even" r:id="rId9"/>
          <w:footerReference w:type="default" r:id="rId10"/>
          <w:headerReference w:type="first" r:id="rId11"/>
          <w:footerReference w:type="first" r:id="rId12"/>
          <w:pgSz w:w="12240" w:h="15840" w:code="1"/>
          <w:pgMar w:top="864" w:right="1152" w:bottom="864" w:left="1152" w:header="720" w:footer="720" w:gutter="0"/>
          <w:cols w:space="720"/>
          <w:docGrid w:linePitch="360"/>
        </w:sectPr>
      </w:pPr>
    </w:p>
    <w:p w:rsidR="002416A0" w:rsidRDefault="002416A0">
      <w:pPr>
        <w:spacing w:after="200" w:line="276" w:lineRule="auto"/>
        <w:jc w:val="left"/>
        <w:rPr>
          <w:b/>
          <w:szCs w:val="24"/>
        </w:rPr>
      </w:pPr>
    </w:p>
    <w:p w:rsidR="00EB0F01" w:rsidRDefault="00EB0F01" w:rsidP="00EB0F01">
      <w:pPr>
        <w:jc w:val="center"/>
        <w:rPr>
          <w:b/>
          <w:szCs w:val="24"/>
        </w:rPr>
      </w:pPr>
      <w:r>
        <w:rPr>
          <w:b/>
          <w:szCs w:val="24"/>
        </w:rPr>
        <w:t xml:space="preserve">2010-2011 Plan </w:t>
      </w:r>
      <w:r w:rsidR="009B7BA7">
        <w:rPr>
          <w:b/>
          <w:szCs w:val="24"/>
        </w:rPr>
        <w:t>Condition</w:t>
      </w:r>
      <w:r>
        <w:rPr>
          <w:b/>
          <w:szCs w:val="24"/>
        </w:rPr>
        <w:t xml:space="preserve"> </w:t>
      </w:r>
      <w:r w:rsidR="009B7BA7">
        <w:rPr>
          <w:b/>
          <w:szCs w:val="24"/>
        </w:rPr>
        <w:t xml:space="preserve">Requirements </w:t>
      </w:r>
      <w:r>
        <w:rPr>
          <w:b/>
          <w:szCs w:val="24"/>
        </w:rPr>
        <w:t xml:space="preserve">and </w:t>
      </w:r>
      <w:r w:rsidRPr="00E93BD3">
        <w:rPr>
          <w:b/>
          <w:szCs w:val="24"/>
        </w:rPr>
        <w:t>Compliance</w:t>
      </w:r>
    </w:p>
    <w:p w:rsidR="009B7A76" w:rsidRPr="00E93BD3" w:rsidRDefault="009B7A76" w:rsidP="00EB0F01">
      <w:pPr>
        <w:jc w:val="center"/>
        <w:rPr>
          <w:b/>
          <w:szCs w:val="24"/>
        </w:rPr>
      </w:pPr>
    </w:p>
    <w:tbl>
      <w:tblPr>
        <w:tblStyle w:val="TableGrid"/>
        <w:tblW w:w="4995" w:type="pct"/>
        <w:tblLook w:val="04A0"/>
      </w:tblPr>
      <w:tblGrid>
        <w:gridCol w:w="5144"/>
        <w:gridCol w:w="8374"/>
        <w:gridCol w:w="796"/>
      </w:tblGrid>
      <w:tr w:rsidR="0001091C" w:rsidRPr="009B7BA7" w:rsidTr="002416A0">
        <w:trPr>
          <w:trHeight w:val="332"/>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(2)</w:t>
            </w:r>
          </w:p>
        </w:tc>
        <w:tc>
          <w:tcPr>
            <w:tcW w:w="278" w:type="pct"/>
          </w:tcPr>
          <w:p w:rsidR="0001091C" w:rsidRPr="009B7BA7" w:rsidRDefault="0001091C" w:rsidP="00D218C8">
            <w:pPr>
              <w:rPr>
                <w:rFonts w:cs="Times New Roman"/>
                <w:b/>
                <w:sz w:val="20"/>
                <w:szCs w:val="20"/>
              </w:rPr>
            </w:pPr>
          </w:p>
        </w:tc>
      </w:tr>
      <w:tr w:rsidR="002416A0" w:rsidRPr="009B7BA7" w:rsidTr="002416A0">
        <w:tc>
          <w:tcPr>
            <w:tcW w:w="1797" w:type="pct"/>
          </w:tcPr>
          <w:p w:rsidR="0001091C" w:rsidRPr="009B7BA7" w:rsidRDefault="0001091C" w:rsidP="00D218C8">
            <w:pPr>
              <w:rPr>
                <w:rFonts w:cs="Times New Roman"/>
                <w:sz w:val="20"/>
                <w:szCs w:val="20"/>
              </w:rPr>
            </w:pPr>
            <w:r w:rsidRPr="009B7BA7">
              <w:rPr>
                <w:rFonts w:cs="Times New Roman"/>
                <w:sz w:val="20"/>
                <w:szCs w:val="20"/>
              </w:rPr>
              <w:t>Requires PacifiCorp to use methodologies consistent with those used by the Council.</w:t>
            </w:r>
          </w:p>
        </w:tc>
        <w:tc>
          <w:tcPr>
            <w:tcW w:w="2924" w:type="pct"/>
          </w:tcPr>
          <w:p w:rsidR="0001091C" w:rsidRDefault="0001091C" w:rsidP="00BE5500">
            <w:pPr>
              <w:rPr>
                <w:rFonts w:cs="Times New Roman"/>
                <w:sz w:val="20"/>
                <w:szCs w:val="20"/>
              </w:rPr>
            </w:pPr>
            <w:r w:rsidRPr="009B7BA7">
              <w:rPr>
                <w:rFonts w:cs="Times New Roman"/>
                <w:sz w:val="20"/>
                <w:szCs w:val="20"/>
              </w:rPr>
              <w:t xml:space="preserve">Appendix 3 of </w:t>
            </w:r>
            <w:r w:rsidRPr="009B7BA7">
              <w:rPr>
                <w:rFonts w:eastAsiaTheme="majorEastAsia" w:cs="Times New Roman"/>
                <w:sz w:val="20"/>
                <w:szCs w:val="20"/>
              </w:rPr>
              <w:t>PacifiCorp’s Ten-Year Conservation Potential and Biennial Conservation Target</w:t>
            </w:r>
            <w:r w:rsidRPr="009B7BA7">
              <w:rPr>
                <w:rFonts w:cs="Times New Roman"/>
                <w:sz w:val="20"/>
                <w:szCs w:val="20"/>
              </w:rPr>
              <w:t xml:space="preserve"> report</w:t>
            </w:r>
            <w:r w:rsidR="00B76F77">
              <w:rPr>
                <w:rFonts w:cs="Times New Roman"/>
                <w:sz w:val="20"/>
                <w:szCs w:val="20"/>
              </w:rPr>
              <w:t xml:space="preserve"> </w:t>
            </w:r>
            <w:r w:rsidR="00AA4C7F">
              <w:rPr>
                <w:rFonts w:cs="Times New Roman"/>
                <w:sz w:val="20"/>
                <w:szCs w:val="20"/>
              </w:rPr>
              <w:t xml:space="preserve">filed </w:t>
            </w:r>
            <w:r w:rsidR="00B76F77">
              <w:rPr>
                <w:rFonts w:cs="Times New Roman"/>
                <w:sz w:val="20"/>
                <w:szCs w:val="20"/>
              </w:rPr>
              <w:t xml:space="preserve">in </w:t>
            </w:r>
            <w:r w:rsidR="00AA4C7F">
              <w:rPr>
                <w:rFonts w:cs="Times New Roman"/>
                <w:sz w:val="20"/>
                <w:szCs w:val="20"/>
              </w:rPr>
              <w:t>Docket UE-100170</w:t>
            </w:r>
            <w:r w:rsidRPr="009B7BA7">
              <w:rPr>
                <w:rFonts w:cs="Times New Roman"/>
                <w:sz w:val="20"/>
                <w:szCs w:val="20"/>
              </w:rPr>
              <w:t xml:space="preserve"> contains an outline of the methodology used and provided by the Northwest Power and Conservation Council in the development of the regional power plan along with a description of the Company’s aligning methodology. </w:t>
            </w:r>
            <w:r w:rsidR="00B76F77">
              <w:rPr>
                <w:rFonts w:cs="Times New Roman"/>
                <w:sz w:val="20"/>
                <w:szCs w:val="20"/>
              </w:rPr>
              <w:t xml:space="preserve">This work </w:t>
            </w:r>
            <w:r w:rsidR="00BE5500">
              <w:rPr>
                <w:rFonts w:cs="Times New Roman"/>
                <w:sz w:val="20"/>
                <w:szCs w:val="20"/>
              </w:rPr>
              <w:t>was</w:t>
            </w:r>
            <w:r w:rsidR="00B76F77">
              <w:rPr>
                <w:rFonts w:cs="Times New Roman"/>
                <w:sz w:val="20"/>
                <w:szCs w:val="20"/>
              </w:rPr>
              <w:t xml:space="preserve"> expanded upon in Appendix 3 </w:t>
            </w:r>
            <w:r w:rsidR="00AA4C7F" w:rsidRPr="009B7BA7">
              <w:rPr>
                <w:rFonts w:cs="Times New Roman"/>
                <w:sz w:val="20"/>
                <w:szCs w:val="20"/>
              </w:rPr>
              <w:t xml:space="preserve">of </w:t>
            </w:r>
            <w:r w:rsidR="00AA4C7F" w:rsidRPr="009B7BA7">
              <w:rPr>
                <w:rFonts w:eastAsiaTheme="majorEastAsia" w:cs="Times New Roman"/>
                <w:sz w:val="20"/>
                <w:szCs w:val="20"/>
              </w:rPr>
              <w:t>PacifiCorp’s Ten-Year Conservation Potential and Biennial Conservation Target</w:t>
            </w:r>
            <w:r w:rsidR="00AA4C7F" w:rsidRPr="009B7BA7">
              <w:rPr>
                <w:rFonts w:cs="Times New Roman"/>
                <w:sz w:val="20"/>
                <w:szCs w:val="20"/>
              </w:rPr>
              <w:t xml:space="preserve"> report </w:t>
            </w:r>
            <w:r w:rsidR="00BE5500">
              <w:rPr>
                <w:rFonts w:cs="Times New Roman"/>
                <w:sz w:val="20"/>
                <w:szCs w:val="20"/>
              </w:rPr>
              <w:t>filed in Docket UE-111880</w:t>
            </w:r>
            <w:r w:rsidR="00AA4C7F">
              <w:rPr>
                <w:rFonts w:cs="Times New Roman"/>
                <w:sz w:val="20"/>
                <w:szCs w:val="20"/>
              </w:rPr>
              <w:t xml:space="preserve">. </w:t>
            </w:r>
            <w:r w:rsidRPr="009B7BA7">
              <w:rPr>
                <w:rFonts w:cs="Times New Roman"/>
                <w:sz w:val="20"/>
                <w:szCs w:val="20"/>
              </w:rPr>
              <w:t xml:space="preserve">It contains work product </w:t>
            </w:r>
            <w:r w:rsidR="00BE5500">
              <w:rPr>
                <w:rFonts w:cs="Times New Roman"/>
                <w:sz w:val="20"/>
                <w:szCs w:val="20"/>
              </w:rPr>
              <w:t xml:space="preserve">further refined by the </w:t>
            </w:r>
            <w:r w:rsidRPr="009B7BA7">
              <w:rPr>
                <w:rFonts w:cs="Times New Roman"/>
                <w:sz w:val="20"/>
                <w:szCs w:val="20"/>
              </w:rPr>
              <w:t xml:space="preserve">Methodology Sub-Committee of the Washington Collaborative Working group </w:t>
            </w:r>
            <w:r w:rsidR="00BE5500">
              <w:rPr>
                <w:rFonts w:cs="Times New Roman"/>
                <w:sz w:val="20"/>
                <w:szCs w:val="20"/>
              </w:rPr>
              <w:t>(summer 2011) and includes A</w:t>
            </w:r>
            <w:r w:rsidRPr="009B7BA7">
              <w:rPr>
                <w:rFonts w:cs="Times New Roman"/>
                <w:sz w:val="20"/>
                <w:szCs w:val="20"/>
              </w:rPr>
              <w:t>voided Costs and Total Resource Cost determinants. Together these documents demonstrate the consistency of the methodologies used in the development of both resource plans and development of the Company’s ten-year conservation forecast.</w:t>
            </w:r>
          </w:p>
          <w:p w:rsidR="002416A0" w:rsidRPr="009B7BA7" w:rsidRDefault="002416A0" w:rsidP="00BE5500">
            <w:pPr>
              <w:rPr>
                <w:rFonts w:cs="Times New Roman"/>
                <w:sz w:val="20"/>
                <w:szCs w:val="20"/>
              </w:rPr>
            </w:pPr>
          </w:p>
        </w:tc>
        <w:tc>
          <w:tcPr>
            <w:tcW w:w="278" w:type="pct"/>
          </w:tcPr>
          <w:p w:rsidR="0001091C" w:rsidRPr="0001091C" w:rsidRDefault="0001091C" w:rsidP="0001091C">
            <w:pPr>
              <w:pStyle w:val="ListParagraph"/>
              <w:numPr>
                <w:ilvl w:val="0"/>
                <w:numId w:val="2"/>
              </w:numPr>
              <w:jc w:val="left"/>
              <w:rPr>
                <w:rFonts w:cs="Times New Roman"/>
                <w:sz w:val="20"/>
                <w:szCs w:val="20"/>
              </w:rPr>
            </w:pPr>
          </w:p>
        </w:tc>
      </w:tr>
      <w:tr w:rsidR="0001091C" w:rsidRPr="009B7BA7" w:rsidTr="002416A0">
        <w:trPr>
          <w:trHeight w:val="377"/>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(3) (a) (i)</w:t>
            </w:r>
          </w:p>
        </w:tc>
        <w:tc>
          <w:tcPr>
            <w:tcW w:w="278" w:type="pct"/>
          </w:tcPr>
          <w:p w:rsidR="0001091C" w:rsidRPr="009B7BA7" w:rsidRDefault="0001091C" w:rsidP="00D218C8">
            <w:pPr>
              <w:rPr>
                <w:rFonts w:cs="Times New Roman"/>
                <w:b/>
                <w:sz w:val="20"/>
                <w:szCs w:val="20"/>
              </w:rPr>
            </w:pPr>
          </w:p>
        </w:tc>
      </w:tr>
      <w:tr w:rsidR="002416A0" w:rsidRPr="009B7BA7" w:rsidTr="002416A0">
        <w:tc>
          <w:tcPr>
            <w:tcW w:w="1797" w:type="pct"/>
          </w:tcPr>
          <w:p w:rsidR="0001091C" w:rsidRPr="009B7BA7" w:rsidRDefault="0001091C" w:rsidP="00D218C8">
            <w:pPr>
              <w:rPr>
                <w:rFonts w:cs="Times New Roman"/>
                <w:sz w:val="20"/>
                <w:szCs w:val="20"/>
              </w:rPr>
            </w:pPr>
            <w:r w:rsidRPr="009B7BA7">
              <w:rPr>
                <w:rFonts w:cs="Times New Roman"/>
                <w:sz w:val="20"/>
                <w:szCs w:val="20"/>
              </w:rPr>
              <w:t>The Company will consult with the DSM Advisory Group on the development of a written framework for evaluation, measurement, and verification (EM&amp;V) as implemented by PacifiCorp which guides its approach to evaluation, measurement, and verification of energy savings. This framework must be reflected in the Biennial Conservation Plan for the next biennium, 2012-2013</w:t>
            </w:r>
          </w:p>
        </w:tc>
        <w:tc>
          <w:tcPr>
            <w:tcW w:w="2924" w:type="pct"/>
          </w:tcPr>
          <w:p w:rsidR="0001091C" w:rsidRPr="009B7BA7" w:rsidRDefault="0001091C" w:rsidP="00D47401">
            <w:pPr>
              <w:rPr>
                <w:rFonts w:cs="Times New Roman"/>
                <w:sz w:val="20"/>
                <w:szCs w:val="20"/>
              </w:rPr>
            </w:pPr>
            <w:r w:rsidRPr="009B7BA7">
              <w:rPr>
                <w:rFonts w:cs="Times New Roman"/>
                <w:sz w:val="20"/>
                <w:szCs w:val="20"/>
              </w:rPr>
              <w:t xml:space="preserve">The development of a written EM&amp;V framework in collaboration with the DSM Advisory Group is described in the “Utility Evaluation, Measurement and Verification Activities” section of the </w:t>
            </w:r>
            <w:r w:rsidRPr="009B7BA7">
              <w:rPr>
                <w:rFonts w:eastAsiaTheme="majorEastAsia" w:cs="Times New Roman"/>
                <w:sz w:val="20"/>
                <w:szCs w:val="20"/>
              </w:rPr>
              <w:t>Ten-Year Conservation Potential and Biennial Conservation Target report</w:t>
            </w:r>
            <w:r w:rsidR="00B76F77">
              <w:rPr>
                <w:rFonts w:eastAsiaTheme="majorEastAsia" w:cs="Times New Roman"/>
                <w:sz w:val="20"/>
                <w:szCs w:val="20"/>
              </w:rPr>
              <w:t xml:space="preserve"> </w:t>
            </w:r>
            <w:r>
              <w:rPr>
                <w:rFonts w:cs="Times New Roman"/>
                <w:sz w:val="20"/>
                <w:szCs w:val="20"/>
              </w:rPr>
              <w:t>filed in Docket UE-111880</w:t>
            </w:r>
            <w:r w:rsidRPr="009B7BA7">
              <w:rPr>
                <w:rFonts w:cs="Times New Roman"/>
                <w:sz w:val="20"/>
                <w:szCs w:val="20"/>
              </w:rPr>
              <w:t>; a copy of the EM&amp;V framework is also provided as Appendix 8 to that report.</w:t>
            </w:r>
          </w:p>
        </w:tc>
        <w:tc>
          <w:tcPr>
            <w:tcW w:w="278" w:type="pct"/>
          </w:tcPr>
          <w:p w:rsidR="0001091C" w:rsidRPr="0001091C" w:rsidRDefault="0001091C" w:rsidP="0001091C">
            <w:pPr>
              <w:pStyle w:val="ListParagraph"/>
              <w:numPr>
                <w:ilvl w:val="0"/>
                <w:numId w:val="2"/>
              </w:numPr>
              <w:rPr>
                <w:rFonts w:cs="Times New Roman"/>
                <w:sz w:val="20"/>
                <w:szCs w:val="20"/>
              </w:rPr>
            </w:pPr>
          </w:p>
        </w:tc>
      </w:tr>
      <w:tr w:rsidR="0001091C" w:rsidRPr="009B7BA7" w:rsidTr="002416A0">
        <w:trPr>
          <w:trHeight w:val="395"/>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(3) (a) (ii)</w:t>
            </w:r>
          </w:p>
        </w:tc>
        <w:tc>
          <w:tcPr>
            <w:tcW w:w="278" w:type="pct"/>
          </w:tcPr>
          <w:p w:rsidR="0001091C" w:rsidRPr="009B7BA7" w:rsidRDefault="0001091C" w:rsidP="00D218C8">
            <w:pPr>
              <w:rPr>
                <w:rFonts w:cs="Times New Roman"/>
                <w:b/>
                <w:sz w:val="20"/>
                <w:szCs w:val="20"/>
              </w:rPr>
            </w:pPr>
          </w:p>
        </w:tc>
      </w:tr>
      <w:tr w:rsidR="002416A0" w:rsidRPr="009B7BA7" w:rsidTr="002416A0">
        <w:trPr>
          <w:trHeight w:val="395"/>
        </w:trPr>
        <w:tc>
          <w:tcPr>
            <w:tcW w:w="1797" w:type="pct"/>
          </w:tcPr>
          <w:p w:rsidR="0001091C" w:rsidRPr="009B7BA7" w:rsidRDefault="0001091C" w:rsidP="00D218C8">
            <w:pPr>
              <w:rPr>
                <w:rFonts w:cs="Times New Roman"/>
                <w:b/>
                <w:sz w:val="20"/>
                <w:szCs w:val="20"/>
              </w:rPr>
            </w:pPr>
            <w:r w:rsidRPr="009B7BA7">
              <w:rPr>
                <w:rFonts w:cs="Times New Roman"/>
                <w:sz w:val="20"/>
                <w:szCs w:val="20"/>
              </w:rPr>
              <w:t>The Company will consult with the DSM Advisory Group on development of conservation potential assessments under RCW 19.285.040(1)(a) and WAC 480</w:t>
            </w:r>
            <w:r w:rsidRPr="009B7BA7">
              <w:rPr>
                <w:rFonts w:cs="Times New Roman"/>
                <w:sz w:val="20"/>
                <w:szCs w:val="20"/>
              </w:rPr>
              <w:noBreakHyphen/>
              <w:t>109</w:t>
            </w:r>
            <w:r w:rsidRPr="009B7BA7">
              <w:rPr>
                <w:rFonts w:cs="Times New Roman"/>
                <w:sz w:val="20"/>
                <w:szCs w:val="20"/>
              </w:rPr>
              <w:noBreakHyphen/>
              <w:t>010(1).</w:t>
            </w:r>
          </w:p>
        </w:tc>
        <w:tc>
          <w:tcPr>
            <w:tcW w:w="2924" w:type="pct"/>
          </w:tcPr>
          <w:p w:rsidR="0001091C" w:rsidRDefault="00C040CD" w:rsidP="00470326">
            <w:pPr>
              <w:rPr>
                <w:rFonts w:cs="Times New Roman"/>
                <w:sz w:val="20"/>
                <w:szCs w:val="20"/>
              </w:rPr>
            </w:pPr>
            <w:r w:rsidRPr="009B7BA7">
              <w:rPr>
                <w:rFonts w:cs="Times New Roman"/>
                <w:sz w:val="20"/>
                <w:szCs w:val="20"/>
              </w:rPr>
              <w:t>The preparatory work for the 20</w:t>
            </w:r>
            <w:r>
              <w:rPr>
                <w:rFonts w:cs="Times New Roman"/>
                <w:sz w:val="20"/>
                <w:szCs w:val="20"/>
              </w:rPr>
              <w:t xml:space="preserve">07 and 2011 </w:t>
            </w:r>
            <w:r w:rsidR="00470326">
              <w:rPr>
                <w:rFonts w:cs="Times New Roman"/>
                <w:sz w:val="20"/>
                <w:szCs w:val="20"/>
              </w:rPr>
              <w:t>c</w:t>
            </w:r>
            <w:r w:rsidRPr="009B7BA7">
              <w:rPr>
                <w:rFonts w:cs="Times New Roman"/>
                <w:sz w:val="20"/>
                <w:szCs w:val="20"/>
              </w:rPr>
              <w:t xml:space="preserve">onservation </w:t>
            </w:r>
            <w:r w:rsidR="00470326">
              <w:rPr>
                <w:rFonts w:cs="Times New Roman"/>
                <w:sz w:val="20"/>
                <w:szCs w:val="20"/>
              </w:rPr>
              <w:t>p</w:t>
            </w:r>
            <w:r w:rsidRPr="009B7BA7">
              <w:rPr>
                <w:rFonts w:cs="Times New Roman"/>
                <w:sz w:val="20"/>
                <w:szCs w:val="20"/>
              </w:rPr>
              <w:t xml:space="preserve">otential </w:t>
            </w:r>
            <w:r w:rsidR="00470326">
              <w:rPr>
                <w:rFonts w:cs="Times New Roman"/>
                <w:sz w:val="20"/>
                <w:szCs w:val="20"/>
              </w:rPr>
              <w:t>a</w:t>
            </w:r>
            <w:r w:rsidRPr="009B7BA7">
              <w:rPr>
                <w:rFonts w:cs="Times New Roman"/>
                <w:sz w:val="20"/>
                <w:szCs w:val="20"/>
              </w:rPr>
              <w:t>ssessment</w:t>
            </w:r>
            <w:r>
              <w:rPr>
                <w:rFonts w:cs="Times New Roman"/>
                <w:sz w:val="20"/>
                <w:szCs w:val="20"/>
              </w:rPr>
              <w:t>s</w:t>
            </w:r>
            <w:r w:rsidR="00470326">
              <w:rPr>
                <w:rFonts w:cs="Times New Roman"/>
                <w:sz w:val="20"/>
                <w:szCs w:val="20"/>
              </w:rPr>
              <w:t>,</w:t>
            </w:r>
            <w:r w:rsidRPr="009B7BA7">
              <w:rPr>
                <w:rFonts w:cs="Times New Roman"/>
                <w:sz w:val="20"/>
                <w:szCs w:val="20"/>
              </w:rPr>
              <w:t xml:space="preserve"> used in the development of the </w:t>
            </w:r>
            <w:r>
              <w:rPr>
                <w:rFonts w:cs="Times New Roman"/>
                <w:sz w:val="20"/>
                <w:szCs w:val="20"/>
              </w:rPr>
              <w:t xml:space="preserve">2008 and </w:t>
            </w:r>
            <w:r w:rsidRPr="009B7BA7">
              <w:rPr>
                <w:rFonts w:cs="Times New Roman"/>
                <w:sz w:val="20"/>
                <w:szCs w:val="20"/>
              </w:rPr>
              <w:t>2011 IRP</w:t>
            </w:r>
            <w:r>
              <w:rPr>
                <w:rFonts w:cs="Times New Roman"/>
                <w:sz w:val="20"/>
                <w:szCs w:val="20"/>
              </w:rPr>
              <w:t>s</w:t>
            </w:r>
            <w:r w:rsidR="00470326">
              <w:rPr>
                <w:rFonts w:cs="Times New Roman"/>
                <w:sz w:val="20"/>
                <w:szCs w:val="20"/>
              </w:rPr>
              <w:t xml:space="preserve"> and </w:t>
            </w:r>
            <w:r w:rsidR="008620E5">
              <w:rPr>
                <w:rFonts w:cs="Times New Roman"/>
                <w:sz w:val="20"/>
                <w:szCs w:val="20"/>
              </w:rPr>
              <w:t>consequently both the 2010-19 and 2012-21 I-937 conservation forecasts</w:t>
            </w:r>
            <w:r w:rsidR="00CD082E">
              <w:rPr>
                <w:rFonts w:cs="Times New Roman"/>
                <w:sz w:val="20"/>
                <w:szCs w:val="20"/>
              </w:rPr>
              <w:t>,</w:t>
            </w:r>
            <w:r w:rsidR="008620E5">
              <w:rPr>
                <w:rFonts w:cs="Times New Roman"/>
                <w:sz w:val="20"/>
                <w:szCs w:val="20"/>
              </w:rPr>
              <w:t xml:space="preserve"> </w:t>
            </w:r>
            <w:r w:rsidRPr="009B7BA7">
              <w:rPr>
                <w:rFonts w:cs="Times New Roman"/>
                <w:sz w:val="20"/>
                <w:szCs w:val="20"/>
              </w:rPr>
              <w:t>w</w:t>
            </w:r>
            <w:r>
              <w:rPr>
                <w:rFonts w:cs="Times New Roman"/>
                <w:sz w:val="20"/>
                <w:szCs w:val="20"/>
              </w:rPr>
              <w:t>ere</w:t>
            </w:r>
            <w:r w:rsidRPr="009B7BA7">
              <w:rPr>
                <w:rFonts w:cs="Times New Roman"/>
                <w:sz w:val="20"/>
                <w:szCs w:val="20"/>
              </w:rPr>
              <w:t xml:space="preserve"> completed prior to the issuance of Order 02 in Docket UE-100170</w:t>
            </w:r>
            <w:r w:rsidR="00470326">
              <w:rPr>
                <w:rFonts w:cs="Times New Roman"/>
                <w:sz w:val="20"/>
                <w:szCs w:val="20"/>
              </w:rPr>
              <w:t xml:space="preserve">. However, Company engaged the </w:t>
            </w:r>
            <w:r w:rsidR="0001091C" w:rsidRPr="009B7BA7">
              <w:rPr>
                <w:rFonts w:cs="Times New Roman"/>
                <w:sz w:val="20"/>
                <w:szCs w:val="20"/>
              </w:rPr>
              <w:t>DSM advisory gro</w:t>
            </w:r>
            <w:r>
              <w:rPr>
                <w:rFonts w:cs="Times New Roman"/>
                <w:sz w:val="20"/>
                <w:szCs w:val="20"/>
              </w:rPr>
              <w:t xml:space="preserve">up </w:t>
            </w:r>
            <w:r w:rsidR="00470326">
              <w:rPr>
                <w:rFonts w:cs="Times New Roman"/>
                <w:sz w:val="20"/>
                <w:szCs w:val="20"/>
              </w:rPr>
              <w:t xml:space="preserve">in a review of the sources and assumptions of the conservation forecasts and adjustments prior to </w:t>
            </w:r>
            <w:r w:rsidR="008620E5">
              <w:rPr>
                <w:rFonts w:cs="Times New Roman"/>
                <w:sz w:val="20"/>
                <w:szCs w:val="20"/>
              </w:rPr>
              <w:t xml:space="preserve">their filing and approvals. This process as well as </w:t>
            </w:r>
            <w:r w:rsidR="008D7859">
              <w:rPr>
                <w:rFonts w:cs="Times New Roman"/>
                <w:sz w:val="20"/>
                <w:szCs w:val="20"/>
              </w:rPr>
              <w:t xml:space="preserve">detailed </w:t>
            </w:r>
            <w:r w:rsidR="008620E5">
              <w:rPr>
                <w:rFonts w:cs="Times New Roman"/>
                <w:sz w:val="20"/>
                <w:szCs w:val="20"/>
              </w:rPr>
              <w:t xml:space="preserve">explanations </w:t>
            </w:r>
            <w:r w:rsidR="008D7859">
              <w:rPr>
                <w:rFonts w:cs="Times New Roman"/>
                <w:sz w:val="20"/>
                <w:szCs w:val="20"/>
              </w:rPr>
              <w:t xml:space="preserve">of the adjustments made </w:t>
            </w:r>
            <w:r w:rsidR="00470326">
              <w:rPr>
                <w:rFonts w:cs="Times New Roman"/>
                <w:sz w:val="20"/>
                <w:szCs w:val="20"/>
              </w:rPr>
              <w:t xml:space="preserve">is </w:t>
            </w:r>
            <w:r>
              <w:rPr>
                <w:rFonts w:cs="Times New Roman"/>
                <w:sz w:val="20"/>
                <w:szCs w:val="20"/>
              </w:rPr>
              <w:t xml:space="preserve">documented in the </w:t>
            </w:r>
            <w:r w:rsidRPr="009B7BA7">
              <w:rPr>
                <w:rFonts w:eastAsiaTheme="majorEastAsia" w:cs="Times New Roman"/>
                <w:sz w:val="20"/>
                <w:szCs w:val="20"/>
              </w:rPr>
              <w:t>Ten-Year Conservation Potential and Biennial Conservation Target report</w:t>
            </w:r>
            <w:r w:rsidR="00470326">
              <w:rPr>
                <w:rFonts w:eastAsiaTheme="majorEastAsia" w:cs="Times New Roman"/>
                <w:sz w:val="20"/>
                <w:szCs w:val="20"/>
              </w:rPr>
              <w:t xml:space="preserve">s filed in Dockets UE-100170 and </w:t>
            </w:r>
            <w:r>
              <w:rPr>
                <w:rFonts w:cs="Times New Roman"/>
                <w:sz w:val="20"/>
                <w:szCs w:val="20"/>
              </w:rPr>
              <w:t>UE-111880</w:t>
            </w:r>
            <w:r w:rsidR="00470326">
              <w:rPr>
                <w:rFonts w:cs="Times New Roman"/>
                <w:sz w:val="20"/>
                <w:szCs w:val="20"/>
              </w:rPr>
              <w:t>, in the stakeholder engagement section in the main report and appendix 4</w:t>
            </w:r>
            <w:r w:rsidR="008D7859">
              <w:rPr>
                <w:rFonts w:cs="Times New Roman"/>
                <w:sz w:val="20"/>
                <w:szCs w:val="20"/>
              </w:rPr>
              <w:t>, adjustments section, to those reports.</w:t>
            </w:r>
            <w:r w:rsidR="00470326">
              <w:rPr>
                <w:rFonts w:cs="Times New Roman"/>
                <w:sz w:val="20"/>
                <w:szCs w:val="20"/>
              </w:rPr>
              <w:t xml:space="preserve"> </w:t>
            </w:r>
          </w:p>
          <w:p w:rsidR="002416A0" w:rsidRPr="009B7BA7" w:rsidRDefault="002416A0" w:rsidP="00470326">
            <w:pPr>
              <w:rPr>
                <w:rFonts w:cs="Times New Roman"/>
                <w:sz w:val="20"/>
                <w:szCs w:val="20"/>
              </w:rPr>
            </w:pPr>
          </w:p>
        </w:tc>
        <w:tc>
          <w:tcPr>
            <w:tcW w:w="278" w:type="pct"/>
          </w:tcPr>
          <w:p w:rsidR="0001091C" w:rsidRPr="0001091C" w:rsidRDefault="0001091C" w:rsidP="0001091C">
            <w:pPr>
              <w:pStyle w:val="ListParagraph"/>
              <w:numPr>
                <w:ilvl w:val="0"/>
                <w:numId w:val="2"/>
              </w:numPr>
              <w:rPr>
                <w:rFonts w:cs="Times New Roman"/>
                <w:sz w:val="20"/>
                <w:szCs w:val="20"/>
              </w:rPr>
            </w:pPr>
          </w:p>
        </w:tc>
      </w:tr>
      <w:tr w:rsidR="0001091C" w:rsidRPr="009B7BA7" w:rsidTr="002416A0">
        <w:trPr>
          <w:trHeight w:val="395"/>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(3) (c)</w:t>
            </w:r>
          </w:p>
        </w:tc>
        <w:tc>
          <w:tcPr>
            <w:tcW w:w="278" w:type="pct"/>
          </w:tcPr>
          <w:p w:rsidR="0001091C" w:rsidRPr="009B7BA7" w:rsidRDefault="0001091C" w:rsidP="00D218C8">
            <w:pPr>
              <w:rPr>
                <w:rFonts w:cs="Times New Roman"/>
                <w:b/>
                <w:sz w:val="20"/>
                <w:szCs w:val="20"/>
              </w:rPr>
            </w:pPr>
          </w:p>
        </w:tc>
      </w:tr>
      <w:tr w:rsidR="002416A0" w:rsidRPr="009B7BA7" w:rsidTr="002416A0">
        <w:tc>
          <w:tcPr>
            <w:tcW w:w="1797" w:type="pct"/>
          </w:tcPr>
          <w:p w:rsidR="0001091C" w:rsidRPr="009B7BA7" w:rsidRDefault="0001091C" w:rsidP="00D218C8">
            <w:pPr>
              <w:rPr>
                <w:rFonts w:cs="Times New Roman"/>
                <w:sz w:val="20"/>
                <w:szCs w:val="20"/>
              </w:rPr>
            </w:pPr>
            <w:r w:rsidRPr="009B7BA7">
              <w:rPr>
                <w:rFonts w:cs="Times New Roman"/>
                <w:sz w:val="20"/>
                <w:szCs w:val="20"/>
              </w:rPr>
              <w:t>The Advisory Group should meet quarterly at a minimum.</w:t>
            </w:r>
          </w:p>
        </w:tc>
        <w:tc>
          <w:tcPr>
            <w:tcW w:w="2924" w:type="pct"/>
          </w:tcPr>
          <w:p w:rsidR="0001091C" w:rsidRDefault="0001091C" w:rsidP="002E7136">
            <w:pPr>
              <w:rPr>
                <w:rFonts w:cs="Times New Roman"/>
                <w:sz w:val="20"/>
                <w:szCs w:val="20"/>
              </w:rPr>
            </w:pPr>
            <w:r w:rsidRPr="009B7BA7">
              <w:rPr>
                <w:rFonts w:cs="Times New Roman"/>
                <w:sz w:val="20"/>
                <w:szCs w:val="20"/>
              </w:rPr>
              <w:t>A list of 201</w:t>
            </w:r>
            <w:r w:rsidR="002E7136">
              <w:rPr>
                <w:rFonts w:cs="Times New Roman"/>
                <w:sz w:val="20"/>
                <w:szCs w:val="20"/>
              </w:rPr>
              <w:t xml:space="preserve">0 and 2011 </w:t>
            </w:r>
            <w:r w:rsidRPr="009B7BA7">
              <w:rPr>
                <w:rFonts w:cs="Times New Roman"/>
                <w:sz w:val="20"/>
                <w:szCs w:val="20"/>
              </w:rPr>
              <w:t>Advisory Group meetings, including Washington Collaborative Working Group meetings, is provided in</w:t>
            </w:r>
            <w:r w:rsidR="002E7136">
              <w:rPr>
                <w:rFonts w:cs="Times New Roman"/>
                <w:sz w:val="20"/>
                <w:szCs w:val="20"/>
              </w:rPr>
              <w:t xml:space="preserve"> the company’s 2010 and 2011 Annual Reports on Conservation Acquisition (filed in March each year). They demonstrate PacifiCorp’s compliance to the </w:t>
            </w:r>
            <w:r w:rsidR="002E7136">
              <w:rPr>
                <w:rFonts w:cs="Times New Roman"/>
                <w:sz w:val="20"/>
                <w:szCs w:val="20"/>
              </w:rPr>
              <w:lastRenderedPageBreak/>
              <w:t xml:space="preserve">requirement for quarterly advisory group meetings. </w:t>
            </w:r>
          </w:p>
          <w:p w:rsidR="002416A0" w:rsidRPr="009B7BA7" w:rsidRDefault="002416A0" w:rsidP="002E7136">
            <w:pPr>
              <w:rPr>
                <w:rFonts w:cs="Times New Roman"/>
                <w:sz w:val="20"/>
                <w:szCs w:val="20"/>
              </w:rPr>
            </w:pPr>
          </w:p>
        </w:tc>
        <w:tc>
          <w:tcPr>
            <w:tcW w:w="278" w:type="pct"/>
          </w:tcPr>
          <w:p w:rsidR="0001091C" w:rsidRPr="00B76F77" w:rsidRDefault="0001091C" w:rsidP="00B76F77">
            <w:pPr>
              <w:pStyle w:val="ListParagraph"/>
              <w:numPr>
                <w:ilvl w:val="0"/>
                <w:numId w:val="2"/>
              </w:numPr>
              <w:rPr>
                <w:rFonts w:cs="Times New Roman"/>
                <w:sz w:val="20"/>
                <w:szCs w:val="20"/>
              </w:rPr>
            </w:pPr>
          </w:p>
        </w:tc>
      </w:tr>
      <w:tr w:rsidR="0001091C" w:rsidRPr="009B7BA7" w:rsidTr="002416A0">
        <w:trPr>
          <w:trHeight w:val="332"/>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lastRenderedPageBreak/>
              <w:t>Docket UE-100170 Order 02 (5)</w:t>
            </w:r>
          </w:p>
        </w:tc>
        <w:tc>
          <w:tcPr>
            <w:tcW w:w="278" w:type="pct"/>
          </w:tcPr>
          <w:p w:rsidR="0001091C" w:rsidRPr="009B7BA7" w:rsidRDefault="0001091C" w:rsidP="00D218C8">
            <w:pPr>
              <w:rPr>
                <w:rFonts w:cs="Times New Roman"/>
                <w:b/>
                <w:sz w:val="20"/>
                <w:szCs w:val="20"/>
              </w:rPr>
            </w:pPr>
          </w:p>
        </w:tc>
      </w:tr>
      <w:tr w:rsidR="002416A0" w:rsidRPr="009B7BA7" w:rsidTr="002416A0">
        <w:tc>
          <w:tcPr>
            <w:tcW w:w="1797" w:type="pct"/>
          </w:tcPr>
          <w:p w:rsidR="0001091C" w:rsidRPr="009B7BA7" w:rsidRDefault="0001091C" w:rsidP="00D218C8">
            <w:pPr>
              <w:rPr>
                <w:rFonts w:cs="Times New Roman"/>
                <w:sz w:val="20"/>
                <w:szCs w:val="20"/>
              </w:rPr>
            </w:pPr>
            <w:r w:rsidRPr="009B7BA7">
              <w:rPr>
                <w:rFonts w:cs="Times New Roman"/>
                <w:sz w:val="20"/>
                <w:szCs w:val="20"/>
              </w:rPr>
              <w:t>Company must maintain its conservation tariffs with program descriptions on file with the Commission. Program details about specific measures, incentives, and eligibility requirements must be filed as tariff attachments or as revisions to the Company DSM Business Plan.</w:t>
            </w:r>
          </w:p>
        </w:tc>
        <w:tc>
          <w:tcPr>
            <w:tcW w:w="2924" w:type="pct"/>
          </w:tcPr>
          <w:p w:rsidR="0001091C" w:rsidRDefault="009C22B2" w:rsidP="00501FFC">
            <w:pPr>
              <w:autoSpaceDE w:val="0"/>
              <w:autoSpaceDN w:val="0"/>
              <w:adjustRightInd w:val="0"/>
              <w:jc w:val="left"/>
              <w:rPr>
                <w:rFonts w:cs="Times New Roman"/>
                <w:sz w:val="20"/>
                <w:szCs w:val="20"/>
              </w:rPr>
            </w:pPr>
            <w:r w:rsidRPr="00501FFC">
              <w:rPr>
                <w:rFonts w:cs="Times New Roman"/>
                <w:sz w:val="20"/>
                <w:szCs w:val="20"/>
              </w:rPr>
              <w:t>Copies of the Company’s conservation tariffs and</w:t>
            </w:r>
            <w:r w:rsidR="00845808" w:rsidRPr="00501FFC">
              <w:rPr>
                <w:rFonts w:cs="Times New Roman"/>
                <w:sz w:val="20"/>
                <w:szCs w:val="20"/>
              </w:rPr>
              <w:t>/or</w:t>
            </w:r>
            <w:r w:rsidRPr="00501FFC">
              <w:rPr>
                <w:rFonts w:cs="Times New Roman"/>
                <w:sz w:val="20"/>
                <w:szCs w:val="20"/>
              </w:rPr>
              <w:t xml:space="preserve"> program descriptions</w:t>
            </w:r>
            <w:r w:rsidR="00845808" w:rsidRPr="00501FFC">
              <w:rPr>
                <w:rFonts w:cs="Times New Roman"/>
                <w:sz w:val="20"/>
                <w:szCs w:val="20"/>
              </w:rPr>
              <w:t xml:space="preserve">, including details on specific measures, incentives and eligibility are contained in </w:t>
            </w:r>
            <w:r w:rsidR="00F772FD" w:rsidRPr="00501FFC">
              <w:rPr>
                <w:rFonts w:cs="Times New Roman"/>
                <w:sz w:val="20"/>
                <w:szCs w:val="20"/>
              </w:rPr>
              <w:t xml:space="preserve">Attachment A, </w:t>
            </w:r>
            <w:r w:rsidR="00845808" w:rsidRPr="00501FFC">
              <w:rPr>
                <w:rFonts w:cs="Times New Roman"/>
                <w:sz w:val="20"/>
                <w:szCs w:val="20"/>
              </w:rPr>
              <w:t xml:space="preserve">the company’s </w:t>
            </w:r>
            <w:r w:rsidR="00F772FD" w:rsidRPr="00501FFC">
              <w:rPr>
                <w:rFonts w:cs="Times New Roman"/>
                <w:sz w:val="20"/>
                <w:szCs w:val="20"/>
              </w:rPr>
              <w:t>Demand-Side Management</w:t>
            </w:r>
            <w:r w:rsidRPr="00501FFC">
              <w:rPr>
                <w:rFonts w:cs="Times New Roman"/>
                <w:sz w:val="20"/>
                <w:szCs w:val="20"/>
              </w:rPr>
              <w:t xml:space="preserve"> </w:t>
            </w:r>
            <w:r w:rsidR="00F772FD" w:rsidRPr="00501FFC">
              <w:rPr>
                <w:rFonts w:cs="Times New Roman"/>
                <w:sz w:val="20"/>
                <w:szCs w:val="20"/>
              </w:rPr>
              <w:t xml:space="preserve">Business Plan </w:t>
            </w:r>
            <w:r w:rsidR="00845808" w:rsidRPr="00501FFC">
              <w:rPr>
                <w:rFonts w:cs="Times New Roman"/>
                <w:sz w:val="20"/>
                <w:szCs w:val="20"/>
              </w:rPr>
              <w:t xml:space="preserve">for </w:t>
            </w:r>
            <w:r w:rsidR="00F772FD" w:rsidRPr="00501FFC">
              <w:rPr>
                <w:rFonts w:cs="Times New Roman"/>
                <w:sz w:val="20"/>
                <w:szCs w:val="20"/>
              </w:rPr>
              <w:t>2010–2011 filed in Docket UE-100170</w:t>
            </w:r>
            <w:r w:rsidR="00845808" w:rsidRPr="00501FFC">
              <w:rPr>
                <w:rFonts w:cs="Times New Roman"/>
                <w:sz w:val="20"/>
                <w:szCs w:val="20"/>
              </w:rPr>
              <w:t xml:space="preserve">. This information was refreshed in the company’s update to the 2010-11 Business Plan filed </w:t>
            </w:r>
            <w:r w:rsidR="00F772FD" w:rsidRPr="00501FFC">
              <w:rPr>
                <w:rFonts w:cs="Times New Roman"/>
                <w:sz w:val="20"/>
                <w:szCs w:val="20"/>
              </w:rPr>
              <w:t>November 1, 2011</w:t>
            </w:r>
            <w:r w:rsidR="00845808" w:rsidRPr="00501FFC">
              <w:rPr>
                <w:rFonts w:cs="Times New Roman"/>
                <w:sz w:val="20"/>
                <w:szCs w:val="20"/>
              </w:rPr>
              <w:t xml:space="preserve"> and again as Appendix 7, Demand-Side Management Business Plan 2012-13, filed in Docket UE-111880. </w:t>
            </w:r>
            <w:r w:rsidRPr="00501FFC">
              <w:rPr>
                <w:rFonts w:cs="Times New Roman"/>
                <w:sz w:val="20"/>
                <w:szCs w:val="20"/>
              </w:rPr>
              <w:t xml:space="preserve"> </w:t>
            </w:r>
            <w:r w:rsidR="00B56A57" w:rsidRPr="00501FFC">
              <w:rPr>
                <w:rFonts w:cs="Times New Roman"/>
                <w:sz w:val="20"/>
                <w:szCs w:val="20"/>
              </w:rPr>
              <w:t xml:space="preserve"> </w:t>
            </w:r>
          </w:p>
          <w:p w:rsidR="002416A0" w:rsidRPr="009B7BA7" w:rsidRDefault="002416A0" w:rsidP="00501FFC">
            <w:pPr>
              <w:autoSpaceDE w:val="0"/>
              <w:autoSpaceDN w:val="0"/>
              <w:adjustRightInd w:val="0"/>
              <w:jc w:val="left"/>
              <w:rPr>
                <w:rFonts w:cs="Times New Roman"/>
                <w:sz w:val="20"/>
                <w:szCs w:val="20"/>
              </w:rPr>
            </w:pPr>
          </w:p>
        </w:tc>
        <w:tc>
          <w:tcPr>
            <w:tcW w:w="278" w:type="pct"/>
          </w:tcPr>
          <w:p w:rsidR="0001091C" w:rsidRPr="00F441A9" w:rsidRDefault="0001091C" w:rsidP="00F441A9">
            <w:pPr>
              <w:pStyle w:val="ListParagraph"/>
              <w:numPr>
                <w:ilvl w:val="0"/>
                <w:numId w:val="2"/>
              </w:numPr>
              <w:rPr>
                <w:rFonts w:cs="Times New Roman"/>
                <w:sz w:val="20"/>
                <w:szCs w:val="20"/>
              </w:rPr>
            </w:pPr>
          </w:p>
        </w:tc>
      </w:tr>
      <w:tr w:rsidR="0001091C" w:rsidRPr="009B7BA7" w:rsidTr="002416A0">
        <w:trPr>
          <w:trHeight w:val="395"/>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(6) (b) &amp; (c)</w:t>
            </w:r>
          </w:p>
        </w:tc>
        <w:tc>
          <w:tcPr>
            <w:tcW w:w="278" w:type="pct"/>
          </w:tcPr>
          <w:p w:rsidR="0001091C" w:rsidRPr="009B7BA7" w:rsidRDefault="0001091C" w:rsidP="00D218C8">
            <w:pPr>
              <w:rPr>
                <w:rFonts w:cs="Times New Roman"/>
                <w:b/>
                <w:sz w:val="20"/>
                <w:szCs w:val="20"/>
              </w:rPr>
            </w:pPr>
          </w:p>
        </w:tc>
      </w:tr>
      <w:tr w:rsidR="002416A0" w:rsidRPr="009B7BA7" w:rsidTr="002416A0">
        <w:tc>
          <w:tcPr>
            <w:tcW w:w="1797" w:type="pct"/>
          </w:tcPr>
          <w:p w:rsidR="0001091C" w:rsidRPr="009B7BA7" w:rsidRDefault="0001091C" w:rsidP="00D218C8">
            <w:pPr>
              <w:rPr>
                <w:rFonts w:cs="Times New Roman"/>
                <w:sz w:val="20"/>
                <w:szCs w:val="20"/>
              </w:rPr>
            </w:pPr>
            <w:r w:rsidRPr="009B7BA7">
              <w:rPr>
                <w:rFonts w:cs="Times New Roman"/>
                <w:sz w:val="20"/>
                <w:szCs w:val="20"/>
              </w:rPr>
              <w:t>PacifiCorp must use RTF deemed savings or other reliable and relevant source data that has verified savings levels and be presented to the Advisory Group for comment.</w:t>
            </w:r>
          </w:p>
        </w:tc>
        <w:tc>
          <w:tcPr>
            <w:tcW w:w="2924" w:type="pct"/>
          </w:tcPr>
          <w:p w:rsidR="0001091C" w:rsidRDefault="00CD082E" w:rsidP="00CD082E">
            <w:pPr>
              <w:rPr>
                <w:rFonts w:cs="Times New Roman"/>
                <w:sz w:val="20"/>
                <w:szCs w:val="20"/>
              </w:rPr>
            </w:pPr>
            <w:r w:rsidRPr="00CD082E">
              <w:rPr>
                <w:rFonts w:cs="Times New Roman"/>
                <w:sz w:val="20"/>
                <w:szCs w:val="20"/>
              </w:rPr>
              <w:t>The preparatory work for the 2007 and 2011 conservation potential assessments, used in the development of the 2008 and 2011 IRPs and consequently both the 2010-19 and 2012-21 I-937 conservation forecasts, were completed prior to the issuance of Order 02 in Docket UE-100170. However</w:t>
            </w:r>
            <w:r>
              <w:rPr>
                <w:rFonts w:cs="Times New Roman"/>
                <w:sz w:val="20"/>
                <w:szCs w:val="20"/>
              </w:rPr>
              <w:t>,</w:t>
            </w:r>
            <w:r w:rsidR="00A36213">
              <w:rPr>
                <w:rFonts w:cs="Times New Roman"/>
                <w:sz w:val="20"/>
                <w:szCs w:val="20"/>
              </w:rPr>
              <w:t xml:space="preserve"> the d</w:t>
            </w:r>
            <w:r w:rsidR="0001091C" w:rsidRPr="009B7BA7">
              <w:rPr>
                <w:rFonts w:cs="Times New Roman"/>
                <w:sz w:val="20"/>
                <w:szCs w:val="20"/>
              </w:rPr>
              <w:t xml:space="preserve">ata sources </w:t>
            </w:r>
            <w:r w:rsidR="00A36213">
              <w:rPr>
                <w:rFonts w:cs="Times New Roman"/>
                <w:sz w:val="20"/>
                <w:szCs w:val="20"/>
              </w:rPr>
              <w:t xml:space="preserve">for the 2011 Conservation Potential Assessment </w:t>
            </w:r>
            <w:r w:rsidR="0001091C" w:rsidRPr="009B7BA7">
              <w:rPr>
                <w:rFonts w:cs="Times New Roman"/>
                <w:sz w:val="20"/>
                <w:szCs w:val="20"/>
              </w:rPr>
              <w:t xml:space="preserve">are outlined beginning on page 53 of Volume I of the “Assessment of Long-Term System-Wide Potential for Demand-Side and Other Supplemental Resources” which is provided as Appendix 2 to the </w:t>
            </w:r>
            <w:r w:rsidR="0001091C" w:rsidRPr="009B7BA7">
              <w:rPr>
                <w:rFonts w:eastAsiaTheme="majorEastAsia" w:cs="Times New Roman"/>
                <w:sz w:val="20"/>
                <w:szCs w:val="20"/>
              </w:rPr>
              <w:t>Ten-Year Conservation Potential and Biennial Conservation Target</w:t>
            </w:r>
            <w:r w:rsidR="0001091C" w:rsidRPr="009B7BA7">
              <w:rPr>
                <w:sz w:val="20"/>
                <w:szCs w:val="20"/>
              </w:rPr>
              <w:t xml:space="preserve"> report</w:t>
            </w:r>
            <w:r w:rsidR="00A36213">
              <w:rPr>
                <w:sz w:val="20"/>
                <w:szCs w:val="20"/>
              </w:rPr>
              <w:t xml:space="preserve"> filed in Docket UE-111880</w:t>
            </w:r>
            <w:r w:rsidR="0001091C" w:rsidRPr="009B7BA7">
              <w:rPr>
                <w:rFonts w:cs="Times New Roman"/>
                <w:sz w:val="20"/>
                <w:szCs w:val="20"/>
              </w:rPr>
              <w:t xml:space="preserve">. Volume II, Appendix E of that report provides a comparison of savings values. An electronic version of </w:t>
            </w:r>
            <w:r w:rsidR="0001091C">
              <w:rPr>
                <w:rFonts w:cs="Times New Roman"/>
                <w:sz w:val="20"/>
                <w:szCs w:val="20"/>
              </w:rPr>
              <w:t xml:space="preserve">this </w:t>
            </w:r>
            <w:r w:rsidR="0001091C" w:rsidRPr="009B7BA7">
              <w:rPr>
                <w:rFonts w:cs="Times New Roman"/>
                <w:sz w:val="20"/>
                <w:szCs w:val="20"/>
              </w:rPr>
              <w:t xml:space="preserve">spreadsheet was provided to the DSM Advisory Group on August 16, 2011. Current RTF savings data also informed several of the adjustments to the Company’s current ten-year conservation forecast; after consultation with the DSM Advisory Group. Adjustments are described in both the “Conservation Potential and Conservation Targets” section as well as </w:t>
            </w:r>
            <w:r w:rsidR="0001091C">
              <w:rPr>
                <w:rFonts w:cs="Times New Roman"/>
                <w:sz w:val="20"/>
                <w:szCs w:val="20"/>
              </w:rPr>
              <w:t>in</w:t>
            </w:r>
            <w:r w:rsidR="0001091C" w:rsidRPr="009B7BA7">
              <w:rPr>
                <w:rFonts w:cs="Times New Roman"/>
                <w:sz w:val="20"/>
                <w:szCs w:val="20"/>
              </w:rPr>
              <w:t xml:space="preserve"> Appendix 4 of </w:t>
            </w:r>
            <w:r w:rsidR="0001091C" w:rsidRPr="00F64C1E">
              <w:rPr>
                <w:rFonts w:cs="Times New Roman"/>
                <w:sz w:val="20"/>
                <w:szCs w:val="20"/>
              </w:rPr>
              <w:t xml:space="preserve">the </w:t>
            </w:r>
            <w:r w:rsidR="0001091C" w:rsidRPr="00F64C1E">
              <w:rPr>
                <w:rFonts w:eastAsiaTheme="majorEastAsia" w:cs="Times New Roman"/>
                <w:sz w:val="20"/>
                <w:szCs w:val="20"/>
              </w:rPr>
              <w:t>Ten-Year Conservation Potential and Biennial Conservation Target</w:t>
            </w:r>
            <w:r w:rsidR="0001091C" w:rsidRPr="00F64C1E">
              <w:rPr>
                <w:sz w:val="20"/>
                <w:szCs w:val="20"/>
              </w:rPr>
              <w:t xml:space="preserve"> report</w:t>
            </w:r>
            <w:r w:rsidR="0001091C" w:rsidRPr="009B7BA7">
              <w:rPr>
                <w:rFonts w:cs="Times New Roman"/>
                <w:sz w:val="20"/>
                <w:szCs w:val="20"/>
              </w:rPr>
              <w:t>. In addition, supporting documentation for the proposed Home Energy Savings program changes included savings data sources and was provided to the Advisory Group for comment.</w:t>
            </w:r>
          </w:p>
          <w:p w:rsidR="002416A0" w:rsidRPr="009B7BA7" w:rsidRDefault="002416A0" w:rsidP="00CD082E">
            <w:pPr>
              <w:rPr>
                <w:rFonts w:cs="Times New Roman"/>
                <w:b/>
                <w:sz w:val="20"/>
                <w:szCs w:val="20"/>
              </w:rPr>
            </w:pPr>
          </w:p>
        </w:tc>
        <w:tc>
          <w:tcPr>
            <w:tcW w:w="278" w:type="pct"/>
          </w:tcPr>
          <w:p w:rsidR="0001091C" w:rsidRPr="00A36213" w:rsidRDefault="0001091C" w:rsidP="00A36213">
            <w:pPr>
              <w:pStyle w:val="ListParagraph"/>
              <w:numPr>
                <w:ilvl w:val="0"/>
                <w:numId w:val="2"/>
              </w:numPr>
              <w:rPr>
                <w:rFonts w:cs="Times New Roman"/>
                <w:sz w:val="20"/>
                <w:szCs w:val="20"/>
              </w:rPr>
            </w:pPr>
          </w:p>
        </w:tc>
      </w:tr>
      <w:tr w:rsidR="0001091C" w:rsidRPr="009B7BA7" w:rsidTr="002416A0">
        <w:trPr>
          <w:trHeight w:val="395"/>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(6) (f)</w:t>
            </w:r>
          </w:p>
        </w:tc>
        <w:tc>
          <w:tcPr>
            <w:tcW w:w="278" w:type="pct"/>
          </w:tcPr>
          <w:p w:rsidR="0001091C" w:rsidRPr="009B7BA7" w:rsidRDefault="0001091C" w:rsidP="00D218C8">
            <w:pPr>
              <w:rPr>
                <w:rFonts w:cs="Times New Roman"/>
                <w:b/>
                <w:sz w:val="20"/>
                <w:szCs w:val="20"/>
              </w:rPr>
            </w:pPr>
          </w:p>
        </w:tc>
      </w:tr>
      <w:tr w:rsidR="002416A0" w:rsidRPr="009B7BA7" w:rsidTr="002416A0">
        <w:trPr>
          <w:trHeight w:val="395"/>
        </w:trPr>
        <w:tc>
          <w:tcPr>
            <w:tcW w:w="1797" w:type="pct"/>
          </w:tcPr>
          <w:p w:rsidR="0001091C" w:rsidRPr="009B7BA7" w:rsidRDefault="0001091C" w:rsidP="00D218C8">
            <w:pPr>
              <w:rPr>
                <w:rFonts w:cs="Times New Roman"/>
                <w:sz w:val="20"/>
                <w:szCs w:val="20"/>
              </w:rPr>
            </w:pPr>
            <w:r w:rsidRPr="009B7BA7">
              <w:rPr>
                <w:rFonts w:cs="Times New Roman"/>
                <w:sz w:val="20"/>
                <w:szCs w:val="20"/>
              </w:rPr>
              <w:t>PacifiCorp must spend between four and six percent of its conservation budget on EM&amp;V.</w:t>
            </w:r>
          </w:p>
        </w:tc>
        <w:tc>
          <w:tcPr>
            <w:tcW w:w="2924" w:type="pct"/>
          </w:tcPr>
          <w:p w:rsidR="002416A0" w:rsidRDefault="00FF538D" w:rsidP="00FF538D">
            <w:pPr>
              <w:rPr>
                <w:rFonts w:cs="Times New Roman"/>
                <w:sz w:val="20"/>
                <w:szCs w:val="20"/>
              </w:rPr>
            </w:pPr>
            <w:r w:rsidRPr="002416A0">
              <w:rPr>
                <w:rFonts w:cs="Times New Roman"/>
                <w:sz w:val="20"/>
                <w:szCs w:val="20"/>
              </w:rPr>
              <w:t>As documented in the company’s 2010 and 2011 annual reports on conservation acquisition (filed in March), the company spent $987,623 on third-party evaluation, measurement and verification (process and impact evaluations) of its conservation program results over the two year period. This represents 5.9% of the company’s $16,8</w:t>
            </w:r>
            <w:r w:rsidR="00CB1CA1">
              <w:rPr>
                <w:rFonts w:cs="Times New Roman"/>
                <w:sz w:val="20"/>
                <w:szCs w:val="20"/>
              </w:rPr>
              <w:t>16</w:t>
            </w:r>
            <w:r w:rsidRPr="002416A0">
              <w:rPr>
                <w:rFonts w:cs="Times New Roman"/>
                <w:sz w:val="20"/>
                <w:szCs w:val="20"/>
              </w:rPr>
              <w:t>,</w:t>
            </w:r>
            <w:r w:rsidR="00CB1CA1">
              <w:rPr>
                <w:rFonts w:cs="Times New Roman"/>
                <w:sz w:val="20"/>
                <w:szCs w:val="20"/>
              </w:rPr>
              <w:t>419 (excluding new program cost of $3,748)</w:t>
            </w:r>
            <w:r w:rsidRPr="002416A0">
              <w:rPr>
                <w:rFonts w:cs="Times New Roman"/>
                <w:sz w:val="20"/>
                <w:szCs w:val="20"/>
              </w:rPr>
              <w:t xml:space="preserve"> in conservation expenditures over the same period.</w:t>
            </w:r>
            <w:r w:rsidRPr="00FF538D">
              <w:rPr>
                <w:rFonts w:cs="Times New Roman"/>
                <w:sz w:val="20"/>
                <w:szCs w:val="20"/>
              </w:rPr>
              <w:t xml:space="preserve">  </w:t>
            </w:r>
          </w:p>
          <w:p w:rsidR="0001091C" w:rsidRPr="00FF538D" w:rsidRDefault="00FF538D" w:rsidP="00FF538D">
            <w:pPr>
              <w:rPr>
                <w:rFonts w:cs="Times New Roman"/>
                <w:sz w:val="20"/>
                <w:szCs w:val="20"/>
              </w:rPr>
            </w:pPr>
            <w:r w:rsidRPr="00FF538D">
              <w:rPr>
                <w:rFonts w:cs="Times New Roman"/>
                <w:sz w:val="20"/>
                <w:szCs w:val="20"/>
              </w:rPr>
              <w:t xml:space="preserve">   </w:t>
            </w:r>
          </w:p>
        </w:tc>
        <w:tc>
          <w:tcPr>
            <w:tcW w:w="278" w:type="pct"/>
          </w:tcPr>
          <w:p w:rsidR="0001091C" w:rsidRPr="004238C2" w:rsidRDefault="0001091C" w:rsidP="004238C2">
            <w:pPr>
              <w:pStyle w:val="ListParagraph"/>
              <w:numPr>
                <w:ilvl w:val="0"/>
                <w:numId w:val="2"/>
              </w:numPr>
              <w:rPr>
                <w:rFonts w:cs="Times New Roman"/>
                <w:sz w:val="20"/>
                <w:szCs w:val="20"/>
              </w:rPr>
            </w:pPr>
          </w:p>
        </w:tc>
      </w:tr>
      <w:tr w:rsidR="0001091C" w:rsidRPr="009B7BA7" w:rsidTr="002416A0">
        <w:trPr>
          <w:trHeight w:val="395"/>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(7) (a)</w:t>
            </w:r>
          </w:p>
        </w:tc>
        <w:tc>
          <w:tcPr>
            <w:tcW w:w="278" w:type="pct"/>
          </w:tcPr>
          <w:p w:rsidR="0001091C" w:rsidRPr="009B7BA7" w:rsidRDefault="0001091C" w:rsidP="00D218C8">
            <w:pPr>
              <w:rPr>
                <w:rFonts w:cs="Times New Roman"/>
                <w:b/>
                <w:sz w:val="20"/>
                <w:szCs w:val="20"/>
              </w:rPr>
            </w:pPr>
          </w:p>
        </w:tc>
      </w:tr>
      <w:tr w:rsidR="002416A0" w:rsidRPr="009B7BA7" w:rsidTr="002416A0">
        <w:trPr>
          <w:trHeight w:val="395"/>
        </w:trPr>
        <w:tc>
          <w:tcPr>
            <w:tcW w:w="1797" w:type="pct"/>
          </w:tcPr>
          <w:p w:rsidR="0001091C" w:rsidRPr="009B7BA7" w:rsidRDefault="0001091C" w:rsidP="00D218C8">
            <w:pPr>
              <w:rPr>
                <w:rFonts w:cs="Times New Roman"/>
                <w:sz w:val="20"/>
                <w:szCs w:val="20"/>
              </w:rPr>
            </w:pPr>
            <w:r w:rsidRPr="009B7BA7">
              <w:rPr>
                <w:rFonts w:cs="Times New Roman"/>
                <w:sz w:val="20"/>
                <w:szCs w:val="20"/>
              </w:rPr>
              <w:t>PacifiCorp must offer a mix of tariff-based programs that ensure it is serving each customer sector, including limited income customers.</w:t>
            </w:r>
          </w:p>
        </w:tc>
        <w:tc>
          <w:tcPr>
            <w:tcW w:w="2924" w:type="pct"/>
          </w:tcPr>
          <w:p w:rsidR="002416A0" w:rsidRDefault="00564893" w:rsidP="00564893">
            <w:pPr>
              <w:autoSpaceDE w:val="0"/>
              <w:autoSpaceDN w:val="0"/>
              <w:adjustRightInd w:val="0"/>
              <w:jc w:val="left"/>
              <w:rPr>
                <w:rFonts w:cs="Times New Roman"/>
                <w:sz w:val="20"/>
                <w:szCs w:val="20"/>
              </w:rPr>
            </w:pPr>
            <w:r>
              <w:rPr>
                <w:rFonts w:cs="Times New Roman"/>
                <w:sz w:val="20"/>
                <w:szCs w:val="20"/>
              </w:rPr>
              <w:t xml:space="preserve">For a full list of </w:t>
            </w:r>
            <w:r w:rsidR="002E7136">
              <w:rPr>
                <w:rFonts w:cs="Times New Roman"/>
                <w:sz w:val="20"/>
                <w:szCs w:val="20"/>
              </w:rPr>
              <w:t>PacifiCorp</w:t>
            </w:r>
            <w:r>
              <w:rPr>
                <w:rFonts w:cs="Times New Roman"/>
                <w:sz w:val="20"/>
                <w:szCs w:val="20"/>
              </w:rPr>
              <w:t xml:space="preserve"> programs s</w:t>
            </w:r>
            <w:r w:rsidR="00A36213">
              <w:rPr>
                <w:rFonts w:cs="Times New Roman"/>
                <w:sz w:val="20"/>
                <w:szCs w:val="20"/>
              </w:rPr>
              <w:t xml:space="preserve">ee </w:t>
            </w:r>
            <w:r w:rsidR="00A36213" w:rsidRPr="00F772FD">
              <w:rPr>
                <w:rFonts w:cs="Times New Roman"/>
                <w:sz w:val="20"/>
                <w:szCs w:val="20"/>
              </w:rPr>
              <w:t>Attachment A</w:t>
            </w:r>
            <w:r w:rsidR="00A36213">
              <w:rPr>
                <w:rFonts w:cs="Times New Roman"/>
                <w:sz w:val="20"/>
                <w:szCs w:val="20"/>
              </w:rPr>
              <w:t xml:space="preserve">, </w:t>
            </w:r>
            <w:r>
              <w:rPr>
                <w:rFonts w:cs="Times New Roman"/>
                <w:sz w:val="20"/>
                <w:szCs w:val="20"/>
              </w:rPr>
              <w:t>“</w:t>
            </w:r>
            <w:r w:rsidR="00A36213" w:rsidRPr="00F772FD">
              <w:rPr>
                <w:rFonts w:cs="Times New Roman"/>
                <w:sz w:val="20"/>
                <w:szCs w:val="20"/>
              </w:rPr>
              <w:t>Demand-Side Management</w:t>
            </w:r>
            <w:r>
              <w:rPr>
                <w:rFonts w:cs="Times New Roman"/>
                <w:sz w:val="20"/>
                <w:szCs w:val="20"/>
              </w:rPr>
              <w:t xml:space="preserve"> </w:t>
            </w:r>
            <w:r w:rsidR="00A36213" w:rsidRPr="00F772FD">
              <w:rPr>
                <w:rFonts w:cs="Times New Roman"/>
                <w:sz w:val="20"/>
                <w:szCs w:val="20"/>
              </w:rPr>
              <w:t>Business Plan – Washington</w:t>
            </w:r>
            <w:r w:rsidR="00A36213">
              <w:rPr>
                <w:rFonts w:cs="Times New Roman"/>
                <w:sz w:val="20"/>
                <w:szCs w:val="20"/>
              </w:rPr>
              <w:t xml:space="preserve"> </w:t>
            </w:r>
            <w:r w:rsidR="00A36213" w:rsidRPr="00F772FD">
              <w:rPr>
                <w:rFonts w:cs="Times New Roman"/>
                <w:sz w:val="20"/>
                <w:szCs w:val="20"/>
              </w:rPr>
              <w:t>2010–2011</w:t>
            </w:r>
            <w:r>
              <w:rPr>
                <w:rFonts w:cs="Times New Roman"/>
                <w:sz w:val="20"/>
                <w:szCs w:val="20"/>
              </w:rPr>
              <w:t>”</w:t>
            </w:r>
            <w:r w:rsidR="00A36213" w:rsidRPr="009B7BA7">
              <w:rPr>
                <w:rFonts w:cs="Times New Roman"/>
                <w:sz w:val="20"/>
                <w:szCs w:val="20"/>
              </w:rPr>
              <w:t xml:space="preserve"> </w:t>
            </w:r>
            <w:r w:rsidR="00A36213">
              <w:rPr>
                <w:rFonts w:cs="Times New Roman"/>
                <w:sz w:val="20"/>
                <w:szCs w:val="20"/>
              </w:rPr>
              <w:t xml:space="preserve">filed in Docket UE-100170 and the update to this business plan filed November 1, 2011. Also reference </w:t>
            </w:r>
            <w:r w:rsidR="00A36213" w:rsidRPr="009B7BA7">
              <w:rPr>
                <w:rFonts w:cs="Times New Roman"/>
                <w:sz w:val="20"/>
                <w:szCs w:val="20"/>
              </w:rPr>
              <w:t xml:space="preserve">Appendix 7 to the </w:t>
            </w:r>
            <w:r w:rsidR="00A36213" w:rsidRPr="009B7BA7">
              <w:rPr>
                <w:rFonts w:eastAsiaTheme="majorEastAsia" w:cs="Times New Roman"/>
                <w:sz w:val="20"/>
                <w:szCs w:val="20"/>
              </w:rPr>
              <w:t>Ten-Year Conservation Potential and Biennial Conservation Target</w:t>
            </w:r>
            <w:r w:rsidR="00A36213" w:rsidRPr="009B7BA7">
              <w:rPr>
                <w:rFonts w:cs="Times New Roman"/>
                <w:sz w:val="20"/>
                <w:szCs w:val="20"/>
              </w:rPr>
              <w:t xml:space="preserve"> report, “PacifiCorp’s Washington Demand-side Management 2012-2013 Business Plan”</w:t>
            </w:r>
            <w:r w:rsidR="00A36213">
              <w:rPr>
                <w:rFonts w:cs="Times New Roman"/>
                <w:sz w:val="20"/>
                <w:szCs w:val="20"/>
              </w:rPr>
              <w:t xml:space="preserve"> filed in Docket UE-111880. These </w:t>
            </w:r>
            <w:r w:rsidR="00EB2333">
              <w:rPr>
                <w:rFonts w:cs="Times New Roman"/>
                <w:sz w:val="20"/>
                <w:szCs w:val="20"/>
              </w:rPr>
              <w:t xml:space="preserve">business plans contain program details demonstrating the </w:t>
            </w:r>
            <w:r w:rsidR="00A36213">
              <w:rPr>
                <w:rFonts w:cs="Times New Roman"/>
                <w:sz w:val="20"/>
                <w:szCs w:val="20"/>
              </w:rPr>
              <w:t xml:space="preserve">breadth of program services available </w:t>
            </w:r>
            <w:r>
              <w:rPr>
                <w:rFonts w:cs="Times New Roman"/>
                <w:sz w:val="20"/>
                <w:szCs w:val="20"/>
              </w:rPr>
              <w:t xml:space="preserve">to Pacific Power customers to assist them with the conservation projects. </w:t>
            </w:r>
            <w:r w:rsidR="0001091C" w:rsidRPr="009B7BA7">
              <w:rPr>
                <w:rFonts w:cs="Times New Roman"/>
                <w:sz w:val="20"/>
                <w:szCs w:val="20"/>
              </w:rPr>
              <w:t>Residential customers</w:t>
            </w:r>
            <w:r w:rsidR="00A36213">
              <w:rPr>
                <w:rFonts w:cs="Times New Roman"/>
                <w:sz w:val="20"/>
                <w:szCs w:val="20"/>
              </w:rPr>
              <w:t xml:space="preserve"> currently </w:t>
            </w:r>
            <w:r w:rsidR="0001091C" w:rsidRPr="009B7BA7">
              <w:rPr>
                <w:rFonts w:cs="Times New Roman"/>
                <w:sz w:val="20"/>
                <w:szCs w:val="20"/>
              </w:rPr>
              <w:t xml:space="preserve">have four programs available, including a </w:t>
            </w:r>
            <w:r w:rsidR="00EB2333">
              <w:rPr>
                <w:rFonts w:cs="Times New Roman"/>
                <w:sz w:val="20"/>
                <w:szCs w:val="20"/>
              </w:rPr>
              <w:t xml:space="preserve">no cost </w:t>
            </w:r>
            <w:r w:rsidR="0001091C" w:rsidRPr="009B7BA7">
              <w:rPr>
                <w:rFonts w:cs="Times New Roman"/>
                <w:sz w:val="20"/>
                <w:szCs w:val="20"/>
              </w:rPr>
              <w:t>weatherization offer for income qualified customers</w:t>
            </w:r>
            <w:r w:rsidR="00EB2333">
              <w:rPr>
                <w:rFonts w:cs="Times New Roman"/>
                <w:sz w:val="20"/>
                <w:szCs w:val="20"/>
              </w:rPr>
              <w:t xml:space="preserve"> and comprehensive program with incentives for conservation projects/upgrades in both the new construction and retrofit markets. </w:t>
            </w:r>
            <w:r w:rsidR="0001091C" w:rsidRPr="009B7BA7">
              <w:rPr>
                <w:rFonts w:cs="Times New Roman"/>
                <w:sz w:val="20"/>
                <w:szCs w:val="20"/>
              </w:rPr>
              <w:t xml:space="preserve">Business customers have access to two comprehensive programs </w:t>
            </w:r>
            <w:r w:rsidR="00EB2333">
              <w:rPr>
                <w:rFonts w:cs="Times New Roman"/>
                <w:sz w:val="20"/>
                <w:szCs w:val="20"/>
              </w:rPr>
              <w:t xml:space="preserve">(also available to both the new construction and retrofit markets) </w:t>
            </w:r>
            <w:r w:rsidR="0001091C" w:rsidRPr="009B7BA7">
              <w:rPr>
                <w:rFonts w:cs="Times New Roman"/>
                <w:sz w:val="20"/>
                <w:szCs w:val="20"/>
              </w:rPr>
              <w:t>which provide both prescriptive (pre-calculated $/units) incentives and site specific calculated incentives</w:t>
            </w:r>
            <w:r w:rsidR="00EB2333">
              <w:rPr>
                <w:rFonts w:cs="Times New Roman"/>
                <w:sz w:val="20"/>
                <w:szCs w:val="20"/>
              </w:rPr>
              <w:t>. I</w:t>
            </w:r>
            <w:r w:rsidR="0001091C" w:rsidRPr="009B7BA7">
              <w:rPr>
                <w:rFonts w:cs="Times New Roman"/>
                <w:sz w:val="20"/>
                <w:szCs w:val="20"/>
              </w:rPr>
              <w:t xml:space="preserve">n addition, NEEA delivers regional initiatives </w:t>
            </w:r>
            <w:r>
              <w:rPr>
                <w:rFonts w:cs="Times New Roman"/>
                <w:sz w:val="20"/>
                <w:szCs w:val="20"/>
              </w:rPr>
              <w:t xml:space="preserve">benefiting </w:t>
            </w:r>
            <w:r w:rsidR="0001091C" w:rsidRPr="009B7BA7">
              <w:rPr>
                <w:rFonts w:cs="Times New Roman"/>
                <w:sz w:val="20"/>
                <w:szCs w:val="20"/>
              </w:rPr>
              <w:t>customer</w:t>
            </w:r>
            <w:r>
              <w:rPr>
                <w:rFonts w:cs="Times New Roman"/>
                <w:sz w:val="20"/>
                <w:szCs w:val="20"/>
              </w:rPr>
              <w:t xml:space="preserve">s across all customer groups. </w:t>
            </w:r>
            <w:r w:rsidR="00EB2333">
              <w:rPr>
                <w:rFonts w:cs="Times New Roman"/>
                <w:sz w:val="20"/>
                <w:szCs w:val="20"/>
              </w:rPr>
              <w:t xml:space="preserve"> </w:t>
            </w:r>
          </w:p>
          <w:p w:rsidR="002416A0" w:rsidRPr="009B7BA7" w:rsidRDefault="002416A0" w:rsidP="00564893">
            <w:pPr>
              <w:autoSpaceDE w:val="0"/>
              <w:autoSpaceDN w:val="0"/>
              <w:adjustRightInd w:val="0"/>
              <w:jc w:val="left"/>
              <w:rPr>
                <w:rFonts w:cs="Times New Roman"/>
                <w:sz w:val="20"/>
                <w:szCs w:val="20"/>
              </w:rPr>
            </w:pPr>
          </w:p>
        </w:tc>
        <w:tc>
          <w:tcPr>
            <w:tcW w:w="278" w:type="pct"/>
          </w:tcPr>
          <w:p w:rsidR="0001091C" w:rsidRPr="00F71712" w:rsidRDefault="0001091C" w:rsidP="00F71712">
            <w:pPr>
              <w:pStyle w:val="ListParagraph"/>
              <w:numPr>
                <w:ilvl w:val="0"/>
                <w:numId w:val="2"/>
              </w:numPr>
              <w:rPr>
                <w:rFonts w:cs="Times New Roman"/>
                <w:sz w:val="20"/>
                <w:szCs w:val="20"/>
              </w:rPr>
            </w:pPr>
          </w:p>
        </w:tc>
      </w:tr>
      <w:tr w:rsidR="0001091C" w:rsidRPr="009B7BA7" w:rsidTr="002416A0">
        <w:trPr>
          <w:trHeight w:val="395"/>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(7) (b)</w:t>
            </w:r>
          </w:p>
        </w:tc>
        <w:tc>
          <w:tcPr>
            <w:tcW w:w="278" w:type="pct"/>
          </w:tcPr>
          <w:p w:rsidR="0001091C" w:rsidRPr="009B7BA7" w:rsidRDefault="0001091C" w:rsidP="00D218C8">
            <w:pPr>
              <w:rPr>
                <w:rFonts w:cs="Times New Roman"/>
                <w:b/>
                <w:sz w:val="20"/>
                <w:szCs w:val="20"/>
              </w:rPr>
            </w:pPr>
          </w:p>
        </w:tc>
      </w:tr>
      <w:tr w:rsidR="002416A0" w:rsidRPr="009B7BA7" w:rsidTr="002416A0">
        <w:trPr>
          <w:trHeight w:val="395"/>
        </w:trPr>
        <w:tc>
          <w:tcPr>
            <w:tcW w:w="1797" w:type="pct"/>
          </w:tcPr>
          <w:p w:rsidR="0001091C" w:rsidRDefault="0001091C" w:rsidP="00D218C8">
            <w:pPr>
              <w:rPr>
                <w:rFonts w:cs="Times New Roman"/>
                <w:sz w:val="20"/>
                <w:szCs w:val="20"/>
              </w:rPr>
            </w:pPr>
            <w:r w:rsidRPr="009B7BA7">
              <w:rPr>
                <w:rFonts w:cs="Times New Roman"/>
                <w:sz w:val="20"/>
                <w:szCs w:val="20"/>
              </w:rPr>
              <w:t>PacifiCorp must establish a strategy and proposed total planned expenditures for informing participants about program opportunities.  The planned expenditures will include expenditures by PacifiCorp directly and not those of the Company’s third party program delivery administrators who are primarily or solely contracted for program delivery.  PacifiCorp will share these strategies and expenditures with the Advisory Group for review and comments.</w:t>
            </w:r>
          </w:p>
          <w:p w:rsidR="002416A0" w:rsidRPr="009B7BA7" w:rsidRDefault="002416A0" w:rsidP="00D218C8">
            <w:pPr>
              <w:rPr>
                <w:rFonts w:cs="Times New Roman"/>
                <w:sz w:val="20"/>
                <w:szCs w:val="20"/>
              </w:rPr>
            </w:pPr>
          </w:p>
        </w:tc>
        <w:tc>
          <w:tcPr>
            <w:tcW w:w="2924" w:type="pct"/>
          </w:tcPr>
          <w:p w:rsidR="002216DB" w:rsidRDefault="0075239D" w:rsidP="002216DB">
            <w:pPr>
              <w:rPr>
                <w:rFonts w:cs="Times New Roman"/>
                <w:sz w:val="20"/>
                <w:szCs w:val="20"/>
              </w:rPr>
            </w:pPr>
            <w:r>
              <w:rPr>
                <w:rFonts w:cs="Times New Roman"/>
                <w:sz w:val="20"/>
                <w:szCs w:val="20"/>
              </w:rPr>
              <w:t xml:space="preserve">Costs </w:t>
            </w:r>
            <w:r w:rsidR="00F11248">
              <w:rPr>
                <w:rFonts w:cs="Times New Roman"/>
                <w:sz w:val="20"/>
                <w:szCs w:val="20"/>
              </w:rPr>
              <w:t xml:space="preserve">to fund a communications plan </w:t>
            </w:r>
            <w:r>
              <w:rPr>
                <w:rFonts w:cs="Times New Roman"/>
                <w:sz w:val="20"/>
                <w:szCs w:val="20"/>
              </w:rPr>
              <w:t xml:space="preserve">were added to the revised business plan filed in Docket UE-100170 on November 1, 2010. </w:t>
            </w:r>
            <w:r w:rsidR="002216DB">
              <w:rPr>
                <w:rFonts w:cs="Times New Roman"/>
                <w:sz w:val="20"/>
                <w:szCs w:val="20"/>
              </w:rPr>
              <w:t xml:space="preserve">The </w:t>
            </w:r>
            <w:r w:rsidR="00FF6412">
              <w:rPr>
                <w:rFonts w:cs="Times New Roman"/>
                <w:sz w:val="20"/>
                <w:szCs w:val="20"/>
              </w:rPr>
              <w:t>c</w:t>
            </w:r>
            <w:r>
              <w:rPr>
                <w:rFonts w:cs="Times New Roman"/>
                <w:sz w:val="20"/>
                <w:szCs w:val="20"/>
              </w:rPr>
              <w:t xml:space="preserve">ommunication plan was reviewed with the advisory group </w:t>
            </w:r>
            <w:r w:rsidR="002216DB">
              <w:rPr>
                <w:rFonts w:cs="Times New Roman"/>
                <w:sz w:val="20"/>
                <w:szCs w:val="20"/>
              </w:rPr>
              <w:t xml:space="preserve">on </w:t>
            </w:r>
            <w:r>
              <w:rPr>
                <w:rFonts w:cs="Times New Roman"/>
                <w:sz w:val="20"/>
                <w:szCs w:val="20"/>
              </w:rPr>
              <w:t>March 18, 2011</w:t>
            </w:r>
            <w:r w:rsidR="002216DB">
              <w:rPr>
                <w:rFonts w:cs="Times New Roman"/>
                <w:sz w:val="20"/>
                <w:szCs w:val="20"/>
              </w:rPr>
              <w:t xml:space="preserve"> a</w:t>
            </w:r>
            <w:r>
              <w:rPr>
                <w:rFonts w:cs="Times New Roman"/>
                <w:sz w:val="20"/>
                <w:szCs w:val="20"/>
              </w:rPr>
              <w:t xml:space="preserve">nd </w:t>
            </w:r>
            <w:r w:rsidR="002216DB">
              <w:rPr>
                <w:rFonts w:cs="Times New Roman"/>
                <w:sz w:val="20"/>
                <w:szCs w:val="20"/>
              </w:rPr>
              <w:t xml:space="preserve">implementation began a month later, </w:t>
            </w:r>
            <w:r>
              <w:rPr>
                <w:rFonts w:cs="Times New Roman"/>
                <w:sz w:val="20"/>
                <w:szCs w:val="20"/>
              </w:rPr>
              <w:t xml:space="preserve">April, 2011. </w:t>
            </w:r>
          </w:p>
          <w:p w:rsidR="002216DB" w:rsidRDefault="002216DB" w:rsidP="002216DB">
            <w:pPr>
              <w:rPr>
                <w:rFonts w:cs="Times New Roman"/>
                <w:sz w:val="20"/>
                <w:szCs w:val="20"/>
              </w:rPr>
            </w:pPr>
          </w:p>
          <w:p w:rsidR="0001091C" w:rsidRPr="009B7BA7" w:rsidRDefault="002216DB" w:rsidP="002B6922">
            <w:pPr>
              <w:rPr>
                <w:rFonts w:cs="Times New Roman"/>
                <w:sz w:val="20"/>
                <w:szCs w:val="20"/>
              </w:rPr>
            </w:pPr>
            <w:r>
              <w:rPr>
                <w:rFonts w:cs="Times New Roman"/>
                <w:sz w:val="20"/>
                <w:szCs w:val="20"/>
              </w:rPr>
              <w:t xml:space="preserve">Information and costs associated with the </w:t>
            </w:r>
            <w:r w:rsidR="0075239D">
              <w:rPr>
                <w:rFonts w:cs="Times New Roman"/>
                <w:sz w:val="20"/>
                <w:szCs w:val="20"/>
              </w:rPr>
              <w:t xml:space="preserve">2012-2013 </w:t>
            </w:r>
            <w:r w:rsidR="0001091C" w:rsidRPr="009B7BA7">
              <w:rPr>
                <w:rFonts w:cs="Times New Roman"/>
                <w:sz w:val="20"/>
                <w:szCs w:val="20"/>
              </w:rPr>
              <w:t xml:space="preserve">Outreach and Communications plan </w:t>
            </w:r>
            <w:r w:rsidR="002B6922">
              <w:rPr>
                <w:rFonts w:cs="Times New Roman"/>
                <w:sz w:val="20"/>
                <w:szCs w:val="20"/>
              </w:rPr>
              <w:t>were</w:t>
            </w:r>
            <w:r>
              <w:rPr>
                <w:rFonts w:cs="Times New Roman"/>
                <w:sz w:val="20"/>
                <w:szCs w:val="20"/>
              </w:rPr>
              <w:t xml:space="preserve"> </w:t>
            </w:r>
            <w:r w:rsidR="0001091C" w:rsidRPr="009B7BA7">
              <w:rPr>
                <w:rFonts w:cs="Times New Roman"/>
                <w:sz w:val="20"/>
                <w:szCs w:val="20"/>
              </w:rPr>
              <w:t xml:space="preserve">provided </w:t>
            </w:r>
            <w:r>
              <w:rPr>
                <w:rFonts w:cs="Times New Roman"/>
                <w:sz w:val="20"/>
                <w:szCs w:val="20"/>
              </w:rPr>
              <w:t xml:space="preserve">in Appendix 7, </w:t>
            </w:r>
            <w:r w:rsidR="0001091C" w:rsidRPr="009B7BA7">
              <w:rPr>
                <w:rFonts w:cs="Times New Roman"/>
                <w:sz w:val="20"/>
                <w:szCs w:val="20"/>
              </w:rPr>
              <w:t xml:space="preserve">DSM Business Plan, </w:t>
            </w:r>
            <w:r>
              <w:rPr>
                <w:rFonts w:cs="Times New Roman"/>
                <w:sz w:val="20"/>
                <w:szCs w:val="20"/>
              </w:rPr>
              <w:t xml:space="preserve">to the company’s </w:t>
            </w:r>
            <w:r w:rsidR="0001091C" w:rsidRPr="00F64C1E">
              <w:rPr>
                <w:rFonts w:eastAsiaTheme="majorEastAsia" w:cs="Times New Roman"/>
                <w:sz w:val="20"/>
                <w:szCs w:val="20"/>
              </w:rPr>
              <w:t>Ten-Year Conservation Potential and Biennial Conservation Target</w:t>
            </w:r>
            <w:r w:rsidR="0001091C" w:rsidRPr="00F64C1E">
              <w:rPr>
                <w:sz w:val="20"/>
                <w:szCs w:val="20"/>
              </w:rPr>
              <w:t xml:space="preserve"> report</w:t>
            </w:r>
            <w:r w:rsidR="00D138EE">
              <w:rPr>
                <w:sz w:val="20"/>
                <w:szCs w:val="20"/>
              </w:rPr>
              <w:t xml:space="preserve"> filed in Docket UE-111880</w:t>
            </w:r>
            <w:r w:rsidR="0001091C" w:rsidRPr="009B7BA7">
              <w:rPr>
                <w:rFonts w:cs="Times New Roman"/>
                <w:sz w:val="20"/>
                <w:szCs w:val="20"/>
              </w:rPr>
              <w:t xml:space="preserve">. </w:t>
            </w:r>
          </w:p>
        </w:tc>
        <w:tc>
          <w:tcPr>
            <w:tcW w:w="278" w:type="pct"/>
          </w:tcPr>
          <w:p w:rsidR="0001091C" w:rsidRPr="00D138EE" w:rsidRDefault="0001091C" w:rsidP="00D138EE">
            <w:pPr>
              <w:pStyle w:val="ListParagraph"/>
              <w:numPr>
                <w:ilvl w:val="0"/>
                <w:numId w:val="2"/>
              </w:numPr>
              <w:rPr>
                <w:rFonts w:cs="Times New Roman"/>
                <w:sz w:val="20"/>
                <w:szCs w:val="20"/>
              </w:rPr>
            </w:pPr>
          </w:p>
        </w:tc>
      </w:tr>
      <w:tr w:rsidR="0001091C" w:rsidRPr="009B7BA7" w:rsidTr="002416A0">
        <w:trPr>
          <w:trHeight w:val="377"/>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b/>
                <w:sz w:val="20"/>
                <w:szCs w:val="20"/>
              </w:rPr>
              <w:t>Docket UE-100170 Order 02 (7) (c)</w:t>
            </w:r>
          </w:p>
        </w:tc>
        <w:tc>
          <w:tcPr>
            <w:tcW w:w="278" w:type="pct"/>
          </w:tcPr>
          <w:p w:rsidR="0001091C" w:rsidRPr="009B7BA7" w:rsidRDefault="0001091C" w:rsidP="00D218C8">
            <w:pPr>
              <w:rPr>
                <w:rFonts w:cs="Times New Roman"/>
                <w:b/>
                <w:sz w:val="20"/>
                <w:szCs w:val="20"/>
              </w:rPr>
            </w:pPr>
          </w:p>
        </w:tc>
      </w:tr>
      <w:tr w:rsidR="002416A0" w:rsidRPr="009B7BA7" w:rsidTr="002416A0">
        <w:trPr>
          <w:trHeight w:val="395"/>
        </w:trPr>
        <w:tc>
          <w:tcPr>
            <w:tcW w:w="1797" w:type="pct"/>
          </w:tcPr>
          <w:p w:rsidR="0001091C" w:rsidRDefault="0001091C" w:rsidP="00D218C8">
            <w:pPr>
              <w:rPr>
                <w:rFonts w:cs="Times New Roman"/>
                <w:sz w:val="20"/>
                <w:szCs w:val="20"/>
              </w:rPr>
            </w:pPr>
            <w:r w:rsidRPr="009B7BA7">
              <w:rPr>
                <w:rFonts w:cs="Times New Roman"/>
                <w:sz w:val="20"/>
                <w:szCs w:val="20"/>
              </w:rPr>
              <w:t>PacifiCorp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examined periodically for effectiveness in fulfilling the Company’s obligation under WAC 480</w:t>
            </w:r>
            <w:r w:rsidRPr="009B7BA7">
              <w:rPr>
                <w:rFonts w:cs="Times New Roman"/>
                <w:sz w:val="20"/>
                <w:szCs w:val="20"/>
              </w:rPr>
              <w:noBreakHyphen/>
              <w:t>109.  To the degree the portfolio remains cost-effective, incentive levels and implementation methods should not unnecessarily limit the acquisition of all achievable energy conservation.</w:t>
            </w:r>
          </w:p>
          <w:p w:rsidR="002416A0" w:rsidRPr="009B7BA7" w:rsidRDefault="002416A0" w:rsidP="00D218C8">
            <w:pPr>
              <w:rPr>
                <w:rFonts w:cs="Times New Roman"/>
                <w:sz w:val="20"/>
                <w:szCs w:val="20"/>
              </w:rPr>
            </w:pPr>
          </w:p>
        </w:tc>
        <w:tc>
          <w:tcPr>
            <w:tcW w:w="2924" w:type="pct"/>
          </w:tcPr>
          <w:p w:rsidR="00C52940" w:rsidRDefault="007A13CF" w:rsidP="00A172C7">
            <w:pPr>
              <w:rPr>
                <w:rFonts w:cs="Times New Roman"/>
                <w:color w:val="000000" w:themeColor="text1"/>
                <w:sz w:val="20"/>
                <w:szCs w:val="20"/>
              </w:rPr>
            </w:pPr>
            <w:r>
              <w:rPr>
                <w:rFonts w:cs="Times New Roman"/>
                <w:color w:val="000000" w:themeColor="text1"/>
                <w:sz w:val="20"/>
                <w:szCs w:val="20"/>
              </w:rPr>
              <w:t xml:space="preserve">Pacific Power conservation programs are prospectively analyzed for cost-effectiveness </w:t>
            </w:r>
            <w:r w:rsidR="00C52940">
              <w:rPr>
                <w:rFonts w:cs="Times New Roman"/>
                <w:color w:val="000000" w:themeColor="text1"/>
                <w:sz w:val="20"/>
                <w:szCs w:val="20"/>
              </w:rPr>
              <w:t xml:space="preserve">as proposed (new programs) </w:t>
            </w:r>
            <w:r>
              <w:rPr>
                <w:rFonts w:cs="Times New Roman"/>
                <w:color w:val="000000" w:themeColor="text1"/>
                <w:sz w:val="20"/>
                <w:szCs w:val="20"/>
              </w:rPr>
              <w:t xml:space="preserve">and </w:t>
            </w:r>
            <w:r w:rsidR="00C52940">
              <w:rPr>
                <w:rFonts w:cs="Times New Roman"/>
                <w:color w:val="000000" w:themeColor="text1"/>
                <w:sz w:val="20"/>
                <w:szCs w:val="20"/>
              </w:rPr>
              <w:t xml:space="preserve">as part of the filing of biennial business plans required under I-937 (existing programs). They are also analyzed </w:t>
            </w:r>
            <w:r>
              <w:rPr>
                <w:rFonts w:cs="Times New Roman"/>
                <w:color w:val="000000" w:themeColor="text1"/>
                <w:sz w:val="20"/>
                <w:szCs w:val="20"/>
              </w:rPr>
              <w:t>retrospectively in the annual reports on conservation acquisitions</w:t>
            </w:r>
            <w:r w:rsidR="00C52940">
              <w:rPr>
                <w:rFonts w:cs="Times New Roman"/>
                <w:color w:val="000000" w:themeColor="text1"/>
                <w:sz w:val="20"/>
                <w:szCs w:val="20"/>
              </w:rPr>
              <w:t xml:space="preserve"> (filed in March)</w:t>
            </w:r>
            <w:r>
              <w:rPr>
                <w:rFonts w:cs="Times New Roman"/>
                <w:color w:val="000000" w:themeColor="text1"/>
                <w:sz w:val="20"/>
                <w:szCs w:val="20"/>
              </w:rPr>
              <w:t xml:space="preserve"> and </w:t>
            </w:r>
            <w:r w:rsidR="00C52940">
              <w:rPr>
                <w:rFonts w:cs="Times New Roman"/>
                <w:color w:val="000000" w:themeColor="text1"/>
                <w:sz w:val="20"/>
                <w:szCs w:val="20"/>
              </w:rPr>
              <w:t xml:space="preserve">on a two year basis by third-party consultants conducting independent impact and process evaluations. </w:t>
            </w:r>
          </w:p>
          <w:p w:rsidR="00C52940" w:rsidRDefault="00C52940" w:rsidP="00A172C7">
            <w:pPr>
              <w:rPr>
                <w:rFonts w:cs="Times New Roman"/>
                <w:color w:val="000000" w:themeColor="text1"/>
                <w:sz w:val="20"/>
                <w:szCs w:val="20"/>
              </w:rPr>
            </w:pPr>
          </w:p>
          <w:p w:rsidR="0001091C" w:rsidRDefault="00C52940" w:rsidP="00A172C7">
            <w:pPr>
              <w:rPr>
                <w:rFonts w:cs="Times New Roman"/>
                <w:color w:val="000000" w:themeColor="text1"/>
                <w:sz w:val="20"/>
                <w:szCs w:val="20"/>
              </w:rPr>
            </w:pPr>
            <w:r>
              <w:rPr>
                <w:rFonts w:cs="Times New Roman"/>
                <w:color w:val="000000" w:themeColor="text1"/>
                <w:sz w:val="20"/>
                <w:szCs w:val="20"/>
              </w:rPr>
              <w:t xml:space="preserve">Cost-effectiveness is also run prospectively to evaluate program changes that may be proposed in between business plan updates. </w:t>
            </w:r>
          </w:p>
          <w:p w:rsidR="00C52940" w:rsidRDefault="00C52940" w:rsidP="00A172C7">
            <w:pPr>
              <w:rPr>
                <w:rFonts w:cs="Times New Roman"/>
                <w:color w:val="000000" w:themeColor="text1"/>
                <w:sz w:val="20"/>
                <w:szCs w:val="20"/>
              </w:rPr>
            </w:pPr>
          </w:p>
          <w:p w:rsidR="00C52940" w:rsidRPr="00A172C7" w:rsidRDefault="00C52940" w:rsidP="00C52940">
            <w:pPr>
              <w:rPr>
                <w:rFonts w:cs="Times New Roman"/>
                <w:color w:val="000000" w:themeColor="text1"/>
                <w:sz w:val="20"/>
                <w:szCs w:val="20"/>
              </w:rPr>
            </w:pPr>
            <w:r>
              <w:rPr>
                <w:rFonts w:cs="Times New Roman"/>
                <w:color w:val="000000" w:themeColor="text1"/>
                <w:sz w:val="20"/>
                <w:szCs w:val="20"/>
              </w:rPr>
              <w:t xml:space="preserve">Collectively these reviews ensure the company maintains a cost-effective conservation portfolio and has the information needed to assist in program design changes to maximize program performance.  </w:t>
            </w:r>
          </w:p>
        </w:tc>
        <w:tc>
          <w:tcPr>
            <w:tcW w:w="278" w:type="pct"/>
          </w:tcPr>
          <w:p w:rsidR="0001091C" w:rsidRPr="008F0C76" w:rsidRDefault="0001091C" w:rsidP="008F0C76">
            <w:pPr>
              <w:pStyle w:val="ListParagraph"/>
              <w:numPr>
                <w:ilvl w:val="0"/>
                <w:numId w:val="2"/>
              </w:numPr>
              <w:rPr>
                <w:rFonts w:cs="Times New Roman"/>
                <w:sz w:val="20"/>
                <w:szCs w:val="20"/>
              </w:rPr>
            </w:pPr>
          </w:p>
        </w:tc>
      </w:tr>
      <w:tr w:rsidR="0001091C" w:rsidRPr="009B7BA7" w:rsidTr="002416A0">
        <w:trPr>
          <w:trHeight w:val="350"/>
        </w:trPr>
        <w:tc>
          <w:tcPr>
            <w:tcW w:w="4722" w:type="pct"/>
            <w:gridSpan w:val="2"/>
            <w:vAlign w:val="center"/>
          </w:tcPr>
          <w:p w:rsidR="0001091C" w:rsidRPr="009B7BA7" w:rsidRDefault="0001091C" w:rsidP="002416A0">
            <w:pPr>
              <w:jc w:val="left"/>
              <w:rPr>
                <w:rFonts w:cs="Times New Roman"/>
                <w:b/>
                <w:sz w:val="20"/>
                <w:szCs w:val="20"/>
              </w:rPr>
            </w:pPr>
            <w:r w:rsidRPr="009B7BA7">
              <w:rPr>
                <w:rFonts w:cs="Times New Roman"/>
                <w:sz w:val="20"/>
                <w:szCs w:val="20"/>
              </w:rPr>
              <w:br w:type="page"/>
            </w:r>
            <w:r w:rsidRPr="009B7BA7">
              <w:rPr>
                <w:rFonts w:cs="Times New Roman"/>
                <w:b/>
                <w:sz w:val="20"/>
                <w:szCs w:val="20"/>
              </w:rPr>
              <w:t>Docket UE-100170 Order 02 (7) (d)</w:t>
            </w:r>
          </w:p>
        </w:tc>
        <w:tc>
          <w:tcPr>
            <w:tcW w:w="278" w:type="pct"/>
          </w:tcPr>
          <w:p w:rsidR="0001091C" w:rsidRPr="009B7BA7" w:rsidRDefault="0001091C" w:rsidP="00D218C8">
            <w:pPr>
              <w:rPr>
                <w:rFonts w:cs="Times New Roman"/>
                <w:sz w:val="20"/>
                <w:szCs w:val="20"/>
              </w:rPr>
            </w:pPr>
          </w:p>
        </w:tc>
      </w:tr>
      <w:tr w:rsidR="002416A0" w:rsidRPr="009B7BA7" w:rsidTr="002416A0">
        <w:trPr>
          <w:trHeight w:val="395"/>
        </w:trPr>
        <w:tc>
          <w:tcPr>
            <w:tcW w:w="1797" w:type="pct"/>
          </w:tcPr>
          <w:p w:rsidR="0001091C" w:rsidRDefault="0001091C" w:rsidP="00F64C1E">
            <w:pPr>
              <w:rPr>
                <w:rFonts w:cs="Times New Roman"/>
                <w:sz w:val="20"/>
                <w:szCs w:val="20"/>
              </w:rPr>
            </w:pPr>
            <w:r w:rsidRPr="009B7BA7">
              <w:rPr>
                <w:rFonts w:cs="Times New Roman"/>
                <w:sz w:val="20"/>
                <w:szCs w:val="20"/>
              </w:rPr>
              <w:t>PacifiCorp may spend up to 10 percent of its conservation budget on programs whose savings impact has not yet been measured, as long as the overall portfolio of conservation passes the Total Resource Cost (TRC) test. These programs may include educational, behavior change, and pilot projects. The Company may ask the Commission to modify this spending limit following full Advisory Group consultation.</w:t>
            </w:r>
          </w:p>
          <w:p w:rsidR="002416A0" w:rsidRPr="009B7BA7" w:rsidRDefault="002416A0" w:rsidP="00F64C1E">
            <w:pPr>
              <w:rPr>
                <w:rFonts w:cs="Times New Roman"/>
                <w:sz w:val="20"/>
                <w:szCs w:val="20"/>
              </w:rPr>
            </w:pPr>
          </w:p>
        </w:tc>
        <w:tc>
          <w:tcPr>
            <w:tcW w:w="2924" w:type="pct"/>
          </w:tcPr>
          <w:p w:rsidR="00B242B0" w:rsidRPr="009C625E" w:rsidRDefault="00B242B0" w:rsidP="00F64C1E">
            <w:pPr>
              <w:rPr>
                <w:rFonts w:cs="Times New Roman"/>
                <w:sz w:val="20"/>
                <w:szCs w:val="20"/>
              </w:rPr>
            </w:pPr>
            <w:r w:rsidRPr="009C625E">
              <w:rPr>
                <w:rFonts w:cs="Times New Roman"/>
                <w:sz w:val="20"/>
                <w:szCs w:val="20"/>
              </w:rPr>
              <w:t>PacifiCorp did not propose or spend any of its conservation budget during the 2010-11 biennium period on conservation programs whose savings impact was not measured</w:t>
            </w:r>
            <w:r w:rsidR="009C625E">
              <w:rPr>
                <w:rFonts w:cs="Times New Roman"/>
                <w:sz w:val="20"/>
                <w:szCs w:val="20"/>
              </w:rPr>
              <w:t xml:space="preserve"> and reported</w:t>
            </w:r>
            <w:r w:rsidRPr="009C625E">
              <w:rPr>
                <w:rFonts w:cs="Times New Roman"/>
                <w:sz w:val="20"/>
                <w:szCs w:val="20"/>
              </w:rPr>
              <w:t xml:space="preserve">.  </w:t>
            </w:r>
          </w:p>
          <w:p w:rsidR="00B242B0" w:rsidRDefault="00B242B0" w:rsidP="00F64C1E">
            <w:pPr>
              <w:rPr>
                <w:rFonts w:cs="Times New Roman"/>
                <w:color w:val="FF0000"/>
                <w:sz w:val="20"/>
                <w:szCs w:val="20"/>
              </w:rPr>
            </w:pPr>
          </w:p>
          <w:p w:rsidR="0001091C" w:rsidRPr="008F0C76" w:rsidRDefault="0001091C" w:rsidP="00F64C1E">
            <w:pPr>
              <w:rPr>
                <w:rFonts w:cs="Times New Roman"/>
                <w:color w:val="FF0000"/>
                <w:sz w:val="20"/>
                <w:szCs w:val="20"/>
              </w:rPr>
            </w:pPr>
          </w:p>
        </w:tc>
        <w:tc>
          <w:tcPr>
            <w:tcW w:w="278" w:type="pct"/>
          </w:tcPr>
          <w:p w:rsidR="0001091C" w:rsidRPr="003E19B4" w:rsidRDefault="0001091C" w:rsidP="003E19B4">
            <w:pPr>
              <w:pStyle w:val="ListParagraph"/>
              <w:numPr>
                <w:ilvl w:val="0"/>
                <w:numId w:val="2"/>
              </w:numPr>
              <w:rPr>
                <w:rFonts w:cs="Times New Roman"/>
                <w:sz w:val="20"/>
                <w:szCs w:val="20"/>
              </w:rPr>
            </w:pPr>
          </w:p>
        </w:tc>
      </w:tr>
      <w:tr w:rsidR="0001091C" w:rsidRPr="00E93BD3" w:rsidTr="002416A0">
        <w:trPr>
          <w:trHeight w:val="395"/>
        </w:trPr>
        <w:tc>
          <w:tcPr>
            <w:tcW w:w="4722" w:type="pct"/>
            <w:gridSpan w:val="2"/>
            <w:vAlign w:val="center"/>
          </w:tcPr>
          <w:p w:rsidR="0001091C" w:rsidRPr="00F64C1E" w:rsidRDefault="0001091C" w:rsidP="002416A0">
            <w:pPr>
              <w:jc w:val="left"/>
              <w:rPr>
                <w:b/>
                <w:sz w:val="20"/>
                <w:szCs w:val="20"/>
              </w:rPr>
            </w:pPr>
            <w:r w:rsidRPr="00F64C1E">
              <w:rPr>
                <w:b/>
                <w:sz w:val="20"/>
                <w:szCs w:val="20"/>
              </w:rPr>
              <w:t>Docket UE-100170 Order 02 (8) (a) - (h)</w:t>
            </w:r>
          </w:p>
        </w:tc>
        <w:tc>
          <w:tcPr>
            <w:tcW w:w="278" w:type="pct"/>
          </w:tcPr>
          <w:p w:rsidR="0001091C" w:rsidRPr="00F64C1E" w:rsidRDefault="0001091C" w:rsidP="00D218C8">
            <w:pPr>
              <w:rPr>
                <w:b/>
                <w:sz w:val="20"/>
                <w:szCs w:val="20"/>
              </w:rPr>
            </w:pPr>
          </w:p>
        </w:tc>
      </w:tr>
      <w:tr w:rsidR="002416A0" w:rsidRPr="00E93BD3" w:rsidTr="002416A0">
        <w:trPr>
          <w:trHeight w:val="1016"/>
        </w:trPr>
        <w:tc>
          <w:tcPr>
            <w:tcW w:w="1797" w:type="pct"/>
          </w:tcPr>
          <w:p w:rsidR="0001091C" w:rsidRPr="00F64C1E" w:rsidRDefault="0001091C" w:rsidP="00D218C8">
            <w:pPr>
              <w:rPr>
                <w:sz w:val="20"/>
                <w:szCs w:val="20"/>
              </w:rPr>
            </w:pPr>
            <w:r w:rsidRPr="00F64C1E">
              <w:rPr>
                <w:sz w:val="20"/>
                <w:szCs w:val="20"/>
              </w:rPr>
              <w:t>Required reports and filings.</w:t>
            </w:r>
          </w:p>
        </w:tc>
        <w:tc>
          <w:tcPr>
            <w:tcW w:w="2924" w:type="pct"/>
          </w:tcPr>
          <w:p w:rsidR="0001091C" w:rsidRPr="00F64C1E" w:rsidRDefault="0001091C" w:rsidP="00452D74">
            <w:pPr>
              <w:rPr>
                <w:sz w:val="20"/>
                <w:szCs w:val="20"/>
              </w:rPr>
            </w:pPr>
            <w:r w:rsidRPr="00F64C1E">
              <w:rPr>
                <w:sz w:val="20"/>
                <w:szCs w:val="20"/>
              </w:rPr>
              <w:t>The Company has met the compliance report requirements in Docket UE-100170 Order 02 (8) (a) – (e) relevant to the 2010-2011 biennium period. The submission of this report satisfies the remaining compliance requirements in Docket UE-100170 Order 02 (8) (</w:t>
            </w:r>
            <w:r>
              <w:rPr>
                <w:sz w:val="20"/>
                <w:szCs w:val="20"/>
              </w:rPr>
              <w:t>h), to submit a two-year report on conservation program achievement</w:t>
            </w:r>
            <w:r w:rsidRPr="00F64C1E">
              <w:rPr>
                <w:sz w:val="20"/>
                <w:szCs w:val="20"/>
              </w:rPr>
              <w:t>.</w:t>
            </w:r>
          </w:p>
        </w:tc>
        <w:tc>
          <w:tcPr>
            <w:tcW w:w="278" w:type="pct"/>
          </w:tcPr>
          <w:p w:rsidR="0001091C" w:rsidRPr="008F0C76" w:rsidRDefault="0001091C" w:rsidP="008F0C76">
            <w:pPr>
              <w:pStyle w:val="ListParagraph"/>
              <w:numPr>
                <w:ilvl w:val="0"/>
                <w:numId w:val="2"/>
              </w:numPr>
              <w:rPr>
                <w:sz w:val="20"/>
                <w:szCs w:val="20"/>
              </w:rPr>
            </w:pPr>
          </w:p>
        </w:tc>
      </w:tr>
      <w:tr w:rsidR="0001091C" w:rsidRPr="00E93BD3" w:rsidTr="002416A0">
        <w:trPr>
          <w:trHeight w:val="413"/>
        </w:trPr>
        <w:tc>
          <w:tcPr>
            <w:tcW w:w="4722" w:type="pct"/>
            <w:gridSpan w:val="2"/>
            <w:vAlign w:val="center"/>
          </w:tcPr>
          <w:p w:rsidR="0001091C" w:rsidRPr="00F64C1E" w:rsidRDefault="0001091C" w:rsidP="002416A0">
            <w:pPr>
              <w:jc w:val="left"/>
              <w:rPr>
                <w:b/>
                <w:sz w:val="20"/>
                <w:szCs w:val="20"/>
              </w:rPr>
            </w:pPr>
            <w:r w:rsidRPr="00F64C1E">
              <w:rPr>
                <w:b/>
                <w:sz w:val="20"/>
                <w:szCs w:val="20"/>
              </w:rPr>
              <w:t>Docket UE-100170 Order 02 (9) (a) &amp; (b)</w:t>
            </w:r>
          </w:p>
        </w:tc>
        <w:tc>
          <w:tcPr>
            <w:tcW w:w="278" w:type="pct"/>
          </w:tcPr>
          <w:p w:rsidR="0001091C" w:rsidRPr="00F64C1E" w:rsidRDefault="0001091C" w:rsidP="00D218C8">
            <w:pPr>
              <w:rPr>
                <w:b/>
                <w:sz w:val="20"/>
                <w:szCs w:val="20"/>
              </w:rPr>
            </w:pPr>
          </w:p>
        </w:tc>
      </w:tr>
      <w:tr w:rsidR="002416A0" w:rsidRPr="00E93BD3" w:rsidTr="002416A0">
        <w:trPr>
          <w:trHeight w:val="395"/>
        </w:trPr>
        <w:tc>
          <w:tcPr>
            <w:tcW w:w="1797" w:type="pct"/>
          </w:tcPr>
          <w:p w:rsidR="0001091C" w:rsidRPr="00F64C1E" w:rsidRDefault="0001091C" w:rsidP="00D218C8">
            <w:pPr>
              <w:rPr>
                <w:sz w:val="20"/>
                <w:szCs w:val="20"/>
              </w:rPr>
            </w:pPr>
            <w:r w:rsidRPr="00F64C1E">
              <w:rPr>
                <w:sz w:val="20"/>
                <w:szCs w:val="20"/>
              </w:rPr>
              <w:t>Required Public Involvement in Preparation for the 2012-2013 Biennium.</w:t>
            </w:r>
          </w:p>
        </w:tc>
        <w:tc>
          <w:tcPr>
            <w:tcW w:w="2924" w:type="pct"/>
          </w:tcPr>
          <w:p w:rsidR="0001091C" w:rsidRDefault="0001091C" w:rsidP="00D218C8">
            <w:pPr>
              <w:rPr>
                <w:sz w:val="20"/>
                <w:szCs w:val="20"/>
              </w:rPr>
            </w:pPr>
            <w:r w:rsidRPr="00F64C1E">
              <w:rPr>
                <w:sz w:val="20"/>
                <w:szCs w:val="20"/>
              </w:rPr>
              <w:t xml:space="preserve">See “Stakeholder Engagement” section </w:t>
            </w:r>
            <w:r>
              <w:rPr>
                <w:rFonts w:cs="Times New Roman"/>
                <w:sz w:val="20"/>
                <w:szCs w:val="20"/>
              </w:rPr>
              <w:t>of the</w:t>
            </w:r>
            <w:r w:rsidRPr="00F64C1E">
              <w:rPr>
                <w:rFonts w:cs="Times New Roman"/>
                <w:sz w:val="20"/>
                <w:szCs w:val="20"/>
              </w:rPr>
              <w:t xml:space="preserve"> </w:t>
            </w:r>
            <w:r w:rsidRPr="00F64C1E">
              <w:rPr>
                <w:rFonts w:eastAsiaTheme="majorEastAsia" w:cs="Times New Roman"/>
                <w:sz w:val="20"/>
                <w:szCs w:val="20"/>
              </w:rPr>
              <w:t>Ten-Year Conservation Potential and Biennial Conservation Target</w:t>
            </w:r>
            <w:r w:rsidRPr="00F64C1E">
              <w:rPr>
                <w:sz w:val="20"/>
                <w:szCs w:val="20"/>
              </w:rPr>
              <w:t xml:space="preserve"> report</w:t>
            </w:r>
            <w:r w:rsidRPr="009B7BA7">
              <w:rPr>
                <w:rFonts w:cs="Times New Roman"/>
                <w:sz w:val="20"/>
                <w:szCs w:val="20"/>
              </w:rPr>
              <w:t xml:space="preserve"> </w:t>
            </w:r>
            <w:r w:rsidR="008F0C76">
              <w:rPr>
                <w:rFonts w:cs="Times New Roman"/>
                <w:sz w:val="20"/>
                <w:szCs w:val="20"/>
              </w:rPr>
              <w:t xml:space="preserve">filed in Docket UE-111880 </w:t>
            </w:r>
            <w:r w:rsidRPr="00F64C1E">
              <w:rPr>
                <w:sz w:val="20"/>
                <w:szCs w:val="20"/>
              </w:rPr>
              <w:t>for an outline of the public process the Company facilitated in the development of its proposed 2012-2021 ten year conservation potential forecast and 2012-2013 biennial targets.</w:t>
            </w:r>
          </w:p>
          <w:p w:rsidR="002416A0" w:rsidRPr="00F64C1E" w:rsidRDefault="002416A0" w:rsidP="00D218C8">
            <w:pPr>
              <w:rPr>
                <w:sz w:val="20"/>
                <w:szCs w:val="20"/>
              </w:rPr>
            </w:pPr>
          </w:p>
        </w:tc>
        <w:tc>
          <w:tcPr>
            <w:tcW w:w="278" w:type="pct"/>
          </w:tcPr>
          <w:p w:rsidR="0001091C" w:rsidRPr="008F0C76" w:rsidRDefault="0001091C" w:rsidP="008F0C76">
            <w:pPr>
              <w:pStyle w:val="ListParagraph"/>
              <w:numPr>
                <w:ilvl w:val="0"/>
                <w:numId w:val="2"/>
              </w:numPr>
              <w:rPr>
                <w:sz w:val="20"/>
                <w:szCs w:val="20"/>
              </w:rPr>
            </w:pPr>
          </w:p>
        </w:tc>
      </w:tr>
      <w:tr w:rsidR="0001091C" w:rsidRPr="00E93BD3" w:rsidTr="002416A0">
        <w:trPr>
          <w:trHeight w:val="395"/>
        </w:trPr>
        <w:tc>
          <w:tcPr>
            <w:tcW w:w="4722" w:type="pct"/>
            <w:gridSpan w:val="2"/>
            <w:vAlign w:val="center"/>
          </w:tcPr>
          <w:p w:rsidR="0001091C" w:rsidRPr="00F64C1E" w:rsidRDefault="0001091C" w:rsidP="002416A0">
            <w:pPr>
              <w:jc w:val="left"/>
              <w:rPr>
                <w:b/>
                <w:sz w:val="20"/>
                <w:szCs w:val="20"/>
              </w:rPr>
            </w:pPr>
            <w:r w:rsidRPr="00F64C1E">
              <w:rPr>
                <w:b/>
                <w:sz w:val="20"/>
                <w:szCs w:val="20"/>
              </w:rPr>
              <w:t>Docket UE-100170 Order 02 (10) (a) - (c)</w:t>
            </w:r>
          </w:p>
        </w:tc>
        <w:tc>
          <w:tcPr>
            <w:tcW w:w="278" w:type="pct"/>
          </w:tcPr>
          <w:p w:rsidR="0001091C" w:rsidRPr="00F64C1E" w:rsidRDefault="0001091C" w:rsidP="00D218C8">
            <w:pPr>
              <w:rPr>
                <w:b/>
                <w:sz w:val="20"/>
                <w:szCs w:val="20"/>
              </w:rPr>
            </w:pPr>
          </w:p>
        </w:tc>
      </w:tr>
      <w:tr w:rsidR="002416A0" w:rsidRPr="00E93BD3" w:rsidTr="002416A0">
        <w:trPr>
          <w:trHeight w:val="395"/>
        </w:trPr>
        <w:tc>
          <w:tcPr>
            <w:tcW w:w="1797" w:type="pct"/>
          </w:tcPr>
          <w:p w:rsidR="0001091C" w:rsidRPr="00F64C1E" w:rsidRDefault="0001091C" w:rsidP="00D218C8">
            <w:pPr>
              <w:rPr>
                <w:sz w:val="20"/>
                <w:szCs w:val="20"/>
              </w:rPr>
            </w:pPr>
            <w:r w:rsidRPr="00F64C1E">
              <w:rPr>
                <w:sz w:val="20"/>
                <w:szCs w:val="20"/>
              </w:rPr>
              <w:t>Cost effectiveness Test is the Total Resource Cost Test.</w:t>
            </w:r>
          </w:p>
        </w:tc>
        <w:tc>
          <w:tcPr>
            <w:tcW w:w="2924" w:type="pct"/>
          </w:tcPr>
          <w:p w:rsidR="0001091C" w:rsidRDefault="0001091C" w:rsidP="00A765AE">
            <w:pPr>
              <w:rPr>
                <w:sz w:val="20"/>
                <w:szCs w:val="20"/>
              </w:rPr>
            </w:pPr>
            <w:r w:rsidRPr="00F64C1E">
              <w:rPr>
                <w:sz w:val="20"/>
                <w:szCs w:val="20"/>
              </w:rPr>
              <w:t>See Appendi</w:t>
            </w:r>
            <w:r w:rsidR="00ED78A8">
              <w:rPr>
                <w:sz w:val="20"/>
                <w:szCs w:val="20"/>
              </w:rPr>
              <w:t>ces</w:t>
            </w:r>
            <w:r w:rsidRPr="00F64C1E">
              <w:rPr>
                <w:sz w:val="20"/>
                <w:szCs w:val="20"/>
              </w:rPr>
              <w:t xml:space="preserve"> 3 </w:t>
            </w:r>
            <w:r>
              <w:rPr>
                <w:rFonts w:cs="Times New Roman"/>
                <w:sz w:val="20"/>
                <w:szCs w:val="20"/>
              </w:rPr>
              <w:t>of the</w:t>
            </w:r>
            <w:r w:rsidRPr="00F64C1E">
              <w:rPr>
                <w:rFonts w:cs="Times New Roman"/>
                <w:sz w:val="20"/>
                <w:szCs w:val="20"/>
              </w:rPr>
              <w:t xml:space="preserve"> </w:t>
            </w:r>
            <w:r w:rsidRPr="00F64C1E">
              <w:rPr>
                <w:rFonts w:eastAsiaTheme="majorEastAsia" w:cs="Times New Roman"/>
                <w:sz w:val="20"/>
                <w:szCs w:val="20"/>
              </w:rPr>
              <w:t>Ten-Year Conservation Potential and Biennial Conservation Target</w:t>
            </w:r>
            <w:r w:rsidRPr="00F64C1E">
              <w:rPr>
                <w:sz w:val="20"/>
                <w:szCs w:val="20"/>
              </w:rPr>
              <w:t xml:space="preserve"> report</w:t>
            </w:r>
            <w:r w:rsidR="00ED78A8">
              <w:rPr>
                <w:sz w:val="20"/>
                <w:szCs w:val="20"/>
              </w:rPr>
              <w:t>s</w:t>
            </w:r>
            <w:r w:rsidRPr="00F64C1E">
              <w:rPr>
                <w:sz w:val="20"/>
                <w:szCs w:val="20"/>
              </w:rPr>
              <w:t>, “</w:t>
            </w:r>
            <w:r w:rsidRPr="00F64C1E">
              <w:rPr>
                <w:rFonts w:cs="Times New Roman"/>
                <w:sz w:val="20"/>
                <w:szCs w:val="20"/>
              </w:rPr>
              <w:t>Comparison of Regional Methodologies”</w:t>
            </w:r>
            <w:r w:rsidR="00ED78A8">
              <w:rPr>
                <w:rFonts w:cs="Times New Roman"/>
                <w:sz w:val="20"/>
                <w:szCs w:val="20"/>
              </w:rPr>
              <w:t xml:space="preserve"> filed in Dockets UE-100170 and UE-111880.</w:t>
            </w:r>
            <w:r w:rsidRPr="00F64C1E">
              <w:rPr>
                <w:rFonts w:cs="Times New Roman"/>
                <w:sz w:val="20"/>
                <w:szCs w:val="20"/>
              </w:rPr>
              <w:t xml:space="preserve"> In addition to resource planning and avoided cost development methodology comparisons </w:t>
            </w:r>
            <w:r w:rsidR="00ED78A8">
              <w:rPr>
                <w:rFonts w:cs="Times New Roman"/>
                <w:sz w:val="20"/>
                <w:szCs w:val="20"/>
              </w:rPr>
              <w:t xml:space="preserve">these appendices </w:t>
            </w:r>
            <w:r w:rsidRPr="00F64C1E">
              <w:rPr>
                <w:rFonts w:cs="Times New Roman"/>
                <w:sz w:val="20"/>
                <w:szCs w:val="20"/>
              </w:rPr>
              <w:t>provide information on how the Company’s Total Resource Cost calculation complies with the cost-effectiveness definition (RCW 80.52.030(8))</w:t>
            </w:r>
            <w:r w:rsidR="00A765AE">
              <w:rPr>
                <w:rFonts w:cs="Times New Roman"/>
                <w:sz w:val="20"/>
                <w:szCs w:val="20"/>
              </w:rPr>
              <w:t xml:space="preserve">, incorporating </w:t>
            </w:r>
            <w:r w:rsidRPr="00F64C1E">
              <w:rPr>
                <w:rFonts w:cs="Times New Roman"/>
                <w:sz w:val="20"/>
                <w:szCs w:val="20"/>
              </w:rPr>
              <w:t>the 10 percent conservation benefit and a risk adder consistent with the Council’s approach. Cost effectiveness assessments for the programs in the 2012-2013 business plan as well as three portfolio cost effectiveness assessments are provided in Appendix 7</w:t>
            </w:r>
            <w:r w:rsidR="00ED78A8">
              <w:rPr>
                <w:rFonts w:cs="Times New Roman"/>
                <w:sz w:val="20"/>
                <w:szCs w:val="20"/>
              </w:rPr>
              <w:t xml:space="preserve"> to the 2012-2021 report</w:t>
            </w:r>
            <w:r w:rsidRPr="00F64C1E">
              <w:rPr>
                <w:rFonts w:cs="Times New Roman"/>
                <w:sz w:val="20"/>
                <w:szCs w:val="20"/>
              </w:rPr>
              <w:t xml:space="preserve">. In addition, </w:t>
            </w:r>
            <w:r w:rsidRPr="00F64C1E">
              <w:rPr>
                <w:sz w:val="20"/>
                <w:szCs w:val="20"/>
              </w:rPr>
              <w:t>program and measure specific cost effectiveness calculations were provided with the changes proposed to the Home Energy Savings and FinAnswer Express program. Quantifiable non - energy benefits were included in these calculations. Program and portfolio level cost effectiveness was provided in the 2010 annual report and also included quantifiable non-energy benefits. The 2010 potential study update included the effects of non-energy benefits as a reduction to energy efficiency measure costs.</w:t>
            </w:r>
          </w:p>
          <w:p w:rsidR="002416A0" w:rsidRPr="00F64C1E" w:rsidRDefault="002416A0" w:rsidP="00A765AE">
            <w:pPr>
              <w:rPr>
                <w:sz w:val="20"/>
                <w:szCs w:val="20"/>
              </w:rPr>
            </w:pPr>
          </w:p>
        </w:tc>
        <w:tc>
          <w:tcPr>
            <w:tcW w:w="278" w:type="pct"/>
          </w:tcPr>
          <w:p w:rsidR="0001091C" w:rsidRPr="00ED78A8" w:rsidRDefault="0001091C" w:rsidP="00ED78A8">
            <w:pPr>
              <w:pStyle w:val="ListParagraph"/>
              <w:numPr>
                <w:ilvl w:val="0"/>
                <w:numId w:val="2"/>
              </w:numPr>
              <w:rPr>
                <w:sz w:val="20"/>
                <w:szCs w:val="20"/>
              </w:rPr>
            </w:pPr>
          </w:p>
        </w:tc>
      </w:tr>
      <w:tr w:rsidR="0001091C" w:rsidRPr="00E93BD3" w:rsidTr="002416A0">
        <w:trPr>
          <w:trHeight w:val="350"/>
        </w:trPr>
        <w:tc>
          <w:tcPr>
            <w:tcW w:w="4722" w:type="pct"/>
            <w:gridSpan w:val="2"/>
            <w:vAlign w:val="center"/>
          </w:tcPr>
          <w:p w:rsidR="0001091C" w:rsidRPr="00F64C1E" w:rsidRDefault="0001091C" w:rsidP="002416A0">
            <w:pPr>
              <w:jc w:val="left"/>
              <w:rPr>
                <w:b/>
                <w:sz w:val="20"/>
                <w:szCs w:val="20"/>
              </w:rPr>
            </w:pPr>
            <w:r w:rsidRPr="00F64C1E">
              <w:rPr>
                <w:sz w:val="20"/>
                <w:szCs w:val="20"/>
              </w:rPr>
              <w:br w:type="page"/>
            </w:r>
            <w:r w:rsidRPr="00F64C1E">
              <w:rPr>
                <w:b/>
                <w:sz w:val="20"/>
                <w:szCs w:val="20"/>
              </w:rPr>
              <w:t>WAC 480-109-010 (1)(a) and (2)(a)</w:t>
            </w:r>
          </w:p>
        </w:tc>
        <w:tc>
          <w:tcPr>
            <w:tcW w:w="278" w:type="pct"/>
          </w:tcPr>
          <w:p w:rsidR="0001091C" w:rsidRPr="00F64C1E" w:rsidRDefault="0001091C" w:rsidP="00D218C8">
            <w:pPr>
              <w:rPr>
                <w:sz w:val="20"/>
                <w:szCs w:val="20"/>
              </w:rPr>
            </w:pPr>
          </w:p>
        </w:tc>
      </w:tr>
      <w:tr w:rsidR="002416A0" w:rsidRPr="00E93BD3" w:rsidTr="002416A0">
        <w:tc>
          <w:tcPr>
            <w:tcW w:w="1797" w:type="pct"/>
            <w:tcBorders>
              <w:bottom w:val="single" w:sz="4" w:space="0" w:color="000000" w:themeColor="text1"/>
            </w:tcBorders>
          </w:tcPr>
          <w:p w:rsidR="0001091C" w:rsidRPr="00F64C1E" w:rsidRDefault="0001091C" w:rsidP="00D218C8">
            <w:pPr>
              <w:rPr>
                <w:sz w:val="20"/>
                <w:szCs w:val="20"/>
              </w:rPr>
            </w:pPr>
            <w:r w:rsidRPr="00F64C1E">
              <w:rPr>
                <w:sz w:val="20"/>
                <w:szCs w:val="20"/>
              </w:rPr>
              <w:t>(1)(a) Consider only conservation resources that are cost-effective, reliable and feasible.</w:t>
            </w:r>
          </w:p>
          <w:p w:rsidR="0001091C" w:rsidRPr="00F64C1E" w:rsidRDefault="0001091C" w:rsidP="00D218C8">
            <w:pPr>
              <w:rPr>
                <w:sz w:val="20"/>
                <w:szCs w:val="20"/>
              </w:rPr>
            </w:pPr>
          </w:p>
          <w:p w:rsidR="0001091C" w:rsidRPr="00F64C1E" w:rsidRDefault="0001091C" w:rsidP="00D218C8">
            <w:pPr>
              <w:rPr>
                <w:sz w:val="20"/>
                <w:szCs w:val="20"/>
              </w:rPr>
            </w:pPr>
            <w:r w:rsidRPr="00F64C1E">
              <w:rPr>
                <w:sz w:val="20"/>
                <w:szCs w:val="20"/>
              </w:rPr>
              <w:t>(2)(a) The biennial conservation target must identify all achievable conservation opportunities.</w:t>
            </w:r>
          </w:p>
        </w:tc>
        <w:tc>
          <w:tcPr>
            <w:tcW w:w="2924" w:type="pct"/>
            <w:tcBorders>
              <w:bottom w:val="single" w:sz="4" w:space="0" w:color="000000" w:themeColor="text1"/>
            </w:tcBorders>
          </w:tcPr>
          <w:p w:rsidR="004E6EED" w:rsidRPr="00AA61D9" w:rsidRDefault="008E75DF" w:rsidP="004E6EED">
            <w:pPr>
              <w:autoSpaceDE w:val="0"/>
              <w:autoSpaceDN w:val="0"/>
              <w:adjustRightInd w:val="0"/>
              <w:jc w:val="left"/>
              <w:rPr>
                <w:rFonts w:cs="Times New Roman"/>
                <w:sz w:val="20"/>
                <w:szCs w:val="20"/>
              </w:rPr>
            </w:pPr>
            <w:r w:rsidRPr="00AA61D9">
              <w:rPr>
                <w:rFonts w:cs="Times New Roman"/>
                <w:sz w:val="20"/>
                <w:szCs w:val="20"/>
              </w:rPr>
              <w:t xml:space="preserve">PacifiCorp relied on </w:t>
            </w:r>
            <w:r w:rsidR="004E6EED" w:rsidRPr="00AA61D9">
              <w:rPr>
                <w:rFonts w:cs="Times New Roman"/>
                <w:sz w:val="20"/>
                <w:szCs w:val="20"/>
              </w:rPr>
              <w:t xml:space="preserve">1) </w:t>
            </w:r>
            <w:r w:rsidRPr="00AA61D9">
              <w:rPr>
                <w:rFonts w:cs="Times New Roman"/>
                <w:sz w:val="20"/>
                <w:szCs w:val="20"/>
              </w:rPr>
              <w:t xml:space="preserve">its 2007 “Assessment of Long-Term System-Wide Potential for Demand-Side and Other Supplemental Resources” (July 11, 2007), </w:t>
            </w:r>
            <w:r w:rsidR="004E6EED" w:rsidRPr="00AA61D9">
              <w:rPr>
                <w:rFonts w:cs="Times New Roman"/>
                <w:sz w:val="20"/>
                <w:szCs w:val="20"/>
              </w:rPr>
              <w:t xml:space="preserve">2) </w:t>
            </w:r>
            <w:r w:rsidRPr="00AA61D9">
              <w:rPr>
                <w:rFonts w:cs="Times New Roman"/>
                <w:sz w:val="20"/>
                <w:szCs w:val="20"/>
              </w:rPr>
              <w:t xml:space="preserve">economic screening of the conservation potential identified through the 2008 Integrated Resource Plan (IRP) development, </w:t>
            </w:r>
            <w:r w:rsidR="004E6EED" w:rsidRPr="00AA61D9">
              <w:rPr>
                <w:rFonts w:cs="Times New Roman"/>
                <w:sz w:val="20"/>
                <w:szCs w:val="20"/>
              </w:rPr>
              <w:t>3) Council’s 6th</w:t>
            </w:r>
          </w:p>
          <w:p w:rsidR="008E75DF" w:rsidRPr="00AA61D9" w:rsidRDefault="004E6EED" w:rsidP="00AA61D9">
            <w:pPr>
              <w:autoSpaceDE w:val="0"/>
              <w:autoSpaceDN w:val="0"/>
              <w:adjustRightInd w:val="0"/>
              <w:jc w:val="left"/>
              <w:rPr>
                <w:rFonts w:cs="Times New Roman"/>
                <w:sz w:val="20"/>
                <w:szCs w:val="20"/>
              </w:rPr>
            </w:pPr>
            <w:r w:rsidRPr="00AA61D9">
              <w:rPr>
                <w:rFonts w:cs="Times New Roman"/>
                <w:sz w:val="20"/>
                <w:szCs w:val="20"/>
              </w:rPr>
              <w:t>regional power plan</w:t>
            </w:r>
            <w:r w:rsidR="00AA61D9">
              <w:rPr>
                <w:rFonts w:cs="Times New Roman"/>
                <w:sz w:val="20"/>
                <w:szCs w:val="20"/>
              </w:rPr>
              <w:t xml:space="preserve"> (for measures not considered in the 2007 assessment)</w:t>
            </w:r>
            <w:r w:rsidR="00AA61D9" w:rsidRPr="00AA61D9">
              <w:rPr>
                <w:rFonts w:cs="Times New Roman"/>
                <w:sz w:val="20"/>
                <w:szCs w:val="20"/>
              </w:rPr>
              <w:t xml:space="preserve">, and 4) other </w:t>
            </w:r>
            <w:r w:rsidR="008E75DF" w:rsidRPr="00AA61D9">
              <w:rPr>
                <w:rFonts w:cs="Times New Roman"/>
                <w:sz w:val="20"/>
                <w:szCs w:val="20"/>
              </w:rPr>
              <w:t>post IRP adjustments (</w:t>
            </w:r>
            <w:r w:rsidR="00AA61D9">
              <w:rPr>
                <w:rFonts w:cs="Times New Roman"/>
                <w:sz w:val="20"/>
                <w:szCs w:val="20"/>
              </w:rPr>
              <w:t xml:space="preserve">all </w:t>
            </w:r>
            <w:r w:rsidR="008E75DF" w:rsidRPr="00AA61D9">
              <w:rPr>
                <w:rFonts w:cs="Times New Roman"/>
                <w:sz w:val="20"/>
                <w:szCs w:val="20"/>
              </w:rPr>
              <w:t>documented in Appendix 4 of the PacifiCorp’s ten-year conservation potential and 2010-2011biennial conservation target report</w:t>
            </w:r>
            <w:r w:rsidR="00492A21" w:rsidRPr="00AA61D9">
              <w:rPr>
                <w:rFonts w:cs="Times New Roman"/>
                <w:sz w:val="20"/>
                <w:szCs w:val="20"/>
              </w:rPr>
              <w:t>)</w:t>
            </w:r>
            <w:r w:rsidR="008E75DF" w:rsidRPr="00AA61D9">
              <w:rPr>
                <w:rFonts w:cs="Times New Roman"/>
                <w:sz w:val="20"/>
                <w:szCs w:val="20"/>
              </w:rPr>
              <w:t xml:space="preserve"> to establish its ten-year conservation forecast and biennial conservation target. </w:t>
            </w:r>
          </w:p>
          <w:p w:rsidR="00492A21" w:rsidRPr="00527808" w:rsidRDefault="00492A21" w:rsidP="008E75DF">
            <w:pPr>
              <w:rPr>
                <w:rFonts w:cs="Times New Roman"/>
                <w:sz w:val="20"/>
                <w:szCs w:val="20"/>
              </w:rPr>
            </w:pPr>
          </w:p>
          <w:p w:rsidR="008E75DF" w:rsidRPr="00527808" w:rsidRDefault="008E75DF" w:rsidP="008E75DF">
            <w:pPr>
              <w:rPr>
                <w:rFonts w:cs="Times New Roman"/>
                <w:sz w:val="20"/>
                <w:szCs w:val="20"/>
              </w:rPr>
            </w:pPr>
            <w:r w:rsidRPr="00527808">
              <w:rPr>
                <w:rFonts w:cs="Times New Roman"/>
                <w:sz w:val="20"/>
                <w:szCs w:val="20"/>
              </w:rPr>
              <w:t>The commission accepted the company’s forecast and target as meeting the requirements to consider all conservation resources that are cost-effective, reliable and feasible by approval of the company’s forecast and targets in Docket UE-</w:t>
            </w:r>
            <w:r w:rsidR="00527808" w:rsidRPr="00527808">
              <w:rPr>
                <w:rFonts w:cs="Times New Roman"/>
                <w:sz w:val="20"/>
                <w:szCs w:val="20"/>
              </w:rPr>
              <w:t xml:space="preserve">100170 on July 15, 2010. </w:t>
            </w:r>
            <w:r w:rsidRPr="00527808">
              <w:rPr>
                <w:rFonts w:cs="Times New Roman"/>
                <w:sz w:val="20"/>
                <w:szCs w:val="20"/>
              </w:rPr>
              <w:t xml:space="preserve">  </w:t>
            </w:r>
          </w:p>
          <w:p w:rsidR="0001091C" w:rsidRPr="00E90506" w:rsidRDefault="0001091C" w:rsidP="008E75DF">
            <w:pPr>
              <w:rPr>
                <w:color w:val="FF0000"/>
                <w:sz w:val="20"/>
                <w:szCs w:val="20"/>
              </w:rPr>
            </w:pPr>
          </w:p>
        </w:tc>
        <w:tc>
          <w:tcPr>
            <w:tcW w:w="278" w:type="pct"/>
            <w:tcBorders>
              <w:bottom w:val="single" w:sz="4" w:space="0" w:color="000000" w:themeColor="text1"/>
            </w:tcBorders>
          </w:tcPr>
          <w:p w:rsidR="0001091C" w:rsidRPr="00492A21" w:rsidRDefault="0001091C" w:rsidP="00492A21">
            <w:pPr>
              <w:pStyle w:val="ListParagraph"/>
              <w:numPr>
                <w:ilvl w:val="0"/>
                <w:numId w:val="2"/>
              </w:numPr>
              <w:rPr>
                <w:rFonts w:cs="Times New Roman"/>
                <w:sz w:val="20"/>
                <w:szCs w:val="20"/>
              </w:rPr>
            </w:pPr>
          </w:p>
        </w:tc>
      </w:tr>
      <w:tr w:rsidR="0001091C" w:rsidRPr="00F23BA5" w:rsidTr="002416A0">
        <w:trPr>
          <w:trHeight w:val="377"/>
        </w:trPr>
        <w:tc>
          <w:tcPr>
            <w:tcW w:w="4722" w:type="pct"/>
            <w:gridSpan w:val="2"/>
            <w:tcBorders>
              <w:bottom w:val="single" w:sz="4" w:space="0" w:color="auto"/>
            </w:tcBorders>
            <w:vAlign w:val="center"/>
          </w:tcPr>
          <w:p w:rsidR="0001091C" w:rsidRPr="00F23BA5" w:rsidRDefault="0001091C" w:rsidP="002416A0">
            <w:pPr>
              <w:jc w:val="left"/>
              <w:rPr>
                <w:b/>
                <w:sz w:val="20"/>
                <w:szCs w:val="20"/>
              </w:rPr>
            </w:pPr>
            <w:r w:rsidRPr="00F23BA5">
              <w:rPr>
                <w:b/>
                <w:sz w:val="20"/>
                <w:szCs w:val="20"/>
              </w:rPr>
              <w:t>WAC-480-109-010 (1)(b)(i) and (ii)</w:t>
            </w:r>
          </w:p>
        </w:tc>
        <w:tc>
          <w:tcPr>
            <w:tcW w:w="278" w:type="pct"/>
            <w:tcBorders>
              <w:bottom w:val="single" w:sz="4" w:space="0" w:color="auto"/>
            </w:tcBorders>
          </w:tcPr>
          <w:p w:rsidR="0001091C" w:rsidRPr="00F23BA5" w:rsidRDefault="0001091C" w:rsidP="00D218C8">
            <w:pPr>
              <w:rPr>
                <w:b/>
                <w:sz w:val="20"/>
                <w:szCs w:val="20"/>
              </w:rPr>
            </w:pPr>
          </w:p>
        </w:tc>
      </w:tr>
      <w:tr w:rsidR="002416A0" w:rsidRPr="00F23BA5" w:rsidTr="002416A0">
        <w:trPr>
          <w:trHeight w:val="1340"/>
        </w:trPr>
        <w:tc>
          <w:tcPr>
            <w:tcW w:w="1797" w:type="pct"/>
            <w:tcBorders>
              <w:top w:val="single" w:sz="4" w:space="0" w:color="auto"/>
            </w:tcBorders>
          </w:tcPr>
          <w:p w:rsidR="0001091C" w:rsidRPr="00F23BA5" w:rsidRDefault="0001091C" w:rsidP="00D218C8">
            <w:pPr>
              <w:spacing w:after="100" w:afterAutospacing="1"/>
              <w:rPr>
                <w:sz w:val="20"/>
                <w:szCs w:val="20"/>
              </w:rPr>
            </w:pPr>
            <w:r w:rsidRPr="00F23BA5">
              <w:rPr>
                <w:sz w:val="20"/>
                <w:szCs w:val="20"/>
              </w:rPr>
              <w:t>Projection must be derived from and reasonably consistent with one of two sources: IRP or current power plan targets.</w:t>
            </w:r>
          </w:p>
        </w:tc>
        <w:tc>
          <w:tcPr>
            <w:tcW w:w="2924" w:type="pct"/>
            <w:tcBorders>
              <w:top w:val="single" w:sz="4" w:space="0" w:color="auto"/>
            </w:tcBorders>
          </w:tcPr>
          <w:p w:rsidR="00B93D75" w:rsidRPr="00B93D75" w:rsidRDefault="00B93D75" w:rsidP="00B93D75">
            <w:pPr>
              <w:autoSpaceDE w:val="0"/>
              <w:autoSpaceDN w:val="0"/>
              <w:adjustRightInd w:val="0"/>
              <w:jc w:val="left"/>
              <w:rPr>
                <w:sz w:val="20"/>
                <w:szCs w:val="20"/>
              </w:rPr>
            </w:pPr>
            <w:r w:rsidRPr="00B93D75">
              <w:rPr>
                <w:sz w:val="20"/>
                <w:szCs w:val="20"/>
              </w:rPr>
              <w:t xml:space="preserve">For the 2010-2019 conservation forecast and 2010-2011 biennium target the company elected to use its 2008 IRP as the base source for its conservation projection. This election is describe in detail in “PacifiCorp’s </w:t>
            </w:r>
            <w:r w:rsidRPr="00B93D75">
              <w:rPr>
                <w:rFonts w:eastAsiaTheme="majorEastAsia" w:cs="Times New Roman"/>
                <w:sz w:val="20"/>
                <w:szCs w:val="20"/>
              </w:rPr>
              <w:t xml:space="preserve">Ten-Year Conservation Potential and 2010-2011 Biennial Conservation Target for its Washington Service Area” filed in Docket </w:t>
            </w:r>
            <w:r w:rsidRPr="00B93D75">
              <w:rPr>
                <w:rFonts w:cs="Times New Roman"/>
                <w:sz w:val="20"/>
                <w:szCs w:val="20"/>
              </w:rPr>
              <w:t>UE-100170.</w:t>
            </w:r>
            <w:r w:rsidRPr="00B93D75">
              <w:rPr>
                <w:rFonts w:ascii="Arial" w:hAnsi="Arial" w:cs="Arial"/>
                <w:sz w:val="72"/>
                <w:szCs w:val="72"/>
              </w:rPr>
              <w:t xml:space="preserve"> </w:t>
            </w:r>
          </w:p>
          <w:p w:rsidR="0001091C" w:rsidRPr="00E90506" w:rsidRDefault="0001091C" w:rsidP="00B93D75">
            <w:pPr>
              <w:spacing w:after="100" w:afterAutospacing="1"/>
              <w:rPr>
                <w:color w:val="FF0000"/>
                <w:sz w:val="20"/>
                <w:szCs w:val="20"/>
              </w:rPr>
            </w:pPr>
          </w:p>
        </w:tc>
        <w:tc>
          <w:tcPr>
            <w:tcW w:w="278" w:type="pct"/>
            <w:tcBorders>
              <w:top w:val="single" w:sz="4" w:space="0" w:color="auto"/>
            </w:tcBorders>
          </w:tcPr>
          <w:p w:rsidR="0001091C" w:rsidRPr="00492A21" w:rsidRDefault="0001091C" w:rsidP="00492A21">
            <w:pPr>
              <w:pStyle w:val="ListParagraph"/>
              <w:numPr>
                <w:ilvl w:val="0"/>
                <w:numId w:val="2"/>
              </w:numPr>
              <w:spacing w:after="100" w:afterAutospacing="1"/>
              <w:rPr>
                <w:sz w:val="20"/>
                <w:szCs w:val="20"/>
              </w:rPr>
            </w:pPr>
          </w:p>
        </w:tc>
      </w:tr>
      <w:tr w:rsidR="0001091C" w:rsidRPr="00F23BA5" w:rsidTr="002416A0">
        <w:trPr>
          <w:trHeight w:val="350"/>
        </w:trPr>
        <w:tc>
          <w:tcPr>
            <w:tcW w:w="4722" w:type="pct"/>
            <w:gridSpan w:val="2"/>
            <w:vAlign w:val="center"/>
          </w:tcPr>
          <w:p w:rsidR="0001091C" w:rsidRPr="00F23BA5" w:rsidRDefault="0001091C" w:rsidP="002416A0">
            <w:pPr>
              <w:jc w:val="left"/>
              <w:rPr>
                <w:b/>
                <w:sz w:val="20"/>
                <w:szCs w:val="20"/>
              </w:rPr>
            </w:pPr>
            <w:r w:rsidRPr="00F23BA5">
              <w:rPr>
                <w:b/>
                <w:sz w:val="20"/>
                <w:szCs w:val="20"/>
              </w:rPr>
              <w:t>WAC-480-109-010 (2)(a) and (b)</w:t>
            </w:r>
          </w:p>
        </w:tc>
        <w:tc>
          <w:tcPr>
            <w:tcW w:w="278" w:type="pct"/>
          </w:tcPr>
          <w:p w:rsidR="0001091C" w:rsidRPr="00F23BA5" w:rsidRDefault="0001091C" w:rsidP="00D218C8">
            <w:pPr>
              <w:rPr>
                <w:b/>
                <w:sz w:val="20"/>
                <w:szCs w:val="20"/>
              </w:rPr>
            </w:pPr>
          </w:p>
        </w:tc>
      </w:tr>
      <w:tr w:rsidR="002416A0" w:rsidRPr="00F23BA5" w:rsidTr="002416A0">
        <w:tc>
          <w:tcPr>
            <w:tcW w:w="1797" w:type="pct"/>
          </w:tcPr>
          <w:p w:rsidR="0001091C" w:rsidRPr="00F23BA5" w:rsidRDefault="0001091C" w:rsidP="00D218C8">
            <w:pPr>
              <w:rPr>
                <w:sz w:val="20"/>
                <w:szCs w:val="20"/>
              </w:rPr>
            </w:pPr>
            <w:r w:rsidRPr="00F23BA5">
              <w:rPr>
                <w:sz w:val="20"/>
                <w:szCs w:val="20"/>
              </w:rPr>
              <w:t>(2)(a) The biennial conservation target must identify all achievable conservation opportunities.</w:t>
            </w:r>
          </w:p>
          <w:p w:rsidR="0001091C" w:rsidRDefault="0001091C" w:rsidP="00D218C8">
            <w:pPr>
              <w:rPr>
                <w:sz w:val="20"/>
                <w:szCs w:val="20"/>
              </w:rPr>
            </w:pPr>
            <w:r w:rsidRPr="00F23BA5">
              <w:rPr>
                <w:sz w:val="20"/>
                <w:szCs w:val="20"/>
              </w:rPr>
              <w:t>(2)(b) The biennial conservation target must be no lower than a pro rata share of the utility’s ten-year cumulative achievable conservation potential. Each utility must fully document how it prorated its ten-year cumulative conservation potential to determine the minimum level for its biennial conservation target.</w:t>
            </w:r>
          </w:p>
          <w:p w:rsidR="002416A0" w:rsidRPr="00F23BA5" w:rsidRDefault="002416A0" w:rsidP="00D218C8">
            <w:pPr>
              <w:rPr>
                <w:sz w:val="20"/>
                <w:szCs w:val="20"/>
              </w:rPr>
            </w:pPr>
          </w:p>
        </w:tc>
        <w:tc>
          <w:tcPr>
            <w:tcW w:w="2924" w:type="pct"/>
          </w:tcPr>
          <w:p w:rsidR="0001091C" w:rsidRDefault="0001091C" w:rsidP="00A56A8F">
            <w:pPr>
              <w:ind w:hanging="18"/>
              <w:rPr>
                <w:sz w:val="20"/>
                <w:szCs w:val="20"/>
              </w:rPr>
            </w:pPr>
            <w:r w:rsidRPr="00492A21">
              <w:rPr>
                <w:sz w:val="20"/>
                <w:szCs w:val="20"/>
              </w:rPr>
              <w:t xml:space="preserve">See response to WAC 480-109-010 (1)(a) and (2)(a) above in this table. </w:t>
            </w:r>
          </w:p>
          <w:p w:rsidR="00492A21" w:rsidRDefault="00492A21" w:rsidP="00A56A8F">
            <w:pPr>
              <w:ind w:hanging="18"/>
              <w:rPr>
                <w:sz w:val="20"/>
                <w:szCs w:val="20"/>
              </w:rPr>
            </w:pPr>
          </w:p>
          <w:p w:rsidR="00492A21" w:rsidRPr="00492A21" w:rsidRDefault="00492A21" w:rsidP="00492A21">
            <w:pPr>
              <w:ind w:hanging="18"/>
              <w:rPr>
                <w:sz w:val="20"/>
                <w:szCs w:val="20"/>
              </w:rPr>
            </w:pPr>
            <w:r>
              <w:rPr>
                <w:sz w:val="20"/>
                <w:szCs w:val="20"/>
              </w:rPr>
              <w:t xml:space="preserve">The manner by which the company arrived at its 2010-11 biennial conservation target is explained on page 34 of </w:t>
            </w:r>
            <w:r w:rsidRPr="00B93D75">
              <w:rPr>
                <w:sz w:val="20"/>
                <w:szCs w:val="20"/>
              </w:rPr>
              <w:t xml:space="preserve">“PacifiCorp’s </w:t>
            </w:r>
            <w:r w:rsidRPr="00B93D75">
              <w:rPr>
                <w:rFonts w:eastAsiaTheme="majorEastAsia" w:cs="Times New Roman"/>
                <w:sz w:val="20"/>
                <w:szCs w:val="20"/>
              </w:rPr>
              <w:t xml:space="preserve">Ten-Year Conservation Potential and 2010-2011 Biennial Conservation Target for its Washington Service Area” filed in Docket </w:t>
            </w:r>
            <w:r w:rsidRPr="00B93D75">
              <w:rPr>
                <w:rFonts w:cs="Times New Roman"/>
                <w:sz w:val="20"/>
                <w:szCs w:val="20"/>
              </w:rPr>
              <w:t>UE-100170.</w:t>
            </w:r>
          </w:p>
        </w:tc>
        <w:tc>
          <w:tcPr>
            <w:tcW w:w="278" w:type="pct"/>
          </w:tcPr>
          <w:p w:rsidR="0001091C" w:rsidRPr="00492A21" w:rsidRDefault="0001091C" w:rsidP="00492A21">
            <w:pPr>
              <w:pStyle w:val="ListParagraph"/>
              <w:numPr>
                <w:ilvl w:val="0"/>
                <w:numId w:val="2"/>
              </w:numPr>
              <w:rPr>
                <w:sz w:val="20"/>
                <w:szCs w:val="20"/>
              </w:rPr>
            </w:pPr>
          </w:p>
        </w:tc>
      </w:tr>
    </w:tbl>
    <w:p w:rsidR="00BD00C6" w:rsidRPr="00F23BA5" w:rsidRDefault="00BD00C6" w:rsidP="00F23BA5">
      <w:pPr>
        <w:rPr>
          <w:sz w:val="20"/>
          <w:szCs w:val="20"/>
        </w:rPr>
      </w:pPr>
    </w:p>
    <w:sectPr w:rsidR="00BD00C6" w:rsidRPr="00F23BA5" w:rsidSect="002416A0">
      <w:pgSz w:w="15840" w:h="12240" w:orient="landscape" w:code="1"/>
      <w:pgMar w:top="1152" w:right="864" w:bottom="115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B7D" w:rsidRDefault="00D17B7D" w:rsidP="00EB0F01">
      <w:r>
        <w:separator/>
      </w:r>
    </w:p>
  </w:endnote>
  <w:endnote w:type="continuationSeparator" w:id="0">
    <w:p w:rsidR="00D17B7D" w:rsidRDefault="00D17B7D" w:rsidP="00EB0F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70" w:rsidRDefault="009106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42536848"/>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2416A0" w:rsidRPr="002416A0" w:rsidRDefault="002416A0">
            <w:pPr>
              <w:pStyle w:val="Footer"/>
              <w:jc w:val="right"/>
              <w:rPr>
                <w:sz w:val="20"/>
                <w:szCs w:val="20"/>
              </w:rPr>
            </w:pPr>
            <w:r w:rsidRPr="002416A0">
              <w:rPr>
                <w:sz w:val="20"/>
                <w:szCs w:val="20"/>
              </w:rPr>
              <w:t xml:space="preserve">Page </w:t>
            </w:r>
            <w:r w:rsidR="000C7F7D" w:rsidRPr="002416A0">
              <w:rPr>
                <w:b/>
                <w:sz w:val="20"/>
                <w:szCs w:val="20"/>
              </w:rPr>
              <w:fldChar w:fldCharType="begin"/>
            </w:r>
            <w:r w:rsidRPr="002416A0">
              <w:rPr>
                <w:b/>
                <w:sz w:val="20"/>
                <w:szCs w:val="20"/>
              </w:rPr>
              <w:instrText xml:space="preserve"> PAGE </w:instrText>
            </w:r>
            <w:r w:rsidR="000C7F7D" w:rsidRPr="002416A0">
              <w:rPr>
                <w:b/>
                <w:sz w:val="20"/>
                <w:szCs w:val="20"/>
              </w:rPr>
              <w:fldChar w:fldCharType="separate"/>
            </w:r>
            <w:r w:rsidR="00910670">
              <w:rPr>
                <w:b/>
                <w:noProof/>
                <w:sz w:val="20"/>
                <w:szCs w:val="20"/>
              </w:rPr>
              <w:t>1</w:t>
            </w:r>
            <w:r w:rsidR="000C7F7D" w:rsidRPr="002416A0">
              <w:rPr>
                <w:b/>
                <w:sz w:val="20"/>
                <w:szCs w:val="20"/>
              </w:rPr>
              <w:fldChar w:fldCharType="end"/>
            </w:r>
            <w:r w:rsidRPr="002416A0">
              <w:rPr>
                <w:sz w:val="20"/>
                <w:szCs w:val="20"/>
              </w:rPr>
              <w:t xml:space="preserve"> of </w:t>
            </w:r>
            <w:r w:rsidR="000C7F7D" w:rsidRPr="002416A0">
              <w:rPr>
                <w:b/>
                <w:sz w:val="20"/>
                <w:szCs w:val="20"/>
              </w:rPr>
              <w:fldChar w:fldCharType="begin"/>
            </w:r>
            <w:r w:rsidRPr="002416A0">
              <w:rPr>
                <w:b/>
                <w:sz w:val="20"/>
                <w:szCs w:val="20"/>
              </w:rPr>
              <w:instrText xml:space="preserve"> NUMPAGES  </w:instrText>
            </w:r>
            <w:r w:rsidR="000C7F7D" w:rsidRPr="002416A0">
              <w:rPr>
                <w:b/>
                <w:sz w:val="20"/>
                <w:szCs w:val="20"/>
              </w:rPr>
              <w:fldChar w:fldCharType="separate"/>
            </w:r>
            <w:r w:rsidR="00910670">
              <w:rPr>
                <w:b/>
                <w:noProof/>
                <w:sz w:val="20"/>
                <w:szCs w:val="20"/>
              </w:rPr>
              <w:t>6</w:t>
            </w:r>
            <w:r w:rsidR="000C7F7D" w:rsidRPr="002416A0">
              <w:rPr>
                <w:b/>
                <w:sz w:val="20"/>
                <w:szCs w:val="20"/>
              </w:rPr>
              <w:fldChar w:fldCharType="end"/>
            </w:r>
          </w:p>
        </w:sdtContent>
      </w:sdt>
    </w:sdtContent>
  </w:sdt>
  <w:p w:rsidR="002416A0" w:rsidRDefault="002416A0" w:rsidP="002416A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70" w:rsidRDefault="00910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B7D" w:rsidRDefault="00D17B7D" w:rsidP="00EB0F01">
      <w:r>
        <w:separator/>
      </w:r>
    </w:p>
  </w:footnote>
  <w:footnote w:type="continuationSeparator" w:id="0">
    <w:p w:rsidR="00D17B7D" w:rsidRDefault="00D17B7D" w:rsidP="00EB0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70" w:rsidRDefault="009106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70" w:rsidRDefault="009106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70" w:rsidRDefault="009106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60FB8"/>
    <w:multiLevelType w:val="hybridMultilevel"/>
    <w:tmpl w:val="69CC1BF2"/>
    <w:lvl w:ilvl="0" w:tplc="729C3280">
      <w:start w:val="1"/>
      <w:numFmt w:val="bullet"/>
      <w:lvlText w:val=""/>
      <w:lvlJc w:val="left"/>
      <w:pPr>
        <w:ind w:left="360" w:hanging="360"/>
      </w:pPr>
      <w:rPr>
        <w:rFonts w:ascii="Wingdings" w:hAnsi="Wingdings" w:hint="default"/>
        <w:color w:val="00B050"/>
        <w:sz w:val="56"/>
        <w:szCs w:val="5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F71203"/>
    <w:multiLevelType w:val="hybridMultilevel"/>
    <w:tmpl w:val="A4EA5458"/>
    <w:lvl w:ilvl="0" w:tplc="0409001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B0F01"/>
    <w:rsid w:val="0001091C"/>
    <w:rsid w:val="000C0FFF"/>
    <w:rsid w:val="000C5A3E"/>
    <w:rsid w:val="000C7F7D"/>
    <w:rsid w:val="0014352D"/>
    <w:rsid w:val="001C7F37"/>
    <w:rsid w:val="002216DB"/>
    <w:rsid w:val="002416A0"/>
    <w:rsid w:val="002B6922"/>
    <w:rsid w:val="002E7136"/>
    <w:rsid w:val="00337647"/>
    <w:rsid w:val="003E19B4"/>
    <w:rsid w:val="004238C2"/>
    <w:rsid w:val="00452D74"/>
    <w:rsid w:val="00470326"/>
    <w:rsid w:val="00492A21"/>
    <w:rsid w:val="004E6EED"/>
    <w:rsid w:val="00501FFC"/>
    <w:rsid w:val="00527808"/>
    <w:rsid w:val="00541565"/>
    <w:rsid w:val="00564893"/>
    <w:rsid w:val="00565155"/>
    <w:rsid w:val="0057347B"/>
    <w:rsid w:val="005C7240"/>
    <w:rsid w:val="006005A2"/>
    <w:rsid w:val="00625D42"/>
    <w:rsid w:val="007239A8"/>
    <w:rsid w:val="0075239D"/>
    <w:rsid w:val="007A13CF"/>
    <w:rsid w:val="008358DB"/>
    <w:rsid w:val="00845808"/>
    <w:rsid w:val="008620E5"/>
    <w:rsid w:val="008D7859"/>
    <w:rsid w:val="008E75DF"/>
    <w:rsid w:val="008F0C76"/>
    <w:rsid w:val="00910670"/>
    <w:rsid w:val="009B7A76"/>
    <w:rsid w:val="009B7BA7"/>
    <w:rsid w:val="009C22B2"/>
    <w:rsid w:val="009C625E"/>
    <w:rsid w:val="009E4D9F"/>
    <w:rsid w:val="00A172C7"/>
    <w:rsid w:val="00A36213"/>
    <w:rsid w:val="00A56A8F"/>
    <w:rsid w:val="00A765AE"/>
    <w:rsid w:val="00AA4C7F"/>
    <w:rsid w:val="00AA61D9"/>
    <w:rsid w:val="00B242B0"/>
    <w:rsid w:val="00B33AEE"/>
    <w:rsid w:val="00B56A57"/>
    <w:rsid w:val="00B76F77"/>
    <w:rsid w:val="00B93D75"/>
    <w:rsid w:val="00BD00C6"/>
    <w:rsid w:val="00BE5500"/>
    <w:rsid w:val="00C040CD"/>
    <w:rsid w:val="00C06D08"/>
    <w:rsid w:val="00C1553F"/>
    <w:rsid w:val="00C52940"/>
    <w:rsid w:val="00CB1CA1"/>
    <w:rsid w:val="00CD082E"/>
    <w:rsid w:val="00D138EE"/>
    <w:rsid w:val="00D17B7D"/>
    <w:rsid w:val="00D218C8"/>
    <w:rsid w:val="00D47401"/>
    <w:rsid w:val="00D533C3"/>
    <w:rsid w:val="00D777C3"/>
    <w:rsid w:val="00DD4041"/>
    <w:rsid w:val="00DE2BD9"/>
    <w:rsid w:val="00E90506"/>
    <w:rsid w:val="00EB0F01"/>
    <w:rsid w:val="00EB2333"/>
    <w:rsid w:val="00ED78A8"/>
    <w:rsid w:val="00F11248"/>
    <w:rsid w:val="00F23BA5"/>
    <w:rsid w:val="00F441A9"/>
    <w:rsid w:val="00F64C1E"/>
    <w:rsid w:val="00F71712"/>
    <w:rsid w:val="00F772FD"/>
    <w:rsid w:val="00FF538D"/>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01"/>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F01"/>
    <w:pPr>
      <w:ind w:left="720"/>
      <w:contextualSpacing/>
    </w:pPr>
  </w:style>
  <w:style w:type="paragraph" w:styleId="FootnoteText">
    <w:name w:val="footnote text"/>
    <w:basedOn w:val="Normal"/>
    <w:link w:val="FootnoteTextChar"/>
    <w:uiPriority w:val="99"/>
    <w:unhideWhenUsed/>
    <w:rsid w:val="00EB0F01"/>
    <w:rPr>
      <w:sz w:val="20"/>
      <w:szCs w:val="20"/>
    </w:rPr>
  </w:style>
  <w:style w:type="character" w:customStyle="1" w:styleId="FootnoteTextChar">
    <w:name w:val="Footnote Text Char"/>
    <w:basedOn w:val="DefaultParagraphFont"/>
    <w:link w:val="FootnoteText"/>
    <w:uiPriority w:val="99"/>
    <w:rsid w:val="00EB0F01"/>
    <w:rPr>
      <w:rFonts w:ascii="Times New Roman" w:hAnsi="Times New Roman"/>
      <w:sz w:val="20"/>
      <w:szCs w:val="20"/>
    </w:rPr>
  </w:style>
  <w:style w:type="character" w:styleId="FootnoteReference">
    <w:name w:val="footnote reference"/>
    <w:basedOn w:val="DefaultParagraphFont"/>
    <w:uiPriority w:val="99"/>
    <w:unhideWhenUsed/>
    <w:rsid w:val="00EB0F01"/>
    <w:rPr>
      <w:vertAlign w:val="superscript"/>
    </w:rPr>
  </w:style>
  <w:style w:type="character" w:styleId="Hyperlink">
    <w:name w:val="Hyperlink"/>
    <w:basedOn w:val="DefaultParagraphFont"/>
    <w:uiPriority w:val="99"/>
    <w:rsid w:val="00EB0F01"/>
    <w:rPr>
      <w:color w:val="0000FF"/>
      <w:u w:val="single"/>
    </w:rPr>
  </w:style>
  <w:style w:type="table" w:styleId="TableGrid">
    <w:name w:val="Table Grid"/>
    <w:basedOn w:val="TableNormal"/>
    <w:uiPriority w:val="59"/>
    <w:rsid w:val="00EB0F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38C2"/>
    <w:rPr>
      <w:sz w:val="16"/>
      <w:szCs w:val="16"/>
    </w:rPr>
  </w:style>
  <w:style w:type="paragraph" w:styleId="CommentText">
    <w:name w:val="annotation text"/>
    <w:basedOn w:val="Normal"/>
    <w:link w:val="CommentTextChar"/>
    <w:uiPriority w:val="99"/>
    <w:semiHidden/>
    <w:unhideWhenUsed/>
    <w:rsid w:val="004238C2"/>
    <w:rPr>
      <w:sz w:val="20"/>
      <w:szCs w:val="20"/>
    </w:rPr>
  </w:style>
  <w:style w:type="character" w:customStyle="1" w:styleId="CommentTextChar">
    <w:name w:val="Comment Text Char"/>
    <w:basedOn w:val="DefaultParagraphFont"/>
    <w:link w:val="CommentText"/>
    <w:uiPriority w:val="99"/>
    <w:semiHidden/>
    <w:rsid w:val="004238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38C2"/>
    <w:rPr>
      <w:b/>
      <w:bCs/>
    </w:rPr>
  </w:style>
  <w:style w:type="character" w:customStyle="1" w:styleId="CommentSubjectChar">
    <w:name w:val="Comment Subject Char"/>
    <w:basedOn w:val="CommentTextChar"/>
    <w:link w:val="CommentSubject"/>
    <w:uiPriority w:val="99"/>
    <w:semiHidden/>
    <w:rsid w:val="004238C2"/>
    <w:rPr>
      <w:b/>
      <w:bCs/>
    </w:rPr>
  </w:style>
  <w:style w:type="paragraph" w:styleId="Revision">
    <w:name w:val="Revision"/>
    <w:hidden/>
    <w:uiPriority w:val="99"/>
    <w:semiHidden/>
    <w:rsid w:val="004238C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238C2"/>
    <w:rPr>
      <w:rFonts w:ascii="Tahoma" w:hAnsi="Tahoma" w:cs="Tahoma"/>
      <w:sz w:val="16"/>
      <w:szCs w:val="16"/>
    </w:rPr>
  </w:style>
  <w:style w:type="character" w:customStyle="1" w:styleId="BalloonTextChar">
    <w:name w:val="Balloon Text Char"/>
    <w:basedOn w:val="DefaultParagraphFont"/>
    <w:link w:val="BalloonText"/>
    <w:uiPriority w:val="99"/>
    <w:semiHidden/>
    <w:rsid w:val="004238C2"/>
    <w:rPr>
      <w:rFonts w:ascii="Tahoma" w:hAnsi="Tahoma" w:cs="Tahoma"/>
      <w:sz w:val="16"/>
      <w:szCs w:val="16"/>
    </w:rPr>
  </w:style>
  <w:style w:type="paragraph" w:styleId="Header">
    <w:name w:val="header"/>
    <w:basedOn w:val="Normal"/>
    <w:link w:val="HeaderChar"/>
    <w:uiPriority w:val="99"/>
    <w:semiHidden/>
    <w:unhideWhenUsed/>
    <w:rsid w:val="002416A0"/>
    <w:pPr>
      <w:tabs>
        <w:tab w:val="center" w:pos="4680"/>
        <w:tab w:val="right" w:pos="9360"/>
      </w:tabs>
    </w:pPr>
  </w:style>
  <w:style w:type="character" w:customStyle="1" w:styleId="HeaderChar">
    <w:name w:val="Header Char"/>
    <w:basedOn w:val="DefaultParagraphFont"/>
    <w:link w:val="Header"/>
    <w:uiPriority w:val="99"/>
    <w:semiHidden/>
    <w:rsid w:val="002416A0"/>
    <w:rPr>
      <w:rFonts w:ascii="Times New Roman" w:hAnsi="Times New Roman"/>
      <w:sz w:val="24"/>
    </w:rPr>
  </w:style>
  <w:style w:type="paragraph" w:styleId="Footer">
    <w:name w:val="footer"/>
    <w:basedOn w:val="Normal"/>
    <w:link w:val="FooterChar"/>
    <w:uiPriority w:val="99"/>
    <w:unhideWhenUsed/>
    <w:rsid w:val="002416A0"/>
    <w:pPr>
      <w:tabs>
        <w:tab w:val="center" w:pos="4680"/>
        <w:tab w:val="right" w:pos="9360"/>
      </w:tabs>
    </w:pPr>
  </w:style>
  <w:style w:type="character" w:customStyle="1" w:styleId="FooterChar">
    <w:name w:val="Footer Char"/>
    <w:basedOn w:val="DefaultParagraphFont"/>
    <w:link w:val="Footer"/>
    <w:uiPriority w:val="99"/>
    <w:rsid w:val="002416A0"/>
    <w:rPr>
      <w:rFonts w:ascii="Times New Roman" w:hAnsi="Times New Roman"/>
      <w:sz w:val="24"/>
    </w:rPr>
  </w:style>
  <w:style w:type="character" w:customStyle="1" w:styleId="NoSpacingChar">
    <w:name w:val="No Spacing Char"/>
    <w:basedOn w:val="DefaultParagraphFont"/>
    <w:link w:val="NoSpacing"/>
    <w:uiPriority w:val="1"/>
    <w:locked/>
    <w:rsid w:val="002416A0"/>
  </w:style>
  <w:style w:type="paragraph" w:styleId="NoSpacing">
    <w:name w:val="No Spacing"/>
    <w:link w:val="NoSpacingChar"/>
    <w:uiPriority w:val="1"/>
    <w:qFormat/>
    <w:rsid w:val="002416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50E946-D609-4C9C-A733-AA2557F6C73B}"/>
</file>

<file path=customXml/itemProps2.xml><?xml version="1.0" encoding="utf-8"?>
<ds:datastoreItem xmlns:ds="http://schemas.openxmlformats.org/officeDocument/2006/customXml" ds:itemID="{95B2021D-F4FF-41CB-B637-F754295E7A96}"/>
</file>

<file path=customXml/itemProps3.xml><?xml version="1.0" encoding="utf-8"?>
<ds:datastoreItem xmlns:ds="http://schemas.openxmlformats.org/officeDocument/2006/customXml" ds:itemID="{DF45E7BE-378D-4CD3-B78E-030054213E24}"/>
</file>

<file path=customXml/itemProps4.xml><?xml version="1.0" encoding="utf-8"?>
<ds:datastoreItem xmlns:ds="http://schemas.openxmlformats.org/officeDocument/2006/customXml" ds:itemID="{3398C60B-92CB-40AB-8FF9-9B3636650DC0}"/>
</file>

<file path=docProps/app.xml><?xml version="1.0" encoding="utf-8"?>
<Properties xmlns="http://schemas.openxmlformats.org/officeDocument/2006/extended-properties" xmlns:vt="http://schemas.openxmlformats.org/officeDocument/2006/docPropsVTypes">
  <Template>Normal.dotm</Template>
  <TotalTime>0</TotalTime>
  <Pages>6</Pages>
  <Words>2288</Words>
  <Characters>13044</Characters>
  <Application>Microsoft Office Word</Application>
  <DocSecurity>0</DocSecurity>
  <Lines>108</Lines>
  <Paragraphs>30</Paragraphs>
  <ScaleCrop>false</ScaleCrop>
  <Company/>
  <LinksUpToDate>false</LinksUpToDate>
  <CharactersWithSpaces>15302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2012-06-01T18:07:00Z</dcterms:created>
  <dcterms:modified xsi:type="dcterms:W3CDTF">2012-06-01T18:07:00Z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