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302CA3" w14:textId="77777777" w:rsidR="00BD6A2B" w:rsidRPr="00E518D6" w:rsidRDefault="00BD6A2B" w:rsidP="000455AC">
      <w:pPr>
        <w:spacing w:line="264" w:lineRule="auto"/>
        <w:jc w:val="center"/>
        <w:rPr>
          <w:b/>
          <w:bCs/>
          <w:sz w:val="25"/>
          <w:szCs w:val="25"/>
        </w:rPr>
      </w:pPr>
      <w:r w:rsidRPr="00E518D6">
        <w:rPr>
          <w:b/>
          <w:bCs/>
          <w:sz w:val="25"/>
          <w:szCs w:val="25"/>
        </w:rPr>
        <w:t xml:space="preserve">BEFORE THE WASHINGTON </w:t>
      </w:r>
      <w:bookmarkStart w:id="0" w:name="_GoBack"/>
      <w:bookmarkEnd w:id="0"/>
    </w:p>
    <w:p w14:paraId="562D58A2" w14:textId="77777777" w:rsidR="00BD6A2B" w:rsidRPr="00E518D6" w:rsidRDefault="00BD6A2B" w:rsidP="000455AC">
      <w:pPr>
        <w:spacing w:line="264" w:lineRule="auto"/>
        <w:jc w:val="center"/>
        <w:rPr>
          <w:b/>
          <w:bCs/>
          <w:sz w:val="25"/>
          <w:szCs w:val="25"/>
        </w:rPr>
      </w:pPr>
      <w:r w:rsidRPr="00E518D6">
        <w:rPr>
          <w:b/>
          <w:bCs/>
          <w:sz w:val="25"/>
          <w:szCs w:val="25"/>
        </w:rPr>
        <w:t>UTILITIES AND TRANSPORTATION COMMISSION</w:t>
      </w:r>
    </w:p>
    <w:tbl>
      <w:tblPr>
        <w:tblW w:w="8010" w:type="dxa"/>
        <w:tblLayout w:type="fixed"/>
        <w:tblLook w:val="01E0" w:firstRow="1" w:lastRow="1" w:firstColumn="1" w:lastColumn="1" w:noHBand="0" w:noVBand="0"/>
      </w:tblPr>
      <w:tblGrid>
        <w:gridCol w:w="4320"/>
        <w:gridCol w:w="360"/>
        <w:gridCol w:w="3330"/>
      </w:tblGrid>
      <w:tr w:rsidR="00682988" w:rsidRPr="00682988" w14:paraId="0667D67C" w14:textId="77777777" w:rsidTr="00883A54">
        <w:tc>
          <w:tcPr>
            <w:tcW w:w="4320" w:type="dxa"/>
          </w:tcPr>
          <w:p w14:paraId="18DAF9D3" w14:textId="44B210BE" w:rsidR="00883A54" w:rsidRDefault="003E6A7D" w:rsidP="008305A2">
            <w:pPr>
              <w:rPr>
                <w:sz w:val="25"/>
                <w:szCs w:val="25"/>
              </w:rPr>
            </w:pPr>
            <w:r>
              <w:rPr>
                <w:sz w:val="25"/>
                <w:szCs w:val="25"/>
              </w:rPr>
              <w:tab/>
            </w:r>
          </w:p>
          <w:p w14:paraId="5A345EE0" w14:textId="28B25298" w:rsidR="00C7099E" w:rsidRPr="00C7099E" w:rsidRDefault="00C7099E" w:rsidP="008305A2">
            <w:pPr>
              <w:rPr>
                <w:sz w:val="25"/>
                <w:szCs w:val="25"/>
              </w:rPr>
            </w:pPr>
            <w:r w:rsidRPr="00C7099E">
              <w:rPr>
                <w:sz w:val="25"/>
                <w:szCs w:val="25"/>
              </w:rPr>
              <w:t>WASHINGTON UTILITIES AND TRANSPORTATION COMMISSION,</w:t>
            </w:r>
          </w:p>
          <w:p w14:paraId="2628ABE4" w14:textId="77777777" w:rsidR="00C7099E" w:rsidRPr="00C7099E" w:rsidRDefault="00C7099E" w:rsidP="008E0461">
            <w:pPr>
              <w:rPr>
                <w:sz w:val="25"/>
                <w:szCs w:val="25"/>
              </w:rPr>
            </w:pPr>
          </w:p>
          <w:p w14:paraId="01570E9E" w14:textId="0BD2927C" w:rsidR="00C7099E" w:rsidRPr="00C7099E" w:rsidRDefault="00C7099E" w:rsidP="008E0461">
            <w:pPr>
              <w:rPr>
                <w:sz w:val="25"/>
                <w:szCs w:val="25"/>
              </w:rPr>
            </w:pPr>
            <w:r w:rsidRPr="00C7099E">
              <w:rPr>
                <w:sz w:val="25"/>
                <w:szCs w:val="25"/>
              </w:rPr>
              <w:tab/>
            </w:r>
            <w:r w:rsidRPr="00C7099E">
              <w:rPr>
                <w:sz w:val="25"/>
                <w:szCs w:val="25"/>
              </w:rPr>
              <w:tab/>
            </w:r>
            <w:r w:rsidR="00892CAA">
              <w:rPr>
                <w:sz w:val="25"/>
                <w:szCs w:val="25"/>
              </w:rPr>
              <w:tab/>
            </w:r>
            <w:r w:rsidRPr="00C7099E">
              <w:rPr>
                <w:sz w:val="25"/>
                <w:szCs w:val="25"/>
              </w:rPr>
              <w:t>Complainant,</w:t>
            </w:r>
          </w:p>
          <w:p w14:paraId="03D86D23" w14:textId="77777777" w:rsidR="00C7099E" w:rsidRPr="00C7099E" w:rsidRDefault="00C7099E" w:rsidP="008E0461">
            <w:pPr>
              <w:rPr>
                <w:sz w:val="25"/>
                <w:szCs w:val="25"/>
              </w:rPr>
            </w:pPr>
          </w:p>
          <w:p w14:paraId="20DF91DD" w14:textId="77777777" w:rsidR="00C7099E" w:rsidRPr="00C7099E" w:rsidRDefault="00C7099E" w:rsidP="008E0461">
            <w:pPr>
              <w:rPr>
                <w:sz w:val="25"/>
                <w:szCs w:val="25"/>
              </w:rPr>
            </w:pPr>
            <w:proofErr w:type="gramStart"/>
            <w:r w:rsidRPr="00C7099E">
              <w:rPr>
                <w:sz w:val="25"/>
                <w:szCs w:val="25"/>
              </w:rPr>
              <w:t>v</w:t>
            </w:r>
            <w:proofErr w:type="gramEnd"/>
            <w:r w:rsidRPr="00C7099E">
              <w:rPr>
                <w:sz w:val="25"/>
                <w:szCs w:val="25"/>
              </w:rPr>
              <w:t>.</w:t>
            </w:r>
          </w:p>
          <w:p w14:paraId="3BEB8876" w14:textId="77777777" w:rsidR="00C7099E" w:rsidRPr="00C7099E" w:rsidRDefault="00C7099E" w:rsidP="008E0461">
            <w:pPr>
              <w:rPr>
                <w:sz w:val="25"/>
                <w:szCs w:val="25"/>
              </w:rPr>
            </w:pPr>
          </w:p>
          <w:p w14:paraId="55DEE1C2" w14:textId="4F64B738" w:rsidR="00C7099E" w:rsidRPr="00C7099E" w:rsidRDefault="00C7099E" w:rsidP="008E0461">
            <w:pPr>
              <w:rPr>
                <w:sz w:val="25"/>
                <w:szCs w:val="25"/>
              </w:rPr>
            </w:pPr>
            <w:r w:rsidRPr="00C7099E">
              <w:rPr>
                <w:sz w:val="25"/>
                <w:szCs w:val="25"/>
              </w:rPr>
              <w:t xml:space="preserve">PACIFIC POWER &amp; LIGHT COMPANY, a </w:t>
            </w:r>
            <w:r w:rsidR="003C517B">
              <w:rPr>
                <w:sz w:val="25"/>
                <w:szCs w:val="25"/>
              </w:rPr>
              <w:t>D</w:t>
            </w:r>
            <w:r w:rsidRPr="00C7099E">
              <w:rPr>
                <w:sz w:val="25"/>
                <w:szCs w:val="25"/>
              </w:rPr>
              <w:t xml:space="preserve">ivision of PacifiCorp, </w:t>
            </w:r>
          </w:p>
          <w:p w14:paraId="6287AB30" w14:textId="77777777" w:rsidR="00C7099E" w:rsidRPr="00C7099E" w:rsidRDefault="00C7099E" w:rsidP="008E0461">
            <w:pPr>
              <w:rPr>
                <w:sz w:val="25"/>
                <w:szCs w:val="25"/>
              </w:rPr>
            </w:pPr>
          </w:p>
          <w:p w14:paraId="09BF36DE" w14:textId="284A543F" w:rsidR="00C7099E" w:rsidRDefault="00C7099E" w:rsidP="008E0461">
            <w:pPr>
              <w:rPr>
                <w:sz w:val="25"/>
                <w:szCs w:val="25"/>
              </w:rPr>
            </w:pPr>
            <w:r w:rsidRPr="00C7099E">
              <w:rPr>
                <w:sz w:val="25"/>
                <w:szCs w:val="25"/>
              </w:rPr>
              <w:tab/>
            </w:r>
            <w:r w:rsidRPr="00C7099E">
              <w:rPr>
                <w:sz w:val="25"/>
                <w:szCs w:val="25"/>
              </w:rPr>
              <w:tab/>
            </w:r>
            <w:r w:rsidR="00892CAA">
              <w:rPr>
                <w:sz w:val="25"/>
                <w:szCs w:val="25"/>
              </w:rPr>
              <w:tab/>
            </w:r>
            <w:r w:rsidRPr="00C7099E">
              <w:rPr>
                <w:sz w:val="25"/>
                <w:szCs w:val="25"/>
              </w:rPr>
              <w:t>Respondent.</w:t>
            </w:r>
          </w:p>
          <w:p w14:paraId="1D16E0EF" w14:textId="77777777" w:rsidR="00CF389D" w:rsidRPr="00C7099E" w:rsidRDefault="00CF389D" w:rsidP="008E0461">
            <w:pPr>
              <w:rPr>
                <w:sz w:val="25"/>
                <w:szCs w:val="25"/>
              </w:rPr>
            </w:pPr>
          </w:p>
          <w:p w14:paraId="07A8A1BE" w14:textId="2A9F9DA4" w:rsidR="00C7099E" w:rsidRPr="00C7099E" w:rsidRDefault="00C7099E" w:rsidP="008E0461">
            <w:pPr>
              <w:rPr>
                <w:sz w:val="25"/>
                <w:szCs w:val="25"/>
              </w:rPr>
            </w:pPr>
            <w:r w:rsidRPr="00C7099E">
              <w:rPr>
                <w:sz w:val="25"/>
                <w:szCs w:val="25"/>
              </w:rPr>
              <w:t xml:space="preserve">. . . . . . . . . . . . . . . . . . . . . . . . . . . . . . . . . </w:t>
            </w:r>
          </w:p>
          <w:p w14:paraId="6B51A740" w14:textId="77777777" w:rsidR="00C7099E" w:rsidRPr="00C7099E" w:rsidRDefault="00C7099E" w:rsidP="008E0461">
            <w:pPr>
              <w:rPr>
                <w:sz w:val="25"/>
                <w:szCs w:val="25"/>
              </w:rPr>
            </w:pPr>
            <w:r w:rsidRPr="00C7099E">
              <w:rPr>
                <w:sz w:val="25"/>
                <w:szCs w:val="25"/>
              </w:rPr>
              <w:t xml:space="preserve">In the Matter of </w:t>
            </w:r>
          </w:p>
          <w:p w14:paraId="368A290D" w14:textId="77777777" w:rsidR="00C7099E" w:rsidRPr="00C7099E" w:rsidRDefault="00C7099E" w:rsidP="008E0461">
            <w:pPr>
              <w:rPr>
                <w:sz w:val="25"/>
                <w:szCs w:val="25"/>
              </w:rPr>
            </w:pPr>
          </w:p>
          <w:p w14:paraId="6D55B9A7" w14:textId="77777777" w:rsidR="00C7099E" w:rsidRPr="00C7099E" w:rsidRDefault="00C7099E" w:rsidP="008E0461">
            <w:pPr>
              <w:rPr>
                <w:sz w:val="25"/>
                <w:szCs w:val="25"/>
              </w:rPr>
            </w:pPr>
            <w:r w:rsidRPr="00C7099E">
              <w:rPr>
                <w:sz w:val="25"/>
                <w:szCs w:val="25"/>
              </w:rPr>
              <w:t xml:space="preserve">PACIFIC POWER &amp; LIGHT COMPANY </w:t>
            </w:r>
          </w:p>
          <w:p w14:paraId="0CC02505" w14:textId="77777777" w:rsidR="00C7099E" w:rsidRPr="00C7099E" w:rsidRDefault="00C7099E" w:rsidP="008E0461">
            <w:pPr>
              <w:rPr>
                <w:sz w:val="25"/>
                <w:szCs w:val="25"/>
              </w:rPr>
            </w:pPr>
          </w:p>
          <w:p w14:paraId="4258F347" w14:textId="5F434BED" w:rsidR="00C7099E" w:rsidRDefault="00C7099E" w:rsidP="008E0461">
            <w:pPr>
              <w:rPr>
                <w:sz w:val="25"/>
                <w:szCs w:val="25"/>
              </w:rPr>
            </w:pPr>
            <w:r w:rsidRPr="00C7099E">
              <w:rPr>
                <w:sz w:val="25"/>
                <w:szCs w:val="25"/>
              </w:rPr>
              <w:t>Petition for an Order Approving Deferral of the Washington-Allocated Revenue Requirement Associated with the Merwin Fish Collector.</w:t>
            </w:r>
          </w:p>
          <w:p w14:paraId="09363C83" w14:textId="75D1478B" w:rsidR="00892CAA" w:rsidRPr="00C7099E" w:rsidRDefault="00892CAA" w:rsidP="008E0461">
            <w:pPr>
              <w:rPr>
                <w:sz w:val="25"/>
                <w:szCs w:val="25"/>
              </w:rPr>
            </w:pPr>
            <w:r>
              <w:rPr>
                <w:sz w:val="25"/>
                <w:szCs w:val="25"/>
              </w:rPr>
              <w:t xml:space="preserve">. . . . . . . . . . . . . . . . . . . . . . . . . . . . . . . . . </w:t>
            </w:r>
          </w:p>
          <w:p w14:paraId="0022E4E6" w14:textId="77777777" w:rsidR="00C7099E" w:rsidRPr="00C7099E" w:rsidRDefault="00C7099E" w:rsidP="008E0461">
            <w:pPr>
              <w:rPr>
                <w:sz w:val="25"/>
                <w:szCs w:val="25"/>
              </w:rPr>
            </w:pPr>
            <w:r w:rsidRPr="00C7099E">
              <w:rPr>
                <w:sz w:val="25"/>
                <w:szCs w:val="25"/>
              </w:rPr>
              <w:t xml:space="preserve">In the Matter of </w:t>
            </w:r>
          </w:p>
          <w:p w14:paraId="55B3F19E" w14:textId="77777777" w:rsidR="00C7099E" w:rsidRPr="00C7099E" w:rsidRDefault="00C7099E" w:rsidP="008E0461">
            <w:pPr>
              <w:rPr>
                <w:sz w:val="25"/>
                <w:szCs w:val="25"/>
              </w:rPr>
            </w:pPr>
          </w:p>
          <w:p w14:paraId="73491EBA" w14:textId="77777777" w:rsidR="00C7099E" w:rsidRPr="00C7099E" w:rsidRDefault="00C7099E" w:rsidP="008E0461">
            <w:pPr>
              <w:rPr>
                <w:sz w:val="25"/>
                <w:szCs w:val="25"/>
              </w:rPr>
            </w:pPr>
            <w:r w:rsidRPr="00C7099E">
              <w:rPr>
                <w:sz w:val="25"/>
                <w:szCs w:val="25"/>
              </w:rPr>
              <w:t xml:space="preserve">PACIFIC POWER &amp; LIGHT COMPANY </w:t>
            </w:r>
          </w:p>
          <w:p w14:paraId="572CB61D" w14:textId="77777777" w:rsidR="00C7099E" w:rsidRPr="00C7099E" w:rsidRDefault="00C7099E" w:rsidP="008E0461">
            <w:pPr>
              <w:rPr>
                <w:sz w:val="25"/>
                <w:szCs w:val="25"/>
              </w:rPr>
            </w:pPr>
          </w:p>
          <w:p w14:paraId="695349C7" w14:textId="551C7B80" w:rsidR="00C7099E" w:rsidRDefault="00C7099E" w:rsidP="008E0461">
            <w:pPr>
              <w:rPr>
                <w:sz w:val="25"/>
                <w:szCs w:val="25"/>
              </w:rPr>
            </w:pPr>
            <w:r w:rsidRPr="00C7099E">
              <w:rPr>
                <w:sz w:val="25"/>
                <w:szCs w:val="25"/>
              </w:rPr>
              <w:t xml:space="preserve">Petition for an Order Approving Deferral of </w:t>
            </w:r>
            <w:r w:rsidR="003C517B">
              <w:rPr>
                <w:sz w:val="25"/>
                <w:szCs w:val="25"/>
              </w:rPr>
              <w:t>C</w:t>
            </w:r>
            <w:r w:rsidRPr="00C7099E">
              <w:rPr>
                <w:sz w:val="25"/>
                <w:szCs w:val="25"/>
              </w:rPr>
              <w:t xml:space="preserve">osts Related to Colstrip Outage.  </w:t>
            </w:r>
          </w:p>
          <w:p w14:paraId="2A9E46B3" w14:textId="747ACC3E" w:rsidR="00892CAA" w:rsidRPr="00C7099E" w:rsidRDefault="00892CAA" w:rsidP="008E0461">
            <w:pPr>
              <w:rPr>
                <w:sz w:val="25"/>
                <w:szCs w:val="25"/>
              </w:rPr>
            </w:pPr>
            <w:r>
              <w:rPr>
                <w:sz w:val="25"/>
                <w:szCs w:val="25"/>
              </w:rPr>
              <w:t xml:space="preserve">. . . . . . . . . . . . . . . . . . . . . . . . . . . . . . . . . </w:t>
            </w:r>
          </w:p>
          <w:p w14:paraId="7A0121DE" w14:textId="77777777" w:rsidR="00C7099E" w:rsidRPr="00C7099E" w:rsidRDefault="00C7099E" w:rsidP="008E0461">
            <w:pPr>
              <w:rPr>
                <w:sz w:val="25"/>
                <w:szCs w:val="25"/>
              </w:rPr>
            </w:pPr>
            <w:r w:rsidRPr="00C7099E">
              <w:rPr>
                <w:sz w:val="25"/>
                <w:szCs w:val="25"/>
              </w:rPr>
              <w:t xml:space="preserve">In the Matter of </w:t>
            </w:r>
          </w:p>
          <w:p w14:paraId="187D3BA2" w14:textId="77777777" w:rsidR="00C7099E" w:rsidRPr="00C7099E" w:rsidRDefault="00C7099E" w:rsidP="008E0461">
            <w:pPr>
              <w:rPr>
                <w:sz w:val="25"/>
                <w:szCs w:val="25"/>
              </w:rPr>
            </w:pPr>
          </w:p>
          <w:p w14:paraId="1765849B" w14:textId="77777777" w:rsidR="00C7099E" w:rsidRPr="00C7099E" w:rsidRDefault="00C7099E" w:rsidP="008E0461">
            <w:pPr>
              <w:rPr>
                <w:sz w:val="25"/>
                <w:szCs w:val="25"/>
              </w:rPr>
            </w:pPr>
            <w:r w:rsidRPr="00C7099E">
              <w:rPr>
                <w:sz w:val="25"/>
                <w:szCs w:val="25"/>
              </w:rPr>
              <w:t xml:space="preserve">PACIFIC POWER &amp; LIGHT COMPANY </w:t>
            </w:r>
          </w:p>
          <w:p w14:paraId="2C9CDE1D" w14:textId="77777777" w:rsidR="00C7099E" w:rsidRPr="00C7099E" w:rsidRDefault="00C7099E" w:rsidP="008E0461">
            <w:pPr>
              <w:rPr>
                <w:sz w:val="25"/>
                <w:szCs w:val="25"/>
              </w:rPr>
            </w:pPr>
          </w:p>
          <w:p w14:paraId="70B4C1DE" w14:textId="77777777" w:rsidR="00682988" w:rsidRDefault="00C7099E" w:rsidP="008E0461">
            <w:pPr>
              <w:rPr>
                <w:sz w:val="25"/>
                <w:szCs w:val="25"/>
              </w:rPr>
            </w:pPr>
            <w:r w:rsidRPr="00C7099E">
              <w:rPr>
                <w:sz w:val="25"/>
                <w:szCs w:val="25"/>
              </w:rPr>
              <w:t>Petition for an Order Approving Deferral of Costs Related to Declining Hydro Generation.</w:t>
            </w:r>
          </w:p>
          <w:p w14:paraId="508AAE05" w14:textId="0F3022C1" w:rsidR="00DA3F0D" w:rsidRPr="00682988" w:rsidRDefault="00DA3F0D" w:rsidP="00883A54">
            <w:pPr>
              <w:rPr>
                <w:sz w:val="25"/>
                <w:szCs w:val="25"/>
              </w:rPr>
            </w:pPr>
            <w:r>
              <w:rPr>
                <w:sz w:val="25"/>
                <w:szCs w:val="25"/>
              </w:rPr>
              <w:t xml:space="preserve">. . . . . . . . . . . . . . . . . . . . . . . . . . . . . . . . . </w:t>
            </w:r>
          </w:p>
        </w:tc>
        <w:tc>
          <w:tcPr>
            <w:tcW w:w="360" w:type="dxa"/>
          </w:tcPr>
          <w:p w14:paraId="23AEDD29" w14:textId="77777777" w:rsidR="00883A54" w:rsidRDefault="00883A54" w:rsidP="008E0461">
            <w:pPr>
              <w:jc w:val="center"/>
              <w:rPr>
                <w:sz w:val="25"/>
                <w:szCs w:val="25"/>
              </w:rPr>
            </w:pPr>
          </w:p>
          <w:p w14:paraId="467A650A" w14:textId="77777777" w:rsidR="00C7099E" w:rsidRDefault="00C7099E" w:rsidP="008E0461">
            <w:pPr>
              <w:jc w:val="center"/>
              <w:rPr>
                <w:sz w:val="25"/>
                <w:szCs w:val="25"/>
              </w:rPr>
            </w:pPr>
            <w:r>
              <w:rPr>
                <w:sz w:val="25"/>
                <w:szCs w:val="25"/>
              </w:rPr>
              <w:t>)</w:t>
            </w:r>
          </w:p>
          <w:p w14:paraId="7B78A0BF" w14:textId="77777777" w:rsidR="00C7099E" w:rsidRPr="00C7099E" w:rsidRDefault="00C7099E" w:rsidP="008E0461">
            <w:pPr>
              <w:jc w:val="center"/>
              <w:rPr>
                <w:sz w:val="25"/>
                <w:szCs w:val="25"/>
              </w:rPr>
            </w:pPr>
            <w:r w:rsidRPr="00C7099E">
              <w:rPr>
                <w:sz w:val="25"/>
                <w:szCs w:val="25"/>
              </w:rPr>
              <w:t>)</w:t>
            </w:r>
          </w:p>
          <w:p w14:paraId="3D859F7D" w14:textId="77777777" w:rsidR="00C7099E" w:rsidRDefault="00C7099E" w:rsidP="008E0461">
            <w:pPr>
              <w:jc w:val="center"/>
              <w:rPr>
                <w:sz w:val="25"/>
                <w:szCs w:val="25"/>
              </w:rPr>
            </w:pPr>
            <w:r>
              <w:rPr>
                <w:sz w:val="25"/>
                <w:szCs w:val="25"/>
              </w:rPr>
              <w:t>)</w:t>
            </w:r>
          </w:p>
          <w:p w14:paraId="41955208" w14:textId="77777777" w:rsidR="00C7099E" w:rsidRPr="00C7099E" w:rsidRDefault="00C7099E" w:rsidP="008E0461">
            <w:pPr>
              <w:jc w:val="center"/>
              <w:rPr>
                <w:sz w:val="25"/>
                <w:szCs w:val="25"/>
              </w:rPr>
            </w:pPr>
            <w:r w:rsidRPr="00C7099E">
              <w:rPr>
                <w:sz w:val="25"/>
                <w:szCs w:val="25"/>
              </w:rPr>
              <w:t>)</w:t>
            </w:r>
          </w:p>
          <w:p w14:paraId="0DB8708A" w14:textId="77777777" w:rsidR="00C7099E" w:rsidRDefault="00C7099E" w:rsidP="008E0461">
            <w:pPr>
              <w:jc w:val="center"/>
              <w:rPr>
                <w:sz w:val="25"/>
                <w:szCs w:val="25"/>
              </w:rPr>
            </w:pPr>
            <w:r>
              <w:rPr>
                <w:sz w:val="25"/>
                <w:szCs w:val="25"/>
              </w:rPr>
              <w:t>)</w:t>
            </w:r>
          </w:p>
          <w:p w14:paraId="6B585D46" w14:textId="6FD35736" w:rsidR="00C7099E" w:rsidRDefault="00822909" w:rsidP="008E0461">
            <w:pPr>
              <w:jc w:val="center"/>
              <w:rPr>
                <w:sz w:val="25"/>
                <w:szCs w:val="25"/>
              </w:rPr>
            </w:pPr>
            <w:r>
              <w:rPr>
                <w:sz w:val="25"/>
                <w:szCs w:val="25"/>
              </w:rPr>
              <w:t>)</w:t>
            </w:r>
          </w:p>
          <w:p w14:paraId="5EF42421" w14:textId="77777777" w:rsidR="00822909" w:rsidRDefault="00822909" w:rsidP="008E0461">
            <w:pPr>
              <w:jc w:val="center"/>
              <w:rPr>
                <w:sz w:val="25"/>
                <w:szCs w:val="25"/>
              </w:rPr>
            </w:pPr>
            <w:r>
              <w:rPr>
                <w:sz w:val="25"/>
                <w:szCs w:val="25"/>
              </w:rPr>
              <w:t>)</w:t>
            </w:r>
          </w:p>
          <w:p w14:paraId="571ADFAD" w14:textId="77777777" w:rsidR="00822909" w:rsidRDefault="00822909" w:rsidP="008E0461">
            <w:pPr>
              <w:jc w:val="center"/>
              <w:rPr>
                <w:sz w:val="25"/>
                <w:szCs w:val="25"/>
              </w:rPr>
            </w:pPr>
            <w:r>
              <w:rPr>
                <w:sz w:val="25"/>
                <w:szCs w:val="25"/>
              </w:rPr>
              <w:t>)</w:t>
            </w:r>
          </w:p>
          <w:p w14:paraId="57CCFA8B" w14:textId="77777777" w:rsidR="00822909" w:rsidRDefault="00822909" w:rsidP="008E0461">
            <w:pPr>
              <w:jc w:val="center"/>
              <w:rPr>
                <w:sz w:val="25"/>
                <w:szCs w:val="25"/>
              </w:rPr>
            </w:pPr>
            <w:r>
              <w:rPr>
                <w:sz w:val="25"/>
                <w:szCs w:val="25"/>
              </w:rPr>
              <w:t>)</w:t>
            </w:r>
          </w:p>
          <w:p w14:paraId="4491A80A" w14:textId="77777777" w:rsidR="00822909" w:rsidRDefault="00822909" w:rsidP="008E0461">
            <w:pPr>
              <w:jc w:val="center"/>
              <w:rPr>
                <w:sz w:val="25"/>
                <w:szCs w:val="25"/>
              </w:rPr>
            </w:pPr>
            <w:r>
              <w:rPr>
                <w:sz w:val="25"/>
                <w:szCs w:val="25"/>
              </w:rPr>
              <w:t>)</w:t>
            </w:r>
          </w:p>
          <w:p w14:paraId="464C8383" w14:textId="77777777" w:rsidR="00822909" w:rsidRDefault="00822909" w:rsidP="008E0461">
            <w:pPr>
              <w:jc w:val="center"/>
              <w:rPr>
                <w:sz w:val="25"/>
                <w:szCs w:val="25"/>
              </w:rPr>
            </w:pPr>
            <w:r>
              <w:rPr>
                <w:sz w:val="25"/>
                <w:szCs w:val="25"/>
              </w:rPr>
              <w:t>)</w:t>
            </w:r>
          </w:p>
          <w:p w14:paraId="3212ED5C" w14:textId="77777777" w:rsidR="00822909" w:rsidRDefault="00822909" w:rsidP="008E0461">
            <w:pPr>
              <w:jc w:val="center"/>
              <w:rPr>
                <w:sz w:val="25"/>
                <w:szCs w:val="25"/>
              </w:rPr>
            </w:pPr>
            <w:r>
              <w:rPr>
                <w:sz w:val="25"/>
                <w:szCs w:val="25"/>
              </w:rPr>
              <w:t>)</w:t>
            </w:r>
          </w:p>
          <w:p w14:paraId="04FEF413" w14:textId="77777777" w:rsidR="00822909" w:rsidRDefault="00822909" w:rsidP="008E0461">
            <w:pPr>
              <w:jc w:val="center"/>
              <w:rPr>
                <w:sz w:val="25"/>
                <w:szCs w:val="25"/>
              </w:rPr>
            </w:pPr>
            <w:r>
              <w:rPr>
                <w:sz w:val="25"/>
                <w:szCs w:val="25"/>
              </w:rPr>
              <w:t>)</w:t>
            </w:r>
          </w:p>
          <w:p w14:paraId="70734F90" w14:textId="77777777" w:rsidR="00822909" w:rsidRDefault="00822909" w:rsidP="008E0461">
            <w:pPr>
              <w:jc w:val="center"/>
              <w:rPr>
                <w:sz w:val="25"/>
                <w:szCs w:val="25"/>
              </w:rPr>
            </w:pPr>
            <w:r>
              <w:rPr>
                <w:sz w:val="25"/>
                <w:szCs w:val="25"/>
              </w:rPr>
              <w:t>)</w:t>
            </w:r>
          </w:p>
          <w:p w14:paraId="74AFAE44" w14:textId="77777777" w:rsidR="00822909" w:rsidRDefault="00822909" w:rsidP="008E0461">
            <w:pPr>
              <w:jc w:val="center"/>
              <w:rPr>
                <w:sz w:val="25"/>
                <w:szCs w:val="25"/>
              </w:rPr>
            </w:pPr>
            <w:r>
              <w:rPr>
                <w:sz w:val="25"/>
                <w:szCs w:val="25"/>
              </w:rPr>
              <w:t>)</w:t>
            </w:r>
          </w:p>
          <w:p w14:paraId="07D0FC11" w14:textId="77777777" w:rsidR="00822909" w:rsidRDefault="00822909" w:rsidP="008E0461">
            <w:pPr>
              <w:jc w:val="center"/>
              <w:rPr>
                <w:sz w:val="25"/>
                <w:szCs w:val="25"/>
              </w:rPr>
            </w:pPr>
            <w:r>
              <w:rPr>
                <w:sz w:val="25"/>
                <w:szCs w:val="25"/>
              </w:rPr>
              <w:t>)</w:t>
            </w:r>
          </w:p>
          <w:p w14:paraId="26AC9A81" w14:textId="77777777" w:rsidR="00822909" w:rsidRDefault="00822909" w:rsidP="008E0461">
            <w:pPr>
              <w:jc w:val="center"/>
              <w:rPr>
                <w:sz w:val="25"/>
                <w:szCs w:val="25"/>
              </w:rPr>
            </w:pPr>
            <w:r>
              <w:rPr>
                <w:sz w:val="25"/>
                <w:szCs w:val="25"/>
              </w:rPr>
              <w:t>)</w:t>
            </w:r>
          </w:p>
          <w:p w14:paraId="68576AF3" w14:textId="77777777" w:rsidR="00822909" w:rsidRDefault="00822909" w:rsidP="008E0461">
            <w:pPr>
              <w:jc w:val="center"/>
              <w:rPr>
                <w:sz w:val="25"/>
                <w:szCs w:val="25"/>
              </w:rPr>
            </w:pPr>
            <w:r>
              <w:rPr>
                <w:sz w:val="25"/>
                <w:szCs w:val="25"/>
              </w:rPr>
              <w:t>)</w:t>
            </w:r>
          </w:p>
          <w:p w14:paraId="5843BAF3" w14:textId="77777777" w:rsidR="00822909" w:rsidRDefault="00822909" w:rsidP="008E0461">
            <w:pPr>
              <w:jc w:val="center"/>
              <w:rPr>
                <w:sz w:val="25"/>
                <w:szCs w:val="25"/>
              </w:rPr>
            </w:pPr>
            <w:r>
              <w:rPr>
                <w:sz w:val="25"/>
                <w:szCs w:val="25"/>
              </w:rPr>
              <w:t>)</w:t>
            </w:r>
          </w:p>
          <w:p w14:paraId="5CD35890" w14:textId="71DF4FF0" w:rsidR="00822909" w:rsidRDefault="00822909" w:rsidP="008E0461">
            <w:pPr>
              <w:jc w:val="center"/>
              <w:rPr>
                <w:sz w:val="25"/>
                <w:szCs w:val="25"/>
              </w:rPr>
            </w:pPr>
            <w:r>
              <w:rPr>
                <w:sz w:val="25"/>
                <w:szCs w:val="25"/>
              </w:rPr>
              <w:t>)</w:t>
            </w:r>
          </w:p>
          <w:p w14:paraId="1F0A987C" w14:textId="77777777" w:rsidR="00822909" w:rsidRDefault="00822909" w:rsidP="008E0461">
            <w:pPr>
              <w:jc w:val="center"/>
              <w:rPr>
                <w:sz w:val="25"/>
                <w:szCs w:val="25"/>
              </w:rPr>
            </w:pPr>
            <w:r>
              <w:rPr>
                <w:sz w:val="25"/>
                <w:szCs w:val="25"/>
              </w:rPr>
              <w:t>)</w:t>
            </w:r>
          </w:p>
          <w:p w14:paraId="35DF4D86" w14:textId="77777777" w:rsidR="00822909" w:rsidRDefault="00822909" w:rsidP="008E0461">
            <w:pPr>
              <w:jc w:val="center"/>
              <w:rPr>
                <w:sz w:val="25"/>
                <w:szCs w:val="25"/>
              </w:rPr>
            </w:pPr>
            <w:r>
              <w:rPr>
                <w:sz w:val="25"/>
                <w:szCs w:val="25"/>
              </w:rPr>
              <w:t>)</w:t>
            </w:r>
          </w:p>
          <w:p w14:paraId="70F454E3" w14:textId="327C2794" w:rsidR="00822909" w:rsidRDefault="00822909" w:rsidP="008E0461">
            <w:pPr>
              <w:jc w:val="center"/>
              <w:rPr>
                <w:sz w:val="25"/>
                <w:szCs w:val="25"/>
              </w:rPr>
            </w:pPr>
            <w:r>
              <w:rPr>
                <w:sz w:val="25"/>
                <w:szCs w:val="25"/>
              </w:rPr>
              <w:t>)</w:t>
            </w:r>
          </w:p>
          <w:p w14:paraId="60072198" w14:textId="77777777" w:rsidR="00822909" w:rsidRDefault="00822909" w:rsidP="008E0461">
            <w:pPr>
              <w:jc w:val="center"/>
              <w:rPr>
                <w:sz w:val="25"/>
                <w:szCs w:val="25"/>
              </w:rPr>
            </w:pPr>
            <w:r>
              <w:rPr>
                <w:sz w:val="25"/>
                <w:szCs w:val="25"/>
              </w:rPr>
              <w:t>)</w:t>
            </w:r>
          </w:p>
          <w:p w14:paraId="0CA0B357" w14:textId="77777777" w:rsidR="00822909" w:rsidRDefault="00822909" w:rsidP="008E0461">
            <w:pPr>
              <w:jc w:val="center"/>
              <w:rPr>
                <w:sz w:val="25"/>
                <w:szCs w:val="25"/>
              </w:rPr>
            </w:pPr>
            <w:r>
              <w:rPr>
                <w:sz w:val="25"/>
                <w:szCs w:val="25"/>
              </w:rPr>
              <w:t>)</w:t>
            </w:r>
          </w:p>
          <w:p w14:paraId="62F03299" w14:textId="77777777" w:rsidR="00822909" w:rsidRDefault="00822909" w:rsidP="008E0461">
            <w:pPr>
              <w:jc w:val="center"/>
              <w:rPr>
                <w:sz w:val="25"/>
                <w:szCs w:val="25"/>
              </w:rPr>
            </w:pPr>
            <w:r>
              <w:rPr>
                <w:sz w:val="25"/>
                <w:szCs w:val="25"/>
              </w:rPr>
              <w:t>)</w:t>
            </w:r>
          </w:p>
          <w:p w14:paraId="1ADC4EBE" w14:textId="77777777" w:rsidR="00822909" w:rsidRDefault="00822909" w:rsidP="008E0461">
            <w:pPr>
              <w:jc w:val="center"/>
              <w:rPr>
                <w:sz w:val="25"/>
                <w:szCs w:val="25"/>
              </w:rPr>
            </w:pPr>
            <w:r>
              <w:rPr>
                <w:sz w:val="25"/>
                <w:szCs w:val="25"/>
              </w:rPr>
              <w:t>)</w:t>
            </w:r>
          </w:p>
          <w:p w14:paraId="04BED395" w14:textId="77777777" w:rsidR="00822909" w:rsidRDefault="00822909" w:rsidP="008E0461">
            <w:pPr>
              <w:jc w:val="center"/>
              <w:rPr>
                <w:sz w:val="25"/>
                <w:szCs w:val="25"/>
              </w:rPr>
            </w:pPr>
            <w:r>
              <w:rPr>
                <w:sz w:val="25"/>
                <w:szCs w:val="25"/>
              </w:rPr>
              <w:t>)</w:t>
            </w:r>
          </w:p>
          <w:p w14:paraId="2FB0C271" w14:textId="77777777" w:rsidR="00822909" w:rsidRDefault="00822909" w:rsidP="008E0461">
            <w:pPr>
              <w:jc w:val="center"/>
              <w:rPr>
                <w:sz w:val="25"/>
                <w:szCs w:val="25"/>
              </w:rPr>
            </w:pPr>
            <w:r>
              <w:rPr>
                <w:sz w:val="25"/>
                <w:szCs w:val="25"/>
              </w:rPr>
              <w:t>)</w:t>
            </w:r>
          </w:p>
          <w:p w14:paraId="0F6B19BD" w14:textId="77777777" w:rsidR="00822909" w:rsidRDefault="00822909" w:rsidP="008E0461">
            <w:pPr>
              <w:jc w:val="center"/>
              <w:rPr>
                <w:sz w:val="25"/>
                <w:szCs w:val="25"/>
              </w:rPr>
            </w:pPr>
            <w:r>
              <w:rPr>
                <w:sz w:val="25"/>
                <w:szCs w:val="25"/>
              </w:rPr>
              <w:t>)</w:t>
            </w:r>
          </w:p>
          <w:p w14:paraId="6188D4FB" w14:textId="77777777" w:rsidR="00822909" w:rsidRDefault="00822909" w:rsidP="008E0461">
            <w:pPr>
              <w:jc w:val="center"/>
              <w:rPr>
                <w:sz w:val="25"/>
                <w:szCs w:val="25"/>
              </w:rPr>
            </w:pPr>
            <w:r>
              <w:rPr>
                <w:sz w:val="25"/>
                <w:szCs w:val="25"/>
              </w:rPr>
              <w:t>)</w:t>
            </w:r>
          </w:p>
          <w:p w14:paraId="4454C96C" w14:textId="77777777" w:rsidR="00822909" w:rsidRDefault="00822909" w:rsidP="008E0461">
            <w:pPr>
              <w:jc w:val="center"/>
              <w:rPr>
                <w:sz w:val="25"/>
                <w:szCs w:val="25"/>
              </w:rPr>
            </w:pPr>
            <w:r>
              <w:rPr>
                <w:sz w:val="25"/>
                <w:szCs w:val="25"/>
              </w:rPr>
              <w:t>)</w:t>
            </w:r>
          </w:p>
          <w:p w14:paraId="79B22307" w14:textId="77777777" w:rsidR="00822909" w:rsidRDefault="00822909" w:rsidP="008E0461">
            <w:pPr>
              <w:jc w:val="center"/>
              <w:rPr>
                <w:sz w:val="25"/>
                <w:szCs w:val="25"/>
              </w:rPr>
            </w:pPr>
            <w:r>
              <w:rPr>
                <w:sz w:val="25"/>
                <w:szCs w:val="25"/>
              </w:rPr>
              <w:t>)</w:t>
            </w:r>
          </w:p>
          <w:p w14:paraId="32EB6645" w14:textId="77777777" w:rsidR="00822909" w:rsidRDefault="00822909" w:rsidP="008E0461">
            <w:pPr>
              <w:jc w:val="center"/>
              <w:rPr>
                <w:sz w:val="25"/>
                <w:szCs w:val="25"/>
              </w:rPr>
            </w:pPr>
            <w:r>
              <w:rPr>
                <w:sz w:val="25"/>
                <w:szCs w:val="25"/>
              </w:rPr>
              <w:t>)</w:t>
            </w:r>
          </w:p>
          <w:p w14:paraId="45469EEE" w14:textId="77777777" w:rsidR="00C7099E" w:rsidRDefault="00822909" w:rsidP="008E0461">
            <w:pPr>
              <w:jc w:val="center"/>
              <w:rPr>
                <w:sz w:val="25"/>
                <w:szCs w:val="25"/>
              </w:rPr>
            </w:pPr>
            <w:r>
              <w:rPr>
                <w:sz w:val="25"/>
                <w:szCs w:val="25"/>
              </w:rPr>
              <w:t>)</w:t>
            </w:r>
          </w:p>
          <w:p w14:paraId="5C85DB1D" w14:textId="77777777" w:rsidR="008E0461" w:rsidRDefault="00DA3F0D" w:rsidP="008305A2">
            <w:pPr>
              <w:jc w:val="center"/>
              <w:rPr>
                <w:sz w:val="25"/>
                <w:szCs w:val="25"/>
              </w:rPr>
            </w:pPr>
            <w:r>
              <w:rPr>
                <w:sz w:val="25"/>
                <w:szCs w:val="25"/>
              </w:rPr>
              <w:t>)</w:t>
            </w:r>
          </w:p>
          <w:p w14:paraId="1633D708" w14:textId="77777777" w:rsidR="00CF389D" w:rsidRDefault="00CF389D" w:rsidP="008305A2">
            <w:pPr>
              <w:jc w:val="center"/>
              <w:rPr>
                <w:sz w:val="25"/>
                <w:szCs w:val="25"/>
              </w:rPr>
            </w:pPr>
            <w:r>
              <w:rPr>
                <w:sz w:val="25"/>
                <w:szCs w:val="25"/>
              </w:rPr>
              <w:t>)</w:t>
            </w:r>
          </w:p>
          <w:p w14:paraId="779688CF" w14:textId="77777777" w:rsidR="00883A54" w:rsidRDefault="00883A54" w:rsidP="008305A2">
            <w:pPr>
              <w:jc w:val="center"/>
              <w:rPr>
                <w:sz w:val="25"/>
                <w:szCs w:val="25"/>
              </w:rPr>
            </w:pPr>
            <w:r>
              <w:rPr>
                <w:sz w:val="25"/>
                <w:szCs w:val="25"/>
              </w:rPr>
              <w:t>)</w:t>
            </w:r>
          </w:p>
          <w:p w14:paraId="650B5F9D" w14:textId="77777777" w:rsidR="00883A54" w:rsidRDefault="00883A54" w:rsidP="008305A2">
            <w:pPr>
              <w:jc w:val="center"/>
              <w:rPr>
                <w:sz w:val="25"/>
                <w:szCs w:val="25"/>
              </w:rPr>
            </w:pPr>
            <w:r>
              <w:rPr>
                <w:sz w:val="25"/>
                <w:szCs w:val="25"/>
              </w:rPr>
              <w:t>)</w:t>
            </w:r>
          </w:p>
          <w:p w14:paraId="7BD241BB" w14:textId="77777777" w:rsidR="00883A54" w:rsidRDefault="00883A54" w:rsidP="008305A2">
            <w:pPr>
              <w:jc w:val="center"/>
              <w:rPr>
                <w:sz w:val="25"/>
                <w:szCs w:val="25"/>
              </w:rPr>
            </w:pPr>
            <w:r>
              <w:rPr>
                <w:sz w:val="25"/>
                <w:szCs w:val="25"/>
              </w:rPr>
              <w:t>)</w:t>
            </w:r>
          </w:p>
          <w:p w14:paraId="7FBEA38E" w14:textId="31E962B1" w:rsidR="00883A54" w:rsidRDefault="00883A54" w:rsidP="008305A2">
            <w:pPr>
              <w:jc w:val="center"/>
              <w:rPr>
                <w:sz w:val="25"/>
                <w:szCs w:val="25"/>
              </w:rPr>
            </w:pPr>
            <w:r>
              <w:rPr>
                <w:sz w:val="25"/>
                <w:szCs w:val="25"/>
              </w:rPr>
              <w:t>)</w:t>
            </w:r>
          </w:p>
          <w:p w14:paraId="5420D1BC" w14:textId="0B22C0BE" w:rsidR="00CF389D" w:rsidRPr="00682988" w:rsidRDefault="00CF389D" w:rsidP="00883A54">
            <w:pPr>
              <w:jc w:val="center"/>
              <w:rPr>
                <w:sz w:val="25"/>
                <w:szCs w:val="25"/>
              </w:rPr>
            </w:pPr>
          </w:p>
        </w:tc>
        <w:tc>
          <w:tcPr>
            <w:tcW w:w="3330" w:type="dxa"/>
          </w:tcPr>
          <w:p w14:paraId="066728A4" w14:textId="77777777" w:rsidR="00883A54" w:rsidRDefault="00883A54" w:rsidP="008E0461">
            <w:pPr>
              <w:rPr>
                <w:sz w:val="25"/>
                <w:szCs w:val="25"/>
              </w:rPr>
            </w:pPr>
          </w:p>
          <w:p w14:paraId="2D449EA3" w14:textId="624D2286" w:rsidR="00C7099E" w:rsidRDefault="00C7099E" w:rsidP="008E0461">
            <w:pPr>
              <w:rPr>
                <w:sz w:val="25"/>
                <w:szCs w:val="25"/>
              </w:rPr>
            </w:pPr>
            <w:r w:rsidRPr="00C7099E">
              <w:rPr>
                <w:sz w:val="25"/>
                <w:szCs w:val="25"/>
              </w:rPr>
              <w:t>DOCKET UE-140762</w:t>
            </w:r>
          </w:p>
          <w:p w14:paraId="44324F6A" w14:textId="4C51E7FD" w:rsidR="00DC6A00" w:rsidRDefault="00CF389D" w:rsidP="008E0461">
            <w:pPr>
              <w:rPr>
                <w:i/>
                <w:sz w:val="25"/>
                <w:szCs w:val="25"/>
              </w:rPr>
            </w:pPr>
            <w:r w:rsidRPr="00CF389D">
              <w:rPr>
                <w:i/>
                <w:sz w:val="25"/>
                <w:szCs w:val="25"/>
              </w:rPr>
              <w:t>(</w:t>
            </w:r>
            <w:r>
              <w:rPr>
                <w:i/>
                <w:sz w:val="25"/>
                <w:szCs w:val="25"/>
              </w:rPr>
              <w:t>C</w:t>
            </w:r>
            <w:r w:rsidRPr="00CF389D">
              <w:rPr>
                <w:i/>
                <w:sz w:val="25"/>
                <w:szCs w:val="25"/>
              </w:rPr>
              <w:t>onsolidated)</w:t>
            </w:r>
          </w:p>
          <w:p w14:paraId="139D857E" w14:textId="77777777" w:rsidR="00CF389D" w:rsidRPr="00CF389D" w:rsidRDefault="00CF389D" w:rsidP="008E0461">
            <w:pPr>
              <w:rPr>
                <w:i/>
                <w:sz w:val="25"/>
                <w:szCs w:val="25"/>
              </w:rPr>
            </w:pPr>
          </w:p>
          <w:p w14:paraId="591D5C17" w14:textId="77777777" w:rsidR="00DC6A00" w:rsidRDefault="00DC6A00" w:rsidP="008E0461">
            <w:pPr>
              <w:rPr>
                <w:sz w:val="25"/>
                <w:szCs w:val="25"/>
              </w:rPr>
            </w:pPr>
            <w:r>
              <w:rPr>
                <w:sz w:val="25"/>
                <w:szCs w:val="25"/>
              </w:rPr>
              <w:t>ORDER 08</w:t>
            </w:r>
          </w:p>
          <w:p w14:paraId="5662BC3D" w14:textId="77777777" w:rsidR="00DC6A00" w:rsidRDefault="00DC6A00" w:rsidP="008E0461">
            <w:pPr>
              <w:rPr>
                <w:sz w:val="25"/>
                <w:szCs w:val="25"/>
              </w:rPr>
            </w:pPr>
          </w:p>
          <w:p w14:paraId="357C6C3A" w14:textId="0150CF88" w:rsidR="00DC6A00" w:rsidRPr="00C7099E" w:rsidRDefault="00DC6A00" w:rsidP="008E0461">
            <w:pPr>
              <w:rPr>
                <w:sz w:val="25"/>
                <w:szCs w:val="25"/>
              </w:rPr>
            </w:pPr>
            <w:r>
              <w:rPr>
                <w:sz w:val="25"/>
                <w:szCs w:val="25"/>
              </w:rPr>
              <w:t>FINAL ORDER REJECTING TARIFF SHEETS; RESOLVING CONTESTED ISSUES; AUTHORIZING AND REQUIRING COMPLIANCE FILINGS;</w:t>
            </w:r>
          </w:p>
          <w:p w14:paraId="3C868E2F" w14:textId="77777777" w:rsidR="00C7099E" w:rsidRDefault="00C7099E" w:rsidP="008E0461">
            <w:pPr>
              <w:rPr>
                <w:sz w:val="25"/>
                <w:szCs w:val="25"/>
              </w:rPr>
            </w:pPr>
          </w:p>
          <w:p w14:paraId="11BFE01B" w14:textId="77777777" w:rsidR="00CF389D" w:rsidRPr="00C7099E" w:rsidRDefault="00CF389D" w:rsidP="008E0461">
            <w:pPr>
              <w:rPr>
                <w:sz w:val="25"/>
                <w:szCs w:val="25"/>
              </w:rPr>
            </w:pPr>
          </w:p>
          <w:p w14:paraId="47207578" w14:textId="40800347" w:rsidR="00C7099E" w:rsidRPr="00C7099E" w:rsidRDefault="00DC6A00" w:rsidP="008E0461">
            <w:pPr>
              <w:rPr>
                <w:sz w:val="25"/>
                <w:szCs w:val="25"/>
              </w:rPr>
            </w:pPr>
            <w:r>
              <w:rPr>
                <w:sz w:val="25"/>
                <w:szCs w:val="25"/>
              </w:rPr>
              <w:t>D</w:t>
            </w:r>
            <w:r w:rsidR="00C7099E" w:rsidRPr="00C7099E">
              <w:rPr>
                <w:sz w:val="25"/>
                <w:szCs w:val="25"/>
              </w:rPr>
              <w:t>OCKET UE-140617 (</w:t>
            </w:r>
            <w:r w:rsidR="00CF389D" w:rsidRPr="00CF389D">
              <w:rPr>
                <w:i/>
                <w:sz w:val="25"/>
                <w:szCs w:val="25"/>
              </w:rPr>
              <w:t>C</w:t>
            </w:r>
            <w:r w:rsidR="00C7099E" w:rsidRPr="00C7099E">
              <w:rPr>
                <w:i/>
                <w:sz w:val="25"/>
                <w:szCs w:val="25"/>
              </w:rPr>
              <w:t>onsolidated</w:t>
            </w:r>
            <w:r w:rsidR="00C7099E" w:rsidRPr="00C7099E">
              <w:rPr>
                <w:sz w:val="25"/>
                <w:szCs w:val="25"/>
              </w:rPr>
              <w:t>)</w:t>
            </w:r>
          </w:p>
          <w:p w14:paraId="43475A67" w14:textId="77777777" w:rsidR="00C7099E" w:rsidRPr="00C7099E" w:rsidRDefault="00C7099E" w:rsidP="008E0461">
            <w:pPr>
              <w:rPr>
                <w:sz w:val="25"/>
                <w:szCs w:val="25"/>
              </w:rPr>
            </w:pPr>
          </w:p>
          <w:p w14:paraId="23640B25" w14:textId="58E86D9D" w:rsidR="00C7099E" w:rsidRPr="00C7099E" w:rsidRDefault="00DC6A00" w:rsidP="008E0461">
            <w:pPr>
              <w:rPr>
                <w:sz w:val="25"/>
                <w:szCs w:val="25"/>
              </w:rPr>
            </w:pPr>
            <w:r>
              <w:rPr>
                <w:sz w:val="25"/>
                <w:szCs w:val="25"/>
              </w:rPr>
              <w:t>GRANTING, IN PART, RECOVERY OF DEFERRED COSTS;</w:t>
            </w:r>
          </w:p>
          <w:p w14:paraId="500C493B" w14:textId="77777777" w:rsidR="00C7099E" w:rsidRPr="00C7099E" w:rsidRDefault="00C7099E" w:rsidP="008E0461">
            <w:pPr>
              <w:rPr>
                <w:sz w:val="25"/>
                <w:szCs w:val="25"/>
              </w:rPr>
            </w:pPr>
          </w:p>
          <w:p w14:paraId="02623E85" w14:textId="77777777" w:rsidR="00C7099E" w:rsidRPr="00C7099E" w:rsidRDefault="00C7099E" w:rsidP="008E0461">
            <w:pPr>
              <w:rPr>
                <w:sz w:val="25"/>
                <w:szCs w:val="25"/>
              </w:rPr>
            </w:pPr>
          </w:p>
          <w:p w14:paraId="0E051EE1" w14:textId="77777777" w:rsidR="00C7099E" w:rsidRDefault="00C7099E" w:rsidP="008E0461">
            <w:pPr>
              <w:rPr>
                <w:sz w:val="25"/>
                <w:szCs w:val="25"/>
              </w:rPr>
            </w:pPr>
          </w:p>
          <w:p w14:paraId="7E391F90" w14:textId="77777777" w:rsidR="00883A54" w:rsidRDefault="00883A54" w:rsidP="008E0461">
            <w:pPr>
              <w:rPr>
                <w:sz w:val="25"/>
                <w:szCs w:val="25"/>
              </w:rPr>
            </w:pPr>
          </w:p>
          <w:p w14:paraId="361C37D3" w14:textId="53C992F4" w:rsidR="00C7099E" w:rsidRPr="00C7099E" w:rsidRDefault="00C7099E" w:rsidP="008E0461">
            <w:pPr>
              <w:rPr>
                <w:sz w:val="25"/>
                <w:szCs w:val="25"/>
              </w:rPr>
            </w:pPr>
            <w:r w:rsidRPr="00C7099E">
              <w:rPr>
                <w:sz w:val="25"/>
                <w:szCs w:val="25"/>
              </w:rPr>
              <w:t>DOCKET UE-131384 (</w:t>
            </w:r>
            <w:r w:rsidR="00CF389D">
              <w:rPr>
                <w:i/>
                <w:sz w:val="25"/>
                <w:szCs w:val="25"/>
              </w:rPr>
              <w:t>C</w:t>
            </w:r>
            <w:r w:rsidRPr="00C7099E">
              <w:rPr>
                <w:i/>
                <w:sz w:val="25"/>
                <w:szCs w:val="25"/>
              </w:rPr>
              <w:t>onsolidated</w:t>
            </w:r>
            <w:r w:rsidRPr="00C7099E">
              <w:rPr>
                <w:sz w:val="25"/>
                <w:szCs w:val="25"/>
              </w:rPr>
              <w:t>)</w:t>
            </w:r>
          </w:p>
          <w:p w14:paraId="73965E35" w14:textId="77777777" w:rsidR="00C7099E" w:rsidRPr="00C7099E" w:rsidRDefault="00C7099E" w:rsidP="008E0461">
            <w:pPr>
              <w:rPr>
                <w:sz w:val="25"/>
                <w:szCs w:val="25"/>
              </w:rPr>
            </w:pPr>
          </w:p>
          <w:p w14:paraId="6AA91F2C" w14:textId="67C212F9" w:rsidR="00C7099E" w:rsidRPr="00C7099E" w:rsidRDefault="00DC6A00" w:rsidP="008E0461">
            <w:pPr>
              <w:rPr>
                <w:sz w:val="25"/>
                <w:szCs w:val="25"/>
              </w:rPr>
            </w:pPr>
            <w:r>
              <w:rPr>
                <w:sz w:val="25"/>
                <w:szCs w:val="25"/>
              </w:rPr>
              <w:t>DENYING PETITION FOR ACCOUNTING ORDER;</w:t>
            </w:r>
          </w:p>
          <w:p w14:paraId="751DC801" w14:textId="77777777" w:rsidR="00C7099E" w:rsidRDefault="00C7099E" w:rsidP="008E0461">
            <w:pPr>
              <w:rPr>
                <w:sz w:val="25"/>
                <w:szCs w:val="25"/>
              </w:rPr>
            </w:pPr>
          </w:p>
          <w:p w14:paraId="621EAA63" w14:textId="77777777" w:rsidR="000455AC" w:rsidRDefault="000455AC" w:rsidP="008E0461">
            <w:pPr>
              <w:rPr>
                <w:sz w:val="25"/>
                <w:szCs w:val="25"/>
              </w:rPr>
            </w:pPr>
          </w:p>
          <w:p w14:paraId="707CCFA5" w14:textId="77777777" w:rsidR="00883A54" w:rsidRDefault="00883A54" w:rsidP="008E0461">
            <w:pPr>
              <w:rPr>
                <w:sz w:val="25"/>
                <w:szCs w:val="25"/>
              </w:rPr>
            </w:pPr>
          </w:p>
          <w:p w14:paraId="7F36E25A" w14:textId="77777777" w:rsidR="00883A54" w:rsidRDefault="00883A54" w:rsidP="008E0461">
            <w:pPr>
              <w:rPr>
                <w:sz w:val="25"/>
                <w:szCs w:val="25"/>
              </w:rPr>
            </w:pPr>
          </w:p>
          <w:p w14:paraId="1B5ECCBA" w14:textId="5A15E1C5" w:rsidR="00682988" w:rsidRDefault="00C7099E" w:rsidP="008E0461">
            <w:pPr>
              <w:rPr>
                <w:sz w:val="25"/>
                <w:szCs w:val="25"/>
              </w:rPr>
            </w:pPr>
            <w:r w:rsidRPr="00C7099E">
              <w:rPr>
                <w:sz w:val="25"/>
                <w:szCs w:val="25"/>
              </w:rPr>
              <w:t>DOCKET UE-140094 (</w:t>
            </w:r>
            <w:r w:rsidR="00CF389D">
              <w:rPr>
                <w:i/>
                <w:sz w:val="25"/>
                <w:szCs w:val="25"/>
              </w:rPr>
              <w:t>C</w:t>
            </w:r>
            <w:r w:rsidRPr="00C7099E">
              <w:rPr>
                <w:i/>
                <w:sz w:val="25"/>
                <w:szCs w:val="25"/>
              </w:rPr>
              <w:t>onsolidated</w:t>
            </w:r>
            <w:r w:rsidRPr="00C7099E">
              <w:rPr>
                <w:sz w:val="25"/>
                <w:szCs w:val="25"/>
              </w:rPr>
              <w:t>)</w:t>
            </w:r>
          </w:p>
          <w:p w14:paraId="1EE0AF20" w14:textId="77777777" w:rsidR="00DC6A00" w:rsidRDefault="00DC6A00" w:rsidP="008E0461">
            <w:pPr>
              <w:rPr>
                <w:sz w:val="25"/>
                <w:szCs w:val="25"/>
              </w:rPr>
            </w:pPr>
          </w:p>
          <w:p w14:paraId="6E6DD3EB" w14:textId="2CAB10E7" w:rsidR="00DC6A00" w:rsidRPr="00682988" w:rsidRDefault="00DC6A00" w:rsidP="008E0461">
            <w:pPr>
              <w:rPr>
                <w:sz w:val="25"/>
                <w:szCs w:val="25"/>
              </w:rPr>
            </w:pPr>
            <w:r>
              <w:rPr>
                <w:sz w:val="25"/>
                <w:szCs w:val="25"/>
              </w:rPr>
              <w:t>DENYING PETITION FOR ACCOUNTING ORDER</w:t>
            </w:r>
          </w:p>
        </w:tc>
      </w:tr>
    </w:tbl>
    <w:p w14:paraId="589C0D1D" w14:textId="4F9568FC" w:rsidR="008305A2" w:rsidRDefault="008305A2" w:rsidP="000455AC">
      <w:pPr>
        <w:spacing w:line="264" w:lineRule="auto"/>
        <w:jc w:val="center"/>
        <w:rPr>
          <w:sz w:val="25"/>
          <w:szCs w:val="25"/>
        </w:rPr>
      </w:pPr>
    </w:p>
    <w:p w14:paraId="04490E96" w14:textId="4715E690" w:rsidR="000302A8" w:rsidRPr="00942F86" w:rsidRDefault="00BD6A2B" w:rsidP="000455AC">
      <w:pPr>
        <w:spacing w:line="264" w:lineRule="auto"/>
        <w:rPr>
          <w:i/>
          <w:sz w:val="25"/>
          <w:szCs w:val="25"/>
        </w:rPr>
      </w:pPr>
      <w:r w:rsidRPr="00942F86">
        <w:rPr>
          <w:b/>
          <w:bCs/>
          <w:i/>
          <w:sz w:val="25"/>
          <w:szCs w:val="25"/>
        </w:rPr>
        <w:t>Synopsis</w:t>
      </w:r>
      <w:r w:rsidRPr="00942F86">
        <w:rPr>
          <w:i/>
          <w:sz w:val="25"/>
          <w:szCs w:val="25"/>
        </w:rPr>
        <w:t xml:space="preserve">:  </w:t>
      </w:r>
      <w:r w:rsidR="000302A8" w:rsidRPr="00942F86">
        <w:rPr>
          <w:i/>
          <w:sz w:val="25"/>
          <w:szCs w:val="25"/>
        </w:rPr>
        <w:t>The Commission rejects revised tariff sheets Pacific Power &amp; Light Company (Pacific Power</w:t>
      </w:r>
      <w:r w:rsidR="007208A4" w:rsidRPr="00942F86">
        <w:rPr>
          <w:i/>
          <w:sz w:val="25"/>
          <w:szCs w:val="25"/>
        </w:rPr>
        <w:t xml:space="preserve"> or Company</w:t>
      </w:r>
      <w:r w:rsidR="000302A8" w:rsidRPr="00942F86">
        <w:rPr>
          <w:i/>
          <w:sz w:val="25"/>
          <w:szCs w:val="25"/>
        </w:rPr>
        <w:t xml:space="preserve">) filed on May 1, 2014, that would have increased rates by </w:t>
      </w:r>
      <w:r w:rsidR="00675FB2" w:rsidRPr="00942F86">
        <w:rPr>
          <w:i/>
          <w:sz w:val="25"/>
          <w:szCs w:val="25"/>
        </w:rPr>
        <w:t>8.5</w:t>
      </w:r>
      <w:r w:rsidR="000302A8" w:rsidRPr="00942F86">
        <w:rPr>
          <w:i/>
          <w:sz w:val="25"/>
          <w:szCs w:val="25"/>
        </w:rPr>
        <w:t xml:space="preserve"> percent, raising $27.2 million in additional revenue for the Company, if approved by the Commission.  The Commission, considering the full record, authorizes and requires Pacific Power to file revised tariff sheets stating rates that will recover </w:t>
      </w:r>
      <w:r w:rsidR="00675FB2" w:rsidRPr="00942F86">
        <w:rPr>
          <w:i/>
          <w:sz w:val="25"/>
          <w:szCs w:val="25"/>
        </w:rPr>
        <w:t xml:space="preserve">$9.6 </w:t>
      </w:r>
      <w:r w:rsidR="000302A8" w:rsidRPr="00942F86">
        <w:rPr>
          <w:i/>
          <w:sz w:val="25"/>
          <w:szCs w:val="25"/>
        </w:rPr>
        <w:t>million in additional revenue,</w:t>
      </w:r>
      <w:r w:rsidR="00675FB2" w:rsidRPr="00942F86">
        <w:rPr>
          <w:i/>
          <w:sz w:val="25"/>
          <w:szCs w:val="25"/>
        </w:rPr>
        <w:t xml:space="preserve"> resulting in</w:t>
      </w:r>
      <w:r w:rsidR="000302A8" w:rsidRPr="00942F86">
        <w:rPr>
          <w:i/>
          <w:sz w:val="25"/>
          <w:szCs w:val="25"/>
        </w:rPr>
        <w:t xml:space="preserve"> </w:t>
      </w:r>
      <w:r w:rsidR="00675FB2" w:rsidRPr="00942F86">
        <w:rPr>
          <w:i/>
          <w:sz w:val="25"/>
          <w:szCs w:val="25"/>
        </w:rPr>
        <w:t xml:space="preserve">a 3.0 percent </w:t>
      </w:r>
      <w:r w:rsidR="000302A8" w:rsidRPr="00942F86">
        <w:rPr>
          <w:i/>
          <w:sz w:val="25"/>
          <w:szCs w:val="25"/>
        </w:rPr>
        <w:t xml:space="preserve">increase </w:t>
      </w:r>
      <w:r w:rsidR="00675FB2" w:rsidRPr="00942F86">
        <w:rPr>
          <w:i/>
          <w:sz w:val="25"/>
          <w:szCs w:val="25"/>
        </w:rPr>
        <w:t xml:space="preserve">in rates </w:t>
      </w:r>
      <w:r w:rsidR="000302A8" w:rsidRPr="00942F86">
        <w:rPr>
          <w:i/>
          <w:sz w:val="25"/>
          <w:szCs w:val="25"/>
        </w:rPr>
        <w:t xml:space="preserve">that the Commission finds to be reasonable.  </w:t>
      </w:r>
    </w:p>
    <w:p w14:paraId="01C146F8" w14:textId="77777777" w:rsidR="000302A8" w:rsidRPr="00942F86" w:rsidRDefault="000302A8" w:rsidP="000455AC">
      <w:pPr>
        <w:spacing w:line="264" w:lineRule="auto"/>
        <w:rPr>
          <w:i/>
          <w:sz w:val="25"/>
          <w:szCs w:val="25"/>
        </w:rPr>
      </w:pPr>
    </w:p>
    <w:p w14:paraId="61AF8BB2" w14:textId="312B0231" w:rsidR="000302A8" w:rsidRPr="00942F86" w:rsidRDefault="000302A8" w:rsidP="000455AC">
      <w:pPr>
        <w:spacing w:line="264" w:lineRule="auto"/>
        <w:rPr>
          <w:i/>
          <w:sz w:val="25"/>
          <w:szCs w:val="25"/>
        </w:rPr>
      </w:pPr>
      <w:r w:rsidRPr="00942F86">
        <w:rPr>
          <w:i/>
          <w:sz w:val="25"/>
          <w:szCs w:val="25"/>
        </w:rPr>
        <w:t>The Commission rejects Pacific Power’s request that it revisit the Company’s recently rejected proposal to revise the West Control Area inter-jurisdictional cost allocation methodology applicable to the cost of Qualifying Facilities under the Public Utilities Regulatory Policies Act (PURPA)</w:t>
      </w:r>
      <w:r w:rsidRPr="00942F86">
        <w:rPr>
          <w:i/>
          <w:sz w:val="25"/>
          <w:szCs w:val="25"/>
          <w:vertAlign w:val="superscript"/>
        </w:rPr>
        <w:footnoteReference w:id="2"/>
      </w:r>
      <w:r w:rsidRPr="00942F86">
        <w:rPr>
          <w:i/>
          <w:sz w:val="25"/>
          <w:szCs w:val="25"/>
        </w:rPr>
        <w:t xml:space="preserve">.  In addition, the Commission exercises its discretion to not </w:t>
      </w:r>
      <w:r w:rsidR="00675FB2" w:rsidRPr="00942F86">
        <w:rPr>
          <w:i/>
          <w:sz w:val="25"/>
          <w:szCs w:val="25"/>
        </w:rPr>
        <w:t>revisit</w:t>
      </w:r>
      <w:r w:rsidRPr="00942F86">
        <w:rPr>
          <w:i/>
          <w:sz w:val="25"/>
          <w:szCs w:val="25"/>
        </w:rPr>
        <w:t xml:space="preserve"> the </w:t>
      </w:r>
      <w:r w:rsidR="00675FB2" w:rsidRPr="00942F86">
        <w:rPr>
          <w:i/>
          <w:sz w:val="25"/>
          <w:szCs w:val="25"/>
        </w:rPr>
        <w:t xml:space="preserve">interrelated </w:t>
      </w:r>
      <w:r w:rsidRPr="00942F86">
        <w:rPr>
          <w:i/>
          <w:sz w:val="25"/>
          <w:szCs w:val="25"/>
        </w:rPr>
        <w:t>question</w:t>
      </w:r>
      <w:r w:rsidR="00675FB2" w:rsidRPr="00942F86">
        <w:rPr>
          <w:i/>
          <w:sz w:val="25"/>
          <w:szCs w:val="25"/>
        </w:rPr>
        <w:t>s of what the rate of return on equity</w:t>
      </w:r>
      <w:r w:rsidRPr="00942F86">
        <w:rPr>
          <w:i/>
          <w:sz w:val="25"/>
          <w:szCs w:val="25"/>
        </w:rPr>
        <w:t xml:space="preserve"> </w:t>
      </w:r>
      <w:r w:rsidR="00675FB2" w:rsidRPr="00942F86">
        <w:rPr>
          <w:i/>
          <w:sz w:val="25"/>
          <w:szCs w:val="25"/>
        </w:rPr>
        <w:t>component and equity ratio should be in Pacific Power’s capital structure</w:t>
      </w:r>
      <w:r w:rsidRPr="00942F86">
        <w:rPr>
          <w:i/>
          <w:sz w:val="25"/>
          <w:szCs w:val="25"/>
        </w:rPr>
        <w:t>.</w:t>
      </w:r>
      <w:r w:rsidR="00675FB2" w:rsidRPr="00942F86">
        <w:rPr>
          <w:i/>
          <w:sz w:val="25"/>
          <w:szCs w:val="25"/>
        </w:rPr>
        <w:t xml:space="preserve">  The Commission heard and decided these issues just five months prior to Pacific Power filing this case and shortly after the Company appealed these decisions to Division II of the Washington State Court of Appeals.  The Commission will not entertain the Company’s proposals to rehear them in this proceeding.</w:t>
      </w:r>
    </w:p>
    <w:p w14:paraId="599EE2D7" w14:textId="77777777" w:rsidR="000302A8" w:rsidRPr="00942F86" w:rsidRDefault="000302A8" w:rsidP="000455AC">
      <w:pPr>
        <w:spacing w:line="264" w:lineRule="auto"/>
        <w:rPr>
          <w:i/>
          <w:sz w:val="25"/>
          <w:szCs w:val="25"/>
        </w:rPr>
      </w:pPr>
    </w:p>
    <w:p w14:paraId="51857DD9" w14:textId="4975CA75" w:rsidR="00EA6C4C" w:rsidRPr="00942F86" w:rsidRDefault="000302A8" w:rsidP="000455AC">
      <w:pPr>
        <w:spacing w:line="264" w:lineRule="auto"/>
        <w:rPr>
          <w:i/>
          <w:sz w:val="25"/>
          <w:szCs w:val="25"/>
        </w:rPr>
      </w:pPr>
      <w:r w:rsidRPr="00942F86">
        <w:rPr>
          <w:i/>
          <w:sz w:val="25"/>
          <w:szCs w:val="25"/>
        </w:rPr>
        <w:t xml:space="preserve">The Commission </w:t>
      </w:r>
      <w:r w:rsidR="00EA6C4C" w:rsidRPr="00942F86">
        <w:rPr>
          <w:i/>
          <w:sz w:val="25"/>
          <w:szCs w:val="25"/>
        </w:rPr>
        <w:t>resolves several contested pro forma expense adjustments, including adjustments related t</w:t>
      </w:r>
      <w:r w:rsidR="008E1C02" w:rsidRPr="00942F86">
        <w:rPr>
          <w:i/>
          <w:sz w:val="25"/>
          <w:szCs w:val="25"/>
        </w:rPr>
        <w:t>o the Company’s net power costs</w:t>
      </w:r>
      <w:r w:rsidR="00EA6C4C" w:rsidRPr="00942F86">
        <w:rPr>
          <w:i/>
          <w:sz w:val="25"/>
          <w:szCs w:val="25"/>
        </w:rPr>
        <w:t xml:space="preserve">.  </w:t>
      </w:r>
      <w:r w:rsidR="008E1C02" w:rsidRPr="00942F86">
        <w:rPr>
          <w:i/>
          <w:sz w:val="25"/>
          <w:szCs w:val="25"/>
        </w:rPr>
        <w:t>In connection with power cost recovery going forward, t</w:t>
      </w:r>
      <w:r w:rsidR="00EA6C4C" w:rsidRPr="00942F86">
        <w:rPr>
          <w:i/>
          <w:sz w:val="25"/>
          <w:szCs w:val="25"/>
        </w:rPr>
        <w:t>he Commission requires Pacific Power</w:t>
      </w:r>
      <w:r w:rsidR="00786834" w:rsidRPr="00942F86">
        <w:rPr>
          <w:i/>
          <w:sz w:val="25"/>
          <w:szCs w:val="25"/>
        </w:rPr>
        <w:t>, following further proceedings,</w:t>
      </w:r>
      <w:r w:rsidR="00EA6C4C" w:rsidRPr="00942F86">
        <w:rPr>
          <w:i/>
          <w:sz w:val="25"/>
          <w:szCs w:val="25"/>
        </w:rPr>
        <w:t xml:space="preserve"> to file appropriate tariff sheets to implement a properly designed Power Cost Adjustment Mechanism</w:t>
      </w:r>
      <w:r w:rsidR="00915205" w:rsidRPr="00942F86">
        <w:rPr>
          <w:i/>
          <w:sz w:val="25"/>
          <w:szCs w:val="25"/>
        </w:rPr>
        <w:t xml:space="preserve"> (PCAM)</w:t>
      </w:r>
      <w:r w:rsidR="00EA6C4C" w:rsidRPr="00942F86">
        <w:rPr>
          <w:i/>
          <w:sz w:val="25"/>
          <w:szCs w:val="25"/>
        </w:rPr>
        <w:t xml:space="preserve"> that will protect the Company from extra-normal power cost variability while giving Pacific Power adequate incentive to manage carefully</w:t>
      </w:r>
      <w:r w:rsidR="00267466" w:rsidRPr="00942F86">
        <w:rPr>
          <w:i/>
          <w:sz w:val="25"/>
          <w:szCs w:val="25"/>
        </w:rPr>
        <w:t xml:space="preserve"> its full power portfolio.</w:t>
      </w:r>
    </w:p>
    <w:p w14:paraId="0962FB03" w14:textId="77777777" w:rsidR="00EA6C4C" w:rsidRPr="00942F86" w:rsidRDefault="00EA6C4C" w:rsidP="000455AC">
      <w:pPr>
        <w:spacing w:line="264" w:lineRule="auto"/>
        <w:rPr>
          <w:i/>
          <w:sz w:val="25"/>
          <w:szCs w:val="25"/>
        </w:rPr>
      </w:pPr>
    </w:p>
    <w:p w14:paraId="6ECC4D97" w14:textId="01C42435" w:rsidR="000302A8" w:rsidRPr="00942F86" w:rsidRDefault="00EA6C4C" w:rsidP="000455AC">
      <w:pPr>
        <w:spacing w:line="264" w:lineRule="auto"/>
        <w:rPr>
          <w:i/>
          <w:sz w:val="25"/>
          <w:szCs w:val="25"/>
        </w:rPr>
      </w:pPr>
      <w:r w:rsidRPr="00942F86">
        <w:rPr>
          <w:i/>
          <w:sz w:val="25"/>
          <w:szCs w:val="25"/>
        </w:rPr>
        <w:t xml:space="preserve">The Commission </w:t>
      </w:r>
      <w:r w:rsidR="000302A8" w:rsidRPr="00942F86">
        <w:rPr>
          <w:i/>
          <w:sz w:val="25"/>
          <w:szCs w:val="25"/>
        </w:rPr>
        <w:t>approves various additions to rate base, including the</w:t>
      </w:r>
      <w:r w:rsidR="00267466" w:rsidRPr="00942F86">
        <w:rPr>
          <w:i/>
          <w:sz w:val="25"/>
          <w:szCs w:val="25"/>
        </w:rPr>
        <w:t xml:space="preserve"> known and measurable</w:t>
      </w:r>
      <w:r w:rsidR="000302A8" w:rsidRPr="00942F86">
        <w:rPr>
          <w:i/>
          <w:sz w:val="25"/>
          <w:szCs w:val="25"/>
        </w:rPr>
        <w:t xml:space="preserve"> pro forma costs of certain facilities</w:t>
      </w:r>
      <w:r w:rsidR="00267466" w:rsidRPr="00942F86">
        <w:rPr>
          <w:i/>
          <w:sz w:val="25"/>
          <w:szCs w:val="25"/>
        </w:rPr>
        <w:t xml:space="preserve"> that are now used and useful, albeit</w:t>
      </w:r>
      <w:r w:rsidR="000302A8" w:rsidRPr="00942F86">
        <w:rPr>
          <w:i/>
          <w:sz w:val="25"/>
          <w:szCs w:val="25"/>
        </w:rPr>
        <w:t xml:space="preserve"> with post-test period in-service dates. </w:t>
      </w:r>
    </w:p>
    <w:p w14:paraId="2EC98E39" w14:textId="77777777" w:rsidR="000302A8" w:rsidRPr="00942F86" w:rsidRDefault="000302A8" w:rsidP="000455AC">
      <w:pPr>
        <w:spacing w:line="264" w:lineRule="auto"/>
        <w:rPr>
          <w:i/>
          <w:sz w:val="25"/>
          <w:szCs w:val="25"/>
        </w:rPr>
      </w:pPr>
    </w:p>
    <w:p w14:paraId="0561EE90" w14:textId="46AC4B1A" w:rsidR="000302A8" w:rsidRPr="00942F86" w:rsidRDefault="000302A8" w:rsidP="000455AC">
      <w:pPr>
        <w:spacing w:line="264" w:lineRule="auto"/>
        <w:rPr>
          <w:i/>
          <w:sz w:val="25"/>
          <w:szCs w:val="25"/>
        </w:rPr>
      </w:pPr>
      <w:r w:rsidRPr="00942F86">
        <w:rPr>
          <w:i/>
          <w:sz w:val="25"/>
          <w:szCs w:val="25"/>
        </w:rPr>
        <w:t>The rates determined in this Order to be fair, just, reasonable, and sufficient are based on a capital structure of 49.10 percent equity,</w:t>
      </w:r>
      <w:r w:rsidR="00F83FA1" w:rsidRPr="00942F86">
        <w:rPr>
          <w:i/>
          <w:sz w:val="25"/>
          <w:szCs w:val="25"/>
        </w:rPr>
        <w:t xml:space="preserve"> </w:t>
      </w:r>
      <w:r w:rsidRPr="00942F86">
        <w:rPr>
          <w:i/>
          <w:sz w:val="25"/>
          <w:szCs w:val="25"/>
        </w:rPr>
        <w:t>50.6</w:t>
      </w:r>
      <w:r w:rsidR="00267466" w:rsidRPr="00942F86">
        <w:rPr>
          <w:i/>
          <w:sz w:val="25"/>
          <w:szCs w:val="25"/>
        </w:rPr>
        <w:t>9</w:t>
      </w:r>
      <w:r w:rsidRPr="00942F86">
        <w:rPr>
          <w:i/>
          <w:sz w:val="25"/>
          <w:szCs w:val="25"/>
        </w:rPr>
        <w:t xml:space="preserve"> percent</w:t>
      </w:r>
      <w:r w:rsidR="00267466" w:rsidRPr="00942F86">
        <w:rPr>
          <w:i/>
          <w:sz w:val="25"/>
          <w:szCs w:val="25"/>
        </w:rPr>
        <w:t xml:space="preserve"> long-term</w:t>
      </w:r>
      <w:r w:rsidRPr="00942F86">
        <w:rPr>
          <w:i/>
          <w:sz w:val="25"/>
          <w:szCs w:val="25"/>
        </w:rPr>
        <w:t xml:space="preserve"> debt,</w:t>
      </w:r>
      <w:r w:rsidR="00267466" w:rsidRPr="00942F86">
        <w:rPr>
          <w:i/>
          <w:sz w:val="25"/>
          <w:szCs w:val="25"/>
        </w:rPr>
        <w:t xml:space="preserve"> 0.19 percent short-term debt,</w:t>
      </w:r>
      <w:r w:rsidRPr="00942F86">
        <w:rPr>
          <w:i/>
          <w:sz w:val="25"/>
          <w:szCs w:val="25"/>
        </w:rPr>
        <w:t xml:space="preserve"> and 0.</w:t>
      </w:r>
      <w:r w:rsidR="00267466" w:rsidRPr="00942F86">
        <w:rPr>
          <w:i/>
          <w:sz w:val="25"/>
          <w:szCs w:val="25"/>
        </w:rPr>
        <w:t>02</w:t>
      </w:r>
      <w:r w:rsidRPr="00942F86">
        <w:rPr>
          <w:i/>
          <w:sz w:val="25"/>
          <w:szCs w:val="25"/>
        </w:rPr>
        <w:t xml:space="preserve"> percent preferred stock, with a 9.5 percent </w:t>
      </w:r>
      <w:r w:rsidRPr="00942F86">
        <w:rPr>
          <w:i/>
          <w:sz w:val="25"/>
          <w:szCs w:val="25"/>
        </w:rPr>
        <w:lastRenderedPageBreak/>
        <w:t>return on equity, a 5.</w:t>
      </w:r>
      <w:r w:rsidR="00267466" w:rsidRPr="00942F86">
        <w:rPr>
          <w:i/>
          <w:sz w:val="25"/>
          <w:szCs w:val="25"/>
        </w:rPr>
        <w:t>1</w:t>
      </w:r>
      <w:r w:rsidRPr="00942F86">
        <w:rPr>
          <w:i/>
          <w:sz w:val="25"/>
          <w:szCs w:val="25"/>
        </w:rPr>
        <w:t xml:space="preserve">9 percent cost of </w:t>
      </w:r>
      <w:r w:rsidR="00267466" w:rsidRPr="00942F86">
        <w:rPr>
          <w:i/>
          <w:sz w:val="25"/>
          <w:szCs w:val="25"/>
        </w:rPr>
        <w:t xml:space="preserve">long-term </w:t>
      </w:r>
      <w:r w:rsidRPr="00942F86">
        <w:rPr>
          <w:i/>
          <w:sz w:val="25"/>
          <w:szCs w:val="25"/>
        </w:rPr>
        <w:t xml:space="preserve">debt, </w:t>
      </w:r>
      <w:r w:rsidR="00267466" w:rsidRPr="00942F86">
        <w:rPr>
          <w:i/>
          <w:sz w:val="25"/>
          <w:szCs w:val="25"/>
        </w:rPr>
        <w:t xml:space="preserve">a 1.73 percent cost of short-term debt, </w:t>
      </w:r>
      <w:r w:rsidRPr="00942F86">
        <w:rPr>
          <w:i/>
          <w:sz w:val="25"/>
          <w:szCs w:val="25"/>
        </w:rPr>
        <w:t xml:space="preserve">and a </w:t>
      </w:r>
      <w:r w:rsidR="00267466" w:rsidRPr="00942F86">
        <w:rPr>
          <w:i/>
          <w:sz w:val="25"/>
          <w:szCs w:val="25"/>
        </w:rPr>
        <w:t>6.75</w:t>
      </w:r>
      <w:r w:rsidRPr="00942F86">
        <w:rPr>
          <w:i/>
          <w:sz w:val="25"/>
          <w:szCs w:val="25"/>
        </w:rPr>
        <w:t xml:space="preserve"> cost of preferred stock.  This results in an overall rate of return of 7.3</w:t>
      </w:r>
      <w:r w:rsidR="00267466" w:rsidRPr="00942F86">
        <w:rPr>
          <w:i/>
          <w:sz w:val="25"/>
          <w:szCs w:val="25"/>
        </w:rPr>
        <w:t>0</w:t>
      </w:r>
      <w:r w:rsidRPr="00942F86">
        <w:rPr>
          <w:i/>
          <w:sz w:val="25"/>
          <w:szCs w:val="25"/>
        </w:rPr>
        <w:t xml:space="preserve"> percent.</w:t>
      </w:r>
    </w:p>
    <w:p w14:paraId="1909B33A" w14:textId="5F58755A" w:rsidR="000302A8" w:rsidRPr="00942F86" w:rsidRDefault="000302A8" w:rsidP="000455AC">
      <w:pPr>
        <w:spacing w:line="264" w:lineRule="auto"/>
        <w:rPr>
          <w:i/>
          <w:sz w:val="25"/>
          <w:szCs w:val="25"/>
        </w:rPr>
      </w:pPr>
    </w:p>
    <w:p w14:paraId="041993F6" w14:textId="69C2B02B" w:rsidR="000302A8" w:rsidRPr="00942F86" w:rsidRDefault="000302A8" w:rsidP="000455AC">
      <w:pPr>
        <w:spacing w:line="264" w:lineRule="auto"/>
        <w:rPr>
          <w:i/>
          <w:sz w:val="25"/>
          <w:szCs w:val="25"/>
        </w:rPr>
      </w:pPr>
      <w:r w:rsidRPr="00942F86">
        <w:rPr>
          <w:i/>
          <w:sz w:val="25"/>
          <w:szCs w:val="25"/>
        </w:rPr>
        <w:t xml:space="preserve">The Commission </w:t>
      </w:r>
      <w:r w:rsidR="00267466" w:rsidRPr="00942F86">
        <w:rPr>
          <w:i/>
          <w:sz w:val="25"/>
          <w:szCs w:val="25"/>
        </w:rPr>
        <w:t>rejects Pacific Power’s and Staff’s respective recommendations for significant increases in the residential customer basic charge and Staff’s related recommendation for the addition of a third inverted block rate that would apply to higher levels of consumption by residential customers</w:t>
      </w:r>
      <w:r w:rsidRPr="00942F86">
        <w:rPr>
          <w:i/>
          <w:sz w:val="25"/>
          <w:szCs w:val="25"/>
        </w:rPr>
        <w:t>.</w:t>
      </w:r>
      <w:r w:rsidR="00267466" w:rsidRPr="00942F86">
        <w:rPr>
          <w:i/>
          <w:sz w:val="25"/>
          <w:szCs w:val="25"/>
        </w:rPr>
        <w:t xml:space="preserve">  The Commission restates its preference for a decoupling mechanism to address issues of fixed cost recovery while promoting conservation investment</w:t>
      </w:r>
      <w:r w:rsidR="00906BA9" w:rsidRPr="00942F86">
        <w:rPr>
          <w:i/>
          <w:sz w:val="25"/>
          <w:szCs w:val="25"/>
        </w:rPr>
        <w:t xml:space="preserve"> and encouraging, or at least not impeding, the development of distributed generation.  </w:t>
      </w:r>
    </w:p>
    <w:p w14:paraId="644DE7A8" w14:textId="77777777" w:rsidR="000302A8" w:rsidRPr="00942F86" w:rsidRDefault="000302A8" w:rsidP="000455AC">
      <w:pPr>
        <w:spacing w:line="264" w:lineRule="auto"/>
        <w:rPr>
          <w:i/>
          <w:sz w:val="25"/>
          <w:szCs w:val="25"/>
        </w:rPr>
      </w:pPr>
    </w:p>
    <w:p w14:paraId="7D550076" w14:textId="2F606C13" w:rsidR="00B777D9" w:rsidRPr="00942F86" w:rsidRDefault="000302A8" w:rsidP="000455AC">
      <w:pPr>
        <w:spacing w:line="264" w:lineRule="auto"/>
        <w:rPr>
          <w:i/>
          <w:sz w:val="25"/>
          <w:szCs w:val="25"/>
        </w:rPr>
      </w:pPr>
      <w:r w:rsidRPr="00942F86">
        <w:rPr>
          <w:i/>
          <w:sz w:val="25"/>
          <w:szCs w:val="25"/>
        </w:rPr>
        <w:t>Finally, the Commission approves increase</w:t>
      </w:r>
      <w:r w:rsidR="00906BA9" w:rsidRPr="00942F86">
        <w:rPr>
          <w:i/>
          <w:sz w:val="25"/>
          <w:szCs w:val="25"/>
        </w:rPr>
        <w:t>d</w:t>
      </w:r>
      <w:r w:rsidRPr="00942F86">
        <w:rPr>
          <w:i/>
          <w:sz w:val="25"/>
          <w:szCs w:val="25"/>
        </w:rPr>
        <w:t xml:space="preserve"> funding for PacifiCorp’s Low Income Bill Assistance Program</w:t>
      </w:r>
      <w:r w:rsidR="00906BA9" w:rsidRPr="00942F86">
        <w:rPr>
          <w:i/>
          <w:sz w:val="25"/>
          <w:szCs w:val="25"/>
        </w:rPr>
        <w:t xml:space="preserve"> </w:t>
      </w:r>
      <w:r w:rsidRPr="00942F86">
        <w:rPr>
          <w:i/>
          <w:sz w:val="25"/>
          <w:szCs w:val="25"/>
        </w:rPr>
        <w:t>consistent with the requirements of the five-year low-income bill assistance program approved in Docket UE-111190 in March 2012.</w:t>
      </w:r>
      <w:r w:rsidR="00906BA9" w:rsidRPr="00942F86">
        <w:rPr>
          <w:sz w:val="25"/>
          <w:szCs w:val="25"/>
        </w:rPr>
        <w:t xml:space="preserve"> </w:t>
      </w:r>
      <w:r w:rsidR="00786834" w:rsidRPr="00942F86">
        <w:rPr>
          <w:sz w:val="25"/>
          <w:szCs w:val="25"/>
        </w:rPr>
        <w:t xml:space="preserve"> </w:t>
      </w:r>
      <w:r w:rsidR="00906BA9" w:rsidRPr="00942F86">
        <w:rPr>
          <w:i/>
          <w:sz w:val="25"/>
          <w:szCs w:val="25"/>
        </w:rPr>
        <w:t>We encourage continued efforts by the Company, Staff, the Energy Project, and others who recognize the importance of ensuring that low-income customers have access to the vital services Pacific Power provides, to find innovative means to provide it.</w:t>
      </w:r>
    </w:p>
    <w:p w14:paraId="40FF9E23" w14:textId="77777777" w:rsidR="00B777D9" w:rsidRPr="00942F86" w:rsidRDefault="00B777D9" w:rsidP="000455AC">
      <w:pPr>
        <w:spacing w:line="264" w:lineRule="auto"/>
        <w:rPr>
          <w:i/>
          <w:iCs/>
          <w:color w:val="000000"/>
          <w:sz w:val="25"/>
          <w:szCs w:val="25"/>
        </w:rPr>
      </w:pPr>
    </w:p>
    <w:p w14:paraId="4A1AB135" w14:textId="0E0092A8" w:rsidR="00915205" w:rsidRPr="00942F86" w:rsidRDefault="00915205" w:rsidP="000455AC">
      <w:pPr>
        <w:spacing w:line="264" w:lineRule="auto"/>
        <w:rPr>
          <w:i/>
          <w:sz w:val="25"/>
          <w:szCs w:val="25"/>
        </w:rPr>
      </w:pPr>
      <w:r w:rsidRPr="00942F86">
        <w:rPr>
          <w:i/>
          <w:sz w:val="25"/>
          <w:szCs w:val="25"/>
        </w:rPr>
        <w:t>In the consolidated dockets, the Commission grants Pacific Power’s proposal</w:t>
      </w:r>
      <w:r w:rsidR="00786834" w:rsidRPr="00942F86">
        <w:rPr>
          <w:i/>
          <w:sz w:val="25"/>
          <w:szCs w:val="25"/>
        </w:rPr>
        <w:t>s</w:t>
      </w:r>
      <w:r w:rsidRPr="00942F86">
        <w:rPr>
          <w:i/>
          <w:sz w:val="25"/>
          <w:szCs w:val="25"/>
        </w:rPr>
        <w:t xml:space="preserve"> to </w:t>
      </w:r>
      <w:r w:rsidR="00786834" w:rsidRPr="00942F86">
        <w:rPr>
          <w:i/>
          <w:sz w:val="25"/>
          <w:szCs w:val="25"/>
        </w:rPr>
        <w:t xml:space="preserve">refund </w:t>
      </w:r>
      <w:r w:rsidRPr="00942F86">
        <w:rPr>
          <w:i/>
          <w:sz w:val="25"/>
          <w:szCs w:val="25"/>
        </w:rPr>
        <w:t xml:space="preserve">deferred </w:t>
      </w:r>
      <w:r w:rsidR="00786834" w:rsidRPr="00942F86">
        <w:rPr>
          <w:i/>
          <w:sz w:val="25"/>
          <w:szCs w:val="25"/>
        </w:rPr>
        <w:t>over</w:t>
      </w:r>
      <w:r w:rsidR="006004FA">
        <w:rPr>
          <w:i/>
          <w:sz w:val="25"/>
          <w:szCs w:val="25"/>
        </w:rPr>
        <w:t>-</w:t>
      </w:r>
      <w:r w:rsidR="00786834" w:rsidRPr="00942F86">
        <w:rPr>
          <w:i/>
          <w:sz w:val="25"/>
          <w:szCs w:val="25"/>
        </w:rPr>
        <w:t xml:space="preserve">recoveries of </w:t>
      </w:r>
      <w:r w:rsidRPr="00942F86">
        <w:rPr>
          <w:i/>
          <w:sz w:val="25"/>
          <w:szCs w:val="25"/>
        </w:rPr>
        <w:t>depreciation expense</w:t>
      </w:r>
      <w:r w:rsidR="00D66F11">
        <w:rPr>
          <w:i/>
          <w:sz w:val="25"/>
          <w:szCs w:val="25"/>
        </w:rPr>
        <w:t>,</w:t>
      </w:r>
      <w:r w:rsidRPr="00942F86">
        <w:rPr>
          <w:i/>
          <w:sz w:val="25"/>
          <w:szCs w:val="25"/>
        </w:rPr>
        <w:t xml:space="preserve"> and </w:t>
      </w:r>
      <w:r w:rsidR="00D66F11">
        <w:rPr>
          <w:i/>
          <w:sz w:val="25"/>
          <w:szCs w:val="25"/>
        </w:rPr>
        <w:t xml:space="preserve">to </w:t>
      </w:r>
      <w:r w:rsidR="00786834" w:rsidRPr="00942F86">
        <w:rPr>
          <w:i/>
          <w:sz w:val="25"/>
          <w:szCs w:val="25"/>
        </w:rPr>
        <w:t>recover</w:t>
      </w:r>
      <w:r w:rsidR="00D66F11">
        <w:rPr>
          <w:i/>
          <w:sz w:val="25"/>
          <w:szCs w:val="25"/>
        </w:rPr>
        <w:t xml:space="preserve"> deferred</w:t>
      </w:r>
      <w:r w:rsidR="00786834" w:rsidRPr="00942F86">
        <w:rPr>
          <w:i/>
          <w:sz w:val="25"/>
          <w:szCs w:val="25"/>
        </w:rPr>
        <w:t xml:space="preserve"> </w:t>
      </w:r>
      <w:r w:rsidRPr="00942F86">
        <w:rPr>
          <w:i/>
          <w:sz w:val="25"/>
          <w:szCs w:val="25"/>
        </w:rPr>
        <w:t>Operating &amp; Maintenance expense</w:t>
      </w:r>
      <w:r w:rsidR="00D66F11">
        <w:rPr>
          <w:i/>
          <w:sz w:val="25"/>
          <w:szCs w:val="25"/>
        </w:rPr>
        <w:t xml:space="preserve"> and depreciation expense (i.e., return of investment)</w:t>
      </w:r>
      <w:r w:rsidRPr="00942F86">
        <w:rPr>
          <w:i/>
          <w:sz w:val="25"/>
          <w:szCs w:val="25"/>
        </w:rPr>
        <w:t xml:space="preserve"> for the Merwin Fish Collector Project</w:t>
      </w:r>
      <w:r w:rsidR="00DC6A00">
        <w:rPr>
          <w:i/>
          <w:sz w:val="25"/>
          <w:szCs w:val="25"/>
        </w:rPr>
        <w:t xml:space="preserve"> (Merwin Project)</w:t>
      </w:r>
      <w:r w:rsidRPr="00942F86">
        <w:rPr>
          <w:i/>
          <w:sz w:val="25"/>
          <w:szCs w:val="25"/>
        </w:rPr>
        <w:t xml:space="preserve">, but denies recovery of </w:t>
      </w:r>
      <w:r w:rsidR="00DC6A00">
        <w:rPr>
          <w:i/>
          <w:sz w:val="25"/>
          <w:szCs w:val="25"/>
        </w:rPr>
        <w:t xml:space="preserve">deferred </w:t>
      </w:r>
      <w:r w:rsidRPr="00942F86">
        <w:rPr>
          <w:i/>
          <w:sz w:val="25"/>
          <w:szCs w:val="25"/>
        </w:rPr>
        <w:t xml:space="preserve">interest (i.e., return on </w:t>
      </w:r>
      <w:r w:rsidR="00DC6A00">
        <w:rPr>
          <w:i/>
          <w:sz w:val="25"/>
          <w:szCs w:val="25"/>
        </w:rPr>
        <w:t xml:space="preserve">the Merwin Project </w:t>
      </w:r>
      <w:r w:rsidRPr="00942F86">
        <w:rPr>
          <w:i/>
          <w:sz w:val="25"/>
          <w:szCs w:val="25"/>
        </w:rPr>
        <w:t>investment)</w:t>
      </w:r>
      <w:r w:rsidR="00DC6A00">
        <w:rPr>
          <w:i/>
          <w:sz w:val="25"/>
          <w:szCs w:val="25"/>
        </w:rPr>
        <w:t>.</w:t>
      </w:r>
      <w:r w:rsidRPr="00942F86">
        <w:rPr>
          <w:i/>
          <w:sz w:val="25"/>
          <w:szCs w:val="25"/>
        </w:rPr>
        <w:t xml:space="preserve">  The Company will recover return on the Merwin </w:t>
      </w:r>
      <w:r w:rsidR="00DC6A00">
        <w:rPr>
          <w:i/>
          <w:sz w:val="25"/>
          <w:szCs w:val="25"/>
        </w:rPr>
        <w:t>Project investment</w:t>
      </w:r>
      <w:r w:rsidRPr="00942F86">
        <w:rPr>
          <w:i/>
          <w:sz w:val="25"/>
          <w:szCs w:val="25"/>
        </w:rPr>
        <w:t xml:space="preserve"> in rate base going forward, just as in the case of any other post-test period plant addition.</w:t>
      </w:r>
    </w:p>
    <w:p w14:paraId="799EAB2E" w14:textId="77777777" w:rsidR="00915205" w:rsidRPr="00942F86" w:rsidRDefault="00915205" w:rsidP="000455AC">
      <w:pPr>
        <w:spacing w:line="264" w:lineRule="auto"/>
        <w:rPr>
          <w:i/>
          <w:sz w:val="25"/>
          <w:szCs w:val="25"/>
        </w:rPr>
      </w:pPr>
    </w:p>
    <w:p w14:paraId="29627484" w14:textId="6B570A13" w:rsidR="00BD6A2B" w:rsidRPr="00942F86" w:rsidRDefault="00915205" w:rsidP="000455AC">
      <w:pPr>
        <w:spacing w:line="264" w:lineRule="auto"/>
        <w:rPr>
          <w:i/>
          <w:sz w:val="25"/>
          <w:szCs w:val="25"/>
        </w:rPr>
      </w:pPr>
      <w:r w:rsidRPr="00942F86">
        <w:rPr>
          <w:i/>
          <w:sz w:val="25"/>
          <w:szCs w:val="25"/>
        </w:rPr>
        <w:t>The Commission denies Pacific Power’s petition</w:t>
      </w:r>
      <w:r w:rsidR="0057187C" w:rsidRPr="00942F86">
        <w:rPr>
          <w:i/>
          <w:sz w:val="25"/>
          <w:szCs w:val="25"/>
        </w:rPr>
        <w:t>s</w:t>
      </w:r>
      <w:r w:rsidRPr="00942F86">
        <w:rPr>
          <w:i/>
          <w:sz w:val="25"/>
          <w:szCs w:val="25"/>
        </w:rPr>
        <w:t xml:space="preserve"> for accounting orders allowing deferred treatment of replacement power costs in Docket UE-</w:t>
      </w:r>
      <w:r w:rsidR="00B84C10" w:rsidRPr="00942F86">
        <w:rPr>
          <w:i/>
          <w:sz w:val="25"/>
          <w:szCs w:val="25"/>
        </w:rPr>
        <w:t>131384</w:t>
      </w:r>
      <w:r w:rsidRPr="00942F86">
        <w:rPr>
          <w:i/>
          <w:sz w:val="25"/>
          <w:szCs w:val="25"/>
        </w:rPr>
        <w:t xml:space="preserve"> (Colstrip Outage) and Docket UE-</w:t>
      </w:r>
      <w:r w:rsidR="00B84C10" w:rsidRPr="00942F86">
        <w:rPr>
          <w:i/>
          <w:sz w:val="25"/>
          <w:szCs w:val="25"/>
        </w:rPr>
        <w:t>140094</w:t>
      </w:r>
      <w:r w:rsidRPr="00942F86">
        <w:rPr>
          <w:i/>
          <w:sz w:val="25"/>
          <w:szCs w:val="25"/>
        </w:rPr>
        <w:t xml:space="preserve"> (Hydro</w:t>
      </w:r>
      <w:r w:rsidR="00B84C10" w:rsidRPr="00942F86">
        <w:rPr>
          <w:i/>
          <w:sz w:val="25"/>
          <w:szCs w:val="25"/>
        </w:rPr>
        <w:t>power</w:t>
      </w:r>
      <w:r w:rsidRPr="00942F86">
        <w:rPr>
          <w:i/>
          <w:sz w:val="25"/>
          <w:szCs w:val="25"/>
        </w:rPr>
        <w:t xml:space="preserve"> Deferral).  Neither request demonstrates extraordinary costs that might support such treatment.  </w:t>
      </w:r>
      <w:r w:rsidR="00700C09" w:rsidRPr="00942F86">
        <w:rPr>
          <w:i/>
          <w:sz w:val="25"/>
          <w:szCs w:val="25"/>
        </w:rPr>
        <w:t>We prefer to address volatility in power costs through a properly designed Power Cost Adjustment Mechanism (PCAM), which we require the Company to file in this Order, rather than continued filing of petitions to defer accounting treatment of power costs.</w:t>
      </w:r>
      <w:r w:rsidR="001D04E3" w:rsidRPr="00942F86">
        <w:rPr>
          <w:i/>
          <w:sz w:val="25"/>
          <w:szCs w:val="25"/>
        </w:rPr>
        <w:t xml:space="preserve">  </w:t>
      </w:r>
      <w:r w:rsidRPr="00942F86">
        <w:rPr>
          <w:i/>
          <w:sz w:val="25"/>
          <w:szCs w:val="25"/>
        </w:rPr>
        <w:t xml:space="preserve">  </w:t>
      </w:r>
    </w:p>
    <w:p w14:paraId="411CB096" w14:textId="77777777" w:rsidR="00F715FA" w:rsidRPr="00942F86" w:rsidRDefault="00F715FA" w:rsidP="000455AC">
      <w:pPr>
        <w:pStyle w:val="Heading1"/>
        <w:spacing w:before="0" w:after="0" w:line="264" w:lineRule="auto"/>
        <w:rPr>
          <w:rFonts w:cs="Times New Roman"/>
          <w:b w:val="0"/>
          <w:szCs w:val="25"/>
        </w:rPr>
        <w:sectPr w:rsidR="00F715FA" w:rsidRPr="00942F86" w:rsidSect="00883A54">
          <w:headerReference w:type="default" r:id="rId11"/>
          <w:headerReference w:type="first" r:id="rId12"/>
          <w:pgSz w:w="12240" w:h="15840" w:code="1"/>
          <w:pgMar w:top="1440" w:right="1440" w:bottom="1440" w:left="2160" w:header="1440" w:footer="720" w:gutter="0"/>
          <w:pgNumType w:fmt="lowerRoman" w:start="1"/>
          <w:cols w:space="720"/>
          <w:titlePg/>
          <w:docGrid w:linePitch="360"/>
        </w:sectPr>
      </w:pPr>
    </w:p>
    <w:p w14:paraId="04AF5305" w14:textId="05CC117B" w:rsidR="00BD6A2B" w:rsidRPr="00942F86" w:rsidRDefault="00B44676" w:rsidP="00B44676">
      <w:pPr>
        <w:pStyle w:val="NoSpacing"/>
        <w:tabs>
          <w:tab w:val="center" w:pos="4320"/>
          <w:tab w:val="left" w:pos="7560"/>
        </w:tabs>
        <w:spacing w:line="264" w:lineRule="auto"/>
        <w:rPr>
          <w:b/>
          <w:sz w:val="25"/>
          <w:szCs w:val="25"/>
        </w:rPr>
      </w:pPr>
      <w:bookmarkStart w:id="1" w:name="_Toc252797489"/>
      <w:r>
        <w:rPr>
          <w:b/>
          <w:sz w:val="25"/>
          <w:szCs w:val="25"/>
        </w:rPr>
        <w:lastRenderedPageBreak/>
        <w:tab/>
      </w:r>
      <w:r w:rsidR="006120B6" w:rsidRPr="00942F86">
        <w:rPr>
          <w:b/>
          <w:sz w:val="25"/>
          <w:szCs w:val="25"/>
        </w:rPr>
        <w:t>TABLE OF CONTENTS</w:t>
      </w:r>
      <w:bookmarkEnd w:id="1"/>
      <w:r>
        <w:rPr>
          <w:b/>
          <w:sz w:val="25"/>
          <w:szCs w:val="25"/>
        </w:rPr>
        <w:tab/>
      </w:r>
    </w:p>
    <w:p w14:paraId="5510A934" w14:textId="77777777" w:rsidR="00BD6A2B" w:rsidRPr="00942F86" w:rsidRDefault="00BD6A2B" w:rsidP="000455AC">
      <w:pPr>
        <w:pStyle w:val="NoSpacing"/>
        <w:spacing w:line="264" w:lineRule="auto"/>
        <w:rPr>
          <w:sz w:val="25"/>
          <w:szCs w:val="25"/>
        </w:rPr>
      </w:pPr>
    </w:p>
    <w:p w14:paraId="4620636C" w14:textId="77777777" w:rsidR="002D37E4" w:rsidRPr="002D37E4" w:rsidRDefault="00016122" w:rsidP="002D37E4">
      <w:pPr>
        <w:pStyle w:val="TOC1"/>
        <w:spacing w:line="288" w:lineRule="auto"/>
        <w:rPr>
          <w:rFonts w:asciiTheme="minorHAnsi" w:eastAsiaTheme="minorEastAsia" w:hAnsiTheme="minorHAnsi" w:cstheme="minorBidi"/>
          <w:noProof/>
          <w:sz w:val="22"/>
          <w:szCs w:val="22"/>
        </w:rPr>
      </w:pPr>
      <w:r w:rsidRPr="002D37E4">
        <w:rPr>
          <w:u w:val="single"/>
        </w:rPr>
        <w:fldChar w:fldCharType="begin"/>
      </w:r>
      <w:r w:rsidRPr="002D37E4">
        <w:rPr>
          <w:u w:val="single"/>
        </w:rPr>
        <w:instrText xml:space="preserve"> TOC \o \h \z \u </w:instrText>
      </w:r>
      <w:r w:rsidRPr="002D37E4">
        <w:rPr>
          <w:u w:val="single"/>
        </w:rPr>
        <w:fldChar w:fldCharType="separate"/>
      </w:r>
      <w:hyperlink w:anchor="_Toc415037606" w:history="1">
        <w:r w:rsidR="002D37E4" w:rsidRPr="002D37E4">
          <w:rPr>
            <w:rStyle w:val="Hyperlink"/>
            <w:noProof/>
          </w:rPr>
          <w:t>SUMMARY</w:t>
        </w:r>
        <w:r w:rsidR="002D37E4" w:rsidRPr="002D37E4">
          <w:rPr>
            <w:noProof/>
            <w:webHidden/>
          </w:rPr>
          <w:tab/>
        </w:r>
        <w:r w:rsidR="002D37E4" w:rsidRPr="002D37E4">
          <w:rPr>
            <w:noProof/>
            <w:webHidden/>
          </w:rPr>
          <w:fldChar w:fldCharType="begin"/>
        </w:r>
        <w:r w:rsidR="002D37E4" w:rsidRPr="002D37E4">
          <w:rPr>
            <w:noProof/>
            <w:webHidden/>
          </w:rPr>
          <w:instrText xml:space="preserve"> PAGEREF _Toc415037606 \h </w:instrText>
        </w:r>
        <w:r w:rsidR="002D37E4" w:rsidRPr="002D37E4">
          <w:rPr>
            <w:noProof/>
            <w:webHidden/>
          </w:rPr>
        </w:r>
        <w:r w:rsidR="002D37E4" w:rsidRPr="002D37E4">
          <w:rPr>
            <w:noProof/>
            <w:webHidden/>
          </w:rPr>
          <w:fldChar w:fldCharType="separate"/>
        </w:r>
        <w:r w:rsidR="001349C0">
          <w:rPr>
            <w:noProof/>
            <w:webHidden/>
          </w:rPr>
          <w:t>1</w:t>
        </w:r>
        <w:r w:rsidR="002D37E4" w:rsidRPr="002D37E4">
          <w:rPr>
            <w:noProof/>
            <w:webHidden/>
          </w:rPr>
          <w:fldChar w:fldCharType="end"/>
        </w:r>
      </w:hyperlink>
    </w:p>
    <w:p w14:paraId="639305C4" w14:textId="77777777" w:rsidR="002D37E4" w:rsidRPr="002D37E4" w:rsidRDefault="002D37E4" w:rsidP="002D37E4">
      <w:pPr>
        <w:pStyle w:val="TOC1"/>
        <w:spacing w:line="288" w:lineRule="auto"/>
        <w:rPr>
          <w:rFonts w:asciiTheme="minorHAnsi" w:eastAsiaTheme="minorEastAsia" w:hAnsiTheme="minorHAnsi" w:cstheme="minorBidi"/>
          <w:noProof/>
          <w:sz w:val="22"/>
          <w:szCs w:val="22"/>
        </w:rPr>
      </w:pPr>
      <w:hyperlink w:anchor="_Toc415037607" w:history="1">
        <w:r w:rsidRPr="002D37E4">
          <w:rPr>
            <w:rStyle w:val="Hyperlink"/>
            <w:noProof/>
          </w:rPr>
          <w:t>MEMORANDUM</w:t>
        </w:r>
        <w:r w:rsidRPr="002D37E4">
          <w:rPr>
            <w:noProof/>
            <w:webHidden/>
          </w:rPr>
          <w:tab/>
        </w:r>
        <w:r w:rsidRPr="002D37E4">
          <w:rPr>
            <w:noProof/>
            <w:webHidden/>
          </w:rPr>
          <w:fldChar w:fldCharType="begin"/>
        </w:r>
        <w:r w:rsidRPr="002D37E4">
          <w:rPr>
            <w:noProof/>
            <w:webHidden/>
          </w:rPr>
          <w:instrText xml:space="preserve"> PAGEREF _Toc415037607 \h </w:instrText>
        </w:r>
        <w:r w:rsidRPr="002D37E4">
          <w:rPr>
            <w:noProof/>
            <w:webHidden/>
          </w:rPr>
        </w:r>
        <w:r w:rsidRPr="002D37E4">
          <w:rPr>
            <w:noProof/>
            <w:webHidden/>
          </w:rPr>
          <w:fldChar w:fldCharType="separate"/>
        </w:r>
        <w:r w:rsidR="001349C0">
          <w:rPr>
            <w:noProof/>
            <w:webHidden/>
          </w:rPr>
          <w:t>4</w:t>
        </w:r>
        <w:r w:rsidRPr="002D37E4">
          <w:rPr>
            <w:noProof/>
            <w:webHidden/>
          </w:rPr>
          <w:fldChar w:fldCharType="end"/>
        </w:r>
      </w:hyperlink>
    </w:p>
    <w:p w14:paraId="1A5120BF" w14:textId="77777777" w:rsidR="002D37E4" w:rsidRPr="002D37E4" w:rsidRDefault="002D37E4" w:rsidP="002D37E4">
      <w:pPr>
        <w:pStyle w:val="TOC2"/>
        <w:spacing w:line="288" w:lineRule="auto"/>
        <w:rPr>
          <w:rFonts w:asciiTheme="minorHAnsi" w:eastAsiaTheme="minorEastAsia" w:hAnsiTheme="minorHAnsi" w:cstheme="minorBidi"/>
          <w:b w:val="0"/>
          <w:sz w:val="22"/>
          <w:szCs w:val="22"/>
        </w:rPr>
      </w:pPr>
      <w:hyperlink w:anchor="_Toc415037608" w:history="1">
        <w:r w:rsidRPr="002D37E4">
          <w:rPr>
            <w:rStyle w:val="Hyperlink"/>
            <w:b w:val="0"/>
          </w:rPr>
          <w:t>I.</w:t>
        </w:r>
        <w:r w:rsidRPr="002D37E4">
          <w:rPr>
            <w:rFonts w:asciiTheme="minorHAnsi" w:eastAsiaTheme="minorEastAsia" w:hAnsiTheme="minorHAnsi" w:cstheme="minorBidi"/>
            <w:b w:val="0"/>
            <w:sz w:val="22"/>
            <w:szCs w:val="22"/>
          </w:rPr>
          <w:tab/>
        </w:r>
        <w:r w:rsidRPr="002D37E4">
          <w:rPr>
            <w:rStyle w:val="Hyperlink"/>
            <w:b w:val="0"/>
          </w:rPr>
          <w:t>Background and Procedural History</w:t>
        </w:r>
        <w:r w:rsidRPr="002D37E4">
          <w:rPr>
            <w:b w:val="0"/>
            <w:webHidden/>
          </w:rPr>
          <w:tab/>
        </w:r>
        <w:r w:rsidRPr="002D37E4">
          <w:rPr>
            <w:b w:val="0"/>
            <w:webHidden/>
          </w:rPr>
          <w:fldChar w:fldCharType="begin"/>
        </w:r>
        <w:r w:rsidRPr="002D37E4">
          <w:rPr>
            <w:b w:val="0"/>
            <w:webHidden/>
          </w:rPr>
          <w:instrText xml:space="preserve"> PAGEREF _Toc415037608 \h </w:instrText>
        </w:r>
        <w:r w:rsidRPr="002D37E4">
          <w:rPr>
            <w:b w:val="0"/>
            <w:webHidden/>
          </w:rPr>
        </w:r>
        <w:r w:rsidRPr="002D37E4">
          <w:rPr>
            <w:b w:val="0"/>
            <w:webHidden/>
          </w:rPr>
          <w:fldChar w:fldCharType="separate"/>
        </w:r>
        <w:r w:rsidR="001349C0">
          <w:rPr>
            <w:b w:val="0"/>
            <w:webHidden/>
          </w:rPr>
          <w:t>4</w:t>
        </w:r>
        <w:r w:rsidRPr="002D37E4">
          <w:rPr>
            <w:b w:val="0"/>
            <w:webHidden/>
          </w:rPr>
          <w:fldChar w:fldCharType="end"/>
        </w:r>
      </w:hyperlink>
    </w:p>
    <w:p w14:paraId="3562127C" w14:textId="77777777" w:rsidR="002D37E4" w:rsidRPr="002D37E4" w:rsidRDefault="002D37E4" w:rsidP="002D37E4">
      <w:pPr>
        <w:pStyle w:val="TOC2"/>
        <w:spacing w:line="288" w:lineRule="auto"/>
        <w:rPr>
          <w:rFonts w:asciiTheme="minorHAnsi" w:eastAsiaTheme="minorEastAsia" w:hAnsiTheme="minorHAnsi" w:cstheme="minorBidi"/>
          <w:b w:val="0"/>
          <w:sz w:val="22"/>
          <w:szCs w:val="22"/>
        </w:rPr>
      </w:pPr>
      <w:hyperlink w:anchor="_Toc415037609" w:history="1">
        <w:r w:rsidRPr="002D37E4">
          <w:rPr>
            <w:rStyle w:val="Hyperlink"/>
            <w:b w:val="0"/>
          </w:rPr>
          <w:t>II.</w:t>
        </w:r>
        <w:r w:rsidRPr="002D37E4">
          <w:rPr>
            <w:rFonts w:asciiTheme="minorHAnsi" w:eastAsiaTheme="minorEastAsia" w:hAnsiTheme="minorHAnsi" w:cstheme="minorBidi"/>
            <w:b w:val="0"/>
            <w:sz w:val="22"/>
            <w:szCs w:val="22"/>
          </w:rPr>
          <w:tab/>
        </w:r>
        <w:r w:rsidRPr="002D37E4">
          <w:rPr>
            <w:rStyle w:val="Hyperlink"/>
            <w:b w:val="0"/>
          </w:rPr>
          <w:t>Ratemaking Authority and Practice</w:t>
        </w:r>
        <w:r w:rsidRPr="002D37E4">
          <w:rPr>
            <w:b w:val="0"/>
            <w:webHidden/>
          </w:rPr>
          <w:tab/>
        </w:r>
        <w:r w:rsidRPr="002D37E4">
          <w:rPr>
            <w:b w:val="0"/>
            <w:webHidden/>
          </w:rPr>
          <w:fldChar w:fldCharType="begin"/>
        </w:r>
        <w:r w:rsidRPr="002D37E4">
          <w:rPr>
            <w:b w:val="0"/>
            <w:webHidden/>
          </w:rPr>
          <w:instrText xml:space="preserve"> PAGEREF _Toc415037609 \h </w:instrText>
        </w:r>
        <w:r w:rsidRPr="002D37E4">
          <w:rPr>
            <w:b w:val="0"/>
            <w:webHidden/>
          </w:rPr>
        </w:r>
        <w:r w:rsidRPr="002D37E4">
          <w:rPr>
            <w:b w:val="0"/>
            <w:webHidden/>
          </w:rPr>
          <w:fldChar w:fldCharType="separate"/>
        </w:r>
        <w:r w:rsidR="001349C0">
          <w:rPr>
            <w:b w:val="0"/>
            <w:webHidden/>
          </w:rPr>
          <w:t>6</w:t>
        </w:r>
        <w:r w:rsidRPr="002D37E4">
          <w:rPr>
            <w:b w:val="0"/>
            <w:webHidden/>
          </w:rPr>
          <w:fldChar w:fldCharType="end"/>
        </w:r>
      </w:hyperlink>
    </w:p>
    <w:p w14:paraId="0E6BE363" w14:textId="77777777" w:rsidR="002D37E4" w:rsidRPr="002D37E4" w:rsidRDefault="002D37E4" w:rsidP="002D37E4">
      <w:pPr>
        <w:pStyle w:val="TOC2"/>
        <w:spacing w:line="288" w:lineRule="auto"/>
        <w:rPr>
          <w:rFonts w:asciiTheme="minorHAnsi" w:eastAsiaTheme="minorEastAsia" w:hAnsiTheme="minorHAnsi" w:cstheme="minorBidi"/>
          <w:b w:val="0"/>
          <w:sz w:val="22"/>
          <w:szCs w:val="22"/>
        </w:rPr>
      </w:pPr>
      <w:hyperlink w:anchor="_Toc415037610" w:history="1">
        <w:r w:rsidRPr="002D37E4">
          <w:rPr>
            <w:rStyle w:val="Hyperlink"/>
            <w:b w:val="0"/>
          </w:rPr>
          <w:t>III. Discussion and Decisions</w:t>
        </w:r>
        <w:r w:rsidRPr="002D37E4">
          <w:rPr>
            <w:b w:val="0"/>
            <w:webHidden/>
          </w:rPr>
          <w:tab/>
        </w:r>
        <w:r w:rsidRPr="002D37E4">
          <w:rPr>
            <w:b w:val="0"/>
            <w:webHidden/>
          </w:rPr>
          <w:fldChar w:fldCharType="begin"/>
        </w:r>
        <w:r w:rsidRPr="002D37E4">
          <w:rPr>
            <w:b w:val="0"/>
            <w:webHidden/>
          </w:rPr>
          <w:instrText xml:space="preserve"> PAGEREF _Toc415037610 \h </w:instrText>
        </w:r>
        <w:r w:rsidRPr="002D37E4">
          <w:rPr>
            <w:b w:val="0"/>
            <w:webHidden/>
          </w:rPr>
        </w:r>
        <w:r w:rsidRPr="002D37E4">
          <w:rPr>
            <w:b w:val="0"/>
            <w:webHidden/>
          </w:rPr>
          <w:fldChar w:fldCharType="separate"/>
        </w:r>
        <w:r w:rsidR="001349C0">
          <w:rPr>
            <w:b w:val="0"/>
            <w:webHidden/>
          </w:rPr>
          <w:t>13</w:t>
        </w:r>
        <w:r w:rsidRPr="002D37E4">
          <w:rPr>
            <w:b w:val="0"/>
            <w:webHidden/>
          </w:rPr>
          <w:fldChar w:fldCharType="end"/>
        </w:r>
      </w:hyperlink>
    </w:p>
    <w:p w14:paraId="5BFEF340" w14:textId="77777777" w:rsidR="002D37E4" w:rsidRPr="002D37E4" w:rsidRDefault="002D37E4" w:rsidP="002D37E4">
      <w:pPr>
        <w:pStyle w:val="TOC3"/>
        <w:spacing w:line="288" w:lineRule="auto"/>
        <w:rPr>
          <w:rFonts w:asciiTheme="minorHAnsi" w:eastAsiaTheme="minorEastAsia" w:hAnsiTheme="minorHAnsi" w:cstheme="minorBidi"/>
          <w:b w:val="0"/>
          <w:sz w:val="22"/>
          <w:szCs w:val="22"/>
        </w:rPr>
      </w:pPr>
      <w:hyperlink w:anchor="_Toc415037611" w:history="1">
        <w:r w:rsidRPr="002D37E4">
          <w:rPr>
            <w:rStyle w:val="Hyperlink"/>
            <w:b w:val="0"/>
          </w:rPr>
          <w:t>A.</w:t>
        </w:r>
        <w:r w:rsidRPr="002D37E4">
          <w:rPr>
            <w:rFonts w:asciiTheme="minorHAnsi" w:eastAsiaTheme="minorEastAsia" w:hAnsiTheme="minorHAnsi" w:cstheme="minorBidi"/>
            <w:b w:val="0"/>
            <w:sz w:val="22"/>
            <w:szCs w:val="22"/>
          </w:rPr>
          <w:tab/>
        </w:r>
        <w:r w:rsidRPr="002D37E4">
          <w:rPr>
            <w:rStyle w:val="Hyperlink"/>
            <w:b w:val="0"/>
          </w:rPr>
          <w:t>Introduction</w:t>
        </w:r>
        <w:r w:rsidRPr="002D37E4">
          <w:rPr>
            <w:b w:val="0"/>
            <w:webHidden/>
          </w:rPr>
          <w:tab/>
        </w:r>
        <w:r w:rsidRPr="002D37E4">
          <w:rPr>
            <w:b w:val="0"/>
            <w:webHidden/>
          </w:rPr>
          <w:fldChar w:fldCharType="begin"/>
        </w:r>
        <w:r w:rsidRPr="002D37E4">
          <w:rPr>
            <w:b w:val="0"/>
            <w:webHidden/>
          </w:rPr>
          <w:instrText xml:space="preserve"> PAGEREF _Toc415037611 \h </w:instrText>
        </w:r>
        <w:r w:rsidRPr="002D37E4">
          <w:rPr>
            <w:b w:val="0"/>
            <w:webHidden/>
          </w:rPr>
        </w:r>
        <w:r w:rsidRPr="002D37E4">
          <w:rPr>
            <w:b w:val="0"/>
            <w:webHidden/>
          </w:rPr>
          <w:fldChar w:fldCharType="separate"/>
        </w:r>
        <w:r w:rsidR="001349C0">
          <w:rPr>
            <w:b w:val="0"/>
            <w:webHidden/>
          </w:rPr>
          <w:t>13</w:t>
        </w:r>
        <w:r w:rsidRPr="002D37E4">
          <w:rPr>
            <w:b w:val="0"/>
            <w:webHidden/>
          </w:rPr>
          <w:fldChar w:fldCharType="end"/>
        </w:r>
      </w:hyperlink>
    </w:p>
    <w:p w14:paraId="5EC6D77B" w14:textId="77777777" w:rsidR="002D37E4" w:rsidRPr="002D37E4" w:rsidRDefault="002D37E4" w:rsidP="002D37E4">
      <w:pPr>
        <w:pStyle w:val="TOC3"/>
        <w:spacing w:line="288" w:lineRule="auto"/>
        <w:rPr>
          <w:rFonts w:asciiTheme="minorHAnsi" w:eastAsiaTheme="minorEastAsia" w:hAnsiTheme="minorHAnsi" w:cstheme="minorBidi"/>
          <w:b w:val="0"/>
          <w:sz w:val="22"/>
          <w:szCs w:val="22"/>
        </w:rPr>
      </w:pPr>
      <w:hyperlink w:anchor="_Toc415037612" w:history="1">
        <w:r w:rsidRPr="002D37E4">
          <w:rPr>
            <w:rStyle w:val="Hyperlink"/>
            <w:b w:val="0"/>
          </w:rPr>
          <w:t>B.</w:t>
        </w:r>
        <w:r w:rsidRPr="002D37E4">
          <w:rPr>
            <w:rFonts w:asciiTheme="minorHAnsi" w:eastAsiaTheme="minorEastAsia" w:hAnsiTheme="minorHAnsi" w:cstheme="minorBidi"/>
            <w:b w:val="0"/>
            <w:sz w:val="22"/>
            <w:szCs w:val="22"/>
          </w:rPr>
          <w:tab/>
        </w:r>
        <w:r w:rsidRPr="002D37E4">
          <w:rPr>
            <w:rStyle w:val="Hyperlink"/>
            <w:b w:val="0"/>
            <w:i/>
          </w:rPr>
          <w:t>Pro Forma</w:t>
        </w:r>
        <w:r w:rsidRPr="002D37E4">
          <w:rPr>
            <w:rStyle w:val="Hyperlink"/>
            <w:b w:val="0"/>
          </w:rPr>
          <w:t xml:space="preserve"> Expense Adjustments</w:t>
        </w:r>
        <w:r w:rsidRPr="002D37E4">
          <w:rPr>
            <w:b w:val="0"/>
            <w:webHidden/>
          </w:rPr>
          <w:tab/>
        </w:r>
        <w:r w:rsidRPr="002D37E4">
          <w:rPr>
            <w:b w:val="0"/>
            <w:webHidden/>
          </w:rPr>
          <w:fldChar w:fldCharType="begin"/>
        </w:r>
        <w:r w:rsidRPr="002D37E4">
          <w:rPr>
            <w:b w:val="0"/>
            <w:webHidden/>
          </w:rPr>
          <w:instrText xml:space="preserve"> PAGEREF _Toc415037612 \h </w:instrText>
        </w:r>
        <w:r w:rsidRPr="002D37E4">
          <w:rPr>
            <w:b w:val="0"/>
            <w:webHidden/>
          </w:rPr>
        </w:r>
        <w:r w:rsidRPr="002D37E4">
          <w:rPr>
            <w:b w:val="0"/>
            <w:webHidden/>
          </w:rPr>
          <w:fldChar w:fldCharType="separate"/>
        </w:r>
        <w:r w:rsidR="001349C0">
          <w:rPr>
            <w:b w:val="0"/>
            <w:webHidden/>
          </w:rPr>
          <w:t>15</w:t>
        </w:r>
        <w:r w:rsidRPr="002D37E4">
          <w:rPr>
            <w:b w:val="0"/>
            <w:webHidden/>
          </w:rPr>
          <w:fldChar w:fldCharType="end"/>
        </w:r>
      </w:hyperlink>
    </w:p>
    <w:p w14:paraId="0D4585D8"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13" w:history="1">
        <w:r w:rsidRPr="002D37E4">
          <w:rPr>
            <w:rStyle w:val="Hyperlink"/>
            <w:noProof/>
          </w:rPr>
          <w:t>1.</w:t>
        </w:r>
        <w:r w:rsidRPr="002D37E4">
          <w:rPr>
            <w:rFonts w:asciiTheme="minorHAnsi" w:eastAsiaTheme="minorEastAsia" w:hAnsiTheme="minorHAnsi" w:cstheme="minorBidi"/>
            <w:noProof/>
            <w:sz w:val="22"/>
            <w:szCs w:val="22"/>
          </w:rPr>
          <w:tab/>
        </w:r>
        <w:r w:rsidRPr="002D37E4">
          <w:rPr>
            <w:rStyle w:val="Hyperlink"/>
            <w:noProof/>
          </w:rPr>
          <w:t xml:space="preserve">General Wage Increase - </w:t>
        </w:r>
        <w:r w:rsidRPr="002D37E4">
          <w:rPr>
            <w:rStyle w:val="Hyperlink"/>
            <w:i/>
            <w:noProof/>
          </w:rPr>
          <w:t>Pro Forma</w:t>
        </w:r>
        <w:r w:rsidRPr="002D37E4">
          <w:rPr>
            <w:rStyle w:val="Hyperlink"/>
            <w:noProof/>
          </w:rPr>
          <w:t xml:space="preserve"> Expense and Pension Expense (Adjustment 4.3)</w:t>
        </w:r>
        <w:r w:rsidRPr="002D37E4">
          <w:rPr>
            <w:noProof/>
            <w:webHidden/>
          </w:rPr>
          <w:tab/>
        </w:r>
        <w:r w:rsidRPr="002D37E4">
          <w:rPr>
            <w:noProof/>
            <w:webHidden/>
          </w:rPr>
          <w:fldChar w:fldCharType="begin"/>
        </w:r>
        <w:r w:rsidRPr="002D37E4">
          <w:rPr>
            <w:noProof/>
            <w:webHidden/>
          </w:rPr>
          <w:instrText xml:space="preserve"> PAGEREF _Toc415037613 \h </w:instrText>
        </w:r>
        <w:r w:rsidRPr="002D37E4">
          <w:rPr>
            <w:noProof/>
            <w:webHidden/>
          </w:rPr>
        </w:r>
        <w:r w:rsidRPr="002D37E4">
          <w:rPr>
            <w:noProof/>
            <w:webHidden/>
          </w:rPr>
          <w:fldChar w:fldCharType="separate"/>
        </w:r>
        <w:r w:rsidR="001349C0">
          <w:rPr>
            <w:noProof/>
            <w:webHidden/>
          </w:rPr>
          <w:t>15</w:t>
        </w:r>
        <w:r w:rsidRPr="002D37E4">
          <w:rPr>
            <w:noProof/>
            <w:webHidden/>
          </w:rPr>
          <w:fldChar w:fldCharType="end"/>
        </w:r>
      </w:hyperlink>
    </w:p>
    <w:p w14:paraId="3F2C621F"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14" w:history="1">
        <w:r w:rsidRPr="002D37E4">
          <w:rPr>
            <w:rStyle w:val="Hyperlink"/>
            <w:noProof/>
          </w:rPr>
          <w:t>2.</w:t>
        </w:r>
        <w:r w:rsidRPr="002D37E4">
          <w:rPr>
            <w:rFonts w:asciiTheme="minorHAnsi" w:eastAsiaTheme="minorEastAsia" w:hAnsiTheme="minorHAnsi" w:cstheme="minorBidi"/>
            <w:noProof/>
            <w:sz w:val="22"/>
            <w:szCs w:val="22"/>
          </w:rPr>
          <w:tab/>
        </w:r>
        <w:r w:rsidRPr="002D37E4">
          <w:rPr>
            <w:rStyle w:val="Hyperlink"/>
            <w:noProof/>
          </w:rPr>
          <w:t>Insurance Expense (Adjustment 4.7)</w:t>
        </w:r>
        <w:r w:rsidRPr="002D37E4">
          <w:rPr>
            <w:noProof/>
            <w:webHidden/>
          </w:rPr>
          <w:tab/>
        </w:r>
        <w:r w:rsidRPr="002D37E4">
          <w:rPr>
            <w:noProof/>
            <w:webHidden/>
          </w:rPr>
          <w:fldChar w:fldCharType="begin"/>
        </w:r>
        <w:r w:rsidRPr="002D37E4">
          <w:rPr>
            <w:noProof/>
            <w:webHidden/>
          </w:rPr>
          <w:instrText xml:space="preserve"> PAGEREF _Toc415037614 \h </w:instrText>
        </w:r>
        <w:r w:rsidRPr="002D37E4">
          <w:rPr>
            <w:noProof/>
            <w:webHidden/>
          </w:rPr>
        </w:r>
        <w:r w:rsidRPr="002D37E4">
          <w:rPr>
            <w:noProof/>
            <w:webHidden/>
          </w:rPr>
          <w:fldChar w:fldCharType="separate"/>
        </w:r>
        <w:r w:rsidR="001349C0">
          <w:rPr>
            <w:noProof/>
            <w:webHidden/>
          </w:rPr>
          <w:t>22</w:t>
        </w:r>
        <w:r w:rsidRPr="002D37E4">
          <w:rPr>
            <w:noProof/>
            <w:webHidden/>
          </w:rPr>
          <w:fldChar w:fldCharType="end"/>
        </w:r>
      </w:hyperlink>
    </w:p>
    <w:p w14:paraId="24BD1103"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15" w:history="1">
        <w:r w:rsidRPr="002D37E4">
          <w:rPr>
            <w:rStyle w:val="Hyperlink"/>
            <w:noProof/>
          </w:rPr>
          <w:t>3.</w:t>
        </w:r>
        <w:r w:rsidRPr="002D37E4">
          <w:rPr>
            <w:rFonts w:asciiTheme="minorHAnsi" w:eastAsiaTheme="minorEastAsia" w:hAnsiTheme="minorHAnsi" w:cstheme="minorBidi"/>
            <w:noProof/>
            <w:sz w:val="22"/>
            <w:szCs w:val="22"/>
          </w:rPr>
          <w:tab/>
        </w:r>
        <w:r w:rsidRPr="002D37E4">
          <w:rPr>
            <w:rStyle w:val="Hyperlink"/>
            <w:noProof/>
          </w:rPr>
          <w:t>IHS Global Insight’s Escalation Factors (Adjustment 4.13 - Operations &amp; Maintenance (O&amp;M) Expenses other than labor and power related O&amp;M)</w:t>
        </w:r>
        <w:r w:rsidRPr="002D37E4">
          <w:rPr>
            <w:noProof/>
            <w:webHidden/>
          </w:rPr>
          <w:tab/>
        </w:r>
        <w:r w:rsidRPr="002D37E4">
          <w:rPr>
            <w:noProof/>
            <w:webHidden/>
          </w:rPr>
          <w:fldChar w:fldCharType="begin"/>
        </w:r>
        <w:r w:rsidRPr="002D37E4">
          <w:rPr>
            <w:noProof/>
            <w:webHidden/>
          </w:rPr>
          <w:instrText xml:space="preserve"> PAGEREF _Toc415037615 \h </w:instrText>
        </w:r>
        <w:r w:rsidRPr="002D37E4">
          <w:rPr>
            <w:noProof/>
            <w:webHidden/>
          </w:rPr>
        </w:r>
        <w:r w:rsidRPr="002D37E4">
          <w:rPr>
            <w:noProof/>
            <w:webHidden/>
          </w:rPr>
          <w:fldChar w:fldCharType="separate"/>
        </w:r>
        <w:r w:rsidR="001349C0">
          <w:rPr>
            <w:noProof/>
            <w:webHidden/>
          </w:rPr>
          <w:t>25</w:t>
        </w:r>
        <w:r w:rsidRPr="002D37E4">
          <w:rPr>
            <w:noProof/>
            <w:webHidden/>
          </w:rPr>
          <w:fldChar w:fldCharType="end"/>
        </w:r>
      </w:hyperlink>
    </w:p>
    <w:p w14:paraId="04425A17" w14:textId="77777777" w:rsidR="002D37E4" w:rsidRPr="002D37E4" w:rsidRDefault="002D37E4" w:rsidP="002D37E4">
      <w:pPr>
        <w:pStyle w:val="TOC3"/>
        <w:spacing w:line="288" w:lineRule="auto"/>
        <w:rPr>
          <w:rFonts w:asciiTheme="minorHAnsi" w:eastAsiaTheme="minorEastAsia" w:hAnsiTheme="minorHAnsi" w:cstheme="minorBidi"/>
          <w:b w:val="0"/>
          <w:sz w:val="22"/>
          <w:szCs w:val="22"/>
        </w:rPr>
      </w:pPr>
      <w:hyperlink w:anchor="_Toc415037616" w:history="1">
        <w:r w:rsidRPr="002D37E4">
          <w:rPr>
            <w:rStyle w:val="Hyperlink"/>
            <w:b w:val="0"/>
          </w:rPr>
          <w:t>C.</w:t>
        </w:r>
        <w:r w:rsidRPr="002D37E4">
          <w:rPr>
            <w:rFonts w:asciiTheme="minorHAnsi" w:eastAsiaTheme="minorEastAsia" w:hAnsiTheme="minorHAnsi" w:cstheme="minorBidi"/>
            <w:b w:val="0"/>
            <w:sz w:val="22"/>
            <w:szCs w:val="22"/>
          </w:rPr>
          <w:tab/>
        </w:r>
        <w:r w:rsidRPr="002D37E4">
          <w:rPr>
            <w:rStyle w:val="Hyperlink"/>
            <w:b w:val="0"/>
          </w:rPr>
          <w:t xml:space="preserve">Net Power Costs – </w:t>
        </w:r>
        <w:r w:rsidRPr="002D37E4">
          <w:rPr>
            <w:rStyle w:val="Hyperlink"/>
            <w:b w:val="0"/>
            <w:i/>
          </w:rPr>
          <w:t>Pro Forma</w:t>
        </w:r>
        <w:r w:rsidRPr="002D37E4">
          <w:rPr>
            <w:rStyle w:val="Hyperlink"/>
            <w:b w:val="0"/>
          </w:rPr>
          <w:t xml:space="preserve"> (Adjustment 5.1.1)</w:t>
        </w:r>
        <w:r w:rsidRPr="002D37E4">
          <w:rPr>
            <w:b w:val="0"/>
            <w:webHidden/>
          </w:rPr>
          <w:tab/>
        </w:r>
        <w:r w:rsidRPr="002D37E4">
          <w:rPr>
            <w:b w:val="0"/>
            <w:webHidden/>
          </w:rPr>
          <w:fldChar w:fldCharType="begin"/>
        </w:r>
        <w:r w:rsidRPr="002D37E4">
          <w:rPr>
            <w:b w:val="0"/>
            <w:webHidden/>
          </w:rPr>
          <w:instrText xml:space="preserve"> PAGEREF _Toc415037616 \h </w:instrText>
        </w:r>
        <w:r w:rsidRPr="002D37E4">
          <w:rPr>
            <w:b w:val="0"/>
            <w:webHidden/>
          </w:rPr>
        </w:r>
        <w:r w:rsidRPr="002D37E4">
          <w:rPr>
            <w:b w:val="0"/>
            <w:webHidden/>
          </w:rPr>
          <w:fldChar w:fldCharType="separate"/>
        </w:r>
        <w:r w:rsidR="001349C0">
          <w:rPr>
            <w:b w:val="0"/>
            <w:webHidden/>
          </w:rPr>
          <w:t>28</w:t>
        </w:r>
        <w:r w:rsidRPr="002D37E4">
          <w:rPr>
            <w:b w:val="0"/>
            <w:webHidden/>
          </w:rPr>
          <w:fldChar w:fldCharType="end"/>
        </w:r>
      </w:hyperlink>
    </w:p>
    <w:p w14:paraId="0086C81A"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17" w:history="1">
        <w:r w:rsidRPr="002D37E4">
          <w:rPr>
            <w:rStyle w:val="Hyperlink"/>
            <w:noProof/>
          </w:rPr>
          <w:t>1.</w:t>
        </w:r>
        <w:r w:rsidRPr="002D37E4">
          <w:rPr>
            <w:rFonts w:asciiTheme="minorHAnsi" w:eastAsiaTheme="minorEastAsia" w:hAnsiTheme="minorHAnsi" w:cstheme="minorBidi"/>
            <w:noProof/>
            <w:sz w:val="22"/>
            <w:szCs w:val="22"/>
          </w:rPr>
          <w:tab/>
        </w:r>
        <w:r w:rsidRPr="002D37E4">
          <w:rPr>
            <w:rStyle w:val="Hyperlink"/>
            <w:noProof/>
          </w:rPr>
          <w:t>Qualifying Facilities Contract Costs</w:t>
        </w:r>
        <w:r w:rsidRPr="002D37E4">
          <w:rPr>
            <w:noProof/>
            <w:webHidden/>
          </w:rPr>
          <w:tab/>
        </w:r>
        <w:r w:rsidRPr="002D37E4">
          <w:rPr>
            <w:noProof/>
            <w:webHidden/>
          </w:rPr>
          <w:fldChar w:fldCharType="begin"/>
        </w:r>
        <w:r w:rsidRPr="002D37E4">
          <w:rPr>
            <w:noProof/>
            <w:webHidden/>
          </w:rPr>
          <w:instrText xml:space="preserve"> PAGEREF _Toc415037617 \h </w:instrText>
        </w:r>
        <w:r w:rsidRPr="002D37E4">
          <w:rPr>
            <w:noProof/>
            <w:webHidden/>
          </w:rPr>
        </w:r>
        <w:r w:rsidRPr="002D37E4">
          <w:rPr>
            <w:noProof/>
            <w:webHidden/>
          </w:rPr>
          <w:fldChar w:fldCharType="separate"/>
        </w:r>
        <w:r w:rsidR="001349C0">
          <w:rPr>
            <w:noProof/>
            <w:webHidden/>
          </w:rPr>
          <w:t>29</w:t>
        </w:r>
        <w:r w:rsidRPr="002D37E4">
          <w:rPr>
            <w:noProof/>
            <w:webHidden/>
          </w:rPr>
          <w:fldChar w:fldCharType="end"/>
        </w:r>
      </w:hyperlink>
    </w:p>
    <w:p w14:paraId="4DB73335"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18" w:history="1">
        <w:r w:rsidRPr="002D37E4">
          <w:rPr>
            <w:rStyle w:val="Hyperlink"/>
            <w:noProof/>
          </w:rPr>
          <w:t>2.</w:t>
        </w:r>
        <w:r w:rsidRPr="002D37E4">
          <w:rPr>
            <w:rFonts w:asciiTheme="minorHAnsi" w:eastAsiaTheme="minorEastAsia" w:hAnsiTheme="minorHAnsi" w:cstheme="minorBidi"/>
            <w:noProof/>
            <w:sz w:val="22"/>
            <w:szCs w:val="22"/>
          </w:rPr>
          <w:tab/>
        </w:r>
        <w:r w:rsidRPr="002D37E4">
          <w:rPr>
            <w:rStyle w:val="Hyperlink"/>
            <w:noProof/>
          </w:rPr>
          <w:t>Jim Bridger Coal Costs</w:t>
        </w:r>
        <w:r w:rsidRPr="002D37E4">
          <w:rPr>
            <w:noProof/>
            <w:webHidden/>
          </w:rPr>
          <w:tab/>
        </w:r>
        <w:r w:rsidRPr="002D37E4">
          <w:rPr>
            <w:noProof/>
            <w:webHidden/>
          </w:rPr>
          <w:fldChar w:fldCharType="begin"/>
        </w:r>
        <w:r w:rsidRPr="002D37E4">
          <w:rPr>
            <w:noProof/>
            <w:webHidden/>
          </w:rPr>
          <w:instrText xml:space="preserve"> PAGEREF _Toc415037618 \h </w:instrText>
        </w:r>
        <w:r w:rsidRPr="002D37E4">
          <w:rPr>
            <w:noProof/>
            <w:webHidden/>
          </w:rPr>
        </w:r>
        <w:r w:rsidRPr="002D37E4">
          <w:rPr>
            <w:noProof/>
            <w:webHidden/>
          </w:rPr>
          <w:fldChar w:fldCharType="separate"/>
        </w:r>
        <w:r w:rsidR="001349C0">
          <w:rPr>
            <w:noProof/>
            <w:webHidden/>
          </w:rPr>
          <w:t>33</w:t>
        </w:r>
        <w:r w:rsidRPr="002D37E4">
          <w:rPr>
            <w:noProof/>
            <w:webHidden/>
          </w:rPr>
          <w:fldChar w:fldCharType="end"/>
        </w:r>
      </w:hyperlink>
    </w:p>
    <w:p w14:paraId="08346714"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19" w:history="1">
        <w:r w:rsidRPr="002D37E4">
          <w:rPr>
            <w:rStyle w:val="Hyperlink"/>
            <w:noProof/>
          </w:rPr>
          <w:t>3.</w:t>
        </w:r>
        <w:r w:rsidRPr="002D37E4">
          <w:rPr>
            <w:rFonts w:asciiTheme="minorHAnsi" w:eastAsiaTheme="minorEastAsia" w:hAnsiTheme="minorHAnsi" w:cstheme="minorBidi"/>
            <w:noProof/>
            <w:sz w:val="22"/>
            <w:szCs w:val="22"/>
          </w:rPr>
          <w:tab/>
        </w:r>
        <w:r w:rsidRPr="002D37E4">
          <w:rPr>
            <w:rStyle w:val="Hyperlink"/>
            <w:noProof/>
          </w:rPr>
          <w:t>Energy Imbalance Market Costs</w:t>
        </w:r>
        <w:r w:rsidRPr="002D37E4">
          <w:rPr>
            <w:noProof/>
            <w:webHidden/>
          </w:rPr>
          <w:tab/>
        </w:r>
        <w:r w:rsidRPr="002D37E4">
          <w:rPr>
            <w:noProof/>
            <w:webHidden/>
          </w:rPr>
          <w:fldChar w:fldCharType="begin"/>
        </w:r>
        <w:r w:rsidRPr="002D37E4">
          <w:rPr>
            <w:noProof/>
            <w:webHidden/>
          </w:rPr>
          <w:instrText xml:space="preserve"> PAGEREF _Toc415037619 \h </w:instrText>
        </w:r>
        <w:r w:rsidRPr="002D37E4">
          <w:rPr>
            <w:noProof/>
            <w:webHidden/>
          </w:rPr>
        </w:r>
        <w:r w:rsidRPr="002D37E4">
          <w:rPr>
            <w:noProof/>
            <w:webHidden/>
          </w:rPr>
          <w:fldChar w:fldCharType="separate"/>
        </w:r>
        <w:r w:rsidR="001349C0">
          <w:rPr>
            <w:noProof/>
            <w:webHidden/>
          </w:rPr>
          <w:t>35</w:t>
        </w:r>
        <w:r w:rsidRPr="002D37E4">
          <w:rPr>
            <w:noProof/>
            <w:webHidden/>
          </w:rPr>
          <w:fldChar w:fldCharType="end"/>
        </w:r>
      </w:hyperlink>
    </w:p>
    <w:p w14:paraId="5D631BA4"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20" w:history="1">
        <w:r w:rsidRPr="002D37E4">
          <w:rPr>
            <w:rStyle w:val="Hyperlink"/>
            <w:noProof/>
          </w:rPr>
          <w:t>4.</w:t>
        </w:r>
        <w:r w:rsidRPr="002D37E4">
          <w:rPr>
            <w:rFonts w:asciiTheme="minorHAnsi" w:eastAsiaTheme="minorEastAsia" w:hAnsiTheme="minorHAnsi" w:cstheme="minorBidi"/>
            <w:noProof/>
            <w:sz w:val="22"/>
            <w:szCs w:val="22"/>
          </w:rPr>
          <w:tab/>
        </w:r>
        <w:r w:rsidRPr="002D37E4">
          <w:rPr>
            <w:rStyle w:val="Hyperlink"/>
            <w:noProof/>
          </w:rPr>
          <w:t>Network Integration and Transmission Service Costs</w:t>
        </w:r>
        <w:r w:rsidRPr="002D37E4">
          <w:rPr>
            <w:noProof/>
            <w:webHidden/>
          </w:rPr>
          <w:tab/>
        </w:r>
        <w:r w:rsidRPr="002D37E4">
          <w:rPr>
            <w:noProof/>
            <w:webHidden/>
          </w:rPr>
          <w:fldChar w:fldCharType="begin"/>
        </w:r>
        <w:r w:rsidRPr="002D37E4">
          <w:rPr>
            <w:noProof/>
            <w:webHidden/>
          </w:rPr>
          <w:instrText xml:space="preserve"> PAGEREF _Toc415037620 \h </w:instrText>
        </w:r>
        <w:r w:rsidRPr="002D37E4">
          <w:rPr>
            <w:noProof/>
            <w:webHidden/>
          </w:rPr>
        </w:r>
        <w:r w:rsidRPr="002D37E4">
          <w:rPr>
            <w:noProof/>
            <w:webHidden/>
          </w:rPr>
          <w:fldChar w:fldCharType="separate"/>
        </w:r>
        <w:r w:rsidR="001349C0">
          <w:rPr>
            <w:noProof/>
            <w:webHidden/>
          </w:rPr>
          <w:t>38</w:t>
        </w:r>
        <w:r w:rsidRPr="002D37E4">
          <w:rPr>
            <w:noProof/>
            <w:webHidden/>
          </w:rPr>
          <w:fldChar w:fldCharType="end"/>
        </w:r>
      </w:hyperlink>
    </w:p>
    <w:p w14:paraId="3E285751"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21" w:history="1">
        <w:r w:rsidRPr="002D37E4">
          <w:rPr>
            <w:rStyle w:val="Hyperlink"/>
            <w:noProof/>
          </w:rPr>
          <w:t>5.</w:t>
        </w:r>
        <w:r w:rsidRPr="002D37E4">
          <w:rPr>
            <w:rFonts w:asciiTheme="minorHAnsi" w:eastAsiaTheme="minorEastAsia" w:hAnsiTheme="minorHAnsi" w:cstheme="minorBidi"/>
            <w:noProof/>
            <w:sz w:val="22"/>
            <w:szCs w:val="22"/>
          </w:rPr>
          <w:tab/>
        </w:r>
        <w:r w:rsidRPr="002D37E4">
          <w:rPr>
            <w:rStyle w:val="Hyperlink"/>
            <w:noProof/>
          </w:rPr>
          <w:t>Inter-Hour Wind and Load Integration Costs</w:t>
        </w:r>
        <w:r w:rsidRPr="002D37E4">
          <w:rPr>
            <w:noProof/>
            <w:webHidden/>
          </w:rPr>
          <w:tab/>
        </w:r>
        <w:r w:rsidRPr="002D37E4">
          <w:rPr>
            <w:noProof/>
            <w:webHidden/>
          </w:rPr>
          <w:fldChar w:fldCharType="begin"/>
        </w:r>
        <w:r w:rsidRPr="002D37E4">
          <w:rPr>
            <w:noProof/>
            <w:webHidden/>
          </w:rPr>
          <w:instrText xml:space="preserve"> PAGEREF _Toc415037621 \h </w:instrText>
        </w:r>
        <w:r w:rsidRPr="002D37E4">
          <w:rPr>
            <w:noProof/>
            <w:webHidden/>
          </w:rPr>
        </w:r>
        <w:r w:rsidRPr="002D37E4">
          <w:rPr>
            <w:noProof/>
            <w:webHidden/>
          </w:rPr>
          <w:fldChar w:fldCharType="separate"/>
        </w:r>
        <w:r w:rsidR="001349C0">
          <w:rPr>
            <w:noProof/>
            <w:webHidden/>
          </w:rPr>
          <w:t>39</w:t>
        </w:r>
        <w:r w:rsidRPr="002D37E4">
          <w:rPr>
            <w:noProof/>
            <w:webHidden/>
          </w:rPr>
          <w:fldChar w:fldCharType="end"/>
        </w:r>
      </w:hyperlink>
    </w:p>
    <w:p w14:paraId="2CAA981E"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22" w:history="1">
        <w:r w:rsidRPr="002D37E4">
          <w:rPr>
            <w:rStyle w:val="Hyperlink"/>
            <w:noProof/>
          </w:rPr>
          <w:t>6.</w:t>
        </w:r>
        <w:r w:rsidRPr="002D37E4">
          <w:rPr>
            <w:rFonts w:asciiTheme="minorHAnsi" w:eastAsiaTheme="minorEastAsia" w:hAnsiTheme="minorHAnsi" w:cstheme="minorBidi"/>
            <w:noProof/>
            <w:sz w:val="22"/>
            <w:szCs w:val="22"/>
          </w:rPr>
          <w:tab/>
        </w:r>
        <w:r w:rsidRPr="002D37E4">
          <w:rPr>
            <w:rStyle w:val="Hyperlink"/>
            <w:noProof/>
          </w:rPr>
          <w:t>Chehalis Outage</w:t>
        </w:r>
        <w:r w:rsidRPr="002D37E4">
          <w:rPr>
            <w:noProof/>
            <w:webHidden/>
          </w:rPr>
          <w:tab/>
        </w:r>
        <w:r w:rsidRPr="002D37E4">
          <w:rPr>
            <w:noProof/>
            <w:webHidden/>
          </w:rPr>
          <w:fldChar w:fldCharType="begin"/>
        </w:r>
        <w:r w:rsidRPr="002D37E4">
          <w:rPr>
            <w:noProof/>
            <w:webHidden/>
          </w:rPr>
          <w:instrText xml:space="preserve"> PAGEREF _Toc415037622 \h </w:instrText>
        </w:r>
        <w:r w:rsidRPr="002D37E4">
          <w:rPr>
            <w:noProof/>
            <w:webHidden/>
          </w:rPr>
        </w:r>
        <w:r w:rsidRPr="002D37E4">
          <w:rPr>
            <w:noProof/>
            <w:webHidden/>
          </w:rPr>
          <w:fldChar w:fldCharType="separate"/>
        </w:r>
        <w:r w:rsidR="001349C0">
          <w:rPr>
            <w:noProof/>
            <w:webHidden/>
          </w:rPr>
          <w:t>41</w:t>
        </w:r>
        <w:r w:rsidRPr="002D37E4">
          <w:rPr>
            <w:noProof/>
            <w:webHidden/>
          </w:rPr>
          <w:fldChar w:fldCharType="end"/>
        </w:r>
      </w:hyperlink>
    </w:p>
    <w:p w14:paraId="279A7AA3" w14:textId="77777777" w:rsidR="002D37E4" w:rsidRPr="002D37E4" w:rsidRDefault="002D37E4" w:rsidP="002D37E4">
      <w:pPr>
        <w:pStyle w:val="TOC3"/>
        <w:spacing w:line="288" w:lineRule="auto"/>
        <w:rPr>
          <w:rFonts w:asciiTheme="minorHAnsi" w:eastAsiaTheme="minorEastAsia" w:hAnsiTheme="minorHAnsi" w:cstheme="minorBidi"/>
          <w:b w:val="0"/>
          <w:sz w:val="22"/>
          <w:szCs w:val="22"/>
        </w:rPr>
      </w:pPr>
      <w:hyperlink w:anchor="_Toc415037623" w:history="1">
        <w:r w:rsidRPr="002D37E4">
          <w:rPr>
            <w:rStyle w:val="Hyperlink"/>
            <w:b w:val="0"/>
          </w:rPr>
          <w:t>D.</w:t>
        </w:r>
        <w:r w:rsidRPr="002D37E4">
          <w:rPr>
            <w:rFonts w:asciiTheme="minorHAnsi" w:eastAsiaTheme="minorEastAsia" w:hAnsiTheme="minorHAnsi" w:cstheme="minorBidi"/>
            <w:b w:val="0"/>
            <w:sz w:val="22"/>
            <w:szCs w:val="22"/>
          </w:rPr>
          <w:tab/>
        </w:r>
        <w:r w:rsidRPr="002D37E4">
          <w:rPr>
            <w:rStyle w:val="Hyperlink"/>
            <w:b w:val="0"/>
          </w:rPr>
          <w:t>PCAM</w:t>
        </w:r>
        <w:r w:rsidRPr="002D37E4">
          <w:rPr>
            <w:b w:val="0"/>
            <w:webHidden/>
          </w:rPr>
          <w:tab/>
        </w:r>
        <w:r w:rsidRPr="002D37E4">
          <w:rPr>
            <w:b w:val="0"/>
            <w:webHidden/>
          </w:rPr>
          <w:fldChar w:fldCharType="begin"/>
        </w:r>
        <w:r w:rsidRPr="002D37E4">
          <w:rPr>
            <w:b w:val="0"/>
            <w:webHidden/>
          </w:rPr>
          <w:instrText xml:space="preserve"> PAGEREF _Toc415037623 \h </w:instrText>
        </w:r>
        <w:r w:rsidRPr="002D37E4">
          <w:rPr>
            <w:b w:val="0"/>
            <w:webHidden/>
          </w:rPr>
        </w:r>
        <w:r w:rsidRPr="002D37E4">
          <w:rPr>
            <w:b w:val="0"/>
            <w:webHidden/>
          </w:rPr>
          <w:fldChar w:fldCharType="separate"/>
        </w:r>
        <w:r w:rsidR="001349C0">
          <w:rPr>
            <w:b w:val="0"/>
            <w:webHidden/>
          </w:rPr>
          <w:t>44</w:t>
        </w:r>
        <w:r w:rsidRPr="002D37E4">
          <w:rPr>
            <w:b w:val="0"/>
            <w:webHidden/>
          </w:rPr>
          <w:fldChar w:fldCharType="end"/>
        </w:r>
      </w:hyperlink>
    </w:p>
    <w:p w14:paraId="6C5F7A7B" w14:textId="77777777" w:rsidR="002D37E4" w:rsidRPr="002D37E4" w:rsidRDefault="002D37E4" w:rsidP="002D37E4">
      <w:pPr>
        <w:pStyle w:val="TOC3"/>
        <w:spacing w:line="288" w:lineRule="auto"/>
        <w:rPr>
          <w:rFonts w:asciiTheme="minorHAnsi" w:eastAsiaTheme="minorEastAsia" w:hAnsiTheme="minorHAnsi" w:cstheme="minorBidi"/>
          <w:b w:val="0"/>
          <w:sz w:val="22"/>
          <w:szCs w:val="22"/>
        </w:rPr>
      </w:pPr>
      <w:hyperlink w:anchor="_Toc415037624" w:history="1">
        <w:r w:rsidRPr="002D37E4">
          <w:rPr>
            <w:rStyle w:val="Hyperlink"/>
            <w:b w:val="0"/>
          </w:rPr>
          <w:t>E.</w:t>
        </w:r>
        <w:r w:rsidRPr="002D37E4">
          <w:rPr>
            <w:rFonts w:asciiTheme="minorHAnsi" w:eastAsiaTheme="minorEastAsia" w:hAnsiTheme="minorHAnsi" w:cstheme="minorBidi"/>
            <w:b w:val="0"/>
            <w:sz w:val="22"/>
            <w:szCs w:val="22"/>
          </w:rPr>
          <w:tab/>
        </w:r>
        <w:r w:rsidRPr="002D37E4">
          <w:rPr>
            <w:rStyle w:val="Hyperlink"/>
            <w:b w:val="0"/>
          </w:rPr>
          <w:t>Renewable Resource Tracking Mechanism (RRTM)</w:t>
        </w:r>
        <w:r w:rsidRPr="002D37E4">
          <w:rPr>
            <w:b w:val="0"/>
            <w:webHidden/>
          </w:rPr>
          <w:tab/>
        </w:r>
        <w:r w:rsidRPr="002D37E4">
          <w:rPr>
            <w:b w:val="0"/>
            <w:webHidden/>
          </w:rPr>
          <w:fldChar w:fldCharType="begin"/>
        </w:r>
        <w:r w:rsidRPr="002D37E4">
          <w:rPr>
            <w:b w:val="0"/>
            <w:webHidden/>
          </w:rPr>
          <w:instrText xml:space="preserve"> PAGEREF _Toc415037624 \h </w:instrText>
        </w:r>
        <w:r w:rsidRPr="002D37E4">
          <w:rPr>
            <w:b w:val="0"/>
            <w:webHidden/>
          </w:rPr>
        </w:r>
        <w:r w:rsidRPr="002D37E4">
          <w:rPr>
            <w:b w:val="0"/>
            <w:webHidden/>
          </w:rPr>
          <w:fldChar w:fldCharType="separate"/>
        </w:r>
        <w:r w:rsidR="001349C0">
          <w:rPr>
            <w:b w:val="0"/>
            <w:webHidden/>
          </w:rPr>
          <w:t>54</w:t>
        </w:r>
        <w:r w:rsidRPr="002D37E4">
          <w:rPr>
            <w:b w:val="0"/>
            <w:webHidden/>
          </w:rPr>
          <w:fldChar w:fldCharType="end"/>
        </w:r>
      </w:hyperlink>
    </w:p>
    <w:p w14:paraId="25EAB486" w14:textId="77777777" w:rsidR="002D37E4" w:rsidRPr="002D37E4" w:rsidRDefault="002D37E4" w:rsidP="002D37E4">
      <w:pPr>
        <w:pStyle w:val="TOC3"/>
        <w:spacing w:line="288" w:lineRule="auto"/>
        <w:rPr>
          <w:rFonts w:asciiTheme="minorHAnsi" w:eastAsiaTheme="minorEastAsia" w:hAnsiTheme="minorHAnsi" w:cstheme="minorBidi"/>
          <w:b w:val="0"/>
          <w:sz w:val="22"/>
          <w:szCs w:val="22"/>
        </w:rPr>
      </w:pPr>
      <w:hyperlink w:anchor="_Toc415037625" w:history="1">
        <w:r w:rsidRPr="002D37E4">
          <w:rPr>
            <w:rStyle w:val="Hyperlink"/>
            <w:b w:val="0"/>
          </w:rPr>
          <w:t>F.</w:t>
        </w:r>
        <w:r w:rsidRPr="002D37E4">
          <w:rPr>
            <w:rFonts w:asciiTheme="minorHAnsi" w:eastAsiaTheme="minorEastAsia" w:hAnsiTheme="minorHAnsi" w:cstheme="minorBidi"/>
            <w:b w:val="0"/>
            <w:sz w:val="22"/>
            <w:szCs w:val="22"/>
          </w:rPr>
          <w:tab/>
        </w:r>
        <w:r w:rsidRPr="002D37E4">
          <w:rPr>
            <w:rStyle w:val="Hyperlink"/>
            <w:b w:val="0"/>
          </w:rPr>
          <w:t>Rate Base Assets and Depreciation</w:t>
        </w:r>
        <w:r w:rsidRPr="002D37E4">
          <w:rPr>
            <w:b w:val="0"/>
            <w:webHidden/>
          </w:rPr>
          <w:tab/>
        </w:r>
        <w:r w:rsidRPr="002D37E4">
          <w:rPr>
            <w:b w:val="0"/>
            <w:webHidden/>
          </w:rPr>
          <w:fldChar w:fldCharType="begin"/>
        </w:r>
        <w:r w:rsidRPr="002D37E4">
          <w:rPr>
            <w:b w:val="0"/>
            <w:webHidden/>
          </w:rPr>
          <w:instrText xml:space="preserve"> PAGEREF _Toc415037625 \h </w:instrText>
        </w:r>
        <w:r w:rsidRPr="002D37E4">
          <w:rPr>
            <w:b w:val="0"/>
            <w:webHidden/>
          </w:rPr>
        </w:r>
        <w:r w:rsidRPr="002D37E4">
          <w:rPr>
            <w:b w:val="0"/>
            <w:webHidden/>
          </w:rPr>
          <w:fldChar w:fldCharType="separate"/>
        </w:r>
        <w:r w:rsidR="001349C0">
          <w:rPr>
            <w:b w:val="0"/>
            <w:webHidden/>
          </w:rPr>
          <w:t>58</w:t>
        </w:r>
        <w:r w:rsidRPr="002D37E4">
          <w:rPr>
            <w:b w:val="0"/>
            <w:webHidden/>
          </w:rPr>
          <w:fldChar w:fldCharType="end"/>
        </w:r>
      </w:hyperlink>
    </w:p>
    <w:p w14:paraId="381C4BA0"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26" w:history="1">
        <w:r w:rsidRPr="002D37E4">
          <w:rPr>
            <w:rStyle w:val="Hyperlink"/>
            <w:noProof/>
          </w:rPr>
          <w:t>1.</w:t>
        </w:r>
        <w:r w:rsidRPr="002D37E4">
          <w:rPr>
            <w:rFonts w:asciiTheme="minorHAnsi" w:eastAsiaTheme="minorEastAsia" w:hAnsiTheme="minorHAnsi" w:cstheme="minorBidi"/>
            <w:noProof/>
            <w:sz w:val="22"/>
            <w:szCs w:val="22"/>
          </w:rPr>
          <w:tab/>
        </w:r>
        <w:r w:rsidRPr="002D37E4">
          <w:rPr>
            <w:rStyle w:val="Hyperlink"/>
            <w:noProof/>
          </w:rPr>
          <w:t>End of Period Rate Base (Adjustments 8.12 – 8.12.6); Depreciation and Amortization Reserve Adjusted to December 2013 (Adjustments 6.2 - 6.2.2)</w:t>
        </w:r>
        <w:r w:rsidRPr="002D37E4">
          <w:rPr>
            <w:noProof/>
            <w:webHidden/>
          </w:rPr>
          <w:tab/>
        </w:r>
        <w:r w:rsidRPr="002D37E4">
          <w:rPr>
            <w:noProof/>
            <w:webHidden/>
          </w:rPr>
          <w:fldChar w:fldCharType="begin"/>
        </w:r>
        <w:r w:rsidRPr="002D37E4">
          <w:rPr>
            <w:noProof/>
            <w:webHidden/>
          </w:rPr>
          <w:instrText xml:space="preserve"> PAGEREF _Toc415037626 \h </w:instrText>
        </w:r>
        <w:r w:rsidRPr="002D37E4">
          <w:rPr>
            <w:noProof/>
            <w:webHidden/>
          </w:rPr>
        </w:r>
        <w:r w:rsidRPr="002D37E4">
          <w:rPr>
            <w:noProof/>
            <w:webHidden/>
          </w:rPr>
          <w:fldChar w:fldCharType="separate"/>
        </w:r>
        <w:r w:rsidR="001349C0">
          <w:rPr>
            <w:noProof/>
            <w:webHidden/>
          </w:rPr>
          <w:t>58</w:t>
        </w:r>
        <w:r w:rsidRPr="002D37E4">
          <w:rPr>
            <w:noProof/>
            <w:webHidden/>
          </w:rPr>
          <w:fldChar w:fldCharType="end"/>
        </w:r>
      </w:hyperlink>
    </w:p>
    <w:p w14:paraId="308E15E3"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27" w:history="1">
        <w:r w:rsidRPr="002D37E4">
          <w:rPr>
            <w:rStyle w:val="Hyperlink"/>
            <w:noProof/>
          </w:rPr>
          <w:t>2.</w:t>
        </w:r>
        <w:r w:rsidRPr="002D37E4">
          <w:rPr>
            <w:rFonts w:asciiTheme="minorHAnsi" w:eastAsiaTheme="minorEastAsia" w:hAnsiTheme="minorHAnsi" w:cstheme="minorBidi"/>
            <w:noProof/>
            <w:sz w:val="22"/>
            <w:szCs w:val="22"/>
          </w:rPr>
          <w:tab/>
        </w:r>
        <w:r w:rsidRPr="002D37E4">
          <w:rPr>
            <w:rStyle w:val="Hyperlink"/>
            <w:noProof/>
          </w:rPr>
          <w:t>Major Capital Plant Additions (Adjustment 8.4)</w:t>
        </w:r>
        <w:r w:rsidRPr="002D37E4">
          <w:rPr>
            <w:noProof/>
            <w:webHidden/>
          </w:rPr>
          <w:tab/>
        </w:r>
        <w:r w:rsidRPr="002D37E4">
          <w:rPr>
            <w:noProof/>
            <w:webHidden/>
          </w:rPr>
          <w:fldChar w:fldCharType="begin"/>
        </w:r>
        <w:r w:rsidRPr="002D37E4">
          <w:rPr>
            <w:noProof/>
            <w:webHidden/>
          </w:rPr>
          <w:instrText xml:space="preserve"> PAGEREF _Toc415037627 \h </w:instrText>
        </w:r>
        <w:r w:rsidRPr="002D37E4">
          <w:rPr>
            <w:noProof/>
            <w:webHidden/>
          </w:rPr>
        </w:r>
        <w:r w:rsidRPr="002D37E4">
          <w:rPr>
            <w:noProof/>
            <w:webHidden/>
          </w:rPr>
          <w:fldChar w:fldCharType="separate"/>
        </w:r>
        <w:r w:rsidR="001349C0">
          <w:rPr>
            <w:noProof/>
            <w:webHidden/>
          </w:rPr>
          <w:t>66</w:t>
        </w:r>
        <w:r w:rsidRPr="002D37E4">
          <w:rPr>
            <w:noProof/>
            <w:webHidden/>
          </w:rPr>
          <w:fldChar w:fldCharType="end"/>
        </w:r>
      </w:hyperlink>
    </w:p>
    <w:p w14:paraId="55EA7A5C"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28" w:history="1">
        <w:r w:rsidRPr="002D37E4">
          <w:rPr>
            <w:rStyle w:val="Hyperlink"/>
            <w:noProof/>
          </w:rPr>
          <w:t>3.</w:t>
        </w:r>
        <w:r w:rsidRPr="002D37E4">
          <w:rPr>
            <w:rFonts w:asciiTheme="minorHAnsi" w:eastAsiaTheme="minorEastAsia" w:hAnsiTheme="minorHAnsi" w:cstheme="minorBidi"/>
            <w:noProof/>
            <w:sz w:val="22"/>
            <w:szCs w:val="22"/>
          </w:rPr>
          <w:tab/>
        </w:r>
        <w:r w:rsidRPr="002D37E4">
          <w:rPr>
            <w:rStyle w:val="Hyperlink"/>
            <w:noProof/>
          </w:rPr>
          <w:t>Depreciation Study and Annual Depreciation (Adjustments 6.3 - 6.3.2 and 6.5)</w:t>
        </w:r>
        <w:r w:rsidRPr="002D37E4">
          <w:rPr>
            <w:noProof/>
            <w:webHidden/>
          </w:rPr>
          <w:tab/>
        </w:r>
        <w:r w:rsidRPr="002D37E4">
          <w:rPr>
            <w:noProof/>
            <w:webHidden/>
          </w:rPr>
          <w:fldChar w:fldCharType="begin"/>
        </w:r>
        <w:r w:rsidRPr="002D37E4">
          <w:rPr>
            <w:noProof/>
            <w:webHidden/>
          </w:rPr>
          <w:instrText xml:space="preserve"> PAGEREF _Toc415037628 \h </w:instrText>
        </w:r>
        <w:r w:rsidRPr="002D37E4">
          <w:rPr>
            <w:noProof/>
            <w:webHidden/>
          </w:rPr>
        </w:r>
        <w:r w:rsidRPr="002D37E4">
          <w:rPr>
            <w:noProof/>
            <w:webHidden/>
          </w:rPr>
          <w:fldChar w:fldCharType="separate"/>
        </w:r>
        <w:r w:rsidR="001349C0">
          <w:rPr>
            <w:noProof/>
            <w:webHidden/>
          </w:rPr>
          <w:t>74</w:t>
        </w:r>
        <w:r w:rsidRPr="002D37E4">
          <w:rPr>
            <w:noProof/>
            <w:webHidden/>
          </w:rPr>
          <w:fldChar w:fldCharType="end"/>
        </w:r>
      </w:hyperlink>
    </w:p>
    <w:p w14:paraId="1F64ED8C" w14:textId="77777777" w:rsidR="002D37E4" w:rsidRPr="002D37E4" w:rsidRDefault="002D37E4" w:rsidP="002D37E4">
      <w:pPr>
        <w:pStyle w:val="TOC3"/>
        <w:spacing w:line="288" w:lineRule="auto"/>
        <w:rPr>
          <w:rFonts w:asciiTheme="minorHAnsi" w:eastAsiaTheme="minorEastAsia" w:hAnsiTheme="minorHAnsi" w:cstheme="minorBidi"/>
          <w:b w:val="0"/>
          <w:sz w:val="22"/>
          <w:szCs w:val="22"/>
        </w:rPr>
      </w:pPr>
      <w:hyperlink w:anchor="_Toc415037629" w:history="1">
        <w:r w:rsidRPr="002D37E4">
          <w:rPr>
            <w:rStyle w:val="Hyperlink"/>
            <w:b w:val="0"/>
          </w:rPr>
          <w:t>G.</w:t>
        </w:r>
        <w:r w:rsidRPr="002D37E4">
          <w:rPr>
            <w:rFonts w:asciiTheme="minorHAnsi" w:eastAsiaTheme="minorEastAsia" w:hAnsiTheme="minorHAnsi" w:cstheme="minorBidi"/>
            <w:b w:val="0"/>
            <w:sz w:val="22"/>
            <w:szCs w:val="22"/>
          </w:rPr>
          <w:tab/>
        </w:r>
        <w:r w:rsidRPr="002D37E4">
          <w:rPr>
            <w:rStyle w:val="Hyperlink"/>
            <w:b w:val="0"/>
          </w:rPr>
          <w:t>“Fall-Out” Adjustments</w:t>
        </w:r>
        <w:r w:rsidRPr="002D37E4">
          <w:rPr>
            <w:b w:val="0"/>
            <w:webHidden/>
          </w:rPr>
          <w:tab/>
        </w:r>
        <w:r w:rsidRPr="002D37E4">
          <w:rPr>
            <w:b w:val="0"/>
            <w:webHidden/>
          </w:rPr>
          <w:fldChar w:fldCharType="begin"/>
        </w:r>
        <w:r w:rsidRPr="002D37E4">
          <w:rPr>
            <w:b w:val="0"/>
            <w:webHidden/>
          </w:rPr>
          <w:instrText xml:space="preserve"> PAGEREF _Toc415037629 \h </w:instrText>
        </w:r>
        <w:r w:rsidRPr="002D37E4">
          <w:rPr>
            <w:b w:val="0"/>
            <w:webHidden/>
          </w:rPr>
        </w:r>
        <w:r w:rsidRPr="002D37E4">
          <w:rPr>
            <w:b w:val="0"/>
            <w:webHidden/>
          </w:rPr>
          <w:fldChar w:fldCharType="separate"/>
        </w:r>
        <w:r w:rsidR="001349C0">
          <w:rPr>
            <w:b w:val="0"/>
            <w:webHidden/>
          </w:rPr>
          <w:t>74</w:t>
        </w:r>
        <w:r w:rsidRPr="002D37E4">
          <w:rPr>
            <w:b w:val="0"/>
            <w:webHidden/>
          </w:rPr>
          <w:fldChar w:fldCharType="end"/>
        </w:r>
      </w:hyperlink>
    </w:p>
    <w:p w14:paraId="7DF9CA54" w14:textId="77777777" w:rsidR="002D37E4" w:rsidRPr="002D37E4" w:rsidRDefault="002D37E4" w:rsidP="002D37E4">
      <w:pPr>
        <w:pStyle w:val="TOC3"/>
        <w:spacing w:line="288" w:lineRule="auto"/>
        <w:rPr>
          <w:rFonts w:asciiTheme="minorHAnsi" w:eastAsiaTheme="minorEastAsia" w:hAnsiTheme="minorHAnsi" w:cstheme="minorBidi"/>
          <w:b w:val="0"/>
          <w:sz w:val="22"/>
          <w:szCs w:val="22"/>
        </w:rPr>
      </w:pPr>
      <w:hyperlink w:anchor="_Toc415037630" w:history="1">
        <w:r w:rsidRPr="002D37E4">
          <w:rPr>
            <w:rStyle w:val="Hyperlink"/>
            <w:b w:val="0"/>
          </w:rPr>
          <w:t>H.</w:t>
        </w:r>
        <w:r w:rsidRPr="002D37E4">
          <w:rPr>
            <w:rFonts w:asciiTheme="minorHAnsi" w:eastAsiaTheme="minorEastAsia" w:hAnsiTheme="minorHAnsi" w:cstheme="minorBidi"/>
            <w:b w:val="0"/>
            <w:sz w:val="22"/>
            <w:szCs w:val="22"/>
          </w:rPr>
          <w:tab/>
        </w:r>
        <w:r w:rsidRPr="002D37E4">
          <w:rPr>
            <w:rStyle w:val="Hyperlink"/>
            <w:b w:val="0"/>
          </w:rPr>
          <w:t>Capital Structure and Cost of Capital</w:t>
        </w:r>
        <w:r w:rsidRPr="002D37E4">
          <w:rPr>
            <w:b w:val="0"/>
            <w:webHidden/>
          </w:rPr>
          <w:tab/>
        </w:r>
        <w:r w:rsidRPr="002D37E4">
          <w:rPr>
            <w:b w:val="0"/>
            <w:webHidden/>
          </w:rPr>
          <w:fldChar w:fldCharType="begin"/>
        </w:r>
        <w:r w:rsidRPr="002D37E4">
          <w:rPr>
            <w:b w:val="0"/>
            <w:webHidden/>
          </w:rPr>
          <w:instrText xml:space="preserve"> PAGEREF _Toc415037630 \h </w:instrText>
        </w:r>
        <w:r w:rsidRPr="002D37E4">
          <w:rPr>
            <w:b w:val="0"/>
            <w:webHidden/>
          </w:rPr>
        </w:r>
        <w:r w:rsidRPr="002D37E4">
          <w:rPr>
            <w:b w:val="0"/>
            <w:webHidden/>
          </w:rPr>
          <w:fldChar w:fldCharType="separate"/>
        </w:r>
        <w:r w:rsidR="001349C0">
          <w:rPr>
            <w:b w:val="0"/>
            <w:webHidden/>
          </w:rPr>
          <w:t>75</w:t>
        </w:r>
        <w:r w:rsidRPr="002D37E4">
          <w:rPr>
            <w:b w:val="0"/>
            <w:webHidden/>
          </w:rPr>
          <w:fldChar w:fldCharType="end"/>
        </w:r>
      </w:hyperlink>
    </w:p>
    <w:p w14:paraId="72D3FABD" w14:textId="77777777" w:rsidR="002D37E4" w:rsidRPr="002D37E4" w:rsidRDefault="002D37E4" w:rsidP="002D37E4">
      <w:pPr>
        <w:pStyle w:val="TOC3"/>
        <w:spacing w:line="288" w:lineRule="auto"/>
        <w:rPr>
          <w:rFonts w:asciiTheme="minorHAnsi" w:eastAsiaTheme="minorEastAsia" w:hAnsiTheme="minorHAnsi" w:cstheme="minorBidi"/>
          <w:b w:val="0"/>
          <w:sz w:val="22"/>
          <w:szCs w:val="22"/>
        </w:rPr>
      </w:pPr>
      <w:hyperlink w:anchor="_Toc415037631" w:history="1">
        <w:r w:rsidRPr="002D37E4">
          <w:rPr>
            <w:rStyle w:val="Hyperlink"/>
            <w:b w:val="0"/>
          </w:rPr>
          <w:t>I.</w:t>
        </w:r>
        <w:r w:rsidRPr="002D37E4">
          <w:rPr>
            <w:rFonts w:asciiTheme="minorHAnsi" w:eastAsiaTheme="minorEastAsia" w:hAnsiTheme="minorHAnsi" w:cstheme="minorBidi"/>
            <w:b w:val="0"/>
            <w:sz w:val="22"/>
            <w:szCs w:val="22"/>
          </w:rPr>
          <w:tab/>
        </w:r>
        <w:r w:rsidRPr="002D37E4">
          <w:rPr>
            <w:rStyle w:val="Hyperlink"/>
            <w:b w:val="0"/>
          </w:rPr>
          <w:t>Summary of Revenue Requirement Determinations</w:t>
        </w:r>
        <w:r w:rsidRPr="002D37E4">
          <w:rPr>
            <w:b w:val="0"/>
            <w:webHidden/>
          </w:rPr>
          <w:tab/>
        </w:r>
        <w:r w:rsidRPr="002D37E4">
          <w:rPr>
            <w:b w:val="0"/>
            <w:webHidden/>
          </w:rPr>
          <w:fldChar w:fldCharType="begin"/>
        </w:r>
        <w:r w:rsidRPr="002D37E4">
          <w:rPr>
            <w:b w:val="0"/>
            <w:webHidden/>
          </w:rPr>
          <w:instrText xml:space="preserve"> PAGEREF _Toc415037631 \h </w:instrText>
        </w:r>
        <w:r w:rsidRPr="002D37E4">
          <w:rPr>
            <w:b w:val="0"/>
            <w:webHidden/>
          </w:rPr>
        </w:r>
        <w:r w:rsidRPr="002D37E4">
          <w:rPr>
            <w:b w:val="0"/>
            <w:webHidden/>
          </w:rPr>
          <w:fldChar w:fldCharType="separate"/>
        </w:r>
        <w:r w:rsidR="001349C0">
          <w:rPr>
            <w:b w:val="0"/>
            <w:webHidden/>
          </w:rPr>
          <w:t>78</w:t>
        </w:r>
        <w:r w:rsidRPr="002D37E4">
          <w:rPr>
            <w:b w:val="0"/>
            <w:webHidden/>
          </w:rPr>
          <w:fldChar w:fldCharType="end"/>
        </w:r>
      </w:hyperlink>
    </w:p>
    <w:p w14:paraId="4947192C" w14:textId="77777777" w:rsidR="002D37E4" w:rsidRPr="002D37E4" w:rsidRDefault="002D37E4" w:rsidP="002D37E4">
      <w:pPr>
        <w:pStyle w:val="TOC3"/>
        <w:spacing w:line="288" w:lineRule="auto"/>
        <w:rPr>
          <w:rFonts w:asciiTheme="minorHAnsi" w:eastAsiaTheme="minorEastAsia" w:hAnsiTheme="minorHAnsi" w:cstheme="minorBidi"/>
          <w:b w:val="0"/>
          <w:sz w:val="22"/>
          <w:szCs w:val="22"/>
        </w:rPr>
      </w:pPr>
      <w:hyperlink w:anchor="_Toc415037632" w:history="1">
        <w:r w:rsidRPr="002D37E4">
          <w:rPr>
            <w:rStyle w:val="Hyperlink"/>
            <w:b w:val="0"/>
          </w:rPr>
          <w:t>J.</w:t>
        </w:r>
        <w:r w:rsidRPr="002D37E4">
          <w:rPr>
            <w:rFonts w:asciiTheme="minorHAnsi" w:eastAsiaTheme="minorEastAsia" w:hAnsiTheme="minorHAnsi" w:cstheme="minorBidi"/>
            <w:b w:val="0"/>
            <w:sz w:val="22"/>
            <w:szCs w:val="22"/>
          </w:rPr>
          <w:tab/>
        </w:r>
        <w:r w:rsidRPr="002D37E4">
          <w:rPr>
            <w:rStyle w:val="Hyperlink"/>
            <w:b w:val="0"/>
          </w:rPr>
          <w:t>Rates to Customers</w:t>
        </w:r>
        <w:r w:rsidRPr="002D37E4">
          <w:rPr>
            <w:b w:val="0"/>
            <w:webHidden/>
          </w:rPr>
          <w:tab/>
        </w:r>
        <w:r w:rsidRPr="002D37E4">
          <w:rPr>
            <w:b w:val="0"/>
            <w:webHidden/>
          </w:rPr>
          <w:fldChar w:fldCharType="begin"/>
        </w:r>
        <w:r w:rsidRPr="002D37E4">
          <w:rPr>
            <w:b w:val="0"/>
            <w:webHidden/>
          </w:rPr>
          <w:instrText xml:space="preserve"> PAGEREF _Toc415037632 \h </w:instrText>
        </w:r>
        <w:r w:rsidRPr="002D37E4">
          <w:rPr>
            <w:b w:val="0"/>
            <w:webHidden/>
          </w:rPr>
        </w:r>
        <w:r w:rsidRPr="002D37E4">
          <w:rPr>
            <w:b w:val="0"/>
            <w:webHidden/>
          </w:rPr>
          <w:fldChar w:fldCharType="separate"/>
        </w:r>
        <w:r w:rsidR="001349C0">
          <w:rPr>
            <w:b w:val="0"/>
            <w:webHidden/>
          </w:rPr>
          <w:t>79</w:t>
        </w:r>
        <w:r w:rsidRPr="002D37E4">
          <w:rPr>
            <w:b w:val="0"/>
            <w:webHidden/>
          </w:rPr>
          <w:fldChar w:fldCharType="end"/>
        </w:r>
      </w:hyperlink>
    </w:p>
    <w:p w14:paraId="479D9835"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33" w:history="1">
        <w:r w:rsidRPr="002D37E4">
          <w:rPr>
            <w:rStyle w:val="Hyperlink"/>
            <w:noProof/>
          </w:rPr>
          <w:t>1.</w:t>
        </w:r>
        <w:r w:rsidRPr="002D37E4">
          <w:rPr>
            <w:rFonts w:asciiTheme="minorHAnsi" w:eastAsiaTheme="minorEastAsia" w:hAnsiTheme="minorHAnsi" w:cstheme="minorBidi"/>
            <w:noProof/>
            <w:sz w:val="22"/>
            <w:szCs w:val="22"/>
          </w:rPr>
          <w:tab/>
        </w:r>
        <w:r w:rsidRPr="002D37E4">
          <w:rPr>
            <w:rStyle w:val="Hyperlink"/>
            <w:noProof/>
          </w:rPr>
          <w:t>Cost of Service Study</w:t>
        </w:r>
        <w:r w:rsidRPr="002D37E4">
          <w:rPr>
            <w:noProof/>
            <w:webHidden/>
          </w:rPr>
          <w:tab/>
        </w:r>
        <w:r w:rsidRPr="002D37E4">
          <w:rPr>
            <w:noProof/>
            <w:webHidden/>
          </w:rPr>
          <w:fldChar w:fldCharType="begin"/>
        </w:r>
        <w:r w:rsidRPr="002D37E4">
          <w:rPr>
            <w:noProof/>
            <w:webHidden/>
          </w:rPr>
          <w:instrText xml:space="preserve"> PAGEREF _Toc415037633 \h </w:instrText>
        </w:r>
        <w:r w:rsidRPr="002D37E4">
          <w:rPr>
            <w:noProof/>
            <w:webHidden/>
          </w:rPr>
        </w:r>
        <w:r w:rsidRPr="002D37E4">
          <w:rPr>
            <w:noProof/>
            <w:webHidden/>
          </w:rPr>
          <w:fldChar w:fldCharType="separate"/>
        </w:r>
        <w:r w:rsidR="001349C0">
          <w:rPr>
            <w:noProof/>
            <w:webHidden/>
          </w:rPr>
          <w:t>79</w:t>
        </w:r>
        <w:r w:rsidRPr="002D37E4">
          <w:rPr>
            <w:noProof/>
            <w:webHidden/>
          </w:rPr>
          <w:fldChar w:fldCharType="end"/>
        </w:r>
      </w:hyperlink>
    </w:p>
    <w:p w14:paraId="03E50053" w14:textId="77777777" w:rsidR="002D37E4" w:rsidRPr="002D37E4" w:rsidRDefault="002D37E4" w:rsidP="002D37E4">
      <w:pPr>
        <w:pStyle w:val="TOC5"/>
        <w:spacing w:line="288" w:lineRule="auto"/>
        <w:rPr>
          <w:rFonts w:asciiTheme="minorHAnsi" w:eastAsiaTheme="minorEastAsia" w:hAnsiTheme="minorHAnsi" w:cstheme="minorBidi"/>
          <w:noProof/>
          <w:sz w:val="22"/>
          <w:szCs w:val="22"/>
        </w:rPr>
      </w:pPr>
      <w:hyperlink w:anchor="_Toc415037634" w:history="1">
        <w:r w:rsidRPr="002D37E4">
          <w:rPr>
            <w:rStyle w:val="Hyperlink"/>
            <w:noProof/>
          </w:rPr>
          <w:t>a)</w:t>
        </w:r>
        <w:r w:rsidRPr="002D37E4">
          <w:rPr>
            <w:rFonts w:asciiTheme="minorHAnsi" w:eastAsiaTheme="minorEastAsia" w:hAnsiTheme="minorHAnsi" w:cstheme="minorBidi"/>
            <w:noProof/>
            <w:sz w:val="22"/>
            <w:szCs w:val="22"/>
          </w:rPr>
          <w:tab/>
        </w:r>
        <w:r w:rsidRPr="002D37E4">
          <w:rPr>
            <w:rStyle w:val="Hyperlink"/>
            <w:noProof/>
          </w:rPr>
          <w:t>Classification of Generation and Transmission Costs</w:t>
        </w:r>
        <w:r w:rsidRPr="002D37E4">
          <w:rPr>
            <w:noProof/>
            <w:webHidden/>
          </w:rPr>
          <w:tab/>
        </w:r>
        <w:r w:rsidRPr="002D37E4">
          <w:rPr>
            <w:noProof/>
            <w:webHidden/>
          </w:rPr>
          <w:fldChar w:fldCharType="begin"/>
        </w:r>
        <w:r w:rsidRPr="002D37E4">
          <w:rPr>
            <w:noProof/>
            <w:webHidden/>
          </w:rPr>
          <w:instrText xml:space="preserve"> PAGEREF _Toc415037634 \h </w:instrText>
        </w:r>
        <w:r w:rsidRPr="002D37E4">
          <w:rPr>
            <w:noProof/>
            <w:webHidden/>
          </w:rPr>
        </w:r>
        <w:r w:rsidRPr="002D37E4">
          <w:rPr>
            <w:noProof/>
            <w:webHidden/>
          </w:rPr>
          <w:fldChar w:fldCharType="separate"/>
        </w:r>
        <w:r w:rsidR="001349C0">
          <w:rPr>
            <w:noProof/>
            <w:webHidden/>
          </w:rPr>
          <w:t>79</w:t>
        </w:r>
        <w:r w:rsidRPr="002D37E4">
          <w:rPr>
            <w:noProof/>
            <w:webHidden/>
          </w:rPr>
          <w:fldChar w:fldCharType="end"/>
        </w:r>
      </w:hyperlink>
    </w:p>
    <w:p w14:paraId="034A262E" w14:textId="77777777" w:rsidR="002D37E4" w:rsidRPr="002D37E4" w:rsidRDefault="002D37E4" w:rsidP="002D37E4">
      <w:pPr>
        <w:pStyle w:val="TOC5"/>
        <w:spacing w:line="288" w:lineRule="auto"/>
        <w:rPr>
          <w:rFonts w:asciiTheme="minorHAnsi" w:eastAsiaTheme="minorEastAsia" w:hAnsiTheme="minorHAnsi" w:cstheme="minorBidi"/>
          <w:noProof/>
          <w:sz w:val="22"/>
          <w:szCs w:val="22"/>
        </w:rPr>
      </w:pPr>
      <w:hyperlink w:anchor="_Toc415037635" w:history="1">
        <w:r w:rsidRPr="002D37E4">
          <w:rPr>
            <w:rStyle w:val="Hyperlink"/>
            <w:noProof/>
          </w:rPr>
          <w:t>b)</w:t>
        </w:r>
        <w:r w:rsidRPr="002D37E4">
          <w:rPr>
            <w:rFonts w:asciiTheme="minorHAnsi" w:eastAsiaTheme="minorEastAsia" w:hAnsiTheme="minorHAnsi" w:cstheme="minorBidi"/>
            <w:noProof/>
            <w:sz w:val="22"/>
            <w:szCs w:val="22"/>
          </w:rPr>
          <w:tab/>
        </w:r>
        <w:r w:rsidRPr="002D37E4">
          <w:rPr>
            <w:rStyle w:val="Hyperlink"/>
            <w:noProof/>
          </w:rPr>
          <w:t>Allocation of Demand Classified Generation and Transmission Costs to Customer Classes</w:t>
        </w:r>
        <w:r w:rsidRPr="002D37E4">
          <w:rPr>
            <w:noProof/>
            <w:webHidden/>
          </w:rPr>
          <w:tab/>
        </w:r>
        <w:r w:rsidRPr="002D37E4">
          <w:rPr>
            <w:noProof/>
            <w:webHidden/>
          </w:rPr>
          <w:fldChar w:fldCharType="begin"/>
        </w:r>
        <w:r w:rsidRPr="002D37E4">
          <w:rPr>
            <w:noProof/>
            <w:webHidden/>
          </w:rPr>
          <w:instrText xml:space="preserve"> PAGEREF _Toc415037635 \h </w:instrText>
        </w:r>
        <w:r w:rsidRPr="002D37E4">
          <w:rPr>
            <w:noProof/>
            <w:webHidden/>
          </w:rPr>
        </w:r>
        <w:r w:rsidRPr="002D37E4">
          <w:rPr>
            <w:noProof/>
            <w:webHidden/>
          </w:rPr>
          <w:fldChar w:fldCharType="separate"/>
        </w:r>
        <w:r w:rsidR="001349C0">
          <w:rPr>
            <w:noProof/>
            <w:webHidden/>
          </w:rPr>
          <w:t>81</w:t>
        </w:r>
        <w:r w:rsidRPr="002D37E4">
          <w:rPr>
            <w:noProof/>
            <w:webHidden/>
          </w:rPr>
          <w:fldChar w:fldCharType="end"/>
        </w:r>
      </w:hyperlink>
    </w:p>
    <w:p w14:paraId="4EA764C3" w14:textId="77777777" w:rsidR="002D37E4" w:rsidRPr="002D37E4" w:rsidRDefault="002D37E4" w:rsidP="002D37E4">
      <w:pPr>
        <w:pStyle w:val="TOC5"/>
        <w:spacing w:line="288" w:lineRule="auto"/>
        <w:rPr>
          <w:rFonts w:asciiTheme="minorHAnsi" w:eastAsiaTheme="minorEastAsia" w:hAnsiTheme="minorHAnsi" w:cstheme="minorBidi"/>
          <w:noProof/>
          <w:sz w:val="22"/>
          <w:szCs w:val="22"/>
        </w:rPr>
      </w:pPr>
      <w:hyperlink w:anchor="_Toc415037636" w:history="1">
        <w:r w:rsidRPr="002D37E4">
          <w:rPr>
            <w:rStyle w:val="Hyperlink"/>
            <w:noProof/>
          </w:rPr>
          <w:t>c)</w:t>
        </w:r>
        <w:r w:rsidRPr="002D37E4">
          <w:rPr>
            <w:rFonts w:asciiTheme="minorHAnsi" w:eastAsiaTheme="minorEastAsia" w:hAnsiTheme="minorHAnsi" w:cstheme="minorBidi"/>
            <w:noProof/>
            <w:sz w:val="22"/>
            <w:szCs w:val="22"/>
          </w:rPr>
          <w:tab/>
        </w:r>
        <w:r w:rsidRPr="002D37E4">
          <w:rPr>
            <w:rStyle w:val="Hyperlink"/>
            <w:noProof/>
          </w:rPr>
          <w:t>Corporate Account Manager Expenses</w:t>
        </w:r>
        <w:r w:rsidRPr="002D37E4">
          <w:rPr>
            <w:noProof/>
            <w:webHidden/>
          </w:rPr>
          <w:tab/>
        </w:r>
        <w:r w:rsidRPr="002D37E4">
          <w:rPr>
            <w:noProof/>
            <w:webHidden/>
          </w:rPr>
          <w:fldChar w:fldCharType="begin"/>
        </w:r>
        <w:r w:rsidRPr="002D37E4">
          <w:rPr>
            <w:noProof/>
            <w:webHidden/>
          </w:rPr>
          <w:instrText xml:space="preserve"> PAGEREF _Toc415037636 \h </w:instrText>
        </w:r>
        <w:r w:rsidRPr="002D37E4">
          <w:rPr>
            <w:noProof/>
            <w:webHidden/>
          </w:rPr>
        </w:r>
        <w:r w:rsidRPr="002D37E4">
          <w:rPr>
            <w:noProof/>
            <w:webHidden/>
          </w:rPr>
          <w:fldChar w:fldCharType="separate"/>
        </w:r>
        <w:r w:rsidR="001349C0">
          <w:rPr>
            <w:noProof/>
            <w:webHidden/>
          </w:rPr>
          <w:t>83</w:t>
        </w:r>
        <w:r w:rsidRPr="002D37E4">
          <w:rPr>
            <w:noProof/>
            <w:webHidden/>
          </w:rPr>
          <w:fldChar w:fldCharType="end"/>
        </w:r>
      </w:hyperlink>
    </w:p>
    <w:p w14:paraId="06D17393"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37" w:history="1">
        <w:r w:rsidRPr="002D37E4">
          <w:rPr>
            <w:rStyle w:val="Hyperlink"/>
            <w:noProof/>
          </w:rPr>
          <w:t>2.</w:t>
        </w:r>
        <w:r w:rsidRPr="002D37E4">
          <w:rPr>
            <w:rFonts w:asciiTheme="minorHAnsi" w:eastAsiaTheme="minorEastAsia" w:hAnsiTheme="minorHAnsi" w:cstheme="minorBidi"/>
            <w:noProof/>
            <w:sz w:val="22"/>
            <w:szCs w:val="22"/>
          </w:rPr>
          <w:tab/>
        </w:r>
        <w:r w:rsidRPr="002D37E4">
          <w:rPr>
            <w:rStyle w:val="Hyperlink"/>
            <w:noProof/>
          </w:rPr>
          <w:t>Rate Spread</w:t>
        </w:r>
        <w:r w:rsidRPr="002D37E4">
          <w:rPr>
            <w:noProof/>
            <w:webHidden/>
          </w:rPr>
          <w:tab/>
        </w:r>
        <w:r w:rsidRPr="002D37E4">
          <w:rPr>
            <w:noProof/>
            <w:webHidden/>
          </w:rPr>
          <w:fldChar w:fldCharType="begin"/>
        </w:r>
        <w:r w:rsidRPr="002D37E4">
          <w:rPr>
            <w:noProof/>
            <w:webHidden/>
          </w:rPr>
          <w:instrText xml:space="preserve"> PAGEREF _Toc415037637 \h </w:instrText>
        </w:r>
        <w:r w:rsidRPr="002D37E4">
          <w:rPr>
            <w:noProof/>
            <w:webHidden/>
          </w:rPr>
        </w:r>
        <w:r w:rsidRPr="002D37E4">
          <w:rPr>
            <w:noProof/>
            <w:webHidden/>
          </w:rPr>
          <w:fldChar w:fldCharType="separate"/>
        </w:r>
        <w:r w:rsidR="001349C0">
          <w:rPr>
            <w:noProof/>
            <w:webHidden/>
          </w:rPr>
          <w:t>84</w:t>
        </w:r>
        <w:r w:rsidRPr="002D37E4">
          <w:rPr>
            <w:noProof/>
            <w:webHidden/>
          </w:rPr>
          <w:fldChar w:fldCharType="end"/>
        </w:r>
      </w:hyperlink>
    </w:p>
    <w:p w14:paraId="2C4B73A5"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38" w:history="1">
        <w:r w:rsidRPr="002D37E4">
          <w:rPr>
            <w:rStyle w:val="Hyperlink"/>
            <w:noProof/>
          </w:rPr>
          <w:t>3.</w:t>
        </w:r>
        <w:r w:rsidRPr="002D37E4">
          <w:rPr>
            <w:rFonts w:asciiTheme="minorHAnsi" w:eastAsiaTheme="minorEastAsia" w:hAnsiTheme="minorHAnsi" w:cstheme="minorBidi"/>
            <w:noProof/>
            <w:sz w:val="22"/>
            <w:szCs w:val="22"/>
          </w:rPr>
          <w:tab/>
        </w:r>
        <w:r w:rsidRPr="002D37E4">
          <w:rPr>
            <w:rStyle w:val="Hyperlink"/>
            <w:noProof/>
          </w:rPr>
          <w:t>Rate Design</w:t>
        </w:r>
        <w:r w:rsidRPr="002D37E4">
          <w:rPr>
            <w:noProof/>
            <w:webHidden/>
          </w:rPr>
          <w:tab/>
        </w:r>
        <w:r w:rsidRPr="002D37E4">
          <w:rPr>
            <w:noProof/>
            <w:webHidden/>
          </w:rPr>
          <w:fldChar w:fldCharType="begin"/>
        </w:r>
        <w:r w:rsidRPr="002D37E4">
          <w:rPr>
            <w:noProof/>
            <w:webHidden/>
          </w:rPr>
          <w:instrText xml:space="preserve"> PAGEREF _Toc415037638 \h </w:instrText>
        </w:r>
        <w:r w:rsidRPr="002D37E4">
          <w:rPr>
            <w:noProof/>
            <w:webHidden/>
          </w:rPr>
        </w:r>
        <w:r w:rsidRPr="002D37E4">
          <w:rPr>
            <w:noProof/>
            <w:webHidden/>
          </w:rPr>
          <w:fldChar w:fldCharType="separate"/>
        </w:r>
        <w:r w:rsidR="001349C0">
          <w:rPr>
            <w:noProof/>
            <w:webHidden/>
          </w:rPr>
          <w:t>86</w:t>
        </w:r>
        <w:r w:rsidRPr="002D37E4">
          <w:rPr>
            <w:noProof/>
            <w:webHidden/>
          </w:rPr>
          <w:fldChar w:fldCharType="end"/>
        </w:r>
      </w:hyperlink>
    </w:p>
    <w:p w14:paraId="65A03EFB" w14:textId="77777777" w:rsidR="002D37E4" w:rsidRPr="002D37E4" w:rsidRDefault="002D37E4" w:rsidP="002D37E4">
      <w:pPr>
        <w:pStyle w:val="TOC5"/>
        <w:spacing w:line="288" w:lineRule="auto"/>
        <w:rPr>
          <w:rFonts w:asciiTheme="minorHAnsi" w:eastAsiaTheme="minorEastAsia" w:hAnsiTheme="minorHAnsi" w:cstheme="minorBidi"/>
          <w:noProof/>
          <w:sz w:val="22"/>
          <w:szCs w:val="22"/>
        </w:rPr>
      </w:pPr>
      <w:hyperlink w:anchor="_Toc415037639" w:history="1">
        <w:r w:rsidRPr="002D37E4">
          <w:rPr>
            <w:rStyle w:val="Hyperlink"/>
            <w:noProof/>
          </w:rPr>
          <w:t>a)</w:t>
        </w:r>
        <w:r w:rsidRPr="002D37E4">
          <w:rPr>
            <w:rFonts w:asciiTheme="minorHAnsi" w:eastAsiaTheme="minorEastAsia" w:hAnsiTheme="minorHAnsi" w:cstheme="minorBidi"/>
            <w:noProof/>
            <w:sz w:val="22"/>
            <w:szCs w:val="22"/>
          </w:rPr>
          <w:tab/>
        </w:r>
        <w:r w:rsidRPr="002D37E4">
          <w:rPr>
            <w:rStyle w:val="Hyperlink"/>
            <w:noProof/>
          </w:rPr>
          <w:t>Residential Rates</w:t>
        </w:r>
        <w:r w:rsidRPr="002D37E4">
          <w:rPr>
            <w:noProof/>
            <w:webHidden/>
          </w:rPr>
          <w:tab/>
        </w:r>
        <w:r w:rsidRPr="002D37E4">
          <w:rPr>
            <w:noProof/>
            <w:webHidden/>
          </w:rPr>
          <w:fldChar w:fldCharType="begin"/>
        </w:r>
        <w:r w:rsidRPr="002D37E4">
          <w:rPr>
            <w:noProof/>
            <w:webHidden/>
          </w:rPr>
          <w:instrText xml:space="preserve"> PAGEREF _Toc415037639 \h </w:instrText>
        </w:r>
        <w:r w:rsidRPr="002D37E4">
          <w:rPr>
            <w:noProof/>
            <w:webHidden/>
          </w:rPr>
        </w:r>
        <w:r w:rsidRPr="002D37E4">
          <w:rPr>
            <w:noProof/>
            <w:webHidden/>
          </w:rPr>
          <w:fldChar w:fldCharType="separate"/>
        </w:r>
        <w:r w:rsidR="001349C0">
          <w:rPr>
            <w:noProof/>
            <w:webHidden/>
          </w:rPr>
          <w:t>86</w:t>
        </w:r>
        <w:r w:rsidRPr="002D37E4">
          <w:rPr>
            <w:noProof/>
            <w:webHidden/>
          </w:rPr>
          <w:fldChar w:fldCharType="end"/>
        </w:r>
      </w:hyperlink>
    </w:p>
    <w:p w14:paraId="4F9D0C4F" w14:textId="77777777" w:rsidR="002D37E4" w:rsidRPr="002D37E4" w:rsidRDefault="002D37E4" w:rsidP="002D37E4">
      <w:pPr>
        <w:pStyle w:val="TOC5"/>
        <w:spacing w:line="288" w:lineRule="auto"/>
        <w:rPr>
          <w:rFonts w:asciiTheme="minorHAnsi" w:eastAsiaTheme="minorEastAsia" w:hAnsiTheme="minorHAnsi" w:cstheme="minorBidi"/>
          <w:noProof/>
          <w:sz w:val="22"/>
          <w:szCs w:val="22"/>
        </w:rPr>
      </w:pPr>
      <w:hyperlink w:anchor="_Toc415037640" w:history="1">
        <w:r w:rsidRPr="002D37E4">
          <w:rPr>
            <w:rStyle w:val="Hyperlink"/>
            <w:noProof/>
          </w:rPr>
          <w:t>b)</w:t>
        </w:r>
        <w:r w:rsidRPr="002D37E4">
          <w:rPr>
            <w:rFonts w:asciiTheme="minorHAnsi" w:eastAsiaTheme="minorEastAsia" w:hAnsiTheme="minorHAnsi" w:cstheme="minorBidi"/>
            <w:noProof/>
            <w:sz w:val="22"/>
            <w:szCs w:val="22"/>
          </w:rPr>
          <w:tab/>
        </w:r>
        <w:r w:rsidRPr="002D37E4">
          <w:rPr>
            <w:rStyle w:val="Hyperlink"/>
            <w:noProof/>
          </w:rPr>
          <w:t>Non-Residential Rates</w:t>
        </w:r>
        <w:r w:rsidRPr="002D37E4">
          <w:rPr>
            <w:noProof/>
            <w:webHidden/>
          </w:rPr>
          <w:tab/>
        </w:r>
        <w:r w:rsidRPr="002D37E4">
          <w:rPr>
            <w:noProof/>
            <w:webHidden/>
          </w:rPr>
          <w:fldChar w:fldCharType="begin"/>
        </w:r>
        <w:r w:rsidRPr="002D37E4">
          <w:rPr>
            <w:noProof/>
            <w:webHidden/>
          </w:rPr>
          <w:instrText xml:space="preserve"> PAGEREF _Toc415037640 \h </w:instrText>
        </w:r>
        <w:r w:rsidRPr="002D37E4">
          <w:rPr>
            <w:noProof/>
            <w:webHidden/>
          </w:rPr>
        </w:r>
        <w:r w:rsidRPr="002D37E4">
          <w:rPr>
            <w:noProof/>
            <w:webHidden/>
          </w:rPr>
          <w:fldChar w:fldCharType="separate"/>
        </w:r>
        <w:r w:rsidR="001349C0">
          <w:rPr>
            <w:noProof/>
            <w:webHidden/>
          </w:rPr>
          <w:t>94</w:t>
        </w:r>
        <w:r w:rsidRPr="002D37E4">
          <w:rPr>
            <w:noProof/>
            <w:webHidden/>
          </w:rPr>
          <w:fldChar w:fldCharType="end"/>
        </w:r>
      </w:hyperlink>
    </w:p>
    <w:p w14:paraId="56EE0678" w14:textId="77777777" w:rsidR="002D37E4" w:rsidRPr="002D37E4" w:rsidRDefault="002D37E4" w:rsidP="002D37E4">
      <w:pPr>
        <w:pStyle w:val="TOC5"/>
        <w:spacing w:line="288" w:lineRule="auto"/>
        <w:rPr>
          <w:rFonts w:asciiTheme="minorHAnsi" w:eastAsiaTheme="minorEastAsia" w:hAnsiTheme="minorHAnsi" w:cstheme="minorBidi"/>
          <w:noProof/>
          <w:sz w:val="22"/>
          <w:szCs w:val="22"/>
        </w:rPr>
      </w:pPr>
      <w:hyperlink w:anchor="_Toc415037641" w:history="1">
        <w:r w:rsidRPr="002D37E4">
          <w:rPr>
            <w:rStyle w:val="Hyperlink"/>
            <w:noProof/>
          </w:rPr>
          <w:t>c)</w:t>
        </w:r>
        <w:r w:rsidRPr="002D37E4">
          <w:rPr>
            <w:rFonts w:asciiTheme="minorHAnsi" w:eastAsiaTheme="minorEastAsia" w:hAnsiTheme="minorHAnsi" w:cstheme="minorBidi"/>
            <w:noProof/>
            <w:sz w:val="22"/>
            <w:szCs w:val="22"/>
          </w:rPr>
          <w:tab/>
        </w:r>
        <w:r w:rsidRPr="002D37E4">
          <w:rPr>
            <w:rStyle w:val="Hyperlink"/>
            <w:noProof/>
          </w:rPr>
          <w:t>Unbundled Rates</w:t>
        </w:r>
        <w:r w:rsidRPr="002D37E4">
          <w:rPr>
            <w:noProof/>
            <w:webHidden/>
          </w:rPr>
          <w:tab/>
        </w:r>
        <w:r w:rsidRPr="002D37E4">
          <w:rPr>
            <w:noProof/>
            <w:webHidden/>
          </w:rPr>
          <w:fldChar w:fldCharType="begin"/>
        </w:r>
        <w:r w:rsidRPr="002D37E4">
          <w:rPr>
            <w:noProof/>
            <w:webHidden/>
          </w:rPr>
          <w:instrText xml:space="preserve"> PAGEREF _Toc415037641 \h </w:instrText>
        </w:r>
        <w:r w:rsidRPr="002D37E4">
          <w:rPr>
            <w:noProof/>
            <w:webHidden/>
          </w:rPr>
        </w:r>
        <w:r w:rsidRPr="002D37E4">
          <w:rPr>
            <w:noProof/>
            <w:webHidden/>
          </w:rPr>
          <w:fldChar w:fldCharType="separate"/>
        </w:r>
        <w:r w:rsidR="001349C0">
          <w:rPr>
            <w:noProof/>
            <w:webHidden/>
          </w:rPr>
          <w:t>96</w:t>
        </w:r>
        <w:r w:rsidRPr="002D37E4">
          <w:rPr>
            <w:noProof/>
            <w:webHidden/>
          </w:rPr>
          <w:fldChar w:fldCharType="end"/>
        </w:r>
      </w:hyperlink>
    </w:p>
    <w:p w14:paraId="047B0649" w14:textId="77777777" w:rsidR="002D37E4" w:rsidRPr="002D37E4" w:rsidRDefault="002D37E4" w:rsidP="002D37E4">
      <w:pPr>
        <w:pStyle w:val="TOC5"/>
        <w:spacing w:line="288" w:lineRule="auto"/>
        <w:rPr>
          <w:rFonts w:asciiTheme="minorHAnsi" w:eastAsiaTheme="minorEastAsia" w:hAnsiTheme="minorHAnsi" w:cstheme="minorBidi"/>
          <w:noProof/>
          <w:sz w:val="22"/>
          <w:szCs w:val="22"/>
        </w:rPr>
      </w:pPr>
      <w:hyperlink w:anchor="_Toc415037642" w:history="1">
        <w:r w:rsidRPr="002D37E4">
          <w:rPr>
            <w:rStyle w:val="Hyperlink"/>
            <w:noProof/>
          </w:rPr>
          <w:t>d)</w:t>
        </w:r>
        <w:r w:rsidRPr="002D37E4">
          <w:rPr>
            <w:rFonts w:asciiTheme="minorHAnsi" w:eastAsiaTheme="minorEastAsia" w:hAnsiTheme="minorHAnsi" w:cstheme="minorBidi"/>
            <w:noProof/>
            <w:sz w:val="22"/>
            <w:szCs w:val="22"/>
          </w:rPr>
          <w:tab/>
        </w:r>
        <w:r w:rsidRPr="002D37E4">
          <w:rPr>
            <w:rStyle w:val="Hyperlink"/>
            <w:noProof/>
          </w:rPr>
          <w:t>Tariff Rule 11D and Tariff Schedule 300</w:t>
        </w:r>
        <w:r w:rsidRPr="002D37E4">
          <w:rPr>
            <w:noProof/>
            <w:webHidden/>
          </w:rPr>
          <w:tab/>
        </w:r>
        <w:r w:rsidRPr="002D37E4">
          <w:rPr>
            <w:noProof/>
            <w:webHidden/>
          </w:rPr>
          <w:fldChar w:fldCharType="begin"/>
        </w:r>
        <w:r w:rsidRPr="002D37E4">
          <w:rPr>
            <w:noProof/>
            <w:webHidden/>
          </w:rPr>
          <w:instrText xml:space="preserve"> PAGEREF _Toc415037642 \h </w:instrText>
        </w:r>
        <w:r w:rsidRPr="002D37E4">
          <w:rPr>
            <w:noProof/>
            <w:webHidden/>
          </w:rPr>
        </w:r>
        <w:r w:rsidRPr="002D37E4">
          <w:rPr>
            <w:noProof/>
            <w:webHidden/>
          </w:rPr>
          <w:fldChar w:fldCharType="separate"/>
        </w:r>
        <w:r w:rsidR="001349C0">
          <w:rPr>
            <w:noProof/>
            <w:webHidden/>
          </w:rPr>
          <w:t>99</w:t>
        </w:r>
        <w:r w:rsidRPr="002D37E4">
          <w:rPr>
            <w:noProof/>
            <w:webHidden/>
          </w:rPr>
          <w:fldChar w:fldCharType="end"/>
        </w:r>
      </w:hyperlink>
    </w:p>
    <w:p w14:paraId="7EACC614" w14:textId="77777777" w:rsidR="002D37E4" w:rsidRPr="002D37E4" w:rsidRDefault="002D37E4" w:rsidP="002D37E4">
      <w:pPr>
        <w:pStyle w:val="TOC3"/>
        <w:spacing w:line="288" w:lineRule="auto"/>
        <w:rPr>
          <w:rFonts w:asciiTheme="minorHAnsi" w:eastAsiaTheme="minorEastAsia" w:hAnsiTheme="minorHAnsi" w:cstheme="minorBidi"/>
          <w:b w:val="0"/>
          <w:sz w:val="22"/>
          <w:szCs w:val="22"/>
        </w:rPr>
      </w:pPr>
      <w:hyperlink w:anchor="_Toc415037643" w:history="1">
        <w:r w:rsidRPr="002D37E4">
          <w:rPr>
            <w:rStyle w:val="Hyperlink"/>
            <w:b w:val="0"/>
          </w:rPr>
          <w:t>K.</w:t>
        </w:r>
        <w:r w:rsidRPr="002D37E4">
          <w:rPr>
            <w:rFonts w:asciiTheme="minorHAnsi" w:eastAsiaTheme="minorEastAsia" w:hAnsiTheme="minorHAnsi" w:cstheme="minorBidi"/>
            <w:b w:val="0"/>
            <w:sz w:val="22"/>
            <w:szCs w:val="22"/>
          </w:rPr>
          <w:tab/>
        </w:r>
        <w:r w:rsidRPr="002D37E4">
          <w:rPr>
            <w:rStyle w:val="Hyperlink"/>
            <w:b w:val="0"/>
          </w:rPr>
          <w:t>Low-Income Bill Assistance (LIBA)</w:t>
        </w:r>
        <w:r w:rsidRPr="002D37E4">
          <w:rPr>
            <w:b w:val="0"/>
            <w:webHidden/>
          </w:rPr>
          <w:tab/>
        </w:r>
        <w:r w:rsidRPr="002D37E4">
          <w:rPr>
            <w:b w:val="0"/>
            <w:webHidden/>
          </w:rPr>
          <w:fldChar w:fldCharType="begin"/>
        </w:r>
        <w:r w:rsidRPr="002D37E4">
          <w:rPr>
            <w:b w:val="0"/>
            <w:webHidden/>
          </w:rPr>
          <w:instrText xml:space="preserve"> PAGEREF _Toc415037643 \h </w:instrText>
        </w:r>
        <w:r w:rsidRPr="002D37E4">
          <w:rPr>
            <w:b w:val="0"/>
            <w:webHidden/>
          </w:rPr>
        </w:r>
        <w:r w:rsidRPr="002D37E4">
          <w:rPr>
            <w:b w:val="0"/>
            <w:webHidden/>
          </w:rPr>
          <w:fldChar w:fldCharType="separate"/>
        </w:r>
        <w:r w:rsidR="001349C0">
          <w:rPr>
            <w:b w:val="0"/>
            <w:webHidden/>
          </w:rPr>
          <w:t>102</w:t>
        </w:r>
        <w:r w:rsidRPr="002D37E4">
          <w:rPr>
            <w:b w:val="0"/>
            <w:webHidden/>
          </w:rPr>
          <w:fldChar w:fldCharType="end"/>
        </w:r>
      </w:hyperlink>
    </w:p>
    <w:p w14:paraId="4537E9DF" w14:textId="77777777" w:rsidR="002D37E4" w:rsidRPr="002D37E4" w:rsidRDefault="002D37E4" w:rsidP="002D37E4">
      <w:pPr>
        <w:pStyle w:val="TOC3"/>
        <w:spacing w:line="288" w:lineRule="auto"/>
        <w:rPr>
          <w:rFonts w:asciiTheme="minorHAnsi" w:eastAsiaTheme="minorEastAsia" w:hAnsiTheme="minorHAnsi" w:cstheme="minorBidi"/>
          <w:b w:val="0"/>
          <w:sz w:val="22"/>
          <w:szCs w:val="22"/>
        </w:rPr>
      </w:pPr>
      <w:hyperlink w:anchor="_Toc415037644" w:history="1">
        <w:r w:rsidRPr="002D37E4">
          <w:rPr>
            <w:rStyle w:val="Hyperlink"/>
            <w:b w:val="0"/>
          </w:rPr>
          <w:t>L.</w:t>
        </w:r>
        <w:r w:rsidRPr="002D37E4">
          <w:rPr>
            <w:rFonts w:asciiTheme="minorHAnsi" w:eastAsiaTheme="minorEastAsia" w:hAnsiTheme="minorHAnsi" w:cstheme="minorBidi"/>
            <w:b w:val="0"/>
            <w:sz w:val="22"/>
            <w:szCs w:val="22"/>
          </w:rPr>
          <w:tab/>
        </w:r>
        <w:r w:rsidRPr="002D37E4">
          <w:rPr>
            <w:rStyle w:val="Hyperlink"/>
            <w:b w:val="0"/>
          </w:rPr>
          <w:t>Regulatory Assets and Liabilities (Deferral Accounts)</w:t>
        </w:r>
        <w:r w:rsidRPr="002D37E4">
          <w:rPr>
            <w:b w:val="0"/>
            <w:webHidden/>
          </w:rPr>
          <w:tab/>
        </w:r>
        <w:r w:rsidRPr="002D37E4">
          <w:rPr>
            <w:b w:val="0"/>
            <w:webHidden/>
          </w:rPr>
          <w:fldChar w:fldCharType="begin"/>
        </w:r>
        <w:r w:rsidRPr="002D37E4">
          <w:rPr>
            <w:b w:val="0"/>
            <w:webHidden/>
          </w:rPr>
          <w:instrText xml:space="preserve"> PAGEREF _Toc415037644 \h </w:instrText>
        </w:r>
        <w:r w:rsidRPr="002D37E4">
          <w:rPr>
            <w:b w:val="0"/>
            <w:webHidden/>
          </w:rPr>
        </w:r>
        <w:r w:rsidRPr="002D37E4">
          <w:rPr>
            <w:b w:val="0"/>
            <w:webHidden/>
          </w:rPr>
          <w:fldChar w:fldCharType="separate"/>
        </w:r>
        <w:r w:rsidR="001349C0">
          <w:rPr>
            <w:b w:val="0"/>
            <w:webHidden/>
          </w:rPr>
          <w:t>103</w:t>
        </w:r>
        <w:r w:rsidRPr="002D37E4">
          <w:rPr>
            <w:b w:val="0"/>
            <w:webHidden/>
          </w:rPr>
          <w:fldChar w:fldCharType="end"/>
        </w:r>
      </w:hyperlink>
    </w:p>
    <w:p w14:paraId="0D13EC8D"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45" w:history="1">
        <w:r w:rsidRPr="002D37E4">
          <w:rPr>
            <w:rStyle w:val="Hyperlink"/>
            <w:noProof/>
          </w:rPr>
          <w:t>1.</w:t>
        </w:r>
        <w:r w:rsidRPr="002D37E4">
          <w:rPr>
            <w:rFonts w:asciiTheme="minorHAnsi" w:eastAsiaTheme="minorEastAsia" w:hAnsiTheme="minorHAnsi" w:cstheme="minorBidi"/>
            <w:noProof/>
            <w:sz w:val="22"/>
            <w:szCs w:val="22"/>
          </w:rPr>
          <w:tab/>
        </w:r>
        <w:r w:rsidRPr="002D37E4">
          <w:rPr>
            <w:rStyle w:val="Hyperlink"/>
            <w:noProof/>
          </w:rPr>
          <w:t>Merwin Fish Collector (Docket UE-140617)</w:t>
        </w:r>
        <w:r w:rsidRPr="002D37E4">
          <w:rPr>
            <w:noProof/>
            <w:webHidden/>
          </w:rPr>
          <w:tab/>
        </w:r>
        <w:r w:rsidRPr="002D37E4">
          <w:rPr>
            <w:noProof/>
            <w:webHidden/>
          </w:rPr>
          <w:fldChar w:fldCharType="begin"/>
        </w:r>
        <w:r w:rsidRPr="002D37E4">
          <w:rPr>
            <w:noProof/>
            <w:webHidden/>
          </w:rPr>
          <w:instrText xml:space="preserve"> PAGEREF _Toc415037645 \h </w:instrText>
        </w:r>
        <w:r w:rsidRPr="002D37E4">
          <w:rPr>
            <w:noProof/>
            <w:webHidden/>
          </w:rPr>
        </w:r>
        <w:r w:rsidRPr="002D37E4">
          <w:rPr>
            <w:noProof/>
            <w:webHidden/>
          </w:rPr>
          <w:fldChar w:fldCharType="separate"/>
        </w:r>
        <w:r w:rsidR="001349C0">
          <w:rPr>
            <w:noProof/>
            <w:webHidden/>
          </w:rPr>
          <w:t>103</w:t>
        </w:r>
        <w:r w:rsidRPr="002D37E4">
          <w:rPr>
            <w:noProof/>
            <w:webHidden/>
          </w:rPr>
          <w:fldChar w:fldCharType="end"/>
        </w:r>
      </w:hyperlink>
    </w:p>
    <w:p w14:paraId="50669D36"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46" w:history="1">
        <w:r w:rsidRPr="002D37E4">
          <w:rPr>
            <w:rStyle w:val="Hyperlink"/>
            <w:noProof/>
          </w:rPr>
          <w:t>2.</w:t>
        </w:r>
        <w:r w:rsidRPr="002D37E4">
          <w:rPr>
            <w:rFonts w:asciiTheme="minorHAnsi" w:eastAsiaTheme="minorEastAsia" w:hAnsiTheme="minorHAnsi" w:cstheme="minorBidi"/>
            <w:noProof/>
            <w:sz w:val="22"/>
            <w:szCs w:val="22"/>
          </w:rPr>
          <w:tab/>
        </w:r>
        <w:r w:rsidRPr="002D37E4">
          <w:rPr>
            <w:rStyle w:val="Hyperlink"/>
            <w:noProof/>
          </w:rPr>
          <w:t>Colstrip Outage (Docket UE-131384)</w:t>
        </w:r>
        <w:r w:rsidRPr="002D37E4">
          <w:rPr>
            <w:noProof/>
            <w:webHidden/>
          </w:rPr>
          <w:tab/>
        </w:r>
        <w:r w:rsidRPr="002D37E4">
          <w:rPr>
            <w:noProof/>
            <w:webHidden/>
          </w:rPr>
          <w:fldChar w:fldCharType="begin"/>
        </w:r>
        <w:r w:rsidRPr="002D37E4">
          <w:rPr>
            <w:noProof/>
            <w:webHidden/>
          </w:rPr>
          <w:instrText xml:space="preserve"> PAGEREF _Toc415037646 \h </w:instrText>
        </w:r>
        <w:r w:rsidRPr="002D37E4">
          <w:rPr>
            <w:noProof/>
            <w:webHidden/>
          </w:rPr>
        </w:r>
        <w:r w:rsidRPr="002D37E4">
          <w:rPr>
            <w:noProof/>
            <w:webHidden/>
          </w:rPr>
          <w:fldChar w:fldCharType="separate"/>
        </w:r>
        <w:r w:rsidR="001349C0">
          <w:rPr>
            <w:noProof/>
            <w:webHidden/>
          </w:rPr>
          <w:t>107</w:t>
        </w:r>
        <w:r w:rsidRPr="002D37E4">
          <w:rPr>
            <w:noProof/>
            <w:webHidden/>
          </w:rPr>
          <w:fldChar w:fldCharType="end"/>
        </w:r>
      </w:hyperlink>
    </w:p>
    <w:p w14:paraId="0BA9FF1B"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47" w:history="1">
        <w:r w:rsidRPr="002D37E4">
          <w:rPr>
            <w:rStyle w:val="Hyperlink"/>
            <w:noProof/>
          </w:rPr>
          <w:t>3.</w:t>
        </w:r>
        <w:r w:rsidRPr="002D37E4">
          <w:rPr>
            <w:rFonts w:asciiTheme="minorHAnsi" w:eastAsiaTheme="minorEastAsia" w:hAnsiTheme="minorHAnsi" w:cstheme="minorBidi"/>
            <w:noProof/>
            <w:sz w:val="22"/>
            <w:szCs w:val="22"/>
          </w:rPr>
          <w:tab/>
        </w:r>
        <w:r w:rsidRPr="002D37E4">
          <w:rPr>
            <w:rStyle w:val="Hyperlink"/>
            <w:noProof/>
          </w:rPr>
          <w:t>Hydropower Deferral (Docket UE-140094)</w:t>
        </w:r>
        <w:r w:rsidRPr="002D37E4">
          <w:rPr>
            <w:noProof/>
            <w:webHidden/>
          </w:rPr>
          <w:tab/>
        </w:r>
        <w:r w:rsidRPr="002D37E4">
          <w:rPr>
            <w:noProof/>
            <w:webHidden/>
          </w:rPr>
          <w:fldChar w:fldCharType="begin"/>
        </w:r>
        <w:r w:rsidRPr="002D37E4">
          <w:rPr>
            <w:noProof/>
            <w:webHidden/>
          </w:rPr>
          <w:instrText xml:space="preserve"> PAGEREF _Toc415037647 \h </w:instrText>
        </w:r>
        <w:r w:rsidRPr="002D37E4">
          <w:rPr>
            <w:noProof/>
            <w:webHidden/>
          </w:rPr>
        </w:r>
        <w:r w:rsidRPr="002D37E4">
          <w:rPr>
            <w:noProof/>
            <w:webHidden/>
          </w:rPr>
          <w:fldChar w:fldCharType="separate"/>
        </w:r>
        <w:r w:rsidR="001349C0">
          <w:rPr>
            <w:noProof/>
            <w:webHidden/>
          </w:rPr>
          <w:t>111</w:t>
        </w:r>
        <w:r w:rsidRPr="002D37E4">
          <w:rPr>
            <w:noProof/>
            <w:webHidden/>
          </w:rPr>
          <w:fldChar w:fldCharType="end"/>
        </w:r>
      </w:hyperlink>
    </w:p>
    <w:p w14:paraId="13AC6429"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48" w:history="1">
        <w:r w:rsidRPr="002D37E4">
          <w:rPr>
            <w:rStyle w:val="Hyperlink"/>
            <w:noProof/>
          </w:rPr>
          <w:t>4.</w:t>
        </w:r>
        <w:r w:rsidRPr="002D37E4">
          <w:rPr>
            <w:rFonts w:asciiTheme="minorHAnsi" w:eastAsiaTheme="minorEastAsia" w:hAnsiTheme="minorHAnsi" w:cstheme="minorBidi"/>
            <w:noProof/>
            <w:sz w:val="22"/>
            <w:szCs w:val="22"/>
          </w:rPr>
          <w:tab/>
        </w:r>
        <w:r w:rsidRPr="002D37E4">
          <w:rPr>
            <w:rStyle w:val="Hyperlink"/>
            <w:noProof/>
          </w:rPr>
          <w:t>Depreciation Deferral</w:t>
        </w:r>
        <w:r w:rsidRPr="002D37E4">
          <w:rPr>
            <w:noProof/>
            <w:webHidden/>
          </w:rPr>
          <w:tab/>
        </w:r>
        <w:r w:rsidRPr="002D37E4">
          <w:rPr>
            <w:noProof/>
            <w:webHidden/>
          </w:rPr>
          <w:fldChar w:fldCharType="begin"/>
        </w:r>
        <w:r w:rsidRPr="002D37E4">
          <w:rPr>
            <w:noProof/>
            <w:webHidden/>
          </w:rPr>
          <w:instrText xml:space="preserve"> PAGEREF _Toc415037648 \h </w:instrText>
        </w:r>
        <w:r w:rsidRPr="002D37E4">
          <w:rPr>
            <w:noProof/>
            <w:webHidden/>
          </w:rPr>
        </w:r>
        <w:r w:rsidRPr="002D37E4">
          <w:rPr>
            <w:noProof/>
            <w:webHidden/>
          </w:rPr>
          <w:fldChar w:fldCharType="separate"/>
        </w:r>
        <w:r w:rsidR="001349C0">
          <w:rPr>
            <w:noProof/>
            <w:webHidden/>
          </w:rPr>
          <w:t>115</w:t>
        </w:r>
        <w:r w:rsidRPr="002D37E4">
          <w:rPr>
            <w:noProof/>
            <w:webHidden/>
          </w:rPr>
          <w:fldChar w:fldCharType="end"/>
        </w:r>
      </w:hyperlink>
    </w:p>
    <w:p w14:paraId="578B38F5" w14:textId="77777777" w:rsidR="002D37E4" w:rsidRPr="002D37E4" w:rsidRDefault="002D37E4" w:rsidP="002D37E4">
      <w:pPr>
        <w:pStyle w:val="TOC1"/>
        <w:spacing w:line="288" w:lineRule="auto"/>
        <w:rPr>
          <w:rFonts w:asciiTheme="minorHAnsi" w:eastAsiaTheme="minorEastAsia" w:hAnsiTheme="minorHAnsi" w:cstheme="minorBidi"/>
          <w:noProof/>
          <w:sz w:val="22"/>
          <w:szCs w:val="22"/>
        </w:rPr>
      </w:pPr>
      <w:hyperlink w:anchor="_Toc415037649" w:history="1">
        <w:r w:rsidRPr="002D37E4">
          <w:rPr>
            <w:rStyle w:val="Hyperlink"/>
            <w:noProof/>
          </w:rPr>
          <w:t>FINDINGS OF FACT</w:t>
        </w:r>
        <w:r w:rsidRPr="002D37E4">
          <w:rPr>
            <w:noProof/>
            <w:webHidden/>
          </w:rPr>
          <w:tab/>
        </w:r>
        <w:r w:rsidRPr="002D37E4">
          <w:rPr>
            <w:noProof/>
            <w:webHidden/>
          </w:rPr>
          <w:fldChar w:fldCharType="begin"/>
        </w:r>
        <w:r w:rsidRPr="002D37E4">
          <w:rPr>
            <w:noProof/>
            <w:webHidden/>
          </w:rPr>
          <w:instrText xml:space="preserve"> PAGEREF _Toc415037649 \h </w:instrText>
        </w:r>
        <w:r w:rsidRPr="002D37E4">
          <w:rPr>
            <w:noProof/>
            <w:webHidden/>
          </w:rPr>
        </w:r>
        <w:r w:rsidRPr="002D37E4">
          <w:rPr>
            <w:noProof/>
            <w:webHidden/>
          </w:rPr>
          <w:fldChar w:fldCharType="separate"/>
        </w:r>
        <w:r w:rsidR="001349C0">
          <w:rPr>
            <w:noProof/>
            <w:webHidden/>
          </w:rPr>
          <w:t>116</w:t>
        </w:r>
        <w:r w:rsidRPr="002D37E4">
          <w:rPr>
            <w:noProof/>
            <w:webHidden/>
          </w:rPr>
          <w:fldChar w:fldCharType="end"/>
        </w:r>
      </w:hyperlink>
    </w:p>
    <w:p w14:paraId="1314F476" w14:textId="77777777" w:rsidR="002D37E4" w:rsidRPr="002D37E4" w:rsidRDefault="002D37E4" w:rsidP="002D37E4">
      <w:pPr>
        <w:pStyle w:val="TOC1"/>
        <w:spacing w:line="288" w:lineRule="auto"/>
        <w:rPr>
          <w:rFonts w:asciiTheme="minorHAnsi" w:eastAsiaTheme="minorEastAsia" w:hAnsiTheme="minorHAnsi" w:cstheme="minorBidi"/>
          <w:noProof/>
          <w:sz w:val="22"/>
          <w:szCs w:val="22"/>
        </w:rPr>
      </w:pPr>
      <w:hyperlink w:anchor="_Toc415037650" w:history="1">
        <w:r w:rsidRPr="002D37E4">
          <w:rPr>
            <w:rStyle w:val="Hyperlink"/>
            <w:noProof/>
          </w:rPr>
          <w:t>CONCLUSIONS OF LAW</w:t>
        </w:r>
        <w:r w:rsidRPr="002D37E4">
          <w:rPr>
            <w:noProof/>
            <w:webHidden/>
          </w:rPr>
          <w:tab/>
        </w:r>
        <w:r w:rsidRPr="002D37E4">
          <w:rPr>
            <w:noProof/>
            <w:webHidden/>
          </w:rPr>
          <w:fldChar w:fldCharType="begin"/>
        </w:r>
        <w:r w:rsidRPr="002D37E4">
          <w:rPr>
            <w:noProof/>
            <w:webHidden/>
          </w:rPr>
          <w:instrText xml:space="preserve"> PAGEREF _Toc415037650 \h </w:instrText>
        </w:r>
        <w:r w:rsidRPr="002D37E4">
          <w:rPr>
            <w:noProof/>
            <w:webHidden/>
          </w:rPr>
        </w:r>
        <w:r w:rsidRPr="002D37E4">
          <w:rPr>
            <w:noProof/>
            <w:webHidden/>
          </w:rPr>
          <w:fldChar w:fldCharType="separate"/>
        </w:r>
        <w:r w:rsidR="001349C0">
          <w:rPr>
            <w:noProof/>
            <w:webHidden/>
          </w:rPr>
          <w:t>117</w:t>
        </w:r>
        <w:r w:rsidRPr="002D37E4">
          <w:rPr>
            <w:noProof/>
            <w:webHidden/>
          </w:rPr>
          <w:fldChar w:fldCharType="end"/>
        </w:r>
      </w:hyperlink>
    </w:p>
    <w:p w14:paraId="25F30419" w14:textId="77777777" w:rsidR="002D37E4" w:rsidRPr="002D37E4" w:rsidRDefault="002D37E4" w:rsidP="002D37E4">
      <w:pPr>
        <w:pStyle w:val="TOC1"/>
        <w:spacing w:line="288" w:lineRule="auto"/>
        <w:rPr>
          <w:rFonts w:asciiTheme="minorHAnsi" w:eastAsiaTheme="minorEastAsia" w:hAnsiTheme="minorHAnsi" w:cstheme="minorBidi"/>
          <w:noProof/>
          <w:sz w:val="22"/>
          <w:szCs w:val="22"/>
        </w:rPr>
      </w:pPr>
      <w:hyperlink w:anchor="_Toc415037651" w:history="1">
        <w:r w:rsidRPr="002D37E4">
          <w:rPr>
            <w:rStyle w:val="Hyperlink"/>
            <w:noProof/>
          </w:rPr>
          <w:t>ORDER</w:t>
        </w:r>
        <w:r w:rsidRPr="002D37E4">
          <w:rPr>
            <w:noProof/>
            <w:webHidden/>
          </w:rPr>
          <w:tab/>
        </w:r>
        <w:r w:rsidRPr="002D37E4">
          <w:rPr>
            <w:noProof/>
            <w:webHidden/>
          </w:rPr>
          <w:fldChar w:fldCharType="begin"/>
        </w:r>
        <w:r w:rsidRPr="002D37E4">
          <w:rPr>
            <w:noProof/>
            <w:webHidden/>
          </w:rPr>
          <w:instrText xml:space="preserve"> PAGEREF _Toc415037651 \h </w:instrText>
        </w:r>
        <w:r w:rsidRPr="002D37E4">
          <w:rPr>
            <w:noProof/>
            <w:webHidden/>
          </w:rPr>
        </w:r>
        <w:r w:rsidRPr="002D37E4">
          <w:rPr>
            <w:noProof/>
            <w:webHidden/>
          </w:rPr>
          <w:fldChar w:fldCharType="separate"/>
        </w:r>
        <w:r w:rsidR="001349C0">
          <w:rPr>
            <w:noProof/>
            <w:webHidden/>
          </w:rPr>
          <w:t>119</w:t>
        </w:r>
        <w:r w:rsidRPr="002D37E4">
          <w:rPr>
            <w:noProof/>
            <w:webHidden/>
          </w:rPr>
          <w:fldChar w:fldCharType="end"/>
        </w:r>
      </w:hyperlink>
    </w:p>
    <w:p w14:paraId="76F0F384" w14:textId="77777777" w:rsidR="002D37E4" w:rsidRPr="002D37E4" w:rsidRDefault="002D37E4" w:rsidP="002D37E4">
      <w:pPr>
        <w:pStyle w:val="TOC1"/>
        <w:spacing w:line="288" w:lineRule="auto"/>
        <w:rPr>
          <w:rFonts w:asciiTheme="minorHAnsi" w:eastAsiaTheme="minorEastAsia" w:hAnsiTheme="minorHAnsi" w:cstheme="minorBidi"/>
          <w:noProof/>
          <w:sz w:val="22"/>
          <w:szCs w:val="22"/>
        </w:rPr>
      </w:pPr>
      <w:hyperlink w:anchor="_Toc415037652" w:history="1">
        <w:r w:rsidRPr="002D37E4">
          <w:rPr>
            <w:rStyle w:val="Hyperlink"/>
            <w:rFonts w:eastAsiaTheme="minorHAnsi"/>
            <w:noProof/>
          </w:rPr>
          <w:t>Commissioner Jones’ Separate Statement on Rate Design</w:t>
        </w:r>
        <w:r w:rsidRPr="002D37E4">
          <w:rPr>
            <w:noProof/>
            <w:webHidden/>
          </w:rPr>
          <w:tab/>
        </w:r>
        <w:r w:rsidRPr="002D37E4">
          <w:rPr>
            <w:noProof/>
            <w:webHidden/>
          </w:rPr>
          <w:fldChar w:fldCharType="begin"/>
        </w:r>
        <w:r w:rsidRPr="002D37E4">
          <w:rPr>
            <w:noProof/>
            <w:webHidden/>
          </w:rPr>
          <w:instrText xml:space="preserve"> PAGEREF _Toc415037652 \h </w:instrText>
        </w:r>
        <w:r w:rsidRPr="002D37E4">
          <w:rPr>
            <w:noProof/>
            <w:webHidden/>
          </w:rPr>
        </w:r>
        <w:r w:rsidRPr="002D37E4">
          <w:rPr>
            <w:noProof/>
            <w:webHidden/>
          </w:rPr>
          <w:fldChar w:fldCharType="separate"/>
        </w:r>
        <w:r w:rsidR="001349C0">
          <w:rPr>
            <w:noProof/>
            <w:webHidden/>
          </w:rPr>
          <w:t>121</w:t>
        </w:r>
        <w:r w:rsidRPr="002D37E4">
          <w:rPr>
            <w:noProof/>
            <w:webHidden/>
          </w:rPr>
          <w:fldChar w:fldCharType="end"/>
        </w:r>
      </w:hyperlink>
    </w:p>
    <w:p w14:paraId="14BB1740" w14:textId="77777777" w:rsidR="002D37E4" w:rsidRPr="002D37E4" w:rsidRDefault="002D37E4" w:rsidP="002D37E4">
      <w:pPr>
        <w:pStyle w:val="TOC1"/>
        <w:spacing w:line="288" w:lineRule="auto"/>
        <w:rPr>
          <w:rFonts w:asciiTheme="minorHAnsi" w:eastAsiaTheme="minorEastAsia" w:hAnsiTheme="minorHAnsi" w:cstheme="minorBidi"/>
          <w:noProof/>
          <w:sz w:val="22"/>
          <w:szCs w:val="22"/>
        </w:rPr>
      </w:pPr>
      <w:hyperlink w:anchor="_Toc415037653" w:history="1">
        <w:r w:rsidRPr="002D37E4">
          <w:rPr>
            <w:rStyle w:val="Hyperlink"/>
            <w:noProof/>
          </w:rPr>
          <w:t>APPENDIX A - CONTESTED ADJUSTMENTS</w:t>
        </w:r>
        <w:r w:rsidRPr="002D37E4">
          <w:rPr>
            <w:noProof/>
            <w:webHidden/>
          </w:rPr>
          <w:tab/>
        </w:r>
        <w:r w:rsidRPr="002D37E4">
          <w:rPr>
            <w:noProof/>
            <w:webHidden/>
          </w:rPr>
          <w:fldChar w:fldCharType="begin"/>
        </w:r>
        <w:r w:rsidRPr="002D37E4">
          <w:rPr>
            <w:noProof/>
            <w:webHidden/>
          </w:rPr>
          <w:instrText xml:space="preserve"> PAGEREF _Toc415037653 \h </w:instrText>
        </w:r>
        <w:r w:rsidRPr="002D37E4">
          <w:rPr>
            <w:noProof/>
            <w:webHidden/>
          </w:rPr>
        </w:r>
        <w:r w:rsidRPr="002D37E4">
          <w:rPr>
            <w:noProof/>
            <w:webHidden/>
          </w:rPr>
          <w:fldChar w:fldCharType="separate"/>
        </w:r>
        <w:r w:rsidR="001349C0">
          <w:rPr>
            <w:noProof/>
            <w:webHidden/>
          </w:rPr>
          <w:t>126</w:t>
        </w:r>
        <w:r w:rsidRPr="002D37E4">
          <w:rPr>
            <w:noProof/>
            <w:webHidden/>
          </w:rPr>
          <w:fldChar w:fldCharType="end"/>
        </w:r>
      </w:hyperlink>
    </w:p>
    <w:p w14:paraId="6877B54F" w14:textId="77777777" w:rsidR="002D37E4" w:rsidRPr="002D37E4" w:rsidRDefault="002D37E4" w:rsidP="002D37E4">
      <w:pPr>
        <w:pStyle w:val="TOC1"/>
        <w:spacing w:line="288" w:lineRule="auto"/>
        <w:rPr>
          <w:rFonts w:asciiTheme="minorHAnsi" w:eastAsiaTheme="minorEastAsia" w:hAnsiTheme="minorHAnsi" w:cstheme="minorBidi"/>
          <w:noProof/>
          <w:sz w:val="22"/>
          <w:szCs w:val="22"/>
        </w:rPr>
      </w:pPr>
      <w:hyperlink w:anchor="_Toc415037654" w:history="1">
        <w:r w:rsidRPr="002D37E4">
          <w:rPr>
            <w:rStyle w:val="Hyperlink"/>
            <w:noProof/>
          </w:rPr>
          <w:t>APPENDIX B – UNCONTESTED AJDUSTMENTS</w:t>
        </w:r>
        <w:r w:rsidRPr="002D37E4">
          <w:rPr>
            <w:noProof/>
            <w:webHidden/>
          </w:rPr>
          <w:tab/>
        </w:r>
        <w:r w:rsidRPr="002D37E4">
          <w:rPr>
            <w:noProof/>
            <w:webHidden/>
          </w:rPr>
          <w:fldChar w:fldCharType="begin"/>
        </w:r>
        <w:r w:rsidRPr="002D37E4">
          <w:rPr>
            <w:noProof/>
            <w:webHidden/>
          </w:rPr>
          <w:instrText xml:space="preserve"> PAGEREF _Toc415037654 \h </w:instrText>
        </w:r>
        <w:r w:rsidRPr="002D37E4">
          <w:rPr>
            <w:noProof/>
            <w:webHidden/>
          </w:rPr>
        </w:r>
        <w:r w:rsidRPr="002D37E4">
          <w:rPr>
            <w:noProof/>
            <w:webHidden/>
          </w:rPr>
          <w:fldChar w:fldCharType="separate"/>
        </w:r>
        <w:r w:rsidR="001349C0">
          <w:rPr>
            <w:noProof/>
            <w:webHidden/>
          </w:rPr>
          <w:t>128</w:t>
        </w:r>
        <w:r w:rsidRPr="002D37E4">
          <w:rPr>
            <w:noProof/>
            <w:webHidden/>
          </w:rPr>
          <w:fldChar w:fldCharType="end"/>
        </w:r>
      </w:hyperlink>
    </w:p>
    <w:p w14:paraId="53738757" w14:textId="77777777" w:rsidR="002D37E4" w:rsidRPr="002D37E4" w:rsidRDefault="002D37E4" w:rsidP="002D37E4">
      <w:pPr>
        <w:pStyle w:val="TOC1"/>
        <w:spacing w:line="288" w:lineRule="auto"/>
        <w:rPr>
          <w:rFonts w:asciiTheme="minorHAnsi" w:eastAsiaTheme="minorEastAsia" w:hAnsiTheme="minorHAnsi" w:cstheme="minorBidi"/>
          <w:noProof/>
          <w:sz w:val="22"/>
          <w:szCs w:val="22"/>
        </w:rPr>
      </w:pPr>
      <w:hyperlink w:anchor="_Toc415037655" w:history="1">
        <w:r w:rsidRPr="002D37E4">
          <w:rPr>
            <w:rStyle w:val="Hyperlink"/>
            <w:noProof/>
          </w:rPr>
          <w:t>APPENDIX C - CONSOLIDATED DOCKETS</w:t>
        </w:r>
        <w:r w:rsidRPr="002D37E4">
          <w:rPr>
            <w:noProof/>
            <w:webHidden/>
          </w:rPr>
          <w:tab/>
        </w:r>
        <w:r w:rsidRPr="002D37E4">
          <w:rPr>
            <w:noProof/>
            <w:webHidden/>
          </w:rPr>
          <w:fldChar w:fldCharType="begin"/>
        </w:r>
        <w:r w:rsidRPr="002D37E4">
          <w:rPr>
            <w:noProof/>
            <w:webHidden/>
          </w:rPr>
          <w:instrText xml:space="preserve"> PAGEREF _Toc415037655 \h </w:instrText>
        </w:r>
        <w:r w:rsidRPr="002D37E4">
          <w:rPr>
            <w:noProof/>
            <w:webHidden/>
          </w:rPr>
        </w:r>
        <w:r w:rsidRPr="002D37E4">
          <w:rPr>
            <w:noProof/>
            <w:webHidden/>
          </w:rPr>
          <w:fldChar w:fldCharType="separate"/>
        </w:r>
        <w:r w:rsidR="001349C0">
          <w:rPr>
            <w:noProof/>
            <w:webHidden/>
          </w:rPr>
          <w:t>131</w:t>
        </w:r>
        <w:r w:rsidRPr="002D37E4">
          <w:rPr>
            <w:noProof/>
            <w:webHidden/>
          </w:rPr>
          <w:fldChar w:fldCharType="end"/>
        </w:r>
      </w:hyperlink>
    </w:p>
    <w:p w14:paraId="2212D68D" w14:textId="77777777" w:rsidR="00921907" w:rsidRPr="00942F86" w:rsidRDefault="00016122" w:rsidP="002D37E4">
      <w:pPr>
        <w:pStyle w:val="Heading1"/>
        <w:spacing w:before="0" w:after="0" w:line="288" w:lineRule="auto"/>
        <w:jc w:val="center"/>
        <w:rPr>
          <w:rFonts w:cs="Times New Roman"/>
          <w:szCs w:val="25"/>
          <w:u w:val="single"/>
        </w:rPr>
        <w:sectPr w:rsidR="00921907" w:rsidRPr="00942F86" w:rsidSect="00444DF7">
          <w:pgSz w:w="12240" w:h="15840"/>
          <w:pgMar w:top="1440" w:right="1440" w:bottom="1440" w:left="2160" w:header="1440" w:footer="720" w:gutter="0"/>
          <w:pgNumType w:fmt="lowerRoman" w:start="1"/>
          <w:cols w:space="720"/>
          <w:docGrid w:linePitch="360"/>
        </w:sectPr>
      </w:pPr>
      <w:r w:rsidRPr="002D37E4">
        <w:rPr>
          <w:rFonts w:cs="Times New Roman"/>
          <w:b w:val="0"/>
          <w:kern w:val="0"/>
          <w:szCs w:val="25"/>
          <w:u w:val="single"/>
        </w:rPr>
        <w:fldChar w:fldCharType="end"/>
      </w:r>
    </w:p>
    <w:p w14:paraId="47BD98FE" w14:textId="77777777" w:rsidR="00925B60" w:rsidRPr="00942F86" w:rsidRDefault="00925B60" w:rsidP="000455AC">
      <w:pPr>
        <w:pStyle w:val="Heading1"/>
        <w:spacing w:before="0" w:after="0" w:line="264" w:lineRule="auto"/>
        <w:jc w:val="center"/>
        <w:rPr>
          <w:rFonts w:cs="Times New Roman"/>
          <w:szCs w:val="25"/>
          <w:u w:val="single"/>
        </w:rPr>
      </w:pPr>
      <w:bookmarkStart w:id="2" w:name="_Toc155670885"/>
      <w:bookmarkStart w:id="3" w:name="_Toc252797490"/>
      <w:bookmarkStart w:id="4" w:name="_Toc415037606"/>
      <w:r w:rsidRPr="00942F86">
        <w:rPr>
          <w:rFonts w:cs="Times New Roman"/>
          <w:szCs w:val="25"/>
          <w:u w:val="single"/>
        </w:rPr>
        <w:lastRenderedPageBreak/>
        <w:t>SUMMARY</w:t>
      </w:r>
      <w:bookmarkEnd w:id="2"/>
      <w:bookmarkEnd w:id="3"/>
      <w:bookmarkEnd w:id="4"/>
    </w:p>
    <w:p w14:paraId="4FA323D6" w14:textId="77777777" w:rsidR="00BD6A2B" w:rsidRPr="00942F86" w:rsidRDefault="00BD6A2B" w:rsidP="000455AC">
      <w:pPr>
        <w:spacing w:line="264" w:lineRule="auto"/>
        <w:rPr>
          <w:sz w:val="25"/>
          <w:szCs w:val="25"/>
        </w:rPr>
      </w:pPr>
    </w:p>
    <w:p w14:paraId="40A2A13C" w14:textId="34A33AA3" w:rsidR="009510E1" w:rsidRPr="00942F86" w:rsidRDefault="002170AE" w:rsidP="00ED24B9">
      <w:pPr>
        <w:numPr>
          <w:ilvl w:val="0"/>
          <w:numId w:val="1"/>
        </w:numPr>
        <w:tabs>
          <w:tab w:val="num" w:pos="0"/>
        </w:tabs>
        <w:spacing w:line="264" w:lineRule="auto"/>
        <w:ind w:left="0"/>
        <w:rPr>
          <w:sz w:val="25"/>
          <w:szCs w:val="25"/>
        </w:rPr>
      </w:pPr>
      <w:r w:rsidRPr="00942F86">
        <w:rPr>
          <w:b/>
          <w:sz w:val="25"/>
          <w:szCs w:val="25"/>
        </w:rPr>
        <w:t xml:space="preserve">PROCEEDING:  </w:t>
      </w:r>
      <w:r w:rsidR="009510E1" w:rsidRPr="00942F86">
        <w:rPr>
          <w:sz w:val="25"/>
          <w:szCs w:val="25"/>
        </w:rPr>
        <w:t>Pacific Power &amp; Light Company (Pacific Power), an operating division of PacifiCorp,</w:t>
      </w:r>
      <w:r w:rsidR="009510E1" w:rsidRPr="00942F86">
        <w:rPr>
          <w:sz w:val="25"/>
          <w:szCs w:val="25"/>
          <w:vertAlign w:val="superscript"/>
        </w:rPr>
        <w:footnoteReference w:id="3"/>
      </w:r>
      <w:r w:rsidR="009510E1" w:rsidRPr="00942F86">
        <w:rPr>
          <w:sz w:val="25"/>
          <w:szCs w:val="25"/>
        </w:rPr>
        <w:t xml:space="preserve"> filed this general rate case</w:t>
      </w:r>
      <w:r w:rsidR="00C209DD" w:rsidRPr="00942F86">
        <w:rPr>
          <w:sz w:val="25"/>
          <w:szCs w:val="25"/>
        </w:rPr>
        <w:t xml:space="preserve"> (GRC)</w:t>
      </w:r>
      <w:r w:rsidR="009510E1" w:rsidRPr="00942F86">
        <w:rPr>
          <w:sz w:val="25"/>
          <w:szCs w:val="25"/>
        </w:rPr>
        <w:t xml:space="preserve"> proceeding with the Washington Utilities and Transportation Commission (Commission) in Docket UE-140762 on May 1, 2014, </w:t>
      </w:r>
      <w:r w:rsidR="00F172BF" w:rsidRPr="00942F86">
        <w:rPr>
          <w:sz w:val="25"/>
          <w:szCs w:val="25"/>
        </w:rPr>
        <w:t>seek</w:t>
      </w:r>
      <w:r w:rsidR="002249F1">
        <w:rPr>
          <w:sz w:val="25"/>
          <w:szCs w:val="25"/>
        </w:rPr>
        <w:t>ing</w:t>
      </w:r>
      <w:r w:rsidR="00F172BF" w:rsidRPr="00942F86">
        <w:rPr>
          <w:sz w:val="25"/>
          <w:szCs w:val="25"/>
        </w:rPr>
        <w:t xml:space="preserve"> </w:t>
      </w:r>
      <w:r w:rsidR="009510E1" w:rsidRPr="00942F86">
        <w:rPr>
          <w:sz w:val="25"/>
          <w:szCs w:val="25"/>
        </w:rPr>
        <w:t>to recover additional revenue of approximately $27.2 million.</w:t>
      </w:r>
      <w:r w:rsidR="009510E1" w:rsidRPr="00942F86">
        <w:rPr>
          <w:sz w:val="25"/>
          <w:szCs w:val="25"/>
          <w:vertAlign w:val="superscript"/>
        </w:rPr>
        <w:footnoteReference w:id="4"/>
      </w:r>
      <w:r w:rsidR="009510E1" w:rsidRPr="00942F86">
        <w:rPr>
          <w:sz w:val="25"/>
          <w:szCs w:val="25"/>
        </w:rPr>
        <w:t xml:space="preserve">  The Company also requests </w:t>
      </w:r>
      <w:r w:rsidR="00F172BF" w:rsidRPr="00942F86">
        <w:rPr>
          <w:sz w:val="25"/>
          <w:szCs w:val="25"/>
        </w:rPr>
        <w:t xml:space="preserve">deferral accounting treatment and </w:t>
      </w:r>
      <w:r w:rsidR="009510E1" w:rsidRPr="00942F86">
        <w:rPr>
          <w:sz w:val="25"/>
          <w:szCs w:val="25"/>
        </w:rPr>
        <w:t xml:space="preserve">amortization over one year of $4.9 million related to </w:t>
      </w:r>
      <w:r w:rsidR="00F172BF" w:rsidRPr="00942F86">
        <w:rPr>
          <w:sz w:val="25"/>
          <w:szCs w:val="25"/>
        </w:rPr>
        <w:t>replacement power costs arising from</w:t>
      </w:r>
      <w:r w:rsidR="009510E1" w:rsidRPr="00942F86">
        <w:rPr>
          <w:sz w:val="25"/>
          <w:szCs w:val="25"/>
        </w:rPr>
        <w:t xml:space="preserve"> an outage at Unit 4 of the Colstrip generating plant (Docket UE-131384)</w:t>
      </w:r>
      <w:r w:rsidR="007951A1" w:rsidRPr="00942F86">
        <w:rPr>
          <w:sz w:val="25"/>
          <w:szCs w:val="25"/>
        </w:rPr>
        <w:t xml:space="preserve"> and</w:t>
      </w:r>
      <w:r w:rsidR="009510E1" w:rsidRPr="00942F86">
        <w:rPr>
          <w:sz w:val="25"/>
          <w:szCs w:val="25"/>
        </w:rPr>
        <w:t xml:space="preserve"> </w:t>
      </w:r>
      <w:r w:rsidR="00335A26" w:rsidRPr="00942F86">
        <w:rPr>
          <w:sz w:val="25"/>
          <w:szCs w:val="25"/>
        </w:rPr>
        <w:t xml:space="preserve">anticipated </w:t>
      </w:r>
      <w:r w:rsidR="009510E1" w:rsidRPr="00942F86">
        <w:rPr>
          <w:sz w:val="25"/>
          <w:szCs w:val="25"/>
        </w:rPr>
        <w:t>low hydro</w:t>
      </w:r>
      <w:r w:rsidR="00F172BF" w:rsidRPr="00942F86">
        <w:rPr>
          <w:sz w:val="25"/>
          <w:szCs w:val="25"/>
        </w:rPr>
        <w:t>power</w:t>
      </w:r>
      <w:r w:rsidR="009510E1" w:rsidRPr="00942F86">
        <w:rPr>
          <w:sz w:val="25"/>
          <w:szCs w:val="25"/>
        </w:rPr>
        <w:t xml:space="preserve"> conditions</w:t>
      </w:r>
      <w:r w:rsidR="007951A1" w:rsidRPr="00942F86">
        <w:rPr>
          <w:sz w:val="25"/>
          <w:szCs w:val="25"/>
        </w:rPr>
        <w:t xml:space="preserve"> during 2014</w:t>
      </w:r>
      <w:r w:rsidR="009510E1" w:rsidRPr="00942F86">
        <w:rPr>
          <w:sz w:val="25"/>
          <w:szCs w:val="25"/>
        </w:rPr>
        <w:t xml:space="preserve"> (Docket UE-140094</w:t>
      </w:r>
      <w:r w:rsidR="007951A1" w:rsidRPr="00942F86">
        <w:rPr>
          <w:sz w:val="25"/>
          <w:szCs w:val="25"/>
        </w:rPr>
        <w:t>)</w:t>
      </w:r>
      <w:r w:rsidR="009510E1" w:rsidRPr="00942F86">
        <w:rPr>
          <w:sz w:val="25"/>
          <w:szCs w:val="25"/>
        </w:rPr>
        <w:t>.  On April 14, 2014, PacifiCorp filed with the Commission in Docket UE-140617 an accounting petition seeking authorization to defer approximately $1.7 million per year ($142,000 per month) associated with the Merwin Fish Collector Project</w:t>
      </w:r>
      <w:r w:rsidR="007461AD" w:rsidRPr="00942F86">
        <w:rPr>
          <w:sz w:val="25"/>
          <w:szCs w:val="25"/>
        </w:rPr>
        <w:t xml:space="preserve"> (Merwin Project)</w:t>
      </w:r>
      <w:r w:rsidR="009510E1" w:rsidRPr="00942F86">
        <w:rPr>
          <w:sz w:val="25"/>
          <w:szCs w:val="25"/>
        </w:rPr>
        <w:t>.</w:t>
      </w:r>
      <w:r w:rsidR="007461AD" w:rsidRPr="00942F86">
        <w:rPr>
          <w:sz w:val="25"/>
          <w:szCs w:val="25"/>
        </w:rPr>
        <w:t xml:space="preserve">  </w:t>
      </w:r>
      <w:r w:rsidR="002249F1">
        <w:rPr>
          <w:sz w:val="25"/>
          <w:szCs w:val="25"/>
        </w:rPr>
        <w:t>The Commission granted the accounting petition on May 29, 2014.</w:t>
      </w:r>
      <w:r w:rsidR="002249F1">
        <w:rPr>
          <w:rStyle w:val="FootnoteReference"/>
          <w:sz w:val="25"/>
          <w:szCs w:val="25"/>
        </w:rPr>
        <w:footnoteReference w:id="5"/>
      </w:r>
      <w:r w:rsidR="002249F1">
        <w:rPr>
          <w:sz w:val="25"/>
          <w:szCs w:val="25"/>
        </w:rPr>
        <w:t xml:space="preserve">  </w:t>
      </w:r>
      <w:r w:rsidR="007461AD" w:rsidRPr="00942F86">
        <w:rPr>
          <w:sz w:val="25"/>
          <w:szCs w:val="25"/>
        </w:rPr>
        <w:t>Pacific Power now requests to recover in rates the deferral balance for the Merwin Project.</w:t>
      </w:r>
      <w:r w:rsidR="009510E1" w:rsidRPr="00942F86">
        <w:rPr>
          <w:sz w:val="25"/>
          <w:szCs w:val="25"/>
        </w:rPr>
        <w:t xml:space="preserve">  The Commission consolidated these four dockets.</w:t>
      </w:r>
    </w:p>
    <w:p w14:paraId="3A104221" w14:textId="61D356BE" w:rsidR="009510E1" w:rsidRPr="00942F86" w:rsidRDefault="009510E1" w:rsidP="000455AC">
      <w:pPr>
        <w:spacing w:line="264" w:lineRule="auto"/>
        <w:rPr>
          <w:sz w:val="25"/>
          <w:szCs w:val="25"/>
        </w:rPr>
      </w:pPr>
    </w:p>
    <w:p w14:paraId="69D02CDC" w14:textId="388254DE" w:rsidR="000371DC" w:rsidRPr="00942F86" w:rsidRDefault="009510E1" w:rsidP="000455AC">
      <w:pPr>
        <w:numPr>
          <w:ilvl w:val="0"/>
          <w:numId w:val="1"/>
        </w:numPr>
        <w:tabs>
          <w:tab w:val="num" w:pos="0"/>
        </w:tabs>
        <w:spacing w:line="264" w:lineRule="auto"/>
        <w:ind w:left="0"/>
        <w:rPr>
          <w:sz w:val="25"/>
          <w:szCs w:val="25"/>
        </w:rPr>
      </w:pPr>
      <w:r w:rsidRPr="00942F86">
        <w:rPr>
          <w:sz w:val="25"/>
          <w:szCs w:val="25"/>
        </w:rPr>
        <w:t>Following public comment hearings in Yakima on September 25, 2014, and in Walla Walla on September 26, 2014, and evidentiary hearings in Olympia on December 16-19, 2014, the parties filed Initial Briefs and Reply Briefs on January 22 and February 3, 2015, respectively.  This Final Order resolves all disputed issues in these proceedings.</w:t>
      </w:r>
    </w:p>
    <w:p w14:paraId="7255D8B3" w14:textId="77777777" w:rsidR="00444DF7" w:rsidRPr="00942F86" w:rsidRDefault="00444DF7" w:rsidP="000455AC">
      <w:pPr>
        <w:spacing w:line="264" w:lineRule="auto"/>
        <w:ind w:left="-720"/>
        <w:rPr>
          <w:sz w:val="25"/>
          <w:szCs w:val="25"/>
        </w:rPr>
      </w:pPr>
    </w:p>
    <w:p w14:paraId="626730A1" w14:textId="1E6F3592" w:rsidR="00B04EA8" w:rsidRPr="00942F86" w:rsidRDefault="00BD6A2B" w:rsidP="000455AC">
      <w:pPr>
        <w:numPr>
          <w:ilvl w:val="0"/>
          <w:numId w:val="1"/>
        </w:numPr>
        <w:tabs>
          <w:tab w:val="num" w:pos="0"/>
        </w:tabs>
        <w:spacing w:line="264" w:lineRule="auto"/>
        <w:ind w:left="0"/>
        <w:rPr>
          <w:sz w:val="25"/>
          <w:szCs w:val="25"/>
        </w:rPr>
      </w:pPr>
      <w:r w:rsidRPr="00942F86">
        <w:rPr>
          <w:b/>
          <w:sz w:val="25"/>
          <w:szCs w:val="25"/>
        </w:rPr>
        <w:t>PARTY</w:t>
      </w:r>
      <w:r w:rsidRPr="00942F86">
        <w:rPr>
          <w:b/>
          <w:bCs/>
          <w:sz w:val="25"/>
          <w:szCs w:val="25"/>
        </w:rPr>
        <w:t xml:space="preserve"> REPRESENTATIVES:</w:t>
      </w:r>
      <w:r w:rsidRPr="00942F86">
        <w:rPr>
          <w:sz w:val="25"/>
          <w:szCs w:val="25"/>
        </w:rPr>
        <w:t xml:space="preserve">  </w:t>
      </w:r>
      <w:r w:rsidR="000E4E6C" w:rsidRPr="00942F86">
        <w:rPr>
          <w:sz w:val="25"/>
          <w:szCs w:val="25"/>
        </w:rPr>
        <w:t xml:space="preserve">Katherine </w:t>
      </w:r>
      <w:r w:rsidR="00C965E9" w:rsidRPr="00942F86">
        <w:rPr>
          <w:sz w:val="25"/>
          <w:szCs w:val="25"/>
        </w:rPr>
        <w:t xml:space="preserve">A. </w:t>
      </w:r>
      <w:r w:rsidR="000E4E6C" w:rsidRPr="00942F86">
        <w:rPr>
          <w:sz w:val="25"/>
          <w:szCs w:val="25"/>
        </w:rPr>
        <w:t>McDowell</w:t>
      </w:r>
      <w:r w:rsidR="00C965E9" w:rsidRPr="00942F86">
        <w:rPr>
          <w:sz w:val="25"/>
          <w:szCs w:val="25"/>
        </w:rPr>
        <w:t xml:space="preserve"> and Adam Lowney</w:t>
      </w:r>
      <w:r w:rsidR="000E4E6C" w:rsidRPr="00942F86">
        <w:rPr>
          <w:sz w:val="25"/>
          <w:szCs w:val="25"/>
        </w:rPr>
        <w:t xml:space="preserve">, McDowell Rackner &amp; Gibson PC, Portland, Oregon, </w:t>
      </w:r>
      <w:r w:rsidR="00C965E9" w:rsidRPr="00942F86">
        <w:rPr>
          <w:sz w:val="25"/>
          <w:szCs w:val="25"/>
        </w:rPr>
        <w:t>and Sarah Wallace, Assistant General Counsel, Pacific Power</w:t>
      </w:r>
      <w:r w:rsidR="00B84C10" w:rsidRPr="00942F86">
        <w:rPr>
          <w:sz w:val="25"/>
          <w:szCs w:val="25"/>
        </w:rPr>
        <w:t>,</w:t>
      </w:r>
      <w:r w:rsidR="00C965E9" w:rsidRPr="00942F86">
        <w:rPr>
          <w:sz w:val="25"/>
          <w:szCs w:val="25"/>
        </w:rPr>
        <w:t xml:space="preserve"> </w:t>
      </w:r>
      <w:r w:rsidR="00B04EA8" w:rsidRPr="00942F86">
        <w:rPr>
          <w:sz w:val="25"/>
          <w:szCs w:val="25"/>
        </w:rPr>
        <w:t xml:space="preserve">represent </w:t>
      </w:r>
      <w:r w:rsidR="00C965E9" w:rsidRPr="00942F86">
        <w:rPr>
          <w:sz w:val="25"/>
          <w:szCs w:val="25"/>
        </w:rPr>
        <w:t>the Company</w:t>
      </w:r>
      <w:r w:rsidR="00B04EA8" w:rsidRPr="00942F86">
        <w:rPr>
          <w:sz w:val="25"/>
          <w:szCs w:val="25"/>
        </w:rPr>
        <w:t xml:space="preserve">.  </w:t>
      </w:r>
      <w:r w:rsidR="00C965E9" w:rsidRPr="00942F86">
        <w:rPr>
          <w:sz w:val="25"/>
          <w:szCs w:val="25"/>
        </w:rPr>
        <w:t>Patrick J. Oshie</w:t>
      </w:r>
      <w:r w:rsidR="00B04EA8" w:rsidRPr="00942F86">
        <w:rPr>
          <w:sz w:val="25"/>
          <w:szCs w:val="25"/>
        </w:rPr>
        <w:t>,</w:t>
      </w:r>
      <w:r w:rsidR="00C965E9" w:rsidRPr="00942F86">
        <w:rPr>
          <w:sz w:val="25"/>
          <w:szCs w:val="25"/>
        </w:rPr>
        <w:t xml:space="preserve"> Brett P. Shearer, and Jennifer Cameron-Rulkowski,</w:t>
      </w:r>
      <w:r w:rsidR="00B04EA8" w:rsidRPr="00942F86">
        <w:rPr>
          <w:sz w:val="25"/>
          <w:szCs w:val="25"/>
        </w:rPr>
        <w:t xml:space="preserve"> Assistant Attorney</w:t>
      </w:r>
      <w:r w:rsidR="00C965E9" w:rsidRPr="00942F86">
        <w:rPr>
          <w:sz w:val="25"/>
          <w:szCs w:val="25"/>
        </w:rPr>
        <w:t>s</w:t>
      </w:r>
      <w:r w:rsidR="00B04EA8" w:rsidRPr="00942F86">
        <w:rPr>
          <w:sz w:val="25"/>
          <w:szCs w:val="25"/>
        </w:rPr>
        <w:t xml:space="preserve"> General</w:t>
      </w:r>
      <w:r w:rsidR="0045373B" w:rsidRPr="00942F86">
        <w:rPr>
          <w:sz w:val="25"/>
          <w:szCs w:val="25"/>
        </w:rPr>
        <w:t>,</w:t>
      </w:r>
      <w:r w:rsidR="00B04EA8" w:rsidRPr="00942F86">
        <w:rPr>
          <w:sz w:val="25"/>
          <w:szCs w:val="25"/>
        </w:rPr>
        <w:t xml:space="preserve"> Olympia, represent the Commission</w:t>
      </w:r>
      <w:r w:rsidR="00E112D5" w:rsidRPr="00942F86">
        <w:rPr>
          <w:sz w:val="25"/>
          <w:szCs w:val="25"/>
        </w:rPr>
        <w:t>’s Regulatory</w:t>
      </w:r>
      <w:r w:rsidR="00B04EA8" w:rsidRPr="00942F86">
        <w:rPr>
          <w:sz w:val="25"/>
          <w:szCs w:val="25"/>
        </w:rPr>
        <w:t xml:space="preserve"> Staff</w:t>
      </w:r>
      <w:r w:rsidR="00E112D5" w:rsidRPr="00942F86">
        <w:rPr>
          <w:sz w:val="25"/>
          <w:szCs w:val="25"/>
        </w:rPr>
        <w:t xml:space="preserve"> (Staff)</w:t>
      </w:r>
      <w:r w:rsidR="00B04EA8" w:rsidRPr="00942F86">
        <w:rPr>
          <w:sz w:val="25"/>
          <w:szCs w:val="25"/>
        </w:rPr>
        <w:t>.</w:t>
      </w:r>
      <w:r w:rsidR="00E112D5" w:rsidRPr="00942F86">
        <w:rPr>
          <w:rStyle w:val="FootnoteReference"/>
          <w:sz w:val="25"/>
          <w:szCs w:val="25"/>
        </w:rPr>
        <w:footnoteReference w:id="6"/>
      </w:r>
      <w:r w:rsidR="00B04EA8" w:rsidRPr="00942F86">
        <w:rPr>
          <w:sz w:val="25"/>
          <w:szCs w:val="25"/>
        </w:rPr>
        <w:t xml:space="preserve"> </w:t>
      </w:r>
      <w:r w:rsidR="00190524" w:rsidRPr="00942F86">
        <w:rPr>
          <w:sz w:val="25"/>
          <w:szCs w:val="25"/>
        </w:rPr>
        <w:t xml:space="preserve"> </w:t>
      </w:r>
      <w:r w:rsidR="00C965E9" w:rsidRPr="00942F86">
        <w:rPr>
          <w:sz w:val="25"/>
          <w:szCs w:val="25"/>
        </w:rPr>
        <w:t>Simon J. ffitch</w:t>
      </w:r>
      <w:r w:rsidR="00100FAA" w:rsidRPr="00942F86">
        <w:rPr>
          <w:sz w:val="25"/>
          <w:szCs w:val="25"/>
        </w:rPr>
        <w:t xml:space="preserve">, </w:t>
      </w:r>
      <w:r w:rsidR="00C965E9" w:rsidRPr="00942F86">
        <w:rPr>
          <w:sz w:val="25"/>
          <w:szCs w:val="25"/>
        </w:rPr>
        <w:t xml:space="preserve">Senior </w:t>
      </w:r>
      <w:r w:rsidR="00100FAA" w:rsidRPr="00942F86">
        <w:rPr>
          <w:sz w:val="25"/>
          <w:szCs w:val="25"/>
        </w:rPr>
        <w:t xml:space="preserve">Assistant Attorney General, Seattle, represents the Public Counsel Section of the Washington Office of Attorney General (Public Counsel).  </w:t>
      </w:r>
    </w:p>
    <w:p w14:paraId="2BC17605" w14:textId="77777777" w:rsidR="00B04EA8" w:rsidRPr="00942F86" w:rsidRDefault="00B04EA8" w:rsidP="000455AC">
      <w:pPr>
        <w:spacing w:line="264" w:lineRule="auto"/>
        <w:rPr>
          <w:sz w:val="25"/>
          <w:szCs w:val="25"/>
        </w:rPr>
      </w:pPr>
    </w:p>
    <w:p w14:paraId="37D95603" w14:textId="77777777" w:rsidR="00BD6A2B" w:rsidRPr="00942F86" w:rsidRDefault="00F34628" w:rsidP="000455AC">
      <w:pPr>
        <w:numPr>
          <w:ilvl w:val="0"/>
          <w:numId w:val="1"/>
        </w:numPr>
        <w:tabs>
          <w:tab w:val="num" w:pos="0"/>
        </w:tabs>
        <w:spacing w:line="264" w:lineRule="auto"/>
        <w:ind w:left="0"/>
        <w:rPr>
          <w:sz w:val="25"/>
          <w:szCs w:val="25"/>
        </w:rPr>
      </w:pPr>
      <w:r w:rsidRPr="00942F86">
        <w:rPr>
          <w:sz w:val="25"/>
          <w:szCs w:val="25"/>
        </w:rPr>
        <w:t xml:space="preserve">Melinda J. Davison and </w:t>
      </w:r>
      <w:r w:rsidR="00C965E9" w:rsidRPr="00942F86">
        <w:rPr>
          <w:sz w:val="25"/>
          <w:szCs w:val="25"/>
        </w:rPr>
        <w:t>Jesse Cowell</w:t>
      </w:r>
      <w:r w:rsidR="00B04EA8" w:rsidRPr="00942F86">
        <w:rPr>
          <w:sz w:val="25"/>
          <w:szCs w:val="25"/>
        </w:rPr>
        <w:t xml:space="preserve">, Davison Van Cleve, Portland, Oregon, represent the </w:t>
      </w:r>
      <w:r w:rsidRPr="00942F86">
        <w:rPr>
          <w:sz w:val="25"/>
          <w:szCs w:val="25"/>
        </w:rPr>
        <w:t xml:space="preserve">Boise White Paper, </w:t>
      </w:r>
      <w:proofErr w:type="spellStart"/>
      <w:r w:rsidRPr="00942F86">
        <w:rPr>
          <w:sz w:val="25"/>
          <w:szCs w:val="25"/>
        </w:rPr>
        <w:t>L.L.C</w:t>
      </w:r>
      <w:proofErr w:type="spellEnd"/>
      <w:r w:rsidR="00B04EA8" w:rsidRPr="00942F86">
        <w:rPr>
          <w:sz w:val="25"/>
          <w:szCs w:val="25"/>
        </w:rPr>
        <w:t xml:space="preserve">. </w:t>
      </w:r>
      <w:r w:rsidRPr="00942F86">
        <w:rPr>
          <w:sz w:val="25"/>
          <w:szCs w:val="25"/>
        </w:rPr>
        <w:t>(Boise</w:t>
      </w:r>
      <w:r w:rsidR="00C965E9" w:rsidRPr="00942F86">
        <w:rPr>
          <w:sz w:val="25"/>
          <w:szCs w:val="25"/>
        </w:rPr>
        <w:t xml:space="preserve"> White Paper</w:t>
      </w:r>
      <w:r w:rsidRPr="00942F86">
        <w:rPr>
          <w:sz w:val="25"/>
          <w:szCs w:val="25"/>
        </w:rPr>
        <w:t>)</w:t>
      </w:r>
      <w:r w:rsidR="00B97854" w:rsidRPr="00942F86">
        <w:rPr>
          <w:sz w:val="25"/>
          <w:szCs w:val="25"/>
        </w:rPr>
        <w:t>.</w:t>
      </w:r>
      <w:r w:rsidR="0035036D" w:rsidRPr="00942F86">
        <w:rPr>
          <w:sz w:val="25"/>
          <w:szCs w:val="25"/>
        </w:rPr>
        <w:t xml:space="preserve">  Brad </w:t>
      </w:r>
      <w:r w:rsidR="00C965E9" w:rsidRPr="00942F86">
        <w:rPr>
          <w:sz w:val="25"/>
          <w:szCs w:val="25"/>
        </w:rPr>
        <w:t xml:space="preserve">M. </w:t>
      </w:r>
      <w:r w:rsidR="0035036D" w:rsidRPr="00942F86">
        <w:rPr>
          <w:sz w:val="25"/>
          <w:szCs w:val="25"/>
        </w:rPr>
        <w:t>Purdy, attorney at law, Boise, Idaho, represents the Energy Project.</w:t>
      </w:r>
      <w:r w:rsidR="00B87C80" w:rsidRPr="00942F86">
        <w:rPr>
          <w:rStyle w:val="FootnoteReference"/>
          <w:sz w:val="25"/>
          <w:szCs w:val="25"/>
        </w:rPr>
        <w:footnoteReference w:id="7"/>
      </w:r>
      <w:r w:rsidR="00C965E9" w:rsidRPr="00942F86">
        <w:rPr>
          <w:sz w:val="25"/>
          <w:szCs w:val="25"/>
        </w:rPr>
        <w:t xml:space="preserve">  Samuel L. Roberts, Hutchinson, Cox, Coons, Orr &amp; Sherlock PC, Eugene, Oregon, represents Walmart Stores, Inc. (Walmart).  Joseph F. Wiedman, Keyes, Fox &amp; Wiedman, Oakland, California, represents The Alliance for Solar Choice.</w:t>
      </w:r>
    </w:p>
    <w:p w14:paraId="27C593C6" w14:textId="77777777" w:rsidR="00B04EA8" w:rsidRPr="00942F86" w:rsidRDefault="00B04EA8" w:rsidP="000455AC">
      <w:pPr>
        <w:spacing w:line="264" w:lineRule="auto"/>
        <w:rPr>
          <w:sz w:val="25"/>
          <w:szCs w:val="25"/>
        </w:rPr>
      </w:pPr>
    </w:p>
    <w:p w14:paraId="5287EE26" w14:textId="35A60E09" w:rsidR="00CC696B" w:rsidRPr="00942F86" w:rsidRDefault="00BD6A2B" w:rsidP="000455AC">
      <w:pPr>
        <w:numPr>
          <w:ilvl w:val="0"/>
          <w:numId w:val="1"/>
        </w:numPr>
        <w:tabs>
          <w:tab w:val="num" w:pos="0"/>
        </w:tabs>
        <w:spacing w:line="264" w:lineRule="auto"/>
        <w:ind w:left="0"/>
        <w:rPr>
          <w:sz w:val="25"/>
          <w:szCs w:val="25"/>
        </w:rPr>
      </w:pPr>
      <w:r w:rsidRPr="00942F86">
        <w:rPr>
          <w:b/>
          <w:sz w:val="25"/>
          <w:szCs w:val="25"/>
        </w:rPr>
        <w:t>COMMISSION</w:t>
      </w:r>
      <w:r w:rsidRPr="00942F86">
        <w:rPr>
          <w:b/>
          <w:bCs/>
          <w:sz w:val="25"/>
          <w:szCs w:val="25"/>
        </w:rPr>
        <w:t xml:space="preserve"> DE</w:t>
      </w:r>
      <w:r w:rsidR="00EE4B2E" w:rsidRPr="00942F86">
        <w:rPr>
          <w:b/>
          <w:bCs/>
          <w:sz w:val="25"/>
          <w:szCs w:val="25"/>
        </w:rPr>
        <w:t>TERMINATION</w:t>
      </w:r>
      <w:r w:rsidRPr="00942F86">
        <w:rPr>
          <w:b/>
          <w:bCs/>
          <w:sz w:val="25"/>
          <w:szCs w:val="25"/>
        </w:rPr>
        <w:t>S</w:t>
      </w:r>
      <w:r w:rsidRPr="00942F86">
        <w:rPr>
          <w:b/>
          <w:sz w:val="25"/>
          <w:szCs w:val="25"/>
        </w:rPr>
        <w:t>:</w:t>
      </w:r>
      <w:r w:rsidRPr="00942F86">
        <w:rPr>
          <w:sz w:val="25"/>
          <w:szCs w:val="25"/>
        </w:rPr>
        <w:t xml:space="preserve">  </w:t>
      </w:r>
      <w:r w:rsidR="00222CA5" w:rsidRPr="00942F86">
        <w:rPr>
          <w:sz w:val="25"/>
          <w:szCs w:val="25"/>
        </w:rPr>
        <w:t>The Commission</w:t>
      </w:r>
      <w:r w:rsidR="00335A26" w:rsidRPr="00942F86">
        <w:rPr>
          <w:sz w:val="25"/>
          <w:szCs w:val="25"/>
        </w:rPr>
        <w:t xml:space="preserve">, on May 14, 2014, </w:t>
      </w:r>
      <w:r w:rsidR="00222CA5" w:rsidRPr="00942F86">
        <w:rPr>
          <w:sz w:val="25"/>
          <w:szCs w:val="25"/>
        </w:rPr>
        <w:t xml:space="preserve">suspended and set for hearing the rates </w:t>
      </w:r>
      <w:r w:rsidR="00C965E9" w:rsidRPr="00942F86">
        <w:rPr>
          <w:sz w:val="25"/>
          <w:szCs w:val="25"/>
        </w:rPr>
        <w:t>Pacific Power</w:t>
      </w:r>
      <w:r w:rsidR="00222CA5" w:rsidRPr="00942F86">
        <w:rPr>
          <w:sz w:val="25"/>
          <w:szCs w:val="25"/>
        </w:rPr>
        <w:t xml:space="preserve"> orig</w:t>
      </w:r>
      <w:r w:rsidR="00335A26" w:rsidRPr="00942F86">
        <w:rPr>
          <w:sz w:val="25"/>
          <w:szCs w:val="25"/>
        </w:rPr>
        <w:t>inally proposed in its general rate case (GRC) filing</w:t>
      </w:r>
      <w:r w:rsidR="00375621" w:rsidRPr="00942F86">
        <w:rPr>
          <w:sz w:val="25"/>
          <w:szCs w:val="25"/>
        </w:rPr>
        <w:t>,</w:t>
      </w:r>
      <w:r w:rsidR="00335A26" w:rsidRPr="00942F86">
        <w:rPr>
          <w:sz w:val="25"/>
          <w:szCs w:val="25"/>
        </w:rPr>
        <w:t xml:space="preserve"> and </w:t>
      </w:r>
      <w:r w:rsidR="00375621" w:rsidRPr="00942F86">
        <w:rPr>
          <w:sz w:val="25"/>
          <w:szCs w:val="25"/>
        </w:rPr>
        <w:t xml:space="preserve">the </w:t>
      </w:r>
      <w:r w:rsidR="00F172BF" w:rsidRPr="00942F86">
        <w:rPr>
          <w:sz w:val="25"/>
          <w:szCs w:val="25"/>
        </w:rPr>
        <w:t xml:space="preserve">petitions for deferral accounting and recovery of replacement power costs associated with the </w:t>
      </w:r>
      <w:r w:rsidR="00375621" w:rsidRPr="00942F86">
        <w:rPr>
          <w:sz w:val="25"/>
          <w:szCs w:val="25"/>
        </w:rPr>
        <w:t>Colstrip outage and hydro</w:t>
      </w:r>
      <w:r w:rsidR="00F172BF" w:rsidRPr="00942F86">
        <w:rPr>
          <w:sz w:val="25"/>
          <w:szCs w:val="25"/>
        </w:rPr>
        <w:t>power</w:t>
      </w:r>
      <w:r w:rsidR="00375621" w:rsidRPr="00942F86">
        <w:rPr>
          <w:sz w:val="25"/>
          <w:szCs w:val="25"/>
        </w:rPr>
        <w:t xml:space="preserve"> condition</w:t>
      </w:r>
      <w:r w:rsidR="00F172BF" w:rsidRPr="00942F86">
        <w:rPr>
          <w:sz w:val="25"/>
          <w:szCs w:val="25"/>
        </w:rPr>
        <w:t>s during 2014</w:t>
      </w:r>
      <w:r w:rsidR="00222CA5" w:rsidRPr="00942F86">
        <w:rPr>
          <w:sz w:val="25"/>
          <w:szCs w:val="25"/>
        </w:rPr>
        <w:t>.</w:t>
      </w:r>
      <w:r w:rsidR="00375621" w:rsidRPr="00942F86">
        <w:rPr>
          <w:sz w:val="25"/>
          <w:szCs w:val="25"/>
        </w:rPr>
        <w:t xml:space="preserve">  On May 29, 2014, the Commission consolidated into the GRC the Merwin deferral matter.</w:t>
      </w:r>
      <w:r w:rsidR="00222CA5" w:rsidRPr="00942F86">
        <w:rPr>
          <w:sz w:val="25"/>
          <w:szCs w:val="25"/>
        </w:rPr>
        <w:t xml:space="preserve">  Based on the record of this proceeding we find that neither the Company’s as-filed rates, nor the revised rate request </w:t>
      </w:r>
      <w:r w:rsidR="00393D73" w:rsidRPr="00942F86">
        <w:rPr>
          <w:sz w:val="25"/>
          <w:szCs w:val="25"/>
        </w:rPr>
        <w:t>Pacifi</w:t>
      </w:r>
      <w:r w:rsidR="00C965E9" w:rsidRPr="00942F86">
        <w:rPr>
          <w:sz w:val="25"/>
          <w:szCs w:val="25"/>
        </w:rPr>
        <w:t>c Power</w:t>
      </w:r>
      <w:r w:rsidR="00222CA5" w:rsidRPr="00942F86">
        <w:rPr>
          <w:sz w:val="25"/>
          <w:szCs w:val="25"/>
        </w:rPr>
        <w:t xml:space="preserve"> made</w:t>
      </w:r>
      <w:r w:rsidR="00963E33" w:rsidRPr="00942F86">
        <w:rPr>
          <w:sz w:val="25"/>
          <w:szCs w:val="25"/>
        </w:rPr>
        <w:t xml:space="preserve"> through its rebuttal filing and</w:t>
      </w:r>
      <w:r w:rsidR="00222CA5" w:rsidRPr="00942F86">
        <w:rPr>
          <w:sz w:val="25"/>
          <w:szCs w:val="25"/>
        </w:rPr>
        <w:t xml:space="preserve"> at the conclusion of the advocacy phase, are fair, just and reasonable.  </w:t>
      </w:r>
      <w:r w:rsidR="00375621" w:rsidRPr="00942F86">
        <w:rPr>
          <w:sz w:val="25"/>
          <w:szCs w:val="25"/>
        </w:rPr>
        <w:t xml:space="preserve">We reject Pacific Power’s </w:t>
      </w:r>
      <w:r w:rsidR="00CC696B" w:rsidRPr="00942F86">
        <w:rPr>
          <w:sz w:val="25"/>
          <w:szCs w:val="25"/>
        </w:rPr>
        <w:t xml:space="preserve">accounting petition and </w:t>
      </w:r>
      <w:r w:rsidR="00375621" w:rsidRPr="00942F86">
        <w:rPr>
          <w:sz w:val="25"/>
          <w:szCs w:val="25"/>
        </w:rPr>
        <w:t>proposed recovery of deferred costs in Docket UE-140094 (low hydro</w:t>
      </w:r>
      <w:r w:rsidR="00B84C10" w:rsidRPr="00942F86">
        <w:rPr>
          <w:sz w:val="25"/>
          <w:szCs w:val="25"/>
        </w:rPr>
        <w:t>power</w:t>
      </w:r>
      <w:r w:rsidR="00C209DD" w:rsidRPr="00942F86">
        <w:rPr>
          <w:sz w:val="25"/>
          <w:szCs w:val="25"/>
        </w:rPr>
        <w:t xml:space="preserve"> production</w:t>
      </w:r>
      <w:r w:rsidR="00375621" w:rsidRPr="00942F86">
        <w:rPr>
          <w:sz w:val="25"/>
          <w:szCs w:val="25"/>
        </w:rPr>
        <w:t>), reject the Company’s</w:t>
      </w:r>
      <w:r w:rsidR="00CC696B" w:rsidRPr="00942F86">
        <w:rPr>
          <w:sz w:val="25"/>
          <w:szCs w:val="25"/>
        </w:rPr>
        <w:t xml:space="preserve"> accounting petition and </w:t>
      </w:r>
      <w:r w:rsidR="00375621" w:rsidRPr="00942F86">
        <w:rPr>
          <w:sz w:val="25"/>
          <w:szCs w:val="25"/>
        </w:rPr>
        <w:t xml:space="preserve">proposed recovery of deferred </w:t>
      </w:r>
      <w:r w:rsidR="00B84C10" w:rsidRPr="00942F86">
        <w:rPr>
          <w:sz w:val="25"/>
          <w:szCs w:val="25"/>
        </w:rPr>
        <w:t xml:space="preserve">power </w:t>
      </w:r>
      <w:r w:rsidR="00375621" w:rsidRPr="00942F86">
        <w:rPr>
          <w:sz w:val="25"/>
          <w:szCs w:val="25"/>
        </w:rPr>
        <w:t xml:space="preserve">costs in </w:t>
      </w:r>
      <w:r w:rsidR="00375621" w:rsidRPr="00942F86">
        <w:rPr>
          <w:sz w:val="25"/>
          <w:szCs w:val="25"/>
        </w:rPr>
        <w:lastRenderedPageBreak/>
        <w:t>Docket UE-131384 (Colstrip outage)</w:t>
      </w:r>
      <w:r w:rsidR="00CC696B" w:rsidRPr="00942F86">
        <w:rPr>
          <w:sz w:val="25"/>
          <w:szCs w:val="25"/>
        </w:rPr>
        <w:t>,</w:t>
      </w:r>
      <w:r w:rsidR="00375621" w:rsidRPr="00942F86">
        <w:rPr>
          <w:sz w:val="25"/>
          <w:szCs w:val="25"/>
        </w:rPr>
        <w:t xml:space="preserve"> and</w:t>
      </w:r>
      <w:r w:rsidR="00CC696B" w:rsidRPr="00942F86">
        <w:rPr>
          <w:sz w:val="25"/>
          <w:szCs w:val="25"/>
        </w:rPr>
        <w:t xml:space="preserve"> reject in part the Company’s proposed recovery of deferred costs in Docket</w:t>
      </w:r>
      <w:r w:rsidR="00375621" w:rsidRPr="00942F86">
        <w:rPr>
          <w:sz w:val="25"/>
          <w:szCs w:val="25"/>
        </w:rPr>
        <w:t xml:space="preserve"> UE-140617 (Merwin</w:t>
      </w:r>
      <w:r w:rsidR="00F172BF" w:rsidRPr="00942F86">
        <w:rPr>
          <w:sz w:val="25"/>
          <w:szCs w:val="25"/>
        </w:rPr>
        <w:t xml:space="preserve"> Project</w:t>
      </w:r>
      <w:r w:rsidR="00375621" w:rsidRPr="00942F86">
        <w:rPr>
          <w:sz w:val="25"/>
          <w:szCs w:val="25"/>
        </w:rPr>
        <w:t xml:space="preserve">). </w:t>
      </w:r>
    </w:p>
    <w:p w14:paraId="6BB1A013" w14:textId="77777777" w:rsidR="00CC696B" w:rsidRPr="00942F86" w:rsidRDefault="00CC696B" w:rsidP="000455AC">
      <w:pPr>
        <w:pStyle w:val="ListParagraph"/>
        <w:spacing w:line="264" w:lineRule="auto"/>
        <w:rPr>
          <w:sz w:val="25"/>
          <w:szCs w:val="25"/>
        </w:rPr>
      </w:pPr>
    </w:p>
    <w:p w14:paraId="20E9DA2D" w14:textId="774EB2C8" w:rsidR="00222CA5" w:rsidRPr="00942F86" w:rsidRDefault="00A656C4" w:rsidP="000455AC">
      <w:pPr>
        <w:numPr>
          <w:ilvl w:val="0"/>
          <w:numId w:val="1"/>
        </w:numPr>
        <w:tabs>
          <w:tab w:val="num" w:pos="0"/>
        </w:tabs>
        <w:spacing w:line="264" w:lineRule="auto"/>
        <w:ind w:left="0"/>
        <w:rPr>
          <w:sz w:val="25"/>
          <w:szCs w:val="25"/>
        </w:rPr>
      </w:pPr>
      <w:r w:rsidRPr="00942F86">
        <w:rPr>
          <w:sz w:val="25"/>
          <w:szCs w:val="25"/>
        </w:rPr>
        <w:t>W</w:t>
      </w:r>
      <w:r w:rsidR="00222CA5" w:rsidRPr="00942F86">
        <w:rPr>
          <w:sz w:val="25"/>
          <w:szCs w:val="25"/>
        </w:rPr>
        <w:t xml:space="preserve">e find that </w:t>
      </w:r>
      <w:r w:rsidR="00C965E9" w:rsidRPr="00942F86">
        <w:rPr>
          <w:sz w:val="25"/>
          <w:szCs w:val="25"/>
        </w:rPr>
        <w:t>Pacific Power</w:t>
      </w:r>
      <w:r w:rsidRPr="00942F86">
        <w:rPr>
          <w:sz w:val="25"/>
          <w:szCs w:val="25"/>
        </w:rPr>
        <w:t xml:space="preserve"> requires a modest increase in revenue to ensure i</w:t>
      </w:r>
      <w:r w:rsidR="00222CA5" w:rsidRPr="00942F86">
        <w:rPr>
          <w:sz w:val="25"/>
          <w:szCs w:val="25"/>
        </w:rPr>
        <w:t>t</w:t>
      </w:r>
      <w:r w:rsidRPr="00942F86">
        <w:rPr>
          <w:sz w:val="25"/>
          <w:szCs w:val="25"/>
        </w:rPr>
        <w:t>s</w:t>
      </w:r>
      <w:r w:rsidR="00222CA5" w:rsidRPr="00942F86">
        <w:rPr>
          <w:sz w:val="25"/>
          <w:szCs w:val="25"/>
        </w:rPr>
        <w:t xml:space="preserve"> </w:t>
      </w:r>
      <w:r w:rsidRPr="00942F86">
        <w:rPr>
          <w:sz w:val="25"/>
          <w:szCs w:val="25"/>
        </w:rPr>
        <w:t xml:space="preserve">prospective </w:t>
      </w:r>
      <w:r w:rsidR="00222CA5" w:rsidRPr="00942F86">
        <w:rPr>
          <w:sz w:val="25"/>
          <w:szCs w:val="25"/>
        </w:rPr>
        <w:t xml:space="preserve">rates are sufficient.  We </w:t>
      </w:r>
      <w:r w:rsidR="00375621" w:rsidRPr="00942F86">
        <w:rPr>
          <w:sz w:val="25"/>
          <w:szCs w:val="25"/>
        </w:rPr>
        <w:t xml:space="preserve">specifically </w:t>
      </w:r>
      <w:r w:rsidR="00222CA5" w:rsidRPr="00942F86">
        <w:rPr>
          <w:sz w:val="25"/>
          <w:szCs w:val="25"/>
        </w:rPr>
        <w:t>find</w:t>
      </w:r>
      <w:r w:rsidR="00682988" w:rsidRPr="00942F86">
        <w:rPr>
          <w:sz w:val="25"/>
          <w:szCs w:val="25"/>
        </w:rPr>
        <w:t xml:space="preserve"> a </w:t>
      </w:r>
      <w:r w:rsidR="00222CA5" w:rsidRPr="00942F86">
        <w:rPr>
          <w:sz w:val="25"/>
          <w:szCs w:val="25"/>
        </w:rPr>
        <w:t>revenue deficienc</w:t>
      </w:r>
      <w:r w:rsidR="00682988" w:rsidRPr="00942F86">
        <w:rPr>
          <w:sz w:val="25"/>
          <w:szCs w:val="25"/>
        </w:rPr>
        <w:t>y</w:t>
      </w:r>
      <w:r w:rsidR="00222CA5" w:rsidRPr="00942F86">
        <w:rPr>
          <w:sz w:val="25"/>
          <w:szCs w:val="25"/>
        </w:rPr>
        <w:t xml:space="preserve"> of </w:t>
      </w:r>
      <w:r w:rsidR="004346B8" w:rsidRPr="00942F86">
        <w:rPr>
          <w:sz w:val="25"/>
          <w:szCs w:val="25"/>
        </w:rPr>
        <w:t>$</w:t>
      </w:r>
      <w:r w:rsidR="00B84C10" w:rsidRPr="00942F86">
        <w:rPr>
          <w:sz w:val="25"/>
          <w:szCs w:val="25"/>
        </w:rPr>
        <w:t>9,568,464</w:t>
      </w:r>
      <w:r w:rsidR="00E126D5" w:rsidRPr="00942F86">
        <w:rPr>
          <w:sz w:val="25"/>
          <w:szCs w:val="25"/>
        </w:rPr>
        <w:t xml:space="preserve"> </w:t>
      </w:r>
      <w:r w:rsidR="00222CA5" w:rsidRPr="00942F86">
        <w:rPr>
          <w:sz w:val="25"/>
          <w:szCs w:val="25"/>
        </w:rPr>
        <w:t xml:space="preserve">for </w:t>
      </w:r>
      <w:r w:rsidR="00C965E9" w:rsidRPr="00942F86">
        <w:rPr>
          <w:sz w:val="25"/>
          <w:szCs w:val="25"/>
        </w:rPr>
        <w:t>Pacific Power</w:t>
      </w:r>
      <w:r w:rsidR="00682988" w:rsidRPr="00942F86">
        <w:rPr>
          <w:sz w:val="25"/>
          <w:szCs w:val="25"/>
        </w:rPr>
        <w:t xml:space="preserve">’s </w:t>
      </w:r>
      <w:r w:rsidR="00222CA5" w:rsidRPr="00942F86">
        <w:rPr>
          <w:sz w:val="25"/>
          <w:szCs w:val="25"/>
        </w:rPr>
        <w:t xml:space="preserve">electric service </w:t>
      </w:r>
      <w:r w:rsidR="00682988" w:rsidRPr="00942F86">
        <w:rPr>
          <w:sz w:val="25"/>
          <w:szCs w:val="25"/>
        </w:rPr>
        <w:t>provided in Washington</w:t>
      </w:r>
      <w:r w:rsidR="008E1C02" w:rsidRPr="00942F86">
        <w:rPr>
          <w:sz w:val="25"/>
          <w:szCs w:val="25"/>
        </w:rPr>
        <w:t>.</w:t>
      </w:r>
      <w:r w:rsidR="001478D7" w:rsidRPr="00942F86">
        <w:rPr>
          <w:sz w:val="25"/>
          <w:szCs w:val="25"/>
        </w:rPr>
        <w:t xml:space="preserve"> The updated net power costs </w:t>
      </w:r>
      <w:r w:rsidR="008E1C02" w:rsidRPr="00942F86">
        <w:rPr>
          <w:sz w:val="25"/>
          <w:szCs w:val="25"/>
        </w:rPr>
        <w:t xml:space="preserve">determined in this proceeding </w:t>
      </w:r>
      <w:r w:rsidR="001478D7" w:rsidRPr="00942F86">
        <w:rPr>
          <w:sz w:val="25"/>
          <w:szCs w:val="25"/>
        </w:rPr>
        <w:t>will establish the initial baseline for a Power Cost Adjustment Mechanism (PCAM) that we require Pacific Power to implement by filing appropriate tariff sheets in compliance with this Order.</w:t>
      </w:r>
      <w:r w:rsidR="00222CA5" w:rsidRPr="00942F86">
        <w:rPr>
          <w:sz w:val="25"/>
          <w:szCs w:val="25"/>
        </w:rPr>
        <w:t xml:space="preserve">  The Company’s new rates</w:t>
      </w:r>
      <w:r w:rsidR="001478D7" w:rsidRPr="00942F86">
        <w:rPr>
          <w:sz w:val="25"/>
          <w:szCs w:val="25"/>
        </w:rPr>
        <w:t>, including updated net power costs</w:t>
      </w:r>
      <w:r w:rsidR="008E1C02" w:rsidRPr="00942F86">
        <w:rPr>
          <w:sz w:val="25"/>
          <w:szCs w:val="25"/>
        </w:rPr>
        <w:t>,</w:t>
      </w:r>
      <w:r w:rsidR="00222CA5" w:rsidRPr="00942F86">
        <w:rPr>
          <w:sz w:val="25"/>
          <w:szCs w:val="25"/>
        </w:rPr>
        <w:t xml:space="preserve"> will be effective no earlier than </w:t>
      </w:r>
      <w:r w:rsidR="00C965E9" w:rsidRPr="00942F86">
        <w:rPr>
          <w:sz w:val="25"/>
          <w:szCs w:val="25"/>
        </w:rPr>
        <w:t>April 1</w:t>
      </w:r>
      <w:r w:rsidR="00A51A23" w:rsidRPr="00942F86">
        <w:rPr>
          <w:sz w:val="25"/>
          <w:szCs w:val="25"/>
        </w:rPr>
        <w:t>, 201</w:t>
      </w:r>
      <w:r w:rsidR="00C965E9" w:rsidRPr="00942F86">
        <w:rPr>
          <w:sz w:val="25"/>
          <w:szCs w:val="25"/>
        </w:rPr>
        <w:t>5</w:t>
      </w:r>
      <w:r w:rsidR="00222CA5" w:rsidRPr="00942F86">
        <w:rPr>
          <w:sz w:val="25"/>
          <w:szCs w:val="25"/>
        </w:rPr>
        <w:t>.</w:t>
      </w:r>
    </w:p>
    <w:p w14:paraId="4663C28B" w14:textId="77777777" w:rsidR="00222CA5" w:rsidRPr="00942F86" w:rsidRDefault="00222CA5" w:rsidP="000455AC">
      <w:pPr>
        <w:spacing w:line="264" w:lineRule="auto"/>
        <w:ind w:left="720"/>
        <w:rPr>
          <w:sz w:val="25"/>
          <w:szCs w:val="25"/>
        </w:rPr>
      </w:pPr>
    </w:p>
    <w:p w14:paraId="7C2B324C" w14:textId="2A4F3FC0" w:rsidR="00222CA5" w:rsidRPr="00942F86" w:rsidRDefault="00CC696B" w:rsidP="000455AC">
      <w:pPr>
        <w:numPr>
          <w:ilvl w:val="0"/>
          <w:numId w:val="1"/>
        </w:numPr>
        <w:tabs>
          <w:tab w:val="num" w:pos="0"/>
        </w:tabs>
        <w:spacing w:line="264" w:lineRule="auto"/>
        <w:ind w:left="0"/>
        <w:rPr>
          <w:sz w:val="25"/>
          <w:szCs w:val="25"/>
        </w:rPr>
      </w:pPr>
      <w:r w:rsidRPr="00942F86">
        <w:rPr>
          <w:sz w:val="25"/>
          <w:szCs w:val="25"/>
        </w:rPr>
        <w:t>W</w:t>
      </w:r>
      <w:r w:rsidR="00222CA5" w:rsidRPr="00942F86">
        <w:rPr>
          <w:sz w:val="25"/>
          <w:szCs w:val="25"/>
        </w:rPr>
        <w:t xml:space="preserve">e </w:t>
      </w:r>
      <w:r w:rsidR="00F172BF" w:rsidRPr="00942F86">
        <w:rPr>
          <w:sz w:val="25"/>
          <w:szCs w:val="25"/>
        </w:rPr>
        <w:t>decline to adjust the</w:t>
      </w:r>
      <w:r w:rsidRPr="00942F86">
        <w:rPr>
          <w:sz w:val="25"/>
          <w:szCs w:val="25"/>
        </w:rPr>
        <w:t xml:space="preserve"> equity ratio and rate of return on equity</w:t>
      </w:r>
      <w:r w:rsidR="00B84C10" w:rsidRPr="00942F86">
        <w:rPr>
          <w:sz w:val="25"/>
          <w:szCs w:val="25"/>
        </w:rPr>
        <w:t xml:space="preserve"> in</w:t>
      </w:r>
      <w:r w:rsidRPr="00942F86">
        <w:rPr>
          <w:sz w:val="25"/>
          <w:szCs w:val="25"/>
        </w:rPr>
        <w:t xml:space="preserve">cluded in the Company’s capital structure.  We decided these issues only five months before Pacific Power filed this case and </w:t>
      </w:r>
      <w:r w:rsidR="001F2B7B" w:rsidRPr="00942F86">
        <w:rPr>
          <w:sz w:val="25"/>
          <w:szCs w:val="25"/>
        </w:rPr>
        <w:t xml:space="preserve">will </w:t>
      </w:r>
      <w:r w:rsidRPr="00942F86">
        <w:rPr>
          <w:sz w:val="25"/>
          <w:szCs w:val="25"/>
        </w:rPr>
        <w:t xml:space="preserve">exercise our discretion </w:t>
      </w:r>
      <w:r w:rsidR="008E1C02" w:rsidRPr="00942F86">
        <w:rPr>
          <w:sz w:val="25"/>
          <w:szCs w:val="25"/>
        </w:rPr>
        <w:t xml:space="preserve">not </w:t>
      </w:r>
      <w:r w:rsidRPr="00942F86">
        <w:rPr>
          <w:sz w:val="25"/>
          <w:szCs w:val="25"/>
        </w:rPr>
        <w:t xml:space="preserve">to rehear </w:t>
      </w:r>
      <w:r w:rsidR="001F2B7B" w:rsidRPr="00942F86">
        <w:rPr>
          <w:sz w:val="25"/>
          <w:szCs w:val="25"/>
        </w:rPr>
        <w:t xml:space="preserve">or decide </w:t>
      </w:r>
      <w:r w:rsidRPr="00942F86">
        <w:rPr>
          <w:sz w:val="25"/>
          <w:szCs w:val="25"/>
        </w:rPr>
        <w:t>them in this docket.</w:t>
      </w:r>
      <w:r w:rsidRPr="00942F86">
        <w:rPr>
          <w:rStyle w:val="FootnoteReference"/>
          <w:sz w:val="25"/>
          <w:szCs w:val="25"/>
        </w:rPr>
        <w:footnoteReference w:id="8"/>
      </w:r>
      <w:r w:rsidRPr="00942F86">
        <w:rPr>
          <w:sz w:val="25"/>
          <w:szCs w:val="25"/>
        </w:rPr>
        <w:t xml:space="preserve">  </w:t>
      </w:r>
      <w:r w:rsidR="008E1C02" w:rsidRPr="00942F86">
        <w:rPr>
          <w:sz w:val="25"/>
          <w:szCs w:val="25"/>
        </w:rPr>
        <w:t>W</w:t>
      </w:r>
      <w:r w:rsidRPr="00942F86">
        <w:rPr>
          <w:sz w:val="25"/>
          <w:szCs w:val="25"/>
        </w:rPr>
        <w:t xml:space="preserve">e </w:t>
      </w:r>
      <w:r w:rsidR="000427FA" w:rsidRPr="00942F86">
        <w:rPr>
          <w:sz w:val="25"/>
          <w:szCs w:val="25"/>
        </w:rPr>
        <w:t xml:space="preserve">also </w:t>
      </w:r>
      <w:r w:rsidRPr="00942F86">
        <w:rPr>
          <w:sz w:val="25"/>
          <w:szCs w:val="25"/>
        </w:rPr>
        <w:t xml:space="preserve">will not rehear the </w:t>
      </w:r>
      <w:r w:rsidR="000427FA" w:rsidRPr="00942F86">
        <w:rPr>
          <w:sz w:val="25"/>
          <w:szCs w:val="25"/>
        </w:rPr>
        <w:t>question whether we should change the West Control Area situs allocation methodology for the costs of Qualifying Facilities under PURPA.</w:t>
      </w:r>
      <w:r w:rsidR="008E1C02" w:rsidRPr="00942F86">
        <w:rPr>
          <w:sz w:val="25"/>
          <w:szCs w:val="25"/>
        </w:rPr>
        <w:t xml:space="preserve">  Not only did we decide these issues within months prior to Pacific Power’s filing of this GRC, they also are the subjects of the Company’s appeal now pending in Division </w:t>
      </w:r>
      <w:r w:rsidR="000427FA" w:rsidRPr="00942F86">
        <w:rPr>
          <w:sz w:val="25"/>
          <w:szCs w:val="25"/>
        </w:rPr>
        <w:t xml:space="preserve"> </w:t>
      </w:r>
      <w:r w:rsidR="008E1C02" w:rsidRPr="00942F86">
        <w:rPr>
          <w:sz w:val="25"/>
          <w:szCs w:val="25"/>
        </w:rPr>
        <w:t xml:space="preserve">II of the Washington Court of Appeals.  </w:t>
      </w:r>
      <w:r w:rsidR="0083787F" w:rsidRPr="00942F86">
        <w:rPr>
          <w:sz w:val="25"/>
          <w:szCs w:val="25"/>
        </w:rPr>
        <w:t>We do not wish to risk disrupting the Court’s well-ordered consideration of the matters before it</w:t>
      </w:r>
      <w:r w:rsidR="008E1C02" w:rsidRPr="00942F86">
        <w:rPr>
          <w:sz w:val="25"/>
          <w:szCs w:val="25"/>
        </w:rPr>
        <w:t>.</w:t>
      </w:r>
    </w:p>
    <w:p w14:paraId="5A5579F8" w14:textId="77777777" w:rsidR="00274F7A" w:rsidRPr="00942F86" w:rsidRDefault="00274F7A" w:rsidP="000455AC">
      <w:pPr>
        <w:pStyle w:val="ListParagraph"/>
        <w:spacing w:line="264" w:lineRule="auto"/>
        <w:rPr>
          <w:sz w:val="25"/>
          <w:szCs w:val="25"/>
        </w:rPr>
      </w:pPr>
    </w:p>
    <w:p w14:paraId="438257F7" w14:textId="34600A66" w:rsidR="006C1329" w:rsidRPr="00942F86" w:rsidRDefault="00C209DD" w:rsidP="000455AC">
      <w:pPr>
        <w:numPr>
          <w:ilvl w:val="0"/>
          <w:numId w:val="1"/>
        </w:numPr>
        <w:tabs>
          <w:tab w:val="num" w:pos="0"/>
        </w:tabs>
        <w:spacing w:line="264" w:lineRule="auto"/>
        <w:ind w:left="0"/>
        <w:rPr>
          <w:sz w:val="25"/>
          <w:szCs w:val="25"/>
        </w:rPr>
      </w:pPr>
      <w:r w:rsidRPr="00942F86">
        <w:rPr>
          <w:sz w:val="25"/>
          <w:szCs w:val="25"/>
        </w:rPr>
        <w:t>Washington</w:t>
      </w:r>
      <w:r w:rsidR="00274F7A" w:rsidRPr="00942F86">
        <w:rPr>
          <w:sz w:val="25"/>
          <w:szCs w:val="25"/>
        </w:rPr>
        <w:t xml:space="preserve"> </w:t>
      </w:r>
      <w:r w:rsidR="001F2B7B" w:rsidRPr="00942F86">
        <w:rPr>
          <w:sz w:val="25"/>
          <w:szCs w:val="25"/>
        </w:rPr>
        <w:t>relies on a hybrid test year</w:t>
      </w:r>
      <w:r w:rsidR="00765563" w:rsidRPr="00942F86">
        <w:rPr>
          <w:sz w:val="25"/>
          <w:szCs w:val="25"/>
        </w:rPr>
        <w:t xml:space="preserve"> approach to ratemaking</w:t>
      </w:r>
      <w:r w:rsidR="001F2B7B" w:rsidRPr="00942F86">
        <w:rPr>
          <w:sz w:val="25"/>
          <w:szCs w:val="25"/>
        </w:rPr>
        <w:t>.  Although the Commission starts with</w:t>
      </w:r>
      <w:r w:rsidR="00765563" w:rsidRPr="00942F86">
        <w:rPr>
          <w:sz w:val="25"/>
          <w:szCs w:val="25"/>
        </w:rPr>
        <w:t xml:space="preserve"> a historic test year, </w:t>
      </w:r>
      <w:r w:rsidR="001F2B7B" w:rsidRPr="00942F86">
        <w:rPr>
          <w:sz w:val="25"/>
          <w:szCs w:val="25"/>
        </w:rPr>
        <w:t>we allow</w:t>
      </w:r>
      <w:r w:rsidR="00765563" w:rsidRPr="00942F86">
        <w:rPr>
          <w:sz w:val="25"/>
          <w:szCs w:val="25"/>
        </w:rPr>
        <w:t xml:space="preserve"> </w:t>
      </w:r>
      <w:r w:rsidR="00765563" w:rsidRPr="00942F86">
        <w:rPr>
          <w:i/>
          <w:sz w:val="25"/>
          <w:szCs w:val="25"/>
        </w:rPr>
        <w:t>pro forma</w:t>
      </w:r>
      <w:r w:rsidR="00765563" w:rsidRPr="00942F86">
        <w:rPr>
          <w:sz w:val="25"/>
          <w:szCs w:val="25"/>
        </w:rPr>
        <w:t xml:space="preserve"> adjustments to rate base and expenses that often extend beyond what is known and measurable as of the end of the test year.  The Commission, in addition, sets the largest single utility expense, net power costs, on a forward basis using data and cost projections that are as nearly contemporaneous as practicable with the effective date of new rates.</w:t>
      </w:r>
      <w:r w:rsidR="001F2B7B" w:rsidRPr="00942F86">
        <w:rPr>
          <w:sz w:val="25"/>
          <w:szCs w:val="25"/>
        </w:rPr>
        <w:t xml:space="preserve"> </w:t>
      </w:r>
      <w:r w:rsidR="004D6154" w:rsidRPr="00942F86">
        <w:rPr>
          <w:sz w:val="25"/>
          <w:szCs w:val="25"/>
        </w:rPr>
        <w:t xml:space="preserve"> </w:t>
      </w:r>
      <w:r w:rsidR="001F2B7B" w:rsidRPr="00942F86">
        <w:rPr>
          <w:sz w:val="25"/>
          <w:szCs w:val="25"/>
        </w:rPr>
        <w:t>The Commission, albeit forward looking in its approach, rejects Pacific Power’s efforts to have us determine rates using methods that push too far in the direction of regulatory policies and practices suitable to states that use a future test year approach to ratemaking</w:t>
      </w:r>
      <w:r w:rsidR="004D6154" w:rsidRPr="00942F86">
        <w:rPr>
          <w:sz w:val="25"/>
          <w:szCs w:val="25"/>
        </w:rPr>
        <w:t xml:space="preserve"> instead of a hybrid test year approach</w:t>
      </w:r>
      <w:r w:rsidR="001F2B7B" w:rsidRPr="00942F86">
        <w:rPr>
          <w:sz w:val="25"/>
          <w:szCs w:val="25"/>
        </w:rPr>
        <w:t xml:space="preserve">.  </w:t>
      </w:r>
    </w:p>
    <w:p w14:paraId="058E6283" w14:textId="77777777" w:rsidR="006C1329" w:rsidRPr="00942F86" w:rsidRDefault="006C1329" w:rsidP="000455AC">
      <w:pPr>
        <w:pStyle w:val="ListParagraph"/>
        <w:spacing w:line="264" w:lineRule="auto"/>
        <w:rPr>
          <w:sz w:val="25"/>
          <w:szCs w:val="25"/>
        </w:rPr>
      </w:pPr>
    </w:p>
    <w:p w14:paraId="205806E7" w14:textId="51AB6384" w:rsidR="000427FA" w:rsidRPr="00942F86" w:rsidRDefault="006C1329" w:rsidP="000455AC">
      <w:pPr>
        <w:numPr>
          <w:ilvl w:val="0"/>
          <w:numId w:val="1"/>
        </w:numPr>
        <w:tabs>
          <w:tab w:val="num" w:pos="0"/>
        </w:tabs>
        <w:spacing w:line="264" w:lineRule="auto"/>
        <w:ind w:left="0"/>
        <w:rPr>
          <w:sz w:val="25"/>
          <w:szCs w:val="25"/>
        </w:rPr>
      </w:pPr>
      <w:r w:rsidRPr="00942F86">
        <w:rPr>
          <w:sz w:val="25"/>
          <w:szCs w:val="25"/>
        </w:rPr>
        <w:t xml:space="preserve">Finally, </w:t>
      </w:r>
      <w:r w:rsidR="001F2B7B" w:rsidRPr="00942F86">
        <w:rPr>
          <w:sz w:val="25"/>
          <w:szCs w:val="25"/>
        </w:rPr>
        <w:t>in prior general rate cases</w:t>
      </w:r>
      <w:r w:rsidR="002016A8" w:rsidRPr="00942F86">
        <w:rPr>
          <w:sz w:val="25"/>
          <w:szCs w:val="25"/>
        </w:rPr>
        <w:t xml:space="preserve"> </w:t>
      </w:r>
      <w:r w:rsidR="006A66E4" w:rsidRPr="00942F86">
        <w:rPr>
          <w:sz w:val="25"/>
          <w:szCs w:val="25"/>
        </w:rPr>
        <w:t xml:space="preserve">the Commission </w:t>
      </w:r>
      <w:r w:rsidR="002016A8" w:rsidRPr="00942F86">
        <w:rPr>
          <w:sz w:val="25"/>
          <w:szCs w:val="25"/>
        </w:rPr>
        <w:t xml:space="preserve">has requested the Company to </w:t>
      </w:r>
      <w:r w:rsidRPr="00942F86">
        <w:rPr>
          <w:sz w:val="25"/>
          <w:szCs w:val="25"/>
        </w:rPr>
        <w:t xml:space="preserve">take advantage of regulatory mechanisms available in Washington that are designed to enhance the ability of utilities to effect timely recovery of their authorized revenue </w:t>
      </w:r>
      <w:r w:rsidRPr="00942F86">
        <w:rPr>
          <w:sz w:val="25"/>
          <w:szCs w:val="25"/>
        </w:rPr>
        <w:lastRenderedPageBreak/>
        <w:t>requirement</w:t>
      </w:r>
      <w:r w:rsidR="006A66E4" w:rsidRPr="00942F86">
        <w:rPr>
          <w:sz w:val="25"/>
          <w:szCs w:val="25"/>
        </w:rPr>
        <w:t>s.</w:t>
      </w:r>
      <w:r w:rsidR="002016A8" w:rsidRPr="00942F86">
        <w:rPr>
          <w:sz w:val="25"/>
          <w:szCs w:val="25"/>
        </w:rPr>
        <w:t xml:space="preserve">  Pacific Power has refused to do so.</w:t>
      </w:r>
      <w:r w:rsidR="006A66E4" w:rsidRPr="00942F86">
        <w:rPr>
          <w:sz w:val="25"/>
          <w:szCs w:val="25"/>
        </w:rPr>
        <w:t xml:space="preserve">  A P</w:t>
      </w:r>
      <w:r w:rsidR="002016A8" w:rsidRPr="00942F86">
        <w:rPr>
          <w:sz w:val="25"/>
          <w:szCs w:val="25"/>
        </w:rPr>
        <w:t xml:space="preserve">ower </w:t>
      </w:r>
      <w:r w:rsidR="006A66E4" w:rsidRPr="00942F86">
        <w:rPr>
          <w:sz w:val="25"/>
          <w:szCs w:val="25"/>
        </w:rPr>
        <w:t>C</w:t>
      </w:r>
      <w:r w:rsidR="002016A8" w:rsidRPr="00942F86">
        <w:rPr>
          <w:sz w:val="25"/>
          <w:szCs w:val="25"/>
        </w:rPr>
        <w:t xml:space="preserve">ost </w:t>
      </w:r>
      <w:r w:rsidR="006A66E4" w:rsidRPr="00942F86">
        <w:rPr>
          <w:sz w:val="25"/>
          <w:szCs w:val="25"/>
        </w:rPr>
        <w:t>A</w:t>
      </w:r>
      <w:r w:rsidR="002016A8" w:rsidRPr="00942F86">
        <w:rPr>
          <w:sz w:val="25"/>
          <w:szCs w:val="25"/>
        </w:rPr>
        <w:t xml:space="preserve">djustment </w:t>
      </w:r>
      <w:r w:rsidR="006A66E4" w:rsidRPr="00942F86">
        <w:rPr>
          <w:sz w:val="25"/>
          <w:szCs w:val="25"/>
        </w:rPr>
        <w:t>M</w:t>
      </w:r>
      <w:r w:rsidR="002016A8" w:rsidRPr="00942F86">
        <w:rPr>
          <w:sz w:val="25"/>
          <w:szCs w:val="25"/>
        </w:rPr>
        <w:t>echanism (PCAM)</w:t>
      </w:r>
      <w:r w:rsidR="006A66E4" w:rsidRPr="00942F86">
        <w:rPr>
          <w:sz w:val="25"/>
          <w:szCs w:val="25"/>
        </w:rPr>
        <w:t xml:space="preserve"> designed in accordance with the regulatory policy guidance this Commission has given Pacific Power in prior cases is long overdue.  We authorize and require Pacific Power to implement a properly designed PCAM in compliance with this </w:t>
      </w:r>
      <w:r w:rsidR="002016A8" w:rsidRPr="00942F86">
        <w:rPr>
          <w:sz w:val="25"/>
          <w:szCs w:val="25"/>
        </w:rPr>
        <w:t>Order</w:t>
      </w:r>
      <w:r w:rsidR="006A66E4" w:rsidRPr="00942F86">
        <w:rPr>
          <w:sz w:val="25"/>
          <w:szCs w:val="25"/>
        </w:rPr>
        <w:t xml:space="preserve">.  </w:t>
      </w:r>
      <w:r w:rsidR="002249F1">
        <w:rPr>
          <w:sz w:val="25"/>
          <w:szCs w:val="25"/>
        </w:rPr>
        <w:t>The Commission will conduct brief additional proceedings to determine the details required for such a mechanism.</w:t>
      </w:r>
    </w:p>
    <w:p w14:paraId="6118C69B" w14:textId="77777777" w:rsidR="000427FA" w:rsidRPr="00942F86" w:rsidRDefault="000427FA" w:rsidP="000455AC">
      <w:pPr>
        <w:pStyle w:val="ListParagraph"/>
        <w:spacing w:line="264" w:lineRule="auto"/>
        <w:rPr>
          <w:sz w:val="25"/>
          <w:szCs w:val="25"/>
        </w:rPr>
      </w:pPr>
    </w:p>
    <w:p w14:paraId="026124E1" w14:textId="655BAF3F" w:rsidR="00A01889" w:rsidRPr="00942F86" w:rsidRDefault="006A66E4" w:rsidP="000455AC">
      <w:pPr>
        <w:numPr>
          <w:ilvl w:val="0"/>
          <w:numId w:val="1"/>
        </w:numPr>
        <w:tabs>
          <w:tab w:val="num" w:pos="0"/>
        </w:tabs>
        <w:spacing w:line="264" w:lineRule="auto"/>
        <w:ind w:left="0"/>
        <w:rPr>
          <w:sz w:val="25"/>
          <w:szCs w:val="25"/>
        </w:rPr>
      </w:pPr>
      <w:r w:rsidRPr="00942F86">
        <w:rPr>
          <w:sz w:val="25"/>
          <w:szCs w:val="25"/>
        </w:rPr>
        <w:t>In terms of fixed cost recovery, the Commission has expressed and demonstrated its preference for the use of decoupling.</w:t>
      </w:r>
      <w:r w:rsidRPr="00942F86">
        <w:rPr>
          <w:rStyle w:val="FootnoteReference"/>
          <w:sz w:val="25"/>
          <w:szCs w:val="25"/>
        </w:rPr>
        <w:footnoteReference w:id="9"/>
      </w:r>
      <w:r w:rsidRPr="00942F86">
        <w:rPr>
          <w:sz w:val="25"/>
          <w:szCs w:val="25"/>
        </w:rPr>
        <w:t xml:space="preserve">  </w:t>
      </w:r>
      <w:r w:rsidR="004D6154" w:rsidRPr="00942F86">
        <w:rPr>
          <w:sz w:val="25"/>
          <w:szCs w:val="25"/>
        </w:rPr>
        <w:t xml:space="preserve">The Commission has approved such mechanisms for several companies.  </w:t>
      </w:r>
      <w:r w:rsidRPr="00942F86">
        <w:rPr>
          <w:sz w:val="25"/>
          <w:szCs w:val="25"/>
        </w:rPr>
        <w:t xml:space="preserve">Pacific Power has </w:t>
      </w:r>
      <w:r w:rsidR="000427FA" w:rsidRPr="00942F86">
        <w:rPr>
          <w:sz w:val="25"/>
          <w:szCs w:val="25"/>
        </w:rPr>
        <w:t>not</w:t>
      </w:r>
      <w:r w:rsidRPr="00942F86">
        <w:rPr>
          <w:sz w:val="25"/>
          <w:szCs w:val="25"/>
        </w:rPr>
        <w:t xml:space="preserve"> </w:t>
      </w:r>
      <w:r w:rsidR="00C209DD" w:rsidRPr="00942F86">
        <w:rPr>
          <w:sz w:val="25"/>
          <w:szCs w:val="25"/>
        </w:rPr>
        <w:t xml:space="preserve">yet </w:t>
      </w:r>
      <w:r w:rsidRPr="00942F86">
        <w:rPr>
          <w:sz w:val="25"/>
          <w:szCs w:val="25"/>
        </w:rPr>
        <w:t xml:space="preserve">come forward with a </w:t>
      </w:r>
      <w:r w:rsidR="000427FA" w:rsidRPr="00942F86">
        <w:rPr>
          <w:sz w:val="25"/>
          <w:szCs w:val="25"/>
        </w:rPr>
        <w:t xml:space="preserve">fully developed </w:t>
      </w:r>
      <w:r w:rsidRPr="00942F86">
        <w:rPr>
          <w:sz w:val="25"/>
          <w:szCs w:val="25"/>
        </w:rPr>
        <w:t xml:space="preserve">decoupling proposal.  </w:t>
      </w:r>
      <w:r w:rsidR="004D6154" w:rsidRPr="00942F86">
        <w:rPr>
          <w:sz w:val="25"/>
          <w:szCs w:val="25"/>
        </w:rPr>
        <w:t>I</w:t>
      </w:r>
      <w:r w:rsidRPr="00942F86">
        <w:rPr>
          <w:sz w:val="25"/>
          <w:szCs w:val="25"/>
        </w:rPr>
        <w:t xml:space="preserve">n this Order </w:t>
      </w:r>
      <w:r w:rsidR="004D6154" w:rsidRPr="00942F86">
        <w:rPr>
          <w:sz w:val="25"/>
          <w:szCs w:val="25"/>
        </w:rPr>
        <w:t>we invite</w:t>
      </w:r>
      <w:r w:rsidRPr="00942F86">
        <w:rPr>
          <w:sz w:val="25"/>
          <w:szCs w:val="25"/>
        </w:rPr>
        <w:t xml:space="preserve"> the Company, </w:t>
      </w:r>
      <w:r w:rsidR="004D6154" w:rsidRPr="00942F86">
        <w:rPr>
          <w:sz w:val="25"/>
          <w:szCs w:val="25"/>
        </w:rPr>
        <w:t>Staff, and other interested parties</w:t>
      </w:r>
      <w:r w:rsidRPr="00942F86">
        <w:rPr>
          <w:sz w:val="25"/>
          <w:szCs w:val="25"/>
        </w:rPr>
        <w:t xml:space="preserve"> </w:t>
      </w:r>
      <w:r w:rsidR="004D6154" w:rsidRPr="00942F86">
        <w:rPr>
          <w:sz w:val="25"/>
          <w:szCs w:val="25"/>
        </w:rPr>
        <w:t xml:space="preserve">to </w:t>
      </w:r>
      <w:r w:rsidR="000427FA" w:rsidRPr="00942F86">
        <w:rPr>
          <w:sz w:val="25"/>
          <w:szCs w:val="25"/>
        </w:rPr>
        <w:t>put</w:t>
      </w:r>
      <w:r w:rsidR="004D6154" w:rsidRPr="00942F86">
        <w:rPr>
          <w:sz w:val="25"/>
          <w:szCs w:val="25"/>
        </w:rPr>
        <w:t xml:space="preserve"> such a proposal</w:t>
      </w:r>
      <w:r w:rsidR="000427FA" w:rsidRPr="00942F86">
        <w:rPr>
          <w:sz w:val="25"/>
          <w:szCs w:val="25"/>
        </w:rPr>
        <w:t xml:space="preserve"> before the Commission</w:t>
      </w:r>
      <w:r w:rsidR="00C209DD" w:rsidRPr="00942F86">
        <w:rPr>
          <w:sz w:val="25"/>
          <w:szCs w:val="25"/>
        </w:rPr>
        <w:t xml:space="preserve"> in Pacific Power’s next general rate case</w:t>
      </w:r>
      <w:r w:rsidRPr="00942F86">
        <w:rPr>
          <w:sz w:val="25"/>
          <w:szCs w:val="25"/>
        </w:rPr>
        <w:t>.</w:t>
      </w:r>
    </w:p>
    <w:p w14:paraId="50E78F30" w14:textId="77777777" w:rsidR="00A02608" w:rsidRPr="00942F86" w:rsidRDefault="00A02608" w:rsidP="000455AC">
      <w:pPr>
        <w:pStyle w:val="ListParagraph"/>
        <w:spacing w:line="264" w:lineRule="auto"/>
        <w:rPr>
          <w:sz w:val="25"/>
          <w:szCs w:val="25"/>
        </w:rPr>
      </w:pPr>
    </w:p>
    <w:p w14:paraId="63D08774" w14:textId="77777777" w:rsidR="00C5497C" w:rsidRPr="00942F86" w:rsidRDefault="00C5497C" w:rsidP="000455AC">
      <w:pPr>
        <w:pStyle w:val="Heading1"/>
        <w:spacing w:before="0" w:after="0" w:line="264" w:lineRule="auto"/>
        <w:jc w:val="center"/>
        <w:rPr>
          <w:rFonts w:cs="Times New Roman"/>
          <w:szCs w:val="25"/>
          <w:u w:val="single"/>
        </w:rPr>
      </w:pPr>
      <w:bookmarkStart w:id="5" w:name="_Toc415037607"/>
      <w:r w:rsidRPr="00942F86">
        <w:rPr>
          <w:rFonts w:cs="Times New Roman"/>
          <w:szCs w:val="25"/>
          <w:u w:val="single"/>
        </w:rPr>
        <w:t>MEMORANDUM</w:t>
      </w:r>
      <w:bookmarkEnd w:id="5"/>
    </w:p>
    <w:p w14:paraId="31460283" w14:textId="77777777" w:rsidR="004A7EB3" w:rsidRPr="00942F86" w:rsidRDefault="004A7EB3" w:rsidP="000455AC">
      <w:pPr>
        <w:spacing w:line="264" w:lineRule="auto"/>
        <w:rPr>
          <w:sz w:val="25"/>
          <w:szCs w:val="25"/>
        </w:rPr>
      </w:pPr>
    </w:p>
    <w:p w14:paraId="51E9646E" w14:textId="77777777" w:rsidR="00C5497C" w:rsidRPr="00942F86" w:rsidRDefault="00C5497C" w:rsidP="000455AC">
      <w:pPr>
        <w:pStyle w:val="Heading2"/>
        <w:keepLines/>
        <w:numPr>
          <w:ilvl w:val="0"/>
          <w:numId w:val="2"/>
        </w:numPr>
        <w:tabs>
          <w:tab w:val="clear" w:pos="720"/>
          <w:tab w:val="num" w:pos="360"/>
        </w:tabs>
        <w:spacing w:before="0" w:after="0" w:line="264" w:lineRule="auto"/>
        <w:ind w:left="360"/>
        <w:rPr>
          <w:rFonts w:ascii="Times New Roman" w:hAnsi="Times New Roman" w:cs="Times New Roman"/>
          <w:i w:val="0"/>
          <w:sz w:val="25"/>
          <w:szCs w:val="25"/>
        </w:rPr>
      </w:pPr>
      <w:bookmarkStart w:id="6" w:name="_Toc415037608"/>
      <w:r w:rsidRPr="00942F86">
        <w:rPr>
          <w:rFonts w:ascii="Times New Roman" w:hAnsi="Times New Roman" w:cs="Times New Roman"/>
          <w:i w:val="0"/>
          <w:sz w:val="25"/>
          <w:szCs w:val="25"/>
        </w:rPr>
        <w:t>Background and Procedural History</w:t>
      </w:r>
      <w:bookmarkEnd w:id="6"/>
    </w:p>
    <w:p w14:paraId="01BEA10A" w14:textId="77777777" w:rsidR="00540272" w:rsidRPr="00942F86" w:rsidRDefault="00540272" w:rsidP="000455AC">
      <w:pPr>
        <w:spacing w:line="264" w:lineRule="auto"/>
        <w:ind w:left="-720"/>
        <w:rPr>
          <w:sz w:val="25"/>
          <w:szCs w:val="25"/>
        </w:rPr>
      </w:pPr>
    </w:p>
    <w:p w14:paraId="09349E47" w14:textId="511571A5" w:rsidR="009510E1" w:rsidRPr="00942F86" w:rsidRDefault="009510E1" w:rsidP="000455AC">
      <w:pPr>
        <w:numPr>
          <w:ilvl w:val="0"/>
          <w:numId w:val="1"/>
        </w:numPr>
        <w:tabs>
          <w:tab w:val="num" w:pos="0"/>
        </w:tabs>
        <w:spacing w:line="264" w:lineRule="auto"/>
        <w:ind w:left="0"/>
        <w:rPr>
          <w:sz w:val="25"/>
          <w:szCs w:val="25"/>
        </w:rPr>
      </w:pPr>
      <w:bookmarkStart w:id="7" w:name="OLE_LINK3"/>
      <w:bookmarkStart w:id="8" w:name="OLE_LINK4"/>
      <w:r w:rsidRPr="00942F86">
        <w:rPr>
          <w:sz w:val="25"/>
          <w:szCs w:val="25"/>
        </w:rPr>
        <w:t xml:space="preserve">On May 1, 2014, Pacific Power filed revised tariff sheets with the Commission to increase rates and charges for electric service provided to customers in the state of Washington.  The Company requested an electric rate increase of $27.2 million, or 8.5 percent.  In addition, the Company </w:t>
      </w:r>
      <w:r w:rsidR="002016A8" w:rsidRPr="00942F86">
        <w:rPr>
          <w:sz w:val="25"/>
          <w:szCs w:val="25"/>
        </w:rPr>
        <w:t xml:space="preserve">sought deferral accounting authority and </w:t>
      </w:r>
      <w:r w:rsidRPr="00942F86">
        <w:rPr>
          <w:sz w:val="25"/>
          <w:szCs w:val="25"/>
        </w:rPr>
        <w:t xml:space="preserve">amortization over one year of $4.9 million, or 1.5 percent, related to </w:t>
      </w:r>
      <w:r w:rsidR="002016A8" w:rsidRPr="00942F86">
        <w:rPr>
          <w:sz w:val="25"/>
          <w:szCs w:val="25"/>
        </w:rPr>
        <w:t>replacement power to cover</w:t>
      </w:r>
      <w:r w:rsidRPr="00942F86">
        <w:rPr>
          <w:sz w:val="25"/>
          <w:szCs w:val="25"/>
        </w:rPr>
        <w:t xml:space="preserve"> an outage at Unit 4 of the Colstrip generating plant (Docket UE-131384</w:t>
      </w:r>
      <w:r w:rsidR="002016A8" w:rsidRPr="00942F86">
        <w:rPr>
          <w:sz w:val="25"/>
          <w:szCs w:val="25"/>
        </w:rPr>
        <w:t xml:space="preserve">) and </w:t>
      </w:r>
      <w:r w:rsidRPr="00942F86">
        <w:rPr>
          <w:sz w:val="25"/>
          <w:szCs w:val="25"/>
        </w:rPr>
        <w:t>low hydro</w:t>
      </w:r>
      <w:r w:rsidR="002016A8" w:rsidRPr="00942F86">
        <w:rPr>
          <w:sz w:val="25"/>
          <w:szCs w:val="25"/>
        </w:rPr>
        <w:t>power</w:t>
      </w:r>
      <w:r w:rsidRPr="00942F86">
        <w:rPr>
          <w:sz w:val="25"/>
          <w:szCs w:val="25"/>
        </w:rPr>
        <w:t xml:space="preserve"> conditions (Docket UE-140094).</w:t>
      </w:r>
      <w:r w:rsidR="00E112D5" w:rsidRPr="00942F86">
        <w:rPr>
          <w:sz w:val="25"/>
          <w:szCs w:val="25"/>
        </w:rPr>
        <w:t xml:space="preserve">  The Company proposes to recover these deferred costs via a separate tariff rider, Schedule 92.</w:t>
      </w:r>
      <w:r w:rsidRPr="00942F86">
        <w:rPr>
          <w:sz w:val="25"/>
          <w:szCs w:val="25"/>
        </w:rPr>
        <w:t xml:space="preserve"> </w:t>
      </w:r>
    </w:p>
    <w:p w14:paraId="42A8D2A0" w14:textId="77777777" w:rsidR="009510E1" w:rsidRPr="00942F86" w:rsidRDefault="009510E1" w:rsidP="000455AC">
      <w:pPr>
        <w:spacing w:line="264" w:lineRule="auto"/>
        <w:rPr>
          <w:sz w:val="25"/>
          <w:szCs w:val="25"/>
        </w:rPr>
      </w:pPr>
      <w:r w:rsidRPr="00942F86">
        <w:rPr>
          <w:sz w:val="25"/>
          <w:szCs w:val="25"/>
        </w:rPr>
        <w:t xml:space="preserve"> </w:t>
      </w:r>
    </w:p>
    <w:p w14:paraId="61A523DF" w14:textId="5B10B15E" w:rsidR="009510E1" w:rsidRPr="00942F86" w:rsidRDefault="009510E1" w:rsidP="005E0DF4">
      <w:pPr>
        <w:numPr>
          <w:ilvl w:val="0"/>
          <w:numId w:val="1"/>
        </w:numPr>
        <w:tabs>
          <w:tab w:val="clear" w:pos="720"/>
          <w:tab w:val="num" w:pos="630"/>
        </w:tabs>
        <w:spacing w:line="264" w:lineRule="auto"/>
        <w:ind w:left="0"/>
        <w:rPr>
          <w:sz w:val="25"/>
          <w:szCs w:val="25"/>
        </w:rPr>
      </w:pPr>
      <w:r w:rsidRPr="00942F86">
        <w:rPr>
          <w:sz w:val="25"/>
          <w:szCs w:val="25"/>
        </w:rPr>
        <w:t xml:space="preserve">On April 14, 2014, </w:t>
      </w:r>
      <w:r w:rsidR="002016A8" w:rsidRPr="00942F86">
        <w:rPr>
          <w:sz w:val="25"/>
          <w:szCs w:val="25"/>
        </w:rPr>
        <w:t xml:space="preserve">the Company </w:t>
      </w:r>
      <w:r w:rsidRPr="00942F86">
        <w:rPr>
          <w:sz w:val="25"/>
          <w:szCs w:val="25"/>
        </w:rPr>
        <w:t xml:space="preserve">filed with the Commission in Docket UE-140617 a new tariff - Schedule 90 entitled “Hydro Investment Adjustment.”  The purpose of this schedule was to recover costs associated with the Merwin Fish Collector project (Merwin Project).  As an alternative to allowing the separate tariff rider to go into effect by operation of law, </w:t>
      </w:r>
      <w:r w:rsidR="002016A8" w:rsidRPr="00942F86">
        <w:rPr>
          <w:sz w:val="25"/>
          <w:szCs w:val="25"/>
        </w:rPr>
        <w:t xml:space="preserve">Pacific Power </w:t>
      </w:r>
      <w:r w:rsidRPr="00942F86">
        <w:rPr>
          <w:sz w:val="25"/>
          <w:szCs w:val="25"/>
        </w:rPr>
        <w:t xml:space="preserve">included in its filing an accounting petition for authorization to defer the revenue requirement of approximately $1.7 million per year ($142,000 per month) associated with the Merwin Project.    </w:t>
      </w:r>
    </w:p>
    <w:p w14:paraId="175E182D" w14:textId="77777777" w:rsidR="009510E1" w:rsidRPr="00942F86" w:rsidRDefault="009510E1" w:rsidP="000455AC">
      <w:pPr>
        <w:pStyle w:val="ListParagraph"/>
        <w:spacing w:line="264" w:lineRule="auto"/>
        <w:rPr>
          <w:sz w:val="25"/>
          <w:szCs w:val="25"/>
        </w:rPr>
      </w:pPr>
    </w:p>
    <w:p w14:paraId="0FD23AFC" w14:textId="735C69B7" w:rsidR="009510E1" w:rsidRPr="00942F86" w:rsidRDefault="009510E1" w:rsidP="005E0DF4">
      <w:pPr>
        <w:numPr>
          <w:ilvl w:val="0"/>
          <w:numId w:val="1"/>
        </w:numPr>
        <w:tabs>
          <w:tab w:val="clear" w:pos="720"/>
          <w:tab w:val="num" w:pos="0"/>
        </w:tabs>
        <w:spacing w:line="264" w:lineRule="auto"/>
        <w:ind w:left="0"/>
        <w:rPr>
          <w:sz w:val="25"/>
          <w:szCs w:val="25"/>
        </w:rPr>
      </w:pPr>
      <w:r w:rsidRPr="00942F86">
        <w:rPr>
          <w:sz w:val="25"/>
          <w:szCs w:val="25"/>
        </w:rPr>
        <w:lastRenderedPageBreak/>
        <w:t xml:space="preserve">In Order 01 in Docket UE-140762, entered on May 14, 2014, the Commission suspended the tariff sheets </w:t>
      </w:r>
      <w:r w:rsidR="00E112D5" w:rsidRPr="00942F86">
        <w:rPr>
          <w:sz w:val="25"/>
          <w:szCs w:val="25"/>
        </w:rPr>
        <w:t>Pacific Power</w:t>
      </w:r>
      <w:r w:rsidRPr="00942F86">
        <w:rPr>
          <w:sz w:val="25"/>
          <w:szCs w:val="25"/>
        </w:rPr>
        <w:t xml:space="preserve"> filed on May 1, 2014.  On May 29, 2014, the Commission entered Order 03 in Docket UE-140762 and Order 01 in Docket UE-140617, consolidating the dockets, suspending the tariff sheets filed on April 14, 2014, and authorizing the Merwin Project deferral.  In light of the Commission’s approval of the alternative deferred accounting treatment for the Merwin Project costs, the Company withdrew its proposed tariff in Docket UE-140617, on May 30, 2014.</w:t>
      </w:r>
      <w:r w:rsidR="00E112D5" w:rsidRPr="00942F86">
        <w:rPr>
          <w:sz w:val="25"/>
          <w:szCs w:val="25"/>
        </w:rPr>
        <w:t xml:space="preserve">  Pacific Power now proposes recovery of $1.7 million in deferred costs related to the Merwin Project over one year in Schedule 92.  This brings the total request for recovery via Schedule 92 to $6.6 million.</w:t>
      </w:r>
      <w:r w:rsidRPr="00942F86">
        <w:rPr>
          <w:sz w:val="25"/>
          <w:szCs w:val="25"/>
        </w:rPr>
        <w:t xml:space="preserve">  </w:t>
      </w:r>
    </w:p>
    <w:p w14:paraId="0F2D97B6" w14:textId="77777777" w:rsidR="009510E1" w:rsidRPr="00942F86" w:rsidRDefault="009510E1" w:rsidP="000455AC">
      <w:pPr>
        <w:spacing w:line="264" w:lineRule="auto"/>
        <w:rPr>
          <w:sz w:val="25"/>
          <w:szCs w:val="25"/>
        </w:rPr>
      </w:pPr>
      <w:r w:rsidRPr="00942F86">
        <w:rPr>
          <w:sz w:val="25"/>
          <w:szCs w:val="25"/>
        </w:rPr>
        <w:t xml:space="preserve"> </w:t>
      </w:r>
    </w:p>
    <w:p w14:paraId="6321E380" w14:textId="3757260E" w:rsidR="009510E1" w:rsidRPr="00942F86" w:rsidRDefault="009510E1" w:rsidP="005E0DF4">
      <w:pPr>
        <w:numPr>
          <w:ilvl w:val="0"/>
          <w:numId w:val="1"/>
        </w:numPr>
        <w:tabs>
          <w:tab w:val="clear" w:pos="720"/>
          <w:tab w:val="num" w:pos="0"/>
        </w:tabs>
        <w:spacing w:line="264" w:lineRule="auto"/>
        <w:ind w:left="0"/>
        <w:rPr>
          <w:sz w:val="25"/>
          <w:szCs w:val="25"/>
        </w:rPr>
      </w:pPr>
      <w:r w:rsidRPr="00942F86">
        <w:rPr>
          <w:sz w:val="25"/>
          <w:szCs w:val="25"/>
        </w:rPr>
        <w:t xml:space="preserve">The Commission convened a prehearing conference in the consolidated proceedings at </w:t>
      </w:r>
      <w:r w:rsidRPr="00942F86">
        <w:rPr>
          <w:bCs/>
          <w:sz w:val="25"/>
          <w:szCs w:val="25"/>
        </w:rPr>
        <w:t>Olympia,</w:t>
      </w:r>
      <w:r w:rsidRPr="00942F86">
        <w:rPr>
          <w:sz w:val="25"/>
          <w:szCs w:val="25"/>
        </w:rPr>
        <w:t xml:space="preserve"> on May 30, 2014.  The Commission held public comment hearings in Yakima on September 25, 2014, and in Walla Walla on September 26, 2014.  On various dates established in its procedural schedule, the Commission accepted prefiled testimony and exhibits from the Company, the </w:t>
      </w:r>
      <w:r w:rsidR="00E112D5" w:rsidRPr="00942F86">
        <w:rPr>
          <w:sz w:val="25"/>
          <w:szCs w:val="25"/>
        </w:rPr>
        <w:t>Staff</w:t>
      </w:r>
      <w:r w:rsidRPr="00942F86">
        <w:rPr>
          <w:sz w:val="25"/>
          <w:szCs w:val="25"/>
        </w:rPr>
        <w:t>,</w:t>
      </w:r>
      <w:r w:rsidRPr="00942F86">
        <w:rPr>
          <w:bCs/>
          <w:sz w:val="25"/>
          <w:szCs w:val="25"/>
        </w:rPr>
        <w:t xml:space="preserve"> and other parties.  </w:t>
      </w:r>
      <w:r w:rsidRPr="00942F86">
        <w:rPr>
          <w:sz w:val="25"/>
          <w:szCs w:val="25"/>
        </w:rPr>
        <w:t xml:space="preserve">The Commission held evidentiary hearings in Olympia on </w:t>
      </w:r>
      <w:r w:rsidR="00C209DD" w:rsidRPr="00942F86">
        <w:rPr>
          <w:sz w:val="25"/>
          <w:szCs w:val="25"/>
        </w:rPr>
        <w:t>December 16-19, 2014</w:t>
      </w:r>
      <w:r w:rsidRPr="00942F86">
        <w:rPr>
          <w:sz w:val="25"/>
          <w:szCs w:val="25"/>
        </w:rPr>
        <w:t xml:space="preserve">, to receive evidence from the parties and to allow them an opportunity to conduct cross-examination of witnesses who prefiled testimony.  These hearings also gave the Commission an opportunity to conduct inquiry from the bench.  </w:t>
      </w:r>
    </w:p>
    <w:p w14:paraId="2621A328" w14:textId="77777777" w:rsidR="009510E1" w:rsidRPr="00942F86" w:rsidRDefault="009510E1" w:rsidP="000455AC">
      <w:pPr>
        <w:spacing w:line="264" w:lineRule="auto"/>
        <w:rPr>
          <w:sz w:val="25"/>
          <w:szCs w:val="25"/>
        </w:rPr>
      </w:pPr>
      <w:r w:rsidRPr="00942F86">
        <w:rPr>
          <w:sz w:val="25"/>
          <w:szCs w:val="25"/>
        </w:rPr>
        <w:t xml:space="preserve"> </w:t>
      </w:r>
    </w:p>
    <w:p w14:paraId="737D0075" w14:textId="0E78E441" w:rsidR="009510E1" w:rsidRPr="00942F86" w:rsidRDefault="009510E1" w:rsidP="005E0DF4">
      <w:pPr>
        <w:numPr>
          <w:ilvl w:val="0"/>
          <w:numId w:val="1"/>
        </w:numPr>
        <w:tabs>
          <w:tab w:val="clear" w:pos="720"/>
          <w:tab w:val="num" w:pos="0"/>
        </w:tabs>
        <w:spacing w:line="264" w:lineRule="auto"/>
        <w:ind w:left="0"/>
        <w:rPr>
          <w:sz w:val="25"/>
          <w:szCs w:val="25"/>
        </w:rPr>
      </w:pPr>
      <w:r w:rsidRPr="00942F86">
        <w:rPr>
          <w:sz w:val="25"/>
          <w:szCs w:val="25"/>
        </w:rPr>
        <w:t>During the public comment hearings, the Commission received into the record oral comments and exhibits from 20 members of the public. The Commission also accepted numerous written comments from members of the public.</w:t>
      </w:r>
      <w:r w:rsidR="002016A8" w:rsidRPr="00942F86">
        <w:rPr>
          <w:sz w:val="25"/>
          <w:szCs w:val="25"/>
          <w:vertAlign w:val="superscript"/>
        </w:rPr>
        <w:footnoteReference w:id="10"/>
      </w:r>
      <w:r w:rsidR="002016A8" w:rsidRPr="00942F86">
        <w:rPr>
          <w:sz w:val="25"/>
          <w:szCs w:val="25"/>
        </w:rPr>
        <w:t xml:space="preserve"> </w:t>
      </w:r>
      <w:r w:rsidRPr="00942F86">
        <w:rPr>
          <w:sz w:val="25"/>
          <w:szCs w:val="25"/>
        </w:rPr>
        <w:t xml:space="preserve"> The final transcript in this proceeding includes </w:t>
      </w:r>
      <w:r w:rsidR="00E126D5" w:rsidRPr="00942F86">
        <w:rPr>
          <w:sz w:val="25"/>
          <w:szCs w:val="25"/>
        </w:rPr>
        <w:t>663</w:t>
      </w:r>
      <w:r w:rsidRPr="00942F86">
        <w:rPr>
          <w:sz w:val="25"/>
          <w:szCs w:val="25"/>
        </w:rPr>
        <w:t xml:space="preserve"> pages and reflects the admission of prefiled testimony and exhibits sponsored by </w:t>
      </w:r>
      <w:r w:rsidR="00883714" w:rsidRPr="00942F86">
        <w:rPr>
          <w:sz w:val="25"/>
          <w:szCs w:val="25"/>
        </w:rPr>
        <w:t>30</w:t>
      </w:r>
      <w:r w:rsidRPr="00942F86">
        <w:rPr>
          <w:sz w:val="25"/>
          <w:szCs w:val="25"/>
        </w:rPr>
        <w:t xml:space="preserve"> witnesses.  The documentary record includes </w:t>
      </w:r>
      <w:r w:rsidR="003C517B" w:rsidRPr="00942F86">
        <w:rPr>
          <w:sz w:val="25"/>
          <w:szCs w:val="25"/>
        </w:rPr>
        <w:t>377</w:t>
      </w:r>
      <w:r w:rsidRPr="00942F86">
        <w:rPr>
          <w:sz w:val="25"/>
          <w:szCs w:val="25"/>
        </w:rPr>
        <w:t xml:space="preserve"> exhibits.  </w:t>
      </w:r>
    </w:p>
    <w:bookmarkEnd w:id="7"/>
    <w:bookmarkEnd w:id="8"/>
    <w:p w14:paraId="1D877AEC" w14:textId="77777777" w:rsidR="009510E1" w:rsidRPr="00942F86" w:rsidRDefault="009510E1" w:rsidP="000455AC">
      <w:pPr>
        <w:spacing w:line="264" w:lineRule="auto"/>
        <w:rPr>
          <w:sz w:val="25"/>
          <w:szCs w:val="25"/>
        </w:rPr>
      </w:pPr>
    </w:p>
    <w:p w14:paraId="7183714B" w14:textId="53CF69C1" w:rsidR="009510E1" w:rsidRPr="00942F86" w:rsidRDefault="009510E1" w:rsidP="005E0DF4">
      <w:pPr>
        <w:numPr>
          <w:ilvl w:val="0"/>
          <w:numId w:val="1"/>
        </w:numPr>
        <w:tabs>
          <w:tab w:val="clear" w:pos="720"/>
          <w:tab w:val="num" w:pos="0"/>
        </w:tabs>
        <w:spacing w:line="264" w:lineRule="auto"/>
        <w:ind w:left="0"/>
        <w:rPr>
          <w:sz w:val="25"/>
          <w:szCs w:val="25"/>
        </w:rPr>
      </w:pPr>
      <w:r w:rsidRPr="00942F86">
        <w:rPr>
          <w:sz w:val="25"/>
          <w:szCs w:val="25"/>
        </w:rPr>
        <w:t xml:space="preserve">The parties filed their Initial Briefs on January 22, 2015, and Reply Briefs on February 3, 2015.  </w:t>
      </w:r>
      <w:r w:rsidR="00857B33" w:rsidRPr="00942F86">
        <w:rPr>
          <w:sz w:val="25"/>
          <w:szCs w:val="25"/>
        </w:rPr>
        <w:t xml:space="preserve">The final record, including public comment and detailed evidence concerning Pacific Power’s revenue requirements and other issues, was closed on February 18, 2015, following receipt of several responses to Commission bench requests made during and after the hearing.  </w:t>
      </w:r>
      <w:r w:rsidRPr="00942F86">
        <w:rPr>
          <w:sz w:val="25"/>
          <w:szCs w:val="25"/>
        </w:rPr>
        <w:t>We have considered the parties’ arguments and reviewed the full record.  Our discussion and determination of the issues follows below.</w:t>
      </w:r>
    </w:p>
    <w:p w14:paraId="65DB24F1" w14:textId="77777777" w:rsidR="004A7EB3" w:rsidRPr="00942F86" w:rsidRDefault="004A7EB3" w:rsidP="000455AC">
      <w:pPr>
        <w:spacing w:line="264" w:lineRule="auto"/>
        <w:rPr>
          <w:sz w:val="25"/>
          <w:szCs w:val="25"/>
        </w:rPr>
      </w:pPr>
    </w:p>
    <w:p w14:paraId="6267268E" w14:textId="77777777" w:rsidR="00764268" w:rsidRPr="00942F86" w:rsidRDefault="006D5AFA" w:rsidP="000455AC">
      <w:pPr>
        <w:pStyle w:val="Heading2"/>
        <w:keepLines/>
        <w:spacing w:before="0" w:after="0" w:line="264" w:lineRule="auto"/>
        <w:ind w:left="360" w:hanging="360"/>
        <w:rPr>
          <w:rFonts w:ascii="Times New Roman" w:hAnsi="Times New Roman" w:cs="Times New Roman"/>
          <w:i w:val="0"/>
          <w:sz w:val="25"/>
          <w:szCs w:val="25"/>
        </w:rPr>
      </w:pPr>
      <w:bookmarkStart w:id="9" w:name="_Toc252797493"/>
      <w:bookmarkStart w:id="10" w:name="_Toc415037609"/>
      <w:r w:rsidRPr="00942F86">
        <w:rPr>
          <w:rFonts w:ascii="Times New Roman" w:hAnsi="Times New Roman" w:cs="Times New Roman"/>
          <w:i w:val="0"/>
          <w:sz w:val="25"/>
          <w:szCs w:val="25"/>
        </w:rPr>
        <w:lastRenderedPageBreak/>
        <w:t>II.</w:t>
      </w:r>
      <w:r w:rsidR="00B70914" w:rsidRPr="00942F86">
        <w:rPr>
          <w:rFonts w:ascii="Times New Roman" w:hAnsi="Times New Roman" w:cs="Times New Roman"/>
          <w:i w:val="0"/>
          <w:sz w:val="25"/>
          <w:szCs w:val="25"/>
        </w:rPr>
        <w:tab/>
      </w:r>
      <w:r w:rsidR="00764268" w:rsidRPr="00942F86">
        <w:rPr>
          <w:rFonts w:ascii="Times New Roman" w:hAnsi="Times New Roman" w:cs="Times New Roman"/>
          <w:i w:val="0"/>
          <w:sz w:val="25"/>
          <w:szCs w:val="25"/>
        </w:rPr>
        <w:t>Ratemaking Authority and Practice</w:t>
      </w:r>
      <w:bookmarkEnd w:id="10"/>
    </w:p>
    <w:p w14:paraId="56318800" w14:textId="77777777" w:rsidR="00764268" w:rsidRPr="00942F86" w:rsidRDefault="00764268" w:rsidP="000455AC">
      <w:pPr>
        <w:spacing w:line="264" w:lineRule="auto"/>
        <w:rPr>
          <w:sz w:val="25"/>
          <w:szCs w:val="25"/>
        </w:rPr>
      </w:pPr>
    </w:p>
    <w:p w14:paraId="76798920" w14:textId="77777777" w:rsidR="00C25E0B" w:rsidRPr="00942F86" w:rsidRDefault="00C25E0B" w:rsidP="005E0DF4">
      <w:pPr>
        <w:numPr>
          <w:ilvl w:val="0"/>
          <w:numId w:val="1"/>
        </w:numPr>
        <w:tabs>
          <w:tab w:val="clear" w:pos="720"/>
          <w:tab w:val="num" w:pos="0"/>
        </w:tabs>
        <w:spacing w:line="264" w:lineRule="auto"/>
        <w:ind w:left="0"/>
        <w:rPr>
          <w:sz w:val="25"/>
          <w:szCs w:val="25"/>
        </w:rPr>
      </w:pPr>
      <w:r w:rsidRPr="00942F86">
        <w:rPr>
          <w:sz w:val="25"/>
          <w:szCs w:val="25"/>
        </w:rPr>
        <w:t xml:space="preserve">The Commission’s general powers and duties set forth in </w:t>
      </w:r>
      <w:proofErr w:type="spellStart"/>
      <w:r w:rsidRPr="00942F86">
        <w:rPr>
          <w:sz w:val="25"/>
          <w:szCs w:val="25"/>
        </w:rPr>
        <w:t>RCW</w:t>
      </w:r>
      <w:proofErr w:type="spellEnd"/>
      <w:r w:rsidRPr="00942F86">
        <w:rPr>
          <w:sz w:val="25"/>
          <w:szCs w:val="25"/>
        </w:rPr>
        <w:t xml:space="preserve"> 80.01.040 include its responsibility to: </w:t>
      </w:r>
    </w:p>
    <w:p w14:paraId="08F5822F" w14:textId="77777777" w:rsidR="00C25E0B" w:rsidRPr="00942F86" w:rsidRDefault="00C25E0B" w:rsidP="000455AC">
      <w:pPr>
        <w:spacing w:line="264" w:lineRule="auto"/>
        <w:rPr>
          <w:sz w:val="25"/>
          <w:szCs w:val="25"/>
        </w:rPr>
      </w:pPr>
    </w:p>
    <w:p w14:paraId="4AD0BE5E" w14:textId="2FC68F1D" w:rsidR="00810198" w:rsidRPr="00942F86" w:rsidRDefault="00C25E0B" w:rsidP="000455AC">
      <w:pPr>
        <w:spacing w:line="264" w:lineRule="auto"/>
        <w:ind w:left="720" w:right="720"/>
        <w:rPr>
          <w:sz w:val="25"/>
          <w:szCs w:val="25"/>
        </w:rPr>
      </w:pPr>
      <w:r w:rsidRPr="00942F86">
        <w:rPr>
          <w:sz w:val="25"/>
          <w:szCs w:val="25"/>
        </w:rPr>
        <w:t>Regulate in the public interest, as provided by the public service laws, the rates, services, facilities, and practices of all persons engaging within this state in the business of supplying any utility service or commodity to the public for compensation.</w:t>
      </w:r>
      <w:r w:rsidRPr="00942F86">
        <w:rPr>
          <w:rStyle w:val="FootnoteReference"/>
          <w:sz w:val="25"/>
          <w:szCs w:val="25"/>
        </w:rPr>
        <w:footnoteReference w:id="11"/>
      </w:r>
    </w:p>
    <w:p w14:paraId="3E7C45CF" w14:textId="77777777" w:rsidR="00C25E0B" w:rsidRPr="00942F86" w:rsidRDefault="00C25E0B" w:rsidP="000455AC">
      <w:pPr>
        <w:spacing w:line="264" w:lineRule="auto"/>
        <w:rPr>
          <w:sz w:val="25"/>
          <w:szCs w:val="25"/>
        </w:rPr>
      </w:pPr>
    </w:p>
    <w:p w14:paraId="1CC2E3D2" w14:textId="227F6799" w:rsidR="00A02608" w:rsidRPr="00942F86" w:rsidRDefault="002A7142" w:rsidP="000455AC">
      <w:pPr>
        <w:spacing w:line="264" w:lineRule="auto"/>
        <w:rPr>
          <w:sz w:val="25"/>
          <w:szCs w:val="25"/>
        </w:rPr>
      </w:pPr>
      <w:r w:rsidRPr="00942F86">
        <w:rPr>
          <w:sz w:val="25"/>
          <w:szCs w:val="25"/>
        </w:rPr>
        <w:t>When a utility subject to the Commission’s jurisdiction, such as Pacific Power, files tariff sheets that would effect a change in the rates, terms, or conditions of its service to customers in Washington that is a “general rate proceeding” under WAC 480-07-505</w:t>
      </w:r>
      <w:r w:rsidR="002016A8" w:rsidRPr="00942F86">
        <w:rPr>
          <w:sz w:val="25"/>
          <w:szCs w:val="25"/>
        </w:rPr>
        <w:t xml:space="preserve">.  In such cases, </w:t>
      </w:r>
      <w:r w:rsidR="00A02608" w:rsidRPr="00942F86">
        <w:rPr>
          <w:sz w:val="25"/>
          <w:szCs w:val="25"/>
        </w:rPr>
        <w:t xml:space="preserve">the Commission typically exercises its authority under </w:t>
      </w:r>
      <w:proofErr w:type="spellStart"/>
      <w:r w:rsidR="00A02608" w:rsidRPr="00942F86">
        <w:rPr>
          <w:sz w:val="25"/>
          <w:szCs w:val="25"/>
        </w:rPr>
        <w:t>RCW</w:t>
      </w:r>
      <w:proofErr w:type="spellEnd"/>
      <w:r w:rsidR="00A02608" w:rsidRPr="00942F86">
        <w:rPr>
          <w:sz w:val="25"/>
          <w:szCs w:val="25"/>
        </w:rPr>
        <w:t xml:space="preserve"> 80.04.130 (1) to suspend the effectiveness of the filing for up to </w:t>
      </w:r>
      <w:r w:rsidR="002016A8" w:rsidRPr="00942F86">
        <w:rPr>
          <w:sz w:val="25"/>
          <w:szCs w:val="25"/>
        </w:rPr>
        <w:t xml:space="preserve">10 </w:t>
      </w:r>
      <w:r w:rsidR="00A02608" w:rsidRPr="00942F86">
        <w:rPr>
          <w:sz w:val="25"/>
          <w:szCs w:val="25"/>
        </w:rPr>
        <w:t>months and set the matter for hearing.</w:t>
      </w:r>
      <w:r w:rsidR="00A02608" w:rsidRPr="00942F86">
        <w:rPr>
          <w:rStyle w:val="FootnoteReference"/>
          <w:sz w:val="25"/>
          <w:szCs w:val="25"/>
        </w:rPr>
        <w:footnoteReference w:id="12"/>
      </w:r>
    </w:p>
    <w:p w14:paraId="5ED68C7B" w14:textId="77777777" w:rsidR="00A02608" w:rsidRPr="00942F86" w:rsidRDefault="00A02608" w:rsidP="000455AC">
      <w:pPr>
        <w:spacing w:line="264" w:lineRule="auto"/>
        <w:rPr>
          <w:sz w:val="25"/>
          <w:szCs w:val="25"/>
        </w:rPr>
      </w:pPr>
    </w:p>
    <w:p w14:paraId="4ABC2177" w14:textId="15DAFCC9" w:rsidR="00764268" w:rsidRDefault="00764268" w:rsidP="005E0DF4">
      <w:pPr>
        <w:numPr>
          <w:ilvl w:val="0"/>
          <w:numId w:val="1"/>
        </w:numPr>
        <w:tabs>
          <w:tab w:val="clear" w:pos="720"/>
          <w:tab w:val="num" w:pos="0"/>
        </w:tabs>
        <w:spacing w:line="264" w:lineRule="auto"/>
        <w:ind w:left="0"/>
        <w:rPr>
          <w:sz w:val="25"/>
          <w:szCs w:val="25"/>
        </w:rPr>
      </w:pPr>
      <w:r w:rsidRPr="00942F86">
        <w:rPr>
          <w:sz w:val="25"/>
          <w:szCs w:val="25"/>
        </w:rPr>
        <w:t xml:space="preserve">The Commission’s responsibility in general rate case proceedings is to determine an appropriate balance between the needs of the public to have safe and reliable electric services at reasonable rates, and the financial ability of the utility to provide such services on an ongoing basis.  </w:t>
      </w:r>
      <w:r w:rsidR="00194B62" w:rsidRPr="00942F86">
        <w:rPr>
          <w:sz w:val="25"/>
          <w:szCs w:val="25"/>
        </w:rPr>
        <w:t>In statutory parlance, whenever the Commission finds, after a hearing, that a utilities rates are “unjust, unreasonable, unjustly discriminatory or unduly preferential,” or that its rates “are insufficient to yield a reasonable compensation” to the utility, the Commission must “determine the just, reasonable, or sufficient rates” to be effective prospectively.</w:t>
      </w:r>
      <w:r w:rsidR="00194B62" w:rsidRPr="00942F86">
        <w:rPr>
          <w:rStyle w:val="FootnoteReference"/>
          <w:sz w:val="25"/>
          <w:szCs w:val="25"/>
        </w:rPr>
        <w:footnoteReference w:id="13"/>
      </w:r>
      <w:r w:rsidR="00716207" w:rsidRPr="00942F86">
        <w:rPr>
          <w:sz w:val="25"/>
          <w:szCs w:val="25"/>
        </w:rPr>
        <w:t xml:space="preserve">  </w:t>
      </w:r>
      <w:r w:rsidRPr="00942F86">
        <w:rPr>
          <w:sz w:val="25"/>
          <w:szCs w:val="25"/>
        </w:rPr>
        <w:t xml:space="preserve">Table 1 illustrates that the parties in this proceeding hold very different ideas of what amount of revenue increase, or decrease, </w:t>
      </w:r>
      <w:r w:rsidR="00716207" w:rsidRPr="00942F86">
        <w:rPr>
          <w:sz w:val="25"/>
          <w:szCs w:val="25"/>
        </w:rPr>
        <w:t xml:space="preserve">will produce rates that </w:t>
      </w:r>
      <w:r w:rsidRPr="00942F86">
        <w:rPr>
          <w:sz w:val="25"/>
          <w:szCs w:val="25"/>
        </w:rPr>
        <w:t xml:space="preserve">strike this balance.  </w:t>
      </w:r>
    </w:p>
    <w:p w14:paraId="58713189" w14:textId="77777777" w:rsidR="00BF7B6F" w:rsidRPr="00942F86" w:rsidRDefault="00BF7B6F" w:rsidP="00BF7B6F">
      <w:pPr>
        <w:spacing w:line="264" w:lineRule="auto"/>
        <w:rPr>
          <w:sz w:val="25"/>
          <w:szCs w:val="25"/>
        </w:rPr>
      </w:pPr>
    </w:p>
    <w:tbl>
      <w:tblPr>
        <w:tblW w:w="7830"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530"/>
        <w:gridCol w:w="1530"/>
        <w:gridCol w:w="1710"/>
        <w:gridCol w:w="1530"/>
      </w:tblGrid>
      <w:tr w:rsidR="00764268" w:rsidRPr="00942F86" w14:paraId="6D1650AD" w14:textId="77777777" w:rsidTr="005E0DF4">
        <w:trPr>
          <w:trHeight w:val="477"/>
        </w:trPr>
        <w:tc>
          <w:tcPr>
            <w:tcW w:w="7830" w:type="dxa"/>
            <w:gridSpan w:val="5"/>
            <w:tcBorders>
              <w:top w:val="thinThickSmallGap" w:sz="24" w:space="0" w:color="auto"/>
              <w:left w:val="thinThickSmallGap" w:sz="24" w:space="0" w:color="auto"/>
              <w:bottom w:val="double" w:sz="4" w:space="0" w:color="auto"/>
              <w:right w:val="thickThinSmallGap" w:sz="24" w:space="0" w:color="auto"/>
            </w:tcBorders>
          </w:tcPr>
          <w:p w14:paraId="15B0E62A" w14:textId="77777777" w:rsidR="00716207" w:rsidRPr="00942F86" w:rsidRDefault="00764268" w:rsidP="000455AC">
            <w:pPr>
              <w:keepNext/>
              <w:keepLines/>
              <w:spacing w:line="264" w:lineRule="auto"/>
              <w:jc w:val="center"/>
              <w:rPr>
                <w:b/>
                <w:sz w:val="25"/>
                <w:szCs w:val="25"/>
              </w:rPr>
            </w:pPr>
            <w:r w:rsidRPr="00942F86">
              <w:rPr>
                <w:b/>
                <w:sz w:val="25"/>
                <w:szCs w:val="25"/>
              </w:rPr>
              <w:lastRenderedPageBreak/>
              <w:t>TABLE 1</w:t>
            </w:r>
          </w:p>
          <w:p w14:paraId="45FBEF40" w14:textId="3E7A9739" w:rsidR="00764268" w:rsidRPr="00942F86" w:rsidRDefault="00764268" w:rsidP="000455AC">
            <w:pPr>
              <w:keepNext/>
              <w:keepLines/>
              <w:spacing w:line="264" w:lineRule="auto"/>
              <w:jc w:val="center"/>
              <w:rPr>
                <w:sz w:val="25"/>
                <w:szCs w:val="25"/>
              </w:rPr>
            </w:pPr>
            <w:r w:rsidRPr="00942F86">
              <w:rPr>
                <w:b/>
                <w:sz w:val="25"/>
                <w:szCs w:val="25"/>
              </w:rPr>
              <w:t>Proposed Total Adjustments to Annual Revenue Requirement</w:t>
            </w:r>
          </w:p>
        </w:tc>
      </w:tr>
      <w:tr w:rsidR="00764268" w:rsidRPr="00942F86" w14:paraId="7125272D" w14:textId="77777777" w:rsidTr="005E0DF4">
        <w:trPr>
          <w:trHeight w:val="207"/>
        </w:trPr>
        <w:tc>
          <w:tcPr>
            <w:tcW w:w="1530" w:type="dxa"/>
            <w:tcBorders>
              <w:top w:val="thinThickSmallGap" w:sz="24" w:space="0" w:color="auto"/>
              <w:left w:val="thinThickSmallGap" w:sz="24" w:space="0" w:color="auto"/>
              <w:bottom w:val="double" w:sz="4" w:space="0" w:color="auto"/>
              <w:right w:val="double" w:sz="4" w:space="0" w:color="auto"/>
            </w:tcBorders>
          </w:tcPr>
          <w:p w14:paraId="0C21E24E" w14:textId="77777777" w:rsidR="00764268" w:rsidRPr="00942F86" w:rsidRDefault="00764268" w:rsidP="000455AC">
            <w:pPr>
              <w:keepNext/>
              <w:keepLines/>
              <w:spacing w:line="264" w:lineRule="auto"/>
              <w:jc w:val="center"/>
              <w:rPr>
                <w:sz w:val="25"/>
                <w:szCs w:val="25"/>
              </w:rPr>
            </w:pPr>
          </w:p>
        </w:tc>
        <w:tc>
          <w:tcPr>
            <w:tcW w:w="1530" w:type="dxa"/>
            <w:tcBorders>
              <w:top w:val="thinThickSmallGap" w:sz="24" w:space="0" w:color="auto"/>
              <w:left w:val="double" w:sz="4" w:space="0" w:color="auto"/>
              <w:bottom w:val="double" w:sz="4" w:space="0" w:color="auto"/>
            </w:tcBorders>
          </w:tcPr>
          <w:p w14:paraId="0AF37BB8" w14:textId="77777777" w:rsidR="00764268" w:rsidRPr="00942F86" w:rsidRDefault="00764268" w:rsidP="000455AC">
            <w:pPr>
              <w:keepNext/>
              <w:keepLines/>
              <w:spacing w:line="264" w:lineRule="auto"/>
              <w:jc w:val="center"/>
              <w:rPr>
                <w:sz w:val="25"/>
                <w:szCs w:val="25"/>
              </w:rPr>
            </w:pPr>
            <w:r w:rsidRPr="00942F86">
              <w:rPr>
                <w:sz w:val="25"/>
                <w:szCs w:val="25"/>
              </w:rPr>
              <w:t>As-Filed</w:t>
            </w:r>
          </w:p>
        </w:tc>
        <w:tc>
          <w:tcPr>
            <w:tcW w:w="1530" w:type="dxa"/>
            <w:tcBorders>
              <w:top w:val="thinThickSmallGap" w:sz="24" w:space="0" w:color="auto"/>
              <w:bottom w:val="double" w:sz="4" w:space="0" w:color="auto"/>
            </w:tcBorders>
          </w:tcPr>
          <w:p w14:paraId="39DDE9DB" w14:textId="77777777" w:rsidR="00764268" w:rsidRPr="00942F86" w:rsidRDefault="00764268" w:rsidP="000455AC">
            <w:pPr>
              <w:keepNext/>
              <w:keepLines/>
              <w:spacing w:line="264" w:lineRule="auto"/>
              <w:jc w:val="center"/>
              <w:rPr>
                <w:sz w:val="25"/>
                <w:szCs w:val="25"/>
              </w:rPr>
            </w:pPr>
            <w:r w:rsidRPr="00942F86">
              <w:rPr>
                <w:sz w:val="25"/>
                <w:szCs w:val="25"/>
              </w:rPr>
              <w:t>Response</w:t>
            </w:r>
          </w:p>
        </w:tc>
        <w:tc>
          <w:tcPr>
            <w:tcW w:w="1710" w:type="dxa"/>
            <w:tcBorders>
              <w:top w:val="thinThickSmallGap" w:sz="24" w:space="0" w:color="auto"/>
              <w:bottom w:val="double" w:sz="4" w:space="0" w:color="auto"/>
            </w:tcBorders>
          </w:tcPr>
          <w:p w14:paraId="11615040" w14:textId="77777777" w:rsidR="00764268" w:rsidRPr="00942F86" w:rsidRDefault="00764268" w:rsidP="000455AC">
            <w:pPr>
              <w:keepNext/>
              <w:keepLines/>
              <w:spacing w:line="264" w:lineRule="auto"/>
              <w:jc w:val="center"/>
              <w:rPr>
                <w:sz w:val="25"/>
                <w:szCs w:val="25"/>
              </w:rPr>
            </w:pPr>
            <w:r w:rsidRPr="00942F86">
              <w:rPr>
                <w:sz w:val="25"/>
                <w:szCs w:val="25"/>
              </w:rPr>
              <w:t>Rebuttal/Cross</w:t>
            </w:r>
          </w:p>
        </w:tc>
        <w:tc>
          <w:tcPr>
            <w:tcW w:w="1530" w:type="dxa"/>
            <w:tcBorders>
              <w:top w:val="thinThickSmallGap" w:sz="24" w:space="0" w:color="auto"/>
              <w:bottom w:val="double" w:sz="4" w:space="0" w:color="auto"/>
              <w:right w:val="thickThinSmallGap" w:sz="24" w:space="0" w:color="auto"/>
            </w:tcBorders>
          </w:tcPr>
          <w:p w14:paraId="5D506AFC" w14:textId="77777777" w:rsidR="00764268" w:rsidRPr="00942F86" w:rsidRDefault="00764268" w:rsidP="000455AC">
            <w:pPr>
              <w:keepNext/>
              <w:keepLines/>
              <w:spacing w:line="264" w:lineRule="auto"/>
              <w:jc w:val="center"/>
              <w:rPr>
                <w:sz w:val="25"/>
                <w:szCs w:val="25"/>
              </w:rPr>
            </w:pPr>
            <w:r w:rsidRPr="00942F86">
              <w:rPr>
                <w:sz w:val="25"/>
                <w:szCs w:val="25"/>
              </w:rPr>
              <w:t>Per Briefs</w:t>
            </w:r>
          </w:p>
        </w:tc>
      </w:tr>
      <w:tr w:rsidR="00400C1F" w:rsidRPr="00942F86" w14:paraId="2B30E4F8" w14:textId="77777777" w:rsidTr="005E0DF4">
        <w:trPr>
          <w:trHeight w:val="465"/>
        </w:trPr>
        <w:tc>
          <w:tcPr>
            <w:tcW w:w="1530" w:type="dxa"/>
            <w:tcBorders>
              <w:top w:val="double" w:sz="4" w:space="0" w:color="auto"/>
              <w:left w:val="thinThickSmallGap" w:sz="24" w:space="0" w:color="auto"/>
              <w:right w:val="double" w:sz="4" w:space="0" w:color="auto"/>
            </w:tcBorders>
          </w:tcPr>
          <w:p w14:paraId="395CDD30" w14:textId="77777777" w:rsidR="00400C1F" w:rsidRPr="00942F86" w:rsidRDefault="00400C1F" w:rsidP="000455AC">
            <w:pPr>
              <w:keepNext/>
              <w:keepLines/>
              <w:spacing w:line="264" w:lineRule="auto"/>
              <w:jc w:val="center"/>
              <w:rPr>
                <w:sz w:val="25"/>
                <w:szCs w:val="25"/>
              </w:rPr>
            </w:pPr>
            <w:proofErr w:type="spellStart"/>
            <w:r w:rsidRPr="00942F86">
              <w:rPr>
                <w:sz w:val="25"/>
                <w:szCs w:val="25"/>
              </w:rPr>
              <w:t>PP&amp;L</w:t>
            </w:r>
            <w:proofErr w:type="spellEnd"/>
          </w:p>
        </w:tc>
        <w:tc>
          <w:tcPr>
            <w:tcW w:w="1530" w:type="dxa"/>
            <w:tcBorders>
              <w:top w:val="double" w:sz="4" w:space="0" w:color="auto"/>
              <w:left w:val="double" w:sz="4" w:space="0" w:color="auto"/>
            </w:tcBorders>
          </w:tcPr>
          <w:p w14:paraId="3A9E4D62" w14:textId="77777777" w:rsidR="00400C1F" w:rsidRPr="00942F86" w:rsidRDefault="00400C1F" w:rsidP="000455AC">
            <w:pPr>
              <w:keepNext/>
              <w:keepLines/>
              <w:spacing w:line="264" w:lineRule="auto"/>
              <w:jc w:val="center"/>
              <w:rPr>
                <w:sz w:val="25"/>
                <w:szCs w:val="25"/>
              </w:rPr>
            </w:pPr>
            <w:r w:rsidRPr="00942F86">
              <w:rPr>
                <w:sz w:val="25"/>
                <w:szCs w:val="25"/>
              </w:rPr>
              <w:t>$27,201,266</w:t>
            </w:r>
          </w:p>
          <w:p w14:paraId="660B855C" w14:textId="77777777" w:rsidR="00400C1F" w:rsidRPr="00942F86" w:rsidRDefault="00400C1F" w:rsidP="000455AC">
            <w:pPr>
              <w:keepNext/>
              <w:keepLines/>
              <w:spacing w:line="264" w:lineRule="auto"/>
              <w:jc w:val="center"/>
              <w:rPr>
                <w:sz w:val="25"/>
                <w:szCs w:val="25"/>
              </w:rPr>
            </w:pPr>
            <w:r w:rsidRPr="00942F86">
              <w:rPr>
                <w:sz w:val="25"/>
                <w:szCs w:val="25"/>
              </w:rPr>
              <w:t>(8.5%)</w:t>
            </w:r>
          </w:p>
        </w:tc>
        <w:tc>
          <w:tcPr>
            <w:tcW w:w="1530" w:type="dxa"/>
            <w:tcBorders>
              <w:top w:val="double" w:sz="4" w:space="0" w:color="auto"/>
            </w:tcBorders>
            <w:shd w:val="clear" w:color="auto" w:fill="595959"/>
          </w:tcPr>
          <w:p w14:paraId="630815AD" w14:textId="77777777" w:rsidR="00400C1F" w:rsidRPr="00942F86" w:rsidRDefault="00400C1F" w:rsidP="000455AC">
            <w:pPr>
              <w:keepNext/>
              <w:keepLines/>
              <w:spacing w:line="264" w:lineRule="auto"/>
              <w:jc w:val="center"/>
              <w:rPr>
                <w:sz w:val="25"/>
                <w:szCs w:val="25"/>
              </w:rPr>
            </w:pPr>
          </w:p>
        </w:tc>
        <w:tc>
          <w:tcPr>
            <w:tcW w:w="1710" w:type="dxa"/>
            <w:tcBorders>
              <w:top w:val="double" w:sz="4" w:space="0" w:color="auto"/>
            </w:tcBorders>
          </w:tcPr>
          <w:p w14:paraId="48348655" w14:textId="77777777" w:rsidR="00400C1F" w:rsidRPr="00942F86" w:rsidRDefault="00400C1F" w:rsidP="000455AC">
            <w:pPr>
              <w:keepNext/>
              <w:keepLines/>
              <w:spacing w:line="264" w:lineRule="auto"/>
              <w:jc w:val="center"/>
              <w:rPr>
                <w:sz w:val="25"/>
                <w:szCs w:val="25"/>
              </w:rPr>
            </w:pPr>
            <w:r w:rsidRPr="00942F86">
              <w:rPr>
                <w:sz w:val="25"/>
                <w:szCs w:val="25"/>
              </w:rPr>
              <w:t>$31,938,957</w:t>
            </w:r>
          </w:p>
          <w:p w14:paraId="221247B8" w14:textId="77777777" w:rsidR="00400C1F" w:rsidRPr="00942F86" w:rsidRDefault="00400C1F" w:rsidP="000455AC">
            <w:pPr>
              <w:keepNext/>
              <w:keepLines/>
              <w:spacing w:line="264" w:lineRule="auto"/>
              <w:jc w:val="center"/>
              <w:rPr>
                <w:sz w:val="25"/>
                <w:szCs w:val="25"/>
              </w:rPr>
            </w:pPr>
            <w:r w:rsidRPr="00942F86">
              <w:rPr>
                <w:sz w:val="25"/>
                <w:szCs w:val="25"/>
              </w:rPr>
              <w:t>(9.9%)</w:t>
            </w:r>
          </w:p>
        </w:tc>
        <w:tc>
          <w:tcPr>
            <w:tcW w:w="1530" w:type="dxa"/>
            <w:tcBorders>
              <w:top w:val="double" w:sz="4" w:space="0" w:color="auto"/>
              <w:right w:val="thickThinSmallGap" w:sz="24" w:space="0" w:color="auto"/>
            </w:tcBorders>
          </w:tcPr>
          <w:p w14:paraId="7BB324B9" w14:textId="77777777" w:rsidR="00400C1F" w:rsidRPr="00942F86" w:rsidRDefault="00400C1F" w:rsidP="000455AC">
            <w:pPr>
              <w:keepNext/>
              <w:keepLines/>
              <w:spacing w:line="264" w:lineRule="auto"/>
              <w:jc w:val="center"/>
              <w:rPr>
                <w:sz w:val="25"/>
                <w:szCs w:val="25"/>
              </w:rPr>
            </w:pPr>
            <w:r w:rsidRPr="00942F86">
              <w:rPr>
                <w:sz w:val="25"/>
                <w:szCs w:val="25"/>
              </w:rPr>
              <w:t>$30,398,178</w:t>
            </w:r>
          </w:p>
          <w:p w14:paraId="32561358" w14:textId="2294B762" w:rsidR="00400C1F" w:rsidRPr="00942F86" w:rsidRDefault="00400C1F" w:rsidP="000455AC">
            <w:pPr>
              <w:keepNext/>
              <w:keepLines/>
              <w:spacing w:line="264" w:lineRule="auto"/>
              <w:jc w:val="right"/>
              <w:rPr>
                <w:sz w:val="25"/>
                <w:szCs w:val="25"/>
              </w:rPr>
            </w:pPr>
            <w:r w:rsidRPr="00942F86">
              <w:rPr>
                <w:sz w:val="25"/>
                <w:szCs w:val="25"/>
              </w:rPr>
              <w:t>(9.5%)</w:t>
            </w:r>
          </w:p>
        </w:tc>
      </w:tr>
      <w:tr w:rsidR="00400C1F" w:rsidRPr="00942F86" w14:paraId="3A171589" w14:textId="77777777" w:rsidTr="00BF7B6F">
        <w:tc>
          <w:tcPr>
            <w:tcW w:w="1530" w:type="dxa"/>
            <w:tcBorders>
              <w:left w:val="thinThickSmallGap" w:sz="24" w:space="0" w:color="auto"/>
              <w:right w:val="double" w:sz="4" w:space="0" w:color="auto"/>
            </w:tcBorders>
          </w:tcPr>
          <w:p w14:paraId="0DCCDB4F" w14:textId="77777777" w:rsidR="00400C1F" w:rsidRPr="00942F86" w:rsidRDefault="00400C1F" w:rsidP="000455AC">
            <w:pPr>
              <w:keepNext/>
              <w:keepLines/>
              <w:spacing w:line="264" w:lineRule="auto"/>
              <w:jc w:val="center"/>
              <w:rPr>
                <w:sz w:val="25"/>
                <w:szCs w:val="25"/>
              </w:rPr>
            </w:pPr>
            <w:r w:rsidRPr="00942F86">
              <w:rPr>
                <w:sz w:val="25"/>
                <w:szCs w:val="25"/>
              </w:rPr>
              <w:t>Staff</w:t>
            </w:r>
          </w:p>
        </w:tc>
        <w:tc>
          <w:tcPr>
            <w:tcW w:w="1530" w:type="dxa"/>
            <w:tcBorders>
              <w:left w:val="double" w:sz="4" w:space="0" w:color="auto"/>
            </w:tcBorders>
            <w:shd w:val="clear" w:color="auto" w:fill="595959"/>
          </w:tcPr>
          <w:p w14:paraId="070617AE" w14:textId="77777777" w:rsidR="00400C1F" w:rsidRPr="00942F86" w:rsidRDefault="00400C1F" w:rsidP="000455AC">
            <w:pPr>
              <w:keepNext/>
              <w:keepLines/>
              <w:spacing w:line="264" w:lineRule="auto"/>
              <w:jc w:val="center"/>
              <w:rPr>
                <w:color w:val="595959"/>
                <w:sz w:val="25"/>
                <w:szCs w:val="25"/>
              </w:rPr>
            </w:pPr>
          </w:p>
        </w:tc>
        <w:tc>
          <w:tcPr>
            <w:tcW w:w="1530" w:type="dxa"/>
          </w:tcPr>
          <w:p w14:paraId="0FC7279C" w14:textId="77777777" w:rsidR="00400C1F" w:rsidRPr="00942F86" w:rsidRDefault="00400C1F" w:rsidP="000455AC">
            <w:pPr>
              <w:keepNext/>
              <w:keepLines/>
              <w:spacing w:line="264" w:lineRule="auto"/>
              <w:jc w:val="center"/>
              <w:rPr>
                <w:sz w:val="25"/>
                <w:szCs w:val="25"/>
              </w:rPr>
            </w:pPr>
            <w:r w:rsidRPr="00942F86">
              <w:rPr>
                <w:sz w:val="25"/>
                <w:szCs w:val="25"/>
              </w:rPr>
              <w:t>$7,740,733</w:t>
            </w:r>
          </w:p>
          <w:p w14:paraId="66474464" w14:textId="77777777" w:rsidR="00400C1F" w:rsidRPr="00942F86" w:rsidRDefault="00400C1F" w:rsidP="000455AC">
            <w:pPr>
              <w:keepNext/>
              <w:keepLines/>
              <w:spacing w:line="264" w:lineRule="auto"/>
              <w:jc w:val="center"/>
              <w:rPr>
                <w:sz w:val="25"/>
                <w:szCs w:val="25"/>
              </w:rPr>
            </w:pPr>
            <w:r w:rsidRPr="00942F86">
              <w:rPr>
                <w:sz w:val="25"/>
                <w:szCs w:val="25"/>
              </w:rPr>
              <w:t>(2.41%)</w:t>
            </w:r>
          </w:p>
        </w:tc>
        <w:tc>
          <w:tcPr>
            <w:tcW w:w="1710" w:type="dxa"/>
            <w:shd w:val="clear" w:color="auto" w:fill="595959"/>
          </w:tcPr>
          <w:p w14:paraId="57179D6C" w14:textId="77777777" w:rsidR="00400C1F" w:rsidRPr="00942F86" w:rsidRDefault="00400C1F" w:rsidP="000455AC">
            <w:pPr>
              <w:keepNext/>
              <w:keepLines/>
              <w:spacing w:line="264" w:lineRule="auto"/>
              <w:jc w:val="center"/>
              <w:rPr>
                <w:sz w:val="25"/>
                <w:szCs w:val="25"/>
              </w:rPr>
            </w:pPr>
          </w:p>
        </w:tc>
        <w:tc>
          <w:tcPr>
            <w:tcW w:w="1530" w:type="dxa"/>
            <w:tcBorders>
              <w:right w:val="thickThinSmallGap" w:sz="24" w:space="0" w:color="auto"/>
            </w:tcBorders>
          </w:tcPr>
          <w:p w14:paraId="3E4BECEA" w14:textId="77777777" w:rsidR="00400C1F" w:rsidRPr="00942F86" w:rsidRDefault="00400C1F" w:rsidP="000455AC">
            <w:pPr>
              <w:keepNext/>
              <w:keepLines/>
              <w:spacing w:line="264" w:lineRule="auto"/>
              <w:jc w:val="center"/>
              <w:rPr>
                <w:sz w:val="25"/>
                <w:szCs w:val="25"/>
              </w:rPr>
            </w:pPr>
            <w:r w:rsidRPr="00942F86">
              <w:rPr>
                <w:sz w:val="25"/>
                <w:szCs w:val="25"/>
              </w:rPr>
              <w:t>$7,955,874</w:t>
            </w:r>
          </w:p>
          <w:p w14:paraId="3FFF240E" w14:textId="01CC9D56" w:rsidR="00400C1F" w:rsidRPr="00942F86" w:rsidRDefault="00400C1F" w:rsidP="000455AC">
            <w:pPr>
              <w:keepNext/>
              <w:keepLines/>
              <w:spacing w:line="264" w:lineRule="auto"/>
              <w:jc w:val="center"/>
              <w:rPr>
                <w:sz w:val="25"/>
                <w:szCs w:val="25"/>
              </w:rPr>
            </w:pPr>
            <w:r w:rsidRPr="00942F86">
              <w:rPr>
                <w:sz w:val="25"/>
                <w:szCs w:val="25"/>
              </w:rPr>
              <w:t>(2.47%)</w:t>
            </w:r>
          </w:p>
        </w:tc>
      </w:tr>
      <w:tr w:rsidR="00400C1F" w:rsidRPr="00942F86" w14:paraId="516799DA" w14:textId="77777777" w:rsidTr="00BF7B6F">
        <w:tc>
          <w:tcPr>
            <w:tcW w:w="1530" w:type="dxa"/>
            <w:tcBorders>
              <w:left w:val="thinThickSmallGap" w:sz="24" w:space="0" w:color="auto"/>
              <w:right w:val="double" w:sz="4" w:space="0" w:color="auto"/>
            </w:tcBorders>
          </w:tcPr>
          <w:p w14:paraId="22A20A8E" w14:textId="77777777" w:rsidR="00400C1F" w:rsidRPr="00942F86" w:rsidRDefault="00400C1F" w:rsidP="000455AC">
            <w:pPr>
              <w:keepNext/>
              <w:keepLines/>
              <w:spacing w:line="264" w:lineRule="auto"/>
              <w:jc w:val="center"/>
              <w:rPr>
                <w:sz w:val="25"/>
                <w:szCs w:val="25"/>
              </w:rPr>
            </w:pPr>
            <w:r w:rsidRPr="00942F86">
              <w:rPr>
                <w:sz w:val="25"/>
                <w:szCs w:val="25"/>
              </w:rPr>
              <w:t>Public Counsel</w:t>
            </w:r>
          </w:p>
        </w:tc>
        <w:tc>
          <w:tcPr>
            <w:tcW w:w="1530" w:type="dxa"/>
            <w:tcBorders>
              <w:left w:val="double" w:sz="4" w:space="0" w:color="auto"/>
            </w:tcBorders>
            <w:shd w:val="clear" w:color="auto" w:fill="595959"/>
          </w:tcPr>
          <w:p w14:paraId="3D7B9EA3" w14:textId="77777777" w:rsidR="00400C1F" w:rsidRPr="00942F86" w:rsidRDefault="00400C1F" w:rsidP="000455AC">
            <w:pPr>
              <w:keepNext/>
              <w:keepLines/>
              <w:spacing w:line="264" w:lineRule="auto"/>
              <w:jc w:val="center"/>
              <w:rPr>
                <w:color w:val="595959"/>
                <w:sz w:val="25"/>
                <w:szCs w:val="25"/>
              </w:rPr>
            </w:pPr>
          </w:p>
        </w:tc>
        <w:tc>
          <w:tcPr>
            <w:tcW w:w="1530" w:type="dxa"/>
          </w:tcPr>
          <w:p w14:paraId="4A819DC5" w14:textId="77777777" w:rsidR="00400C1F" w:rsidRPr="00942F86" w:rsidRDefault="00400C1F" w:rsidP="000455AC">
            <w:pPr>
              <w:keepNext/>
              <w:keepLines/>
              <w:spacing w:line="264" w:lineRule="auto"/>
              <w:jc w:val="center"/>
              <w:rPr>
                <w:sz w:val="25"/>
                <w:szCs w:val="25"/>
              </w:rPr>
            </w:pPr>
            <w:r w:rsidRPr="00942F86">
              <w:rPr>
                <w:sz w:val="25"/>
                <w:szCs w:val="25"/>
              </w:rPr>
              <w:t>$1,126,556</w:t>
            </w:r>
          </w:p>
          <w:p w14:paraId="698E5E23" w14:textId="77777777" w:rsidR="00400C1F" w:rsidRPr="00942F86" w:rsidRDefault="00400C1F" w:rsidP="000455AC">
            <w:pPr>
              <w:keepNext/>
              <w:keepLines/>
              <w:spacing w:line="264" w:lineRule="auto"/>
              <w:jc w:val="center"/>
              <w:rPr>
                <w:sz w:val="25"/>
                <w:szCs w:val="25"/>
              </w:rPr>
            </w:pPr>
            <w:r w:rsidRPr="00942F86">
              <w:rPr>
                <w:sz w:val="25"/>
                <w:szCs w:val="25"/>
              </w:rPr>
              <w:t>(0.35%)</w:t>
            </w:r>
          </w:p>
        </w:tc>
        <w:tc>
          <w:tcPr>
            <w:tcW w:w="1710" w:type="dxa"/>
            <w:shd w:val="clear" w:color="auto" w:fill="595959"/>
          </w:tcPr>
          <w:p w14:paraId="15BE612C" w14:textId="77777777" w:rsidR="00400C1F" w:rsidRPr="00942F86" w:rsidRDefault="00400C1F" w:rsidP="000455AC">
            <w:pPr>
              <w:keepNext/>
              <w:keepLines/>
              <w:spacing w:line="264" w:lineRule="auto"/>
              <w:jc w:val="center"/>
              <w:rPr>
                <w:sz w:val="25"/>
                <w:szCs w:val="25"/>
              </w:rPr>
            </w:pPr>
          </w:p>
        </w:tc>
        <w:tc>
          <w:tcPr>
            <w:tcW w:w="1530" w:type="dxa"/>
            <w:tcBorders>
              <w:right w:val="thickThinSmallGap" w:sz="24" w:space="0" w:color="auto"/>
            </w:tcBorders>
            <w:shd w:val="clear" w:color="auto" w:fill="auto"/>
          </w:tcPr>
          <w:p w14:paraId="21BC94EE" w14:textId="77777777" w:rsidR="00400C1F" w:rsidRPr="00942F86" w:rsidRDefault="00400C1F" w:rsidP="000455AC">
            <w:pPr>
              <w:keepNext/>
              <w:keepLines/>
              <w:spacing w:line="264" w:lineRule="auto"/>
              <w:jc w:val="center"/>
              <w:rPr>
                <w:sz w:val="25"/>
                <w:szCs w:val="25"/>
              </w:rPr>
            </w:pPr>
            <w:r w:rsidRPr="00942F86">
              <w:rPr>
                <w:sz w:val="25"/>
                <w:szCs w:val="25"/>
              </w:rPr>
              <w:t>$1,126,556</w:t>
            </w:r>
          </w:p>
          <w:p w14:paraId="43A2A382" w14:textId="5AAA3A24" w:rsidR="00400C1F" w:rsidRPr="00942F86" w:rsidRDefault="00400C1F" w:rsidP="000455AC">
            <w:pPr>
              <w:keepNext/>
              <w:keepLines/>
              <w:spacing w:line="264" w:lineRule="auto"/>
              <w:jc w:val="center"/>
              <w:rPr>
                <w:color w:val="595959"/>
                <w:sz w:val="25"/>
                <w:szCs w:val="25"/>
              </w:rPr>
            </w:pPr>
            <w:r w:rsidRPr="00942F86">
              <w:rPr>
                <w:sz w:val="25"/>
                <w:szCs w:val="25"/>
              </w:rPr>
              <w:t>(0.35%)</w:t>
            </w:r>
          </w:p>
        </w:tc>
      </w:tr>
      <w:tr w:rsidR="00400C1F" w:rsidRPr="00942F86" w14:paraId="1EB29D8B" w14:textId="77777777" w:rsidTr="005E0DF4">
        <w:trPr>
          <w:trHeight w:val="512"/>
        </w:trPr>
        <w:tc>
          <w:tcPr>
            <w:tcW w:w="1530" w:type="dxa"/>
            <w:tcBorders>
              <w:left w:val="thinThickSmallGap" w:sz="24" w:space="0" w:color="auto"/>
              <w:bottom w:val="thickThinSmallGap" w:sz="24" w:space="0" w:color="auto"/>
              <w:right w:val="double" w:sz="4" w:space="0" w:color="auto"/>
            </w:tcBorders>
          </w:tcPr>
          <w:p w14:paraId="0E86220E" w14:textId="77777777" w:rsidR="00400C1F" w:rsidRPr="00942F86" w:rsidRDefault="00400C1F" w:rsidP="000455AC">
            <w:pPr>
              <w:keepNext/>
              <w:keepLines/>
              <w:spacing w:line="264" w:lineRule="auto"/>
              <w:jc w:val="center"/>
              <w:rPr>
                <w:sz w:val="25"/>
                <w:szCs w:val="25"/>
              </w:rPr>
            </w:pPr>
            <w:r w:rsidRPr="00942F86">
              <w:rPr>
                <w:sz w:val="25"/>
                <w:szCs w:val="25"/>
              </w:rPr>
              <w:t>Boise White Paper</w:t>
            </w:r>
          </w:p>
        </w:tc>
        <w:tc>
          <w:tcPr>
            <w:tcW w:w="1530" w:type="dxa"/>
            <w:tcBorders>
              <w:left w:val="double" w:sz="4" w:space="0" w:color="auto"/>
              <w:bottom w:val="thickThinSmallGap" w:sz="24" w:space="0" w:color="auto"/>
            </w:tcBorders>
            <w:shd w:val="clear" w:color="auto" w:fill="595959"/>
          </w:tcPr>
          <w:p w14:paraId="4AD52F1A" w14:textId="77777777" w:rsidR="00400C1F" w:rsidRPr="00942F86" w:rsidRDefault="00400C1F" w:rsidP="000455AC">
            <w:pPr>
              <w:keepNext/>
              <w:keepLines/>
              <w:spacing w:line="264" w:lineRule="auto"/>
              <w:jc w:val="center"/>
              <w:rPr>
                <w:color w:val="595959"/>
                <w:sz w:val="25"/>
                <w:szCs w:val="25"/>
              </w:rPr>
            </w:pPr>
          </w:p>
        </w:tc>
        <w:tc>
          <w:tcPr>
            <w:tcW w:w="1530" w:type="dxa"/>
            <w:tcBorders>
              <w:bottom w:val="thickThinSmallGap" w:sz="24" w:space="0" w:color="auto"/>
            </w:tcBorders>
          </w:tcPr>
          <w:p w14:paraId="6F7CE53D" w14:textId="77777777" w:rsidR="00400C1F" w:rsidRPr="00942F86" w:rsidRDefault="00400C1F" w:rsidP="000455AC">
            <w:pPr>
              <w:keepNext/>
              <w:keepLines/>
              <w:spacing w:line="264" w:lineRule="auto"/>
              <w:jc w:val="center"/>
              <w:rPr>
                <w:sz w:val="25"/>
                <w:szCs w:val="25"/>
              </w:rPr>
            </w:pPr>
            <w:r w:rsidRPr="00942F86">
              <w:rPr>
                <w:sz w:val="25"/>
                <w:szCs w:val="25"/>
              </w:rPr>
              <w:t>$(2,736,141)</w:t>
            </w:r>
          </w:p>
          <w:p w14:paraId="25734B79" w14:textId="77777777" w:rsidR="00400C1F" w:rsidRPr="00942F86" w:rsidRDefault="00400C1F" w:rsidP="000455AC">
            <w:pPr>
              <w:keepNext/>
              <w:keepLines/>
              <w:spacing w:line="264" w:lineRule="auto"/>
              <w:jc w:val="center"/>
              <w:rPr>
                <w:sz w:val="25"/>
                <w:szCs w:val="25"/>
              </w:rPr>
            </w:pPr>
            <w:r w:rsidRPr="00942F86">
              <w:rPr>
                <w:sz w:val="25"/>
                <w:szCs w:val="25"/>
              </w:rPr>
              <w:t>(0.85%)</w:t>
            </w:r>
          </w:p>
        </w:tc>
        <w:tc>
          <w:tcPr>
            <w:tcW w:w="1710" w:type="dxa"/>
            <w:tcBorders>
              <w:bottom w:val="thickThinSmallGap" w:sz="24" w:space="0" w:color="auto"/>
            </w:tcBorders>
            <w:shd w:val="clear" w:color="auto" w:fill="595959"/>
          </w:tcPr>
          <w:p w14:paraId="5323339A" w14:textId="77777777" w:rsidR="00400C1F" w:rsidRPr="00942F86" w:rsidRDefault="00400C1F" w:rsidP="000455AC">
            <w:pPr>
              <w:keepNext/>
              <w:keepLines/>
              <w:spacing w:line="264" w:lineRule="auto"/>
              <w:jc w:val="center"/>
              <w:rPr>
                <w:sz w:val="25"/>
                <w:szCs w:val="25"/>
              </w:rPr>
            </w:pPr>
          </w:p>
        </w:tc>
        <w:tc>
          <w:tcPr>
            <w:tcW w:w="1530" w:type="dxa"/>
            <w:tcBorders>
              <w:bottom w:val="thickThinSmallGap" w:sz="24" w:space="0" w:color="auto"/>
              <w:right w:val="thickThinSmallGap" w:sz="24" w:space="0" w:color="auto"/>
            </w:tcBorders>
            <w:shd w:val="clear" w:color="auto" w:fill="auto"/>
          </w:tcPr>
          <w:p w14:paraId="4F855317" w14:textId="77777777" w:rsidR="00400C1F" w:rsidRPr="00942F86" w:rsidRDefault="00400C1F" w:rsidP="000455AC">
            <w:pPr>
              <w:keepNext/>
              <w:keepLines/>
              <w:spacing w:line="264" w:lineRule="auto"/>
              <w:jc w:val="center"/>
              <w:rPr>
                <w:sz w:val="25"/>
                <w:szCs w:val="25"/>
              </w:rPr>
            </w:pPr>
            <w:r w:rsidRPr="00942F86">
              <w:rPr>
                <w:sz w:val="25"/>
                <w:szCs w:val="25"/>
              </w:rPr>
              <w:t>$3,344,138</w:t>
            </w:r>
          </w:p>
          <w:p w14:paraId="087F8233" w14:textId="3F56048A" w:rsidR="00400C1F" w:rsidRPr="00942F86" w:rsidRDefault="00B04B46" w:rsidP="000455AC">
            <w:pPr>
              <w:keepNext/>
              <w:keepLines/>
              <w:spacing w:line="264" w:lineRule="auto"/>
              <w:jc w:val="center"/>
              <w:rPr>
                <w:color w:val="595959"/>
                <w:sz w:val="25"/>
                <w:szCs w:val="25"/>
              </w:rPr>
            </w:pPr>
            <w:r w:rsidRPr="00942F86">
              <w:rPr>
                <w:sz w:val="25"/>
                <w:szCs w:val="25"/>
              </w:rPr>
              <w:t>(</w:t>
            </w:r>
            <w:r w:rsidR="00400C1F" w:rsidRPr="00942F86">
              <w:rPr>
                <w:sz w:val="25"/>
                <w:szCs w:val="25"/>
              </w:rPr>
              <w:t>1.04%</w:t>
            </w:r>
            <w:r w:rsidRPr="00942F86">
              <w:rPr>
                <w:sz w:val="25"/>
                <w:szCs w:val="25"/>
              </w:rPr>
              <w:t>)</w:t>
            </w:r>
          </w:p>
        </w:tc>
      </w:tr>
    </w:tbl>
    <w:p w14:paraId="4A927CB8" w14:textId="77777777" w:rsidR="00764268" w:rsidRPr="00942F86" w:rsidRDefault="00764268" w:rsidP="000455AC">
      <w:pPr>
        <w:spacing w:line="264" w:lineRule="auto"/>
        <w:rPr>
          <w:sz w:val="25"/>
          <w:szCs w:val="25"/>
        </w:rPr>
      </w:pPr>
    </w:p>
    <w:p w14:paraId="70C78BDD" w14:textId="6F9BB46D" w:rsidR="00764268" w:rsidRPr="00942F86" w:rsidRDefault="00764268" w:rsidP="000455AC">
      <w:pPr>
        <w:spacing w:line="264" w:lineRule="auto"/>
        <w:rPr>
          <w:sz w:val="25"/>
          <w:szCs w:val="25"/>
        </w:rPr>
      </w:pPr>
      <w:r w:rsidRPr="00942F86">
        <w:rPr>
          <w:sz w:val="25"/>
          <w:szCs w:val="25"/>
        </w:rPr>
        <w:t>The range of possible outcomes</w:t>
      </w:r>
      <w:r w:rsidR="001251C6" w:rsidRPr="00942F86">
        <w:rPr>
          <w:sz w:val="25"/>
          <w:szCs w:val="25"/>
        </w:rPr>
        <w:t xml:space="preserve"> most likely</w:t>
      </w:r>
      <w:r w:rsidRPr="00942F86">
        <w:rPr>
          <w:sz w:val="25"/>
          <w:szCs w:val="25"/>
        </w:rPr>
        <w:t xml:space="preserve"> encompasses a somewhat narrower range of reasonable outcomes.  We must determine solely on the record of this proceeding </w:t>
      </w:r>
      <w:r w:rsidR="00716207" w:rsidRPr="00942F86">
        <w:rPr>
          <w:sz w:val="25"/>
          <w:szCs w:val="25"/>
        </w:rPr>
        <w:t xml:space="preserve">the reasonable range and </w:t>
      </w:r>
      <w:r w:rsidRPr="00942F86">
        <w:rPr>
          <w:sz w:val="25"/>
          <w:szCs w:val="25"/>
        </w:rPr>
        <w:t xml:space="preserve">what </w:t>
      </w:r>
      <w:r w:rsidR="00716207" w:rsidRPr="00942F86">
        <w:rPr>
          <w:sz w:val="25"/>
          <w:szCs w:val="25"/>
        </w:rPr>
        <w:t xml:space="preserve">revenue requirement </w:t>
      </w:r>
      <w:r w:rsidRPr="00942F86">
        <w:rPr>
          <w:sz w:val="25"/>
          <w:szCs w:val="25"/>
        </w:rPr>
        <w:t xml:space="preserve">within the reasonable range </w:t>
      </w:r>
      <w:r w:rsidR="00716207" w:rsidRPr="00942F86">
        <w:rPr>
          <w:sz w:val="25"/>
          <w:szCs w:val="25"/>
        </w:rPr>
        <w:t xml:space="preserve">results in rates that </w:t>
      </w:r>
      <w:r w:rsidRPr="00942F86">
        <w:rPr>
          <w:sz w:val="25"/>
          <w:szCs w:val="25"/>
        </w:rPr>
        <w:t>are just, reasonable, and sufficient.</w:t>
      </w:r>
      <w:r w:rsidR="00C53366" w:rsidRPr="00942F86">
        <w:rPr>
          <w:rStyle w:val="FootnoteReference"/>
          <w:sz w:val="25"/>
          <w:szCs w:val="25"/>
        </w:rPr>
        <w:footnoteReference w:id="14"/>
      </w:r>
      <w:r w:rsidR="00D93438" w:rsidRPr="00942F86">
        <w:rPr>
          <w:sz w:val="25"/>
          <w:szCs w:val="25"/>
        </w:rPr>
        <w:t xml:space="preserve">  </w:t>
      </w:r>
      <w:r w:rsidRPr="00942F86">
        <w:rPr>
          <w:sz w:val="25"/>
          <w:szCs w:val="25"/>
        </w:rPr>
        <w:t xml:space="preserve">  </w:t>
      </w:r>
    </w:p>
    <w:p w14:paraId="324D8224" w14:textId="77777777" w:rsidR="00764268" w:rsidRPr="00942F86" w:rsidRDefault="00764268" w:rsidP="000455AC">
      <w:pPr>
        <w:spacing w:line="264" w:lineRule="auto"/>
        <w:rPr>
          <w:sz w:val="25"/>
          <w:szCs w:val="25"/>
        </w:rPr>
      </w:pPr>
    </w:p>
    <w:p w14:paraId="6286656F" w14:textId="0DBEEAD3" w:rsidR="00764268" w:rsidRPr="00942F86" w:rsidRDefault="00D93438" w:rsidP="005E0DF4">
      <w:pPr>
        <w:numPr>
          <w:ilvl w:val="0"/>
          <w:numId w:val="1"/>
        </w:numPr>
        <w:tabs>
          <w:tab w:val="clear" w:pos="720"/>
          <w:tab w:val="num" w:pos="0"/>
        </w:tabs>
        <w:spacing w:line="264" w:lineRule="auto"/>
        <w:ind w:left="0"/>
        <w:rPr>
          <w:sz w:val="25"/>
          <w:szCs w:val="25"/>
        </w:rPr>
      </w:pPr>
      <w:r w:rsidRPr="00942F86">
        <w:rPr>
          <w:sz w:val="25"/>
          <w:szCs w:val="25"/>
        </w:rPr>
        <w:t>Although “not bound t</w:t>
      </w:r>
      <w:r w:rsidR="004A63E6" w:rsidRPr="00942F86">
        <w:rPr>
          <w:sz w:val="25"/>
          <w:szCs w:val="25"/>
        </w:rPr>
        <w:t xml:space="preserve">o </w:t>
      </w:r>
      <w:r w:rsidRPr="00942F86">
        <w:rPr>
          <w:sz w:val="25"/>
          <w:szCs w:val="25"/>
        </w:rPr>
        <w:t>the use of any single formula or combination of formulae in determining rates”</w:t>
      </w:r>
      <w:r w:rsidR="004A63E6" w:rsidRPr="00942F86">
        <w:rPr>
          <w:rStyle w:val="FootnoteReference"/>
          <w:sz w:val="25"/>
          <w:szCs w:val="25"/>
        </w:rPr>
        <w:footnoteReference w:id="15"/>
      </w:r>
      <w:r w:rsidRPr="00942F86">
        <w:rPr>
          <w:sz w:val="25"/>
          <w:szCs w:val="25"/>
        </w:rPr>
        <w:t xml:space="preserve"> w</w:t>
      </w:r>
      <w:r w:rsidR="00764268" w:rsidRPr="00942F86">
        <w:rPr>
          <w:sz w:val="25"/>
          <w:szCs w:val="25"/>
        </w:rPr>
        <w:t xml:space="preserve">e must </w:t>
      </w:r>
      <w:r w:rsidR="00946812" w:rsidRPr="00942F86">
        <w:rPr>
          <w:iCs/>
          <w:sz w:val="25"/>
          <w:szCs w:val="25"/>
        </w:rPr>
        <w:t>find on the basis of the</w:t>
      </w:r>
      <w:r w:rsidR="004A63E6" w:rsidRPr="00942F86">
        <w:rPr>
          <w:iCs/>
          <w:sz w:val="25"/>
          <w:szCs w:val="25"/>
        </w:rPr>
        <w:t xml:space="preserve"> record</w:t>
      </w:r>
      <w:r w:rsidR="00764268" w:rsidRPr="00942F86">
        <w:rPr>
          <w:iCs/>
          <w:sz w:val="25"/>
          <w:szCs w:val="25"/>
        </w:rPr>
        <w:t xml:space="preserve"> three things:</w:t>
      </w:r>
    </w:p>
    <w:p w14:paraId="58EE42AB" w14:textId="77777777" w:rsidR="00764268" w:rsidRPr="00942F86" w:rsidRDefault="00764268" w:rsidP="000455AC">
      <w:pPr>
        <w:spacing w:line="264" w:lineRule="auto"/>
        <w:rPr>
          <w:sz w:val="25"/>
          <w:szCs w:val="25"/>
        </w:rPr>
      </w:pPr>
    </w:p>
    <w:p w14:paraId="478070D0" w14:textId="77777777" w:rsidR="00764268" w:rsidRPr="000455AC" w:rsidRDefault="00764268" w:rsidP="00BF7B6F">
      <w:pPr>
        <w:numPr>
          <w:ilvl w:val="0"/>
          <w:numId w:val="23"/>
        </w:numPr>
        <w:spacing w:line="264" w:lineRule="auto"/>
        <w:ind w:left="720"/>
        <w:rPr>
          <w:sz w:val="25"/>
          <w:szCs w:val="25"/>
        </w:rPr>
      </w:pPr>
      <w:r w:rsidRPr="00942F86">
        <w:rPr>
          <w:iCs/>
          <w:sz w:val="25"/>
          <w:szCs w:val="25"/>
        </w:rPr>
        <w:t>What levels of prudently incurred expenses the Company will experience during the rate year.</w:t>
      </w:r>
      <w:r w:rsidRPr="00942F86">
        <w:rPr>
          <w:iCs/>
          <w:sz w:val="25"/>
          <w:szCs w:val="25"/>
          <w:vertAlign w:val="superscript"/>
        </w:rPr>
        <w:footnoteReference w:id="16"/>
      </w:r>
    </w:p>
    <w:p w14:paraId="25E9E758" w14:textId="77777777" w:rsidR="000455AC" w:rsidRPr="00942F86" w:rsidRDefault="000455AC" w:rsidP="000455AC">
      <w:pPr>
        <w:spacing w:line="264" w:lineRule="auto"/>
        <w:ind w:left="778"/>
        <w:rPr>
          <w:sz w:val="25"/>
          <w:szCs w:val="25"/>
        </w:rPr>
      </w:pPr>
    </w:p>
    <w:p w14:paraId="2574BB79" w14:textId="77777777" w:rsidR="00764268" w:rsidRPr="000455AC" w:rsidRDefault="00764268" w:rsidP="00BF7B6F">
      <w:pPr>
        <w:numPr>
          <w:ilvl w:val="0"/>
          <w:numId w:val="23"/>
        </w:numPr>
        <w:spacing w:line="264" w:lineRule="auto"/>
        <w:ind w:left="720"/>
        <w:rPr>
          <w:sz w:val="25"/>
          <w:szCs w:val="25"/>
        </w:rPr>
      </w:pPr>
      <w:r w:rsidRPr="00942F86">
        <w:rPr>
          <w:iCs/>
          <w:sz w:val="25"/>
          <w:szCs w:val="25"/>
        </w:rPr>
        <w:t>The amount of the Company’s “rate base.”</w:t>
      </w:r>
      <w:r w:rsidRPr="00942F86">
        <w:rPr>
          <w:iCs/>
          <w:sz w:val="25"/>
          <w:szCs w:val="25"/>
          <w:vertAlign w:val="superscript"/>
        </w:rPr>
        <w:t xml:space="preserve"> </w:t>
      </w:r>
      <w:r w:rsidRPr="00942F86">
        <w:rPr>
          <w:iCs/>
          <w:sz w:val="25"/>
          <w:szCs w:val="25"/>
          <w:vertAlign w:val="superscript"/>
        </w:rPr>
        <w:footnoteReference w:id="17"/>
      </w:r>
      <w:r w:rsidRPr="00942F86">
        <w:rPr>
          <w:iCs/>
          <w:sz w:val="25"/>
          <w:szCs w:val="25"/>
        </w:rPr>
        <w:t xml:space="preserve">  </w:t>
      </w:r>
    </w:p>
    <w:p w14:paraId="195CDCAF" w14:textId="77777777" w:rsidR="000455AC" w:rsidRPr="00942F86" w:rsidRDefault="000455AC" w:rsidP="000455AC">
      <w:pPr>
        <w:spacing w:line="264" w:lineRule="auto"/>
        <w:rPr>
          <w:sz w:val="25"/>
          <w:szCs w:val="25"/>
        </w:rPr>
      </w:pPr>
    </w:p>
    <w:p w14:paraId="0A48D79E" w14:textId="77777777" w:rsidR="00764268" w:rsidRPr="00942F86" w:rsidRDefault="00764268" w:rsidP="00BF7B6F">
      <w:pPr>
        <w:numPr>
          <w:ilvl w:val="0"/>
          <w:numId w:val="23"/>
        </w:numPr>
        <w:spacing w:line="264" w:lineRule="auto"/>
        <w:ind w:left="720"/>
        <w:rPr>
          <w:sz w:val="25"/>
          <w:szCs w:val="25"/>
        </w:rPr>
      </w:pPr>
      <w:r w:rsidRPr="00942F86">
        <w:rPr>
          <w:iCs/>
          <w:sz w:val="25"/>
          <w:szCs w:val="25"/>
        </w:rPr>
        <w:t xml:space="preserve">An appropriate rate of return on that rate base. </w:t>
      </w:r>
    </w:p>
    <w:p w14:paraId="278486E4" w14:textId="77777777" w:rsidR="00764268" w:rsidRPr="00942F86" w:rsidRDefault="00764268" w:rsidP="000455AC">
      <w:pPr>
        <w:spacing w:line="264" w:lineRule="auto"/>
        <w:ind w:left="420"/>
        <w:rPr>
          <w:sz w:val="25"/>
          <w:szCs w:val="25"/>
        </w:rPr>
      </w:pPr>
    </w:p>
    <w:p w14:paraId="22379F0A" w14:textId="77777777" w:rsidR="00764268" w:rsidRPr="00942F86" w:rsidRDefault="00764268" w:rsidP="000455AC">
      <w:pPr>
        <w:spacing w:line="264" w:lineRule="auto"/>
        <w:rPr>
          <w:sz w:val="25"/>
          <w:szCs w:val="25"/>
        </w:rPr>
      </w:pPr>
      <w:r w:rsidRPr="00942F86">
        <w:rPr>
          <w:iCs/>
          <w:sz w:val="25"/>
          <w:szCs w:val="25"/>
        </w:rPr>
        <w:t>The Washington Supreme Court explained this rate-making formula as follows:</w:t>
      </w:r>
    </w:p>
    <w:p w14:paraId="4ADCFDAD" w14:textId="77777777" w:rsidR="00764268" w:rsidRPr="00942F86" w:rsidRDefault="00764268" w:rsidP="000455AC">
      <w:pPr>
        <w:spacing w:line="264" w:lineRule="auto"/>
        <w:ind w:left="720"/>
        <w:rPr>
          <w:sz w:val="25"/>
          <w:szCs w:val="25"/>
        </w:rPr>
      </w:pPr>
    </w:p>
    <w:p w14:paraId="1AFCB4C9" w14:textId="77777777" w:rsidR="00764268" w:rsidRPr="00942F86" w:rsidRDefault="00764268" w:rsidP="000455AC">
      <w:pPr>
        <w:widowControl w:val="0"/>
        <w:autoSpaceDE w:val="0"/>
        <w:autoSpaceDN w:val="0"/>
        <w:adjustRightInd w:val="0"/>
        <w:spacing w:line="264" w:lineRule="auto"/>
        <w:ind w:left="720" w:right="720"/>
        <w:jc w:val="both"/>
        <w:rPr>
          <w:color w:val="000000"/>
          <w:sz w:val="25"/>
          <w:szCs w:val="25"/>
        </w:rPr>
      </w:pPr>
      <w:r w:rsidRPr="00942F86">
        <w:rPr>
          <w:color w:val="000000"/>
          <w:sz w:val="25"/>
          <w:szCs w:val="25"/>
        </w:rPr>
        <w:t>In order to control aggregate revenue and set maximum rates, regulatory commissions such as the WUTC commonly use and apply the following equation:</w:t>
      </w:r>
    </w:p>
    <w:p w14:paraId="6BB03BD0" w14:textId="77777777" w:rsidR="00764268" w:rsidRPr="00942F86" w:rsidRDefault="00764268" w:rsidP="000455AC">
      <w:pPr>
        <w:widowControl w:val="0"/>
        <w:autoSpaceDE w:val="0"/>
        <w:autoSpaceDN w:val="0"/>
        <w:adjustRightInd w:val="0"/>
        <w:spacing w:line="264" w:lineRule="auto"/>
        <w:ind w:left="720" w:right="720"/>
        <w:jc w:val="both"/>
        <w:rPr>
          <w:sz w:val="25"/>
          <w:szCs w:val="25"/>
        </w:rPr>
      </w:pPr>
    </w:p>
    <w:p w14:paraId="62F38EA0" w14:textId="77777777" w:rsidR="00764268" w:rsidRPr="00942F86" w:rsidRDefault="00764268" w:rsidP="000455AC">
      <w:pPr>
        <w:widowControl w:val="0"/>
        <w:autoSpaceDE w:val="0"/>
        <w:autoSpaceDN w:val="0"/>
        <w:adjustRightInd w:val="0"/>
        <w:spacing w:line="264" w:lineRule="auto"/>
        <w:ind w:left="720" w:right="720"/>
        <w:jc w:val="both"/>
        <w:rPr>
          <w:sz w:val="25"/>
          <w:szCs w:val="25"/>
        </w:rPr>
      </w:pPr>
      <w:r w:rsidRPr="00942F86">
        <w:rPr>
          <w:color w:val="000000"/>
          <w:sz w:val="25"/>
          <w:szCs w:val="25"/>
        </w:rPr>
        <w:tab/>
      </w:r>
      <w:r w:rsidRPr="00942F86">
        <w:rPr>
          <w:color w:val="000000"/>
          <w:sz w:val="25"/>
          <w:szCs w:val="25"/>
        </w:rPr>
        <w:tab/>
      </w:r>
      <w:r w:rsidRPr="00942F86">
        <w:rPr>
          <w:color w:val="000000"/>
          <w:sz w:val="25"/>
          <w:szCs w:val="25"/>
        </w:rPr>
        <w:tab/>
        <w:t xml:space="preserve">R = O + B(r) </w:t>
      </w:r>
    </w:p>
    <w:p w14:paraId="34B377E7" w14:textId="77777777" w:rsidR="00764268" w:rsidRPr="00942F86" w:rsidRDefault="00764268" w:rsidP="000455AC">
      <w:pPr>
        <w:widowControl w:val="0"/>
        <w:autoSpaceDE w:val="0"/>
        <w:autoSpaceDN w:val="0"/>
        <w:adjustRightInd w:val="0"/>
        <w:spacing w:line="264" w:lineRule="auto"/>
        <w:ind w:left="720" w:right="720"/>
        <w:jc w:val="both"/>
        <w:rPr>
          <w:color w:val="000000"/>
          <w:sz w:val="25"/>
          <w:szCs w:val="25"/>
        </w:rPr>
      </w:pPr>
    </w:p>
    <w:p w14:paraId="640BA259" w14:textId="77777777" w:rsidR="00764268" w:rsidRPr="00942F86" w:rsidRDefault="00764268" w:rsidP="000455AC">
      <w:pPr>
        <w:widowControl w:val="0"/>
        <w:autoSpaceDE w:val="0"/>
        <w:autoSpaceDN w:val="0"/>
        <w:adjustRightInd w:val="0"/>
        <w:spacing w:line="264" w:lineRule="auto"/>
        <w:ind w:left="720" w:right="720"/>
        <w:jc w:val="both"/>
        <w:rPr>
          <w:color w:val="000000"/>
          <w:sz w:val="25"/>
          <w:szCs w:val="25"/>
        </w:rPr>
      </w:pPr>
      <w:r w:rsidRPr="00942F86">
        <w:rPr>
          <w:color w:val="000000"/>
          <w:sz w:val="25"/>
          <w:szCs w:val="25"/>
        </w:rPr>
        <w:lastRenderedPageBreak/>
        <w:t>In this equation,</w:t>
      </w:r>
    </w:p>
    <w:p w14:paraId="2D600A79" w14:textId="77777777" w:rsidR="00764268" w:rsidRPr="00942F86" w:rsidRDefault="00764268" w:rsidP="000455AC">
      <w:pPr>
        <w:widowControl w:val="0"/>
        <w:autoSpaceDE w:val="0"/>
        <w:autoSpaceDN w:val="0"/>
        <w:adjustRightInd w:val="0"/>
        <w:spacing w:line="264" w:lineRule="auto"/>
        <w:ind w:left="720" w:right="720"/>
        <w:jc w:val="both"/>
        <w:rPr>
          <w:sz w:val="25"/>
          <w:szCs w:val="25"/>
        </w:rPr>
      </w:pPr>
    </w:p>
    <w:p w14:paraId="587E8B23" w14:textId="77777777" w:rsidR="00764268" w:rsidRPr="00942F86" w:rsidRDefault="00764268" w:rsidP="000455AC">
      <w:pPr>
        <w:widowControl w:val="0"/>
        <w:autoSpaceDE w:val="0"/>
        <w:autoSpaceDN w:val="0"/>
        <w:adjustRightInd w:val="0"/>
        <w:spacing w:line="264" w:lineRule="auto"/>
        <w:ind w:left="720" w:right="720"/>
        <w:jc w:val="both"/>
        <w:rPr>
          <w:sz w:val="25"/>
          <w:szCs w:val="25"/>
        </w:rPr>
      </w:pPr>
      <w:r w:rsidRPr="00942F86">
        <w:rPr>
          <w:color w:val="000000"/>
          <w:sz w:val="25"/>
          <w:szCs w:val="25"/>
        </w:rPr>
        <w:tab/>
        <w:t xml:space="preserve">R is the utility's allowed revenue requirement; </w:t>
      </w:r>
    </w:p>
    <w:p w14:paraId="09ACACFD" w14:textId="77777777" w:rsidR="00764268" w:rsidRPr="00942F86" w:rsidRDefault="00764268" w:rsidP="000455AC">
      <w:pPr>
        <w:widowControl w:val="0"/>
        <w:autoSpaceDE w:val="0"/>
        <w:autoSpaceDN w:val="0"/>
        <w:adjustRightInd w:val="0"/>
        <w:spacing w:line="264" w:lineRule="auto"/>
        <w:ind w:left="720" w:right="720"/>
        <w:jc w:val="both"/>
        <w:rPr>
          <w:sz w:val="25"/>
          <w:szCs w:val="25"/>
        </w:rPr>
      </w:pPr>
      <w:r w:rsidRPr="00942F86">
        <w:rPr>
          <w:color w:val="000000"/>
          <w:sz w:val="25"/>
          <w:szCs w:val="25"/>
        </w:rPr>
        <w:tab/>
        <w:t xml:space="preserve">O is its operating expenses; </w:t>
      </w:r>
    </w:p>
    <w:p w14:paraId="40750F45" w14:textId="77777777" w:rsidR="00764268" w:rsidRPr="00942F86" w:rsidRDefault="00764268" w:rsidP="000455AC">
      <w:pPr>
        <w:widowControl w:val="0"/>
        <w:autoSpaceDE w:val="0"/>
        <w:autoSpaceDN w:val="0"/>
        <w:adjustRightInd w:val="0"/>
        <w:spacing w:line="264" w:lineRule="auto"/>
        <w:ind w:left="720" w:right="720"/>
        <w:jc w:val="both"/>
        <w:rPr>
          <w:sz w:val="25"/>
          <w:szCs w:val="25"/>
        </w:rPr>
      </w:pPr>
      <w:r w:rsidRPr="00942F86">
        <w:rPr>
          <w:color w:val="000000"/>
          <w:sz w:val="25"/>
          <w:szCs w:val="25"/>
        </w:rPr>
        <w:tab/>
        <w:t xml:space="preserve">B is its rate base; and </w:t>
      </w:r>
    </w:p>
    <w:p w14:paraId="65D7AE18" w14:textId="77777777" w:rsidR="00764268" w:rsidRPr="00942F86" w:rsidRDefault="00764268" w:rsidP="000455AC">
      <w:pPr>
        <w:widowControl w:val="0"/>
        <w:autoSpaceDE w:val="0"/>
        <w:autoSpaceDN w:val="0"/>
        <w:adjustRightInd w:val="0"/>
        <w:spacing w:line="264" w:lineRule="auto"/>
        <w:ind w:left="720" w:right="720"/>
        <w:jc w:val="both"/>
        <w:rPr>
          <w:color w:val="000000"/>
          <w:sz w:val="25"/>
          <w:szCs w:val="25"/>
        </w:rPr>
      </w:pPr>
      <w:r w:rsidRPr="00942F86">
        <w:rPr>
          <w:color w:val="000000"/>
          <w:sz w:val="25"/>
          <w:szCs w:val="25"/>
        </w:rPr>
        <w:tab/>
      </w:r>
      <w:proofErr w:type="gramStart"/>
      <w:r w:rsidRPr="00942F86">
        <w:rPr>
          <w:color w:val="000000"/>
          <w:sz w:val="25"/>
          <w:szCs w:val="25"/>
        </w:rPr>
        <w:t>r</w:t>
      </w:r>
      <w:proofErr w:type="gramEnd"/>
      <w:r w:rsidRPr="00942F86">
        <w:rPr>
          <w:color w:val="000000"/>
          <w:sz w:val="25"/>
          <w:szCs w:val="25"/>
        </w:rPr>
        <w:t xml:space="preserve"> is the rate of return allowed on its rate base.</w:t>
      </w:r>
    </w:p>
    <w:p w14:paraId="1E3EBB5E" w14:textId="77777777" w:rsidR="00764268" w:rsidRPr="00942F86" w:rsidRDefault="00764268" w:rsidP="000455AC">
      <w:pPr>
        <w:widowControl w:val="0"/>
        <w:autoSpaceDE w:val="0"/>
        <w:autoSpaceDN w:val="0"/>
        <w:adjustRightInd w:val="0"/>
        <w:spacing w:line="264" w:lineRule="auto"/>
        <w:ind w:left="720" w:right="720"/>
        <w:jc w:val="both"/>
        <w:rPr>
          <w:sz w:val="25"/>
          <w:szCs w:val="25"/>
        </w:rPr>
      </w:pPr>
    </w:p>
    <w:p w14:paraId="67A6C728" w14:textId="77777777" w:rsidR="00764268" w:rsidRPr="00942F86" w:rsidRDefault="00764268" w:rsidP="000455AC">
      <w:pPr>
        <w:widowControl w:val="0"/>
        <w:autoSpaceDE w:val="0"/>
        <w:autoSpaceDN w:val="0"/>
        <w:adjustRightInd w:val="0"/>
        <w:spacing w:line="264" w:lineRule="auto"/>
        <w:ind w:left="720" w:right="720"/>
        <w:jc w:val="both"/>
        <w:rPr>
          <w:color w:val="000000"/>
          <w:sz w:val="25"/>
          <w:szCs w:val="25"/>
        </w:rPr>
      </w:pPr>
      <w:r w:rsidRPr="00942F86">
        <w:rPr>
          <w:color w:val="000000"/>
          <w:sz w:val="25"/>
          <w:szCs w:val="25"/>
        </w:rPr>
        <w:t xml:space="preserve">Although regulatory agencies, courts and text writers may vary these symbols and notations somewhat, this basic equation is the one which has evolved over </w:t>
      </w:r>
      <w:bookmarkStart w:id="11" w:name="Document1zzSDUNumber24"/>
      <w:bookmarkEnd w:id="11"/>
      <w:r w:rsidRPr="00942F86">
        <w:rPr>
          <w:color w:val="000000"/>
          <w:sz w:val="25"/>
          <w:szCs w:val="25"/>
        </w:rPr>
        <w:t>the past century of public utility regulation in this country and is the one commonly accepted and used.</w:t>
      </w:r>
      <w:r w:rsidRPr="00942F86">
        <w:rPr>
          <w:color w:val="000000"/>
          <w:sz w:val="25"/>
          <w:szCs w:val="25"/>
          <w:vertAlign w:val="superscript"/>
        </w:rPr>
        <w:footnoteReference w:id="18"/>
      </w:r>
    </w:p>
    <w:p w14:paraId="04334AB6" w14:textId="77777777" w:rsidR="00764268" w:rsidRPr="00942F86" w:rsidRDefault="00764268" w:rsidP="000455AC">
      <w:pPr>
        <w:widowControl w:val="0"/>
        <w:autoSpaceDE w:val="0"/>
        <w:autoSpaceDN w:val="0"/>
        <w:adjustRightInd w:val="0"/>
        <w:spacing w:line="264" w:lineRule="auto"/>
        <w:ind w:left="720" w:right="720"/>
        <w:jc w:val="both"/>
        <w:rPr>
          <w:sz w:val="25"/>
          <w:szCs w:val="25"/>
        </w:rPr>
      </w:pPr>
    </w:p>
    <w:p w14:paraId="0598A615" w14:textId="0CB610C8" w:rsidR="008F7D49" w:rsidRPr="00942F86" w:rsidRDefault="00764268" w:rsidP="000455AC">
      <w:pPr>
        <w:spacing w:line="264" w:lineRule="auto"/>
        <w:rPr>
          <w:iCs/>
          <w:sz w:val="25"/>
          <w:szCs w:val="25"/>
        </w:rPr>
      </w:pPr>
      <w:r w:rsidRPr="00942F86">
        <w:rPr>
          <w:iCs/>
          <w:sz w:val="25"/>
          <w:szCs w:val="25"/>
        </w:rPr>
        <w:t>The sum of the two figures – expenses and return on rate base – constitutes the Company’s revenue requirement that we approve for recovery in rates.  This basic formula is a simple expression of a complex, highly technical, and formal process.</w:t>
      </w:r>
      <w:r w:rsidRPr="00942F86">
        <w:rPr>
          <w:iCs/>
          <w:sz w:val="25"/>
          <w:szCs w:val="25"/>
          <w:vertAlign w:val="superscript"/>
        </w:rPr>
        <w:footnoteReference w:id="19"/>
      </w:r>
      <w:r w:rsidRPr="00942F86">
        <w:rPr>
          <w:iCs/>
          <w:sz w:val="25"/>
          <w:szCs w:val="25"/>
        </w:rPr>
        <w:t xml:space="preserve">  The goal for the Commission in conducting this process is to reach an end result that allows the Company to recover the costs of its investments in infrastructure, repay its lenders, and provide an opportunity for the Company to earn a reasonable return, some of which may be distributed to its equity investors in the form of dividends.</w:t>
      </w:r>
      <w:r w:rsidRPr="00942F86">
        <w:rPr>
          <w:iCs/>
          <w:sz w:val="25"/>
          <w:szCs w:val="25"/>
          <w:vertAlign w:val="superscript"/>
        </w:rPr>
        <w:footnoteReference w:id="20"/>
      </w:r>
      <w:r w:rsidRPr="00942F86">
        <w:rPr>
          <w:iCs/>
          <w:sz w:val="25"/>
          <w:szCs w:val="25"/>
        </w:rPr>
        <w:t xml:space="preserve"> </w:t>
      </w:r>
      <w:r w:rsidR="00BF163C" w:rsidRPr="00942F86">
        <w:rPr>
          <w:iCs/>
          <w:sz w:val="25"/>
          <w:szCs w:val="25"/>
        </w:rPr>
        <w:t xml:space="preserve">Thus, we determine just and reasonable rates that are safely above the constitutional minimum and that afford the utility </w:t>
      </w:r>
      <w:r w:rsidR="006269EC" w:rsidRPr="00942F86">
        <w:rPr>
          <w:iCs/>
          <w:sz w:val="25"/>
          <w:szCs w:val="25"/>
        </w:rPr>
        <w:t xml:space="preserve">recovery of its operating expenses and </w:t>
      </w:r>
      <w:r w:rsidR="00BF163C" w:rsidRPr="00942F86">
        <w:rPr>
          <w:iCs/>
          <w:sz w:val="25"/>
          <w:szCs w:val="25"/>
        </w:rPr>
        <w:t xml:space="preserve">both the return of its </w:t>
      </w:r>
      <w:r w:rsidR="008F7D49" w:rsidRPr="00942F86">
        <w:rPr>
          <w:iCs/>
          <w:sz w:val="25"/>
          <w:szCs w:val="25"/>
        </w:rPr>
        <w:t xml:space="preserve">prudent </w:t>
      </w:r>
      <w:r w:rsidR="00BF163C" w:rsidRPr="00942F86">
        <w:rPr>
          <w:iCs/>
          <w:sz w:val="25"/>
          <w:szCs w:val="25"/>
        </w:rPr>
        <w:t xml:space="preserve">investments </w:t>
      </w:r>
      <w:r w:rsidR="002016A8" w:rsidRPr="00942F86">
        <w:rPr>
          <w:iCs/>
          <w:sz w:val="25"/>
          <w:szCs w:val="25"/>
        </w:rPr>
        <w:t xml:space="preserve">through </w:t>
      </w:r>
      <w:r w:rsidR="00BF163C" w:rsidRPr="00942F86">
        <w:rPr>
          <w:iCs/>
          <w:sz w:val="25"/>
          <w:szCs w:val="25"/>
        </w:rPr>
        <w:t xml:space="preserve">depreciation expense </w:t>
      </w:r>
      <w:r w:rsidR="006269EC" w:rsidRPr="00942F86">
        <w:rPr>
          <w:iCs/>
          <w:sz w:val="25"/>
          <w:szCs w:val="25"/>
        </w:rPr>
        <w:t xml:space="preserve">and </w:t>
      </w:r>
      <w:r w:rsidR="00BF163C" w:rsidRPr="00942F86">
        <w:rPr>
          <w:iCs/>
          <w:sz w:val="25"/>
          <w:szCs w:val="25"/>
        </w:rPr>
        <w:t>an opportunity</w:t>
      </w:r>
      <w:r w:rsidR="006269EC" w:rsidRPr="00942F86">
        <w:rPr>
          <w:iCs/>
          <w:sz w:val="25"/>
          <w:szCs w:val="25"/>
        </w:rPr>
        <w:t xml:space="preserve"> for its investors</w:t>
      </w:r>
      <w:r w:rsidR="00BF163C" w:rsidRPr="00942F86">
        <w:rPr>
          <w:iCs/>
          <w:sz w:val="25"/>
          <w:szCs w:val="25"/>
        </w:rPr>
        <w:t xml:space="preserve"> to earn a fair return on their investment</w:t>
      </w:r>
      <w:r w:rsidR="006269EC" w:rsidRPr="00942F86">
        <w:rPr>
          <w:iCs/>
          <w:sz w:val="25"/>
          <w:szCs w:val="25"/>
        </w:rPr>
        <w:t>s</w:t>
      </w:r>
      <w:r w:rsidR="008F7D49" w:rsidRPr="00942F86">
        <w:rPr>
          <w:iCs/>
          <w:sz w:val="25"/>
          <w:szCs w:val="25"/>
        </w:rPr>
        <w:t xml:space="preserve"> that are used and useful for providing utility services</w:t>
      </w:r>
      <w:r w:rsidR="006269EC" w:rsidRPr="00942F86">
        <w:rPr>
          <w:iCs/>
          <w:sz w:val="25"/>
          <w:szCs w:val="25"/>
        </w:rPr>
        <w:t>.</w:t>
      </w:r>
    </w:p>
    <w:p w14:paraId="3A8DF2B3" w14:textId="77777777" w:rsidR="008F7D49" w:rsidRPr="00942F86" w:rsidRDefault="008F7D49" w:rsidP="000455AC">
      <w:pPr>
        <w:spacing w:line="264" w:lineRule="auto"/>
        <w:rPr>
          <w:iCs/>
          <w:sz w:val="25"/>
          <w:szCs w:val="25"/>
        </w:rPr>
      </w:pPr>
    </w:p>
    <w:p w14:paraId="40B1474B" w14:textId="5F9AD62F" w:rsidR="00764268" w:rsidRPr="00942F86" w:rsidRDefault="00A96B5A" w:rsidP="005E0DF4">
      <w:pPr>
        <w:numPr>
          <w:ilvl w:val="0"/>
          <w:numId w:val="1"/>
        </w:numPr>
        <w:tabs>
          <w:tab w:val="clear" w:pos="720"/>
          <w:tab w:val="num" w:pos="0"/>
        </w:tabs>
        <w:spacing w:line="264" w:lineRule="auto"/>
        <w:ind w:left="0"/>
        <w:rPr>
          <w:rFonts w:eastAsia="Calibri"/>
          <w:sz w:val="25"/>
          <w:szCs w:val="25"/>
        </w:rPr>
      </w:pPr>
      <w:r w:rsidRPr="00942F86">
        <w:rPr>
          <w:sz w:val="25"/>
          <w:szCs w:val="25"/>
        </w:rPr>
        <w:t>States are free, within broad limits, to decide what ratemaking methodology best meets their needs in balancing the interests of the utility and the public it serves.</w:t>
      </w:r>
      <w:r w:rsidR="00C80ABA" w:rsidRPr="00942F86">
        <w:rPr>
          <w:rStyle w:val="FootnoteReference"/>
          <w:sz w:val="25"/>
          <w:szCs w:val="25"/>
        </w:rPr>
        <w:footnoteReference w:id="21"/>
      </w:r>
      <w:r w:rsidR="00C80ABA" w:rsidRPr="00942F86">
        <w:rPr>
          <w:sz w:val="25"/>
          <w:szCs w:val="25"/>
        </w:rPr>
        <w:t xml:space="preserve">  Washington</w:t>
      </w:r>
      <w:r w:rsidR="00764268" w:rsidRPr="00942F86">
        <w:rPr>
          <w:sz w:val="25"/>
          <w:szCs w:val="25"/>
        </w:rPr>
        <w:t xml:space="preserve"> ratemaking practice </w:t>
      </w:r>
      <w:r w:rsidR="00A30FB8" w:rsidRPr="00942F86">
        <w:rPr>
          <w:sz w:val="25"/>
          <w:szCs w:val="25"/>
        </w:rPr>
        <w:t>is</w:t>
      </w:r>
      <w:r w:rsidR="00764268" w:rsidRPr="00942F86">
        <w:rPr>
          <w:sz w:val="25"/>
          <w:szCs w:val="25"/>
        </w:rPr>
        <w:t xml:space="preserve"> based on </w:t>
      </w:r>
      <w:r w:rsidR="00A30FB8" w:rsidRPr="00942F86">
        <w:rPr>
          <w:sz w:val="25"/>
          <w:szCs w:val="25"/>
        </w:rPr>
        <w:t>a</w:t>
      </w:r>
      <w:r w:rsidR="003C5DA7" w:rsidRPr="00942F86">
        <w:rPr>
          <w:sz w:val="25"/>
          <w:szCs w:val="25"/>
        </w:rPr>
        <w:t xml:space="preserve"> hybrid test year that uses</w:t>
      </w:r>
      <w:r w:rsidR="00764268" w:rsidRPr="00942F86">
        <w:rPr>
          <w:sz w:val="25"/>
          <w:szCs w:val="25"/>
        </w:rPr>
        <w:t xml:space="preserve"> historic </w:t>
      </w:r>
      <w:r w:rsidR="003C5DA7" w:rsidRPr="00942F86">
        <w:rPr>
          <w:sz w:val="25"/>
          <w:szCs w:val="25"/>
        </w:rPr>
        <w:t>data</w:t>
      </w:r>
      <w:r w:rsidR="00A30FB8" w:rsidRPr="00942F86">
        <w:rPr>
          <w:sz w:val="25"/>
          <w:szCs w:val="25"/>
        </w:rPr>
        <w:t xml:space="preserve"> </w:t>
      </w:r>
      <w:r w:rsidR="00A30FB8" w:rsidRPr="00942F86">
        <w:rPr>
          <w:sz w:val="25"/>
          <w:szCs w:val="25"/>
        </w:rPr>
        <w:lastRenderedPageBreak/>
        <w:t>as a starting point for analysis.  While this distinguishes Washington practice from the future test year approach used to set Pacific Power’s rates in Utah, Oregon, and California, i</w:t>
      </w:r>
      <w:r w:rsidR="00764268" w:rsidRPr="00942F86">
        <w:rPr>
          <w:sz w:val="25"/>
          <w:szCs w:val="25"/>
        </w:rPr>
        <w:t xml:space="preserve">n point of fact, </w:t>
      </w:r>
      <w:r w:rsidR="00A30FB8" w:rsidRPr="00942F86">
        <w:rPr>
          <w:sz w:val="25"/>
          <w:szCs w:val="25"/>
        </w:rPr>
        <w:t>Washington</w:t>
      </w:r>
      <w:r w:rsidR="00764268" w:rsidRPr="00942F86">
        <w:rPr>
          <w:sz w:val="25"/>
          <w:szCs w:val="25"/>
        </w:rPr>
        <w:t xml:space="preserve"> practice is quite forward looking</w:t>
      </w:r>
      <w:r w:rsidR="00A30FB8" w:rsidRPr="00942F86">
        <w:rPr>
          <w:sz w:val="25"/>
          <w:szCs w:val="25"/>
        </w:rPr>
        <w:t>.  Although we are</w:t>
      </w:r>
      <w:r w:rsidR="00C209DD" w:rsidRPr="00942F86">
        <w:rPr>
          <w:sz w:val="25"/>
          <w:szCs w:val="25"/>
        </w:rPr>
        <w:t xml:space="preserve"> often</w:t>
      </w:r>
      <w:r w:rsidR="00A30FB8" w:rsidRPr="00942F86">
        <w:rPr>
          <w:sz w:val="25"/>
          <w:szCs w:val="25"/>
        </w:rPr>
        <w:t xml:space="preserve"> recognized as a historic test year state, it is more accurate to say that the Commission relies on</w:t>
      </w:r>
      <w:r w:rsidR="00764268" w:rsidRPr="00942F86">
        <w:rPr>
          <w:sz w:val="25"/>
          <w:szCs w:val="25"/>
        </w:rPr>
        <w:t xml:space="preserve"> a “modified” or “hybrid” test year.</w:t>
      </w:r>
      <w:r w:rsidR="00764268" w:rsidRPr="00942F86">
        <w:rPr>
          <w:sz w:val="25"/>
          <w:szCs w:val="25"/>
          <w:vertAlign w:val="superscript"/>
        </w:rPr>
        <w:footnoteReference w:id="22"/>
      </w:r>
      <w:r w:rsidR="00764268" w:rsidRPr="00942F86">
        <w:rPr>
          <w:sz w:val="25"/>
          <w:szCs w:val="25"/>
        </w:rPr>
        <w:t xml:space="preserve">  </w:t>
      </w:r>
      <w:r w:rsidR="00764268" w:rsidRPr="00942F86">
        <w:rPr>
          <w:rFonts w:eastAsia="Calibri"/>
          <w:sz w:val="25"/>
          <w:szCs w:val="25"/>
        </w:rPr>
        <w:t>The Commission, for example:</w:t>
      </w:r>
    </w:p>
    <w:p w14:paraId="6C08D425" w14:textId="77777777" w:rsidR="00764268" w:rsidRPr="00942F86" w:rsidRDefault="00764268" w:rsidP="000455AC">
      <w:pPr>
        <w:spacing w:line="264" w:lineRule="auto"/>
        <w:rPr>
          <w:rFonts w:eastAsia="Calibri"/>
          <w:sz w:val="25"/>
          <w:szCs w:val="25"/>
        </w:rPr>
      </w:pPr>
    </w:p>
    <w:p w14:paraId="29BF8FB8" w14:textId="77777777" w:rsidR="00764268" w:rsidRPr="00942F86" w:rsidRDefault="00764268" w:rsidP="00BF7B6F">
      <w:pPr>
        <w:numPr>
          <w:ilvl w:val="0"/>
          <w:numId w:val="23"/>
        </w:numPr>
        <w:spacing w:line="264" w:lineRule="auto"/>
        <w:ind w:left="720"/>
        <w:rPr>
          <w:rFonts w:eastAsia="Calibri"/>
          <w:sz w:val="25"/>
          <w:szCs w:val="25"/>
        </w:rPr>
      </w:pPr>
      <w:r w:rsidRPr="00942F86">
        <w:rPr>
          <w:rFonts w:eastAsia="Calibri"/>
          <w:sz w:val="25"/>
          <w:szCs w:val="25"/>
        </w:rPr>
        <w:t>Approves pro-forma adjustments to test-year costs when the adjustments are adequately supported.</w:t>
      </w:r>
    </w:p>
    <w:p w14:paraId="34F95E7C" w14:textId="77777777" w:rsidR="00764268" w:rsidRPr="00942F86" w:rsidRDefault="00764268" w:rsidP="000455AC">
      <w:pPr>
        <w:spacing w:line="264" w:lineRule="auto"/>
        <w:ind w:left="720" w:right="720"/>
        <w:contextualSpacing/>
        <w:rPr>
          <w:rFonts w:eastAsia="Calibri"/>
          <w:sz w:val="25"/>
          <w:szCs w:val="25"/>
        </w:rPr>
      </w:pPr>
    </w:p>
    <w:p w14:paraId="5DAA9050" w14:textId="77777777" w:rsidR="00764268" w:rsidRPr="00942F86" w:rsidRDefault="00764268" w:rsidP="00BF7B6F">
      <w:pPr>
        <w:numPr>
          <w:ilvl w:val="0"/>
          <w:numId w:val="23"/>
        </w:numPr>
        <w:spacing w:line="264" w:lineRule="auto"/>
        <w:ind w:left="720"/>
        <w:rPr>
          <w:rFonts w:eastAsia="Calibri"/>
          <w:sz w:val="25"/>
          <w:szCs w:val="25"/>
        </w:rPr>
      </w:pPr>
      <w:r w:rsidRPr="00942F86">
        <w:rPr>
          <w:rFonts w:eastAsia="Calibri"/>
          <w:sz w:val="25"/>
          <w:szCs w:val="25"/>
        </w:rPr>
        <w:t>Allows calculation of base power costs based on costs projected for the rate year based on data contemporaneous with the end of a general rate case (</w:t>
      </w:r>
      <w:r w:rsidRPr="00942F86">
        <w:rPr>
          <w:rFonts w:eastAsia="Calibri"/>
          <w:i/>
          <w:sz w:val="25"/>
          <w:szCs w:val="25"/>
        </w:rPr>
        <w:t>i.e.,</w:t>
      </w:r>
      <w:r w:rsidRPr="00942F86">
        <w:rPr>
          <w:rFonts w:eastAsia="Calibri"/>
          <w:sz w:val="25"/>
          <w:szCs w:val="25"/>
        </w:rPr>
        <w:t xml:space="preserve"> at the beginning of the rate year).</w:t>
      </w:r>
    </w:p>
    <w:p w14:paraId="736F4206" w14:textId="77777777" w:rsidR="00764268" w:rsidRPr="00942F86" w:rsidRDefault="00764268" w:rsidP="000455AC">
      <w:pPr>
        <w:spacing w:line="264" w:lineRule="auto"/>
        <w:ind w:right="720"/>
        <w:contextualSpacing/>
        <w:rPr>
          <w:rFonts w:eastAsia="Calibri"/>
          <w:sz w:val="25"/>
          <w:szCs w:val="25"/>
        </w:rPr>
      </w:pPr>
    </w:p>
    <w:p w14:paraId="0E44CEC7" w14:textId="253026C4" w:rsidR="00764268" w:rsidRPr="00942F86" w:rsidRDefault="00764268" w:rsidP="00BF7B6F">
      <w:pPr>
        <w:numPr>
          <w:ilvl w:val="0"/>
          <w:numId w:val="23"/>
        </w:numPr>
        <w:spacing w:line="264" w:lineRule="auto"/>
        <w:ind w:left="720"/>
        <w:rPr>
          <w:rFonts w:eastAsia="Calibri"/>
          <w:sz w:val="25"/>
          <w:szCs w:val="25"/>
        </w:rPr>
      </w:pPr>
      <w:r w:rsidRPr="00942F86">
        <w:rPr>
          <w:rFonts w:eastAsia="Calibri"/>
          <w:sz w:val="25"/>
          <w:szCs w:val="25"/>
        </w:rPr>
        <w:t>Accepts filings for updates to power costs “between rate cases.” For PSE, it allows for expedited power-cost-only rate cases (</w:t>
      </w:r>
      <w:proofErr w:type="spellStart"/>
      <w:r w:rsidRPr="00942F86">
        <w:rPr>
          <w:rFonts w:eastAsia="Calibri"/>
          <w:sz w:val="25"/>
          <w:szCs w:val="25"/>
        </w:rPr>
        <w:t>PCORCs</w:t>
      </w:r>
      <w:proofErr w:type="spellEnd"/>
      <w:r w:rsidRPr="00942F86">
        <w:rPr>
          <w:rFonts w:eastAsia="Calibri"/>
          <w:sz w:val="25"/>
          <w:szCs w:val="25"/>
        </w:rPr>
        <w:t>) that adjust rates to reflect addition of new power resources, or fuels costs, without requiring a comprehensive rate proceeding.</w:t>
      </w:r>
    </w:p>
    <w:p w14:paraId="00BD5FAB" w14:textId="77777777" w:rsidR="00764268" w:rsidRPr="00942F86" w:rsidRDefault="00764268" w:rsidP="000455AC">
      <w:pPr>
        <w:spacing w:line="264" w:lineRule="auto"/>
        <w:ind w:right="720"/>
        <w:contextualSpacing/>
        <w:rPr>
          <w:rFonts w:eastAsia="Calibri"/>
          <w:sz w:val="25"/>
          <w:szCs w:val="25"/>
        </w:rPr>
      </w:pPr>
    </w:p>
    <w:p w14:paraId="7C0BDF83" w14:textId="77777777" w:rsidR="00764268" w:rsidRPr="00942F86" w:rsidRDefault="00764268" w:rsidP="00BF7B6F">
      <w:pPr>
        <w:numPr>
          <w:ilvl w:val="0"/>
          <w:numId w:val="23"/>
        </w:numPr>
        <w:spacing w:line="264" w:lineRule="auto"/>
        <w:ind w:left="720"/>
        <w:rPr>
          <w:rFonts w:eastAsia="Calibri"/>
          <w:sz w:val="25"/>
          <w:szCs w:val="25"/>
        </w:rPr>
      </w:pPr>
      <w:r w:rsidRPr="00942F86">
        <w:rPr>
          <w:rFonts w:eastAsia="Calibri"/>
          <w:sz w:val="25"/>
          <w:szCs w:val="25"/>
        </w:rPr>
        <w:t>Allows new generation plant in rate base even when the new facilities are placed in service subsequent to the end of the test period.</w:t>
      </w:r>
    </w:p>
    <w:p w14:paraId="6E8A8DDD" w14:textId="77777777" w:rsidR="00764268" w:rsidRPr="00942F86" w:rsidRDefault="00764268" w:rsidP="000455AC">
      <w:pPr>
        <w:spacing w:line="264" w:lineRule="auto"/>
        <w:ind w:right="720"/>
        <w:contextualSpacing/>
        <w:rPr>
          <w:rFonts w:eastAsia="Calibri"/>
          <w:sz w:val="25"/>
          <w:szCs w:val="25"/>
        </w:rPr>
      </w:pPr>
    </w:p>
    <w:p w14:paraId="5471449B" w14:textId="77777777" w:rsidR="00764268" w:rsidRPr="00942F86" w:rsidRDefault="00764268" w:rsidP="00BF7B6F">
      <w:pPr>
        <w:numPr>
          <w:ilvl w:val="0"/>
          <w:numId w:val="23"/>
        </w:numPr>
        <w:spacing w:line="264" w:lineRule="auto"/>
        <w:ind w:left="720"/>
        <w:rPr>
          <w:rFonts w:eastAsia="Calibri"/>
          <w:sz w:val="25"/>
          <w:szCs w:val="25"/>
        </w:rPr>
      </w:pPr>
      <w:r w:rsidRPr="00942F86">
        <w:rPr>
          <w:rFonts w:eastAsia="Calibri"/>
          <w:sz w:val="25"/>
          <w:szCs w:val="25"/>
        </w:rPr>
        <w:t>Has approved end-of-period rate base when this is shown to be appropriate.</w:t>
      </w:r>
    </w:p>
    <w:p w14:paraId="1861C8C0" w14:textId="77777777" w:rsidR="00764268" w:rsidRPr="00942F86" w:rsidRDefault="00764268" w:rsidP="000455AC">
      <w:pPr>
        <w:spacing w:line="264" w:lineRule="auto"/>
        <w:ind w:right="720"/>
        <w:contextualSpacing/>
        <w:rPr>
          <w:rFonts w:eastAsia="Calibri"/>
          <w:sz w:val="25"/>
          <w:szCs w:val="25"/>
        </w:rPr>
      </w:pPr>
    </w:p>
    <w:p w14:paraId="7A5F2A70" w14:textId="77777777" w:rsidR="00764268" w:rsidRPr="00942F86" w:rsidRDefault="00764268" w:rsidP="00BF7B6F">
      <w:pPr>
        <w:numPr>
          <w:ilvl w:val="0"/>
          <w:numId w:val="23"/>
        </w:numPr>
        <w:spacing w:line="264" w:lineRule="auto"/>
        <w:ind w:left="720"/>
        <w:rPr>
          <w:rFonts w:eastAsia="Calibri"/>
          <w:sz w:val="25"/>
          <w:szCs w:val="25"/>
        </w:rPr>
      </w:pPr>
      <w:r w:rsidRPr="00942F86">
        <w:rPr>
          <w:rFonts w:eastAsia="Calibri"/>
          <w:sz w:val="25"/>
          <w:szCs w:val="25"/>
        </w:rPr>
        <w:t xml:space="preserve">Has allowed </w:t>
      </w:r>
      <w:proofErr w:type="spellStart"/>
      <w:r w:rsidRPr="00942F86">
        <w:rPr>
          <w:rFonts w:eastAsia="Calibri"/>
          <w:sz w:val="25"/>
          <w:szCs w:val="25"/>
        </w:rPr>
        <w:t>CWIP</w:t>
      </w:r>
      <w:proofErr w:type="spellEnd"/>
      <w:r w:rsidRPr="00942F86">
        <w:rPr>
          <w:rFonts w:eastAsia="Calibri"/>
          <w:sz w:val="25"/>
          <w:szCs w:val="25"/>
        </w:rPr>
        <w:t xml:space="preserve"> (Construction Work in Progress) in rate base.</w:t>
      </w:r>
    </w:p>
    <w:p w14:paraId="2FEC0FD6" w14:textId="77777777" w:rsidR="00764268" w:rsidRPr="00942F86" w:rsidRDefault="00764268" w:rsidP="000455AC">
      <w:pPr>
        <w:spacing w:line="264" w:lineRule="auto"/>
        <w:ind w:right="720"/>
        <w:contextualSpacing/>
        <w:rPr>
          <w:rFonts w:eastAsia="Calibri"/>
          <w:sz w:val="25"/>
          <w:szCs w:val="25"/>
        </w:rPr>
      </w:pPr>
    </w:p>
    <w:p w14:paraId="0E28560B" w14:textId="77777777" w:rsidR="00764268" w:rsidRPr="00942F86" w:rsidRDefault="00764268" w:rsidP="00BF7B6F">
      <w:pPr>
        <w:numPr>
          <w:ilvl w:val="0"/>
          <w:numId w:val="23"/>
        </w:numPr>
        <w:spacing w:line="264" w:lineRule="auto"/>
        <w:ind w:left="720"/>
        <w:rPr>
          <w:rFonts w:eastAsia="Calibri"/>
          <w:sz w:val="25"/>
          <w:szCs w:val="25"/>
        </w:rPr>
      </w:pPr>
      <w:r w:rsidRPr="00942F86">
        <w:rPr>
          <w:rFonts w:eastAsia="Calibri"/>
          <w:sz w:val="25"/>
          <w:szCs w:val="25"/>
        </w:rPr>
        <w:t>Has approved hypothetical capital structures to improve a utility’s weakened financial condition.</w:t>
      </w:r>
    </w:p>
    <w:p w14:paraId="3C799A8B" w14:textId="77777777" w:rsidR="00764268" w:rsidRPr="00942F86" w:rsidRDefault="00764268" w:rsidP="000455AC">
      <w:pPr>
        <w:spacing w:line="264" w:lineRule="auto"/>
        <w:rPr>
          <w:sz w:val="25"/>
          <w:szCs w:val="25"/>
        </w:rPr>
      </w:pPr>
    </w:p>
    <w:p w14:paraId="51466A37" w14:textId="5F60B496" w:rsidR="00E44EF0" w:rsidRPr="00942F86" w:rsidRDefault="00764268" w:rsidP="005E0DF4">
      <w:pPr>
        <w:numPr>
          <w:ilvl w:val="0"/>
          <w:numId w:val="1"/>
        </w:numPr>
        <w:tabs>
          <w:tab w:val="clear" w:pos="720"/>
          <w:tab w:val="num" w:pos="0"/>
        </w:tabs>
        <w:spacing w:line="264" w:lineRule="auto"/>
        <w:ind w:left="0"/>
        <w:rPr>
          <w:rFonts w:eastAsia="Calibri"/>
          <w:sz w:val="25"/>
          <w:szCs w:val="25"/>
        </w:rPr>
      </w:pPr>
      <w:r w:rsidRPr="00942F86">
        <w:rPr>
          <w:sz w:val="25"/>
          <w:szCs w:val="25"/>
        </w:rPr>
        <w:t xml:space="preserve">With these principles in mind, we turn </w:t>
      </w:r>
      <w:r w:rsidR="00F2342A" w:rsidRPr="00942F86">
        <w:rPr>
          <w:sz w:val="25"/>
          <w:szCs w:val="25"/>
        </w:rPr>
        <w:t>in the sections following below</w:t>
      </w:r>
      <w:r w:rsidRPr="00942F86">
        <w:rPr>
          <w:sz w:val="25"/>
          <w:szCs w:val="25"/>
        </w:rPr>
        <w:t xml:space="preserve"> to consideration of the contested issues, starting with proposed </w:t>
      </w:r>
      <w:r w:rsidRPr="00942F86">
        <w:rPr>
          <w:i/>
          <w:sz w:val="25"/>
          <w:szCs w:val="25"/>
        </w:rPr>
        <w:t>pro forma</w:t>
      </w:r>
      <w:r w:rsidRPr="00942F86">
        <w:rPr>
          <w:sz w:val="25"/>
          <w:szCs w:val="25"/>
        </w:rPr>
        <w:t xml:space="preserve"> adjustments.</w:t>
      </w:r>
      <w:r w:rsidR="00E44EF0" w:rsidRPr="00942F86">
        <w:rPr>
          <w:sz w:val="25"/>
          <w:szCs w:val="25"/>
        </w:rPr>
        <w:t xml:space="preserve">  We resolve first disputes concerning general wages and retirement benefits, insurance expense, and the Company’s proposal to apply an escalation factor to Operating &amp; Maintenance (O&amp;M) expenses apart from labor- and power-related O&amp;M expenses.</w:t>
      </w:r>
      <w:r w:rsidRPr="00942F86">
        <w:rPr>
          <w:sz w:val="25"/>
          <w:szCs w:val="25"/>
        </w:rPr>
        <w:t xml:space="preserve"> </w:t>
      </w:r>
    </w:p>
    <w:p w14:paraId="1BFCCF69" w14:textId="77777777" w:rsidR="00E44EF0" w:rsidRPr="00942F86" w:rsidRDefault="00E44EF0" w:rsidP="000455AC">
      <w:pPr>
        <w:spacing w:line="264" w:lineRule="auto"/>
        <w:rPr>
          <w:rFonts w:eastAsia="Calibri"/>
          <w:sz w:val="25"/>
          <w:szCs w:val="25"/>
        </w:rPr>
      </w:pPr>
    </w:p>
    <w:p w14:paraId="59FEF086" w14:textId="156595DA" w:rsidR="00E44EF0" w:rsidRPr="00942F86" w:rsidRDefault="00E44EF0" w:rsidP="005E0DF4">
      <w:pPr>
        <w:numPr>
          <w:ilvl w:val="0"/>
          <w:numId w:val="1"/>
        </w:numPr>
        <w:tabs>
          <w:tab w:val="clear" w:pos="720"/>
          <w:tab w:val="num" w:pos="0"/>
        </w:tabs>
        <w:spacing w:line="264" w:lineRule="auto"/>
        <w:ind w:left="0"/>
        <w:rPr>
          <w:rFonts w:eastAsia="Calibri"/>
          <w:sz w:val="25"/>
          <w:szCs w:val="25"/>
        </w:rPr>
      </w:pPr>
      <w:r w:rsidRPr="00942F86">
        <w:rPr>
          <w:sz w:val="25"/>
          <w:szCs w:val="25"/>
        </w:rPr>
        <w:lastRenderedPageBreak/>
        <w:t>Pacific Power’s net power costs are a principal driver of its request for increased revenue with power cost issues accounting for nearly 46 percent of the total amount of the increase the Company proposes.  This includes increases in updated net power costs reflected in the Company’s rebuttal testimony, which are driven principally by post-test period increases in the costs of coal to fuel the Company’s Colstrip and Jim Bridger power plants.  These updates added an additional $5.4 million to Pacific Power’s overall revenue request.</w:t>
      </w:r>
      <w:r w:rsidRPr="00942F86">
        <w:rPr>
          <w:sz w:val="25"/>
          <w:szCs w:val="25"/>
          <w:vertAlign w:val="superscript"/>
        </w:rPr>
        <w:footnoteReference w:id="23"/>
      </w:r>
    </w:p>
    <w:p w14:paraId="4C46C027" w14:textId="77777777" w:rsidR="00E44EF0" w:rsidRPr="00942F86" w:rsidRDefault="00E44EF0" w:rsidP="000455AC">
      <w:pPr>
        <w:spacing w:line="264" w:lineRule="auto"/>
        <w:rPr>
          <w:rFonts w:eastAsia="Calibri"/>
          <w:sz w:val="25"/>
          <w:szCs w:val="25"/>
        </w:rPr>
      </w:pPr>
    </w:p>
    <w:p w14:paraId="202AA954" w14:textId="2B4EFDF2" w:rsidR="00764268" w:rsidRPr="00942F86" w:rsidRDefault="00A30FB8" w:rsidP="005E0DF4">
      <w:pPr>
        <w:numPr>
          <w:ilvl w:val="0"/>
          <w:numId w:val="1"/>
        </w:numPr>
        <w:tabs>
          <w:tab w:val="clear" w:pos="720"/>
          <w:tab w:val="num" w:pos="0"/>
        </w:tabs>
        <w:spacing w:line="264" w:lineRule="auto"/>
        <w:ind w:left="0"/>
        <w:rPr>
          <w:sz w:val="25"/>
          <w:szCs w:val="25"/>
        </w:rPr>
      </w:pPr>
      <w:r w:rsidRPr="00942F86">
        <w:rPr>
          <w:sz w:val="25"/>
          <w:szCs w:val="25"/>
        </w:rPr>
        <w:t xml:space="preserve">In the context of this discussion, we take up </w:t>
      </w:r>
      <w:r w:rsidR="002249F1">
        <w:rPr>
          <w:sz w:val="25"/>
          <w:szCs w:val="25"/>
        </w:rPr>
        <w:t xml:space="preserve">Staff’s proposed Power Cost Adjustment Mechanism (PCAM) and </w:t>
      </w:r>
      <w:r w:rsidRPr="00942F86">
        <w:rPr>
          <w:sz w:val="25"/>
          <w:szCs w:val="25"/>
        </w:rPr>
        <w:t>Pacific Power’s proposed Renewable Resource Tracking Mechanism (RRTM).</w:t>
      </w:r>
      <w:r w:rsidR="00A96C0C" w:rsidRPr="00942F86">
        <w:rPr>
          <w:sz w:val="25"/>
          <w:szCs w:val="25"/>
        </w:rPr>
        <w:t xml:space="preserve">  </w:t>
      </w:r>
      <w:r w:rsidR="00764268" w:rsidRPr="00942F86">
        <w:rPr>
          <w:sz w:val="25"/>
          <w:szCs w:val="25"/>
        </w:rPr>
        <w:t>Once we determine the “O” (</w:t>
      </w:r>
      <w:r w:rsidR="00764268" w:rsidRPr="00942F86">
        <w:rPr>
          <w:i/>
          <w:sz w:val="25"/>
          <w:szCs w:val="25"/>
        </w:rPr>
        <w:t>i.e.,</w:t>
      </w:r>
      <w:r w:rsidR="00764268" w:rsidRPr="00942F86">
        <w:rPr>
          <w:sz w:val="25"/>
          <w:szCs w:val="25"/>
        </w:rPr>
        <w:t xml:space="preserve"> operating expense) and “B” (</w:t>
      </w:r>
      <w:r w:rsidR="00764268" w:rsidRPr="00942F86">
        <w:rPr>
          <w:i/>
          <w:sz w:val="25"/>
          <w:szCs w:val="25"/>
        </w:rPr>
        <w:t>i.e.,</w:t>
      </w:r>
      <w:r w:rsidR="00764268" w:rsidRPr="00942F86">
        <w:rPr>
          <w:sz w:val="25"/>
          <w:szCs w:val="25"/>
        </w:rPr>
        <w:t xml:space="preserve"> rate base) factors in our ratemaking equation, we complete the revenue requirement portion of our discussion with determination of the Company’s cost of capital, the “r” or rate of return that is multiplied by the rate base in the basic rate equation.  </w:t>
      </w:r>
    </w:p>
    <w:p w14:paraId="1FAEC566" w14:textId="77777777" w:rsidR="00764268" w:rsidRPr="00942F86" w:rsidRDefault="00764268" w:rsidP="000455AC">
      <w:pPr>
        <w:spacing w:line="264" w:lineRule="auto"/>
        <w:rPr>
          <w:sz w:val="25"/>
          <w:szCs w:val="25"/>
        </w:rPr>
      </w:pPr>
    </w:p>
    <w:p w14:paraId="0ED79148" w14:textId="28BF7A04" w:rsidR="00764268" w:rsidRPr="00942F86" w:rsidRDefault="00BC00AF" w:rsidP="00E00494">
      <w:pPr>
        <w:numPr>
          <w:ilvl w:val="0"/>
          <w:numId w:val="1"/>
        </w:numPr>
        <w:tabs>
          <w:tab w:val="clear" w:pos="720"/>
          <w:tab w:val="num" w:pos="0"/>
        </w:tabs>
        <w:spacing w:line="264" w:lineRule="auto"/>
        <w:ind w:left="0"/>
        <w:rPr>
          <w:sz w:val="25"/>
          <w:szCs w:val="25"/>
        </w:rPr>
      </w:pPr>
      <w:r w:rsidRPr="00077EEC">
        <w:t>To determine “r”, we develop a weighted cost of capital for the Company based on a capital structure that balances safety and economy.  Capital structure, and particularly the equity ratio and cost of equity, materially impacts the price customers pay for service.  Due to the relative difference between the higher cost of equity and the lower cost of debt, a capital structure with relatively more debt and less equity may result in a lower overall cost of capital.</w:t>
      </w:r>
      <w:r w:rsidRPr="00077EEC">
        <w:rPr>
          <w:vertAlign w:val="superscript"/>
        </w:rPr>
        <w:footnoteReference w:id="24"/>
      </w:r>
      <w:r w:rsidRPr="00077EEC">
        <w:t xml:space="preserve">  This results in lower rates for customers.  This is commonly referred to as “economy.”  On the other hand, a capital structure with relatively more equity and less debt may result in a higher overall cost of capital and higher rates for customers, but enhanced financial integrity.  This is commonly referred to as “safety.”</w:t>
      </w:r>
      <w:r w:rsidRPr="00077EEC">
        <w:rPr>
          <w:vertAlign w:val="superscript"/>
        </w:rPr>
        <w:footnoteReference w:id="25"/>
      </w:r>
    </w:p>
    <w:p w14:paraId="78AD831F" w14:textId="77777777" w:rsidR="00764268" w:rsidRPr="00942F86" w:rsidRDefault="00764268" w:rsidP="000455AC">
      <w:pPr>
        <w:spacing w:line="264" w:lineRule="auto"/>
        <w:rPr>
          <w:sz w:val="25"/>
          <w:szCs w:val="25"/>
        </w:rPr>
      </w:pPr>
    </w:p>
    <w:p w14:paraId="338C36FF" w14:textId="5EB34658" w:rsidR="00764268" w:rsidRPr="00942F86" w:rsidRDefault="00764268" w:rsidP="005E0DF4">
      <w:pPr>
        <w:numPr>
          <w:ilvl w:val="0"/>
          <w:numId w:val="1"/>
        </w:numPr>
        <w:tabs>
          <w:tab w:val="clear" w:pos="720"/>
          <w:tab w:val="num" w:pos="0"/>
        </w:tabs>
        <w:spacing w:line="264" w:lineRule="auto"/>
        <w:ind w:left="0"/>
        <w:rPr>
          <w:sz w:val="25"/>
          <w:szCs w:val="25"/>
        </w:rPr>
      </w:pPr>
      <w:r w:rsidRPr="00942F86">
        <w:rPr>
          <w:sz w:val="25"/>
          <w:szCs w:val="25"/>
        </w:rPr>
        <w:lastRenderedPageBreak/>
        <w:t xml:space="preserve">Taking the last step to determine the specific </w:t>
      </w:r>
      <w:r w:rsidR="00A77C7F" w:rsidRPr="00942F86">
        <w:rPr>
          <w:sz w:val="25"/>
          <w:szCs w:val="25"/>
        </w:rPr>
        <w:t xml:space="preserve">base </w:t>
      </w:r>
      <w:r w:rsidRPr="00942F86">
        <w:rPr>
          <w:sz w:val="25"/>
          <w:szCs w:val="25"/>
        </w:rPr>
        <w:t>rates various types of customers will pay, we address Pacific Power’s cost of service study, rate spread and rate design.  In doing so, we establish how Pacific Power’s costs will be allocated to different classes of customers, such as residential, commercial and industrial, and the means by which those costs will be recovered from each customer class in base rates and rates tied to levels of use.  In this case, the Company proposes</w:t>
      </w:r>
      <w:r w:rsidR="003C5DA7" w:rsidRPr="00942F86">
        <w:rPr>
          <w:sz w:val="25"/>
          <w:szCs w:val="25"/>
        </w:rPr>
        <w:t>,</w:t>
      </w:r>
      <w:r w:rsidRPr="00942F86">
        <w:rPr>
          <w:sz w:val="25"/>
          <w:szCs w:val="25"/>
        </w:rPr>
        <w:t xml:space="preserve"> among other things</w:t>
      </w:r>
      <w:r w:rsidR="003C5DA7" w:rsidRPr="00942F86">
        <w:rPr>
          <w:sz w:val="25"/>
          <w:szCs w:val="25"/>
        </w:rPr>
        <w:t>,</w:t>
      </w:r>
      <w:r w:rsidRPr="00942F86">
        <w:rPr>
          <w:sz w:val="25"/>
          <w:szCs w:val="25"/>
        </w:rPr>
        <w:t xml:space="preserve"> to recover significant additional fixed costs in basic charges resulting in a nearly 80 percent increase to the residential basic charge.  Staff also proposes a </w:t>
      </w:r>
      <w:r w:rsidR="007A3FED">
        <w:rPr>
          <w:sz w:val="25"/>
          <w:szCs w:val="25"/>
        </w:rPr>
        <w:t>large</w:t>
      </w:r>
      <w:r w:rsidRPr="00942F86">
        <w:rPr>
          <w:sz w:val="25"/>
          <w:szCs w:val="25"/>
        </w:rPr>
        <w:t xml:space="preserve"> increase to this charge, and proposes changes to the Company’s residential volumetric block rates.   </w:t>
      </w:r>
    </w:p>
    <w:p w14:paraId="25269C7F" w14:textId="77777777" w:rsidR="00764268" w:rsidRPr="00942F86" w:rsidRDefault="00764268" w:rsidP="000455AC">
      <w:pPr>
        <w:spacing w:line="264" w:lineRule="auto"/>
        <w:ind w:left="720"/>
        <w:rPr>
          <w:sz w:val="25"/>
          <w:szCs w:val="25"/>
        </w:rPr>
      </w:pPr>
    </w:p>
    <w:p w14:paraId="554E6F08" w14:textId="2A75A999" w:rsidR="00764268" w:rsidRPr="00942F86" w:rsidRDefault="00764268" w:rsidP="005E0DF4">
      <w:pPr>
        <w:numPr>
          <w:ilvl w:val="0"/>
          <w:numId w:val="1"/>
        </w:numPr>
        <w:tabs>
          <w:tab w:val="clear" w:pos="720"/>
          <w:tab w:val="num" w:pos="0"/>
        </w:tabs>
        <w:spacing w:line="264" w:lineRule="auto"/>
        <w:ind w:left="0"/>
        <w:rPr>
          <w:sz w:val="25"/>
          <w:szCs w:val="25"/>
        </w:rPr>
      </w:pPr>
      <w:r w:rsidRPr="00942F86">
        <w:rPr>
          <w:sz w:val="25"/>
          <w:szCs w:val="25"/>
        </w:rPr>
        <w:t>We address</w:t>
      </w:r>
      <w:r w:rsidR="00A30FB8" w:rsidRPr="00942F86">
        <w:rPr>
          <w:sz w:val="25"/>
          <w:szCs w:val="25"/>
        </w:rPr>
        <w:t>, too,</w:t>
      </w:r>
      <w:r w:rsidRPr="00942F86">
        <w:rPr>
          <w:sz w:val="25"/>
          <w:szCs w:val="25"/>
        </w:rPr>
        <w:t xml:space="preserve"> the Company’s programs that are designed to assist low-income customers that Pacific Power serves in Washington.  The Company proposes to increase the number of participants, to increase the participant benefit by two times whatever residential rate increase is approved, and to reduce the monthly customer charge to qualifying customers.  These proposals are consistent with a currently effective five-year plan the Commission approved previously.  </w:t>
      </w:r>
    </w:p>
    <w:p w14:paraId="3D0656E7" w14:textId="77777777" w:rsidR="00764268" w:rsidRPr="00942F86" w:rsidRDefault="00764268" w:rsidP="000455AC">
      <w:pPr>
        <w:spacing w:line="264" w:lineRule="auto"/>
        <w:ind w:left="720"/>
        <w:rPr>
          <w:sz w:val="25"/>
          <w:szCs w:val="25"/>
        </w:rPr>
      </w:pPr>
    </w:p>
    <w:p w14:paraId="453B4C2E" w14:textId="1E9E75B6" w:rsidR="00764268" w:rsidRPr="00942F86" w:rsidRDefault="00764268" w:rsidP="005E0DF4">
      <w:pPr>
        <w:numPr>
          <w:ilvl w:val="0"/>
          <w:numId w:val="1"/>
        </w:numPr>
        <w:tabs>
          <w:tab w:val="clear" w:pos="720"/>
          <w:tab w:val="num" w:pos="0"/>
        </w:tabs>
        <w:spacing w:line="264" w:lineRule="auto"/>
        <w:ind w:left="0"/>
        <w:rPr>
          <w:sz w:val="25"/>
          <w:szCs w:val="25"/>
        </w:rPr>
      </w:pPr>
      <w:r w:rsidRPr="00942F86">
        <w:rPr>
          <w:sz w:val="25"/>
          <w:szCs w:val="25"/>
        </w:rPr>
        <w:t xml:space="preserve">Finally, we consider four related </w:t>
      </w:r>
      <w:r w:rsidR="00F2342A" w:rsidRPr="00942F86">
        <w:rPr>
          <w:sz w:val="25"/>
          <w:szCs w:val="25"/>
        </w:rPr>
        <w:t>matters, three of which were initiated in separate dockets that are now</w:t>
      </w:r>
      <w:r w:rsidRPr="00942F86">
        <w:rPr>
          <w:sz w:val="25"/>
          <w:szCs w:val="25"/>
        </w:rPr>
        <w:t xml:space="preserve"> consolidated into this general rate proceeding</w:t>
      </w:r>
      <w:r w:rsidR="00F2342A" w:rsidRPr="00942F86">
        <w:rPr>
          <w:sz w:val="25"/>
          <w:szCs w:val="25"/>
        </w:rPr>
        <w:t xml:space="preserve">.  These </w:t>
      </w:r>
      <w:r w:rsidR="00D0630B" w:rsidRPr="00942F86">
        <w:rPr>
          <w:sz w:val="25"/>
          <w:szCs w:val="25"/>
        </w:rPr>
        <w:t>include</w:t>
      </w:r>
      <w:r w:rsidR="00F2342A" w:rsidRPr="00942F86">
        <w:rPr>
          <w:sz w:val="25"/>
          <w:szCs w:val="25"/>
        </w:rPr>
        <w:t xml:space="preserve"> two</w:t>
      </w:r>
      <w:r w:rsidRPr="00942F86">
        <w:rPr>
          <w:sz w:val="25"/>
          <w:szCs w:val="25"/>
        </w:rPr>
        <w:t xml:space="preserve"> proposals by Pacific Power</w:t>
      </w:r>
      <w:r w:rsidR="00F2342A" w:rsidRPr="00942F86">
        <w:rPr>
          <w:sz w:val="25"/>
          <w:szCs w:val="25"/>
        </w:rPr>
        <w:t xml:space="preserve"> to recover deferred power costs (</w:t>
      </w:r>
      <w:r w:rsidR="00F2342A" w:rsidRPr="00942F86">
        <w:rPr>
          <w:i/>
          <w:sz w:val="25"/>
          <w:szCs w:val="25"/>
        </w:rPr>
        <w:t>i.e.,</w:t>
      </w:r>
      <w:r w:rsidR="00F2342A" w:rsidRPr="00942F86">
        <w:rPr>
          <w:sz w:val="25"/>
          <w:szCs w:val="25"/>
        </w:rPr>
        <w:t xml:space="preserve"> costs attributed to an outage at the Colstrip power plant in Docket UE-</w:t>
      </w:r>
      <w:r w:rsidR="00D0630B" w:rsidRPr="00942F86">
        <w:rPr>
          <w:sz w:val="25"/>
          <w:szCs w:val="25"/>
        </w:rPr>
        <w:t>131384,</w:t>
      </w:r>
      <w:r w:rsidR="00F2342A" w:rsidRPr="00942F86">
        <w:rPr>
          <w:sz w:val="25"/>
          <w:szCs w:val="25"/>
        </w:rPr>
        <w:t xml:space="preserve"> and to </w:t>
      </w:r>
      <w:r w:rsidR="00D0630B" w:rsidRPr="00942F86">
        <w:rPr>
          <w:sz w:val="25"/>
          <w:szCs w:val="25"/>
        </w:rPr>
        <w:t>low-hydro conditions projected for 2014 in Docket UE-140094) and</w:t>
      </w:r>
      <w:r w:rsidRPr="00942F86">
        <w:rPr>
          <w:sz w:val="25"/>
          <w:szCs w:val="25"/>
        </w:rPr>
        <w:t xml:space="preserve"> the Merwin </w:t>
      </w:r>
      <w:r w:rsidR="00F2342A" w:rsidRPr="00942F86">
        <w:rPr>
          <w:sz w:val="25"/>
          <w:szCs w:val="25"/>
        </w:rPr>
        <w:t>P</w:t>
      </w:r>
      <w:r w:rsidRPr="00942F86">
        <w:rPr>
          <w:sz w:val="25"/>
          <w:szCs w:val="25"/>
        </w:rPr>
        <w:t>roject deferral</w:t>
      </w:r>
      <w:r w:rsidR="00E44EF0" w:rsidRPr="00942F86">
        <w:rPr>
          <w:sz w:val="25"/>
          <w:szCs w:val="25"/>
        </w:rPr>
        <w:t xml:space="preserve"> (</w:t>
      </w:r>
      <w:r w:rsidR="00E44EF0" w:rsidRPr="00942F86">
        <w:rPr>
          <w:i/>
          <w:sz w:val="25"/>
          <w:szCs w:val="25"/>
        </w:rPr>
        <w:t>i.e.,</w:t>
      </w:r>
      <w:r w:rsidR="00E44EF0" w:rsidRPr="00942F86">
        <w:rPr>
          <w:sz w:val="25"/>
          <w:szCs w:val="25"/>
        </w:rPr>
        <w:t xml:space="preserve"> Docket UE-140617)</w:t>
      </w:r>
      <w:r w:rsidR="00D0630B" w:rsidRPr="00942F86">
        <w:rPr>
          <w:sz w:val="25"/>
          <w:szCs w:val="25"/>
        </w:rPr>
        <w:t>.  The fourth matter concerns</w:t>
      </w:r>
      <w:r w:rsidRPr="00942F86">
        <w:rPr>
          <w:sz w:val="25"/>
          <w:szCs w:val="25"/>
        </w:rPr>
        <w:t xml:space="preserve"> a deferral</w:t>
      </w:r>
      <w:r w:rsidR="00D0630B" w:rsidRPr="00942F86">
        <w:rPr>
          <w:sz w:val="25"/>
          <w:szCs w:val="25"/>
        </w:rPr>
        <w:t xml:space="preserve"> of the difference between depreciation rates approved in Docket UE-130052 and the depreciation rates reflected in the Company’s 2013 GRC in Docket UE-130043</w:t>
      </w:r>
      <w:r w:rsidRPr="00942F86">
        <w:rPr>
          <w:sz w:val="25"/>
          <w:szCs w:val="25"/>
        </w:rPr>
        <w:t>.</w:t>
      </w:r>
      <w:r w:rsidR="00D0630B" w:rsidRPr="00942F86">
        <w:rPr>
          <w:rStyle w:val="FootnoteReference"/>
          <w:sz w:val="25"/>
          <w:szCs w:val="25"/>
        </w:rPr>
        <w:footnoteReference w:id="26"/>
      </w:r>
      <w:r w:rsidR="00F2342A" w:rsidRPr="00942F86">
        <w:rPr>
          <w:sz w:val="25"/>
          <w:szCs w:val="25"/>
        </w:rPr>
        <w:t xml:space="preserve">  It is appropriate to consider these matters separately in light of Pacific Power’s proposed </w:t>
      </w:r>
      <w:r w:rsidR="00E44EF0" w:rsidRPr="00942F86">
        <w:rPr>
          <w:sz w:val="25"/>
          <w:szCs w:val="25"/>
        </w:rPr>
        <w:t>use</w:t>
      </w:r>
      <w:r w:rsidR="00F2342A" w:rsidRPr="00942F86">
        <w:rPr>
          <w:sz w:val="25"/>
          <w:szCs w:val="25"/>
        </w:rPr>
        <w:t xml:space="preserve"> of </w:t>
      </w:r>
      <w:r w:rsidR="007A3FED">
        <w:rPr>
          <w:sz w:val="25"/>
          <w:szCs w:val="25"/>
        </w:rPr>
        <w:t xml:space="preserve">deferred accounting for the power costs and </w:t>
      </w:r>
      <w:r w:rsidR="00F2342A" w:rsidRPr="00942F86">
        <w:rPr>
          <w:sz w:val="25"/>
          <w:szCs w:val="25"/>
        </w:rPr>
        <w:t>a separate tariff rider (</w:t>
      </w:r>
      <w:r w:rsidR="00F2342A" w:rsidRPr="00942F86">
        <w:rPr>
          <w:i/>
          <w:sz w:val="25"/>
          <w:szCs w:val="25"/>
        </w:rPr>
        <w:t>i.e.,</w:t>
      </w:r>
      <w:r w:rsidR="00F2342A" w:rsidRPr="00942F86">
        <w:rPr>
          <w:sz w:val="25"/>
          <w:szCs w:val="25"/>
        </w:rPr>
        <w:t xml:space="preserve"> Schedule 92) </w:t>
      </w:r>
      <w:r w:rsidR="00E44EF0" w:rsidRPr="00942F86">
        <w:rPr>
          <w:sz w:val="25"/>
          <w:szCs w:val="25"/>
        </w:rPr>
        <w:t>to</w:t>
      </w:r>
      <w:r w:rsidR="00F2342A" w:rsidRPr="00942F86">
        <w:rPr>
          <w:sz w:val="25"/>
          <w:szCs w:val="25"/>
        </w:rPr>
        <w:t xml:space="preserve"> amortize </w:t>
      </w:r>
      <w:r w:rsidR="003C5DA7" w:rsidRPr="00942F86">
        <w:rPr>
          <w:sz w:val="25"/>
          <w:szCs w:val="25"/>
        </w:rPr>
        <w:t xml:space="preserve">fully </w:t>
      </w:r>
      <w:r w:rsidR="00F2342A" w:rsidRPr="00942F86">
        <w:rPr>
          <w:sz w:val="25"/>
          <w:szCs w:val="25"/>
        </w:rPr>
        <w:t>any allowed costs over one year.</w:t>
      </w:r>
    </w:p>
    <w:p w14:paraId="29075555" w14:textId="579852F3" w:rsidR="00E00494" w:rsidRDefault="00E00494">
      <w:pPr>
        <w:rPr>
          <w:sz w:val="25"/>
          <w:szCs w:val="25"/>
        </w:rPr>
      </w:pPr>
      <w:r>
        <w:rPr>
          <w:sz w:val="25"/>
          <w:szCs w:val="25"/>
        </w:rPr>
        <w:br w:type="page"/>
      </w:r>
    </w:p>
    <w:p w14:paraId="09B30CD9" w14:textId="77777777" w:rsidR="002E3399" w:rsidRPr="00942F86" w:rsidRDefault="002E3399" w:rsidP="000455AC">
      <w:pPr>
        <w:spacing w:line="264" w:lineRule="auto"/>
        <w:rPr>
          <w:sz w:val="25"/>
          <w:szCs w:val="25"/>
        </w:rPr>
      </w:pPr>
    </w:p>
    <w:p w14:paraId="3CBD97E9" w14:textId="2168402D" w:rsidR="00764268" w:rsidRPr="00942F86" w:rsidRDefault="00764268" w:rsidP="000455AC">
      <w:pPr>
        <w:pStyle w:val="Heading2"/>
        <w:keepLines/>
        <w:spacing w:before="0" w:after="0" w:line="264" w:lineRule="auto"/>
        <w:ind w:left="360" w:hanging="360"/>
        <w:rPr>
          <w:rFonts w:ascii="Times New Roman" w:hAnsi="Times New Roman" w:cs="Times New Roman"/>
          <w:i w:val="0"/>
          <w:sz w:val="25"/>
          <w:szCs w:val="25"/>
        </w:rPr>
      </w:pPr>
      <w:bookmarkStart w:id="12" w:name="_Toc415037610"/>
      <w:r w:rsidRPr="00942F86">
        <w:rPr>
          <w:rFonts w:ascii="Times New Roman" w:hAnsi="Times New Roman" w:cs="Times New Roman"/>
          <w:i w:val="0"/>
          <w:sz w:val="25"/>
          <w:szCs w:val="25"/>
        </w:rPr>
        <w:t xml:space="preserve">III. </w:t>
      </w:r>
      <w:r w:rsidR="00925B60" w:rsidRPr="00942F86">
        <w:rPr>
          <w:rFonts w:ascii="Times New Roman" w:hAnsi="Times New Roman" w:cs="Times New Roman"/>
          <w:i w:val="0"/>
          <w:sz w:val="25"/>
          <w:szCs w:val="25"/>
        </w:rPr>
        <w:t>Discussion and Decisions</w:t>
      </w:r>
      <w:bookmarkEnd w:id="9"/>
      <w:bookmarkEnd w:id="12"/>
    </w:p>
    <w:p w14:paraId="327E3CD7" w14:textId="77777777" w:rsidR="004A7EB3" w:rsidRPr="00942F86" w:rsidRDefault="004A7EB3" w:rsidP="000455AC">
      <w:pPr>
        <w:spacing w:line="264" w:lineRule="auto"/>
        <w:rPr>
          <w:sz w:val="25"/>
          <w:szCs w:val="25"/>
        </w:rPr>
      </w:pPr>
    </w:p>
    <w:p w14:paraId="474038E3" w14:textId="77777777" w:rsidR="009161F6" w:rsidRDefault="00EF2A4C" w:rsidP="000455AC">
      <w:pPr>
        <w:pStyle w:val="Heading3"/>
        <w:spacing w:before="0" w:after="0"/>
        <w:rPr>
          <w:rFonts w:cs="Times New Roman"/>
        </w:rPr>
      </w:pPr>
      <w:bookmarkStart w:id="13" w:name="_Toc415037611"/>
      <w:r w:rsidRPr="00942F86">
        <w:rPr>
          <w:rFonts w:cs="Times New Roman"/>
        </w:rPr>
        <w:t>Introduction</w:t>
      </w:r>
      <w:bookmarkEnd w:id="13"/>
    </w:p>
    <w:p w14:paraId="5F4CBCB6" w14:textId="77777777" w:rsidR="00ED2C13" w:rsidRPr="00ED2C13" w:rsidRDefault="00ED2C13" w:rsidP="00ED2C13"/>
    <w:p w14:paraId="6F22A4ED" w14:textId="77777777" w:rsidR="003F32C6" w:rsidRPr="00ED2C13" w:rsidRDefault="008D4F55" w:rsidP="005E0DF4">
      <w:pPr>
        <w:numPr>
          <w:ilvl w:val="0"/>
          <w:numId w:val="1"/>
        </w:numPr>
        <w:tabs>
          <w:tab w:val="clear" w:pos="720"/>
          <w:tab w:val="num" w:pos="0"/>
        </w:tabs>
        <w:spacing w:line="264" w:lineRule="auto"/>
        <w:ind w:left="0"/>
        <w:rPr>
          <w:i/>
          <w:sz w:val="25"/>
          <w:szCs w:val="25"/>
        </w:rPr>
      </w:pPr>
      <w:r w:rsidRPr="00ED2C13">
        <w:rPr>
          <w:sz w:val="25"/>
          <w:szCs w:val="25"/>
        </w:rPr>
        <w:t xml:space="preserve">This is Pacific Power’s </w:t>
      </w:r>
      <w:r w:rsidR="00D076C5" w:rsidRPr="00ED2C13">
        <w:rPr>
          <w:sz w:val="25"/>
          <w:szCs w:val="25"/>
        </w:rPr>
        <w:t>nin</w:t>
      </w:r>
      <w:r w:rsidRPr="00ED2C13">
        <w:rPr>
          <w:sz w:val="25"/>
          <w:szCs w:val="25"/>
        </w:rPr>
        <w:t>th general rate case in Washington since 200</w:t>
      </w:r>
      <w:r w:rsidR="00D076C5" w:rsidRPr="00ED2C13">
        <w:rPr>
          <w:sz w:val="25"/>
          <w:szCs w:val="25"/>
        </w:rPr>
        <w:t>3</w:t>
      </w:r>
      <w:r w:rsidRPr="00ED2C13">
        <w:rPr>
          <w:sz w:val="25"/>
          <w:szCs w:val="25"/>
        </w:rPr>
        <w:t>.</w:t>
      </w:r>
      <w:r w:rsidR="00D076C5" w:rsidRPr="00ED2C13">
        <w:rPr>
          <w:sz w:val="25"/>
          <w:szCs w:val="25"/>
          <w:vertAlign w:val="superscript"/>
        </w:rPr>
        <w:t xml:space="preserve"> </w:t>
      </w:r>
      <w:r w:rsidR="00D076C5" w:rsidRPr="00942F86">
        <w:rPr>
          <w:sz w:val="25"/>
          <w:szCs w:val="25"/>
          <w:vertAlign w:val="superscript"/>
        </w:rPr>
        <w:footnoteReference w:id="27"/>
      </w:r>
      <w:r w:rsidRPr="00ED2C13">
        <w:rPr>
          <w:sz w:val="25"/>
          <w:szCs w:val="25"/>
        </w:rPr>
        <w:t xml:space="preserve">  </w:t>
      </w:r>
      <w:r w:rsidR="00D076C5" w:rsidRPr="00ED2C13">
        <w:rPr>
          <w:sz w:val="25"/>
          <w:szCs w:val="25"/>
        </w:rPr>
        <w:t xml:space="preserve">But for one case, all have </w:t>
      </w:r>
      <w:r w:rsidRPr="00ED2C13">
        <w:rPr>
          <w:sz w:val="25"/>
          <w:szCs w:val="25"/>
        </w:rPr>
        <w:t>resulted in rate increases</w:t>
      </w:r>
      <w:r w:rsidR="00D076C5" w:rsidRPr="00ED2C13">
        <w:rPr>
          <w:sz w:val="25"/>
          <w:szCs w:val="25"/>
        </w:rPr>
        <w:t xml:space="preserve"> for the Company</w:t>
      </w:r>
      <w:r w:rsidRPr="00ED2C13">
        <w:rPr>
          <w:sz w:val="25"/>
          <w:szCs w:val="25"/>
        </w:rPr>
        <w:t>.</w:t>
      </w:r>
      <w:r w:rsidR="00D076C5" w:rsidRPr="00942F86">
        <w:rPr>
          <w:rStyle w:val="FootnoteReference"/>
          <w:sz w:val="25"/>
          <w:szCs w:val="25"/>
        </w:rPr>
        <w:footnoteReference w:id="28"/>
      </w:r>
      <w:r w:rsidR="00857B33" w:rsidRPr="00ED2C13">
        <w:rPr>
          <w:sz w:val="25"/>
          <w:szCs w:val="25"/>
        </w:rPr>
        <w:t xml:space="preserve">  </w:t>
      </w:r>
    </w:p>
    <w:p w14:paraId="60B3D26D" w14:textId="77777777" w:rsidR="003F32C6" w:rsidRPr="00942F86" w:rsidRDefault="003F32C6" w:rsidP="000455AC">
      <w:pPr>
        <w:spacing w:line="264" w:lineRule="auto"/>
        <w:rPr>
          <w:i/>
          <w:sz w:val="25"/>
          <w:szCs w:val="25"/>
        </w:rPr>
      </w:pPr>
    </w:p>
    <w:p w14:paraId="251AFBB9" w14:textId="3B17D6AA" w:rsidR="00AF505C" w:rsidRPr="00942F86" w:rsidRDefault="002535DA" w:rsidP="005E0DF4">
      <w:pPr>
        <w:numPr>
          <w:ilvl w:val="0"/>
          <w:numId w:val="1"/>
        </w:numPr>
        <w:tabs>
          <w:tab w:val="clear" w:pos="720"/>
          <w:tab w:val="num" w:pos="0"/>
        </w:tabs>
        <w:spacing w:line="264" w:lineRule="auto"/>
        <w:ind w:left="0"/>
        <w:rPr>
          <w:i/>
          <w:sz w:val="25"/>
          <w:szCs w:val="25"/>
        </w:rPr>
      </w:pPr>
      <w:r w:rsidRPr="00942F86">
        <w:rPr>
          <w:sz w:val="25"/>
          <w:szCs w:val="25"/>
        </w:rPr>
        <w:t xml:space="preserve">The Commission entered its Final Order in Docket UE-130043, the Company’s most recently completed </w:t>
      </w:r>
      <w:r w:rsidR="003F32C6" w:rsidRPr="00942F86">
        <w:rPr>
          <w:sz w:val="25"/>
          <w:szCs w:val="25"/>
        </w:rPr>
        <w:t xml:space="preserve">general rate </w:t>
      </w:r>
      <w:r w:rsidRPr="00942F86">
        <w:rPr>
          <w:sz w:val="25"/>
          <w:szCs w:val="25"/>
        </w:rPr>
        <w:t>case, on December 4, 2013.</w:t>
      </w:r>
      <w:r w:rsidRPr="00942F86">
        <w:rPr>
          <w:rStyle w:val="FootnoteReference"/>
          <w:sz w:val="25"/>
          <w:szCs w:val="25"/>
        </w:rPr>
        <w:footnoteReference w:id="29"/>
      </w:r>
      <w:r w:rsidRPr="00942F86">
        <w:rPr>
          <w:sz w:val="25"/>
          <w:szCs w:val="25"/>
        </w:rPr>
        <w:t xml:space="preserve">  </w:t>
      </w:r>
      <w:r w:rsidR="00AF505C" w:rsidRPr="00942F86">
        <w:rPr>
          <w:sz w:val="25"/>
          <w:szCs w:val="25"/>
        </w:rPr>
        <w:t xml:space="preserve">In </w:t>
      </w:r>
      <w:r w:rsidR="00D41160" w:rsidRPr="00942F86">
        <w:rPr>
          <w:sz w:val="25"/>
          <w:szCs w:val="25"/>
        </w:rPr>
        <w:t>that o</w:t>
      </w:r>
      <w:r w:rsidR="00AF505C" w:rsidRPr="00942F86">
        <w:rPr>
          <w:sz w:val="25"/>
          <w:szCs w:val="25"/>
        </w:rPr>
        <w:t>rder  the Commission:</w:t>
      </w:r>
    </w:p>
    <w:p w14:paraId="7F74B93F" w14:textId="77777777" w:rsidR="00AF505C" w:rsidRPr="00942F86" w:rsidRDefault="00AF505C" w:rsidP="000455AC">
      <w:pPr>
        <w:spacing w:line="264" w:lineRule="auto"/>
        <w:rPr>
          <w:i/>
          <w:sz w:val="25"/>
          <w:szCs w:val="25"/>
        </w:rPr>
      </w:pPr>
    </w:p>
    <w:p w14:paraId="246F5C68" w14:textId="0C855A20" w:rsidR="00AF505C" w:rsidRPr="00942F86" w:rsidRDefault="00AF505C" w:rsidP="00BF7B6F">
      <w:pPr>
        <w:numPr>
          <w:ilvl w:val="0"/>
          <w:numId w:val="23"/>
        </w:numPr>
        <w:spacing w:line="264" w:lineRule="auto"/>
        <w:ind w:left="720"/>
        <w:rPr>
          <w:sz w:val="25"/>
          <w:szCs w:val="25"/>
        </w:rPr>
      </w:pPr>
      <w:r w:rsidRPr="00BF7B6F">
        <w:rPr>
          <w:rFonts w:eastAsia="Calibri"/>
          <w:sz w:val="25"/>
          <w:szCs w:val="25"/>
        </w:rPr>
        <w:t>Authorized</w:t>
      </w:r>
      <w:r w:rsidRPr="00942F86">
        <w:rPr>
          <w:sz w:val="25"/>
          <w:szCs w:val="25"/>
        </w:rPr>
        <w:t xml:space="preserve"> rates that would provide the Company an opportunity to recover an additional $16.7 million in revenue during the rate year, relative to its previously authorized rates.</w:t>
      </w:r>
    </w:p>
    <w:p w14:paraId="2FF0CC6A" w14:textId="77777777" w:rsidR="004A7EB3" w:rsidRPr="00942F86" w:rsidRDefault="004A7EB3" w:rsidP="000455AC">
      <w:pPr>
        <w:pStyle w:val="ListParagraph"/>
        <w:spacing w:line="264" w:lineRule="auto"/>
        <w:ind w:left="1080" w:right="720"/>
        <w:rPr>
          <w:sz w:val="25"/>
          <w:szCs w:val="25"/>
        </w:rPr>
      </w:pPr>
    </w:p>
    <w:p w14:paraId="185CCBA0" w14:textId="47455385" w:rsidR="00415886" w:rsidRPr="00942F86" w:rsidRDefault="00415886" w:rsidP="00BF7B6F">
      <w:pPr>
        <w:numPr>
          <w:ilvl w:val="0"/>
          <w:numId w:val="23"/>
        </w:numPr>
        <w:spacing w:line="264" w:lineRule="auto"/>
        <w:ind w:left="720"/>
        <w:rPr>
          <w:sz w:val="25"/>
          <w:szCs w:val="25"/>
        </w:rPr>
      </w:pPr>
      <w:r w:rsidRPr="00942F86">
        <w:rPr>
          <w:sz w:val="25"/>
          <w:szCs w:val="25"/>
        </w:rPr>
        <w:t>Rejected</w:t>
      </w:r>
      <w:r w:rsidR="00AF505C" w:rsidRPr="00942F86">
        <w:rPr>
          <w:sz w:val="25"/>
          <w:szCs w:val="25"/>
        </w:rPr>
        <w:t xml:space="preserve"> Pacifi</w:t>
      </w:r>
      <w:r w:rsidRPr="00942F86">
        <w:rPr>
          <w:sz w:val="25"/>
          <w:szCs w:val="25"/>
        </w:rPr>
        <w:t xml:space="preserve">c Power’s </w:t>
      </w:r>
      <w:r w:rsidR="00AF505C" w:rsidRPr="00942F86">
        <w:rPr>
          <w:sz w:val="25"/>
          <w:szCs w:val="25"/>
        </w:rPr>
        <w:t>proposed revisions to the West Control Area inter-jurisdictional cost allocation methodology</w:t>
      </w:r>
      <w:r w:rsidR="0082043E" w:rsidRPr="00942F86">
        <w:rPr>
          <w:sz w:val="25"/>
          <w:szCs w:val="25"/>
        </w:rPr>
        <w:t xml:space="preserve"> in effect since being initially authorized in June 2007,</w:t>
      </w:r>
      <w:r w:rsidR="00AF505C" w:rsidRPr="00942F86">
        <w:rPr>
          <w:sz w:val="25"/>
          <w:szCs w:val="25"/>
        </w:rPr>
        <w:t xml:space="preserve"> </w:t>
      </w:r>
      <w:r w:rsidRPr="00942F86">
        <w:rPr>
          <w:sz w:val="25"/>
          <w:szCs w:val="25"/>
        </w:rPr>
        <w:t xml:space="preserve">including </w:t>
      </w:r>
      <w:r w:rsidR="0082043E" w:rsidRPr="00942F86">
        <w:rPr>
          <w:sz w:val="25"/>
          <w:szCs w:val="25"/>
        </w:rPr>
        <w:t>the Company’s</w:t>
      </w:r>
      <w:r w:rsidRPr="00942F86">
        <w:rPr>
          <w:sz w:val="25"/>
          <w:szCs w:val="25"/>
        </w:rPr>
        <w:t xml:space="preserve"> proposal to change the situs allocation of </w:t>
      </w:r>
      <w:r w:rsidR="00AF505C" w:rsidRPr="00942F86">
        <w:rPr>
          <w:sz w:val="25"/>
          <w:szCs w:val="25"/>
        </w:rPr>
        <w:t>the cost of Qualifying Facilities</w:t>
      </w:r>
      <w:r w:rsidR="005F43A6" w:rsidRPr="00942F86">
        <w:rPr>
          <w:sz w:val="25"/>
          <w:szCs w:val="25"/>
        </w:rPr>
        <w:t xml:space="preserve"> (</w:t>
      </w:r>
      <w:proofErr w:type="spellStart"/>
      <w:r w:rsidR="005F43A6" w:rsidRPr="00942F86">
        <w:rPr>
          <w:sz w:val="25"/>
          <w:szCs w:val="25"/>
        </w:rPr>
        <w:t>QFs</w:t>
      </w:r>
      <w:proofErr w:type="spellEnd"/>
      <w:r w:rsidR="005F43A6" w:rsidRPr="00942F86">
        <w:rPr>
          <w:sz w:val="25"/>
          <w:szCs w:val="25"/>
        </w:rPr>
        <w:t>)</w:t>
      </w:r>
      <w:r w:rsidR="00AF505C" w:rsidRPr="00942F86">
        <w:rPr>
          <w:sz w:val="25"/>
          <w:szCs w:val="25"/>
        </w:rPr>
        <w:t xml:space="preserve"> under the Public Utilities Regulatory Policies Act (PURPA)</w:t>
      </w:r>
      <w:r w:rsidR="0082043E" w:rsidRPr="00942F86">
        <w:rPr>
          <w:sz w:val="25"/>
          <w:szCs w:val="25"/>
        </w:rPr>
        <w:t>.</w:t>
      </w:r>
      <w:r w:rsidRPr="00942F86">
        <w:rPr>
          <w:rStyle w:val="FootnoteReference"/>
          <w:sz w:val="25"/>
          <w:szCs w:val="25"/>
        </w:rPr>
        <w:footnoteReference w:id="30"/>
      </w:r>
      <w:r w:rsidR="00AF505C" w:rsidRPr="00942F86">
        <w:rPr>
          <w:sz w:val="25"/>
          <w:szCs w:val="25"/>
        </w:rPr>
        <w:t xml:space="preserve"> </w:t>
      </w:r>
    </w:p>
    <w:p w14:paraId="35FB51E1" w14:textId="77777777" w:rsidR="004A7EB3" w:rsidRPr="00942F86" w:rsidRDefault="004A7EB3" w:rsidP="000455AC">
      <w:pPr>
        <w:spacing w:line="264" w:lineRule="auto"/>
        <w:ind w:right="720"/>
        <w:rPr>
          <w:sz w:val="25"/>
          <w:szCs w:val="25"/>
        </w:rPr>
      </w:pPr>
    </w:p>
    <w:p w14:paraId="51601248" w14:textId="36854BCC" w:rsidR="00415886" w:rsidRPr="00942F86" w:rsidRDefault="00415886" w:rsidP="00BF7B6F">
      <w:pPr>
        <w:numPr>
          <w:ilvl w:val="0"/>
          <w:numId w:val="23"/>
        </w:numPr>
        <w:spacing w:line="264" w:lineRule="auto"/>
        <w:ind w:left="720"/>
        <w:rPr>
          <w:sz w:val="25"/>
          <w:szCs w:val="25"/>
        </w:rPr>
      </w:pPr>
      <w:r w:rsidRPr="00BF7B6F">
        <w:rPr>
          <w:rFonts w:eastAsia="Calibri"/>
          <w:sz w:val="25"/>
          <w:szCs w:val="25"/>
        </w:rPr>
        <w:lastRenderedPageBreak/>
        <w:t>Approved</w:t>
      </w:r>
      <w:r w:rsidRPr="00942F86">
        <w:rPr>
          <w:sz w:val="25"/>
          <w:szCs w:val="25"/>
        </w:rPr>
        <w:t xml:space="preserve"> Pacific Power’s use of End of Period (</w:t>
      </w:r>
      <w:proofErr w:type="spellStart"/>
      <w:r w:rsidRPr="00942F86">
        <w:rPr>
          <w:sz w:val="25"/>
          <w:szCs w:val="25"/>
        </w:rPr>
        <w:t>EOP</w:t>
      </w:r>
      <w:proofErr w:type="spellEnd"/>
      <w:r w:rsidRPr="00942F86">
        <w:rPr>
          <w:sz w:val="25"/>
          <w:szCs w:val="25"/>
        </w:rPr>
        <w:t xml:space="preserve">) rate base in lieu of </w:t>
      </w:r>
      <w:r w:rsidR="0082043E" w:rsidRPr="00942F86">
        <w:rPr>
          <w:sz w:val="25"/>
          <w:szCs w:val="25"/>
        </w:rPr>
        <w:t>a</w:t>
      </w:r>
      <w:r w:rsidRPr="00942F86">
        <w:rPr>
          <w:sz w:val="25"/>
          <w:szCs w:val="25"/>
        </w:rPr>
        <w:t xml:space="preserve"> </w:t>
      </w:r>
      <w:r w:rsidR="0082043E" w:rsidRPr="00942F86">
        <w:rPr>
          <w:sz w:val="25"/>
          <w:szCs w:val="25"/>
        </w:rPr>
        <w:t xml:space="preserve">long and still </w:t>
      </w:r>
      <w:r w:rsidRPr="00942F86">
        <w:rPr>
          <w:sz w:val="25"/>
          <w:szCs w:val="25"/>
        </w:rPr>
        <w:t xml:space="preserve">preferred approach </w:t>
      </w:r>
      <w:r w:rsidR="0082043E" w:rsidRPr="00942F86">
        <w:rPr>
          <w:sz w:val="25"/>
          <w:szCs w:val="25"/>
        </w:rPr>
        <w:t>that uses</w:t>
      </w:r>
      <w:r w:rsidRPr="00942F86">
        <w:rPr>
          <w:sz w:val="25"/>
          <w:szCs w:val="25"/>
        </w:rPr>
        <w:t xml:space="preserve"> the average of monthly averages (AMA) </w:t>
      </w:r>
      <w:r w:rsidR="0082043E" w:rsidRPr="00942F86">
        <w:rPr>
          <w:sz w:val="25"/>
          <w:szCs w:val="25"/>
        </w:rPr>
        <w:t xml:space="preserve">to determine </w:t>
      </w:r>
      <w:r w:rsidRPr="00942F86">
        <w:rPr>
          <w:sz w:val="25"/>
          <w:szCs w:val="25"/>
        </w:rPr>
        <w:t>rate base.</w:t>
      </w:r>
    </w:p>
    <w:p w14:paraId="46188D6D" w14:textId="77777777" w:rsidR="004A7EB3" w:rsidRPr="00942F86" w:rsidRDefault="004A7EB3" w:rsidP="000455AC">
      <w:pPr>
        <w:spacing w:line="264" w:lineRule="auto"/>
        <w:ind w:right="720"/>
        <w:rPr>
          <w:sz w:val="25"/>
          <w:szCs w:val="25"/>
        </w:rPr>
      </w:pPr>
    </w:p>
    <w:p w14:paraId="1E12A121" w14:textId="0F6741C4" w:rsidR="00415886" w:rsidRPr="00942F86" w:rsidRDefault="00415886" w:rsidP="00BF7B6F">
      <w:pPr>
        <w:numPr>
          <w:ilvl w:val="0"/>
          <w:numId w:val="23"/>
        </w:numPr>
        <w:spacing w:line="264" w:lineRule="auto"/>
        <w:ind w:left="720"/>
        <w:rPr>
          <w:sz w:val="25"/>
          <w:szCs w:val="25"/>
        </w:rPr>
      </w:pPr>
      <w:r w:rsidRPr="00942F86">
        <w:rPr>
          <w:sz w:val="25"/>
          <w:szCs w:val="25"/>
        </w:rPr>
        <w:t>A</w:t>
      </w:r>
      <w:r w:rsidR="00AF505C" w:rsidRPr="00942F86">
        <w:rPr>
          <w:sz w:val="25"/>
          <w:szCs w:val="25"/>
        </w:rPr>
        <w:t>pprove</w:t>
      </w:r>
      <w:r w:rsidRPr="00942F86">
        <w:rPr>
          <w:sz w:val="25"/>
          <w:szCs w:val="25"/>
        </w:rPr>
        <w:t>d</w:t>
      </w:r>
      <w:r w:rsidR="00AF505C" w:rsidRPr="00942F86">
        <w:rPr>
          <w:sz w:val="25"/>
          <w:szCs w:val="25"/>
        </w:rPr>
        <w:t xml:space="preserve"> various additions to rate base, including the </w:t>
      </w:r>
      <w:r w:rsidR="00AF505C" w:rsidRPr="00942F86">
        <w:rPr>
          <w:i/>
          <w:sz w:val="25"/>
          <w:szCs w:val="25"/>
        </w:rPr>
        <w:t>pro forma</w:t>
      </w:r>
      <w:r w:rsidR="00AF505C" w:rsidRPr="00942F86">
        <w:rPr>
          <w:sz w:val="25"/>
          <w:szCs w:val="25"/>
        </w:rPr>
        <w:t xml:space="preserve"> costs of certain production related facilities with post-test period in-service dates</w:t>
      </w:r>
      <w:r w:rsidR="0082043E" w:rsidRPr="00942F86">
        <w:rPr>
          <w:sz w:val="25"/>
          <w:szCs w:val="25"/>
        </w:rPr>
        <w:t xml:space="preserve"> as late as 11 months</w:t>
      </w:r>
      <w:r w:rsidR="00353730" w:rsidRPr="00942F86">
        <w:rPr>
          <w:sz w:val="25"/>
          <w:szCs w:val="25"/>
        </w:rPr>
        <w:t xml:space="preserve"> after the end of the test year</w:t>
      </w:r>
      <w:r w:rsidR="00AF505C" w:rsidRPr="00942F86">
        <w:rPr>
          <w:sz w:val="25"/>
          <w:szCs w:val="25"/>
        </w:rPr>
        <w:t>.</w:t>
      </w:r>
    </w:p>
    <w:p w14:paraId="711DB4D2" w14:textId="77777777" w:rsidR="004A7EB3" w:rsidRPr="00942F86" w:rsidRDefault="004A7EB3" w:rsidP="000455AC">
      <w:pPr>
        <w:spacing w:line="264" w:lineRule="auto"/>
        <w:ind w:right="720"/>
        <w:rPr>
          <w:sz w:val="25"/>
          <w:szCs w:val="25"/>
        </w:rPr>
      </w:pPr>
    </w:p>
    <w:p w14:paraId="112CF91C" w14:textId="4FF76A00" w:rsidR="00415886" w:rsidRPr="00942F86" w:rsidRDefault="00415886" w:rsidP="00BF7B6F">
      <w:pPr>
        <w:numPr>
          <w:ilvl w:val="0"/>
          <w:numId w:val="23"/>
        </w:numPr>
        <w:spacing w:line="264" w:lineRule="auto"/>
        <w:ind w:left="720"/>
        <w:rPr>
          <w:sz w:val="25"/>
          <w:szCs w:val="25"/>
        </w:rPr>
      </w:pPr>
      <w:r w:rsidRPr="00BF7B6F">
        <w:rPr>
          <w:rFonts w:eastAsia="Calibri"/>
          <w:sz w:val="25"/>
          <w:szCs w:val="25"/>
        </w:rPr>
        <w:t>Approved</w:t>
      </w:r>
      <w:r w:rsidRPr="00942F86">
        <w:rPr>
          <w:sz w:val="25"/>
          <w:szCs w:val="25"/>
        </w:rPr>
        <w:t xml:space="preserve"> a capital structure including 49.10 percent equity,</w:t>
      </w:r>
      <w:r w:rsidR="00353730" w:rsidRPr="00942F86">
        <w:rPr>
          <w:sz w:val="25"/>
          <w:szCs w:val="25"/>
        </w:rPr>
        <w:t xml:space="preserve"> </w:t>
      </w:r>
      <w:r w:rsidRPr="00942F86">
        <w:rPr>
          <w:sz w:val="25"/>
          <w:szCs w:val="25"/>
        </w:rPr>
        <w:t>50.62 percent debt, and 0.28 percent preferred stock, with a 9.5 percent return on equity, a 5.29 percent cost of debt, and a 5.43 cost of preferred stock, resulting in an overall rate of return of 7.36 percent.</w:t>
      </w:r>
      <w:r w:rsidR="00AF505C" w:rsidRPr="00942F86">
        <w:rPr>
          <w:sz w:val="25"/>
          <w:szCs w:val="25"/>
        </w:rPr>
        <w:t xml:space="preserve">  </w:t>
      </w:r>
    </w:p>
    <w:p w14:paraId="32CF93D4" w14:textId="77777777" w:rsidR="004A7EB3" w:rsidRPr="00942F86" w:rsidRDefault="004A7EB3" w:rsidP="000455AC">
      <w:pPr>
        <w:spacing w:line="264" w:lineRule="auto"/>
        <w:ind w:right="720"/>
        <w:rPr>
          <w:sz w:val="25"/>
          <w:szCs w:val="25"/>
        </w:rPr>
      </w:pPr>
    </w:p>
    <w:p w14:paraId="556DC7C6" w14:textId="432E7D4F" w:rsidR="00AF505C" w:rsidRPr="00942F86" w:rsidRDefault="00415886" w:rsidP="00BF7B6F">
      <w:pPr>
        <w:numPr>
          <w:ilvl w:val="0"/>
          <w:numId w:val="23"/>
        </w:numPr>
        <w:spacing w:line="264" w:lineRule="auto"/>
        <w:ind w:left="720"/>
        <w:rPr>
          <w:sz w:val="25"/>
          <w:szCs w:val="25"/>
        </w:rPr>
      </w:pPr>
      <w:r w:rsidRPr="00942F86">
        <w:rPr>
          <w:sz w:val="25"/>
          <w:szCs w:val="25"/>
        </w:rPr>
        <w:t>Rejected the Company’s</w:t>
      </w:r>
      <w:r w:rsidR="00AF505C" w:rsidRPr="00942F86">
        <w:rPr>
          <w:sz w:val="25"/>
          <w:szCs w:val="25"/>
        </w:rPr>
        <w:t xml:space="preserve"> proposed PCAM </w:t>
      </w:r>
      <w:r w:rsidRPr="00942F86">
        <w:rPr>
          <w:sz w:val="25"/>
          <w:szCs w:val="25"/>
        </w:rPr>
        <w:t>largely</w:t>
      </w:r>
      <w:r w:rsidR="00AF505C" w:rsidRPr="00942F86">
        <w:rPr>
          <w:sz w:val="25"/>
          <w:szCs w:val="25"/>
        </w:rPr>
        <w:t xml:space="preserve"> because the proposed mechanism </w:t>
      </w:r>
      <w:r w:rsidRPr="00942F86">
        <w:rPr>
          <w:sz w:val="25"/>
          <w:szCs w:val="25"/>
        </w:rPr>
        <w:t>wa</w:t>
      </w:r>
      <w:r w:rsidR="00AF505C" w:rsidRPr="00942F86">
        <w:rPr>
          <w:sz w:val="25"/>
          <w:szCs w:val="25"/>
        </w:rPr>
        <w:t>s not de</w:t>
      </w:r>
      <w:r w:rsidR="00353730" w:rsidRPr="00942F86">
        <w:rPr>
          <w:sz w:val="25"/>
          <w:szCs w:val="25"/>
        </w:rPr>
        <w:t xml:space="preserve">signed in accordance with clear, prior </w:t>
      </w:r>
      <w:r w:rsidR="00AF505C" w:rsidRPr="00942F86">
        <w:rPr>
          <w:sz w:val="25"/>
          <w:szCs w:val="25"/>
        </w:rPr>
        <w:t xml:space="preserve">direction from the Commission concerning the required elements for a PCAM.  </w:t>
      </w:r>
    </w:p>
    <w:p w14:paraId="39AF683E" w14:textId="77777777" w:rsidR="00D41160" w:rsidRPr="00942F86" w:rsidRDefault="00D41160" w:rsidP="000455AC">
      <w:pPr>
        <w:spacing w:line="264" w:lineRule="auto"/>
        <w:rPr>
          <w:sz w:val="25"/>
          <w:szCs w:val="25"/>
        </w:rPr>
      </w:pPr>
    </w:p>
    <w:p w14:paraId="2BAF9B6A" w14:textId="72441058" w:rsidR="00ED141B" w:rsidRPr="00942F86" w:rsidRDefault="00353730" w:rsidP="000455AC">
      <w:pPr>
        <w:spacing w:line="264" w:lineRule="auto"/>
        <w:rPr>
          <w:sz w:val="25"/>
          <w:szCs w:val="25"/>
        </w:rPr>
      </w:pPr>
      <w:r w:rsidRPr="00942F86">
        <w:rPr>
          <w:sz w:val="25"/>
          <w:szCs w:val="25"/>
        </w:rPr>
        <w:t>Pacific Power filed a petition for judicial review</w:t>
      </w:r>
      <w:r w:rsidR="00C7099E" w:rsidRPr="00942F86">
        <w:rPr>
          <w:sz w:val="25"/>
          <w:szCs w:val="25"/>
        </w:rPr>
        <w:t xml:space="preserve"> that</w:t>
      </w:r>
      <w:r w:rsidRPr="00942F86">
        <w:rPr>
          <w:sz w:val="25"/>
          <w:szCs w:val="25"/>
        </w:rPr>
        <w:t xml:space="preserve"> is now pending before </w:t>
      </w:r>
      <w:r w:rsidR="005F43A6" w:rsidRPr="00942F86">
        <w:rPr>
          <w:sz w:val="25"/>
          <w:szCs w:val="25"/>
        </w:rPr>
        <w:t>Division II of the Washington state Court of Appeals.</w:t>
      </w:r>
      <w:r w:rsidR="005F43A6" w:rsidRPr="00942F86">
        <w:rPr>
          <w:rStyle w:val="FootnoteReference"/>
          <w:sz w:val="25"/>
          <w:szCs w:val="25"/>
        </w:rPr>
        <w:footnoteReference w:id="31"/>
      </w:r>
      <w:r w:rsidR="00ED141B" w:rsidRPr="00942F86">
        <w:rPr>
          <w:sz w:val="25"/>
          <w:szCs w:val="25"/>
        </w:rPr>
        <w:t xml:space="preserve">  The Company’s appeal challenges the Commission’s determination of two issues</w:t>
      </w:r>
      <w:r w:rsidR="003F32C6" w:rsidRPr="00942F86">
        <w:rPr>
          <w:sz w:val="25"/>
          <w:szCs w:val="25"/>
        </w:rPr>
        <w:t xml:space="preserve"> in Docket UE-130043</w:t>
      </w:r>
      <w:r w:rsidR="00ED141B" w:rsidRPr="00942F86">
        <w:rPr>
          <w:sz w:val="25"/>
          <w:szCs w:val="25"/>
        </w:rPr>
        <w:t>:</w:t>
      </w:r>
    </w:p>
    <w:p w14:paraId="272CFDA1" w14:textId="77777777" w:rsidR="004A7EB3" w:rsidRPr="00942F86" w:rsidRDefault="004A7EB3" w:rsidP="000455AC">
      <w:pPr>
        <w:spacing w:line="264" w:lineRule="auto"/>
        <w:rPr>
          <w:sz w:val="25"/>
          <w:szCs w:val="25"/>
        </w:rPr>
      </w:pPr>
    </w:p>
    <w:p w14:paraId="41A60CCE" w14:textId="2C33A565" w:rsidR="00ED141B" w:rsidRPr="00942F86" w:rsidRDefault="00ED141B" w:rsidP="00BF7B6F">
      <w:pPr>
        <w:numPr>
          <w:ilvl w:val="0"/>
          <w:numId w:val="23"/>
        </w:numPr>
        <w:spacing w:line="264" w:lineRule="auto"/>
        <w:ind w:left="720"/>
        <w:rPr>
          <w:sz w:val="25"/>
          <w:szCs w:val="25"/>
        </w:rPr>
      </w:pPr>
      <w:r w:rsidRPr="00942F86">
        <w:rPr>
          <w:sz w:val="25"/>
          <w:szCs w:val="25"/>
        </w:rPr>
        <w:t xml:space="preserve">The decision to continue using the situs allocation methodology for </w:t>
      </w:r>
      <w:proofErr w:type="spellStart"/>
      <w:r w:rsidRPr="00942F86">
        <w:rPr>
          <w:sz w:val="25"/>
          <w:szCs w:val="25"/>
        </w:rPr>
        <w:t>QF</w:t>
      </w:r>
      <w:proofErr w:type="spellEnd"/>
      <w:r w:rsidRPr="00942F86">
        <w:rPr>
          <w:sz w:val="25"/>
          <w:szCs w:val="25"/>
        </w:rPr>
        <w:t xml:space="preserve"> costs as originally proposed by Pacific Power</w:t>
      </w:r>
      <w:r w:rsidR="00082E2F" w:rsidRPr="00942F86">
        <w:rPr>
          <w:sz w:val="25"/>
          <w:szCs w:val="25"/>
        </w:rPr>
        <w:t xml:space="preserve"> in 2006</w:t>
      </w:r>
      <w:r w:rsidRPr="00942F86">
        <w:rPr>
          <w:sz w:val="25"/>
          <w:szCs w:val="25"/>
        </w:rPr>
        <w:t xml:space="preserve"> and adopted by the Commission in 200</w:t>
      </w:r>
      <w:r w:rsidR="00082E2F" w:rsidRPr="00942F86">
        <w:rPr>
          <w:sz w:val="25"/>
          <w:szCs w:val="25"/>
        </w:rPr>
        <w:t>7</w:t>
      </w:r>
      <w:r w:rsidRPr="00942F86">
        <w:rPr>
          <w:sz w:val="25"/>
          <w:szCs w:val="25"/>
        </w:rPr>
        <w:t>.</w:t>
      </w:r>
      <w:r w:rsidR="00082E2F" w:rsidRPr="00942F86">
        <w:rPr>
          <w:rStyle w:val="FootnoteReference"/>
          <w:sz w:val="25"/>
          <w:szCs w:val="25"/>
        </w:rPr>
        <w:footnoteReference w:id="32"/>
      </w:r>
    </w:p>
    <w:p w14:paraId="040ADD56" w14:textId="77777777" w:rsidR="004A7EB3" w:rsidRPr="00942F86" w:rsidRDefault="004A7EB3" w:rsidP="000455AC">
      <w:pPr>
        <w:pStyle w:val="ListParagraph"/>
        <w:spacing w:line="264" w:lineRule="auto"/>
        <w:ind w:left="780" w:right="720"/>
        <w:rPr>
          <w:sz w:val="25"/>
          <w:szCs w:val="25"/>
        </w:rPr>
      </w:pPr>
    </w:p>
    <w:p w14:paraId="52D1C9F3" w14:textId="61AA6FB2" w:rsidR="00353730" w:rsidRPr="00942F86" w:rsidRDefault="00ED141B" w:rsidP="00BF7B6F">
      <w:pPr>
        <w:numPr>
          <w:ilvl w:val="0"/>
          <w:numId w:val="23"/>
        </w:numPr>
        <w:spacing w:line="264" w:lineRule="auto"/>
        <w:ind w:left="720"/>
        <w:rPr>
          <w:sz w:val="25"/>
          <w:szCs w:val="25"/>
        </w:rPr>
      </w:pPr>
      <w:r w:rsidRPr="00BF7B6F">
        <w:rPr>
          <w:rFonts w:eastAsia="Calibri"/>
          <w:sz w:val="25"/>
          <w:szCs w:val="25"/>
        </w:rPr>
        <w:t>The</w:t>
      </w:r>
      <w:r w:rsidRPr="00942F86">
        <w:rPr>
          <w:sz w:val="25"/>
          <w:szCs w:val="25"/>
        </w:rPr>
        <w:t xml:space="preserve"> decision to </w:t>
      </w:r>
      <w:r w:rsidR="00D41160" w:rsidRPr="00942F86">
        <w:rPr>
          <w:sz w:val="25"/>
          <w:szCs w:val="25"/>
        </w:rPr>
        <w:t xml:space="preserve">continue using </w:t>
      </w:r>
      <w:r w:rsidRPr="00942F86">
        <w:rPr>
          <w:sz w:val="25"/>
          <w:szCs w:val="25"/>
        </w:rPr>
        <w:t xml:space="preserve">a hypothetical capital structure the Commission has left unchanged through several Pacific Power </w:t>
      </w:r>
      <w:proofErr w:type="spellStart"/>
      <w:r w:rsidRPr="00942F86">
        <w:rPr>
          <w:sz w:val="25"/>
          <w:szCs w:val="25"/>
        </w:rPr>
        <w:t>GRCs</w:t>
      </w:r>
      <w:proofErr w:type="spellEnd"/>
      <w:r w:rsidR="00E7013E" w:rsidRPr="00942F86">
        <w:rPr>
          <w:sz w:val="25"/>
          <w:szCs w:val="25"/>
        </w:rPr>
        <w:t>,</w:t>
      </w:r>
      <w:r w:rsidRPr="00942F86">
        <w:rPr>
          <w:sz w:val="25"/>
          <w:szCs w:val="25"/>
        </w:rPr>
        <w:t xml:space="preserve"> again </w:t>
      </w:r>
      <w:r w:rsidR="00D41160" w:rsidRPr="00942F86">
        <w:rPr>
          <w:sz w:val="25"/>
          <w:szCs w:val="25"/>
        </w:rPr>
        <w:t xml:space="preserve">finding it </w:t>
      </w:r>
      <w:r w:rsidRPr="00942F86">
        <w:rPr>
          <w:sz w:val="25"/>
          <w:szCs w:val="25"/>
        </w:rPr>
        <w:t>to balance safety and economy</w:t>
      </w:r>
      <w:r w:rsidR="002E336C" w:rsidRPr="00942F86">
        <w:rPr>
          <w:sz w:val="25"/>
          <w:szCs w:val="25"/>
        </w:rPr>
        <w:t xml:space="preserve"> more appropriately than would Pacific Power’s proposed use of its parent corporation’s “actual” capital structure.</w:t>
      </w:r>
      <w:r w:rsidR="002E336C" w:rsidRPr="00942F86">
        <w:rPr>
          <w:rStyle w:val="FootnoteReference"/>
          <w:sz w:val="25"/>
          <w:szCs w:val="25"/>
        </w:rPr>
        <w:footnoteReference w:id="33"/>
      </w:r>
    </w:p>
    <w:p w14:paraId="2FD9E989" w14:textId="77777777" w:rsidR="004A7EB3" w:rsidRPr="00942F86" w:rsidRDefault="004A7EB3" w:rsidP="000455AC">
      <w:pPr>
        <w:spacing w:line="264" w:lineRule="auto"/>
        <w:ind w:right="720"/>
        <w:rPr>
          <w:sz w:val="25"/>
          <w:szCs w:val="25"/>
        </w:rPr>
      </w:pPr>
    </w:p>
    <w:p w14:paraId="33AE94CC" w14:textId="7697502F" w:rsidR="008D4F55" w:rsidRPr="00942F86" w:rsidRDefault="005407A8" w:rsidP="005E0DF4">
      <w:pPr>
        <w:numPr>
          <w:ilvl w:val="0"/>
          <w:numId w:val="1"/>
        </w:numPr>
        <w:tabs>
          <w:tab w:val="clear" w:pos="720"/>
          <w:tab w:val="num" w:pos="0"/>
        </w:tabs>
        <w:spacing w:line="264" w:lineRule="auto"/>
        <w:ind w:left="0"/>
        <w:rPr>
          <w:sz w:val="25"/>
          <w:szCs w:val="25"/>
        </w:rPr>
      </w:pPr>
      <w:r w:rsidRPr="00942F86">
        <w:rPr>
          <w:sz w:val="25"/>
          <w:szCs w:val="25"/>
        </w:rPr>
        <w:t xml:space="preserve">Despite the pendency of its appeal of these two, highly significant issues, </w:t>
      </w:r>
      <w:r w:rsidR="00AF505C" w:rsidRPr="00942F86">
        <w:rPr>
          <w:sz w:val="25"/>
          <w:szCs w:val="25"/>
        </w:rPr>
        <w:t>Pacific Power nevertheless</w:t>
      </w:r>
      <w:r w:rsidR="002535DA" w:rsidRPr="00942F86">
        <w:rPr>
          <w:sz w:val="25"/>
          <w:szCs w:val="25"/>
        </w:rPr>
        <w:t xml:space="preserve"> filed this case on May 1, 2014</w:t>
      </w:r>
      <w:r w:rsidRPr="00942F86">
        <w:rPr>
          <w:sz w:val="25"/>
          <w:szCs w:val="25"/>
        </w:rPr>
        <w:t>, only five months after the Commission’s Final Order in Docket UE-130043</w:t>
      </w:r>
      <w:r w:rsidR="002535DA" w:rsidRPr="00942F86">
        <w:rPr>
          <w:sz w:val="25"/>
          <w:szCs w:val="25"/>
        </w:rPr>
        <w:t>.</w:t>
      </w:r>
      <w:r w:rsidR="008D4F55" w:rsidRPr="00942F86">
        <w:rPr>
          <w:sz w:val="25"/>
          <w:szCs w:val="25"/>
        </w:rPr>
        <w:t xml:space="preserve">  </w:t>
      </w:r>
      <w:r w:rsidR="00C209DD" w:rsidRPr="00942F86">
        <w:rPr>
          <w:sz w:val="25"/>
          <w:szCs w:val="25"/>
        </w:rPr>
        <w:t>I</w:t>
      </w:r>
      <w:r w:rsidR="0083787F" w:rsidRPr="00942F86">
        <w:rPr>
          <w:sz w:val="25"/>
          <w:szCs w:val="25"/>
        </w:rPr>
        <w:t>n this filing</w:t>
      </w:r>
      <w:r w:rsidR="00C209DD" w:rsidRPr="00942F86">
        <w:rPr>
          <w:sz w:val="25"/>
          <w:szCs w:val="25"/>
        </w:rPr>
        <w:t>,</w:t>
      </w:r>
      <w:r w:rsidR="003272FA" w:rsidRPr="00942F86">
        <w:rPr>
          <w:sz w:val="25"/>
          <w:szCs w:val="25"/>
        </w:rPr>
        <w:t xml:space="preserve"> the Company mak</w:t>
      </w:r>
      <w:r w:rsidR="00C209DD" w:rsidRPr="00942F86">
        <w:rPr>
          <w:sz w:val="25"/>
          <w:szCs w:val="25"/>
        </w:rPr>
        <w:t>es</w:t>
      </w:r>
      <w:r w:rsidR="003272FA" w:rsidRPr="00942F86">
        <w:rPr>
          <w:sz w:val="25"/>
          <w:szCs w:val="25"/>
        </w:rPr>
        <w:t xml:space="preserve"> </w:t>
      </w:r>
      <w:r w:rsidR="0075548F" w:rsidRPr="00942F86">
        <w:rPr>
          <w:sz w:val="25"/>
          <w:szCs w:val="25"/>
        </w:rPr>
        <w:t xml:space="preserve">the same </w:t>
      </w:r>
      <w:r w:rsidR="003272FA" w:rsidRPr="00942F86">
        <w:rPr>
          <w:sz w:val="25"/>
          <w:szCs w:val="25"/>
        </w:rPr>
        <w:t>arguments rejected by the Commission</w:t>
      </w:r>
      <w:r w:rsidR="0075548F" w:rsidRPr="00942F86">
        <w:rPr>
          <w:sz w:val="25"/>
          <w:szCs w:val="25"/>
        </w:rPr>
        <w:t xml:space="preserve"> in the prior case</w:t>
      </w:r>
      <w:r w:rsidR="00C209DD" w:rsidRPr="00942F86">
        <w:rPr>
          <w:sz w:val="25"/>
          <w:szCs w:val="25"/>
        </w:rPr>
        <w:t>, and</w:t>
      </w:r>
      <w:r w:rsidR="00AD40E9" w:rsidRPr="00942F86">
        <w:rPr>
          <w:sz w:val="25"/>
          <w:szCs w:val="25"/>
        </w:rPr>
        <w:t xml:space="preserve"> again</w:t>
      </w:r>
      <w:r w:rsidR="003272FA" w:rsidRPr="00942F86">
        <w:rPr>
          <w:sz w:val="25"/>
          <w:szCs w:val="25"/>
        </w:rPr>
        <w:t xml:space="preserve"> asks us to abandon the situs allocation methodology for </w:t>
      </w:r>
      <w:proofErr w:type="spellStart"/>
      <w:r w:rsidR="003272FA" w:rsidRPr="00942F86">
        <w:rPr>
          <w:sz w:val="25"/>
          <w:szCs w:val="25"/>
        </w:rPr>
        <w:t>QF</w:t>
      </w:r>
      <w:proofErr w:type="spellEnd"/>
      <w:r w:rsidR="003272FA" w:rsidRPr="00942F86">
        <w:rPr>
          <w:sz w:val="25"/>
          <w:szCs w:val="25"/>
        </w:rPr>
        <w:t xml:space="preserve"> costs</w:t>
      </w:r>
      <w:r w:rsidR="0075548F" w:rsidRPr="00942F86">
        <w:rPr>
          <w:sz w:val="25"/>
          <w:szCs w:val="25"/>
        </w:rPr>
        <w:t xml:space="preserve"> and</w:t>
      </w:r>
      <w:r w:rsidR="00AD40E9" w:rsidRPr="00942F86">
        <w:rPr>
          <w:sz w:val="25"/>
          <w:szCs w:val="25"/>
        </w:rPr>
        <w:t xml:space="preserve"> urge</w:t>
      </w:r>
      <w:r w:rsidR="0075548F" w:rsidRPr="00942F86">
        <w:rPr>
          <w:sz w:val="25"/>
          <w:szCs w:val="25"/>
        </w:rPr>
        <w:t>s</w:t>
      </w:r>
      <w:r w:rsidR="00AD40E9" w:rsidRPr="00942F86">
        <w:rPr>
          <w:sz w:val="25"/>
          <w:szCs w:val="25"/>
        </w:rPr>
        <w:t xml:space="preserve"> </w:t>
      </w:r>
      <w:r w:rsidR="0075548F" w:rsidRPr="00942F86">
        <w:rPr>
          <w:sz w:val="25"/>
          <w:szCs w:val="25"/>
        </w:rPr>
        <w:t>adjust</w:t>
      </w:r>
      <w:r w:rsidR="00C209DD" w:rsidRPr="00942F86">
        <w:rPr>
          <w:sz w:val="25"/>
          <w:szCs w:val="25"/>
        </w:rPr>
        <w:t>ment of</w:t>
      </w:r>
      <w:r w:rsidR="0075548F" w:rsidRPr="00942F86">
        <w:rPr>
          <w:sz w:val="25"/>
          <w:szCs w:val="25"/>
        </w:rPr>
        <w:t xml:space="preserve"> the Company’s capital structure balance between safety and economy in favor of Pacific Power by </w:t>
      </w:r>
      <w:r w:rsidR="00AD40E9" w:rsidRPr="00942F86">
        <w:rPr>
          <w:sz w:val="25"/>
          <w:szCs w:val="25"/>
        </w:rPr>
        <w:t>us</w:t>
      </w:r>
      <w:r w:rsidR="0075548F" w:rsidRPr="00942F86">
        <w:rPr>
          <w:sz w:val="25"/>
          <w:szCs w:val="25"/>
        </w:rPr>
        <w:t>ing</w:t>
      </w:r>
      <w:r w:rsidR="00AD40E9" w:rsidRPr="00942F86">
        <w:rPr>
          <w:sz w:val="25"/>
          <w:szCs w:val="25"/>
        </w:rPr>
        <w:t xml:space="preserve"> PacifiCorp’s “actual” capital structure.</w:t>
      </w:r>
    </w:p>
    <w:p w14:paraId="2B552201" w14:textId="77777777" w:rsidR="004A7EB3" w:rsidRPr="00942F86" w:rsidRDefault="004A7EB3" w:rsidP="000455AC">
      <w:pPr>
        <w:spacing w:line="264" w:lineRule="auto"/>
        <w:rPr>
          <w:sz w:val="25"/>
          <w:szCs w:val="25"/>
        </w:rPr>
      </w:pPr>
    </w:p>
    <w:p w14:paraId="5472A58A" w14:textId="77777777" w:rsidR="003E6A7D" w:rsidRPr="00942F86" w:rsidRDefault="003E6A7D" w:rsidP="000455AC">
      <w:pPr>
        <w:pStyle w:val="Heading3"/>
        <w:spacing w:before="0" w:after="0"/>
        <w:rPr>
          <w:rFonts w:cs="Times New Roman"/>
        </w:rPr>
      </w:pPr>
      <w:bookmarkStart w:id="14" w:name="_Toc415037612"/>
      <w:r w:rsidRPr="00942F86">
        <w:rPr>
          <w:rFonts w:cs="Times New Roman"/>
          <w:i/>
        </w:rPr>
        <w:t>Pro Forma</w:t>
      </w:r>
      <w:r w:rsidRPr="00942F86">
        <w:rPr>
          <w:rFonts w:cs="Times New Roman"/>
        </w:rPr>
        <w:t xml:space="preserve"> Expense Adjustments</w:t>
      </w:r>
      <w:bookmarkEnd w:id="14"/>
      <w:r w:rsidRPr="00942F86">
        <w:rPr>
          <w:rFonts w:cs="Times New Roman"/>
        </w:rPr>
        <w:t xml:space="preserve"> </w:t>
      </w:r>
    </w:p>
    <w:p w14:paraId="4D45747A" w14:textId="77777777" w:rsidR="003E6A7D" w:rsidRPr="00942F86" w:rsidRDefault="003E6A7D" w:rsidP="000455AC">
      <w:pPr>
        <w:keepNext/>
        <w:keepLines/>
        <w:spacing w:line="264" w:lineRule="auto"/>
        <w:rPr>
          <w:sz w:val="25"/>
          <w:szCs w:val="25"/>
        </w:rPr>
      </w:pPr>
    </w:p>
    <w:p w14:paraId="7C9241E3" w14:textId="77777777" w:rsidR="00BD04F2" w:rsidRPr="00942F86" w:rsidRDefault="003E6A7D" w:rsidP="00883A54">
      <w:pPr>
        <w:pStyle w:val="Heading4"/>
      </w:pPr>
      <w:bookmarkStart w:id="15" w:name="_Toc415037613"/>
      <w:r w:rsidRPr="00942F86">
        <w:t xml:space="preserve">General Wage Increase - </w:t>
      </w:r>
      <w:r w:rsidRPr="00942F86">
        <w:rPr>
          <w:i/>
        </w:rPr>
        <w:t>Pro Forma</w:t>
      </w:r>
      <w:r w:rsidR="00127C47" w:rsidRPr="00942F86">
        <w:t xml:space="preserve"> Expense</w:t>
      </w:r>
      <w:r w:rsidRPr="00942F86">
        <w:t xml:space="preserve"> </w:t>
      </w:r>
      <w:r w:rsidR="00BD04F2" w:rsidRPr="00942F86">
        <w:t xml:space="preserve">and Pension Expense </w:t>
      </w:r>
      <w:r w:rsidRPr="00942F86">
        <w:t>(Adjustment 4.3)</w:t>
      </w:r>
      <w:bookmarkEnd w:id="15"/>
    </w:p>
    <w:p w14:paraId="11F68BF1" w14:textId="77777777" w:rsidR="00CC5B19" w:rsidRPr="00942F86" w:rsidRDefault="00CC5B19" w:rsidP="000455AC">
      <w:pPr>
        <w:spacing w:line="264" w:lineRule="auto"/>
        <w:rPr>
          <w:sz w:val="25"/>
          <w:szCs w:val="25"/>
        </w:rPr>
      </w:pPr>
    </w:p>
    <w:p w14:paraId="3A63545F" w14:textId="6E8A4DCD" w:rsidR="00B36D85" w:rsidRPr="00942F86" w:rsidRDefault="00B301A9" w:rsidP="005E0DF4">
      <w:pPr>
        <w:numPr>
          <w:ilvl w:val="0"/>
          <w:numId w:val="1"/>
        </w:numPr>
        <w:tabs>
          <w:tab w:val="clear" w:pos="720"/>
          <w:tab w:val="num" w:pos="0"/>
        </w:tabs>
        <w:spacing w:line="264" w:lineRule="auto"/>
        <w:ind w:left="0"/>
        <w:rPr>
          <w:sz w:val="25"/>
          <w:szCs w:val="25"/>
        </w:rPr>
      </w:pPr>
      <w:r w:rsidRPr="00942F86">
        <w:rPr>
          <w:sz w:val="25"/>
          <w:szCs w:val="25"/>
        </w:rPr>
        <w:t>Pacific Power proposes to include in Washington rates a post-test year wage increase, “using known and measurable increases that have occurred or are expected to occur through March 2016.”</w:t>
      </w:r>
      <w:r w:rsidR="00B36D85" w:rsidRPr="00942F86">
        <w:rPr>
          <w:rStyle w:val="FootnoteReference"/>
          <w:sz w:val="25"/>
          <w:szCs w:val="25"/>
        </w:rPr>
        <w:footnoteReference w:id="34"/>
      </w:r>
      <w:r w:rsidRPr="00942F86">
        <w:rPr>
          <w:sz w:val="25"/>
          <w:szCs w:val="25"/>
        </w:rPr>
        <w:t xml:space="preserve">  The Company also proposes to apply the adjusted wage levels to its </w:t>
      </w:r>
      <w:r w:rsidR="00B36D85" w:rsidRPr="00942F86">
        <w:rPr>
          <w:sz w:val="25"/>
          <w:szCs w:val="25"/>
        </w:rPr>
        <w:t>average</w:t>
      </w:r>
      <w:r w:rsidRPr="00942F86">
        <w:rPr>
          <w:sz w:val="25"/>
          <w:szCs w:val="25"/>
        </w:rPr>
        <w:t xml:space="preserve"> full-time-equivalent (FTE) employee levels </w:t>
      </w:r>
      <w:r w:rsidR="00B36D85" w:rsidRPr="00942F86">
        <w:rPr>
          <w:sz w:val="25"/>
          <w:szCs w:val="25"/>
        </w:rPr>
        <w:t>during</w:t>
      </w:r>
      <w:r w:rsidRPr="00942F86">
        <w:rPr>
          <w:sz w:val="25"/>
          <w:szCs w:val="25"/>
        </w:rPr>
        <w:t xml:space="preserve"> the historical test year</w:t>
      </w:r>
      <w:r w:rsidR="00B36D85" w:rsidRPr="00942F86">
        <w:rPr>
          <w:sz w:val="25"/>
          <w:szCs w:val="25"/>
        </w:rPr>
        <w:t xml:space="preserve">, with no post-test </w:t>
      </w:r>
      <w:r w:rsidR="00E7013E" w:rsidRPr="00942F86">
        <w:rPr>
          <w:sz w:val="25"/>
          <w:szCs w:val="25"/>
        </w:rPr>
        <w:t>year</w:t>
      </w:r>
      <w:r w:rsidR="00B36D85" w:rsidRPr="00942F86">
        <w:rPr>
          <w:sz w:val="25"/>
          <w:szCs w:val="25"/>
        </w:rPr>
        <w:t xml:space="preserve"> adjustment,</w:t>
      </w:r>
      <w:r w:rsidRPr="00942F86">
        <w:rPr>
          <w:sz w:val="25"/>
          <w:szCs w:val="25"/>
        </w:rPr>
        <w:t xml:space="preserve"> to determine labor expenses and to include in rates pension and other post-employment benefit (</w:t>
      </w:r>
      <w:proofErr w:type="spellStart"/>
      <w:r w:rsidRPr="00942F86">
        <w:rPr>
          <w:sz w:val="25"/>
          <w:szCs w:val="25"/>
        </w:rPr>
        <w:t>OPEB</w:t>
      </w:r>
      <w:proofErr w:type="spellEnd"/>
      <w:r w:rsidRPr="00942F86">
        <w:rPr>
          <w:sz w:val="25"/>
          <w:szCs w:val="25"/>
        </w:rPr>
        <w:t>) expenses.</w:t>
      </w:r>
      <w:r w:rsidR="00B36D85" w:rsidRPr="00942F86">
        <w:rPr>
          <w:rStyle w:val="FootnoteReference"/>
          <w:sz w:val="25"/>
          <w:szCs w:val="25"/>
        </w:rPr>
        <w:footnoteReference w:id="35"/>
      </w:r>
      <w:r w:rsidRPr="00942F86">
        <w:rPr>
          <w:sz w:val="25"/>
          <w:szCs w:val="25"/>
        </w:rPr>
        <w:t xml:space="preserve">  </w:t>
      </w:r>
    </w:p>
    <w:p w14:paraId="54108B07" w14:textId="586375BA" w:rsidR="00E95D70" w:rsidRPr="00942F86" w:rsidRDefault="00B301A9" w:rsidP="005E0DF4">
      <w:pPr>
        <w:numPr>
          <w:ilvl w:val="0"/>
          <w:numId w:val="1"/>
        </w:numPr>
        <w:tabs>
          <w:tab w:val="clear" w:pos="720"/>
          <w:tab w:val="num" w:pos="0"/>
        </w:tabs>
        <w:spacing w:line="264" w:lineRule="auto"/>
        <w:ind w:left="0"/>
        <w:rPr>
          <w:sz w:val="25"/>
          <w:szCs w:val="25"/>
        </w:rPr>
      </w:pPr>
      <w:r w:rsidRPr="00942F86">
        <w:rPr>
          <w:sz w:val="25"/>
          <w:szCs w:val="25"/>
        </w:rPr>
        <w:t>Public Counsel argues that the Company’s post-test year wage increase proposal</w:t>
      </w:r>
      <w:r w:rsidR="0026389C" w:rsidRPr="00942F86">
        <w:rPr>
          <w:sz w:val="25"/>
          <w:szCs w:val="25"/>
        </w:rPr>
        <w:t>, extending “27 months beyond the end of the test-period,”</w:t>
      </w:r>
      <w:r w:rsidRPr="00942F86">
        <w:rPr>
          <w:sz w:val="25"/>
          <w:szCs w:val="25"/>
        </w:rPr>
        <w:t xml:space="preserve"> is essentially equivalent to the use of a future test period and recommends limiting the post-test year wage increases to those increases in effect by December 31, 2014.</w:t>
      </w:r>
      <w:r w:rsidRPr="00942F86">
        <w:rPr>
          <w:rStyle w:val="FootnoteReference"/>
          <w:sz w:val="25"/>
          <w:szCs w:val="25"/>
        </w:rPr>
        <w:footnoteReference w:id="36"/>
      </w:r>
      <w:r w:rsidR="0026389C" w:rsidRPr="00942F86">
        <w:rPr>
          <w:sz w:val="25"/>
          <w:szCs w:val="25"/>
        </w:rPr>
        <w:t xml:space="preserve">  </w:t>
      </w:r>
      <w:r w:rsidR="00B36D85" w:rsidRPr="00942F86">
        <w:rPr>
          <w:sz w:val="25"/>
          <w:szCs w:val="25"/>
        </w:rPr>
        <w:t xml:space="preserve">Public Counsel argues in addition that the Company’s post-test </w:t>
      </w:r>
      <w:r w:rsidR="00E7013E" w:rsidRPr="00942F86">
        <w:rPr>
          <w:sz w:val="25"/>
          <w:szCs w:val="25"/>
        </w:rPr>
        <w:t>year</w:t>
      </w:r>
      <w:r w:rsidR="00B36D85" w:rsidRPr="00942F86">
        <w:rPr>
          <w:sz w:val="25"/>
          <w:szCs w:val="25"/>
        </w:rPr>
        <w:t xml:space="preserve"> FTE count should be adjusted to reflect a continuing trend of reduced FTEs over several years and through the pendency of the hearing.</w:t>
      </w:r>
    </w:p>
    <w:p w14:paraId="19B26F80" w14:textId="77777777" w:rsidR="00B36D85" w:rsidRPr="00942F86" w:rsidRDefault="00B36D85" w:rsidP="000455AC">
      <w:pPr>
        <w:pStyle w:val="ListParagraph"/>
        <w:spacing w:line="264" w:lineRule="auto"/>
        <w:rPr>
          <w:sz w:val="25"/>
          <w:szCs w:val="25"/>
        </w:rPr>
      </w:pPr>
    </w:p>
    <w:p w14:paraId="6D6C40D0" w14:textId="3E6A0209" w:rsidR="002B71D4" w:rsidRPr="00942F86" w:rsidRDefault="00B36D85" w:rsidP="005E0DF4">
      <w:pPr>
        <w:numPr>
          <w:ilvl w:val="0"/>
          <w:numId w:val="1"/>
        </w:numPr>
        <w:tabs>
          <w:tab w:val="clear" w:pos="720"/>
          <w:tab w:val="num" w:pos="0"/>
        </w:tabs>
        <w:spacing w:line="264" w:lineRule="auto"/>
        <w:ind w:left="0"/>
        <w:rPr>
          <w:sz w:val="25"/>
          <w:szCs w:val="25"/>
        </w:rPr>
      </w:pPr>
      <w:r w:rsidRPr="00942F86">
        <w:rPr>
          <w:sz w:val="25"/>
          <w:szCs w:val="25"/>
        </w:rPr>
        <w:t xml:space="preserve">Pacific Power argues that </w:t>
      </w:r>
      <w:proofErr w:type="gramStart"/>
      <w:r w:rsidRPr="00942F86">
        <w:rPr>
          <w:sz w:val="25"/>
          <w:szCs w:val="25"/>
        </w:rPr>
        <w:t>its</w:t>
      </w:r>
      <w:proofErr w:type="gramEnd"/>
      <w:r w:rsidRPr="00942F86">
        <w:rPr>
          <w:sz w:val="25"/>
          <w:szCs w:val="25"/>
        </w:rPr>
        <w:t xml:space="preserve"> “proposal is consistent with Commission precedent approving similar </w:t>
      </w:r>
      <w:r w:rsidRPr="00942F86">
        <w:rPr>
          <w:i/>
          <w:sz w:val="25"/>
          <w:szCs w:val="25"/>
        </w:rPr>
        <w:t>pro forma</w:t>
      </w:r>
      <w:r w:rsidRPr="00942F86">
        <w:rPr>
          <w:sz w:val="25"/>
          <w:szCs w:val="25"/>
        </w:rPr>
        <w:t xml:space="preserve"> adjustments for the Company’s wage and salary expenses” citing the Commission’s final order in the Company’s 2010/2011 general rate case.</w:t>
      </w:r>
      <w:r w:rsidRPr="00942F86">
        <w:rPr>
          <w:rStyle w:val="FootnoteReference"/>
          <w:sz w:val="25"/>
          <w:szCs w:val="25"/>
        </w:rPr>
        <w:footnoteReference w:id="37"/>
      </w:r>
      <w:r w:rsidRPr="00942F86">
        <w:rPr>
          <w:sz w:val="25"/>
          <w:szCs w:val="25"/>
        </w:rPr>
        <w:t xml:space="preserve">  </w:t>
      </w:r>
      <w:r w:rsidR="001D18AE" w:rsidRPr="00942F86">
        <w:rPr>
          <w:sz w:val="25"/>
          <w:szCs w:val="25"/>
        </w:rPr>
        <w:t>I</w:t>
      </w:r>
      <w:r w:rsidR="0061563A" w:rsidRPr="00942F86">
        <w:rPr>
          <w:sz w:val="25"/>
          <w:szCs w:val="25"/>
        </w:rPr>
        <w:t>n Docket UE-100749</w:t>
      </w:r>
      <w:r w:rsidR="001D18AE" w:rsidRPr="00942F86">
        <w:rPr>
          <w:sz w:val="25"/>
          <w:szCs w:val="25"/>
        </w:rPr>
        <w:t xml:space="preserve">, however, the Company’s proposed </w:t>
      </w:r>
      <w:r w:rsidR="001D18AE" w:rsidRPr="00942F86">
        <w:rPr>
          <w:i/>
          <w:sz w:val="25"/>
          <w:szCs w:val="25"/>
        </w:rPr>
        <w:t>pro forma</w:t>
      </w:r>
      <w:r w:rsidR="001D18AE" w:rsidRPr="00942F86">
        <w:rPr>
          <w:sz w:val="25"/>
          <w:szCs w:val="25"/>
        </w:rPr>
        <w:t xml:space="preserve"> adjustment to the test year</w:t>
      </w:r>
      <w:r w:rsidR="0061563A" w:rsidRPr="00942F86">
        <w:rPr>
          <w:sz w:val="25"/>
          <w:szCs w:val="25"/>
        </w:rPr>
        <w:t xml:space="preserve"> ended December 31, 2009</w:t>
      </w:r>
      <w:r w:rsidR="001D18AE" w:rsidRPr="00942F86">
        <w:rPr>
          <w:sz w:val="25"/>
          <w:szCs w:val="25"/>
        </w:rPr>
        <w:t>, was based on actual changes</w:t>
      </w:r>
      <w:r w:rsidR="0075548F" w:rsidRPr="00942F86">
        <w:rPr>
          <w:sz w:val="25"/>
          <w:szCs w:val="25"/>
        </w:rPr>
        <w:t xml:space="preserve"> 12 months out,</w:t>
      </w:r>
      <w:r w:rsidR="001D18AE" w:rsidRPr="00942F86">
        <w:rPr>
          <w:sz w:val="25"/>
          <w:szCs w:val="25"/>
        </w:rPr>
        <w:t xml:space="preserve"> through December 31, 2010</w:t>
      </w:r>
      <w:r w:rsidR="0075548F" w:rsidRPr="00942F86">
        <w:rPr>
          <w:sz w:val="25"/>
          <w:szCs w:val="25"/>
        </w:rPr>
        <w:t>, not 27 months</w:t>
      </w:r>
      <w:r w:rsidR="0061563A" w:rsidRPr="00942F86">
        <w:rPr>
          <w:sz w:val="25"/>
          <w:szCs w:val="25"/>
        </w:rPr>
        <w:t xml:space="preserve">.  </w:t>
      </w:r>
      <w:r w:rsidR="001D18AE" w:rsidRPr="00942F86">
        <w:rPr>
          <w:sz w:val="25"/>
          <w:szCs w:val="25"/>
        </w:rPr>
        <w:t>Union labor cost increases were adjusted using contract agreements whereas non-union and exempt employee adjustments were based on actual labor cost increases effective January 2009 and 2010.</w:t>
      </w:r>
      <w:r w:rsidR="001D18AE" w:rsidRPr="00942F86">
        <w:rPr>
          <w:rStyle w:val="FootnoteReference"/>
          <w:sz w:val="25"/>
          <w:szCs w:val="25"/>
        </w:rPr>
        <w:footnoteReference w:id="38"/>
      </w:r>
      <w:r w:rsidR="001D18AE" w:rsidRPr="00942F86">
        <w:rPr>
          <w:sz w:val="25"/>
          <w:szCs w:val="25"/>
        </w:rPr>
        <w:t xml:space="preserve">  By the time of the hearing, in late January 2011, these costs were fully known and measurable and, indeed, </w:t>
      </w:r>
      <w:r w:rsidR="00624238" w:rsidRPr="00942F86">
        <w:rPr>
          <w:sz w:val="25"/>
          <w:szCs w:val="25"/>
        </w:rPr>
        <w:t>there was no opposition argument</w:t>
      </w:r>
      <w:r w:rsidR="002B71D4" w:rsidRPr="00942F86">
        <w:rPr>
          <w:sz w:val="25"/>
          <w:szCs w:val="25"/>
        </w:rPr>
        <w:t xml:space="preserve"> to the </w:t>
      </w:r>
      <w:r w:rsidR="00624238" w:rsidRPr="00942F86">
        <w:rPr>
          <w:sz w:val="25"/>
          <w:szCs w:val="25"/>
        </w:rPr>
        <w:t>level</w:t>
      </w:r>
      <w:r w:rsidR="002B71D4" w:rsidRPr="00942F86">
        <w:rPr>
          <w:sz w:val="25"/>
          <w:szCs w:val="25"/>
        </w:rPr>
        <w:t xml:space="preserve"> of the</w:t>
      </w:r>
      <w:r w:rsidR="00624238" w:rsidRPr="00942F86">
        <w:rPr>
          <w:sz w:val="25"/>
          <w:szCs w:val="25"/>
        </w:rPr>
        <w:t xml:space="preserve"> </w:t>
      </w:r>
      <w:r w:rsidR="00624238" w:rsidRPr="00942F86">
        <w:rPr>
          <w:i/>
          <w:sz w:val="25"/>
          <w:szCs w:val="25"/>
        </w:rPr>
        <w:t>pro forma</w:t>
      </w:r>
      <w:r w:rsidR="002B71D4" w:rsidRPr="00942F86">
        <w:rPr>
          <w:sz w:val="25"/>
          <w:szCs w:val="25"/>
        </w:rPr>
        <w:t xml:space="preserve"> wage increase</w:t>
      </w:r>
      <w:r w:rsidR="00624238" w:rsidRPr="00942F86">
        <w:rPr>
          <w:sz w:val="25"/>
          <w:szCs w:val="25"/>
        </w:rPr>
        <w:t>s</w:t>
      </w:r>
      <w:r w:rsidR="002B71D4" w:rsidRPr="00942F86">
        <w:rPr>
          <w:sz w:val="25"/>
          <w:szCs w:val="25"/>
        </w:rPr>
        <w:t>.</w:t>
      </w:r>
      <w:r w:rsidR="00624238" w:rsidRPr="00942F86">
        <w:rPr>
          <w:rStyle w:val="FootnoteReference"/>
          <w:sz w:val="25"/>
          <w:szCs w:val="25"/>
        </w:rPr>
        <w:footnoteReference w:id="39"/>
      </w:r>
      <w:r w:rsidR="002B71D4" w:rsidRPr="00942F86">
        <w:rPr>
          <w:sz w:val="25"/>
          <w:szCs w:val="25"/>
        </w:rPr>
        <w:t xml:space="preserve">  The parties</w:t>
      </w:r>
      <w:r w:rsidR="00C7099E" w:rsidRPr="00942F86">
        <w:rPr>
          <w:sz w:val="25"/>
          <w:szCs w:val="25"/>
        </w:rPr>
        <w:t>’</w:t>
      </w:r>
      <w:r w:rsidR="002B71D4" w:rsidRPr="00942F86">
        <w:rPr>
          <w:sz w:val="25"/>
          <w:szCs w:val="25"/>
        </w:rPr>
        <w:t xml:space="preserve"> opposition was based on their argument that the adjustment “should be disallowed because the Company did not consider all relevant factors including whether there are corresponding offsets to the wage increases.”</w:t>
      </w:r>
      <w:r w:rsidR="002B71D4" w:rsidRPr="00942F86">
        <w:rPr>
          <w:rStyle w:val="FootnoteReference"/>
          <w:sz w:val="25"/>
          <w:szCs w:val="25"/>
        </w:rPr>
        <w:footnoteReference w:id="40"/>
      </w:r>
    </w:p>
    <w:p w14:paraId="6CFF580E" w14:textId="77777777" w:rsidR="002B71D4" w:rsidRPr="00942F86" w:rsidRDefault="002B71D4" w:rsidP="000455AC">
      <w:pPr>
        <w:pStyle w:val="ListParagraph"/>
        <w:spacing w:line="264" w:lineRule="auto"/>
        <w:rPr>
          <w:sz w:val="25"/>
          <w:szCs w:val="25"/>
        </w:rPr>
      </w:pPr>
    </w:p>
    <w:p w14:paraId="1AE211E4" w14:textId="23E27103" w:rsidR="00B36D85" w:rsidRPr="00942F86" w:rsidRDefault="002B71D4" w:rsidP="005E0DF4">
      <w:pPr>
        <w:numPr>
          <w:ilvl w:val="0"/>
          <w:numId w:val="1"/>
        </w:numPr>
        <w:tabs>
          <w:tab w:val="clear" w:pos="720"/>
          <w:tab w:val="num" w:pos="0"/>
        </w:tabs>
        <w:spacing w:line="264" w:lineRule="auto"/>
        <w:ind w:left="0"/>
        <w:rPr>
          <w:sz w:val="25"/>
          <w:szCs w:val="25"/>
        </w:rPr>
      </w:pPr>
      <w:r w:rsidRPr="00942F86">
        <w:rPr>
          <w:sz w:val="25"/>
          <w:szCs w:val="25"/>
        </w:rPr>
        <w:t xml:space="preserve">Public Counsel acknowledges that the Commission </w:t>
      </w:r>
      <w:r w:rsidR="007959F2" w:rsidRPr="00942F86">
        <w:rPr>
          <w:sz w:val="25"/>
          <w:szCs w:val="25"/>
        </w:rPr>
        <w:t xml:space="preserve">has </w:t>
      </w:r>
      <w:r w:rsidRPr="00942F86">
        <w:rPr>
          <w:sz w:val="25"/>
          <w:szCs w:val="25"/>
        </w:rPr>
        <w:t xml:space="preserve">allowed post-test year salary and wage increases as </w:t>
      </w:r>
      <w:r w:rsidRPr="00942F86">
        <w:rPr>
          <w:i/>
          <w:sz w:val="25"/>
          <w:szCs w:val="25"/>
        </w:rPr>
        <w:t>pro forma</w:t>
      </w:r>
      <w:r w:rsidRPr="00942F86">
        <w:rPr>
          <w:sz w:val="25"/>
          <w:szCs w:val="25"/>
        </w:rPr>
        <w:t xml:space="preserve"> adjustments to test year costs,</w:t>
      </w:r>
      <w:r w:rsidR="007959F2" w:rsidRPr="00942F86">
        <w:rPr>
          <w:sz w:val="25"/>
          <w:szCs w:val="25"/>
        </w:rPr>
        <w:t xml:space="preserve"> if they a</w:t>
      </w:r>
      <w:r w:rsidRPr="00942F86">
        <w:rPr>
          <w:sz w:val="25"/>
          <w:szCs w:val="25"/>
        </w:rPr>
        <w:t>re known and measurable and occur within 12 months after the end of the test year.</w:t>
      </w:r>
      <w:r w:rsidRPr="00942F86">
        <w:rPr>
          <w:rStyle w:val="FootnoteReference"/>
          <w:sz w:val="25"/>
          <w:szCs w:val="25"/>
        </w:rPr>
        <w:footnoteReference w:id="41"/>
      </w:r>
      <w:r w:rsidRPr="00942F86">
        <w:rPr>
          <w:sz w:val="25"/>
          <w:szCs w:val="25"/>
        </w:rPr>
        <w:t xml:space="preserve">  </w:t>
      </w:r>
      <w:r w:rsidR="00372143" w:rsidRPr="00942F86">
        <w:rPr>
          <w:sz w:val="25"/>
          <w:szCs w:val="25"/>
        </w:rPr>
        <w:t xml:space="preserve">Public Counsel argues that “this approach is more than reasonable, and should be adhered to again in this case” which would limit the </w:t>
      </w:r>
      <w:r w:rsidR="00372143" w:rsidRPr="00942F86">
        <w:rPr>
          <w:i/>
          <w:sz w:val="25"/>
          <w:szCs w:val="25"/>
        </w:rPr>
        <w:t>pro forma</w:t>
      </w:r>
      <w:r w:rsidR="00372143" w:rsidRPr="00942F86">
        <w:rPr>
          <w:sz w:val="25"/>
          <w:szCs w:val="25"/>
        </w:rPr>
        <w:t xml:space="preserve"> adjustment to wages to known and measurable costs through December 31, 2014.</w:t>
      </w:r>
      <w:r w:rsidR="007959F2" w:rsidRPr="00942F86">
        <w:rPr>
          <w:rStyle w:val="FootnoteReference"/>
          <w:sz w:val="25"/>
          <w:szCs w:val="25"/>
        </w:rPr>
        <w:footnoteReference w:id="42"/>
      </w:r>
      <w:r w:rsidR="00372143" w:rsidRPr="00942F86">
        <w:rPr>
          <w:sz w:val="25"/>
          <w:szCs w:val="25"/>
        </w:rPr>
        <w:t xml:space="preserve">  </w:t>
      </w:r>
    </w:p>
    <w:p w14:paraId="6DD51498" w14:textId="77777777" w:rsidR="00372143" w:rsidRPr="00942F86" w:rsidRDefault="00372143" w:rsidP="000455AC">
      <w:pPr>
        <w:pStyle w:val="ListParagraph"/>
        <w:spacing w:line="264" w:lineRule="auto"/>
        <w:rPr>
          <w:sz w:val="25"/>
          <w:szCs w:val="25"/>
        </w:rPr>
      </w:pPr>
    </w:p>
    <w:p w14:paraId="2283F0F9" w14:textId="5562862A" w:rsidR="00372143" w:rsidRPr="00942F86" w:rsidRDefault="00372143" w:rsidP="005E0DF4">
      <w:pPr>
        <w:numPr>
          <w:ilvl w:val="0"/>
          <w:numId w:val="1"/>
        </w:numPr>
        <w:tabs>
          <w:tab w:val="clear" w:pos="720"/>
          <w:tab w:val="num" w:pos="0"/>
        </w:tabs>
        <w:spacing w:line="264" w:lineRule="auto"/>
        <w:ind w:left="0"/>
        <w:rPr>
          <w:sz w:val="25"/>
          <w:szCs w:val="25"/>
        </w:rPr>
      </w:pPr>
      <w:r w:rsidRPr="00942F86">
        <w:rPr>
          <w:sz w:val="25"/>
          <w:szCs w:val="25"/>
        </w:rPr>
        <w:t xml:space="preserve">Public Counsel argues in addition that the Company’s proposal essentially is to base wage and salary levels on a future test year for the 12 months ending March 31, 2016, which creates a distortion of the alignment between revenue, investment, and expense, violating the matching principle.  </w:t>
      </w:r>
      <w:r w:rsidR="007959F2" w:rsidRPr="00942F86">
        <w:rPr>
          <w:sz w:val="25"/>
          <w:szCs w:val="25"/>
        </w:rPr>
        <w:t>Public Counsel contends</w:t>
      </w:r>
      <w:r w:rsidRPr="00942F86">
        <w:rPr>
          <w:sz w:val="25"/>
          <w:szCs w:val="25"/>
        </w:rPr>
        <w:t xml:space="preserve"> that it is “particularly unfair to include costs from such a distant future period, given the </w:t>
      </w:r>
      <w:r w:rsidRPr="00942F86">
        <w:rPr>
          <w:sz w:val="25"/>
          <w:szCs w:val="25"/>
        </w:rPr>
        <w:lastRenderedPageBreak/>
        <w:t>evidence in the record that PacifiCorp’s employee count has been declining for the past 3½ years.”</w:t>
      </w:r>
      <w:r w:rsidRPr="00942F86">
        <w:rPr>
          <w:rStyle w:val="FootnoteReference"/>
          <w:sz w:val="25"/>
          <w:szCs w:val="25"/>
        </w:rPr>
        <w:footnoteReference w:id="43"/>
      </w:r>
    </w:p>
    <w:p w14:paraId="3AC04DB5" w14:textId="77777777" w:rsidR="00372143" w:rsidRPr="00942F86" w:rsidRDefault="00372143" w:rsidP="000455AC">
      <w:pPr>
        <w:pStyle w:val="ListParagraph"/>
        <w:spacing w:line="264" w:lineRule="auto"/>
        <w:rPr>
          <w:sz w:val="25"/>
          <w:szCs w:val="25"/>
        </w:rPr>
      </w:pPr>
    </w:p>
    <w:p w14:paraId="7E71FD01" w14:textId="5A7E2EA5" w:rsidR="00E11029" w:rsidRPr="00942F86" w:rsidRDefault="00E11029" w:rsidP="005E0DF4">
      <w:pPr>
        <w:numPr>
          <w:ilvl w:val="0"/>
          <w:numId w:val="1"/>
        </w:numPr>
        <w:tabs>
          <w:tab w:val="clear" w:pos="720"/>
          <w:tab w:val="num" w:pos="0"/>
        </w:tabs>
        <w:spacing w:line="264" w:lineRule="auto"/>
        <w:ind w:left="0"/>
        <w:rPr>
          <w:sz w:val="25"/>
          <w:szCs w:val="25"/>
        </w:rPr>
      </w:pPr>
      <w:r w:rsidRPr="00942F86">
        <w:rPr>
          <w:sz w:val="25"/>
          <w:szCs w:val="25"/>
        </w:rPr>
        <w:t xml:space="preserve">Elaborating on this last point, Public Counsel states that while Pacific Power’s adjusted test year labor costs are based on the average number of employees employed by the Company during the test year ending December 31, 2013, the full time equivalent (FTE) employee count for </w:t>
      </w:r>
      <w:r w:rsidR="00C4348D" w:rsidRPr="00942F86">
        <w:rPr>
          <w:sz w:val="25"/>
          <w:szCs w:val="25"/>
        </w:rPr>
        <w:t xml:space="preserve">Pacific Power </w:t>
      </w:r>
      <w:r w:rsidRPr="00942F86">
        <w:rPr>
          <w:sz w:val="25"/>
          <w:szCs w:val="25"/>
        </w:rPr>
        <w:t>declined significantly during the test year and continued to decline measurably through October 2014, just prior to the evidentiary hearing in this case (</w:t>
      </w:r>
      <w:r w:rsidRPr="00942F86">
        <w:rPr>
          <w:i/>
          <w:sz w:val="25"/>
          <w:szCs w:val="25"/>
        </w:rPr>
        <w:t>i.e.,</w:t>
      </w:r>
      <w:r w:rsidRPr="00942F86">
        <w:rPr>
          <w:sz w:val="25"/>
          <w:szCs w:val="25"/>
        </w:rPr>
        <w:t xml:space="preserve"> December 16-19, 2014)</w:t>
      </w:r>
      <w:r w:rsidR="00C4348D" w:rsidRPr="00942F86">
        <w:rPr>
          <w:sz w:val="25"/>
          <w:szCs w:val="25"/>
        </w:rPr>
        <w:t>.  Providing details, Public Counsel says that</w:t>
      </w:r>
      <w:r w:rsidRPr="00942F86">
        <w:rPr>
          <w:sz w:val="25"/>
          <w:szCs w:val="25"/>
        </w:rPr>
        <w:t xml:space="preserve">: </w:t>
      </w:r>
    </w:p>
    <w:p w14:paraId="760410E9" w14:textId="77777777" w:rsidR="00E11029" w:rsidRPr="00942F86" w:rsidRDefault="00E11029" w:rsidP="000455AC">
      <w:pPr>
        <w:pStyle w:val="ListParagraph"/>
        <w:spacing w:line="264" w:lineRule="auto"/>
        <w:rPr>
          <w:sz w:val="25"/>
          <w:szCs w:val="25"/>
        </w:rPr>
      </w:pPr>
    </w:p>
    <w:p w14:paraId="1509BD19" w14:textId="1761A9FB" w:rsidR="00372143" w:rsidRPr="00942F86" w:rsidRDefault="00E11029" w:rsidP="000455AC">
      <w:pPr>
        <w:spacing w:line="264" w:lineRule="auto"/>
        <w:ind w:left="720" w:right="720"/>
        <w:rPr>
          <w:sz w:val="25"/>
          <w:szCs w:val="25"/>
        </w:rPr>
      </w:pPr>
      <w:r w:rsidRPr="00942F86">
        <w:rPr>
          <w:sz w:val="25"/>
          <w:szCs w:val="25"/>
        </w:rPr>
        <w:t>During the test year, PacifiCorp’s employee count declined by 115.5 employees.  Six months later, by June 2014, the employee count had declined by another 27 FTEs, such that the actual employee level was 66.5 FTE lower, or 1.24% below the average count for the test year upon which Pacific Power based its labor costs.  Additional data provided to Public Counsel after the filing of Pacific Power rebuttal shows</w:t>
      </w:r>
      <w:r w:rsidR="00C4348D" w:rsidRPr="00942F86">
        <w:rPr>
          <w:sz w:val="25"/>
          <w:szCs w:val="25"/>
        </w:rPr>
        <w:t xml:space="preserve"> (sic)</w:t>
      </w:r>
      <w:r w:rsidRPr="00942F86">
        <w:rPr>
          <w:sz w:val="25"/>
          <w:szCs w:val="25"/>
        </w:rPr>
        <w:t xml:space="preserve"> that FTE counts continued to decline every month after June 2014, until November, just one month before the hearing.</w:t>
      </w:r>
      <w:r w:rsidRPr="00942F86">
        <w:rPr>
          <w:rStyle w:val="FootnoteReference"/>
          <w:sz w:val="25"/>
          <w:szCs w:val="25"/>
        </w:rPr>
        <w:footnoteReference w:id="44"/>
      </w:r>
    </w:p>
    <w:p w14:paraId="31A824B3" w14:textId="77777777" w:rsidR="00E11029" w:rsidRPr="00942F86" w:rsidRDefault="00E11029" w:rsidP="000455AC">
      <w:pPr>
        <w:spacing w:line="264" w:lineRule="auto"/>
        <w:ind w:left="720" w:right="720"/>
        <w:rPr>
          <w:sz w:val="25"/>
          <w:szCs w:val="25"/>
        </w:rPr>
      </w:pPr>
    </w:p>
    <w:p w14:paraId="64E637F9" w14:textId="7AA8512F" w:rsidR="002B1B9F" w:rsidRPr="00942F86" w:rsidRDefault="00E07556" w:rsidP="005E0DF4">
      <w:pPr>
        <w:numPr>
          <w:ilvl w:val="0"/>
          <w:numId w:val="1"/>
        </w:numPr>
        <w:tabs>
          <w:tab w:val="clear" w:pos="720"/>
          <w:tab w:val="num" w:pos="0"/>
        </w:tabs>
        <w:spacing w:line="264" w:lineRule="auto"/>
        <w:ind w:left="0"/>
        <w:rPr>
          <w:sz w:val="25"/>
          <w:szCs w:val="25"/>
        </w:rPr>
      </w:pPr>
      <w:r w:rsidRPr="00942F86">
        <w:rPr>
          <w:sz w:val="25"/>
          <w:szCs w:val="25"/>
        </w:rPr>
        <w:t>Pacific Power argues that “[t]he Company demonstrated that the reductions in staffing it is currently experiencing are temporary.”</w:t>
      </w:r>
      <w:r w:rsidR="00E7013E" w:rsidRPr="00942F86">
        <w:rPr>
          <w:rStyle w:val="FootnoteReference"/>
          <w:sz w:val="25"/>
          <w:szCs w:val="25"/>
        </w:rPr>
        <w:footnoteReference w:id="45"/>
      </w:r>
      <w:r w:rsidRPr="00942F86">
        <w:rPr>
          <w:sz w:val="25"/>
          <w:szCs w:val="25"/>
        </w:rPr>
        <w:t xml:space="preserve">  The Company, however, offers no cite to the record pointing us to its demonstration of this asserted fact.</w:t>
      </w:r>
      <w:r w:rsidR="00624238" w:rsidRPr="00942F86">
        <w:rPr>
          <w:sz w:val="25"/>
          <w:szCs w:val="25"/>
        </w:rPr>
        <w:t xml:space="preserve">  Mr. Stuver’s testimony, adopting that of Mr. Wilson</w:t>
      </w:r>
      <w:r w:rsidR="00CA4777" w:rsidRPr="00942F86">
        <w:rPr>
          <w:sz w:val="25"/>
          <w:szCs w:val="25"/>
        </w:rPr>
        <w:t xml:space="preserve"> in this case</w:t>
      </w:r>
      <w:r w:rsidR="00624238" w:rsidRPr="00942F86">
        <w:rPr>
          <w:sz w:val="25"/>
          <w:szCs w:val="25"/>
        </w:rPr>
        <w:t>,</w:t>
      </w:r>
      <w:r w:rsidR="00CA4777" w:rsidRPr="00942F86">
        <w:rPr>
          <w:sz w:val="25"/>
          <w:szCs w:val="25"/>
        </w:rPr>
        <w:t xml:space="preserve"> is strikingly similar to Mr. Wilson’s testimony in Docket UE-100749.  In both cases, the Company’s witness</w:t>
      </w:r>
      <w:r w:rsidR="00C4348D" w:rsidRPr="00942F86">
        <w:rPr>
          <w:sz w:val="25"/>
          <w:szCs w:val="25"/>
        </w:rPr>
        <w:t>es</w:t>
      </w:r>
      <w:r w:rsidR="002B1B9F" w:rsidRPr="00942F86">
        <w:rPr>
          <w:sz w:val="25"/>
          <w:szCs w:val="25"/>
        </w:rPr>
        <w:t>:</w:t>
      </w:r>
    </w:p>
    <w:p w14:paraId="77FA9198" w14:textId="77777777" w:rsidR="0098213A" w:rsidRPr="00942F86" w:rsidRDefault="0098213A" w:rsidP="000455AC">
      <w:pPr>
        <w:spacing w:line="264" w:lineRule="auto"/>
        <w:rPr>
          <w:sz w:val="25"/>
          <w:szCs w:val="25"/>
        </w:rPr>
      </w:pPr>
    </w:p>
    <w:p w14:paraId="09EB70E8" w14:textId="35D06129" w:rsidR="002B1B9F" w:rsidRPr="00942F86" w:rsidRDefault="00C7099E" w:rsidP="00BF7B6F">
      <w:pPr>
        <w:numPr>
          <w:ilvl w:val="0"/>
          <w:numId w:val="23"/>
        </w:numPr>
        <w:spacing w:line="264" w:lineRule="auto"/>
        <w:ind w:left="720"/>
        <w:rPr>
          <w:sz w:val="25"/>
          <w:szCs w:val="25"/>
        </w:rPr>
      </w:pPr>
      <w:r w:rsidRPr="00942F86">
        <w:rPr>
          <w:sz w:val="25"/>
          <w:szCs w:val="25"/>
        </w:rPr>
        <w:t>A</w:t>
      </w:r>
      <w:r w:rsidR="00CA4777" w:rsidRPr="00942F86">
        <w:rPr>
          <w:sz w:val="25"/>
          <w:szCs w:val="25"/>
        </w:rPr>
        <w:t xml:space="preserve">cknowledge that evidence presented by Public Counsel </w:t>
      </w:r>
      <w:proofErr w:type="gramStart"/>
      <w:r w:rsidR="00CA4777" w:rsidRPr="00942F86">
        <w:rPr>
          <w:sz w:val="25"/>
          <w:szCs w:val="25"/>
        </w:rPr>
        <w:t>shows</w:t>
      </w:r>
      <w:proofErr w:type="gramEnd"/>
      <w:r w:rsidR="00CA4777" w:rsidRPr="00942F86">
        <w:rPr>
          <w:sz w:val="25"/>
          <w:szCs w:val="25"/>
        </w:rPr>
        <w:t xml:space="preserve"> reduced levels of employees through the test period.  </w:t>
      </w:r>
    </w:p>
    <w:p w14:paraId="15AE9E06" w14:textId="77777777" w:rsidR="00F9592D" w:rsidRPr="00942F86" w:rsidRDefault="00F9592D" w:rsidP="000455AC">
      <w:pPr>
        <w:pStyle w:val="ListParagraph"/>
        <w:spacing w:line="264" w:lineRule="auto"/>
        <w:ind w:left="790"/>
        <w:rPr>
          <w:sz w:val="25"/>
          <w:szCs w:val="25"/>
        </w:rPr>
      </w:pPr>
    </w:p>
    <w:p w14:paraId="7969BAAA" w14:textId="162C26FB" w:rsidR="002B1B9F" w:rsidRPr="00942F86" w:rsidRDefault="00C7099E" w:rsidP="00BF7B6F">
      <w:pPr>
        <w:numPr>
          <w:ilvl w:val="0"/>
          <w:numId w:val="23"/>
        </w:numPr>
        <w:spacing w:line="264" w:lineRule="auto"/>
        <w:ind w:left="720"/>
        <w:rPr>
          <w:sz w:val="25"/>
          <w:szCs w:val="25"/>
        </w:rPr>
      </w:pPr>
      <w:r w:rsidRPr="00942F86">
        <w:rPr>
          <w:sz w:val="25"/>
          <w:szCs w:val="25"/>
        </w:rPr>
        <w:t>C</w:t>
      </w:r>
      <w:r w:rsidR="00CA4777" w:rsidRPr="00942F86">
        <w:rPr>
          <w:sz w:val="25"/>
          <w:szCs w:val="25"/>
        </w:rPr>
        <w:t xml:space="preserve">laim these reductions are temporary.  </w:t>
      </w:r>
    </w:p>
    <w:p w14:paraId="66F111F0" w14:textId="77777777" w:rsidR="00F9592D" w:rsidRPr="00942F86" w:rsidRDefault="00F9592D" w:rsidP="000455AC">
      <w:pPr>
        <w:spacing w:line="264" w:lineRule="auto"/>
        <w:rPr>
          <w:sz w:val="25"/>
          <w:szCs w:val="25"/>
        </w:rPr>
      </w:pPr>
    </w:p>
    <w:p w14:paraId="56F248A0" w14:textId="51BCABC5" w:rsidR="002B1B9F" w:rsidRPr="00942F86" w:rsidRDefault="00C4348D" w:rsidP="00BF7B6F">
      <w:pPr>
        <w:numPr>
          <w:ilvl w:val="0"/>
          <w:numId w:val="23"/>
        </w:numPr>
        <w:spacing w:line="264" w:lineRule="auto"/>
        <w:ind w:left="720"/>
        <w:rPr>
          <w:sz w:val="25"/>
          <w:szCs w:val="25"/>
        </w:rPr>
      </w:pPr>
      <w:r w:rsidRPr="00942F86">
        <w:rPr>
          <w:sz w:val="25"/>
          <w:szCs w:val="25"/>
        </w:rPr>
        <w:t xml:space="preserve">Testify </w:t>
      </w:r>
      <w:r w:rsidR="00CA4777" w:rsidRPr="00942F86">
        <w:rPr>
          <w:sz w:val="25"/>
          <w:szCs w:val="25"/>
        </w:rPr>
        <w:t xml:space="preserve">that Pacific Power requires a basic minimum level of staffing to ensure that its business operates smoothly.  </w:t>
      </w:r>
      <w:r w:rsidR="00E07556" w:rsidRPr="00942F86">
        <w:rPr>
          <w:sz w:val="25"/>
          <w:szCs w:val="25"/>
        </w:rPr>
        <w:t xml:space="preserve"> </w:t>
      </w:r>
    </w:p>
    <w:p w14:paraId="4D14A853" w14:textId="77777777" w:rsidR="00F9592D" w:rsidRPr="00942F86" w:rsidRDefault="00F9592D" w:rsidP="000455AC">
      <w:pPr>
        <w:spacing w:line="264" w:lineRule="auto"/>
        <w:rPr>
          <w:sz w:val="25"/>
          <w:szCs w:val="25"/>
        </w:rPr>
      </w:pPr>
    </w:p>
    <w:p w14:paraId="4E7CF3E8" w14:textId="21C44533" w:rsidR="002B1B9F" w:rsidRPr="00942F86" w:rsidRDefault="00C4348D" w:rsidP="00BF7B6F">
      <w:pPr>
        <w:numPr>
          <w:ilvl w:val="0"/>
          <w:numId w:val="23"/>
        </w:numPr>
        <w:spacing w:line="264" w:lineRule="auto"/>
        <w:ind w:left="720"/>
        <w:rPr>
          <w:sz w:val="25"/>
          <w:szCs w:val="25"/>
        </w:rPr>
      </w:pPr>
      <w:r w:rsidRPr="00942F86">
        <w:rPr>
          <w:sz w:val="25"/>
          <w:szCs w:val="25"/>
        </w:rPr>
        <w:t xml:space="preserve">Testify </w:t>
      </w:r>
      <w:r w:rsidR="00E4688C" w:rsidRPr="00942F86">
        <w:rPr>
          <w:sz w:val="25"/>
          <w:szCs w:val="25"/>
        </w:rPr>
        <w:t>that the Company is actively recruiting to fill the vacant positions</w:t>
      </w:r>
      <w:r w:rsidR="00F9592D" w:rsidRPr="00942F86">
        <w:rPr>
          <w:sz w:val="25"/>
          <w:szCs w:val="25"/>
        </w:rPr>
        <w:t>.</w:t>
      </w:r>
    </w:p>
    <w:p w14:paraId="55394669" w14:textId="77777777" w:rsidR="00E4688C" w:rsidRPr="00942F86" w:rsidRDefault="00E4688C" w:rsidP="000455AC">
      <w:pPr>
        <w:spacing w:line="264" w:lineRule="auto"/>
        <w:rPr>
          <w:sz w:val="25"/>
          <w:szCs w:val="25"/>
        </w:rPr>
      </w:pPr>
    </w:p>
    <w:p w14:paraId="576A39D0" w14:textId="4EF1AD19" w:rsidR="00E07556" w:rsidRPr="00942F86" w:rsidRDefault="008F2D5F" w:rsidP="000455AC">
      <w:pPr>
        <w:spacing w:line="264" w:lineRule="auto"/>
        <w:rPr>
          <w:sz w:val="25"/>
          <w:szCs w:val="25"/>
        </w:rPr>
      </w:pPr>
      <w:r w:rsidRPr="00942F86">
        <w:rPr>
          <w:sz w:val="25"/>
          <w:szCs w:val="25"/>
        </w:rPr>
        <w:t>Mr. Stuver’s testimony</w:t>
      </w:r>
      <w:r w:rsidR="00E4688C" w:rsidRPr="00942F86">
        <w:rPr>
          <w:sz w:val="25"/>
          <w:szCs w:val="25"/>
        </w:rPr>
        <w:t xml:space="preserve"> in this case</w:t>
      </w:r>
      <w:r w:rsidRPr="00942F86">
        <w:rPr>
          <w:sz w:val="25"/>
          <w:szCs w:val="25"/>
        </w:rPr>
        <w:t xml:space="preserve"> nowhere rebuts that the Company has experienced a net reduction in FTE employees over a significant period of time.</w:t>
      </w:r>
    </w:p>
    <w:p w14:paraId="5CDC3195" w14:textId="77777777" w:rsidR="00E4688C" w:rsidRPr="00942F86" w:rsidRDefault="00E4688C" w:rsidP="000455AC">
      <w:pPr>
        <w:spacing w:line="264" w:lineRule="auto"/>
        <w:rPr>
          <w:sz w:val="25"/>
          <w:szCs w:val="25"/>
        </w:rPr>
      </w:pPr>
    </w:p>
    <w:p w14:paraId="08B44394" w14:textId="77777777" w:rsidR="007243CA" w:rsidRPr="00942F86" w:rsidRDefault="00E4688C" w:rsidP="005E0DF4">
      <w:pPr>
        <w:numPr>
          <w:ilvl w:val="0"/>
          <w:numId w:val="1"/>
        </w:numPr>
        <w:tabs>
          <w:tab w:val="clear" w:pos="720"/>
          <w:tab w:val="num" w:pos="0"/>
        </w:tabs>
        <w:spacing w:line="264" w:lineRule="auto"/>
        <w:ind w:left="0"/>
        <w:rPr>
          <w:sz w:val="25"/>
          <w:szCs w:val="25"/>
        </w:rPr>
      </w:pPr>
      <w:r w:rsidRPr="00942F86">
        <w:rPr>
          <w:sz w:val="25"/>
          <w:szCs w:val="25"/>
        </w:rPr>
        <w:t>Finally, Pacific Power argues that its updated business plan in the fall of 2014</w:t>
      </w:r>
      <w:r w:rsidR="007243CA" w:rsidRPr="00942F86">
        <w:rPr>
          <w:sz w:val="25"/>
          <w:szCs w:val="25"/>
        </w:rPr>
        <w:t xml:space="preserve"> shows </w:t>
      </w:r>
      <w:r w:rsidRPr="00942F86">
        <w:rPr>
          <w:sz w:val="25"/>
          <w:szCs w:val="25"/>
        </w:rPr>
        <w:t xml:space="preserve">5,377 employees for the end of 2015.  </w:t>
      </w:r>
      <w:r w:rsidR="007243CA" w:rsidRPr="00942F86">
        <w:rPr>
          <w:sz w:val="25"/>
          <w:szCs w:val="25"/>
        </w:rPr>
        <w:t>The Company states in addition that:</w:t>
      </w:r>
    </w:p>
    <w:p w14:paraId="0D86246C" w14:textId="77777777" w:rsidR="007243CA" w:rsidRPr="00942F86" w:rsidRDefault="007243CA" w:rsidP="000455AC">
      <w:pPr>
        <w:spacing w:line="264" w:lineRule="auto"/>
        <w:rPr>
          <w:sz w:val="25"/>
          <w:szCs w:val="25"/>
        </w:rPr>
      </w:pPr>
    </w:p>
    <w:p w14:paraId="06670217" w14:textId="427993DA" w:rsidR="00E4688C" w:rsidRPr="00942F86" w:rsidRDefault="00E4688C" w:rsidP="000455AC">
      <w:pPr>
        <w:spacing w:line="264" w:lineRule="auto"/>
        <w:ind w:left="720" w:right="720"/>
        <w:rPr>
          <w:sz w:val="25"/>
          <w:szCs w:val="25"/>
        </w:rPr>
      </w:pPr>
      <w:r w:rsidRPr="00942F86">
        <w:rPr>
          <w:sz w:val="25"/>
          <w:szCs w:val="25"/>
        </w:rPr>
        <w:t xml:space="preserve">The test period average FTE complement of 5,375 closely approximates the </w:t>
      </w:r>
      <w:r w:rsidRPr="00942F86">
        <w:rPr>
          <w:i/>
          <w:sz w:val="25"/>
          <w:szCs w:val="25"/>
        </w:rPr>
        <w:t>budgeted</w:t>
      </w:r>
      <w:r w:rsidRPr="00942F86">
        <w:rPr>
          <w:sz w:val="25"/>
          <w:szCs w:val="25"/>
        </w:rPr>
        <w:t xml:space="preserve"> FTE complement.  In addition, the Company uses contract employees to backfill vacancies, and the expenses associated with retaining contract employees are roughly comparable to the expenses of the FTE employees.</w:t>
      </w:r>
      <w:r w:rsidRPr="00942F86">
        <w:rPr>
          <w:rStyle w:val="FootnoteReference"/>
          <w:sz w:val="25"/>
          <w:szCs w:val="25"/>
        </w:rPr>
        <w:footnoteReference w:id="46"/>
      </w:r>
      <w:r w:rsidRPr="00942F86">
        <w:rPr>
          <w:sz w:val="25"/>
          <w:szCs w:val="25"/>
        </w:rPr>
        <w:t xml:space="preserve">  Public Counsel’s proposal would prevent the Company from recovering expenses that are likely to be incurred regardless of whether the Company permanently fills all the current FTE employee vacancies.</w:t>
      </w:r>
      <w:r w:rsidR="007243CA" w:rsidRPr="00942F86">
        <w:rPr>
          <w:rStyle w:val="FootnoteReference"/>
          <w:sz w:val="25"/>
          <w:szCs w:val="25"/>
        </w:rPr>
        <w:footnoteReference w:id="47"/>
      </w:r>
    </w:p>
    <w:p w14:paraId="12F45FD6" w14:textId="77777777" w:rsidR="002B1B9F" w:rsidRPr="00942F86" w:rsidRDefault="002B1B9F" w:rsidP="000455AC">
      <w:pPr>
        <w:spacing w:line="264" w:lineRule="auto"/>
        <w:rPr>
          <w:sz w:val="25"/>
          <w:szCs w:val="25"/>
        </w:rPr>
      </w:pPr>
    </w:p>
    <w:p w14:paraId="2ACDD943" w14:textId="0548A161" w:rsidR="002B626C" w:rsidRPr="00942F86" w:rsidRDefault="0098213A" w:rsidP="005E0DF4">
      <w:pPr>
        <w:numPr>
          <w:ilvl w:val="0"/>
          <w:numId w:val="1"/>
        </w:numPr>
        <w:tabs>
          <w:tab w:val="clear" w:pos="720"/>
          <w:tab w:val="num" w:pos="0"/>
        </w:tabs>
        <w:spacing w:line="264" w:lineRule="auto"/>
        <w:ind w:left="0"/>
        <w:rPr>
          <w:sz w:val="25"/>
          <w:szCs w:val="25"/>
        </w:rPr>
      </w:pPr>
      <w:r w:rsidRPr="00942F86">
        <w:rPr>
          <w:sz w:val="25"/>
          <w:szCs w:val="25"/>
        </w:rPr>
        <w:t xml:space="preserve">Turning to Pension Expense and </w:t>
      </w:r>
      <w:proofErr w:type="spellStart"/>
      <w:r w:rsidRPr="00942F86">
        <w:rPr>
          <w:sz w:val="25"/>
          <w:szCs w:val="25"/>
        </w:rPr>
        <w:t>OPEB</w:t>
      </w:r>
      <w:proofErr w:type="spellEnd"/>
      <w:r w:rsidRPr="00942F86">
        <w:rPr>
          <w:sz w:val="25"/>
          <w:szCs w:val="25"/>
        </w:rPr>
        <w:t>, Public Counsel argues that Pacific Power’s pension cost</w:t>
      </w:r>
      <w:r w:rsidR="002228DE" w:rsidRPr="00942F86">
        <w:rPr>
          <w:sz w:val="25"/>
          <w:szCs w:val="25"/>
        </w:rPr>
        <w:t>s</w:t>
      </w:r>
      <w:r w:rsidRPr="00942F86">
        <w:rPr>
          <w:sz w:val="25"/>
          <w:szCs w:val="25"/>
        </w:rPr>
        <w:t xml:space="preserve"> ha</w:t>
      </w:r>
      <w:r w:rsidR="002228DE" w:rsidRPr="00942F86">
        <w:rPr>
          <w:sz w:val="25"/>
          <w:szCs w:val="25"/>
        </w:rPr>
        <w:t>ve</w:t>
      </w:r>
      <w:r w:rsidRPr="00942F86">
        <w:rPr>
          <w:sz w:val="25"/>
          <w:szCs w:val="25"/>
        </w:rPr>
        <w:t xml:space="preserve"> declined significantly in 2014 since the amount recorded in the Company’s books for the 2013 test year, by an amount of $16.8 million.</w:t>
      </w:r>
      <w:r w:rsidR="001F5D4D" w:rsidRPr="00942F86">
        <w:rPr>
          <w:rStyle w:val="FootnoteReference"/>
          <w:sz w:val="25"/>
          <w:szCs w:val="25"/>
        </w:rPr>
        <w:footnoteReference w:id="48"/>
      </w:r>
      <w:r w:rsidRPr="00942F86">
        <w:rPr>
          <w:sz w:val="25"/>
          <w:szCs w:val="25"/>
        </w:rPr>
        <w:t xml:space="preserve">  Similarly, the Company’s </w:t>
      </w:r>
      <w:proofErr w:type="spellStart"/>
      <w:r w:rsidRPr="00942F86">
        <w:rPr>
          <w:sz w:val="25"/>
          <w:szCs w:val="25"/>
        </w:rPr>
        <w:t>OPEB</w:t>
      </w:r>
      <w:proofErr w:type="spellEnd"/>
      <w:r w:rsidRPr="00942F86">
        <w:rPr>
          <w:sz w:val="25"/>
          <w:szCs w:val="25"/>
        </w:rPr>
        <w:t xml:space="preserve"> costs declined between the 2013 test year and 2014, from $2.7 million to $485,000, a reduction of over $2.1 million.</w:t>
      </w:r>
      <w:r w:rsidR="001F5D4D" w:rsidRPr="00942F86">
        <w:rPr>
          <w:rStyle w:val="FootnoteReference"/>
          <w:sz w:val="25"/>
          <w:szCs w:val="25"/>
        </w:rPr>
        <w:footnoteReference w:id="49"/>
      </w:r>
      <w:r w:rsidRPr="00942F86">
        <w:rPr>
          <w:sz w:val="25"/>
          <w:szCs w:val="25"/>
        </w:rPr>
        <w:t xml:space="preserve">  </w:t>
      </w:r>
      <w:r w:rsidR="001F5D4D" w:rsidRPr="00942F86">
        <w:rPr>
          <w:sz w:val="25"/>
          <w:szCs w:val="25"/>
        </w:rPr>
        <w:t>Both</w:t>
      </w:r>
      <w:r w:rsidRPr="00942F86">
        <w:rPr>
          <w:sz w:val="25"/>
          <w:szCs w:val="25"/>
        </w:rPr>
        <w:t xml:space="preserve"> the 2014 pension expense</w:t>
      </w:r>
      <w:r w:rsidR="001F5D4D" w:rsidRPr="00942F86">
        <w:rPr>
          <w:sz w:val="25"/>
          <w:szCs w:val="25"/>
        </w:rPr>
        <w:t xml:space="preserve"> and</w:t>
      </w:r>
      <w:r w:rsidRPr="00942F86">
        <w:rPr>
          <w:sz w:val="25"/>
          <w:szCs w:val="25"/>
        </w:rPr>
        <w:t xml:space="preserve"> the 2014 </w:t>
      </w:r>
      <w:proofErr w:type="spellStart"/>
      <w:r w:rsidRPr="00942F86">
        <w:rPr>
          <w:sz w:val="25"/>
          <w:szCs w:val="25"/>
        </w:rPr>
        <w:t>OPEB</w:t>
      </w:r>
      <w:proofErr w:type="spellEnd"/>
      <w:r w:rsidRPr="00942F86">
        <w:rPr>
          <w:sz w:val="25"/>
          <w:szCs w:val="25"/>
        </w:rPr>
        <w:t xml:space="preserve"> expense </w:t>
      </w:r>
      <w:r w:rsidR="001F5D4D" w:rsidRPr="00942F86">
        <w:rPr>
          <w:sz w:val="25"/>
          <w:szCs w:val="25"/>
        </w:rPr>
        <w:t>are</w:t>
      </w:r>
      <w:r w:rsidRPr="00942F86">
        <w:rPr>
          <w:sz w:val="25"/>
          <w:szCs w:val="25"/>
        </w:rPr>
        <w:t xml:space="preserve"> based on the 2014 actuarial assumptions </w:t>
      </w:r>
      <w:r w:rsidR="001F5D4D" w:rsidRPr="00942F86">
        <w:rPr>
          <w:sz w:val="25"/>
          <w:szCs w:val="25"/>
        </w:rPr>
        <w:t xml:space="preserve">Pacific Power </w:t>
      </w:r>
      <w:r w:rsidRPr="00942F86">
        <w:rPr>
          <w:sz w:val="25"/>
          <w:szCs w:val="25"/>
        </w:rPr>
        <w:t xml:space="preserve">selected at the end of 2013, and upon the actual 2013 plan experience. </w:t>
      </w:r>
      <w:r w:rsidR="002B626C" w:rsidRPr="00942F86">
        <w:rPr>
          <w:sz w:val="25"/>
          <w:szCs w:val="25"/>
        </w:rPr>
        <w:t xml:space="preserve"> Ms. Ramas testifies for Public Counsel that:</w:t>
      </w:r>
    </w:p>
    <w:p w14:paraId="523F4055" w14:textId="77777777" w:rsidR="002B626C" w:rsidRPr="00942F86" w:rsidRDefault="002B626C" w:rsidP="000455AC">
      <w:pPr>
        <w:spacing w:line="264" w:lineRule="auto"/>
        <w:rPr>
          <w:sz w:val="25"/>
          <w:szCs w:val="25"/>
        </w:rPr>
      </w:pPr>
    </w:p>
    <w:p w14:paraId="16476ABB" w14:textId="3DBB95B6" w:rsidR="002B626C" w:rsidRPr="00942F86" w:rsidRDefault="002B626C" w:rsidP="000455AC">
      <w:pPr>
        <w:spacing w:line="264" w:lineRule="auto"/>
        <w:ind w:left="720" w:right="720"/>
        <w:rPr>
          <w:sz w:val="25"/>
          <w:szCs w:val="25"/>
        </w:rPr>
      </w:pPr>
      <w:r w:rsidRPr="00942F86">
        <w:rPr>
          <w:rFonts w:eastAsia="Cambria"/>
          <w:sz w:val="25"/>
          <w:szCs w:val="25"/>
        </w:rPr>
        <w:t xml:space="preserve">In the Pacific Power Response to Public Counsel Data Request No. 66, the Company provided the most recent pension actuarial report from the actuarial firm it uses, Towers Watson, dated January 2014.  At page 4 of the actuarial report, Towers Watson describes the “significant reasons” for the reduction in the net periodic cost, as well as the </w:t>
      </w:r>
      <w:r w:rsidRPr="00942F86">
        <w:rPr>
          <w:rFonts w:eastAsia="Cambria"/>
          <w:sz w:val="25"/>
          <w:szCs w:val="25"/>
        </w:rPr>
        <w:lastRenderedPageBreak/>
        <w:t>improvement in the funded position, as caused by four factors.  These include:  1) the return on the fair value of plan assets was greater than expected improving the funded position; 2) the return on the market-related value of plan assets was greater than expected reducing the pension cost; 3) contributions to the plan during 2013 reduced the net periodic costs and improved the funded position; and 4) the discount rate (which is one of the actuarial assumptions) increased 75 basis points reducing the net periodic cost and improving the funded position.</w:t>
      </w:r>
      <w:r w:rsidRPr="00942F86">
        <w:rPr>
          <w:sz w:val="25"/>
          <w:szCs w:val="25"/>
          <w:vertAlign w:val="superscript"/>
        </w:rPr>
        <w:footnoteReference w:id="50"/>
      </w:r>
      <w:r w:rsidRPr="00942F86">
        <w:rPr>
          <w:sz w:val="25"/>
          <w:szCs w:val="25"/>
        </w:rPr>
        <w:t xml:space="preserve"> </w:t>
      </w:r>
    </w:p>
    <w:p w14:paraId="4740C0C4" w14:textId="77777777" w:rsidR="002B626C" w:rsidRPr="00942F86" w:rsidRDefault="002B626C" w:rsidP="000455AC">
      <w:pPr>
        <w:spacing w:line="264" w:lineRule="auto"/>
        <w:ind w:left="720" w:right="720"/>
        <w:rPr>
          <w:sz w:val="25"/>
          <w:szCs w:val="25"/>
        </w:rPr>
      </w:pPr>
    </w:p>
    <w:p w14:paraId="1966A3FE" w14:textId="0D30D8D8" w:rsidR="002B1B9F" w:rsidRPr="00942F86" w:rsidRDefault="002B626C" w:rsidP="000455AC">
      <w:pPr>
        <w:spacing w:line="264" w:lineRule="auto"/>
        <w:rPr>
          <w:sz w:val="25"/>
          <w:szCs w:val="25"/>
        </w:rPr>
      </w:pPr>
      <w:r w:rsidRPr="00942F86">
        <w:rPr>
          <w:sz w:val="25"/>
          <w:szCs w:val="25"/>
        </w:rPr>
        <w:t>Thus, Public Counsel says,</w:t>
      </w:r>
      <w:r w:rsidR="001F5D4D" w:rsidRPr="00942F86">
        <w:rPr>
          <w:sz w:val="25"/>
          <w:szCs w:val="25"/>
        </w:rPr>
        <w:t xml:space="preserve"> these </w:t>
      </w:r>
      <w:r w:rsidR="0098213A" w:rsidRPr="00942F86">
        <w:rPr>
          <w:sz w:val="25"/>
          <w:szCs w:val="25"/>
        </w:rPr>
        <w:t>reduction</w:t>
      </w:r>
      <w:r w:rsidR="001F5D4D" w:rsidRPr="00942F86">
        <w:rPr>
          <w:sz w:val="25"/>
          <w:szCs w:val="25"/>
        </w:rPr>
        <w:t>s</w:t>
      </w:r>
      <w:r w:rsidR="0098213A" w:rsidRPr="00942F86">
        <w:rPr>
          <w:sz w:val="25"/>
          <w:szCs w:val="25"/>
        </w:rPr>
        <w:t xml:space="preserve"> </w:t>
      </w:r>
      <w:r w:rsidR="001F5D4D" w:rsidRPr="00942F86">
        <w:rPr>
          <w:sz w:val="25"/>
          <w:szCs w:val="25"/>
        </w:rPr>
        <w:t>are</w:t>
      </w:r>
      <w:r w:rsidR="0098213A" w:rsidRPr="00942F86">
        <w:rPr>
          <w:sz w:val="25"/>
          <w:szCs w:val="25"/>
        </w:rPr>
        <w:t xml:space="preserve"> known and measurable change</w:t>
      </w:r>
      <w:r w:rsidR="001F5D4D" w:rsidRPr="00942F86">
        <w:rPr>
          <w:sz w:val="25"/>
          <w:szCs w:val="25"/>
        </w:rPr>
        <w:t>s</w:t>
      </w:r>
      <w:r w:rsidR="0098213A" w:rsidRPr="00942F86">
        <w:rPr>
          <w:sz w:val="25"/>
          <w:szCs w:val="25"/>
        </w:rPr>
        <w:t xml:space="preserve"> that reflect the impacts of actuarial assumptions that were selected at the end of the test year.</w:t>
      </w:r>
      <w:r w:rsidR="001F5D4D" w:rsidRPr="00942F86">
        <w:rPr>
          <w:rStyle w:val="FootnoteReference"/>
          <w:sz w:val="25"/>
          <w:szCs w:val="25"/>
        </w:rPr>
        <w:footnoteReference w:id="51"/>
      </w:r>
      <w:r w:rsidRPr="00942F86">
        <w:rPr>
          <w:sz w:val="25"/>
          <w:szCs w:val="25"/>
        </w:rPr>
        <w:t xml:space="preserve">  </w:t>
      </w:r>
    </w:p>
    <w:p w14:paraId="37368B6D" w14:textId="77777777" w:rsidR="00041793" w:rsidRPr="00942F86" w:rsidRDefault="00041793" w:rsidP="000455AC">
      <w:pPr>
        <w:spacing w:line="264" w:lineRule="auto"/>
        <w:rPr>
          <w:sz w:val="25"/>
          <w:szCs w:val="25"/>
        </w:rPr>
      </w:pPr>
    </w:p>
    <w:p w14:paraId="113AA073" w14:textId="77777777" w:rsidR="00F25AF9" w:rsidRPr="00942F86" w:rsidRDefault="00F25AF9" w:rsidP="005E0DF4">
      <w:pPr>
        <w:numPr>
          <w:ilvl w:val="0"/>
          <w:numId w:val="1"/>
        </w:numPr>
        <w:tabs>
          <w:tab w:val="clear" w:pos="720"/>
          <w:tab w:val="num" w:pos="0"/>
        </w:tabs>
        <w:spacing w:line="264" w:lineRule="auto"/>
        <w:ind w:left="0"/>
        <w:rPr>
          <w:rFonts w:eastAsia="Times"/>
          <w:sz w:val="25"/>
          <w:szCs w:val="25"/>
        </w:rPr>
      </w:pPr>
      <w:r w:rsidRPr="00942F86">
        <w:rPr>
          <w:sz w:val="25"/>
          <w:szCs w:val="25"/>
        </w:rPr>
        <w:t xml:space="preserve">Pacific Power argues that </w:t>
      </w:r>
      <w:r w:rsidRPr="00942F86">
        <w:rPr>
          <w:rFonts w:eastAsia="Times"/>
          <w:sz w:val="25"/>
          <w:szCs w:val="25"/>
        </w:rPr>
        <w:t xml:space="preserve">Public Counsel’s proposed adjustment to Pension and </w:t>
      </w:r>
      <w:proofErr w:type="spellStart"/>
      <w:r w:rsidRPr="00942F86">
        <w:rPr>
          <w:rFonts w:eastAsia="Times"/>
          <w:sz w:val="25"/>
          <w:szCs w:val="25"/>
        </w:rPr>
        <w:t>OPEB</w:t>
      </w:r>
      <w:proofErr w:type="spellEnd"/>
      <w:r w:rsidRPr="00942F86">
        <w:rPr>
          <w:rFonts w:eastAsia="Times"/>
          <w:sz w:val="25"/>
          <w:szCs w:val="25"/>
        </w:rPr>
        <w:t xml:space="preserve"> expenses violates the matching principle by focusing on one element of labor expense while ignoring other elements of labor expense, such as increased health care costs, that may offset the reduction.  The Company’s rebuttal testimony, however, includes no showing that this is so.  Nor is there other evidence in the record that demonstrates the Company’s point.  Instead of presenting evidence, Pacific Power asks us to rely in this case on its argument that:</w:t>
      </w:r>
    </w:p>
    <w:p w14:paraId="185282DD" w14:textId="77777777" w:rsidR="00F25AF9" w:rsidRPr="00942F86" w:rsidRDefault="00F25AF9" w:rsidP="000455AC">
      <w:pPr>
        <w:spacing w:line="264" w:lineRule="auto"/>
        <w:rPr>
          <w:rFonts w:eastAsia="Times"/>
          <w:sz w:val="25"/>
          <w:szCs w:val="25"/>
        </w:rPr>
      </w:pPr>
    </w:p>
    <w:p w14:paraId="428FAE70" w14:textId="716ABF10" w:rsidR="00041793" w:rsidRPr="00942F86" w:rsidRDefault="00F25AF9" w:rsidP="000455AC">
      <w:pPr>
        <w:spacing w:line="264" w:lineRule="auto"/>
        <w:ind w:left="720" w:right="720"/>
        <w:rPr>
          <w:sz w:val="25"/>
          <w:szCs w:val="25"/>
        </w:rPr>
      </w:pPr>
      <w:r w:rsidRPr="00942F86">
        <w:rPr>
          <w:rFonts w:eastAsia="Times"/>
          <w:sz w:val="25"/>
          <w:szCs w:val="25"/>
        </w:rPr>
        <w:t xml:space="preserve">The Company’s wage and labor proposals in this case are consistent with its prior rate case filings, in which pension and </w:t>
      </w:r>
      <w:proofErr w:type="spellStart"/>
      <w:r w:rsidRPr="00942F86">
        <w:rPr>
          <w:rFonts w:eastAsia="Times"/>
          <w:sz w:val="25"/>
          <w:szCs w:val="25"/>
        </w:rPr>
        <w:t>OPEB</w:t>
      </w:r>
      <w:proofErr w:type="spellEnd"/>
      <w:r w:rsidRPr="00942F86">
        <w:rPr>
          <w:rFonts w:eastAsia="Times"/>
          <w:sz w:val="25"/>
          <w:szCs w:val="25"/>
        </w:rPr>
        <w:t xml:space="preserve"> expenses, as well as other labor-related expenses, are based on the historical test year.  In the 2010 case, the Commission approved the Company’s </w:t>
      </w:r>
      <w:r w:rsidRPr="00942F86">
        <w:rPr>
          <w:rFonts w:eastAsia="Times"/>
          <w:i/>
          <w:sz w:val="25"/>
          <w:szCs w:val="25"/>
        </w:rPr>
        <w:t>pro forma</w:t>
      </w:r>
      <w:r w:rsidRPr="00942F86">
        <w:rPr>
          <w:rFonts w:eastAsia="Times"/>
          <w:sz w:val="25"/>
          <w:szCs w:val="25"/>
        </w:rPr>
        <w:t xml:space="preserve"> wage adjustment while noting the Company “did not adjust changes in workforce levels, employee benefits and incentives, or pensions.”</w:t>
      </w:r>
      <w:r w:rsidRPr="00942F86">
        <w:rPr>
          <w:rFonts w:eastAsia="Times"/>
          <w:sz w:val="25"/>
          <w:szCs w:val="25"/>
          <w:vertAlign w:val="superscript"/>
        </w:rPr>
        <w:footnoteReference w:id="52"/>
      </w:r>
    </w:p>
    <w:p w14:paraId="42B9AF57" w14:textId="220D65B8" w:rsidR="00F25AF9" w:rsidRPr="00942F86" w:rsidRDefault="00E07556" w:rsidP="000455AC">
      <w:pPr>
        <w:spacing w:line="264" w:lineRule="auto"/>
        <w:rPr>
          <w:sz w:val="25"/>
          <w:szCs w:val="25"/>
        </w:rPr>
      </w:pPr>
      <w:r w:rsidRPr="00942F86">
        <w:rPr>
          <w:sz w:val="25"/>
          <w:szCs w:val="25"/>
        </w:rPr>
        <w:t xml:space="preserve"> </w:t>
      </w:r>
    </w:p>
    <w:p w14:paraId="5509E6A6" w14:textId="1409FC22" w:rsidR="00DB4809" w:rsidRPr="00942F86" w:rsidRDefault="00E95D70" w:rsidP="005E0DF4">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00E07556" w:rsidRPr="00942F86">
        <w:rPr>
          <w:sz w:val="25"/>
          <w:szCs w:val="25"/>
        </w:rPr>
        <w:t xml:space="preserve"> </w:t>
      </w:r>
      <w:r w:rsidR="003C0022" w:rsidRPr="00942F86">
        <w:rPr>
          <w:sz w:val="25"/>
          <w:szCs w:val="25"/>
        </w:rPr>
        <w:t xml:space="preserve">Pacific Power’s approach to adjusting wages, contrary to the Company’s claim, is not “consistent with Commission precedent.”  </w:t>
      </w:r>
      <w:r w:rsidR="000E3B63" w:rsidRPr="00942F86">
        <w:rPr>
          <w:sz w:val="25"/>
          <w:szCs w:val="25"/>
        </w:rPr>
        <w:t>We reject it here</w:t>
      </w:r>
      <w:r w:rsidR="006E0905" w:rsidRPr="00942F86">
        <w:rPr>
          <w:sz w:val="25"/>
          <w:szCs w:val="25"/>
        </w:rPr>
        <w:t>.</w:t>
      </w:r>
      <w:r w:rsidR="003C0022" w:rsidRPr="00942F86">
        <w:rPr>
          <w:sz w:val="25"/>
          <w:szCs w:val="25"/>
        </w:rPr>
        <w:t xml:space="preserve">  </w:t>
      </w:r>
    </w:p>
    <w:p w14:paraId="40E20F00" w14:textId="77777777" w:rsidR="00DB4809" w:rsidRPr="00942F86" w:rsidRDefault="00DB4809" w:rsidP="000455AC">
      <w:pPr>
        <w:spacing w:line="264" w:lineRule="auto"/>
        <w:rPr>
          <w:sz w:val="25"/>
          <w:szCs w:val="25"/>
        </w:rPr>
      </w:pPr>
    </w:p>
    <w:p w14:paraId="5414B2BA" w14:textId="5E1A4FBC" w:rsidR="002B1B9F" w:rsidRPr="00942F86" w:rsidRDefault="002B1B9F" w:rsidP="005E0DF4">
      <w:pPr>
        <w:numPr>
          <w:ilvl w:val="0"/>
          <w:numId w:val="1"/>
        </w:numPr>
        <w:tabs>
          <w:tab w:val="clear" w:pos="720"/>
          <w:tab w:val="num" w:pos="0"/>
        </w:tabs>
        <w:spacing w:line="264" w:lineRule="auto"/>
        <w:ind w:left="0"/>
        <w:rPr>
          <w:sz w:val="25"/>
          <w:szCs w:val="25"/>
        </w:rPr>
      </w:pPr>
      <w:r w:rsidRPr="00942F86">
        <w:rPr>
          <w:sz w:val="25"/>
          <w:szCs w:val="25"/>
        </w:rPr>
        <w:lastRenderedPageBreak/>
        <w:t xml:space="preserve">Addressing the issue of employment levels in Docket UE-100749, the Commission </w:t>
      </w:r>
      <w:r w:rsidR="000E3B63" w:rsidRPr="00942F86">
        <w:rPr>
          <w:sz w:val="25"/>
          <w:szCs w:val="25"/>
        </w:rPr>
        <w:t>said</w:t>
      </w:r>
      <w:r w:rsidRPr="00942F86">
        <w:rPr>
          <w:sz w:val="25"/>
          <w:szCs w:val="25"/>
        </w:rPr>
        <w:t>:</w:t>
      </w:r>
    </w:p>
    <w:p w14:paraId="39197624" w14:textId="77777777" w:rsidR="002B1B9F" w:rsidRPr="00942F86" w:rsidRDefault="002B1B9F" w:rsidP="000455AC">
      <w:pPr>
        <w:spacing w:line="264" w:lineRule="auto"/>
        <w:rPr>
          <w:sz w:val="25"/>
          <w:szCs w:val="25"/>
        </w:rPr>
      </w:pPr>
    </w:p>
    <w:p w14:paraId="20D6247D" w14:textId="77777777" w:rsidR="002B1B9F" w:rsidRPr="00942F86" w:rsidRDefault="002B1B9F" w:rsidP="000455AC">
      <w:pPr>
        <w:spacing w:line="264" w:lineRule="auto"/>
        <w:ind w:left="720" w:right="720"/>
        <w:rPr>
          <w:sz w:val="25"/>
          <w:szCs w:val="25"/>
        </w:rPr>
      </w:pPr>
      <w:r w:rsidRPr="00942F86">
        <w:rPr>
          <w:sz w:val="25"/>
          <w:szCs w:val="25"/>
        </w:rPr>
        <w:t>We do not lightly reject the Joint Parties argument that all wage increases in 2010 should be eliminated because workforce reductions can offset any increases. . . . However, there are two reasons why, in this case, we cannot make the requested adjustments.</w:t>
      </w:r>
    </w:p>
    <w:p w14:paraId="524287FB" w14:textId="77777777" w:rsidR="002B1B9F" w:rsidRPr="00942F86" w:rsidRDefault="002B1B9F" w:rsidP="000455AC">
      <w:pPr>
        <w:spacing w:line="264" w:lineRule="auto"/>
        <w:ind w:left="720" w:right="720"/>
        <w:rPr>
          <w:sz w:val="25"/>
          <w:szCs w:val="25"/>
        </w:rPr>
      </w:pPr>
    </w:p>
    <w:p w14:paraId="5D678757" w14:textId="77777777" w:rsidR="002B1B9F" w:rsidRPr="00942F86" w:rsidRDefault="002B1B9F" w:rsidP="000455AC">
      <w:pPr>
        <w:spacing w:line="264" w:lineRule="auto"/>
        <w:ind w:left="720" w:right="720"/>
        <w:rPr>
          <w:sz w:val="25"/>
          <w:szCs w:val="25"/>
        </w:rPr>
      </w:pPr>
      <w:r w:rsidRPr="00942F86">
        <w:rPr>
          <w:sz w:val="25"/>
          <w:szCs w:val="25"/>
        </w:rPr>
        <w:t>First, although it appears that workforce levels are lower, there is insufficient evidence in this record to quantify a potential offset to the revenue requirement.  No witness of the Joint Parties offered an adjustment for us to evaluate or for the other parties to critique.  Accordingly, we would be creating an adjustment out of an imprecise record on this point, a task we are reluctant in this instance to undertake.</w:t>
      </w:r>
    </w:p>
    <w:p w14:paraId="1DEC8D3D" w14:textId="2F9E2C55" w:rsidR="002B1B9F" w:rsidRPr="00942F86" w:rsidRDefault="002B1B9F" w:rsidP="000455AC">
      <w:pPr>
        <w:spacing w:line="264" w:lineRule="auto"/>
        <w:rPr>
          <w:sz w:val="25"/>
          <w:szCs w:val="25"/>
        </w:rPr>
      </w:pPr>
    </w:p>
    <w:p w14:paraId="17AFFA77" w14:textId="45381416" w:rsidR="00526E67" w:rsidRPr="00942F86" w:rsidRDefault="002B1B9F" w:rsidP="000455AC">
      <w:pPr>
        <w:spacing w:line="264" w:lineRule="auto"/>
        <w:ind w:left="720" w:right="720"/>
        <w:rPr>
          <w:sz w:val="25"/>
          <w:szCs w:val="25"/>
        </w:rPr>
      </w:pPr>
      <w:r w:rsidRPr="00942F86">
        <w:rPr>
          <w:sz w:val="25"/>
          <w:szCs w:val="25"/>
        </w:rPr>
        <w:t>Second, even if the proposed adjustment could be precisely quantified, the Joint Parties do not demonstrate that these are permanent work force reductions.  The Company persuasively countered that the reduction in workforce levels is temporary and the slight downward trend is due to a hiring lag.</w:t>
      </w:r>
      <w:r w:rsidR="00E63A5A" w:rsidRPr="00942F86">
        <w:rPr>
          <w:rStyle w:val="FootnoteReference"/>
          <w:sz w:val="25"/>
          <w:szCs w:val="25"/>
        </w:rPr>
        <w:footnoteReference w:id="53"/>
      </w:r>
    </w:p>
    <w:p w14:paraId="05D4EEC3" w14:textId="77777777" w:rsidR="002B1B9F" w:rsidRPr="00942F86" w:rsidRDefault="002B1B9F" w:rsidP="000455AC">
      <w:pPr>
        <w:spacing w:line="264" w:lineRule="auto"/>
        <w:rPr>
          <w:sz w:val="25"/>
          <w:szCs w:val="25"/>
        </w:rPr>
      </w:pPr>
    </w:p>
    <w:p w14:paraId="0389A6E8" w14:textId="6824CB44" w:rsidR="00234074" w:rsidRPr="00942F86" w:rsidRDefault="002B1B9F" w:rsidP="000455AC">
      <w:pPr>
        <w:spacing w:line="264" w:lineRule="auto"/>
        <w:rPr>
          <w:sz w:val="25"/>
          <w:szCs w:val="25"/>
        </w:rPr>
      </w:pPr>
      <w:r w:rsidRPr="00942F86">
        <w:rPr>
          <w:sz w:val="25"/>
          <w:szCs w:val="25"/>
        </w:rPr>
        <w:t xml:space="preserve">Neither of these deficiencies is present in this case.  Ms. Ramas quantifies the impact of the test period and post test period reductions in FTEs.  </w:t>
      </w:r>
      <w:r w:rsidR="002228DE" w:rsidRPr="00942F86">
        <w:rPr>
          <w:sz w:val="25"/>
          <w:szCs w:val="25"/>
        </w:rPr>
        <w:t>The record demonstrates that the reductions in workforce reflect a continuing trend over several years</w:t>
      </w:r>
      <w:r w:rsidR="00234074" w:rsidRPr="00942F86">
        <w:rPr>
          <w:sz w:val="25"/>
          <w:szCs w:val="25"/>
        </w:rPr>
        <w:t>.  Indeed, t</w:t>
      </w:r>
      <w:r w:rsidRPr="00942F86">
        <w:rPr>
          <w:sz w:val="25"/>
          <w:szCs w:val="25"/>
        </w:rPr>
        <w:t xml:space="preserve">he </w:t>
      </w:r>
      <w:r w:rsidR="007A5E45" w:rsidRPr="00942F86">
        <w:rPr>
          <w:sz w:val="25"/>
          <w:szCs w:val="25"/>
        </w:rPr>
        <w:t xml:space="preserve">benefit </w:t>
      </w:r>
      <w:r w:rsidR="0007111B" w:rsidRPr="00942F86">
        <w:rPr>
          <w:sz w:val="25"/>
          <w:szCs w:val="25"/>
        </w:rPr>
        <w:t xml:space="preserve">of </w:t>
      </w:r>
      <w:r w:rsidR="007A5E45" w:rsidRPr="00942F86">
        <w:rPr>
          <w:sz w:val="25"/>
          <w:szCs w:val="25"/>
        </w:rPr>
        <w:t>hindsight</w:t>
      </w:r>
      <w:r w:rsidR="0007111B" w:rsidRPr="00942F86">
        <w:rPr>
          <w:sz w:val="25"/>
          <w:szCs w:val="25"/>
        </w:rPr>
        <w:t>,</w:t>
      </w:r>
      <w:r w:rsidR="00EA0810" w:rsidRPr="00942F86">
        <w:rPr>
          <w:sz w:val="25"/>
          <w:szCs w:val="25"/>
        </w:rPr>
        <w:t xml:space="preserve"> </w:t>
      </w:r>
      <w:r w:rsidR="0007111B" w:rsidRPr="00942F86">
        <w:rPr>
          <w:sz w:val="25"/>
          <w:szCs w:val="25"/>
        </w:rPr>
        <w:t>coupled with evidence</w:t>
      </w:r>
      <w:r w:rsidRPr="00942F86">
        <w:rPr>
          <w:sz w:val="25"/>
          <w:szCs w:val="25"/>
        </w:rPr>
        <w:t xml:space="preserve"> </w:t>
      </w:r>
      <w:r w:rsidR="007A5E45" w:rsidRPr="00942F86">
        <w:rPr>
          <w:sz w:val="25"/>
          <w:szCs w:val="25"/>
        </w:rPr>
        <w:t>in this case</w:t>
      </w:r>
      <w:r w:rsidR="0007111B" w:rsidRPr="00942F86">
        <w:rPr>
          <w:sz w:val="25"/>
          <w:szCs w:val="25"/>
        </w:rPr>
        <w:t>,</w:t>
      </w:r>
      <w:r w:rsidR="007A5E45" w:rsidRPr="00942F86">
        <w:rPr>
          <w:sz w:val="25"/>
          <w:szCs w:val="25"/>
        </w:rPr>
        <w:t xml:space="preserve"> </w:t>
      </w:r>
      <w:r w:rsidRPr="00942F86">
        <w:rPr>
          <w:sz w:val="25"/>
          <w:szCs w:val="25"/>
        </w:rPr>
        <w:t>shows</w:t>
      </w:r>
      <w:r w:rsidR="007A5E45" w:rsidRPr="00942F86">
        <w:rPr>
          <w:sz w:val="25"/>
          <w:szCs w:val="25"/>
        </w:rPr>
        <w:t xml:space="preserve"> </w:t>
      </w:r>
      <w:r w:rsidRPr="00942F86">
        <w:rPr>
          <w:sz w:val="25"/>
          <w:szCs w:val="25"/>
        </w:rPr>
        <w:t xml:space="preserve">that Pacific Power’s assertion in </w:t>
      </w:r>
      <w:r w:rsidR="00EA0810" w:rsidRPr="00942F86">
        <w:rPr>
          <w:sz w:val="25"/>
          <w:szCs w:val="25"/>
        </w:rPr>
        <w:t xml:space="preserve">2010 </w:t>
      </w:r>
      <w:r w:rsidRPr="00942F86">
        <w:rPr>
          <w:sz w:val="25"/>
          <w:szCs w:val="25"/>
        </w:rPr>
        <w:t>that declining FTEs represented nothing more than a temporary condition</w:t>
      </w:r>
      <w:r w:rsidR="000E3B63" w:rsidRPr="00942F86">
        <w:rPr>
          <w:sz w:val="25"/>
          <w:szCs w:val="25"/>
        </w:rPr>
        <w:t xml:space="preserve"> proved not to be accurate.</w:t>
      </w:r>
      <w:r w:rsidR="00E63A5A" w:rsidRPr="00942F86">
        <w:rPr>
          <w:sz w:val="25"/>
          <w:szCs w:val="25"/>
        </w:rPr>
        <w:t xml:space="preserve">  </w:t>
      </w:r>
    </w:p>
    <w:p w14:paraId="4976C0D8" w14:textId="77777777" w:rsidR="00234074" w:rsidRPr="00942F86" w:rsidRDefault="00234074" w:rsidP="000455AC">
      <w:pPr>
        <w:spacing w:line="264" w:lineRule="auto"/>
        <w:rPr>
          <w:sz w:val="25"/>
          <w:szCs w:val="25"/>
        </w:rPr>
      </w:pPr>
    </w:p>
    <w:p w14:paraId="10F9A8D0" w14:textId="443FB2CD" w:rsidR="002B1B9F" w:rsidRPr="00942F86" w:rsidRDefault="00E63A5A" w:rsidP="005E0DF4">
      <w:pPr>
        <w:numPr>
          <w:ilvl w:val="0"/>
          <w:numId w:val="1"/>
        </w:numPr>
        <w:tabs>
          <w:tab w:val="clear" w:pos="720"/>
          <w:tab w:val="num" w:pos="0"/>
        </w:tabs>
        <w:spacing w:line="264" w:lineRule="auto"/>
        <w:ind w:left="0"/>
        <w:rPr>
          <w:sz w:val="25"/>
          <w:szCs w:val="25"/>
        </w:rPr>
      </w:pPr>
      <w:r w:rsidRPr="00942F86">
        <w:rPr>
          <w:sz w:val="25"/>
          <w:szCs w:val="25"/>
        </w:rPr>
        <w:t>In 2010, the Company’s employee count average during the test year</w:t>
      </w:r>
      <w:r w:rsidR="00EA0810" w:rsidRPr="00942F86">
        <w:rPr>
          <w:sz w:val="25"/>
          <w:szCs w:val="25"/>
        </w:rPr>
        <w:t xml:space="preserve"> </w:t>
      </w:r>
      <w:r w:rsidR="000E3B63" w:rsidRPr="00942F86">
        <w:rPr>
          <w:sz w:val="25"/>
          <w:szCs w:val="25"/>
        </w:rPr>
        <w:t xml:space="preserve">ending </w:t>
      </w:r>
      <w:r w:rsidR="00EA0810" w:rsidRPr="00942F86">
        <w:rPr>
          <w:sz w:val="25"/>
          <w:szCs w:val="25"/>
        </w:rPr>
        <w:t>December 31, 2009</w:t>
      </w:r>
      <w:r w:rsidRPr="00942F86">
        <w:rPr>
          <w:sz w:val="25"/>
          <w:szCs w:val="25"/>
        </w:rPr>
        <w:t>, was 5,651.</w:t>
      </w:r>
      <w:r w:rsidRPr="00942F86">
        <w:rPr>
          <w:rStyle w:val="FootnoteReference"/>
          <w:sz w:val="25"/>
          <w:szCs w:val="25"/>
        </w:rPr>
        <w:footnoteReference w:id="54"/>
      </w:r>
      <w:r w:rsidRPr="00942F86">
        <w:rPr>
          <w:sz w:val="25"/>
          <w:szCs w:val="25"/>
        </w:rPr>
        <w:t xml:space="preserve">  The actual count as of December</w:t>
      </w:r>
      <w:r w:rsidR="00EA0810" w:rsidRPr="00942F86">
        <w:rPr>
          <w:sz w:val="25"/>
          <w:szCs w:val="25"/>
        </w:rPr>
        <w:t xml:space="preserve"> 31,</w:t>
      </w:r>
      <w:r w:rsidRPr="00942F86">
        <w:rPr>
          <w:sz w:val="25"/>
          <w:szCs w:val="25"/>
        </w:rPr>
        <w:t xml:space="preserve"> 2010</w:t>
      </w:r>
      <w:r w:rsidR="00EA0810" w:rsidRPr="00942F86">
        <w:rPr>
          <w:sz w:val="25"/>
          <w:szCs w:val="25"/>
        </w:rPr>
        <w:t>,</w:t>
      </w:r>
      <w:r w:rsidRPr="00942F86">
        <w:rPr>
          <w:sz w:val="25"/>
          <w:szCs w:val="25"/>
        </w:rPr>
        <w:t xml:space="preserve"> apparently was 5,586.</w:t>
      </w:r>
      <w:r w:rsidRPr="00942F86">
        <w:rPr>
          <w:rStyle w:val="FootnoteReference"/>
          <w:sz w:val="25"/>
          <w:szCs w:val="25"/>
        </w:rPr>
        <w:footnoteReference w:id="55"/>
      </w:r>
      <w:r w:rsidRPr="00942F86">
        <w:rPr>
          <w:sz w:val="25"/>
          <w:szCs w:val="25"/>
        </w:rPr>
        <w:t xml:space="preserve">  By the time of this case, these figures stood at 5,375 for the average test year FTE count, and 5,308 as of December 31, 2014.</w:t>
      </w:r>
      <w:r w:rsidR="007A5E45" w:rsidRPr="00942F86">
        <w:rPr>
          <w:sz w:val="25"/>
          <w:szCs w:val="25"/>
        </w:rPr>
        <w:t xml:space="preserve">  Thus, </w:t>
      </w:r>
      <w:r w:rsidR="000E3B63" w:rsidRPr="00942F86">
        <w:rPr>
          <w:sz w:val="25"/>
          <w:szCs w:val="25"/>
        </w:rPr>
        <w:t xml:space="preserve">Pacific </w:t>
      </w:r>
      <w:r w:rsidR="000E3B63" w:rsidRPr="00942F86">
        <w:rPr>
          <w:sz w:val="25"/>
          <w:szCs w:val="25"/>
        </w:rPr>
        <w:lastRenderedPageBreak/>
        <w:t xml:space="preserve">Power </w:t>
      </w:r>
      <w:r w:rsidR="007A5E45" w:rsidRPr="00942F86">
        <w:rPr>
          <w:sz w:val="25"/>
          <w:szCs w:val="25"/>
        </w:rPr>
        <w:t>today has nearly 300 fewer employees than it did in 2009 and 2010, roughly a 5 percent reduction in the Company’s workforce</w:t>
      </w:r>
      <w:r w:rsidR="0007111B" w:rsidRPr="00942F86">
        <w:rPr>
          <w:sz w:val="25"/>
          <w:szCs w:val="25"/>
        </w:rPr>
        <w:t xml:space="preserve"> over a period of </w:t>
      </w:r>
      <w:r w:rsidR="000E3B63" w:rsidRPr="00942F86">
        <w:rPr>
          <w:sz w:val="25"/>
          <w:szCs w:val="25"/>
        </w:rPr>
        <w:t xml:space="preserve">six </w:t>
      </w:r>
      <w:r w:rsidR="0007111B" w:rsidRPr="00942F86">
        <w:rPr>
          <w:sz w:val="25"/>
          <w:szCs w:val="25"/>
        </w:rPr>
        <w:t>years</w:t>
      </w:r>
      <w:r w:rsidR="007A5E45" w:rsidRPr="00942F86">
        <w:rPr>
          <w:sz w:val="25"/>
          <w:szCs w:val="25"/>
        </w:rPr>
        <w:t>.</w:t>
      </w:r>
      <w:r w:rsidR="0007111B" w:rsidRPr="00942F86">
        <w:rPr>
          <w:sz w:val="25"/>
          <w:szCs w:val="25"/>
        </w:rPr>
        <w:t xml:space="preserve">  Evidence in this case shows</w:t>
      </w:r>
      <w:r w:rsidR="00E4688C" w:rsidRPr="00942F86">
        <w:rPr>
          <w:sz w:val="25"/>
          <w:szCs w:val="25"/>
        </w:rPr>
        <w:t xml:space="preserve"> definitively</w:t>
      </w:r>
      <w:r w:rsidR="0007111B" w:rsidRPr="00942F86">
        <w:rPr>
          <w:sz w:val="25"/>
          <w:szCs w:val="25"/>
        </w:rPr>
        <w:t xml:space="preserve"> that this long-term trend continued during the </w:t>
      </w:r>
      <w:r w:rsidR="00EA0810" w:rsidRPr="00942F86">
        <w:rPr>
          <w:sz w:val="25"/>
          <w:szCs w:val="25"/>
        </w:rPr>
        <w:t xml:space="preserve">2013 </w:t>
      </w:r>
      <w:r w:rsidR="0007111B" w:rsidRPr="00942F86">
        <w:rPr>
          <w:sz w:val="25"/>
          <w:szCs w:val="25"/>
        </w:rPr>
        <w:t>test year and during the pendency of this case through at least June 2014.</w:t>
      </w:r>
      <w:r w:rsidR="0007111B" w:rsidRPr="00942F86">
        <w:rPr>
          <w:rStyle w:val="FootnoteReference"/>
          <w:sz w:val="25"/>
          <w:szCs w:val="25"/>
        </w:rPr>
        <w:footnoteReference w:id="56"/>
      </w:r>
      <w:r w:rsidR="0007111B" w:rsidRPr="00942F86">
        <w:rPr>
          <w:sz w:val="25"/>
          <w:szCs w:val="25"/>
        </w:rPr>
        <w:t xml:space="preserve">  </w:t>
      </w:r>
      <w:r w:rsidR="000E3B63" w:rsidRPr="00942F86">
        <w:rPr>
          <w:sz w:val="25"/>
          <w:szCs w:val="25"/>
        </w:rPr>
        <w:t>Even so</w:t>
      </w:r>
      <w:r w:rsidR="0007111B" w:rsidRPr="00942F86">
        <w:rPr>
          <w:sz w:val="25"/>
          <w:szCs w:val="25"/>
        </w:rPr>
        <w:t>, Pacific Power argues we should adjust test year wages</w:t>
      </w:r>
      <w:r w:rsidRPr="00942F86">
        <w:rPr>
          <w:sz w:val="25"/>
          <w:szCs w:val="25"/>
        </w:rPr>
        <w:t xml:space="preserve"> </w:t>
      </w:r>
      <w:r w:rsidR="0007111B" w:rsidRPr="00942F86">
        <w:rPr>
          <w:sz w:val="25"/>
          <w:szCs w:val="25"/>
        </w:rPr>
        <w:t xml:space="preserve">using forecasted wage increases that extend out </w:t>
      </w:r>
      <w:r w:rsidR="00EA0810" w:rsidRPr="00942F86">
        <w:rPr>
          <w:sz w:val="25"/>
          <w:szCs w:val="25"/>
        </w:rPr>
        <w:t xml:space="preserve">to March 2016, </w:t>
      </w:r>
      <w:r w:rsidR="0007111B" w:rsidRPr="00942F86">
        <w:rPr>
          <w:sz w:val="25"/>
          <w:szCs w:val="25"/>
        </w:rPr>
        <w:t>27 months beyond the</w:t>
      </w:r>
      <w:r w:rsidR="00EA0810" w:rsidRPr="00942F86">
        <w:rPr>
          <w:sz w:val="25"/>
          <w:szCs w:val="25"/>
        </w:rPr>
        <w:t xml:space="preserve"> end of the</w:t>
      </w:r>
      <w:r w:rsidR="0007111B" w:rsidRPr="00942F86">
        <w:rPr>
          <w:sz w:val="25"/>
          <w:szCs w:val="25"/>
        </w:rPr>
        <w:t xml:space="preserve"> test year</w:t>
      </w:r>
      <w:r w:rsidR="00EA0810" w:rsidRPr="00942F86">
        <w:rPr>
          <w:sz w:val="25"/>
          <w:szCs w:val="25"/>
        </w:rPr>
        <w:t>,</w:t>
      </w:r>
      <w:r w:rsidR="0007111B" w:rsidRPr="00942F86">
        <w:rPr>
          <w:sz w:val="25"/>
          <w:szCs w:val="25"/>
        </w:rPr>
        <w:t xml:space="preserve"> without making any adjustment for employee counts.</w:t>
      </w:r>
    </w:p>
    <w:p w14:paraId="4357396E" w14:textId="77777777" w:rsidR="007A5E45" w:rsidRPr="00942F86" w:rsidRDefault="007A5E45" w:rsidP="000455AC">
      <w:pPr>
        <w:spacing w:line="264" w:lineRule="auto"/>
        <w:rPr>
          <w:sz w:val="25"/>
          <w:szCs w:val="25"/>
        </w:rPr>
      </w:pPr>
    </w:p>
    <w:p w14:paraId="044317EB" w14:textId="4D33366A" w:rsidR="007A5E45" w:rsidRPr="00942F86" w:rsidRDefault="006670E0" w:rsidP="005E0DF4">
      <w:pPr>
        <w:numPr>
          <w:ilvl w:val="0"/>
          <w:numId w:val="1"/>
        </w:numPr>
        <w:tabs>
          <w:tab w:val="clear" w:pos="720"/>
          <w:tab w:val="num" w:pos="0"/>
        </w:tabs>
        <w:spacing w:line="264" w:lineRule="auto"/>
        <w:ind w:left="0"/>
        <w:rPr>
          <w:sz w:val="25"/>
          <w:szCs w:val="25"/>
        </w:rPr>
      </w:pPr>
      <w:r w:rsidRPr="00942F86">
        <w:rPr>
          <w:sz w:val="25"/>
          <w:szCs w:val="25"/>
        </w:rPr>
        <w:t xml:space="preserve">The Company’s argument that its budgeted FTEs as of fall 2014 closely approximate its test-year average FTEs does not justify using the test year average as Pacific Power proposes.  As Pacific Power is fully aware, Washington uses </w:t>
      </w:r>
      <w:r w:rsidR="000E3B63" w:rsidRPr="00942F86">
        <w:rPr>
          <w:sz w:val="25"/>
          <w:szCs w:val="25"/>
        </w:rPr>
        <w:t>a hybrid</w:t>
      </w:r>
      <w:r w:rsidRPr="00942F86">
        <w:rPr>
          <w:sz w:val="25"/>
          <w:szCs w:val="25"/>
        </w:rPr>
        <w:t xml:space="preserve"> test year approach that allows </w:t>
      </w:r>
      <w:r w:rsidRPr="00942F86">
        <w:rPr>
          <w:i/>
          <w:sz w:val="25"/>
          <w:szCs w:val="25"/>
        </w:rPr>
        <w:t>pro forma</w:t>
      </w:r>
      <w:r w:rsidRPr="00942F86">
        <w:rPr>
          <w:sz w:val="25"/>
          <w:szCs w:val="25"/>
        </w:rPr>
        <w:t xml:space="preserve"> adjustments only for known and measurable changes</w:t>
      </w:r>
      <w:r w:rsidR="000E3B63" w:rsidRPr="00942F86">
        <w:rPr>
          <w:sz w:val="25"/>
          <w:szCs w:val="25"/>
        </w:rPr>
        <w:t xml:space="preserve"> –not budgeted or projected changes– that </w:t>
      </w:r>
      <w:r w:rsidRPr="00942F86">
        <w:rPr>
          <w:sz w:val="25"/>
          <w:szCs w:val="25"/>
        </w:rPr>
        <w:t xml:space="preserve">occur, generally within a </w:t>
      </w:r>
      <w:r w:rsidR="00C209DD" w:rsidRPr="00942F86">
        <w:rPr>
          <w:sz w:val="25"/>
          <w:szCs w:val="25"/>
        </w:rPr>
        <w:t>reasonable</w:t>
      </w:r>
      <w:r w:rsidRPr="00942F86">
        <w:rPr>
          <w:sz w:val="25"/>
          <w:szCs w:val="25"/>
        </w:rPr>
        <w:t xml:space="preserve"> time after the end of the test year and, with </w:t>
      </w:r>
      <w:r w:rsidR="00C209DD" w:rsidRPr="00942F86">
        <w:rPr>
          <w:sz w:val="25"/>
          <w:szCs w:val="25"/>
        </w:rPr>
        <w:t>some</w:t>
      </w:r>
      <w:r w:rsidRPr="00942F86">
        <w:rPr>
          <w:sz w:val="25"/>
          <w:szCs w:val="25"/>
        </w:rPr>
        <w:t xml:space="preserve"> exceptions,</w:t>
      </w:r>
      <w:r w:rsidR="00CE66EE" w:rsidRPr="00942F86">
        <w:rPr>
          <w:rStyle w:val="FootnoteReference"/>
          <w:sz w:val="25"/>
          <w:szCs w:val="25"/>
        </w:rPr>
        <w:footnoteReference w:id="57"/>
      </w:r>
      <w:r w:rsidRPr="00942F86">
        <w:rPr>
          <w:sz w:val="25"/>
          <w:szCs w:val="25"/>
        </w:rPr>
        <w:t xml:space="preserve"> almost never more than 12 months after the end of the test year.</w:t>
      </w:r>
      <w:r w:rsidRPr="00942F86">
        <w:rPr>
          <w:rStyle w:val="FootnoteReference"/>
          <w:sz w:val="25"/>
          <w:szCs w:val="25"/>
        </w:rPr>
        <w:footnoteReference w:id="58"/>
      </w:r>
      <w:r w:rsidRPr="00942F86">
        <w:rPr>
          <w:sz w:val="25"/>
          <w:szCs w:val="25"/>
        </w:rPr>
        <w:t xml:space="preserve">  </w:t>
      </w:r>
    </w:p>
    <w:p w14:paraId="3F3B2E65" w14:textId="77777777" w:rsidR="00C26C8E" w:rsidRPr="00942F86" w:rsidRDefault="00C26C8E" w:rsidP="000455AC">
      <w:pPr>
        <w:spacing w:line="264" w:lineRule="auto"/>
        <w:rPr>
          <w:sz w:val="25"/>
          <w:szCs w:val="25"/>
        </w:rPr>
      </w:pPr>
    </w:p>
    <w:p w14:paraId="46112C27" w14:textId="011438FA" w:rsidR="00A1415F" w:rsidRPr="00942F86" w:rsidRDefault="00C26C8E" w:rsidP="005E0DF4">
      <w:pPr>
        <w:numPr>
          <w:ilvl w:val="0"/>
          <w:numId w:val="1"/>
        </w:numPr>
        <w:tabs>
          <w:tab w:val="clear" w:pos="720"/>
          <w:tab w:val="num" w:pos="0"/>
        </w:tabs>
        <w:spacing w:line="264" w:lineRule="auto"/>
        <w:ind w:left="0"/>
        <w:rPr>
          <w:sz w:val="25"/>
          <w:szCs w:val="25"/>
        </w:rPr>
      </w:pPr>
      <w:r w:rsidRPr="00942F86">
        <w:rPr>
          <w:sz w:val="25"/>
          <w:szCs w:val="25"/>
        </w:rPr>
        <w:t xml:space="preserve">On the subjects of Pension Expense and </w:t>
      </w:r>
      <w:proofErr w:type="spellStart"/>
      <w:r w:rsidRPr="00942F86">
        <w:rPr>
          <w:sz w:val="25"/>
          <w:szCs w:val="25"/>
        </w:rPr>
        <w:t>OPEB</w:t>
      </w:r>
      <w:proofErr w:type="spellEnd"/>
      <w:r w:rsidRPr="00942F86">
        <w:rPr>
          <w:sz w:val="25"/>
          <w:szCs w:val="25"/>
        </w:rPr>
        <w:t>, we begin with the observation that each case must be decided exclusively on its own record.</w:t>
      </w:r>
      <w:r w:rsidRPr="00942F86">
        <w:rPr>
          <w:rStyle w:val="FootnoteReference"/>
          <w:sz w:val="25"/>
          <w:szCs w:val="25"/>
        </w:rPr>
        <w:footnoteReference w:id="59"/>
      </w:r>
      <w:r w:rsidRPr="00942F86">
        <w:rPr>
          <w:sz w:val="25"/>
          <w:szCs w:val="25"/>
        </w:rPr>
        <w:t xml:space="preserve">  It is not at all clear from the order in Docket UE-100749 that the Commission’s determination of these issues in the Company’s favor was firmly grounded in the record of that proceeding.  Indeed, we cannot discern today exactly </w:t>
      </w:r>
      <w:r w:rsidR="00234074" w:rsidRPr="00942F86">
        <w:rPr>
          <w:sz w:val="25"/>
          <w:szCs w:val="25"/>
        </w:rPr>
        <w:t xml:space="preserve">upon </w:t>
      </w:r>
      <w:r w:rsidRPr="00942F86">
        <w:rPr>
          <w:sz w:val="25"/>
          <w:szCs w:val="25"/>
        </w:rPr>
        <w:t xml:space="preserve">what basis the Commission decided the matter as it did.  This, however, is of no consequence to us in this proceeding.  What </w:t>
      </w:r>
      <w:r w:rsidRPr="00942F86">
        <w:rPr>
          <w:sz w:val="25"/>
          <w:szCs w:val="25"/>
        </w:rPr>
        <w:lastRenderedPageBreak/>
        <w:t>matters is that Pacific Power offers nothing in the way of evide</w:t>
      </w:r>
      <w:r w:rsidR="00674DF2" w:rsidRPr="00942F86">
        <w:rPr>
          <w:sz w:val="25"/>
          <w:szCs w:val="25"/>
        </w:rPr>
        <w:t>ntiary support for its position in this case.  Moreover, the Company’s</w:t>
      </w:r>
      <w:r w:rsidRPr="00942F86">
        <w:rPr>
          <w:sz w:val="25"/>
          <w:szCs w:val="25"/>
        </w:rPr>
        <w:t xml:space="preserve"> arguments are unpersuasive considering that the Company proposes </w:t>
      </w:r>
      <w:r w:rsidRPr="00942F86">
        <w:rPr>
          <w:i/>
          <w:sz w:val="25"/>
          <w:szCs w:val="25"/>
        </w:rPr>
        <w:t>pro forma</w:t>
      </w:r>
      <w:r w:rsidRPr="00942F86">
        <w:rPr>
          <w:sz w:val="25"/>
          <w:szCs w:val="25"/>
        </w:rPr>
        <w:t xml:space="preserve"> adjustments far beyond the end of the test year for the components of its labor costs that result in a higher revenue requirement, but argues against recognizing any </w:t>
      </w:r>
      <w:r w:rsidR="006F7121" w:rsidRPr="00942F86">
        <w:rPr>
          <w:sz w:val="25"/>
          <w:szCs w:val="25"/>
        </w:rPr>
        <w:t xml:space="preserve">known and measurable </w:t>
      </w:r>
      <w:r w:rsidRPr="00942F86">
        <w:rPr>
          <w:sz w:val="25"/>
          <w:szCs w:val="25"/>
        </w:rPr>
        <w:t xml:space="preserve">offsets for the corresponding post-test year period.  </w:t>
      </w:r>
    </w:p>
    <w:p w14:paraId="3CA2CFBE" w14:textId="77777777" w:rsidR="00A1415F" w:rsidRPr="00942F86" w:rsidRDefault="00A1415F" w:rsidP="000455AC">
      <w:pPr>
        <w:spacing w:line="264" w:lineRule="auto"/>
        <w:rPr>
          <w:sz w:val="25"/>
          <w:szCs w:val="25"/>
        </w:rPr>
      </w:pPr>
    </w:p>
    <w:p w14:paraId="5C6FA557" w14:textId="74F53154" w:rsidR="00C26C8E" w:rsidRPr="00942F86" w:rsidRDefault="00A1415F" w:rsidP="005E0DF4">
      <w:pPr>
        <w:numPr>
          <w:ilvl w:val="0"/>
          <w:numId w:val="1"/>
        </w:numPr>
        <w:tabs>
          <w:tab w:val="clear" w:pos="720"/>
          <w:tab w:val="num" w:pos="0"/>
        </w:tabs>
        <w:spacing w:line="264" w:lineRule="auto"/>
        <w:ind w:left="0"/>
        <w:rPr>
          <w:sz w:val="25"/>
          <w:szCs w:val="25"/>
        </w:rPr>
      </w:pPr>
      <w:r w:rsidRPr="00942F86">
        <w:rPr>
          <w:sz w:val="25"/>
          <w:szCs w:val="25"/>
        </w:rPr>
        <w:t>We accordingly accept Public Counsel’s recommendation, based on Ms. Ramas’ analysis, to reduce Pacific Power’s pension expense by $16.8 million on a Company basis.  According to Ms. Ramas, after removing the portion allocated to capital and non-utility, the impact is a reduction of $11.7 million on a Company basis, and $761,547 on a Washington-jurisdictional basis.</w:t>
      </w:r>
      <w:r w:rsidRPr="00942F86">
        <w:rPr>
          <w:rStyle w:val="FootnoteReference"/>
          <w:sz w:val="25"/>
          <w:szCs w:val="25"/>
        </w:rPr>
        <w:footnoteReference w:id="60"/>
      </w:r>
      <w:r w:rsidRPr="00942F86">
        <w:rPr>
          <w:sz w:val="25"/>
          <w:szCs w:val="25"/>
        </w:rPr>
        <w:t xml:space="preserve">  In addition, we accept Public Counsel’s recommendation that </w:t>
      </w:r>
      <w:proofErr w:type="spellStart"/>
      <w:r w:rsidRPr="00942F86">
        <w:rPr>
          <w:sz w:val="25"/>
          <w:szCs w:val="25"/>
        </w:rPr>
        <w:t>OPEB</w:t>
      </w:r>
      <w:proofErr w:type="spellEnd"/>
      <w:r w:rsidRPr="00942F86">
        <w:rPr>
          <w:sz w:val="25"/>
          <w:szCs w:val="25"/>
        </w:rPr>
        <w:t xml:space="preserve"> expense should be reduced by $2.21 million.  After removal of amounts allocated to capital and non-utility, the reduction is $1.5 million on a total Company basis, and $100,686 </w:t>
      </w:r>
      <w:r w:rsidR="000E3B63" w:rsidRPr="00942F86">
        <w:rPr>
          <w:sz w:val="25"/>
          <w:szCs w:val="25"/>
        </w:rPr>
        <w:t>for</w:t>
      </w:r>
      <w:r w:rsidRPr="00942F86">
        <w:rPr>
          <w:sz w:val="25"/>
          <w:szCs w:val="25"/>
        </w:rPr>
        <w:t xml:space="preserve"> Washington.</w:t>
      </w:r>
      <w:r w:rsidRPr="00942F86">
        <w:rPr>
          <w:sz w:val="25"/>
          <w:szCs w:val="25"/>
          <w:vertAlign w:val="superscript"/>
        </w:rPr>
        <w:footnoteReference w:id="61"/>
      </w:r>
    </w:p>
    <w:p w14:paraId="55285EFA" w14:textId="77777777" w:rsidR="00E95D70" w:rsidRPr="00942F86" w:rsidRDefault="00E95D70" w:rsidP="000455AC">
      <w:pPr>
        <w:spacing w:line="264" w:lineRule="auto"/>
        <w:rPr>
          <w:sz w:val="25"/>
          <w:szCs w:val="25"/>
        </w:rPr>
      </w:pPr>
    </w:p>
    <w:p w14:paraId="08D07C0F" w14:textId="77777777" w:rsidR="00BD04F2" w:rsidRPr="00942F86" w:rsidRDefault="00BD04F2" w:rsidP="00883A54">
      <w:pPr>
        <w:pStyle w:val="Heading4"/>
      </w:pPr>
      <w:bookmarkStart w:id="16" w:name="_Toc415037614"/>
      <w:r w:rsidRPr="00942F86">
        <w:t>Insurance Expense (Adjustment 4.7)</w:t>
      </w:r>
      <w:bookmarkEnd w:id="16"/>
    </w:p>
    <w:p w14:paraId="4133F9C1" w14:textId="77777777" w:rsidR="00E95D70" w:rsidRPr="00942F86" w:rsidRDefault="00E95D70" w:rsidP="000455AC">
      <w:pPr>
        <w:spacing w:line="264" w:lineRule="auto"/>
        <w:rPr>
          <w:sz w:val="25"/>
          <w:szCs w:val="25"/>
        </w:rPr>
      </w:pPr>
    </w:p>
    <w:p w14:paraId="2A9A48A9" w14:textId="0BBF2D5D" w:rsidR="00A87BF5" w:rsidRPr="00942F86" w:rsidRDefault="001A041E" w:rsidP="005E0DF4">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 xml:space="preserve">Pacific Power’s adjusted test year liability insurance expense is based on a six-year average of the liability expense accruals </w:t>
      </w:r>
      <w:r w:rsidR="000E3B63" w:rsidRPr="00942F86">
        <w:rPr>
          <w:rFonts w:eastAsia="Calibri"/>
          <w:sz w:val="25"/>
          <w:szCs w:val="25"/>
        </w:rPr>
        <w:t xml:space="preserve">the Company </w:t>
      </w:r>
      <w:r w:rsidRPr="00942F86">
        <w:rPr>
          <w:rFonts w:eastAsia="Calibri"/>
          <w:sz w:val="25"/>
          <w:szCs w:val="25"/>
        </w:rPr>
        <w:t>booked from 2008 through the end of the test year.  The Company voluntarily removed several accruals booked in 2012 and 2013</w:t>
      </w:r>
      <w:r w:rsidR="00F52F6F" w:rsidRPr="00942F86">
        <w:rPr>
          <w:rFonts w:eastAsia="Calibri"/>
          <w:sz w:val="25"/>
          <w:szCs w:val="25"/>
        </w:rPr>
        <w:t>,</w:t>
      </w:r>
      <w:r w:rsidRPr="00942F86">
        <w:rPr>
          <w:rFonts w:eastAsia="Calibri"/>
          <w:sz w:val="25"/>
          <w:szCs w:val="25"/>
        </w:rPr>
        <w:t xml:space="preserve"> as shown in in the table below, resulting in a six-year average of $9,402,352 on a Company basis</w:t>
      </w:r>
      <w:r w:rsidR="00F52F6F" w:rsidRPr="00942F86">
        <w:rPr>
          <w:rFonts w:eastAsia="Calibri"/>
          <w:sz w:val="25"/>
          <w:szCs w:val="25"/>
        </w:rPr>
        <w:t xml:space="preserve">, with </w:t>
      </w:r>
      <w:r w:rsidRPr="00942F86">
        <w:rPr>
          <w:rFonts w:eastAsia="Calibri"/>
          <w:sz w:val="25"/>
          <w:szCs w:val="25"/>
        </w:rPr>
        <w:t xml:space="preserve">$644,437 </w:t>
      </w:r>
      <w:r w:rsidR="00F52F6F" w:rsidRPr="00942F86">
        <w:rPr>
          <w:rFonts w:eastAsia="Calibri"/>
          <w:sz w:val="25"/>
          <w:szCs w:val="25"/>
        </w:rPr>
        <w:t>allocated to</w:t>
      </w:r>
      <w:r w:rsidRPr="00942F86">
        <w:rPr>
          <w:rFonts w:eastAsia="Calibri"/>
          <w:sz w:val="25"/>
          <w:szCs w:val="25"/>
        </w:rPr>
        <w:t xml:space="preserve"> Washington</w:t>
      </w:r>
      <w:r w:rsidR="00F52F6F" w:rsidRPr="00942F86">
        <w:rPr>
          <w:rFonts w:eastAsia="Calibri"/>
          <w:sz w:val="25"/>
          <w:szCs w:val="25"/>
        </w:rPr>
        <w:t>.</w:t>
      </w:r>
      <w:r w:rsidR="004258A2" w:rsidRPr="00942F86">
        <w:rPr>
          <w:rFonts w:eastAsia="Calibri"/>
          <w:sz w:val="25"/>
          <w:szCs w:val="25"/>
        </w:rPr>
        <w:t xml:space="preserve">  </w:t>
      </w:r>
      <w:r w:rsidRPr="00942F86">
        <w:rPr>
          <w:rFonts w:eastAsia="Calibri"/>
          <w:sz w:val="25"/>
          <w:szCs w:val="25"/>
        </w:rPr>
        <w:t>The</w:t>
      </w:r>
      <w:r w:rsidR="00A87BF5" w:rsidRPr="00942F86">
        <w:rPr>
          <w:rFonts w:eastAsia="Calibri"/>
          <w:sz w:val="25"/>
          <w:szCs w:val="25"/>
        </w:rPr>
        <w:t xml:space="preserve"> six</w:t>
      </w:r>
      <w:r w:rsidR="000E3B63" w:rsidRPr="00942F86">
        <w:rPr>
          <w:rFonts w:eastAsia="Calibri"/>
          <w:sz w:val="25"/>
          <w:szCs w:val="25"/>
        </w:rPr>
        <w:t>-</w:t>
      </w:r>
      <w:r w:rsidR="00A87BF5" w:rsidRPr="00942F86">
        <w:rPr>
          <w:rFonts w:eastAsia="Calibri"/>
          <w:sz w:val="25"/>
          <w:szCs w:val="25"/>
        </w:rPr>
        <w:t xml:space="preserve">year rolling average </w:t>
      </w:r>
      <w:r w:rsidRPr="00942F86">
        <w:rPr>
          <w:rFonts w:eastAsia="Calibri"/>
          <w:sz w:val="25"/>
          <w:szCs w:val="25"/>
        </w:rPr>
        <w:t>approach is intended to</w:t>
      </w:r>
      <w:r w:rsidR="00A87BF5" w:rsidRPr="00942F86">
        <w:rPr>
          <w:rFonts w:eastAsia="Calibri"/>
          <w:sz w:val="25"/>
          <w:szCs w:val="25"/>
        </w:rPr>
        <w:t xml:space="preserve"> normalize fluctuations in insurance expenses that occur year-over-year.</w:t>
      </w:r>
      <w:r w:rsidR="00A87BF5" w:rsidRPr="00942F86">
        <w:rPr>
          <w:rFonts w:eastAsia="Calibri"/>
          <w:sz w:val="25"/>
          <w:szCs w:val="25"/>
          <w:vertAlign w:val="superscript"/>
        </w:rPr>
        <w:footnoteReference w:id="62"/>
      </w:r>
      <w:r w:rsidR="00A87BF5" w:rsidRPr="00942F86">
        <w:rPr>
          <w:rFonts w:eastAsia="Calibri"/>
          <w:sz w:val="25"/>
          <w:szCs w:val="25"/>
        </w:rPr>
        <w:t xml:space="preserve">  The </w:t>
      </w:r>
      <w:r w:rsidR="0016208B" w:rsidRPr="00942F86">
        <w:rPr>
          <w:rFonts w:eastAsia="Calibri"/>
          <w:sz w:val="25"/>
          <w:szCs w:val="25"/>
        </w:rPr>
        <w:t>Commission approved this</w:t>
      </w:r>
      <w:r w:rsidR="00A87BF5" w:rsidRPr="00942F86">
        <w:rPr>
          <w:rFonts w:eastAsia="Calibri"/>
          <w:sz w:val="25"/>
          <w:szCs w:val="25"/>
        </w:rPr>
        <w:t xml:space="preserve"> method</w:t>
      </w:r>
      <w:r w:rsidR="0016208B" w:rsidRPr="00942F86">
        <w:rPr>
          <w:rFonts w:eastAsia="Calibri"/>
          <w:sz w:val="25"/>
          <w:szCs w:val="25"/>
        </w:rPr>
        <w:t xml:space="preserve"> as part of a settlement in Pacific Power’s</w:t>
      </w:r>
      <w:r w:rsidR="00A87BF5" w:rsidRPr="00942F86">
        <w:rPr>
          <w:rFonts w:eastAsia="Calibri"/>
          <w:sz w:val="25"/>
          <w:szCs w:val="25"/>
        </w:rPr>
        <w:t xml:space="preserve"> 2011 GRC and in </w:t>
      </w:r>
      <w:r w:rsidR="0016208B" w:rsidRPr="00942F86">
        <w:rPr>
          <w:rFonts w:eastAsia="Calibri"/>
          <w:sz w:val="25"/>
          <w:szCs w:val="25"/>
        </w:rPr>
        <w:t>the Company’s</w:t>
      </w:r>
      <w:r w:rsidR="00A87BF5" w:rsidRPr="00942F86">
        <w:rPr>
          <w:rFonts w:eastAsia="Calibri"/>
          <w:sz w:val="25"/>
          <w:szCs w:val="25"/>
        </w:rPr>
        <w:t xml:space="preserve"> 2013 GRC</w:t>
      </w:r>
      <w:r w:rsidR="0016208B" w:rsidRPr="00942F86">
        <w:rPr>
          <w:rFonts w:eastAsia="Calibri"/>
          <w:sz w:val="25"/>
          <w:szCs w:val="25"/>
        </w:rPr>
        <w:t xml:space="preserve"> where it</w:t>
      </w:r>
      <w:r w:rsidR="00A87BF5" w:rsidRPr="00942F86">
        <w:rPr>
          <w:rFonts w:eastAsia="Calibri"/>
          <w:sz w:val="25"/>
          <w:szCs w:val="25"/>
        </w:rPr>
        <w:t xml:space="preserve"> was not contested.</w:t>
      </w:r>
      <w:r w:rsidR="00A87BF5" w:rsidRPr="00942F86">
        <w:rPr>
          <w:rFonts w:eastAsia="Calibri"/>
          <w:sz w:val="25"/>
          <w:szCs w:val="25"/>
          <w:vertAlign w:val="superscript"/>
        </w:rPr>
        <w:footnoteReference w:id="63"/>
      </w:r>
      <w:r w:rsidR="00A87BF5" w:rsidRPr="00942F86">
        <w:rPr>
          <w:rFonts w:eastAsia="Calibri"/>
          <w:sz w:val="25"/>
          <w:szCs w:val="25"/>
        </w:rPr>
        <w:t xml:space="preserve">  </w:t>
      </w:r>
    </w:p>
    <w:p w14:paraId="7BE24C3D" w14:textId="77777777" w:rsidR="00A87BF5" w:rsidRPr="00942F86" w:rsidRDefault="00A87BF5" w:rsidP="000455AC">
      <w:pPr>
        <w:autoSpaceDE w:val="0"/>
        <w:autoSpaceDN w:val="0"/>
        <w:adjustRightInd w:val="0"/>
        <w:spacing w:line="264" w:lineRule="auto"/>
        <w:rPr>
          <w:rFonts w:eastAsia="Calibri"/>
          <w:b/>
          <w:sz w:val="25"/>
          <w:szCs w:val="25"/>
        </w:rPr>
      </w:pPr>
    </w:p>
    <w:p w14:paraId="3393BFFD" w14:textId="5869CAB1" w:rsidR="00A87BF5" w:rsidRPr="00942F86" w:rsidRDefault="00A87BF5" w:rsidP="005E0DF4">
      <w:pPr>
        <w:numPr>
          <w:ilvl w:val="0"/>
          <w:numId w:val="1"/>
        </w:numPr>
        <w:tabs>
          <w:tab w:val="clear" w:pos="720"/>
          <w:tab w:val="num" w:pos="0"/>
        </w:tabs>
        <w:spacing w:line="264" w:lineRule="auto"/>
        <w:ind w:left="0"/>
        <w:rPr>
          <w:rFonts w:eastAsia="Calibri"/>
          <w:sz w:val="25"/>
          <w:szCs w:val="25"/>
        </w:rPr>
      </w:pPr>
      <w:r w:rsidRPr="005E0DF4">
        <w:rPr>
          <w:sz w:val="25"/>
          <w:szCs w:val="25"/>
        </w:rPr>
        <w:t>Staff</w:t>
      </w:r>
      <w:r w:rsidRPr="00942F86">
        <w:rPr>
          <w:rFonts w:eastAsia="Calibri"/>
          <w:sz w:val="25"/>
          <w:szCs w:val="25"/>
        </w:rPr>
        <w:t xml:space="preserve"> accepts the use of </w:t>
      </w:r>
      <w:r w:rsidR="00694297" w:rsidRPr="00942F86">
        <w:rPr>
          <w:rFonts w:eastAsia="Calibri"/>
          <w:sz w:val="25"/>
          <w:szCs w:val="25"/>
        </w:rPr>
        <w:t>a</w:t>
      </w:r>
      <w:r w:rsidRPr="00942F86">
        <w:rPr>
          <w:rFonts w:eastAsia="Calibri"/>
          <w:sz w:val="25"/>
          <w:szCs w:val="25"/>
        </w:rPr>
        <w:t xml:space="preserve"> six</w:t>
      </w:r>
      <w:r w:rsidR="000E3B63" w:rsidRPr="00942F86">
        <w:rPr>
          <w:rFonts w:eastAsia="Calibri"/>
          <w:sz w:val="25"/>
          <w:szCs w:val="25"/>
        </w:rPr>
        <w:t>-</w:t>
      </w:r>
      <w:r w:rsidRPr="00942F86">
        <w:rPr>
          <w:rFonts w:eastAsia="Calibri"/>
          <w:sz w:val="25"/>
          <w:szCs w:val="25"/>
        </w:rPr>
        <w:t>year rolling average</w:t>
      </w:r>
      <w:r w:rsidR="000E3B63" w:rsidRPr="00942F86">
        <w:rPr>
          <w:rFonts w:eastAsia="Calibri"/>
          <w:sz w:val="25"/>
          <w:szCs w:val="25"/>
        </w:rPr>
        <w:t>,</w:t>
      </w:r>
      <w:r w:rsidRPr="00942F86">
        <w:rPr>
          <w:rFonts w:eastAsia="Calibri"/>
          <w:sz w:val="25"/>
          <w:szCs w:val="25"/>
        </w:rPr>
        <w:t xml:space="preserve"> but proposes to replace the Company’s 2012 insurance year </w:t>
      </w:r>
      <w:r w:rsidR="00F52F6F" w:rsidRPr="00942F86">
        <w:rPr>
          <w:rFonts w:eastAsia="Calibri"/>
          <w:sz w:val="25"/>
          <w:szCs w:val="25"/>
        </w:rPr>
        <w:t xml:space="preserve">net </w:t>
      </w:r>
      <w:r w:rsidRPr="00942F86">
        <w:rPr>
          <w:rFonts w:eastAsia="Calibri"/>
          <w:sz w:val="25"/>
          <w:szCs w:val="25"/>
        </w:rPr>
        <w:t xml:space="preserve">expense level of $30,859,248 with the 2007 insurance year expense level of $10,087,289, for purposes of calculating the six year </w:t>
      </w:r>
      <w:r w:rsidRPr="00942F86">
        <w:rPr>
          <w:rFonts w:eastAsia="Calibri"/>
          <w:sz w:val="25"/>
          <w:szCs w:val="25"/>
        </w:rPr>
        <w:lastRenderedPageBreak/>
        <w:t>average.</w:t>
      </w:r>
      <w:r w:rsidRPr="00942F86">
        <w:rPr>
          <w:rFonts w:eastAsia="Calibri"/>
          <w:sz w:val="25"/>
          <w:szCs w:val="25"/>
          <w:vertAlign w:val="superscript"/>
        </w:rPr>
        <w:footnoteReference w:id="64"/>
      </w:r>
      <w:r w:rsidRPr="00942F86">
        <w:rPr>
          <w:rFonts w:eastAsia="Calibri"/>
          <w:b/>
          <w:sz w:val="25"/>
          <w:szCs w:val="25"/>
        </w:rPr>
        <w:t xml:space="preserve">  </w:t>
      </w:r>
      <w:r w:rsidR="00694297" w:rsidRPr="00942F86">
        <w:rPr>
          <w:rFonts w:eastAsia="Calibri"/>
          <w:sz w:val="25"/>
          <w:szCs w:val="25"/>
        </w:rPr>
        <w:t>Mr. Ball testifies</w:t>
      </w:r>
      <w:r w:rsidRPr="00942F86">
        <w:rPr>
          <w:rFonts w:eastAsia="Calibri"/>
          <w:sz w:val="25"/>
          <w:szCs w:val="25"/>
        </w:rPr>
        <w:t xml:space="preserve"> that the Company’s actual 2012 insurance level is</w:t>
      </w:r>
      <w:r w:rsidR="00D36B3B" w:rsidRPr="00942F86">
        <w:rPr>
          <w:rFonts w:eastAsia="Calibri"/>
          <w:sz w:val="25"/>
          <w:szCs w:val="25"/>
        </w:rPr>
        <w:t xml:space="preserve"> not representative of a normal level of expense that can be expected to occur during the rate year.  Indeed, he observes, it is</w:t>
      </w:r>
      <w:r w:rsidRPr="00942F86">
        <w:rPr>
          <w:rFonts w:eastAsia="Calibri"/>
          <w:sz w:val="25"/>
          <w:szCs w:val="25"/>
        </w:rPr>
        <w:t xml:space="preserve"> approximately </w:t>
      </w:r>
      <w:r w:rsidR="00797F2B" w:rsidRPr="00942F86">
        <w:rPr>
          <w:rFonts w:eastAsia="Calibri"/>
          <w:sz w:val="25"/>
          <w:szCs w:val="25"/>
        </w:rPr>
        <w:t xml:space="preserve">10 </w:t>
      </w:r>
      <w:r w:rsidRPr="00942F86">
        <w:rPr>
          <w:rFonts w:eastAsia="Calibri"/>
          <w:sz w:val="25"/>
          <w:szCs w:val="25"/>
        </w:rPr>
        <w:t xml:space="preserve">times higher than the 2011 expense level </w:t>
      </w:r>
      <w:r w:rsidR="00D36B3B" w:rsidRPr="00942F86">
        <w:rPr>
          <w:rFonts w:eastAsia="Calibri"/>
          <w:sz w:val="25"/>
          <w:szCs w:val="25"/>
        </w:rPr>
        <w:t>and three times higher than the next highest expense level, the amount reflected for 2007.</w:t>
      </w:r>
      <w:r w:rsidRPr="00942F86">
        <w:rPr>
          <w:rFonts w:eastAsia="Calibri"/>
          <w:sz w:val="25"/>
          <w:szCs w:val="25"/>
          <w:vertAlign w:val="superscript"/>
        </w:rPr>
        <w:footnoteReference w:id="65"/>
      </w:r>
      <w:r w:rsidRPr="00942F86">
        <w:rPr>
          <w:rFonts w:eastAsia="Calibri"/>
          <w:sz w:val="25"/>
          <w:szCs w:val="25"/>
        </w:rPr>
        <w:t xml:space="preserve">  Staff’s adjustment reduces the Company’s proposed adjustment by $248,323</w:t>
      </w:r>
      <w:r w:rsidR="00694297" w:rsidRPr="00942F86">
        <w:rPr>
          <w:rFonts w:eastAsia="Calibri"/>
          <w:sz w:val="25"/>
          <w:szCs w:val="25"/>
        </w:rPr>
        <w:t xml:space="preserve"> on a Washington basis.</w:t>
      </w:r>
    </w:p>
    <w:p w14:paraId="46392241" w14:textId="77777777" w:rsidR="00A87BF5" w:rsidRPr="00942F86" w:rsidRDefault="00A87BF5" w:rsidP="000455AC">
      <w:pPr>
        <w:autoSpaceDE w:val="0"/>
        <w:autoSpaceDN w:val="0"/>
        <w:adjustRightInd w:val="0"/>
        <w:spacing w:line="264" w:lineRule="auto"/>
        <w:rPr>
          <w:rFonts w:eastAsia="Calibri"/>
          <w:sz w:val="25"/>
          <w:szCs w:val="25"/>
        </w:rPr>
      </w:pPr>
    </w:p>
    <w:p w14:paraId="0EEA2AA0" w14:textId="77777777" w:rsidR="00D36B3B" w:rsidRPr="00942F86" w:rsidRDefault="00A87BF5" w:rsidP="005E0DF4">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Public Counsel recommends removing $20 million</w:t>
      </w:r>
      <w:r w:rsidR="00694297" w:rsidRPr="00942F86">
        <w:rPr>
          <w:rFonts w:eastAsia="Calibri"/>
          <w:sz w:val="25"/>
          <w:szCs w:val="25"/>
        </w:rPr>
        <w:t xml:space="preserve"> in reserves</w:t>
      </w:r>
      <w:r w:rsidRPr="00942F86">
        <w:rPr>
          <w:rFonts w:eastAsia="Calibri"/>
          <w:sz w:val="25"/>
          <w:szCs w:val="25"/>
        </w:rPr>
        <w:t xml:space="preserve"> from the Company’s 2012 liability and property damage expenses.</w:t>
      </w:r>
      <w:r w:rsidRPr="00942F86">
        <w:rPr>
          <w:rFonts w:eastAsia="Calibri"/>
          <w:sz w:val="25"/>
          <w:szCs w:val="25"/>
          <w:vertAlign w:val="superscript"/>
        </w:rPr>
        <w:footnoteReference w:id="66"/>
      </w:r>
      <w:r w:rsidRPr="00942F86">
        <w:rPr>
          <w:rFonts w:eastAsia="Calibri"/>
          <w:sz w:val="25"/>
          <w:szCs w:val="25"/>
        </w:rPr>
        <w:t xml:space="preserve">  </w:t>
      </w:r>
      <w:r w:rsidR="00F52F6F" w:rsidRPr="00942F86">
        <w:rPr>
          <w:rFonts w:eastAsia="Calibri"/>
          <w:sz w:val="25"/>
          <w:szCs w:val="25"/>
        </w:rPr>
        <w:t>Ms. Ramas testifies that Pacific Power, in response to discovery, explained that the net expense shown for 2012 is significantly higher than the amounts for the remaining years because the Company booked “increased reserves required for certain fires, an oil spill, personal injury claims, and other injuries and damages claims that occurred in 2012.”</w:t>
      </w:r>
      <w:r w:rsidR="00F52F6F" w:rsidRPr="00942F86">
        <w:rPr>
          <w:rFonts w:eastAsia="Calibri"/>
          <w:sz w:val="25"/>
          <w:szCs w:val="25"/>
          <w:vertAlign w:val="superscript"/>
        </w:rPr>
        <w:footnoteReference w:id="67"/>
      </w:r>
      <w:r w:rsidR="00F52F6F" w:rsidRPr="00942F86">
        <w:rPr>
          <w:rFonts w:eastAsia="Calibri"/>
          <w:sz w:val="25"/>
          <w:szCs w:val="25"/>
        </w:rPr>
        <w:t xml:space="preserve">  Based on her examination of data from 2006 forward, Ms. Ramas </w:t>
      </w:r>
      <w:r w:rsidR="00D36B3B" w:rsidRPr="00942F86">
        <w:rPr>
          <w:rFonts w:eastAsia="Calibri"/>
          <w:sz w:val="25"/>
          <w:szCs w:val="25"/>
        </w:rPr>
        <w:t>agrees with Staff’s assessment</w:t>
      </w:r>
      <w:r w:rsidR="00F52F6F" w:rsidRPr="00942F86">
        <w:rPr>
          <w:rFonts w:eastAsia="Calibri"/>
          <w:sz w:val="25"/>
          <w:szCs w:val="25"/>
        </w:rPr>
        <w:t xml:space="preserve"> </w:t>
      </w:r>
      <w:r w:rsidR="00D36B3B" w:rsidRPr="00942F86">
        <w:rPr>
          <w:rFonts w:eastAsia="Calibri"/>
          <w:sz w:val="25"/>
          <w:szCs w:val="25"/>
        </w:rPr>
        <w:t xml:space="preserve">and gives her opinion </w:t>
      </w:r>
      <w:r w:rsidR="00F52F6F" w:rsidRPr="00942F86">
        <w:rPr>
          <w:rFonts w:eastAsia="Calibri"/>
          <w:sz w:val="25"/>
          <w:szCs w:val="25"/>
        </w:rPr>
        <w:t>that “the expense accrual recorded in 2012 is an anomaly.”</w:t>
      </w:r>
      <w:r w:rsidR="00F52F6F" w:rsidRPr="00942F86">
        <w:rPr>
          <w:rStyle w:val="FootnoteReference"/>
          <w:rFonts w:eastAsia="Calibri"/>
          <w:sz w:val="25"/>
          <w:szCs w:val="25"/>
        </w:rPr>
        <w:footnoteReference w:id="68"/>
      </w:r>
    </w:p>
    <w:p w14:paraId="312D0B2C" w14:textId="4871E64F" w:rsidR="00F52F6F" w:rsidRPr="00942F86" w:rsidRDefault="00F52F6F" w:rsidP="000455AC">
      <w:pPr>
        <w:spacing w:line="264" w:lineRule="auto"/>
        <w:rPr>
          <w:rFonts w:eastAsia="Calibri"/>
          <w:sz w:val="25"/>
          <w:szCs w:val="25"/>
        </w:rPr>
      </w:pPr>
      <w:r w:rsidRPr="00942F86">
        <w:rPr>
          <w:rFonts w:eastAsia="Calibri"/>
          <w:sz w:val="25"/>
          <w:szCs w:val="25"/>
        </w:rPr>
        <w:t xml:space="preserve"> </w:t>
      </w:r>
    </w:p>
    <w:p w14:paraId="05EE3130" w14:textId="7D7249CA" w:rsidR="00A87BF5" w:rsidRPr="00942F86" w:rsidRDefault="00A87BF5" w:rsidP="005E0DF4">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In rebuttal, the Company argues Public Counsel and Staff are subjectively and arbitrarily removing one year simply because it is “too high”.</w:t>
      </w:r>
      <w:r w:rsidRPr="00942F86">
        <w:rPr>
          <w:rFonts w:eastAsia="Calibri"/>
          <w:sz w:val="25"/>
          <w:szCs w:val="25"/>
          <w:vertAlign w:val="superscript"/>
        </w:rPr>
        <w:footnoteReference w:id="69"/>
      </w:r>
      <w:r w:rsidRPr="00942F86">
        <w:rPr>
          <w:rFonts w:eastAsia="Calibri"/>
          <w:sz w:val="25"/>
          <w:szCs w:val="25"/>
        </w:rPr>
        <w:t xml:space="preserve">  Responding to Public Counsel’s statement that the 2012 insurance expenses accrued on a Company-wide basis are in part allocated to Washington because of the System Overhead allocation factor in the</w:t>
      </w:r>
      <w:r w:rsidR="00797F2B" w:rsidRPr="00942F86">
        <w:rPr>
          <w:rFonts w:eastAsia="Calibri"/>
          <w:sz w:val="25"/>
          <w:szCs w:val="25"/>
        </w:rPr>
        <w:t xml:space="preserve"> West Control Area</w:t>
      </w:r>
      <w:r w:rsidRPr="00942F86">
        <w:rPr>
          <w:rFonts w:eastAsia="Calibri"/>
          <w:sz w:val="25"/>
          <w:szCs w:val="25"/>
        </w:rPr>
        <w:t xml:space="preserve"> </w:t>
      </w:r>
      <w:r w:rsidR="00797F2B" w:rsidRPr="00942F86">
        <w:rPr>
          <w:rFonts w:eastAsia="Calibri"/>
          <w:sz w:val="25"/>
          <w:szCs w:val="25"/>
        </w:rPr>
        <w:t>(</w:t>
      </w:r>
      <w:r w:rsidRPr="00942F86">
        <w:rPr>
          <w:rFonts w:eastAsia="Calibri"/>
          <w:sz w:val="25"/>
          <w:szCs w:val="25"/>
        </w:rPr>
        <w:t>WCA</w:t>
      </w:r>
      <w:r w:rsidR="00797F2B" w:rsidRPr="00942F86">
        <w:rPr>
          <w:rFonts w:eastAsia="Calibri"/>
          <w:sz w:val="25"/>
          <w:szCs w:val="25"/>
        </w:rPr>
        <w:t>) inter-jurisdictional cost allocation methodology</w:t>
      </w:r>
      <w:r w:rsidRPr="00942F86">
        <w:rPr>
          <w:rFonts w:eastAsia="Calibri"/>
          <w:sz w:val="25"/>
          <w:szCs w:val="25"/>
        </w:rPr>
        <w:t xml:space="preserve">, the Company reasserts the appropriateness of allocating insurance expense using </w:t>
      </w:r>
      <w:r w:rsidR="00797F2B" w:rsidRPr="00942F86">
        <w:rPr>
          <w:rFonts w:eastAsia="Calibri"/>
          <w:sz w:val="25"/>
          <w:szCs w:val="25"/>
        </w:rPr>
        <w:t>this</w:t>
      </w:r>
      <w:r w:rsidRPr="00942F86">
        <w:rPr>
          <w:rFonts w:eastAsia="Calibri"/>
          <w:sz w:val="25"/>
          <w:szCs w:val="25"/>
        </w:rPr>
        <w:t xml:space="preserve"> allocation factor.</w:t>
      </w:r>
      <w:r w:rsidRPr="00942F86">
        <w:rPr>
          <w:rFonts w:eastAsia="Calibri"/>
          <w:sz w:val="25"/>
          <w:szCs w:val="25"/>
          <w:vertAlign w:val="superscript"/>
        </w:rPr>
        <w:footnoteReference w:id="70"/>
      </w:r>
      <w:r w:rsidRPr="00942F86">
        <w:rPr>
          <w:rFonts w:eastAsia="Calibri"/>
          <w:sz w:val="25"/>
          <w:szCs w:val="25"/>
        </w:rPr>
        <w:t xml:space="preserve">  The Company</w:t>
      </w:r>
      <w:r w:rsidR="00EA4266" w:rsidRPr="00942F86">
        <w:rPr>
          <w:rFonts w:eastAsia="Calibri"/>
          <w:sz w:val="25"/>
          <w:szCs w:val="25"/>
        </w:rPr>
        <w:t>, however,</w:t>
      </w:r>
      <w:r w:rsidRPr="00942F86">
        <w:rPr>
          <w:rFonts w:eastAsia="Calibri"/>
          <w:sz w:val="25"/>
          <w:szCs w:val="25"/>
        </w:rPr>
        <w:t xml:space="preserve"> does not provide a justification for the increased reserve requirements for the specific items </w:t>
      </w:r>
      <w:r w:rsidR="00EA4266" w:rsidRPr="00942F86">
        <w:rPr>
          <w:rFonts w:eastAsia="Calibri"/>
          <w:sz w:val="25"/>
          <w:szCs w:val="25"/>
        </w:rPr>
        <w:t xml:space="preserve">identified in Ms. Ramas’ confidential testimony for </w:t>
      </w:r>
      <w:r w:rsidRPr="00942F86">
        <w:rPr>
          <w:rFonts w:eastAsia="Calibri"/>
          <w:sz w:val="25"/>
          <w:szCs w:val="25"/>
        </w:rPr>
        <w:t xml:space="preserve">Public Counsel or counter Staff’s characterization of the 2012 level as non-representative for use in the six year average for test-year purposes. </w:t>
      </w:r>
    </w:p>
    <w:p w14:paraId="7B06B888" w14:textId="77777777" w:rsidR="00EA4266" w:rsidRPr="00942F86" w:rsidRDefault="00EA4266" w:rsidP="000455AC">
      <w:pPr>
        <w:pStyle w:val="ListParagraph"/>
        <w:spacing w:line="264" w:lineRule="auto"/>
        <w:rPr>
          <w:rFonts w:eastAsia="Calibri"/>
          <w:sz w:val="25"/>
          <w:szCs w:val="25"/>
        </w:rPr>
      </w:pPr>
    </w:p>
    <w:p w14:paraId="690B8C00" w14:textId="62177B6A" w:rsidR="00EA4266" w:rsidRPr="00942F86" w:rsidRDefault="007C311C" w:rsidP="005E0DF4">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Asked by Public Counsel during discovery to explain why Pacific Power excluded $16 million in potential liability from its 2012 insurance costs, the Company responded that “these reserve amounts were excluded from the calculation of the average cost because PacifiCorp intends to seek insurance recovery when these liability claims are fully settled.”</w:t>
      </w:r>
      <w:r w:rsidRPr="00942F86">
        <w:rPr>
          <w:rStyle w:val="FootnoteReference"/>
          <w:rFonts w:eastAsia="Calibri"/>
          <w:sz w:val="25"/>
          <w:szCs w:val="25"/>
        </w:rPr>
        <w:footnoteReference w:id="71"/>
      </w:r>
      <w:r w:rsidRPr="00942F86">
        <w:rPr>
          <w:rFonts w:eastAsia="Calibri"/>
          <w:sz w:val="25"/>
          <w:szCs w:val="25"/>
        </w:rPr>
        <w:t xml:space="preserve">  Mr. Stuver</w:t>
      </w:r>
      <w:r w:rsidR="00237699" w:rsidRPr="00942F86">
        <w:rPr>
          <w:rFonts w:eastAsia="Calibri"/>
          <w:sz w:val="25"/>
          <w:szCs w:val="25"/>
        </w:rPr>
        <w:t xml:space="preserve"> initially </w:t>
      </w:r>
      <w:r w:rsidRPr="00942F86">
        <w:rPr>
          <w:rFonts w:eastAsia="Calibri"/>
          <w:sz w:val="25"/>
          <w:szCs w:val="25"/>
        </w:rPr>
        <w:t xml:space="preserve">affirmed this rationale and </w:t>
      </w:r>
      <w:r w:rsidR="00C6196A" w:rsidRPr="00942F86">
        <w:rPr>
          <w:rFonts w:eastAsia="Calibri"/>
          <w:sz w:val="25"/>
          <w:szCs w:val="25"/>
        </w:rPr>
        <w:t>testified that the incident in question, the “Wood Hollow fire,” remained subject at the time of hearing to “ongoing mediation and settlements with the Wood Hollow claimants.”</w:t>
      </w:r>
      <w:r w:rsidR="00C6196A" w:rsidRPr="00942F86">
        <w:rPr>
          <w:rStyle w:val="FootnoteReference"/>
          <w:rFonts w:eastAsia="Calibri"/>
          <w:sz w:val="25"/>
          <w:szCs w:val="25"/>
        </w:rPr>
        <w:footnoteReference w:id="72"/>
      </w:r>
      <w:r w:rsidR="00C6196A" w:rsidRPr="00942F86">
        <w:rPr>
          <w:rFonts w:eastAsia="Calibri"/>
          <w:sz w:val="25"/>
          <w:szCs w:val="25"/>
        </w:rPr>
        <w:t xml:space="preserve">  </w:t>
      </w:r>
      <w:r w:rsidR="00EA4266" w:rsidRPr="00942F86">
        <w:rPr>
          <w:rFonts w:eastAsia="Calibri"/>
          <w:sz w:val="25"/>
          <w:szCs w:val="25"/>
        </w:rPr>
        <w:t xml:space="preserve">Mr. Stuver </w:t>
      </w:r>
      <w:r w:rsidR="00C6196A" w:rsidRPr="00942F86">
        <w:rPr>
          <w:rFonts w:eastAsia="Calibri"/>
          <w:sz w:val="25"/>
          <w:szCs w:val="25"/>
        </w:rPr>
        <w:t xml:space="preserve">also </w:t>
      </w:r>
      <w:r w:rsidR="00EA4266" w:rsidRPr="00942F86">
        <w:rPr>
          <w:rFonts w:eastAsia="Calibri"/>
          <w:sz w:val="25"/>
          <w:szCs w:val="25"/>
        </w:rPr>
        <w:t>acknowledged during cross-examination</w:t>
      </w:r>
      <w:r w:rsidR="00E271C4" w:rsidRPr="00942F86">
        <w:rPr>
          <w:rFonts w:eastAsia="Calibri"/>
          <w:sz w:val="25"/>
          <w:szCs w:val="25"/>
        </w:rPr>
        <w:t xml:space="preserve"> </w:t>
      </w:r>
      <w:r w:rsidR="00EA4266" w:rsidRPr="00942F86">
        <w:rPr>
          <w:rFonts w:eastAsia="Calibri"/>
          <w:sz w:val="25"/>
          <w:szCs w:val="25"/>
        </w:rPr>
        <w:t>that liability has not yet been established for the claims accrued on the Company books and contested by Public Counsel.</w:t>
      </w:r>
      <w:r w:rsidR="00EA4266" w:rsidRPr="00942F86">
        <w:rPr>
          <w:rStyle w:val="FootnoteReference"/>
          <w:rFonts w:eastAsia="Calibri"/>
          <w:sz w:val="25"/>
          <w:szCs w:val="25"/>
        </w:rPr>
        <w:footnoteReference w:id="73"/>
      </w:r>
      <w:r w:rsidR="00EA4266" w:rsidRPr="00942F86">
        <w:rPr>
          <w:rFonts w:eastAsia="Calibri"/>
          <w:sz w:val="25"/>
          <w:szCs w:val="25"/>
        </w:rPr>
        <w:t xml:space="preserve">  </w:t>
      </w:r>
      <w:r w:rsidR="00237699" w:rsidRPr="00942F86">
        <w:rPr>
          <w:rFonts w:eastAsia="Calibri"/>
          <w:sz w:val="25"/>
          <w:szCs w:val="25"/>
        </w:rPr>
        <w:t>These matters, too, were unresolved in terms of what final liability the Company might incur and both were subject to ongoing settlement negotiations and mediation.</w:t>
      </w:r>
      <w:r w:rsidR="00237699" w:rsidRPr="00942F86">
        <w:rPr>
          <w:rStyle w:val="FootnoteReference"/>
          <w:rFonts w:eastAsia="Calibri"/>
          <w:sz w:val="25"/>
          <w:szCs w:val="25"/>
        </w:rPr>
        <w:footnoteReference w:id="74"/>
      </w:r>
      <w:r w:rsidR="00237699" w:rsidRPr="00942F86">
        <w:rPr>
          <w:rFonts w:eastAsia="Calibri"/>
          <w:sz w:val="25"/>
          <w:szCs w:val="25"/>
        </w:rPr>
        <w:t xml:space="preserve">  </w:t>
      </w:r>
      <w:r w:rsidR="00E271C4" w:rsidRPr="00942F86">
        <w:rPr>
          <w:rFonts w:eastAsia="Calibri"/>
          <w:sz w:val="25"/>
          <w:szCs w:val="25"/>
        </w:rPr>
        <w:t>In th</w:t>
      </w:r>
      <w:r w:rsidR="00237699" w:rsidRPr="00942F86">
        <w:rPr>
          <w:rFonts w:eastAsia="Calibri"/>
          <w:sz w:val="25"/>
          <w:szCs w:val="25"/>
        </w:rPr>
        <w:t>ese</w:t>
      </w:r>
      <w:r w:rsidR="00E271C4" w:rsidRPr="00942F86">
        <w:rPr>
          <w:rFonts w:eastAsia="Calibri"/>
          <w:sz w:val="25"/>
          <w:szCs w:val="25"/>
        </w:rPr>
        <w:t xml:space="preserve"> </w:t>
      </w:r>
      <w:r w:rsidR="00237699" w:rsidRPr="00942F86">
        <w:rPr>
          <w:rFonts w:eastAsia="Calibri"/>
          <w:sz w:val="25"/>
          <w:szCs w:val="25"/>
        </w:rPr>
        <w:t>ways</w:t>
      </w:r>
      <w:r w:rsidR="00E271C4" w:rsidRPr="00942F86">
        <w:rPr>
          <w:rFonts w:eastAsia="Calibri"/>
          <w:sz w:val="25"/>
          <w:szCs w:val="25"/>
        </w:rPr>
        <w:t>, as developed through Mr. Stuver’s cross-examination, these claims are indistinguishable from the Wood Hollow fire claim</w:t>
      </w:r>
      <w:r w:rsidR="00C6196A" w:rsidRPr="00942F86">
        <w:rPr>
          <w:rFonts w:eastAsia="Calibri"/>
          <w:sz w:val="25"/>
          <w:szCs w:val="25"/>
        </w:rPr>
        <w:t>s</w:t>
      </w:r>
      <w:r w:rsidR="00E271C4" w:rsidRPr="00942F86">
        <w:rPr>
          <w:rFonts w:eastAsia="Calibri"/>
          <w:sz w:val="25"/>
          <w:szCs w:val="25"/>
        </w:rPr>
        <w:t xml:space="preserve"> that the Company excluded from insurance expense for 2012 because </w:t>
      </w:r>
      <w:r w:rsidR="00C6196A" w:rsidRPr="00942F86">
        <w:rPr>
          <w:rFonts w:eastAsia="Calibri"/>
          <w:sz w:val="25"/>
          <w:szCs w:val="25"/>
        </w:rPr>
        <w:t>the incident</w:t>
      </w:r>
      <w:r w:rsidR="00E271C4" w:rsidRPr="00942F86">
        <w:rPr>
          <w:rFonts w:eastAsia="Calibri"/>
          <w:sz w:val="25"/>
          <w:szCs w:val="25"/>
        </w:rPr>
        <w:t xml:space="preserve"> is the subject of “ongoing litigation which makes the total costs attributable to this fire not known and measurable at this time.”</w:t>
      </w:r>
      <w:r w:rsidR="00E271C4" w:rsidRPr="00942F86">
        <w:rPr>
          <w:rFonts w:eastAsia="Calibri"/>
          <w:sz w:val="25"/>
          <w:szCs w:val="25"/>
          <w:vertAlign w:val="superscript"/>
        </w:rPr>
        <w:footnoteReference w:id="75"/>
      </w:r>
      <w:r w:rsidR="00E271C4" w:rsidRPr="00942F86">
        <w:rPr>
          <w:rFonts w:eastAsia="Calibri"/>
          <w:sz w:val="25"/>
          <w:szCs w:val="25"/>
        </w:rPr>
        <w:t xml:space="preserve">  Rather than providing a satisfactory rationale as to why the additional claims, also still in dispute, were not likewise removed from the liability expense adjustment</w:t>
      </w:r>
      <w:r w:rsidR="00237699" w:rsidRPr="00942F86">
        <w:rPr>
          <w:rFonts w:eastAsia="Calibri"/>
          <w:sz w:val="25"/>
          <w:szCs w:val="25"/>
        </w:rPr>
        <w:t xml:space="preserve"> because they are not known and measurable</w:t>
      </w:r>
      <w:r w:rsidR="00E271C4" w:rsidRPr="00942F86">
        <w:rPr>
          <w:rFonts w:eastAsia="Calibri"/>
          <w:sz w:val="25"/>
          <w:szCs w:val="25"/>
        </w:rPr>
        <w:t xml:space="preserve">, Mr. Stuver </w:t>
      </w:r>
      <w:r w:rsidR="00C6196A" w:rsidRPr="00942F86">
        <w:rPr>
          <w:rFonts w:eastAsia="Calibri"/>
          <w:sz w:val="25"/>
          <w:szCs w:val="25"/>
        </w:rPr>
        <w:t>retreated from the rationale he previously affirmed</w:t>
      </w:r>
      <w:r w:rsidR="00237699" w:rsidRPr="00942F86">
        <w:rPr>
          <w:rFonts w:eastAsia="Calibri"/>
          <w:sz w:val="25"/>
          <w:szCs w:val="25"/>
        </w:rPr>
        <w:t xml:space="preserve"> with respect to the Wood Hollow fire and </w:t>
      </w:r>
      <w:r w:rsidR="00E271C4" w:rsidRPr="00942F86">
        <w:rPr>
          <w:rFonts w:eastAsia="Calibri"/>
          <w:sz w:val="25"/>
          <w:szCs w:val="25"/>
        </w:rPr>
        <w:t>expressed his opinion that all of these claims</w:t>
      </w:r>
      <w:r w:rsidR="00237699" w:rsidRPr="00942F86">
        <w:rPr>
          <w:rFonts w:eastAsia="Calibri"/>
          <w:sz w:val="25"/>
          <w:szCs w:val="25"/>
        </w:rPr>
        <w:t xml:space="preserve"> were known and measurable and</w:t>
      </w:r>
      <w:r w:rsidR="00E271C4" w:rsidRPr="00942F86">
        <w:rPr>
          <w:rFonts w:eastAsia="Calibri"/>
          <w:sz w:val="25"/>
          <w:szCs w:val="25"/>
        </w:rPr>
        <w:t xml:space="preserve"> should be included in calculating the six year average.</w:t>
      </w:r>
      <w:r w:rsidR="00E271C4" w:rsidRPr="00942F86">
        <w:rPr>
          <w:rStyle w:val="FootnoteReference"/>
          <w:rFonts w:eastAsia="Calibri"/>
          <w:sz w:val="25"/>
          <w:szCs w:val="25"/>
        </w:rPr>
        <w:footnoteReference w:id="76"/>
      </w:r>
      <w:r w:rsidR="00E271C4" w:rsidRPr="00942F86">
        <w:rPr>
          <w:rFonts w:eastAsia="Calibri"/>
          <w:sz w:val="25"/>
          <w:szCs w:val="25"/>
        </w:rPr>
        <w:t xml:space="preserve">  </w:t>
      </w:r>
    </w:p>
    <w:p w14:paraId="1DE1B74F" w14:textId="77777777" w:rsidR="00A87BF5" w:rsidRPr="00942F86" w:rsidRDefault="00A87BF5" w:rsidP="000455AC">
      <w:pPr>
        <w:autoSpaceDE w:val="0"/>
        <w:autoSpaceDN w:val="0"/>
        <w:adjustRightInd w:val="0"/>
        <w:spacing w:line="264" w:lineRule="auto"/>
        <w:rPr>
          <w:rFonts w:eastAsia="Calibri"/>
          <w:sz w:val="25"/>
          <w:szCs w:val="25"/>
        </w:rPr>
      </w:pPr>
    </w:p>
    <w:p w14:paraId="39A70545" w14:textId="683B9AAF" w:rsidR="00FF17D6" w:rsidRPr="00942F86" w:rsidRDefault="00E95D70" w:rsidP="005E0DF4">
      <w:pPr>
        <w:numPr>
          <w:ilvl w:val="0"/>
          <w:numId w:val="1"/>
        </w:numPr>
        <w:tabs>
          <w:tab w:val="clear" w:pos="720"/>
          <w:tab w:val="num" w:pos="0"/>
        </w:tabs>
        <w:spacing w:line="264" w:lineRule="auto"/>
        <w:ind w:left="0"/>
        <w:rPr>
          <w:rFonts w:eastAsia="Calibri"/>
          <w:sz w:val="25"/>
          <w:szCs w:val="25"/>
        </w:rPr>
      </w:pPr>
      <w:r w:rsidRPr="00942F86">
        <w:rPr>
          <w:i/>
          <w:sz w:val="25"/>
          <w:szCs w:val="25"/>
        </w:rPr>
        <w:t>Commission Determination:</w:t>
      </w:r>
      <w:r w:rsidR="00A87BF5" w:rsidRPr="00942F86">
        <w:rPr>
          <w:rFonts w:eastAsia="Calibri"/>
          <w:sz w:val="25"/>
          <w:szCs w:val="25"/>
        </w:rPr>
        <w:t xml:space="preserve"> The purpose of the six-year average as a replacement for the test-year booked insurance costs is to provide</w:t>
      </w:r>
      <w:r w:rsidR="00237699" w:rsidRPr="00942F86">
        <w:rPr>
          <w:rFonts w:eastAsia="Calibri"/>
          <w:sz w:val="25"/>
          <w:szCs w:val="25"/>
        </w:rPr>
        <w:t xml:space="preserve"> a normalized level of expense,</w:t>
      </w:r>
      <w:r w:rsidR="00A87BF5" w:rsidRPr="00942F86">
        <w:rPr>
          <w:rFonts w:eastAsia="Calibri"/>
          <w:sz w:val="25"/>
          <w:szCs w:val="25"/>
        </w:rPr>
        <w:t xml:space="preserve"> </w:t>
      </w:r>
      <w:r w:rsidR="00797F2B" w:rsidRPr="00942F86">
        <w:rPr>
          <w:rFonts w:eastAsia="Calibri"/>
          <w:sz w:val="25"/>
          <w:szCs w:val="25"/>
        </w:rPr>
        <w:t xml:space="preserve">which </w:t>
      </w:r>
      <w:r w:rsidR="00A87BF5" w:rsidRPr="00942F86">
        <w:rPr>
          <w:rFonts w:eastAsia="Calibri"/>
          <w:sz w:val="25"/>
          <w:szCs w:val="25"/>
        </w:rPr>
        <w:t xml:space="preserve">the </w:t>
      </w:r>
      <w:r w:rsidR="00797F2B" w:rsidRPr="00942F86">
        <w:rPr>
          <w:rFonts w:eastAsia="Calibri"/>
          <w:sz w:val="25"/>
          <w:szCs w:val="25"/>
        </w:rPr>
        <w:t xml:space="preserve">parties agree is a proper way to determine this expense for inclusion in </w:t>
      </w:r>
      <w:r w:rsidR="00797F2B" w:rsidRPr="00942F86">
        <w:rPr>
          <w:rFonts w:eastAsia="Calibri"/>
          <w:sz w:val="25"/>
          <w:szCs w:val="25"/>
        </w:rPr>
        <w:lastRenderedPageBreak/>
        <w:t>rates</w:t>
      </w:r>
      <w:r w:rsidR="00A87BF5" w:rsidRPr="00942F86">
        <w:rPr>
          <w:rFonts w:eastAsia="Calibri"/>
          <w:sz w:val="25"/>
          <w:szCs w:val="25"/>
        </w:rPr>
        <w:t xml:space="preserve">.  The use </w:t>
      </w:r>
      <w:r w:rsidR="00237699" w:rsidRPr="00942F86">
        <w:rPr>
          <w:rFonts w:eastAsia="Calibri"/>
          <w:sz w:val="25"/>
          <w:szCs w:val="25"/>
        </w:rPr>
        <w:t xml:space="preserve">of averages of brief periods of years, however, </w:t>
      </w:r>
      <w:r w:rsidR="00FF17D6" w:rsidRPr="00942F86">
        <w:rPr>
          <w:rFonts w:eastAsia="Calibri"/>
          <w:sz w:val="25"/>
          <w:szCs w:val="25"/>
        </w:rPr>
        <w:t>is not entirely straightforward when the data reflect</w:t>
      </w:r>
      <w:r w:rsidR="00A87BF5" w:rsidRPr="00942F86">
        <w:rPr>
          <w:rFonts w:eastAsia="Calibri"/>
          <w:sz w:val="25"/>
          <w:szCs w:val="25"/>
        </w:rPr>
        <w:t xml:space="preserve"> </w:t>
      </w:r>
      <w:r w:rsidR="00237699" w:rsidRPr="00942F86">
        <w:rPr>
          <w:rFonts w:eastAsia="Calibri"/>
          <w:sz w:val="25"/>
          <w:szCs w:val="25"/>
        </w:rPr>
        <w:t>extraordinar</w:t>
      </w:r>
      <w:r w:rsidR="00FF17D6" w:rsidRPr="00942F86">
        <w:rPr>
          <w:rFonts w:eastAsia="Calibri"/>
          <w:sz w:val="25"/>
          <w:szCs w:val="25"/>
        </w:rPr>
        <w:t>ily high</w:t>
      </w:r>
      <w:r w:rsidR="00237699" w:rsidRPr="00942F86">
        <w:rPr>
          <w:rFonts w:eastAsia="Calibri"/>
          <w:sz w:val="25"/>
          <w:szCs w:val="25"/>
        </w:rPr>
        <w:t xml:space="preserve"> </w:t>
      </w:r>
      <w:r w:rsidR="00A87BF5" w:rsidRPr="00942F86">
        <w:rPr>
          <w:rFonts w:eastAsia="Calibri"/>
          <w:sz w:val="25"/>
          <w:szCs w:val="25"/>
        </w:rPr>
        <w:t>cost</w:t>
      </w:r>
      <w:r w:rsidR="00237699" w:rsidRPr="00942F86">
        <w:rPr>
          <w:rFonts w:eastAsia="Calibri"/>
          <w:sz w:val="25"/>
          <w:szCs w:val="25"/>
        </w:rPr>
        <w:t>s</w:t>
      </w:r>
      <w:r w:rsidR="00A87BF5" w:rsidRPr="00942F86">
        <w:rPr>
          <w:rFonts w:eastAsia="Calibri"/>
          <w:sz w:val="25"/>
          <w:szCs w:val="25"/>
        </w:rPr>
        <w:t xml:space="preserve"> such as the insurance reserves set aside in 2012.</w:t>
      </w:r>
      <w:r w:rsidR="00FF17D6" w:rsidRPr="00942F86">
        <w:rPr>
          <w:rFonts w:eastAsia="Calibri"/>
          <w:sz w:val="25"/>
          <w:szCs w:val="25"/>
        </w:rPr>
        <w:t xml:space="preserve">  The extreme variance in costs exhibited by the Company’s 2012 expense relative to the other years in the record is sufficient in itself to justify the sort of adjustment Staff proposes.  </w:t>
      </w:r>
    </w:p>
    <w:p w14:paraId="2DAA7FD5" w14:textId="77777777" w:rsidR="00FF17D6" w:rsidRPr="00942F86" w:rsidRDefault="00FF17D6" w:rsidP="000455AC">
      <w:pPr>
        <w:pStyle w:val="ListParagraph"/>
        <w:spacing w:line="264" w:lineRule="auto"/>
        <w:rPr>
          <w:rFonts w:eastAsia="Calibri"/>
          <w:sz w:val="25"/>
          <w:szCs w:val="25"/>
        </w:rPr>
      </w:pPr>
    </w:p>
    <w:p w14:paraId="320844A0" w14:textId="0BFC00DF" w:rsidR="0049281B" w:rsidRPr="00942F86" w:rsidRDefault="00FF17D6" w:rsidP="005E0DF4">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In this case, however, Public Counsel developed evidence that provides an even a more compelling reason to make adjustments.</w:t>
      </w:r>
      <w:r w:rsidR="00C23EC9" w:rsidRPr="00942F86">
        <w:rPr>
          <w:rFonts w:eastAsia="Calibri"/>
          <w:sz w:val="25"/>
          <w:szCs w:val="25"/>
        </w:rPr>
        <w:t xml:space="preserve">  As developed by Public Counsel, the record shows that</w:t>
      </w:r>
      <w:r w:rsidR="00A87BF5" w:rsidRPr="00942F86">
        <w:rPr>
          <w:rFonts w:eastAsia="Calibri"/>
          <w:sz w:val="25"/>
          <w:szCs w:val="25"/>
        </w:rPr>
        <w:t xml:space="preserve"> Pacifi</w:t>
      </w:r>
      <w:r w:rsidRPr="00942F86">
        <w:rPr>
          <w:rFonts w:eastAsia="Calibri"/>
          <w:sz w:val="25"/>
          <w:szCs w:val="25"/>
        </w:rPr>
        <w:t>c Power</w:t>
      </w:r>
      <w:r w:rsidR="00A87BF5" w:rsidRPr="00942F86">
        <w:rPr>
          <w:rFonts w:eastAsia="Calibri"/>
          <w:sz w:val="25"/>
          <w:szCs w:val="25"/>
        </w:rPr>
        <w:t xml:space="preserve"> itself remove</w:t>
      </w:r>
      <w:r w:rsidR="00E7013E" w:rsidRPr="00942F86">
        <w:rPr>
          <w:rFonts w:eastAsia="Calibri"/>
          <w:sz w:val="25"/>
          <w:szCs w:val="25"/>
        </w:rPr>
        <w:t>d</w:t>
      </w:r>
      <w:r w:rsidR="00A87BF5" w:rsidRPr="00942F86">
        <w:rPr>
          <w:rFonts w:eastAsia="Calibri"/>
          <w:sz w:val="25"/>
          <w:szCs w:val="25"/>
        </w:rPr>
        <w:t xml:space="preserve"> from the six-year average </w:t>
      </w:r>
      <w:r w:rsidRPr="00942F86">
        <w:rPr>
          <w:rFonts w:eastAsia="Calibri"/>
          <w:sz w:val="25"/>
          <w:szCs w:val="25"/>
        </w:rPr>
        <w:t>significant reserves booked for incidents that remain subject to litigation and in the process of settlement negotiations because the costs cannot be considered known and measurable</w:t>
      </w:r>
      <w:r w:rsidR="00A87BF5" w:rsidRPr="00942F86">
        <w:rPr>
          <w:rFonts w:eastAsia="Calibri"/>
          <w:sz w:val="25"/>
          <w:szCs w:val="25"/>
        </w:rPr>
        <w:t>.</w:t>
      </w:r>
      <w:r w:rsidRPr="00942F86">
        <w:rPr>
          <w:rFonts w:eastAsia="Calibri"/>
          <w:sz w:val="25"/>
          <w:szCs w:val="25"/>
        </w:rPr>
        <w:t xml:space="preserve">  Yet, </w:t>
      </w:r>
      <w:r w:rsidR="00C23EC9" w:rsidRPr="00942F86">
        <w:rPr>
          <w:rFonts w:eastAsia="Calibri"/>
          <w:sz w:val="25"/>
          <w:szCs w:val="25"/>
        </w:rPr>
        <w:t>the Company</w:t>
      </w:r>
      <w:r w:rsidRPr="00942F86">
        <w:rPr>
          <w:rFonts w:eastAsia="Calibri"/>
          <w:sz w:val="25"/>
          <w:szCs w:val="25"/>
        </w:rPr>
        <w:t xml:space="preserve"> include</w:t>
      </w:r>
      <w:r w:rsidR="00E7013E" w:rsidRPr="00942F86">
        <w:rPr>
          <w:rFonts w:eastAsia="Calibri"/>
          <w:sz w:val="25"/>
          <w:szCs w:val="25"/>
        </w:rPr>
        <w:t>d</w:t>
      </w:r>
      <w:r w:rsidRPr="00942F86">
        <w:rPr>
          <w:rFonts w:eastAsia="Calibri"/>
          <w:sz w:val="25"/>
          <w:szCs w:val="25"/>
        </w:rPr>
        <w:t xml:space="preserve"> reserves for other incidents that also remain unresolved without satisfactorily explaining why we should consider the costs of these</w:t>
      </w:r>
      <w:r w:rsidR="00A87BF5" w:rsidRPr="00942F86">
        <w:rPr>
          <w:rFonts w:eastAsia="Calibri"/>
          <w:sz w:val="25"/>
          <w:szCs w:val="25"/>
        </w:rPr>
        <w:t xml:space="preserve"> </w:t>
      </w:r>
      <w:r w:rsidRPr="00942F86">
        <w:rPr>
          <w:rFonts w:eastAsia="Calibri"/>
          <w:sz w:val="25"/>
          <w:szCs w:val="25"/>
        </w:rPr>
        <w:t xml:space="preserve">matters </w:t>
      </w:r>
      <w:r w:rsidR="00797F2B" w:rsidRPr="00942F86">
        <w:rPr>
          <w:rFonts w:eastAsia="Calibri"/>
          <w:sz w:val="25"/>
          <w:szCs w:val="25"/>
        </w:rPr>
        <w:t xml:space="preserve">to be </w:t>
      </w:r>
      <w:r w:rsidRPr="00942F86">
        <w:rPr>
          <w:rFonts w:eastAsia="Calibri"/>
          <w:sz w:val="25"/>
          <w:szCs w:val="25"/>
        </w:rPr>
        <w:t>known and measurable.</w:t>
      </w:r>
      <w:r w:rsidR="00A87BF5" w:rsidRPr="00942F86">
        <w:rPr>
          <w:rFonts w:eastAsia="Calibri"/>
          <w:sz w:val="25"/>
          <w:szCs w:val="25"/>
        </w:rPr>
        <w:t xml:space="preserve"> </w:t>
      </w:r>
      <w:r w:rsidR="00C23EC9" w:rsidRPr="00942F86">
        <w:rPr>
          <w:rFonts w:eastAsia="Calibri"/>
          <w:sz w:val="25"/>
          <w:szCs w:val="25"/>
        </w:rPr>
        <w:t xml:space="preserve"> Not only are these costs not presently known and measurable, it may turn out in the final analysis that the Company was negligent or even grossly negligent with respect to the underlying incidents.  This could give the Commission reason not to allow the costs in rates for recovery even if the</w:t>
      </w:r>
      <w:r w:rsidR="0049281B" w:rsidRPr="00942F86">
        <w:rPr>
          <w:rFonts w:eastAsia="Calibri"/>
          <w:sz w:val="25"/>
          <w:szCs w:val="25"/>
        </w:rPr>
        <w:t xml:space="preserve"> level of costs is</w:t>
      </w:r>
      <w:r w:rsidR="00C23EC9" w:rsidRPr="00942F86">
        <w:rPr>
          <w:rFonts w:eastAsia="Calibri"/>
          <w:sz w:val="25"/>
          <w:szCs w:val="25"/>
        </w:rPr>
        <w:t xml:space="preserve"> firmly established.  </w:t>
      </w:r>
    </w:p>
    <w:p w14:paraId="0B319BF4" w14:textId="77777777" w:rsidR="0049281B" w:rsidRPr="00942F86" w:rsidRDefault="0049281B" w:rsidP="000455AC">
      <w:pPr>
        <w:pStyle w:val="ListParagraph"/>
        <w:spacing w:line="264" w:lineRule="auto"/>
        <w:rPr>
          <w:rFonts w:eastAsia="Calibri"/>
          <w:sz w:val="25"/>
          <w:szCs w:val="25"/>
        </w:rPr>
      </w:pPr>
    </w:p>
    <w:p w14:paraId="7BA3E06D" w14:textId="5DBA2AC6" w:rsidR="00A87BF5" w:rsidRPr="00942F86" w:rsidRDefault="00797F2B" w:rsidP="005E0DF4">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Considering this uncertainty, w</w:t>
      </w:r>
      <w:r w:rsidR="00C23EC9" w:rsidRPr="00942F86">
        <w:rPr>
          <w:rFonts w:eastAsia="Calibri"/>
          <w:sz w:val="25"/>
          <w:szCs w:val="25"/>
        </w:rPr>
        <w:t xml:space="preserve">e find </w:t>
      </w:r>
      <w:r w:rsidRPr="00942F86">
        <w:rPr>
          <w:rFonts w:eastAsia="Calibri"/>
          <w:sz w:val="25"/>
          <w:szCs w:val="25"/>
        </w:rPr>
        <w:t>it appropriate to accept</w:t>
      </w:r>
      <w:r w:rsidR="0049281B" w:rsidRPr="00942F86">
        <w:rPr>
          <w:rFonts w:eastAsia="Calibri"/>
          <w:sz w:val="25"/>
          <w:szCs w:val="25"/>
        </w:rPr>
        <w:t xml:space="preserve"> </w:t>
      </w:r>
      <w:r w:rsidR="00C23EC9" w:rsidRPr="00942F86">
        <w:rPr>
          <w:rFonts w:eastAsia="Calibri"/>
          <w:sz w:val="25"/>
          <w:szCs w:val="25"/>
        </w:rPr>
        <w:t>Public Counsel’s recommendation to exclude</w:t>
      </w:r>
      <w:r w:rsidRPr="00942F86">
        <w:rPr>
          <w:rFonts w:eastAsia="Calibri"/>
          <w:sz w:val="25"/>
          <w:szCs w:val="25"/>
        </w:rPr>
        <w:t xml:space="preserve"> $20 million</w:t>
      </w:r>
      <w:r w:rsidR="00A52D22" w:rsidRPr="00942F86">
        <w:rPr>
          <w:rFonts w:eastAsia="Calibri"/>
          <w:sz w:val="25"/>
          <w:szCs w:val="25"/>
        </w:rPr>
        <w:t xml:space="preserve"> in reserves</w:t>
      </w:r>
      <w:r w:rsidR="00C23EC9" w:rsidRPr="00942F86">
        <w:rPr>
          <w:rFonts w:eastAsia="Calibri"/>
          <w:sz w:val="25"/>
          <w:szCs w:val="25"/>
        </w:rPr>
        <w:t xml:space="preserve"> from insurance expense </w:t>
      </w:r>
      <w:r w:rsidR="0049281B" w:rsidRPr="00942F86">
        <w:rPr>
          <w:rFonts w:eastAsia="Calibri"/>
          <w:sz w:val="25"/>
          <w:szCs w:val="25"/>
        </w:rPr>
        <w:t xml:space="preserve">for </w:t>
      </w:r>
      <w:r w:rsidR="00A52D22" w:rsidRPr="00942F86">
        <w:rPr>
          <w:rFonts w:eastAsia="Calibri"/>
          <w:sz w:val="25"/>
          <w:szCs w:val="25"/>
        </w:rPr>
        <w:t>the two relevant</w:t>
      </w:r>
      <w:r w:rsidR="00E7013E" w:rsidRPr="00942F86">
        <w:rPr>
          <w:rFonts w:eastAsia="Calibri"/>
          <w:sz w:val="25"/>
          <w:szCs w:val="25"/>
        </w:rPr>
        <w:t xml:space="preserve"> events</w:t>
      </w:r>
      <w:r w:rsidR="00C23EC9" w:rsidRPr="00942F86">
        <w:rPr>
          <w:rFonts w:eastAsia="Calibri"/>
          <w:sz w:val="25"/>
          <w:szCs w:val="25"/>
        </w:rPr>
        <w:t>.  We accept Public Counsel’s proposed adjustment for a $20 million reduction</w:t>
      </w:r>
      <w:r w:rsidR="0049281B" w:rsidRPr="00942F86">
        <w:rPr>
          <w:rFonts w:eastAsia="Calibri"/>
          <w:sz w:val="25"/>
          <w:szCs w:val="25"/>
        </w:rPr>
        <w:t xml:space="preserve"> in 2012 insurance expense</w:t>
      </w:r>
      <w:r w:rsidR="00C23EC9" w:rsidRPr="00942F86">
        <w:rPr>
          <w:rFonts w:eastAsia="Calibri"/>
          <w:sz w:val="25"/>
          <w:szCs w:val="25"/>
        </w:rPr>
        <w:t>.  According to Ms. Ramas, this reduces the average expense calculated by the Company by $3,333,333.  We determine accordingly that Pacific Power’s test year insurance expense should be reduced by $3,333,333 on a total Company basis and by $228,467 on a Washington-allocated basis.</w:t>
      </w:r>
    </w:p>
    <w:p w14:paraId="21090F94" w14:textId="77777777" w:rsidR="001833C0" w:rsidRPr="00942F86" w:rsidRDefault="001833C0" w:rsidP="000455AC">
      <w:pPr>
        <w:spacing w:line="264" w:lineRule="auto"/>
        <w:rPr>
          <w:sz w:val="25"/>
          <w:szCs w:val="25"/>
        </w:rPr>
      </w:pPr>
    </w:p>
    <w:p w14:paraId="1512AB1B" w14:textId="2C8BDD4C" w:rsidR="003E6A7D" w:rsidRPr="00942F86" w:rsidRDefault="00C737C6" w:rsidP="00883A54">
      <w:pPr>
        <w:pStyle w:val="Heading4"/>
      </w:pPr>
      <w:bookmarkStart w:id="17" w:name="_Toc415037615"/>
      <w:proofErr w:type="spellStart"/>
      <w:r w:rsidRPr="00942F86">
        <w:t>IH</w:t>
      </w:r>
      <w:r w:rsidR="00BD04F2" w:rsidRPr="00942F86">
        <w:t>S</w:t>
      </w:r>
      <w:proofErr w:type="spellEnd"/>
      <w:r w:rsidR="00BD04F2" w:rsidRPr="00942F86">
        <w:t xml:space="preserve"> Global Insight</w:t>
      </w:r>
      <w:r w:rsidR="00E7013E" w:rsidRPr="00942F86">
        <w:t>’</w:t>
      </w:r>
      <w:r w:rsidR="00BD04F2" w:rsidRPr="00942F86">
        <w:t>s Escalation Factors (</w:t>
      </w:r>
      <w:r w:rsidR="00127C47" w:rsidRPr="00942F86">
        <w:t xml:space="preserve">Adjustment 4.13 - </w:t>
      </w:r>
      <w:r w:rsidR="00BD04F2" w:rsidRPr="00942F86">
        <w:t>Operations &amp; Maintenance (O&amp;M) Expenses other than labor and power related O&amp;M)</w:t>
      </w:r>
      <w:bookmarkEnd w:id="17"/>
    </w:p>
    <w:p w14:paraId="083AE987" w14:textId="77777777" w:rsidR="003E6A7D" w:rsidRPr="00942F86" w:rsidRDefault="003E6A7D" w:rsidP="000455AC">
      <w:pPr>
        <w:spacing w:line="264" w:lineRule="auto"/>
        <w:rPr>
          <w:sz w:val="25"/>
          <w:szCs w:val="25"/>
        </w:rPr>
      </w:pPr>
    </w:p>
    <w:p w14:paraId="571D94CB" w14:textId="360B73A8" w:rsidR="003E6A7D" w:rsidRPr="00942F86" w:rsidRDefault="002809E9" w:rsidP="005E0DF4">
      <w:pPr>
        <w:numPr>
          <w:ilvl w:val="0"/>
          <w:numId w:val="1"/>
        </w:numPr>
        <w:tabs>
          <w:tab w:val="clear" w:pos="720"/>
          <w:tab w:val="num" w:pos="0"/>
        </w:tabs>
        <w:spacing w:line="264" w:lineRule="auto"/>
        <w:ind w:left="0"/>
        <w:rPr>
          <w:sz w:val="25"/>
          <w:szCs w:val="25"/>
        </w:rPr>
      </w:pPr>
      <w:r w:rsidRPr="00942F86">
        <w:rPr>
          <w:sz w:val="25"/>
          <w:szCs w:val="25"/>
        </w:rPr>
        <w:t xml:space="preserve">Pacific Power, borrowing from practices </w:t>
      </w:r>
      <w:r w:rsidR="00A06B9A" w:rsidRPr="00942F86">
        <w:rPr>
          <w:sz w:val="25"/>
          <w:szCs w:val="25"/>
        </w:rPr>
        <w:t xml:space="preserve">accepted </w:t>
      </w:r>
      <w:r w:rsidRPr="00942F86">
        <w:rPr>
          <w:sz w:val="25"/>
          <w:szCs w:val="25"/>
        </w:rPr>
        <w:t>in two</w:t>
      </w:r>
      <w:r w:rsidR="00A06B9A" w:rsidRPr="00942F86">
        <w:rPr>
          <w:sz w:val="25"/>
          <w:szCs w:val="25"/>
        </w:rPr>
        <w:t xml:space="preserve"> of its three</w:t>
      </w:r>
      <w:r w:rsidRPr="00942F86">
        <w:rPr>
          <w:sz w:val="25"/>
          <w:szCs w:val="25"/>
        </w:rPr>
        <w:t xml:space="preserve"> jurisdictions that use a future test year approach to ratemaking,</w:t>
      </w:r>
      <w:r w:rsidR="00CA268C" w:rsidRPr="00942F86">
        <w:rPr>
          <w:rStyle w:val="FootnoteReference"/>
          <w:sz w:val="25"/>
          <w:szCs w:val="25"/>
        </w:rPr>
        <w:footnoteReference w:id="77"/>
      </w:r>
      <w:r w:rsidRPr="00942F86">
        <w:rPr>
          <w:sz w:val="25"/>
          <w:szCs w:val="25"/>
        </w:rPr>
        <w:t xml:space="preserve"> proposes to escalate its non-labor </w:t>
      </w:r>
      <w:r w:rsidRPr="00942F86">
        <w:rPr>
          <w:sz w:val="25"/>
          <w:szCs w:val="25"/>
        </w:rPr>
        <w:lastRenderedPageBreak/>
        <w:t>O</w:t>
      </w:r>
      <w:r w:rsidR="00F846EA" w:rsidRPr="00942F86">
        <w:rPr>
          <w:sz w:val="25"/>
          <w:szCs w:val="25"/>
        </w:rPr>
        <w:t xml:space="preserve">perations </w:t>
      </w:r>
      <w:r w:rsidRPr="00942F86">
        <w:rPr>
          <w:sz w:val="25"/>
          <w:szCs w:val="25"/>
        </w:rPr>
        <w:t>&amp;</w:t>
      </w:r>
      <w:r w:rsidR="00F846EA" w:rsidRPr="00942F86">
        <w:rPr>
          <w:sz w:val="25"/>
          <w:szCs w:val="25"/>
        </w:rPr>
        <w:t xml:space="preserve"> </w:t>
      </w:r>
      <w:r w:rsidRPr="00942F86">
        <w:rPr>
          <w:sz w:val="25"/>
          <w:szCs w:val="25"/>
        </w:rPr>
        <w:t>M</w:t>
      </w:r>
      <w:r w:rsidR="00F846EA" w:rsidRPr="00942F86">
        <w:rPr>
          <w:sz w:val="25"/>
          <w:szCs w:val="25"/>
        </w:rPr>
        <w:t>aintenance</w:t>
      </w:r>
      <w:r w:rsidRPr="00942F86">
        <w:rPr>
          <w:sz w:val="25"/>
          <w:szCs w:val="25"/>
        </w:rPr>
        <w:t xml:space="preserve"> and A</w:t>
      </w:r>
      <w:r w:rsidR="00F846EA" w:rsidRPr="00942F86">
        <w:rPr>
          <w:sz w:val="25"/>
          <w:szCs w:val="25"/>
        </w:rPr>
        <w:t xml:space="preserve">dministrative </w:t>
      </w:r>
      <w:r w:rsidRPr="00942F86">
        <w:rPr>
          <w:sz w:val="25"/>
          <w:szCs w:val="25"/>
        </w:rPr>
        <w:t>&amp;</w:t>
      </w:r>
      <w:r w:rsidR="00F846EA" w:rsidRPr="00942F86">
        <w:rPr>
          <w:sz w:val="25"/>
          <w:szCs w:val="25"/>
        </w:rPr>
        <w:t xml:space="preserve"> </w:t>
      </w:r>
      <w:r w:rsidRPr="00942F86">
        <w:rPr>
          <w:sz w:val="25"/>
          <w:szCs w:val="25"/>
        </w:rPr>
        <w:t>G</w:t>
      </w:r>
      <w:r w:rsidR="00F846EA" w:rsidRPr="00942F86">
        <w:rPr>
          <w:sz w:val="25"/>
          <w:szCs w:val="25"/>
        </w:rPr>
        <w:t>eneral</w:t>
      </w:r>
      <w:r w:rsidRPr="00942F86">
        <w:rPr>
          <w:sz w:val="25"/>
          <w:szCs w:val="25"/>
        </w:rPr>
        <w:t xml:space="preserve"> expenses using </w:t>
      </w:r>
      <w:r w:rsidR="00F846EA" w:rsidRPr="00942F86">
        <w:rPr>
          <w:sz w:val="25"/>
          <w:szCs w:val="25"/>
        </w:rPr>
        <w:t xml:space="preserve">proprietary </w:t>
      </w:r>
      <w:r w:rsidRPr="00942F86">
        <w:rPr>
          <w:sz w:val="25"/>
          <w:szCs w:val="25"/>
        </w:rPr>
        <w:t xml:space="preserve">indices prepared by </w:t>
      </w:r>
      <w:proofErr w:type="spellStart"/>
      <w:r w:rsidRPr="00942F86">
        <w:rPr>
          <w:sz w:val="25"/>
          <w:szCs w:val="25"/>
        </w:rPr>
        <w:t>IHS</w:t>
      </w:r>
      <w:proofErr w:type="spellEnd"/>
      <w:r w:rsidRPr="00942F86">
        <w:rPr>
          <w:sz w:val="25"/>
          <w:szCs w:val="25"/>
        </w:rPr>
        <w:t xml:space="preserve"> Global Insight.</w:t>
      </w:r>
      <w:r w:rsidRPr="00942F86">
        <w:rPr>
          <w:sz w:val="25"/>
          <w:szCs w:val="25"/>
          <w:vertAlign w:val="superscript"/>
        </w:rPr>
        <w:footnoteReference w:id="78"/>
      </w:r>
      <w:r w:rsidRPr="00942F86">
        <w:rPr>
          <w:sz w:val="25"/>
          <w:szCs w:val="25"/>
        </w:rPr>
        <w:t xml:space="preserve">  </w:t>
      </w:r>
      <w:r w:rsidR="00CA268C" w:rsidRPr="00942F86">
        <w:rPr>
          <w:sz w:val="25"/>
          <w:szCs w:val="25"/>
        </w:rPr>
        <w:t xml:space="preserve">These are not indices prepared with specific reference to Pacific Power.  They rely on data from the </w:t>
      </w:r>
      <w:r w:rsidR="0047350D" w:rsidRPr="00942F86">
        <w:rPr>
          <w:sz w:val="25"/>
          <w:szCs w:val="25"/>
        </w:rPr>
        <w:t xml:space="preserve">U.S. </w:t>
      </w:r>
      <w:r w:rsidR="00CA268C" w:rsidRPr="00942F86">
        <w:rPr>
          <w:sz w:val="25"/>
          <w:szCs w:val="25"/>
        </w:rPr>
        <w:t xml:space="preserve">utility industry generally.  </w:t>
      </w:r>
      <w:proofErr w:type="spellStart"/>
      <w:r w:rsidRPr="00942F86">
        <w:rPr>
          <w:sz w:val="25"/>
          <w:szCs w:val="25"/>
        </w:rPr>
        <w:t>IHS</w:t>
      </w:r>
      <w:proofErr w:type="spellEnd"/>
      <w:r w:rsidRPr="00942F86">
        <w:rPr>
          <w:sz w:val="25"/>
          <w:szCs w:val="25"/>
        </w:rPr>
        <w:t xml:space="preserve"> Global Insight assesses electric utility costs for materials and services (excluding labor) and develops escalation factors broken out by FERC Uniform System of Accounts functional subcategory.</w:t>
      </w:r>
      <w:r w:rsidRPr="00942F86">
        <w:rPr>
          <w:sz w:val="25"/>
          <w:szCs w:val="25"/>
          <w:vertAlign w:val="superscript"/>
        </w:rPr>
        <w:footnoteReference w:id="79"/>
      </w:r>
      <w:r w:rsidRPr="00942F86">
        <w:rPr>
          <w:sz w:val="25"/>
          <w:szCs w:val="25"/>
        </w:rPr>
        <w:t xml:space="preserve">  The individual indices are then combined into broader indices representing operation, maintenance, or total operation and maintenance expenses.</w:t>
      </w:r>
      <w:r w:rsidRPr="00942F86">
        <w:rPr>
          <w:sz w:val="25"/>
          <w:szCs w:val="25"/>
          <w:vertAlign w:val="superscript"/>
        </w:rPr>
        <w:footnoteReference w:id="80"/>
      </w:r>
      <w:r w:rsidRPr="00942F86">
        <w:rPr>
          <w:sz w:val="25"/>
          <w:szCs w:val="25"/>
        </w:rPr>
        <w:t xml:space="preserve">  The Company proposes applying the </w:t>
      </w:r>
      <w:proofErr w:type="spellStart"/>
      <w:r w:rsidRPr="00942F86">
        <w:rPr>
          <w:sz w:val="25"/>
          <w:szCs w:val="25"/>
        </w:rPr>
        <w:t>IHS</w:t>
      </w:r>
      <w:proofErr w:type="spellEnd"/>
      <w:r w:rsidRPr="00942F86">
        <w:rPr>
          <w:sz w:val="25"/>
          <w:szCs w:val="25"/>
        </w:rPr>
        <w:t xml:space="preserve"> Global Insights indices, by FERC function, to the Company’s historical </w:t>
      </w:r>
      <w:r w:rsidR="00CA268C" w:rsidRPr="00942F86">
        <w:rPr>
          <w:sz w:val="25"/>
          <w:szCs w:val="25"/>
        </w:rPr>
        <w:t xml:space="preserve">test year </w:t>
      </w:r>
      <w:r w:rsidRPr="00942F86">
        <w:rPr>
          <w:sz w:val="25"/>
          <w:szCs w:val="25"/>
        </w:rPr>
        <w:t>expense levels</w:t>
      </w:r>
      <w:r w:rsidR="00CA268C" w:rsidRPr="00942F86">
        <w:rPr>
          <w:sz w:val="25"/>
          <w:szCs w:val="25"/>
        </w:rPr>
        <w:t xml:space="preserve"> as a means to forecast these costs for Pacific Power during the rate year, through March 31, 2016</w:t>
      </w:r>
      <w:r w:rsidRPr="00942F86">
        <w:rPr>
          <w:sz w:val="25"/>
          <w:szCs w:val="25"/>
        </w:rPr>
        <w:t>.</w:t>
      </w:r>
      <w:r w:rsidRPr="00942F86">
        <w:rPr>
          <w:sz w:val="25"/>
          <w:szCs w:val="25"/>
          <w:vertAlign w:val="superscript"/>
        </w:rPr>
        <w:footnoteReference w:id="81"/>
      </w:r>
    </w:p>
    <w:p w14:paraId="24E204CB" w14:textId="77777777" w:rsidR="0040054A" w:rsidRPr="00942F86" w:rsidRDefault="0040054A" w:rsidP="000455AC">
      <w:pPr>
        <w:spacing w:line="264" w:lineRule="auto"/>
        <w:rPr>
          <w:sz w:val="25"/>
          <w:szCs w:val="25"/>
        </w:rPr>
      </w:pPr>
    </w:p>
    <w:p w14:paraId="0DDE9972" w14:textId="524ABBE0" w:rsidR="0062543F" w:rsidRPr="00942F86" w:rsidRDefault="0040054A" w:rsidP="005E0DF4">
      <w:pPr>
        <w:numPr>
          <w:ilvl w:val="0"/>
          <w:numId w:val="1"/>
        </w:numPr>
        <w:tabs>
          <w:tab w:val="clear" w:pos="720"/>
          <w:tab w:val="num" w:pos="0"/>
        </w:tabs>
        <w:spacing w:line="264" w:lineRule="auto"/>
        <w:ind w:left="0"/>
        <w:rPr>
          <w:sz w:val="25"/>
          <w:szCs w:val="25"/>
        </w:rPr>
      </w:pPr>
      <w:r w:rsidRPr="00942F86">
        <w:rPr>
          <w:sz w:val="25"/>
          <w:szCs w:val="25"/>
        </w:rPr>
        <w:t xml:space="preserve">Staff, Boise White Paper, and Public Counsel all oppose the Company’s proposal.  </w:t>
      </w:r>
      <w:r w:rsidR="00A52D22" w:rsidRPr="00942F86">
        <w:rPr>
          <w:sz w:val="25"/>
          <w:szCs w:val="25"/>
        </w:rPr>
        <w:t>They</w:t>
      </w:r>
      <w:r w:rsidRPr="00942F86">
        <w:rPr>
          <w:sz w:val="25"/>
          <w:szCs w:val="25"/>
        </w:rPr>
        <w:t xml:space="preserve"> argue that it is too far a departure from historical test year principles, including most significantly that </w:t>
      </w:r>
      <w:r w:rsidRPr="00942F86">
        <w:rPr>
          <w:i/>
          <w:sz w:val="25"/>
          <w:szCs w:val="25"/>
        </w:rPr>
        <w:t>pro forma</w:t>
      </w:r>
      <w:r w:rsidRPr="00942F86">
        <w:rPr>
          <w:sz w:val="25"/>
          <w:szCs w:val="25"/>
        </w:rPr>
        <w:t xml:space="preserve"> adjustments to test period costs must be known and measureable.</w:t>
      </w:r>
    </w:p>
    <w:p w14:paraId="2FB158A5" w14:textId="77777777" w:rsidR="00384CC3" w:rsidRPr="00942F86" w:rsidRDefault="00384CC3" w:rsidP="000455AC">
      <w:pPr>
        <w:pStyle w:val="ListParagraph"/>
        <w:spacing w:line="264" w:lineRule="auto"/>
        <w:rPr>
          <w:sz w:val="25"/>
          <w:szCs w:val="25"/>
        </w:rPr>
      </w:pPr>
    </w:p>
    <w:p w14:paraId="41A28E8E" w14:textId="48D79B62" w:rsidR="00384CC3" w:rsidRPr="00942F86" w:rsidRDefault="00384CC3" w:rsidP="005E0DF4">
      <w:pPr>
        <w:numPr>
          <w:ilvl w:val="0"/>
          <w:numId w:val="1"/>
        </w:numPr>
        <w:tabs>
          <w:tab w:val="clear" w:pos="720"/>
          <w:tab w:val="num" w:pos="0"/>
        </w:tabs>
        <w:spacing w:line="264" w:lineRule="auto"/>
        <w:ind w:left="0"/>
        <w:rPr>
          <w:sz w:val="25"/>
          <w:szCs w:val="25"/>
        </w:rPr>
      </w:pPr>
      <w:r w:rsidRPr="00942F86">
        <w:rPr>
          <w:sz w:val="25"/>
          <w:szCs w:val="25"/>
        </w:rPr>
        <w:t>Staff argues</w:t>
      </w:r>
      <w:r w:rsidR="00A06B9A" w:rsidRPr="00942F86">
        <w:rPr>
          <w:sz w:val="25"/>
          <w:szCs w:val="25"/>
        </w:rPr>
        <w:t xml:space="preserve"> </w:t>
      </w:r>
      <w:r w:rsidRPr="00942F86">
        <w:rPr>
          <w:sz w:val="25"/>
          <w:szCs w:val="25"/>
        </w:rPr>
        <w:t xml:space="preserve">that because there is no direct connection between the </w:t>
      </w:r>
      <w:proofErr w:type="spellStart"/>
      <w:r w:rsidR="004E4D8A" w:rsidRPr="00942F86">
        <w:rPr>
          <w:sz w:val="25"/>
          <w:szCs w:val="25"/>
        </w:rPr>
        <w:t>IH</w:t>
      </w:r>
      <w:r w:rsidRPr="00942F86">
        <w:rPr>
          <w:sz w:val="25"/>
          <w:szCs w:val="25"/>
        </w:rPr>
        <w:t>S</w:t>
      </w:r>
      <w:proofErr w:type="spellEnd"/>
      <w:r w:rsidRPr="00942F86">
        <w:rPr>
          <w:sz w:val="25"/>
          <w:szCs w:val="25"/>
        </w:rPr>
        <w:t xml:space="preserve"> </w:t>
      </w:r>
      <w:r w:rsidR="004E4D8A" w:rsidRPr="00942F86">
        <w:rPr>
          <w:sz w:val="25"/>
          <w:szCs w:val="25"/>
        </w:rPr>
        <w:t xml:space="preserve">Global Insight </w:t>
      </w:r>
      <w:r w:rsidRPr="00942F86">
        <w:rPr>
          <w:sz w:val="25"/>
          <w:szCs w:val="25"/>
        </w:rPr>
        <w:t>indices and Pacific Power’s operations in Washington, the Company’s proposed adjustment simply fails to reflect any specific known and measurable cost the Company incurs in serving Washington ratepayers.</w:t>
      </w:r>
      <w:r w:rsidRPr="00942F86">
        <w:rPr>
          <w:rStyle w:val="FootnoteReference"/>
          <w:sz w:val="25"/>
          <w:szCs w:val="25"/>
        </w:rPr>
        <w:footnoteReference w:id="82"/>
      </w:r>
      <w:r w:rsidRPr="00942F86">
        <w:rPr>
          <w:sz w:val="25"/>
          <w:szCs w:val="25"/>
        </w:rPr>
        <w:t xml:space="preserve">  “PacifiCorp’s proposal fails to meet any reasonable interpretation of the known and measurable standard.”</w:t>
      </w:r>
      <w:r w:rsidRPr="00942F86">
        <w:rPr>
          <w:rStyle w:val="FootnoteReference"/>
          <w:sz w:val="25"/>
          <w:szCs w:val="25"/>
        </w:rPr>
        <w:footnoteReference w:id="83"/>
      </w:r>
    </w:p>
    <w:p w14:paraId="1443A48C" w14:textId="77777777" w:rsidR="0062543F" w:rsidRPr="00942F86" w:rsidRDefault="0062543F" w:rsidP="000455AC">
      <w:pPr>
        <w:pStyle w:val="ListParagraph"/>
        <w:spacing w:line="264" w:lineRule="auto"/>
        <w:rPr>
          <w:sz w:val="25"/>
          <w:szCs w:val="25"/>
        </w:rPr>
      </w:pPr>
    </w:p>
    <w:p w14:paraId="020C42DD" w14:textId="77777777" w:rsidR="0062543F" w:rsidRPr="00942F86" w:rsidRDefault="0062543F" w:rsidP="005E0DF4">
      <w:pPr>
        <w:numPr>
          <w:ilvl w:val="0"/>
          <w:numId w:val="1"/>
        </w:numPr>
        <w:tabs>
          <w:tab w:val="clear" w:pos="720"/>
          <w:tab w:val="num" w:pos="0"/>
        </w:tabs>
        <w:spacing w:line="264" w:lineRule="auto"/>
        <w:ind w:left="0"/>
        <w:rPr>
          <w:i/>
          <w:sz w:val="25"/>
          <w:szCs w:val="25"/>
        </w:rPr>
      </w:pPr>
      <w:r w:rsidRPr="00942F86">
        <w:rPr>
          <w:sz w:val="25"/>
          <w:szCs w:val="25"/>
        </w:rPr>
        <w:lastRenderedPageBreak/>
        <w:t xml:space="preserve">Public Counsel argues that </w:t>
      </w:r>
    </w:p>
    <w:p w14:paraId="2B6DCE03" w14:textId="77777777" w:rsidR="0062543F" w:rsidRPr="00942F86" w:rsidRDefault="0062543F" w:rsidP="000455AC">
      <w:pPr>
        <w:pStyle w:val="ListParagraph"/>
        <w:spacing w:line="264" w:lineRule="auto"/>
        <w:rPr>
          <w:sz w:val="25"/>
          <w:szCs w:val="25"/>
        </w:rPr>
      </w:pPr>
    </w:p>
    <w:p w14:paraId="2E8505A3" w14:textId="77777777" w:rsidR="0062543F" w:rsidRPr="00942F86" w:rsidRDefault="0062543F" w:rsidP="000455AC">
      <w:pPr>
        <w:spacing w:line="264" w:lineRule="auto"/>
        <w:ind w:left="720" w:right="720"/>
        <w:rPr>
          <w:sz w:val="25"/>
          <w:szCs w:val="25"/>
          <w:vertAlign w:val="superscript"/>
        </w:rPr>
      </w:pPr>
      <w:r w:rsidRPr="00942F86">
        <w:rPr>
          <w:sz w:val="25"/>
          <w:szCs w:val="25"/>
        </w:rPr>
        <w:t>Rates in Washington are based on actual historical test year costs and pro-forma known and measurable adjustments, not on estimates and projections. Absent the adoption of a future test year in Washington, with necessary protections and parameters, use of escalation factors in this manner is not reasonable.</w:t>
      </w:r>
      <w:r w:rsidRPr="00942F86">
        <w:rPr>
          <w:sz w:val="25"/>
          <w:szCs w:val="25"/>
          <w:vertAlign w:val="superscript"/>
        </w:rPr>
        <w:t xml:space="preserve"> </w:t>
      </w:r>
      <w:r w:rsidRPr="00942F86">
        <w:rPr>
          <w:sz w:val="25"/>
          <w:szCs w:val="25"/>
          <w:vertAlign w:val="superscript"/>
        </w:rPr>
        <w:footnoteReference w:id="84"/>
      </w:r>
    </w:p>
    <w:p w14:paraId="4035FFB4" w14:textId="77777777" w:rsidR="0062543F" w:rsidRPr="00942F86" w:rsidRDefault="0062543F" w:rsidP="000455AC">
      <w:pPr>
        <w:spacing w:line="264" w:lineRule="auto"/>
        <w:ind w:left="720" w:right="720"/>
        <w:rPr>
          <w:i/>
          <w:sz w:val="25"/>
          <w:szCs w:val="25"/>
        </w:rPr>
      </w:pPr>
    </w:p>
    <w:p w14:paraId="729F6CC9" w14:textId="1BCB9D3E" w:rsidR="0040054A" w:rsidRPr="00942F86" w:rsidRDefault="00A52D22" w:rsidP="000455AC">
      <w:pPr>
        <w:spacing w:line="264" w:lineRule="auto"/>
        <w:rPr>
          <w:sz w:val="25"/>
          <w:szCs w:val="25"/>
        </w:rPr>
      </w:pPr>
      <w:r w:rsidRPr="00942F86">
        <w:rPr>
          <w:sz w:val="25"/>
          <w:szCs w:val="25"/>
        </w:rPr>
        <w:t>It notes that</w:t>
      </w:r>
      <w:r w:rsidR="0062543F" w:rsidRPr="00942F86">
        <w:rPr>
          <w:sz w:val="25"/>
          <w:szCs w:val="25"/>
        </w:rPr>
        <w:t xml:space="preserve"> Pacific Power has </w:t>
      </w:r>
      <w:r w:rsidR="008B7347" w:rsidRPr="00942F86">
        <w:rPr>
          <w:sz w:val="25"/>
          <w:szCs w:val="25"/>
        </w:rPr>
        <w:t>neither</w:t>
      </w:r>
      <w:r w:rsidR="0062543F" w:rsidRPr="00942F86">
        <w:rPr>
          <w:sz w:val="25"/>
          <w:szCs w:val="25"/>
        </w:rPr>
        <w:t xml:space="preserve"> performed any analysis or study, nor commissioned any third party analysis or study, to demonstrate that the O&amp;M and </w:t>
      </w:r>
      <w:proofErr w:type="spellStart"/>
      <w:r w:rsidR="0062543F" w:rsidRPr="00942F86">
        <w:rPr>
          <w:sz w:val="25"/>
          <w:szCs w:val="25"/>
        </w:rPr>
        <w:t>A&amp;G</w:t>
      </w:r>
      <w:proofErr w:type="spellEnd"/>
      <w:r w:rsidR="0062543F" w:rsidRPr="00942F86">
        <w:rPr>
          <w:sz w:val="25"/>
          <w:szCs w:val="25"/>
        </w:rPr>
        <w:t xml:space="preserve"> expenses for </w:t>
      </w:r>
      <w:r w:rsidRPr="00942F86">
        <w:rPr>
          <w:sz w:val="25"/>
          <w:szCs w:val="25"/>
        </w:rPr>
        <w:t xml:space="preserve">Pacific Power </w:t>
      </w:r>
      <w:r w:rsidR="0062543F" w:rsidRPr="00942F86">
        <w:rPr>
          <w:sz w:val="25"/>
          <w:szCs w:val="25"/>
        </w:rPr>
        <w:t xml:space="preserve">have historically been increasing at similar rates to the </w:t>
      </w:r>
      <w:proofErr w:type="spellStart"/>
      <w:r w:rsidR="004E4D8A" w:rsidRPr="00942F86">
        <w:rPr>
          <w:sz w:val="25"/>
          <w:szCs w:val="25"/>
        </w:rPr>
        <w:t>IHS</w:t>
      </w:r>
      <w:proofErr w:type="spellEnd"/>
      <w:r w:rsidR="004E4D8A" w:rsidRPr="00942F86">
        <w:rPr>
          <w:sz w:val="25"/>
          <w:szCs w:val="25"/>
        </w:rPr>
        <w:t xml:space="preserve"> </w:t>
      </w:r>
      <w:r w:rsidR="0062543F" w:rsidRPr="00942F86">
        <w:rPr>
          <w:sz w:val="25"/>
          <w:szCs w:val="25"/>
        </w:rPr>
        <w:t>Global Insight factors.</w:t>
      </w:r>
      <w:r w:rsidR="0062543F" w:rsidRPr="00942F86">
        <w:rPr>
          <w:sz w:val="25"/>
          <w:szCs w:val="25"/>
          <w:vertAlign w:val="superscript"/>
        </w:rPr>
        <w:footnoteReference w:id="85"/>
      </w:r>
      <w:r w:rsidR="0062543F" w:rsidRPr="00942F86">
        <w:rPr>
          <w:sz w:val="25"/>
          <w:szCs w:val="25"/>
        </w:rPr>
        <w:t xml:space="preserve">  </w:t>
      </w:r>
      <w:r w:rsidRPr="00942F86">
        <w:rPr>
          <w:sz w:val="25"/>
          <w:szCs w:val="25"/>
        </w:rPr>
        <w:t>The Company submitted no</w:t>
      </w:r>
      <w:r w:rsidR="0062543F" w:rsidRPr="00942F86">
        <w:rPr>
          <w:sz w:val="25"/>
          <w:szCs w:val="25"/>
        </w:rPr>
        <w:t xml:space="preserve"> such supportive analysis for the record in this case.  </w:t>
      </w:r>
    </w:p>
    <w:p w14:paraId="691D5766" w14:textId="77777777" w:rsidR="00F846EA" w:rsidRPr="00942F86" w:rsidRDefault="00F846EA" w:rsidP="000455AC">
      <w:pPr>
        <w:spacing w:line="264" w:lineRule="auto"/>
        <w:rPr>
          <w:sz w:val="25"/>
          <w:szCs w:val="25"/>
        </w:rPr>
      </w:pPr>
    </w:p>
    <w:p w14:paraId="25AED1FA" w14:textId="7A487E8D" w:rsidR="00F846EA" w:rsidRPr="00942F86" w:rsidRDefault="00CA268C" w:rsidP="005E0DF4">
      <w:pPr>
        <w:numPr>
          <w:ilvl w:val="0"/>
          <w:numId w:val="1"/>
        </w:numPr>
        <w:tabs>
          <w:tab w:val="clear" w:pos="720"/>
          <w:tab w:val="num" w:pos="0"/>
        </w:tabs>
        <w:spacing w:line="264" w:lineRule="auto"/>
        <w:ind w:left="0"/>
        <w:rPr>
          <w:sz w:val="25"/>
          <w:szCs w:val="25"/>
        </w:rPr>
      </w:pPr>
      <w:r w:rsidRPr="00942F86">
        <w:rPr>
          <w:sz w:val="25"/>
          <w:szCs w:val="25"/>
        </w:rPr>
        <w:t>Faced with this strong opposition, the Company’s principal argument</w:t>
      </w:r>
      <w:r w:rsidR="0040054A" w:rsidRPr="00942F86">
        <w:rPr>
          <w:sz w:val="25"/>
          <w:szCs w:val="25"/>
        </w:rPr>
        <w:t xml:space="preserve"> in rebuttal</w:t>
      </w:r>
      <w:r w:rsidRPr="00942F86">
        <w:rPr>
          <w:sz w:val="25"/>
          <w:szCs w:val="25"/>
        </w:rPr>
        <w:t xml:space="preserve"> </w:t>
      </w:r>
      <w:r w:rsidR="0047350D" w:rsidRPr="00942F86">
        <w:rPr>
          <w:sz w:val="25"/>
          <w:szCs w:val="25"/>
        </w:rPr>
        <w:t>is</w:t>
      </w:r>
      <w:r w:rsidRPr="00942F86">
        <w:rPr>
          <w:sz w:val="25"/>
          <w:szCs w:val="25"/>
        </w:rPr>
        <w:t xml:space="preserve"> that its claims of historical under-recovery</w:t>
      </w:r>
      <w:r w:rsidR="0047350D" w:rsidRPr="00942F86">
        <w:rPr>
          <w:sz w:val="25"/>
          <w:szCs w:val="25"/>
        </w:rPr>
        <w:t xml:space="preserve"> of costs in Washington</w:t>
      </w:r>
      <w:r w:rsidRPr="00942F86">
        <w:rPr>
          <w:sz w:val="25"/>
          <w:szCs w:val="25"/>
        </w:rPr>
        <w:t xml:space="preserve"> should persuade the Commission to largely ignore </w:t>
      </w:r>
      <w:r w:rsidR="0040054A" w:rsidRPr="00942F86">
        <w:rPr>
          <w:sz w:val="25"/>
          <w:szCs w:val="25"/>
        </w:rPr>
        <w:t xml:space="preserve">longstanding </w:t>
      </w:r>
      <w:r w:rsidRPr="00942F86">
        <w:rPr>
          <w:sz w:val="25"/>
          <w:szCs w:val="25"/>
        </w:rPr>
        <w:t xml:space="preserve">regulatory principles and allow “discrete” adjustments that would increase the Company’s </w:t>
      </w:r>
      <w:r w:rsidR="0040054A" w:rsidRPr="00942F86">
        <w:rPr>
          <w:sz w:val="25"/>
          <w:szCs w:val="25"/>
        </w:rPr>
        <w:t>revenue requirement (</w:t>
      </w:r>
      <w:r w:rsidR="0040054A" w:rsidRPr="00942F86">
        <w:rPr>
          <w:i/>
          <w:sz w:val="25"/>
          <w:szCs w:val="25"/>
        </w:rPr>
        <w:t>i.e.,</w:t>
      </w:r>
      <w:r w:rsidR="0040054A" w:rsidRPr="00942F86">
        <w:rPr>
          <w:sz w:val="25"/>
          <w:szCs w:val="25"/>
        </w:rPr>
        <w:t xml:space="preserve"> expense recovery) without giving any consideration to </w:t>
      </w:r>
      <w:r w:rsidR="00A52D22" w:rsidRPr="00942F86">
        <w:rPr>
          <w:sz w:val="25"/>
          <w:szCs w:val="25"/>
        </w:rPr>
        <w:t xml:space="preserve">possible </w:t>
      </w:r>
      <w:r w:rsidR="0040054A" w:rsidRPr="00942F86">
        <w:rPr>
          <w:sz w:val="25"/>
          <w:szCs w:val="25"/>
        </w:rPr>
        <w:t>offsetting revenue during the post-test year period.</w:t>
      </w:r>
      <w:r w:rsidRPr="00942F86">
        <w:rPr>
          <w:sz w:val="25"/>
          <w:szCs w:val="25"/>
          <w:vertAlign w:val="superscript"/>
        </w:rPr>
        <w:footnoteReference w:id="86"/>
      </w:r>
      <w:r w:rsidRPr="00942F86">
        <w:rPr>
          <w:sz w:val="25"/>
          <w:szCs w:val="25"/>
        </w:rPr>
        <w:t xml:space="preserve">  </w:t>
      </w:r>
      <w:r w:rsidR="0040054A" w:rsidRPr="00942F86">
        <w:rPr>
          <w:sz w:val="25"/>
          <w:szCs w:val="25"/>
        </w:rPr>
        <w:t>The Company rationalizes this in its Initial Brief with the argument that “[t]he Company’s load forecast shows only 0.2 percent load growth expected between the test year and the rate year, so any changes in the Company’s revenues will be substantially less than the changes in costs.”</w:t>
      </w:r>
      <w:r w:rsidR="0040054A" w:rsidRPr="00942F86">
        <w:rPr>
          <w:sz w:val="25"/>
          <w:szCs w:val="25"/>
          <w:vertAlign w:val="superscript"/>
        </w:rPr>
        <w:footnoteReference w:id="87"/>
      </w:r>
      <w:r w:rsidR="0040054A" w:rsidRPr="00942F86">
        <w:rPr>
          <w:sz w:val="25"/>
          <w:szCs w:val="25"/>
        </w:rPr>
        <w:t xml:space="preserve"> </w:t>
      </w:r>
    </w:p>
    <w:p w14:paraId="3EBA2934" w14:textId="77777777" w:rsidR="003E6A7D" w:rsidRPr="00942F86" w:rsidRDefault="003E6A7D" w:rsidP="000455AC">
      <w:pPr>
        <w:spacing w:line="264" w:lineRule="auto"/>
        <w:rPr>
          <w:sz w:val="25"/>
          <w:szCs w:val="25"/>
        </w:rPr>
      </w:pPr>
    </w:p>
    <w:p w14:paraId="450A7FA4" w14:textId="515474D1" w:rsidR="00C27556" w:rsidRPr="00942F86" w:rsidRDefault="003E6A7D" w:rsidP="005E0DF4">
      <w:pPr>
        <w:numPr>
          <w:ilvl w:val="0"/>
          <w:numId w:val="1"/>
        </w:numPr>
        <w:tabs>
          <w:tab w:val="clear" w:pos="720"/>
          <w:tab w:val="num" w:pos="0"/>
        </w:tabs>
        <w:spacing w:line="264" w:lineRule="auto"/>
        <w:ind w:left="0"/>
        <w:rPr>
          <w:rFonts w:eastAsia="Calibri"/>
          <w:sz w:val="25"/>
          <w:szCs w:val="25"/>
        </w:rPr>
      </w:pPr>
      <w:r w:rsidRPr="00942F86">
        <w:rPr>
          <w:i/>
          <w:sz w:val="25"/>
          <w:szCs w:val="25"/>
        </w:rPr>
        <w:t>Commission Determination:</w:t>
      </w:r>
      <w:r w:rsidRPr="00942F86">
        <w:rPr>
          <w:sz w:val="25"/>
          <w:szCs w:val="25"/>
        </w:rPr>
        <w:t xml:space="preserve">  </w:t>
      </w:r>
      <w:r w:rsidR="0047350D" w:rsidRPr="00942F86">
        <w:rPr>
          <w:rFonts w:eastAsia="Calibri"/>
          <w:sz w:val="25"/>
          <w:szCs w:val="25"/>
        </w:rPr>
        <w:t>The</w:t>
      </w:r>
      <w:r w:rsidR="00A52D22" w:rsidRPr="00942F86">
        <w:rPr>
          <w:rFonts w:eastAsia="Calibri"/>
          <w:sz w:val="25"/>
          <w:szCs w:val="25"/>
        </w:rPr>
        <w:t xml:space="preserve"> Company’s proposed </w:t>
      </w:r>
      <w:r w:rsidR="0047350D" w:rsidRPr="00942F86">
        <w:rPr>
          <w:rFonts w:eastAsia="Calibri"/>
          <w:sz w:val="25"/>
          <w:szCs w:val="25"/>
        </w:rPr>
        <w:t>adjustment</w:t>
      </w:r>
      <w:r w:rsidR="00A52D22" w:rsidRPr="00942F86">
        <w:rPr>
          <w:rFonts w:eastAsia="Calibri"/>
          <w:sz w:val="25"/>
          <w:szCs w:val="25"/>
        </w:rPr>
        <w:t>s</w:t>
      </w:r>
      <w:r w:rsidR="0047350D" w:rsidRPr="00942F86">
        <w:rPr>
          <w:rFonts w:eastAsia="Calibri"/>
          <w:sz w:val="25"/>
          <w:szCs w:val="25"/>
        </w:rPr>
        <w:t xml:space="preserve"> using the </w:t>
      </w:r>
      <w:proofErr w:type="spellStart"/>
      <w:r w:rsidR="0047350D" w:rsidRPr="00942F86">
        <w:rPr>
          <w:rFonts w:eastAsia="Calibri"/>
          <w:sz w:val="25"/>
          <w:szCs w:val="25"/>
        </w:rPr>
        <w:t>IHS</w:t>
      </w:r>
      <w:proofErr w:type="spellEnd"/>
      <w:r w:rsidR="0047350D" w:rsidRPr="00942F86">
        <w:rPr>
          <w:rFonts w:eastAsia="Calibri"/>
          <w:sz w:val="25"/>
          <w:szCs w:val="25"/>
        </w:rPr>
        <w:t xml:space="preserve"> </w:t>
      </w:r>
      <w:r w:rsidR="008B7347" w:rsidRPr="00942F86">
        <w:rPr>
          <w:rFonts w:eastAsia="Calibri"/>
          <w:sz w:val="25"/>
          <w:szCs w:val="25"/>
        </w:rPr>
        <w:t>Global Insight i</w:t>
      </w:r>
      <w:r w:rsidR="0047350D" w:rsidRPr="00942F86">
        <w:rPr>
          <w:rFonts w:eastAsia="Calibri"/>
          <w:sz w:val="25"/>
          <w:szCs w:val="25"/>
        </w:rPr>
        <w:t xml:space="preserve">ndices </w:t>
      </w:r>
      <w:r w:rsidR="007C3AE6" w:rsidRPr="00942F86">
        <w:rPr>
          <w:rFonts w:eastAsia="Calibri"/>
          <w:sz w:val="25"/>
          <w:szCs w:val="25"/>
        </w:rPr>
        <w:t>do not present</w:t>
      </w:r>
      <w:r w:rsidR="0047350D" w:rsidRPr="00942F86">
        <w:rPr>
          <w:rFonts w:eastAsia="Calibri"/>
          <w:sz w:val="25"/>
          <w:szCs w:val="25"/>
        </w:rPr>
        <w:t xml:space="preserve"> known and measurable </w:t>
      </w:r>
      <w:r w:rsidR="0047350D" w:rsidRPr="00942F86">
        <w:rPr>
          <w:rFonts w:eastAsia="Calibri"/>
          <w:i/>
          <w:sz w:val="25"/>
          <w:szCs w:val="25"/>
        </w:rPr>
        <w:t>pro forma</w:t>
      </w:r>
      <w:r w:rsidR="0047350D" w:rsidRPr="00942F86">
        <w:rPr>
          <w:rFonts w:eastAsia="Calibri"/>
          <w:sz w:val="25"/>
          <w:szCs w:val="25"/>
        </w:rPr>
        <w:t xml:space="preserve"> adjustment</w:t>
      </w:r>
      <w:r w:rsidR="007C3AE6" w:rsidRPr="00942F86">
        <w:rPr>
          <w:rFonts w:eastAsia="Calibri"/>
          <w:sz w:val="25"/>
          <w:szCs w:val="25"/>
        </w:rPr>
        <w:t>s</w:t>
      </w:r>
      <w:r w:rsidR="0047350D" w:rsidRPr="00942F86">
        <w:rPr>
          <w:rFonts w:eastAsia="Calibri"/>
          <w:sz w:val="25"/>
          <w:szCs w:val="25"/>
        </w:rPr>
        <w:t xml:space="preserve">.  The Company supports the use of the </w:t>
      </w:r>
      <w:proofErr w:type="spellStart"/>
      <w:r w:rsidR="0047350D" w:rsidRPr="00942F86">
        <w:rPr>
          <w:rFonts w:eastAsia="Calibri"/>
          <w:sz w:val="25"/>
          <w:szCs w:val="25"/>
        </w:rPr>
        <w:t>IHS</w:t>
      </w:r>
      <w:proofErr w:type="spellEnd"/>
      <w:r w:rsidR="0047350D" w:rsidRPr="00942F86">
        <w:rPr>
          <w:rFonts w:eastAsia="Calibri"/>
          <w:sz w:val="25"/>
          <w:szCs w:val="25"/>
        </w:rPr>
        <w:t xml:space="preserve"> </w:t>
      </w:r>
      <w:r w:rsidR="004E4D8A" w:rsidRPr="00942F86">
        <w:rPr>
          <w:rFonts w:eastAsia="Calibri"/>
          <w:sz w:val="25"/>
          <w:szCs w:val="25"/>
        </w:rPr>
        <w:t>Global Insight i</w:t>
      </w:r>
      <w:r w:rsidR="0047350D" w:rsidRPr="00942F86">
        <w:rPr>
          <w:rFonts w:eastAsia="Calibri"/>
          <w:sz w:val="25"/>
          <w:szCs w:val="25"/>
        </w:rPr>
        <w:t>ndices as addressing under</w:t>
      </w:r>
      <w:r w:rsidR="00A06B9A" w:rsidRPr="00942F86">
        <w:rPr>
          <w:rFonts w:eastAsia="Calibri"/>
          <w:sz w:val="25"/>
          <w:szCs w:val="25"/>
        </w:rPr>
        <w:t>-</w:t>
      </w:r>
      <w:r w:rsidR="0047350D" w:rsidRPr="00942F86">
        <w:rPr>
          <w:rFonts w:eastAsia="Calibri"/>
          <w:sz w:val="25"/>
          <w:szCs w:val="25"/>
        </w:rPr>
        <w:t xml:space="preserve">earnings that </w:t>
      </w:r>
      <w:r w:rsidR="00A06B9A" w:rsidRPr="00942F86">
        <w:rPr>
          <w:rFonts w:eastAsia="Calibri"/>
          <w:sz w:val="25"/>
          <w:szCs w:val="25"/>
        </w:rPr>
        <w:t xml:space="preserve">it claims </w:t>
      </w:r>
      <w:r w:rsidR="0047350D" w:rsidRPr="00942F86">
        <w:rPr>
          <w:rFonts w:eastAsia="Calibri"/>
          <w:sz w:val="25"/>
          <w:szCs w:val="25"/>
        </w:rPr>
        <w:t xml:space="preserve">result </w:t>
      </w:r>
      <w:r w:rsidR="00A06B9A" w:rsidRPr="00942F86">
        <w:rPr>
          <w:rFonts w:eastAsia="Calibri"/>
          <w:sz w:val="25"/>
          <w:szCs w:val="25"/>
        </w:rPr>
        <w:t xml:space="preserve">from </w:t>
      </w:r>
      <w:r w:rsidR="0047350D" w:rsidRPr="00942F86">
        <w:rPr>
          <w:rFonts w:eastAsia="Calibri"/>
          <w:sz w:val="25"/>
          <w:szCs w:val="25"/>
        </w:rPr>
        <w:t>Washington</w:t>
      </w:r>
      <w:r w:rsidR="00A06B9A" w:rsidRPr="00942F86">
        <w:rPr>
          <w:rFonts w:eastAsia="Calibri"/>
          <w:sz w:val="25"/>
          <w:szCs w:val="25"/>
        </w:rPr>
        <w:t>’s use of</w:t>
      </w:r>
      <w:r w:rsidR="0047350D" w:rsidRPr="00942F86">
        <w:rPr>
          <w:rFonts w:eastAsia="Calibri"/>
          <w:sz w:val="25"/>
          <w:szCs w:val="25"/>
        </w:rPr>
        <w:t xml:space="preserve"> a historic test year.  </w:t>
      </w:r>
      <w:r w:rsidR="004E4D8A" w:rsidRPr="00942F86">
        <w:rPr>
          <w:rFonts w:eastAsia="Calibri"/>
          <w:sz w:val="25"/>
          <w:szCs w:val="25"/>
        </w:rPr>
        <w:t>Essentially, t</w:t>
      </w:r>
      <w:r w:rsidR="0047350D" w:rsidRPr="00942F86">
        <w:rPr>
          <w:rFonts w:eastAsia="Calibri"/>
          <w:sz w:val="25"/>
          <w:szCs w:val="25"/>
        </w:rPr>
        <w:t xml:space="preserve">his is another effort by Pacific Power to force the square peg of a future test year approach to ratemaking into the round hole of our </w:t>
      </w:r>
      <w:r w:rsidR="008251B7" w:rsidRPr="00942F86">
        <w:rPr>
          <w:rFonts w:eastAsia="Calibri"/>
          <w:sz w:val="25"/>
          <w:szCs w:val="25"/>
        </w:rPr>
        <w:t>hybrid</w:t>
      </w:r>
      <w:r w:rsidR="0047350D" w:rsidRPr="00942F86">
        <w:rPr>
          <w:rFonts w:eastAsia="Calibri"/>
          <w:sz w:val="25"/>
          <w:szCs w:val="25"/>
        </w:rPr>
        <w:t xml:space="preserve"> test year approach.  </w:t>
      </w:r>
    </w:p>
    <w:p w14:paraId="3D8217EC" w14:textId="77777777" w:rsidR="00C27556" w:rsidRPr="00942F86" w:rsidRDefault="00C27556" w:rsidP="000455AC">
      <w:pPr>
        <w:spacing w:line="264" w:lineRule="auto"/>
        <w:rPr>
          <w:rFonts w:eastAsia="Calibri"/>
          <w:sz w:val="25"/>
          <w:szCs w:val="25"/>
        </w:rPr>
      </w:pPr>
    </w:p>
    <w:p w14:paraId="22D23E9B" w14:textId="14F8B299" w:rsidR="003A68A8" w:rsidRPr="00942F86" w:rsidRDefault="0047350D" w:rsidP="005E0DF4">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lastRenderedPageBreak/>
        <w:t xml:space="preserve">As </w:t>
      </w:r>
      <w:r w:rsidR="007C3AE6" w:rsidRPr="00942F86">
        <w:rPr>
          <w:rFonts w:eastAsia="Calibri"/>
          <w:sz w:val="25"/>
          <w:szCs w:val="25"/>
        </w:rPr>
        <w:t>S</w:t>
      </w:r>
      <w:r w:rsidRPr="00942F86">
        <w:rPr>
          <w:rFonts w:eastAsia="Calibri"/>
          <w:sz w:val="25"/>
          <w:szCs w:val="25"/>
        </w:rPr>
        <w:t xml:space="preserve">taff points out, under this state’s approach to ratemaking </w:t>
      </w:r>
      <w:r w:rsidR="008251B7" w:rsidRPr="00942F86">
        <w:rPr>
          <w:rFonts w:eastAsia="Calibri"/>
          <w:sz w:val="25"/>
          <w:szCs w:val="25"/>
        </w:rPr>
        <w:t xml:space="preserve">the Company </w:t>
      </w:r>
      <w:r w:rsidR="008B7347" w:rsidRPr="00942F86">
        <w:rPr>
          <w:rFonts w:eastAsia="Calibri"/>
          <w:sz w:val="25"/>
          <w:szCs w:val="25"/>
        </w:rPr>
        <w:t>sh</w:t>
      </w:r>
      <w:r w:rsidR="008251B7" w:rsidRPr="00942F86">
        <w:rPr>
          <w:rFonts w:eastAsia="Calibri"/>
          <w:sz w:val="25"/>
          <w:szCs w:val="25"/>
        </w:rPr>
        <w:t>ould</w:t>
      </w:r>
      <w:r w:rsidRPr="00942F86">
        <w:rPr>
          <w:rFonts w:eastAsia="Calibri"/>
          <w:sz w:val="25"/>
          <w:szCs w:val="25"/>
        </w:rPr>
        <w:t xml:space="preserve"> perform an attrition study to show </w:t>
      </w:r>
      <w:r w:rsidR="008251B7" w:rsidRPr="00942F86">
        <w:rPr>
          <w:rFonts w:eastAsia="Calibri"/>
          <w:sz w:val="25"/>
          <w:szCs w:val="25"/>
        </w:rPr>
        <w:t xml:space="preserve">that </w:t>
      </w:r>
      <w:r w:rsidRPr="00942F86">
        <w:rPr>
          <w:rFonts w:eastAsia="Calibri"/>
          <w:sz w:val="25"/>
          <w:szCs w:val="25"/>
        </w:rPr>
        <w:t xml:space="preserve">Company specific trends in non-labor and non-power O&amp;M and </w:t>
      </w:r>
      <w:proofErr w:type="spellStart"/>
      <w:r w:rsidRPr="00942F86">
        <w:rPr>
          <w:rFonts w:eastAsia="Calibri"/>
          <w:sz w:val="25"/>
          <w:szCs w:val="25"/>
        </w:rPr>
        <w:t>A&amp;G</w:t>
      </w:r>
      <w:proofErr w:type="spellEnd"/>
      <w:r w:rsidRPr="00942F86">
        <w:rPr>
          <w:rFonts w:eastAsia="Calibri"/>
          <w:sz w:val="25"/>
          <w:szCs w:val="25"/>
        </w:rPr>
        <w:t xml:space="preserve"> expense exceed revenue growth and efficiency gains.</w:t>
      </w:r>
      <w:r w:rsidR="003A68A8" w:rsidRPr="00942F86">
        <w:rPr>
          <w:rStyle w:val="FootnoteReference"/>
          <w:rFonts w:eastAsia="Calibri"/>
          <w:sz w:val="25"/>
          <w:szCs w:val="25"/>
        </w:rPr>
        <w:footnoteReference w:id="88"/>
      </w:r>
      <w:r w:rsidR="003A68A8" w:rsidRPr="00942F86">
        <w:rPr>
          <w:rFonts w:eastAsia="Calibri"/>
          <w:sz w:val="25"/>
          <w:szCs w:val="25"/>
        </w:rPr>
        <w:t xml:space="preserve">  Pacific Power, however, </w:t>
      </w:r>
      <w:r w:rsidR="008251B7" w:rsidRPr="00942F86">
        <w:rPr>
          <w:rFonts w:eastAsia="Calibri"/>
          <w:sz w:val="25"/>
          <w:szCs w:val="25"/>
        </w:rPr>
        <w:t xml:space="preserve">has </w:t>
      </w:r>
      <w:r w:rsidR="003A68A8" w:rsidRPr="00942F86">
        <w:rPr>
          <w:rFonts w:eastAsia="Calibri"/>
          <w:sz w:val="25"/>
          <w:szCs w:val="25"/>
        </w:rPr>
        <w:t>performed no such study</w:t>
      </w:r>
      <w:r w:rsidR="008251B7" w:rsidRPr="00942F86">
        <w:rPr>
          <w:rFonts w:eastAsia="Calibri"/>
          <w:sz w:val="25"/>
          <w:szCs w:val="25"/>
        </w:rPr>
        <w:t xml:space="preserve"> either in this proceeding or in any of its previous general rate cases</w:t>
      </w:r>
      <w:r w:rsidR="003A68A8" w:rsidRPr="00942F86">
        <w:rPr>
          <w:rFonts w:eastAsia="Calibri"/>
          <w:sz w:val="25"/>
          <w:szCs w:val="25"/>
        </w:rPr>
        <w:t>.</w:t>
      </w:r>
      <w:r w:rsidRPr="00942F86">
        <w:rPr>
          <w:rFonts w:eastAsia="Calibri"/>
          <w:sz w:val="25"/>
          <w:szCs w:val="25"/>
        </w:rPr>
        <w:t xml:space="preserve">  Indeed, there is no evidence</w:t>
      </w:r>
      <w:r w:rsidR="008B7347" w:rsidRPr="00942F86">
        <w:rPr>
          <w:rFonts w:eastAsia="Calibri"/>
          <w:sz w:val="25"/>
          <w:szCs w:val="25"/>
        </w:rPr>
        <w:t xml:space="preserve"> in this record</w:t>
      </w:r>
      <w:r w:rsidRPr="00942F86">
        <w:rPr>
          <w:rFonts w:eastAsia="Calibri"/>
          <w:sz w:val="25"/>
          <w:szCs w:val="25"/>
        </w:rPr>
        <w:t xml:space="preserve"> that Pacific Power has under recovered </w:t>
      </w:r>
      <w:r w:rsidR="008251B7" w:rsidRPr="00942F86">
        <w:rPr>
          <w:sz w:val="25"/>
          <w:szCs w:val="25"/>
        </w:rPr>
        <w:t>these</w:t>
      </w:r>
      <w:r w:rsidRPr="00942F86">
        <w:rPr>
          <w:sz w:val="25"/>
          <w:szCs w:val="25"/>
        </w:rPr>
        <w:t xml:space="preserve"> expenses</w:t>
      </w:r>
      <w:r w:rsidRPr="00942F86">
        <w:rPr>
          <w:rFonts w:eastAsia="Calibri"/>
          <w:sz w:val="25"/>
          <w:szCs w:val="25"/>
        </w:rPr>
        <w:t xml:space="preserve"> in Washington.  </w:t>
      </w:r>
    </w:p>
    <w:p w14:paraId="1FAE7BA1" w14:textId="77777777" w:rsidR="003A68A8" w:rsidRPr="00942F86" w:rsidRDefault="003A68A8" w:rsidP="000455AC">
      <w:pPr>
        <w:spacing w:line="264" w:lineRule="auto"/>
        <w:rPr>
          <w:sz w:val="25"/>
          <w:szCs w:val="25"/>
        </w:rPr>
      </w:pPr>
    </w:p>
    <w:p w14:paraId="06CB9160" w14:textId="362A34F4" w:rsidR="003E6A7D" w:rsidRPr="00942F86" w:rsidRDefault="0047350D" w:rsidP="005E0DF4">
      <w:pPr>
        <w:numPr>
          <w:ilvl w:val="0"/>
          <w:numId w:val="1"/>
        </w:numPr>
        <w:tabs>
          <w:tab w:val="clear" w:pos="720"/>
          <w:tab w:val="num" w:pos="0"/>
        </w:tabs>
        <w:spacing w:line="264" w:lineRule="auto"/>
        <w:ind w:left="0"/>
        <w:rPr>
          <w:sz w:val="25"/>
          <w:szCs w:val="25"/>
        </w:rPr>
      </w:pPr>
      <w:r w:rsidRPr="00942F86">
        <w:rPr>
          <w:rFonts w:eastAsia="Calibri"/>
          <w:sz w:val="25"/>
          <w:szCs w:val="25"/>
        </w:rPr>
        <w:t xml:space="preserve">Further, the Company does not demonstrate that </w:t>
      </w:r>
      <w:r w:rsidR="003A68A8" w:rsidRPr="00942F86">
        <w:rPr>
          <w:rFonts w:eastAsia="Calibri"/>
          <w:sz w:val="25"/>
          <w:szCs w:val="25"/>
        </w:rPr>
        <w:t>its</w:t>
      </w:r>
      <w:r w:rsidRPr="00942F86">
        <w:rPr>
          <w:rFonts w:eastAsia="Calibri"/>
          <w:sz w:val="25"/>
          <w:szCs w:val="25"/>
        </w:rPr>
        <w:t xml:space="preserve"> historic</w:t>
      </w:r>
      <w:r w:rsidR="00897AB3" w:rsidRPr="00942F86">
        <w:rPr>
          <w:rFonts w:eastAsia="Calibri"/>
          <w:sz w:val="25"/>
          <w:szCs w:val="25"/>
        </w:rPr>
        <w:t>al</w:t>
      </w:r>
      <w:r w:rsidRPr="00942F86">
        <w:rPr>
          <w:rFonts w:eastAsia="Calibri"/>
          <w:sz w:val="25"/>
          <w:szCs w:val="25"/>
        </w:rPr>
        <w:t xml:space="preserve"> growth rate in these expense categories correspond</w:t>
      </w:r>
      <w:r w:rsidR="003A68A8" w:rsidRPr="00942F86">
        <w:rPr>
          <w:rFonts w:eastAsia="Calibri"/>
          <w:sz w:val="25"/>
          <w:szCs w:val="25"/>
        </w:rPr>
        <w:t>s in any way</w:t>
      </w:r>
      <w:r w:rsidRPr="00942F86">
        <w:rPr>
          <w:rFonts w:eastAsia="Calibri"/>
          <w:sz w:val="25"/>
          <w:szCs w:val="25"/>
        </w:rPr>
        <w:t xml:space="preserve"> to the </w:t>
      </w:r>
      <w:r w:rsidR="004E4D8A" w:rsidRPr="00942F86">
        <w:rPr>
          <w:rFonts w:eastAsia="Calibri"/>
          <w:sz w:val="25"/>
          <w:szCs w:val="25"/>
        </w:rPr>
        <w:t>HIS Global Insight</w:t>
      </w:r>
      <w:r w:rsidRPr="00942F86">
        <w:rPr>
          <w:rFonts w:eastAsia="Calibri"/>
          <w:sz w:val="25"/>
          <w:szCs w:val="25"/>
        </w:rPr>
        <w:t xml:space="preserve"> </w:t>
      </w:r>
      <w:r w:rsidR="004E4D8A" w:rsidRPr="00942F86">
        <w:rPr>
          <w:rFonts w:eastAsia="Calibri"/>
          <w:sz w:val="25"/>
          <w:szCs w:val="25"/>
        </w:rPr>
        <w:t>i</w:t>
      </w:r>
      <w:r w:rsidRPr="00942F86">
        <w:rPr>
          <w:rFonts w:eastAsia="Calibri"/>
          <w:sz w:val="25"/>
          <w:szCs w:val="25"/>
        </w:rPr>
        <w:t xml:space="preserve">ndices escalation rate.  Finally, the </w:t>
      </w:r>
      <w:proofErr w:type="spellStart"/>
      <w:r w:rsidRPr="00942F86">
        <w:rPr>
          <w:rFonts w:eastAsia="Calibri"/>
          <w:sz w:val="25"/>
          <w:szCs w:val="25"/>
        </w:rPr>
        <w:t>IHS</w:t>
      </w:r>
      <w:proofErr w:type="spellEnd"/>
      <w:r w:rsidRPr="00942F86">
        <w:rPr>
          <w:rFonts w:eastAsia="Calibri"/>
          <w:sz w:val="25"/>
          <w:szCs w:val="25"/>
        </w:rPr>
        <w:t xml:space="preserve"> </w:t>
      </w:r>
      <w:r w:rsidR="004E4D8A" w:rsidRPr="00942F86">
        <w:rPr>
          <w:rFonts w:eastAsia="Calibri"/>
          <w:sz w:val="25"/>
          <w:szCs w:val="25"/>
        </w:rPr>
        <w:t>Global Insight i</w:t>
      </w:r>
      <w:r w:rsidRPr="00942F86">
        <w:rPr>
          <w:rFonts w:eastAsia="Calibri"/>
          <w:sz w:val="25"/>
          <w:szCs w:val="25"/>
        </w:rPr>
        <w:t>ndices are based on historic</w:t>
      </w:r>
      <w:r w:rsidR="00897AB3" w:rsidRPr="00942F86">
        <w:rPr>
          <w:rFonts w:eastAsia="Calibri"/>
          <w:sz w:val="25"/>
          <w:szCs w:val="25"/>
        </w:rPr>
        <w:t>al</w:t>
      </w:r>
      <w:r w:rsidRPr="00942F86">
        <w:rPr>
          <w:rFonts w:eastAsia="Calibri"/>
          <w:sz w:val="25"/>
          <w:szCs w:val="25"/>
        </w:rPr>
        <w:t xml:space="preserve"> inflation rates</w:t>
      </w:r>
      <w:r w:rsidR="00C27556" w:rsidRPr="00942F86">
        <w:rPr>
          <w:rFonts w:eastAsia="Calibri"/>
          <w:sz w:val="25"/>
          <w:szCs w:val="25"/>
        </w:rPr>
        <w:t>,</w:t>
      </w:r>
      <w:r w:rsidRPr="00942F86">
        <w:rPr>
          <w:rFonts w:eastAsia="Calibri"/>
          <w:sz w:val="25"/>
          <w:szCs w:val="25"/>
        </w:rPr>
        <w:t xml:space="preserve"> not on forward looking estimates of inflation</w:t>
      </w:r>
      <w:r w:rsidR="008251B7" w:rsidRPr="00942F86">
        <w:rPr>
          <w:rFonts w:eastAsia="Calibri"/>
          <w:sz w:val="25"/>
          <w:szCs w:val="25"/>
        </w:rPr>
        <w:t>, which would need to be considered</w:t>
      </w:r>
      <w:r w:rsidRPr="00942F86">
        <w:rPr>
          <w:rFonts w:eastAsia="Calibri"/>
          <w:sz w:val="25"/>
          <w:szCs w:val="25"/>
        </w:rPr>
        <w:t xml:space="preserve">.  </w:t>
      </w:r>
    </w:p>
    <w:p w14:paraId="4A94CF6A" w14:textId="77777777" w:rsidR="00E95D70" w:rsidRPr="00942F86" w:rsidRDefault="00E95D70" w:rsidP="000455AC">
      <w:pPr>
        <w:spacing w:line="264" w:lineRule="auto"/>
        <w:rPr>
          <w:sz w:val="25"/>
          <w:szCs w:val="25"/>
        </w:rPr>
      </w:pPr>
    </w:p>
    <w:p w14:paraId="49E5F08C" w14:textId="2D6B0BDF" w:rsidR="003E6A7D" w:rsidRPr="00942F86" w:rsidRDefault="003A68A8" w:rsidP="005E0DF4">
      <w:pPr>
        <w:numPr>
          <w:ilvl w:val="0"/>
          <w:numId w:val="1"/>
        </w:numPr>
        <w:tabs>
          <w:tab w:val="clear" w:pos="720"/>
          <w:tab w:val="num" w:pos="0"/>
        </w:tabs>
        <w:spacing w:line="264" w:lineRule="auto"/>
        <w:ind w:left="0"/>
        <w:rPr>
          <w:sz w:val="25"/>
          <w:szCs w:val="25"/>
        </w:rPr>
      </w:pPr>
      <w:r w:rsidRPr="00942F86">
        <w:rPr>
          <w:sz w:val="25"/>
          <w:szCs w:val="25"/>
        </w:rPr>
        <w:t xml:space="preserve">We </w:t>
      </w:r>
      <w:r w:rsidR="008251B7" w:rsidRPr="00942F86">
        <w:rPr>
          <w:sz w:val="25"/>
          <w:szCs w:val="25"/>
        </w:rPr>
        <w:t xml:space="preserve">therefore </w:t>
      </w:r>
      <w:r w:rsidRPr="00942F86">
        <w:rPr>
          <w:sz w:val="25"/>
          <w:szCs w:val="25"/>
        </w:rPr>
        <w:t>reject Pacific Power’s proposal</w:t>
      </w:r>
      <w:r w:rsidR="008251B7" w:rsidRPr="00942F86">
        <w:rPr>
          <w:sz w:val="25"/>
          <w:szCs w:val="25"/>
        </w:rPr>
        <w:t xml:space="preserve"> to use the </w:t>
      </w:r>
      <w:proofErr w:type="spellStart"/>
      <w:r w:rsidR="008B7347" w:rsidRPr="00942F86">
        <w:rPr>
          <w:sz w:val="25"/>
          <w:szCs w:val="25"/>
        </w:rPr>
        <w:t>IHS</w:t>
      </w:r>
      <w:proofErr w:type="spellEnd"/>
      <w:r w:rsidR="008B7347" w:rsidRPr="00942F86">
        <w:rPr>
          <w:sz w:val="25"/>
          <w:szCs w:val="25"/>
        </w:rPr>
        <w:t xml:space="preserve"> Global Insight</w:t>
      </w:r>
      <w:r w:rsidR="008251B7" w:rsidRPr="00942F86">
        <w:rPr>
          <w:sz w:val="25"/>
          <w:szCs w:val="25"/>
        </w:rPr>
        <w:t xml:space="preserve"> indices to adjust these operating expenses.</w:t>
      </w:r>
      <w:r w:rsidRPr="00942F86">
        <w:rPr>
          <w:sz w:val="25"/>
          <w:szCs w:val="25"/>
        </w:rPr>
        <w:t xml:space="preserve"> </w:t>
      </w:r>
      <w:r w:rsidR="008251B7" w:rsidRPr="00942F86">
        <w:rPr>
          <w:sz w:val="25"/>
          <w:szCs w:val="25"/>
        </w:rPr>
        <w:t xml:space="preserve"> </w:t>
      </w:r>
      <w:r w:rsidRPr="00942F86">
        <w:rPr>
          <w:sz w:val="25"/>
          <w:szCs w:val="25"/>
        </w:rPr>
        <w:t>Even were we to adopt a future test year approach in Washington, we a</w:t>
      </w:r>
      <w:r w:rsidR="00726D77" w:rsidRPr="00942F86">
        <w:rPr>
          <w:sz w:val="25"/>
          <w:szCs w:val="25"/>
        </w:rPr>
        <w:t xml:space="preserve">re not convinced the use of the </w:t>
      </w:r>
      <w:proofErr w:type="spellStart"/>
      <w:r w:rsidR="004E4D8A" w:rsidRPr="00942F86">
        <w:rPr>
          <w:sz w:val="25"/>
          <w:szCs w:val="25"/>
        </w:rPr>
        <w:t>IHS</w:t>
      </w:r>
      <w:proofErr w:type="spellEnd"/>
      <w:r w:rsidR="004E4D8A" w:rsidRPr="00942F86">
        <w:rPr>
          <w:sz w:val="25"/>
          <w:szCs w:val="25"/>
        </w:rPr>
        <w:t xml:space="preserve"> Global Insight indices </w:t>
      </w:r>
      <w:r w:rsidRPr="00942F86">
        <w:rPr>
          <w:sz w:val="25"/>
          <w:szCs w:val="25"/>
        </w:rPr>
        <w:t>would be appropriate because they are neither specific to Pacific Power, nor have they been tested against the Company’s actual experience.</w:t>
      </w:r>
      <w:r w:rsidRPr="00942F86">
        <w:rPr>
          <w:rStyle w:val="FootnoteReference"/>
          <w:sz w:val="25"/>
          <w:szCs w:val="25"/>
        </w:rPr>
        <w:footnoteReference w:id="89"/>
      </w:r>
    </w:p>
    <w:p w14:paraId="5927C9B0" w14:textId="77777777" w:rsidR="00F9592D" w:rsidRPr="00942F86" w:rsidRDefault="00F9592D" w:rsidP="000455AC">
      <w:pPr>
        <w:spacing w:line="264" w:lineRule="auto"/>
        <w:rPr>
          <w:sz w:val="25"/>
          <w:szCs w:val="25"/>
        </w:rPr>
      </w:pPr>
    </w:p>
    <w:p w14:paraId="1549F8F0" w14:textId="77777777" w:rsidR="00CC5B19" w:rsidRPr="00942F86" w:rsidRDefault="00CC5B19" w:rsidP="000455AC">
      <w:pPr>
        <w:pStyle w:val="Heading3"/>
        <w:spacing w:before="0" w:after="0"/>
        <w:rPr>
          <w:rFonts w:cs="Times New Roman"/>
        </w:rPr>
      </w:pPr>
      <w:bookmarkStart w:id="18" w:name="_Toc153351910"/>
      <w:bookmarkStart w:id="19" w:name="_Toc415037616"/>
      <w:r w:rsidRPr="00942F86">
        <w:rPr>
          <w:rFonts w:cs="Times New Roman"/>
        </w:rPr>
        <w:t xml:space="preserve">Net Power Costs – </w:t>
      </w:r>
      <w:r w:rsidRPr="00942F86">
        <w:rPr>
          <w:rFonts w:cs="Times New Roman"/>
          <w:i/>
        </w:rPr>
        <w:t>Pro Forma</w:t>
      </w:r>
      <w:r w:rsidRPr="00942F86">
        <w:rPr>
          <w:rFonts w:cs="Times New Roman"/>
        </w:rPr>
        <w:t xml:space="preserve"> (Adjustment 5.1.1)</w:t>
      </w:r>
      <w:bookmarkEnd w:id="19"/>
    </w:p>
    <w:p w14:paraId="51DFCD01" w14:textId="77777777" w:rsidR="00CC5B19" w:rsidRPr="00942F86" w:rsidRDefault="00CC5B19" w:rsidP="000455AC">
      <w:pPr>
        <w:spacing w:line="264" w:lineRule="auto"/>
        <w:rPr>
          <w:sz w:val="25"/>
          <w:szCs w:val="25"/>
        </w:rPr>
      </w:pPr>
    </w:p>
    <w:p w14:paraId="11C87396" w14:textId="6652ED77" w:rsidR="00BB45B9" w:rsidRPr="00942F86" w:rsidRDefault="00C23D61" w:rsidP="005E0DF4">
      <w:pPr>
        <w:numPr>
          <w:ilvl w:val="0"/>
          <w:numId w:val="1"/>
        </w:numPr>
        <w:tabs>
          <w:tab w:val="clear" w:pos="720"/>
          <w:tab w:val="num" w:pos="0"/>
        </w:tabs>
        <w:spacing w:line="264" w:lineRule="auto"/>
        <w:ind w:left="0"/>
        <w:rPr>
          <w:sz w:val="25"/>
          <w:szCs w:val="25"/>
        </w:rPr>
      </w:pPr>
      <w:r w:rsidRPr="00942F86">
        <w:rPr>
          <w:sz w:val="25"/>
          <w:szCs w:val="25"/>
        </w:rPr>
        <w:t xml:space="preserve">Pacific Power requests </w:t>
      </w:r>
      <w:r w:rsidRPr="00942F86">
        <w:rPr>
          <w:i/>
          <w:sz w:val="25"/>
          <w:szCs w:val="25"/>
        </w:rPr>
        <w:t>pro forma</w:t>
      </w:r>
      <w:r w:rsidRPr="00942F86">
        <w:rPr>
          <w:sz w:val="25"/>
          <w:szCs w:val="25"/>
        </w:rPr>
        <w:t xml:space="preserve"> Net Power Costs (NPC)</w:t>
      </w:r>
      <w:r w:rsidR="008251B7" w:rsidRPr="00942F86">
        <w:rPr>
          <w:sz w:val="25"/>
          <w:szCs w:val="25"/>
        </w:rPr>
        <w:t xml:space="preserve"> in the WCA</w:t>
      </w:r>
      <w:r w:rsidRPr="00942F86">
        <w:rPr>
          <w:sz w:val="25"/>
          <w:szCs w:val="25"/>
        </w:rPr>
        <w:t xml:space="preserve"> of approximately $592.7 million, or $135.6 million on a Washington-allocated basis, for the 12 months ending March 31, 2016.</w:t>
      </w:r>
      <w:r w:rsidR="002E48C2" w:rsidRPr="00942F86">
        <w:rPr>
          <w:rStyle w:val="FootnoteReference"/>
          <w:sz w:val="25"/>
          <w:szCs w:val="25"/>
        </w:rPr>
        <w:footnoteReference w:id="90"/>
      </w:r>
      <w:r w:rsidRPr="00942F86">
        <w:rPr>
          <w:sz w:val="25"/>
          <w:szCs w:val="25"/>
        </w:rPr>
        <w:t xml:space="preserve">  This includes approximate</w:t>
      </w:r>
      <w:r w:rsidR="008251B7" w:rsidRPr="00942F86">
        <w:rPr>
          <w:sz w:val="25"/>
          <w:szCs w:val="25"/>
        </w:rPr>
        <w:t>ly</w:t>
      </w:r>
      <w:r w:rsidRPr="00942F86">
        <w:rPr>
          <w:sz w:val="25"/>
          <w:szCs w:val="25"/>
        </w:rPr>
        <w:t xml:space="preserve"> $10 million in costs the Company incurs from out-of-state Qualifying Facilit</w:t>
      </w:r>
      <w:r w:rsidR="007619DF" w:rsidRPr="00942F86">
        <w:rPr>
          <w:sz w:val="25"/>
          <w:szCs w:val="25"/>
        </w:rPr>
        <w:t>y</w:t>
      </w:r>
      <w:r w:rsidRPr="00942F86">
        <w:rPr>
          <w:sz w:val="25"/>
          <w:szCs w:val="25"/>
        </w:rPr>
        <w:t xml:space="preserve"> (</w:t>
      </w:r>
      <w:proofErr w:type="spellStart"/>
      <w:r w:rsidRPr="00942F86">
        <w:rPr>
          <w:sz w:val="25"/>
          <w:szCs w:val="25"/>
        </w:rPr>
        <w:t>QF</w:t>
      </w:r>
      <w:proofErr w:type="spellEnd"/>
      <w:r w:rsidRPr="00942F86">
        <w:rPr>
          <w:sz w:val="25"/>
          <w:szCs w:val="25"/>
        </w:rPr>
        <w:t>)</w:t>
      </w:r>
      <w:r w:rsidR="007619DF" w:rsidRPr="00942F86">
        <w:rPr>
          <w:rStyle w:val="FootnoteReference"/>
          <w:sz w:val="25"/>
          <w:szCs w:val="25"/>
        </w:rPr>
        <w:footnoteReference w:id="91"/>
      </w:r>
      <w:r w:rsidRPr="00942F86">
        <w:rPr>
          <w:sz w:val="25"/>
          <w:szCs w:val="25"/>
        </w:rPr>
        <w:t xml:space="preserve"> Purchase </w:t>
      </w:r>
      <w:r w:rsidRPr="00942F86">
        <w:rPr>
          <w:sz w:val="25"/>
          <w:szCs w:val="25"/>
        </w:rPr>
        <w:lastRenderedPageBreak/>
        <w:t>Power Agreements (</w:t>
      </w:r>
      <w:proofErr w:type="spellStart"/>
      <w:r w:rsidRPr="00942F86">
        <w:rPr>
          <w:sz w:val="25"/>
          <w:szCs w:val="25"/>
        </w:rPr>
        <w:t>PPAs</w:t>
      </w:r>
      <w:proofErr w:type="spellEnd"/>
      <w:r w:rsidRPr="00942F86">
        <w:rPr>
          <w:sz w:val="25"/>
          <w:szCs w:val="25"/>
        </w:rPr>
        <w:t>)</w:t>
      </w:r>
      <w:r w:rsidR="00717231" w:rsidRPr="00942F86">
        <w:rPr>
          <w:sz w:val="25"/>
          <w:szCs w:val="25"/>
        </w:rPr>
        <w:t xml:space="preserve">.  </w:t>
      </w:r>
      <w:r w:rsidR="008251B7" w:rsidRPr="00942F86">
        <w:rPr>
          <w:sz w:val="25"/>
          <w:szCs w:val="25"/>
        </w:rPr>
        <w:t>Under the Commission’s 2007 order</w:t>
      </w:r>
      <w:r w:rsidR="008B7347" w:rsidRPr="00942F86">
        <w:rPr>
          <w:sz w:val="25"/>
          <w:szCs w:val="25"/>
        </w:rPr>
        <w:t xml:space="preserve"> approving the WCA inter-jurisdictional cost allocation methodology</w:t>
      </w:r>
      <w:r w:rsidR="008251B7" w:rsidRPr="00942F86">
        <w:rPr>
          <w:sz w:val="25"/>
          <w:szCs w:val="25"/>
        </w:rPr>
        <w:t xml:space="preserve">, </w:t>
      </w:r>
      <w:r w:rsidR="007619DF" w:rsidRPr="00942F86">
        <w:rPr>
          <w:sz w:val="25"/>
          <w:szCs w:val="25"/>
        </w:rPr>
        <w:t>Pacific Power</w:t>
      </w:r>
      <w:r w:rsidR="008251B7" w:rsidRPr="00942F86">
        <w:rPr>
          <w:sz w:val="25"/>
          <w:szCs w:val="25"/>
        </w:rPr>
        <w:t xml:space="preserve"> must allocate </w:t>
      </w:r>
      <w:proofErr w:type="spellStart"/>
      <w:r w:rsidR="008251B7" w:rsidRPr="00942F86">
        <w:rPr>
          <w:sz w:val="25"/>
          <w:szCs w:val="25"/>
        </w:rPr>
        <w:t>QF</w:t>
      </w:r>
      <w:proofErr w:type="spellEnd"/>
      <w:r w:rsidR="008251B7" w:rsidRPr="00942F86">
        <w:rPr>
          <w:sz w:val="25"/>
          <w:szCs w:val="25"/>
        </w:rPr>
        <w:t xml:space="preserve"> costs based on “situs,” allocating the costs of these facilities to the states in which they are located</w:t>
      </w:r>
      <w:r w:rsidR="006665DA" w:rsidRPr="00942F86">
        <w:rPr>
          <w:sz w:val="25"/>
          <w:szCs w:val="25"/>
        </w:rPr>
        <w:t>.</w:t>
      </w:r>
      <w:r w:rsidR="00897AB3" w:rsidRPr="00942F86">
        <w:rPr>
          <w:rStyle w:val="FootnoteReference"/>
          <w:sz w:val="25"/>
          <w:szCs w:val="25"/>
        </w:rPr>
        <w:footnoteReference w:id="92"/>
      </w:r>
      <w:r w:rsidR="007619DF" w:rsidRPr="00942F86">
        <w:rPr>
          <w:sz w:val="25"/>
          <w:szCs w:val="25"/>
        </w:rPr>
        <w:t xml:space="preserve"> </w:t>
      </w:r>
      <w:r w:rsidR="00624053">
        <w:rPr>
          <w:sz w:val="25"/>
          <w:szCs w:val="25"/>
        </w:rPr>
        <w:t xml:space="preserve"> </w:t>
      </w:r>
      <w:r w:rsidR="00973D43" w:rsidRPr="00942F86">
        <w:rPr>
          <w:sz w:val="25"/>
          <w:szCs w:val="25"/>
        </w:rPr>
        <w:t>Staff, Public Counsel, and Boise White Paper ask the Commission to</w:t>
      </w:r>
      <w:r w:rsidR="00897AB3" w:rsidRPr="00942F86">
        <w:rPr>
          <w:sz w:val="25"/>
          <w:szCs w:val="25"/>
        </w:rPr>
        <w:t xml:space="preserve"> follow the WCA in this case and</w:t>
      </w:r>
      <w:r w:rsidR="00973D43" w:rsidRPr="00942F86">
        <w:rPr>
          <w:sz w:val="25"/>
          <w:szCs w:val="25"/>
        </w:rPr>
        <w:t xml:space="preserve"> disallow these</w:t>
      </w:r>
      <w:r w:rsidR="006665DA" w:rsidRPr="00942F86">
        <w:rPr>
          <w:sz w:val="25"/>
          <w:szCs w:val="25"/>
        </w:rPr>
        <w:t xml:space="preserve"> out-of-state </w:t>
      </w:r>
      <w:proofErr w:type="spellStart"/>
      <w:r w:rsidR="006665DA" w:rsidRPr="00942F86">
        <w:rPr>
          <w:sz w:val="25"/>
          <w:szCs w:val="25"/>
        </w:rPr>
        <w:t>QF</w:t>
      </w:r>
      <w:proofErr w:type="spellEnd"/>
      <w:r w:rsidR="00973D43" w:rsidRPr="00942F86">
        <w:rPr>
          <w:sz w:val="25"/>
          <w:szCs w:val="25"/>
        </w:rPr>
        <w:t xml:space="preserve"> costs</w:t>
      </w:r>
      <w:r w:rsidR="00897AB3" w:rsidRPr="00942F86">
        <w:rPr>
          <w:sz w:val="25"/>
          <w:szCs w:val="25"/>
        </w:rPr>
        <w:t>,</w:t>
      </w:r>
      <w:r w:rsidR="00973D43" w:rsidRPr="00942F86">
        <w:rPr>
          <w:sz w:val="25"/>
          <w:szCs w:val="25"/>
        </w:rPr>
        <w:t xml:space="preserve"> </w:t>
      </w:r>
      <w:r w:rsidR="00897AB3" w:rsidRPr="00942F86">
        <w:rPr>
          <w:sz w:val="25"/>
          <w:szCs w:val="25"/>
        </w:rPr>
        <w:t xml:space="preserve">reducing </w:t>
      </w:r>
      <w:r w:rsidR="00973D43" w:rsidRPr="00942F86">
        <w:rPr>
          <w:sz w:val="25"/>
          <w:szCs w:val="25"/>
        </w:rPr>
        <w:t>accordingly Washington NPC.</w:t>
      </w:r>
      <w:r w:rsidR="002E48C2" w:rsidRPr="00942F86">
        <w:rPr>
          <w:rStyle w:val="FootnoteReference"/>
          <w:sz w:val="25"/>
          <w:szCs w:val="25"/>
        </w:rPr>
        <w:footnoteReference w:id="93"/>
      </w:r>
    </w:p>
    <w:p w14:paraId="5206FB43" w14:textId="77777777" w:rsidR="00BB45B9" w:rsidRPr="00942F86" w:rsidRDefault="00BB45B9" w:rsidP="000455AC">
      <w:pPr>
        <w:spacing w:line="264" w:lineRule="auto"/>
        <w:rPr>
          <w:sz w:val="25"/>
          <w:szCs w:val="25"/>
        </w:rPr>
      </w:pPr>
    </w:p>
    <w:p w14:paraId="61F55B54" w14:textId="39F42580" w:rsidR="00973D43" w:rsidRPr="00942F86" w:rsidRDefault="00C23D61" w:rsidP="005E0DF4">
      <w:pPr>
        <w:numPr>
          <w:ilvl w:val="0"/>
          <w:numId w:val="1"/>
        </w:numPr>
        <w:tabs>
          <w:tab w:val="clear" w:pos="720"/>
          <w:tab w:val="num" w:pos="0"/>
        </w:tabs>
        <w:spacing w:line="264" w:lineRule="auto"/>
        <w:ind w:left="0"/>
        <w:rPr>
          <w:sz w:val="25"/>
          <w:szCs w:val="25"/>
        </w:rPr>
      </w:pPr>
      <w:r w:rsidRPr="00942F86">
        <w:rPr>
          <w:sz w:val="25"/>
          <w:szCs w:val="25"/>
        </w:rPr>
        <w:t xml:space="preserve">Boise </w:t>
      </w:r>
      <w:r w:rsidR="00973D43" w:rsidRPr="00942F86">
        <w:rPr>
          <w:sz w:val="25"/>
          <w:szCs w:val="25"/>
        </w:rPr>
        <w:t xml:space="preserve">White Paper </w:t>
      </w:r>
      <w:r w:rsidRPr="00942F86">
        <w:rPr>
          <w:sz w:val="25"/>
          <w:szCs w:val="25"/>
        </w:rPr>
        <w:t>recomme</w:t>
      </w:r>
      <w:r w:rsidR="00A63EFE" w:rsidRPr="00942F86">
        <w:rPr>
          <w:sz w:val="25"/>
          <w:szCs w:val="25"/>
        </w:rPr>
        <w:t xml:space="preserve">nds additional NPC adjustments </w:t>
      </w:r>
      <w:r w:rsidRPr="00942F86">
        <w:rPr>
          <w:sz w:val="25"/>
          <w:szCs w:val="25"/>
        </w:rPr>
        <w:t xml:space="preserve">by imputing benefits related to the </w:t>
      </w:r>
      <w:r w:rsidR="006665DA" w:rsidRPr="00942F86">
        <w:rPr>
          <w:sz w:val="25"/>
          <w:szCs w:val="25"/>
        </w:rPr>
        <w:t xml:space="preserve">Company’s </w:t>
      </w:r>
      <w:r w:rsidRPr="00942F86">
        <w:rPr>
          <w:sz w:val="25"/>
          <w:szCs w:val="25"/>
        </w:rPr>
        <w:t>participation in the Energy Imbalance Market (EIM) with the California Independent System Operator Corporation.</w:t>
      </w:r>
      <w:r w:rsidR="00A63EFE" w:rsidRPr="00942F86">
        <w:rPr>
          <w:rStyle w:val="FootnoteReference"/>
          <w:sz w:val="25"/>
          <w:szCs w:val="25"/>
        </w:rPr>
        <w:footnoteReference w:id="94"/>
      </w:r>
      <w:r w:rsidR="00973D43" w:rsidRPr="00942F86">
        <w:rPr>
          <w:sz w:val="25"/>
          <w:szCs w:val="25"/>
        </w:rPr>
        <w:t xml:space="preserve">  In addition, Boise White Paper asks the Commission:</w:t>
      </w:r>
    </w:p>
    <w:p w14:paraId="30E7A866" w14:textId="77777777" w:rsidR="00973D43" w:rsidRPr="00942F86" w:rsidRDefault="00973D43" w:rsidP="000455AC">
      <w:pPr>
        <w:pStyle w:val="ListParagraph"/>
        <w:spacing w:line="264" w:lineRule="auto"/>
        <w:rPr>
          <w:sz w:val="25"/>
          <w:szCs w:val="25"/>
        </w:rPr>
      </w:pPr>
    </w:p>
    <w:p w14:paraId="70E214E6" w14:textId="7B49177A" w:rsidR="00BB45B9" w:rsidRPr="00942F86" w:rsidRDefault="00973D43" w:rsidP="00BF7B6F">
      <w:pPr>
        <w:numPr>
          <w:ilvl w:val="0"/>
          <w:numId w:val="23"/>
        </w:numPr>
        <w:spacing w:line="264" w:lineRule="auto"/>
        <w:ind w:left="720"/>
        <w:rPr>
          <w:sz w:val="25"/>
          <w:szCs w:val="25"/>
        </w:rPr>
      </w:pPr>
      <w:r w:rsidRPr="00942F86">
        <w:rPr>
          <w:sz w:val="25"/>
          <w:szCs w:val="25"/>
        </w:rPr>
        <w:t>To accept its</w:t>
      </w:r>
      <w:r w:rsidR="006665DA" w:rsidRPr="00942F86">
        <w:rPr>
          <w:sz w:val="25"/>
          <w:szCs w:val="25"/>
        </w:rPr>
        <w:t xml:space="preserve"> proposed</w:t>
      </w:r>
      <w:r w:rsidRPr="00942F86">
        <w:rPr>
          <w:sz w:val="25"/>
          <w:szCs w:val="25"/>
        </w:rPr>
        <w:t xml:space="preserve"> reduction to NPC related to Network </w:t>
      </w:r>
      <w:r w:rsidR="00A63EFE" w:rsidRPr="00942F86">
        <w:rPr>
          <w:sz w:val="25"/>
          <w:szCs w:val="25"/>
        </w:rPr>
        <w:t xml:space="preserve">Integration and </w:t>
      </w:r>
      <w:r w:rsidRPr="00942F86">
        <w:rPr>
          <w:sz w:val="25"/>
          <w:szCs w:val="25"/>
        </w:rPr>
        <w:t>Transmission (NT) Service from the Bonneville Power Administration (BPA) rather than the smaller amount recommended by Pacific Power.</w:t>
      </w:r>
      <w:r w:rsidR="002E48C2" w:rsidRPr="00942F86">
        <w:rPr>
          <w:rStyle w:val="FootnoteReference"/>
          <w:sz w:val="25"/>
          <w:szCs w:val="25"/>
        </w:rPr>
        <w:footnoteReference w:id="95"/>
      </w:r>
    </w:p>
    <w:p w14:paraId="208DD4F6" w14:textId="77777777" w:rsidR="00F9592D" w:rsidRPr="00942F86" w:rsidRDefault="00F9592D" w:rsidP="000455AC">
      <w:pPr>
        <w:pStyle w:val="ListParagraph"/>
        <w:spacing w:line="264" w:lineRule="auto"/>
        <w:ind w:left="1080" w:right="720"/>
        <w:rPr>
          <w:sz w:val="25"/>
          <w:szCs w:val="25"/>
        </w:rPr>
      </w:pPr>
    </w:p>
    <w:p w14:paraId="198936DA" w14:textId="3E16ADB7" w:rsidR="00973D43" w:rsidRPr="00942F86" w:rsidRDefault="002E48C2" w:rsidP="00BF7B6F">
      <w:pPr>
        <w:numPr>
          <w:ilvl w:val="0"/>
          <w:numId w:val="23"/>
        </w:numPr>
        <w:spacing w:line="264" w:lineRule="auto"/>
        <w:ind w:left="720"/>
        <w:rPr>
          <w:sz w:val="25"/>
          <w:szCs w:val="25"/>
        </w:rPr>
      </w:pPr>
      <w:r w:rsidRPr="00942F86">
        <w:rPr>
          <w:sz w:val="25"/>
          <w:szCs w:val="25"/>
        </w:rPr>
        <w:t>To remove duplicative charges Boise White Paper contends result from t</w:t>
      </w:r>
      <w:r w:rsidR="00973D43" w:rsidRPr="00942F86">
        <w:rPr>
          <w:sz w:val="25"/>
          <w:szCs w:val="25"/>
        </w:rPr>
        <w:t xml:space="preserve">he Company double-counting </w:t>
      </w:r>
      <w:r w:rsidR="006665DA" w:rsidRPr="00942F86">
        <w:rPr>
          <w:sz w:val="25"/>
          <w:szCs w:val="25"/>
        </w:rPr>
        <w:t xml:space="preserve">of </w:t>
      </w:r>
      <w:r w:rsidR="00973D43" w:rsidRPr="00942F86">
        <w:rPr>
          <w:sz w:val="25"/>
          <w:szCs w:val="25"/>
        </w:rPr>
        <w:t>inter-hour wind and load integration costs through two separate NPC charge items</w:t>
      </w:r>
      <w:r w:rsidRPr="00942F86">
        <w:rPr>
          <w:sz w:val="25"/>
          <w:szCs w:val="25"/>
        </w:rPr>
        <w:t>.</w:t>
      </w:r>
      <w:r w:rsidRPr="00942F86">
        <w:rPr>
          <w:rStyle w:val="FootnoteReference"/>
          <w:sz w:val="25"/>
          <w:szCs w:val="25"/>
        </w:rPr>
        <w:footnoteReference w:id="96"/>
      </w:r>
    </w:p>
    <w:p w14:paraId="7C2F9969" w14:textId="77777777" w:rsidR="00F9592D" w:rsidRPr="00942F86" w:rsidRDefault="00F9592D" w:rsidP="000455AC">
      <w:pPr>
        <w:spacing w:line="264" w:lineRule="auto"/>
        <w:ind w:right="720"/>
        <w:rPr>
          <w:sz w:val="25"/>
          <w:szCs w:val="25"/>
        </w:rPr>
      </w:pPr>
    </w:p>
    <w:p w14:paraId="599B2C3B" w14:textId="1D9B3147" w:rsidR="002E48C2" w:rsidRPr="00942F86" w:rsidRDefault="002E48C2" w:rsidP="00BF7B6F">
      <w:pPr>
        <w:numPr>
          <w:ilvl w:val="0"/>
          <w:numId w:val="23"/>
        </w:numPr>
        <w:spacing w:line="264" w:lineRule="auto"/>
        <w:ind w:left="720"/>
        <w:rPr>
          <w:sz w:val="25"/>
          <w:szCs w:val="25"/>
        </w:rPr>
      </w:pPr>
      <w:r w:rsidRPr="00942F86">
        <w:rPr>
          <w:sz w:val="25"/>
          <w:szCs w:val="25"/>
        </w:rPr>
        <w:t>To exclude the 2013 Chehalis outage from GRID model outage rate calculations because the outage:  1) is not representative of normal plant operations in the rate period; and 2) resulted from imprudent operation.</w:t>
      </w:r>
      <w:r w:rsidRPr="00942F86">
        <w:rPr>
          <w:rStyle w:val="FootnoteReference"/>
          <w:sz w:val="25"/>
          <w:szCs w:val="25"/>
        </w:rPr>
        <w:footnoteReference w:id="97"/>
      </w:r>
    </w:p>
    <w:p w14:paraId="2C48BA69" w14:textId="77777777" w:rsidR="00A16CAF" w:rsidRPr="00942F86" w:rsidRDefault="00A16CAF" w:rsidP="000455AC">
      <w:pPr>
        <w:pStyle w:val="ListParagraph"/>
        <w:spacing w:line="264" w:lineRule="auto"/>
        <w:rPr>
          <w:sz w:val="25"/>
          <w:szCs w:val="25"/>
        </w:rPr>
      </w:pPr>
    </w:p>
    <w:p w14:paraId="6C5BA008" w14:textId="77777777" w:rsidR="00BB45B9" w:rsidRPr="00942F86" w:rsidRDefault="00BB45B9" w:rsidP="00883A54">
      <w:pPr>
        <w:pStyle w:val="Heading4"/>
        <w:numPr>
          <w:ilvl w:val="0"/>
          <w:numId w:val="42"/>
        </w:numPr>
      </w:pPr>
      <w:bookmarkStart w:id="20" w:name="_Toc415037617"/>
      <w:r w:rsidRPr="00942F86">
        <w:t>Qualifying Facilities Contract Costs</w:t>
      </w:r>
      <w:bookmarkEnd w:id="20"/>
    </w:p>
    <w:p w14:paraId="12173CA2" w14:textId="77777777" w:rsidR="00BB45B9" w:rsidRPr="00942F86" w:rsidRDefault="00BB45B9" w:rsidP="000455AC">
      <w:pPr>
        <w:spacing w:line="264" w:lineRule="auto"/>
        <w:rPr>
          <w:sz w:val="25"/>
          <w:szCs w:val="25"/>
        </w:rPr>
      </w:pPr>
    </w:p>
    <w:p w14:paraId="359C6919" w14:textId="441C9F34" w:rsidR="00FD3F04" w:rsidRPr="00942F86" w:rsidRDefault="00116898" w:rsidP="00FC421A">
      <w:pPr>
        <w:numPr>
          <w:ilvl w:val="0"/>
          <w:numId w:val="1"/>
        </w:numPr>
        <w:tabs>
          <w:tab w:val="clear" w:pos="720"/>
          <w:tab w:val="num" w:pos="0"/>
        </w:tabs>
        <w:spacing w:line="264" w:lineRule="auto"/>
        <w:ind w:left="0"/>
        <w:rPr>
          <w:sz w:val="25"/>
          <w:szCs w:val="25"/>
        </w:rPr>
      </w:pPr>
      <w:r w:rsidRPr="00942F86">
        <w:rPr>
          <w:sz w:val="25"/>
          <w:szCs w:val="25"/>
        </w:rPr>
        <w:t>The Commission addressed at length in its Final Order in Pacific Power’s 2012/2013 GRC the Company’s proposal</w:t>
      </w:r>
      <w:r w:rsidR="00622AF4" w:rsidRPr="00942F86">
        <w:rPr>
          <w:sz w:val="25"/>
          <w:szCs w:val="25"/>
        </w:rPr>
        <w:t>s</w:t>
      </w:r>
      <w:r w:rsidR="006665DA" w:rsidRPr="00942F86">
        <w:rPr>
          <w:sz w:val="25"/>
          <w:szCs w:val="25"/>
        </w:rPr>
        <w:t xml:space="preserve"> in that case</w:t>
      </w:r>
      <w:r w:rsidRPr="00942F86">
        <w:rPr>
          <w:sz w:val="25"/>
          <w:szCs w:val="25"/>
        </w:rPr>
        <w:t xml:space="preserve"> to change the way </w:t>
      </w:r>
      <w:r w:rsidR="00622AF4" w:rsidRPr="00942F86">
        <w:rPr>
          <w:sz w:val="25"/>
          <w:szCs w:val="25"/>
        </w:rPr>
        <w:t>PacifiCorp’s inter-</w:t>
      </w:r>
      <w:r w:rsidR="00622AF4" w:rsidRPr="00942F86">
        <w:rPr>
          <w:sz w:val="25"/>
          <w:szCs w:val="25"/>
        </w:rPr>
        <w:lastRenderedPageBreak/>
        <w:t xml:space="preserve">jurisdictional </w:t>
      </w:r>
      <w:r w:rsidRPr="00942F86">
        <w:rPr>
          <w:sz w:val="25"/>
          <w:szCs w:val="25"/>
        </w:rPr>
        <w:t>costs are allocated to Washington</w:t>
      </w:r>
      <w:r w:rsidR="00F32286" w:rsidRPr="00942F86">
        <w:rPr>
          <w:sz w:val="25"/>
          <w:szCs w:val="25"/>
        </w:rPr>
        <w:t xml:space="preserve"> using the WCA inter-jurisdictional cost-allocation methodology</w:t>
      </w:r>
      <w:r w:rsidRPr="00942F86">
        <w:rPr>
          <w:sz w:val="25"/>
          <w:szCs w:val="25"/>
        </w:rPr>
        <w:t>.</w:t>
      </w:r>
      <w:r w:rsidRPr="00942F86">
        <w:rPr>
          <w:rStyle w:val="FootnoteReference"/>
          <w:sz w:val="25"/>
          <w:szCs w:val="25"/>
        </w:rPr>
        <w:footnoteReference w:id="98"/>
      </w:r>
      <w:r w:rsidR="00622AF4" w:rsidRPr="00942F86">
        <w:rPr>
          <w:sz w:val="25"/>
          <w:szCs w:val="25"/>
        </w:rPr>
        <w:t xml:space="preserve">  The most significant change the Company proposed would have added </w:t>
      </w:r>
      <w:r w:rsidR="00B1628F" w:rsidRPr="00942F86">
        <w:rPr>
          <w:sz w:val="25"/>
          <w:szCs w:val="25"/>
        </w:rPr>
        <w:t xml:space="preserve">more than $10 million to Washington rates by changing the West Control Area method of allocating </w:t>
      </w:r>
      <w:proofErr w:type="spellStart"/>
      <w:r w:rsidR="00B1628F" w:rsidRPr="00942F86">
        <w:rPr>
          <w:sz w:val="25"/>
          <w:szCs w:val="25"/>
        </w:rPr>
        <w:t>QF</w:t>
      </w:r>
      <w:proofErr w:type="spellEnd"/>
      <w:r w:rsidR="00B1628F" w:rsidRPr="00942F86">
        <w:rPr>
          <w:sz w:val="25"/>
          <w:szCs w:val="25"/>
        </w:rPr>
        <w:t xml:space="preserve"> </w:t>
      </w:r>
      <w:r w:rsidR="00F32286" w:rsidRPr="00942F86">
        <w:rPr>
          <w:sz w:val="25"/>
          <w:szCs w:val="25"/>
        </w:rPr>
        <w:t xml:space="preserve">power </w:t>
      </w:r>
      <w:r w:rsidR="00B1628F" w:rsidRPr="00942F86">
        <w:rPr>
          <w:sz w:val="25"/>
          <w:szCs w:val="25"/>
        </w:rPr>
        <w:t>costs the Company incurs in Washington, Oregon, and California.</w:t>
      </w:r>
      <w:r w:rsidR="00B1628F" w:rsidRPr="00942F86">
        <w:rPr>
          <w:rStyle w:val="FootnoteReference"/>
          <w:sz w:val="25"/>
          <w:szCs w:val="25"/>
        </w:rPr>
        <w:footnoteReference w:id="99"/>
      </w:r>
      <w:r w:rsidR="00D36E7C" w:rsidRPr="00942F86">
        <w:rPr>
          <w:sz w:val="25"/>
          <w:szCs w:val="25"/>
        </w:rPr>
        <w:t xml:space="preserve">  The Commission rejected Pacific Power’s proposal and discussed at length the evidence, the parties’ arguments, and the bases for its determination.</w:t>
      </w:r>
      <w:r w:rsidR="00F32286" w:rsidRPr="00942F86">
        <w:rPr>
          <w:rStyle w:val="FootnoteReference"/>
          <w:sz w:val="25"/>
          <w:szCs w:val="25"/>
        </w:rPr>
        <w:footnoteReference w:id="100"/>
      </w:r>
      <w:r w:rsidR="00D36E7C" w:rsidRPr="00942F86">
        <w:rPr>
          <w:sz w:val="25"/>
          <w:szCs w:val="25"/>
        </w:rPr>
        <w:t xml:space="preserve">  The Commission also discussed what would be required to support any future proposal to change the WCA</w:t>
      </w:r>
      <w:r w:rsidR="006665DA" w:rsidRPr="00942F86">
        <w:rPr>
          <w:sz w:val="25"/>
          <w:szCs w:val="25"/>
        </w:rPr>
        <w:t xml:space="preserve"> methodology</w:t>
      </w:r>
      <w:r w:rsidR="00D36E7C" w:rsidRPr="00942F86">
        <w:rPr>
          <w:sz w:val="25"/>
          <w:szCs w:val="25"/>
        </w:rPr>
        <w:t>.</w:t>
      </w:r>
      <w:r w:rsidR="00F32286" w:rsidRPr="00942F86">
        <w:rPr>
          <w:rStyle w:val="FootnoteReference"/>
          <w:sz w:val="25"/>
          <w:szCs w:val="25"/>
        </w:rPr>
        <w:footnoteReference w:id="101"/>
      </w:r>
      <w:r w:rsidR="00D36E7C" w:rsidRPr="00942F86">
        <w:rPr>
          <w:sz w:val="25"/>
          <w:szCs w:val="25"/>
        </w:rPr>
        <w:t xml:space="preserve">  </w:t>
      </w:r>
      <w:r w:rsidR="00C517D1" w:rsidRPr="00942F86">
        <w:rPr>
          <w:sz w:val="25"/>
          <w:szCs w:val="25"/>
        </w:rPr>
        <w:t xml:space="preserve">  </w:t>
      </w:r>
    </w:p>
    <w:p w14:paraId="72E1A5F5" w14:textId="77777777" w:rsidR="00116898" w:rsidRPr="00942F86" w:rsidRDefault="00116898" w:rsidP="000455AC">
      <w:pPr>
        <w:spacing w:line="264" w:lineRule="auto"/>
        <w:rPr>
          <w:sz w:val="25"/>
          <w:szCs w:val="25"/>
        </w:rPr>
      </w:pPr>
    </w:p>
    <w:p w14:paraId="4BB45394" w14:textId="19145EBE" w:rsidR="00BB45B9" w:rsidRPr="00942F86" w:rsidRDefault="00D36E7C" w:rsidP="00FC421A">
      <w:pPr>
        <w:numPr>
          <w:ilvl w:val="0"/>
          <w:numId w:val="1"/>
        </w:numPr>
        <w:tabs>
          <w:tab w:val="clear" w:pos="720"/>
          <w:tab w:val="num" w:pos="0"/>
        </w:tabs>
        <w:spacing w:line="264" w:lineRule="auto"/>
        <w:ind w:left="0"/>
        <w:rPr>
          <w:sz w:val="25"/>
          <w:szCs w:val="25"/>
        </w:rPr>
      </w:pPr>
      <w:r w:rsidRPr="00942F86">
        <w:rPr>
          <w:sz w:val="25"/>
          <w:szCs w:val="25"/>
        </w:rPr>
        <w:t>In this case</w:t>
      </w:r>
      <w:r w:rsidR="00F32286" w:rsidRPr="00942F86">
        <w:rPr>
          <w:sz w:val="25"/>
          <w:szCs w:val="25"/>
        </w:rPr>
        <w:t xml:space="preserve">, </w:t>
      </w:r>
      <w:r w:rsidR="00922DF3" w:rsidRPr="00942F86">
        <w:rPr>
          <w:sz w:val="25"/>
          <w:szCs w:val="25"/>
        </w:rPr>
        <w:t xml:space="preserve">Pacific Power </w:t>
      </w:r>
      <w:r w:rsidR="00F32286" w:rsidRPr="00942F86">
        <w:rPr>
          <w:sz w:val="25"/>
          <w:szCs w:val="25"/>
        </w:rPr>
        <w:t>again</w:t>
      </w:r>
      <w:r w:rsidR="00922DF3" w:rsidRPr="00942F86">
        <w:rPr>
          <w:sz w:val="25"/>
          <w:szCs w:val="25"/>
        </w:rPr>
        <w:t xml:space="preserve"> request</w:t>
      </w:r>
      <w:r w:rsidR="00F32286" w:rsidRPr="00942F86">
        <w:rPr>
          <w:sz w:val="25"/>
          <w:szCs w:val="25"/>
        </w:rPr>
        <w:t>s</w:t>
      </w:r>
      <w:r w:rsidR="00922DF3" w:rsidRPr="00942F86">
        <w:rPr>
          <w:sz w:val="25"/>
          <w:szCs w:val="25"/>
        </w:rPr>
        <w:t xml:space="preserve"> authority to abandon the </w:t>
      </w:r>
      <w:r w:rsidR="00F32286" w:rsidRPr="00942F86">
        <w:rPr>
          <w:sz w:val="25"/>
          <w:szCs w:val="25"/>
        </w:rPr>
        <w:t xml:space="preserve">WCA </w:t>
      </w:r>
      <w:r w:rsidR="006665DA" w:rsidRPr="00942F86">
        <w:rPr>
          <w:sz w:val="25"/>
          <w:szCs w:val="25"/>
        </w:rPr>
        <w:t xml:space="preserve">situs </w:t>
      </w:r>
      <w:r w:rsidR="00922DF3" w:rsidRPr="00942F86">
        <w:rPr>
          <w:sz w:val="25"/>
          <w:szCs w:val="25"/>
        </w:rPr>
        <w:t xml:space="preserve">allocation methodology for PURPA </w:t>
      </w:r>
      <w:proofErr w:type="spellStart"/>
      <w:r w:rsidR="00922DF3" w:rsidRPr="00942F86">
        <w:rPr>
          <w:sz w:val="25"/>
          <w:szCs w:val="25"/>
        </w:rPr>
        <w:t>QF</w:t>
      </w:r>
      <w:proofErr w:type="spellEnd"/>
      <w:r w:rsidR="00F32286" w:rsidRPr="00942F86">
        <w:rPr>
          <w:sz w:val="25"/>
          <w:szCs w:val="25"/>
        </w:rPr>
        <w:t xml:space="preserve"> power costs</w:t>
      </w:r>
      <w:r w:rsidR="00922DF3" w:rsidRPr="00942F86">
        <w:rPr>
          <w:sz w:val="25"/>
          <w:szCs w:val="25"/>
        </w:rPr>
        <w:t xml:space="preserve">.  </w:t>
      </w:r>
      <w:r w:rsidR="002348DB" w:rsidRPr="00942F86">
        <w:rPr>
          <w:sz w:val="25"/>
          <w:szCs w:val="25"/>
        </w:rPr>
        <w:t xml:space="preserve">Although it presents three alternative means to change the methodology for allocating these costs, the primary proposal is identical to what it proposed in Docket UE-130043 and the fundamental argument remains the same:  </w:t>
      </w:r>
      <w:r w:rsidR="006665DA" w:rsidRPr="00942F86">
        <w:rPr>
          <w:sz w:val="25"/>
          <w:szCs w:val="25"/>
        </w:rPr>
        <w:t xml:space="preserve">that is, </w:t>
      </w:r>
      <w:r w:rsidR="002348DB" w:rsidRPr="00942F86">
        <w:rPr>
          <w:sz w:val="25"/>
          <w:szCs w:val="25"/>
        </w:rPr>
        <w:t xml:space="preserve">the WCA allocation methodology that does not allow Pacific Power to allocate the costs of Oregon and California </w:t>
      </w:r>
      <w:proofErr w:type="spellStart"/>
      <w:r w:rsidR="002348DB" w:rsidRPr="00942F86">
        <w:rPr>
          <w:sz w:val="25"/>
          <w:szCs w:val="25"/>
        </w:rPr>
        <w:t>QFs</w:t>
      </w:r>
      <w:proofErr w:type="spellEnd"/>
      <w:r w:rsidR="002348DB" w:rsidRPr="00942F86">
        <w:rPr>
          <w:sz w:val="25"/>
          <w:szCs w:val="25"/>
        </w:rPr>
        <w:t xml:space="preserve"> to Washington should be abandoned in favor of a methodology that effectively allow</w:t>
      </w:r>
      <w:r w:rsidR="006665DA" w:rsidRPr="00942F86">
        <w:rPr>
          <w:sz w:val="25"/>
          <w:szCs w:val="25"/>
        </w:rPr>
        <w:t>s</w:t>
      </w:r>
      <w:r w:rsidR="002348DB" w:rsidRPr="00942F86">
        <w:rPr>
          <w:sz w:val="25"/>
          <w:szCs w:val="25"/>
        </w:rPr>
        <w:t xml:space="preserve"> the allocation of such costs to Washington.</w:t>
      </w:r>
      <w:r w:rsidR="00BB45B9" w:rsidRPr="00942F86">
        <w:rPr>
          <w:sz w:val="25"/>
          <w:szCs w:val="25"/>
        </w:rPr>
        <w:t xml:space="preserve"> </w:t>
      </w:r>
    </w:p>
    <w:p w14:paraId="5FF72456" w14:textId="77777777" w:rsidR="00BB45B9" w:rsidRPr="00942F86" w:rsidRDefault="00BB45B9" w:rsidP="000455AC">
      <w:pPr>
        <w:spacing w:line="264" w:lineRule="auto"/>
        <w:rPr>
          <w:i/>
          <w:sz w:val="25"/>
          <w:szCs w:val="25"/>
        </w:rPr>
      </w:pPr>
    </w:p>
    <w:p w14:paraId="57E34729" w14:textId="081BFF93" w:rsidR="00C954C6" w:rsidRPr="00942F86" w:rsidRDefault="00BB45B9"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w:t>
      </w:r>
      <w:r w:rsidR="002348DB" w:rsidRPr="00942F86">
        <w:rPr>
          <w:sz w:val="25"/>
          <w:szCs w:val="25"/>
        </w:rPr>
        <w:t>In Pacific Power’s 2012/2013 GRC the parties presented extensive testimony and argument concerning th</w:t>
      </w:r>
      <w:r w:rsidR="00C954C6" w:rsidRPr="00942F86">
        <w:rPr>
          <w:sz w:val="25"/>
          <w:szCs w:val="25"/>
        </w:rPr>
        <w:t xml:space="preserve">e </w:t>
      </w:r>
      <w:proofErr w:type="spellStart"/>
      <w:r w:rsidR="00C954C6" w:rsidRPr="00942F86">
        <w:rPr>
          <w:sz w:val="25"/>
          <w:szCs w:val="25"/>
        </w:rPr>
        <w:t>QF</w:t>
      </w:r>
      <w:proofErr w:type="spellEnd"/>
      <w:r w:rsidR="00C954C6" w:rsidRPr="00942F86">
        <w:rPr>
          <w:sz w:val="25"/>
          <w:szCs w:val="25"/>
        </w:rPr>
        <w:t xml:space="preserve"> cost allocation</w:t>
      </w:r>
      <w:r w:rsidR="002348DB" w:rsidRPr="00942F86">
        <w:rPr>
          <w:sz w:val="25"/>
          <w:szCs w:val="25"/>
        </w:rPr>
        <w:t xml:space="preserve"> issue.  </w:t>
      </w:r>
      <w:r w:rsidR="005E5D28" w:rsidRPr="00942F86">
        <w:rPr>
          <w:sz w:val="25"/>
          <w:szCs w:val="25"/>
        </w:rPr>
        <w:t>The Commission discussed the issue at length in Order 05, its Final Order in the case</w:t>
      </w:r>
      <w:r w:rsidR="006665DA" w:rsidRPr="00942F86">
        <w:rPr>
          <w:sz w:val="25"/>
          <w:szCs w:val="25"/>
        </w:rPr>
        <w:t xml:space="preserve"> entered on December 4, 2013</w:t>
      </w:r>
      <w:r w:rsidR="005E5D28" w:rsidRPr="00942F86">
        <w:rPr>
          <w:sz w:val="25"/>
          <w:szCs w:val="25"/>
        </w:rPr>
        <w:t>.</w:t>
      </w:r>
      <w:r w:rsidR="00C954C6" w:rsidRPr="00942F86">
        <w:rPr>
          <w:rStyle w:val="FootnoteReference"/>
          <w:sz w:val="25"/>
          <w:szCs w:val="25"/>
        </w:rPr>
        <w:footnoteReference w:id="102"/>
      </w:r>
      <w:r w:rsidR="006D42AD" w:rsidRPr="00942F86">
        <w:rPr>
          <w:sz w:val="25"/>
          <w:szCs w:val="25"/>
        </w:rPr>
        <w:t xml:space="preserve">  </w:t>
      </w:r>
    </w:p>
    <w:p w14:paraId="0867858F" w14:textId="77777777" w:rsidR="00C954C6" w:rsidRPr="00942F86" w:rsidRDefault="00C954C6" w:rsidP="000455AC">
      <w:pPr>
        <w:pStyle w:val="ListParagraph"/>
        <w:spacing w:line="264" w:lineRule="auto"/>
        <w:rPr>
          <w:sz w:val="25"/>
          <w:szCs w:val="25"/>
        </w:rPr>
      </w:pPr>
    </w:p>
    <w:p w14:paraId="785B87F8" w14:textId="352867EB" w:rsidR="00C954C6" w:rsidRPr="00942F86" w:rsidRDefault="006D42AD" w:rsidP="00FC421A">
      <w:pPr>
        <w:numPr>
          <w:ilvl w:val="0"/>
          <w:numId w:val="1"/>
        </w:numPr>
        <w:tabs>
          <w:tab w:val="clear" w:pos="720"/>
          <w:tab w:val="num" w:pos="0"/>
        </w:tabs>
        <w:spacing w:line="264" w:lineRule="auto"/>
        <w:ind w:left="0"/>
        <w:rPr>
          <w:sz w:val="25"/>
          <w:szCs w:val="25"/>
        </w:rPr>
      </w:pPr>
      <w:r w:rsidRPr="00942F86">
        <w:rPr>
          <w:sz w:val="25"/>
          <w:szCs w:val="25"/>
        </w:rPr>
        <w:t xml:space="preserve">Pacific Power, bypassing its opportunity to seek reconsideration under </w:t>
      </w:r>
      <w:proofErr w:type="spellStart"/>
      <w:r w:rsidRPr="00942F86">
        <w:rPr>
          <w:sz w:val="25"/>
          <w:szCs w:val="25"/>
        </w:rPr>
        <w:t>RCW</w:t>
      </w:r>
      <w:proofErr w:type="spellEnd"/>
      <w:r w:rsidRPr="00942F86">
        <w:rPr>
          <w:sz w:val="25"/>
          <w:szCs w:val="25"/>
        </w:rPr>
        <w:t xml:space="preserve"> 34.05.470, appealed the Commission’s order to the Washington Court of Appeals, Division II</w:t>
      </w:r>
      <w:r w:rsidR="00C954C6" w:rsidRPr="00942F86">
        <w:rPr>
          <w:sz w:val="25"/>
          <w:szCs w:val="25"/>
        </w:rPr>
        <w:t>, on January 2, 2014.  The Company makes essentially</w:t>
      </w:r>
      <w:r w:rsidRPr="00942F86">
        <w:rPr>
          <w:sz w:val="25"/>
          <w:szCs w:val="25"/>
        </w:rPr>
        <w:t xml:space="preserve"> the same arguments to the Court concerning the allocation of </w:t>
      </w:r>
      <w:proofErr w:type="spellStart"/>
      <w:r w:rsidRPr="00942F86">
        <w:rPr>
          <w:sz w:val="25"/>
          <w:szCs w:val="25"/>
        </w:rPr>
        <w:t>QF</w:t>
      </w:r>
      <w:proofErr w:type="spellEnd"/>
      <w:r w:rsidRPr="00942F86">
        <w:rPr>
          <w:sz w:val="25"/>
          <w:szCs w:val="25"/>
        </w:rPr>
        <w:t xml:space="preserve"> costs that the Commission expressly rejected in Order 05.</w:t>
      </w:r>
      <w:r w:rsidR="005E5D28" w:rsidRPr="00942F86">
        <w:rPr>
          <w:sz w:val="25"/>
          <w:szCs w:val="25"/>
        </w:rPr>
        <w:t xml:space="preserve">  </w:t>
      </w:r>
      <w:r w:rsidR="00C954C6" w:rsidRPr="00942F86">
        <w:rPr>
          <w:sz w:val="25"/>
          <w:szCs w:val="25"/>
        </w:rPr>
        <w:t>The Commission answers these arguments in its brief to the Court, filed on December 24, 2014.</w:t>
      </w:r>
      <w:r w:rsidR="006665DA" w:rsidRPr="00942F86">
        <w:rPr>
          <w:sz w:val="25"/>
          <w:szCs w:val="25"/>
        </w:rPr>
        <w:t xml:space="preserve">  As of the date of this Order, that case is still pending in the Court of Appeals.</w:t>
      </w:r>
    </w:p>
    <w:p w14:paraId="3A09F6E0" w14:textId="77777777" w:rsidR="00C954C6" w:rsidRPr="00942F86" w:rsidRDefault="00C954C6" w:rsidP="000455AC">
      <w:pPr>
        <w:pStyle w:val="ListParagraph"/>
        <w:spacing w:line="264" w:lineRule="auto"/>
        <w:rPr>
          <w:sz w:val="25"/>
          <w:szCs w:val="25"/>
        </w:rPr>
      </w:pPr>
    </w:p>
    <w:p w14:paraId="2739F3B3" w14:textId="3D835220" w:rsidR="00BB45B9" w:rsidRPr="00942F86" w:rsidRDefault="006665DA" w:rsidP="00FC421A">
      <w:pPr>
        <w:numPr>
          <w:ilvl w:val="0"/>
          <w:numId w:val="1"/>
        </w:numPr>
        <w:tabs>
          <w:tab w:val="clear" w:pos="720"/>
          <w:tab w:val="num" w:pos="0"/>
        </w:tabs>
        <w:spacing w:line="264" w:lineRule="auto"/>
        <w:ind w:left="0"/>
        <w:rPr>
          <w:sz w:val="25"/>
          <w:szCs w:val="25"/>
        </w:rPr>
      </w:pPr>
      <w:r w:rsidRPr="00942F86">
        <w:rPr>
          <w:sz w:val="25"/>
          <w:szCs w:val="25"/>
        </w:rPr>
        <w:t xml:space="preserve">Pacific Power filed this rate case on May 1, 2014, making the same </w:t>
      </w:r>
      <w:proofErr w:type="spellStart"/>
      <w:r w:rsidRPr="00942F86">
        <w:rPr>
          <w:sz w:val="25"/>
          <w:szCs w:val="25"/>
        </w:rPr>
        <w:t>QF</w:t>
      </w:r>
      <w:proofErr w:type="spellEnd"/>
      <w:r w:rsidRPr="00942F86">
        <w:rPr>
          <w:sz w:val="25"/>
          <w:szCs w:val="25"/>
        </w:rPr>
        <w:t xml:space="preserve"> cost allocation proposal.  </w:t>
      </w:r>
      <w:r w:rsidR="005E5D28" w:rsidRPr="00942F86">
        <w:rPr>
          <w:sz w:val="25"/>
          <w:szCs w:val="25"/>
        </w:rPr>
        <w:t xml:space="preserve">Again in this case, the parties present extensive testimony and argument, much of which repeats in one form or another what the Commission heard in the prior case and summarizes what the Commission said in Order 05, entered just five months before Pacific Power filed this case.  We </w:t>
      </w:r>
      <w:r w:rsidRPr="00942F86">
        <w:rPr>
          <w:sz w:val="25"/>
          <w:szCs w:val="25"/>
        </w:rPr>
        <w:t>decline</w:t>
      </w:r>
      <w:r w:rsidR="005E5D28" w:rsidRPr="00942F86">
        <w:rPr>
          <w:sz w:val="25"/>
          <w:szCs w:val="25"/>
        </w:rPr>
        <w:t xml:space="preserve"> to discuss, nor will we discuss this matter at length again so recently on the heels of Order 05</w:t>
      </w:r>
      <w:r w:rsidRPr="00942F86">
        <w:rPr>
          <w:sz w:val="25"/>
          <w:szCs w:val="25"/>
        </w:rPr>
        <w:t>, especially given that the matter is still pending judicial review</w:t>
      </w:r>
      <w:r w:rsidR="005E5D28" w:rsidRPr="00942F86">
        <w:rPr>
          <w:sz w:val="25"/>
          <w:szCs w:val="25"/>
        </w:rPr>
        <w:t xml:space="preserve">.  </w:t>
      </w:r>
    </w:p>
    <w:p w14:paraId="607FEC47" w14:textId="77777777" w:rsidR="005E5D28" w:rsidRPr="00942F86" w:rsidRDefault="005E5D28" w:rsidP="000455AC">
      <w:pPr>
        <w:pStyle w:val="ListParagraph"/>
        <w:spacing w:line="264" w:lineRule="auto"/>
        <w:rPr>
          <w:sz w:val="25"/>
          <w:szCs w:val="25"/>
        </w:rPr>
      </w:pPr>
    </w:p>
    <w:p w14:paraId="373BE0F6" w14:textId="71F26AD1" w:rsidR="005E5D28" w:rsidRPr="00942F86" w:rsidRDefault="005E5D28" w:rsidP="00FC421A">
      <w:pPr>
        <w:numPr>
          <w:ilvl w:val="0"/>
          <w:numId w:val="1"/>
        </w:numPr>
        <w:tabs>
          <w:tab w:val="clear" w:pos="720"/>
          <w:tab w:val="num" w:pos="0"/>
        </w:tabs>
        <w:spacing w:line="264" w:lineRule="auto"/>
        <w:ind w:left="0"/>
        <w:rPr>
          <w:sz w:val="25"/>
          <w:szCs w:val="25"/>
        </w:rPr>
      </w:pPr>
      <w:r w:rsidRPr="00942F86">
        <w:rPr>
          <w:sz w:val="25"/>
          <w:szCs w:val="25"/>
        </w:rPr>
        <w:t>Pacifi</w:t>
      </w:r>
      <w:r w:rsidR="00C954C6" w:rsidRPr="00942F86">
        <w:rPr>
          <w:sz w:val="25"/>
          <w:szCs w:val="25"/>
        </w:rPr>
        <w:t>c Power</w:t>
      </w:r>
      <w:r w:rsidRPr="00942F86">
        <w:rPr>
          <w:sz w:val="25"/>
          <w:szCs w:val="25"/>
        </w:rPr>
        <w:t xml:space="preserve"> seeks to re-litigate the Commission’s decision in UE-130043 to </w:t>
      </w:r>
      <w:r w:rsidR="00A56A3A" w:rsidRPr="00942F86">
        <w:rPr>
          <w:sz w:val="25"/>
          <w:szCs w:val="25"/>
        </w:rPr>
        <w:t>depart from the WCA inter-jurisdictional cost allocation methodology and, by one means or another, include the costs of</w:t>
      </w:r>
      <w:r w:rsidRPr="00942F86">
        <w:rPr>
          <w:sz w:val="25"/>
          <w:szCs w:val="25"/>
        </w:rPr>
        <w:t xml:space="preserve"> Oregon and California </w:t>
      </w:r>
      <w:proofErr w:type="spellStart"/>
      <w:r w:rsidRPr="00942F86">
        <w:rPr>
          <w:sz w:val="25"/>
          <w:szCs w:val="25"/>
        </w:rPr>
        <w:t>QFs</w:t>
      </w:r>
      <w:proofErr w:type="spellEnd"/>
      <w:r w:rsidRPr="00942F86">
        <w:rPr>
          <w:sz w:val="25"/>
          <w:szCs w:val="25"/>
        </w:rPr>
        <w:t xml:space="preserve"> in </w:t>
      </w:r>
      <w:r w:rsidR="00A56A3A" w:rsidRPr="00942F86">
        <w:rPr>
          <w:sz w:val="25"/>
          <w:szCs w:val="25"/>
        </w:rPr>
        <w:t>Washington rates</w:t>
      </w:r>
      <w:r w:rsidRPr="00942F86">
        <w:rPr>
          <w:sz w:val="25"/>
          <w:szCs w:val="25"/>
        </w:rPr>
        <w:t>.</w:t>
      </w:r>
      <w:r w:rsidR="00C954C6" w:rsidRPr="00942F86">
        <w:rPr>
          <w:sz w:val="25"/>
          <w:szCs w:val="25"/>
        </w:rPr>
        <w:t xml:space="preserve">  At the same time, Pacific Power</w:t>
      </w:r>
      <w:r w:rsidRPr="00942F86">
        <w:rPr>
          <w:sz w:val="25"/>
          <w:szCs w:val="25"/>
        </w:rPr>
        <w:t xml:space="preserve"> </w:t>
      </w:r>
      <w:r w:rsidR="00C954C6" w:rsidRPr="00942F86">
        <w:rPr>
          <w:sz w:val="25"/>
          <w:szCs w:val="25"/>
        </w:rPr>
        <w:t>is pursuing the identical issue, making the same arguments, in the Court of Appeals.</w:t>
      </w:r>
      <w:r w:rsidRPr="00942F86">
        <w:rPr>
          <w:sz w:val="25"/>
          <w:szCs w:val="25"/>
        </w:rPr>
        <w:t xml:space="preserve"> </w:t>
      </w:r>
      <w:r w:rsidR="00C954C6" w:rsidRPr="00942F86">
        <w:rPr>
          <w:sz w:val="25"/>
          <w:szCs w:val="25"/>
        </w:rPr>
        <w:t xml:space="preserve"> </w:t>
      </w:r>
      <w:r w:rsidR="00A56A3A" w:rsidRPr="00942F86">
        <w:rPr>
          <w:sz w:val="25"/>
          <w:szCs w:val="25"/>
        </w:rPr>
        <w:t>T</w:t>
      </w:r>
      <w:r w:rsidRPr="00942F86">
        <w:rPr>
          <w:sz w:val="25"/>
          <w:szCs w:val="25"/>
        </w:rPr>
        <w:t>he Commission is not obligated to decide this issue</w:t>
      </w:r>
      <w:r w:rsidR="00A56A3A" w:rsidRPr="00942F86">
        <w:rPr>
          <w:sz w:val="25"/>
          <w:szCs w:val="25"/>
        </w:rPr>
        <w:t xml:space="preserve"> again</w:t>
      </w:r>
      <w:r w:rsidRPr="00942F86">
        <w:rPr>
          <w:sz w:val="25"/>
          <w:szCs w:val="25"/>
        </w:rPr>
        <w:t xml:space="preserve"> in this proceeding</w:t>
      </w:r>
      <w:r w:rsidR="00004E2E" w:rsidRPr="00942F86">
        <w:rPr>
          <w:sz w:val="25"/>
          <w:szCs w:val="25"/>
        </w:rPr>
        <w:t xml:space="preserve"> and exercises its statutory authority to </w:t>
      </w:r>
      <w:r w:rsidR="006665DA" w:rsidRPr="00942F86">
        <w:rPr>
          <w:sz w:val="25"/>
          <w:szCs w:val="25"/>
        </w:rPr>
        <w:t xml:space="preserve">decline </w:t>
      </w:r>
      <w:r w:rsidR="00004E2E" w:rsidRPr="00942F86">
        <w:rPr>
          <w:sz w:val="25"/>
          <w:szCs w:val="25"/>
        </w:rPr>
        <w:t>to do so</w:t>
      </w:r>
      <w:r w:rsidRPr="00942F86">
        <w:rPr>
          <w:sz w:val="25"/>
          <w:szCs w:val="25"/>
        </w:rPr>
        <w:t xml:space="preserve">.  </w:t>
      </w:r>
    </w:p>
    <w:p w14:paraId="7F8E4B68" w14:textId="77777777" w:rsidR="00A56A3A" w:rsidRPr="00942F86" w:rsidRDefault="00A56A3A" w:rsidP="000455AC">
      <w:pPr>
        <w:pStyle w:val="ListParagraph"/>
        <w:spacing w:line="264" w:lineRule="auto"/>
        <w:rPr>
          <w:sz w:val="25"/>
          <w:szCs w:val="25"/>
        </w:rPr>
      </w:pPr>
    </w:p>
    <w:p w14:paraId="0F321AE2" w14:textId="10EFC327" w:rsidR="005E5D28" w:rsidRPr="00942F86" w:rsidRDefault="005E5D28" w:rsidP="00FC421A">
      <w:pPr>
        <w:numPr>
          <w:ilvl w:val="0"/>
          <w:numId w:val="1"/>
        </w:numPr>
        <w:tabs>
          <w:tab w:val="clear" w:pos="720"/>
          <w:tab w:val="num" w:pos="0"/>
        </w:tabs>
        <w:spacing w:line="264" w:lineRule="auto"/>
        <w:ind w:left="0"/>
        <w:rPr>
          <w:sz w:val="25"/>
          <w:szCs w:val="25"/>
        </w:rPr>
      </w:pPr>
      <w:proofErr w:type="spellStart"/>
      <w:r w:rsidRPr="00942F86">
        <w:rPr>
          <w:sz w:val="25"/>
          <w:szCs w:val="25"/>
        </w:rPr>
        <w:t>RCW</w:t>
      </w:r>
      <w:proofErr w:type="spellEnd"/>
      <w:r w:rsidRPr="00942F86">
        <w:rPr>
          <w:sz w:val="25"/>
          <w:szCs w:val="25"/>
        </w:rPr>
        <w:t xml:space="preserve"> 80.04.200 states, in pertinent part:  </w:t>
      </w:r>
    </w:p>
    <w:p w14:paraId="11A877D5" w14:textId="77777777" w:rsidR="00A56A3A" w:rsidRPr="00942F86" w:rsidRDefault="00A56A3A" w:rsidP="000455AC">
      <w:pPr>
        <w:spacing w:line="264" w:lineRule="auto"/>
        <w:rPr>
          <w:sz w:val="25"/>
          <w:szCs w:val="25"/>
        </w:rPr>
      </w:pPr>
    </w:p>
    <w:p w14:paraId="103DF798" w14:textId="1D7E4EF9" w:rsidR="005E5D28" w:rsidRPr="00942F86" w:rsidRDefault="005E5D28" w:rsidP="000455AC">
      <w:pPr>
        <w:spacing w:line="264" w:lineRule="auto"/>
        <w:ind w:left="720" w:right="720"/>
        <w:rPr>
          <w:sz w:val="25"/>
          <w:szCs w:val="25"/>
        </w:rPr>
      </w:pPr>
      <w:r w:rsidRPr="00942F86">
        <w:rPr>
          <w:sz w:val="25"/>
          <w:szCs w:val="25"/>
        </w:rPr>
        <w:t>Any public service company affected by any order of the commission, and deeming itself aggrieved, may, after the expiration of two years from the date of such order taking effect, petition the commission for a rehearing upon the matters involved in such order, setting forth in such petition the grounds and reasons for such rehearing, which grounds and reasons may comprise and consist of changed conditions … , or that the effect of such order has been such as was not contemplated by the commission or the petitioner, or for any good and sufficient cause which for any reason was not considered and dete</w:t>
      </w:r>
      <w:r w:rsidR="00A56A3A" w:rsidRPr="00942F86">
        <w:rPr>
          <w:sz w:val="25"/>
          <w:szCs w:val="25"/>
        </w:rPr>
        <w:t xml:space="preserve">rmined in such former hearing. </w:t>
      </w:r>
    </w:p>
    <w:p w14:paraId="34502B21" w14:textId="77777777" w:rsidR="005E5D28" w:rsidRPr="00942F86" w:rsidRDefault="005E5D28" w:rsidP="000455AC">
      <w:pPr>
        <w:spacing w:line="264" w:lineRule="auto"/>
        <w:ind w:left="720"/>
        <w:rPr>
          <w:sz w:val="25"/>
          <w:szCs w:val="25"/>
        </w:rPr>
      </w:pPr>
    </w:p>
    <w:p w14:paraId="02937193" w14:textId="27C2877F" w:rsidR="005E5D28" w:rsidRPr="00942F86" w:rsidRDefault="00E0346A" w:rsidP="000455AC">
      <w:pPr>
        <w:spacing w:line="264" w:lineRule="auto"/>
        <w:rPr>
          <w:sz w:val="25"/>
          <w:szCs w:val="25"/>
        </w:rPr>
      </w:pPr>
      <w:r w:rsidRPr="00942F86">
        <w:rPr>
          <w:sz w:val="25"/>
          <w:szCs w:val="25"/>
        </w:rPr>
        <w:lastRenderedPageBreak/>
        <w:t>This statute establishes</w:t>
      </w:r>
      <w:r w:rsidR="005E5D28" w:rsidRPr="00942F86">
        <w:rPr>
          <w:sz w:val="25"/>
          <w:szCs w:val="25"/>
        </w:rPr>
        <w:t xml:space="preserve"> a two-year period during which an issue decided by the Commission </w:t>
      </w:r>
      <w:r w:rsidR="00A56A3A" w:rsidRPr="00942F86">
        <w:rPr>
          <w:sz w:val="25"/>
          <w:szCs w:val="25"/>
        </w:rPr>
        <w:t>need not</w:t>
      </w:r>
      <w:r w:rsidR="005E5D28" w:rsidRPr="00942F86">
        <w:rPr>
          <w:sz w:val="25"/>
          <w:szCs w:val="25"/>
        </w:rPr>
        <w:t xml:space="preserve"> be reheard.  The meaning of this statute was tested in </w:t>
      </w:r>
      <w:r w:rsidR="00004E2E" w:rsidRPr="00942F86">
        <w:rPr>
          <w:sz w:val="25"/>
          <w:szCs w:val="25"/>
        </w:rPr>
        <w:t>1997.</w:t>
      </w:r>
      <w:r w:rsidR="00004E2E" w:rsidRPr="00942F86">
        <w:rPr>
          <w:rStyle w:val="FootnoteReference"/>
          <w:sz w:val="25"/>
          <w:szCs w:val="25"/>
        </w:rPr>
        <w:footnoteReference w:id="103"/>
      </w:r>
      <w:r w:rsidR="00004E2E" w:rsidRPr="00942F86">
        <w:rPr>
          <w:sz w:val="25"/>
          <w:szCs w:val="25"/>
        </w:rPr>
        <w:t xml:space="preserve">  </w:t>
      </w:r>
    </w:p>
    <w:p w14:paraId="55906504" w14:textId="2B428C17" w:rsidR="006D7FE5" w:rsidRPr="00942F86" w:rsidRDefault="00E0346A" w:rsidP="000455AC">
      <w:pPr>
        <w:spacing w:line="264" w:lineRule="auto"/>
        <w:rPr>
          <w:sz w:val="25"/>
          <w:szCs w:val="25"/>
        </w:rPr>
      </w:pPr>
      <w:r w:rsidRPr="00942F86">
        <w:rPr>
          <w:sz w:val="25"/>
          <w:szCs w:val="25"/>
        </w:rPr>
        <w:t>T</w:t>
      </w:r>
      <w:r w:rsidR="006D7FE5" w:rsidRPr="00942F86">
        <w:rPr>
          <w:sz w:val="25"/>
          <w:szCs w:val="25"/>
        </w:rPr>
        <w:t>he Washington Supreme Court held:</w:t>
      </w:r>
    </w:p>
    <w:p w14:paraId="3A6F68D8" w14:textId="77777777" w:rsidR="007C3AE6" w:rsidRPr="00942F86" w:rsidRDefault="007C3AE6" w:rsidP="000455AC">
      <w:pPr>
        <w:spacing w:line="264" w:lineRule="auto"/>
        <w:rPr>
          <w:sz w:val="25"/>
          <w:szCs w:val="25"/>
        </w:rPr>
      </w:pPr>
    </w:p>
    <w:p w14:paraId="76601158" w14:textId="1FA65D0F" w:rsidR="006D7FE5" w:rsidRPr="00942F86" w:rsidRDefault="006D7FE5" w:rsidP="000455AC">
      <w:pPr>
        <w:spacing w:line="264" w:lineRule="auto"/>
        <w:ind w:left="720" w:right="720"/>
        <w:rPr>
          <w:sz w:val="25"/>
          <w:szCs w:val="25"/>
        </w:rPr>
      </w:pPr>
      <w:r w:rsidRPr="00942F86">
        <w:rPr>
          <w:sz w:val="25"/>
          <w:szCs w:val="25"/>
        </w:rPr>
        <w:t xml:space="preserve">The same issues which were considered in the depreciation case are the issues the Company sought to introduce in the rate case. Therefore, under </w:t>
      </w:r>
      <w:proofErr w:type="spellStart"/>
      <w:r w:rsidRPr="00942F86">
        <w:rPr>
          <w:sz w:val="25"/>
          <w:szCs w:val="25"/>
        </w:rPr>
        <w:t>RCW</w:t>
      </w:r>
      <w:proofErr w:type="spellEnd"/>
      <w:r w:rsidRPr="00942F86">
        <w:rPr>
          <w:sz w:val="25"/>
          <w:szCs w:val="25"/>
        </w:rPr>
        <w:t xml:space="preserve"> 80.04.200, the Commission did not have to rehear those issues in the rate case only months after they had been considered in the depreciation case. Under this statute, whether or not US West had “new” evidence or wished to argue that conditions had changed with regard to competition, the Commission was not obligated to hear the issues again within the two-year period.</w:t>
      </w:r>
      <w:r w:rsidRPr="00942F86">
        <w:rPr>
          <w:rStyle w:val="FootnoteReference"/>
          <w:sz w:val="25"/>
          <w:szCs w:val="25"/>
        </w:rPr>
        <w:footnoteReference w:id="104"/>
      </w:r>
    </w:p>
    <w:p w14:paraId="34143AFE" w14:textId="77777777" w:rsidR="005E5D28" w:rsidRPr="00942F86" w:rsidRDefault="005E5D28" w:rsidP="000455AC">
      <w:pPr>
        <w:spacing w:line="264" w:lineRule="auto"/>
        <w:ind w:left="720"/>
        <w:rPr>
          <w:sz w:val="25"/>
          <w:szCs w:val="25"/>
        </w:rPr>
      </w:pPr>
    </w:p>
    <w:p w14:paraId="7546E88D" w14:textId="12098869" w:rsidR="00BB45B9" w:rsidRPr="00942F86" w:rsidRDefault="005E5D28" w:rsidP="00FC421A">
      <w:pPr>
        <w:numPr>
          <w:ilvl w:val="0"/>
          <w:numId w:val="1"/>
        </w:numPr>
        <w:tabs>
          <w:tab w:val="clear" w:pos="720"/>
          <w:tab w:val="num" w:pos="0"/>
        </w:tabs>
        <w:spacing w:line="264" w:lineRule="auto"/>
        <w:ind w:left="0"/>
        <w:rPr>
          <w:sz w:val="25"/>
          <w:szCs w:val="25"/>
        </w:rPr>
      </w:pPr>
      <w:r w:rsidRPr="00942F86">
        <w:rPr>
          <w:sz w:val="25"/>
          <w:szCs w:val="25"/>
        </w:rPr>
        <w:t>Pacifi</w:t>
      </w:r>
      <w:r w:rsidR="006D7FE5" w:rsidRPr="00942F86">
        <w:rPr>
          <w:sz w:val="25"/>
          <w:szCs w:val="25"/>
        </w:rPr>
        <w:t>c Power</w:t>
      </w:r>
      <w:r w:rsidRPr="00942F86">
        <w:rPr>
          <w:sz w:val="25"/>
          <w:szCs w:val="25"/>
        </w:rPr>
        <w:t xml:space="preserve">’s </w:t>
      </w:r>
      <w:proofErr w:type="spellStart"/>
      <w:r w:rsidRPr="00942F86">
        <w:rPr>
          <w:sz w:val="25"/>
          <w:szCs w:val="25"/>
        </w:rPr>
        <w:t>QF</w:t>
      </w:r>
      <w:proofErr w:type="spellEnd"/>
      <w:r w:rsidRPr="00942F86">
        <w:rPr>
          <w:sz w:val="25"/>
          <w:szCs w:val="25"/>
        </w:rPr>
        <w:t xml:space="preserve"> proposal</w:t>
      </w:r>
      <w:r w:rsidR="006D7FE5" w:rsidRPr="00942F86">
        <w:rPr>
          <w:sz w:val="25"/>
          <w:szCs w:val="25"/>
        </w:rPr>
        <w:t xml:space="preserve"> in this case</w:t>
      </w:r>
      <w:r w:rsidRPr="00942F86">
        <w:rPr>
          <w:sz w:val="25"/>
          <w:szCs w:val="25"/>
        </w:rPr>
        <w:t xml:space="preserve"> falls</w:t>
      </w:r>
      <w:r w:rsidR="006D7FE5" w:rsidRPr="00942F86">
        <w:rPr>
          <w:sz w:val="25"/>
          <w:szCs w:val="25"/>
        </w:rPr>
        <w:t xml:space="preserve"> squarely</w:t>
      </w:r>
      <w:r w:rsidRPr="00942F86">
        <w:rPr>
          <w:sz w:val="25"/>
          <w:szCs w:val="25"/>
        </w:rPr>
        <w:t xml:space="preserve"> within </w:t>
      </w:r>
      <w:r w:rsidR="00FA1513" w:rsidRPr="00942F86">
        <w:rPr>
          <w:sz w:val="25"/>
          <w:szCs w:val="25"/>
        </w:rPr>
        <w:t xml:space="preserve">the language of </w:t>
      </w:r>
      <w:proofErr w:type="spellStart"/>
      <w:r w:rsidRPr="00942F86">
        <w:rPr>
          <w:sz w:val="25"/>
          <w:szCs w:val="25"/>
        </w:rPr>
        <w:t>RCW</w:t>
      </w:r>
      <w:proofErr w:type="spellEnd"/>
      <w:r w:rsidRPr="00942F86">
        <w:rPr>
          <w:sz w:val="25"/>
          <w:szCs w:val="25"/>
        </w:rPr>
        <w:t xml:space="preserve"> 80.04.200</w:t>
      </w:r>
      <w:r w:rsidR="006D7FE5" w:rsidRPr="00942F86">
        <w:rPr>
          <w:sz w:val="25"/>
          <w:szCs w:val="25"/>
        </w:rPr>
        <w:t xml:space="preserve">, as discussed by the </w:t>
      </w:r>
      <w:r w:rsidR="001D7B5B" w:rsidRPr="00942F86">
        <w:rPr>
          <w:sz w:val="25"/>
          <w:szCs w:val="25"/>
        </w:rPr>
        <w:t xml:space="preserve">Supreme </w:t>
      </w:r>
      <w:r w:rsidR="006D7FE5" w:rsidRPr="00942F86">
        <w:rPr>
          <w:sz w:val="25"/>
          <w:szCs w:val="25"/>
        </w:rPr>
        <w:t xml:space="preserve">Court in </w:t>
      </w:r>
      <w:r w:rsidR="006D7FE5" w:rsidRPr="00942F86">
        <w:rPr>
          <w:i/>
          <w:sz w:val="25"/>
          <w:szCs w:val="25"/>
        </w:rPr>
        <w:t>US West</w:t>
      </w:r>
      <w:r w:rsidRPr="00942F86">
        <w:rPr>
          <w:sz w:val="25"/>
          <w:szCs w:val="25"/>
        </w:rPr>
        <w:t xml:space="preserve">.  The </w:t>
      </w:r>
      <w:r w:rsidR="006D7FE5" w:rsidRPr="00942F86">
        <w:rPr>
          <w:sz w:val="25"/>
          <w:szCs w:val="25"/>
        </w:rPr>
        <w:t xml:space="preserve">Commission decided the </w:t>
      </w:r>
      <w:proofErr w:type="spellStart"/>
      <w:r w:rsidRPr="00942F86">
        <w:rPr>
          <w:sz w:val="25"/>
          <w:szCs w:val="25"/>
        </w:rPr>
        <w:t>QF</w:t>
      </w:r>
      <w:proofErr w:type="spellEnd"/>
      <w:r w:rsidRPr="00942F86">
        <w:rPr>
          <w:sz w:val="25"/>
          <w:szCs w:val="25"/>
        </w:rPr>
        <w:t xml:space="preserve"> issues in the Company’s 2013 rate case</w:t>
      </w:r>
      <w:r w:rsidR="006D7FE5" w:rsidRPr="00942F86">
        <w:rPr>
          <w:sz w:val="25"/>
          <w:szCs w:val="25"/>
        </w:rPr>
        <w:t>, which was decided only five months before the Company filed this case seeking</w:t>
      </w:r>
      <w:r w:rsidR="007C4D58" w:rsidRPr="00942F86">
        <w:rPr>
          <w:sz w:val="25"/>
          <w:szCs w:val="25"/>
        </w:rPr>
        <w:t xml:space="preserve"> in one fashion or another</w:t>
      </w:r>
      <w:r w:rsidR="006D7FE5" w:rsidRPr="00942F86">
        <w:rPr>
          <w:sz w:val="25"/>
          <w:szCs w:val="25"/>
        </w:rPr>
        <w:t xml:space="preserve"> </w:t>
      </w:r>
      <w:r w:rsidR="007C4D58" w:rsidRPr="00942F86">
        <w:rPr>
          <w:sz w:val="25"/>
          <w:szCs w:val="25"/>
        </w:rPr>
        <w:t>the same result previously rejected</w:t>
      </w:r>
      <w:r w:rsidRPr="00942F86">
        <w:rPr>
          <w:sz w:val="25"/>
          <w:szCs w:val="25"/>
        </w:rPr>
        <w:t xml:space="preserve">. </w:t>
      </w:r>
      <w:r w:rsidR="003B7428" w:rsidRPr="00942F86">
        <w:rPr>
          <w:sz w:val="25"/>
          <w:szCs w:val="25"/>
        </w:rPr>
        <w:t xml:space="preserve"> </w:t>
      </w:r>
      <w:r w:rsidR="007C4D58" w:rsidRPr="00942F86">
        <w:rPr>
          <w:sz w:val="25"/>
          <w:szCs w:val="25"/>
        </w:rPr>
        <w:t>This is</w:t>
      </w:r>
      <w:r w:rsidRPr="00942F86">
        <w:rPr>
          <w:sz w:val="25"/>
          <w:szCs w:val="25"/>
        </w:rPr>
        <w:t xml:space="preserve"> well within the two-year window set forth in the statute and the Commission is under no obligation to </w:t>
      </w:r>
      <w:r w:rsidR="007C4D58" w:rsidRPr="00942F86">
        <w:rPr>
          <w:sz w:val="25"/>
          <w:szCs w:val="25"/>
        </w:rPr>
        <w:t>rehear the matter</w:t>
      </w:r>
      <w:r w:rsidRPr="00942F86">
        <w:rPr>
          <w:sz w:val="25"/>
          <w:szCs w:val="25"/>
        </w:rPr>
        <w:t>.</w:t>
      </w:r>
      <w:r w:rsidR="007C4D58" w:rsidRPr="00942F86">
        <w:rPr>
          <w:sz w:val="25"/>
          <w:szCs w:val="25"/>
        </w:rPr>
        <w:t xml:space="preserve"> </w:t>
      </w:r>
      <w:r w:rsidR="00FA1513" w:rsidRPr="00942F86">
        <w:rPr>
          <w:sz w:val="25"/>
          <w:szCs w:val="25"/>
        </w:rPr>
        <w:t xml:space="preserve"> </w:t>
      </w:r>
      <w:r w:rsidR="008B7347" w:rsidRPr="00942F86">
        <w:rPr>
          <w:sz w:val="25"/>
          <w:szCs w:val="25"/>
        </w:rPr>
        <w:t xml:space="preserve">Further, </w:t>
      </w:r>
      <w:r w:rsidR="003B7428" w:rsidRPr="00942F86">
        <w:rPr>
          <w:sz w:val="25"/>
          <w:szCs w:val="25"/>
        </w:rPr>
        <w:t xml:space="preserve">Pacific Power put this matter before the Court of Appeals and we should not, for reasons of </w:t>
      </w:r>
      <w:r w:rsidR="003B7428" w:rsidRPr="00942F86">
        <w:rPr>
          <w:sz w:val="25"/>
          <w:szCs w:val="25"/>
        </w:rPr>
        <w:lastRenderedPageBreak/>
        <w:t>comity, take up again the same issues that are pending there.  The effect of our determination to not rehear this question is to</w:t>
      </w:r>
      <w:r w:rsidR="00FA1513" w:rsidRPr="00942F86">
        <w:rPr>
          <w:sz w:val="25"/>
          <w:szCs w:val="25"/>
        </w:rPr>
        <w:t xml:space="preserve"> reject </w:t>
      </w:r>
      <w:r w:rsidR="003B7428" w:rsidRPr="00942F86">
        <w:rPr>
          <w:sz w:val="25"/>
          <w:szCs w:val="25"/>
        </w:rPr>
        <w:t xml:space="preserve">for purposes of this case </w:t>
      </w:r>
      <w:r w:rsidR="00FA1513" w:rsidRPr="00942F86">
        <w:rPr>
          <w:sz w:val="25"/>
          <w:szCs w:val="25"/>
        </w:rPr>
        <w:t xml:space="preserve">Pacific Power’s </w:t>
      </w:r>
      <w:r w:rsidR="001D7B5B" w:rsidRPr="00942F86">
        <w:rPr>
          <w:sz w:val="25"/>
          <w:szCs w:val="25"/>
        </w:rPr>
        <w:t xml:space="preserve">untimely </w:t>
      </w:r>
      <w:r w:rsidR="00FA1513" w:rsidRPr="00942F86">
        <w:rPr>
          <w:sz w:val="25"/>
          <w:szCs w:val="25"/>
        </w:rPr>
        <w:t xml:space="preserve">proposal that we abandon the WCA inter-jurisdictional cost allocation methodology for </w:t>
      </w:r>
      <w:proofErr w:type="spellStart"/>
      <w:r w:rsidR="00FA1513" w:rsidRPr="00942F86">
        <w:rPr>
          <w:sz w:val="25"/>
          <w:szCs w:val="25"/>
        </w:rPr>
        <w:t>QF</w:t>
      </w:r>
      <w:proofErr w:type="spellEnd"/>
      <w:r w:rsidR="00FA1513" w:rsidRPr="00942F86">
        <w:rPr>
          <w:sz w:val="25"/>
          <w:szCs w:val="25"/>
        </w:rPr>
        <w:t xml:space="preserve"> facilities.</w:t>
      </w:r>
      <w:r w:rsidR="007C4D58" w:rsidRPr="00942F86">
        <w:rPr>
          <w:sz w:val="25"/>
          <w:szCs w:val="25"/>
        </w:rPr>
        <w:t xml:space="preserve"> </w:t>
      </w:r>
      <w:r w:rsidRPr="00942F86">
        <w:rPr>
          <w:sz w:val="25"/>
          <w:szCs w:val="25"/>
        </w:rPr>
        <w:t xml:space="preserve">  </w:t>
      </w:r>
    </w:p>
    <w:p w14:paraId="3C5450D9" w14:textId="77777777" w:rsidR="00BB45B9" w:rsidRPr="00942F86" w:rsidRDefault="00BB45B9" w:rsidP="000455AC">
      <w:pPr>
        <w:spacing w:line="264" w:lineRule="auto"/>
        <w:rPr>
          <w:sz w:val="25"/>
          <w:szCs w:val="25"/>
        </w:rPr>
      </w:pPr>
    </w:p>
    <w:p w14:paraId="09AE76C4" w14:textId="77777777" w:rsidR="00127C47" w:rsidRPr="00942F86" w:rsidRDefault="00127C47" w:rsidP="00883A54">
      <w:pPr>
        <w:pStyle w:val="Heading4"/>
      </w:pPr>
      <w:bookmarkStart w:id="21" w:name="_Toc415037618"/>
      <w:r w:rsidRPr="00942F86">
        <w:t>Jim Bridger Coal Costs</w:t>
      </w:r>
      <w:bookmarkEnd w:id="21"/>
    </w:p>
    <w:p w14:paraId="050F0031" w14:textId="77777777" w:rsidR="00127C47" w:rsidRPr="00942F86" w:rsidRDefault="00127C47" w:rsidP="000455AC">
      <w:pPr>
        <w:spacing w:line="264" w:lineRule="auto"/>
        <w:rPr>
          <w:sz w:val="25"/>
          <w:szCs w:val="25"/>
        </w:rPr>
      </w:pPr>
    </w:p>
    <w:p w14:paraId="1C1B7F5D" w14:textId="3ED3519A" w:rsidR="006821E6" w:rsidRPr="00942F86" w:rsidRDefault="006821E6" w:rsidP="00FC421A">
      <w:pPr>
        <w:numPr>
          <w:ilvl w:val="0"/>
          <w:numId w:val="1"/>
        </w:numPr>
        <w:tabs>
          <w:tab w:val="clear" w:pos="720"/>
          <w:tab w:val="num" w:pos="0"/>
        </w:tabs>
        <w:spacing w:line="264" w:lineRule="auto"/>
        <w:ind w:left="0"/>
        <w:rPr>
          <w:sz w:val="25"/>
          <w:szCs w:val="25"/>
        </w:rPr>
      </w:pPr>
      <w:r w:rsidRPr="00942F86">
        <w:rPr>
          <w:sz w:val="25"/>
          <w:szCs w:val="25"/>
        </w:rPr>
        <w:t xml:space="preserve">Mr. Duvall testifies that </w:t>
      </w:r>
      <w:r w:rsidRPr="00942F86">
        <w:rPr>
          <w:i/>
          <w:sz w:val="25"/>
          <w:szCs w:val="25"/>
        </w:rPr>
        <w:t>pro form</w:t>
      </w:r>
      <w:r w:rsidR="00DA738F" w:rsidRPr="00942F86">
        <w:rPr>
          <w:i/>
          <w:sz w:val="25"/>
          <w:szCs w:val="25"/>
        </w:rPr>
        <w:t>a</w:t>
      </w:r>
      <w:r w:rsidRPr="00942F86">
        <w:rPr>
          <w:sz w:val="25"/>
          <w:szCs w:val="25"/>
        </w:rPr>
        <w:t xml:space="preserve"> coal fuel expense increased by $2.3 million on a Washington</w:t>
      </w:r>
      <w:r w:rsidR="008B7347" w:rsidRPr="00942F86">
        <w:rPr>
          <w:sz w:val="25"/>
          <w:szCs w:val="25"/>
        </w:rPr>
        <w:t>-</w:t>
      </w:r>
      <w:r w:rsidRPr="00942F86">
        <w:rPr>
          <w:sz w:val="25"/>
          <w:szCs w:val="25"/>
        </w:rPr>
        <w:t>allocated basis, from $48.3 million in the Company’s 2013 GRC to $50.6 million in this case.</w:t>
      </w:r>
      <w:r w:rsidRPr="00942F86">
        <w:rPr>
          <w:rStyle w:val="FootnoteReference"/>
          <w:sz w:val="25"/>
          <w:szCs w:val="25"/>
        </w:rPr>
        <w:footnoteReference w:id="105"/>
      </w:r>
      <w:r w:rsidRPr="00942F86">
        <w:rPr>
          <w:sz w:val="25"/>
          <w:szCs w:val="25"/>
        </w:rPr>
        <w:t xml:space="preserve">  This net increase reflects an approximate $0.4 million decrease in volumes and a $2.7 million increase in costs due to higher prices for coal from the Bridger Coal Company (BCC) and the Black Butte mine, which furnish fuel to Jim Bridger, and </w:t>
      </w:r>
      <w:r w:rsidR="001878E6" w:rsidRPr="00942F86">
        <w:rPr>
          <w:sz w:val="25"/>
          <w:szCs w:val="25"/>
        </w:rPr>
        <w:t xml:space="preserve">the </w:t>
      </w:r>
      <w:r w:rsidRPr="00942F86">
        <w:rPr>
          <w:sz w:val="25"/>
          <w:szCs w:val="25"/>
        </w:rPr>
        <w:t>Rosebud</w:t>
      </w:r>
      <w:r w:rsidR="001878E6" w:rsidRPr="00942F86">
        <w:rPr>
          <w:sz w:val="25"/>
          <w:szCs w:val="25"/>
        </w:rPr>
        <w:t xml:space="preserve"> mine</w:t>
      </w:r>
      <w:r w:rsidRPr="00942F86">
        <w:rPr>
          <w:sz w:val="25"/>
          <w:szCs w:val="25"/>
        </w:rPr>
        <w:t xml:space="preserve">, which furnishes fuel to Colstrip.  The current Black Butte coal supply agreement </w:t>
      </w:r>
      <w:r w:rsidR="00996FBA" w:rsidRPr="00942F86">
        <w:rPr>
          <w:sz w:val="25"/>
          <w:szCs w:val="25"/>
        </w:rPr>
        <w:t>was</w:t>
      </w:r>
      <w:r w:rsidRPr="00942F86">
        <w:rPr>
          <w:sz w:val="25"/>
          <w:szCs w:val="25"/>
        </w:rPr>
        <w:t xml:space="preserve"> through 2014, with </w:t>
      </w:r>
      <w:r w:rsidR="00996FBA" w:rsidRPr="00942F86">
        <w:rPr>
          <w:sz w:val="25"/>
          <w:szCs w:val="25"/>
        </w:rPr>
        <w:t xml:space="preserve">an </w:t>
      </w:r>
      <w:r w:rsidRPr="00942F86">
        <w:rPr>
          <w:sz w:val="25"/>
          <w:szCs w:val="25"/>
        </w:rPr>
        <w:t xml:space="preserve">extension into 2015 to allow for delivery of previously deferred contract tonnage.  The previously deferred contract tonnage </w:t>
      </w:r>
      <w:r w:rsidR="001878E6" w:rsidRPr="00942F86">
        <w:rPr>
          <w:sz w:val="25"/>
          <w:szCs w:val="25"/>
        </w:rPr>
        <w:t>wa</w:t>
      </w:r>
      <w:r w:rsidRPr="00942F86">
        <w:rPr>
          <w:sz w:val="25"/>
          <w:szCs w:val="25"/>
        </w:rPr>
        <w:t>s projected to be delivered in the first quarter of 2015</w:t>
      </w:r>
      <w:r w:rsidR="001878E6" w:rsidRPr="00942F86">
        <w:rPr>
          <w:sz w:val="25"/>
          <w:szCs w:val="25"/>
        </w:rPr>
        <w:t xml:space="preserve"> and the Company assumed unchanged pricing terms for the first quarter of 2015.</w:t>
      </w:r>
      <w:r w:rsidR="00DA738F" w:rsidRPr="00942F86">
        <w:rPr>
          <w:rStyle w:val="FootnoteReference"/>
          <w:sz w:val="25"/>
          <w:szCs w:val="25"/>
        </w:rPr>
        <w:footnoteReference w:id="106"/>
      </w:r>
      <w:r w:rsidR="001878E6" w:rsidRPr="00942F86">
        <w:rPr>
          <w:sz w:val="25"/>
          <w:szCs w:val="25"/>
        </w:rPr>
        <w:t xml:space="preserve">  Pacific Power projected increases for the balance of 2015 for Black Butte and BCC for the full 12 months after the end of the test period.  </w:t>
      </w:r>
      <w:r w:rsidR="001D7B5B" w:rsidRPr="00942F86">
        <w:rPr>
          <w:sz w:val="25"/>
          <w:szCs w:val="25"/>
        </w:rPr>
        <w:t xml:space="preserve">The Company includes </w:t>
      </w:r>
      <w:r w:rsidR="001D7B5B" w:rsidRPr="00942F86">
        <w:rPr>
          <w:i/>
          <w:sz w:val="25"/>
          <w:szCs w:val="25"/>
        </w:rPr>
        <w:t>pro</w:t>
      </w:r>
      <w:r w:rsidR="001878E6" w:rsidRPr="00942F86">
        <w:rPr>
          <w:i/>
          <w:sz w:val="25"/>
          <w:szCs w:val="25"/>
        </w:rPr>
        <w:t xml:space="preserve"> forma</w:t>
      </w:r>
      <w:r w:rsidR="001878E6" w:rsidRPr="00942F86">
        <w:rPr>
          <w:sz w:val="25"/>
          <w:szCs w:val="25"/>
        </w:rPr>
        <w:t xml:space="preserve"> period costs for coal at the Colstrip facility based on Western Energy’s 2014 </w:t>
      </w:r>
      <w:r w:rsidR="00996FBA" w:rsidRPr="00942F86">
        <w:rPr>
          <w:sz w:val="25"/>
          <w:szCs w:val="25"/>
        </w:rPr>
        <w:t>Annual Operating Plan (</w:t>
      </w:r>
      <w:proofErr w:type="spellStart"/>
      <w:r w:rsidR="001878E6" w:rsidRPr="00942F86">
        <w:rPr>
          <w:sz w:val="25"/>
          <w:szCs w:val="25"/>
        </w:rPr>
        <w:t>AOP</w:t>
      </w:r>
      <w:proofErr w:type="spellEnd"/>
      <w:r w:rsidR="00996FBA" w:rsidRPr="00942F86">
        <w:rPr>
          <w:sz w:val="25"/>
          <w:szCs w:val="25"/>
        </w:rPr>
        <w:t>)</w:t>
      </w:r>
      <w:r w:rsidR="001878E6" w:rsidRPr="00942F86">
        <w:rPr>
          <w:sz w:val="25"/>
          <w:szCs w:val="25"/>
        </w:rPr>
        <w:t xml:space="preserve"> for the Rosebud mine, which was published in fall 2013.</w:t>
      </w:r>
      <w:r w:rsidR="001878E6" w:rsidRPr="00942F86">
        <w:rPr>
          <w:rStyle w:val="FootnoteReference"/>
          <w:sz w:val="25"/>
          <w:szCs w:val="25"/>
        </w:rPr>
        <w:footnoteReference w:id="107"/>
      </w:r>
    </w:p>
    <w:p w14:paraId="0F130215" w14:textId="77777777" w:rsidR="006821E6" w:rsidRPr="00942F86" w:rsidRDefault="006821E6" w:rsidP="000455AC">
      <w:pPr>
        <w:spacing w:line="264" w:lineRule="auto"/>
        <w:rPr>
          <w:sz w:val="25"/>
          <w:szCs w:val="25"/>
        </w:rPr>
      </w:pPr>
    </w:p>
    <w:p w14:paraId="2B871A1D" w14:textId="268E014E" w:rsidR="00E73D54" w:rsidRPr="00942F86" w:rsidRDefault="00F04E6E" w:rsidP="00FC421A">
      <w:pPr>
        <w:numPr>
          <w:ilvl w:val="0"/>
          <w:numId w:val="1"/>
        </w:numPr>
        <w:tabs>
          <w:tab w:val="clear" w:pos="720"/>
          <w:tab w:val="num" w:pos="0"/>
        </w:tabs>
        <w:spacing w:line="264" w:lineRule="auto"/>
        <w:ind w:left="0"/>
        <w:rPr>
          <w:sz w:val="25"/>
          <w:szCs w:val="25"/>
        </w:rPr>
      </w:pPr>
      <w:r w:rsidRPr="00942F86">
        <w:rPr>
          <w:sz w:val="25"/>
          <w:szCs w:val="25"/>
        </w:rPr>
        <w:t>The Company’s rebuttal testimony includes a</w:t>
      </w:r>
      <w:r w:rsidR="00DA738F" w:rsidRPr="00942F86">
        <w:rPr>
          <w:sz w:val="25"/>
          <w:szCs w:val="25"/>
        </w:rPr>
        <w:t>n update</w:t>
      </w:r>
      <w:r w:rsidR="00C11DAB" w:rsidRPr="00942F86">
        <w:rPr>
          <w:sz w:val="25"/>
          <w:szCs w:val="25"/>
        </w:rPr>
        <w:t xml:space="preserve"> </w:t>
      </w:r>
      <w:r w:rsidR="00DA738F" w:rsidRPr="00942F86">
        <w:rPr>
          <w:sz w:val="25"/>
          <w:szCs w:val="25"/>
        </w:rPr>
        <w:t>that increases NPC by</w:t>
      </w:r>
      <w:r w:rsidRPr="00942F86">
        <w:rPr>
          <w:sz w:val="25"/>
          <w:szCs w:val="25"/>
        </w:rPr>
        <w:t xml:space="preserve"> </w:t>
      </w:r>
      <w:r w:rsidR="00C11DAB" w:rsidRPr="00942F86">
        <w:rPr>
          <w:sz w:val="25"/>
          <w:szCs w:val="25"/>
        </w:rPr>
        <w:t>just under 11 percent relative to the as-filed NPC:</w:t>
      </w:r>
      <w:r w:rsidRPr="00942F86">
        <w:rPr>
          <w:sz w:val="25"/>
          <w:szCs w:val="25"/>
        </w:rPr>
        <w:t xml:space="preserve"> $5.4 million on a Washington-allocated basis</w:t>
      </w:r>
      <w:r w:rsidR="00C11DAB" w:rsidRPr="00942F86">
        <w:rPr>
          <w:sz w:val="25"/>
          <w:szCs w:val="25"/>
        </w:rPr>
        <w:t>.  This increase is</w:t>
      </w:r>
      <w:r w:rsidRPr="00942F86">
        <w:rPr>
          <w:sz w:val="25"/>
          <w:szCs w:val="25"/>
        </w:rPr>
        <w:t xml:space="preserve"> largely attributable to changes in coal prices and increased volumes at the Jim Bridger coal plant in </w:t>
      </w:r>
      <w:r w:rsidR="005F260D" w:rsidRPr="00942F86">
        <w:rPr>
          <w:sz w:val="25"/>
          <w:szCs w:val="25"/>
        </w:rPr>
        <w:t>Wyoming</w:t>
      </w:r>
      <w:r w:rsidRPr="00942F86">
        <w:rPr>
          <w:sz w:val="25"/>
          <w:szCs w:val="25"/>
        </w:rPr>
        <w:t>.</w:t>
      </w:r>
      <w:r w:rsidR="00E73D54" w:rsidRPr="00942F86">
        <w:rPr>
          <w:sz w:val="25"/>
          <w:szCs w:val="25"/>
          <w:vertAlign w:val="superscript"/>
        </w:rPr>
        <w:footnoteReference w:id="108"/>
      </w:r>
      <w:r w:rsidR="005F260D" w:rsidRPr="00942F86">
        <w:rPr>
          <w:sz w:val="25"/>
          <w:szCs w:val="25"/>
        </w:rPr>
        <w:t xml:space="preserve"> </w:t>
      </w:r>
    </w:p>
    <w:p w14:paraId="44BDFCFF" w14:textId="77777777" w:rsidR="00732C45" w:rsidRPr="00942F86" w:rsidRDefault="00732C45" w:rsidP="000455AC">
      <w:pPr>
        <w:spacing w:line="264" w:lineRule="auto"/>
        <w:rPr>
          <w:sz w:val="25"/>
          <w:szCs w:val="25"/>
        </w:rPr>
      </w:pPr>
    </w:p>
    <w:p w14:paraId="34D31393" w14:textId="31A60580" w:rsidR="00A94089" w:rsidRPr="00942F86" w:rsidRDefault="00732C45" w:rsidP="00FC421A">
      <w:pPr>
        <w:numPr>
          <w:ilvl w:val="0"/>
          <w:numId w:val="1"/>
        </w:numPr>
        <w:tabs>
          <w:tab w:val="clear" w:pos="720"/>
          <w:tab w:val="num" w:pos="0"/>
        </w:tabs>
        <w:spacing w:line="264" w:lineRule="auto"/>
        <w:ind w:left="0"/>
        <w:rPr>
          <w:sz w:val="25"/>
          <w:szCs w:val="25"/>
        </w:rPr>
      </w:pPr>
      <w:r w:rsidRPr="00942F86">
        <w:rPr>
          <w:sz w:val="25"/>
          <w:szCs w:val="25"/>
        </w:rPr>
        <w:t xml:space="preserve">Ms. Crane </w:t>
      </w:r>
      <w:r w:rsidR="00C11DAB" w:rsidRPr="00942F86">
        <w:rPr>
          <w:sz w:val="25"/>
          <w:szCs w:val="25"/>
        </w:rPr>
        <w:t>testifies the price of Black Butte coal reflected in her rebuttal NPC is the result of a higher delivered price obtained in response to a request for proposals for Wyoming coal by the Bridger plant owners in June 2014.</w:t>
      </w:r>
      <w:r w:rsidR="00C11DAB" w:rsidRPr="00942F86">
        <w:rPr>
          <w:rStyle w:val="FootnoteReference"/>
          <w:sz w:val="25"/>
          <w:szCs w:val="25"/>
        </w:rPr>
        <w:footnoteReference w:id="109"/>
      </w:r>
      <w:r w:rsidR="00C11DAB" w:rsidRPr="00942F86">
        <w:rPr>
          <w:sz w:val="25"/>
          <w:szCs w:val="25"/>
        </w:rPr>
        <w:t xml:space="preserve">  The increase in BCC </w:t>
      </w:r>
      <w:r w:rsidR="00C11DAB" w:rsidRPr="00942F86">
        <w:rPr>
          <w:sz w:val="25"/>
          <w:szCs w:val="25"/>
        </w:rPr>
        <w:lastRenderedPageBreak/>
        <w:t>prices reflects the Company’s updated mine plan, which was prepared in July 2014</w:t>
      </w:r>
      <w:r w:rsidR="00FD3BCD" w:rsidRPr="00942F86">
        <w:rPr>
          <w:sz w:val="25"/>
          <w:szCs w:val="25"/>
        </w:rPr>
        <w:t xml:space="preserve"> and finalized in November 2014</w:t>
      </w:r>
      <w:r w:rsidR="00C11DAB" w:rsidRPr="00942F86">
        <w:rPr>
          <w:sz w:val="25"/>
          <w:szCs w:val="25"/>
        </w:rPr>
        <w:t>.</w:t>
      </w:r>
      <w:r w:rsidR="00FD3BCD" w:rsidRPr="00942F86">
        <w:rPr>
          <w:rStyle w:val="FootnoteReference"/>
          <w:sz w:val="25"/>
          <w:szCs w:val="25"/>
        </w:rPr>
        <w:footnoteReference w:id="110"/>
      </w:r>
      <w:r w:rsidR="00FB2703" w:rsidRPr="00942F86">
        <w:rPr>
          <w:sz w:val="25"/>
          <w:szCs w:val="25"/>
        </w:rPr>
        <w:t xml:space="preserve">  </w:t>
      </w:r>
      <w:r w:rsidR="00C11DAB" w:rsidRPr="00942F86">
        <w:rPr>
          <w:sz w:val="25"/>
          <w:szCs w:val="25"/>
        </w:rPr>
        <w:t xml:space="preserve"> </w:t>
      </w:r>
      <w:r w:rsidR="00FB2703" w:rsidRPr="00942F86">
        <w:rPr>
          <w:sz w:val="25"/>
          <w:szCs w:val="25"/>
        </w:rPr>
        <w:t xml:space="preserve"> </w:t>
      </w:r>
      <w:r w:rsidR="00C11DAB" w:rsidRPr="00942F86">
        <w:rPr>
          <w:sz w:val="25"/>
          <w:szCs w:val="25"/>
        </w:rPr>
        <w:t xml:space="preserve"> </w:t>
      </w:r>
    </w:p>
    <w:p w14:paraId="2116DB10" w14:textId="77777777" w:rsidR="00FB2703" w:rsidRPr="00942F86" w:rsidRDefault="00FB2703" w:rsidP="000455AC">
      <w:pPr>
        <w:pStyle w:val="ListParagraph"/>
        <w:spacing w:line="264" w:lineRule="auto"/>
        <w:rPr>
          <w:sz w:val="25"/>
          <w:szCs w:val="25"/>
        </w:rPr>
      </w:pPr>
    </w:p>
    <w:p w14:paraId="778E170A" w14:textId="4BEE5A8F" w:rsidR="00FB2703" w:rsidRPr="00942F86" w:rsidRDefault="00FB2703" w:rsidP="00FC421A">
      <w:pPr>
        <w:numPr>
          <w:ilvl w:val="0"/>
          <w:numId w:val="1"/>
        </w:numPr>
        <w:tabs>
          <w:tab w:val="clear" w:pos="720"/>
          <w:tab w:val="num" w:pos="0"/>
        </w:tabs>
        <w:spacing w:line="264" w:lineRule="auto"/>
        <w:ind w:left="0"/>
        <w:rPr>
          <w:sz w:val="25"/>
          <w:szCs w:val="25"/>
        </w:rPr>
      </w:pPr>
      <w:r w:rsidRPr="00942F86">
        <w:rPr>
          <w:sz w:val="25"/>
          <w:szCs w:val="25"/>
        </w:rPr>
        <w:t>The Company’s rebuttal NPC costs also include updated coal prices for the Colstrip plant as a result of an updated operating plan for the Rosebud mine.</w:t>
      </w:r>
      <w:r w:rsidRPr="00942F86">
        <w:rPr>
          <w:rStyle w:val="FootnoteReference"/>
          <w:sz w:val="25"/>
          <w:szCs w:val="25"/>
        </w:rPr>
        <w:footnoteReference w:id="111"/>
      </w:r>
      <w:r w:rsidRPr="00942F86">
        <w:rPr>
          <w:sz w:val="25"/>
          <w:szCs w:val="25"/>
        </w:rPr>
        <w:t xml:space="preserve"> </w:t>
      </w:r>
      <w:r w:rsidR="008B7347" w:rsidRPr="00942F86">
        <w:rPr>
          <w:sz w:val="25"/>
          <w:szCs w:val="25"/>
        </w:rPr>
        <w:t xml:space="preserve"> </w:t>
      </w:r>
      <w:r w:rsidRPr="00942F86">
        <w:rPr>
          <w:sz w:val="25"/>
          <w:szCs w:val="25"/>
        </w:rPr>
        <w:t xml:space="preserve">Ms. Crane testifies that the Company’s direct case reflected mining costs based on the mine operator’s 2014 </w:t>
      </w:r>
      <w:proofErr w:type="spellStart"/>
      <w:r w:rsidRPr="00942F86">
        <w:rPr>
          <w:sz w:val="25"/>
          <w:szCs w:val="25"/>
        </w:rPr>
        <w:t>AOP</w:t>
      </w:r>
      <w:proofErr w:type="spellEnd"/>
      <w:r w:rsidRPr="00942F86">
        <w:rPr>
          <w:sz w:val="25"/>
          <w:szCs w:val="25"/>
        </w:rPr>
        <w:t xml:space="preserve">.  In October 2014, the mine operator provided the Colstrip owners with the final 2015 </w:t>
      </w:r>
      <w:proofErr w:type="spellStart"/>
      <w:r w:rsidRPr="00942F86">
        <w:rPr>
          <w:sz w:val="25"/>
          <w:szCs w:val="25"/>
        </w:rPr>
        <w:t>AOP</w:t>
      </w:r>
      <w:proofErr w:type="spellEnd"/>
      <w:r w:rsidRPr="00942F86">
        <w:rPr>
          <w:sz w:val="25"/>
          <w:szCs w:val="25"/>
        </w:rPr>
        <w:t xml:space="preserve"> increasing WCA NPC by a small amount.</w:t>
      </w:r>
      <w:r w:rsidRPr="00942F86">
        <w:rPr>
          <w:rStyle w:val="FootnoteReference"/>
          <w:sz w:val="25"/>
          <w:szCs w:val="25"/>
        </w:rPr>
        <w:footnoteReference w:id="112"/>
      </w:r>
    </w:p>
    <w:p w14:paraId="469ABC4B" w14:textId="77777777" w:rsidR="00996FBA" w:rsidRPr="00942F86" w:rsidRDefault="00996FBA" w:rsidP="000455AC">
      <w:pPr>
        <w:pStyle w:val="ListParagraph"/>
        <w:spacing w:line="264" w:lineRule="auto"/>
        <w:rPr>
          <w:sz w:val="25"/>
          <w:szCs w:val="25"/>
        </w:rPr>
      </w:pPr>
    </w:p>
    <w:p w14:paraId="1293AE84" w14:textId="45291630" w:rsidR="00996FBA" w:rsidRPr="00942F86" w:rsidRDefault="00996FBA" w:rsidP="00FC421A">
      <w:pPr>
        <w:numPr>
          <w:ilvl w:val="0"/>
          <w:numId w:val="1"/>
        </w:numPr>
        <w:tabs>
          <w:tab w:val="clear" w:pos="720"/>
          <w:tab w:val="num" w:pos="0"/>
        </w:tabs>
        <w:spacing w:line="264" w:lineRule="auto"/>
        <w:ind w:left="0"/>
        <w:rPr>
          <w:sz w:val="25"/>
          <w:szCs w:val="25"/>
        </w:rPr>
      </w:pPr>
      <w:r w:rsidRPr="00942F86">
        <w:rPr>
          <w:sz w:val="25"/>
          <w:szCs w:val="25"/>
        </w:rPr>
        <w:t xml:space="preserve">Although the parties elected not to contest these adjustments </w:t>
      </w:r>
      <w:r w:rsidR="001D7B5B" w:rsidRPr="00942F86">
        <w:rPr>
          <w:sz w:val="25"/>
          <w:szCs w:val="25"/>
        </w:rPr>
        <w:t>at the close of the case</w:t>
      </w:r>
      <w:r w:rsidRPr="00942F86">
        <w:rPr>
          <w:sz w:val="25"/>
          <w:szCs w:val="25"/>
        </w:rPr>
        <w:t xml:space="preserve">, Boise White Paper expressed by means of a motion to strike testimony its dissatisfaction with having significant price increases brought to </w:t>
      </w:r>
      <w:r w:rsidR="001D7B5B" w:rsidRPr="00942F86">
        <w:rPr>
          <w:sz w:val="25"/>
          <w:szCs w:val="25"/>
        </w:rPr>
        <w:t xml:space="preserve">the parties’ and the Commission’s </w:t>
      </w:r>
      <w:r w:rsidRPr="00942F86">
        <w:rPr>
          <w:sz w:val="25"/>
          <w:szCs w:val="25"/>
        </w:rPr>
        <w:t>attention only in the Company’s rebuttal testimony.  The Commission denied the motion because it does not appear the Company intentionally set out to prejudice the other parties with respect to the coal price update.  Indeed, the Company stated that it had no objection to the parties having an opportunity to file supplemental testimony on the issue.  In Order</w:t>
      </w:r>
      <w:r w:rsidR="009D70AF" w:rsidRPr="00942F86">
        <w:rPr>
          <w:sz w:val="25"/>
          <w:szCs w:val="25"/>
        </w:rPr>
        <w:t xml:space="preserve"> 07</w:t>
      </w:r>
      <w:r w:rsidRPr="00942F86">
        <w:rPr>
          <w:sz w:val="25"/>
          <w:szCs w:val="25"/>
        </w:rPr>
        <w:t>, denying Boise White Paper’s motion, the Commission</w:t>
      </w:r>
      <w:r w:rsidR="009D70AF" w:rsidRPr="00942F86">
        <w:rPr>
          <w:sz w:val="25"/>
          <w:szCs w:val="25"/>
        </w:rPr>
        <w:t xml:space="preserve"> invited parties to seek leave to file supplemental testimony if they wished, and stated it “would be receptive to accommodating any such request” and, if asked, would “establish appropriate additional process on a reasonable schedule.”</w:t>
      </w:r>
    </w:p>
    <w:p w14:paraId="7370449B" w14:textId="77777777" w:rsidR="009D70AF" w:rsidRPr="00942F86" w:rsidRDefault="009D70AF" w:rsidP="000455AC">
      <w:pPr>
        <w:pStyle w:val="ListParagraph"/>
        <w:spacing w:line="264" w:lineRule="auto"/>
        <w:rPr>
          <w:sz w:val="25"/>
          <w:szCs w:val="25"/>
        </w:rPr>
      </w:pPr>
    </w:p>
    <w:p w14:paraId="6DE08757" w14:textId="4AE56C09" w:rsidR="008022DD" w:rsidRPr="00942F86" w:rsidRDefault="002B3134" w:rsidP="00FC421A">
      <w:pPr>
        <w:numPr>
          <w:ilvl w:val="0"/>
          <w:numId w:val="1"/>
        </w:numPr>
        <w:tabs>
          <w:tab w:val="clear" w:pos="720"/>
          <w:tab w:val="num" w:pos="0"/>
        </w:tabs>
        <w:spacing w:line="264" w:lineRule="auto"/>
        <w:ind w:left="0"/>
        <w:rPr>
          <w:sz w:val="25"/>
          <w:szCs w:val="25"/>
        </w:rPr>
      </w:pPr>
      <w:r w:rsidRPr="00942F86">
        <w:rPr>
          <w:sz w:val="25"/>
          <w:szCs w:val="25"/>
        </w:rPr>
        <w:t>We mention these facts because the Commission is concerned when a company presents significant changes to its case at the time of its rebuttal filing.  This can be unsettling to the parties and potentially can disrupt a carefully planned procedural schedule close in time to a planned evidentiary hearing.  Thus, we do not wish to leave unremarked the event of Pacific Power’s late notice of significant price increases in coal fuel costs in this case.  We caution that the Commission may not be receptive in a future case to allowing such testimony, if challenged</w:t>
      </w:r>
      <w:r w:rsidR="008022DD" w:rsidRPr="00942F86">
        <w:rPr>
          <w:sz w:val="25"/>
          <w:szCs w:val="25"/>
        </w:rPr>
        <w:t>, and may be particularly disinclined to do so on any issue other than one affecting net power costs.  The Commission generally is more lenient with respect to power cost updates because these most often result from changes in the fuel markets that are readily verifiable</w:t>
      </w:r>
      <w:r w:rsidR="001D7B5B" w:rsidRPr="00942F86">
        <w:rPr>
          <w:sz w:val="25"/>
          <w:szCs w:val="25"/>
        </w:rPr>
        <w:t xml:space="preserve"> from various public sources</w:t>
      </w:r>
      <w:r w:rsidR="008022DD" w:rsidRPr="00942F86">
        <w:rPr>
          <w:sz w:val="25"/>
          <w:szCs w:val="25"/>
        </w:rPr>
        <w:t>.  Pacific Power</w:t>
      </w:r>
      <w:r w:rsidR="001D7B5B" w:rsidRPr="00942F86">
        <w:rPr>
          <w:sz w:val="25"/>
          <w:szCs w:val="25"/>
        </w:rPr>
        <w:t>’s</w:t>
      </w:r>
      <w:r w:rsidR="008022DD" w:rsidRPr="00942F86">
        <w:rPr>
          <w:sz w:val="25"/>
          <w:szCs w:val="25"/>
        </w:rPr>
        <w:t xml:space="preserve"> coal cost update is a bit of a closer call, </w:t>
      </w:r>
      <w:r w:rsidR="008022DD" w:rsidRPr="00942F86">
        <w:rPr>
          <w:sz w:val="25"/>
          <w:szCs w:val="25"/>
        </w:rPr>
        <w:lastRenderedPageBreak/>
        <w:t xml:space="preserve">based as it is on the results of a request for proposals (RFP) </w:t>
      </w:r>
      <w:r w:rsidR="001D7B5B" w:rsidRPr="00942F86">
        <w:rPr>
          <w:sz w:val="25"/>
          <w:szCs w:val="25"/>
        </w:rPr>
        <w:t xml:space="preserve">issued in June 2014, the results of a </w:t>
      </w:r>
      <w:r w:rsidR="008022DD" w:rsidRPr="00942F86">
        <w:rPr>
          <w:sz w:val="25"/>
          <w:szCs w:val="25"/>
        </w:rPr>
        <w:t xml:space="preserve">process </w:t>
      </w:r>
      <w:r w:rsidR="001D7B5B" w:rsidRPr="00942F86">
        <w:rPr>
          <w:sz w:val="25"/>
          <w:szCs w:val="25"/>
        </w:rPr>
        <w:t xml:space="preserve">that </w:t>
      </w:r>
      <w:r w:rsidR="008022DD" w:rsidRPr="00942F86">
        <w:rPr>
          <w:sz w:val="25"/>
          <w:szCs w:val="25"/>
        </w:rPr>
        <w:t xml:space="preserve">we had no opportunity to evaluate for prudence. </w:t>
      </w:r>
    </w:p>
    <w:p w14:paraId="103FF9BB" w14:textId="77777777" w:rsidR="008022DD" w:rsidRPr="00942F86" w:rsidRDefault="008022DD" w:rsidP="000455AC">
      <w:pPr>
        <w:pStyle w:val="ListParagraph"/>
        <w:spacing w:line="264" w:lineRule="auto"/>
        <w:rPr>
          <w:sz w:val="25"/>
          <w:szCs w:val="25"/>
        </w:rPr>
      </w:pPr>
    </w:p>
    <w:p w14:paraId="4D9EB8F9" w14:textId="4B23FC05" w:rsidR="00127C47" w:rsidRPr="00942F86" w:rsidRDefault="008022DD" w:rsidP="00FC421A">
      <w:pPr>
        <w:numPr>
          <w:ilvl w:val="0"/>
          <w:numId w:val="1"/>
        </w:numPr>
        <w:tabs>
          <w:tab w:val="clear" w:pos="720"/>
          <w:tab w:val="num" w:pos="0"/>
        </w:tabs>
        <w:spacing w:line="264" w:lineRule="auto"/>
        <w:ind w:left="0"/>
        <w:rPr>
          <w:sz w:val="25"/>
          <w:szCs w:val="25"/>
        </w:rPr>
      </w:pPr>
      <w:r w:rsidRPr="00942F86">
        <w:rPr>
          <w:sz w:val="25"/>
          <w:szCs w:val="25"/>
        </w:rPr>
        <w:t>In any event, we take this opportunity to caution that</w:t>
      </w:r>
      <w:r w:rsidR="001D7B5B" w:rsidRPr="00942F86">
        <w:rPr>
          <w:sz w:val="25"/>
          <w:szCs w:val="25"/>
        </w:rPr>
        <w:t xml:space="preserve"> in our proceedings</w:t>
      </w:r>
      <w:r w:rsidRPr="00942F86">
        <w:rPr>
          <w:sz w:val="25"/>
          <w:szCs w:val="25"/>
        </w:rPr>
        <w:t xml:space="preserve"> the purpose of the rebuttal round of testimony is to provide a party seeking a rate increase an opportunity to rebut evidence presented by other parties in their response testimonies.  Any evidence</w:t>
      </w:r>
      <w:r w:rsidR="007D1128" w:rsidRPr="00942F86">
        <w:rPr>
          <w:sz w:val="25"/>
          <w:szCs w:val="25"/>
        </w:rPr>
        <w:t xml:space="preserve"> presented on rebuttal</w:t>
      </w:r>
      <w:r w:rsidRPr="00942F86">
        <w:rPr>
          <w:sz w:val="25"/>
          <w:szCs w:val="25"/>
        </w:rPr>
        <w:t xml:space="preserve"> that is outside this purpose may be rejected</w:t>
      </w:r>
      <w:r w:rsidR="007D1128" w:rsidRPr="00942F86">
        <w:rPr>
          <w:sz w:val="25"/>
          <w:szCs w:val="25"/>
        </w:rPr>
        <w:t>.</w:t>
      </w:r>
      <w:r w:rsidR="001D7B5B" w:rsidRPr="00942F86">
        <w:rPr>
          <w:sz w:val="25"/>
          <w:szCs w:val="25"/>
        </w:rPr>
        <w:t xml:space="preserve">  In the final analysis, however, we accept these adjustments to NPC as a result of the changes in coal prices at Jim Bridger, and the minor modification at the Colstrip facility, as being appropriate and meeting the known and measurable test.  These adjustments to the NPC for higher contractual coal costs will result in a $25 million increase on a total WCA basis and $5.7 million on a Washington</w:t>
      </w:r>
      <w:r w:rsidR="008B7347" w:rsidRPr="00942F86">
        <w:rPr>
          <w:sz w:val="25"/>
          <w:szCs w:val="25"/>
        </w:rPr>
        <w:t>-</w:t>
      </w:r>
      <w:r w:rsidR="001D7B5B" w:rsidRPr="00942F86">
        <w:rPr>
          <w:sz w:val="25"/>
          <w:szCs w:val="25"/>
        </w:rPr>
        <w:t>allocated basis.</w:t>
      </w:r>
    </w:p>
    <w:p w14:paraId="563B5F9A" w14:textId="77777777" w:rsidR="00CE6250" w:rsidRPr="00942F86" w:rsidRDefault="00CE6250" w:rsidP="000455AC">
      <w:pPr>
        <w:spacing w:line="264" w:lineRule="auto"/>
        <w:rPr>
          <w:sz w:val="25"/>
          <w:szCs w:val="25"/>
        </w:rPr>
      </w:pPr>
    </w:p>
    <w:p w14:paraId="5D2AF435" w14:textId="77777777" w:rsidR="00BB45B9" w:rsidRPr="00942F86" w:rsidRDefault="00127C47" w:rsidP="00883A54">
      <w:pPr>
        <w:pStyle w:val="Heading4"/>
      </w:pPr>
      <w:bookmarkStart w:id="22" w:name="_Toc415037619"/>
      <w:r w:rsidRPr="00942F86">
        <w:t>Energy Imbalance Market Costs</w:t>
      </w:r>
      <w:bookmarkEnd w:id="22"/>
    </w:p>
    <w:p w14:paraId="53E78798" w14:textId="77777777" w:rsidR="00DB7471" w:rsidRPr="00942F86" w:rsidRDefault="00DB7471" w:rsidP="000455AC">
      <w:pPr>
        <w:spacing w:line="264" w:lineRule="auto"/>
        <w:rPr>
          <w:sz w:val="25"/>
          <w:szCs w:val="25"/>
        </w:rPr>
      </w:pPr>
    </w:p>
    <w:p w14:paraId="7449B319" w14:textId="3E8818EB" w:rsidR="00205681" w:rsidRPr="00942F86" w:rsidRDefault="00F43FB4" w:rsidP="00FC421A">
      <w:pPr>
        <w:numPr>
          <w:ilvl w:val="0"/>
          <w:numId w:val="1"/>
        </w:numPr>
        <w:tabs>
          <w:tab w:val="clear" w:pos="720"/>
          <w:tab w:val="num" w:pos="0"/>
        </w:tabs>
        <w:spacing w:line="264" w:lineRule="auto"/>
        <w:ind w:left="0"/>
        <w:rPr>
          <w:sz w:val="25"/>
          <w:szCs w:val="25"/>
        </w:rPr>
      </w:pPr>
      <w:r w:rsidRPr="00942F86">
        <w:rPr>
          <w:rFonts w:eastAsia="Calibri"/>
          <w:sz w:val="25"/>
          <w:szCs w:val="25"/>
        </w:rPr>
        <w:t>PacifiCorp and the California Independent System Operator (CAISO)</w:t>
      </w:r>
      <w:r w:rsidR="009036D0" w:rsidRPr="00942F86">
        <w:rPr>
          <w:rFonts w:eastAsia="Calibri"/>
          <w:sz w:val="25"/>
          <w:szCs w:val="25"/>
        </w:rPr>
        <w:t>,</w:t>
      </w:r>
      <w:r w:rsidRPr="00942F86">
        <w:rPr>
          <w:rFonts w:eastAsia="Calibri"/>
          <w:sz w:val="25"/>
          <w:szCs w:val="25"/>
        </w:rPr>
        <w:t xml:space="preserve"> as sole participants</w:t>
      </w:r>
      <w:r w:rsidR="009036D0" w:rsidRPr="00942F86">
        <w:rPr>
          <w:rFonts w:eastAsia="Calibri"/>
          <w:sz w:val="25"/>
          <w:szCs w:val="25"/>
        </w:rPr>
        <w:t>, launched the Western Energy Imbalance Market (EIM) on November 1, 2014</w:t>
      </w:r>
      <w:r w:rsidRPr="00942F86">
        <w:rPr>
          <w:rFonts w:eastAsia="Calibri"/>
          <w:sz w:val="25"/>
          <w:szCs w:val="25"/>
        </w:rPr>
        <w:t xml:space="preserve">. </w:t>
      </w:r>
      <w:r w:rsidR="008B7347" w:rsidRPr="00942F86">
        <w:rPr>
          <w:rFonts w:eastAsia="Calibri"/>
          <w:sz w:val="25"/>
          <w:szCs w:val="25"/>
        </w:rPr>
        <w:t xml:space="preserve"> </w:t>
      </w:r>
      <w:r w:rsidRPr="00942F86">
        <w:rPr>
          <w:rFonts w:eastAsia="Calibri"/>
          <w:sz w:val="25"/>
          <w:szCs w:val="25"/>
        </w:rPr>
        <w:t>The EIM</w:t>
      </w:r>
      <w:r w:rsidR="009036D0" w:rsidRPr="00942F86">
        <w:rPr>
          <w:rFonts w:eastAsia="Calibri"/>
          <w:sz w:val="25"/>
          <w:szCs w:val="25"/>
        </w:rPr>
        <w:t xml:space="preserve"> is</w:t>
      </w:r>
      <w:r w:rsidRPr="00942F86">
        <w:rPr>
          <w:rFonts w:eastAsia="Calibri"/>
          <w:sz w:val="25"/>
          <w:szCs w:val="25"/>
        </w:rPr>
        <w:t xml:space="preserve"> a voluntary, sub-hourly market </w:t>
      </w:r>
      <w:r w:rsidR="00AD5946" w:rsidRPr="00942F86">
        <w:rPr>
          <w:rFonts w:eastAsia="Calibri"/>
          <w:sz w:val="25"/>
          <w:szCs w:val="25"/>
        </w:rPr>
        <w:t xml:space="preserve">administered by CAISO </w:t>
      </w:r>
      <w:r w:rsidRPr="00942F86">
        <w:rPr>
          <w:rFonts w:eastAsia="Calibri"/>
          <w:sz w:val="25"/>
          <w:szCs w:val="25"/>
        </w:rPr>
        <w:t>serving the PacifiCorp West, PacifiCorp East, and CAISO Balance Authority Areas (BAA)</w:t>
      </w:r>
      <w:r w:rsidR="009036D0" w:rsidRPr="00942F86">
        <w:rPr>
          <w:rFonts w:eastAsia="Calibri"/>
          <w:sz w:val="25"/>
          <w:szCs w:val="25"/>
        </w:rPr>
        <w:t>.  It is</w:t>
      </w:r>
      <w:r w:rsidRPr="00942F86">
        <w:rPr>
          <w:rFonts w:eastAsia="Calibri"/>
          <w:sz w:val="25"/>
          <w:szCs w:val="25"/>
        </w:rPr>
        <w:t xml:space="preserve"> </w:t>
      </w:r>
      <w:r w:rsidR="009036D0" w:rsidRPr="00942F86">
        <w:rPr>
          <w:rFonts w:eastAsia="Calibri"/>
          <w:sz w:val="25"/>
          <w:szCs w:val="25"/>
        </w:rPr>
        <w:t>expected</w:t>
      </w:r>
      <w:r w:rsidRPr="00942F86">
        <w:rPr>
          <w:rFonts w:eastAsia="Calibri"/>
          <w:sz w:val="25"/>
          <w:szCs w:val="25"/>
        </w:rPr>
        <w:t xml:space="preserve"> to provide efficient dispatch of imbalance energy across the </w:t>
      </w:r>
      <w:proofErr w:type="spellStart"/>
      <w:r w:rsidRPr="00942F86">
        <w:rPr>
          <w:rFonts w:eastAsia="Calibri"/>
          <w:sz w:val="25"/>
          <w:szCs w:val="25"/>
        </w:rPr>
        <w:t>BAAs</w:t>
      </w:r>
      <w:proofErr w:type="spellEnd"/>
      <w:r w:rsidRPr="00942F86">
        <w:rPr>
          <w:rFonts w:eastAsia="Calibri"/>
          <w:sz w:val="25"/>
          <w:szCs w:val="25"/>
        </w:rPr>
        <w:t xml:space="preserve"> every five minutes.</w:t>
      </w:r>
      <w:r w:rsidRPr="00942F86">
        <w:rPr>
          <w:rFonts w:eastAsia="Calibri"/>
          <w:sz w:val="25"/>
          <w:szCs w:val="25"/>
          <w:vertAlign w:val="superscript"/>
        </w:rPr>
        <w:footnoteReference w:id="113"/>
      </w:r>
      <w:r w:rsidRPr="00942F86">
        <w:rPr>
          <w:rFonts w:eastAsia="Calibri"/>
          <w:sz w:val="25"/>
          <w:szCs w:val="25"/>
        </w:rPr>
        <w:t xml:space="preserve"> </w:t>
      </w:r>
    </w:p>
    <w:p w14:paraId="4A68C0F7" w14:textId="77777777" w:rsidR="00205681" w:rsidRPr="00942F86" w:rsidRDefault="00F43FB4" w:rsidP="000455AC">
      <w:pPr>
        <w:spacing w:line="264" w:lineRule="auto"/>
        <w:rPr>
          <w:sz w:val="25"/>
          <w:szCs w:val="25"/>
        </w:rPr>
      </w:pPr>
      <w:r w:rsidRPr="00942F86">
        <w:rPr>
          <w:rFonts w:eastAsia="Calibri"/>
          <w:sz w:val="25"/>
          <w:szCs w:val="25"/>
        </w:rPr>
        <w:t xml:space="preserve"> </w:t>
      </w:r>
    </w:p>
    <w:p w14:paraId="2FBF9960" w14:textId="0630C5B1" w:rsidR="00BB45B9" w:rsidRPr="00942F86" w:rsidRDefault="00205681" w:rsidP="00FC421A">
      <w:pPr>
        <w:numPr>
          <w:ilvl w:val="0"/>
          <w:numId w:val="1"/>
        </w:numPr>
        <w:tabs>
          <w:tab w:val="clear" w:pos="720"/>
          <w:tab w:val="num" w:pos="0"/>
        </w:tabs>
        <w:spacing w:line="264" w:lineRule="auto"/>
        <w:ind w:left="0"/>
        <w:rPr>
          <w:sz w:val="25"/>
          <w:szCs w:val="25"/>
        </w:rPr>
      </w:pPr>
      <w:r w:rsidRPr="00FC421A">
        <w:rPr>
          <w:sz w:val="25"/>
          <w:szCs w:val="25"/>
        </w:rPr>
        <w:t>T</w:t>
      </w:r>
      <w:r w:rsidR="00F43FB4" w:rsidRPr="00FC421A">
        <w:rPr>
          <w:sz w:val="25"/>
          <w:szCs w:val="25"/>
        </w:rPr>
        <w:t>he</w:t>
      </w:r>
      <w:r w:rsidR="00F43FB4" w:rsidRPr="00942F86">
        <w:rPr>
          <w:rFonts w:eastAsia="Calibri"/>
          <w:sz w:val="25"/>
          <w:szCs w:val="25"/>
        </w:rPr>
        <w:t xml:space="preserve"> Company does not reflect the imbalance market’s impact on its rate base, rate year revenue</w:t>
      </w:r>
      <w:r w:rsidRPr="00942F86">
        <w:rPr>
          <w:rFonts w:eastAsia="Calibri"/>
          <w:sz w:val="25"/>
          <w:szCs w:val="25"/>
        </w:rPr>
        <w:t>,</w:t>
      </w:r>
      <w:r w:rsidR="00F43FB4" w:rsidRPr="00942F86">
        <w:rPr>
          <w:rFonts w:eastAsia="Calibri"/>
          <w:sz w:val="25"/>
          <w:szCs w:val="25"/>
        </w:rPr>
        <w:t xml:space="preserve"> or expenses. </w:t>
      </w:r>
      <w:r w:rsidR="008B7347" w:rsidRPr="00942F86">
        <w:rPr>
          <w:rFonts w:eastAsia="Calibri"/>
          <w:sz w:val="25"/>
          <w:szCs w:val="25"/>
        </w:rPr>
        <w:t xml:space="preserve"> </w:t>
      </w:r>
      <w:r w:rsidR="00F43FB4" w:rsidRPr="00942F86">
        <w:rPr>
          <w:rFonts w:eastAsia="Calibri"/>
          <w:sz w:val="25"/>
          <w:szCs w:val="25"/>
        </w:rPr>
        <w:t xml:space="preserve">Mr. Duvall </w:t>
      </w:r>
      <w:r w:rsidRPr="00942F86">
        <w:rPr>
          <w:rFonts w:eastAsia="Calibri"/>
          <w:sz w:val="25"/>
          <w:szCs w:val="25"/>
        </w:rPr>
        <w:t>testifies</w:t>
      </w:r>
      <w:r w:rsidR="00F43FB4" w:rsidRPr="00942F86">
        <w:rPr>
          <w:rFonts w:eastAsia="Calibri"/>
          <w:sz w:val="25"/>
          <w:szCs w:val="25"/>
        </w:rPr>
        <w:t xml:space="preserve"> that the costs</w:t>
      </w:r>
      <w:r w:rsidRPr="00942F86">
        <w:rPr>
          <w:rFonts w:eastAsia="Calibri"/>
          <w:sz w:val="25"/>
          <w:szCs w:val="25"/>
        </w:rPr>
        <w:t xml:space="preserve"> and </w:t>
      </w:r>
      <w:r w:rsidR="00F43FB4" w:rsidRPr="00942F86">
        <w:rPr>
          <w:rFonts w:eastAsia="Calibri"/>
          <w:sz w:val="25"/>
          <w:szCs w:val="25"/>
        </w:rPr>
        <w:t>benefits</w:t>
      </w:r>
      <w:r w:rsidRPr="00942F86">
        <w:rPr>
          <w:rFonts w:eastAsia="Calibri"/>
          <w:sz w:val="25"/>
          <w:szCs w:val="25"/>
        </w:rPr>
        <w:t xml:space="preserve"> of the EIM </w:t>
      </w:r>
      <w:r w:rsidR="00F43FB4" w:rsidRPr="00942F86">
        <w:rPr>
          <w:rFonts w:eastAsia="Calibri"/>
          <w:sz w:val="25"/>
          <w:szCs w:val="25"/>
        </w:rPr>
        <w:t>are not sufficiently known and measurable</w:t>
      </w:r>
      <w:r w:rsidR="00F00481" w:rsidRPr="00942F86">
        <w:rPr>
          <w:rFonts w:eastAsia="Calibri"/>
          <w:sz w:val="25"/>
          <w:szCs w:val="25"/>
        </w:rPr>
        <w:t xml:space="preserve"> at this time</w:t>
      </w:r>
      <w:r w:rsidR="00F43FB4" w:rsidRPr="00942F86">
        <w:rPr>
          <w:rFonts w:eastAsia="Calibri"/>
          <w:sz w:val="25"/>
          <w:szCs w:val="25"/>
        </w:rPr>
        <w:t xml:space="preserve">.  </w:t>
      </w:r>
      <w:r w:rsidRPr="00942F86">
        <w:rPr>
          <w:rFonts w:eastAsia="Calibri"/>
          <w:sz w:val="25"/>
          <w:szCs w:val="25"/>
        </w:rPr>
        <w:t>He observes</w:t>
      </w:r>
      <w:r w:rsidR="00F43FB4" w:rsidRPr="00942F86">
        <w:rPr>
          <w:rFonts w:eastAsia="Calibri"/>
          <w:sz w:val="25"/>
          <w:szCs w:val="25"/>
        </w:rPr>
        <w:t xml:space="preserve"> that the EIM is new and </w:t>
      </w:r>
      <w:r w:rsidRPr="00942F86">
        <w:rPr>
          <w:rFonts w:eastAsia="Calibri"/>
          <w:sz w:val="25"/>
          <w:szCs w:val="25"/>
        </w:rPr>
        <w:t xml:space="preserve">states that </w:t>
      </w:r>
      <w:r w:rsidR="00F43FB4" w:rsidRPr="00942F86">
        <w:rPr>
          <w:rFonts w:eastAsia="Calibri"/>
          <w:sz w:val="25"/>
          <w:szCs w:val="25"/>
        </w:rPr>
        <w:t>“key EIM components are still being developed and implemented.”</w:t>
      </w:r>
      <w:r w:rsidR="00F43FB4" w:rsidRPr="00942F86">
        <w:rPr>
          <w:rFonts w:eastAsia="Calibri"/>
          <w:sz w:val="25"/>
          <w:szCs w:val="25"/>
          <w:vertAlign w:val="superscript"/>
        </w:rPr>
        <w:footnoteReference w:id="114"/>
      </w:r>
      <w:r w:rsidR="00F43FB4" w:rsidRPr="00942F86">
        <w:rPr>
          <w:rFonts w:eastAsia="Calibri"/>
          <w:sz w:val="25"/>
          <w:szCs w:val="25"/>
        </w:rPr>
        <w:t xml:space="preserve">  In addition, he points out that the expected imbalance costs and benefits may vary depending on transfer capability available</w:t>
      </w:r>
      <w:r w:rsidRPr="00942F86">
        <w:rPr>
          <w:rFonts w:eastAsia="Calibri"/>
          <w:sz w:val="25"/>
          <w:szCs w:val="25"/>
        </w:rPr>
        <w:t>,</w:t>
      </w:r>
      <w:r w:rsidR="00F43FB4" w:rsidRPr="00942F86">
        <w:rPr>
          <w:rFonts w:eastAsia="Calibri"/>
          <w:sz w:val="25"/>
          <w:szCs w:val="25"/>
        </w:rPr>
        <w:t xml:space="preserve"> making costs and benefits difficult to forecast.</w:t>
      </w:r>
      <w:r w:rsidR="00F43FB4" w:rsidRPr="00942F86">
        <w:rPr>
          <w:rFonts w:eastAsia="Calibri"/>
          <w:sz w:val="25"/>
          <w:szCs w:val="25"/>
          <w:vertAlign w:val="superscript"/>
        </w:rPr>
        <w:footnoteReference w:id="115"/>
      </w:r>
    </w:p>
    <w:p w14:paraId="646BC2F4" w14:textId="77777777" w:rsidR="00205681" w:rsidRPr="00942F86" w:rsidRDefault="00205681" w:rsidP="000455AC">
      <w:pPr>
        <w:pStyle w:val="ListParagraph"/>
        <w:spacing w:line="264" w:lineRule="auto"/>
        <w:rPr>
          <w:sz w:val="25"/>
          <w:szCs w:val="25"/>
        </w:rPr>
      </w:pPr>
    </w:p>
    <w:p w14:paraId="1522E4A2" w14:textId="533717D8" w:rsidR="00205681" w:rsidRPr="00942F86" w:rsidRDefault="00205681" w:rsidP="00FC421A">
      <w:pPr>
        <w:numPr>
          <w:ilvl w:val="0"/>
          <w:numId w:val="1"/>
        </w:numPr>
        <w:tabs>
          <w:tab w:val="clear" w:pos="720"/>
          <w:tab w:val="num" w:pos="0"/>
        </w:tabs>
        <w:spacing w:line="264" w:lineRule="auto"/>
        <w:ind w:left="0"/>
        <w:rPr>
          <w:sz w:val="25"/>
          <w:szCs w:val="25"/>
        </w:rPr>
      </w:pPr>
      <w:r w:rsidRPr="00942F86">
        <w:rPr>
          <w:sz w:val="25"/>
          <w:szCs w:val="25"/>
        </w:rPr>
        <w:t xml:space="preserve">Mr. Mullins, for Boise White Paper, testifies that “if the Commission determines other major pro-forma capital additions should be included in revenue requirement—such as the Merwin Fish Collector—then EIM costs and associated benefits should </w:t>
      </w:r>
      <w:r w:rsidRPr="00942F86">
        <w:rPr>
          <w:sz w:val="25"/>
          <w:szCs w:val="25"/>
        </w:rPr>
        <w:lastRenderedPageBreak/>
        <w:t>also be reflected in revenue requirement.”</w:t>
      </w:r>
      <w:r w:rsidRPr="00942F86">
        <w:rPr>
          <w:rStyle w:val="FootnoteReference"/>
          <w:sz w:val="25"/>
          <w:szCs w:val="25"/>
        </w:rPr>
        <w:footnoteReference w:id="116"/>
      </w:r>
      <w:r w:rsidR="00387436" w:rsidRPr="00942F86">
        <w:rPr>
          <w:sz w:val="25"/>
          <w:szCs w:val="25"/>
        </w:rPr>
        <w:t xml:space="preserve"> </w:t>
      </w:r>
      <w:r w:rsidR="00B35509" w:rsidRPr="00942F86">
        <w:rPr>
          <w:sz w:val="25"/>
          <w:szCs w:val="25"/>
        </w:rPr>
        <w:t xml:space="preserve"> Mr. Mullin</w:t>
      </w:r>
      <w:r w:rsidR="00624053">
        <w:rPr>
          <w:sz w:val="25"/>
          <w:szCs w:val="25"/>
        </w:rPr>
        <w:t>s</w:t>
      </w:r>
      <w:r w:rsidR="00B35509" w:rsidRPr="00942F86">
        <w:rPr>
          <w:sz w:val="25"/>
          <w:szCs w:val="25"/>
        </w:rPr>
        <w:t xml:space="preserve"> testifies that</w:t>
      </w:r>
      <w:r w:rsidR="00387436" w:rsidRPr="00942F86">
        <w:rPr>
          <w:sz w:val="25"/>
          <w:szCs w:val="25"/>
        </w:rPr>
        <w:t xml:space="preserve"> the Company proposes to include in rates a number of post-test period capital projects</w:t>
      </w:r>
      <w:r w:rsidR="00B35509" w:rsidRPr="00942F86">
        <w:rPr>
          <w:sz w:val="25"/>
          <w:szCs w:val="25"/>
        </w:rPr>
        <w:t xml:space="preserve"> with</w:t>
      </w:r>
      <w:r w:rsidR="00387436" w:rsidRPr="00942F86">
        <w:rPr>
          <w:sz w:val="25"/>
          <w:szCs w:val="25"/>
        </w:rPr>
        <w:t xml:space="preserve"> smaller capital budgets and </w:t>
      </w:r>
      <w:r w:rsidR="00B35509" w:rsidRPr="00942F86">
        <w:rPr>
          <w:sz w:val="25"/>
          <w:szCs w:val="25"/>
        </w:rPr>
        <w:t>later in-service</w:t>
      </w:r>
      <w:r w:rsidR="00387436" w:rsidRPr="00942F86">
        <w:rPr>
          <w:sz w:val="25"/>
          <w:szCs w:val="25"/>
        </w:rPr>
        <w:t xml:space="preserve"> date</w:t>
      </w:r>
      <w:r w:rsidR="00B35509" w:rsidRPr="00942F86">
        <w:rPr>
          <w:sz w:val="25"/>
          <w:szCs w:val="25"/>
        </w:rPr>
        <w:t>s</w:t>
      </w:r>
      <w:r w:rsidR="00387436" w:rsidRPr="00942F86">
        <w:rPr>
          <w:sz w:val="25"/>
          <w:szCs w:val="25"/>
        </w:rPr>
        <w:t xml:space="preserve"> than the EIM expenditures</w:t>
      </w:r>
      <w:r w:rsidR="00B35509" w:rsidRPr="00942F86">
        <w:rPr>
          <w:sz w:val="25"/>
          <w:szCs w:val="25"/>
        </w:rPr>
        <w:t>.  Yet, he says, Pacific Power</w:t>
      </w:r>
      <w:r w:rsidR="00387436" w:rsidRPr="00942F86">
        <w:rPr>
          <w:sz w:val="25"/>
          <w:szCs w:val="25"/>
        </w:rPr>
        <w:t xml:space="preserve"> has not proposed that any costs or benefits of the EIM be </w:t>
      </w:r>
      <w:r w:rsidR="00B35509" w:rsidRPr="00942F86">
        <w:rPr>
          <w:sz w:val="25"/>
          <w:szCs w:val="25"/>
        </w:rPr>
        <w:t>reflected in rates</w:t>
      </w:r>
      <w:r w:rsidR="00387436" w:rsidRPr="00942F86">
        <w:rPr>
          <w:sz w:val="25"/>
          <w:szCs w:val="25"/>
        </w:rPr>
        <w:t xml:space="preserve">.  </w:t>
      </w:r>
      <w:r w:rsidR="00B35509" w:rsidRPr="00942F86">
        <w:rPr>
          <w:sz w:val="25"/>
          <w:szCs w:val="25"/>
        </w:rPr>
        <w:t>In Mr. Mullins’ view, the Commission should not</w:t>
      </w:r>
      <w:r w:rsidR="00387436" w:rsidRPr="00942F86">
        <w:rPr>
          <w:sz w:val="25"/>
          <w:szCs w:val="25"/>
        </w:rPr>
        <w:t xml:space="preserve"> </w:t>
      </w:r>
      <w:r w:rsidR="00DB7471" w:rsidRPr="00942F86">
        <w:rPr>
          <w:sz w:val="25"/>
          <w:szCs w:val="25"/>
        </w:rPr>
        <w:t>apply</w:t>
      </w:r>
      <w:r w:rsidR="00F00481" w:rsidRPr="00942F86">
        <w:rPr>
          <w:sz w:val="25"/>
          <w:szCs w:val="25"/>
        </w:rPr>
        <w:t xml:space="preserve"> </w:t>
      </w:r>
      <w:r w:rsidR="00387436" w:rsidRPr="00942F86">
        <w:rPr>
          <w:sz w:val="25"/>
          <w:szCs w:val="25"/>
        </w:rPr>
        <w:t>“a double standard for determining which pro-forma capital and operating costs to include in revenue requirement.”</w:t>
      </w:r>
      <w:r w:rsidR="00DB7471" w:rsidRPr="00942F86">
        <w:rPr>
          <w:rStyle w:val="FootnoteReference"/>
          <w:sz w:val="25"/>
          <w:szCs w:val="25"/>
        </w:rPr>
        <w:footnoteReference w:id="117"/>
      </w:r>
      <w:r w:rsidR="00387436" w:rsidRPr="00942F86">
        <w:rPr>
          <w:sz w:val="25"/>
          <w:szCs w:val="25"/>
        </w:rPr>
        <w:t xml:space="preserve">  </w:t>
      </w:r>
    </w:p>
    <w:p w14:paraId="76A9D418" w14:textId="77777777" w:rsidR="00387436" w:rsidRPr="00942F86" w:rsidRDefault="00387436" w:rsidP="000455AC">
      <w:pPr>
        <w:pStyle w:val="ListParagraph"/>
        <w:spacing w:line="264" w:lineRule="auto"/>
        <w:rPr>
          <w:sz w:val="25"/>
          <w:szCs w:val="25"/>
        </w:rPr>
      </w:pPr>
    </w:p>
    <w:p w14:paraId="6C3A943A" w14:textId="1A379B66" w:rsidR="00DB7471" w:rsidRPr="00942F86" w:rsidRDefault="00DB7471" w:rsidP="00FC421A">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To support his proposal Mr. Mullins relies on a March 2013 study prepared by Energy and Environmental Economics, Inc. (</w:t>
      </w:r>
      <w:proofErr w:type="spellStart"/>
      <w:r w:rsidRPr="00942F86">
        <w:rPr>
          <w:rFonts w:eastAsia="Calibri"/>
          <w:sz w:val="25"/>
          <w:szCs w:val="25"/>
        </w:rPr>
        <w:t>E</w:t>
      </w:r>
      <w:r w:rsidR="008B7347" w:rsidRPr="00942F86">
        <w:rPr>
          <w:rFonts w:eastAsia="Calibri"/>
          <w:sz w:val="25"/>
          <w:szCs w:val="25"/>
        </w:rPr>
        <w:t>3</w:t>
      </w:r>
      <w:proofErr w:type="spellEnd"/>
      <w:r w:rsidRPr="00942F86">
        <w:rPr>
          <w:rFonts w:eastAsia="Calibri"/>
          <w:sz w:val="25"/>
          <w:szCs w:val="25"/>
        </w:rPr>
        <w:t>), titled “</w:t>
      </w:r>
      <w:r w:rsidRPr="00942F86">
        <w:rPr>
          <w:rFonts w:eastAsia="Calibri"/>
          <w:i/>
          <w:sz w:val="25"/>
          <w:szCs w:val="25"/>
        </w:rPr>
        <w:t>PacifiCorp-ISO Energy Imbalance Market Benefits</w:t>
      </w:r>
      <w:r w:rsidRPr="00942F86">
        <w:rPr>
          <w:rFonts w:eastAsia="Calibri"/>
          <w:sz w:val="25"/>
          <w:szCs w:val="25"/>
        </w:rPr>
        <w:t>” which examines both the feasibility and benefits of developing an EIM between PacifiCorp and the CAISO.</w:t>
      </w:r>
      <w:r w:rsidRPr="00942F86">
        <w:rPr>
          <w:rFonts w:eastAsia="Calibri"/>
          <w:sz w:val="25"/>
          <w:szCs w:val="25"/>
          <w:vertAlign w:val="superscript"/>
        </w:rPr>
        <w:footnoteReference w:id="118"/>
      </w:r>
      <w:r w:rsidRPr="00942F86">
        <w:rPr>
          <w:rFonts w:eastAsia="Calibri"/>
          <w:sz w:val="25"/>
          <w:szCs w:val="25"/>
        </w:rPr>
        <w:t xml:space="preserve"> </w:t>
      </w:r>
      <w:r w:rsidR="008F356F" w:rsidRPr="00942F86">
        <w:rPr>
          <w:rFonts w:eastAsia="Calibri"/>
          <w:sz w:val="25"/>
          <w:szCs w:val="25"/>
        </w:rPr>
        <w:t xml:space="preserve"> </w:t>
      </w:r>
      <w:r w:rsidRPr="00942F86">
        <w:rPr>
          <w:rFonts w:eastAsia="Calibri"/>
          <w:sz w:val="25"/>
          <w:szCs w:val="25"/>
        </w:rPr>
        <w:t xml:space="preserve">Mr. Mullins argues that if the Company relied on the </w:t>
      </w:r>
      <w:proofErr w:type="spellStart"/>
      <w:r w:rsidRPr="00942F86">
        <w:rPr>
          <w:rFonts w:eastAsia="Calibri"/>
          <w:sz w:val="25"/>
          <w:szCs w:val="25"/>
        </w:rPr>
        <w:t>E3</w:t>
      </w:r>
      <w:proofErr w:type="spellEnd"/>
      <w:r w:rsidRPr="00942F86">
        <w:rPr>
          <w:rFonts w:eastAsia="Calibri"/>
          <w:sz w:val="25"/>
          <w:szCs w:val="25"/>
        </w:rPr>
        <w:t xml:space="preserve"> report in its decision to participate in the EIM, th</w:t>
      </w:r>
      <w:r w:rsidR="00F00481" w:rsidRPr="00942F86">
        <w:rPr>
          <w:rFonts w:eastAsia="Calibri"/>
          <w:sz w:val="25"/>
          <w:szCs w:val="25"/>
        </w:rPr>
        <w:t>e</w:t>
      </w:r>
      <w:r w:rsidRPr="00942F86">
        <w:rPr>
          <w:rFonts w:eastAsia="Calibri"/>
          <w:sz w:val="25"/>
          <w:szCs w:val="25"/>
        </w:rPr>
        <w:t>n the same report should be sufficient enough to establish EIM benefits for ratemaking purposes.</w:t>
      </w:r>
      <w:r w:rsidRPr="00942F86">
        <w:rPr>
          <w:rFonts w:eastAsia="Calibri"/>
          <w:sz w:val="25"/>
          <w:szCs w:val="25"/>
          <w:vertAlign w:val="superscript"/>
        </w:rPr>
        <w:footnoteReference w:id="119"/>
      </w:r>
      <w:r w:rsidRPr="00942F86">
        <w:rPr>
          <w:rFonts w:eastAsia="Calibri"/>
          <w:sz w:val="25"/>
          <w:szCs w:val="25"/>
        </w:rPr>
        <w:t xml:space="preserve">  Relying solely on the report, Mr. Mullins provides discussion on the costs and benefits of the Company’s participation in the new EIM program.  He begins by recognizing an estimated initial investment and operating costs of the Company by increasing expenses by $237,000 in O&amp;M expenses and increasing the test year’s rate base of $1.2 million.  The adjustments result in a $394,087 increase in </w:t>
      </w:r>
      <w:r w:rsidR="008F356F" w:rsidRPr="00942F86">
        <w:rPr>
          <w:rFonts w:eastAsia="Calibri"/>
          <w:sz w:val="25"/>
          <w:szCs w:val="25"/>
        </w:rPr>
        <w:t xml:space="preserve">Pacific Power’s </w:t>
      </w:r>
      <w:r w:rsidRPr="00942F86">
        <w:rPr>
          <w:rFonts w:eastAsia="Calibri"/>
          <w:sz w:val="25"/>
          <w:szCs w:val="25"/>
        </w:rPr>
        <w:t>Washington allocated revenue requirement.</w:t>
      </w:r>
      <w:r w:rsidRPr="00942F86">
        <w:rPr>
          <w:rFonts w:eastAsia="Calibri"/>
          <w:sz w:val="25"/>
          <w:szCs w:val="25"/>
          <w:vertAlign w:val="superscript"/>
        </w:rPr>
        <w:footnoteReference w:id="120"/>
      </w:r>
      <w:r w:rsidRPr="00942F86">
        <w:rPr>
          <w:rFonts w:eastAsia="Calibri"/>
          <w:sz w:val="25"/>
          <w:szCs w:val="25"/>
        </w:rPr>
        <w:t xml:space="preserve">  </w:t>
      </w:r>
    </w:p>
    <w:p w14:paraId="1E556A7C" w14:textId="77777777" w:rsidR="00DB7471" w:rsidRPr="00942F86" w:rsidRDefault="00DB7471" w:rsidP="000455AC">
      <w:pPr>
        <w:autoSpaceDE w:val="0"/>
        <w:autoSpaceDN w:val="0"/>
        <w:adjustRightInd w:val="0"/>
        <w:spacing w:line="264" w:lineRule="auto"/>
        <w:rPr>
          <w:rFonts w:eastAsia="Calibri"/>
          <w:sz w:val="25"/>
          <w:szCs w:val="25"/>
        </w:rPr>
      </w:pPr>
    </w:p>
    <w:p w14:paraId="4DE2E2CD" w14:textId="62514742" w:rsidR="00A15F55" w:rsidRPr="00942F86" w:rsidRDefault="008F356F" w:rsidP="00FC421A">
      <w:pPr>
        <w:numPr>
          <w:ilvl w:val="0"/>
          <w:numId w:val="1"/>
        </w:numPr>
        <w:tabs>
          <w:tab w:val="clear" w:pos="720"/>
          <w:tab w:val="num" w:pos="0"/>
        </w:tabs>
        <w:spacing w:line="264" w:lineRule="auto"/>
        <w:ind w:left="0"/>
        <w:rPr>
          <w:sz w:val="25"/>
          <w:szCs w:val="25"/>
        </w:rPr>
      </w:pPr>
      <w:r w:rsidRPr="00942F86">
        <w:rPr>
          <w:rFonts w:eastAsia="Calibri"/>
          <w:sz w:val="25"/>
          <w:szCs w:val="25"/>
        </w:rPr>
        <w:t xml:space="preserve">The Company </w:t>
      </w:r>
      <w:r w:rsidR="00DB7471" w:rsidRPr="00942F86">
        <w:rPr>
          <w:rFonts w:eastAsia="Calibri"/>
          <w:sz w:val="25"/>
          <w:szCs w:val="25"/>
        </w:rPr>
        <w:t>responds to Boise</w:t>
      </w:r>
      <w:r w:rsidR="008B7347" w:rsidRPr="00942F86">
        <w:rPr>
          <w:rFonts w:eastAsia="Calibri"/>
          <w:sz w:val="25"/>
          <w:szCs w:val="25"/>
        </w:rPr>
        <w:t xml:space="preserve"> White Paper</w:t>
      </w:r>
      <w:r w:rsidR="00DB7471" w:rsidRPr="00942F86">
        <w:rPr>
          <w:rFonts w:eastAsia="Calibri"/>
          <w:sz w:val="25"/>
          <w:szCs w:val="25"/>
        </w:rPr>
        <w:t>’s proposal by pointing out that it is currently impossible to project accurately the amount of offsetting benefits in the rate period.</w:t>
      </w:r>
      <w:r w:rsidR="00DB7471" w:rsidRPr="00942F86">
        <w:rPr>
          <w:rFonts w:eastAsia="Calibri"/>
          <w:sz w:val="25"/>
          <w:szCs w:val="25"/>
          <w:vertAlign w:val="superscript"/>
        </w:rPr>
        <w:footnoteReference w:id="121"/>
      </w:r>
      <w:r w:rsidR="00DB7471" w:rsidRPr="00942F86">
        <w:rPr>
          <w:rFonts w:eastAsia="Calibri"/>
          <w:sz w:val="25"/>
          <w:szCs w:val="25"/>
        </w:rPr>
        <w:t xml:space="preserve">  Mr. Duvall </w:t>
      </w:r>
      <w:r w:rsidR="00AD5946" w:rsidRPr="00942F86">
        <w:rPr>
          <w:rFonts w:eastAsia="Calibri"/>
          <w:sz w:val="25"/>
          <w:szCs w:val="25"/>
        </w:rPr>
        <w:t>testifies</w:t>
      </w:r>
      <w:r w:rsidR="00DB7471" w:rsidRPr="00942F86">
        <w:rPr>
          <w:rFonts w:eastAsia="Calibri"/>
          <w:sz w:val="25"/>
          <w:szCs w:val="25"/>
        </w:rPr>
        <w:t xml:space="preserve"> that because of Washington’s known and measurable standard, and its adherence to the matching principle, the Company decided not to include EIM costs and benefits in this filing.</w:t>
      </w:r>
      <w:r w:rsidR="00DB7471" w:rsidRPr="00942F86">
        <w:rPr>
          <w:rFonts w:eastAsia="Calibri"/>
          <w:sz w:val="25"/>
          <w:szCs w:val="25"/>
          <w:vertAlign w:val="superscript"/>
        </w:rPr>
        <w:footnoteReference w:id="122"/>
      </w:r>
      <w:r w:rsidR="00AD5946" w:rsidRPr="00942F86">
        <w:rPr>
          <w:rFonts w:eastAsia="Calibri"/>
          <w:sz w:val="25"/>
          <w:szCs w:val="25"/>
        </w:rPr>
        <w:t xml:space="preserve">  </w:t>
      </w:r>
      <w:r w:rsidR="009A66C8" w:rsidRPr="00942F86">
        <w:rPr>
          <w:rFonts w:eastAsia="Calibri"/>
          <w:sz w:val="25"/>
          <w:szCs w:val="25"/>
        </w:rPr>
        <w:t xml:space="preserve">Mr. Duvall testifies that EIM benefits are “unlike other forecast items in this case because there is no actual or analogous </w:t>
      </w:r>
      <w:r w:rsidR="009A66C8" w:rsidRPr="00942F86">
        <w:rPr>
          <w:rFonts w:eastAsia="Calibri"/>
          <w:sz w:val="25"/>
          <w:szCs w:val="25"/>
        </w:rPr>
        <w:lastRenderedPageBreak/>
        <w:t>historical data on which to base an economic forecast for ratemaking purposes.”</w:t>
      </w:r>
      <w:r w:rsidR="009A66C8" w:rsidRPr="00942F86">
        <w:rPr>
          <w:rStyle w:val="FootnoteReference"/>
          <w:rFonts w:eastAsia="Calibri"/>
          <w:sz w:val="25"/>
          <w:szCs w:val="25"/>
        </w:rPr>
        <w:footnoteReference w:id="123"/>
      </w:r>
      <w:r w:rsidR="009A66C8" w:rsidRPr="00942F86">
        <w:rPr>
          <w:rFonts w:eastAsia="Calibri"/>
          <w:sz w:val="25"/>
          <w:szCs w:val="25"/>
        </w:rPr>
        <w:t xml:space="preserve">  In addition, the EIM is new and untested.  He expects that a reasonable ramp-up period will be required before EIM benefits are fully realized and measurable.</w:t>
      </w:r>
      <w:r w:rsidR="009A66C8" w:rsidRPr="00942F86">
        <w:rPr>
          <w:rStyle w:val="FootnoteReference"/>
          <w:rFonts w:eastAsia="Calibri"/>
          <w:sz w:val="25"/>
          <w:szCs w:val="25"/>
        </w:rPr>
        <w:footnoteReference w:id="124"/>
      </w:r>
      <w:r w:rsidR="00DB7471" w:rsidRPr="00942F86">
        <w:rPr>
          <w:rFonts w:eastAsia="Calibri"/>
          <w:sz w:val="25"/>
          <w:szCs w:val="25"/>
        </w:rPr>
        <w:t xml:space="preserve">  </w:t>
      </w:r>
      <w:r w:rsidR="00DB7471" w:rsidRPr="00942F86">
        <w:rPr>
          <w:rFonts w:eastAsia="Calibri"/>
          <w:sz w:val="25"/>
          <w:szCs w:val="25"/>
        </w:rPr>
        <w:tab/>
      </w:r>
    </w:p>
    <w:p w14:paraId="14239E74" w14:textId="77777777" w:rsidR="00A15F55" w:rsidRPr="00942F86" w:rsidRDefault="00A15F55" w:rsidP="000455AC">
      <w:pPr>
        <w:spacing w:line="264" w:lineRule="auto"/>
        <w:rPr>
          <w:sz w:val="25"/>
          <w:szCs w:val="25"/>
        </w:rPr>
      </w:pPr>
    </w:p>
    <w:p w14:paraId="358282A9" w14:textId="1F1527C5" w:rsidR="00551F79" w:rsidRPr="00942F86" w:rsidRDefault="00A15F55" w:rsidP="00FC421A">
      <w:pPr>
        <w:numPr>
          <w:ilvl w:val="0"/>
          <w:numId w:val="1"/>
        </w:numPr>
        <w:tabs>
          <w:tab w:val="clear" w:pos="720"/>
          <w:tab w:val="num" w:pos="0"/>
        </w:tabs>
        <w:spacing w:line="264" w:lineRule="auto"/>
        <w:ind w:left="0"/>
        <w:rPr>
          <w:sz w:val="25"/>
          <w:szCs w:val="25"/>
        </w:rPr>
      </w:pPr>
      <w:r w:rsidRPr="00942F86">
        <w:rPr>
          <w:rFonts w:eastAsia="Calibri"/>
          <w:sz w:val="25"/>
          <w:szCs w:val="25"/>
        </w:rPr>
        <w:t xml:space="preserve">Mr. Duvall’s “overarching criticism” of Boise White Paper’s reliance on the results of the </w:t>
      </w:r>
      <w:proofErr w:type="spellStart"/>
      <w:r w:rsidRPr="00942F86">
        <w:rPr>
          <w:rFonts w:eastAsia="Calibri"/>
          <w:sz w:val="25"/>
          <w:szCs w:val="25"/>
        </w:rPr>
        <w:t>E3</w:t>
      </w:r>
      <w:proofErr w:type="spellEnd"/>
      <w:r w:rsidRPr="00942F86">
        <w:rPr>
          <w:rFonts w:eastAsia="Calibri"/>
          <w:sz w:val="25"/>
          <w:szCs w:val="25"/>
        </w:rPr>
        <w:t xml:space="preserve"> Report is that there is no nexus between the study and “the specific </w:t>
      </w:r>
      <w:r w:rsidRPr="00942F86">
        <w:rPr>
          <w:rFonts w:eastAsia="Calibri"/>
          <w:i/>
          <w:sz w:val="25"/>
          <w:szCs w:val="25"/>
        </w:rPr>
        <w:t>pro forma</w:t>
      </w:r>
      <w:r w:rsidRPr="00942F86">
        <w:rPr>
          <w:rFonts w:eastAsia="Calibri"/>
          <w:sz w:val="25"/>
          <w:szCs w:val="25"/>
        </w:rPr>
        <w:t xml:space="preserve"> period in this case or the WCA methodology.”</w:t>
      </w:r>
      <w:r w:rsidRPr="00942F86">
        <w:rPr>
          <w:rStyle w:val="FootnoteReference"/>
          <w:rFonts w:eastAsia="Calibri"/>
          <w:sz w:val="25"/>
          <w:szCs w:val="25"/>
        </w:rPr>
        <w:footnoteReference w:id="125"/>
      </w:r>
      <w:r w:rsidRPr="00942F86">
        <w:rPr>
          <w:rFonts w:eastAsia="Calibri"/>
          <w:sz w:val="25"/>
          <w:szCs w:val="25"/>
        </w:rPr>
        <w:t xml:space="preserve">  In addition, according to Mr. Duvall, Boise White Paper’s proposed adjustments include benefits that are already reflected to some extent in the Company’s existing forecast and reflect a reduction in imbalance costs that are not included in the </w:t>
      </w:r>
      <w:r w:rsidR="00CE6250" w:rsidRPr="00942F86">
        <w:rPr>
          <w:rFonts w:eastAsia="Calibri"/>
          <w:sz w:val="25"/>
          <w:szCs w:val="25"/>
        </w:rPr>
        <w:t>Company’s power cost</w:t>
      </w:r>
      <w:r w:rsidRPr="00942F86">
        <w:rPr>
          <w:rFonts w:eastAsia="Calibri"/>
          <w:sz w:val="25"/>
          <w:szCs w:val="25"/>
        </w:rPr>
        <w:t xml:space="preserve"> model</w:t>
      </w:r>
      <w:r w:rsidR="00CE6250" w:rsidRPr="00942F86">
        <w:rPr>
          <w:rFonts w:eastAsia="Calibri"/>
          <w:sz w:val="25"/>
          <w:szCs w:val="25"/>
        </w:rPr>
        <w:t xml:space="preserve"> </w:t>
      </w:r>
      <w:r w:rsidRPr="00942F86">
        <w:rPr>
          <w:rFonts w:eastAsia="Calibri"/>
          <w:sz w:val="25"/>
          <w:szCs w:val="25"/>
        </w:rPr>
        <w:t>forecast or customers’ rates to begin with.</w:t>
      </w:r>
      <w:r w:rsidRPr="00942F86">
        <w:rPr>
          <w:rStyle w:val="FootnoteReference"/>
          <w:rFonts w:eastAsia="Calibri"/>
          <w:sz w:val="25"/>
          <w:szCs w:val="25"/>
        </w:rPr>
        <w:footnoteReference w:id="126"/>
      </w:r>
      <w:r w:rsidR="00DB7471" w:rsidRPr="00942F86">
        <w:rPr>
          <w:rFonts w:eastAsia="Calibri"/>
          <w:sz w:val="25"/>
          <w:szCs w:val="25"/>
        </w:rPr>
        <w:t xml:space="preserve"> </w:t>
      </w:r>
    </w:p>
    <w:p w14:paraId="6ADB61E9" w14:textId="77777777" w:rsidR="00551F79" w:rsidRPr="00942F86" w:rsidRDefault="00551F79" w:rsidP="000455AC">
      <w:pPr>
        <w:pStyle w:val="ListParagraph"/>
        <w:spacing w:line="264" w:lineRule="auto"/>
        <w:rPr>
          <w:rFonts w:eastAsia="Calibri"/>
          <w:sz w:val="25"/>
          <w:szCs w:val="25"/>
        </w:rPr>
      </w:pPr>
    </w:p>
    <w:p w14:paraId="7D4823A6" w14:textId="1ACA7577" w:rsidR="00551F79" w:rsidRPr="00942F86" w:rsidRDefault="00551F79" w:rsidP="00FC421A">
      <w:pPr>
        <w:numPr>
          <w:ilvl w:val="0"/>
          <w:numId w:val="1"/>
        </w:numPr>
        <w:tabs>
          <w:tab w:val="clear" w:pos="720"/>
          <w:tab w:val="num" w:pos="0"/>
        </w:tabs>
        <w:spacing w:line="264" w:lineRule="auto"/>
        <w:ind w:left="0"/>
        <w:rPr>
          <w:sz w:val="25"/>
          <w:szCs w:val="25"/>
        </w:rPr>
      </w:pPr>
      <w:r w:rsidRPr="00942F86">
        <w:rPr>
          <w:rFonts w:eastAsia="Calibri"/>
          <w:sz w:val="25"/>
          <w:szCs w:val="25"/>
        </w:rPr>
        <w:t xml:space="preserve">Mr. Duvall discusses, too, that “the Company used the </w:t>
      </w:r>
      <w:proofErr w:type="spellStart"/>
      <w:r w:rsidRPr="00942F86">
        <w:rPr>
          <w:rFonts w:eastAsia="Calibri"/>
          <w:sz w:val="25"/>
          <w:szCs w:val="25"/>
        </w:rPr>
        <w:t>E3</w:t>
      </w:r>
      <w:proofErr w:type="spellEnd"/>
      <w:r w:rsidRPr="00942F86">
        <w:rPr>
          <w:rFonts w:eastAsia="Calibri"/>
          <w:sz w:val="25"/>
          <w:szCs w:val="25"/>
        </w:rPr>
        <w:t xml:space="preserve"> Report to verify that the EIM would be cost effective, not as a study to quantify its near-term benefits for ratemaking.”</w:t>
      </w:r>
      <w:r w:rsidRPr="00942F86">
        <w:rPr>
          <w:rStyle w:val="FootnoteReference"/>
          <w:rFonts w:eastAsia="Calibri"/>
          <w:sz w:val="25"/>
          <w:szCs w:val="25"/>
        </w:rPr>
        <w:footnoteReference w:id="127"/>
      </w:r>
      <w:r w:rsidRPr="00942F86">
        <w:rPr>
          <w:rFonts w:eastAsia="Calibri"/>
          <w:sz w:val="25"/>
          <w:szCs w:val="25"/>
        </w:rPr>
        <w:t xml:space="preserve">  He explains that the report is based on a forecast</w:t>
      </w:r>
      <w:r w:rsidR="00CE6250" w:rsidRPr="00942F86">
        <w:rPr>
          <w:rFonts w:eastAsia="Calibri"/>
          <w:sz w:val="25"/>
          <w:szCs w:val="25"/>
        </w:rPr>
        <w:t xml:space="preserve"> of the Western Electricity Coordinating Council’s 14-state region</w:t>
      </w:r>
      <w:r w:rsidRPr="00942F86">
        <w:rPr>
          <w:rFonts w:eastAsia="Calibri"/>
          <w:sz w:val="25"/>
          <w:szCs w:val="25"/>
        </w:rPr>
        <w:t xml:space="preserve"> for 2017, with corresponding loads and market prices, with the benefits adjusted to 2012 dollars.  Thus, the benefits determined by the </w:t>
      </w:r>
      <w:proofErr w:type="spellStart"/>
      <w:r w:rsidRPr="00942F86">
        <w:rPr>
          <w:rFonts w:eastAsia="Calibri"/>
          <w:sz w:val="25"/>
          <w:szCs w:val="25"/>
        </w:rPr>
        <w:t>E3</w:t>
      </w:r>
      <w:proofErr w:type="spellEnd"/>
      <w:r w:rsidRPr="00942F86">
        <w:rPr>
          <w:rFonts w:eastAsia="Calibri"/>
          <w:sz w:val="25"/>
          <w:szCs w:val="25"/>
        </w:rPr>
        <w:t xml:space="preserve"> Report depend on the costs of system operation in 2017 and do not reflect costs included in the Company’s forecasted NPC in this case.  Mr. Duvall states that “[d]</w:t>
      </w:r>
      <w:proofErr w:type="spellStart"/>
      <w:r w:rsidRPr="00942F86">
        <w:rPr>
          <w:rFonts w:eastAsia="Calibri"/>
          <w:sz w:val="25"/>
          <w:szCs w:val="25"/>
        </w:rPr>
        <w:t>ifferences</w:t>
      </w:r>
      <w:proofErr w:type="spellEnd"/>
      <w:r w:rsidRPr="00942F86">
        <w:rPr>
          <w:rFonts w:eastAsia="Calibri"/>
          <w:sz w:val="25"/>
          <w:szCs w:val="25"/>
        </w:rPr>
        <w:t xml:space="preserve"> include essential assumptions no party would accept for use in GRID in this rate case including different test period, forward price curves, transmission topology, and differences in the underlying production dispatch model and associated model architecture.”</w:t>
      </w:r>
      <w:r w:rsidRPr="00942F86">
        <w:rPr>
          <w:rStyle w:val="FootnoteReference"/>
          <w:rFonts w:eastAsia="Calibri"/>
          <w:sz w:val="25"/>
          <w:szCs w:val="25"/>
        </w:rPr>
        <w:footnoteReference w:id="128"/>
      </w:r>
    </w:p>
    <w:p w14:paraId="538C88D2" w14:textId="77777777" w:rsidR="00551F79" w:rsidRPr="00942F86" w:rsidRDefault="00551F79" w:rsidP="000455AC">
      <w:pPr>
        <w:pStyle w:val="ListParagraph"/>
        <w:spacing w:line="264" w:lineRule="auto"/>
        <w:rPr>
          <w:rFonts w:eastAsia="Calibri"/>
          <w:sz w:val="25"/>
          <w:szCs w:val="25"/>
        </w:rPr>
      </w:pPr>
    </w:p>
    <w:p w14:paraId="5169C152" w14:textId="3D765EFE" w:rsidR="00387436" w:rsidRPr="00942F86" w:rsidRDefault="00551F79" w:rsidP="00FC421A">
      <w:pPr>
        <w:numPr>
          <w:ilvl w:val="0"/>
          <w:numId w:val="1"/>
        </w:numPr>
        <w:tabs>
          <w:tab w:val="clear" w:pos="720"/>
          <w:tab w:val="num" w:pos="0"/>
        </w:tabs>
        <w:spacing w:line="264" w:lineRule="auto"/>
        <w:ind w:left="0"/>
        <w:rPr>
          <w:sz w:val="25"/>
          <w:szCs w:val="25"/>
        </w:rPr>
      </w:pPr>
      <w:r w:rsidRPr="00942F86">
        <w:rPr>
          <w:rFonts w:eastAsia="Calibri"/>
          <w:sz w:val="25"/>
          <w:szCs w:val="25"/>
        </w:rPr>
        <w:t xml:space="preserve">Mr. Duvall, having stated the Company’s general objections to Boise White Paper’s proposal, </w:t>
      </w:r>
      <w:r w:rsidR="008F356F" w:rsidRPr="00942F86">
        <w:rPr>
          <w:rFonts w:eastAsia="Calibri"/>
          <w:sz w:val="25"/>
          <w:szCs w:val="25"/>
        </w:rPr>
        <w:t xml:space="preserve">also </w:t>
      </w:r>
      <w:r w:rsidRPr="00942F86">
        <w:rPr>
          <w:rFonts w:eastAsia="Calibri"/>
          <w:sz w:val="25"/>
          <w:szCs w:val="25"/>
        </w:rPr>
        <w:t xml:space="preserve">testifies in considerable detail concerning Pacific Power’s specific objections to imputing benefits for </w:t>
      </w:r>
      <w:r w:rsidR="0022626D" w:rsidRPr="00942F86">
        <w:rPr>
          <w:rFonts w:eastAsia="Calibri"/>
          <w:sz w:val="25"/>
          <w:szCs w:val="25"/>
        </w:rPr>
        <w:t xml:space="preserve">EIM Inter-Regional Dispatch, EIM </w:t>
      </w:r>
      <w:r w:rsidR="0022626D" w:rsidRPr="00942F86">
        <w:rPr>
          <w:rFonts w:eastAsia="Calibri"/>
          <w:bCs/>
          <w:iCs/>
          <w:sz w:val="25"/>
          <w:szCs w:val="25"/>
        </w:rPr>
        <w:t xml:space="preserve">Intra-Regional Dispatch, EIM Reserve Diversity, and Within-Hour Dispatch.  </w:t>
      </w:r>
      <w:r w:rsidR="00E51F06" w:rsidRPr="00942F86">
        <w:rPr>
          <w:rFonts w:eastAsia="Calibri"/>
          <w:bCs/>
          <w:iCs/>
          <w:sz w:val="25"/>
          <w:szCs w:val="25"/>
        </w:rPr>
        <w:t xml:space="preserve">Such evidence may prove useful in a future case, but we find no need to discuss it here where the issue </w:t>
      </w:r>
      <w:r w:rsidR="00E51F06" w:rsidRPr="00942F86">
        <w:rPr>
          <w:rFonts w:eastAsia="Calibri"/>
          <w:bCs/>
          <w:iCs/>
          <w:sz w:val="25"/>
          <w:szCs w:val="25"/>
        </w:rPr>
        <w:lastRenderedPageBreak/>
        <w:t>can be determined at the threshold and requires no nuanced analyses of specific issues</w:t>
      </w:r>
      <w:r w:rsidR="00F00481" w:rsidRPr="00942F86">
        <w:rPr>
          <w:rFonts w:eastAsia="Calibri"/>
          <w:bCs/>
          <w:iCs/>
          <w:sz w:val="25"/>
          <w:szCs w:val="25"/>
        </w:rPr>
        <w:t xml:space="preserve"> beyond the threshold</w:t>
      </w:r>
      <w:r w:rsidR="00E51F06" w:rsidRPr="00942F86">
        <w:rPr>
          <w:rFonts w:eastAsia="Calibri"/>
          <w:bCs/>
          <w:iCs/>
          <w:sz w:val="25"/>
          <w:szCs w:val="25"/>
        </w:rPr>
        <w:t>.</w:t>
      </w:r>
    </w:p>
    <w:p w14:paraId="612A493E" w14:textId="77777777" w:rsidR="00BB45B9" w:rsidRPr="00942F86" w:rsidRDefault="00BB45B9" w:rsidP="000455AC">
      <w:pPr>
        <w:spacing w:line="264" w:lineRule="auto"/>
        <w:rPr>
          <w:sz w:val="25"/>
          <w:szCs w:val="25"/>
        </w:rPr>
      </w:pPr>
    </w:p>
    <w:p w14:paraId="2E48C34A" w14:textId="5D4AA48D" w:rsidR="00BB45B9" w:rsidRPr="00942F86" w:rsidRDefault="00BB45B9"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w:t>
      </w:r>
      <w:r w:rsidR="00F00481" w:rsidRPr="00942F86">
        <w:rPr>
          <w:sz w:val="25"/>
          <w:szCs w:val="25"/>
        </w:rPr>
        <w:t>While we find Boise White Paper’s arguments</w:t>
      </w:r>
      <w:r w:rsidR="0089769A" w:rsidRPr="00942F86">
        <w:rPr>
          <w:sz w:val="25"/>
          <w:szCs w:val="25"/>
        </w:rPr>
        <w:t xml:space="preserve"> </w:t>
      </w:r>
      <w:r w:rsidR="008F356F" w:rsidRPr="00942F86">
        <w:rPr>
          <w:sz w:val="25"/>
          <w:szCs w:val="25"/>
        </w:rPr>
        <w:t>insightful</w:t>
      </w:r>
      <w:r w:rsidR="0089769A" w:rsidRPr="00942F86">
        <w:rPr>
          <w:sz w:val="25"/>
          <w:szCs w:val="25"/>
        </w:rPr>
        <w:t xml:space="preserve">, we find </w:t>
      </w:r>
      <w:r w:rsidR="008F356F" w:rsidRPr="00942F86">
        <w:rPr>
          <w:sz w:val="25"/>
          <w:szCs w:val="25"/>
        </w:rPr>
        <w:t xml:space="preserve">that </w:t>
      </w:r>
      <w:r w:rsidR="0089769A" w:rsidRPr="00942F86">
        <w:rPr>
          <w:sz w:val="25"/>
          <w:szCs w:val="25"/>
        </w:rPr>
        <w:t>Mr. Mullin</w:t>
      </w:r>
      <w:r w:rsidR="00181ED2">
        <w:rPr>
          <w:sz w:val="25"/>
          <w:szCs w:val="25"/>
        </w:rPr>
        <w:t>s</w:t>
      </w:r>
      <w:r w:rsidR="0089769A" w:rsidRPr="00942F86">
        <w:rPr>
          <w:sz w:val="25"/>
          <w:szCs w:val="25"/>
        </w:rPr>
        <w:t xml:space="preserve">’ estimates of costs and benefits </w:t>
      </w:r>
      <w:r w:rsidR="008F356F" w:rsidRPr="00942F86">
        <w:rPr>
          <w:sz w:val="25"/>
          <w:szCs w:val="25"/>
        </w:rPr>
        <w:t xml:space="preserve">are </w:t>
      </w:r>
      <w:r w:rsidR="0089769A" w:rsidRPr="00942F86">
        <w:rPr>
          <w:sz w:val="25"/>
          <w:szCs w:val="25"/>
        </w:rPr>
        <w:t xml:space="preserve">too uncertain to support the sort of adjustments he proposes on behalf of his client.  </w:t>
      </w:r>
      <w:r w:rsidR="008F356F" w:rsidRPr="00942F86">
        <w:rPr>
          <w:sz w:val="25"/>
          <w:szCs w:val="25"/>
        </w:rPr>
        <w:t>As the EIM is still in its infancy from an operational standpoint, it makes more sense to consider the costs and benefits of this new intra-hour balancing tool in a future general rate ca</w:t>
      </w:r>
      <w:r w:rsidR="008B7347" w:rsidRPr="00942F86">
        <w:rPr>
          <w:sz w:val="25"/>
          <w:szCs w:val="25"/>
        </w:rPr>
        <w:t>s</w:t>
      </w:r>
      <w:r w:rsidR="008F356F" w:rsidRPr="00942F86">
        <w:rPr>
          <w:sz w:val="25"/>
          <w:szCs w:val="25"/>
        </w:rPr>
        <w:t xml:space="preserve">e when the Company has more actual data and operational experience that corresponds to a test year.  </w:t>
      </w:r>
      <w:r w:rsidR="0089769A" w:rsidRPr="00942F86">
        <w:rPr>
          <w:sz w:val="25"/>
          <w:szCs w:val="25"/>
        </w:rPr>
        <w:t xml:space="preserve">Contrary to what Mr. Mullins testifies, the </w:t>
      </w:r>
      <w:proofErr w:type="spellStart"/>
      <w:r w:rsidR="0089769A" w:rsidRPr="00942F86">
        <w:rPr>
          <w:sz w:val="25"/>
          <w:szCs w:val="25"/>
        </w:rPr>
        <w:t>E3</w:t>
      </w:r>
      <w:proofErr w:type="spellEnd"/>
      <w:r w:rsidR="0089769A" w:rsidRPr="00942F86">
        <w:rPr>
          <w:sz w:val="25"/>
          <w:szCs w:val="25"/>
        </w:rPr>
        <w:t xml:space="preserve"> report, a planning document forecasting </w:t>
      </w:r>
      <w:proofErr w:type="spellStart"/>
      <w:r w:rsidR="0089769A" w:rsidRPr="00942F86">
        <w:rPr>
          <w:sz w:val="25"/>
          <w:szCs w:val="25"/>
        </w:rPr>
        <w:t>WECC</w:t>
      </w:r>
      <w:proofErr w:type="spellEnd"/>
      <w:r w:rsidR="0089769A" w:rsidRPr="00942F86">
        <w:rPr>
          <w:sz w:val="25"/>
          <w:szCs w:val="25"/>
        </w:rPr>
        <w:t xml:space="preserve">-wide benefits in 2017, is not a </w:t>
      </w:r>
      <w:r w:rsidR="008B7347" w:rsidRPr="00942F86">
        <w:rPr>
          <w:sz w:val="25"/>
          <w:szCs w:val="25"/>
        </w:rPr>
        <w:t>proper</w:t>
      </w:r>
      <w:r w:rsidR="0089769A" w:rsidRPr="00942F86">
        <w:rPr>
          <w:sz w:val="25"/>
          <w:szCs w:val="25"/>
        </w:rPr>
        <w:t xml:space="preserve"> basis upon which to determine costs that the Commission can consider to be known and measurable for purposes of setting rates in this case</w:t>
      </w:r>
      <w:r w:rsidRPr="00942F86">
        <w:rPr>
          <w:sz w:val="25"/>
          <w:szCs w:val="25"/>
        </w:rPr>
        <w:t>.</w:t>
      </w:r>
      <w:r w:rsidR="0089769A" w:rsidRPr="00942F86">
        <w:rPr>
          <w:sz w:val="25"/>
          <w:szCs w:val="25"/>
        </w:rPr>
        <w:t xml:space="preserve">  Given that the </w:t>
      </w:r>
      <w:proofErr w:type="spellStart"/>
      <w:r w:rsidR="0089769A" w:rsidRPr="00942F86">
        <w:rPr>
          <w:sz w:val="25"/>
          <w:szCs w:val="25"/>
        </w:rPr>
        <w:t>E3</w:t>
      </w:r>
      <w:proofErr w:type="spellEnd"/>
      <w:r w:rsidR="0089769A" w:rsidRPr="00942F86">
        <w:rPr>
          <w:sz w:val="25"/>
          <w:szCs w:val="25"/>
        </w:rPr>
        <w:t xml:space="preserve"> report is the principal basis upon which Mr. Mullins relies in estimating costs and benefits, we are constrained to reject Boise White Papers recommended adjustments to </w:t>
      </w:r>
      <w:r w:rsidR="008F356F" w:rsidRPr="00942F86">
        <w:rPr>
          <w:sz w:val="25"/>
          <w:szCs w:val="25"/>
        </w:rPr>
        <w:t>NPC in this case</w:t>
      </w:r>
      <w:r w:rsidR="00F517B7" w:rsidRPr="00942F86">
        <w:rPr>
          <w:sz w:val="25"/>
          <w:szCs w:val="25"/>
        </w:rPr>
        <w:t>.</w:t>
      </w:r>
    </w:p>
    <w:p w14:paraId="7FEABA67" w14:textId="77777777" w:rsidR="006F14A7" w:rsidRPr="00942F86" w:rsidRDefault="006F14A7" w:rsidP="000455AC">
      <w:pPr>
        <w:spacing w:line="264" w:lineRule="auto"/>
        <w:rPr>
          <w:sz w:val="25"/>
          <w:szCs w:val="25"/>
        </w:rPr>
      </w:pPr>
    </w:p>
    <w:p w14:paraId="63B1D0C8" w14:textId="4EADDE36" w:rsidR="006E0905" w:rsidRPr="00942F86" w:rsidRDefault="006E0905" w:rsidP="00883A54">
      <w:pPr>
        <w:pStyle w:val="Heading4"/>
      </w:pPr>
      <w:bookmarkStart w:id="23" w:name="_Toc415037620"/>
      <w:r w:rsidRPr="00942F86">
        <w:t>Network Integration and Transmission Service Costs</w:t>
      </w:r>
      <w:bookmarkEnd w:id="23"/>
    </w:p>
    <w:p w14:paraId="70727CD4" w14:textId="77777777" w:rsidR="006E0905" w:rsidRPr="00942F86" w:rsidRDefault="006E0905" w:rsidP="000455AC">
      <w:pPr>
        <w:spacing w:line="264" w:lineRule="auto"/>
        <w:rPr>
          <w:sz w:val="25"/>
          <w:szCs w:val="25"/>
        </w:rPr>
      </w:pPr>
    </w:p>
    <w:p w14:paraId="681D95B2" w14:textId="4AE300BC" w:rsidR="009D24E0" w:rsidRPr="00942F86" w:rsidRDefault="009D24E0" w:rsidP="00FC421A">
      <w:pPr>
        <w:numPr>
          <w:ilvl w:val="0"/>
          <w:numId w:val="1"/>
        </w:numPr>
        <w:tabs>
          <w:tab w:val="clear" w:pos="720"/>
          <w:tab w:val="num" w:pos="0"/>
        </w:tabs>
        <w:spacing w:line="264" w:lineRule="auto"/>
        <w:ind w:left="0"/>
        <w:rPr>
          <w:sz w:val="25"/>
          <w:szCs w:val="25"/>
        </w:rPr>
      </w:pPr>
      <w:r w:rsidRPr="00942F86">
        <w:rPr>
          <w:sz w:val="25"/>
          <w:szCs w:val="25"/>
        </w:rPr>
        <w:t>The Bonneville Power Administration (BPA) provides Network Integration Transmission Service (</w:t>
      </w:r>
      <w:r w:rsidR="00B03B85" w:rsidRPr="00942F86">
        <w:rPr>
          <w:sz w:val="25"/>
          <w:szCs w:val="25"/>
        </w:rPr>
        <w:t>NT S</w:t>
      </w:r>
      <w:r w:rsidR="00181ED2">
        <w:rPr>
          <w:sz w:val="25"/>
          <w:szCs w:val="25"/>
        </w:rPr>
        <w:t>ervice</w:t>
      </w:r>
      <w:r w:rsidRPr="00942F86">
        <w:rPr>
          <w:sz w:val="25"/>
          <w:szCs w:val="25"/>
        </w:rPr>
        <w:t>) to Pacifi</w:t>
      </w:r>
      <w:r w:rsidR="008B7347" w:rsidRPr="00942F86">
        <w:rPr>
          <w:sz w:val="25"/>
          <w:szCs w:val="25"/>
        </w:rPr>
        <w:t>c Power</w:t>
      </w:r>
      <w:r w:rsidRPr="00942F86">
        <w:rPr>
          <w:sz w:val="25"/>
          <w:szCs w:val="25"/>
        </w:rPr>
        <w:t xml:space="preserve">, which allows the Company to provide service to several areas in Washington and Oregon that Mr. Mullins refers to as </w:t>
      </w:r>
      <w:r w:rsidR="001D60AF" w:rsidRPr="00942F86">
        <w:rPr>
          <w:sz w:val="25"/>
          <w:szCs w:val="25"/>
        </w:rPr>
        <w:t>“</w:t>
      </w:r>
      <w:r w:rsidRPr="00942F86">
        <w:rPr>
          <w:sz w:val="25"/>
          <w:szCs w:val="25"/>
        </w:rPr>
        <w:t>load pockets.</w:t>
      </w:r>
      <w:r w:rsidR="001D60AF" w:rsidRPr="00942F86">
        <w:rPr>
          <w:sz w:val="25"/>
          <w:szCs w:val="25"/>
        </w:rPr>
        <w:t>”</w:t>
      </w:r>
      <w:r w:rsidRPr="00942F86">
        <w:rPr>
          <w:sz w:val="25"/>
          <w:szCs w:val="25"/>
        </w:rPr>
        <w:t xml:space="preserve"> </w:t>
      </w:r>
      <w:r w:rsidR="001D60AF" w:rsidRPr="00942F86">
        <w:rPr>
          <w:sz w:val="25"/>
          <w:szCs w:val="25"/>
        </w:rPr>
        <w:t xml:space="preserve"> </w:t>
      </w:r>
      <w:r w:rsidRPr="00942F86">
        <w:rPr>
          <w:sz w:val="25"/>
          <w:szCs w:val="25"/>
        </w:rPr>
        <w:t xml:space="preserve">The Company included for recovery in rates the wheeling costs of the </w:t>
      </w:r>
      <w:r w:rsidR="00B03B85" w:rsidRPr="00942F86">
        <w:rPr>
          <w:sz w:val="25"/>
          <w:szCs w:val="25"/>
        </w:rPr>
        <w:t>NT S</w:t>
      </w:r>
      <w:r w:rsidR="00181ED2">
        <w:rPr>
          <w:sz w:val="25"/>
          <w:szCs w:val="25"/>
        </w:rPr>
        <w:t>ervice</w:t>
      </w:r>
      <w:r w:rsidRPr="00942F86">
        <w:rPr>
          <w:sz w:val="25"/>
          <w:szCs w:val="25"/>
        </w:rPr>
        <w:t xml:space="preserve"> in power costs</w:t>
      </w:r>
      <w:r w:rsidR="001D60AF" w:rsidRPr="00942F86">
        <w:rPr>
          <w:sz w:val="25"/>
          <w:szCs w:val="25"/>
        </w:rPr>
        <w:t>, calculating these costs using the non-coincident peak for each load pocket</w:t>
      </w:r>
      <w:r w:rsidRPr="00942F86">
        <w:rPr>
          <w:sz w:val="25"/>
          <w:szCs w:val="25"/>
        </w:rPr>
        <w:t xml:space="preserve">. </w:t>
      </w:r>
    </w:p>
    <w:p w14:paraId="5204B12B" w14:textId="77777777" w:rsidR="009D24E0" w:rsidRPr="00942F86" w:rsidRDefault="009D24E0" w:rsidP="000455AC">
      <w:pPr>
        <w:spacing w:line="264" w:lineRule="auto"/>
        <w:ind w:left="720"/>
        <w:rPr>
          <w:sz w:val="25"/>
          <w:szCs w:val="25"/>
        </w:rPr>
      </w:pPr>
    </w:p>
    <w:p w14:paraId="190DAC52" w14:textId="753861F6" w:rsidR="009D24E0" w:rsidRPr="00942F86" w:rsidRDefault="009D24E0" w:rsidP="00FC421A">
      <w:pPr>
        <w:numPr>
          <w:ilvl w:val="0"/>
          <w:numId w:val="1"/>
        </w:numPr>
        <w:tabs>
          <w:tab w:val="clear" w:pos="720"/>
          <w:tab w:val="num" w:pos="0"/>
        </w:tabs>
        <w:spacing w:line="264" w:lineRule="auto"/>
        <w:ind w:left="0"/>
        <w:rPr>
          <w:sz w:val="25"/>
          <w:szCs w:val="25"/>
        </w:rPr>
      </w:pPr>
      <w:r w:rsidRPr="00942F86">
        <w:rPr>
          <w:sz w:val="25"/>
          <w:szCs w:val="25"/>
        </w:rPr>
        <w:t>Mr. Mullins testifies</w:t>
      </w:r>
      <w:r w:rsidR="001D60AF" w:rsidRPr="00942F86">
        <w:rPr>
          <w:sz w:val="25"/>
          <w:szCs w:val="25"/>
        </w:rPr>
        <w:t xml:space="preserve"> for Boise White Paper</w:t>
      </w:r>
      <w:r w:rsidRPr="00942F86">
        <w:rPr>
          <w:sz w:val="25"/>
          <w:szCs w:val="25"/>
        </w:rPr>
        <w:t xml:space="preserve"> that the billing factor assumed by the Company for </w:t>
      </w:r>
      <w:r w:rsidR="00B03B85" w:rsidRPr="00942F86">
        <w:rPr>
          <w:sz w:val="25"/>
          <w:szCs w:val="25"/>
        </w:rPr>
        <w:t>NT S</w:t>
      </w:r>
      <w:r w:rsidR="00181ED2">
        <w:rPr>
          <w:sz w:val="25"/>
          <w:szCs w:val="25"/>
        </w:rPr>
        <w:t>ervice</w:t>
      </w:r>
      <w:r w:rsidRPr="00942F86">
        <w:rPr>
          <w:sz w:val="25"/>
          <w:szCs w:val="25"/>
        </w:rPr>
        <w:t xml:space="preserve"> is different than the actual billing factor in BPA’s Open Access Transmission Tariff (</w:t>
      </w:r>
      <w:proofErr w:type="spellStart"/>
      <w:r w:rsidRPr="00942F86">
        <w:rPr>
          <w:sz w:val="25"/>
          <w:szCs w:val="25"/>
        </w:rPr>
        <w:t>OATT</w:t>
      </w:r>
      <w:proofErr w:type="spellEnd"/>
      <w:r w:rsidRPr="00942F86">
        <w:rPr>
          <w:sz w:val="25"/>
          <w:szCs w:val="25"/>
        </w:rPr>
        <w:t>)</w:t>
      </w:r>
      <w:r w:rsidR="001D60AF" w:rsidRPr="00942F86">
        <w:rPr>
          <w:sz w:val="25"/>
          <w:szCs w:val="25"/>
        </w:rPr>
        <w:t>,</w:t>
      </w:r>
      <w:r w:rsidR="00394D09" w:rsidRPr="00942F86">
        <w:rPr>
          <w:rStyle w:val="FootnoteReference"/>
          <w:sz w:val="25"/>
          <w:szCs w:val="25"/>
        </w:rPr>
        <w:footnoteReference w:id="129"/>
      </w:r>
      <w:r w:rsidRPr="00942F86">
        <w:rPr>
          <w:sz w:val="25"/>
          <w:szCs w:val="25"/>
        </w:rPr>
        <w:t xml:space="preserve"> </w:t>
      </w:r>
      <w:r w:rsidR="001D60AF" w:rsidRPr="00942F86">
        <w:rPr>
          <w:sz w:val="25"/>
          <w:szCs w:val="25"/>
        </w:rPr>
        <w:t>which uses</w:t>
      </w:r>
      <w:r w:rsidRPr="00942F86">
        <w:rPr>
          <w:sz w:val="25"/>
          <w:szCs w:val="25"/>
        </w:rPr>
        <w:t xml:space="preserve"> </w:t>
      </w:r>
      <w:r w:rsidR="001D60AF" w:rsidRPr="00942F86">
        <w:rPr>
          <w:sz w:val="25"/>
          <w:szCs w:val="25"/>
        </w:rPr>
        <w:t xml:space="preserve">“the customer’s Network Load on the hour of the Monthly Transmission System Peak Load, as those terms are defined in BPA’s </w:t>
      </w:r>
      <w:proofErr w:type="spellStart"/>
      <w:r w:rsidR="001D60AF" w:rsidRPr="00942F86">
        <w:rPr>
          <w:sz w:val="25"/>
          <w:szCs w:val="25"/>
        </w:rPr>
        <w:t>OATT</w:t>
      </w:r>
      <w:proofErr w:type="spellEnd"/>
      <w:r w:rsidR="001D60AF" w:rsidRPr="00942F86">
        <w:rPr>
          <w:sz w:val="25"/>
          <w:szCs w:val="25"/>
        </w:rPr>
        <w:t>.”</w:t>
      </w:r>
      <w:r w:rsidR="001D60AF" w:rsidRPr="00942F86">
        <w:rPr>
          <w:rStyle w:val="FootnoteReference"/>
          <w:sz w:val="25"/>
          <w:szCs w:val="25"/>
        </w:rPr>
        <w:footnoteReference w:id="130"/>
      </w:r>
      <w:r w:rsidR="001D60AF" w:rsidRPr="00942F86">
        <w:rPr>
          <w:sz w:val="25"/>
          <w:szCs w:val="25"/>
        </w:rPr>
        <w:t xml:space="preserve">  Mr. Mullins disputes the Company’s assumption that the non-coincident peak load equals the coincident peak load and testifies that “the Company’s calculation overstates the billing factor and related costs associated with BPA NT </w:t>
      </w:r>
      <w:r w:rsidR="00181ED2">
        <w:rPr>
          <w:sz w:val="25"/>
          <w:szCs w:val="25"/>
        </w:rPr>
        <w:t>S</w:t>
      </w:r>
      <w:r w:rsidR="001D60AF" w:rsidRPr="00942F86">
        <w:rPr>
          <w:sz w:val="25"/>
          <w:szCs w:val="25"/>
        </w:rPr>
        <w:t>ervice reflected in NPC.”</w:t>
      </w:r>
      <w:r w:rsidRPr="00942F86">
        <w:rPr>
          <w:sz w:val="25"/>
          <w:szCs w:val="25"/>
        </w:rPr>
        <w:t xml:space="preserve">  </w:t>
      </w:r>
    </w:p>
    <w:p w14:paraId="3C987645" w14:textId="77777777" w:rsidR="009D24E0" w:rsidRPr="00942F86" w:rsidRDefault="009D24E0" w:rsidP="000455AC">
      <w:pPr>
        <w:spacing w:line="264" w:lineRule="auto"/>
        <w:ind w:left="720"/>
        <w:rPr>
          <w:sz w:val="25"/>
          <w:szCs w:val="25"/>
        </w:rPr>
      </w:pPr>
    </w:p>
    <w:p w14:paraId="4FEA615A" w14:textId="1FEE238C" w:rsidR="001D60AF" w:rsidRPr="00942F86" w:rsidRDefault="009D24E0" w:rsidP="00FC421A">
      <w:pPr>
        <w:numPr>
          <w:ilvl w:val="0"/>
          <w:numId w:val="1"/>
        </w:numPr>
        <w:tabs>
          <w:tab w:val="clear" w:pos="720"/>
          <w:tab w:val="num" w:pos="0"/>
        </w:tabs>
        <w:spacing w:line="264" w:lineRule="auto"/>
        <w:ind w:left="0"/>
        <w:rPr>
          <w:sz w:val="25"/>
          <w:szCs w:val="25"/>
        </w:rPr>
      </w:pPr>
      <w:r w:rsidRPr="00942F86">
        <w:rPr>
          <w:sz w:val="25"/>
          <w:szCs w:val="25"/>
        </w:rPr>
        <w:lastRenderedPageBreak/>
        <w:t xml:space="preserve">In rebuttal, Mr. Duvall </w:t>
      </w:r>
      <w:r w:rsidR="001D60AF" w:rsidRPr="00942F86">
        <w:rPr>
          <w:sz w:val="25"/>
          <w:szCs w:val="25"/>
        </w:rPr>
        <w:t xml:space="preserve">“accepts in concept Boise’s adjustment to reduce wheeling expenses related to BPA </w:t>
      </w:r>
      <w:r w:rsidR="00B03B85" w:rsidRPr="00942F86">
        <w:rPr>
          <w:sz w:val="25"/>
          <w:szCs w:val="25"/>
        </w:rPr>
        <w:t>NT S</w:t>
      </w:r>
      <w:r w:rsidR="00181ED2">
        <w:rPr>
          <w:sz w:val="25"/>
          <w:szCs w:val="25"/>
        </w:rPr>
        <w:t>ervice</w:t>
      </w:r>
      <w:r w:rsidR="001D60AF" w:rsidRPr="00942F86">
        <w:rPr>
          <w:sz w:val="25"/>
          <w:szCs w:val="25"/>
        </w:rPr>
        <w:t xml:space="preserve">,” </w:t>
      </w:r>
      <w:r w:rsidRPr="00942F86">
        <w:rPr>
          <w:sz w:val="25"/>
          <w:szCs w:val="25"/>
        </w:rPr>
        <w:t>but he testifies that Boise</w:t>
      </w:r>
      <w:r w:rsidR="008B7347" w:rsidRPr="00942F86">
        <w:rPr>
          <w:sz w:val="25"/>
          <w:szCs w:val="25"/>
        </w:rPr>
        <w:t xml:space="preserve"> White Paper</w:t>
      </w:r>
      <w:r w:rsidRPr="00942F86">
        <w:rPr>
          <w:sz w:val="25"/>
          <w:szCs w:val="25"/>
        </w:rPr>
        <w:t>’s proposed calculations are flawed and overstate the required adjustment.</w:t>
      </w:r>
      <w:r w:rsidRPr="00942F86">
        <w:rPr>
          <w:rStyle w:val="FootnoteReference"/>
          <w:sz w:val="25"/>
          <w:szCs w:val="25"/>
        </w:rPr>
        <w:footnoteReference w:id="131"/>
      </w:r>
      <w:r w:rsidRPr="00942F86">
        <w:rPr>
          <w:sz w:val="25"/>
          <w:szCs w:val="25"/>
        </w:rPr>
        <w:t xml:space="preserve">  Mr. Duvall characterizes Boise</w:t>
      </w:r>
      <w:r w:rsidR="008B7347" w:rsidRPr="00942F86">
        <w:rPr>
          <w:sz w:val="25"/>
          <w:szCs w:val="25"/>
        </w:rPr>
        <w:t xml:space="preserve"> White Paper</w:t>
      </w:r>
      <w:r w:rsidRPr="00942F86">
        <w:rPr>
          <w:sz w:val="25"/>
          <w:szCs w:val="25"/>
        </w:rPr>
        <w:t xml:space="preserve">’s proposed adjustment as overly complicated resulting in a forecasted wheeling expense forecast that is less than 2013 actual levels.  This result, he suggests, is particularly unreasonable considering a 2013 BPA rate increase.  </w:t>
      </w:r>
    </w:p>
    <w:p w14:paraId="05A0AEDB" w14:textId="77777777" w:rsidR="001D60AF" w:rsidRPr="00942F86" w:rsidRDefault="001D60AF" w:rsidP="000455AC">
      <w:pPr>
        <w:pStyle w:val="ListParagraph"/>
        <w:spacing w:line="264" w:lineRule="auto"/>
        <w:rPr>
          <w:sz w:val="25"/>
          <w:szCs w:val="25"/>
        </w:rPr>
      </w:pPr>
    </w:p>
    <w:p w14:paraId="6FCA4855" w14:textId="74F5CDD2" w:rsidR="006E0905" w:rsidRPr="00942F86" w:rsidRDefault="009D24E0" w:rsidP="00FC421A">
      <w:pPr>
        <w:numPr>
          <w:ilvl w:val="0"/>
          <w:numId w:val="1"/>
        </w:numPr>
        <w:tabs>
          <w:tab w:val="clear" w:pos="720"/>
          <w:tab w:val="num" w:pos="0"/>
        </w:tabs>
        <w:spacing w:line="264" w:lineRule="auto"/>
        <w:ind w:left="0"/>
        <w:rPr>
          <w:sz w:val="25"/>
          <w:szCs w:val="25"/>
        </w:rPr>
      </w:pPr>
      <w:r w:rsidRPr="00942F86">
        <w:rPr>
          <w:sz w:val="25"/>
          <w:szCs w:val="25"/>
        </w:rPr>
        <w:t xml:space="preserve">The Company proposes “a straightforward and reasonable” alternative adjustment </w:t>
      </w:r>
      <w:r w:rsidR="001D60AF" w:rsidRPr="00942F86">
        <w:rPr>
          <w:sz w:val="25"/>
          <w:szCs w:val="25"/>
        </w:rPr>
        <w:t xml:space="preserve">to reduce </w:t>
      </w:r>
      <w:r w:rsidR="00B03B85" w:rsidRPr="00942F86">
        <w:rPr>
          <w:sz w:val="25"/>
          <w:szCs w:val="25"/>
        </w:rPr>
        <w:t>NT S</w:t>
      </w:r>
      <w:r w:rsidR="00181ED2">
        <w:rPr>
          <w:sz w:val="25"/>
          <w:szCs w:val="25"/>
        </w:rPr>
        <w:t>ervice</w:t>
      </w:r>
      <w:r w:rsidR="001D60AF" w:rsidRPr="00942F86">
        <w:rPr>
          <w:sz w:val="25"/>
          <w:szCs w:val="25"/>
        </w:rPr>
        <w:t xml:space="preserve"> wheeling expense</w:t>
      </w:r>
      <w:r w:rsidRPr="00942F86">
        <w:rPr>
          <w:sz w:val="25"/>
          <w:szCs w:val="25"/>
        </w:rPr>
        <w:t>.</w:t>
      </w:r>
      <w:r w:rsidR="00394D09" w:rsidRPr="00942F86">
        <w:rPr>
          <w:sz w:val="25"/>
          <w:szCs w:val="25"/>
        </w:rPr>
        <w:t xml:space="preserve"> </w:t>
      </w:r>
      <w:r w:rsidR="001D60AF" w:rsidRPr="00942F86">
        <w:rPr>
          <w:sz w:val="25"/>
          <w:szCs w:val="25"/>
        </w:rPr>
        <w:t xml:space="preserve"> </w:t>
      </w:r>
      <w:r w:rsidR="00394D09" w:rsidRPr="00942F86">
        <w:rPr>
          <w:sz w:val="25"/>
          <w:szCs w:val="25"/>
        </w:rPr>
        <w:t xml:space="preserve">Mr. Duvall proposes to calculate the </w:t>
      </w:r>
      <w:r w:rsidR="00B03B85" w:rsidRPr="00942F86">
        <w:rPr>
          <w:sz w:val="25"/>
          <w:szCs w:val="25"/>
        </w:rPr>
        <w:t>NT S</w:t>
      </w:r>
      <w:r w:rsidR="00181ED2">
        <w:rPr>
          <w:sz w:val="25"/>
          <w:szCs w:val="25"/>
        </w:rPr>
        <w:t>ervice</w:t>
      </w:r>
      <w:r w:rsidR="00394D09" w:rsidRPr="00942F86">
        <w:rPr>
          <w:sz w:val="25"/>
          <w:szCs w:val="25"/>
        </w:rPr>
        <w:t xml:space="preserve"> expense based on the historical 2013 expenses, adjusted to account for the October 2013 rate increase.</w:t>
      </w:r>
      <w:r w:rsidR="00394D09" w:rsidRPr="00942F86">
        <w:rPr>
          <w:sz w:val="25"/>
          <w:szCs w:val="25"/>
          <w:vertAlign w:val="superscript"/>
        </w:rPr>
        <w:footnoteReference w:id="132"/>
      </w:r>
      <w:r w:rsidR="00394D09" w:rsidRPr="00942F86">
        <w:rPr>
          <w:sz w:val="25"/>
          <w:szCs w:val="25"/>
        </w:rPr>
        <w:t xml:space="preserve">  </w:t>
      </w:r>
      <w:r w:rsidRPr="00942F86">
        <w:rPr>
          <w:sz w:val="25"/>
          <w:szCs w:val="25"/>
        </w:rPr>
        <w:t>This adjustment results in a reduction to WCA NPC of $0.8 million.</w:t>
      </w:r>
    </w:p>
    <w:p w14:paraId="7AFBDFA7" w14:textId="77777777" w:rsidR="00C92313" w:rsidRPr="00942F86" w:rsidRDefault="00C92313" w:rsidP="000455AC">
      <w:pPr>
        <w:pStyle w:val="ListParagraph"/>
        <w:spacing w:line="264" w:lineRule="auto"/>
        <w:rPr>
          <w:sz w:val="25"/>
          <w:szCs w:val="25"/>
        </w:rPr>
      </w:pPr>
    </w:p>
    <w:p w14:paraId="3777633D" w14:textId="65A891BB" w:rsidR="009D24E0" w:rsidRPr="00942F86" w:rsidRDefault="009D24E0"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00394D09" w:rsidRPr="00942F86">
        <w:rPr>
          <w:i/>
          <w:sz w:val="25"/>
          <w:szCs w:val="25"/>
        </w:rPr>
        <w:t xml:space="preserve">:  </w:t>
      </w:r>
      <w:r w:rsidR="00394D09" w:rsidRPr="00942F86">
        <w:rPr>
          <w:sz w:val="25"/>
          <w:szCs w:val="25"/>
        </w:rPr>
        <w:t>The Company’s approach is</w:t>
      </w:r>
      <w:r w:rsidR="00C92313" w:rsidRPr="00942F86">
        <w:rPr>
          <w:sz w:val="25"/>
          <w:szCs w:val="25"/>
        </w:rPr>
        <w:t xml:space="preserve"> at least </w:t>
      </w:r>
      <w:r w:rsidR="00A5424B" w:rsidRPr="00942F86">
        <w:rPr>
          <w:sz w:val="25"/>
          <w:szCs w:val="25"/>
        </w:rPr>
        <w:t>straightforward</w:t>
      </w:r>
      <w:r w:rsidR="00C92313" w:rsidRPr="00942F86">
        <w:rPr>
          <w:sz w:val="25"/>
          <w:szCs w:val="25"/>
        </w:rPr>
        <w:t xml:space="preserve"> and we consider it</w:t>
      </w:r>
      <w:r w:rsidR="00394D09" w:rsidRPr="00942F86">
        <w:rPr>
          <w:sz w:val="25"/>
          <w:szCs w:val="25"/>
        </w:rPr>
        <w:t xml:space="preserve"> reasonable </w:t>
      </w:r>
      <w:r w:rsidR="00C92313" w:rsidRPr="00942F86">
        <w:rPr>
          <w:sz w:val="25"/>
          <w:szCs w:val="25"/>
        </w:rPr>
        <w:t>for purposes of this case</w:t>
      </w:r>
      <w:r w:rsidR="00394D09" w:rsidRPr="00942F86">
        <w:rPr>
          <w:sz w:val="25"/>
          <w:szCs w:val="25"/>
        </w:rPr>
        <w:t>.</w:t>
      </w:r>
      <w:r w:rsidR="00394D09" w:rsidRPr="00942F86">
        <w:rPr>
          <w:sz w:val="25"/>
          <w:szCs w:val="25"/>
          <w:vertAlign w:val="superscript"/>
        </w:rPr>
        <w:footnoteReference w:id="133"/>
      </w:r>
      <w:r w:rsidR="00C92313" w:rsidRPr="00942F86">
        <w:rPr>
          <w:sz w:val="25"/>
          <w:szCs w:val="25"/>
        </w:rPr>
        <w:t xml:space="preserve">  The record demonstrates, however, that it </w:t>
      </w:r>
      <w:r w:rsidR="009F4873" w:rsidRPr="00942F86">
        <w:rPr>
          <w:sz w:val="25"/>
          <w:szCs w:val="25"/>
        </w:rPr>
        <w:t>may</w:t>
      </w:r>
      <w:r w:rsidR="00C92313" w:rsidRPr="00942F86">
        <w:rPr>
          <w:sz w:val="25"/>
          <w:szCs w:val="25"/>
        </w:rPr>
        <w:t xml:space="preserve"> be possible to calculate these costs with greater accuracy based on BPA’s </w:t>
      </w:r>
      <w:proofErr w:type="spellStart"/>
      <w:r w:rsidR="00C92313" w:rsidRPr="00942F86">
        <w:rPr>
          <w:sz w:val="25"/>
          <w:szCs w:val="25"/>
        </w:rPr>
        <w:t>OATT</w:t>
      </w:r>
      <w:proofErr w:type="spellEnd"/>
      <w:r w:rsidR="00C92313" w:rsidRPr="00942F86">
        <w:rPr>
          <w:sz w:val="25"/>
          <w:szCs w:val="25"/>
        </w:rPr>
        <w:t xml:space="preserve"> and actual experience during the test year.  We expect to see these costs supported by a more refined approach in the Company’s next case.</w:t>
      </w:r>
    </w:p>
    <w:p w14:paraId="732BBBA3" w14:textId="77777777" w:rsidR="006E0905" w:rsidRPr="00942F86" w:rsidRDefault="006E0905" w:rsidP="000455AC">
      <w:pPr>
        <w:spacing w:line="264" w:lineRule="auto"/>
        <w:rPr>
          <w:sz w:val="25"/>
          <w:szCs w:val="25"/>
        </w:rPr>
      </w:pPr>
    </w:p>
    <w:p w14:paraId="2C982435" w14:textId="556006FA" w:rsidR="006E0905" w:rsidRPr="00942F86" w:rsidRDefault="006E0905" w:rsidP="00883A54">
      <w:pPr>
        <w:pStyle w:val="Heading4"/>
      </w:pPr>
      <w:bookmarkStart w:id="24" w:name="_Toc415037621"/>
      <w:r w:rsidRPr="00942F86">
        <w:t>Inter-Hour Wind and Load Integration Costs</w:t>
      </w:r>
      <w:bookmarkEnd w:id="24"/>
    </w:p>
    <w:p w14:paraId="47EAF51C" w14:textId="77777777" w:rsidR="006E0905" w:rsidRPr="00942F86" w:rsidRDefault="006E0905" w:rsidP="000455AC">
      <w:pPr>
        <w:spacing w:line="264" w:lineRule="auto"/>
        <w:rPr>
          <w:sz w:val="25"/>
          <w:szCs w:val="25"/>
        </w:rPr>
      </w:pPr>
    </w:p>
    <w:p w14:paraId="2205DF23" w14:textId="7D0C2E15" w:rsidR="00702C6E" w:rsidRPr="00942F86" w:rsidRDefault="00702C6E" w:rsidP="00FC421A">
      <w:pPr>
        <w:numPr>
          <w:ilvl w:val="0"/>
          <w:numId w:val="1"/>
        </w:numPr>
        <w:tabs>
          <w:tab w:val="clear" w:pos="720"/>
          <w:tab w:val="num" w:pos="0"/>
        </w:tabs>
        <w:spacing w:line="264" w:lineRule="auto"/>
        <w:ind w:left="0"/>
        <w:rPr>
          <w:sz w:val="25"/>
          <w:szCs w:val="25"/>
        </w:rPr>
      </w:pPr>
      <w:r w:rsidRPr="00942F86">
        <w:rPr>
          <w:sz w:val="25"/>
          <w:szCs w:val="25"/>
        </w:rPr>
        <w:t>The Company proposes in its direct case to refine it’s forecasting of NPC in the GRID model by utilizing actual 2012 wind energy output data from the Company’s owned and purchased wind facilities shaping hourly wind generation profiles.</w:t>
      </w:r>
      <w:r w:rsidRPr="00942F86">
        <w:rPr>
          <w:rStyle w:val="FootnoteReference"/>
          <w:sz w:val="25"/>
          <w:szCs w:val="25"/>
        </w:rPr>
        <w:footnoteReference w:id="134"/>
      </w:r>
      <w:r w:rsidRPr="00942F86">
        <w:rPr>
          <w:sz w:val="25"/>
          <w:szCs w:val="25"/>
        </w:rPr>
        <w:t xml:space="preserve">  According to Mr. Duvall, this refinement improves the accuracy of its NPC forecast by using recent wind data to develop profiles which better capture the hourly volatility of wind generation.  Mr. Duvall provides a detailed technical discussion in his testimony and states that the Company has tested </w:t>
      </w:r>
      <w:r w:rsidR="00672520" w:rsidRPr="00942F86">
        <w:rPr>
          <w:sz w:val="25"/>
          <w:szCs w:val="25"/>
        </w:rPr>
        <w:t>this refinement using method developed in</w:t>
      </w:r>
      <w:r w:rsidRPr="00942F86">
        <w:rPr>
          <w:sz w:val="25"/>
          <w:szCs w:val="25"/>
        </w:rPr>
        <w:t xml:space="preserve"> </w:t>
      </w:r>
      <w:r w:rsidR="00672520" w:rsidRPr="00942F86">
        <w:rPr>
          <w:sz w:val="25"/>
          <w:szCs w:val="25"/>
        </w:rPr>
        <w:t xml:space="preserve">a </w:t>
      </w:r>
      <w:r w:rsidR="00672520" w:rsidRPr="00942F86">
        <w:rPr>
          <w:sz w:val="25"/>
          <w:szCs w:val="25"/>
        </w:rPr>
        <w:lastRenderedPageBreak/>
        <w:t>technical report published by the National Renewable Energy Laboratory (</w:t>
      </w:r>
      <w:proofErr w:type="spellStart"/>
      <w:r w:rsidR="00672520" w:rsidRPr="00942F86">
        <w:rPr>
          <w:sz w:val="25"/>
          <w:szCs w:val="25"/>
        </w:rPr>
        <w:t>NREL</w:t>
      </w:r>
      <w:proofErr w:type="spellEnd"/>
      <w:r w:rsidR="00672520" w:rsidRPr="00942F86">
        <w:rPr>
          <w:sz w:val="25"/>
          <w:szCs w:val="25"/>
        </w:rPr>
        <w:t>).</w:t>
      </w:r>
      <w:r w:rsidR="00672520" w:rsidRPr="00942F86">
        <w:rPr>
          <w:sz w:val="25"/>
          <w:szCs w:val="25"/>
          <w:vertAlign w:val="superscript"/>
        </w:rPr>
        <w:footnoteReference w:id="135"/>
      </w:r>
      <w:r w:rsidR="00672520" w:rsidRPr="00942F86">
        <w:rPr>
          <w:sz w:val="25"/>
          <w:szCs w:val="25"/>
        </w:rPr>
        <w:t xml:space="preserve">  Mr. Duval testifies that:</w:t>
      </w:r>
    </w:p>
    <w:p w14:paraId="2C1A03AF" w14:textId="77777777" w:rsidR="00672520" w:rsidRPr="00942F86" w:rsidRDefault="00672520" w:rsidP="000455AC">
      <w:pPr>
        <w:spacing w:line="264" w:lineRule="auto"/>
        <w:rPr>
          <w:sz w:val="25"/>
          <w:szCs w:val="25"/>
        </w:rPr>
      </w:pPr>
    </w:p>
    <w:p w14:paraId="7818CA59" w14:textId="6655C913" w:rsidR="00672520" w:rsidRPr="00942F86" w:rsidRDefault="00672520" w:rsidP="000455AC">
      <w:pPr>
        <w:spacing w:line="264" w:lineRule="auto"/>
        <w:ind w:left="720" w:right="720"/>
        <w:rPr>
          <w:sz w:val="25"/>
          <w:szCs w:val="25"/>
        </w:rPr>
      </w:pPr>
      <w:r w:rsidRPr="00942F86">
        <w:rPr>
          <w:sz w:val="25"/>
          <w:szCs w:val="25"/>
        </w:rPr>
        <w:t xml:space="preserve">In its study, </w:t>
      </w:r>
      <w:proofErr w:type="spellStart"/>
      <w:r w:rsidRPr="00942F86">
        <w:rPr>
          <w:sz w:val="25"/>
          <w:szCs w:val="25"/>
        </w:rPr>
        <w:t>NREL</w:t>
      </w:r>
      <w:proofErr w:type="spellEnd"/>
      <w:r w:rsidRPr="00942F86">
        <w:rPr>
          <w:sz w:val="25"/>
          <w:szCs w:val="25"/>
        </w:rPr>
        <w:t xml:space="preserve"> calculated the coefficient of variation (</w:t>
      </w:r>
      <w:proofErr w:type="spellStart"/>
      <w:r w:rsidRPr="00942F86">
        <w:rPr>
          <w:sz w:val="25"/>
          <w:szCs w:val="25"/>
        </w:rPr>
        <w:t>COV</w:t>
      </w:r>
      <w:proofErr w:type="spellEnd"/>
      <w:r w:rsidRPr="00942F86">
        <w:rPr>
          <w:sz w:val="25"/>
          <w:szCs w:val="25"/>
        </w:rPr>
        <w:t>), defined as the ratio of standard deviation value to plant nameplate capacity, to gauge the short-term variability of wind generation.  The Company applied this same calculation on four of its wind resources located in the west control area.</w:t>
      </w:r>
      <w:r w:rsidRPr="00942F86">
        <w:rPr>
          <w:rStyle w:val="FootnoteReference"/>
          <w:sz w:val="25"/>
          <w:szCs w:val="25"/>
        </w:rPr>
        <w:footnoteReference w:id="136"/>
      </w:r>
      <w:r w:rsidRPr="00942F86">
        <w:rPr>
          <w:sz w:val="25"/>
          <w:szCs w:val="25"/>
        </w:rPr>
        <w:t xml:space="preserve"> </w:t>
      </w:r>
    </w:p>
    <w:p w14:paraId="2A5739CB" w14:textId="77777777" w:rsidR="00672520" w:rsidRPr="00942F86" w:rsidRDefault="00672520" w:rsidP="000455AC">
      <w:pPr>
        <w:spacing w:line="264" w:lineRule="auto"/>
        <w:ind w:right="720"/>
        <w:rPr>
          <w:sz w:val="25"/>
          <w:szCs w:val="25"/>
        </w:rPr>
      </w:pPr>
    </w:p>
    <w:p w14:paraId="5750CFD7" w14:textId="5C39245A" w:rsidR="00672520" w:rsidRPr="00942F86" w:rsidRDefault="00672520" w:rsidP="000455AC">
      <w:pPr>
        <w:spacing w:line="264" w:lineRule="auto"/>
        <w:ind w:right="720"/>
        <w:rPr>
          <w:sz w:val="25"/>
          <w:szCs w:val="25"/>
        </w:rPr>
      </w:pPr>
      <w:r w:rsidRPr="00942F86">
        <w:rPr>
          <w:sz w:val="25"/>
          <w:szCs w:val="25"/>
        </w:rPr>
        <w:t xml:space="preserve">Mr. Duvall says the results show that the </w:t>
      </w:r>
      <w:proofErr w:type="spellStart"/>
      <w:r w:rsidRPr="00942F86">
        <w:rPr>
          <w:sz w:val="25"/>
          <w:szCs w:val="25"/>
        </w:rPr>
        <w:t>COV</w:t>
      </w:r>
      <w:proofErr w:type="spellEnd"/>
      <w:r w:rsidRPr="00942F86">
        <w:rPr>
          <w:sz w:val="25"/>
          <w:szCs w:val="25"/>
        </w:rPr>
        <w:t xml:space="preserve"> of the Pacific Power wind plants is fairly consistent over time and that the variability in the Company’s revised modeling is much closer to the historical levels.</w:t>
      </w:r>
      <w:r w:rsidRPr="00942F86">
        <w:rPr>
          <w:rStyle w:val="FootnoteReference"/>
          <w:sz w:val="25"/>
          <w:szCs w:val="25"/>
        </w:rPr>
        <w:footnoteReference w:id="137"/>
      </w:r>
    </w:p>
    <w:p w14:paraId="564E103D" w14:textId="77777777" w:rsidR="00702C6E" w:rsidRPr="00942F86" w:rsidRDefault="00702C6E" w:rsidP="000455AC">
      <w:pPr>
        <w:spacing w:line="264" w:lineRule="auto"/>
        <w:ind w:left="720"/>
        <w:rPr>
          <w:sz w:val="25"/>
          <w:szCs w:val="25"/>
        </w:rPr>
      </w:pPr>
    </w:p>
    <w:p w14:paraId="0BD1DBCA" w14:textId="7457C43E" w:rsidR="00702C6E" w:rsidRPr="00942F86" w:rsidRDefault="00702C6E" w:rsidP="00FC421A">
      <w:pPr>
        <w:numPr>
          <w:ilvl w:val="0"/>
          <w:numId w:val="1"/>
        </w:numPr>
        <w:tabs>
          <w:tab w:val="clear" w:pos="720"/>
          <w:tab w:val="num" w:pos="0"/>
        </w:tabs>
        <w:spacing w:line="264" w:lineRule="auto"/>
        <w:ind w:left="0"/>
        <w:rPr>
          <w:sz w:val="25"/>
          <w:szCs w:val="25"/>
        </w:rPr>
      </w:pPr>
      <w:r w:rsidRPr="00942F86">
        <w:rPr>
          <w:sz w:val="25"/>
          <w:szCs w:val="25"/>
        </w:rPr>
        <w:t xml:space="preserve">Boise witness Mr. Mullins </w:t>
      </w:r>
      <w:r w:rsidR="00672520" w:rsidRPr="00942F86">
        <w:rPr>
          <w:sz w:val="25"/>
          <w:szCs w:val="25"/>
        </w:rPr>
        <w:t>testifie</w:t>
      </w:r>
      <w:r w:rsidRPr="00942F86">
        <w:rPr>
          <w:sz w:val="25"/>
          <w:szCs w:val="25"/>
        </w:rPr>
        <w:t xml:space="preserve">s that by including the newly proposed hourly wind shaping methodology, a similar integration costs </w:t>
      </w:r>
      <w:r w:rsidRPr="00942F86">
        <w:rPr>
          <w:i/>
          <w:sz w:val="25"/>
          <w:szCs w:val="25"/>
        </w:rPr>
        <w:t>pro form</w:t>
      </w:r>
      <w:r w:rsidR="00672520" w:rsidRPr="00942F86">
        <w:rPr>
          <w:i/>
          <w:sz w:val="25"/>
          <w:szCs w:val="25"/>
        </w:rPr>
        <w:t>a</w:t>
      </w:r>
      <w:r w:rsidR="00672520" w:rsidRPr="00942F86">
        <w:rPr>
          <w:sz w:val="25"/>
          <w:szCs w:val="25"/>
        </w:rPr>
        <w:t xml:space="preserve"> adjustment</w:t>
      </w:r>
      <w:r w:rsidRPr="00942F86">
        <w:rPr>
          <w:sz w:val="25"/>
          <w:szCs w:val="25"/>
        </w:rPr>
        <w:t xml:space="preserve"> by the Company outside of the GRID model should be removed.</w:t>
      </w:r>
      <w:r w:rsidR="00672520" w:rsidRPr="00942F86">
        <w:rPr>
          <w:rStyle w:val="FootnoteReference"/>
          <w:sz w:val="25"/>
          <w:szCs w:val="25"/>
        </w:rPr>
        <w:footnoteReference w:id="138"/>
      </w:r>
      <w:r w:rsidRPr="00942F86">
        <w:rPr>
          <w:sz w:val="25"/>
          <w:szCs w:val="25"/>
        </w:rPr>
        <w:t xml:space="preserve"> </w:t>
      </w:r>
      <w:r w:rsidR="00672520" w:rsidRPr="00942F86">
        <w:rPr>
          <w:sz w:val="25"/>
          <w:szCs w:val="25"/>
        </w:rPr>
        <w:t xml:space="preserve"> </w:t>
      </w:r>
      <w:r w:rsidRPr="00942F86">
        <w:rPr>
          <w:sz w:val="25"/>
          <w:szCs w:val="25"/>
        </w:rPr>
        <w:t>He claims that with the change in the GRID model proposed by the Company, these inter-hour wind and load integration costs are now being double</w:t>
      </w:r>
      <w:r w:rsidR="006F14A7" w:rsidRPr="00942F86">
        <w:rPr>
          <w:sz w:val="25"/>
          <w:szCs w:val="25"/>
        </w:rPr>
        <w:t>-</w:t>
      </w:r>
      <w:r w:rsidRPr="00942F86">
        <w:rPr>
          <w:sz w:val="25"/>
          <w:szCs w:val="25"/>
        </w:rPr>
        <w:t xml:space="preserve">counted within the model and the </w:t>
      </w:r>
      <w:r w:rsidRPr="00942F86">
        <w:rPr>
          <w:i/>
          <w:sz w:val="25"/>
          <w:szCs w:val="25"/>
        </w:rPr>
        <w:t>pro forma</w:t>
      </w:r>
      <w:r w:rsidRPr="00942F86">
        <w:rPr>
          <w:sz w:val="25"/>
          <w:szCs w:val="25"/>
        </w:rPr>
        <w:t xml:space="preserve"> charge outside the model.   </w:t>
      </w:r>
    </w:p>
    <w:p w14:paraId="0CE98FE1" w14:textId="77777777" w:rsidR="00702C6E" w:rsidRPr="00942F86" w:rsidRDefault="00702C6E" w:rsidP="000455AC">
      <w:pPr>
        <w:spacing w:line="264" w:lineRule="auto"/>
        <w:ind w:left="720"/>
        <w:rPr>
          <w:sz w:val="25"/>
          <w:szCs w:val="25"/>
        </w:rPr>
      </w:pPr>
    </w:p>
    <w:p w14:paraId="774166C1" w14:textId="0E14DD6F" w:rsidR="00702C6E" w:rsidRPr="00942F86" w:rsidRDefault="00702C6E" w:rsidP="00FC421A">
      <w:pPr>
        <w:numPr>
          <w:ilvl w:val="0"/>
          <w:numId w:val="1"/>
        </w:numPr>
        <w:tabs>
          <w:tab w:val="clear" w:pos="720"/>
          <w:tab w:val="num" w:pos="0"/>
        </w:tabs>
        <w:spacing w:line="264" w:lineRule="auto"/>
        <w:ind w:left="0"/>
        <w:rPr>
          <w:sz w:val="25"/>
          <w:szCs w:val="25"/>
        </w:rPr>
      </w:pPr>
      <w:r w:rsidRPr="00942F86">
        <w:rPr>
          <w:sz w:val="25"/>
          <w:szCs w:val="25"/>
        </w:rPr>
        <w:t xml:space="preserve">Mr. Duvall maintains </w:t>
      </w:r>
      <w:r w:rsidR="00C40830" w:rsidRPr="00942F86">
        <w:rPr>
          <w:sz w:val="25"/>
          <w:szCs w:val="25"/>
        </w:rPr>
        <w:t xml:space="preserve">in his rebuttal testimony </w:t>
      </w:r>
      <w:r w:rsidRPr="00942F86">
        <w:rPr>
          <w:sz w:val="25"/>
          <w:szCs w:val="25"/>
        </w:rPr>
        <w:t xml:space="preserve">that inter-hour integration of load and wind resources is appropriately reflected in the Company’s NPC and is not duplicated by modeling load and wind profiles on an hourly basis.  </w:t>
      </w:r>
      <w:r w:rsidR="00C40830" w:rsidRPr="00942F86">
        <w:rPr>
          <w:sz w:val="25"/>
          <w:szCs w:val="25"/>
        </w:rPr>
        <w:t>He testifies that</w:t>
      </w:r>
      <w:r w:rsidRPr="00942F86">
        <w:rPr>
          <w:sz w:val="25"/>
          <w:szCs w:val="25"/>
        </w:rPr>
        <w:t xml:space="preserve"> Mr. Mullins basic assumption that system-balancing wind integration costs and system costs associated with the hour-to-hour variability in wind output are the same is flawed.  </w:t>
      </w:r>
      <w:r w:rsidR="00C40830" w:rsidRPr="00942F86">
        <w:rPr>
          <w:sz w:val="25"/>
          <w:szCs w:val="25"/>
        </w:rPr>
        <w:t>T</w:t>
      </w:r>
      <w:r w:rsidRPr="00942F86">
        <w:rPr>
          <w:sz w:val="25"/>
          <w:szCs w:val="25"/>
        </w:rPr>
        <w:t>he increase in NPC due to wind variability is not the same as inter-hour integration cost and both must be recognized.</w:t>
      </w:r>
      <w:r w:rsidR="00C40830" w:rsidRPr="00942F86">
        <w:rPr>
          <w:rStyle w:val="FootnoteReference"/>
          <w:sz w:val="25"/>
          <w:szCs w:val="25"/>
        </w:rPr>
        <w:footnoteReference w:id="139"/>
      </w:r>
      <w:r w:rsidRPr="00942F86">
        <w:rPr>
          <w:sz w:val="25"/>
          <w:szCs w:val="25"/>
        </w:rPr>
        <w:t xml:space="preserve">  </w:t>
      </w:r>
      <w:r w:rsidR="003C1BC8" w:rsidRPr="00942F86">
        <w:rPr>
          <w:sz w:val="25"/>
          <w:szCs w:val="25"/>
        </w:rPr>
        <w:t>Mr. Duvall says</w:t>
      </w:r>
      <w:r w:rsidRPr="00942F86">
        <w:rPr>
          <w:sz w:val="25"/>
          <w:szCs w:val="25"/>
        </w:rPr>
        <w:t xml:space="preserve"> that wind variability is address</w:t>
      </w:r>
      <w:r w:rsidR="00C40830" w:rsidRPr="00942F86">
        <w:rPr>
          <w:sz w:val="25"/>
          <w:szCs w:val="25"/>
        </w:rPr>
        <w:t>ed</w:t>
      </w:r>
      <w:r w:rsidRPr="00942F86">
        <w:rPr>
          <w:sz w:val="25"/>
          <w:szCs w:val="25"/>
        </w:rPr>
        <w:t xml:space="preserve"> within the GRID model using the proposed wind shaping data. </w:t>
      </w:r>
      <w:r w:rsidR="003C1BC8" w:rsidRPr="00942F86">
        <w:rPr>
          <w:sz w:val="25"/>
          <w:szCs w:val="25"/>
        </w:rPr>
        <w:t xml:space="preserve"> </w:t>
      </w:r>
      <w:r w:rsidRPr="00942F86">
        <w:rPr>
          <w:sz w:val="25"/>
          <w:szCs w:val="25"/>
        </w:rPr>
        <w:t xml:space="preserve">The </w:t>
      </w:r>
      <w:r w:rsidR="003C1BC8" w:rsidRPr="00942F86">
        <w:rPr>
          <w:sz w:val="25"/>
          <w:szCs w:val="25"/>
        </w:rPr>
        <w:t>C</w:t>
      </w:r>
      <w:r w:rsidRPr="00942F86">
        <w:rPr>
          <w:sz w:val="25"/>
          <w:szCs w:val="25"/>
        </w:rPr>
        <w:t xml:space="preserve">ompany uses the results of the model to commit generation resources based on the model’s forecasted load and wind generation. </w:t>
      </w:r>
      <w:r w:rsidR="003C1BC8" w:rsidRPr="00942F86">
        <w:rPr>
          <w:sz w:val="25"/>
          <w:szCs w:val="25"/>
        </w:rPr>
        <w:t>W</w:t>
      </w:r>
      <w:r w:rsidRPr="00942F86">
        <w:rPr>
          <w:sz w:val="25"/>
          <w:szCs w:val="25"/>
        </w:rPr>
        <w:t>ind inter-hour integration costs</w:t>
      </w:r>
      <w:r w:rsidR="003C1BC8" w:rsidRPr="00942F86">
        <w:rPr>
          <w:sz w:val="25"/>
          <w:szCs w:val="25"/>
        </w:rPr>
        <w:t xml:space="preserve">, on </w:t>
      </w:r>
      <w:r w:rsidR="003C1BC8" w:rsidRPr="00942F86">
        <w:rPr>
          <w:sz w:val="25"/>
          <w:szCs w:val="25"/>
        </w:rPr>
        <w:lastRenderedPageBreak/>
        <w:t>the other hand,</w:t>
      </w:r>
      <w:r w:rsidRPr="00942F86">
        <w:rPr>
          <w:sz w:val="25"/>
          <w:szCs w:val="25"/>
        </w:rPr>
        <w:t xml:space="preserve"> reflect charges associated the costs of balancing around the actual wind output and load.  According to Mr. Duvall, it is appropriate to reflect both in the Company’s cost of service.</w:t>
      </w:r>
    </w:p>
    <w:p w14:paraId="230FE6E9" w14:textId="77777777" w:rsidR="00702C6E" w:rsidRPr="00942F86" w:rsidRDefault="00702C6E" w:rsidP="000455AC">
      <w:pPr>
        <w:spacing w:line="264" w:lineRule="auto"/>
        <w:ind w:left="720"/>
        <w:rPr>
          <w:sz w:val="25"/>
          <w:szCs w:val="25"/>
        </w:rPr>
      </w:pPr>
    </w:p>
    <w:p w14:paraId="341A4898" w14:textId="595178E4" w:rsidR="00702C6E" w:rsidRPr="00942F86" w:rsidRDefault="00702C6E" w:rsidP="00FC421A">
      <w:pPr>
        <w:numPr>
          <w:ilvl w:val="0"/>
          <w:numId w:val="1"/>
        </w:numPr>
        <w:tabs>
          <w:tab w:val="clear" w:pos="720"/>
          <w:tab w:val="num" w:pos="0"/>
        </w:tabs>
        <w:spacing w:line="264" w:lineRule="auto"/>
        <w:ind w:left="0"/>
        <w:rPr>
          <w:sz w:val="25"/>
          <w:szCs w:val="25"/>
        </w:rPr>
      </w:pPr>
      <w:r w:rsidRPr="00942F86">
        <w:rPr>
          <w:sz w:val="25"/>
          <w:szCs w:val="25"/>
        </w:rPr>
        <w:t>Boise</w:t>
      </w:r>
      <w:r w:rsidR="003C1BC8" w:rsidRPr="00942F86">
        <w:rPr>
          <w:sz w:val="25"/>
          <w:szCs w:val="25"/>
        </w:rPr>
        <w:t xml:space="preserve"> White Paper</w:t>
      </w:r>
      <w:r w:rsidRPr="00942F86">
        <w:rPr>
          <w:sz w:val="25"/>
          <w:szCs w:val="25"/>
        </w:rPr>
        <w:t xml:space="preserve"> also </w:t>
      </w:r>
      <w:r w:rsidR="003C1BC8" w:rsidRPr="00942F86">
        <w:rPr>
          <w:sz w:val="25"/>
          <w:szCs w:val="25"/>
        </w:rPr>
        <w:t>argues</w:t>
      </w:r>
      <w:r w:rsidRPr="00942F86">
        <w:rPr>
          <w:sz w:val="25"/>
          <w:szCs w:val="25"/>
        </w:rPr>
        <w:t xml:space="preserve"> that the wind inter-hour integration costs is a new charge that has neither been included in prior filings </w:t>
      </w:r>
      <w:r w:rsidR="006F14A7" w:rsidRPr="00942F86">
        <w:rPr>
          <w:sz w:val="25"/>
          <w:szCs w:val="25"/>
        </w:rPr>
        <w:t xml:space="preserve">nor </w:t>
      </w:r>
      <w:r w:rsidRPr="00942F86">
        <w:rPr>
          <w:sz w:val="25"/>
          <w:szCs w:val="25"/>
        </w:rPr>
        <w:t>documented as a modeling change in this filing.</w:t>
      </w:r>
      <w:r w:rsidR="00EC3FCD" w:rsidRPr="00942F86">
        <w:rPr>
          <w:rStyle w:val="FootnoteReference"/>
          <w:sz w:val="25"/>
          <w:szCs w:val="25"/>
        </w:rPr>
        <w:footnoteReference w:id="140"/>
      </w:r>
      <w:r w:rsidRPr="00942F86">
        <w:rPr>
          <w:sz w:val="25"/>
          <w:szCs w:val="25"/>
        </w:rPr>
        <w:t xml:space="preserve">  </w:t>
      </w:r>
      <w:r w:rsidR="00EC3FCD" w:rsidRPr="00942F86">
        <w:rPr>
          <w:sz w:val="25"/>
          <w:szCs w:val="25"/>
        </w:rPr>
        <w:t>Mr. Duvall</w:t>
      </w:r>
      <w:r w:rsidRPr="00942F86">
        <w:rPr>
          <w:sz w:val="25"/>
          <w:szCs w:val="25"/>
        </w:rPr>
        <w:t xml:space="preserve"> responds</w:t>
      </w:r>
      <w:r w:rsidR="00EC3FCD" w:rsidRPr="00942F86">
        <w:rPr>
          <w:sz w:val="25"/>
          <w:szCs w:val="25"/>
        </w:rPr>
        <w:t xml:space="preserve"> to this</w:t>
      </w:r>
      <w:r w:rsidRPr="00942F86">
        <w:rPr>
          <w:sz w:val="25"/>
          <w:szCs w:val="25"/>
        </w:rPr>
        <w:t xml:space="preserve"> by pointing out that the charge was reflected in the prior 2010 Wind Integration Study</w:t>
      </w:r>
      <w:r w:rsidR="006F14A7" w:rsidRPr="00942F86">
        <w:rPr>
          <w:sz w:val="25"/>
          <w:szCs w:val="25"/>
        </w:rPr>
        <w:t>,</w:t>
      </w:r>
      <w:r w:rsidRPr="00942F86">
        <w:rPr>
          <w:sz w:val="25"/>
          <w:szCs w:val="25"/>
        </w:rPr>
        <w:t xml:space="preserve"> which reflected the combined load and wind integration costs.</w:t>
      </w:r>
      <w:r w:rsidR="00EC3FCD" w:rsidRPr="00942F86">
        <w:rPr>
          <w:rStyle w:val="FootnoteReference"/>
          <w:sz w:val="25"/>
          <w:szCs w:val="25"/>
        </w:rPr>
        <w:footnoteReference w:id="141"/>
      </w:r>
      <w:r w:rsidRPr="00942F86">
        <w:rPr>
          <w:sz w:val="25"/>
          <w:szCs w:val="25"/>
        </w:rPr>
        <w:t xml:space="preserve"> </w:t>
      </w:r>
      <w:r w:rsidR="002D00E3">
        <w:rPr>
          <w:sz w:val="25"/>
          <w:szCs w:val="25"/>
        </w:rPr>
        <w:t xml:space="preserve"> </w:t>
      </w:r>
      <w:r w:rsidRPr="00942F86">
        <w:rPr>
          <w:sz w:val="25"/>
          <w:szCs w:val="25"/>
        </w:rPr>
        <w:t>The 2010 Wind Integration Study was used in Docket UE-111190 reflecting in rates the costs for inter-hour integration costs for load.</w:t>
      </w:r>
      <w:r w:rsidR="00EC3FCD" w:rsidRPr="00942F86">
        <w:rPr>
          <w:rStyle w:val="FootnoteReference"/>
          <w:sz w:val="25"/>
          <w:szCs w:val="25"/>
        </w:rPr>
        <w:footnoteReference w:id="142"/>
      </w:r>
      <w:r w:rsidRPr="00942F86">
        <w:rPr>
          <w:sz w:val="25"/>
          <w:szCs w:val="25"/>
        </w:rPr>
        <w:t xml:space="preserve">  In the new 2012 study, responding to stakeholders, the costs were broken into Wind and Load related costs.  </w:t>
      </w:r>
    </w:p>
    <w:p w14:paraId="6F5FC1CA" w14:textId="77777777" w:rsidR="00702C6E" w:rsidRPr="00942F86" w:rsidRDefault="00702C6E" w:rsidP="000455AC">
      <w:pPr>
        <w:spacing w:line="264" w:lineRule="auto"/>
        <w:ind w:left="720"/>
        <w:rPr>
          <w:sz w:val="25"/>
          <w:szCs w:val="25"/>
        </w:rPr>
      </w:pPr>
    </w:p>
    <w:p w14:paraId="1BCA1242" w14:textId="44763CE3" w:rsidR="006E0905" w:rsidRPr="00942F86" w:rsidRDefault="00702C6E"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w:t>
      </w:r>
      <w:r w:rsidR="002D00E3">
        <w:rPr>
          <w:sz w:val="25"/>
          <w:szCs w:val="25"/>
        </w:rPr>
        <w:t xml:space="preserve"> </w:t>
      </w:r>
      <w:r w:rsidR="00EC3FCD" w:rsidRPr="00942F86">
        <w:rPr>
          <w:sz w:val="25"/>
          <w:szCs w:val="25"/>
        </w:rPr>
        <w:t xml:space="preserve">We </w:t>
      </w:r>
      <w:r w:rsidR="006F14A7" w:rsidRPr="00942F86">
        <w:rPr>
          <w:sz w:val="25"/>
          <w:szCs w:val="25"/>
        </w:rPr>
        <w:t>decline to accept</w:t>
      </w:r>
      <w:r w:rsidR="00EC3FCD" w:rsidRPr="00942F86">
        <w:rPr>
          <w:sz w:val="25"/>
          <w:szCs w:val="25"/>
        </w:rPr>
        <w:t xml:space="preserve"> </w:t>
      </w:r>
      <w:r w:rsidRPr="00942F86">
        <w:rPr>
          <w:sz w:val="25"/>
          <w:szCs w:val="25"/>
        </w:rPr>
        <w:t>Boise</w:t>
      </w:r>
      <w:r w:rsidR="00BF4FA7" w:rsidRPr="00942F86">
        <w:rPr>
          <w:sz w:val="25"/>
          <w:szCs w:val="25"/>
        </w:rPr>
        <w:t xml:space="preserve"> White Paper</w:t>
      </w:r>
      <w:r w:rsidRPr="00942F86">
        <w:rPr>
          <w:sz w:val="25"/>
          <w:szCs w:val="25"/>
        </w:rPr>
        <w:t xml:space="preserve">’s </w:t>
      </w:r>
      <w:r w:rsidR="00EC3FCD" w:rsidRPr="00942F86">
        <w:rPr>
          <w:sz w:val="25"/>
          <w:szCs w:val="25"/>
        </w:rPr>
        <w:t xml:space="preserve">proposed </w:t>
      </w:r>
      <w:r w:rsidRPr="00942F86">
        <w:rPr>
          <w:sz w:val="25"/>
          <w:szCs w:val="25"/>
        </w:rPr>
        <w:t xml:space="preserve">inter-hour wind and load integration adjustment. </w:t>
      </w:r>
      <w:r w:rsidR="002D00E3">
        <w:rPr>
          <w:sz w:val="25"/>
          <w:szCs w:val="25"/>
        </w:rPr>
        <w:t xml:space="preserve"> </w:t>
      </w:r>
      <w:r w:rsidR="00EC3FCD" w:rsidRPr="00942F86">
        <w:rPr>
          <w:sz w:val="25"/>
          <w:szCs w:val="25"/>
        </w:rPr>
        <w:t>T</w:t>
      </w:r>
      <w:r w:rsidRPr="00942F86">
        <w:rPr>
          <w:sz w:val="25"/>
          <w:szCs w:val="25"/>
        </w:rPr>
        <w:t>he Company describes in detail its system of modeling and its two-step process from forecast to actual</w:t>
      </w:r>
      <w:r w:rsidR="00EC3FCD" w:rsidRPr="00942F86">
        <w:rPr>
          <w:sz w:val="25"/>
          <w:szCs w:val="25"/>
        </w:rPr>
        <w:t>,</w:t>
      </w:r>
      <w:r w:rsidRPr="00942F86">
        <w:rPr>
          <w:sz w:val="25"/>
          <w:szCs w:val="25"/>
        </w:rPr>
        <w:t xml:space="preserve"> thereby explaining what it portrays as a misconception by Mr. Mullin</w:t>
      </w:r>
      <w:r w:rsidR="00EC3FCD" w:rsidRPr="00942F86">
        <w:rPr>
          <w:sz w:val="25"/>
          <w:szCs w:val="25"/>
        </w:rPr>
        <w:t>s</w:t>
      </w:r>
      <w:r w:rsidRPr="00942F86">
        <w:rPr>
          <w:sz w:val="25"/>
          <w:szCs w:val="25"/>
        </w:rPr>
        <w:t xml:space="preserve">. </w:t>
      </w:r>
      <w:r w:rsidR="00EC3FCD" w:rsidRPr="00942F86">
        <w:rPr>
          <w:sz w:val="25"/>
          <w:szCs w:val="25"/>
        </w:rPr>
        <w:t xml:space="preserve"> Pacific Power demonstrates convincingly that it has not double-counted costs or otherwise reflected the same wind integration adjustment using two different approaches.  We reject Boise White Paper’s </w:t>
      </w:r>
      <w:r w:rsidR="00993EB1" w:rsidRPr="00942F86">
        <w:rPr>
          <w:sz w:val="25"/>
          <w:szCs w:val="25"/>
        </w:rPr>
        <w:t xml:space="preserve">recommendation that we require removal of the Company’s outside-of-GRID </w:t>
      </w:r>
      <w:r w:rsidR="00993EB1" w:rsidRPr="00942F86">
        <w:rPr>
          <w:i/>
          <w:sz w:val="25"/>
          <w:szCs w:val="25"/>
        </w:rPr>
        <w:t>pro forma</w:t>
      </w:r>
      <w:r w:rsidR="00993EB1" w:rsidRPr="00942F86">
        <w:rPr>
          <w:sz w:val="25"/>
          <w:szCs w:val="25"/>
        </w:rPr>
        <w:t xml:space="preserve"> adjustment of wind integration costs.</w:t>
      </w:r>
    </w:p>
    <w:p w14:paraId="322B34B6" w14:textId="77777777" w:rsidR="006E0905" w:rsidRPr="00942F86" w:rsidRDefault="006E0905" w:rsidP="000455AC">
      <w:pPr>
        <w:spacing w:line="264" w:lineRule="auto"/>
        <w:rPr>
          <w:sz w:val="25"/>
          <w:szCs w:val="25"/>
        </w:rPr>
      </w:pPr>
    </w:p>
    <w:p w14:paraId="3878B9B6" w14:textId="4BADEC7A" w:rsidR="00CC5B19" w:rsidRPr="00942F86" w:rsidRDefault="00E36E93" w:rsidP="00883A54">
      <w:pPr>
        <w:pStyle w:val="Heading4"/>
      </w:pPr>
      <w:bookmarkStart w:id="25" w:name="_Toc415037622"/>
      <w:r w:rsidRPr="00942F86">
        <w:t>Chehalis Outage</w:t>
      </w:r>
      <w:bookmarkEnd w:id="25"/>
    </w:p>
    <w:p w14:paraId="2DE3796F" w14:textId="77777777" w:rsidR="006F14A7" w:rsidRPr="00942F86" w:rsidRDefault="006F14A7" w:rsidP="000455AC">
      <w:pPr>
        <w:spacing w:line="264" w:lineRule="auto"/>
        <w:rPr>
          <w:sz w:val="25"/>
          <w:szCs w:val="25"/>
        </w:rPr>
      </w:pPr>
    </w:p>
    <w:p w14:paraId="583723B0" w14:textId="4268FCFD" w:rsidR="00A8123A" w:rsidRPr="00942F86" w:rsidRDefault="00A8123A" w:rsidP="00FC421A">
      <w:pPr>
        <w:numPr>
          <w:ilvl w:val="0"/>
          <w:numId w:val="1"/>
        </w:numPr>
        <w:tabs>
          <w:tab w:val="clear" w:pos="720"/>
          <w:tab w:val="num" w:pos="0"/>
        </w:tabs>
        <w:spacing w:line="264" w:lineRule="auto"/>
        <w:ind w:left="0"/>
        <w:rPr>
          <w:sz w:val="25"/>
          <w:szCs w:val="25"/>
        </w:rPr>
      </w:pPr>
      <w:r w:rsidRPr="00942F86">
        <w:rPr>
          <w:sz w:val="25"/>
          <w:szCs w:val="25"/>
        </w:rPr>
        <w:t xml:space="preserve">In November 2013, one of the three </w:t>
      </w:r>
      <w:r w:rsidR="009F0962" w:rsidRPr="00942F86">
        <w:rPr>
          <w:sz w:val="25"/>
          <w:szCs w:val="25"/>
        </w:rPr>
        <w:t xml:space="preserve">generation </w:t>
      </w:r>
      <w:r w:rsidR="00181ED2">
        <w:rPr>
          <w:sz w:val="25"/>
          <w:szCs w:val="25"/>
        </w:rPr>
        <w:t>units</w:t>
      </w:r>
      <w:r w:rsidRPr="00942F86">
        <w:rPr>
          <w:sz w:val="25"/>
          <w:szCs w:val="25"/>
        </w:rPr>
        <w:t xml:space="preserve"> at Chehalis experienced an outage caused by the failure of a step-up transformer.  Boise White Paper recommends that the Commission exclude the 2013 Chehalis outage from GRID model outage rate calculations because the outage:  1) is not representative of normal plant operations in the rate period; and 2) resulted from imprudent operation.</w:t>
      </w:r>
      <w:r w:rsidRPr="00942F86">
        <w:rPr>
          <w:sz w:val="25"/>
          <w:szCs w:val="25"/>
          <w:vertAlign w:val="superscript"/>
        </w:rPr>
        <w:footnoteReference w:id="143"/>
      </w:r>
    </w:p>
    <w:p w14:paraId="097C4937" w14:textId="77777777" w:rsidR="00A8123A" w:rsidRPr="00942F86" w:rsidRDefault="00A8123A" w:rsidP="000455AC">
      <w:pPr>
        <w:spacing w:line="264" w:lineRule="auto"/>
        <w:rPr>
          <w:sz w:val="25"/>
          <w:szCs w:val="25"/>
        </w:rPr>
      </w:pPr>
    </w:p>
    <w:p w14:paraId="4953B3BE" w14:textId="3C4E1269" w:rsidR="00831A49" w:rsidRPr="00942F86" w:rsidRDefault="00A8123A" w:rsidP="00FC421A">
      <w:pPr>
        <w:numPr>
          <w:ilvl w:val="0"/>
          <w:numId w:val="1"/>
        </w:numPr>
        <w:tabs>
          <w:tab w:val="clear" w:pos="720"/>
          <w:tab w:val="num" w:pos="0"/>
        </w:tabs>
        <w:spacing w:line="264" w:lineRule="auto"/>
        <w:ind w:left="0"/>
        <w:rPr>
          <w:sz w:val="25"/>
          <w:szCs w:val="25"/>
        </w:rPr>
      </w:pPr>
      <w:r w:rsidRPr="00942F86">
        <w:rPr>
          <w:sz w:val="25"/>
          <w:szCs w:val="25"/>
        </w:rPr>
        <w:t xml:space="preserve">Pacific Power </w:t>
      </w:r>
      <w:r w:rsidR="00210644" w:rsidRPr="00942F86">
        <w:rPr>
          <w:sz w:val="25"/>
          <w:szCs w:val="25"/>
        </w:rPr>
        <w:t>points out</w:t>
      </w:r>
      <w:r w:rsidRPr="00942F86">
        <w:rPr>
          <w:sz w:val="25"/>
          <w:szCs w:val="25"/>
        </w:rPr>
        <w:t xml:space="preserve"> that in the Company’s 2010 rate case, Boise White Paper</w:t>
      </w:r>
      <w:r w:rsidR="006F14A7" w:rsidRPr="00942F86">
        <w:rPr>
          <w:sz w:val="25"/>
          <w:szCs w:val="25"/>
        </w:rPr>
        <w:t>’s</w:t>
      </w:r>
      <w:r w:rsidRPr="00942F86">
        <w:rPr>
          <w:sz w:val="25"/>
          <w:szCs w:val="25"/>
        </w:rPr>
        <w:t xml:space="preserve"> NPC witness through its trade group, </w:t>
      </w:r>
      <w:r w:rsidR="006F14A7" w:rsidRPr="00942F86">
        <w:rPr>
          <w:sz w:val="25"/>
          <w:szCs w:val="25"/>
        </w:rPr>
        <w:t xml:space="preserve">the Industrial Customers of Northwest Utilities </w:t>
      </w:r>
      <w:r w:rsidR="006F14A7" w:rsidRPr="00942F86">
        <w:rPr>
          <w:sz w:val="25"/>
          <w:szCs w:val="25"/>
        </w:rPr>
        <w:lastRenderedPageBreak/>
        <w:t>(</w:t>
      </w:r>
      <w:proofErr w:type="spellStart"/>
      <w:r w:rsidRPr="00942F86">
        <w:rPr>
          <w:sz w:val="25"/>
          <w:szCs w:val="25"/>
        </w:rPr>
        <w:t>ICNU</w:t>
      </w:r>
      <w:proofErr w:type="spellEnd"/>
      <w:r w:rsidR="006F14A7" w:rsidRPr="00942F86">
        <w:rPr>
          <w:sz w:val="25"/>
          <w:szCs w:val="25"/>
        </w:rPr>
        <w:t>)</w:t>
      </w:r>
      <w:r w:rsidRPr="00942F86">
        <w:rPr>
          <w:sz w:val="25"/>
          <w:szCs w:val="25"/>
        </w:rPr>
        <w:t>, testified that an outage should be excluded as anomalous only if it exceeds 28 days.</w:t>
      </w:r>
      <w:r w:rsidRPr="00942F86">
        <w:rPr>
          <w:sz w:val="25"/>
          <w:szCs w:val="25"/>
          <w:vertAlign w:val="superscript"/>
        </w:rPr>
        <w:footnoteReference w:id="144"/>
      </w:r>
      <w:r w:rsidRPr="00942F86">
        <w:rPr>
          <w:sz w:val="25"/>
          <w:szCs w:val="25"/>
        </w:rPr>
        <w:t xml:space="preserve">  </w:t>
      </w:r>
      <w:r w:rsidR="00210644" w:rsidRPr="00942F86">
        <w:rPr>
          <w:sz w:val="25"/>
          <w:szCs w:val="25"/>
        </w:rPr>
        <w:t>Since t</w:t>
      </w:r>
      <w:r w:rsidRPr="00942F86">
        <w:rPr>
          <w:sz w:val="25"/>
          <w:szCs w:val="25"/>
        </w:rPr>
        <w:t>he Chehalis outage was less than 28 days</w:t>
      </w:r>
      <w:r w:rsidR="00210644" w:rsidRPr="00942F86">
        <w:rPr>
          <w:sz w:val="25"/>
          <w:szCs w:val="25"/>
        </w:rPr>
        <w:t>, Pacific Power reasons it is within the realm of “normal</w:t>
      </w:r>
      <w:r w:rsidRPr="00942F86">
        <w:rPr>
          <w:sz w:val="25"/>
          <w:szCs w:val="25"/>
        </w:rPr>
        <w:t>.</w:t>
      </w:r>
      <w:r w:rsidR="00210644" w:rsidRPr="00942F86">
        <w:rPr>
          <w:sz w:val="25"/>
          <w:szCs w:val="25"/>
        </w:rPr>
        <w:t>”</w:t>
      </w:r>
      <w:r w:rsidRPr="00942F86">
        <w:rPr>
          <w:sz w:val="25"/>
          <w:szCs w:val="25"/>
          <w:vertAlign w:val="superscript"/>
        </w:rPr>
        <w:footnoteReference w:id="145"/>
      </w:r>
      <w:r w:rsidR="00831A49" w:rsidRPr="00942F86">
        <w:rPr>
          <w:sz w:val="25"/>
          <w:szCs w:val="25"/>
        </w:rPr>
        <w:t xml:space="preserve">  What the Commission determined</w:t>
      </w:r>
      <w:r w:rsidR="00210644" w:rsidRPr="00942F86">
        <w:rPr>
          <w:sz w:val="25"/>
          <w:szCs w:val="25"/>
        </w:rPr>
        <w:t xml:space="preserve"> in Pacific Power’s 2010 GRC</w:t>
      </w:r>
      <w:r w:rsidR="00831A49" w:rsidRPr="00942F86">
        <w:rPr>
          <w:sz w:val="25"/>
          <w:szCs w:val="25"/>
        </w:rPr>
        <w:t xml:space="preserve">, however, is that </w:t>
      </w:r>
    </w:p>
    <w:p w14:paraId="094921C9" w14:textId="77777777" w:rsidR="00831A49" w:rsidRPr="00942F86" w:rsidRDefault="00831A49" w:rsidP="000455AC">
      <w:pPr>
        <w:pStyle w:val="ListParagraph"/>
        <w:spacing w:line="264" w:lineRule="auto"/>
        <w:rPr>
          <w:sz w:val="25"/>
          <w:szCs w:val="25"/>
        </w:rPr>
      </w:pPr>
    </w:p>
    <w:p w14:paraId="608FBB9D" w14:textId="60BF3A5C" w:rsidR="00A8123A" w:rsidRPr="00942F86" w:rsidRDefault="00831A49" w:rsidP="000455AC">
      <w:pPr>
        <w:spacing w:line="264" w:lineRule="auto"/>
        <w:ind w:left="720" w:right="720"/>
        <w:rPr>
          <w:sz w:val="25"/>
          <w:szCs w:val="25"/>
        </w:rPr>
      </w:pPr>
      <w:r w:rsidRPr="00942F86">
        <w:rPr>
          <w:sz w:val="25"/>
          <w:szCs w:val="25"/>
        </w:rPr>
        <w:t xml:space="preserve">The dispute before us is how to set an annual outage rate in light of a single, large, anomalous event.  We agree with Staff that the purpose of establishing an annual outage rate is to represent expected outage levels during the rate year.  PacifiCorp does not dispute that the approximately seven month outage is an anomaly.  </w:t>
      </w:r>
      <w:proofErr w:type="spellStart"/>
      <w:r w:rsidRPr="00942F86">
        <w:rPr>
          <w:i/>
          <w:sz w:val="25"/>
          <w:szCs w:val="25"/>
        </w:rPr>
        <w:t>ICNU’s</w:t>
      </w:r>
      <w:proofErr w:type="spellEnd"/>
      <w:r w:rsidRPr="00942F86">
        <w:rPr>
          <w:i/>
          <w:sz w:val="25"/>
          <w:szCs w:val="25"/>
        </w:rPr>
        <w:t xml:space="preserve"> proposal to remove all outages longer than 28 days addresses the issue, but lacks substantial justification.</w:t>
      </w:r>
      <w:r w:rsidRPr="00942F86">
        <w:rPr>
          <w:rStyle w:val="FootnoteReference"/>
          <w:sz w:val="25"/>
          <w:szCs w:val="25"/>
        </w:rPr>
        <w:footnoteReference w:id="146"/>
      </w:r>
    </w:p>
    <w:p w14:paraId="5A22E2D0" w14:textId="77777777" w:rsidR="00210644" w:rsidRPr="00942F86" w:rsidRDefault="00210644" w:rsidP="000455AC">
      <w:pPr>
        <w:spacing w:line="264" w:lineRule="auto"/>
        <w:ind w:right="720"/>
        <w:rPr>
          <w:sz w:val="25"/>
          <w:szCs w:val="25"/>
        </w:rPr>
      </w:pPr>
    </w:p>
    <w:p w14:paraId="076439EE" w14:textId="322A226B" w:rsidR="00210644" w:rsidRPr="00942F86" w:rsidRDefault="00210644" w:rsidP="000455AC">
      <w:pPr>
        <w:spacing w:line="264" w:lineRule="auto"/>
        <w:rPr>
          <w:sz w:val="25"/>
          <w:szCs w:val="25"/>
        </w:rPr>
      </w:pPr>
      <w:r w:rsidRPr="00942F86">
        <w:rPr>
          <w:sz w:val="25"/>
          <w:szCs w:val="25"/>
        </w:rPr>
        <w:t>The Commission’s rejection of a proposed standard should not be cited as basis for drawing the inference Pacific Power urges us to make.  Moreover, Boise White Paper says it recommends the exclusion of the 2013 Chehalis outage not on the basis of its duration, but because it was the third catastrophic outage within a decade, all due to the same transformer bushing design failure.</w:t>
      </w:r>
      <w:r w:rsidRPr="00942F86">
        <w:rPr>
          <w:rStyle w:val="FootnoteReference"/>
          <w:sz w:val="25"/>
          <w:szCs w:val="25"/>
        </w:rPr>
        <w:footnoteReference w:id="147"/>
      </w:r>
    </w:p>
    <w:p w14:paraId="351DE21A" w14:textId="6A267628" w:rsidR="00A8123A" w:rsidRPr="00942F86" w:rsidRDefault="00A8123A" w:rsidP="000455AC">
      <w:pPr>
        <w:spacing w:line="264" w:lineRule="auto"/>
        <w:rPr>
          <w:sz w:val="25"/>
          <w:szCs w:val="25"/>
        </w:rPr>
      </w:pPr>
      <w:r w:rsidRPr="00942F86">
        <w:rPr>
          <w:sz w:val="25"/>
          <w:szCs w:val="25"/>
        </w:rPr>
        <w:t xml:space="preserve">   </w:t>
      </w:r>
    </w:p>
    <w:p w14:paraId="49DF9922" w14:textId="7EAF4C26" w:rsidR="00A8123A" w:rsidRPr="00942F86" w:rsidRDefault="00A8123A" w:rsidP="00FC421A">
      <w:pPr>
        <w:numPr>
          <w:ilvl w:val="0"/>
          <w:numId w:val="1"/>
        </w:numPr>
        <w:tabs>
          <w:tab w:val="clear" w:pos="720"/>
          <w:tab w:val="num" w:pos="0"/>
        </w:tabs>
        <w:spacing w:line="264" w:lineRule="auto"/>
        <w:ind w:left="0"/>
        <w:rPr>
          <w:sz w:val="25"/>
          <w:szCs w:val="25"/>
        </w:rPr>
      </w:pPr>
      <w:r w:rsidRPr="00942F86">
        <w:rPr>
          <w:sz w:val="25"/>
          <w:szCs w:val="25"/>
        </w:rPr>
        <w:t>Boise White Paper</w:t>
      </w:r>
      <w:r w:rsidR="0020188D" w:rsidRPr="00942F86">
        <w:rPr>
          <w:sz w:val="25"/>
          <w:szCs w:val="25"/>
        </w:rPr>
        <w:t xml:space="preserve">’s principal argument, in any event, is </w:t>
      </w:r>
      <w:r w:rsidRPr="00942F86">
        <w:rPr>
          <w:sz w:val="25"/>
          <w:szCs w:val="25"/>
        </w:rPr>
        <w:t>that the outage was the result of imprudence because the plant had experienced similar types of outages in prior years, one in 2006 and one in 2011.</w:t>
      </w:r>
      <w:r w:rsidR="0020188D" w:rsidRPr="00942F86">
        <w:rPr>
          <w:rStyle w:val="FootnoteReference"/>
          <w:sz w:val="25"/>
          <w:szCs w:val="25"/>
        </w:rPr>
        <w:footnoteReference w:id="148"/>
      </w:r>
      <w:r w:rsidRPr="00942F86">
        <w:rPr>
          <w:sz w:val="25"/>
          <w:szCs w:val="25"/>
        </w:rPr>
        <w:t xml:space="preserve">  Mr. Mullins</w:t>
      </w:r>
      <w:r w:rsidR="005B11E1" w:rsidRPr="00942F86">
        <w:rPr>
          <w:sz w:val="25"/>
          <w:szCs w:val="25"/>
        </w:rPr>
        <w:t xml:space="preserve"> includes in his largely confidential testimony on this issue a discussion of the root cause analysis from which he infers imprudence.  </w:t>
      </w:r>
      <w:r w:rsidRPr="00942F86">
        <w:rPr>
          <w:sz w:val="25"/>
          <w:szCs w:val="25"/>
        </w:rPr>
        <w:t>Mr. Ralston, who has 28 years of experience in plant operations and maintenance</w:t>
      </w:r>
      <w:r w:rsidR="005B11E1" w:rsidRPr="00942F86">
        <w:rPr>
          <w:sz w:val="25"/>
          <w:szCs w:val="25"/>
        </w:rPr>
        <w:t xml:space="preserve"> and is responsible for the operation and maintenance of the PacifiCorp generation fleet,</w:t>
      </w:r>
      <w:r w:rsidRPr="00942F86">
        <w:rPr>
          <w:sz w:val="25"/>
          <w:szCs w:val="25"/>
        </w:rPr>
        <w:t xml:space="preserve"> testified</w:t>
      </w:r>
      <w:r w:rsidR="005B11E1" w:rsidRPr="00942F86">
        <w:rPr>
          <w:sz w:val="25"/>
          <w:szCs w:val="25"/>
        </w:rPr>
        <w:t xml:space="preserve"> on rebuttal</w:t>
      </w:r>
      <w:r w:rsidRPr="00942F86">
        <w:rPr>
          <w:sz w:val="25"/>
          <w:szCs w:val="25"/>
        </w:rPr>
        <w:t xml:space="preserve"> that the plant was operated consistent with standard industry practices, that the Company’s actions following the 2011 outage were reasonable, and that the two prior outages would not have caused </w:t>
      </w:r>
      <w:r w:rsidRPr="00942F86">
        <w:rPr>
          <w:sz w:val="25"/>
          <w:szCs w:val="25"/>
        </w:rPr>
        <w:lastRenderedPageBreak/>
        <w:t>the Company to operate the plant differently.</w:t>
      </w:r>
      <w:r w:rsidR="005B11E1" w:rsidRPr="00942F86">
        <w:rPr>
          <w:rStyle w:val="FootnoteReference"/>
          <w:sz w:val="25"/>
          <w:szCs w:val="25"/>
        </w:rPr>
        <w:footnoteReference w:id="149"/>
      </w:r>
      <w:r w:rsidRPr="00942F86">
        <w:rPr>
          <w:sz w:val="25"/>
          <w:szCs w:val="25"/>
        </w:rPr>
        <w:t xml:space="preserve">  In fact, following the 2011 outage, the Company installed monitoring equipment on the generator step-up transformers specifically to allow the Company to assess the risk of future failures—an action that exceeds standard industry practice.</w:t>
      </w:r>
      <w:r w:rsidR="007F72C5" w:rsidRPr="00942F86">
        <w:rPr>
          <w:rStyle w:val="FootnoteReference"/>
          <w:sz w:val="25"/>
          <w:szCs w:val="25"/>
        </w:rPr>
        <w:footnoteReference w:id="150"/>
      </w:r>
      <w:r w:rsidRPr="00942F86">
        <w:rPr>
          <w:sz w:val="25"/>
          <w:szCs w:val="25"/>
        </w:rPr>
        <w:t xml:space="preserve"> </w:t>
      </w:r>
    </w:p>
    <w:p w14:paraId="4D287617" w14:textId="56E090BF" w:rsidR="00A8123A" w:rsidRPr="00942F86" w:rsidRDefault="00A8123A" w:rsidP="000455AC">
      <w:pPr>
        <w:spacing w:line="264" w:lineRule="auto"/>
        <w:rPr>
          <w:sz w:val="25"/>
          <w:szCs w:val="25"/>
        </w:rPr>
      </w:pPr>
    </w:p>
    <w:p w14:paraId="0D690E44" w14:textId="260946F7" w:rsidR="00E76C08" w:rsidRPr="00942F86" w:rsidRDefault="007F72C5" w:rsidP="00FC421A">
      <w:pPr>
        <w:numPr>
          <w:ilvl w:val="0"/>
          <w:numId w:val="1"/>
        </w:numPr>
        <w:tabs>
          <w:tab w:val="clear" w:pos="720"/>
          <w:tab w:val="num" w:pos="0"/>
        </w:tabs>
        <w:spacing w:line="264" w:lineRule="auto"/>
        <w:ind w:left="0"/>
        <w:rPr>
          <w:sz w:val="25"/>
          <w:szCs w:val="25"/>
        </w:rPr>
      </w:pPr>
      <w:r w:rsidRPr="00942F86">
        <w:rPr>
          <w:sz w:val="25"/>
          <w:szCs w:val="25"/>
        </w:rPr>
        <w:t xml:space="preserve">Pacific Power, again relying on Mr. Ralston’s testimony, also disputes </w:t>
      </w:r>
      <w:r w:rsidR="00A8123A" w:rsidRPr="00942F86">
        <w:rPr>
          <w:sz w:val="25"/>
          <w:szCs w:val="25"/>
        </w:rPr>
        <w:t>Boise White Paper</w:t>
      </w:r>
      <w:r w:rsidRPr="00942F86">
        <w:rPr>
          <w:sz w:val="25"/>
          <w:szCs w:val="25"/>
        </w:rPr>
        <w:t>’s</w:t>
      </w:r>
      <w:r w:rsidR="00A8123A" w:rsidRPr="00942F86">
        <w:rPr>
          <w:sz w:val="25"/>
          <w:szCs w:val="25"/>
        </w:rPr>
        <w:t xml:space="preserve"> claims that in the month leading up to the 2013 failure, the monitoring equipment indicated a problem and that it was “very clear” that the Company was “operating [the plant] in alarm status for a very long period of time.”</w:t>
      </w:r>
      <w:r w:rsidRPr="00942F86">
        <w:rPr>
          <w:rStyle w:val="FootnoteReference"/>
          <w:sz w:val="25"/>
          <w:szCs w:val="25"/>
        </w:rPr>
        <w:footnoteReference w:id="151"/>
      </w:r>
      <w:r w:rsidR="00A8123A" w:rsidRPr="00942F86">
        <w:rPr>
          <w:sz w:val="25"/>
          <w:szCs w:val="25"/>
        </w:rPr>
        <w:t xml:space="preserve">  </w:t>
      </w:r>
      <w:r w:rsidRPr="00942F86">
        <w:rPr>
          <w:sz w:val="25"/>
          <w:szCs w:val="25"/>
        </w:rPr>
        <w:t>The Company says that “[w]</w:t>
      </w:r>
      <w:proofErr w:type="spellStart"/>
      <w:r w:rsidR="00A5424B" w:rsidRPr="00942F86">
        <w:rPr>
          <w:sz w:val="25"/>
          <w:szCs w:val="25"/>
        </w:rPr>
        <w:t>h</w:t>
      </w:r>
      <w:r w:rsidR="00A8123A" w:rsidRPr="00942F86">
        <w:rPr>
          <w:sz w:val="25"/>
          <w:szCs w:val="25"/>
        </w:rPr>
        <w:t>enever</w:t>
      </w:r>
      <w:proofErr w:type="spellEnd"/>
      <w:r w:rsidR="00A8123A" w:rsidRPr="00942F86">
        <w:rPr>
          <w:sz w:val="25"/>
          <w:szCs w:val="25"/>
        </w:rPr>
        <w:t xml:space="preserve"> the data indicated an abnormality, the Company took immediate action to determine whether remedial steps were necessary, including the removal of the unit from service.</w:t>
      </w:r>
      <w:r w:rsidRPr="00942F86">
        <w:rPr>
          <w:sz w:val="25"/>
          <w:szCs w:val="25"/>
        </w:rPr>
        <w:t>”</w:t>
      </w:r>
      <w:r w:rsidRPr="00942F86">
        <w:rPr>
          <w:rStyle w:val="FootnoteReference"/>
          <w:sz w:val="25"/>
          <w:szCs w:val="25"/>
        </w:rPr>
        <w:footnoteReference w:id="152"/>
      </w:r>
      <w:r w:rsidR="00A8123A" w:rsidRPr="00942F86">
        <w:rPr>
          <w:sz w:val="25"/>
          <w:szCs w:val="25"/>
        </w:rPr>
        <w:t xml:space="preserve"> </w:t>
      </w:r>
      <w:r w:rsidR="00A5424B" w:rsidRPr="00942F86">
        <w:rPr>
          <w:sz w:val="25"/>
          <w:szCs w:val="25"/>
        </w:rPr>
        <w:t xml:space="preserve"> </w:t>
      </w:r>
      <w:r w:rsidR="00E76C08" w:rsidRPr="00942F86">
        <w:rPr>
          <w:sz w:val="25"/>
          <w:szCs w:val="25"/>
        </w:rPr>
        <w:t>Mr. Ralston testifies in this connection that:</w:t>
      </w:r>
    </w:p>
    <w:p w14:paraId="60F7A06B" w14:textId="77777777" w:rsidR="00E76C08" w:rsidRPr="00942F86" w:rsidRDefault="00E76C08" w:rsidP="000455AC">
      <w:pPr>
        <w:pStyle w:val="ListParagraph"/>
        <w:spacing w:line="264" w:lineRule="auto"/>
        <w:rPr>
          <w:sz w:val="25"/>
          <w:szCs w:val="25"/>
        </w:rPr>
      </w:pPr>
    </w:p>
    <w:p w14:paraId="4E9467CA" w14:textId="1D4711C8" w:rsidR="00A8123A" w:rsidRPr="00942F86" w:rsidRDefault="00E76C08" w:rsidP="000455AC">
      <w:pPr>
        <w:spacing w:line="264" w:lineRule="auto"/>
        <w:ind w:left="720" w:right="720"/>
        <w:rPr>
          <w:sz w:val="25"/>
          <w:szCs w:val="25"/>
        </w:rPr>
      </w:pPr>
      <w:r w:rsidRPr="00942F86">
        <w:rPr>
          <w:sz w:val="25"/>
          <w:szCs w:val="25"/>
        </w:rPr>
        <w:t>Whenever the data indicated that abnormal conditions were present, it was immediately reported to Chehalis plant personnel from the bushing monitoring equipment.  When the Company received abnormal condition notices, the Company contacted the OEM to determine if the abnormal condition warranted action by the Company, such as removal of the transformer from service.  In one instance, the Company discovered that the OEM had incorrectly commissioned the equipment.  This issue was corrected before the 2013 failure.</w:t>
      </w:r>
      <w:r w:rsidRPr="00942F86">
        <w:rPr>
          <w:rStyle w:val="FootnoteReference"/>
          <w:sz w:val="25"/>
          <w:szCs w:val="25"/>
        </w:rPr>
        <w:footnoteReference w:id="153"/>
      </w:r>
      <w:r w:rsidR="00A8123A" w:rsidRPr="00942F86">
        <w:rPr>
          <w:sz w:val="25"/>
          <w:szCs w:val="25"/>
        </w:rPr>
        <w:t xml:space="preserve">  </w:t>
      </w:r>
    </w:p>
    <w:p w14:paraId="2E5E89D9" w14:textId="77777777" w:rsidR="00A8123A" w:rsidRPr="00942F86" w:rsidRDefault="00A8123A" w:rsidP="000455AC">
      <w:pPr>
        <w:spacing w:line="264" w:lineRule="auto"/>
        <w:rPr>
          <w:sz w:val="25"/>
          <w:szCs w:val="25"/>
        </w:rPr>
      </w:pPr>
    </w:p>
    <w:p w14:paraId="7D3565AC" w14:textId="3B63721F" w:rsidR="00E36E93" w:rsidRPr="00942F86" w:rsidRDefault="0020188D"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The focus of Mr. Mullins’ testimony for Boise White Paper on this issue is not the duration of the Chehalis outage, but rather on his belief that the repeated and “catastrophic” nature of the event marks it as abnormal.  </w:t>
      </w:r>
      <w:r w:rsidR="00A5424B" w:rsidRPr="00942F86">
        <w:rPr>
          <w:sz w:val="25"/>
          <w:szCs w:val="25"/>
        </w:rPr>
        <w:t>T</w:t>
      </w:r>
      <w:r w:rsidRPr="00942F86">
        <w:rPr>
          <w:sz w:val="25"/>
          <w:szCs w:val="25"/>
        </w:rPr>
        <w:t>he weight of the evidence concerning imprudence</w:t>
      </w:r>
      <w:r w:rsidR="00A5424B" w:rsidRPr="00942F86">
        <w:rPr>
          <w:sz w:val="25"/>
          <w:szCs w:val="25"/>
        </w:rPr>
        <w:t xml:space="preserve"> on the part of plant operators</w:t>
      </w:r>
      <w:r w:rsidRPr="00942F86">
        <w:rPr>
          <w:sz w:val="25"/>
          <w:szCs w:val="25"/>
        </w:rPr>
        <w:t xml:space="preserve"> favors the Company’s argument that it was not </w:t>
      </w:r>
      <w:r w:rsidR="00A5424B" w:rsidRPr="00942F86">
        <w:rPr>
          <w:sz w:val="25"/>
          <w:szCs w:val="25"/>
        </w:rPr>
        <w:t xml:space="preserve">such </w:t>
      </w:r>
      <w:r w:rsidRPr="00942F86">
        <w:rPr>
          <w:sz w:val="25"/>
          <w:szCs w:val="25"/>
        </w:rPr>
        <w:t>operation on the part of Pacific Power that led to this outage.</w:t>
      </w:r>
      <w:r w:rsidR="00E76C08" w:rsidRPr="00942F86">
        <w:rPr>
          <w:sz w:val="25"/>
          <w:szCs w:val="25"/>
        </w:rPr>
        <w:t xml:space="preserve">  </w:t>
      </w:r>
      <w:r w:rsidR="009B7D4B" w:rsidRPr="00942F86">
        <w:rPr>
          <w:sz w:val="25"/>
          <w:szCs w:val="25"/>
        </w:rPr>
        <w:t>On balance, we are not persuaded by Boise White Paper’s argument and will not require the Company to remove this outage from GRID model outage rate calculations used in determining NPC in this case.</w:t>
      </w:r>
    </w:p>
    <w:p w14:paraId="6AE65FA5" w14:textId="77777777" w:rsidR="00F9592D" w:rsidRPr="00942F86" w:rsidRDefault="00F9592D" w:rsidP="000455AC">
      <w:pPr>
        <w:spacing w:line="264" w:lineRule="auto"/>
        <w:rPr>
          <w:sz w:val="25"/>
          <w:szCs w:val="25"/>
        </w:rPr>
      </w:pPr>
    </w:p>
    <w:p w14:paraId="09350BD6" w14:textId="77777777" w:rsidR="00A96C0C" w:rsidRPr="00942F86" w:rsidRDefault="00A96C0C" w:rsidP="000455AC">
      <w:pPr>
        <w:pStyle w:val="Heading3"/>
        <w:spacing w:before="0" w:after="0"/>
        <w:rPr>
          <w:rFonts w:cs="Times New Roman"/>
        </w:rPr>
      </w:pPr>
      <w:bookmarkStart w:id="26" w:name="_Toc415037623"/>
      <w:r w:rsidRPr="00942F86">
        <w:rPr>
          <w:rFonts w:cs="Times New Roman"/>
        </w:rPr>
        <w:t>PCAM</w:t>
      </w:r>
      <w:bookmarkEnd w:id="26"/>
    </w:p>
    <w:p w14:paraId="5313C005" w14:textId="77777777" w:rsidR="00A96C0C" w:rsidRPr="00942F86" w:rsidRDefault="00A96C0C" w:rsidP="000455AC">
      <w:pPr>
        <w:spacing w:line="264" w:lineRule="auto"/>
        <w:rPr>
          <w:sz w:val="25"/>
          <w:szCs w:val="25"/>
        </w:rPr>
      </w:pPr>
    </w:p>
    <w:p w14:paraId="46C7B6B3" w14:textId="77777777" w:rsidR="00190E6C" w:rsidRPr="00942F86" w:rsidRDefault="002A0944" w:rsidP="00FC421A">
      <w:pPr>
        <w:numPr>
          <w:ilvl w:val="0"/>
          <w:numId w:val="1"/>
        </w:numPr>
        <w:tabs>
          <w:tab w:val="clear" w:pos="720"/>
          <w:tab w:val="num" w:pos="0"/>
        </w:tabs>
        <w:spacing w:line="264" w:lineRule="auto"/>
        <w:ind w:left="0"/>
        <w:rPr>
          <w:sz w:val="25"/>
          <w:szCs w:val="25"/>
        </w:rPr>
      </w:pPr>
      <w:r w:rsidRPr="00942F86">
        <w:rPr>
          <w:sz w:val="25"/>
          <w:szCs w:val="25"/>
        </w:rPr>
        <w:t>Pacific Power sought approval of a PCAM in its 2006/2007 GRC, arguing that implementation of such a mechanism was justified by the facts that the Company faced volatility in net power costs and because Avista and PSE have power cost adjustment mechanisms</w:t>
      </w:r>
      <w:r w:rsidR="00A96C0C" w:rsidRPr="00942F86">
        <w:rPr>
          <w:sz w:val="25"/>
          <w:szCs w:val="25"/>
        </w:rPr>
        <w:t>.</w:t>
      </w:r>
      <w:r w:rsidRPr="00942F86">
        <w:rPr>
          <w:rStyle w:val="FootnoteReference"/>
          <w:sz w:val="25"/>
          <w:szCs w:val="25"/>
        </w:rPr>
        <w:footnoteReference w:id="154"/>
      </w:r>
      <w:r w:rsidRPr="00942F86">
        <w:rPr>
          <w:sz w:val="25"/>
          <w:szCs w:val="25"/>
        </w:rPr>
        <w:t xml:space="preserve">  The Commission found that</w:t>
      </w:r>
      <w:r w:rsidR="00190E6C" w:rsidRPr="00942F86">
        <w:rPr>
          <w:sz w:val="25"/>
          <w:szCs w:val="25"/>
        </w:rPr>
        <w:t>:</w:t>
      </w:r>
    </w:p>
    <w:p w14:paraId="29516393" w14:textId="77777777" w:rsidR="00190E6C" w:rsidRPr="00942F86" w:rsidRDefault="00190E6C" w:rsidP="000455AC">
      <w:pPr>
        <w:spacing w:line="264" w:lineRule="auto"/>
        <w:rPr>
          <w:sz w:val="25"/>
          <w:szCs w:val="25"/>
        </w:rPr>
      </w:pPr>
    </w:p>
    <w:p w14:paraId="560960C2" w14:textId="6C602614" w:rsidR="00190E6C" w:rsidRPr="00942F86" w:rsidRDefault="00190E6C" w:rsidP="000455AC">
      <w:pPr>
        <w:spacing w:line="264" w:lineRule="auto"/>
        <w:ind w:left="720" w:right="720"/>
        <w:rPr>
          <w:sz w:val="25"/>
          <w:szCs w:val="25"/>
        </w:rPr>
      </w:pPr>
      <w:r w:rsidRPr="00942F86">
        <w:rPr>
          <w:sz w:val="25"/>
          <w:szCs w:val="25"/>
        </w:rPr>
        <w:t>PacifiCorp’s circumstances include significant exposure to variability in power costs and this variability is sufficient to justify a PCAM.  However, PacifiCorp has designed its mechanism on the basis of the PCAM we approved for Avista, the so-called ERM, without making refinements that our record shows are appropriate in light of PacifiCorp’s unique circumstances.  Specifically, we find that the design features proposed by the Company and modified by Staff do not appropriately balance risk and benefits.  There are two principal reasons:</w:t>
      </w:r>
    </w:p>
    <w:p w14:paraId="40D1DA7A" w14:textId="77777777" w:rsidR="00190E6C" w:rsidRPr="00942F86" w:rsidRDefault="00190E6C" w:rsidP="000455AC">
      <w:pPr>
        <w:spacing w:line="264" w:lineRule="auto"/>
        <w:ind w:left="720" w:right="720"/>
        <w:rPr>
          <w:sz w:val="25"/>
          <w:szCs w:val="25"/>
        </w:rPr>
      </w:pPr>
    </w:p>
    <w:p w14:paraId="4DB758A8" w14:textId="77777777" w:rsidR="00190E6C" w:rsidRPr="00942F86" w:rsidRDefault="00190E6C" w:rsidP="00BF7B6F">
      <w:pPr>
        <w:numPr>
          <w:ilvl w:val="0"/>
          <w:numId w:val="23"/>
        </w:numPr>
        <w:spacing w:line="264" w:lineRule="auto"/>
        <w:ind w:left="720"/>
        <w:rPr>
          <w:sz w:val="25"/>
          <w:szCs w:val="25"/>
        </w:rPr>
      </w:pPr>
      <w:r w:rsidRPr="00942F86">
        <w:rPr>
          <w:sz w:val="25"/>
          <w:szCs w:val="25"/>
        </w:rPr>
        <w:t>The accounting for actual and computer-generated-actual costs has not been shown to be reliable.</w:t>
      </w:r>
    </w:p>
    <w:p w14:paraId="0DD0F2CF" w14:textId="77777777" w:rsidR="00190E6C" w:rsidRPr="00942F86" w:rsidRDefault="00190E6C" w:rsidP="000455AC">
      <w:pPr>
        <w:spacing w:line="264" w:lineRule="auto"/>
        <w:ind w:left="720" w:right="720"/>
        <w:rPr>
          <w:sz w:val="25"/>
          <w:szCs w:val="25"/>
        </w:rPr>
      </w:pPr>
    </w:p>
    <w:p w14:paraId="37BA7142" w14:textId="50C2068B" w:rsidR="00A96C0C" w:rsidRPr="00942F86" w:rsidRDefault="00190E6C" w:rsidP="00BF7B6F">
      <w:pPr>
        <w:numPr>
          <w:ilvl w:val="0"/>
          <w:numId w:val="23"/>
        </w:numPr>
        <w:spacing w:line="264" w:lineRule="auto"/>
        <w:ind w:left="720"/>
        <w:rPr>
          <w:sz w:val="25"/>
          <w:szCs w:val="25"/>
        </w:rPr>
      </w:pPr>
      <w:r w:rsidRPr="00942F86">
        <w:rPr>
          <w:sz w:val="25"/>
          <w:szCs w:val="25"/>
        </w:rPr>
        <w:t>The design of the dead band and sharing bands should reflect the asymmetry of power cost risk that is evident in PacifiCorp’s case.</w:t>
      </w:r>
      <w:r w:rsidRPr="00942F86">
        <w:rPr>
          <w:rStyle w:val="FootnoteReference"/>
          <w:sz w:val="25"/>
          <w:szCs w:val="25"/>
        </w:rPr>
        <w:footnoteReference w:id="155"/>
      </w:r>
    </w:p>
    <w:p w14:paraId="0697CAF8" w14:textId="77777777" w:rsidR="00A96C0C" w:rsidRPr="00942F86" w:rsidRDefault="00A96C0C" w:rsidP="000455AC">
      <w:pPr>
        <w:spacing w:line="264" w:lineRule="auto"/>
        <w:rPr>
          <w:sz w:val="25"/>
          <w:szCs w:val="25"/>
        </w:rPr>
      </w:pPr>
    </w:p>
    <w:p w14:paraId="2738FB51" w14:textId="77777777" w:rsidR="00EB6BD4" w:rsidRPr="00942F86" w:rsidRDefault="00190E6C" w:rsidP="000455AC">
      <w:pPr>
        <w:spacing w:line="264" w:lineRule="auto"/>
        <w:rPr>
          <w:sz w:val="25"/>
          <w:szCs w:val="25"/>
        </w:rPr>
      </w:pPr>
      <w:r w:rsidRPr="00942F86">
        <w:rPr>
          <w:sz w:val="25"/>
          <w:szCs w:val="25"/>
        </w:rPr>
        <w:t xml:space="preserve">The Commission expressed its receptiveness to a properly designed PCAM for Pacific Power and expressly invited the Company to file a petition within 12 months after Order 08, outside of a general rate case, “seeking approval of a PCAM </w:t>
      </w:r>
      <w:r w:rsidRPr="00942F86">
        <w:rPr>
          <w:sz w:val="25"/>
          <w:szCs w:val="25"/>
        </w:rPr>
        <w:lastRenderedPageBreak/>
        <w:t>consistent with the guidance we provide here and with or without a request for authority to file power cost only rate cases (</w:t>
      </w:r>
      <w:proofErr w:type="spellStart"/>
      <w:r w:rsidRPr="00942F86">
        <w:rPr>
          <w:sz w:val="25"/>
          <w:szCs w:val="25"/>
        </w:rPr>
        <w:t>PCORCs</w:t>
      </w:r>
      <w:proofErr w:type="spellEnd"/>
      <w:r w:rsidRPr="00942F86">
        <w:rPr>
          <w:sz w:val="25"/>
          <w:szCs w:val="25"/>
        </w:rPr>
        <w:t>).”</w:t>
      </w:r>
      <w:r w:rsidRPr="00942F86">
        <w:rPr>
          <w:rStyle w:val="FootnoteReference"/>
          <w:sz w:val="25"/>
          <w:szCs w:val="25"/>
        </w:rPr>
        <w:footnoteReference w:id="156"/>
      </w:r>
      <w:r w:rsidRPr="00942F86">
        <w:rPr>
          <w:sz w:val="25"/>
          <w:szCs w:val="25"/>
        </w:rPr>
        <w:t xml:space="preserve"> </w:t>
      </w:r>
    </w:p>
    <w:p w14:paraId="499CEBB2" w14:textId="77777777" w:rsidR="00EB6BD4" w:rsidRPr="00942F86" w:rsidRDefault="00EB6BD4" w:rsidP="000455AC">
      <w:pPr>
        <w:spacing w:line="264" w:lineRule="auto"/>
        <w:rPr>
          <w:sz w:val="25"/>
          <w:szCs w:val="25"/>
        </w:rPr>
      </w:pPr>
    </w:p>
    <w:p w14:paraId="1B05774D" w14:textId="77777777" w:rsidR="00F80BDF" w:rsidRPr="00942F86" w:rsidRDefault="00EB6BD4" w:rsidP="00FC421A">
      <w:pPr>
        <w:numPr>
          <w:ilvl w:val="0"/>
          <w:numId w:val="1"/>
        </w:numPr>
        <w:tabs>
          <w:tab w:val="clear" w:pos="720"/>
          <w:tab w:val="num" w:pos="0"/>
        </w:tabs>
        <w:spacing w:line="264" w:lineRule="auto"/>
        <w:ind w:left="0"/>
        <w:rPr>
          <w:sz w:val="25"/>
          <w:szCs w:val="25"/>
        </w:rPr>
      </w:pPr>
      <w:r w:rsidRPr="00942F86">
        <w:rPr>
          <w:sz w:val="25"/>
          <w:szCs w:val="25"/>
        </w:rPr>
        <w:t>Pacific Power did not accept the Commission’s invitation to file for authority to implement a PCAM outside of a general rate case.</w:t>
      </w:r>
      <w:r w:rsidR="002F15E8" w:rsidRPr="00942F86">
        <w:rPr>
          <w:sz w:val="25"/>
          <w:szCs w:val="25"/>
        </w:rPr>
        <w:t xml:space="preserve">  Nor did the Company ask for such authority in its GRC filings in 2008, 2009, 2010, or 2011.  </w:t>
      </w:r>
    </w:p>
    <w:p w14:paraId="1D6F1548" w14:textId="77777777" w:rsidR="00F80BDF" w:rsidRPr="00942F86" w:rsidRDefault="00F80BDF" w:rsidP="000455AC">
      <w:pPr>
        <w:spacing w:line="264" w:lineRule="auto"/>
        <w:rPr>
          <w:sz w:val="25"/>
          <w:szCs w:val="25"/>
        </w:rPr>
      </w:pPr>
    </w:p>
    <w:p w14:paraId="65964EA2" w14:textId="51E465EE" w:rsidR="00F80BDF" w:rsidRPr="00942F86" w:rsidRDefault="00F80BDF" w:rsidP="00FC421A">
      <w:pPr>
        <w:numPr>
          <w:ilvl w:val="0"/>
          <w:numId w:val="1"/>
        </w:numPr>
        <w:tabs>
          <w:tab w:val="clear" w:pos="720"/>
          <w:tab w:val="num" w:pos="0"/>
        </w:tabs>
        <w:spacing w:line="264" w:lineRule="auto"/>
        <w:ind w:left="0"/>
        <w:rPr>
          <w:sz w:val="25"/>
          <w:szCs w:val="25"/>
        </w:rPr>
      </w:pPr>
      <w:r w:rsidRPr="00942F86">
        <w:rPr>
          <w:sz w:val="25"/>
          <w:szCs w:val="25"/>
        </w:rPr>
        <w:t>Pacific Power filed its third PCAM proposal as part of its 2012 GRC.</w:t>
      </w:r>
      <w:r w:rsidR="00584B46" w:rsidRPr="00942F86">
        <w:rPr>
          <w:rStyle w:val="FootnoteReference"/>
          <w:sz w:val="25"/>
          <w:szCs w:val="25"/>
        </w:rPr>
        <w:footnoteReference w:id="157"/>
      </w:r>
      <w:r w:rsidRPr="00942F86">
        <w:rPr>
          <w:sz w:val="25"/>
          <w:szCs w:val="25"/>
        </w:rPr>
        <w:t xml:space="preserve">  The Commission</w:t>
      </w:r>
      <w:r w:rsidR="00D94F1C" w:rsidRPr="00942F86">
        <w:rPr>
          <w:sz w:val="25"/>
          <w:szCs w:val="25"/>
        </w:rPr>
        <w:t xml:space="preserve"> rejected</w:t>
      </w:r>
      <w:r w:rsidRPr="00942F86">
        <w:rPr>
          <w:sz w:val="25"/>
          <w:szCs w:val="25"/>
        </w:rPr>
        <w:t xml:space="preserve"> the proposal in light of the Company’s failure to design it following “the explicit direction the Commission” gave Pacific Power in the earlier cases</w:t>
      </w:r>
      <w:r w:rsidR="00D94F1C" w:rsidRPr="00942F86">
        <w:rPr>
          <w:sz w:val="25"/>
          <w:szCs w:val="25"/>
        </w:rPr>
        <w:t>.  T</w:t>
      </w:r>
      <w:r w:rsidRPr="00942F86">
        <w:rPr>
          <w:sz w:val="25"/>
          <w:szCs w:val="25"/>
        </w:rPr>
        <w:t>he Commission determined that:</w:t>
      </w:r>
    </w:p>
    <w:p w14:paraId="68AC6292" w14:textId="77777777" w:rsidR="00F80BDF" w:rsidRPr="00942F86" w:rsidRDefault="00F80BDF" w:rsidP="000455AC">
      <w:pPr>
        <w:pStyle w:val="ListParagraph"/>
        <w:spacing w:line="264" w:lineRule="auto"/>
        <w:rPr>
          <w:sz w:val="25"/>
          <w:szCs w:val="25"/>
        </w:rPr>
      </w:pPr>
    </w:p>
    <w:p w14:paraId="6E63642F" w14:textId="47F35143" w:rsidR="00190E6C" w:rsidRPr="00942F86" w:rsidRDefault="00D94F1C" w:rsidP="000455AC">
      <w:pPr>
        <w:spacing w:line="264" w:lineRule="auto"/>
        <w:ind w:left="720" w:right="720"/>
        <w:rPr>
          <w:sz w:val="25"/>
          <w:szCs w:val="25"/>
        </w:rPr>
      </w:pPr>
      <w:r w:rsidRPr="00942F86">
        <w:rPr>
          <w:sz w:val="25"/>
          <w:szCs w:val="25"/>
        </w:rPr>
        <w:t>[T]he Company’s proposal here is even more at odds with the direction the Commission has given PacifiCorp than its proposals in prior cases that have been rejected.  Contrary to express Commission direction, and in contrast to the power cost adjustment mechanisms approved in other PacifiCorp jurisdictions, the Company’s proposal here includes neither dead bands nor sharing bands.  These are critically important elements that provide an incentive for the Company to manage carefully its power costs and that protect ratepayers in the event of extraordinary power cost excursions that are beyond the Company’s ability to control.</w:t>
      </w:r>
      <w:r w:rsidRPr="00942F86">
        <w:rPr>
          <w:rStyle w:val="FootnoteReference"/>
          <w:sz w:val="25"/>
          <w:szCs w:val="25"/>
        </w:rPr>
        <w:footnoteReference w:id="158"/>
      </w:r>
      <w:r w:rsidR="00190E6C" w:rsidRPr="00942F86">
        <w:rPr>
          <w:sz w:val="25"/>
          <w:szCs w:val="25"/>
        </w:rPr>
        <w:t xml:space="preserve"> </w:t>
      </w:r>
    </w:p>
    <w:p w14:paraId="4F8D17BB" w14:textId="77777777" w:rsidR="00190E6C" w:rsidRPr="00942F86" w:rsidRDefault="00190E6C" w:rsidP="000455AC">
      <w:pPr>
        <w:spacing w:line="264" w:lineRule="auto"/>
        <w:rPr>
          <w:sz w:val="25"/>
          <w:szCs w:val="25"/>
        </w:rPr>
      </w:pPr>
    </w:p>
    <w:p w14:paraId="466458E1" w14:textId="3BB137DE" w:rsidR="00D94F1C" w:rsidRPr="00942F86" w:rsidRDefault="009B5E40" w:rsidP="000455AC">
      <w:pPr>
        <w:spacing w:line="264" w:lineRule="auto"/>
        <w:rPr>
          <w:sz w:val="25"/>
          <w:szCs w:val="25"/>
        </w:rPr>
      </w:pPr>
      <w:r w:rsidRPr="00942F86">
        <w:rPr>
          <w:sz w:val="25"/>
          <w:szCs w:val="25"/>
        </w:rPr>
        <w:t xml:space="preserve">The Commission’s </w:t>
      </w:r>
      <w:r w:rsidR="00040AD2" w:rsidRPr="00942F86">
        <w:rPr>
          <w:sz w:val="25"/>
          <w:szCs w:val="25"/>
        </w:rPr>
        <w:t xml:space="preserve">order </w:t>
      </w:r>
      <w:r w:rsidRPr="00942F86">
        <w:rPr>
          <w:sz w:val="25"/>
          <w:szCs w:val="25"/>
        </w:rPr>
        <w:t>in Docket UE-130043 includes a detailed critique of Pacific Power’s arguments</w:t>
      </w:r>
      <w:r w:rsidRPr="00942F86">
        <w:rPr>
          <w:rStyle w:val="FootnoteReference"/>
          <w:sz w:val="25"/>
          <w:szCs w:val="25"/>
        </w:rPr>
        <w:footnoteReference w:id="159"/>
      </w:r>
      <w:r w:rsidRPr="00942F86">
        <w:rPr>
          <w:sz w:val="25"/>
          <w:szCs w:val="25"/>
        </w:rPr>
        <w:t xml:space="preserve"> and concludes:</w:t>
      </w:r>
    </w:p>
    <w:p w14:paraId="032F2635" w14:textId="77777777" w:rsidR="009B5E40" w:rsidRPr="00942F86" w:rsidRDefault="009B5E40" w:rsidP="000455AC">
      <w:pPr>
        <w:spacing w:line="264" w:lineRule="auto"/>
        <w:rPr>
          <w:sz w:val="25"/>
          <w:szCs w:val="25"/>
        </w:rPr>
      </w:pPr>
    </w:p>
    <w:p w14:paraId="2A780898" w14:textId="18B90C87" w:rsidR="009B5E40" w:rsidRPr="00942F86" w:rsidRDefault="009B5E40" w:rsidP="000455AC">
      <w:pPr>
        <w:spacing w:line="264" w:lineRule="auto"/>
        <w:ind w:left="720" w:right="720"/>
        <w:rPr>
          <w:sz w:val="25"/>
          <w:szCs w:val="25"/>
        </w:rPr>
      </w:pPr>
      <w:r w:rsidRPr="00942F86">
        <w:rPr>
          <w:sz w:val="25"/>
          <w:szCs w:val="25"/>
        </w:rPr>
        <w:t xml:space="preserve">What PacifiCorp proposes here does not include any of the specific design elements the Commission has identified in its prior orders.  Like </w:t>
      </w:r>
      <w:r w:rsidRPr="00942F86">
        <w:rPr>
          <w:sz w:val="25"/>
          <w:szCs w:val="25"/>
        </w:rPr>
        <w:lastRenderedPageBreak/>
        <w:t>Staff, we are open to consider a properly designed PCAM proposal that incorporates the appropriate balance between the Company and ratepayers.  Yet, the Company’s proposal in this case really is nothing more than a request for a power cost tracker and true-up mechanism that will guarantee the Company full recovery of its power costs on a continuing basis.  We are not prepared to embrace such a mechanism and, therefore, reject PacifiCorp’s proposed PCAM.</w:t>
      </w:r>
      <w:r w:rsidRPr="00942F86">
        <w:rPr>
          <w:rStyle w:val="FootnoteReference"/>
          <w:sz w:val="25"/>
          <w:szCs w:val="25"/>
        </w:rPr>
        <w:footnoteReference w:id="160"/>
      </w:r>
    </w:p>
    <w:p w14:paraId="12B292A6" w14:textId="77777777" w:rsidR="00D94F1C" w:rsidRPr="00942F86" w:rsidRDefault="00D94F1C" w:rsidP="000455AC">
      <w:pPr>
        <w:spacing w:line="264" w:lineRule="auto"/>
        <w:rPr>
          <w:sz w:val="25"/>
          <w:szCs w:val="25"/>
        </w:rPr>
      </w:pPr>
    </w:p>
    <w:p w14:paraId="25B1AAAD" w14:textId="303774D7" w:rsidR="009B5E40" w:rsidRPr="00942F86" w:rsidRDefault="009B5E40" w:rsidP="00FC421A">
      <w:pPr>
        <w:numPr>
          <w:ilvl w:val="0"/>
          <w:numId w:val="1"/>
        </w:numPr>
        <w:tabs>
          <w:tab w:val="clear" w:pos="720"/>
          <w:tab w:val="num" w:pos="0"/>
        </w:tabs>
        <w:spacing w:line="264" w:lineRule="auto"/>
        <w:ind w:left="0"/>
        <w:rPr>
          <w:sz w:val="25"/>
          <w:szCs w:val="25"/>
        </w:rPr>
      </w:pPr>
      <w:r w:rsidRPr="00942F86">
        <w:rPr>
          <w:sz w:val="25"/>
          <w:szCs w:val="25"/>
        </w:rPr>
        <w:t>The Company elected in this case not to file “a properly designed PCAM proposal that incorporates the appropriate balance between the Company and ratepayers.”  Instead, Pacific Power filed another tracker mechanism</w:t>
      </w:r>
      <w:r w:rsidR="001F11A3" w:rsidRPr="00942F86">
        <w:rPr>
          <w:sz w:val="25"/>
          <w:szCs w:val="25"/>
        </w:rPr>
        <w:t xml:space="preserve">, a so-called </w:t>
      </w:r>
      <w:r w:rsidR="00BF4FA7" w:rsidRPr="00942F86">
        <w:rPr>
          <w:sz w:val="25"/>
          <w:szCs w:val="25"/>
        </w:rPr>
        <w:t>Renewable Resource Tracking Mechanism (</w:t>
      </w:r>
      <w:r w:rsidR="001F11A3" w:rsidRPr="00942F86">
        <w:rPr>
          <w:sz w:val="25"/>
          <w:szCs w:val="25"/>
        </w:rPr>
        <w:t>RRTM</w:t>
      </w:r>
      <w:r w:rsidR="00BF4FA7" w:rsidRPr="00942F86">
        <w:rPr>
          <w:sz w:val="25"/>
          <w:szCs w:val="25"/>
        </w:rPr>
        <w:t>)</w:t>
      </w:r>
      <w:r w:rsidR="001F11A3" w:rsidRPr="00942F86">
        <w:rPr>
          <w:sz w:val="25"/>
          <w:szCs w:val="25"/>
        </w:rPr>
        <w:t>,</w:t>
      </w:r>
      <w:r w:rsidRPr="00942F86">
        <w:rPr>
          <w:sz w:val="25"/>
          <w:szCs w:val="25"/>
        </w:rPr>
        <w:t xml:space="preserve"> providing a dollar-for-dollar </w:t>
      </w:r>
      <w:r w:rsidR="001F11A3" w:rsidRPr="00942F86">
        <w:rPr>
          <w:sz w:val="25"/>
          <w:szCs w:val="25"/>
        </w:rPr>
        <w:t xml:space="preserve">annual </w:t>
      </w:r>
      <w:r w:rsidRPr="00942F86">
        <w:rPr>
          <w:sz w:val="25"/>
          <w:szCs w:val="25"/>
        </w:rPr>
        <w:t xml:space="preserve">true-up between forecast and actual power costs </w:t>
      </w:r>
      <w:r w:rsidR="001F11A3" w:rsidRPr="00942F86">
        <w:rPr>
          <w:sz w:val="25"/>
          <w:szCs w:val="25"/>
        </w:rPr>
        <w:t xml:space="preserve">for the Company’s renewable resource generation.  We discuss </w:t>
      </w:r>
      <w:r w:rsidR="00BF4FA7" w:rsidRPr="00942F86">
        <w:rPr>
          <w:sz w:val="25"/>
          <w:szCs w:val="25"/>
        </w:rPr>
        <w:t>below</w:t>
      </w:r>
      <w:r w:rsidR="001F11A3" w:rsidRPr="00942F86">
        <w:rPr>
          <w:sz w:val="25"/>
          <w:szCs w:val="25"/>
        </w:rPr>
        <w:t xml:space="preserve"> several of the fundamental failings of this proposal that give us independent reasons to reject it.  Also important to our decision to reject the RRTM, however, is Commission Staff’s interest in effecting a broader solution to address the Company’s challenges in terms of power cost recovery.</w:t>
      </w:r>
    </w:p>
    <w:p w14:paraId="2C908E46" w14:textId="77777777" w:rsidR="001F11A3" w:rsidRPr="00942F86" w:rsidRDefault="001F11A3" w:rsidP="000455AC">
      <w:pPr>
        <w:spacing w:line="264" w:lineRule="auto"/>
        <w:rPr>
          <w:sz w:val="25"/>
          <w:szCs w:val="25"/>
        </w:rPr>
      </w:pPr>
    </w:p>
    <w:p w14:paraId="6A13E598" w14:textId="516223CE" w:rsidR="00576042" w:rsidRPr="00942F86" w:rsidRDefault="00C22367" w:rsidP="00FC421A">
      <w:pPr>
        <w:numPr>
          <w:ilvl w:val="0"/>
          <w:numId w:val="1"/>
        </w:numPr>
        <w:tabs>
          <w:tab w:val="clear" w:pos="720"/>
          <w:tab w:val="num" w:pos="0"/>
        </w:tabs>
        <w:spacing w:line="264" w:lineRule="auto"/>
        <w:ind w:left="0"/>
        <w:rPr>
          <w:sz w:val="25"/>
          <w:szCs w:val="25"/>
        </w:rPr>
      </w:pPr>
      <w:r w:rsidRPr="00942F86">
        <w:rPr>
          <w:sz w:val="25"/>
          <w:szCs w:val="25"/>
        </w:rPr>
        <w:t>To this end, Mr. Gomez testifies to Staff’s belief that “the Commission has provided more than sufficient guidance to Staff and the Company over the last nine-years on this issue to warrant action and to move forward with implementation of a PCAM once and for all.”</w:t>
      </w:r>
      <w:r w:rsidR="00BF4FA7" w:rsidRPr="00942F86">
        <w:rPr>
          <w:rStyle w:val="FootnoteReference"/>
          <w:sz w:val="25"/>
          <w:szCs w:val="25"/>
        </w:rPr>
        <w:footnoteReference w:id="161"/>
      </w:r>
      <w:r w:rsidRPr="00942F86">
        <w:rPr>
          <w:sz w:val="25"/>
          <w:szCs w:val="25"/>
        </w:rPr>
        <w:t xml:space="preserve">  Mr. Gomez</w:t>
      </w:r>
      <w:r w:rsidR="00576042" w:rsidRPr="00942F86">
        <w:rPr>
          <w:sz w:val="25"/>
          <w:szCs w:val="25"/>
        </w:rPr>
        <w:t>, focusing on the Commission’s detailed discussion of a PCAM proposed in Pacific Power’s 2006 GRC,</w:t>
      </w:r>
      <w:r w:rsidR="00576042" w:rsidRPr="00942F86">
        <w:rPr>
          <w:rStyle w:val="FootnoteReference"/>
          <w:sz w:val="25"/>
          <w:szCs w:val="25"/>
        </w:rPr>
        <w:footnoteReference w:id="162"/>
      </w:r>
      <w:r w:rsidRPr="00942F86">
        <w:rPr>
          <w:sz w:val="25"/>
          <w:szCs w:val="25"/>
        </w:rPr>
        <w:t xml:space="preserve"> addresses the key factors that led the Commission to reject Pacific Power’s proposal</w:t>
      </w:r>
      <w:r w:rsidR="00576042" w:rsidRPr="00942F86">
        <w:rPr>
          <w:sz w:val="25"/>
          <w:szCs w:val="25"/>
        </w:rPr>
        <w:t xml:space="preserve"> and explains Staff’s view of the appropriate means to address these issues in this case.</w:t>
      </w:r>
    </w:p>
    <w:p w14:paraId="2BE6045C" w14:textId="77777777" w:rsidR="00901BF0" w:rsidRPr="00942F86" w:rsidRDefault="00901BF0" w:rsidP="000455AC">
      <w:pPr>
        <w:pStyle w:val="ListParagraph"/>
        <w:spacing w:line="264" w:lineRule="auto"/>
        <w:rPr>
          <w:sz w:val="25"/>
          <w:szCs w:val="25"/>
        </w:rPr>
      </w:pPr>
    </w:p>
    <w:p w14:paraId="7DB858F6" w14:textId="706C20AD" w:rsidR="00901BF0" w:rsidRPr="00942F86" w:rsidRDefault="00901BF0" w:rsidP="00FC421A">
      <w:pPr>
        <w:numPr>
          <w:ilvl w:val="0"/>
          <w:numId w:val="1"/>
        </w:numPr>
        <w:tabs>
          <w:tab w:val="clear" w:pos="720"/>
          <w:tab w:val="num" w:pos="0"/>
        </w:tabs>
        <w:spacing w:line="264" w:lineRule="auto"/>
        <w:ind w:left="0"/>
        <w:rPr>
          <w:sz w:val="25"/>
          <w:szCs w:val="25"/>
        </w:rPr>
      </w:pPr>
      <w:r w:rsidRPr="00942F86">
        <w:rPr>
          <w:sz w:val="25"/>
          <w:szCs w:val="25"/>
        </w:rPr>
        <w:t>Mr. Gomez first discusses the Commission’s concern relative to the Compa</w:t>
      </w:r>
      <w:r w:rsidR="00BF4FA7" w:rsidRPr="00942F86">
        <w:rPr>
          <w:sz w:val="25"/>
          <w:szCs w:val="25"/>
        </w:rPr>
        <w:t>ny’s proposed use of a computer-</w:t>
      </w:r>
      <w:r w:rsidRPr="00942F86">
        <w:rPr>
          <w:sz w:val="25"/>
          <w:szCs w:val="25"/>
        </w:rPr>
        <w:t xml:space="preserve">generated cost methodology to determine both forecasted normalized base power costs and to determine “actual costs” that would be trued-up on an annual basis.  In this regard, the Commission </w:t>
      </w:r>
      <w:r w:rsidR="00040AD2" w:rsidRPr="00942F86">
        <w:rPr>
          <w:sz w:val="25"/>
          <w:szCs w:val="25"/>
        </w:rPr>
        <w:t xml:space="preserve">discussed </w:t>
      </w:r>
      <w:r w:rsidRPr="00942F86">
        <w:rPr>
          <w:sz w:val="25"/>
          <w:szCs w:val="25"/>
        </w:rPr>
        <w:t xml:space="preserve">in Order 08 that: </w:t>
      </w:r>
    </w:p>
    <w:p w14:paraId="2439D007" w14:textId="77777777" w:rsidR="00901BF0" w:rsidRPr="00942F86" w:rsidRDefault="00901BF0" w:rsidP="000455AC">
      <w:pPr>
        <w:spacing w:line="264" w:lineRule="auto"/>
        <w:ind w:left="720"/>
        <w:rPr>
          <w:sz w:val="25"/>
          <w:szCs w:val="25"/>
        </w:rPr>
      </w:pPr>
    </w:p>
    <w:p w14:paraId="58EE5D5B" w14:textId="77777777" w:rsidR="00901BF0" w:rsidRPr="00942F86" w:rsidRDefault="00901BF0" w:rsidP="000455AC">
      <w:pPr>
        <w:spacing w:line="264" w:lineRule="auto"/>
        <w:ind w:left="720" w:right="720"/>
        <w:rPr>
          <w:sz w:val="25"/>
          <w:szCs w:val="25"/>
        </w:rPr>
      </w:pPr>
      <w:r w:rsidRPr="00942F86">
        <w:rPr>
          <w:sz w:val="25"/>
          <w:szCs w:val="25"/>
        </w:rPr>
        <w:t xml:space="preserve">Base power costs are a statistical estimation of what level of costs is expected under normal conditions.  Because this is an estimate, it is not expected to match the actual costs incurred in any given year.  The core </w:t>
      </w:r>
      <w:r w:rsidRPr="00942F86">
        <w:rPr>
          <w:sz w:val="25"/>
          <w:szCs w:val="25"/>
        </w:rPr>
        <w:lastRenderedPageBreak/>
        <w:t xml:space="preserve">idea of a power cost adjustment mechanism is to true-up these estimated costs with actual costs that are the measured and documented costs that did occur in a given year.   </w:t>
      </w:r>
    </w:p>
    <w:p w14:paraId="4B804A78" w14:textId="77777777" w:rsidR="00901BF0" w:rsidRPr="00942F86" w:rsidRDefault="00901BF0" w:rsidP="000455AC">
      <w:pPr>
        <w:spacing w:line="264" w:lineRule="auto"/>
        <w:ind w:left="144" w:right="720"/>
        <w:rPr>
          <w:sz w:val="25"/>
          <w:szCs w:val="25"/>
        </w:rPr>
      </w:pPr>
    </w:p>
    <w:p w14:paraId="13B5B257" w14:textId="07829D0F" w:rsidR="00901BF0" w:rsidRPr="00942F86" w:rsidRDefault="00901BF0" w:rsidP="000455AC">
      <w:pPr>
        <w:spacing w:line="264" w:lineRule="auto"/>
        <w:ind w:left="720" w:right="720"/>
        <w:rPr>
          <w:sz w:val="25"/>
          <w:szCs w:val="25"/>
        </w:rPr>
      </w:pPr>
      <w:r w:rsidRPr="00942F86">
        <w:rPr>
          <w:sz w:val="25"/>
          <w:szCs w:val="25"/>
        </w:rPr>
        <w:t>Our concern is that the computer-generated, pseudo-actual costs will themselves be only estimates including some statistical (i.e., modeling) variability (i.e., error).  The Company and Staff contend that actual data, rather than assumptions, will be used in the computer model.  Presumably that will reduce the modeling error and produce a more precise result.  Truing-up one estimate with another more precise estimate may be justified, but the risk is that neither will be accurate and using two inaccurate, even if precise, estimates of cost to set cost-based rates could lead us to depart farther and farther from actual costs. A key problem with this approach is that we would never know.</w:t>
      </w:r>
      <w:r w:rsidRPr="00942F86">
        <w:rPr>
          <w:rStyle w:val="FootnoteReference"/>
          <w:sz w:val="25"/>
          <w:szCs w:val="25"/>
        </w:rPr>
        <w:footnoteReference w:id="163"/>
      </w:r>
      <w:r w:rsidRPr="00942F86">
        <w:rPr>
          <w:sz w:val="25"/>
          <w:szCs w:val="25"/>
        </w:rPr>
        <w:t xml:space="preserve"> </w:t>
      </w:r>
    </w:p>
    <w:p w14:paraId="3C8777CA" w14:textId="77777777" w:rsidR="00901BF0" w:rsidRPr="00942F86" w:rsidRDefault="00901BF0" w:rsidP="000455AC">
      <w:pPr>
        <w:spacing w:line="264" w:lineRule="auto"/>
        <w:ind w:left="720"/>
        <w:rPr>
          <w:sz w:val="25"/>
          <w:szCs w:val="25"/>
        </w:rPr>
      </w:pPr>
      <w:r w:rsidRPr="00942F86">
        <w:rPr>
          <w:sz w:val="25"/>
          <w:szCs w:val="25"/>
        </w:rPr>
        <w:t xml:space="preserve"> </w:t>
      </w:r>
    </w:p>
    <w:p w14:paraId="08407570" w14:textId="272A7CED" w:rsidR="00901BF0" w:rsidRPr="00942F86" w:rsidRDefault="00901BF0" w:rsidP="00FC421A">
      <w:pPr>
        <w:numPr>
          <w:ilvl w:val="0"/>
          <w:numId w:val="1"/>
        </w:numPr>
        <w:tabs>
          <w:tab w:val="clear" w:pos="720"/>
          <w:tab w:val="num" w:pos="0"/>
        </w:tabs>
        <w:spacing w:line="264" w:lineRule="auto"/>
        <w:ind w:left="0"/>
        <w:rPr>
          <w:sz w:val="25"/>
          <w:szCs w:val="25"/>
        </w:rPr>
      </w:pPr>
      <w:r w:rsidRPr="00942F86">
        <w:rPr>
          <w:sz w:val="25"/>
          <w:szCs w:val="25"/>
        </w:rPr>
        <w:t>Mr. Gomez testifies that in Docket UE-130043, the Company’s 2012/2013 GRC, Pacific Power abandoned its prior proposal that relied on computer</w:t>
      </w:r>
      <w:r w:rsidR="00BF4FA7" w:rsidRPr="00942F86">
        <w:rPr>
          <w:sz w:val="25"/>
          <w:szCs w:val="25"/>
        </w:rPr>
        <w:t>-</w:t>
      </w:r>
      <w:r w:rsidRPr="00942F86">
        <w:rPr>
          <w:sz w:val="25"/>
          <w:szCs w:val="25"/>
        </w:rPr>
        <w:t>generated costs and, instead, offered to report actual NPC per its books and records.  In Staff’s view, “[t]his approach resolves the first threshold hurdle to a properly designed PCAM for Pacific Power.”</w:t>
      </w:r>
      <w:r w:rsidR="00040AD2" w:rsidRPr="00942F86">
        <w:rPr>
          <w:rStyle w:val="FootnoteReference"/>
          <w:sz w:val="25"/>
          <w:szCs w:val="25"/>
        </w:rPr>
        <w:footnoteReference w:id="164"/>
      </w:r>
      <w:r w:rsidRPr="00942F86">
        <w:rPr>
          <w:sz w:val="25"/>
          <w:szCs w:val="25"/>
        </w:rPr>
        <w:t xml:space="preserve"> </w:t>
      </w:r>
    </w:p>
    <w:p w14:paraId="18DDB55C" w14:textId="77777777" w:rsidR="00576042" w:rsidRPr="00942F86" w:rsidRDefault="00576042" w:rsidP="000455AC">
      <w:pPr>
        <w:pStyle w:val="ListParagraph"/>
        <w:spacing w:line="264" w:lineRule="auto"/>
        <w:rPr>
          <w:sz w:val="25"/>
          <w:szCs w:val="25"/>
        </w:rPr>
      </w:pPr>
    </w:p>
    <w:p w14:paraId="3A99D940" w14:textId="56A849EF" w:rsidR="00EF4435" w:rsidRPr="00942F86" w:rsidRDefault="00E45A97" w:rsidP="00FC421A">
      <w:pPr>
        <w:numPr>
          <w:ilvl w:val="0"/>
          <w:numId w:val="1"/>
        </w:numPr>
        <w:tabs>
          <w:tab w:val="clear" w:pos="720"/>
          <w:tab w:val="num" w:pos="0"/>
        </w:tabs>
        <w:spacing w:line="264" w:lineRule="auto"/>
        <w:ind w:left="0"/>
        <w:rPr>
          <w:sz w:val="25"/>
          <w:szCs w:val="25"/>
        </w:rPr>
      </w:pPr>
      <w:r w:rsidRPr="00942F86">
        <w:rPr>
          <w:sz w:val="25"/>
          <w:szCs w:val="25"/>
        </w:rPr>
        <w:t>Turning to the issue of dead bands and sharing bands, Mr. Gomez testifies that Staff’s proposal would resolve the second point of concern stated in Order 08 by proposing a PCAM with properly designed sharing and dead bands</w:t>
      </w:r>
      <w:r w:rsidR="001F44A0" w:rsidRPr="00942F86">
        <w:rPr>
          <w:sz w:val="25"/>
          <w:szCs w:val="25"/>
        </w:rPr>
        <w:t xml:space="preserve">. </w:t>
      </w:r>
      <w:r w:rsidR="00E441DA" w:rsidRPr="00942F86">
        <w:rPr>
          <w:sz w:val="25"/>
          <w:szCs w:val="25"/>
        </w:rPr>
        <w:t xml:space="preserve"> </w:t>
      </w:r>
      <w:r w:rsidR="00EF4435" w:rsidRPr="00942F86">
        <w:rPr>
          <w:sz w:val="25"/>
          <w:szCs w:val="25"/>
        </w:rPr>
        <w:t xml:space="preserve">In the earlier case, the Commission included in Order 08 at </w:t>
      </w:r>
      <w:r w:rsidR="00F820E5" w:rsidRPr="00942F86">
        <w:rPr>
          <w:sz w:val="25"/>
          <w:szCs w:val="25"/>
        </w:rPr>
        <w:t>Table 2</w:t>
      </w:r>
      <w:r w:rsidR="00EF4435" w:rsidRPr="00942F86">
        <w:rPr>
          <w:sz w:val="25"/>
          <w:szCs w:val="25"/>
        </w:rPr>
        <w:t>, reproduced here, showing the parties’ respective proposals for dead bands and sharing bands in the 2006/2007 time frame:</w:t>
      </w:r>
    </w:p>
    <w:p w14:paraId="3B303741" w14:textId="001DE33B" w:rsidR="0088324B" w:rsidRDefault="0088324B">
      <w:pPr>
        <w:rPr>
          <w:sz w:val="25"/>
          <w:szCs w:val="25"/>
        </w:rPr>
      </w:pPr>
      <w:r>
        <w:rPr>
          <w:sz w:val="25"/>
          <w:szCs w:val="25"/>
        </w:rPr>
        <w:br w:type="page"/>
      </w:r>
    </w:p>
    <w:p w14:paraId="15A2FADE" w14:textId="77777777" w:rsidR="00EF4435" w:rsidRPr="00942F86" w:rsidRDefault="00EF4435" w:rsidP="000455AC">
      <w:pPr>
        <w:spacing w:line="264" w:lineRule="auto"/>
        <w:rPr>
          <w:sz w:val="25"/>
          <w:szCs w:val="25"/>
        </w:rPr>
      </w:pPr>
    </w:p>
    <w:p w14:paraId="43C48BA2" w14:textId="77777777" w:rsidR="00EF4435" w:rsidRPr="00942F86" w:rsidRDefault="00EF4435" w:rsidP="000455AC">
      <w:pPr>
        <w:spacing w:line="264" w:lineRule="auto"/>
        <w:jc w:val="center"/>
        <w:rPr>
          <w:b/>
          <w:sz w:val="25"/>
          <w:szCs w:val="25"/>
        </w:rPr>
      </w:pPr>
      <w:r w:rsidRPr="00942F86">
        <w:rPr>
          <w:b/>
          <w:sz w:val="25"/>
          <w:szCs w:val="25"/>
        </w:rPr>
        <w:t>PCAM Proposals</w:t>
      </w:r>
      <w:r w:rsidRPr="00942F86">
        <w:rPr>
          <w:rStyle w:val="FootnoteReference"/>
          <w:b/>
          <w:sz w:val="25"/>
          <w:szCs w:val="25"/>
        </w:rPr>
        <w:footnoteReference w:id="165"/>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1312"/>
        <w:gridCol w:w="1710"/>
        <w:gridCol w:w="2389"/>
        <w:gridCol w:w="1931"/>
      </w:tblGrid>
      <w:tr w:rsidR="00EF4435" w:rsidRPr="00942F86" w14:paraId="50E80319" w14:textId="77777777" w:rsidTr="00FC421A">
        <w:tc>
          <w:tcPr>
            <w:tcW w:w="1383" w:type="dxa"/>
            <w:shd w:val="clear" w:color="auto" w:fill="auto"/>
          </w:tcPr>
          <w:p w14:paraId="00CF89E8" w14:textId="77777777" w:rsidR="00EF4435" w:rsidRPr="00942F86" w:rsidRDefault="00EF4435" w:rsidP="000455AC">
            <w:pPr>
              <w:spacing w:line="264" w:lineRule="auto"/>
              <w:rPr>
                <w:sz w:val="25"/>
                <w:szCs w:val="25"/>
              </w:rPr>
            </w:pPr>
          </w:p>
        </w:tc>
        <w:tc>
          <w:tcPr>
            <w:tcW w:w="1312" w:type="dxa"/>
            <w:shd w:val="clear" w:color="auto" w:fill="auto"/>
          </w:tcPr>
          <w:p w14:paraId="34EA356A" w14:textId="1F0DE754" w:rsidR="00EF4435" w:rsidRPr="00942F86" w:rsidRDefault="00EF4435" w:rsidP="000455AC">
            <w:pPr>
              <w:spacing w:line="264" w:lineRule="auto"/>
              <w:rPr>
                <w:b/>
                <w:sz w:val="25"/>
                <w:szCs w:val="25"/>
              </w:rPr>
            </w:pPr>
            <w:r w:rsidRPr="00942F86">
              <w:rPr>
                <w:b/>
                <w:sz w:val="25"/>
                <w:szCs w:val="25"/>
              </w:rPr>
              <w:t>Dead</w:t>
            </w:r>
            <w:r w:rsidR="00BF4FA7" w:rsidRPr="00942F86">
              <w:rPr>
                <w:b/>
                <w:sz w:val="25"/>
                <w:szCs w:val="25"/>
              </w:rPr>
              <w:t xml:space="preserve"> B</w:t>
            </w:r>
            <w:r w:rsidRPr="00942F86">
              <w:rPr>
                <w:b/>
                <w:sz w:val="25"/>
                <w:szCs w:val="25"/>
              </w:rPr>
              <w:t>and</w:t>
            </w:r>
          </w:p>
        </w:tc>
        <w:tc>
          <w:tcPr>
            <w:tcW w:w="1710" w:type="dxa"/>
            <w:shd w:val="clear" w:color="auto" w:fill="auto"/>
          </w:tcPr>
          <w:p w14:paraId="180FFCD4" w14:textId="77777777" w:rsidR="00EF4435" w:rsidRPr="00942F86" w:rsidRDefault="00EF4435" w:rsidP="000455AC">
            <w:pPr>
              <w:spacing w:line="264" w:lineRule="auto"/>
              <w:rPr>
                <w:b/>
                <w:sz w:val="25"/>
                <w:szCs w:val="25"/>
              </w:rPr>
            </w:pPr>
            <w:r w:rsidRPr="00942F86">
              <w:rPr>
                <w:b/>
                <w:sz w:val="25"/>
                <w:szCs w:val="25"/>
              </w:rPr>
              <w:t>Sharing Bands</w:t>
            </w:r>
          </w:p>
        </w:tc>
        <w:tc>
          <w:tcPr>
            <w:tcW w:w="2389" w:type="dxa"/>
            <w:shd w:val="clear" w:color="auto" w:fill="auto"/>
          </w:tcPr>
          <w:p w14:paraId="3862FD69" w14:textId="77777777" w:rsidR="00EF4435" w:rsidRPr="00942F86" w:rsidRDefault="00EF4435" w:rsidP="000455AC">
            <w:pPr>
              <w:spacing w:line="264" w:lineRule="auto"/>
              <w:rPr>
                <w:b/>
                <w:sz w:val="25"/>
                <w:szCs w:val="25"/>
              </w:rPr>
            </w:pPr>
            <w:r w:rsidRPr="00942F86">
              <w:rPr>
                <w:b/>
                <w:sz w:val="25"/>
                <w:szCs w:val="25"/>
              </w:rPr>
              <w:t>Other Features</w:t>
            </w:r>
          </w:p>
        </w:tc>
        <w:tc>
          <w:tcPr>
            <w:tcW w:w="1931" w:type="dxa"/>
            <w:shd w:val="clear" w:color="auto" w:fill="auto"/>
          </w:tcPr>
          <w:p w14:paraId="48A083AB" w14:textId="77777777" w:rsidR="00EF4435" w:rsidRPr="00942F86" w:rsidRDefault="00EF4435" w:rsidP="000455AC">
            <w:pPr>
              <w:spacing w:line="264" w:lineRule="auto"/>
              <w:rPr>
                <w:b/>
                <w:sz w:val="25"/>
                <w:szCs w:val="25"/>
              </w:rPr>
            </w:pPr>
            <w:r w:rsidRPr="00942F86">
              <w:rPr>
                <w:b/>
                <w:sz w:val="25"/>
                <w:szCs w:val="25"/>
              </w:rPr>
              <w:t>Risk-Adjustment</w:t>
            </w:r>
          </w:p>
        </w:tc>
      </w:tr>
      <w:tr w:rsidR="00EF4435" w:rsidRPr="00942F86" w14:paraId="50C3B246" w14:textId="77777777" w:rsidTr="00FC421A">
        <w:tc>
          <w:tcPr>
            <w:tcW w:w="1383" w:type="dxa"/>
            <w:shd w:val="clear" w:color="auto" w:fill="auto"/>
          </w:tcPr>
          <w:p w14:paraId="6FCBB6F6" w14:textId="77777777" w:rsidR="00EF4435" w:rsidRPr="00942F86" w:rsidRDefault="00EF4435" w:rsidP="000455AC">
            <w:pPr>
              <w:spacing w:line="264" w:lineRule="auto"/>
              <w:rPr>
                <w:b/>
                <w:sz w:val="25"/>
                <w:szCs w:val="25"/>
              </w:rPr>
            </w:pPr>
            <w:r w:rsidRPr="00942F86">
              <w:rPr>
                <w:b/>
                <w:sz w:val="25"/>
                <w:szCs w:val="25"/>
              </w:rPr>
              <w:t>PacifiCorp</w:t>
            </w:r>
          </w:p>
        </w:tc>
        <w:tc>
          <w:tcPr>
            <w:tcW w:w="1312" w:type="dxa"/>
            <w:shd w:val="clear" w:color="auto" w:fill="auto"/>
          </w:tcPr>
          <w:p w14:paraId="7536F63F" w14:textId="77777777" w:rsidR="00EF4435" w:rsidRPr="00942F86" w:rsidRDefault="00EF4435" w:rsidP="000455AC">
            <w:pPr>
              <w:spacing w:line="264" w:lineRule="auto"/>
              <w:rPr>
                <w:sz w:val="25"/>
                <w:szCs w:val="25"/>
              </w:rPr>
            </w:pPr>
            <w:r w:rsidRPr="00942F86">
              <w:rPr>
                <w:sz w:val="25"/>
                <w:szCs w:val="25"/>
              </w:rPr>
              <w:t>+/-$3 M</w:t>
            </w:r>
          </w:p>
        </w:tc>
        <w:tc>
          <w:tcPr>
            <w:tcW w:w="1710" w:type="dxa"/>
            <w:shd w:val="clear" w:color="auto" w:fill="auto"/>
          </w:tcPr>
          <w:p w14:paraId="5891CAE4" w14:textId="77777777" w:rsidR="00EF4435" w:rsidRPr="00942F86" w:rsidRDefault="00EF4435" w:rsidP="000455AC">
            <w:pPr>
              <w:spacing w:line="264" w:lineRule="auto"/>
              <w:rPr>
                <w:sz w:val="25"/>
                <w:szCs w:val="25"/>
              </w:rPr>
            </w:pPr>
            <w:r w:rsidRPr="00942F86">
              <w:rPr>
                <w:sz w:val="25"/>
                <w:szCs w:val="25"/>
              </w:rPr>
              <w:t xml:space="preserve">+/- $3- </w:t>
            </w:r>
            <w:proofErr w:type="spellStart"/>
            <w:r w:rsidRPr="00942F86">
              <w:rPr>
                <w:sz w:val="25"/>
                <w:szCs w:val="25"/>
              </w:rPr>
              <w:t>7.4M</w:t>
            </w:r>
            <w:proofErr w:type="spellEnd"/>
          </w:p>
          <w:p w14:paraId="6C217E58" w14:textId="77777777" w:rsidR="00EF4435" w:rsidRPr="00942F86" w:rsidRDefault="00EF4435" w:rsidP="000455AC">
            <w:pPr>
              <w:spacing w:line="264" w:lineRule="auto"/>
              <w:rPr>
                <w:sz w:val="25"/>
                <w:szCs w:val="25"/>
              </w:rPr>
            </w:pPr>
            <w:r w:rsidRPr="00942F86">
              <w:rPr>
                <w:sz w:val="25"/>
                <w:szCs w:val="25"/>
              </w:rPr>
              <w:t>60% customer</w:t>
            </w:r>
          </w:p>
          <w:p w14:paraId="5BF8D6ED" w14:textId="77777777" w:rsidR="00EF4435" w:rsidRPr="00942F86" w:rsidRDefault="00EF4435" w:rsidP="000455AC">
            <w:pPr>
              <w:spacing w:line="264" w:lineRule="auto"/>
              <w:rPr>
                <w:sz w:val="25"/>
                <w:szCs w:val="25"/>
              </w:rPr>
            </w:pPr>
            <w:r w:rsidRPr="00942F86">
              <w:rPr>
                <w:sz w:val="25"/>
                <w:szCs w:val="25"/>
              </w:rPr>
              <w:t>&gt;$</w:t>
            </w:r>
            <w:proofErr w:type="spellStart"/>
            <w:r w:rsidRPr="00942F86">
              <w:rPr>
                <w:sz w:val="25"/>
                <w:szCs w:val="25"/>
              </w:rPr>
              <w:t>7.4M</w:t>
            </w:r>
            <w:proofErr w:type="spellEnd"/>
          </w:p>
          <w:p w14:paraId="745A1DBB" w14:textId="77777777" w:rsidR="00EF4435" w:rsidRPr="00942F86" w:rsidRDefault="00EF4435" w:rsidP="000455AC">
            <w:pPr>
              <w:spacing w:line="264" w:lineRule="auto"/>
              <w:rPr>
                <w:sz w:val="25"/>
                <w:szCs w:val="25"/>
              </w:rPr>
            </w:pPr>
            <w:r w:rsidRPr="00942F86">
              <w:rPr>
                <w:sz w:val="25"/>
                <w:szCs w:val="25"/>
              </w:rPr>
              <w:t>90% customer</w:t>
            </w:r>
          </w:p>
        </w:tc>
        <w:tc>
          <w:tcPr>
            <w:tcW w:w="2389" w:type="dxa"/>
            <w:shd w:val="clear" w:color="auto" w:fill="auto"/>
          </w:tcPr>
          <w:p w14:paraId="403394C1" w14:textId="77777777" w:rsidR="00EF4435" w:rsidRPr="00942F86" w:rsidRDefault="00EF4435" w:rsidP="000455AC">
            <w:pPr>
              <w:spacing w:line="264" w:lineRule="auto"/>
              <w:rPr>
                <w:sz w:val="25"/>
                <w:szCs w:val="25"/>
              </w:rPr>
            </w:pPr>
            <w:r w:rsidRPr="00942F86">
              <w:rPr>
                <w:sz w:val="25"/>
                <w:szCs w:val="25"/>
              </w:rPr>
              <w:t xml:space="preserve">Include fixed cost for new resources </w:t>
            </w:r>
            <w:r w:rsidRPr="00942F86">
              <w:rPr>
                <w:sz w:val="25"/>
                <w:szCs w:val="25"/>
                <w:u w:val="single"/>
              </w:rPr>
              <w:t xml:space="preserve">&lt; </w:t>
            </w:r>
            <w:r w:rsidRPr="00942F86">
              <w:rPr>
                <w:sz w:val="25"/>
                <w:szCs w:val="25"/>
              </w:rPr>
              <w:t>50 MW for</w:t>
            </w:r>
          </w:p>
          <w:p w14:paraId="15DE99D7" w14:textId="77777777" w:rsidR="00EF4435" w:rsidRPr="00942F86" w:rsidRDefault="00EF4435" w:rsidP="000455AC">
            <w:pPr>
              <w:spacing w:line="264" w:lineRule="auto"/>
              <w:rPr>
                <w:sz w:val="25"/>
                <w:szCs w:val="25"/>
              </w:rPr>
            </w:pPr>
            <w:r w:rsidRPr="00942F86">
              <w:rPr>
                <w:sz w:val="25"/>
                <w:szCs w:val="25"/>
              </w:rPr>
              <w:t xml:space="preserve"> </w:t>
            </w:r>
            <w:r w:rsidRPr="00942F86">
              <w:rPr>
                <w:sz w:val="25"/>
                <w:szCs w:val="25"/>
                <w:u w:val="single"/>
              </w:rPr>
              <w:t xml:space="preserve">&lt; </w:t>
            </w:r>
            <w:r w:rsidRPr="00942F86">
              <w:rPr>
                <w:sz w:val="25"/>
                <w:szCs w:val="25"/>
              </w:rPr>
              <w:t>2-year term; Retail Load Adjustment; $3 M threshold for cost-recovery.</w:t>
            </w:r>
          </w:p>
        </w:tc>
        <w:tc>
          <w:tcPr>
            <w:tcW w:w="1931" w:type="dxa"/>
            <w:shd w:val="clear" w:color="auto" w:fill="auto"/>
          </w:tcPr>
          <w:p w14:paraId="17C08BE6" w14:textId="77777777" w:rsidR="00EF4435" w:rsidRPr="00942F86" w:rsidRDefault="00EF4435" w:rsidP="000455AC">
            <w:pPr>
              <w:spacing w:line="264" w:lineRule="auto"/>
              <w:rPr>
                <w:sz w:val="25"/>
                <w:szCs w:val="25"/>
              </w:rPr>
            </w:pPr>
            <w:r w:rsidRPr="00942F86">
              <w:rPr>
                <w:sz w:val="25"/>
                <w:szCs w:val="25"/>
              </w:rPr>
              <w:t>None</w:t>
            </w:r>
          </w:p>
        </w:tc>
      </w:tr>
      <w:tr w:rsidR="00EF4435" w:rsidRPr="00942F86" w14:paraId="4A7BB72E" w14:textId="77777777" w:rsidTr="00FC421A">
        <w:tc>
          <w:tcPr>
            <w:tcW w:w="1383" w:type="dxa"/>
            <w:shd w:val="clear" w:color="auto" w:fill="auto"/>
          </w:tcPr>
          <w:p w14:paraId="7E9AF859" w14:textId="77777777" w:rsidR="00EF4435" w:rsidRPr="00942F86" w:rsidRDefault="00EF4435" w:rsidP="000455AC">
            <w:pPr>
              <w:spacing w:line="264" w:lineRule="auto"/>
              <w:rPr>
                <w:b/>
                <w:sz w:val="25"/>
                <w:szCs w:val="25"/>
              </w:rPr>
            </w:pPr>
            <w:r w:rsidRPr="00942F86">
              <w:rPr>
                <w:b/>
                <w:sz w:val="25"/>
                <w:szCs w:val="25"/>
              </w:rPr>
              <w:t>Staff</w:t>
            </w:r>
          </w:p>
        </w:tc>
        <w:tc>
          <w:tcPr>
            <w:tcW w:w="1312" w:type="dxa"/>
            <w:shd w:val="clear" w:color="auto" w:fill="auto"/>
          </w:tcPr>
          <w:p w14:paraId="1A367521" w14:textId="77777777" w:rsidR="00EF4435" w:rsidRPr="00942F86" w:rsidRDefault="00EF4435" w:rsidP="000455AC">
            <w:pPr>
              <w:spacing w:line="264" w:lineRule="auto"/>
              <w:rPr>
                <w:sz w:val="25"/>
                <w:szCs w:val="25"/>
              </w:rPr>
            </w:pPr>
            <w:r w:rsidRPr="00942F86">
              <w:rPr>
                <w:sz w:val="25"/>
                <w:szCs w:val="25"/>
              </w:rPr>
              <w:t>+/-$</w:t>
            </w:r>
            <w:proofErr w:type="spellStart"/>
            <w:r w:rsidRPr="00942F86">
              <w:rPr>
                <w:sz w:val="25"/>
                <w:szCs w:val="25"/>
              </w:rPr>
              <w:t>4M</w:t>
            </w:r>
            <w:proofErr w:type="spellEnd"/>
          </w:p>
        </w:tc>
        <w:tc>
          <w:tcPr>
            <w:tcW w:w="1710" w:type="dxa"/>
            <w:shd w:val="clear" w:color="auto" w:fill="auto"/>
          </w:tcPr>
          <w:p w14:paraId="36384423" w14:textId="77777777" w:rsidR="00EF4435" w:rsidRPr="00942F86" w:rsidRDefault="00EF4435" w:rsidP="000455AC">
            <w:pPr>
              <w:spacing w:line="264" w:lineRule="auto"/>
              <w:rPr>
                <w:sz w:val="25"/>
                <w:szCs w:val="25"/>
              </w:rPr>
            </w:pPr>
            <w:r w:rsidRPr="00942F86">
              <w:rPr>
                <w:sz w:val="25"/>
                <w:szCs w:val="25"/>
              </w:rPr>
              <w:t xml:space="preserve">+/- $4 – </w:t>
            </w:r>
            <w:proofErr w:type="spellStart"/>
            <w:r w:rsidRPr="00942F86">
              <w:rPr>
                <w:sz w:val="25"/>
                <w:szCs w:val="25"/>
              </w:rPr>
              <w:t>10M</w:t>
            </w:r>
            <w:proofErr w:type="spellEnd"/>
          </w:p>
          <w:p w14:paraId="279AC1B1" w14:textId="77777777" w:rsidR="00EF4435" w:rsidRPr="00942F86" w:rsidRDefault="00EF4435" w:rsidP="000455AC">
            <w:pPr>
              <w:spacing w:line="264" w:lineRule="auto"/>
              <w:rPr>
                <w:sz w:val="25"/>
                <w:szCs w:val="25"/>
              </w:rPr>
            </w:pPr>
            <w:r w:rsidRPr="00942F86">
              <w:rPr>
                <w:sz w:val="25"/>
                <w:szCs w:val="25"/>
              </w:rPr>
              <w:t>50% customer</w:t>
            </w:r>
          </w:p>
          <w:p w14:paraId="77056802" w14:textId="77777777" w:rsidR="00EF4435" w:rsidRPr="00942F86" w:rsidRDefault="00EF4435" w:rsidP="000455AC">
            <w:pPr>
              <w:spacing w:line="264" w:lineRule="auto"/>
              <w:rPr>
                <w:sz w:val="25"/>
                <w:szCs w:val="25"/>
              </w:rPr>
            </w:pPr>
            <w:r w:rsidRPr="00942F86">
              <w:rPr>
                <w:sz w:val="25"/>
                <w:szCs w:val="25"/>
              </w:rPr>
              <w:t>&gt;$</w:t>
            </w:r>
            <w:proofErr w:type="spellStart"/>
            <w:r w:rsidRPr="00942F86">
              <w:rPr>
                <w:sz w:val="25"/>
                <w:szCs w:val="25"/>
              </w:rPr>
              <w:t>10M</w:t>
            </w:r>
            <w:proofErr w:type="spellEnd"/>
          </w:p>
          <w:p w14:paraId="25740439" w14:textId="77777777" w:rsidR="00EF4435" w:rsidRPr="00942F86" w:rsidRDefault="00EF4435" w:rsidP="000455AC">
            <w:pPr>
              <w:spacing w:line="264" w:lineRule="auto"/>
              <w:rPr>
                <w:sz w:val="25"/>
                <w:szCs w:val="25"/>
              </w:rPr>
            </w:pPr>
            <w:r w:rsidRPr="00942F86">
              <w:rPr>
                <w:sz w:val="25"/>
                <w:szCs w:val="25"/>
              </w:rPr>
              <w:t>90% customer</w:t>
            </w:r>
          </w:p>
        </w:tc>
        <w:tc>
          <w:tcPr>
            <w:tcW w:w="2389" w:type="dxa"/>
            <w:shd w:val="clear" w:color="auto" w:fill="auto"/>
          </w:tcPr>
          <w:p w14:paraId="6ED2BCF8" w14:textId="77777777" w:rsidR="00EF4435" w:rsidRPr="00942F86" w:rsidRDefault="00EF4435" w:rsidP="000455AC">
            <w:pPr>
              <w:spacing w:line="264" w:lineRule="auto"/>
              <w:rPr>
                <w:sz w:val="25"/>
                <w:szCs w:val="25"/>
              </w:rPr>
            </w:pPr>
            <w:r w:rsidRPr="00942F86">
              <w:rPr>
                <w:sz w:val="25"/>
                <w:szCs w:val="25"/>
              </w:rPr>
              <w:t>No fixed cost for new resources (only variable cost); Retail Load Adjustment; $6 M threshold for cost-recovery.</w:t>
            </w:r>
          </w:p>
        </w:tc>
        <w:tc>
          <w:tcPr>
            <w:tcW w:w="1931" w:type="dxa"/>
            <w:shd w:val="clear" w:color="auto" w:fill="auto"/>
          </w:tcPr>
          <w:p w14:paraId="25A87420" w14:textId="77777777" w:rsidR="00EF4435" w:rsidRPr="00942F86" w:rsidRDefault="00EF4435" w:rsidP="000455AC">
            <w:pPr>
              <w:spacing w:line="264" w:lineRule="auto"/>
              <w:rPr>
                <w:sz w:val="25"/>
                <w:szCs w:val="25"/>
              </w:rPr>
            </w:pPr>
            <w:r w:rsidRPr="00942F86">
              <w:rPr>
                <w:sz w:val="25"/>
                <w:szCs w:val="25"/>
              </w:rPr>
              <w:t>Reduction in equity component of capital structure to 42% [</w:t>
            </w:r>
            <w:proofErr w:type="spellStart"/>
            <w:r w:rsidRPr="00942F86">
              <w:rPr>
                <w:sz w:val="25"/>
                <w:szCs w:val="25"/>
              </w:rPr>
              <w:t>ROR</w:t>
            </w:r>
            <w:proofErr w:type="spellEnd"/>
            <w:r w:rsidRPr="00942F86">
              <w:rPr>
                <w:sz w:val="25"/>
                <w:szCs w:val="25"/>
              </w:rPr>
              <w:t xml:space="preserve"> = 7.90]</w:t>
            </w:r>
          </w:p>
        </w:tc>
      </w:tr>
      <w:tr w:rsidR="00EF4435" w:rsidRPr="00942F86" w14:paraId="0B63266D" w14:textId="77777777" w:rsidTr="00FC421A">
        <w:tc>
          <w:tcPr>
            <w:tcW w:w="1383" w:type="dxa"/>
            <w:shd w:val="clear" w:color="auto" w:fill="auto"/>
          </w:tcPr>
          <w:p w14:paraId="072F4B76" w14:textId="77777777" w:rsidR="00EF4435" w:rsidRPr="00942F86" w:rsidRDefault="00EF4435" w:rsidP="000455AC">
            <w:pPr>
              <w:spacing w:line="264" w:lineRule="auto"/>
              <w:rPr>
                <w:b/>
                <w:sz w:val="25"/>
                <w:szCs w:val="25"/>
              </w:rPr>
            </w:pPr>
            <w:proofErr w:type="spellStart"/>
            <w:r w:rsidRPr="00942F86">
              <w:rPr>
                <w:b/>
                <w:sz w:val="25"/>
                <w:szCs w:val="25"/>
              </w:rPr>
              <w:t>ICNU</w:t>
            </w:r>
            <w:proofErr w:type="spellEnd"/>
          </w:p>
        </w:tc>
        <w:tc>
          <w:tcPr>
            <w:tcW w:w="1312" w:type="dxa"/>
            <w:shd w:val="clear" w:color="auto" w:fill="auto"/>
          </w:tcPr>
          <w:p w14:paraId="3C6EA8FC" w14:textId="77777777" w:rsidR="00EF4435" w:rsidRPr="00942F86" w:rsidRDefault="00EF4435" w:rsidP="000455AC">
            <w:pPr>
              <w:spacing w:line="264" w:lineRule="auto"/>
              <w:rPr>
                <w:sz w:val="25"/>
                <w:szCs w:val="25"/>
              </w:rPr>
            </w:pPr>
            <w:r w:rsidRPr="00942F86">
              <w:rPr>
                <w:sz w:val="25"/>
                <w:szCs w:val="25"/>
              </w:rPr>
              <w:t>+/-$8.6 M</w:t>
            </w:r>
          </w:p>
        </w:tc>
        <w:tc>
          <w:tcPr>
            <w:tcW w:w="1710" w:type="dxa"/>
            <w:shd w:val="clear" w:color="auto" w:fill="auto"/>
          </w:tcPr>
          <w:p w14:paraId="7C55B172" w14:textId="77777777" w:rsidR="00EF4435" w:rsidRPr="00942F86" w:rsidRDefault="00EF4435" w:rsidP="000455AC">
            <w:pPr>
              <w:spacing w:line="264" w:lineRule="auto"/>
              <w:rPr>
                <w:sz w:val="25"/>
                <w:szCs w:val="25"/>
              </w:rPr>
            </w:pPr>
            <w:r w:rsidRPr="00942F86">
              <w:rPr>
                <w:sz w:val="25"/>
                <w:szCs w:val="25"/>
              </w:rPr>
              <w:t xml:space="preserve">+/- $8.6 – </w:t>
            </w:r>
            <w:proofErr w:type="spellStart"/>
            <w:r w:rsidRPr="00942F86">
              <w:rPr>
                <w:sz w:val="25"/>
                <w:szCs w:val="25"/>
              </w:rPr>
              <w:t>17.3M</w:t>
            </w:r>
            <w:proofErr w:type="spellEnd"/>
          </w:p>
          <w:p w14:paraId="7E8563D0" w14:textId="77777777" w:rsidR="00EF4435" w:rsidRPr="00942F86" w:rsidRDefault="00EF4435" w:rsidP="000455AC">
            <w:pPr>
              <w:spacing w:line="264" w:lineRule="auto"/>
              <w:rPr>
                <w:sz w:val="25"/>
                <w:szCs w:val="25"/>
              </w:rPr>
            </w:pPr>
            <w:r w:rsidRPr="00942F86">
              <w:rPr>
                <w:sz w:val="25"/>
                <w:szCs w:val="25"/>
              </w:rPr>
              <w:t>50% customer</w:t>
            </w:r>
          </w:p>
          <w:p w14:paraId="5E531713" w14:textId="77777777" w:rsidR="00EF4435" w:rsidRPr="00942F86" w:rsidRDefault="00EF4435" w:rsidP="000455AC">
            <w:pPr>
              <w:spacing w:line="264" w:lineRule="auto"/>
              <w:rPr>
                <w:sz w:val="25"/>
                <w:szCs w:val="25"/>
              </w:rPr>
            </w:pPr>
            <w:r w:rsidRPr="00942F86">
              <w:rPr>
                <w:sz w:val="25"/>
                <w:szCs w:val="25"/>
              </w:rPr>
              <w:t>&gt; $17.3</w:t>
            </w:r>
          </w:p>
          <w:p w14:paraId="34A91F20" w14:textId="77777777" w:rsidR="00EF4435" w:rsidRPr="00942F86" w:rsidRDefault="00EF4435" w:rsidP="000455AC">
            <w:pPr>
              <w:spacing w:line="264" w:lineRule="auto"/>
              <w:rPr>
                <w:sz w:val="25"/>
                <w:szCs w:val="25"/>
              </w:rPr>
            </w:pPr>
            <w:r w:rsidRPr="00942F86">
              <w:rPr>
                <w:sz w:val="25"/>
                <w:szCs w:val="25"/>
              </w:rPr>
              <w:t>85% customer</w:t>
            </w:r>
          </w:p>
        </w:tc>
        <w:tc>
          <w:tcPr>
            <w:tcW w:w="2389" w:type="dxa"/>
            <w:shd w:val="clear" w:color="auto" w:fill="auto"/>
          </w:tcPr>
          <w:p w14:paraId="571BE5B1" w14:textId="77777777" w:rsidR="00EF4435" w:rsidRPr="00942F86" w:rsidRDefault="00EF4435" w:rsidP="000455AC">
            <w:pPr>
              <w:spacing w:line="264" w:lineRule="auto"/>
              <w:rPr>
                <w:sz w:val="25"/>
                <w:szCs w:val="25"/>
              </w:rPr>
            </w:pPr>
            <w:r w:rsidRPr="00942F86">
              <w:rPr>
                <w:sz w:val="25"/>
                <w:szCs w:val="25"/>
              </w:rPr>
              <w:t>No other detail</w:t>
            </w:r>
          </w:p>
        </w:tc>
        <w:tc>
          <w:tcPr>
            <w:tcW w:w="1931" w:type="dxa"/>
            <w:shd w:val="clear" w:color="auto" w:fill="auto"/>
          </w:tcPr>
          <w:p w14:paraId="644793AF" w14:textId="77777777" w:rsidR="00EF4435" w:rsidRPr="00942F86" w:rsidRDefault="00EF4435" w:rsidP="000455AC">
            <w:pPr>
              <w:spacing w:line="264" w:lineRule="auto"/>
              <w:rPr>
                <w:sz w:val="25"/>
                <w:szCs w:val="25"/>
              </w:rPr>
            </w:pPr>
            <w:r w:rsidRPr="00942F86">
              <w:rPr>
                <w:sz w:val="25"/>
                <w:szCs w:val="25"/>
              </w:rPr>
              <w:t>ROE reduction of 30 basis points</w:t>
            </w:r>
          </w:p>
          <w:p w14:paraId="28F99F5B" w14:textId="77777777" w:rsidR="00EF4435" w:rsidRPr="00942F86" w:rsidRDefault="00EF4435" w:rsidP="000455AC">
            <w:pPr>
              <w:spacing w:line="264" w:lineRule="auto"/>
              <w:rPr>
                <w:sz w:val="25"/>
                <w:szCs w:val="25"/>
              </w:rPr>
            </w:pPr>
            <w:r w:rsidRPr="00942F86">
              <w:rPr>
                <w:sz w:val="25"/>
                <w:szCs w:val="25"/>
              </w:rPr>
              <w:t>[</w:t>
            </w:r>
            <w:proofErr w:type="spellStart"/>
            <w:r w:rsidRPr="00942F86">
              <w:rPr>
                <w:sz w:val="25"/>
                <w:szCs w:val="25"/>
              </w:rPr>
              <w:t>ROR</w:t>
            </w:r>
            <w:proofErr w:type="spellEnd"/>
            <w:r w:rsidRPr="00942F86">
              <w:rPr>
                <w:sz w:val="25"/>
                <w:szCs w:val="25"/>
              </w:rPr>
              <w:t xml:space="preserve"> = 7.92]</w:t>
            </w:r>
          </w:p>
        </w:tc>
      </w:tr>
    </w:tbl>
    <w:p w14:paraId="75C5D832" w14:textId="77777777" w:rsidR="00EF4435" w:rsidRPr="00942F86" w:rsidRDefault="00EF4435" w:rsidP="000455AC">
      <w:pPr>
        <w:spacing w:line="264" w:lineRule="auto"/>
        <w:rPr>
          <w:sz w:val="25"/>
          <w:szCs w:val="25"/>
        </w:rPr>
      </w:pPr>
    </w:p>
    <w:p w14:paraId="4203E3A2" w14:textId="6A57F5BC" w:rsidR="00EF4435" w:rsidRPr="00942F86" w:rsidRDefault="00EF4435" w:rsidP="000455AC">
      <w:pPr>
        <w:spacing w:line="264" w:lineRule="auto"/>
        <w:rPr>
          <w:sz w:val="25"/>
          <w:szCs w:val="25"/>
        </w:rPr>
      </w:pPr>
      <w:r w:rsidRPr="00942F86">
        <w:rPr>
          <w:sz w:val="25"/>
          <w:szCs w:val="25"/>
        </w:rPr>
        <w:t>The Commission expressed its concern that none of these proposals reflected the asymmetry in the distribution of net power costs that “skewed [them] toward higher costs, in part because poor hydropower is correlated with higher wholesale power costs and higher fuel costs.”</w:t>
      </w:r>
      <w:r w:rsidRPr="00942F86">
        <w:rPr>
          <w:rStyle w:val="FootnoteReference"/>
          <w:sz w:val="25"/>
          <w:szCs w:val="25"/>
        </w:rPr>
        <w:footnoteReference w:id="166"/>
      </w:r>
      <w:r w:rsidRPr="00942F86">
        <w:rPr>
          <w:sz w:val="25"/>
          <w:szCs w:val="25"/>
        </w:rPr>
        <w:t xml:space="preserve"> </w:t>
      </w:r>
      <w:r w:rsidR="00040AD2" w:rsidRPr="00942F86">
        <w:rPr>
          <w:sz w:val="25"/>
          <w:szCs w:val="25"/>
        </w:rPr>
        <w:t xml:space="preserve"> </w:t>
      </w:r>
      <w:r w:rsidRPr="00942F86">
        <w:rPr>
          <w:sz w:val="25"/>
          <w:szCs w:val="25"/>
        </w:rPr>
        <w:t>Order 08 states that:</w:t>
      </w:r>
    </w:p>
    <w:p w14:paraId="2A40A63A" w14:textId="77777777" w:rsidR="00EF4435" w:rsidRPr="00942F86" w:rsidRDefault="00EF4435" w:rsidP="000455AC">
      <w:pPr>
        <w:spacing w:line="264" w:lineRule="auto"/>
        <w:rPr>
          <w:sz w:val="25"/>
          <w:szCs w:val="25"/>
        </w:rPr>
      </w:pPr>
    </w:p>
    <w:p w14:paraId="4C259DAD" w14:textId="0D35D9E3" w:rsidR="00EF4435" w:rsidRPr="00942F86" w:rsidRDefault="00EF4435" w:rsidP="000455AC">
      <w:pPr>
        <w:spacing w:line="264" w:lineRule="auto"/>
        <w:ind w:left="720" w:right="720"/>
        <w:rPr>
          <w:sz w:val="25"/>
          <w:szCs w:val="25"/>
        </w:rPr>
      </w:pPr>
      <w:r w:rsidRPr="00942F86">
        <w:rPr>
          <w:sz w:val="25"/>
          <w:szCs w:val="25"/>
        </w:rPr>
        <w:t xml:space="preserve">An optimally designed PCAM would recognize the inequality between upside and downside risk in its design of deadbands and sharing bands.  For example, to equally balance risk with benefit, the deadband and sharing bands should be set at lower levels on the “lower cost” side of base costs to increase the expected value of customer benefits enough </w:t>
      </w:r>
      <w:r w:rsidRPr="00942F86">
        <w:rPr>
          <w:sz w:val="25"/>
          <w:szCs w:val="25"/>
        </w:rPr>
        <w:lastRenderedPageBreak/>
        <w:t>to balance the expected value of customer risks on the “high side” of base costs.</w:t>
      </w:r>
      <w:r w:rsidRPr="00942F86">
        <w:rPr>
          <w:rStyle w:val="FootnoteReference"/>
          <w:sz w:val="25"/>
          <w:szCs w:val="25"/>
        </w:rPr>
        <w:footnoteReference w:id="167"/>
      </w:r>
    </w:p>
    <w:p w14:paraId="711D3898" w14:textId="77777777" w:rsidR="00EF4435" w:rsidRPr="00942F86" w:rsidRDefault="00EF4435" w:rsidP="000455AC">
      <w:pPr>
        <w:spacing w:line="264" w:lineRule="auto"/>
        <w:ind w:left="720" w:right="720"/>
        <w:rPr>
          <w:sz w:val="25"/>
          <w:szCs w:val="25"/>
        </w:rPr>
      </w:pPr>
    </w:p>
    <w:p w14:paraId="3F89D4BA" w14:textId="388831AA" w:rsidR="00EF4435" w:rsidRPr="00942F86" w:rsidRDefault="00E441DA" w:rsidP="00FC421A">
      <w:pPr>
        <w:numPr>
          <w:ilvl w:val="0"/>
          <w:numId w:val="1"/>
        </w:numPr>
        <w:tabs>
          <w:tab w:val="clear" w:pos="720"/>
          <w:tab w:val="num" w:pos="0"/>
        </w:tabs>
        <w:spacing w:line="264" w:lineRule="auto"/>
        <w:ind w:left="0"/>
        <w:rPr>
          <w:sz w:val="25"/>
          <w:szCs w:val="25"/>
        </w:rPr>
      </w:pPr>
      <w:r w:rsidRPr="00942F86">
        <w:rPr>
          <w:bCs/>
          <w:sz w:val="25"/>
          <w:szCs w:val="25"/>
        </w:rPr>
        <w:t>Staff proposes</w:t>
      </w:r>
      <w:r w:rsidR="00EF4435" w:rsidRPr="00942F86">
        <w:rPr>
          <w:bCs/>
          <w:sz w:val="25"/>
          <w:szCs w:val="25"/>
        </w:rPr>
        <w:t xml:space="preserve"> in this case</w:t>
      </w:r>
      <w:r w:rsidRPr="00942F86">
        <w:rPr>
          <w:bCs/>
          <w:sz w:val="25"/>
          <w:szCs w:val="25"/>
        </w:rPr>
        <w:t xml:space="preserve"> a dead</w:t>
      </w:r>
      <w:r w:rsidR="00713239" w:rsidRPr="00942F86">
        <w:rPr>
          <w:bCs/>
          <w:sz w:val="25"/>
          <w:szCs w:val="25"/>
        </w:rPr>
        <w:t xml:space="preserve"> </w:t>
      </w:r>
      <w:r w:rsidRPr="00942F86">
        <w:rPr>
          <w:bCs/>
          <w:sz w:val="25"/>
          <w:szCs w:val="25"/>
        </w:rPr>
        <w:t xml:space="preserve">band of plus or minus $25 million on a WCA basis which corresponds to about </w:t>
      </w:r>
      <w:r w:rsidR="00584B46" w:rsidRPr="00942F86">
        <w:rPr>
          <w:bCs/>
          <w:sz w:val="25"/>
          <w:szCs w:val="25"/>
        </w:rPr>
        <w:t>5</w:t>
      </w:r>
      <w:r w:rsidRPr="00942F86">
        <w:rPr>
          <w:bCs/>
          <w:sz w:val="25"/>
          <w:szCs w:val="25"/>
        </w:rPr>
        <w:t xml:space="preserve"> percent of the average NPC costs for the Company on a WCA basis.</w:t>
      </w:r>
      <w:r w:rsidR="00EF4435" w:rsidRPr="00942F86">
        <w:rPr>
          <w:bCs/>
          <w:sz w:val="25"/>
          <w:szCs w:val="25"/>
        </w:rPr>
        <w:t xml:space="preserve">  </w:t>
      </w:r>
      <w:r w:rsidR="00873D2A" w:rsidRPr="00942F86">
        <w:rPr>
          <w:bCs/>
          <w:sz w:val="25"/>
          <w:szCs w:val="25"/>
        </w:rPr>
        <w:t>How Staff determines this level on a WCA basis is unclear.  It is also not clear why, u</w:t>
      </w:r>
      <w:r w:rsidR="00EF4435" w:rsidRPr="00942F86">
        <w:rPr>
          <w:bCs/>
          <w:sz w:val="25"/>
          <w:szCs w:val="25"/>
        </w:rPr>
        <w:t xml:space="preserve">nlike Staff’s recommendation in Pacific Power’s 2006/2007 GRC, </w:t>
      </w:r>
      <w:r w:rsidR="00873D2A" w:rsidRPr="00942F86">
        <w:rPr>
          <w:bCs/>
          <w:sz w:val="25"/>
          <w:szCs w:val="25"/>
        </w:rPr>
        <w:t>this is not reduced</w:t>
      </w:r>
      <w:r w:rsidR="00EF4435" w:rsidRPr="00942F86">
        <w:rPr>
          <w:bCs/>
          <w:sz w:val="25"/>
          <w:szCs w:val="25"/>
        </w:rPr>
        <w:t xml:space="preserve"> to a Washington basis</w:t>
      </w:r>
      <w:r w:rsidR="00873D2A" w:rsidRPr="00942F86">
        <w:rPr>
          <w:bCs/>
          <w:sz w:val="25"/>
          <w:szCs w:val="25"/>
        </w:rPr>
        <w:t xml:space="preserve"> that would allow for comparison to earlier proposals</w:t>
      </w:r>
      <w:r w:rsidR="00EF4435" w:rsidRPr="00942F86">
        <w:rPr>
          <w:bCs/>
          <w:sz w:val="25"/>
          <w:szCs w:val="25"/>
        </w:rPr>
        <w:t>.</w:t>
      </w:r>
      <w:r w:rsidRPr="00942F86">
        <w:rPr>
          <w:bCs/>
          <w:sz w:val="25"/>
          <w:szCs w:val="25"/>
        </w:rPr>
        <w:t xml:space="preserve"> </w:t>
      </w:r>
      <w:r w:rsidR="00873D2A" w:rsidRPr="00942F86">
        <w:rPr>
          <w:bCs/>
          <w:sz w:val="25"/>
          <w:szCs w:val="25"/>
        </w:rPr>
        <w:t xml:space="preserve"> </w:t>
      </w:r>
      <w:r w:rsidR="00EF4435" w:rsidRPr="00942F86">
        <w:rPr>
          <w:bCs/>
          <w:sz w:val="25"/>
          <w:szCs w:val="25"/>
        </w:rPr>
        <w:t xml:space="preserve">  </w:t>
      </w:r>
    </w:p>
    <w:p w14:paraId="07FF1DF8" w14:textId="77777777" w:rsidR="00EF4435" w:rsidRPr="00942F86" w:rsidRDefault="00EF4435" w:rsidP="000455AC">
      <w:pPr>
        <w:spacing w:line="264" w:lineRule="auto"/>
        <w:rPr>
          <w:sz w:val="25"/>
          <w:szCs w:val="25"/>
        </w:rPr>
      </w:pPr>
    </w:p>
    <w:p w14:paraId="036D4F51" w14:textId="77777777" w:rsidR="00873D2A" w:rsidRPr="00942F86" w:rsidRDefault="00873D2A" w:rsidP="00FC421A">
      <w:pPr>
        <w:numPr>
          <w:ilvl w:val="0"/>
          <w:numId w:val="1"/>
        </w:numPr>
        <w:tabs>
          <w:tab w:val="clear" w:pos="720"/>
          <w:tab w:val="num" w:pos="0"/>
        </w:tabs>
        <w:spacing w:line="264" w:lineRule="auto"/>
        <w:ind w:left="0"/>
        <w:rPr>
          <w:sz w:val="25"/>
          <w:szCs w:val="25"/>
        </w:rPr>
      </w:pPr>
      <w:r w:rsidRPr="00942F86">
        <w:rPr>
          <w:bCs/>
          <w:sz w:val="25"/>
          <w:szCs w:val="25"/>
        </w:rPr>
        <w:t xml:space="preserve">As to the sharing bands Staff proposes in this case: </w:t>
      </w:r>
    </w:p>
    <w:p w14:paraId="755C1467" w14:textId="77777777" w:rsidR="00873D2A" w:rsidRPr="00942F86" w:rsidRDefault="00873D2A" w:rsidP="000455AC">
      <w:pPr>
        <w:pStyle w:val="ListParagraph"/>
        <w:spacing w:line="264" w:lineRule="auto"/>
        <w:rPr>
          <w:bCs/>
          <w:sz w:val="25"/>
          <w:szCs w:val="25"/>
        </w:rPr>
      </w:pPr>
    </w:p>
    <w:p w14:paraId="68879D24" w14:textId="1F72F988" w:rsidR="00873D2A" w:rsidRPr="00942F86" w:rsidRDefault="00873D2A" w:rsidP="000455AC">
      <w:pPr>
        <w:spacing w:line="264" w:lineRule="auto"/>
        <w:ind w:left="720" w:right="720"/>
        <w:rPr>
          <w:bCs/>
          <w:sz w:val="25"/>
          <w:szCs w:val="25"/>
        </w:rPr>
      </w:pPr>
      <w:r w:rsidRPr="00942F86">
        <w:rPr>
          <w:bCs/>
          <w:sz w:val="25"/>
          <w:szCs w:val="25"/>
        </w:rPr>
        <w:t>[A]</w:t>
      </w:r>
      <w:proofErr w:type="spellStart"/>
      <w:r w:rsidRPr="00942F86">
        <w:rPr>
          <w:bCs/>
          <w:sz w:val="25"/>
          <w:szCs w:val="25"/>
        </w:rPr>
        <w:t>ny</w:t>
      </w:r>
      <w:proofErr w:type="spellEnd"/>
      <w:r w:rsidR="00E441DA" w:rsidRPr="00942F86">
        <w:rPr>
          <w:bCs/>
          <w:sz w:val="25"/>
          <w:szCs w:val="25"/>
        </w:rPr>
        <w:t xml:space="preserve"> remaining portion of the variance above or below the dead-band will be shared with customers in different proportions depending if the variance between base and actual NPC reflects a year-end surcharge or rebate.  Under-recovery of NPC (that is, in the surcharge direction) will be shared on a 50/50 basis between customers and the Company.  To reflect asymmetry of power cost distribution, over-recovery of NPC (that is, in the rebate direction) is shared by 75 percent going to customers and the remainder retained by the Company.</w:t>
      </w:r>
      <w:r w:rsidRPr="00942F86">
        <w:rPr>
          <w:rStyle w:val="FootnoteReference"/>
          <w:bCs/>
          <w:sz w:val="25"/>
          <w:szCs w:val="25"/>
        </w:rPr>
        <w:footnoteReference w:id="168"/>
      </w:r>
      <w:r w:rsidR="00E441DA" w:rsidRPr="00942F86">
        <w:rPr>
          <w:bCs/>
          <w:sz w:val="25"/>
          <w:szCs w:val="25"/>
        </w:rPr>
        <w:t xml:space="preserve">  </w:t>
      </w:r>
    </w:p>
    <w:p w14:paraId="7C1CC062" w14:textId="77777777" w:rsidR="00873D2A" w:rsidRPr="00942F86" w:rsidRDefault="00873D2A" w:rsidP="000455AC">
      <w:pPr>
        <w:spacing w:line="264" w:lineRule="auto"/>
        <w:rPr>
          <w:bCs/>
          <w:sz w:val="25"/>
          <w:szCs w:val="25"/>
        </w:rPr>
      </w:pPr>
    </w:p>
    <w:p w14:paraId="045A8D29" w14:textId="1FBF9A49" w:rsidR="00951148" w:rsidRPr="00942F86" w:rsidRDefault="001F44A0" w:rsidP="000455AC">
      <w:pPr>
        <w:spacing w:line="264" w:lineRule="auto"/>
        <w:rPr>
          <w:sz w:val="25"/>
          <w:szCs w:val="25"/>
        </w:rPr>
      </w:pPr>
      <w:r w:rsidRPr="00942F86">
        <w:rPr>
          <w:sz w:val="25"/>
          <w:szCs w:val="25"/>
        </w:rPr>
        <w:t>Mr. Gomez illustrates</w:t>
      </w:r>
      <w:r w:rsidR="00E45A97" w:rsidRPr="00942F86">
        <w:rPr>
          <w:sz w:val="25"/>
          <w:szCs w:val="25"/>
        </w:rPr>
        <w:t xml:space="preserve"> the operation of </w:t>
      </w:r>
      <w:r w:rsidRPr="00942F86">
        <w:rPr>
          <w:sz w:val="25"/>
          <w:szCs w:val="25"/>
        </w:rPr>
        <w:t>these proposed bands</w:t>
      </w:r>
      <w:r w:rsidR="00E45A97" w:rsidRPr="00942F86">
        <w:rPr>
          <w:sz w:val="25"/>
          <w:szCs w:val="25"/>
        </w:rPr>
        <w:t xml:space="preserve"> in a confidential exhibit using “actual NPC results provided by the Company in the last rate case [</w:t>
      </w:r>
      <w:r w:rsidR="00584B46" w:rsidRPr="00942F86">
        <w:rPr>
          <w:sz w:val="25"/>
          <w:szCs w:val="25"/>
        </w:rPr>
        <w:t xml:space="preserve">in </w:t>
      </w:r>
      <w:r w:rsidR="00E45A97" w:rsidRPr="00942F86">
        <w:rPr>
          <w:sz w:val="25"/>
          <w:szCs w:val="25"/>
        </w:rPr>
        <w:t>Docket UE-130043</w:t>
      </w:r>
      <w:r w:rsidR="00584B46" w:rsidRPr="00942F86">
        <w:rPr>
          <w:sz w:val="25"/>
          <w:szCs w:val="25"/>
        </w:rPr>
        <w:t>,</w:t>
      </w:r>
      <w:r w:rsidR="00E45A97" w:rsidRPr="00942F86">
        <w:rPr>
          <w:sz w:val="25"/>
          <w:szCs w:val="25"/>
        </w:rPr>
        <w:t>] which were updated with results from 2012 and 2013.”</w:t>
      </w:r>
      <w:r w:rsidR="00E45A97" w:rsidRPr="00942F86">
        <w:rPr>
          <w:rStyle w:val="FootnoteReference"/>
          <w:sz w:val="25"/>
          <w:szCs w:val="25"/>
        </w:rPr>
        <w:footnoteReference w:id="169"/>
      </w:r>
      <w:r w:rsidR="00873D2A" w:rsidRPr="00942F86">
        <w:rPr>
          <w:sz w:val="25"/>
          <w:szCs w:val="25"/>
        </w:rPr>
        <w:t xml:space="preserve">  Again, however, Staff does not explain the bases for its choice of a single sharing band or the </w:t>
      </w:r>
      <w:r w:rsidR="00790541" w:rsidRPr="00942F86">
        <w:rPr>
          <w:sz w:val="25"/>
          <w:szCs w:val="25"/>
        </w:rPr>
        <w:t xml:space="preserve">degree of </w:t>
      </w:r>
      <w:r w:rsidR="00873D2A" w:rsidRPr="00942F86">
        <w:rPr>
          <w:sz w:val="25"/>
          <w:szCs w:val="25"/>
        </w:rPr>
        <w:t>asymmetry</w:t>
      </w:r>
      <w:r w:rsidR="00790541" w:rsidRPr="00942F86">
        <w:rPr>
          <w:sz w:val="25"/>
          <w:szCs w:val="25"/>
        </w:rPr>
        <w:t xml:space="preserve"> reflected</w:t>
      </w:r>
      <w:r w:rsidR="00873D2A" w:rsidRPr="00942F86">
        <w:rPr>
          <w:sz w:val="25"/>
          <w:szCs w:val="25"/>
        </w:rPr>
        <w:t xml:space="preserve"> in the sharing mechanism it proposes.</w:t>
      </w:r>
    </w:p>
    <w:p w14:paraId="3560593F" w14:textId="77777777" w:rsidR="00951148" w:rsidRPr="00942F86" w:rsidRDefault="00951148" w:rsidP="000455AC">
      <w:pPr>
        <w:pStyle w:val="ListParagraph"/>
        <w:spacing w:line="264" w:lineRule="auto"/>
        <w:rPr>
          <w:sz w:val="25"/>
          <w:szCs w:val="25"/>
        </w:rPr>
      </w:pPr>
    </w:p>
    <w:p w14:paraId="64044578" w14:textId="0440D9DB" w:rsidR="00E45A97" w:rsidRPr="00942F86" w:rsidRDefault="00790541" w:rsidP="00FC421A">
      <w:pPr>
        <w:numPr>
          <w:ilvl w:val="0"/>
          <w:numId w:val="1"/>
        </w:numPr>
        <w:tabs>
          <w:tab w:val="clear" w:pos="720"/>
          <w:tab w:val="num" w:pos="0"/>
        </w:tabs>
        <w:spacing w:line="264" w:lineRule="auto"/>
        <w:ind w:left="0"/>
        <w:rPr>
          <w:sz w:val="25"/>
          <w:szCs w:val="25"/>
        </w:rPr>
      </w:pPr>
      <w:r w:rsidRPr="00942F86">
        <w:rPr>
          <w:sz w:val="25"/>
          <w:szCs w:val="25"/>
        </w:rPr>
        <w:t>In considering the types of costs that would be included in Staff’s proposed PCAM, Mr. Gomez testifies that Staff accepts the approach proposed by Pacific Power in its 2012/2013 GRC.  That is, the PCAM is calculated “using all components of NPC as traditionally defined in the Company’s general rate cases and modeled by the Company’s GRID model.”</w:t>
      </w:r>
      <w:r w:rsidRPr="00942F86">
        <w:rPr>
          <w:rStyle w:val="FootnoteReference"/>
          <w:sz w:val="25"/>
          <w:szCs w:val="25"/>
        </w:rPr>
        <w:footnoteReference w:id="170"/>
      </w:r>
      <w:r w:rsidRPr="00942F86">
        <w:rPr>
          <w:sz w:val="25"/>
          <w:szCs w:val="25"/>
        </w:rPr>
        <w:t xml:space="preserve">  Mr. Gomez provides details in his testimony </w:t>
      </w:r>
      <w:r w:rsidRPr="00942F86">
        <w:rPr>
          <w:sz w:val="25"/>
          <w:szCs w:val="25"/>
        </w:rPr>
        <w:lastRenderedPageBreak/>
        <w:t>identifying the specific FERC accounts that are included.</w:t>
      </w:r>
      <w:r w:rsidRPr="00942F86">
        <w:rPr>
          <w:rStyle w:val="FootnoteReference"/>
          <w:sz w:val="25"/>
          <w:szCs w:val="25"/>
        </w:rPr>
        <w:footnoteReference w:id="171"/>
      </w:r>
      <w:r w:rsidRPr="00942F86">
        <w:rPr>
          <w:sz w:val="25"/>
          <w:szCs w:val="25"/>
        </w:rPr>
        <w:t xml:space="preserve">  Thus, Mr. Gomez testifies, “</w:t>
      </w:r>
      <w:r w:rsidRPr="00942F86">
        <w:rPr>
          <w:bCs/>
          <w:sz w:val="25"/>
          <w:szCs w:val="25"/>
        </w:rPr>
        <w:t>the proposed PCAM for PacifiCorp will be very similar to Avista Corporation’s Energy Recovery Mechanism (ERM),</w:t>
      </w:r>
      <w:r w:rsidRPr="00942F86">
        <w:rPr>
          <w:sz w:val="25"/>
          <w:szCs w:val="25"/>
        </w:rPr>
        <w:t>”</w:t>
      </w:r>
      <w:r w:rsidR="00436215" w:rsidRPr="00942F86">
        <w:rPr>
          <w:rStyle w:val="FootnoteReference"/>
          <w:sz w:val="25"/>
          <w:szCs w:val="25"/>
        </w:rPr>
        <w:footnoteReference w:id="172"/>
      </w:r>
      <w:r w:rsidRPr="00942F86">
        <w:rPr>
          <w:sz w:val="25"/>
          <w:szCs w:val="25"/>
        </w:rPr>
        <w:t xml:space="preserve"> on which the Company based its own proposal in the 2006/2007 GRC.</w:t>
      </w:r>
    </w:p>
    <w:p w14:paraId="46F26A98" w14:textId="77777777" w:rsidR="00436215" w:rsidRPr="00942F86" w:rsidRDefault="00436215" w:rsidP="000455AC">
      <w:pPr>
        <w:spacing w:line="264" w:lineRule="auto"/>
        <w:rPr>
          <w:sz w:val="25"/>
          <w:szCs w:val="25"/>
        </w:rPr>
      </w:pPr>
    </w:p>
    <w:p w14:paraId="26785161" w14:textId="11292FF7" w:rsidR="00436215" w:rsidRPr="00942F86" w:rsidRDefault="00436215" w:rsidP="00FC421A">
      <w:pPr>
        <w:numPr>
          <w:ilvl w:val="0"/>
          <w:numId w:val="1"/>
        </w:numPr>
        <w:tabs>
          <w:tab w:val="clear" w:pos="720"/>
          <w:tab w:val="num" w:pos="0"/>
        </w:tabs>
        <w:spacing w:line="264" w:lineRule="auto"/>
        <w:ind w:left="0"/>
        <w:rPr>
          <w:sz w:val="25"/>
          <w:szCs w:val="25"/>
        </w:rPr>
      </w:pPr>
      <w:r w:rsidRPr="00942F86">
        <w:rPr>
          <w:bCs/>
          <w:sz w:val="25"/>
          <w:szCs w:val="25"/>
        </w:rPr>
        <w:t>Also like the Avista ERM, Staff’s proposed PCAM will include a monthly retail revenue adjustment applied to the monthly difference between actual NPC and forecasted base NPC.  The retail revenue adjustment will reflect the power production expenses recovered through base retail revenues due to changes in retail load, as follows:</w:t>
      </w:r>
    </w:p>
    <w:p w14:paraId="199355DB" w14:textId="77777777" w:rsidR="00436215" w:rsidRPr="00942F86" w:rsidRDefault="00436215" w:rsidP="000455AC">
      <w:pPr>
        <w:spacing w:line="264" w:lineRule="auto"/>
        <w:rPr>
          <w:bCs/>
          <w:sz w:val="25"/>
          <w:szCs w:val="25"/>
        </w:rPr>
      </w:pPr>
    </w:p>
    <w:p w14:paraId="627A2DED" w14:textId="1B5842BD" w:rsidR="00436215" w:rsidRPr="00942F86" w:rsidRDefault="00436215" w:rsidP="000455AC">
      <w:pPr>
        <w:spacing w:line="264" w:lineRule="auto"/>
        <w:ind w:left="720" w:right="720"/>
        <w:rPr>
          <w:sz w:val="25"/>
          <w:szCs w:val="25"/>
        </w:rPr>
      </w:pPr>
      <w:r w:rsidRPr="00942F86">
        <w:rPr>
          <w:bCs/>
          <w:sz w:val="25"/>
          <w:szCs w:val="25"/>
        </w:rPr>
        <w:t>Base NPC will be divided by the base load MWh to arrive at a net power cost sales factor (SF) expressed in dollars per MWh.  The monthly retail revenue adjustment used in the PCAM will be computed by multiplying the SF by the difference between actual and base monthly retail MWh sales.  If actual MWh sales are greater than base, the retail revenue adjustment will reduce the PCAM deferral.  If actual MWh sales are less than base, the retail revenue adjustment will increase the PCAM deferral.</w:t>
      </w:r>
      <w:r w:rsidRPr="00942F86">
        <w:rPr>
          <w:rStyle w:val="FootnoteReference"/>
          <w:bCs/>
          <w:sz w:val="25"/>
          <w:szCs w:val="25"/>
        </w:rPr>
        <w:footnoteReference w:id="173"/>
      </w:r>
    </w:p>
    <w:p w14:paraId="1834329E" w14:textId="77777777" w:rsidR="00436215" w:rsidRPr="00942F86" w:rsidRDefault="00436215" w:rsidP="000455AC">
      <w:pPr>
        <w:spacing w:line="264" w:lineRule="auto"/>
        <w:rPr>
          <w:sz w:val="25"/>
          <w:szCs w:val="25"/>
        </w:rPr>
      </w:pPr>
    </w:p>
    <w:p w14:paraId="36AD8CA5" w14:textId="4BFE7AD1" w:rsidR="00174256" w:rsidRPr="00942F86" w:rsidRDefault="00436215" w:rsidP="00FC421A">
      <w:pPr>
        <w:numPr>
          <w:ilvl w:val="0"/>
          <w:numId w:val="1"/>
        </w:numPr>
        <w:tabs>
          <w:tab w:val="clear" w:pos="720"/>
          <w:tab w:val="num" w:pos="0"/>
        </w:tabs>
        <w:spacing w:line="264" w:lineRule="auto"/>
        <w:ind w:left="0"/>
        <w:rPr>
          <w:sz w:val="25"/>
          <w:szCs w:val="25"/>
        </w:rPr>
      </w:pPr>
      <w:r w:rsidRPr="00942F86">
        <w:rPr>
          <w:sz w:val="25"/>
          <w:szCs w:val="25"/>
        </w:rPr>
        <w:t>Staff proposes a carrying charge on the customers’ share of NPC deferral balances using the Company’s actual cost of debt.  This</w:t>
      </w:r>
      <w:r w:rsidR="00174256" w:rsidRPr="00942F86">
        <w:rPr>
          <w:sz w:val="25"/>
          <w:szCs w:val="25"/>
        </w:rPr>
        <w:t xml:space="preserve"> is to be updated semi-annually </w:t>
      </w:r>
      <w:r w:rsidRPr="00942F86">
        <w:rPr>
          <w:sz w:val="25"/>
          <w:szCs w:val="25"/>
        </w:rPr>
        <w:t>and applied to NPC deferral balances less associated accumulated deferred income taxes.</w:t>
      </w:r>
      <w:r w:rsidR="00174256" w:rsidRPr="00942F86">
        <w:rPr>
          <w:sz w:val="25"/>
          <w:szCs w:val="25"/>
        </w:rPr>
        <w:t xml:space="preserve">  Staff would require the Company to report</w:t>
      </w:r>
      <w:r w:rsidR="00040AD2" w:rsidRPr="00942F86">
        <w:rPr>
          <w:sz w:val="25"/>
          <w:szCs w:val="25"/>
        </w:rPr>
        <w:t xml:space="preserve"> semi-annually</w:t>
      </w:r>
      <w:r w:rsidR="00174256" w:rsidRPr="00942F86">
        <w:rPr>
          <w:sz w:val="25"/>
          <w:szCs w:val="25"/>
        </w:rPr>
        <w:t xml:space="preserve"> the result of the updates to the parties in this proceeding.  Interest would be accrued monthly and compounded semi-annually.</w:t>
      </w:r>
      <w:r w:rsidR="00174256" w:rsidRPr="00942F86">
        <w:rPr>
          <w:rStyle w:val="FootnoteReference"/>
          <w:sz w:val="25"/>
          <w:szCs w:val="25"/>
        </w:rPr>
        <w:footnoteReference w:id="174"/>
      </w:r>
    </w:p>
    <w:p w14:paraId="0C8A511E" w14:textId="77777777" w:rsidR="00174256" w:rsidRPr="00942F86" w:rsidRDefault="00174256" w:rsidP="000455AC">
      <w:pPr>
        <w:spacing w:line="264" w:lineRule="auto"/>
        <w:rPr>
          <w:sz w:val="25"/>
          <w:szCs w:val="25"/>
        </w:rPr>
      </w:pPr>
    </w:p>
    <w:p w14:paraId="25869524" w14:textId="27E78EF6" w:rsidR="00436215" w:rsidRPr="00942F86" w:rsidRDefault="001C5562" w:rsidP="00FC421A">
      <w:pPr>
        <w:numPr>
          <w:ilvl w:val="0"/>
          <w:numId w:val="1"/>
        </w:numPr>
        <w:tabs>
          <w:tab w:val="clear" w:pos="720"/>
          <w:tab w:val="num" w:pos="0"/>
        </w:tabs>
        <w:spacing w:line="264" w:lineRule="auto"/>
        <w:ind w:left="0"/>
        <w:rPr>
          <w:sz w:val="25"/>
          <w:szCs w:val="25"/>
        </w:rPr>
      </w:pPr>
      <w:r w:rsidRPr="00942F86">
        <w:rPr>
          <w:sz w:val="25"/>
          <w:szCs w:val="25"/>
        </w:rPr>
        <w:t xml:space="preserve">The deferrals will trigger a rate adjustment when the customers’ share of Washington-allocated NPC deferrals accumulates to 10 percent of base retail revenues.  If this happens, Pacific Power will file to implement a surcharge or rebate through a separate tariff schedule dedicated to this purpose.  The proposed effective date of the tariff must allow for a 90-day review and approval process.  </w:t>
      </w:r>
      <w:r w:rsidRPr="00942F86">
        <w:rPr>
          <w:bCs/>
          <w:sz w:val="25"/>
          <w:szCs w:val="25"/>
        </w:rPr>
        <w:t xml:space="preserve">The Company may propose a </w:t>
      </w:r>
      <w:r w:rsidRPr="00942F86">
        <w:rPr>
          <w:bCs/>
          <w:sz w:val="25"/>
          <w:szCs w:val="25"/>
        </w:rPr>
        <w:lastRenderedPageBreak/>
        <w:t>different effective date, subject to Commission approval, to minimize the number of rate changes to customers.</w:t>
      </w:r>
      <w:r w:rsidR="00447F3D" w:rsidRPr="00942F86">
        <w:rPr>
          <w:rStyle w:val="FootnoteReference"/>
          <w:bCs/>
          <w:sz w:val="25"/>
          <w:szCs w:val="25"/>
        </w:rPr>
        <w:footnoteReference w:id="175"/>
      </w:r>
    </w:p>
    <w:p w14:paraId="6097970B" w14:textId="77777777" w:rsidR="001C5562" w:rsidRPr="00942F86" w:rsidRDefault="001C5562" w:rsidP="000455AC">
      <w:pPr>
        <w:pStyle w:val="ListParagraph"/>
        <w:spacing w:line="264" w:lineRule="auto"/>
        <w:rPr>
          <w:sz w:val="25"/>
          <w:szCs w:val="25"/>
        </w:rPr>
      </w:pPr>
    </w:p>
    <w:p w14:paraId="5EB1A86F" w14:textId="7421DDE9" w:rsidR="001C5562" w:rsidRPr="00942F86" w:rsidRDefault="001C5562" w:rsidP="00FC421A">
      <w:pPr>
        <w:numPr>
          <w:ilvl w:val="0"/>
          <w:numId w:val="1"/>
        </w:numPr>
        <w:tabs>
          <w:tab w:val="clear" w:pos="720"/>
          <w:tab w:val="num" w:pos="0"/>
        </w:tabs>
        <w:spacing w:line="264" w:lineRule="auto"/>
        <w:ind w:left="0"/>
        <w:rPr>
          <w:sz w:val="25"/>
          <w:szCs w:val="25"/>
        </w:rPr>
      </w:pPr>
      <w:r w:rsidRPr="00942F86">
        <w:rPr>
          <w:bCs/>
          <w:sz w:val="25"/>
          <w:szCs w:val="25"/>
        </w:rPr>
        <w:t xml:space="preserve">Any surcharge or rebate will be spread to rate schedules on the same basis as power costs are allocated using base revenues approved in this proceeding, unless otherwise changed in a future rate proceeding.  Within each rate schedule the rate adjustment </w:t>
      </w:r>
      <w:r w:rsidR="00447F3D" w:rsidRPr="00942F86">
        <w:rPr>
          <w:bCs/>
          <w:sz w:val="25"/>
          <w:szCs w:val="25"/>
        </w:rPr>
        <w:t>wi</w:t>
      </w:r>
      <w:r w:rsidRPr="00942F86">
        <w:rPr>
          <w:bCs/>
          <w:sz w:val="25"/>
          <w:szCs w:val="25"/>
        </w:rPr>
        <w:t xml:space="preserve">ll apply to the energy charges on a uniform cents per kilowatt-hour basis using the most recent normalized kilowatt-hours as filed annually by the Company pursuant to Commission Basis Reporting requirements.  </w:t>
      </w:r>
      <w:r w:rsidR="00447F3D" w:rsidRPr="00942F86">
        <w:rPr>
          <w:bCs/>
          <w:sz w:val="25"/>
          <w:szCs w:val="25"/>
        </w:rPr>
        <w:t>There is a</w:t>
      </w:r>
      <w:r w:rsidRPr="00942F86">
        <w:rPr>
          <w:bCs/>
          <w:sz w:val="25"/>
          <w:szCs w:val="25"/>
        </w:rPr>
        <w:t xml:space="preserve">n exception </w:t>
      </w:r>
      <w:r w:rsidR="00447F3D" w:rsidRPr="00942F86">
        <w:rPr>
          <w:bCs/>
          <w:sz w:val="25"/>
          <w:szCs w:val="25"/>
        </w:rPr>
        <w:t>for</w:t>
      </w:r>
      <w:r w:rsidRPr="00942F86">
        <w:rPr>
          <w:bCs/>
          <w:sz w:val="25"/>
          <w:szCs w:val="25"/>
        </w:rPr>
        <w:t xml:space="preserve"> street and area light rates, which </w:t>
      </w:r>
      <w:r w:rsidR="00447F3D" w:rsidRPr="00942F86">
        <w:rPr>
          <w:bCs/>
          <w:sz w:val="25"/>
          <w:szCs w:val="25"/>
        </w:rPr>
        <w:t>wi</w:t>
      </w:r>
      <w:r w:rsidRPr="00942F86">
        <w:rPr>
          <w:bCs/>
          <w:sz w:val="25"/>
          <w:szCs w:val="25"/>
        </w:rPr>
        <w:t xml:space="preserve">ll be adjusted by </w:t>
      </w:r>
      <w:r w:rsidR="00447F3D" w:rsidRPr="00942F86">
        <w:rPr>
          <w:bCs/>
          <w:sz w:val="25"/>
          <w:szCs w:val="25"/>
        </w:rPr>
        <w:t>a</w:t>
      </w:r>
      <w:r w:rsidRPr="00942F86">
        <w:rPr>
          <w:bCs/>
          <w:sz w:val="25"/>
          <w:szCs w:val="25"/>
        </w:rPr>
        <w:t xml:space="preserve"> uniform percentage.  The rate adjustment </w:t>
      </w:r>
      <w:r w:rsidR="00447F3D" w:rsidRPr="00942F86">
        <w:rPr>
          <w:bCs/>
          <w:sz w:val="25"/>
          <w:szCs w:val="25"/>
        </w:rPr>
        <w:t>wi</w:t>
      </w:r>
      <w:r w:rsidRPr="00942F86">
        <w:rPr>
          <w:bCs/>
          <w:sz w:val="25"/>
          <w:szCs w:val="25"/>
        </w:rPr>
        <w:t xml:space="preserve">ll be in effect for a </w:t>
      </w:r>
      <w:r w:rsidR="00040AD2" w:rsidRPr="00942F86">
        <w:rPr>
          <w:bCs/>
          <w:sz w:val="25"/>
          <w:szCs w:val="25"/>
        </w:rPr>
        <w:t>12</w:t>
      </w:r>
      <w:r w:rsidRPr="00942F86">
        <w:rPr>
          <w:bCs/>
          <w:sz w:val="25"/>
          <w:szCs w:val="25"/>
        </w:rPr>
        <w:t>-month period</w:t>
      </w:r>
      <w:r w:rsidR="00447F3D" w:rsidRPr="00942F86">
        <w:rPr>
          <w:bCs/>
          <w:sz w:val="25"/>
          <w:szCs w:val="25"/>
        </w:rPr>
        <w:t xml:space="preserve"> and o</w:t>
      </w:r>
      <w:r w:rsidRPr="00942F86">
        <w:rPr>
          <w:bCs/>
          <w:sz w:val="25"/>
          <w:szCs w:val="25"/>
        </w:rPr>
        <w:t>nly one surcharge</w:t>
      </w:r>
      <w:r w:rsidR="00447F3D" w:rsidRPr="00942F86">
        <w:rPr>
          <w:bCs/>
          <w:sz w:val="25"/>
          <w:szCs w:val="25"/>
        </w:rPr>
        <w:t xml:space="preserve"> or rebate will</w:t>
      </w:r>
      <w:r w:rsidRPr="00942F86">
        <w:rPr>
          <w:bCs/>
          <w:sz w:val="25"/>
          <w:szCs w:val="25"/>
        </w:rPr>
        <w:t xml:space="preserve"> be in place at any given time.</w:t>
      </w:r>
      <w:r w:rsidR="00447F3D" w:rsidRPr="00942F86">
        <w:rPr>
          <w:rStyle w:val="FootnoteReference"/>
          <w:bCs/>
          <w:sz w:val="25"/>
          <w:szCs w:val="25"/>
        </w:rPr>
        <w:footnoteReference w:id="176"/>
      </w:r>
    </w:p>
    <w:p w14:paraId="38149D6D" w14:textId="77777777" w:rsidR="00447F3D" w:rsidRPr="00942F86" w:rsidRDefault="00447F3D" w:rsidP="000455AC">
      <w:pPr>
        <w:pStyle w:val="ListParagraph"/>
        <w:spacing w:line="264" w:lineRule="auto"/>
        <w:rPr>
          <w:sz w:val="25"/>
          <w:szCs w:val="25"/>
        </w:rPr>
      </w:pPr>
    </w:p>
    <w:p w14:paraId="747B450B" w14:textId="04676ED4" w:rsidR="00447F3D" w:rsidRPr="00942F86" w:rsidRDefault="00447F3D" w:rsidP="00FC421A">
      <w:pPr>
        <w:numPr>
          <w:ilvl w:val="0"/>
          <w:numId w:val="1"/>
        </w:numPr>
        <w:tabs>
          <w:tab w:val="clear" w:pos="720"/>
          <w:tab w:val="num" w:pos="0"/>
        </w:tabs>
        <w:spacing w:line="264" w:lineRule="auto"/>
        <w:ind w:left="0"/>
        <w:rPr>
          <w:bCs/>
          <w:sz w:val="25"/>
          <w:szCs w:val="25"/>
        </w:rPr>
      </w:pPr>
      <w:r w:rsidRPr="00942F86">
        <w:rPr>
          <w:sz w:val="25"/>
          <w:szCs w:val="25"/>
        </w:rPr>
        <w:t xml:space="preserve">Finally, Staff proposes that the Company be required to </w:t>
      </w:r>
      <w:r w:rsidRPr="00942F86">
        <w:rPr>
          <w:bCs/>
          <w:sz w:val="25"/>
          <w:szCs w:val="25"/>
        </w:rPr>
        <w:t>file quarterly reports of activity in the PCAM when it files its quarterly report of actual operations.  In addition, the Company will file annually, on or before April 1st of each year, its PCAM deferrals from the previous calendar year.  Standard discovery rules will apply for Company responses to data requests allowing the Commission Staff and interested parties the opportunity to review the deferral information during a 90-day review period ending June 30th of each year.  The 90-day review period may be extended by agreement of the parties participating in the review, or by Commission order.  The Commission will be asked to confirm and approve the deferral balances in an open meeting or to conduct appropriate process if they are challenged.</w:t>
      </w:r>
    </w:p>
    <w:p w14:paraId="1485DF69" w14:textId="77777777" w:rsidR="00174256" w:rsidRPr="00942F86" w:rsidRDefault="00174256" w:rsidP="000455AC">
      <w:pPr>
        <w:spacing w:line="264" w:lineRule="auto"/>
        <w:rPr>
          <w:sz w:val="25"/>
          <w:szCs w:val="25"/>
        </w:rPr>
      </w:pPr>
    </w:p>
    <w:p w14:paraId="3B9078ED" w14:textId="04F1FC84" w:rsidR="002010BC" w:rsidRPr="00942F86" w:rsidRDefault="00A96C0C"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w:t>
      </w:r>
      <w:r w:rsidR="00174256" w:rsidRPr="00942F86">
        <w:rPr>
          <w:sz w:val="25"/>
          <w:szCs w:val="25"/>
        </w:rPr>
        <w:t xml:space="preserve">We agree with Pacific Power’s repeated assertions over the past </w:t>
      </w:r>
      <w:r w:rsidR="00040AD2" w:rsidRPr="00942F86">
        <w:rPr>
          <w:sz w:val="25"/>
          <w:szCs w:val="25"/>
        </w:rPr>
        <w:t xml:space="preserve">10 </w:t>
      </w:r>
      <w:r w:rsidR="00174256" w:rsidRPr="00942F86">
        <w:rPr>
          <w:sz w:val="25"/>
          <w:szCs w:val="25"/>
        </w:rPr>
        <w:t xml:space="preserve">years that it should have a power cost </w:t>
      </w:r>
      <w:r w:rsidR="00040AD2" w:rsidRPr="00942F86">
        <w:rPr>
          <w:sz w:val="25"/>
          <w:szCs w:val="25"/>
        </w:rPr>
        <w:t xml:space="preserve">adjustment </w:t>
      </w:r>
      <w:r w:rsidR="00174256" w:rsidRPr="00942F86">
        <w:rPr>
          <w:sz w:val="25"/>
          <w:szCs w:val="25"/>
        </w:rPr>
        <w:t>mechanism in place to address higher than normal variability in its net power costs, just as do the other electric power utilities subject to the Commission’s jurisdiction, PSE</w:t>
      </w:r>
      <w:r w:rsidR="00D21E31" w:rsidRPr="00942F86">
        <w:rPr>
          <w:bCs/>
          <w:sz w:val="25"/>
          <w:szCs w:val="25"/>
          <w:vertAlign w:val="superscript"/>
        </w:rPr>
        <w:footnoteReference w:id="177"/>
      </w:r>
      <w:r w:rsidR="00174256" w:rsidRPr="00942F86">
        <w:rPr>
          <w:sz w:val="25"/>
          <w:szCs w:val="25"/>
        </w:rPr>
        <w:t xml:space="preserve"> and Avista.</w:t>
      </w:r>
      <w:r w:rsidR="00D21E31" w:rsidRPr="00942F86">
        <w:rPr>
          <w:rStyle w:val="FootnoteReference"/>
          <w:sz w:val="25"/>
          <w:szCs w:val="25"/>
        </w:rPr>
        <w:footnoteReference w:id="178"/>
      </w:r>
      <w:r w:rsidR="00174256" w:rsidRPr="00942F86">
        <w:rPr>
          <w:sz w:val="25"/>
          <w:szCs w:val="25"/>
        </w:rPr>
        <w:t xml:space="preserve">  </w:t>
      </w:r>
      <w:r w:rsidR="00040AD2" w:rsidRPr="00942F86">
        <w:rPr>
          <w:sz w:val="25"/>
          <w:szCs w:val="25"/>
        </w:rPr>
        <w:t>However, the Company has yet to come forward with a proposal that includes the properly designed elements the Commission has clearly said it requires.</w:t>
      </w:r>
      <w:r w:rsidR="002010BC" w:rsidRPr="00942F86">
        <w:rPr>
          <w:sz w:val="25"/>
          <w:szCs w:val="25"/>
        </w:rPr>
        <w:t xml:space="preserve">  </w:t>
      </w:r>
      <w:r w:rsidR="004E126B" w:rsidRPr="00942F86">
        <w:rPr>
          <w:sz w:val="25"/>
          <w:szCs w:val="25"/>
        </w:rPr>
        <w:t>This</w:t>
      </w:r>
      <w:r w:rsidR="002010BC" w:rsidRPr="00942F86">
        <w:rPr>
          <w:sz w:val="25"/>
          <w:szCs w:val="25"/>
        </w:rPr>
        <w:t xml:space="preserve"> is no longer acceptable, especially considering the clear, repeated discussion by the Commission in prior orders concerning the minimum requirements for a PCAM.  </w:t>
      </w:r>
      <w:r w:rsidR="002010BC" w:rsidRPr="00942F86">
        <w:rPr>
          <w:sz w:val="25"/>
          <w:szCs w:val="25"/>
        </w:rPr>
        <w:lastRenderedPageBreak/>
        <w:t>Thus, as we discuss in more detail below, we will begin an expedited proceeding within 30 days of entering this Order to develop and implement a full PCAM for Pacific Power consistent with the Commission’s direction in prior orders.  We expect to complete the proceeding, resulting in a tariff filing by Pacific Power, no later than May 31, 2015.</w:t>
      </w:r>
      <w:r w:rsidR="004E126B" w:rsidRPr="00942F86">
        <w:rPr>
          <w:sz w:val="25"/>
          <w:szCs w:val="25"/>
        </w:rPr>
        <w:t xml:space="preserve"> </w:t>
      </w:r>
    </w:p>
    <w:p w14:paraId="1C1B8671" w14:textId="77777777" w:rsidR="002010BC" w:rsidRPr="00942F86" w:rsidRDefault="002010BC" w:rsidP="000455AC">
      <w:pPr>
        <w:pStyle w:val="ListParagraph"/>
        <w:spacing w:line="264" w:lineRule="auto"/>
        <w:rPr>
          <w:sz w:val="25"/>
          <w:szCs w:val="25"/>
        </w:rPr>
      </w:pPr>
    </w:p>
    <w:p w14:paraId="31E65976" w14:textId="09E7DBD6" w:rsidR="00DC31EE" w:rsidRPr="00942F86" w:rsidRDefault="002010BC" w:rsidP="00FC421A">
      <w:pPr>
        <w:numPr>
          <w:ilvl w:val="0"/>
          <w:numId w:val="1"/>
        </w:numPr>
        <w:tabs>
          <w:tab w:val="clear" w:pos="720"/>
          <w:tab w:val="num" w:pos="0"/>
        </w:tabs>
        <w:spacing w:line="264" w:lineRule="auto"/>
        <w:ind w:left="0"/>
        <w:rPr>
          <w:sz w:val="25"/>
          <w:szCs w:val="25"/>
        </w:rPr>
      </w:pPr>
      <w:r w:rsidRPr="00942F86">
        <w:rPr>
          <w:sz w:val="25"/>
          <w:szCs w:val="25"/>
        </w:rPr>
        <w:t>We note that S</w:t>
      </w:r>
      <w:r w:rsidR="00174256" w:rsidRPr="00942F86">
        <w:rPr>
          <w:sz w:val="25"/>
          <w:szCs w:val="25"/>
        </w:rPr>
        <w:t>taff’s</w:t>
      </w:r>
      <w:r w:rsidR="00314B78" w:rsidRPr="00942F86">
        <w:rPr>
          <w:sz w:val="25"/>
          <w:szCs w:val="25"/>
        </w:rPr>
        <w:t xml:space="preserve"> proposal in this case is well-grounded in precedent, modeled both to be consistent with the ERM the Commission approved for Avista in </w:t>
      </w:r>
      <w:r w:rsidR="00D21E31" w:rsidRPr="00942F86">
        <w:rPr>
          <w:sz w:val="25"/>
          <w:szCs w:val="25"/>
        </w:rPr>
        <w:t>2002</w:t>
      </w:r>
      <w:r w:rsidR="00314B78" w:rsidRPr="00942F86">
        <w:rPr>
          <w:sz w:val="25"/>
          <w:szCs w:val="25"/>
        </w:rPr>
        <w:t xml:space="preserve"> and to reflect the guidance the Commission has provided specifically to Pacific Power in earlier cases.  Indeed, Staff’s effort appears to have been guided to a large degree by Pacific Power’s 2006/2007 PCAM proposal, which was based on Avista’s ERM, </w:t>
      </w:r>
      <w:r w:rsidRPr="00942F86">
        <w:rPr>
          <w:sz w:val="25"/>
          <w:szCs w:val="25"/>
        </w:rPr>
        <w:t xml:space="preserve">as well as </w:t>
      </w:r>
      <w:r w:rsidR="00314B78" w:rsidRPr="00942F86">
        <w:rPr>
          <w:sz w:val="25"/>
          <w:szCs w:val="25"/>
        </w:rPr>
        <w:t>the Commission’s discussion of that proposal’s failure to reflect circumstances specific to Pacific Power, including issues related to power cost measurement and asymmetry in the distribution of power costs.</w:t>
      </w:r>
      <w:r w:rsidR="00DC31EE" w:rsidRPr="00942F86">
        <w:rPr>
          <w:sz w:val="25"/>
          <w:szCs w:val="25"/>
        </w:rPr>
        <w:t xml:space="preserve">  We commend Staff for proposing such a model.</w:t>
      </w:r>
    </w:p>
    <w:p w14:paraId="42AD4650" w14:textId="6D02C32E" w:rsidR="00314B78" w:rsidRPr="00942F86" w:rsidRDefault="00314B78" w:rsidP="000455AC">
      <w:pPr>
        <w:spacing w:line="264" w:lineRule="auto"/>
        <w:rPr>
          <w:sz w:val="25"/>
          <w:szCs w:val="25"/>
        </w:rPr>
      </w:pPr>
      <w:r w:rsidRPr="00942F86">
        <w:rPr>
          <w:sz w:val="25"/>
          <w:szCs w:val="25"/>
        </w:rPr>
        <w:t xml:space="preserve">  </w:t>
      </w:r>
    </w:p>
    <w:p w14:paraId="23E071BF" w14:textId="39E6176A" w:rsidR="002010BC" w:rsidRPr="00942F86" w:rsidRDefault="002010BC" w:rsidP="00FC421A">
      <w:pPr>
        <w:numPr>
          <w:ilvl w:val="0"/>
          <w:numId w:val="1"/>
        </w:numPr>
        <w:tabs>
          <w:tab w:val="clear" w:pos="720"/>
          <w:tab w:val="num" w:pos="0"/>
        </w:tabs>
        <w:spacing w:line="264" w:lineRule="auto"/>
        <w:ind w:left="0"/>
        <w:rPr>
          <w:sz w:val="25"/>
          <w:szCs w:val="25"/>
        </w:rPr>
      </w:pPr>
      <w:r w:rsidRPr="00942F86">
        <w:rPr>
          <w:sz w:val="25"/>
          <w:szCs w:val="25"/>
        </w:rPr>
        <w:t>Despite Staff’s efforts to craft a well-balanced proposal that conforms to previous guidance from the Commission, we find the record should be developed further with respect to a number of questions including, for example:</w:t>
      </w:r>
      <w:r w:rsidR="001E0923" w:rsidRPr="00942F86">
        <w:rPr>
          <w:sz w:val="25"/>
          <w:szCs w:val="25"/>
        </w:rPr>
        <w:t xml:space="preserve"> </w:t>
      </w:r>
    </w:p>
    <w:p w14:paraId="5271069B" w14:textId="77777777" w:rsidR="004E126B" w:rsidRPr="00942F86" w:rsidRDefault="004E126B" w:rsidP="000455AC">
      <w:pPr>
        <w:spacing w:line="264" w:lineRule="auto"/>
        <w:rPr>
          <w:sz w:val="25"/>
          <w:szCs w:val="25"/>
        </w:rPr>
      </w:pPr>
    </w:p>
    <w:p w14:paraId="02D2DDAA" w14:textId="77777777" w:rsidR="002010BC" w:rsidRPr="00942F86" w:rsidRDefault="002010BC" w:rsidP="009702F8">
      <w:pPr>
        <w:numPr>
          <w:ilvl w:val="0"/>
          <w:numId w:val="23"/>
        </w:numPr>
        <w:spacing w:after="120"/>
        <w:ind w:left="1080"/>
        <w:rPr>
          <w:sz w:val="25"/>
          <w:szCs w:val="25"/>
        </w:rPr>
      </w:pPr>
      <w:r w:rsidRPr="00BF7B6F">
        <w:rPr>
          <w:rFonts w:eastAsia="Calibri"/>
          <w:sz w:val="25"/>
          <w:szCs w:val="25"/>
        </w:rPr>
        <w:t>Is</w:t>
      </w:r>
      <w:r w:rsidRPr="00942F86">
        <w:rPr>
          <w:sz w:val="25"/>
          <w:szCs w:val="25"/>
        </w:rPr>
        <w:t xml:space="preserve"> it appropriate to use the WCA as the jurisdictional divide for wholesale power costs?</w:t>
      </w:r>
    </w:p>
    <w:p w14:paraId="781420BB" w14:textId="0EDF923E" w:rsidR="00F9592D" w:rsidRPr="009702F8" w:rsidRDefault="002010BC" w:rsidP="00EA3F7E">
      <w:pPr>
        <w:numPr>
          <w:ilvl w:val="0"/>
          <w:numId w:val="23"/>
        </w:numPr>
        <w:spacing w:after="120" w:line="264" w:lineRule="auto"/>
        <w:ind w:left="1080"/>
        <w:rPr>
          <w:sz w:val="25"/>
          <w:szCs w:val="25"/>
        </w:rPr>
      </w:pPr>
      <w:r w:rsidRPr="009702F8">
        <w:rPr>
          <w:rFonts w:eastAsia="Calibri"/>
          <w:sz w:val="25"/>
          <w:szCs w:val="25"/>
        </w:rPr>
        <w:t>Is</w:t>
      </w:r>
      <w:r w:rsidRPr="009702F8">
        <w:rPr>
          <w:sz w:val="25"/>
          <w:szCs w:val="25"/>
        </w:rPr>
        <w:t xml:space="preserve"> $25 million the appropriate dead band and how did Staff determine this amount?  </w:t>
      </w:r>
    </w:p>
    <w:p w14:paraId="7C64E825" w14:textId="77777777" w:rsidR="002010BC" w:rsidRPr="00942F86" w:rsidRDefault="002010BC" w:rsidP="009702F8">
      <w:pPr>
        <w:numPr>
          <w:ilvl w:val="0"/>
          <w:numId w:val="23"/>
        </w:numPr>
        <w:spacing w:after="120"/>
        <w:ind w:left="1080"/>
        <w:rPr>
          <w:sz w:val="25"/>
          <w:szCs w:val="25"/>
        </w:rPr>
      </w:pPr>
      <w:r w:rsidRPr="00942F86">
        <w:rPr>
          <w:sz w:val="25"/>
          <w:szCs w:val="25"/>
        </w:rPr>
        <w:t>Does $25 million reflect normalized variability in power costs?</w:t>
      </w:r>
    </w:p>
    <w:p w14:paraId="5EF8A6A5" w14:textId="16DB42F0" w:rsidR="001C5562" w:rsidRDefault="002010BC" w:rsidP="009702F8">
      <w:pPr>
        <w:numPr>
          <w:ilvl w:val="0"/>
          <w:numId w:val="23"/>
        </w:numPr>
        <w:spacing w:line="264" w:lineRule="auto"/>
        <w:ind w:left="1080"/>
        <w:rPr>
          <w:sz w:val="25"/>
          <w:szCs w:val="25"/>
        </w:rPr>
      </w:pPr>
      <w:r w:rsidRPr="009702F8">
        <w:rPr>
          <w:sz w:val="25"/>
          <w:szCs w:val="25"/>
        </w:rPr>
        <w:t xml:space="preserve">How exactly did Staff arrive at its recommendation for a 50/50 sharing between the Company and its customers for under recoveries of NPC that exceed the dead band and a 25/75 sharing for over recoveries, in favor of customers? </w:t>
      </w:r>
    </w:p>
    <w:p w14:paraId="39ECF314" w14:textId="77777777" w:rsidR="009702F8" w:rsidRPr="009702F8" w:rsidRDefault="009702F8" w:rsidP="009702F8">
      <w:pPr>
        <w:spacing w:line="264" w:lineRule="auto"/>
        <w:ind w:left="720"/>
        <w:rPr>
          <w:sz w:val="25"/>
          <w:szCs w:val="25"/>
        </w:rPr>
      </w:pPr>
    </w:p>
    <w:p w14:paraId="1B084E51" w14:textId="77FBADE1" w:rsidR="00DC31EE" w:rsidRPr="00942F86" w:rsidRDefault="002010BC" w:rsidP="00FC421A">
      <w:pPr>
        <w:numPr>
          <w:ilvl w:val="0"/>
          <w:numId w:val="1"/>
        </w:numPr>
        <w:tabs>
          <w:tab w:val="clear" w:pos="720"/>
          <w:tab w:val="num" w:pos="0"/>
        </w:tabs>
        <w:spacing w:line="264" w:lineRule="auto"/>
        <w:ind w:left="0"/>
        <w:rPr>
          <w:sz w:val="25"/>
          <w:szCs w:val="25"/>
        </w:rPr>
      </w:pPr>
      <w:r w:rsidRPr="00942F86">
        <w:rPr>
          <w:sz w:val="25"/>
          <w:szCs w:val="25"/>
        </w:rPr>
        <w:t>Given these</w:t>
      </w:r>
      <w:r w:rsidR="00DC31EE" w:rsidRPr="00942F86">
        <w:rPr>
          <w:sz w:val="25"/>
          <w:szCs w:val="25"/>
        </w:rPr>
        <w:t xml:space="preserve"> </w:t>
      </w:r>
      <w:r w:rsidR="00883010" w:rsidRPr="00942F86">
        <w:rPr>
          <w:sz w:val="25"/>
          <w:szCs w:val="25"/>
        </w:rPr>
        <w:t>needs to supplement</w:t>
      </w:r>
      <w:r w:rsidR="00DC31EE" w:rsidRPr="00942F86">
        <w:rPr>
          <w:sz w:val="25"/>
          <w:szCs w:val="25"/>
        </w:rPr>
        <w:t xml:space="preserve"> our record</w:t>
      </w:r>
      <w:r w:rsidR="00883010" w:rsidRPr="00942F86">
        <w:rPr>
          <w:sz w:val="25"/>
          <w:szCs w:val="25"/>
        </w:rPr>
        <w:t xml:space="preserve"> we will conduct</w:t>
      </w:r>
      <w:r w:rsidR="00DC31EE" w:rsidRPr="00942F86">
        <w:rPr>
          <w:sz w:val="25"/>
          <w:szCs w:val="25"/>
        </w:rPr>
        <w:t xml:space="preserve"> further proceedings </w:t>
      </w:r>
      <w:r w:rsidR="00883010" w:rsidRPr="00942F86">
        <w:rPr>
          <w:sz w:val="25"/>
          <w:szCs w:val="25"/>
        </w:rPr>
        <w:t>to identify and resolve</w:t>
      </w:r>
      <w:r w:rsidR="00DC31EE" w:rsidRPr="00942F86">
        <w:rPr>
          <w:sz w:val="25"/>
          <w:szCs w:val="25"/>
        </w:rPr>
        <w:t xml:space="preserve"> the details of </w:t>
      </w:r>
      <w:r w:rsidR="00445332" w:rsidRPr="00942F86">
        <w:rPr>
          <w:sz w:val="25"/>
          <w:szCs w:val="25"/>
        </w:rPr>
        <w:t xml:space="preserve">designing fully and implementing </w:t>
      </w:r>
      <w:r w:rsidR="00DC31EE" w:rsidRPr="00942F86">
        <w:rPr>
          <w:sz w:val="25"/>
          <w:szCs w:val="25"/>
        </w:rPr>
        <w:t>a PCAM</w:t>
      </w:r>
      <w:r w:rsidR="00883010" w:rsidRPr="00942F86">
        <w:rPr>
          <w:sz w:val="25"/>
          <w:szCs w:val="25"/>
        </w:rPr>
        <w:t xml:space="preserve"> mechanism for Pacific Power</w:t>
      </w:r>
      <w:r w:rsidR="00DC31EE" w:rsidRPr="00942F86">
        <w:rPr>
          <w:sz w:val="25"/>
          <w:szCs w:val="25"/>
        </w:rPr>
        <w:t>.</w:t>
      </w:r>
      <w:r w:rsidR="00DD7E13" w:rsidRPr="00942F86">
        <w:rPr>
          <w:sz w:val="25"/>
          <w:szCs w:val="25"/>
        </w:rPr>
        <w:t xml:space="preserve">  </w:t>
      </w:r>
      <w:r w:rsidR="00883010" w:rsidRPr="00942F86">
        <w:rPr>
          <w:sz w:val="25"/>
          <w:szCs w:val="25"/>
        </w:rPr>
        <w:t>Thus, we</w:t>
      </w:r>
      <w:r w:rsidR="00F02DB4" w:rsidRPr="00942F86">
        <w:rPr>
          <w:sz w:val="25"/>
          <w:szCs w:val="25"/>
        </w:rPr>
        <w:t xml:space="preserve"> will set by separate notice a date for </w:t>
      </w:r>
      <w:r w:rsidR="00883010" w:rsidRPr="00942F86">
        <w:rPr>
          <w:sz w:val="25"/>
          <w:szCs w:val="25"/>
        </w:rPr>
        <w:t>a</w:t>
      </w:r>
      <w:r w:rsidR="00F02DB4" w:rsidRPr="00942F86">
        <w:rPr>
          <w:sz w:val="25"/>
          <w:szCs w:val="25"/>
        </w:rPr>
        <w:t xml:space="preserve"> prehearing conference </w:t>
      </w:r>
      <w:r w:rsidR="00883010" w:rsidRPr="00942F86">
        <w:rPr>
          <w:sz w:val="25"/>
          <w:szCs w:val="25"/>
        </w:rPr>
        <w:t xml:space="preserve">within 30 days </w:t>
      </w:r>
      <w:r w:rsidR="00F02DB4" w:rsidRPr="00942F86">
        <w:rPr>
          <w:sz w:val="25"/>
          <w:szCs w:val="25"/>
        </w:rPr>
        <w:t xml:space="preserve">following the entry of this Order to establish a </w:t>
      </w:r>
      <w:r w:rsidR="00883010" w:rsidRPr="00942F86">
        <w:rPr>
          <w:sz w:val="25"/>
          <w:szCs w:val="25"/>
        </w:rPr>
        <w:t xml:space="preserve">procedural </w:t>
      </w:r>
      <w:r w:rsidR="00F02DB4" w:rsidRPr="00942F86">
        <w:rPr>
          <w:sz w:val="25"/>
          <w:szCs w:val="25"/>
        </w:rPr>
        <w:t xml:space="preserve">schedule to develop the details we find, and others may suggest, are </w:t>
      </w:r>
      <w:r w:rsidR="00883010" w:rsidRPr="00942F86">
        <w:rPr>
          <w:sz w:val="25"/>
          <w:szCs w:val="25"/>
        </w:rPr>
        <w:t xml:space="preserve">necessary </w:t>
      </w:r>
      <w:r w:rsidR="00F02DB4" w:rsidRPr="00942F86">
        <w:rPr>
          <w:sz w:val="25"/>
          <w:szCs w:val="25"/>
        </w:rPr>
        <w:t xml:space="preserve">to implement fully the PCAM we determine is required for Pacific Power.  The prehearing conference also will provide a forum for further discussion of what </w:t>
      </w:r>
      <w:r w:rsidR="00F02DB4" w:rsidRPr="00942F86">
        <w:rPr>
          <w:sz w:val="25"/>
          <w:szCs w:val="25"/>
        </w:rPr>
        <w:lastRenderedPageBreak/>
        <w:t xml:space="preserve">issues </w:t>
      </w:r>
      <w:r w:rsidR="00883010" w:rsidRPr="00942F86">
        <w:rPr>
          <w:sz w:val="25"/>
          <w:szCs w:val="25"/>
        </w:rPr>
        <w:t xml:space="preserve">require </w:t>
      </w:r>
      <w:r w:rsidR="00F02DB4" w:rsidRPr="00942F86">
        <w:rPr>
          <w:sz w:val="25"/>
          <w:szCs w:val="25"/>
        </w:rPr>
        <w:t>additional development.  Finally, the prehearing conference will provide an opportunity to explore the potential for early settlement discussions among the parties, which the Commission strongly encourages.</w:t>
      </w:r>
    </w:p>
    <w:p w14:paraId="19A7AACC" w14:textId="77777777" w:rsidR="0079075D" w:rsidRPr="00942F86" w:rsidRDefault="0079075D" w:rsidP="000455AC">
      <w:pPr>
        <w:pStyle w:val="ListParagraph"/>
        <w:spacing w:line="264" w:lineRule="auto"/>
        <w:rPr>
          <w:sz w:val="25"/>
          <w:szCs w:val="25"/>
        </w:rPr>
      </w:pPr>
    </w:p>
    <w:p w14:paraId="32163979" w14:textId="5A4EE5C8" w:rsidR="0079075D" w:rsidRPr="00942F86" w:rsidRDefault="0079075D" w:rsidP="00FC421A">
      <w:pPr>
        <w:numPr>
          <w:ilvl w:val="0"/>
          <w:numId w:val="1"/>
        </w:numPr>
        <w:tabs>
          <w:tab w:val="clear" w:pos="720"/>
          <w:tab w:val="num" w:pos="0"/>
        </w:tabs>
        <w:spacing w:line="264" w:lineRule="auto"/>
        <w:ind w:left="0"/>
        <w:rPr>
          <w:sz w:val="25"/>
          <w:szCs w:val="25"/>
        </w:rPr>
      </w:pPr>
      <w:r w:rsidRPr="00942F86">
        <w:rPr>
          <w:sz w:val="25"/>
          <w:szCs w:val="25"/>
        </w:rPr>
        <w:t xml:space="preserve">We direct our questions above to Staff, considering that the Company did not file a full PCAM in this case, and that other parties complain of having too little time to contribute meaningfully to the development of such a </w:t>
      </w:r>
      <w:r w:rsidR="00E60F47" w:rsidRPr="00942F86">
        <w:rPr>
          <w:sz w:val="25"/>
          <w:szCs w:val="25"/>
        </w:rPr>
        <w:t>tool</w:t>
      </w:r>
      <w:r w:rsidR="004E126B" w:rsidRPr="00942F86">
        <w:rPr>
          <w:sz w:val="25"/>
          <w:szCs w:val="25"/>
        </w:rPr>
        <w:t>.  However,</w:t>
      </w:r>
      <w:r w:rsidRPr="00942F86">
        <w:rPr>
          <w:sz w:val="25"/>
          <w:szCs w:val="25"/>
        </w:rPr>
        <w:t xml:space="preserve"> we invite the Company and others who have an interest to bring their own ideas to our attention with detailed explanation and support.  We can then tailor a PCAM to </w:t>
      </w:r>
      <w:r w:rsidR="00883010" w:rsidRPr="00942F86">
        <w:rPr>
          <w:sz w:val="25"/>
          <w:szCs w:val="25"/>
        </w:rPr>
        <w:t xml:space="preserve">the unique characteristics of </w:t>
      </w:r>
      <w:r w:rsidRPr="00942F86">
        <w:rPr>
          <w:sz w:val="25"/>
          <w:szCs w:val="25"/>
        </w:rPr>
        <w:t xml:space="preserve">Pacific Power taking into account a range of well-supported ideas. </w:t>
      </w:r>
    </w:p>
    <w:p w14:paraId="6A7FF3C6" w14:textId="77777777" w:rsidR="001E0923" w:rsidRPr="00942F86" w:rsidRDefault="001E0923" w:rsidP="000455AC">
      <w:pPr>
        <w:spacing w:line="264" w:lineRule="auto"/>
        <w:rPr>
          <w:sz w:val="25"/>
          <w:szCs w:val="25"/>
        </w:rPr>
      </w:pPr>
    </w:p>
    <w:p w14:paraId="6B4B4476" w14:textId="06B2EF56" w:rsidR="004E126B" w:rsidRPr="00942F86" w:rsidRDefault="00E60F47" w:rsidP="00FC421A">
      <w:pPr>
        <w:numPr>
          <w:ilvl w:val="0"/>
          <w:numId w:val="1"/>
        </w:numPr>
        <w:tabs>
          <w:tab w:val="clear" w:pos="720"/>
          <w:tab w:val="num" w:pos="0"/>
        </w:tabs>
        <w:spacing w:line="264" w:lineRule="auto"/>
        <w:ind w:left="0"/>
        <w:rPr>
          <w:sz w:val="25"/>
          <w:szCs w:val="25"/>
        </w:rPr>
      </w:pPr>
      <w:r w:rsidRPr="00942F86">
        <w:rPr>
          <w:sz w:val="25"/>
          <w:szCs w:val="25"/>
        </w:rPr>
        <w:t>W</w:t>
      </w:r>
      <w:r w:rsidR="00883010" w:rsidRPr="00942F86">
        <w:rPr>
          <w:sz w:val="25"/>
          <w:szCs w:val="25"/>
        </w:rPr>
        <w:t xml:space="preserve">e believe some additional time is necessary, </w:t>
      </w:r>
      <w:r w:rsidRPr="00942F86">
        <w:rPr>
          <w:sz w:val="25"/>
          <w:szCs w:val="25"/>
        </w:rPr>
        <w:t xml:space="preserve">however, </w:t>
      </w:r>
      <w:r w:rsidR="00883010" w:rsidRPr="00942F86">
        <w:rPr>
          <w:sz w:val="25"/>
          <w:szCs w:val="25"/>
        </w:rPr>
        <w:t xml:space="preserve">we do not believe that this will require a great deal since these concepts have been discussed in detail for nearly 10 years.  We </w:t>
      </w:r>
      <w:r w:rsidR="001E0923" w:rsidRPr="00942F86">
        <w:rPr>
          <w:sz w:val="25"/>
          <w:szCs w:val="25"/>
        </w:rPr>
        <w:t xml:space="preserve">will require </w:t>
      </w:r>
      <w:r w:rsidR="00883010" w:rsidRPr="00942F86">
        <w:rPr>
          <w:sz w:val="25"/>
          <w:szCs w:val="25"/>
        </w:rPr>
        <w:t xml:space="preserve">Pacific Power </w:t>
      </w:r>
      <w:r w:rsidR="001E0923" w:rsidRPr="00942F86">
        <w:rPr>
          <w:sz w:val="25"/>
          <w:szCs w:val="25"/>
        </w:rPr>
        <w:t xml:space="preserve">to file tariff sheets necessary and adequate to implement a Power Cost Adjustment Mechanism </w:t>
      </w:r>
      <w:r w:rsidRPr="00942F86">
        <w:rPr>
          <w:sz w:val="25"/>
          <w:szCs w:val="25"/>
        </w:rPr>
        <w:t>no later than</w:t>
      </w:r>
      <w:r w:rsidR="00883010" w:rsidRPr="00942F86">
        <w:rPr>
          <w:sz w:val="25"/>
          <w:szCs w:val="25"/>
        </w:rPr>
        <w:t xml:space="preserve"> May 31, 2015.  If no full-party agreement can be reached by that time, or the Company declines by that date to file a full PCAM consistent with prior Commission orders, we will approve expeditiously a mechanism </w:t>
      </w:r>
      <w:r w:rsidR="0079075D" w:rsidRPr="00942F86">
        <w:rPr>
          <w:sz w:val="25"/>
          <w:szCs w:val="25"/>
        </w:rPr>
        <w:t xml:space="preserve">generally </w:t>
      </w:r>
      <w:r w:rsidR="001E0923" w:rsidRPr="00942F86">
        <w:rPr>
          <w:sz w:val="25"/>
          <w:szCs w:val="25"/>
        </w:rPr>
        <w:t xml:space="preserve">along the lines Staff proposes in this docket. </w:t>
      </w:r>
    </w:p>
    <w:p w14:paraId="573AEBC0" w14:textId="418E403A" w:rsidR="00A96C0C" w:rsidRPr="00942F86" w:rsidRDefault="001E0923" w:rsidP="000455AC">
      <w:pPr>
        <w:spacing w:line="264" w:lineRule="auto"/>
        <w:rPr>
          <w:sz w:val="25"/>
          <w:szCs w:val="25"/>
        </w:rPr>
      </w:pPr>
      <w:r w:rsidRPr="00942F86">
        <w:rPr>
          <w:sz w:val="25"/>
          <w:szCs w:val="25"/>
        </w:rPr>
        <w:t xml:space="preserve"> </w:t>
      </w:r>
      <w:r w:rsidR="00A96C0C" w:rsidRPr="00942F86">
        <w:rPr>
          <w:sz w:val="25"/>
          <w:szCs w:val="25"/>
        </w:rPr>
        <w:t xml:space="preserve">  </w:t>
      </w:r>
    </w:p>
    <w:p w14:paraId="0AF1BEA8" w14:textId="1EB921A6" w:rsidR="00704BF9" w:rsidRPr="00942F86" w:rsidRDefault="00E60F47" w:rsidP="00FC421A">
      <w:pPr>
        <w:numPr>
          <w:ilvl w:val="0"/>
          <w:numId w:val="1"/>
        </w:numPr>
        <w:tabs>
          <w:tab w:val="clear" w:pos="720"/>
          <w:tab w:val="num" w:pos="0"/>
        </w:tabs>
        <w:spacing w:line="264" w:lineRule="auto"/>
        <w:ind w:left="0"/>
        <w:rPr>
          <w:sz w:val="25"/>
          <w:szCs w:val="25"/>
        </w:rPr>
      </w:pPr>
      <w:r w:rsidRPr="00942F86">
        <w:rPr>
          <w:sz w:val="25"/>
          <w:szCs w:val="25"/>
        </w:rPr>
        <w:t>Furthermore, w</w:t>
      </w:r>
      <w:r w:rsidR="00DC31EE" w:rsidRPr="00942F86">
        <w:rPr>
          <w:sz w:val="25"/>
          <w:szCs w:val="25"/>
        </w:rPr>
        <w:t>e take this opportunity</w:t>
      </w:r>
      <w:r w:rsidR="00883010" w:rsidRPr="00942F86">
        <w:rPr>
          <w:sz w:val="25"/>
          <w:szCs w:val="25"/>
        </w:rPr>
        <w:t xml:space="preserve"> </w:t>
      </w:r>
      <w:r w:rsidR="00DC31EE" w:rsidRPr="00942F86">
        <w:rPr>
          <w:sz w:val="25"/>
          <w:szCs w:val="25"/>
        </w:rPr>
        <w:t>to reiterate that t</w:t>
      </w:r>
      <w:r w:rsidR="00704BF9" w:rsidRPr="00942F86">
        <w:rPr>
          <w:sz w:val="25"/>
          <w:szCs w:val="25"/>
        </w:rPr>
        <w:t xml:space="preserve">here </w:t>
      </w:r>
      <w:r w:rsidR="00DC31EE" w:rsidRPr="00942F86">
        <w:rPr>
          <w:sz w:val="25"/>
          <w:szCs w:val="25"/>
        </w:rPr>
        <w:t>is no</w:t>
      </w:r>
      <w:r w:rsidR="00704BF9" w:rsidRPr="00942F86">
        <w:rPr>
          <w:sz w:val="25"/>
          <w:szCs w:val="25"/>
        </w:rPr>
        <w:t xml:space="preserve"> barrier to the Company filing for approval of a </w:t>
      </w:r>
      <w:proofErr w:type="spellStart"/>
      <w:r w:rsidR="00704BF9" w:rsidRPr="00942F86">
        <w:rPr>
          <w:sz w:val="25"/>
          <w:szCs w:val="25"/>
        </w:rPr>
        <w:t>PCORC</w:t>
      </w:r>
      <w:proofErr w:type="spellEnd"/>
      <w:r w:rsidR="00704BF9" w:rsidRPr="00942F86">
        <w:rPr>
          <w:sz w:val="25"/>
          <w:szCs w:val="25"/>
        </w:rPr>
        <w:t xml:space="preserve"> mechanism</w:t>
      </w:r>
      <w:r w:rsidR="00DC31EE" w:rsidRPr="00942F86">
        <w:rPr>
          <w:sz w:val="25"/>
          <w:szCs w:val="25"/>
        </w:rPr>
        <w:t xml:space="preserve">, if </w:t>
      </w:r>
      <w:r w:rsidR="00883010" w:rsidRPr="00942F86">
        <w:rPr>
          <w:sz w:val="25"/>
          <w:szCs w:val="25"/>
        </w:rPr>
        <w:t>the Company</w:t>
      </w:r>
      <w:r w:rsidR="00DC31EE" w:rsidRPr="00942F86">
        <w:rPr>
          <w:sz w:val="25"/>
          <w:szCs w:val="25"/>
        </w:rPr>
        <w:t xml:space="preserve"> </w:t>
      </w:r>
      <w:r w:rsidR="00883010" w:rsidRPr="00942F86">
        <w:rPr>
          <w:sz w:val="25"/>
          <w:szCs w:val="25"/>
        </w:rPr>
        <w:t>perceives it to be</w:t>
      </w:r>
      <w:r w:rsidR="00DC31EE" w:rsidRPr="00942F86">
        <w:rPr>
          <w:sz w:val="25"/>
          <w:szCs w:val="25"/>
        </w:rPr>
        <w:t xml:space="preserve"> necessary and appropriate to resolve</w:t>
      </w:r>
      <w:r w:rsidR="00445332" w:rsidRPr="00942F86">
        <w:rPr>
          <w:sz w:val="25"/>
          <w:szCs w:val="25"/>
        </w:rPr>
        <w:t xml:space="preserve"> issues related to the detailed PCAM design</w:t>
      </w:r>
      <w:r w:rsidR="00704BF9" w:rsidRPr="00942F86">
        <w:rPr>
          <w:sz w:val="25"/>
          <w:szCs w:val="25"/>
        </w:rPr>
        <w:t>.</w:t>
      </w:r>
      <w:r w:rsidR="00DC31EE" w:rsidRPr="00942F86">
        <w:rPr>
          <w:rStyle w:val="FootnoteReference"/>
          <w:sz w:val="25"/>
          <w:szCs w:val="25"/>
        </w:rPr>
        <w:footnoteReference w:id="179"/>
      </w:r>
      <w:r w:rsidR="00445332" w:rsidRPr="00942F86">
        <w:rPr>
          <w:sz w:val="25"/>
          <w:szCs w:val="25"/>
        </w:rPr>
        <w:t xml:space="preserve">  </w:t>
      </w:r>
      <w:r w:rsidR="00883010" w:rsidRPr="00942F86">
        <w:rPr>
          <w:sz w:val="25"/>
          <w:szCs w:val="25"/>
        </w:rPr>
        <w:lastRenderedPageBreak/>
        <w:t xml:space="preserve">The Company </w:t>
      </w:r>
      <w:r w:rsidR="004C2E34" w:rsidRPr="00942F86">
        <w:rPr>
          <w:sz w:val="25"/>
          <w:szCs w:val="25"/>
        </w:rPr>
        <w:t>may</w:t>
      </w:r>
      <w:r w:rsidR="00883010" w:rsidRPr="00942F86">
        <w:rPr>
          <w:sz w:val="25"/>
          <w:szCs w:val="25"/>
        </w:rPr>
        <w:t xml:space="preserve"> do so</w:t>
      </w:r>
      <w:r w:rsidR="00445332" w:rsidRPr="00942F86">
        <w:rPr>
          <w:sz w:val="25"/>
          <w:szCs w:val="25"/>
        </w:rPr>
        <w:t xml:space="preserve"> either as part of a settlement agreement in the subsequent phase of this docket, or by means of a separate filing of a unilateral proposal by Pacific Power</w:t>
      </w:r>
      <w:r w:rsidR="0079075D" w:rsidRPr="00942F86">
        <w:rPr>
          <w:sz w:val="25"/>
          <w:szCs w:val="25"/>
        </w:rPr>
        <w:t xml:space="preserve"> to which Staff and other interested persons may respond</w:t>
      </w:r>
      <w:r w:rsidR="00445332" w:rsidRPr="00942F86">
        <w:rPr>
          <w:sz w:val="25"/>
          <w:szCs w:val="25"/>
        </w:rPr>
        <w:t>.</w:t>
      </w:r>
      <w:r w:rsidR="00704BF9" w:rsidRPr="00942F86">
        <w:rPr>
          <w:sz w:val="25"/>
          <w:szCs w:val="25"/>
        </w:rPr>
        <w:t xml:space="preserve">  </w:t>
      </w:r>
    </w:p>
    <w:p w14:paraId="0A731A17" w14:textId="77777777" w:rsidR="00A96C0C" w:rsidRPr="00942F86" w:rsidRDefault="00A96C0C" w:rsidP="000455AC">
      <w:pPr>
        <w:spacing w:line="264" w:lineRule="auto"/>
        <w:rPr>
          <w:sz w:val="25"/>
          <w:szCs w:val="25"/>
        </w:rPr>
      </w:pPr>
    </w:p>
    <w:p w14:paraId="281709CA" w14:textId="287EE57A" w:rsidR="00A5424B" w:rsidRPr="00942F86" w:rsidRDefault="00A5424B" w:rsidP="000455AC">
      <w:pPr>
        <w:pStyle w:val="Heading3"/>
        <w:spacing w:before="0" w:after="0"/>
        <w:rPr>
          <w:rFonts w:cs="Times New Roman"/>
        </w:rPr>
      </w:pPr>
      <w:bookmarkStart w:id="27" w:name="_Toc415037624"/>
      <w:r w:rsidRPr="00942F86">
        <w:rPr>
          <w:rFonts w:cs="Times New Roman"/>
        </w:rPr>
        <w:t>Renewable Resource Tracking Mechanism (RRTM)</w:t>
      </w:r>
      <w:bookmarkEnd w:id="27"/>
      <w:r w:rsidRPr="00942F86">
        <w:rPr>
          <w:rFonts w:cs="Times New Roman"/>
        </w:rPr>
        <w:t xml:space="preserve"> </w:t>
      </w:r>
    </w:p>
    <w:p w14:paraId="16DF43B5" w14:textId="77777777" w:rsidR="00A5424B" w:rsidRPr="00942F86" w:rsidRDefault="00A5424B" w:rsidP="000455AC">
      <w:pPr>
        <w:spacing w:line="264" w:lineRule="auto"/>
        <w:rPr>
          <w:sz w:val="25"/>
          <w:szCs w:val="25"/>
        </w:rPr>
      </w:pPr>
    </w:p>
    <w:p w14:paraId="0E352882" w14:textId="7FECE90C" w:rsidR="00A5424B" w:rsidRPr="00942F86" w:rsidRDefault="00E60F47" w:rsidP="00FC421A">
      <w:pPr>
        <w:numPr>
          <w:ilvl w:val="0"/>
          <w:numId w:val="1"/>
        </w:numPr>
        <w:tabs>
          <w:tab w:val="clear" w:pos="720"/>
          <w:tab w:val="num" w:pos="0"/>
        </w:tabs>
        <w:spacing w:line="264" w:lineRule="auto"/>
        <w:ind w:left="0"/>
        <w:rPr>
          <w:sz w:val="25"/>
          <w:szCs w:val="25"/>
        </w:rPr>
      </w:pPr>
      <w:r w:rsidRPr="00942F86">
        <w:rPr>
          <w:sz w:val="25"/>
          <w:szCs w:val="25"/>
        </w:rPr>
        <w:t xml:space="preserve">As discussed above, </w:t>
      </w:r>
      <w:r w:rsidR="00A5424B" w:rsidRPr="00942F86">
        <w:rPr>
          <w:sz w:val="25"/>
          <w:szCs w:val="25"/>
        </w:rPr>
        <w:t>Pacific Power</w:t>
      </w:r>
      <w:r w:rsidRPr="00942F86">
        <w:rPr>
          <w:sz w:val="25"/>
          <w:szCs w:val="25"/>
        </w:rPr>
        <w:t xml:space="preserve"> proposes in this case</w:t>
      </w:r>
      <w:r w:rsidR="00F8259A" w:rsidRPr="00942F86">
        <w:rPr>
          <w:sz w:val="25"/>
          <w:szCs w:val="25"/>
        </w:rPr>
        <w:t xml:space="preserve"> a power cost </w:t>
      </w:r>
      <w:r w:rsidR="00A5424B" w:rsidRPr="00942F86">
        <w:rPr>
          <w:sz w:val="25"/>
          <w:szCs w:val="25"/>
        </w:rPr>
        <w:t>tracker mechanism providing a dollar-for-dollar true-up between forecast and actual power costs on an annual basis that is principally different from its proposal</w:t>
      </w:r>
      <w:r w:rsidR="00F8259A" w:rsidRPr="00942F86">
        <w:rPr>
          <w:sz w:val="25"/>
          <w:szCs w:val="25"/>
        </w:rPr>
        <w:t xml:space="preserve"> in Docket UE-130043</w:t>
      </w:r>
      <w:r w:rsidR="00A5424B" w:rsidRPr="00942F86">
        <w:rPr>
          <w:sz w:val="25"/>
          <w:szCs w:val="25"/>
        </w:rPr>
        <w:t xml:space="preserve"> only because it would track just a part of the Company’s power portfolio instead of the full portfolio.  Mr. Duvall identifies the mechanism “as a more narrowly tailored mechanism,” a Renewable Resource Tracking Mechanism (RRTM) limited to “resources eligible for the renewable portfolio standard (</w:t>
      </w:r>
      <w:proofErr w:type="spellStart"/>
      <w:r w:rsidR="00A5424B" w:rsidRPr="00942F86">
        <w:rPr>
          <w:sz w:val="25"/>
          <w:szCs w:val="25"/>
        </w:rPr>
        <w:t>RPS</w:t>
      </w:r>
      <w:proofErr w:type="spellEnd"/>
      <w:r w:rsidR="00A5424B" w:rsidRPr="00942F86">
        <w:rPr>
          <w:sz w:val="25"/>
          <w:szCs w:val="25"/>
        </w:rPr>
        <w:t>) included in Washington rates.”</w:t>
      </w:r>
      <w:r w:rsidR="00A5424B" w:rsidRPr="00942F86">
        <w:rPr>
          <w:sz w:val="25"/>
          <w:szCs w:val="25"/>
          <w:vertAlign w:val="superscript"/>
        </w:rPr>
        <w:footnoteReference w:id="180"/>
      </w:r>
      <w:r w:rsidR="00A5424B" w:rsidRPr="00942F86">
        <w:rPr>
          <w:sz w:val="25"/>
          <w:szCs w:val="25"/>
        </w:rPr>
        <w:t xml:space="preserve">  As Mr. Twitchell testifies for Staff:</w:t>
      </w:r>
    </w:p>
    <w:p w14:paraId="285FCE15" w14:textId="77777777" w:rsidR="00A5424B" w:rsidRPr="00942F86" w:rsidRDefault="00A5424B" w:rsidP="000455AC">
      <w:pPr>
        <w:spacing w:line="264" w:lineRule="auto"/>
        <w:rPr>
          <w:sz w:val="25"/>
          <w:szCs w:val="25"/>
        </w:rPr>
      </w:pPr>
    </w:p>
    <w:p w14:paraId="7E71C0B6" w14:textId="00EB919F" w:rsidR="00A5424B" w:rsidRPr="00942F86" w:rsidRDefault="00A5424B" w:rsidP="000455AC">
      <w:pPr>
        <w:spacing w:line="264" w:lineRule="auto"/>
        <w:ind w:left="720" w:right="720"/>
        <w:rPr>
          <w:sz w:val="25"/>
          <w:szCs w:val="25"/>
        </w:rPr>
      </w:pPr>
      <w:r w:rsidRPr="00942F86">
        <w:rPr>
          <w:sz w:val="25"/>
          <w:szCs w:val="25"/>
        </w:rPr>
        <w:t>While narrower in scope, the RRTM would operate by the same mechanism proposed for the PCAM in 2013.  Both proposals would true up projected costs to actual costs and recover any negative differential from ratepayers.  If a positive differential exists, then this amount would be returned to ratepayers</w:t>
      </w:r>
      <w:r w:rsidR="00181ED2">
        <w:rPr>
          <w:sz w:val="25"/>
          <w:szCs w:val="25"/>
        </w:rPr>
        <w:t>.</w:t>
      </w:r>
      <w:r w:rsidRPr="00942F86">
        <w:rPr>
          <w:sz w:val="25"/>
          <w:szCs w:val="25"/>
        </w:rPr>
        <w:t xml:space="preserve">  The </w:t>
      </w:r>
      <w:proofErr w:type="spellStart"/>
      <w:r w:rsidRPr="00942F86">
        <w:rPr>
          <w:sz w:val="25"/>
          <w:szCs w:val="25"/>
        </w:rPr>
        <w:t>RRTM’s</w:t>
      </w:r>
      <w:proofErr w:type="spellEnd"/>
      <w:r w:rsidRPr="00942F86">
        <w:rPr>
          <w:sz w:val="25"/>
          <w:szCs w:val="25"/>
        </w:rPr>
        <w:t xml:space="preserve"> reduced scope does not mean that it is not a PCAM; rather, the reduced scope makes it an improperly designed PCAM.</w:t>
      </w:r>
      <w:r w:rsidRPr="00942F86">
        <w:rPr>
          <w:sz w:val="25"/>
          <w:szCs w:val="25"/>
          <w:vertAlign w:val="superscript"/>
        </w:rPr>
        <w:footnoteReference w:id="181"/>
      </w:r>
    </w:p>
    <w:p w14:paraId="6CFAF216" w14:textId="77777777" w:rsidR="00A5424B" w:rsidRPr="00942F86" w:rsidRDefault="00A5424B" w:rsidP="000455AC">
      <w:pPr>
        <w:spacing w:line="264" w:lineRule="auto"/>
        <w:rPr>
          <w:sz w:val="25"/>
          <w:szCs w:val="25"/>
        </w:rPr>
      </w:pPr>
    </w:p>
    <w:p w14:paraId="72262C73" w14:textId="77777777" w:rsidR="00A5424B" w:rsidRPr="00942F86" w:rsidRDefault="00A5424B" w:rsidP="00FC421A">
      <w:pPr>
        <w:numPr>
          <w:ilvl w:val="0"/>
          <w:numId w:val="1"/>
        </w:numPr>
        <w:tabs>
          <w:tab w:val="clear" w:pos="720"/>
          <w:tab w:val="num" w:pos="0"/>
        </w:tabs>
        <w:spacing w:line="264" w:lineRule="auto"/>
        <w:ind w:left="0"/>
        <w:rPr>
          <w:sz w:val="25"/>
          <w:szCs w:val="25"/>
        </w:rPr>
      </w:pPr>
      <w:r w:rsidRPr="00942F86">
        <w:rPr>
          <w:sz w:val="25"/>
          <w:szCs w:val="25"/>
        </w:rPr>
        <w:t xml:space="preserve">The Company’s principal argument in support of the RRTM is that it: </w:t>
      </w:r>
    </w:p>
    <w:p w14:paraId="3D843EB9" w14:textId="77777777" w:rsidR="00A5424B" w:rsidRPr="00942F86" w:rsidRDefault="00A5424B" w:rsidP="000455AC">
      <w:pPr>
        <w:spacing w:line="264" w:lineRule="auto"/>
        <w:rPr>
          <w:sz w:val="25"/>
          <w:szCs w:val="25"/>
        </w:rPr>
      </w:pPr>
    </w:p>
    <w:p w14:paraId="15671E4B" w14:textId="77777777" w:rsidR="00A5424B" w:rsidRPr="00942F86" w:rsidRDefault="00A5424B" w:rsidP="000455AC">
      <w:pPr>
        <w:spacing w:line="264" w:lineRule="auto"/>
        <w:ind w:left="720" w:right="720"/>
        <w:rPr>
          <w:sz w:val="25"/>
          <w:szCs w:val="25"/>
        </w:rPr>
      </w:pPr>
      <w:r w:rsidRPr="00942F86">
        <w:rPr>
          <w:sz w:val="25"/>
          <w:szCs w:val="25"/>
        </w:rPr>
        <w:t>[F]</w:t>
      </w:r>
      <w:proofErr w:type="spellStart"/>
      <w:r w:rsidRPr="00942F86">
        <w:rPr>
          <w:sz w:val="25"/>
          <w:szCs w:val="25"/>
        </w:rPr>
        <w:t>urthers</w:t>
      </w:r>
      <w:proofErr w:type="spellEnd"/>
      <w:r w:rsidRPr="00942F86">
        <w:rPr>
          <w:sz w:val="25"/>
          <w:szCs w:val="25"/>
        </w:rPr>
        <w:t xml:space="preserve"> Washington state energy policy and promotes renewable development by mitigating the cost-recovery concerns that arise due to the inherent variability of many renewable resources.  By allowing full cost recovery of </w:t>
      </w:r>
      <w:proofErr w:type="spellStart"/>
      <w:r w:rsidRPr="00942F86">
        <w:rPr>
          <w:sz w:val="25"/>
          <w:szCs w:val="25"/>
        </w:rPr>
        <w:t>RPS</w:t>
      </w:r>
      <w:proofErr w:type="spellEnd"/>
      <w:r w:rsidRPr="00942F86">
        <w:rPr>
          <w:sz w:val="25"/>
          <w:szCs w:val="25"/>
        </w:rPr>
        <w:t xml:space="preserve">-eligible resources, the RRTM is consistent with the cost-recovery provision of the </w:t>
      </w:r>
      <w:proofErr w:type="spellStart"/>
      <w:r w:rsidRPr="00942F86">
        <w:rPr>
          <w:sz w:val="25"/>
          <w:szCs w:val="25"/>
        </w:rPr>
        <w:t>EIA</w:t>
      </w:r>
      <w:proofErr w:type="spellEnd"/>
      <w:r w:rsidRPr="00942F86">
        <w:rPr>
          <w:sz w:val="25"/>
          <w:szCs w:val="25"/>
        </w:rPr>
        <w:t xml:space="preserve">, which entitles utilities to </w:t>
      </w:r>
      <w:r w:rsidRPr="00942F86">
        <w:rPr>
          <w:sz w:val="25"/>
          <w:szCs w:val="25"/>
        </w:rPr>
        <w:lastRenderedPageBreak/>
        <w:t xml:space="preserve">‘recover all prudently incurred costs associated with compliance’ with the </w:t>
      </w:r>
      <w:proofErr w:type="spellStart"/>
      <w:r w:rsidRPr="00942F86">
        <w:rPr>
          <w:sz w:val="25"/>
          <w:szCs w:val="25"/>
        </w:rPr>
        <w:t>RPS</w:t>
      </w:r>
      <w:proofErr w:type="spellEnd"/>
      <w:r w:rsidRPr="00942F86">
        <w:rPr>
          <w:sz w:val="25"/>
          <w:szCs w:val="25"/>
        </w:rPr>
        <w:t>.</w:t>
      </w:r>
      <w:r w:rsidRPr="00942F86">
        <w:rPr>
          <w:sz w:val="25"/>
          <w:szCs w:val="25"/>
          <w:vertAlign w:val="superscript"/>
        </w:rPr>
        <w:footnoteReference w:id="182"/>
      </w:r>
    </w:p>
    <w:p w14:paraId="3001E9FB" w14:textId="77777777" w:rsidR="00A5424B" w:rsidRPr="00942F86" w:rsidRDefault="00A5424B" w:rsidP="000455AC">
      <w:pPr>
        <w:spacing w:line="264" w:lineRule="auto"/>
        <w:rPr>
          <w:sz w:val="25"/>
          <w:szCs w:val="25"/>
        </w:rPr>
      </w:pPr>
    </w:p>
    <w:p w14:paraId="547A07A4" w14:textId="77777777" w:rsidR="00A5424B" w:rsidRPr="00942F86" w:rsidRDefault="00A5424B" w:rsidP="000455AC">
      <w:pPr>
        <w:spacing w:line="264" w:lineRule="auto"/>
        <w:rPr>
          <w:sz w:val="25"/>
          <w:szCs w:val="25"/>
        </w:rPr>
      </w:pPr>
      <w:r w:rsidRPr="00942F86">
        <w:rPr>
          <w:sz w:val="25"/>
          <w:szCs w:val="25"/>
        </w:rPr>
        <w:t>Pacific Power argues in addition that because “</w:t>
      </w:r>
      <w:proofErr w:type="spellStart"/>
      <w:r w:rsidRPr="00942F86">
        <w:rPr>
          <w:sz w:val="25"/>
          <w:szCs w:val="25"/>
        </w:rPr>
        <w:t>RPS</w:t>
      </w:r>
      <w:proofErr w:type="spellEnd"/>
      <w:r w:rsidRPr="00942F86">
        <w:rPr>
          <w:sz w:val="25"/>
          <w:szCs w:val="25"/>
        </w:rPr>
        <w:t>-eligible resources are largely intermittent” the proposed mechanism “focuses on resources that exhibit significant variability outside the Company’s control.”</w:t>
      </w:r>
      <w:r w:rsidRPr="00942F86">
        <w:rPr>
          <w:sz w:val="25"/>
          <w:szCs w:val="25"/>
          <w:vertAlign w:val="superscript"/>
        </w:rPr>
        <w:footnoteReference w:id="183"/>
      </w:r>
    </w:p>
    <w:p w14:paraId="68840707" w14:textId="77777777" w:rsidR="00A5424B" w:rsidRPr="00942F86" w:rsidRDefault="00A5424B" w:rsidP="000455AC">
      <w:pPr>
        <w:spacing w:line="264" w:lineRule="auto"/>
        <w:rPr>
          <w:sz w:val="25"/>
          <w:szCs w:val="25"/>
        </w:rPr>
      </w:pPr>
    </w:p>
    <w:p w14:paraId="2C0E7953" w14:textId="781F6942" w:rsidR="00A5424B" w:rsidRPr="00942F86" w:rsidRDefault="00A5424B" w:rsidP="00FC421A">
      <w:pPr>
        <w:numPr>
          <w:ilvl w:val="0"/>
          <w:numId w:val="1"/>
        </w:numPr>
        <w:tabs>
          <w:tab w:val="clear" w:pos="720"/>
          <w:tab w:val="num" w:pos="0"/>
        </w:tabs>
        <w:spacing w:line="264" w:lineRule="auto"/>
        <w:ind w:left="0"/>
        <w:rPr>
          <w:sz w:val="25"/>
          <w:szCs w:val="25"/>
        </w:rPr>
      </w:pPr>
      <w:r w:rsidRPr="00942F86">
        <w:rPr>
          <w:sz w:val="25"/>
          <w:szCs w:val="25"/>
        </w:rPr>
        <w:t xml:space="preserve">Mr. Mullins testifies for Boise White Paper, however, that the annual variability of Pacific Power’s </w:t>
      </w:r>
      <w:proofErr w:type="spellStart"/>
      <w:r w:rsidRPr="00942F86">
        <w:rPr>
          <w:sz w:val="25"/>
          <w:szCs w:val="25"/>
        </w:rPr>
        <w:t>RPS</w:t>
      </w:r>
      <w:proofErr w:type="spellEnd"/>
      <w:r w:rsidRPr="00942F86">
        <w:rPr>
          <w:sz w:val="25"/>
          <w:szCs w:val="25"/>
        </w:rPr>
        <w:t xml:space="preserve"> resource output has remained relatively stable in recent years, with the relative standard deviation of wind output at only about </w:t>
      </w:r>
      <w:r w:rsidR="003A005B" w:rsidRPr="00942F86">
        <w:rPr>
          <w:sz w:val="25"/>
          <w:szCs w:val="25"/>
        </w:rPr>
        <w:t>6</w:t>
      </w:r>
      <w:r w:rsidRPr="00942F86">
        <w:rPr>
          <w:sz w:val="25"/>
          <w:szCs w:val="25"/>
        </w:rPr>
        <w:t xml:space="preserve"> percent.</w:t>
      </w:r>
      <w:r w:rsidRPr="00942F86">
        <w:rPr>
          <w:sz w:val="25"/>
          <w:szCs w:val="25"/>
          <w:vertAlign w:val="superscript"/>
        </w:rPr>
        <w:footnoteReference w:id="184"/>
      </w:r>
      <w:r w:rsidRPr="00942F86">
        <w:rPr>
          <w:sz w:val="25"/>
          <w:szCs w:val="25"/>
        </w:rPr>
        <w:t xml:space="preserve">  This is a relatively small to moderate degree of variability and is significantly less variability than experienced by the Company, for example, with its hydropower resources, which have demonstrated a relative standard deviation of 14 percent.</w:t>
      </w:r>
      <w:r w:rsidRPr="00942F86">
        <w:rPr>
          <w:sz w:val="25"/>
          <w:szCs w:val="25"/>
          <w:vertAlign w:val="superscript"/>
        </w:rPr>
        <w:footnoteReference w:id="185"/>
      </w:r>
      <w:r w:rsidRPr="00942F86">
        <w:rPr>
          <w:sz w:val="25"/>
          <w:szCs w:val="25"/>
        </w:rPr>
        <w:t xml:space="preserve">  Staff argues in this connection, too, that a power cost recovery mechanism including only part of a company’s total power costs fails to recognize that “[t]he financial performance of a company’s </w:t>
      </w:r>
      <w:r w:rsidRPr="00942F86">
        <w:rPr>
          <w:i/>
          <w:sz w:val="25"/>
          <w:szCs w:val="25"/>
        </w:rPr>
        <w:t>entire</w:t>
      </w:r>
      <w:r w:rsidRPr="00942F86">
        <w:rPr>
          <w:sz w:val="25"/>
          <w:szCs w:val="25"/>
        </w:rPr>
        <w:t xml:space="preserve"> generation portfolio is what determines whether a company has under- or over-recovered its power costs.”</w:t>
      </w:r>
      <w:r w:rsidRPr="00942F86">
        <w:rPr>
          <w:sz w:val="25"/>
          <w:szCs w:val="25"/>
          <w:vertAlign w:val="superscript"/>
        </w:rPr>
        <w:footnoteReference w:id="186"/>
      </w:r>
      <w:r w:rsidRPr="00942F86">
        <w:rPr>
          <w:sz w:val="25"/>
          <w:szCs w:val="25"/>
        </w:rPr>
        <w:t xml:space="preserve">  Moreover, Pacific Power has a diverse generation fleet, including coal, natural gas, hydropower, and wind resources, all of which exhibit some degree of variability.</w:t>
      </w:r>
      <w:r w:rsidRPr="00942F86">
        <w:rPr>
          <w:sz w:val="25"/>
          <w:szCs w:val="25"/>
          <w:vertAlign w:val="superscript"/>
        </w:rPr>
        <w:footnoteReference w:id="187"/>
      </w:r>
    </w:p>
    <w:p w14:paraId="42514091" w14:textId="77777777" w:rsidR="00A5424B" w:rsidRPr="00942F86" w:rsidRDefault="00A5424B" w:rsidP="000455AC">
      <w:pPr>
        <w:spacing w:line="264" w:lineRule="auto"/>
        <w:rPr>
          <w:sz w:val="25"/>
          <w:szCs w:val="25"/>
        </w:rPr>
      </w:pPr>
    </w:p>
    <w:p w14:paraId="4226C53B" w14:textId="77777777" w:rsidR="00A5424B" w:rsidRPr="00942F86" w:rsidRDefault="00A5424B" w:rsidP="00FC421A">
      <w:pPr>
        <w:numPr>
          <w:ilvl w:val="0"/>
          <w:numId w:val="1"/>
        </w:numPr>
        <w:tabs>
          <w:tab w:val="clear" w:pos="720"/>
          <w:tab w:val="num" w:pos="0"/>
        </w:tabs>
        <w:spacing w:line="264" w:lineRule="auto"/>
        <w:ind w:left="0"/>
        <w:rPr>
          <w:sz w:val="25"/>
          <w:szCs w:val="25"/>
          <w:lang w:val="x-none"/>
        </w:rPr>
      </w:pPr>
      <w:r w:rsidRPr="00942F86">
        <w:rPr>
          <w:sz w:val="25"/>
          <w:szCs w:val="25"/>
        </w:rPr>
        <w:t xml:space="preserve">In point of fact, Pacific Power’s generation fleet is, or should be, deployed following principles of economic dispatch.  Related to this point, </w:t>
      </w:r>
      <w:r w:rsidRPr="00942F86">
        <w:rPr>
          <w:sz w:val="25"/>
          <w:szCs w:val="25"/>
          <w:lang w:val="x-none"/>
        </w:rPr>
        <w:t xml:space="preserve">Mr. Twitchell </w:t>
      </w:r>
      <w:r w:rsidRPr="00942F86">
        <w:rPr>
          <w:sz w:val="25"/>
          <w:szCs w:val="25"/>
        </w:rPr>
        <w:t>testifies that</w:t>
      </w:r>
      <w:r w:rsidRPr="00942F86">
        <w:rPr>
          <w:sz w:val="25"/>
          <w:szCs w:val="25"/>
          <w:lang w:val="x-none"/>
        </w:rPr>
        <w:t xml:space="preserve">: </w:t>
      </w:r>
    </w:p>
    <w:p w14:paraId="64693801" w14:textId="77777777" w:rsidR="00A5424B" w:rsidRPr="00942F86" w:rsidRDefault="00A5424B" w:rsidP="000455AC">
      <w:pPr>
        <w:spacing w:line="264" w:lineRule="auto"/>
        <w:rPr>
          <w:sz w:val="25"/>
          <w:szCs w:val="25"/>
        </w:rPr>
      </w:pPr>
    </w:p>
    <w:p w14:paraId="33967AD2" w14:textId="77777777" w:rsidR="00A5424B" w:rsidRPr="00942F86" w:rsidRDefault="00A5424B" w:rsidP="000455AC">
      <w:pPr>
        <w:spacing w:line="264" w:lineRule="auto"/>
        <w:ind w:left="720" w:right="720"/>
        <w:rPr>
          <w:sz w:val="25"/>
          <w:szCs w:val="25"/>
        </w:rPr>
      </w:pPr>
      <w:r w:rsidRPr="00942F86">
        <w:rPr>
          <w:sz w:val="25"/>
          <w:szCs w:val="25"/>
        </w:rPr>
        <w:t>By segregating wind resources for special cost treatment, the Company ignores the real chance that reduced costs in other areas of its generator portfolio could more than offset any difference between the wind energy costs determined by its NPC model and in-period actuals.</w:t>
      </w:r>
      <w:r w:rsidRPr="00942F86">
        <w:rPr>
          <w:sz w:val="25"/>
          <w:szCs w:val="25"/>
          <w:vertAlign w:val="superscript"/>
        </w:rPr>
        <w:footnoteReference w:id="188"/>
      </w:r>
    </w:p>
    <w:p w14:paraId="2EF298D1" w14:textId="77777777" w:rsidR="00A5424B" w:rsidRPr="00942F86" w:rsidRDefault="00A5424B" w:rsidP="000455AC">
      <w:pPr>
        <w:spacing w:line="264" w:lineRule="auto"/>
        <w:rPr>
          <w:sz w:val="25"/>
          <w:szCs w:val="25"/>
        </w:rPr>
      </w:pPr>
    </w:p>
    <w:p w14:paraId="2BDD4B31" w14:textId="77777777" w:rsidR="00A5424B" w:rsidRPr="00942F86" w:rsidRDefault="00A5424B" w:rsidP="000455AC">
      <w:pPr>
        <w:spacing w:line="264" w:lineRule="auto"/>
        <w:rPr>
          <w:sz w:val="25"/>
          <w:szCs w:val="25"/>
        </w:rPr>
      </w:pPr>
      <w:r w:rsidRPr="00942F86">
        <w:rPr>
          <w:sz w:val="25"/>
          <w:szCs w:val="25"/>
        </w:rPr>
        <w:lastRenderedPageBreak/>
        <w:t xml:space="preserve">Likewise, Mr. Mullins testifies that the Company’s diverse portfolio is what matters. The </w:t>
      </w:r>
      <w:proofErr w:type="spellStart"/>
      <w:r w:rsidRPr="00942F86">
        <w:rPr>
          <w:sz w:val="25"/>
          <w:szCs w:val="25"/>
        </w:rPr>
        <w:t>RRTM’s</w:t>
      </w:r>
      <w:proofErr w:type="spellEnd"/>
      <w:r w:rsidRPr="00942F86">
        <w:rPr>
          <w:sz w:val="25"/>
          <w:szCs w:val="25"/>
        </w:rPr>
        <w:t xml:space="preserve"> attempt to isolate cost recovery of certain generators “ignores the fact that [the Company’s] overall system is benefiting as a result of the diverse nature of all the resources in its portfolio.”</w:t>
      </w:r>
      <w:r w:rsidRPr="00942F86">
        <w:rPr>
          <w:sz w:val="25"/>
          <w:szCs w:val="25"/>
          <w:vertAlign w:val="superscript"/>
        </w:rPr>
        <w:footnoteReference w:id="189"/>
      </w:r>
      <w:r w:rsidRPr="00942F86">
        <w:rPr>
          <w:sz w:val="25"/>
          <w:szCs w:val="25"/>
        </w:rPr>
        <w:t xml:space="preserve">  Staff concludes its contribution to this line of argument with the observation that:</w:t>
      </w:r>
    </w:p>
    <w:p w14:paraId="639A524B" w14:textId="77777777" w:rsidR="00A5424B" w:rsidRPr="00942F86" w:rsidRDefault="00A5424B" w:rsidP="000455AC">
      <w:pPr>
        <w:spacing w:line="264" w:lineRule="auto"/>
        <w:rPr>
          <w:sz w:val="25"/>
          <w:szCs w:val="25"/>
        </w:rPr>
      </w:pPr>
    </w:p>
    <w:p w14:paraId="3253E9A1" w14:textId="77777777" w:rsidR="00A5424B" w:rsidRPr="00942F86" w:rsidRDefault="00A5424B" w:rsidP="000455AC">
      <w:pPr>
        <w:spacing w:line="264" w:lineRule="auto"/>
        <w:ind w:left="720" w:right="720"/>
        <w:rPr>
          <w:sz w:val="25"/>
          <w:szCs w:val="25"/>
        </w:rPr>
      </w:pPr>
      <w:r w:rsidRPr="00942F86">
        <w:rPr>
          <w:sz w:val="25"/>
          <w:szCs w:val="25"/>
        </w:rPr>
        <w:t xml:space="preserve">[T]he </w:t>
      </w:r>
      <w:proofErr w:type="spellStart"/>
      <w:r w:rsidRPr="00942F86">
        <w:rPr>
          <w:sz w:val="25"/>
          <w:szCs w:val="25"/>
        </w:rPr>
        <w:t>RRTM’s</w:t>
      </w:r>
      <w:proofErr w:type="spellEnd"/>
      <w:r w:rsidRPr="00942F86">
        <w:rPr>
          <w:sz w:val="25"/>
          <w:szCs w:val="25"/>
        </w:rPr>
        <w:t xml:space="preserve"> focus on single characteristic resources is too narrow and fails to consider what really matters – the cost performance of the Company’s entire resource portfolio and market purchase activities.  The hypothetical costs offered by the RRTM should be rejected in favor of a full PCAM as proposed by Mr. Gomez.</w:t>
      </w:r>
      <w:r w:rsidRPr="00942F86">
        <w:rPr>
          <w:sz w:val="25"/>
          <w:szCs w:val="25"/>
          <w:vertAlign w:val="superscript"/>
        </w:rPr>
        <w:footnoteReference w:id="190"/>
      </w:r>
    </w:p>
    <w:p w14:paraId="58368BEB" w14:textId="77777777" w:rsidR="00A5424B" w:rsidRPr="00942F86" w:rsidRDefault="00A5424B" w:rsidP="000455AC">
      <w:pPr>
        <w:spacing w:line="264" w:lineRule="auto"/>
        <w:rPr>
          <w:sz w:val="25"/>
          <w:szCs w:val="25"/>
        </w:rPr>
      </w:pPr>
    </w:p>
    <w:p w14:paraId="27BED3BA" w14:textId="342D5D85" w:rsidR="00A5424B" w:rsidRPr="00942F86" w:rsidRDefault="00A5424B" w:rsidP="00FC421A">
      <w:pPr>
        <w:numPr>
          <w:ilvl w:val="0"/>
          <w:numId w:val="1"/>
        </w:numPr>
        <w:tabs>
          <w:tab w:val="clear" w:pos="720"/>
          <w:tab w:val="num" w:pos="0"/>
        </w:tabs>
        <w:spacing w:line="264" w:lineRule="auto"/>
        <w:ind w:left="0"/>
        <w:rPr>
          <w:b/>
          <w:sz w:val="25"/>
          <w:szCs w:val="25"/>
        </w:rPr>
      </w:pPr>
      <w:r w:rsidRPr="00942F86">
        <w:rPr>
          <w:i/>
          <w:sz w:val="25"/>
          <w:szCs w:val="25"/>
        </w:rPr>
        <w:t>Commission Determination:</w:t>
      </w:r>
      <w:r w:rsidRPr="00942F86">
        <w:rPr>
          <w:sz w:val="25"/>
          <w:szCs w:val="25"/>
        </w:rPr>
        <w:t xml:space="preserve">  </w:t>
      </w:r>
      <w:r w:rsidR="003A005B" w:rsidRPr="00942F86">
        <w:rPr>
          <w:sz w:val="25"/>
          <w:szCs w:val="25"/>
        </w:rPr>
        <w:t xml:space="preserve">We reject the Company’s request for a “renewable tracker” for the reasons below and in light of our </w:t>
      </w:r>
      <w:r w:rsidR="00F8259A" w:rsidRPr="00942F86">
        <w:rPr>
          <w:sz w:val="25"/>
          <w:szCs w:val="25"/>
        </w:rPr>
        <w:t>determination above to require Pacific Power to implement a properly designed</w:t>
      </w:r>
      <w:r w:rsidR="003A005B" w:rsidRPr="00942F86">
        <w:rPr>
          <w:sz w:val="25"/>
          <w:szCs w:val="25"/>
        </w:rPr>
        <w:t xml:space="preserve"> PCAM in this case.  </w:t>
      </w:r>
      <w:r w:rsidRPr="00942F86">
        <w:rPr>
          <w:sz w:val="25"/>
          <w:szCs w:val="25"/>
        </w:rPr>
        <w:t xml:space="preserve">Albeit limited in scope to only a part of Pacific Power’s power portfolio, the RRTM unquestionably is a form of PCAM.  Yet, again, the Company elects </w:t>
      </w:r>
      <w:r w:rsidR="003A005B" w:rsidRPr="00942F86">
        <w:rPr>
          <w:sz w:val="25"/>
          <w:szCs w:val="25"/>
        </w:rPr>
        <w:t>not to follow</w:t>
      </w:r>
      <w:r w:rsidRPr="00942F86">
        <w:rPr>
          <w:sz w:val="25"/>
          <w:szCs w:val="25"/>
        </w:rPr>
        <w:t xml:space="preserve"> the straightforward direction the Commission has given it concerning the required elements for properly designed PCAM</w:t>
      </w:r>
      <w:r w:rsidR="00F8259A" w:rsidRPr="00942F86">
        <w:rPr>
          <w:sz w:val="25"/>
          <w:szCs w:val="25"/>
        </w:rPr>
        <w:t>, instead proposing again a dollar-for-dollar tracker</w:t>
      </w:r>
      <w:r w:rsidRPr="00942F86">
        <w:rPr>
          <w:sz w:val="25"/>
          <w:szCs w:val="25"/>
        </w:rPr>
        <w:t xml:space="preserve">.  Pacific Power </w:t>
      </w:r>
      <w:r w:rsidR="003A005B" w:rsidRPr="00942F86">
        <w:rPr>
          <w:sz w:val="25"/>
          <w:szCs w:val="25"/>
        </w:rPr>
        <w:t>fails</w:t>
      </w:r>
      <w:r w:rsidRPr="00942F86">
        <w:rPr>
          <w:sz w:val="25"/>
          <w:szCs w:val="25"/>
        </w:rPr>
        <w:t xml:space="preserve"> to recognize that the “appropriate balance” to which the Commission refers in Order 05, and recognized in the Company’s Initial Brief,</w:t>
      </w:r>
      <w:r w:rsidRPr="00942F86">
        <w:rPr>
          <w:sz w:val="25"/>
          <w:szCs w:val="25"/>
          <w:vertAlign w:val="superscript"/>
        </w:rPr>
        <w:footnoteReference w:id="191"/>
      </w:r>
      <w:r w:rsidRPr="00942F86">
        <w:rPr>
          <w:sz w:val="25"/>
          <w:szCs w:val="25"/>
        </w:rPr>
        <w:t xml:space="preserve"> </w:t>
      </w:r>
      <w:r w:rsidR="003A005B" w:rsidRPr="00942F86">
        <w:rPr>
          <w:sz w:val="25"/>
          <w:szCs w:val="25"/>
        </w:rPr>
        <w:t>refers</w:t>
      </w:r>
      <w:r w:rsidRPr="00942F86">
        <w:rPr>
          <w:sz w:val="25"/>
          <w:szCs w:val="25"/>
        </w:rPr>
        <w:t xml:space="preserve"> to the Commission’s insistence on properly designed dead bands and sharing bands in any PCAM.  Pacific Power purports to have addressed the Commission’s requirement for balance by proposing “a more narrowly tailored mechanism in this case, the RRTM.”</w:t>
      </w:r>
      <w:r w:rsidRPr="00942F86">
        <w:rPr>
          <w:sz w:val="25"/>
          <w:szCs w:val="25"/>
          <w:vertAlign w:val="superscript"/>
        </w:rPr>
        <w:footnoteReference w:id="192"/>
      </w:r>
      <w:r w:rsidRPr="00942F86">
        <w:rPr>
          <w:sz w:val="25"/>
          <w:szCs w:val="25"/>
        </w:rPr>
        <w:t xml:space="preserve">  </w:t>
      </w:r>
      <w:r w:rsidR="003A005B" w:rsidRPr="00942F86">
        <w:rPr>
          <w:sz w:val="25"/>
          <w:szCs w:val="25"/>
        </w:rPr>
        <w:t>The reduced scope of this power cost tracking mechanism that has no dead bands or sharing bands, however, misses the mark.</w:t>
      </w:r>
      <w:r w:rsidRPr="00942F86">
        <w:rPr>
          <w:sz w:val="25"/>
          <w:szCs w:val="25"/>
        </w:rPr>
        <w:t xml:space="preserve"> </w:t>
      </w:r>
    </w:p>
    <w:p w14:paraId="5ECD49B4" w14:textId="77777777" w:rsidR="00A5424B" w:rsidRPr="00942F86" w:rsidRDefault="00A5424B" w:rsidP="000455AC">
      <w:pPr>
        <w:spacing w:line="264" w:lineRule="auto"/>
        <w:rPr>
          <w:b/>
          <w:sz w:val="25"/>
          <w:szCs w:val="25"/>
        </w:rPr>
      </w:pPr>
    </w:p>
    <w:p w14:paraId="04917502" w14:textId="2D991D48" w:rsidR="00A5424B" w:rsidRPr="00942F86" w:rsidRDefault="00A5424B" w:rsidP="00FC421A">
      <w:pPr>
        <w:numPr>
          <w:ilvl w:val="0"/>
          <w:numId w:val="1"/>
        </w:numPr>
        <w:tabs>
          <w:tab w:val="clear" w:pos="720"/>
          <w:tab w:val="num" w:pos="0"/>
        </w:tabs>
        <w:spacing w:line="264" w:lineRule="auto"/>
        <w:ind w:left="0"/>
        <w:rPr>
          <w:sz w:val="25"/>
          <w:szCs w:val="25"/>
        </w:rPr>
      </w:pPr>
      <w:r w:rsidRPr="00942F86">
        <w:rPr>
          <w:sz w:val="25"/>
          <w:szCs w:val="25"/>
        </w:rPr>
        <w:t xml:space="preserve">Pacific Power’s failure, once again, to follow the plain direction the Commission offers in its orders with regard to the requirements for an acceptable power cost recovery mechanism is reason enough for us to reject the RRTM.  Pacific Power may continue to be of the opinion that “dead bands and sharing bands are poor regulatory </w:t>
      </w:r>
      <w:r w:rsidRPr="00942F86">
        <w:rPr>
          <w:sz w:val="25"/>
          <w:szCs w:val="25"/>
        </w:rPr>
        <w:lastRenderedPageBreak/>
        <w:t>policy,” as Mr. Duvall testified in Docket UE-130043.</w:t>
      </w:r>
      <w:r w:rsidRPr="00942F86">
        <w:rPr>
          <w:sz w:val="25"/>
          <w:szCs w:val="25"/>
          <w:vertAlign w:val="superscript"/>
        </w:rPr>
        <w:footnoteReference w:id="193"/>
      </w:r>
      <w:r w:rsidRPr="00942F86">
        <w:rPr>
          <w:sz w:val="25"/>
          <w:szCs w:val="25"/>
        </w:rPr>
        <w:t xml:space="preserve"> </w:t>
      </w:r>
      <w:r w:rsidR="00513FBF">
        <w:rPr>
          <w:sz w:val="25"/>
          <w:szCs w:val="25"/>
        </w:rPr>
        <w:t xml:space="preserve"> </w:t>
      </w:r>
      <w:r w:rsidRPr="00942F86">
        <w:rPr>
          <w:sz w:val="25"/>
          <w:szCs w:val="25"/>
        </w:rPr>
        <w:t xml:space="preserve">The Company, however, cannot expect success with any power cost recovery mechanism proposed in Washington that ignores the fact that requiring such bands in </w:t>
      </w:r>
      <w:proofErr w:type="spellStart"/>
      <w:r w:rsidRPr="00942F86">
        <w:rPr>
          <w:sz w:val="25"/>
          <w:szCs w:val="25"/>
        </w:rPr>
        <w:t>PCAMs</w:t>
      </w:r>
      <w:proofErr w:type="spellEnd"/>
      <w:r w:rsidRPr="00942F86">
        <w:rPr>
          <w:sz w:val="25"/>
          <w:szCs w:val="25"/>
        </w:rPr>
        <w:t xml:space="preserve"> </w:t>
      </w:r>
      <w:r w:rsidRPr="00942F86">
        <w:rPr>
          <w:i/>
          <w:sz w:val="25"/>
          <w:szCs w:val="25"/>
        </w:rPr>
        <w:t>is</w:t>
      </w:r>
      <w:r w:rsidRPr="00942F86">
        <w:rPr>
          <w:sz w:val="25"/>
          <w:szCs w:val="25"/>
        </w:rPr>
        <w:t xml:space="preserve"> the regulatory policy of this Commission.  </w:t>
      </w:r>
      <w:r w:rsidR="003A005B" w:rsidRPr="00942F86">
        <w:rPr>
          <w:sz w:val="25"/>
          <w:szCs w:val="25"/>
        </w:rPr>
        <w:t xml:space="preserve">We note that </w:t>
      </w:r>
      <w:r w:rsidRPr="00942F86">
        <w:rPr>
          <w:sz w:val="25"/>
          <w:szCs w:val="25"/>
        </w:rPr>
        <w:t>Pacific Power recogniz</w:t>
      </w:r>
      <w:r w:rsidR="003A005B" w:rsidRPr="00942F86">
        <w:rPr>
          <w:sz w:val="25"/>
          <w:szCs w:val="25"/>
        </w:rPr>
        <w:t>es</w:t>
      </w:r>
      <w:r w:rsidRPr="00942F86">
        <w:rPr>
          <w:sz w:val="25"/>
          <w:szCs w:val="25"/>
        </w:rPr>
        <w:t xml:space="preserve"> this </w:t>
      </w:r>
      <w:r w:rsidR="00F8259A" w:rsidRPr="00942F86">
        <w:rPr>
          <w:sz w:val="25"/>
          <w:szCs w:val="25"/>
        </w:rPr>
        <w:t>policy</w:t>
      </w:r>
      <w:r w:rsidRPr="00942F86">
        <w:rPr>
          <w:sz w:val="25"/>
          <w:szCs w:val="25"/>
        </w:rPr>
        <w:t xml:space="preserve"> in other state</w:t>
      </w:r>
      <w:r w:rsidR="00B03B85" w:rsidRPr="00942F86">
        <w:rPr>
          <w:sz w:val="25"/>
          <w:szCs w:val="25"/>
        </w:rPr>
        <w:t>s</w:t>
      </w:r>
      <w:r w:rsidRPr="00942F86">
        <w:rPr>
          <w:sz w:val="25"/>
          <w:szCs w:val="25"/>
        </w:rPr>
        <w:t xml:space="preserve"> in which the Company does business and has a power recovery mechanism in place, because the mechanisms approved by the regulatory authorities in those states all have dead bands, sharing bands, or both.</w:t>
      </w:r>
      <w:r w:rsidRPr="00942F86">
        <w:rPr>
          <w:sz w:val="25"/>
          <w:szCs w:val="25"/>
          <w:vertAlign w:val="superscript"/>
        </w:rPr>
        <w:footnoteReference w:id="194"/>
      </w:r>
      <w:r w:rsidRPr="00942F86">
        <w:rPr>
          <w:sz w:val="25"/>
          <w:szCs w:val="25"/>
        </w:rPr>
        <w:t xml:space="preserve">  </w:t>
      </w:r>
    </w:p>
    <w:p w14:paraId="5B426F71" w14:textId="77777777" w:rsidR="00A5424B" w:rsidRPr="00942F86" w:rsidRDefault="00A5424B" w:rsidP="000455AC">
      <w:pPr>
        <w:spacing w:line="264" w:lineRule="auto"/>
        <w:rPr>
          <w:sz w:val="25"/>
          <w:szCs w:val="25"/>
        </w:rPr>
      </w:pPr>
    </w:p>
    <w:p w14:paraId="1EBA3837" w14:textId="07849CBD" w:rsidR="00F8259A" w:rsidRPr="00942F86" w:rsidRDefault="00A5424B" w:rsidP="00FC421A">
      <w:pPr>
        <w:numPr>
          <w:ilvl w:val="0"/>
          <w:numId w:val="1"/>
        </w:numPr>
        <w:tabs>
          <w:tab w:val="clear" w:pos="720"/>
          <w:tab w:val="num" w:pos="0"/>
        </w:tabs>
        <w:spacing w:line="264" w:lineRule="auto"/>
        <w:ind w:left="0"/>
        <w:rPr>
          <w:sz w:val="25"/>
          <w:szCs w:val="25"/>
        </w:rPr>
      </w:pPr>
      <w:r w:rsidRPr="00942F86">
        <w:rPr>
          <w:sz w:val="25"/>
          <w:szCs w:val="25"/>
        </w:rPr>
        <w:t xml:space="preserve">Pacific Power’s effort to tie approval of its RRTM proposal to the Energy Independence Act and its </w:t>
      </w:r>
      <w:proofErr w:type="spellStart"/>
      <w:r w:rsidR="00F8259A" w:rsidRPr="00942F86">
        <w:rPr>
          <w:sz w:val="25"/>
          <w:szCs w:val="25"/>
        </w:rPr>
        <w:t>RPS</w:t>
      </w:r>
      <w:proofErr w:type="spellEnd"/>
      <w:r w:rsidRPr="00942F86">
        <w:rPr>
          <w:sz w:val="25"/>
          <w:szCs w:val="25"/>
        </w:rPr>
        <w:t xml:space="preserve"> is far wide of the mark.  There is nothing in the Act that requires a</w:t>
      </w:r>
      <w:r w:rsidR="003A005B" w:rsidRPr="00942F86">
        <w:rPr>
          <w:sz w:val="25"/>
          <w:szCs w:val="25"/>
        </w:rPr>
        <w:t xml:space="preserve">pproval of a power cost tracker </w:t>
      </w:r>
      <w:r w:rsidRPr="00942F86">
        <w:rPr>
          <w:sz w:val="25"/>
          <w:szCs w:val="25"/>
        </w:rPr>
        <w:t xml:space="preserve">to ensure that a company recovers its prudently incurred costs of complying with the </w:t>
      </w:r>
      <w:proofErr w:type="spellStart"/>
      <w:r w:rsidRPr="00942F86">
        <w:rPr>
          <w:sz w:val="25"/>
          <w:szCs w:val="25"/>
        </w:rPr>
        <w:t>RPS</w:t>
      </w:r>
      <w:proofErr w:type="spellEnd"/>
      <w:r w:rsidRPr="00942F86">
        <w:rPr>
          <w:sz w:val="25"/>
          <w:szCs w:val="25"/>
        </w:rPr>
        <w:t xml:space="preserve">.  </w:t>
      </w:r>
    </w:p>
    <w:p w14:paraId="613453B3" w14:textId="77777777" w:rsidR="00A5424B" w:rsidRPr="00942F86" w:rsidRDefault="00A5424B" w:rsidP="000455AC">
      <w:pPr>
        <w:spacing w:line="264" w:lineRule="auto"/>
        <w:rPr>
          <w:sz w:val="25"/>
          <w:szCs w:val="25"/>
        </w:rPr>
      </w:pPr>
    </w:p>
    <w:p w14:paraId="2F7BD178" w14:textId="5C85BB5A" w:rsidR="00A5424B" w:rsidRPr="00942F86" w:rsidRDefault="00A5424B" w:rsidP="00FC421A">
      <w:pPr>
        <w:numPr>
          <w:ilvl w:val="0"/>
          <w:numId w:val="1"/>
        </w:numPr>
        <w:tabs>
          <w:tab w:val="clear" w:pos="720"/>
          <w:tab w:val="num" w:pos="0"/>
        </w:tabs>
        <w:spacing w:line="264" w:lineRule="auto"/>
        <w:ind w:left="0"/>
        <w:rPr>
          <w:sz w:val="25"/>
          <w:szCs w:val="25"/>
        </w:rPr>
      </w:pPr>
      <w:r w:rsidRPr="00942F86">
        <w:rPr>
          <w:sz w:val="25"/>
          <w:szCs w:val="25"/>
        </w:rPr>
        <w:t xml:space="preserve">Another flaw in the RRTM is that it ignores the performance of Pacific Power’s diverse portfolio of resources.  Without considering the financial performance of Pacific Power’s entire generation portfolio it is not possible to determine whether the Company under-recovers or over-recovers its power costs during any given period.  In the final analysis, we agree with Staff that the Company’s RRTM proposal should be rejected in favor of a full PCAM that is designed to take into account the cost performance of the Company’s entire resource portfolio and market purchase activities, that appropriately balances risks between the Company and its customers, and that provides Pacific Power with a continuing incentive to focus on managing its power resources rather than </w:t>
      </w:r>
      <w:r w:rsidR="00040AD2" w:rsidRPr="00942F86">
        <w:rPr>
          <w:sz w:val="25"/>
          <w:szCs w:val="25"/>
        </w:rPr>
        <w:t>arguing repeatedly</w:t>
      </w:r>
      <w:r w:rsidRPr="00942F86">
        <w:rPr>
          <w:sz w:val="25"/>
          <w:szCs w:val="25"/>
        </w:rPr>
        <w:t xml:space="preserve"> that it is beyond its ability to do so.</w:t>
      </w:r>
      <w:r w:rsidRPr="00942F86">
        <w:rPr>
          <w:sz w:val="25"/>
          <w:szCs w:val="25"/>
          <w:vertAlign w:val="superscript"/>
        </w:rPr>
        <w:footnoteReference w:id="195"/>
      </w:r>
    </w:p>
    <w:p w14:paraId="4BA0295F" w14:textId="77777777" w:rsidR="00A5424B" w:rsidRPr="00942F86" w:rsidRDefault="00A5424B" w:rsidP="000455AC">
      <w:pPr>
        <w:spacing w:line="264" w:lineRule="auto"/>
        <w:rPr>
          <w:sz w:val="25"/>
          <w:szCs w:val="25"/>
        </w:rPr>
      </w:pPr>
    </w:p>
    <w:p w14:paraId="0A794E11" w14:textId="77777777" w:rsidR="003E6A7D" w:rsidRPr="00942F86" w:rsidRDefault="003E6A7D" w:rsidP="000455AC">
      <w:pPr>
        <w:pStyle w:val="Heading3"/>
        <w:spacing w:before="0" w:after="0"/>
        <w:rPr>
          <w:rFonts w:cs="Times New Roman"/>
        </w:rPr>
      </w:pPr>
      <w:bookmarkStart w:id="28" w:name="_Toc415037625"/>
      <w:r w:rsidRPr="00942F86">
        <w:rPr>
          <w:rFonts w:cs="Times New Roman"/>
        </w:rPr>
        <w:lastRenderedPageBreak/>
        <w:t>Rate Base</w:t>
      </w:r>
      <w:r w:rsidR="00BB45B9" w:rsidRPr="00942F86">
        <w:rPr>
          <w:rFonts w:cs="Times New Roman"/>
        </w:rPr>
        <w:t xml:space="preserve"> Assets and Depreciation</w:t>
      </w:r>
      <w:bookmarkEnd w:id="28"/>
    </w:p>
    <w:p w14:paraId="6AB49892" w14:textId="77777777" w:rsidR="003E6A7D" w:rsidRPr="00942F86" w:rsidRDefault="003E6A7D" w:rsidP="000455AC">
      <w:pPr>
        <w:keepNext/>
        <w:keepLines/>
        <w:spacing w:line="264" w:lineRule="auto"/>
        <w:rPr>
          <w:sz w:val="25"/>
          <w:szCs w:val="25"/>
        </w:rPr>
      </w:pPr>
    </w:p>
    <w:p w14:paraId="276D79BC" w14:textId="77777777" w:rsidR="003E6A7D" w:rsidRPr="00942F86" w:rsidRDefault="003E6A7D" w:rsidP="00883A54">
      <w:pPr>
        <w:pStyle w:val="Heading4"/>
        <w:numPr>
          <w:ilvl w:val="0"/>
          <w:numId w:val="21"/>
        </w:numPr>
      </w:pPr>
      <w:bookmarkStart w:id="29" w:name="_Toc415037626"/>
      <w:r w:rsidRPr="00942F86">
        <w:t xml:space="preserve">End of Period Rate Base </w:t>
      </w:r>
      <w:r w:rsidR="00BB45B9" w:rsidRPr="00942F86">
        <w:t>(Adjustments 8.12 – 8.12.6)</w:t>
      </w:r>
      <w:r w:rsidR="00E86CCA" w:rsidRPr="00942F86">
        <w:t xml:space="preserve">; </w:t>
      </w:r>
      <w:r w:rsidR="00BB45B9" w:rsidRPr="00942F86">
        <w:t>Depreciation</w:t>
      </w:r>
      <w:r w:rsidR="00127C47" w:rsidRPr="00942F86">
        <w:t xml:space="preserve"> and Amortization Reserve Adjusted to December 2013</w:t>
      </w:r>
      <w:r w:rsidR="00BB45B9" w:rsidRPr="00942F86">
        <w:t xml:space="preserve"> (Adjustments 6.2 </w:t>
      </w:r>
      <w:r w:rsidR="00173070" w:rsidRPr="00942F86">
        <w:t>-</w:t>
      </w:r>
      <w:r w:rsidR="00BB45B9" w:rsidRPr="00942F86">
        <w:t xml:space="preserve"> 6.</w:t>
      </w:r>
      <w:r w:rsidR="00127C47" w:rsidRPr="00942F86">
        <w:t>2.2</w:t>
      </w:r>
      <w:r w:rsidR="00BB45B9" w:rsidRPr="00942F86">
        <w:t>)</w:t>
      </w:r>
      <w:bookmarkEnd w:id="29"/>
    </w:p>
    <w:p w14:paraId="2DE3D7C5" w14:textId="77777777" w:rsidR="003E6A7D" w:rsidRPr="00942F86" w:rsidRDefault="003E6A7D" w:rsidP="000455AC">
      <w:pPr>
        <w:spacing w:line="264" w:lineRule="auto"/>
        <w:rPr>
          <w:sz w:val="25"/>
          <w:szCs w:val="25"/>
        </w:rPr>
      </w:pPr>
    </w:p>
    <w:p w14:paraId="18D97C6E" w14:textId="6184F2C1" w:rsidR="003E6A7D" w:rsidRPr="00942F86" w:rsidRDefault="00E86CCA" w:rsidP="00FC421A">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 xml:space="preserve">These </w:t>
      </w:r>
      <w:r w:rsidR="00480C1C" w:rsidRPr="00942F86">
        <w:rPr>
          <w:rFonts w:eastAsia="Calibri"/>
          <w:sz w:val="25"/>
          <w:szCs w:val="25"/>
        </w:rPr>
        <w:t xml:space="preserve">proposed </w:t>
      </w:r>
      <w:r w:rsidRPr="00942F86">
        <w:rPr>
          <w:rFonts w:eastAsia="Calibri"/>
          <w:sz w:val="25"/>
          <w:szCs w:val="25"/>
        </w:rPr>
        <w:t xml:space="preserve">adjustments work in tandem.  </w:t>
      </w:r>
      <w:r w:rsidR="0028498C" w:rsidRPr="00942F86">
        <w:rPr>
          <w:rFonts w:eastAsia="Calibri"/>
          <w:sz w:val="25"/>
          <w:szCs w:val="25"/>
        </w:rPr>
        <w:t xml:space="preserve">Company </w:t>
      </w:r>
      <w:r w:rsidRPr="00942F86">
        <w:rPr>
          <w:rFonts w:eastAsia="Calibri"/>
          <w:sz w:val="25"/>
          <w:szCs w:val="25"/>
        </w:rPr>
        <w:t>Adjustments 8.12 – 8.12.6 “walk forward” plant balances from December 2013 average of monthly averages (AMA) rate base to December 2013 year-end adding $22,392,711</w:t>
      </w:r>
      <w:r w:rsidR="004D323D" w:rsidRPr="00942F86">
        <w:rPr>
          <w:rFonts w:eastAsia="Calibri"/>
          <w:sz w:val="25"/>
          <w:szCs w:val="25"/>
        </w:rPr>
        <w:t xml:space="preserve"> to rate base</w:t>
      </w:r>
      <w:r w:rsidR="0028498C" w:rsidRPr="00942F86">
        <w:rPr>
          <w:rFonts w:eastAsia="Calibri"/>
          <w:sz w:val="25"/>
          <w:szCs w:val="25"/>
        </w:rPr>
        <w:t xml:space="preserve"> using end-of-period (</w:t>
      </w:r>
      <w:proofErr w:type="spellStart"/>
      <w:r w:rsidR="0028498C" w:rsidRPr="00942F86">
        <w:rPr>
          <w:rFonts w:eastAsia="Calibri"/>
          <w:sz w:val="25"/>
          <w:szCs w:val="25"/>
        </w:rPr>
        <w:t>EOP</w:t>
      </w:r>
      <w:proofErr w:type="spellEnd"/>
      <w:r w:rsidR="0028498C" w:rsidRPr="00942F86">
        <w:rPr>
          <w:rFonts w:eastAsia="Calibri"/>
          <w:sz w:val="25"/>
          <w:szCs w:val="25"/>
        </w:rPr>
        <w:t>) balances</w:t>
      </w:r>
      <w:r w:rsidRPr="00942F86">
        <w:rPr>
          <w:rFonts w:eastAsia="Calibri"/>
          <w:sz w:val="25"/>
          <w:szCs w:val="25"/>
        </w:rPr>
        <w:t>.</w:t>
      </w:r>
      <w:r w:rsidR="004D323D" w:rsidRPr="00942F86">
        <w:rPr>
          <w:rStyle w:val="FootnoteReference"/>
          <w:rFonts w:eastAsia="Calibri"/>
          <w:sz w:val="25"/>
          <w:szCs w:val="25"/>
        </w:rPr>
        <w:footnoteReference w:id="196"/>
      </w:r>
      <w:r w:rsidRPr="00942F86">
        <w:rPr>
          <w:rFonts w:eastAsia="Calibri"/>
          <w:sz w:val="25"/>
          <w:szCs w:val="25"/>
        </w:rPr>
        <w:t xml:space="preserve"> </w:t>
      </w:r>
      <w:r w:rsidR="00480C1C" w:rsidRPr="00942F86">
        <w:rPr>
          <w:rFonts w:eastAsia="Calibri"/>
          <w:sz w:val="25"/>
          <w:szCs w:val="25"/>
        </w:rPr>
        <w:t xml:space="preserve"> </w:t>
      </w:r>
      <w:r w:rsidRPr="00942F86">
        <w:rPr>
          <w:rFonts w:eastAsia="Calibri"/>
          <w:sz w:val="25"/>
          <w:szCs w:val="25"/>
        </w:rPr>
        <w:t>The associated accumulated reserve impacts are accounted for in Adjustments 6.2 – 6.2.2.</w:t>
      </w:r>
      <w:r w:rsidR="004D323D" w:rsidRPr="00942F86">
        <w:rPr>
          <w:rFonts w:eastAsia="Calibri"/>
          <w:sz w:val="25"/>
          <w:szCs w:val="25"/>
        </w:rPr>
        <w:t xml:space="preserve">  The</w:t>
      </w:r>
      <w:r w:rsidR="0045711D" w:rsidRPr="00942F86">
        <w:rPr>
          <w:rFonts w:eastAsia="Calibri"/>
          <w:sz w:val="25"/>
          <w:szCs w:val="25"/>
        </w:rPr>
        <w:t xml:space="preserve"> proposed</w:t>
      </w:r>
      <w:r w:rsidR="004D323D" w:rsidRPr="00942F86">
        <w:rPr>
          <w:rFonts w:eastAsia="Calibri"/>
          <w:sz w:val="25"/>
          <w:szCs w:val="25"/>
        </w:rPr>
        <w:t xml:space="preserve"> </w:t>
      </w:r>
      <w:r w:rsidR="0028498C" w:rsidRPr="00942F86">
        <w:rPr>
          <w:rFonts w:eastAsia="Calibri"/>
          <w:sz w:val="25"/>
          <w:szCs w:val="25"/>
        </w:rPr>
        <w:t xml:space="preserve">adjustments </w:t>
      </w:r>
      <w:r w:rsidR="004D323D" w:rsidRPr="00942F86">
        <w:rPr>
          <w:rFonts w:eastAsia="Calibri"/>
          <w:sz w:val="25"/>
          <w:szCs w:val="25"/>
        </w:rPr>
        <w:t>reduce rate base by $17,976,136,</w:t>
      </w:r>
      <w:r w:rsidR="004D323D" w:rsidRPr="00942F86">
        <w:rPr>
          <w:rStyle w:val="FootnoteReference"/>
          <w:rFonts w:eastAsia="Calibri"/>
          <w:sz w:val="25"/>
          <w:szCs w:val="25"/>
        </w:rPr>
        <w:footnoteReference w:id="197"/>
      </w:r>
      <w:r w:rsidR="004D323D" w:rsidRPr="00942F86">
        <w:rPr>
          <w:rFonts w:eastAsia="Calibri"/>
          <w:sz w:val="25"/>
          <w:szCs w:val="25"/>
        </w:rPr>
        <w:t xml:space="preserve"> resulting in a net increase in rate base of $4,416,575 using the </w:t>
      </w:r>
      <w:proofErr w:type="spellStart"/>
      <w:r w:rsidR="004D323D" w:rsidRPr="00942F86">
        <w:rPr>
          <w:rFonts w:eastAsia="Calibri"/>
          <w:sz w:val="25"/>
          <w:szCs w:val="25"/>
        </w:rPr>
        <w:t>EOP</w:t>
      </w:r>
      <w:proofErr w:type="spellEnd"/>
      <w:r w:rsidR="004D323D" w:rsidRPr="00942F86">
        <w:rPr>
          <w:rFonts w:eastAsia="Calibri"/>
          <w:sz w:val="25"/>
          <w:szCs w:val="25"/>
        </w:rPr>
        <w:t xml:space="preserve"> measurement instead of AMA balances for the test year.</w:t>
      </w:r>
    </w:p>
    <w:p w14:paraId="2F59D5AD" w14:textId="77777777" w:rsidR="00C75BC3" w:rsidRPr="00942F86" w:rsidRDefault="00C75BC3" w:rsidP="000455AC">
      <w:pPr>
        <w:spacing w:line="264" w:lineRule="auto"/>
        <w:rPr>
          <w:rFonts w:eastAsia="Calibri"/>
          <w:sz w:val="25"/>
          <w:szCs w:val="25"/>
        </w:rPr>
      </w:pPr>
    </w:p>
    <w:p w14:paraId="62B72214" w14:textId="77777777" w:rsidR="002B505F" w:rsidRPr="00942F86" w:rsidRDefault="002B505F" w:rsidP="00FC421A">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The record on this issue is spare, at best.  In the Company’s direct case, it consists of a single Q&amp;A in Mr. Dalley’s testimony:</w:t>
      </w:r>
    </w:p>
    <w:p w14:paraId="415DD3FF" w14:textId="77777777" w:rsidR="002B505F" w:rsidRPr="00942F86" w:rsidRDefault="002B505F" w:rsidP="000455AC">
      <w:pPr>
        <w:pStyle w:val="ListParagraph"/>
        <w:spacing w:line="264" w:lineRule="auto"/>
        <w:rPr>
          <w:rFonts w:eastAsia="Calibri"/>
          <w:sz w:val="25"/>
          <w:szCs w:val="25"/>
        </w:rPr>
      </w:pPr>
    </w:p>
    <w:p w14:paraId="1528FC0A" w14:textId="3BFBE421" w:rsidR="002B505F" w:rsidRPr="00942F86" w:rsidRDefault="002B505F" w:rsidP="000455AC">
      <w:pPr>
        <w:spacing w:line="264" w:lineRule="auto"/>
        <w:ind w:left="720" w:right="720"/>
        <w:rPr>
          <w:rFonts w:eastAsia="Calibri"/>
          <w:b/>
          <w:sz w:val="25"/>
          <w:szCs w:val="25"/>
        </w:rPr>
      </w:pPr>
      <w:r w:rsidRPr="00942F86">
        <w:rPr>
          <w:rFonts w:eastAsia="Calibri"/>
          <w:b/>
          <w:sz w:val="25"/>
          <w:szCs w:val="25"/>
        </w:rPr>
        <w:t>Q.</w:t>
      </w:r>
      <w:r w:rsidRPr="00942F86">
        <w:rPr>
          <w:rFonts w:eastAsia="Calibri"/>
          <w:b/>
          <w:sz w:val="25"/>
          <w:szCs w:val="25"/>
        </w:rPr>
        <w:tab/>
        <w:t>Please describe the Company’s proposal for the use of end-of-period rate base balances?</w:t>
      </w:r>
    </w:p>
    <w:p w14:paraId="3E107F0C" w14:textId="77777777" w:rsidR="00F9592D" w:rsidRPr="00942F86" w:rsidRDefault="00F9592D" w:rsidP="000455AC">
      <w:pPr>
        <w:spacing w:line="264" w:lineRule="auto"/>
        <w:ind w:left="720" w:right="720"/>
        <w:rPr>
          <w:rFonts w:eastAsia="Calibri"/>
          <w:b/>
          <w:sz w:val="25"/>
          <w:szCs w:val="25"/>
        </w:rPr>
      </w:pPr>
    </w:p>
    <w:p w14:paraId="6059C16E" w14:textId="77777777" w:rsidR="002B505F" w:rsidRPr="00942F86" w:rsidRDefault="002B505F" w:rsidP="000455AC">
      <w:pPr>
        <w:spacing w:line="264" w:lineRule="auto"/>
        <w:ind w:left="720" w:right="720"/>
        <w:rPr>
          <w:rFonts w:eastAsia="Calibri"/>
          <w:sz w:val="25"/>
          <w:szCs w:val="25"/>
        </w:rPr>
      </w:pPr>
      <w:r w:rsidRPr="00942F86">
        <w:rPr>
          <w:rFonts w:eastAsia="Calibri"/>
          <w:sz w:val="25"/>
          <w:szCs w:val="25"/>
        </w:rPr>
        <w:t>A.</w:t>
      </w:r>
      <w:r w:rsidRPr="00942F86">
        <w:rPr>
          <w:rFonts w:eastAsia="Calibri"/>
          <w:sz w:val="25"/>
          <w:szCs w:val="25"/>
        </w:rPr>
        <w:tab/>
        <w:t xml:space="preserve">Consistent with the 2013 Rate Case, the Company proposes to reflect electric-plant-in-service balances at end-of-period levels rather than on an average-of-monthly-averages basis.  As discussed in more detail in the direct testimony of Ms. Siores, the Commission has recognized in multiple proceedings that use of end-of-period rate base mitigates regulatory lag.  For example, in the 2013 Rate Case, the Commission concluded:  “In this case, there is a need to address at least some of the impacts of regulatory lag on PacifiCorp.  We determine </w:t>
      </w:r>
      <w:r w:rsidRPr="00942F86">
        <w:rPr>
          <w:rFonts w:eastAsia="Calibri"/>
          <w:sz w:val="25"/>
          <w:szCs w:val="25"/>
        </w:rPr>
        <w:lastRenderedPageBreak/>
        <w:t>that an appropriate response to address these impacts in this case is approval of PacifiCorp’s use of [end-of-period] rate base.”</w:t>
      </w:r>
      <w:r w:rsidRPr="00942F86">
        <w:rPr>
          <w:rFonts w:eastAsia="Calibri"/>
          <w:sz w:val="25"/>
          <w:szCs w:val="25"/>
          <w:vertAlign w:val="superscript"/>
        </w:rPr>
        <w:footnoteReference w:id="198"/>
      </w:r>
    </w:p>
    <w:p w14:paraId="0B71FF3F" w14:textId="26A34769" w:rsidR="00C75BC3" w:rsidRPr="00942F86" w:rsidRDefault="00C75BC3" w:rsidP="000455AC">
      <w:pPr>
        <w:spacing w:line="264" w:lineRule="auto"/>
        <w:ind w:right="720"/>
        <w:rPr>
          <w:rFonts w:eastAsia="Calibri"/>
          <w:sz w:val="25"/>
          <w:szCs w:val="25"/>
        </w:rPr>
      </w:pPr>
    </w:p>
    <w:p w14:paraId="2460F864" w14:textId="20066457" w:rsidR="002B505F" w:rsidRPr="00942F86" w:rsidRDefault="002B505F" w:rsidP="00FC421A">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 xml:space="preserve">His reference to Ms. Siores’ testimony does not take us to a more detailed discussion of the Commission’s recognition “in multiple proceedings that use of end-of-period rate base mitigates regulatory lag.”  </w:t>
      </w:r>
      <w:r w:rsidR="0045711D" w:rsidRPr="00942F86">
        <w:rPr>
          <w:rFonts w:eastAsia="Calibri"/>
          <w:sz w:val="25"/>
          <w:szCs w:val="25"/>
        </w:rPr>
        <w:t>Rather</w:t>
      </w:r>
      <w:r w:rsidRPr="00942F86">
        <w:rPr>
          <w:rFonts w:eastAsia="Calibri"/>
          <w:sz w:val="25"/>
          <w:szCs w:val="25"/>
        </w:rPr>
        <w:t xml:space="preserve">, Ms. Siores’ testimony focuses exclusively on describing the two related aspects of the </w:t>
      </w:r>
      <w:proofErr w:type="spellStart"/>
      <w:r w:rsidRPr="00942F86">
        <w:rPr>
          <w:rFonts w:eastAsia="Calibri"/>
          <w:sz w:val="25"/>
          <w:szCs w:val="25"/>
        </w:rPr>
        <w:t>EOP</w:t>
      </w:r>
      <w:proofErr w:type="spellEnd"/>
      <w:r w:rsidRPr="00942F86">
        <w:rPr>
          <w:rFonts w:eastAsia="Calibri"/>
          <w:sz w:val="25"/>
          <w:szCs w:val="25"/>
        </w:rPr>
        <w:t xml:space="preserve"> adjustment and observing that this is the same treatment approved in Docket UE-130043:</w:t>
      </w:r>
    </w:p>
    <w:p w14:paraId="70AAA872" w14:textId="77777777" w:rsidR="002B505F" w:rsidRPr="00942F86" w:rsidRDefault="002B505F" w:rsidP="000455AC">
      <w:pPr>
        <w:spacing w:line="264" w:lineRule="auto"/>
        <w:rPr>
          <w:rFonts w:eastAsia="Calibri"/>
          <w:sz w:val="25"/>
          <w:szCs w:val="25"/>
        </w:rPr>
      </w:pPr>
    </w:p>
    <w:p w14:paraId="6FBD508A" w14:textId="77777777" w:rsidR="002B505F" w:rsidRPr="00942F86" w:rsidRDefault="002B505F" w:rsidP="000455AC">
      <w:pPr>
        <w:spacing w:line="264" w:lineRule="auto"/>
        <w:ind w:left="720" w:right="720"/>
        <w:rPr>
          <w:rFonts w:eastAsia="Calibri"/>
          <w:sz w:val="25"/>
          <w:szCs w:val="25"/>
        </w:rPr>
      </w:pPr>
      <w:r w:rsidRPr="00942F86">
        <w:rPr>
          <w:rFonts w:eastAsia="Calibri"/>
          <w:b/>
          <w:sz w:val="25"/>
          <w:szCs w:val="25"/>
        </w:rPr>
        <w:t>Depreciation and Amortization Reserve to December 2013 Balance (page 6.2-6.2.2)</w:t>
      </w:r>
      <w:r w:rsidRPr="00942F86">
        <w:rPr>
          <w:rFonts w:eastAsia="Calibri"/>
          <w:sz w:val="25"/>
          <w:szCs w:val="25"/>
        </w:rPr>
        <w:t>—</w:t>
      </w:r>
      <w:proofErr w:type="gramStart"/>
      <w:r w:rsidRPr="00942F86">
        <w:rPr>
          <w:rFonts w:eastAsia="Calibri"/>
          <w:sz w:val="25"/>
          <w:szCs w:val="25"/>
        </w:rPr>
        <w:t>This</w:t>
      </w:r>
      <w:proofErr w:type="gramEnd"/>
      <w:r w:rsidRPr="00942F86">
        <w:rPr>
          <w:rFonts w:eastAsia="Calibri"/>
          <w:sz w:val="25"/>
          <w:szCs w:val="25"/>
        </w:rPr>
        <w:t xml:space="preserve"> restating adjustment changes the depreciation and amortization reserve from December 2013 AMA balances to actual December 31, 2013 balances.  This matches Adjustment 8.12, Plant Balances to December 2013 Balance, as discussed in detail below.</w:t>
      </w:r>
    </w:p>
    <w:p w14:paraId="37EE2B74" w14:textId="77777777" w:rsidR="002B505F" w:rsidRPr="00942F86" w:rsidRDefault="002B505F" w:rsidP="000455AC">
      <w:pPr>
        <w:spacing w:line="264" w:lineRule="auto"/>
        <w:ind w:left="720" w:right="720"/>
        <w:rPr>
          <w:rFonts w:eastAsia="Calibri"/>
          <w:sz w:val="25"/>
          <w:szCs w:val="25"/>
        </w:rPr>
      </w:pPr>
    </w:p>
    <w:p w14:paraId="50DA6DD5" w14:textId="5F160879" w:rsidR="002B505F" w:rsidRPr="00942F86" w:rsidRDefault="002B505F" w:rsidP="000455AC">
      <w:pPr>
        <w:spacing w:line="264" w:lineRule="auto"/>
        <w:ind w:left="720" w:right="720"/>
        <w:rPr>
          <w:rFonts w:eastAsia="Calibri"/>
          <w:sz w:val="25"/>
          <w:szCs w:val="25"/>
        </w:rPr>
      </w:pPr>
      <w:r w:rsidRPr="00942F86">
        <w:rPr>
          <w:rFonts w:eastAsia="Calibri"/>
          <w:b/>
          <w:sz w:val="25"/>
          <w:szCs w:val="25"/>
        </w:rPr>
        <w:t>Depreciation Study and Annual Depreciation (page 6.3-6.3.2)</w:t>
      </w:r>
      <w:r w:rsidRPr="00942F86">
        <w:rPr>
          <w:rFonts w:eastAsia="Calibri"/>
          <w:sz w:val="25"/>
          <w:szCs w:val="25"/>
        </w:rPr>
        <w:t>—This restating adjustment normalizes depreciation expense and reserve in the historical Test Period to reflect both the impact of the depreciation rates approved by the Commission in Docket UE-130052 and the impact of adjusting plant balances from a December 2013 AMA basis to a year-end December 31, 2013 basis.  This treatment is consistent with that approved in the 2013 Rate Case.</w:t>
      </w:r>
      <w:r w:rsidR="00B26C2A" w:rsidRPr="00942F86">
        <w:rPr>
          <w:rStyle w:val="FootnoteReference"/>
          <w:rFonts w:eastAsia="Calibri"/>
          <w:sz w:val="25"/>
          <w:szCs w:val="25"/>
        </w:rPr>
        <w:footnoteReference w:id="199"/>
      </w:r>
    </w:p>
    <w:p w14:paraId="46E53E66" w14:textId="77777777" w:rsidR="002B505F" w:rsidRPr="00942F86" w:rsidRDefault="002B505F" w:rsidP="000455AC">
      <w:pPr>
        <w:spacing w:line="264" w:lineRule="auto"/>
        <w:ind w:right="720"/>
        <w:rPr>
          <w:rFonts w:eastAsia="Calibri"/>
          <w:b/>
          <w:sz w:val="25"/>
          <w:szCs w:val="25"/>
        </w:rPr>
      </w:pPr>
    </w:p>
    <w:p w14:paraId="64B2EA8D" w14:textId="5090498C" w:rsidR="002B505F" w:rsidRPr="00942F86" w:rsidRDefault="002B505F" w:rsidP="000455AC">
      <w:pPr>
        <w:spacing w:line="264" w:lineRule="auto"/>
        <w:ind w:left="720" w:right="720"/>
        <w:rPr>
          <w:rFonts w:eastAsia="Calibri"/>
          <w:sz w:val="25"/>
          <w:szCs w:val="25"/>
        </w:rPr>
      </w:pPr>
      <w:r w:rsidRPr="00942F86">
        <w:rPr>
          <w:rFonts w:eastAsia="Calibri"/>
          <w:sz w:val="25"/>
          <w:szCs w:val="25"/>
        </w:rPr>
        <w:t>Plant Balances to December 2013 Balance (page 8.12-8.12.6)—</w:t>
      </w:r>
      <w:proofErr w:type="gramStart"/>
      <w:r w:rsidRPr="00942F86">
        <w:rPr>
          <w:rFonts w:eastAsia="Calibri"/>
          <w:sz w:val="25"/>
          <w:szCs w:val="25"/>
        </w:rPr>
        <w:t>This</w:t>
      </w:r>
      <w:proofErr w:type="gramEnd"/>
      <w:r w:rsidRPr="00942F86">
        <w:rPr>
          <w:rFonts w:eastAsia="Calibri"/>
          <w:sz w:val="25"/>
          <w:szCs w:val="25"/>
        </w:rPr>
        <w:t xml:space="preserve"> adjustment modifies the gross plant balances from December 2013 AMA levels to the actual December 31, 2013 ending balances.  This adjustment to gross plant balances reduces regulatory lag by reflecting rate base balances at end of Test Period levels.  This methodology was approved in the 2013 Rate Case.  The associated accumulated reserve and depreciation expense impacts are accounted for in adjustments 6.2 and 6.3, respectively.</w:t>
      </w:r>
      <w:r w:rsidR="00B26C2A" w:rsidRPr="00942F86">
        <w:rPr>
          <w:rStyle w:val="FootnoteReference"/>
          <w:rFonts w:eastAsia="Calibri"/>
          <w:sz w:val="25"/>
          <w:szCs w:val="25"/>
        </w:rPr>
        <w:footnoteReference w:id="200"/>
      </w:r>
    </w:p>
    <w:p w14:paraId="5EA55270" w14:textId="77777777" w:rsidR="002B505F" w:rsidRPr="00942F86" w:rsidRDefault="002B505F" w:rsidP="000455AC">
      <w:pPr>
        <w:spacing w:line="264" w:lineRule="auto"/>
        <w:rPr>
          <w:rFonts w:eastAsia="Calibri"/>
          <w:sz w:val="25"/>
          <w:szCs w:val="25"/>
        </w:rPr>
      </w:pPr>
    </w:p>
    <w:p w14:paraId="3A5F9A09" w14:textId="3CA4FC59" w:rsidR="00B26C2A" w:rsidRPr="00942F86" w:rsidRDefault="00B26C2A" w:rsidP="00FC421A">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lastRenderedPageBreak/>
        <w:t xml:space="preserve">The Company’s rebuttal testimony adds little to this.  Mr. Dalley simply observes that Staff and Public Counsel support the use of </w:t>
      </w:r>
      <w:proofErr w:type="spellStart"/>
      <w:r w:rsidRPr="00942F86">
        <w:rPr>
          <w:rFonts w:eastAsia="Calibri"/>
          <w:sz w:val="25"/>
          <w:szCs w:val="25"/>
        </w:rPr>
        <w:t>EOP</w:t>
      </w:r>
      <w:proofErr w:type="spellEnd"/>
      <w:r w:rsidRPr="00942F86">
        <w:rPr>
          <w:rFonts w:eastAsia="Calibri"/>
          <w:sz w:val="25"/>
          <w:szCs w:val="25"/>
        </w:rPr>
        <w:t xml:space="preserve"> </w:t>
      </w:r>
      <w:r w:rsidR="0028498C" w:rsidRPr="00942F86">
        <w:rPr>
          <w:rFonts w:eastAsia="Calibri"/>
          <w:sz w:val="25"/>
          <w:szCs w:val="25"/>
        </w:rPr>
        <w:t xml:space="preserve">balances for </w:t>
      </w:r>
      <w:r w:rsidRPr="00942F86">
        <w:rPr>
          <w:rFonts w:eastAsia="Calibri"/>
          <w:sz w:val="25"/>
          <w:szCs w:val="25"/>
        </w:rPr>
        <w:t>rate base in this case and that Boise White Paper opposes it because</w:t>
      </w:r>
      <w:r w:rsidR="0028498C" w:rsidRPr="00942F86">
        <w:rPr>
          <w:rFonts w:eastAsia="Calibri"/>
          <w:sz w:val="25"/>
          <w:szCs w:val="25"/>
        </w:rPr>
        <w:t xml:space="preserve"> the use of </w:t>
      </w:r>
      <w:proofErr w:type="spellStart"/>
      <w:r w:rsidR="0028498C" w:rsidRPr="00942F86">
        <w:rPr>
          <w:rFonts w:eastAsia="Calibri"/>
          <w:sz w:val="25"/>
          <w:szCs w:val="25"/>
        </w:rPr>
        <w:t>EOP</w:t>
      </w:r>
      <w:proofErr w:type="spellEnd"/>
      <w:r w:rsidR="0028498C" w:rsidRPr="00942F86">
        <w:rPr>
          <w:rFonts w:eastAsia="Calibri"/>
          <w:sz w:val="25"/>
          <w:szCs w:val="25"/>
        </w:rPr>
        <w:t xml:space="preserve"> balances</w:t>
      </w:r>
      <w:r w:rsidRPr="00942F86">
        <w:rPr>
          <w:rFonts w:eastAsia="Calibri"/>
          <w:sz w:val="25"/>
          <w:szCs w:val="25"/>
        </w:rPr>
        <w:t xml:space="preserve"> “has done little to assuage the frequency of the Company’s rate filings.”</w:t>
      </w:r>
      <w:r w:rsidRPr="00942F86">
        <w:rPr>
          <w:rFonts w:eastAsia="Calibri"/>
          <w:sz w:val="25"/>
          <w:szCs w:val="25"/>
          <w:vertAlign w:val="superscript"/>
        </w:rPr>
        <w:footnoteReference w:id="201"/>
      </w:r>
      <w:r w:rsidRPr="00942F86">
        <w:rPr>
          <w:rFonts w:eastAsia="Calibri"/>
          <w:sz w:val="25"/>
          <w:szCs w:val="25"/>
        </w:rPr>
        <w:t xml:space="preserve">  Mr. Dalley adds that “reflecting rate base using end-of-period balances more accurately reflects the cost to serve customers in the rate-effective period,” and “the Commission’s willingness to use end-of-period rate base balances is an encouraging step that supports future investments.”</w:t>
      </w:r>
      <w:r w:rsidRPr="00942F86">
        <w:rPr>
          <w:rStyle w:val="FootnoteReference"/>
          <w:rFonts w:eastAsia="Calibri"/>
          <w:sz w:val="25"/>
          <w:szCs w:val="25"/>
        </w:rPr>
        <w:footnoteReference w:id="202"/>
      </w:r>
    </w:p>
    <w:p w14:paraId="3DA2C3BA" w14:textId="77777777" w:rsidR="00C73A8F" w:rsidRPr="00942F86" w:rsidRDefault="00C73A8F" w:rsidP="000455AC">
      <w:pPr>
        <w:spacing w:line="264" w:lineRule="auto"/>
        <w:rPr>
          <w:rFonts w:eastAsia="Calibri"/>
          <w:sz w:val="25"/>
          <w:szCs w:val="25"/>
        </w:rPr>
      </w:pPr>
    </w:p>
    <w:p w14:paraId="400FEA78" w14:textId="423099C6" w:rsidR="00C73A8F" w:rsidRPr="00942F86" w:rsidRDefault="00C73A8F" w:rsidP="00FC421A">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 xml:space="preserve">Staff’s Mr. Ball merely recognizes that the Commission approved the use of </w:t>
      </w:r>
      <w:proofErr w:type="spellStart"/>
      <w:r w:rsidRPr="00942F86">
        <w:rPr>
          <w:rFonts w:eastAsia="Calibri"/>
          <w:sz w:val="25"/>
          <w:szCs w:val="25"/>
        </w:rPr>
        <w:t>EOP</w:t>
      </w:r>
      <w:proofErr w:type="spellEnd"/>
      <w:r w:rsidRPr="00942F86">
        <w:rPr>
          <w:rFonts w:eastAsia="Calibri"/>
          <w:sz w:val="25"/>
          <w:szCs w:val="25"/>
        </w:rPr>
        <w:t xml:space="preserve"> rate base in Docket UE-130043 and identifies the Company’s adjustments.</w:t>
      </w:r>
      <w:r w:rsidRPr="00942F86">
        <w:rPr>
          <w:rStyle w:val="FootnoteReference"/>
          <w:rFonts w:eastAsia="Calibri"/>
          <w:sz w:val="25"/>
          <w:szCs w:val="25"/>
        </w:rPr>
        <w:footnoteReference w:id="203"/>
      </w:r>
      <w:r w:rsidRPr="00942F86">
        <w:rPr>
          <w:rFonts w:eastAsia="Calibri"/>
          <w:sz w:val="25"/>
          <w:szCs w:val="25"/>
        </w:rPr>
        <w:t xml:space="preserve">  Ms. Ramas, for Public Counsel, testifies similarly that she does not challenge the Company’s use of </w:t>
      </w:r>
      <w:proofErr w:type="spellStart"/>
      <w:r w:rsidRPr="00942F86">
        <w:rPr>
          <w:rFonts w:eastAsia="Calibri"/>
          <w:sz w:val="25"/>
          <w:szCs w:val="25"/>
        </w:rPr>
        <w:t>EOP</w:t>
      </w:r>
      <w:proofErr w:type="spellEnd"/>
      <w:r w:rsidRPr="00942F86">
        <w:rPr>
          <w:rFonts w:eastAsia="Calibri"/>
          <w:sz w:val="25"/>
          <w:szCs w:val="25"/>
        </w:rPr>
        <w:t xml:space="preserve"> rate base to address regulatory lag and “hopefully addressing rate case frequency.”</w:t>
      </w:r>
      <w:r w:rsidRPr="00942F86">
        <w:rPr>
          <w:rStyle w:val="FootnoteReference"/>
          <w:rFonts w:eastAsia="Calibri"/>
          <w:sz w:val="25"/>
          <w:szCs w:val="25"/>
        </w:rPr>
        <w:footnoteReference w:id="204"/>
      </w:r>
    </w:p>
    <w:p w14:paraId="37787E7D" w14:textId="77777777" w:rsidR="00C73A8F" w:rsidRPr="00942F86" w:rsidRDefault="00C73A8F" w:rsidP="000455AC">
      <w:pPr>
        <w:pStyle w:val="ListParagraph"/>
        <w:spacing w:line="264" w:lineRule="auto"/>
        <w:rPr>
          <w:rFonts w:eastAsia="Calibri"/>
          <w:sz w:val="25"/>
          <w:szCs w:val="25"/>
        </w:rPr>
      </w:pPr>
    </w:p>
    <w:p w14:paraId="390CB495" w14:textId="7589F027" w:rsidR="00C73A8F" w:rsidRPr="00942F86" w:rsidRDefault="00BA6433" w:rsidP="00FC421A">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Boise White Paper</w:t>
      </w:r>
      <w:r w:rsidR="0028498C" w:rsidRPr="00942F86">
        <w:rPr>
          <w:rFonts w:eastAsia="Calibri"/>
          <w:sz w:val="25"/>
          <w:szCs w:val="25"/>
        </w:rPr>
        <w:t xml:space="preserve"> witness Mr. Mullins</w:t>
      </w:r>
      <w:r w:rsidRPr="00942F86">
        <w:rPr>
          <w:rFonts w:eastAsia="Calibri"/>
          <w:sz w:val="25"/>
          <w:szCs w:val="25"/>
        </w:rPr>
        <w:t xml:space="preserve"> opposes the Company’s use of </w:t>
      </w:r>
      <w:proofErr w:type="spellStart"/>
      <w:r w:rsidRPr="00942F86">
        <w:rPr>
          <w:rFonts w:eastAsia="Calibri"/>
          <w:sz w:val="25"/>
          <w:szCs w:val="25"/>
        </w:rPr>
        <w:t>EOP</w:t>
      </w:r>
      <w:proofErr w:type="spellEnd"/>
      <w:r w:rsidRPr="00942F86">
        <w:rPr>
          <w:rFonts w:eastAsia="Calibri"/>
          <w:sz w:val="25"/>
          <w:szCs w:val="25"/>
        </w:rPr>
        <w:t xml:space="preserve"> </w:t>
      </w:r>
      <w:r w:rsidR="0028498C" w:rsidRPr="00942F86">
        <w:rPr>
          <w:rFonts w:eastAsia="Calibri"/>
          <w:sz w:val="25"/>
          <w:szCs w:val="25"/>
        </w:rPr>
        <w:t>balances</w:t>
      </w:r>
      <w:r w:rsidRPr="00942F86">
        <w:rPr>
          <w:rFonts w:eastAsia="Calibri"/>
          <w:sz w:val="25"/>
          <w:szCs w:val="25"/>
        </w:rPr>
        <w:t>.  He testifies that:</w:t>
      </w:r>
    </w:p>
    <w:p w14:paraId="28CB5C57" w14:textId="77777777" w:rsidR="00BA6433" w:rsidRPr="00942F86" w:rsidRDefault="00BA6433" w:rsidP="000455AC">
      <w:pPr>
        <w:pStyle w:val="ListParagraph"/>
        <w:spacing w:line="264" w:lineRule="auto"/>
        <w:rPr>
          <w:rFonts w:eastAsia="Calibri"/>
          <w:sz w:val="25"/>
          <w:szCs w:val="25"/>
        </w:rPr>
      </w:pPr>
    </w:p>
    <w:p w14:paraId="460D84C2" w14:textId="143FD65A" w:rsidR="00BA6433" w:rsidRPr="00942F86" w:rsidRDefault="00BA6433" w:rsidP="000455AC">
      <w:pPr>
        <w:spacing w:line="264" w:lineRule="auto"/>
        <w:ind w:left="720" w:right="720"/>
        <w:rPr>
          <w:rFonts w:eastAsia="Calibri"/>
          <w:sz w:val="25"/>
          <w:szCs w:val="25"/>
        </w:rPr>
      </w:pPr>
      <w:r w:rsidRPr="00942F86">
        <w:rPr>
          <w:rFonts w:eastAsia="Calibri"/>
          <w:sz w:val="25"/>
          <w:szCs w:val="25"/>
        </w:rPr>
        <w:t xml:space="preserve">The use of </w:t>
      </w:r>
      <w:proofErr w:type="spellStart"/>
      <w:r w:rsidRPr="00942F86">
        <w:rPr>
          <w:rFonts w:eastAsia="Calibri"/>
          <w:sz w:val="25"/>
          <w:szCs w:val="25"/>
        </w:rPr>
        <w:t>EOP</w:t>
      </w:r>
      <w:proofErr w:type="spellEnd"/>
      <w:r w:rsidRPr="00942F86">
        <w:rPr>
          <w:rFonts w:eastAsia="Calibri"/>
          <w:sz w:val="25"/>
          <w:szCs w:val="25"/>
        </w:rPr>
        <w:t xml:space="preserve"> balances results in a mismatch between revenues, which accrue ratably over the test period, and rate base, which, under the </w:t>
      </w:r>
      <w:proofErr w:type="spellStart"/>
      <w:r w:rsidRPr="00942F86">
        <w:rPr>
          <w:rFonts w:eastAsia="Calibri"/>
          <w:sz w:val="25"/>
          <w:szCs w:val="25"/>
        </w:rPr>
        <w:t>EOP</w:t>
      </w:r>
      <w:proofErr w:type="spellEnd"/>
      <w:r w:rsidRPr="00942F86">
        <w:rPr>
          <w:rFonts w:eastAsia="Calibri"/>
          <w:sz w:val="25"/>
          <w:szCs w:val="25"/>
        </w:rPr>
        <w:t xml:space="preserve"> method, is measured at the end of the test period.  In addition, the Company’s current practice of almost continuous rate cases mitigates the impact of regulatory lag and the need to deviate from the traditional Commission methodology using AMA rate base balances.  </w:t>
      </w:r>
    </w:p>
    <w:p w14:paraId="14218D9D" w14:textId="77777777" w:rsidR="00BA6433" w:rsidRPr="00942F86" w:rsidRDefault="00BA6433" w:rsidP="000455AC">
      <w:pPr>
        <w:spacing w:line="264" w:lineRule="auto"/>
        <w:ind w:left="720" w:right="720"/>
        <w:rPr>
          <w:rFonts w:eastAsia="Calibri"/>
          <w:sz w:val="25"/>
          <w:szCs w:val="25"/>
        </w:rPr>
      </w:pPr>
    </w:p>
    <w:p w14:paraId="121B1CAC" w14:textId="55A81E67" w:rsidR="00BA6433" w:rsidRPr="00942F86" w:rsidRDefault="00BA6433" w:rsidP="000455AC">
      <w:pPr>
        <w:spacing w:line="264" w:lineRule="auto"/>
        <w:ind w:left="720" w:right="720"/>
        <w:rPr>
          <w:rFonts w:eastAsia="Calibri"/>
          <w:sz w:val="25"/>
          <w:szCs w:val="25"/>
        </w:rPr>
      </w:pPr>
      <w:r w:rsidRPr="00942F86">
        <w:rPr>
          <w:rFonts w:eastAsia="Calibri"/>
          <w:sz w:val="25"/>
          <w:szCs w:val="25"/>
        </w:rPr>
        <w:t>From an accounting perspective, it violates the matching principle to use averages for revenue items, but year-end balances for rate base items.  Because revenues accrue ratably over the test year, the rate base, against which operating income is compared, should also reflect the ratable period over which revenues are measured.</w:t>
      </w:r>
      <w:r w:rsidRPr="00942F86">
        <w:rPr>
          <w:rStyle w:val="FootnoteReference"/>
          <w:rFonts w:eastAsia="Calibri"/>
          <w:sz w:val="25"/>
          <w:szCs w:val="25"/>
        </w:rPr>
        <w:footnoteReference w:id="205"/>
      </w:r>
      <w:r w:rsidRPr="00942F86">
        <w:rPr>
          <w:rFonts w:eastAsia="Calibri"/>
          <w:sz w:val="25"/>
          <w:szCs w:val="25"/>
        </w:rPr>
        <w:t xml:space="preserve">  </w:t>
      </w:r>
    </w:p>
    <w:p w14:paraId="66428C63" w14:textId="77777777" w:rsidR="00BA6433" w:rsidRPr="00942F86" w:rsidRDefault="00BA6433" w:rsidP="000455AC">
      <w:pPr>
        <w:spacing w:line="264" w:lineRule="auto"/>
        <w:rPr>
          <w:rFonts w:eastAsia="Calibri"/>
          <w:sz w:val="25"/>
          <w:szCs w:val="25"/>
        </w:rPr>
      </w:pPr>
    </w:p>
    <w:p w14:paraId="00A53107" w14:textId="309E0481" w:rsidR="00B26C2A" w:rsidRPr="00942F86" w:rsidRDefault="00BA6433" w:rsidP="000455AC">
      <w:pPr>
        <w:spacing w:line="264" w:lineRule="auto"/>
        <w:rPr>
          <w:rFonts w:eastAsia="Calibri"/>
          <w:sz w:val="25"/>
          <w:szCs w:val="25"/>
        </w:rPr>
      </w:pPr>
      <w:r w:rsidRPr="00942F86">
        <w:rPr>
          <w:rFonts w:eastAsia="Calibri"/>
          <w:sz w:val="25"/>
          <w:szCs w:val="25"/>
        </w:rPr>
        <w:lastRenderedPageBreak/>
        <w:t>Mr. Mullins recommends that the Commission require the Company to use AMA rate base balances when determining revenue requirement in this proceeding.</w:t>
      </w:r>
    </w:p>
    <w:p w14:paraId="391F86D4" w14:textId="77777777" w:rsidR="00BA6433" w:rsidRPr="00942F86" w:rsidRDefault="00BA6433" w:rsidP="000455AC">
      <w:pPr>
        <w:spacing w:line="264" w:lineRule="auto"/>
        <w:rPr>
          <w:rFonts w:eastAsia="Calibri"/>
          <w:sz w:val="25"/>
          <w:szCs w:val="25"/>
        </w:rPr>
      </w:pPr>
    </w:p>
    <w:p w14:paraId="34C450E0" w14:textId="39973CAC" w:rsidR="00BA6433" w:rsidRPr="00942F86" w:rsidRDefault="00BA6433" w:rsidP="00FC421A">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Responding to Staff and Public Counsel in cross-</w:t>
      </w:r>
      <w:r w:rsidR="00566B16" w:rsidRPr="00942F86">
        <w:rPr>
          <w:rFonts w:eastAsia="Calibri"/>
          <w:sz w:val="25"/>
          <w:szCs w:val="25"/>
        </w:rPr>
        <w:t xml:space="preserve">answering testimony, Mr. Mullins testifies that use of </w:t>
      </w:r>
      <w:proofErr w:type="spellStart"/>
      <w:r w:rsidR="00566B16" w:rsidRPr="00942F86">
        <w:rPr>
          <w:rFonts w:eastAsia="Calibri"/>
          <w:sz w:val="25"/>
          <w:szCs w:val="25"/>
        </w:rPr>
        <w:t>EOP</w:t>
      </w:r>
      <w:proofErr w:type="spellEnd"/>
      <w:r w:rsidR="00566B16" w:rsidRPr="00942F86">
        <w:rPr>
          <w:rFonts w:eastAsia="Calibri"/>
          <w:sz w:val="25"/>
          <w:szCs w:val="25"/>
        </w:rPr>
        <w:t xml:space="preserve"> </w:t>
      </w:r>
      <w:r w:rsidR="0028498C" w:rsidRPr="00942F86">
        <w:rPr>
          <w:rFonts w:eastAsia="Calibri"/>
          <w:sz w:val="25"/>
          <w:szCs w:val="25"/>
        </w:rPr>
        <w:t xml:space="preserve">balances for </w:t>
      </w:r>
      <w:r w:rsidR="00566B16" w:rsidRPr="00942F86">
        <w:rPr>
          <w:rFonts w:eastAsia="Calibri"/>
          <w:sz w:val="25"/>
          <w:szCs w:val="25"/>
        </w:rPr>
        <w:t>rate base is an exception to the historical test period approach and “should not be the normal standard that is used by utilities in their rate filings.”</w:t>
      </w:r>
      <w:r w:rsidR="00566B16" w:rsidRPr="00942F86">
        <w:rPr>
          <w:rStyle w:val="FootnoteReference"/>
          <w:rFonts w:eastAsia="Calibri"/>
          <w:sz w:val="25"/>
          <w:szCs w:val="25"/>
        </w:rPr>
        <w:footnoteReference w:id="206"/>
      </w:r>
      <w:r w:rsidR="00C1123D" w:rsidRPr="00942F86">
        <w:rPr>
          <w:rFonts w:eastAsia="Calibri"/>
          <w:sz w:val="25"/>
          <w:szCs w:val="25"/>
        </w:rPr>
        <w:t xml:space="preserve">  He supports the use of AMA methodology because it is true to the matching principle.  He cites to the same authority to which Pacific Power points in its brief for the point that “in normal economic times average rate base is more realistic and projects more accurately the cost of plant that produces the revenue under investigation.”</w:t>
      </w:r>
      <w:r w:rsidR="00C1123D" w:rsidRPr="00942F86">
        <w:rPr>
          <w:rStyle w:val="FootnoteReference"/>
          <w:rFonts w:eastAsia="Calibri"/>
          <w:sz w:val="25"/>
          <w:szCs w:val="25"/>
        </w:rPr>
        <w:footnoteReference w:id="207"/>
      </w:r>
      <w:r w:rsidR="00C1123D" w:rsidRPr="00942F86">
        <w:rPr>
          <w:rFonts w:eastAsia="Calibri"/>
          <w:sz w:val="25"/>
          <w:szCs w:val="25"/>
        </w:rPr>
        <w:t xml:space="preserve">  He says there is no evidence in this record showing that the current economy is “so abnormal as to warrant an exception to the use of AMA.”</w:t>
      </w:r>
      <w:r w:rsidR="00C1123D" w:rsidRPr="00942F86">
        <w:rPr>
          <w:rStyle w:val="FootnoteReference"/>
          <w:rFonts w:eastAsia="Calibri"/>
          <w:sz w:val="25"/>
          <w:szCs w:val="25"/>
        </w:rPr>
        <w:footnoteReference w:id="208"/>
      </w:r>
      <w:r w:rsidR="00C1123D" w:rsidRPr="00942F86">
        <w:rPr>
          <w:rFonts w:eastAsia="Calibri"/>
          <w:sz w:val="25"/>
          <w:szCs w:val="25"/>
        </w:rPr>
        <w:t xml:space="preserve">  </w:t>
      </w:r>
    </w:p>
    <w:p w14:paraId="35463F35" w14:textId="77777777" w:rsidR="00C90827" w:rsidRPr="00942F86" w:rsidRDefault="00C90827" w:rsidP="000455AC">
      <w:pPr>
        <w:spacing w:line="264" w:lineRule="auto"/>
        <w:rPr>
          <w:rFonts w:eastAsia="Calibri"/>
          <w:sz w:val="25"/>
          <w:szCs w:val="25"/>
        </w:rPr>
      </w:pPr>
    </w:p>
    <w:p w14:paraId="70267351" w14:textId="47CF0646" w:rsidR="00C90827" w:rsidRPr="00942F86" w:rsidRDefault="00C90827" w:rsidP="00FC421A">
      <w:pPr>
        <w:numPr>
          <w:ilvl w:val="0"/>
          <w:numId w:val="1"/>
        </w:numPr>
        <w:tabs>
          <w:tab w:val="clear" w:pos="720"/>
          <w:tab w:val="num" w:pos="0"/>
        </w:tabs>
        <w:spacing w:line="264" w:lineRule="auto"/>
        <w:ind w:left="0"/>
        <w:rPr>
          <w:rFonts w:eastAsia="Calibri"/>
          <w:sz w:val="25"/>
          <w:szCs w:val="25"/>
        </w:rPr>
      </w:pPr>
      <w:r w:rsidRPr="00FC421A">
        <w:rPr>
          <w:sz w:val="25"/>
          <w:szCs w:val="25"/>
        </w:rPr>
        <w:t>Finally</w:t>
      </w:r>
      <w:r w:rsidRPr="00942F86">
        <w:rPr>
          <w:rFonts w:eastAsia="Calibri"/>
          <w:sz w:val="25"/>
          <w:szCs w:val="25"/>
        </w:rPr>
        <w:t xml:space="preserve">, Mr. Mullins testifies that the Commission’s approval of </w:t>
      </w:r>
      <w:proofErr w:type="spellStart"/>
      <w:r w:rsidRPr="00942F86">
        <w:rPr>
          <w:rFonts w:eastAsia="Calibri"/>
          <w:sz w:val="25"/>
          <w:szCs w:val="25"/>
        </w:rPr>
        <w:t>EOP</w:t>
      </w:r>
      <w:proofErr w:type="spellEnd"/>
      <w:r w:rsidRPr="00942F86">
        <w:rPr>
          <w:rFonts w:eastAsia="Calibri"/>
          <w:sz w:val="25"/>
          <w:szCs w:val="25"/>
        </w:rPr>
        <w:t xml:space="preserve"> rate base in 2013 apparently did not discourage </w:t>
      </w:r>
      <w:r w:rsidR="0028498C" w:rsidRPr="00942F86">
        <w:rPr>
          <w:rFonts w:eastAsia="Calibri"/>
          <w:sz w:val="25"/>
          <w:szCs w:val="25"/>
        </w:rPr>
        <w:t xml:space="preserve">the Company </w:t>
      </w:r>
      <w:r w:rsidRPr="00942F86">
        <w:rPr>
          <w:rFonts w:eastAsia="Calibri"/>
          <w:sz w:val="25"/>
          <w:szCs w:val="25"/>
        </w:rPr>
        <w:t>from “its current pattern of almost continuous rate cases.”</w:t>
      </w:r>
      <w:r w:rsidRPr="00942F86">
        <w:rPr>
          <w:rStyle w:val="FootnoteReference"/>
          <w:rFonts w:eastAsia="Calibri"/>
          <w:sz w:val="25"/>
          <w:szCs w:val="25"/>
        </w:rPr>
        <w:footnoteReference w:id="209"/>
      </w:r>
      <w:r w:rsidRPr="00942F86">
        <w:rPr>
          <w:rFonts w:eastAsia="Calibri"/>
          <w:sz w:val="25"/>
          <w:szCs w:val="25"/>
        </w:rPr>
        <w:t xml:space="preserve">  </w:t>
      </w:r>
    </w:p>
    <w:p w14:paraId="471E3F0E" w14:textId="77777777" w:rsidR="00C90827" w:rsidRPr="00942F86" w:rsidRDefault="00C90827" w:rsidP="000455AC">
      <w:pPr>
        <w:pStyle w:val="ListParagraph"/>
        <w:spacing w:line="264" w:lineRule="auto"/>
        <w:rPr>
          <w:rFonts w:eastAsia="Calibri"/>
          <w:sz w:val="25"/>
          <w:szCs w:val="25"/>
        </w:rPr>
      </w:pPr>
    </w:p>
    <w:p w14:paraId="188F28D5" w14:textId="3BE9475F" w:rsidR="00C90827" w:rsidRPr="00942F86" w:rsidRDefault="00C90827" w:rsidP="00FC421A">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In its Initial Brief, Pacific Power cites to an early case for the proposition that:</w:t>
      </w:r>
    </w:p>
    <w:p w14:paraId="7F63E0AC" w14:textId="77777777" w:rsidR="00C90827" w:rsidRPr="00942F86" w:rsidRDefault="00C90827" w:rsidP="000455AC">
      <w:pPr>
        <w:pStyle w:val="ListParagraph"/>
        <w:spacing w:line="264" w:lineRule="auto"/>
        <w:rPr>
          <w:rFonts w:eastAsia="Calibri"/>
          <w:sz w:val="25"/>
          <w:szCs w:val="25"/>
        </w:rPr>
      </w:pPr>
    </w:p>
    <w:p w14:paraId="566D5882" w14:textId="17ECDA28" w:rsidR="00C90827" w:rsidRPr="00942F86" w:rsidRDefault="00C90827" w:rsidP="000455AC">
      <w:pPr>
        <w:spacing w:line="264" w:lineRule="auto"/>
        <w:ind w:left="720" w:right="720"/>
        <w:rPr>
          <w:rFonts w:eastAsia="Calibri"/>
          <w:sz w:val="25"/>
          <w:szCs w:val="25"/>
        </w:rPr>
      </w:pPr>
      <w:r w:rsidRPr="00942F86">
        <w:rPr>
          <w:rFonts w:eastAsia="Calibri"/>
          <w:sz w:val="25"/>
          <w:szCs w:val="25"/>
        </w:rPr>
        <w:t xml:space="preserve">The Commission has recognized that the use of </w:t>
      </w:r>
      <w:proofErr w:type="spellStart"/>
      <w:r w:rsidRPr="00942F86">
        <w:rPr>
          <w:rFonts w:eastAsia="Calibri"/>
          <w:sz w:val="25"/>
          <w:szCs w:val="25"/>
        </w:rPr>
        <w:t>EOP</w:t>
      </w:r>
      <w:proofErr w:type="spellEnd"/>
      <w:r w:rsidRPr="00942F86">
        <w:rPr>
          <w:rFonts w:eastAsia="Calibri"/>
          <w:sz w:val="25"/>
          <w:szCs w:val="25"/>
        </w:rPr>
        <w:t xml:space="preserve"> rate base is an “appropriate regulatory tool under one or more of the following conditions: (a) abnormal growth in plant; (b) inflation and/or attrition; (c) as a means to reduce regulatory lag; (d) failure of utility to earn its authorized rate of return over an historical period.”</w:t>
      </w:r>
      <w:r w:rsidRPr="00942F86">
        <w:rPr>
          <w:rFonts w:eastAsia="Calibri"/>
          <w:sz w:val="25"/>
          <w:szCs w:val="25"/>
          <w:vertAlign w:val="superscript"/>
        </w:rPr>
        <w:footnoteReference w:id="210"/>
      </w:r>
    </w:p>
    <w:p w14:paraId="7AAACD03" w14:textId="77777777" w:rsidR="00701D8E" w:rsidRPr="00942F86" w:rsidRDefault="00701D8E" w:rsidP="000455AC">
      <w:pPr>
        <w:spacing w:line="264" w:lineRule="auto"/>
        <w:rPr>
          <w:rFonts w:eastAsia="Calibri"/>
          <w:sz w:val="25"/>
          <w:szCs w:val="25"/>
        </w:rPr>
      </w:pPr>
    </w:p>
    <w:p w14:paraId="688748F0" w14:textId="4C1DC1D9" w:rsidR="00C90827" w:rsidRPr="00942F86" w:rsidRDefault="007A3AB4" w:rsidP="000455AC">
      <w:pPr>
        <w:spacing w:line="264" w:lineRule="auto"/>
        <w:rPr>
          <w:rFonts w:eastAsia="Calibri"/>
          <w:sz w:val="25"/>
          <w:szCs w:val="25"/>
        </w:rPr>
      </w:pPr>
      <w:r w:rsidRPr="00942F86">
        <w:rPr>
          <w:rFonts w:eastAsia="Calibri"/>
          <w:sz w:val="25"/>
          <w:szCs w:val="25"/>
        </w:rPr>
        <w:t xml:space="preserve">The Company </w:t>
      </w:r>
      <w:r w:rsidR="0045711D" w:rsidRPr="00942F86">
        <w:rPr>
          <w:rFonts w:eastAsia="Calibri"/>
          <w:sz w:val="25"/>
          <w:szCs w:val="25"/>
        </w:rPr>
        <w:t xml:space="preserve">treats this observation by the </w:t>
      </w:r>
      <w:r w:rsidRPr="00942F86">
        <w:rPr>
          <w:rFonts w:eastAsia="Calibri"/>
          <w:sz w:val="25"/>
          <w:szCs w:val="25"/>
        </w:rPr>
        <w:t>Commission</w:t>
      </w:r>
      <w:r w:rsidR="00701D8E" w:rsidRPr="00942F86">
        <w:rPr>
          <w:rFonts w:eastAsia="Calibri"/>
          <w:sz w:val="25"/>
          <w:szCs w:val="25"/>
        </w:rPr>
        <w:t xml:space="preserve"> over 30 years ago</w:t>
      </w:r>
      <w:r w:rsidRPr="00942F86">
        <w:rPr>
          <w:rFonts w:eastAsia="Calibri"/>
          <w:sz w:val="25"/>
          <w:szCs w:val="25"/>
        </w:rPr>
        <w:t xml:space="preserve"> as a standard for approval, arguing that:  “Because </w:t>
      </w:r>
      <w:r w:rsidR="0045711D" w:rsidRPr="00942F86">
        <w:rPr>
          <w:rFonts w:eastAsia="Calibri"/>
          <w:sz w:val="25"/>
          <w:szCs w:val="25"/>
        </w:rPr>
        <w:t>‘</w:t>
      </w:r>
      <w:r w:rsidRPr="00942F86">
        <w:rPr>
          <w:rFonts w:eastAsia="Calibri"/>
          <w:sz w:val="25"/>
          <w:szCs w:val="25"/>
        </w:rPr>
        <w:t>one or more</w:t>
      </w:r>
      <w:r w:rsidR="0045711D" w:rsidRPr="00942F86">
        <w:rPr>
          <w:rFonts w:eastAsia="Calibri"/>
          <w:sz w:val="25"/>
          <w:szCs w:val="25"/>
        </w:rPr>
        <w:t>’</w:t>
      </w:r>
      <w:r w:rsidRPr="00942F86">
        <w:rPr>
          <w:rFonts w:eastAsia="Calibri"/>
          <w:sz w:val="25"/>
          <w:szCs w:val="25"/>
        </w:rPr>
        <w:t xml:space="preserve"> of the Commission’s </w:t>
      </w:r>
      <w:r w:rsidRPr="00942F86">
        <w:rPr>
          <w:rFonts w:eastAsia="Calibri"/>
          <w:sz w:val="25"/>
          <w:szCs w:val="25"/>
        </w:rPr>
        <w:lastRenderedPageBreak/>
        <w:t>conditions has been clearly satisfied in this case, the Commission should approve the use of end-of-period rate base.”</w:t>
      </w:r>
      <w:r w:rsidRPr="00942F86">
        <w:rPr>
          <w:rStyle w:val="FootnoteReference"/>
          <w:rFonts w:eastAsia="Calibri"/>
          <w:sz w:val="25"/>
          <w:szCs w:val="25"/>
        </w:rPr>
        <w:footnoteReference w:id="211"/>
      </w:r>
      <w:r w:rsidR="00E81ACF" w:rsidRPr="00942F86">
        <w:rPr>
          <w:rFonts w:eastAsia="Calibri"/>
          <w:sz w:val="25"/>
          <w:szCs w:val="25"/>
        </w:rPr>
        <w:t xml:space="preserve">  </w:t>
      </w:r>
    </w:p>
    <w:p w14:paraId="0984552D" w14:textId="77777777" w:rsidR="00BA6433" w:rsidRPr="00942F86" w:rsidRDefault="00BA6433" w:rsidP="000455AC">
      <w:pPr>
        <w:spacing w:line="264" w:lineRule="auto"/>
        <w:rPr>
          <w:rFonts w:eastAsia="Calibri"/>
          <w:sz w:val="25"/>
          <w:szCs w:val="25"/>
        </w:rPr>
      </w:pPr>
    </w:p>
    <w:p w14:paraId="7A6DFA4A" w14:textId="00CC964B" w:rsidR="00E81ACF" w:rsidRPr="00942F86" w:rsidRDefault="003E6A7D"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w:t>
      </w:r>
      <w:r w:rsidR="00E81ACF" w:rsidRPr="00942F86">
        <w:rPr>
          <w:sz w:val="25"/>
          <w:szCs w:val="25"/>
        </w:rPr>
        <w:t xml:space="preserve">We first address Pacific Power’s argument on brief, discussed immediately above, to underscore that the early case to which it cites does not establish a standard for determining when the use of </w:t>
      </w:r>
      <w:proofErr w:type="spellStart"/>
      <w:r w:rsidR="00E81ACF" w:rsidRPr="00942F86">
        <w:rPr>
          <w:sz w:val="25"/>
          <w:szCs w:val="25"/>
        </w:rPr>
        <w:t>EOP</w:t>
      </w:r>
      <w:proofErr w:type="spellEnd"/>
      <w:r w:rsidR="00E81ACF" w:rsidRPr="00942F86">
        <w:rPr>
          <w:sz w:val="25"/>
          <w:szCs w:val="25"/>
        </w:rPr>
        <w:t xml:space="preserve"> rate base is appropriate.</w:t>
      </w:r>
      <w:r w:rsidR="009C5871" w:rsidRPr="00942F86">
        <w:rPr>
          <w:sz w:val="25"/>
          <w:szCs w:val="25"/>
        </w:rPr>
        <w:t xml:space="preserve">  The Commission’s discussion in the first recent case approving this approach provides useful context:</w:t>
      </w:r>
    </w:p>
    <w:p w14:paraId="5BA5C03C" w14:textId="77777777" w:rsidR="009C5871" w:rsidRPr="00942F86" w:rsidRDefault="009C5871" w:rsidP="000455AC">
      <w:pPr>
        <w:spacing w:line="264" w:lineRule="auto"/>
        <w:rPr>
          <w:sz w:val="25"/>
          <w:szCs w:val="25"/>
        </w:rPr>
      </w:pPr>
    </w:p>
    <w:p w14:paraId="15051FDB" w14:textId="77777777" w:rsidR="009C5871" w:rsidRPr="00942F86" w:rsidRDefault="009C5871" w:rsidP="000455AC">
      <w:pPr>
        <w:spacing w:line="264" w:lineRule="auto"/>
        <w:ind w:left="720" w:right="720"/>
        <w:rPr>
          <w:sz w:val="25"/>
          <w:szCs w:val="25"/>
        </w:rPr>
      </w:pPr>
      <w:r w:rsidRPr="00942F86">
        <w:rPr>
          <w:sz w:val="25"/>
          <w:szCs w:val="25"/>
        </w:rPr>
        <w:t>The Commission has traditionally required that utility rates be established relying on the measurement of rate base using the AMA approach.  The Commission, however, has occasionally recognized that the alternative approach of utilizing end-of-test period rate base may be appropriate in a variety of circumstances.</w:t>
      </w:r>
      <w:r w:rsidRPr="00942F86">
        <w:rPr>
          <w:sz w:val="25"/>
          <w:szCs w:val="25"/>
          <w:vertAlign w:val="superscript"/>
        </w:rPr>
        <w:footnoteReference w:id="212"/>
      </w:r>
      <w:r w:rsidRPr="00942F86">
        <w:rPr>
          <w:sz w:val="25"/>
          <w:szCs w:val="25"/>
        </w:rPr>
        <w:t xml:space="preserve">  In a 1981 case, </w:t>
      </w:r>
      <w:r w:rsidRPr="00942F86">
        <w:rPr>
          <w:i/>
          <w:sz w:val="25"/>
          <w:szCs w:val="25"/>
        </w:rPr>
        <w:t>WUTC v. Washington Natural Gas,</w:t>
      </w:r>
      <w:r w:rsidRPr="00942F86">
        <w:rPr>
          <w:sz w:val="25"/>
          <w:szCs w:val="25"/>
        </w:rPr>
        <w:t xml:space="preserve"> the Commission drew on its early experience evaluating the relative merits of the two approaches and drew the following conclusions:</w:t>
      </w:r>
    </w:p>
    <w:p w14:paraId="00A3D36D" w14:textId="77777777" w:rsidR="009C5871" w:rsidRPr="00942F86" w:rsidRDefault="009C5871" w:rsidP="000455AC">
      <w:pPr>
        <w:spacing w:line="264" w:lineRule="auto"/>
        <w:ind w:left="720" w:right="720"/>
        <w:rPr>
          <w:sz w:val="25"/>
          <w:szCs w:val="25"/>
        </w:rPr>
      </w:pPr>
    </w:p>
    <w:p w14:paraId="27F2BF49" w14:textId="77777777" w:rsidR="009C5871" w:rsidRPr="00942F86" w:rsidRDefault="009C5871" w:rsidP="000455AC">
      <w:pPr>
        <w:spacing w:line="264" w:lineRule="auto"/>
        <w:ind w:left="720" w:right="720"/>
        <w:rPr>
          <w:sz w:val="25"/>
          <w:szCs w:val="25"/>
        </w:rPr>
      </w:pPr>
      <w:r w:rsidRPr="00942F86">
        <w:rPr>
          <w:sz w:val="25"/>
          <w:szCs w:val="25"/>
        </w:rPr>
        <w:t>(1) Average rate base is the most favored,</w:t>
      </w:r>
    </w:p>
    <w:p w14:paraId="26A12053" w14:textId="77777777" w:rsidR="009C5871" w:rsidRPr="00942F86" w:rsidRDefault="009C5871" w:rsidP="000455AC">
      <w:pPr>
        <w:spacing w:line="264" w:lineRule="auto"/>
        <w:ind w:left="720" w:right="720"/>
        <w:rPr>
          <w:sz w:val="25"/>
          <w:szCs w:val="25"/>
        </w:rPr>
      </w:pPr>
    </w:p>
    <w:p w14:paraId="0E61D61A" w14:textId="77777777" w:rsidR="009C5871" w:rsidRPr="00942F86" w:rsidRDefault="009C5871" w:rsidP="000455AC">
      <w:pPr>
        <w:spacing w:line="264" w:lineRule="auto"/>
        <w:ind w:left="720" w:right="720"/>
        <w:rPr>
          <w:sz w:val="25"/>
          <w:szCs w:val="25"/>
        </w:rPr>
      </w:pPr>
      <w:r w:rsidRPr="00942F86">
        <w:rPr>
          <w:sz w:val="25"/>
          <w:szCs w:val="25"/>
        </w:rPr>
        <w:t>(2) Year-end rate base is an appropriate regulatory tool under one or more of the following conditions:</w:t>
      </w:r>
    </w:p>
    <w:p w14:paraId="5A5F5948" w14:textId="77777777" w:rsidR="009C5871" w:rsidRPr="00942F86" w:rsidRDefault="009C5871" w:rsidP="000455AC">
      <w:pPr>
        <w:spacing w:line="264" w:lineRule="auto"/>
        <w:ind w:left="720" w:right="720"/>
        <w:rPr>
          <w:sz w:val="25"/>
          <w:szCs w:val="25"/>
        </w:rPr>
      </w:pPr>
    </w:p>
    <w:p w14:paraId="359A0FB1" w14:textId="67FD41D1" w:rsidR="009C5871" w:rsidRPr="00942F86" w:rsidRDefault="009C5871" w:rsidP="000455AC">
      <w:pPr>
        <w:spacing w:line="264" w:lineRule="auto"/>
        <w:ind w:left="720" w:right="720"/>
        <w:rPr>
          <w:sz w:val="25"/>
          <w:szCs w:val="25"/>
        </w:rPr>
      </w:pPr>
      <w:r w:rsidRPr="00942F86">
        <w:rPr>
          <w:sz w:val="25"/>
          <w:szCs w:val="25"/>
        </w:rPr>
        <w:tab/>
        <w:t>(a) Abnormal growth in plant</w:t>
      </w:r>
    </w:p>
    <w:p w14:paraId="6FEDF6BC" w14:textId="07C6C21B" w:rsidR="009C5871" w:rsidRPr="00942F86" w:rsidRDefault="009C5871" w:rsidP="000455AC">
      <w:pPr>
        <w:spacing w:line="264" w:lineRule="auto"/>
        <w:ind w:left="720" w:right="720"/>
        <w:rPr>
          <w:sz w:val="25"/>
          <w:szCs w:val="25"/>
        </w:rPr>
      </w:pPr>
      <w:r w:rsidRPr="00942F86">
        <w:rPr>
          <w:sz w:val="25"/>
          <w:szCs w:val="25"/>
        </w:rPr>
        <w:tab/>
        <w:t>(b) Inflation and/or attrition</w:t>
      </w:r>
    </w:p>
    <w:p w14:paraId="32CBD117" w14:textId="77777777" w:rsidR="009C5871" w:rsidRPr="00942F86" w:rsidRDefault="009C5871" w:rsidP="000455AC">
      <w:pPr>
        <w:spacing w:line="264" w:lineRule="auto"/>
        <w:ind w:left="720" w:right="720"/>
        <w:rPr>
          <w:sz w:val="25"/>
          <w:szCs w:val="25"/>
        </w:rPr>
      </w:pPr>
      <w:r w:rsidRPr="00942F86">
        <w:rPr>
          <w:sz w:val="25"/>
          <w:szCs w:val="25"/>
        </w:rPr>
        <w:tab/>
        <w:t>(c) As a means to mitigate regulatory lag</w:t>
      </w:r>
    </w:p>
    <w:p w14:paraId="265C9C2C" w14:textId="171F730D" w:rsidR="009C5871" w:rsidRPr="00942F86" w:rsidRDefault="009C5871" w:rsidP="000455AC">
      <w:pPr>
        <w:spacing w:line="264" w:lineRule="auto"/>
        <w:ind w:left="1800" w:right="720" w:hanging="360"/>
        <w:rPr>
          <w:sz w:val="25"/>
          <w:szCs w:val="25"/>
        </w:rPr>
      </w:pPr>
      <w:r w:rsidRPr="00942F86">
        <w:rPr>
          <w:sz w:val="25"/>
          <w:szCs w:val="25"/>
        </w:rPr>
        <w:lastRenderedPageBreak/>
        <w:t>(d) Failure of utility to earn its authorized rate of return over an historical period.</w:t>
      </w:r>
      <w:r w:rsidRPr="00942F86">
        <w:rPr>
          <w:sz w:val="25"/>
          <w:szCs w:val="25"/>
          <w:vertAlign w:val="superscript"/>
        </w:rPr>
        <w:footnoteReference w:id="213"/>
      </w:r>
    </w:p>
    <w:p w14:paraId="43AE5C37" w14:textId="77777777" w:rsidR="009C5871" w:rsidRPr="00942F86" w:rsidRDefault="009C5871" w:rsidP="000455AC">
      <w:pPr>
        <w:spacing w:line="264" w:lineRule="auto"/>
        <w:rPr>
          <w:sz w:val="25"/>
          <w:szCs w:val="25"/>
        </w:rPr>
      </w:pPr>
    </w:p>
    <w:p w14:paraId="6F1130F7" w14:textId="0FE1D4E3" w:rsidR="009C5871" w:rsidRPr="00942F86" w:rsidRDefault="009C5871" w:rsidP="000455AC">
      <w:pPr>
        <w:spacing w:line="264" w:lineRule="auto"/>
        <w:rPr>
          <w:sz w:val="25"/>
          <w:szCs w:val="25"/>
        </w:rPr>
      </w:pPr>
      <w:r w:rsidRPr="00942F86">
        <w:rPr>
          <w:sz w:val="25"/>
          <w:szCs w:val="25"/>
        </w:rPr>
        <w:t>In the PSE cases, the Commission found that all of these “somewhat interrelated” issues were “present to one degree or another” at the point in time when the case was under consideration.</w:t>
      </w:r>
      <w:r w:rsidRPr="00942F86">
        <w:rPr>
          <w:rStyle w:val="FootnoteReference"/>
          <w:sz w:val="25"/>
          <w:szCs w:val="25"/>
        </w:rPr>
        <w:footnoteReference w:id="214"/>
      </w:r>
      <w:r w:rsidR="008565C0" w:rsidRPr="00942F86">
        <w:rPr>
          <w:sz w:val="25"/>
          <w:szCs w:val="25"/>
        </w:rPr>
        <w:t xml:space="preserve">  Importantly, too, the Commission found “ample evidence” of “earnings attrition, caused by continuing growth in capital investments” as important to its consideration of historical under earnings.</w:t>
      </w:r>
      <w:r w:rsidR="008565C0" w:rsidRPr="00942F86">
        <w:rPr>
          <w:rStyle w:val="FootnoteReference"/>
          <w:sz w:val="25"/>
          <w:szCs w:val="25"/>
        </w:rPr>
        <w:footnoteReference w:id="215"/>
      </w:r>
    </w:p>
    <w:p w14:paraId="701E537E" w14:textId="77777777" w:rsidR="008565C0" w:rsidRPr="00942F86" w:rsidRDefault="008565C0" w:rsidP="000455AC">
      <w:pPr>
        <w:spacing w:line="264" w:lineRule="auto"/>
        <w:rPr>
          <w:sz w:val="25"/>
          <w:szCs w:val="25"/>
        </w:rPr>
      </w:pPr>
    </w:p>
    <w:p w14:paraId="5675EC81" w14:textId="3B150D76" w:rsidR="008565C0" w:rsidRPr="00942F86" w:rsidRDefault="008565C0" w:rsidP="00FC421A">
      <w:pPr>
        <w:numPr>
          <w:ilvl w:val="0"/>
          <w:numId w:val="1"/>
        </w:numPr>
        <w:tabs>
          <w:tab w:val="clear" w:pos="720"/>
          <w:tab w:val="num" w:pos="0"/>
        </w:tabs>
        <w:spacing w:line="264" w:lineRule="auto"/>
        <w:ind w:left="0"/>
        <w:rPr>
          <w:sz w:val="25"/>
          <w:szCs w:val="25"/>
        </w:rPr>
      </w:pPr>
      <w:r w:rsidRPr="00942F86">
        <w:rPr>
          <w:sz w:val="25"/>
          <w:szCs w:val="25"/>
        </w:rPr>
        <w:t xml:space="preserve">In this case, we have </w:t>
      </w:r>
      <w:r w:rsidR="006B2829" w:rsidRPr="00942F86">
        <w:rPr>
          <w:sz w:val="25"/>
          <w:szCs w:val="25"/>
        </w:rPr>
        <w:t>some</w:t>
      </w:r>
      <w:r w:rsidRPr="00942F86">
        <w:rPr>
          <w:sz w:val="25"/>
          <w:szCs w:val="25"/>
        </w:rPr>
        <w:t xml:space="preserve"> evidence of </w:t>
      </w:r>
      <w:r w:rsidR="006B2829" w:rsidRPr="00942F86">
        <w:rPr>
          <w:sz w:val="25"/>
          <w:szCs w:val="25"/>
        </w:rPr>
        <w:t xml:space="preserve">capital additions during relevant periods but it does not demonstrate </w:t>
      </w:r>
      <w:r w:rsidRPr="00942F86">
        <w:rPr>
          <w:sz w:val="25"/>
          <w:szCs w:val="25"/>
        </w:rPr>
        <w:t xml:space="preserve">abnormal growth in plant.  Inflation </w:t>
      </w:r>
      <w:r w:rsidR="006B2829" w:rsidRPr="00942F86">
        <w:rPr>
          <w:sz w:val="25"/>
          <w:szCs w:val="25"/>
        </w:rPr>
        <w:t>remains very low</w:t>
      </w:r>
      <w:r w:rsidRPr="00942F86">
        <w:rPr>
          <w:sz w:val="25"/>
          <w:szCs w:val="25"/>
        </w:rPr>
        <w:t xml:space="preserve"> in the current economic environment in the United States.  </w:t>
      </w:r>
      <w:r w:rsidR="006B2829" w:rsidRPr="00942F86">
        <w:rPr>
          <w:sz w:val="25"/>
          <w:szCs w:val="25"/>
        </w:rPr>
        <w:t>The Company did not present persuasive</w:t>
      </w:r>
      <w:r w:rsidRPr="00942F86">
        <w:rPr>
          <w:sz w:val="25"/>
          <w:szCs w:val="25"/>
        </w:rPr>
        <w:t xml:space="preserve"> evidence that </w:t>
      </w:r>
      <w:r w:rsidR="006B2829" w:rsidRPr="00942F86">
        <w:rPr>
          <w:sz w:val="25"/>
          <w:szCs w:val="25"/>
        </w:rPr>
        <w:t>it</w:t>
      </w:r>
      <w:r w:rsidRPr="00942F86">
        <w:rPr>
          <w:sz w:val="25"/>
          <w:szCs w:val="25"/>
        </w:rPr>
        <w:t xml:space="preserve"> is suffering attrition</w:t>
      </w:r>
      <w:r w:rsidR="006B2829" w:rsidRPr="00942F86">
        <w:rPr>
          <w:sz w:val="25"/>
          <w:szCs w:val="25"/>
        </w:rPr>
        <w:t xml:space="preserve"> in earnings</w:t>
      </w:r>
      <w:r w:rsidRPr="00942F86">
        <w:rPr>
          <w:sz w:val="25"/>
          <w:szCs w:val="25"/>
        </w:rPr>
        <w:t>.  In particular, the Company did not present an attrition study.</w:t>
      </w:r>
      <w:r w:rsidR="007E543E" w:rsidRPr="00942F86">
        <w:rPr>
          <w:sz w:val="25"/>
          <w:szCs w:val="25"/>
        </w:rPr>
        <w:t xml:space="preserve">  </w:t>
      </w:r>
      <w:r w:rsidR="00701D8E" w:rsidRPr="00942F86">
        <w:rPr>
          <w:sz w:val="25"/>
          <w:szCs w:val="25"/>
        </w:rPr>
        <w:t>Moreover</w:t>
      </w:r>
      <w:r w:rsidR="007E543E" w:rsidRPr="00942F86">
        <w:rPr>
          <w:sz w:val="25"/>
          <w:szCs w:val="25"/>
        </w:rPr>
        <w:t xml:space="preserve">, the fact that the Company failed in the past to earn its authorized return cannot justify use of </w:t>
      </w:r>
      <w:proofErr w:type="spellStart"/>
      <w:r w:rsidR="007E543E" w:rsidRPr="00942F86">
        <w:rPr>
          <w:sz w:val="25"/>
          <w:szCs w:val="25"/>
        </w:rPr>
        <w:t>EOP</w:t>
      </w:r>
      <w:proofErr w:type="spellEnd"/>
      <w:r w:rsidR="007E543E" w:rsidRPr="00942F86">
        <w:rPr>
          <w:sz w:val="25"/>
          <w:szCs w:val="25"/>
        </w:rPr>
        <w:t xml:space="preserve"> absent a showing that, due to factors beyond the Company’s control, the Commission can expect this condition to continue into the future.  There is no such evidence in the record of this case.</w:t>
      </w:r>
    </w:p>
    <w:p w14:paraId="4BBB6A25" w14:textId="77777777" w:rsidR="00E81ACF" w:rsidRPr="00942F86" w:rsidRDefault="00E81ACF" w:rsidP="000455AC">
      <w:pPr>
        <w:spacing w:line="264" w:lineRule="auto"/>
        <w:rPr>
          <w:sz w:val="25"/>
          <w:szCs w:val="25"/>
        </w:rPr>
      </w:pPr>
    </w:p>
    <w:p w14:paraId="64F99B93" w14:textId="6827EC3B" w:rsidR="00E23234" w:rsidRPr="00942F86" w:rsidRDefault="00C75BC3" w:rsidP="00FC421A">
      <w:pPr>
        <w:numPr>
          <w:ilvl w:val="0"/>
          <w:numId w:val="1"/>
        </w:numPr>
        <w:tabs>
          <w:tab w:val="clear" w:pos="720"/>
          <w:tab w:val="num" w:pos="0"/>
        </w:tabs>
        <w:spacing w:line="264" w:lineRule="auto"/>
        <w:ind w:left="0"/>
        <w:rPr>
          <w:sz w:val="25"/>
          <w:szCs w:val="25"/>
        </w:rPr>
      </w:pPr>
      <w:r w:rsidRPr="00942F86">
        <w:rPr>
          <w:sz w:val="25"/>
          <w:szCs w:val="25"/>
        </w:rPr>
        <w:t xml:space="preserve">The Commission first approved the use of </w:t>
      </w:r>
      <w:proofErr w:type="spellStart"/>
      <w:r w:rsidRPr="00942F86">
        <w:rPr>
          <w:sz w:val="25"/>
          <w:szCs w:val="25"/>
        </w:rPr>
        <w:t>EOP</w:t>
      </w:r>
      <w:proofErr w:type="spellEnd"/>
      <w:r w:rsidRPr="00942F86">
        <w:rPr>
          <w:sz w:val="25"/>
          <w:szCs w:val="25"/>
        </w:rPr>
        <w:t xml:space="preserve"> rate base for Pacific Power in 2013, in Docket UE-130043</w:t>
      </w:r>
      <w:r w:rsidR="009501B4" w:rsidRPr="00942F86">
        <w:rPr>
          <w:sz w:val="25"/>
          <w:szCs w:val="25"/>
        </w:rPr>
        <w:t>, observing that</w:t>
      </w:r>
      <w:r w:rsidRPr="00942F86">
        <w:rPr>
          <w:sz w:val="25"/>
          <w:szCs w:val="25"/>
        </w:rPr>
        <w:t>:</w:t>
      </w:r>
    </w:p>
    <w:p w14:paraId="0B30A402" w14:textId="77777777" w:rsidR="009501B4" w:rsidRPr="00942F86" w:rsidRDefault="009501B4" w:rsidP="000455AC">
      <w:pPr>
        <w:spacing w:line="264" w:lineRule="auto"/>
        <w:rPr>
          <w:sz w:val="25"/>
          <w:szCs w:val="25"/>
        </w:rPr>
      </w:pPr>
    </w:p>
    <w:p w14:paraId="799B28E0" w14:textId="6F5873B3" w:rsidR="009064BE" w:rsidRPr="00942F86" w:rsidRDefault="009064BE" w:rsidP="000455AC">
      <w:pPr>
        <w:spacing w:line="264" w:lineRule="auto"/>
        <w:ind w:left="720" w:right="720"/>
        <w:rPr>
          <w:sz w:val="25"/>
          <w:szCs w:val="25"/>
        </w:rPr>
      </w:pPr>
      <w:r w:rsidRPr="00942F86">
        <w:rPr>
          <w:sz w:val="25"/>
          <w:szCs w:val="25"/>
        </w:rPr>
        <w:t>The Commission historically has tolerated some degree of regulatory lag in its ratemaking practice, recognizing that it is a factor in encouraging utilities to operate efficiently.  During recent periods, however, the impacts of regulatory lag on the ability of PacifiCorp and other utilities to earn their authorized revenue requirements have contributed to what the Commission has described as a “current pattern of almost continuous rate cases.”  Considering this, the Commission stated:</w:t>
      </w:r>
    </w:p>
    <w:p w14:paraId="507C183A" w14:textId="77777777" w:rsidR="009064BE" w:rsidRPr="00942F86" w:rsidRDefault="009064BE" w:rsidP="000455AC">
      <w:pPr>
        <w:spacing w:line="264" w:lineRule="auto"/>
        <w:ind w:left="720" w:right="720"/>
        <w:rPr>
          <w:sz w:val="25"/>
          <w:szCs w:val="25"/>
        </w:rPr>
      </w:pPr>
    </w:p>
    <w:p w14:paraId="56D2551B" w14:textId="4EC36950" w:rsidR="003E6A7D" w:rsidRPr="00942F86" w:rsidRDefault="009064BE" w:rsidP="000455AC">
      <w:pPr>
        <w:spacing w:line="264" w:lineRule="auto"/>
        <w:ind w:left="1440" w:right="1440"/>
        <w:rPr>
          <w:sz w:val="25"/>
          <w:szCs w:val="25"/>
        </w:rPr>
      </w:pPr>
      <w:r w:rsidRPr="00942F86">
        <w:rPr>
          <w:sz w:val="25"/>
          <w:szCs w:val="25"/>
        </w:rPr>
        <w:t>This pattern of one general rate case filing following quickly after the resolution of another is overtaxing the resources of all participants and is wearying to the ratepayers who are confronted with increase after increase.  This situation does not well serve the public interest and we encourage the development of thoughtful solutions.</w:t>
      </w:r>
      <w:r w:rsidR="0045711D" w:rsidRPr="00942F86">
        <w:rPr>
          <w:rStyle w:val="FootnoteReference"/>
          <w:sz w:val="25"/>
          <w:szCs w:val="25"/>
        </w:rPr>
        <w:footnoteReference w:id="216"/>
      </w:r>
    </w:p>
    <w:p w14:paraId="06C8B7F7" w14:textId="77777777" w:rsidR="009064BE" w:rsidRPr="00942F86" w:rsidRDefault="009064BE" w:rsidP="000455AC">
      <w:pPr>
        <w:spacing w:line="264" w:lineRule="auto"/>
        <w:ind w:left="1440" w:right="1440"/>
        <w:rPr>
          <w:sz w:val="25"/>
          <w:szCs w:val="25"/>
        </w:rPr>
      </w:pPr>
    </w:p>
    <w:p w14:paraId="5D463547" w14:textId="2CC3A94B" w:rsidR="009064BE" w:rsidRPr="00942F86" w:rsidRDefault="009501B4" w:rsidP="000455AC">
      <w:pPr>
        <w:spacing w:line="264" w:lineRule="auto"/>
        <w:rPr>
          <w:sz w:val="25"/>
          <w:szCs w:val="25"/>
        </w:rPr>
      </w:pPr>
      <w:r w:rsidRPr="00942F86">
        <w:rPr>
          <w:sz w:val="25"/>
          <w:szCs w:val="25"/>
        </w:rPr>
        <w:t xml:space="preserve">Recognizing the use of </w:t>
      </w:r>
      <w:proofErr w:type="spellStart"/>
      <w:r w:rsidRPr="00942F86">
        <w:rPr>
          <w:sz w:val="25"/>
          <w:szCs w:val="25"/>
        </w:rPr>
        <w:t>EOP</w:t>
      </w:r>
      <w:proofErr w:type="spellEnd"/>
      <w:r w:rsidRPr="00942F86">
        <w:rPr>
          <w:sz w:val="25"/>
          <w:szCs w:val="25"/>
        </w:rPr>
        <w:t xml:space="preserve"> rate base as a means to address th</w:t>
      </w:r>
      <w:r w:rsidR="009064BE" w:rsidRPr="00942F86">
        <w:rPr>
          <w:sz w:val="25"/>
          <w:szCs w:val="25"/>
        </w:rPr>
        <w:t>e</w:t>
      </w:r>
      <w:r w:rsidRPr="00942F86">
        <w:rPr>
          <w:sz w:val="25"/>
          <w:szCs w:val="25"/>
        </w:rPr>
        <w:t xml:space="preserve"> problem</w:t>
      </w:r>
      <w:r w:rsidR="009064BE" w:rsidRPr="00942F86">
        <w:rPr>
          <w:sz w:val="25"/>
          <w:szCs w:val="25"/>
        </w:rPr>
        <w:t xml:space="preserve"> of regulatory lag having an impact on a utility’s ability earn its authorized revenue requirement</w:t>
      </w:r>
      <w:r w:rsidRPr="00942F86">
        <w:rPr>
          <w:sz w:val="25"/>
          <w:szCs w:val="25"/>
        </w:rPr>
        <w:t xml:space="preserve"> today, as it last did during the period of extraordinary inflation during the </w:t>
      </w:r>
      <w:proofErr w:type="spellStart"/>
      <w:r w:rsidRPr="00942F86">
        <w:rPr>
          <w:sz w:val="25"/>
          <w:szCs w:val="25"/>
        </w:rPr>
        <w:t>1970’s</w:t>
      </w:r>
      <w:proofErr w:type="spellEnd"/>
      <w:r w:rsidRPr="00942F86">
        <w:rPr>
          <w:sz w:val="25"/>
          <w:szCs w:val="25"/>
        </w:rPr>
        <w:t xml:space="preserve"> and early </w:t>
      </w:r>
      <w:proofErr w:type="spellStart"/>
      <w:r w:rsidRPr="00942F86">
        <w:rPr>
          <w:sz w:val="25"/>
          <w:szCs w:val="25"/>
        </w:rPr>
        <w:t>1980’s</w:t>
      </w:r>
      <w:proofErr w:type="spellEnd"/>
      <w:r w:rsidRPr="00942F86">
        <w:rPr>
          <w:sz w:val="25"/>
          <w:szCs w:val="25"/>
        </w:rPr>
        <w:t>,</w:t>
      </w:r>
      <w:r w:rsidRPr="00942F86">
        <w:rPr>
          <w:rStyle w:val="FootnoteReference"/>
          <w:sz w:val="25"/>
          <w:szCs w:val="25"/>
        </w:rPr>
        <w:footnoteReference w:id="217"/>
      </w:r>
      <w:r w:rsidRPr="00942F86">
        <w:rPr>
          <w:sz w:val="25"/>
          <w:szCs w:val="25"/>
        </w:rPr>
        <w:t xml:space="preserve"> the Commission </w:t>
      </w:r>
      <w:r w:rsidR="00AA5C79" w:rsidRPr="00942F86">
        <w:rPr>
          <w:sz w:val="25"/>
          <w:szCs w:val="25"/>
        </w:rPr>
        <w:t xml:space="preserve">found in Docket UE-130043 that approval of Pacific Power’s use of </w:t>
      </w:r>
      <w:proofErr w:type="spellStart"/>
      <w:r w:rsidR="00AA5C79" w:rsidRPr="00942F86">
        <w:rPr>
          <w:sz w:val="25"/>
          <w:szCs w:val="25"/>
        </w:rPr>
        <w:t>EOP</w:t>
      </w:r>
      <w:proofErr w:type="spellEnd"/>
      <w:r w:rsidR="00AA5C79" w:rsidRPr="00942F86">
        <w:rPr>
          <w:sz w:val="25"/>
          <w:szCs w:val="25"/>
        </w:rPr>
        <w:t xml:space="preserve"> rate base was an appropriate response.</w:t>
      </w:r>
      <w:r w:rsidR="00AA5C79" w:rsidRPr="00942F86">
        <w:rPr>
          <w:rStyle w:val="FootnoteReference"/>
          <w:sz w:val="25"/>
          <w:szCs w:val="25"/>
        </w:rPr>
        <w:footnoteReference w:id="218"/>
      </w:r>
      <w:r w:rsidR="009064BE" w:rsidRPr="00942F86">
        <w:rPr>
          <w:sz w:val="25"/>
          <w:szCs w:val="25"/>
        </w:rPr>
        <w:t xml:space="preserve">  As the above-quoted passage from Order 05 demonstrates, however, the Commission tied its decision directly to its expectation that granting such relief would discourage Pacific Power from continuing to file one rate case after another, which the Commission found is contrary to the public interest.</w:t>
      </w:r>
      <w:r w:rsidR="00AA5C79" w:rsidRPr="00942F86">
        <w:rPr>
          <w:sz w:val="25"/>
          <w:szCs w:val="25"/>
        </w:rPr>
        <w:t xml:space="preserve">  </w:t>
      </w:r>
    </w:p>
    <w:p w14:paraId="0CD50F02" w14:textId="77777777" w:rsidR="009064BE" w:rsidRPr="00942F86" w:rsidRDefault="009064BE" w:rsidP="000455AC">
      <w:pPr>
        <w:spacing w:line="264" w:lineRule="auto"/>
        <w:rPr>
          <w:sz w:val="25"/>
          <w:szCs w:val="25"/>
        </w:rPr>
      </w:pPr>
    </w:p>
    <w:p w14:paraId="6BB0339A" w14:textId="3F71A4D6" w:rsidR="00C93314" w:rsidRPr="00942F86" w:rsidRDefault="00701D8E" w:rsidP="00FC421A">
      <w:pPr>
        <w:numPr>
          <w:ilvl w:val="0"/>
          <w:numId w:val="1"/>
        </w:numPr>
        <w:tabs>
          <w:tab w:val="clear" w:pos="720"/>
          <w:tab w:val="num" w:pos="0"/>
        </w:tabs>
        <w:spacing w:line="264" w:lineRule="auto"/>
        <w:ind w:left="0"/>
        <w:rPr>
          <w:sz w:val="25"/>
          <w:szCs w:val="25"/>
        </w:rPr>
      </w:pPr>
      <w:r w:rsidRPr="00942F86">
        <w:rPr>
          <w:sz w:val="25"/>
          <w:szCs w:val="25"/>
        </w:rPr>
        <w:t>More importantly</w:t>
      </w:r>
      <w:r w:rsidR="009064BE" w:rsidRPr="00942F86">
        <w:rPr>
          <w:sz w:val="25"/>
          <w:szCs w:val="25"/>
        </w:rPr>
        <w:t xml:space="preserve">, the Commission recognized in Order 05 that the implications of using </w:t>
      </w:r>
      <w:proofErr w:type="spellStart"/>
      <w:r w:rsidR="009064BE" w:rsidRPr="00942F86">
        <w:rPr>
          <w:sz w:val="25"/>
          <w:szCs w:val="25"/>
        </w:rPr>
        <w:t>EOP</w:t>
      </w:r>
      <w:proofErr w:type="spellEnd"/>
      <w:r w:rsidR="009064BE" w:rsidRPr="00942F86">
        <w:rPr>
          <w:sz w:val="25"/>
          <w:szCs w:val="25"/>
        </w:rPr>
        <w:t xml:space="preserve"> rate base vis-à-vis the matching principle were not fully developed in the record of Docket UE-103043.  </w:t>
      </w:r>
      <w:r w:rsidR="00AA5C79" w:rsidRPr="00942F86">
        <w:rPr>
          <w:sz w:val="25"/>
          <w:szCs w:val="25"/>
        </w:rPr>
        <w:t xml:space="preserve">The Commission </w:t>
      </w:r>
      <w:r w:rsidR="00FF60C9" w:rsidRPr="00942F86">
        <w:rPr>
          <w:sz w:val="25"/>
          <w:szCs w:val="25"/>
        </w:rPr>
        <w:t>observ</w:t>
      </w:r>
      <w:r w:rsidR="00AA5C79" w:rsidRPr="00942F86">
        <w:rPr>
          <w:sz w:val="25"/>
          <w:szCs w:val="25"/>
        </w:rPr>
        <w:t xml:space="preserve">ed, </w:t>
      </w:r>
      <w:r w:rsidR="009064BE" w:rsidRPr="00942F86">
        <w:rPr>
          <w:sz w:val="25"/>
          <w:szCs w:val="25"/>
        </w:rPr>
        <w:t>for example</w:t>
      </w:r>
      <w:r w:rsidR="00AA5C79" w:rsidRPr="00942F86">
        <w:rPr>
          <w:sz w:val="25"/>
          <w:szCs w:val="25"/>
        </w:rPr>
        <w:t>, that there should be an adjustment to end</w:t>
      </w:r>
      <w:r w:rsidR="006B2829" w:rsidRPr="00942F86">
        <w:rPr>
          <w:sz w:val="25"/>
          <w:szCs w:val="25"/>
        </w:rPr>
        <w:t>-</w:t>
      </w:r>
      <w:r w:rsidR="00AA5C79" w:rsidRPr="00942F86">
        <w:rPr>
          <w:sz w:val="25"/>
          <w:szCs w:val="25"/>
        </w:rPr>
        <w:t>of</w:t>
      </w:r>
      <w:r w:rsidR="006B2829" w:rsidRPr="00942F86">
        <w:rPr>
          <w:sz w:val="25"/>
          <w:szCs w:val="25"/>
        </w:rPr>
        <w:t>-</w:t>
      </w:r>
      <w:r w:rsidR="00AA5C79" w:rsidRPr="00942F86">
        <w:rPr>
          <w:sz w:val="25"/>
          <w:szCs w:val="25"/>
        </w:rPr>
        <w:t xml:space="preserve">period revenues to maintain the integrity of the matching principle.  </w:t>
      </w:r>
      <w:r w:rsidR="00C93314" w:rsidRPr="00942F86">
        <w:rPr>
          <w:sz w:val="25"/>
          <w:szCs w:val="25"/>
        </w:rPr>
        <w:t>T</w:t>
      </w:r>
      <w:r w:rsidR="00AA5C79" w:rsidRPr="00942F86">
        <w:rPr>
          <w:sz w:val="25"/>
          <w:szCs w:val="25"/>
        </w:rPr>
        <w:t xml:space="preserve">he Commission rejected Public Counsel’s proposal for such an adjustment </w:t>
      </w:r>
      <w:r w:rsidR="0004628A" w:rsidRPr="00942F86">
        <w:rPr>
          <w:sz w:val="25"/>
          <w:szCs w:val="25"/>
        </w:rPr>
        <w:t xml:space="preserve">only </w:t>
      </w:r>
      <w:r w:rsidR="00AA5C79" w:rsidRPr="00942F86">
        <w:rPr>
          <w:sz w:val="25"/>
          <w:szCs w:val="25"/>
        </w:rPr>
        <w:t>because</w:t>
      </w:r>
      <w:r w:rsidR="00C93314" w:rsidRPr="00942F86">
        <w:rPr>
          <w:sz w:val="25"/>
          <w:szCs w:val="25"/>
        </w:rPr>
        <w:t>:</w:t>
      </w:r>
    </w:p>
    <w:p w14:paraId="00EE6086" w14:textId="77777777" w:rsidR="00C93314" w:rsidRPr="00942F86" w:rsidRDefault="00C93314" w:rsidP="000455AC">
      <w:pPr>
        <w:spacing w:line="264" w:lineRule="auto"/>
        <w:rPr>
          <w:sz w:val="25"/>
          <w:szCs w:val="25"/>
        </w:rPr>
      </w:pPr>
    </w:p>
    <w:p w14:paraId="5B618A74" w14:textId="52793CEB" w:rsidR="00C93314" w:rsidRPr="00942F86" w:rsidRDefault="00C93314" w:rsidP="000455AC">
      <w:pPr>
        <w:spacing w:line="264" w:lineRule="auto"/>
        <w:ind w:left="720" w:right="720"/>
        <w:rPr>
          <w:sz w:val="25"/>
          <w:szCs w:val="25"/>
        </w:rPr>
      </w:pPr>
      <w:r w:rsidRPr="00942F86">
        <w:rPr>
          <w:sz w:val="25"/>
          <w:szCs w:val="25"/>
        </w:rPr>
        <w:t>[I]</w:t>
      </w:r>
      <w:r w:rsidR="00AA5C79" w:rsidRPr="00942F86">
        <w:rPr>
          <w:sz w:val="25"/>
          <w:szCs w:val="25"/>
        </w:rPr>
        <w:t>t would be unduly complicated in the context of this case to fully explore and resolve</w:t>
      </w:r>
      <w:r w:rsidRPr="00942F86">
        <w:rPr>
          <w:sz w:val="25"/>
          <w:szCs w:val="25"/>
        </w:rPr>
        <w:t xml:space="preserve"> the impacts that adoption of Public Counsel’s </w:t>
      </w:r>
      <w:r w:rsidRPr="00942F86">
        <w:rPr>
          <w:sz w:val="25"/>
          <w:szCs w:val="25"/>
        </w:rPr>
        <w:lastRenderedPageBreak/>
        <w:t>approach would have in terms of the production factor adjustment, allocation issues, and rate spread.</w:t>
      </w:r>
      <w:r w:rsidRPr="00942F86">
        <w:rPr>
          <w:rStyle w:val="FootnoteReference"/>
          <w:sz w:val="25"/>
          <w:szCs w:val="25"/>
        </w:rPr>
        <w:footnoteReference w:id="219"/>
      </w:r>
      <w:r w:rsidRPr="00942F86">
        <w:rPr>
          <w:sz w:val="25"/>
          <w:szCs w:val="25"/>
        </w:rPr>
        <w:t xml:space="preserve"> </w:t>
      </w:r>
    </w:p>
    <w:p w14:paraId="2A44B969" w14:textId="77777777" w:rsidR="00C93314" w:rsidRPr="00942F86" w:rsidRDefault="00C93314" w:rsidP="000455AC">
      <w:pPr>
        <w:spacing w:line="264" w:lineRule="auto"/>
        <w:rPr>
          <w:sz w:val="25"/>
          <w:szCs w:val="25"/>
        </w:rPr>
      </w:pPr>
    </w:p>
    <w:p w14:paraId="6743B2FD" w14:textId="7CCACA74" w:rsidR="00F92246" w:rsidRPr="00942F86" w:rsidRDefault="00C93314" w:rsidP="000455AC">
      <w:pPr>
        <w:spacing w:line="264" w:lineRule="auto"/>
        <w:rPr>
          <w:sz w:val="25"/>
          <w:szCs w:val="25"/>
        </w:rPr>
      </w:pPr>
      <w:r w:rsidRPr="00942F86">
        <w:rPr>
          <w:sz w:val="25"/>
          <w:szCs w:val="25"/>
        </w:rPr>
        <w:t>The Commission cautioned, however, that</w:t>
      </w:r>
      <w:r w:rsidR="00BA0C9C" w:rsidRPr="00942F86">
        <w:rPr>
          <w:sz w:val="25"/>
          <w:szCs w:val="25"/>
        </w:rPr>
        <w:t>:</w:t>
      </w:r>
      <w:r w:rsidRPr="00942F86">
        <w:rPr>
          <w:sz w:val="25"/>
          <w:szCs w:val="25"/>
        </w:rPr>
        <w:t xml:space="preserve"> </w:t>
      </w:r>
    </w:p>
    <w:p w14:paraId="658FA8B8" w14:textId="77777777" w:rsidR="00F92246" w:rsidRPr="00942F86" w:rsidRDefault="00F92246" w:rsidP="000455AC">
      <w:pPr>
        <w:spacing w:line="264" w:lineRule="auto"/>
        <w:rPr>
          <w:sz w:val="25"/>
          <w:szCs w:val="25"/>
        </w:rPr>
      </w:pPr>
    </w:p>
    <w:p w14:paraId="7DCEB0C4" w14:textId="642499AC" w:rsidR="009501B4" w:rsidRPr="00942F86" w:rsidRDefault="00C93314" w:rsidP="000455AC">
      <w:pPr>
        <w:spacing w:line="264" w:lineRule="auto"/>
        <w:ind w:left="720" w:right="720"/>
        <w:rPr>
          <w:sz w:val="25"/>
          <w:szCs w:val="25"/>
        </w:rPr>
      </w:pPr>
      <w:r w:rsidRPr="00942F86">
        <w:rPr>
          <w:sz w:val="25"/>
          <w:szCs w:val="25"/>
        </w:rPr>
        <w:t xml:space="preserve">In any future case in which PacifiCorp, or another party, proposes </w:t>
      </w:r>
      <w:proofErr w:type="spellStart"/>
      <w:r w:rsidRPr="00942F86">
        <w:rPr>
          <w:sz w:val="25"/>
          <w:szCs w:val="25"/>
        </w:rPr>
        <w:t>EOP</w:t>
      </w:r>
      <w:proofErr w:type="spellEnd"/>
      <w:r w:rsidRPr="00942F86">
        <w:rPr>
          <w:sz w:val="25"/>
          <w:szCs w:val="25"/>
        </w:rPr>
        <w:t xml:space="preserve"> rate base, we would expect to see a more fully developed record and a more refined approach to </w:t>
      </w:r>
      <w:r w:rsidR="00F92246" w:rsidRPr="00942F86">
        <w:rPr>
          <w:sz w:val="25"/>
          <w:szCs w:val="25"/>
        </w:rPr>
        <w:t>[</w:t>
      </w:r>
      <w:r w:rsidRPr="00942F86">
        <w:rPr>
          <w:sz w:val="25"/>
          <w:szCs w:val="25"/>
        </w:rPr>
        <w:t>ensur</w:t>
      </w:r>
      <w:r w:rsidR="00F92246" w:rsidRPr="00942F86">
        <w:rPr>
          <w:sz w:val="25"/>
          <w:szCs w:val="25"/>
        </w:rPr>
        <w:t>e]</w:t>
      </w:r>
      <w:r w:rsidRPr="00942F86">
        <w:rPr>
          <w:sz w:val="25"/>
          <w:szCs w:val="25"/>
        </w:rPr>
        <w:t xml:space="preserve"> there is not a resulting violation of the matching principle.</w:t>
      </w:r>
      <w:r w:rsidR="00F92246" w:rsidRPr="00942F86">
        <w:rPr>
          <w:rStyle w:val="FootnoteReference"/>
          <w:sz w:val="25"/>
          <w:szCs w:val="25"/>
        </w:rPr>
        <w:footnoteReference w:id="220"/>
      </w:r>
    </w:p>
    <w:p w14:paraId="2DD9B3C1" w14:textId="77777777" w:rsidR="00F92246" w:rsidRPr="00942F86" w:rsidRDefault="00F92246" w:rsidP="000455AC">
      <w:pPr>
        <w:spacing w:line="264" w:lineRule="auto"/>
        <w:ind w:left="720" w:right="720"/>
        <w:rPr>
          <w:sz w:val="25"/>
          <w:szCs w:val="25"/>
        </w:rPr>
      </w:pPr>
    </w:p>
    <w:p w14:paraId="21D58A58" w14:textId="6481314C" w:rsidR="008D7459" w:rsidRPr="00942F86" w:rsidRDefault="00F92246" w:rsidP="00FC421A">
      <w:pPr>
        <w:numPr>
          <w:ilvl w:val="0"/>
          <w:numId w:val="1"/>
        </w:numPr>
        <w:tabs>
          <w:tab w:val="clear" w:pos="720"/>
          <w:tab w:val="num" w:pos="0"/>
        </w:tabs>
        <w:spacing w:line="264" w:lineRule="auto"/>
        <w:ind w:left="0"/>
        <w:rPr>
          <w:sz w:val="25"/>
          <w:szCs w:val="25"/>
        </w:rPr>
      </w:pPr>
      <w:r w:rsidRPr="00942F86">
        <w:rPr>
          <w:sz w:val="25"/>
          <w:szCs w:val="25"/>
        </w:rPr>
        <w:t xml:space="preserve">Less than five months after the Commission </w:t>
      </w:r>
      <w:r w:rsidR="00BA0C9C" w:rsidRPr="00942F86">
        <w:rPr>
          <w:sz w:val="25"/>
          <w:szCs w:val="25"/>
        </w:rPr>
        <w:t>published</w:t>
      </w:r>
      <w:r w:rsidRPr="00942F86">
        <w:rPr>
          <w:sz w:val="25"/>
          <w:szCs w:val="25"/>
        </w:rPr>
        <w:t xml:space="preserve"> these words, Pacific Power filed </w:t>
      </w:r>
      <w:r w:rsidR="00701D8E" w:rsidRPr="00942F86">
        <w:rPr>
          <w:sz w:val="25"/>
          <w:szCs w:val="25"/>
        </w:rPr>
        <w:t>this</w:t>
      </w:r>
      <w:r w:rsidRPr="00942F86">
        <w:rPr>
          <w:sz w:val="25"/>
          <w:szCs w:val="25"/>
        </w:rPr>
        <w:t xml:space="preserve"> general rate case.</w:t>
      </w:r>
      <w:r w:rsidR="007E543E" w:rsidRPr="00942F86">
        <w:rPr>
          <w:sz w:val="25"/>
          <w:szCs w:val="25"/>
        </w:rPr>
        <w:t xml:space="preserve">  We observe in this connection that filing rate cases essentially back-to-back means the Commission has no ability to evaluate whether the use of </w:t>
      </w:r>
      <w:proofErr w:type="spellStart"/>
      <w:r w:rsidR="007E543E" w:rsidRPr="00942F86">
        <w:rPr>
          <w:sz w:val="25"/>
          <w:szCs w:val="25"/>
        </w:rPr>
        <w:t>EOP</w:t>
      </w:r>
      <w:proofErr w:type="spellEnd"/>
      <w:r w:rsidR="007E543E" w:rsidRPr="00942F86">
        <w:rPr>
          <w:sz w:val="25"/>
          <w:szCs w:val="25"/>
        </w:rPr>
        <w:t xml:space="preserve"> rate base is an improvement over the AMA approach</w:t>
      </w:r>
      <w:r w:rsidR="008D7459" w:rsidRPr="00942F86">
        <w:rPr>
          <w:sz w:val="25"/>
          <w:szCs w:val="25"/>
        </w:rPr>
        <w:t xml:space="preserve"> in terms of reducing regulatory lag.  If we cannot meaningfully observe some benefit over time to allowing the </w:t>
      </w:r>
      <w:proofErr w:type="spellStart"/>
      <w:r w:rsidR="008D7459" w:rsidRPr="00942F86">
        <w:rPr>
          <w:sz w:val="25"/>
          <w:szCs w:val="25"/>
        </w:rPr>
        <w:t>EOP</w:t>
      </w:r>
      <w:proofErr w:type="spellEnd"/>
      <w:r w:rsidR="008D7459" w:rsidRPr="00942F86">
        <w:rPr>
          <w:sz w:val="25"/>
          <w:szCs w:val="25"/>
        </w:rPr>
        <w:t xml:space="preserve"> exception to our preferred approach, we are less inclined to grant the exception.</w:t>
      </w:r>
    </w:p>
    <w:p w14:paraId="7BE1D421" w14:textId="77777777" w:rsidR="008D7459" w:rsidRPr="00942F86" w:rsidRDefault="008D7459" w:rsidP="000455AC">
      <w:pPr>
        <w:spacing w:line="264" w:lineRule="auto"/>
        <w:rPr>
          <w:sz w:val="25"/>
          <w:szCs w:val="25"/>
        </w:rPr>
      </w:pPr>
    </w:p>
    <w:p w14:paraId="3DABFA06" w14:textId="05CD7D31" w:rsidR="00E81ACF" w:rsidRPr="00942F86" w:rsidRDefault="008D7459" w:rsidP="00FC421A">
      <w:pPr>
        <w:numPr>
          <w:ilvl w:val="0"/>
          <w:numId w:val="1"/>
        </w:numPr>
        <w:tabs>
          <w:tab w:val="clear" w:pos="720"/>
          <w:tab w:val="num" w:pos="0"/>
        </w:tabs>
        <w:spacing w:line="264" w:lineRule="auto"/>
        <w:ind w:left="0"/>
        <w:rPr>
          <w:sz w:val="25"/>
          <w:szCs w:val="25"/>
        </w:rPr>
      </w:pPr>
      <w:r w:rsidRPr="00942F86">
        <w:rPr>
          <w:sz w:val="25"/>
          <w:szCs w:val="25"/>
        </w:rPr>
        <w:t xml:space="preserve">We are most concerned in this case that the record is woefully inadequate in terms of demonstrating “a more refined approach” that assures the Commission that the use of </w:t>
      </w:r>
      <w:proofErr w:type="spellStart"/>
      <w:r w:rsidRPr="00942F86">
        <w:rPr>
          <w:sz w:val="25"/>
          <w:szCs w:val="25"/>
        </w:rPr>
        <w:t>EOP</w:t>
      </w:r>
      <w:proofErr w:type="spellEnd"/>
      <w:r w:rsidRPr="00942F86">
        <w:rPr>
          <w:sz w:val="25"/>
          <w:szCs w:val="25"/>
        </w:rPr>
        <w:t xml:space="preserve"> rate base “is not resulting in violation of the matching principle.”</w:t>
      </w:r>
      <w:r w:rsidR="00FF60C9" w:rsidRPr="00942F86">
        <w:rPr>
          <w:sz w:val="25"/>
          <w:szCs w:val="25"/>
        </w:rPr>
        <w:t xml:space="preserve">  </w:t>
      </w:r>
      <w:r w:rsidRPr="00942F86">
        <w:rPr>
          <w:sz w:val="25"/>
          <w:szCs w:val="25"/>
        </w:rPr>
        <w:t xml:space="preserve">The Commission gave explicit direction to the parties concerning its expectation in this regard.  Yet, Pacific Power and the other parties supporting its use of the </w:t>
      </w:r>
      <w:proofErr w:type="spellStart"/>
      <w:r w:rsidRPr="00942F86">
        <w:rPr>
          <w:sz w:val="25"/>
          <w:szCs w:val="25"/>
        </w:rPr>
        <w:t>EOP</w:t>
      </w:r>
      <w:proofErr w:type="spellEnd"/>
      <w:r w:rsidRPr="00942F86">
        <w:rPr>
          <w:sz w:val="25"/>
          <w:szCs w:val="25"/>
        </w:rPr>
        <w:t xml:space="preserve"> method in this case ignored this direction.  </w:t>
      </w:r>
      <w:r w:rsidR="00BA0C9C" w:rsidRPr="00942F86">
        <w:rPr>
          <w:sz w:val="25"/>
          <w:szCs w:val="25"/>
        </w:rPr>
        <w:t xml:space="preserve">Boise White Paper, on the other hand, offers both expert testimony and argument that goes to the heart of our concerns over the use of </w:t>
      </w:r>
      <w:proofErr w:type="spellStart"/>
      <w:r w:rsidR="00BA0C9C" w:rsidRPr="00942F86">
        <w:rPr>
          <w:sz w:val="25"/>
          <w:szCs w:val="25"/>
        </w:rPr>
        <w:t>EOP</w:t>
      </w:r>
      <w:proofErr w:type="spellEnd"/>
      <w:r w:rsidR="00BA0C9C" w:rsidRPr="00942F86">
        <w:rPr>
          <w:sz w:val="25"/>
          <w:szCs w:val="25"/>
        </w:rPr>
        <w:t xml:space="preserve"> rate base</w:t>
      </w:r>
      <w:r w:rsidR="00701D8E" w:rsidRPr="00942F86">
        <w:rPr>
          <w:sz w:val="25"/>
          <w:szCs w:val="25"/>
        </w:rPr>
        <w:t xml:space="preserve"> as the new standard</w:t>
      </w:r>
      <w:r w:rsidR="00BA0C9C" w:rsidRPr="00942F86">
        <w:rPr>
          <w:sz w:val="25"/>
          <w:szCs w:val="25"/>
        </w:rPr>
        <w:t>.</w:t>
      </w:r>
    </w:p>
    <w:p w14:paraId="5B5880C0" w14:textId="77777777" w:rsidR="00BA0C9C" w:rsidRPr="00942F86" w:rsidRDefault="00BA0C9C" w:rsidP="000455AC">
      <w:pPr>
        <w:pStyle w:val="ListParagraph"/>
        <w:spacing w:line="264" w:lineRule="auto"/>
        <w:rPr>
          <w:sz w:val="25"/>
          <w:szCs w:val="25"/>
        </w:rPr>
      </w:pPr>
    </w:p>
    <w:p w14:paraId="64D4C816" w14:textId="4B4D1862" w:rsidR="00E81ACF" w:rsidRPr="00942F86" w:rsidRDefault="00BA0C9C" w:rsidP="00FC421A">
      <w:pPr>
        <w:numPr>
          <w:ilvl w:val="0"/>
          <w:numId w:val="1"/>
        </w:numPr>
        <w:tabs>
          <w:tab w:val="clear" w:pos="720"/>
          <w:tab w:val="num" w:pos="0"/>
        </w:tabs>
        <w:spacing w:line="264" w:lineRule="auto"/>
        <w:ind w:left="0"/>
        <w:rPr>
          <w:sz w:val="25"/>
          <w:szCs w:val="25"/>
        </w:rPr>
      </w:pPr>
      <w:r w:rsidRPr="00942F86">
        <w:rPr>
          <w:sz w:val="25"/>
          <w:szCs w:val="25"/>
        </w:rPr>
        <w:t xml:space="preserve">We reject Pacific Power’s use of </w:t>
      </w:r>
      <w:proofErr w:type="spellStart"/>
      <w:r w:rsidRPr="00942F86">
        <w:rPr>
          <w:sz w:val="25"/>
          <w:szCs w:val="25"/>
        </w:rPr>
        <w:t>EOP</w:t>
      </w:r>
      <w:proofErr w:type="spellEnd"/>
      <w:r w:rsidRPr="00942F86">
        <w:rPr>
          <w:sz w:val="25"/>
          <w:szCs w:val="25"/>
        </w:rPr>
        <w:t xml:space="preserve"> rate base in this case</w:t>
      </w:r>
      <w:r w:rsidR="00701D8E" w:rsidRPr="00942F86">
        <w:rPr>
          <w:sz w:val="25"/>
          <w:szCs w:val="25"/>
        </w:rPr>
        <w:t>, finding that the Company has failed to meet its burden of proof on this issue,</w:t>
      </w:r>
      <w:r w:rsidRPr="00942F86">
        <w:rPr>
          <w:sz w:val="25"/>
          <w:szCs w:val="25"/>
        </w:rPr>
        <w:t xml:space="preserve"> and require that the Company’s compliance filing use the preferred AMA approach.  We do not foreclose the possibility of approving </w:t>
      </w:r>
      <w:proofErr w:type="spellStart"/>
      <w:r w:rsidRPr="00942F86">
        <w:rPr>
          <w:sz w:val="25"/>
          <w:szCs w:val="25"/>
        </w:rPr>
        <w:t>EOP</w:t>
      </w:r>
      <w:proofErr w:type="spellEnd"/>
      <w:r w:rsidRPr="00942F86">
        <w:rPr>
          <w:sz w:val="25"/>
          <w:szCs w:val="25"/>
        </w:rPr>
        <w:t xml:space="preserve"> in a future case if there is an adequate showing that it promises the results we expect and is determined to be an appropriate regulatory mechanism under specific, well documented facts supporting its use.</w:t>
      </w:r>
    </w:p>
    <w:bookmarkEnd w:id="18"/>
    <w:p w14:paraId="71A36A4A" w14:textId="21092FBD" w:rsidR="00173070" w:rsidRPr="00942F86" w:rsidRDefault="00173070" w:rsidP="000455AC">
      <w:pPr>
        <w:spacing w:line="264" w:lineRule="auto"/>
        <w:rPr>
          <w:sz w:val="25"/>
          <w:szCs w:val="25"/>
        </w:rPr>
      </w:pPr>
    </w:p>
    <w:p w14:paraId="25319AA9" w14:textId="77777777" w:rsidR="003E6A7D" w:rsidRPr="00942F86" w:rsidRDefault="00BB45B9" w:rsidP="00883A54">
      <w:pPr>
        <w:pStyle w:val="Heading4"/>
      </w:pPr>
      <w:bookmarkStart w:id="30" w:name="_Toc415037627"/>
      <w:r w:rsidRPr="00942F86">
        <w:lastRenderedPageBreak/>
        <w:t>Major Capital Plant Additions (Adjustment 8.4)</w:t>
      </w:r>
      <w:bookmarkEnd w:id="30"/>
    </w:p>
    <w:p w14:paraId="7B070FF2" w14:textId="77777777" w:rsidR="00694249" w:rsidRPr="00942F86" w:rsidRDefault="00694249" w:rsidP="000455AC">
      <w:pPr>
        <w:spacing w:line="264" w:lineRule="auto"/>
        <w:rPr>
          <w:sz w:val="25"/>
          <w:szCs w:val="25"/>
        </w:rPr>
      </w:pPr>
    </w:p>
    <w:p w14:paraId="58FBACDA" w14:textId="470EC63A" w:rsidR="00E47509" w:rsidRPr="00942F86" w:rsidRDefault="00E47509" w:rsidP="00FC421A">
      <w:pPr>
        <w:numPr>
          <w:ilvl w:val="0"/>
          <w:numId w:val="1"/>
        </w:numPr>
        <w:tabs>
          <w:tab w:val="clear" w:pos="720"/>
          <w:tab w:val="num" w:pos="0"/>
        </w:tabs>
        <w:spacing w:line="264" w:lineRule="auto"/>
        <w:ind w:left="0"/>
        <w:rPr>
          <w:sz w:val="25"/>
          <w:szCs w:val="25"/>
        </w:rPr>
      </w:pPr>
      <w:r w:rsidRPr="00942F86">
        <w:rPr>
          <w:sz w:val="25"/>
          <w:szCs w:val="25"/>
        </w:rPr>
        <w:t>Pacific Power propose</w:t>
      </w:r>
      <w:r w:rsidR="000E4040" w:rsidRPr="00942F86">
        <w:rPr>
          <w:sz w:val="25"/>
          <w:szCs w:val="25"/>
        </w:rPr>
        <w:t>d as part of its initial filing</w:t>
      </w:r>
      <w:r w:rsidRPr="00942F86">
        <w:rPr>
          <w:sz w:val="25"/>
          <w:szCs w:val="25"/>
        </w:rPr>
        <w:t xml:space="preserve"> to include all </w:t>
      </w:r>
      <w:r w:rsidR="000E4040" w:rsidRPr="00942F86">
        <w:rPr>
          <w:sz w:val="25"/>
          <w:szCs w:val="25"/>
        </w:rPr>
        <w:t>post-test period</w:t>
      </w:r>
      <w:r w:rsidRPr="00942F86">
        <w:rPr>
          <w:sz w:val="25"/>
          <w:szCs w:val="25"/>
        </w:rPr>
        <w:t xml:space="preserve"> capital projects with a budget greater than $250,000 and planned to be placed in service between January 1, 2014, and March 31, 2015</w:t>
      </w:r>
      <w:r w:rsidR="0066591B" w:rsidRPr="00942F86">
        <w:rPr>
          <w:sz w:val="25"/>
          <w:szCs w:val="25"/>
        </w:rPr>
        <w:t>, the end of the suspension period in this case</w:t>
      </w:r>
      <w:r w:rsidRPr="00942F86">
        <w:rPr>
          <w:sz w:val="25"/>
          <w:szCs w:val="25"/>
        </w:rPr>
        <w:t>.  The Company thus proposes</w:t>
      </w:r>
      <w:r w:rsidR="00480C1C" w:rsidRPr="00942F86">
        <w:rPr>
          <w:sz w:val="25"/>
          <w:szCs w:val="25"/>
        </w:rPr>
        <w:t xml:space="preserve"> in its initial filing</w:t>
      </w:r>
      <w:r w:rsidRPr="00942F86">
        <w:rPr>
          <w:sz w:val="25"/>
          <w:szCs w:val="25"/>
        </w:rPr>
        <w:t xml:space="preserve"> the addition of 30 post-test</w:t>
      </w:r>
      <w:r w:rsidR="00065EA1" w:rsidRPr="00942F86">
        <w:rPr>
          <w:sz w:val="25"/>
          <w:szCs w:val="25"/>
        </w:rPr>
        <w:t>-</w:t>
      </w:r>
      <w:r w:rsidRPr="00942F86">
        <w:rPr>
          <w:sz w:val="25"/>
          <w:szCs w:val="25"/>
        </w:rPr>
        <w:t xml:space="preserve">period projects as </w:t>
      </w:r>
      <w:r w:rsidRPr="00942F86">
        <w:rPr>
          <w:i/>
          <w:sz w:val="25"/>
          <w:szCs w:val="25"/>
        </w:rPr>
        <w:t>pro forma</w:t>
      </w:r>
      <w:r w:rsidRPr="00942F86">
        <w:rPr>
          <w:sz w:val="25"/>
          <w:szCs w:val="25"/>
        </w:rPr>
        <w:t xml:space="preserve"> additions to rate base.</w:t>
      </w:r>
      <w:r w:rsidRPr="00942F86">
        <w:rPr>
          <w:rStyle w:val="FootnoteReference"/>
          <w:sz w:val="25"/>
          <w:szCs w:val="25"/>
        </w:rPr>
        <w:footnoteReference w:id="221"/>
      </w:r>
      <w:r w:rsidR="00065EA1" w:rsidRPr="00942F86">
        <w:rPr>
          <w:sz w:val="25"/>
          <w:szCs w:val="25"/>
        </w:rPr>
        <w:t xml:space="preserve">  </w:t>
      </w:r>
      <w:r w:rsidR="0064287D" w:rsidRPr="00942F86">
        <w:rPr>
          <w:sz w:val="25"/>
          <w:szCs w:val="25"/>
        </w:rPr>
        <w:t xml:space="preserve">This proposal contrasts sharply to what Pacific Power proposed </w:t>
      </w:r>
      <w:r w:rsidR="000E4040" w:rsidRPr="00942F86">
        <w:rPr>
          <w:sz w:val="25"/>
          <w:szCs w:val="25"/>
        </w:rPr>
        <w:t>in Docket UE-130043</w:t>
      </w:r>
      <w:r w:rsidR="00701D8E" w:rsidRPr="00942F86">
        <w:rPr>
          <w:sz w:val="25"/>
          <w:szCs w:val="25"/>
        </w:rPr>
        <w:t>,</w:t>
      </w:r>
      <w:r w:rsidR="0064287D" w:rsidRPr="00942F86">
        <w:rPr>
          <w:sz w:val="25"/>
          <w:szCs w:val="25"/>
        </w:rPr>
        <w:t xml:space="preserve"> </w:t>
      </w:r>
      <w:r w:rsidR="00701D8E" w:rsidRPr="00942F86">
        <w:rPr>
          <w:sz w:val="25"/>
          <w:szCs w:val="25"/>
        </w:rPr>
        <w:t xml:space="preserve">in which </w:t>
      </w:r>
      <w:r w:rsidR="0064287D" w:rsidRPr="00942F86">
        <w:rPr>
          <w:sz w:val="25"/>
          <w:szCs w:val="25"/>
        </w:rPr>
        <w:t>the Company sought to include only four post-test period capital additions that were all over $10 million on a Company-wide basis.  Among the 30 projects included in Pacific Power’s filing in this case</w:t>
      </w:r>
      <w:r w:rsidR="00701D8E" w:rsidRPr="00942F86">
        <w:rPr>
          <w:sz w:val="25"/>
          <w:szCs w:val="25"/>
        </w:rPr>
        <w:t>,</w:t>
      </w:r>
      <w:r w:rsidR="0064287D" w:rsidRPr="00942F86">
        <w:rPr>
          <w:sz w:val="25"/>
          <w:szCs w:val="25"/>
        </w:rPr>
        <w:t xml:space="preserve"> only one, the Merwin </w:t>
      </w:r>
      <w:r w:rsidR="00701D8E" w:rsidRPr="00942F86">
        <w:rPr>
          <w:sz w:val="25"/>
          <w:szCs w:val="25"/>
        </w:rPr>
        <w:t>Project</w:t>
      </w:r>
      <w:r w:rsidR="0064287D" w:rsidRPr="00942F86">
        <w:rPr>
          <w:sz w:val="25"/>
          <w:szCs w:val="25"/>
        </w:rPr>
        <w:t>,</w:t>
      </w:r>
      <w:r w:rsidR="00B520B0" w:rsidRPr="00942F86">
        <w:rPr>
          <w:sz w:val="25"/>
          <w:szCs w:val="25"/>
          <w:vertAlign w:val="superscript"/>
        </w:rPr>
        <w:footnoteReference w:id="222"/>
      </w:r>
      <w:r w:rsidR="0064287D" w:rsidRPr="00942F86">
        <w:rPr>
          <w:sz w:val="25"/>
          <w:szCs w:val="25"/>
        </w:rPr>
        <w:t xml:space="preserve"> is indisputably a “major” plant addition</w:t>
      </w:r>
      <w:r w:rsidR="000E4040" w:rsidRPr="00942F86">
        <w:rPr>
          <w:sz w:val="25"/>
          <w:szCs w:val="25"/>
        </w:rPr>
        <w:t>.</w:t>
      </w:r>
      <w:r w:rsidR="00B520B0" w:rsidRPr="00942F86">
        <w:rPr>
          <w:rStyle w:val="FootnoteReference"/>
          <w:sz w:val="25"/>
          <w:szCs w:val="25"/>
        </w:rPr>
        <w:footnoteReference w:id="223"/>
      </w:r>
      <w:r w:rsidR="004520BE" w:rsidRPr="00942F86">
        <w:rPr>
          <w:sz w:val="25"/>
          <w:szCs w:val="25"/>
        </w:rPr>
        <w:t xml:space="preserve"> </w:t>
      </w:r>
    </w:p>
    <w:p w14:paraId="4A22FD70" w14:textId="77777777" w:rsidR="00E47509" w:rsidRPr="00942F86" w:rsidRDefault="00E47509" w:rsidP="000455AC">
      <w:pPr>
        <w:spacing w:line="264" w:lineRule="auto"/>
        <w:rPr>
          <w:sz w:val="25"/>
          <w:szCs w:val="25"/>
        </w:rPr>
      </w:pPr>
    </w:p>
    <w:p w14:paraId="3B618E26" w14:textId="77931774" w:rsidR="00E47509" w:rsidRPr="00942F86" w:rsidRDefault="00E47509" w:rsidP="00FC421A">
      <w:pPr>
        <w:numPr>
          <w:ilvl w:val="0"/>
          <w:numId w:val="1"/>
        </w:numPr>
        <w:tabs>
          <w:tab w:val="clear" w:pos="720"/>
          <w:tab w:val="num" w:pos="0"/>
        </w:tabs>
        <w:spacing w:line="264" w:lineRule="auto"/>
        <w:ind w:left="0"/>
        <w:rPr>
          <w:sz w:val="25"/>
          <w:szCs w:val="25"/>
        </w:rPr>
      </w:pPr>
      <w:r w:rsidRPr="00942F86">
        <w:rPr>
          <w:sz w:val="25"/>
          <w:szCs w:val="25"/>
        </w:rPr>
        <w:t xml:space="preserve">Mr. Mullins testifies for Boise White Paper that the Commission should reject the Company’s proposal to include any </w:t>
      </w:r>
      <w:r w:rsidRPr="00942F86">
        <w:rPr>
          <w:i/>
          <w:sz w:val="25"/>
          <w:szCs w:val="25"/>
        </w:rPr>
        <w:t>pro</w:t>
      </w:r>
      <w:r w:rsidR="0045711D" w:rsidRPr="00942F86">
        <w:rPr>
          <w:i/>
          <w:sz w:val="25"/>
          <w:szCs w:val="25"/>
        </w:rPr>
        <w:t xml:space="preserve"> </w:t>
      </w:r>
      <w:r w:rsidRPr="00942F86">
        <w:rPr>
          <w:i/>
          <w:sz w:val="25"/>
          <w:szCs w:val="25"/>
        </w:rPr>
        <w:t>forma</w:t>
      </w:r>
      <w:r w:rsidRPr="00942F86">
        <w:rPr>
          <w:sz w:val="25"/>
          <w:szCs w:val="25"/>
        </w:rPr>
        <w:t xml:space="preserve"> capital additions in revenue requirement, with the exception of the Merwin </w:t>
      </w:r>
      <w:r w:rsidR="006B2829" w:rsidRPr="00942F86">
        <w:rPr>
          <w:sz w:val="25"/>
          <w:szCs w:val="25"/>
        </w:rPr>
        <w:t>Project</w:t>
      </w:r>
      <w:r w:rsidRPr="00942F86">
        <w:rPr>
          <w:sz w:val="25"/>
          <w:szCs w:val="25"/>
        </w:rPr>
        <w:t xml:space="preserve">.  According to Mr. Mullins, removing these expenditures will result in a $3.8 million reduction to </w:t>
      </w:r>
      <w:r w:rsidR="00701D8E" w:rsidRPr="00942F86">
        <w:rPr>
          <w:sz w:val="25"/>
          <w:szCs w:val="25"/>
        </w:rPr>
        <w:t xml:space="preserve">the Company’s </w:t>
      </w:r>
      <w:r w:rsidRPr="00942F86">
        <w:rPr>
          <w:sz w:val="25"/>
          <w:szCs w:val="25"/>
        </w:rPr>
        <w:t>revenue requirement.</w:t>
      </w:r>
      <w:r w:rsidRPr="00942F86">
        <w:rPr>
          <w:rStyle w:val="FootnoteReference"/>
          <w:sz w:val="25"/>
          <w:szCs w:val="25"/>
        </w:rPr>
        <w:footnoteReference w:id="224"/>
      </w:r>
      <w:r w:rsidRPr="00942F86">
        <w:rPr>
          <w:sz w:val="25"/>
          <w:szCs w:val="25"/>
        </w:rPr>
        <w:t xml:space="preserve">  </w:t>
      </w:r>
    </w:p>
    <w:p w14:paraId="28972731" w14:textId="77777777" w:rsidR="00065EA1" w:rsidRPr="00942F86" w:rsidRDefault="00065EA1" w:rsidP="000455AC">
      <w:pPr>
        <w:pStyle w:val="ListParagraph"/>
        <w:spacing w:line="264" w:lineRule="auto"/>
        <w:rPr>
          <w:sz w:val="25"/>
          <w:szCs w:val="25"/>
        </w:rPr>
      </w:pPr>
    </w:p>
    <w:p w14:paraId="4B690939" w14:textId="3044205E" w:rsidR="00480C1C" w:rsidRPr="00942F86" w:rsidRDefault="00552B8F" w:rsidP="00FC421A">
      <w:pPr>
        <w:numPr>
          <w:ilvl w:val="0"/>
          <w:numId w:val="1"/>
        </w:numPr>
        <w:tabs>
          <w:tab w:val="clear" w:pos="720"/>
          <w:tab w:val="num" w:pos="0"/>
        </w:tabs>
        <w:spacing w:line="264" w:lineRule="auto"/>
        <w:ind w:left="0"/>
        <w:rPr>
          <w:sz w:val="25"/>
          <w:szCs w:val="25"/>
        </w:rPr>
      </w:pPr>
      <w:r w:rsidRPr="00942F86">
        <w:rPr>
          <w:sz w:val="25"/>
          <w:szCs w:val="25"/>
        </w:rPr>
        <w:t>Fundamentally, Mr. Mullins’ testimony is that the Company has failed to carry its burden to present the evidence necessary for the Commission to make an affirmative det</w:t>
      </w:r>
      <w:r w:rsidR="0045711D" w:rsidRPr="00942F86">
        <w:rPr>
          <w:sz w:val="25"/>
          <w:szCs w:val="25"/>
        </w:rPr>
        <w:t xml:space="preserve">ermination that each of the </w:t>
      </w:r>
      <w:r w:rsidR="0045711D" w:rsidRPr="00942F86">
        <w:rPr>
          <w:i/>
          <w:sz w:val="25"/>
          <w:szCs w:val="25"/>
        </w:rPr>
        <w:t xml:space="preserve">pro </w:t>
      </w:r>
      <w:r w:rsidRPr="00942F86">
        <w:rPr>
          <w:i/>
          <w:sz w:val="25"/>
          <w:szCs w:val="25"/>
        </w:rPr>
        <w:t>forma</w:t>
      </w:r>
      <w:r w:rsidRPr="00942F86">
        <w:rPr>
          <w:sz w:val="25"/>
          <w:szCs w:val="25"/>
        </w:rPr>
        <w:t xml:space="preserve"> projects proposed by the Company satisfies the used and useful and known and measurable standards.  He states that 25 of the proposed capital additions are supported by no more than “brief narrative descriptions included in an exhibit of Ms. Siores’ testimony.”</w:t>
      </w:r>
      <w:r w:rsidRPr="00942F86">
        <w:rPr>
          <w:rStyle w:val="FootnoteReference"/>
          <w:sz w:val="25"/>
          <w:szCs w:val="25"/>
        </w:rPr>
        <w:footnoteReference w:id="225"/>
      </w:r>
      <w:r w:rsidRPr="00942F86">
        <w:rPr>
          <w:sz w:val="25"/>
          <w:szCs w:val="25"/>
        </w:rPr>
        <w:t xml:space="preserve">  </w:t>
      </w:r>
      <w:r w:rsidR="0004295E" w:rsidRPr="00942F86">
        <w:rPr>
          <w:sz w:val="25"/>
          <w:szCs w:val="25"/>
        </w:rPr>
        <w:t xml:space="preserve">According to Mr. Mullins, these descriptions “fall short of providing the Commission with the necessary information to determine whether these </w:t>
      </w:r>
      <w:r w:rsidR="0004295E" w:rsidRPr="00942F86">
        <w:rPr>
          <w:i/>
          <w:sz w:val="25"/>
          <w:szCs w:val="25"/>
        </w:rPr>
        <w:t>pro</w:t>
      </w:r>
      <w:r w:rsidR="0045711D" w:rsidRPr="00942F86">
        <w:rPr>
          <w:i/>
          <w:sz w:val="25"/>
          <w:szCs w:val="25"/>
        </w:rPr>
        <w:t xml:space="preserve"> </w:t>
      </w:r>
      <w:r w:rsidR="0004295E" w:rsidRPr="00942F86">
        <w:rPr>
          <w:i/>
          <w:sz w:val="25"/>
          <w:szCs w:val="25"/>
        </w:rPr>
        <w:t>forma</w:t>
      </w:r>
      <w:r w:rsidR="0004295E" w:rsidRPr="00942F86">
        <w:rPr>
          <w:sz w:val="25"/>
          <w:szCs w:val="25"/>
        </w:rPr>
        <w:t xml:space="preserve"> projects satisfy the heightened burden to be </w:t>
      </w:r>
      <w:r w:rsidR="0004295E" w:rsidRPr="00942F86">
        <w:rPr>
          <w:sz w:val="25"/>
          <w:szCs w:val="25"/>
        </w:rPr>
        <w:lastRenderedPageBreak/>
        <w:t>included in rate base.”</w:t>
      </w:r>
      <w:r w:rsidR="0004295E" w:rsidRPr="00942F86">
        <w:rPr>
          <w:rStyle w:val="FootnoteReference"/>
          <w:sz w:val="25"/>
          <w:szCs w:val="25"/>
        </w:rPr>
        <w:footnoteReference w:id="226"/>
      </w:r>
      <w:r w:rsidR="0004295E" w:rsidRPr="00942F86">
        <w:rPr>
          <w:sz w:val="25"/>
          <w:szCs w:val="25"/>
        </w:rPr>
        <w:t xml:space="preserve">  He says these are relatively small projects with changing capital budgets</w:t>
      </w:r>
      <w:r w:rsidR="00876F1C" w:rsidRPr="00942F86">
        <w:rPr>
          <w:sz w:val="25"/>
          <w:szCs w:val="25"/>
        </w:rPr>
        <w:t xml:space="preserve"> and</w:t>
      </w:r>
      <w:r w:rsidR="0004295E" w:rsidRPr="00942F86">
        <w:rPr>
          <w:sz w:val="25"/>
          <w:szCs w:val="25"/>
        </w:rPr>
        <w:t xml:space="preserve"> “highly uncertain” timing.</w:t>
      </w:r>
      <w:r w:rsidR="003A1389" w:rsidRPr="00942F86">
        <w:rPr>
          <w:rStyle w:val="FootnoteReference"/>
          <w:sz w:val="25"/>
          <w:szCs w:val="25"/>
        </w:rPr>
        <w:footnoteReference w:id="227"/>
      </w:r>
      <w:r w:rsidR="0004295E" w:rsidRPr="00942F86">
        <w:rPr>
          <w:sz w:val="25"/>
          <w:szCs w:val="25"/>
        </w:rPr>
        <w:t xml:space="preserve">  </w:t>
      </w:r>
    </w:p>
    <w:p w14:paraId="1829A288" w14:textId="77777777" w:rsidR="00480C1C" w:rsidRPr="00942F86" w:rsidRDefault="00480C1C" w:rsidP="000455AC">
      <w:pPr>
        <w:pStyle w:val="ListParagraph"/>
        <w:spacing w:line="264" w:lineRule="auto"/>
        <w:rPr>
          <w:sz w:val="25"/>
          <w:szCs w:val="25"/>
        </w:rPr>
      </w:pPr>
    </w:p>
    <w:p w14:paraId="49C73F0B" w14:textId="409A89EB" w:rsidR="00065EA1" w:rsidRPr="00942F86" w:rsidRDefault="0004295E" w:rsidP="00FC421A">
      <w:pPr>
        <w:numPr>
          <w:ilvl w:val="0"/>
          <w:numId w:val="1"/>
        </w:numPr>
        <w:tabs>
          <w:tab w:val="clear" w:pos="720"/>
          <w:tab w:val="num" w:pos="0"/>
        </w:tabs>
        <w:spacing w:line="264" w:lineRule="auto"/>
        <w:ind w:left="0"/>
        <w:rPr>
          <w:sz w:val="25"/>
          <w:szCs w:val="25"/>
        </w:rPr>
      </w:pPr>
      <w:r w:rsidRPr="00942F86">
        <w:rPr>
          <w:sz w:val="25"/>
          <w:szCs w:val="25"/>
        </w:rPr>
        <w:t>Mr. Mullins cites as an example the Yale Upper Rock Block Stabilization project.  He testifies it originally was planned to be placed in service in October 2014 at a total cost of $2.7 million.</w:t>
      </w:r>
      <w:r w:rsidRPr="00942F86">
        <w:rPr>
          <w:rStyle w:val="FootnoteReference"/>
          <w:sz w:val="25"/>
          <w:szCs w:val="25"/>
        </w:rPr>
        <w:footnoteReference w:id="228"/>
      </w:r>
      <w:r w:rsidRPr="00942F86">
        <w:rPr>
          <w:sz w:val="25"/>
          <w:szCs w:val="25"/>
        </w:rPr>
        <w:t xml:space="preserve"> Yet, Mr. Mullins states, according to the Company’s response to a Boise White Paper data request the planned in-service date changed to February 2015 and the total cost estimate increased to $6.2 million.</w:t>
      </w:r>
      <w:r w:rsidRPr="00942F86">
        <w:rPr>
          <w:rStyle w:val="FootnoteReference"/>
          <w:sz w:val="25"/>
          <w:szCs w:val="25"/>
        </w:rPr>
        <w:footnoteReference w:id="229"/>
      </w:r>
      <w:r w:rsidRPr="00942F86">
        <w:rPr>
          <w:sz w:val="25"/>
          <w:szCs w:val="25"/>
        </w:rPr>
        <w:t xml:space="preserve">  He says that “[m]any of the other small projects follow a similar pattern, which the Company has made no effort to explain in testimony.”</w:t>
      </w:r>
      <w:r w:rsidRPr="00942F86">
        <w:rPr>
          <w:rStyle w:val="FootnoteReference"/>
          <w:sz w:val="25"/>
          <w:szCs w:val="25"/>
        </w:rPr>
        <w:footnoteReference w:id="230"/>
      </w:r>
      <w:r w:rsidRPr="00942F86">
        <w:rPr>
          <w:sz w:val="25"/>
          <w:szCs w:val="25"/>
        </w:rPr>
        <w:t xml:space="preserve">  For these reasons, he recommends that the Commission disallow the 25 projects supported only in Ms. Siores’ exhibit.</w:t>
      </w:r>
    </w:p>
    <w:p w14:paraId="7BCA6455" w14:textId="77777777" w:rsidR="004B1080" w:rsidRPr="00942F86" w:rsidRDefault="004B1080" w:rsidP="000455AC">
      <w:pPr>
        <w:spacing w:line="264" w:lineRule="auto"/>
        <w:rPr>
          <w:sz w:val="25"/>
          <w:szCs w:val="25"/>
        </w:rPr>
      </w:pPr>
    </w:p>
    <w:p w14:paraId="1E77FAD4" w14:textId="77777777" w:rsidR="0004295E" w:rsidRPr="00942F86" w:rsidRDefault="0004295E" w:rsidP="00FC421A">
      <w:pPr>
        <w:numPr>
          <w:ilvl w:val="0"/>
          <w:numId w:val="1"/>
        </w:numPr>
        <w:tabs>
          <w:tab w:val="clear" w:pos="720"/>
          <w:tab w:val="num" w:pos="0"/>
        </w:tabs>
        <w:spacing w:line="264" w:lineRule="auto"/>
        <w:ind w:left="0"/>
        <w:rPr>
          <w:sz w:val="25"/>
          <w:szCs w:val="25"/>
        </w:rPr>
      </w:pPr>
      <w:r w:rsidRPr="00942F86">
        <w:rPr>
          <w:sz w:val="25"/>
          <w:szCs w:val="25"/>
        </w:rPr>
        <w:t xml:space="preserve">Turning to the remaining five projects Pacific Power proposes as </w:t>
      </w:r>
      <w:r w:rsidRPr="00942F86">
        <w:rPr>
          <w:i/>
          <w:sz w:val="25"/>
          <w:szCs w:val="25"/>
        </w:rPr>
        <w:t>pr</w:t>
      </w:r>
      <w:r w:rsidR="004B1080" w:rsidRPr="00942F86">
        <w:rPr>
          <w:i/>
          <w:sz w:val="25"/>
          <w:szCs w:val="25"/>
        </w:rPr>
        <w:t>o forma</w:t>
      </w:r>
      <w:r w:rsidR="004B1080" w:rsidRPr="00942F86">
        <w:rPr>
          <w:sz w:val="25"/>
          <w:szCs w:val="25"/>
        </w:rPr>
        <w:t xml:space="preserve"> major plant additions, Mr. Mullins opposes four:  1) the Jim Bridger Unit 1 Cooling Tower Replacement Project; 2) the Union Gap Substation Upgrade; 3) the Selah Substation Capacity Relief; and 4) the Fry Substation Project.</w:t>
      </w:r>
      <w:r w:rsidR="004B1080" w:rsidRPr="00942F86">
        <w:rPr>
          <w:rStyle w:val="FootnoteReference"/>
          <w:sz w:val="25"/>
          <w:szCs w:val="25"/>
        </w:rPr>
        <w:footnoteReference w:id="231"/>
      </w:r>
      <w:r w:rsidR="004B1080" w:rsidRPr="00942F86">
        <w:rPr>
          <w:sz w:val="25"/>
          <w:szCs w:val="25"/>
        </w:rPr>
        <w:t xml:space="preserve">  The focus of his concern is what he characterizes as the uncertain costs and timing of these projects.  Mr. Ralston testified as part of the Company’s initial filing that the Jim Bridger project would go </w:t>
      </w:r>
      <w:r w:rsidR="004B1080" w:rsidRPr="00942F86">
        <w:rPr>
          <w:sz w:val="25"/>
          <w:szCs w:val="25"/>
        </w:rPr>
        <w:lastRenderedPageBreak/>
        <w:t>into service in May 2014 at a cost of $5.9 million</w:t>
      </w:r>
      <w:r w:rsidR="00AA1B04" w:rsidRPr="00942F86">
        <w:rPr>
          <w:sz w:val="25"/>
          <w:szCs w:val="25"/>
        </w:rPr>
        <w:t>.</w:t>
      </w:r>
      <w:r w:rsidR="00AA1B04" w:rsidRPr="00942F86">
        <w:rPr>
          <w:rStyle w:val="FootnoteReference"/>
          <w:sz w:val="25"/>
          <w:szCs w:val="25"/>
        </w:rPr>
        <w:footnoteReference w:id="232"/>
      </w:r>
      <w:r w:rsidR="00AA1B04" w:rsidRPr="00942F86">
        <w:rPr>
          <w:sz w:val="25"/>
          <w:szCs w:val="25"/>
        </w:rPr>
        <w:t xml:space="preserve">  During discovery, the Company provided updates showing an October 2014 in-service date and a cost of $2.2 million.</w:t>
      </w:r>
      <w:r w:rsidR="00AA1B04" w:rsidRPr="00942F86">
        <w:rPr>
          <w:rStyle w:val="FootnoteReference"/>
          <w:sz w:val="25"/>
          <w:szCs w:val="25"/>
        </w:rPr>
        <w:footnoteReference w:id="233"/>
      </w:r>
    </w:p>
    <w:p w14:paraId="0EB8A96F" w14:textId="77777777" w:rsidR="003A1389" w:rsidRPr="00942F86" w:rsidRDefault="003A1389" w:rsidP="000455AC">
      <w:pPr>
        <w:pStyle w:val="ListParagraph"/>
        <w:spacing w:line="264" w:lineRule="auto"/>
        <w:rPr>
          <w:sz w:val="25"/>
          <w:szCs w:val="25"/>
        </w:rPr>
      </w:pPr>
    </w:p>
    <w:p w14:paraId="198E9A0D" w14:textId="1CD7874C" w:rsidR="003A1389" w:rsidRPr="00942F86" w:rsidRDefault="00222DBD" w:rsidP="00FC421A">
      <w:pPr>
        <w:numPr>
          <w:ilvl w:val="0"/>
          <w:numId w:val="1"/>
        </w:numPr>
        <w:tabs>
          <w:tab w:val="clear" w:pos="720"/>
          <w:tab w:val="num" w:pos="0"/>
        </w:tabs>
        <w:spacing w:line="264" w:lineRule="auto"/>
        <w:ind w:left="0"/>
        <w:rPr>
          <w:sz w:val="25"/>
          <w:szCs w:val="25"/>
        </w:rPr>
      </w:pPr>
      <w:r w:rsidRPr="00942F86">
        <w:rPr>
          <w:sz w:val="25"/>
          <w:szCs w:val="25"/>
        </w:rPr>
        <w:t>Public Counsel recommends that we allow</w:t>
      </w:r>
      <w:r w:rsidR="0060528C" w:rsidRPr="00942F86">
        <w:rPr>
          <w:sz w:val="25"/>
          <w:szCs w:val="25"/>
        </w:rPr>
        <w:t xml:space="preserve"> as </w:t>
      </w:r>
      <w:r w:rsidR="0060528C" w:rsidRPr="00942F86">
        <w:rPr>
          <w:i/>
          <w:sz w:val="25"/>
          <w:szCs w:val="25"/>
        </w:rPr>
        <w:t>pro forma</w:t>
      </w:r>
      <w:r w:rsidR="0060528C" w:rsidRPr="00942F86">
        <w:rPr>
          <w:sz w:val="25"/>
          <w:szCs w:val="25"/>
        </w:rPr>
        <w:t xml:space="preserve"> capital additions projects placed in service as of August 31, 2014, to the extent they are based on actual costs.</w:t>
      </w:r>
      <w:r w:rsidR="0060528C" w:rsidRPr="00942F86">
        <w:rPr>
          <w:sz w:val="25"/>
          <w:szCs w:val="25"/>
          <w:vertAlign w:val="superscript"/>
        </w:rPr>
        <w:footnoteReference w:id="234"/>
      </w:r>
      <w:r w:rsidR="0060528C" w:rsidRPr="00942F86">
        <w:rPr>
          <w:sz w:val="25"/>
          <w:szCs w:val="25"/>
        </w:rPr>
        <w:t xml:space="preserve">  In Public Counsel’s view, this is an appropriate response to regulatory lag and rate case frequency.  The bright-line cut-off date of August 31, 2014, is the latest date Public Counsel believes is appropriate in terms of allowing</w:t>
      </w:r>
      <w:r w:rsidRPr="00942F86">
        <w:rPr>
          <w:sz w:val="25"/>
          <w:szCs w:val="25"/>
        </w:rPr>
        <w:t xml:space="preserve"> adequate</w:t>
      </w:r>
      <w:r w:rsidR="0060528C" w:rsidRPr="00942F86">
        <w:rPr>
          <w:sz w:val="25"/>
          <w:szCs w:val="25"/>
        </w:rPr>
        <w:t xml:space="preserve"> time</w:t>
      </w:r>
      <w:r w:rsidRPr="00942F86">
        <w:rPr>
          <w:sz w:val="25"/>
          <w:szCs w:val="25"/>
        </w:rPr>
        <w:t xml:space="preserve"> to review, particularly considering “concern about the significant number of changes and corrections to the Pacific Power plant additions in the later stages of the case.”</w:t>
      </w:r>
      <w:r w:rsidRPr="00942F86">
        <w:rPr>
          <w:rStyle w:val="FootnoteReference"/>
          <w:sz w:val="25"/>
          <w:szCs w:val="25"/>
        </w:rPr>
        <w:footnoteReference w:id="235"/>
      </w:r>
      <w:r w:rsidR="0060528C" w:rsidRPr="00942F86">
        <w:rPr>
          <w:sz w:val="25"/>
          <w:szCs w:val="25"/>
        </w:rPr>
        <w:t xml:space="preserve"> </w:t>
      </w:r>
      <w:r w:rsidRPr="00942F86">
        <w:rPr>
          <w:sz w:val="25"/>
          <w:szCs w:val="25"/>
        </w:rPr>
        <w:t>C</w:t>
      </w:r>
      <w:r w:rsidR="0060528C" w:rsidRPr="00942F86">
        <w:rPr>
          <w:sz w:val="25"/>
          <w:szCs w:val="25"/>
        </w:rPr>
        <w:t xml:space="preserve">oupled with the plant additions it supports, Public Counsel proposes a corresponding decrease to </w:t>
      </w:r>
      <w:r w:rsidR="00701D8E" w:rsidRPr="00942F86">
        <w:rPr>
          <w:sz w:val="25"/>
          <w:szCs w:val="25"/>
        </w:rPr>
        <w:t xml:space="preserve">the </w:t>
      </w:r>
      <w:r w:rsidR="0060528C" w:rsidRPr="00942F86">
        <w:rPr>
          <w:sz w:val="25"/>
          <w:szCs w:val="25"/>
        </w:rPr>
        <w:t>Company’s depreciation expense level for the test year to reflect plant, over $250,000 on a Washington basis retired by June 30, 2014.</w:t>
      </w:r>
      <w:r w:rsidR="0060528C" w:rsidRPr="00942F86">
        <w:rPr>
          <w:sz w:val="25"/>
          <w:szCs w:val="25"/>
          <w:vertAlign w:val="superscript"/>
        </w:rPr>
        <w:footnoteReference w:id="236"/>
      </w:r>
      <w:r w:rsidR="0060528C" w:rsidRPr="00942F86">
        <w:rPr>
          <w:sz w:val="25"/>
          <w:szCs w:val="25"/>
        </w:rPr>
        <w:t xml:space="preserve">  Public Counsel contends its approach reflects the matching principle used in the test year to plant additions made after the test year.</w:t>
      </w:r>
    </w:p>
    <w:p w14:paraId="4E4D2739" w14:textId="77777777" w:rsidR="00222DBD" w:rsidRPr="00942F86" w:rsidRDefault="00222DBD" w:rsidP="000455AC">
      <w:pPr>
        <w:pStyle w:val="ListParagraph"/>
        <w:spacing w:line="264" w:lineRule="auto"/>
        <w:rPr>
          <w:sz w:val="25"/>
          <w:szCs w:val="25"/>
        </w:rPr>
      </w:pPr>
    </w:p>
    <w:p w14:paraId="00F83D1D" w14:textId="39097EC8" w:rsidR="00222DBD" w:rsidRPr="00942F86" w:rsidRDefault="00A76F50" w:rsidP="00FC421A">
      <w:pPr>
        <w:numPr>
          <w:ilvl w:val="0"/>
          <w:numId w:val="1"/>
        </w:numPr>
        <w:tabs>
          <w:tab w:val="clear" w:pos="720"/>
          <w:tab w:val="num" w:pos="0"/>
        </w:tabs>
        <w:spacing w:line="264" w:lineRule="auto"/>
        <w:ind w:left="0"/>
        <w:rPr>
          <w:sz w:val="25"/>
          <w:szCs w:val="25"/>
        </w:rPr>
      </w:pPr>
      <w:r w:rsidRPr="00942F86">
        <w:rPr>
          <w:sz w:val="25"/>
          <w:szCs w:val="25"/>
        </w:rPr>
        <w:t xml:space="preserve">Staff supports incorporating into rates plant that is in service at the time of rebuttal, provided the Company updates its </w:t>
      </w:r>
      <w:r w:rsidRPr="00942F86">
        <w:rPr>
          <w:i/>
          <w:sz w:val="25"/>
          <w:szCs w:val="25"/>
        </w:rPr>
        <w:t>pro forma</w:t>
      </w:r>
      <w:r w:rsidRPr="00942F86">
        <w:rPr>
          <w:sz w:val="25"/>
          <w:szCs w:val="25"/>
        </w:rPr>
        <w:t xml:space="preserve"> additions with actual costs.</w:t>
      </w:r>
      <w:r w:rsidRPr="00942F86">
        <w:rPr>
          <w:sz w:val="25"/>
          <w:szCs w:val="25"/>
          <w:vertAlign w:val="superscript"/>
        </w:rPr>
        <w:footnoteReference w:id="237"/>
      </w:r>
      <w:r w:rsidRPr="00942F86">
        <w:rPr>
          <w:sz w:val="25"/>
          <w:szCs w:val="25"/>
        </w:rPr>
        <w:t xml:space="preserve">  According to Ms. Erdahl’s testimony, “Staff’s position reflects the Commission’s statements in Order 05 from Docket UE-130043.”</w:t>
      </w:r>
      <w:r w:rsidRPr="00942F86">
        <w:rPr>
          <w:sz w:val="25"/>
          <w:szCs w:val="25"/>
          <w:vertAlign w:val="superscript"/>
        </w:rPr>
        <w:footnoteReference w:id="238"/>
      </w:r>
      <w:r w:rsidRPr="00942F86">
        <w:rPr>
          <w:sz w:val="25"/>
          <w:szCs w:val="25"/>
        </w:rPr>
        <w:t xml:space="preserve">  She testifies further that “[i]n the Company’s most recent rate case, the Commission accepted Pacific Power’s end-of-period plant additions based on updated actuals as revised by the Company in its rebuttal testimony.</w:t>
      </w:r>
      <w:r w:rsidRPr="00942F86">
        <w:rPr>
          <w:sz w:val="25"/>
          <w:szCs w:val="25"/>
          <w:vertAlign w:val="superscript"/>
        </w:rPr>
        <w:footnoteReference w:id="239"/>
      </w:r>
      <w:r w:rsidRPr="00942F86">
        <w:rPr>
          <w:sz w:val="25"/>
          <w:szCs w:val="25"/>
        </w:rPr>
        <w:t xml:space="preserve">  </w:t>
      </w:r>
    </w:p>
    <w:p w14:paraId="65D4D9E1" w14:textId="77777777" w:rsidR="00A76F50" w:rsidRPr="00942F86" w:rsidRDefault="00A76F50" w:rsidP="000455AC">
      <w:pPr>
        <w:pStyle w:val="ListParagraph"/>
        <w:spacing w:line="264" w:lineRule="auto"/>
        <w:rPr>
          <w:sz w:val="25"/>
          <w:szCs w:val="25"/>
        </w:rPr>
      </w:pPr>
    </w:p>
    <w:p w14:paraId="45441F5A" w14:textId="136E3B7D" w:rsidR="00A71402" w:rsidRPr="00942F86" w:rsidRDefault="00A76F50" w:rsidP="00FC421A">
      <w:pPr>
        <w:numPr>
          <w:ilvl w:val="0"/>
          <w:numId w:val="1"/>
        </w:numPr>
        <w:tabs>
          <w:tab w:val="clear" w:pos="720"/>
          <w:tab w:val="num" w:pos="0"/>
        </w:tabs>
        <w:spacing w:line="264" w:lineRule="auto"/>
        <w:ind w:left="0"/>
        <w:rPr>
          <w:sz w:val="25"/>
          <w:szCs w:val="25"/>
        </w:rPr>
      </w:pPr>
      <w:r w:rsidRPr="00942F86">
        <w:rPr>
          <w:sz w:val="25"/>
          <w:szCs w:val="25"/>
        </w:rPr>
        <w:lastRenderedPageBreak/>
        <w:t xml:space="preserve">Two business days before the hearing, the Company modified its </w:t>
      </w:r>
      <w:r w:rsidRPr="00942F86">
        <w:rPr>
          <w:i/>
          <w:sz w:val="25"/>
          <w:szCs w:val="25"/>
        </w:rPr>
        <w:t>pro forma</w:t>
      </w:r>
      <w:r w:rsidRPr="00942F86">
        <w:rPr>
          <w:sz w:val="25"/>
          <w:szCs w:val="25"/>
        </w:rPr>
        <w:t xml:space="preserve"> adjustment approach to include</w:t>
      </w:r>
      <w:r w:rsidR="00701D8E" w:rsidRPr="00942F86">
        <w:rPr>
          <w:sz w:val="25"/>
          <w:szCs w:val="25"/>
        </w:rPr>
        <w:t xml:space="preserve"> only</w:t>
      </w:r>
      <w:r w:rsidRPr="00942F86">
        <w:rPr>
          <w:sz w:val="25"/>
          <w:szCs w:val="25"/>
        </w:rPr>
        <w:t xml:space="preserve"> plant in service by the time of rebuttal and based on actual booked costs, essentially adopting Staff’s position.</w:t>
      </w:r>
      <w:r w:rsidRPr="00942F86">
        <w:rPr>
          <w:sz w:val="25"/>
          <w:szCs w:val="25"/>
          <w:vertAlign w:val="superscript"/>
        </w:rPr>
        <w:footnoteReference w:id="240"/>
      </w:r>
      <w:r w:rsidRPr="00942F86">
        <w:rPr>
          <w:sz w:val="25"/>
          <w:szCs w:val="25"/>
        </w:rPr>
        <w:t xml:space="preserve"> </w:t>
      </w:r>
    </w:p>
    <w:p w14:paraId="2D095518" w14:textId="77777777" w:rsidR="00A71402" w:rsidRPr="00942F86" w:rsidRDefault="00A71402" w:rsidP="000455AC">
      <w:pPr>
        <w:pStyle w:val="ListParagraph"/>
        <w:spacing w:line="264" w:lineRule="auto"/>
        <w:rPr>
          <w:sz w:val="25"/>
          <w:szCs w:val="25"/>
        </w:rPr>
      </w:pPr>
    </w:p>
    <w:p w14:paraId="600ADBF5" w14:textId="41F953D6" w:rsidR="00A71402" w:rsidRPr="00942F86" w:rsidRDefault="00A71402" w:rsidP="00FC421A">
      <w:pPr>
        <w:numPr>
          <w:ilvl w:val="0"/>
          <w:numId w:val="1"/>
        </w:numPr>
        <w:tabs>
          <w:tab w:val="clear" w:pos="720"/>
          <w:tab w:val="num" w:pos="0"/>
        </w:tabs>
        <w:spacing w:line="264" w:lineRule="auto"/>
        <w:ind w:left="0"/>
        <w:rPr>
          <w:sz w:val="25"/>
          <w:szCs w:val="25"/>
        </w:rPr>
      </w:pPr>
      <w:r w:rsidRPr="00942F86">
        <w:rPr>
          <w:sz w:val="25"/>
          <w:szCs w:val="25"/>
        </w:rPr>
        <w:t xml:space="preserve">In addition to the 25 capital additions </w:t>
      </w:r>
      <w:r w:rsidR="00403D3C" w:rsidRPr="00942F86">
        <w:rPr>
          <w:sz w:val="25"/>
          <w:szCs w:val="25"/>
        </w:rPr>
        <w:t>for</w:t>
      </w:r>
      <w:r w:rsidRPr="00942F86">
        <w:rPr>
          <w:sz w:val="25"/>
          <w:szCs w:val="25"/>
        </w:rPr>
        <w:t xml:space="preserve"> which Ms. Siores is the only Company witness, the Company’s </w:t>
      </w:r>
      <w:r w:rsidR="00403D3C" w:rsidRPr="00942F86">
        <w:rPr>
          <w:sz w:val="25"/>
          <w:szCs w:val="25"/>
        </w:rPr>
        <w:t xml:space="preserve">initial </w:t>
      </w:r>
      <w:r w:rsidRPr="00942F86">
        <w:rPr>
          <w:sz w:val="25"/>
          <w:szCs w:val="25"/>
        </w:rPr>
        <w:t>case included five proposed capital additions sponsored by other witnesses.  These are:</w:t>
      </w:r>
    </w:p>
    <w:p w14:paraId="2B72743C" w14:textId="77777777" w:rsidR="00A71402" w:rsidRPr="00942F86" w:rsidRDefault="00A71402" w:rsidP="000455AC">
      <w:pPr>
        <w:pStyle w:val="ListParagraph"/>
        <w:spacing w:line="264" w:lineRule="auto"/>
        <w:rPr>
          <w:sz w:val="25"/>
          <w:szCs w:val="25"/>
        </w:rPr>
      </w:pPr>
    </w:p>
    <w:p w14:paraId="044BAA67" w14:textId="2694EC08" w:rsidR="00A76F50" w:rsidRPr="00942F86" w:rsidRDefault="00A71402" w:rsidP="00BF7B6F">
      <w:pPr>
        <w:numPr>
          <w:ilvl w:val="0"/>
          <w:numId w:val="23"/>
        </w:numPr>
        <w:spacing w:line="264" w:lineRule="auto"/>
        <w:ind w:left="720"/>
        <w:rPr>
          <w:sz w:val="25"/>
          <w:szCs w:val="25"/>
        </w:rPr>
      </w:pPr>
      <w:r w:rsidRPr="00942F86">
        <w:rPr>
          <w:sz w:val="25"/>
          <w:szCs w:val="25"/>
        </w:rPr>
        <w:t>Merwin Fish Collector</w:t>
      </w:r>
      <w:r w:rsidR="00701D8E" w:rsidRPr="00942F86">
        <w:rPr>
          <w:sz w:val="25"/>
          <w:szCs w:val="25"/>
        </w:rPr>
        <w:t xml:space="preserve"> Project</w:t>
      </w:r>
    </w:p>
    <w:p w14:paraId="19E6C1DC" w14:textId="77777777" w:rsidR="00F9592D" w:rsidRPr="00942F86" w:rsidRDefault="00F9592D" w:rsidP="000455AC">
      <w:pPr>
        <w:pStyle w:val="ListParagraph"/>
        <w:spacing w:line="264" w:lineRule="auto"/>
        <w:ind w:left="780"/>
        <w:rPr>
          <w:sz w:val="25"/>
          <w:szCs w:val="25"/>
        </w:rPr>
      </w:pPr>
    </w:p>
    <w:p w14:paraId="44A4F0B1" w14:textId="54D37CDF" w:rsidR="00A71402" w:rsidRPr="00942F86" w:rsidRDefault="00A71402" w:rsidP="00BF7B6F">
      <w:pPr>
        <w:numPr>
          <w:ilvl w:val="0"/>
          <w:numId w:val="23"/>
        </w:numPr>
        <w:spacing w:line="264" w:lineRule="auto"/>
        <w:ind w:left="720"/>
        <w:rPr>
          <w:sz w:val="25"/>
          <w:szCs w:val="25"/>
        </w:rPr>
      </w:pPr>
      <w:r w:rsidRPr="00942F86">
        <w:rPr>
          <w:sz w:val="25"/>
          <w:szCs w:val="25"/>
        </w:rPr>
        <w:t>Fry Substation</w:t>
      </w:r>
    </w:p>
    <w:p w14:paraId="44A7C7E0" w14:textId="77777777" w:rsidR="00F9592D" w:rsidRPr="00942F86" w:rsidRDefault="00F9592D" w:rsidP="000455AC">
      <w:pPr>
        <w:spacing w:line="264" w:lineRule="auto"/>
        <w:rPr>
          <w:sz w:val="25"/>
          <w:szCs w:val="25"/>
        </w:rPr>
      </w:pPr>
    </w:p>
    <w:p w14:paraId="0A50B243" w14:textId="18AF9840" w:rsidR="00A71402" w:rsidRPr="00942F86" w:rsidRDefault="00A71402" w:rsidP="00BF7B6F">
      <w:pPr>
        <w:numPr>
          <w:ilvl w:val="0"/>
          <w:numId w:val="23"/>
        </w:numPr>
        <w:spacing w:line="264" w:lineRule="auto"/>
        <w:ind w:left="720"/>
        <w:rPr>
          <w:sz w:val="25"/>
          <w:szCs w:val="25"/>
        </w:rPr>
      </w:pPr>
      <w:r w:rsidRPr="00942F86">
        <w:rPr>
          <w:sz w:val="25"/>
          <w:szCs w:val="25"/>
        </w:rPr>
        <w:t>Selah Substation</w:t>
      </w:r>
    </w:p>
    <w:p w14:paraId="27BFA092" w14:textId="77777777" w:rsidR="00F9592D" w:rsidRPr="00942F86" w:rsidRDefault="00F9592D" w:rsidP="000455AC">
      <w:pPr>
        <w:spacing w:line="264" w:lineRule="auto"/>
        <w:rPr>
          <w:sz w:val="25"/>
          <w:szCs w:val="25"/>
        </w:rPr>
      </w:pPr>
    </w:p>
    <w:p w14:paraId="506A4A42" w14:textId="56FA8F51" w:rsidR="00A71402" w:rsidRPr="00942F86" w:rsidRDefault="00A71402" w:rsidP="00BF7B6F">
      <w:pPr>
        <w:numPr>
          <w:ilvl w:val="0"/>
          <w:numId w:val="23"/>
        </w:numPr>
        <w:spacing w:line="264" w:lineRule="auto"/>
        <w:ind w:left="720"/>
        <w:rPr>
          <w:sz w:val="25"/>
          <w:szCs w:val="25"/>
        </w:rPr>
      </w:pPr>
      <w:r w:rsidRPr="00942F86">
        <w:rPr>
          <w:sz w:val="25"/>
          <w:szCs w:val="25"/>
        </w:rPr>
        <w:t xml:space="preserve">Union Gap Substation Upgrade </w:t>
      </w:r>
    </w:p>
    <w:p w14:paraId="3E1A1F67" w14:textId="77777777" w:rsidR="00F9592D" w:rsidRPr="00942F86" w:rsidRDefault="00F9592D" w:rsidP="000455AC">
      <w:pPr>
        <w:spacing w:line="264" w:lineRule="auto"/>
        <w:rPr>
          <w:sz w:val="25"/>
          <w:szCs w:val="25"/>
        </w:rPr>
      </w:pPr>
    </w:p>
    <w:p w14:paraId="237093A9" w14:textId="5205FFF1" w:rsidR="00A71402" w:rsidRPr="00942F86" w:rsidRDefault="00A71402" w:rsidP="00BF7B6F">
      <w:pPr>
        <w:numPr>
          <w:ilvl w:val="0"/>
          <w:numId w:val="23"/>
        </w:numPr>
        <w:spacing w:line="264" w:lineRule="auto"/>
        <w:ind w:left="720"/>
        <w:rPr>
          <w:sz w:val="25"/>
          <w:szCs w:val="25"/>
        </w:rPr>
      </w:pPr>
      <w:r w:rsidRPr="00942F86">
        <w:rPr>
          <w:sz w:val="25"/>
          <w:szCs w:val="25"/>
        </w:rPr>
        <w:t>Jim Bridger Unit 1 Cooling Tower Replacement Project</w:t>
      </w:r>
    </w:p>
    <w:p w14:paraId="7BDE6ADB" w14:textId="77777777" w:rsidR="00E47509" w:rsidRPr="00942F86" w:rsidRDefault="00E47509" w:rsidP="000455AC">
      <w:pPr>
        <w:spacing w:line="264" w:lineRule="auto"/>
        <w:rPr>
          <w:sz w:val="25"/>
          <w:szCs w:val="25"/>
        </w:rPr>
      </w:pPr>
    </w:p>
    <w:p w14:paraId="64491960" w14:textId="53F0732E" w:rsidR="00A36D33" w:rsidRPr="00942F86" w:rsidRDefault="00701D8E" w:rsidP="000455AC">
      <w:pPr>
        <w:spacing w:line="264" w:lineRule="auto"/>
        <w:rPr>
          <w:sz w:val="25"/>
          <w:szCs w:val="25"/>
        </w:rPr>
      </w:pPr>
      <w:r w:rsidRPr="00942F86">
        <w:rPr>
          <w:sz w:val="25"/>
          <w:szCs w:val="25"/>
        </w:rPr>
        <w:t xml:space="preserve">The </w:t>
      </w:r>
      <w:r w:rsidR="00A36D33" w:rsidRPr="00942F86">
        <w:rPr>
          <w:sz w:val="25"/>
          <w:szCs w:val="25"/>
        </w:rPr>
        <w:t>Merwin</w:t>
      </w:r>
      <w:r w:rsidRPr="00942F86">
        <w:rPr>
          <w:sz w:val="25"/>
          <w:szCs w:val="25"/>
        </w:rPr>
        <w:t xml:space="preserve"> Project</w:t>
      </w:r>
      <w:r w:rsidR="00A36D33" w:rsidRPr="00942F86">
        <w:rPr>
          <w:sz w:val="25"/>
          <w:szCs w:val="25"/>
        </w:rPr>
        <w:t xml:space="preserve"> is not contested.  The Company removed the Fry and Selah Substation projects, which were not in service when it accepted Staff’s recommendation for a cutoff date as of November 15, 2014.  Boise White Paper recommends that the Commission reject for this rate case the remaining two projects, the Union Gap Substation Upgrade and the Jim Bridger Unit 1 Cooling Tower Replacement Project.  </w:t>
      </w:r>
    </w:p>
    <w:p w14:paraId="5F551708" w14:textId="77777777" w:rsidR="00A36D33" w:rsidRPr="00942F86" w:rsidRDefault="00A36D33" w:rsidP="000455AC">
      <w:pPr>
        <w:spacing w:line="264" w:lineRule="auto"/>
        <w:rPr>
          <w:sz w:val="25"/>
          <w:szCs w:val="25"/>
        </w:rPr>
      </w:pPr>
    </w:p>
    <w:p w14:paraId="306392C8" w14:textId="147A4492" w:rsidR="004259AB" w:rsidRPr="00942F86" w:rsidRDefault="00A36D33" w:rsidP="00FC421A">
      <w:pPr>
        <w:numPr>
          <w:ilvl w:val="0"/>
          <w:numId w:val="1"/>
        </w:numPr>
        <w:tabs>
          <w:tab w:val="clear" w:pos="720"/>
          <w:tab w:val="num" w:pos="0"/>
        </w:tabs>
        <w:spacing w:line="264" w:lineRule="auto"/>
        <w:ind w:left="0"/>
        <w:rPr>
          <w:sz w:val="25"/>
          <w:szCs w:val="25"/>
        </w:rPr>
      </w:pPr>
      <w:r w:rsidRPr="00942F86">
        <w:rPr>
          <w:sz w:val="25"/>
          <w:szCs w:val="25"/>
        </w:rPr>
        <w:t xml:space="preserve">Mr. Mullins testifies that the Union Gap Substation Upgrade has been divided into three distinct phases, the first of which the Company describes as a preliminary step to make room for the final two phases to be completed in 2015.  Boise </w:t>
      </w:r>
      <w:r w:rsidR="00403D3C" w:rsidRPr="00942F86">
        <w:rPr>
          <w:sz w:val="25"/>
          <w:szCs w:val="25"/>
        </w:rPr>
        <w:t xml:space="preserve">White Paper </w:t>
      </w:r>
      <w:r w:rsidRPr="00942F86">
        <w:rPr>
          <w:sz w:val="25"/>
          <w:szCs w:val="25"/>
        </w:rPr>
        <w:t>argues that the first phase therefore is not used and useful when considered independently.</w:t>
      </w:r>
      <w:r w:rsidRPr="00942F86">
        <w:rPr>
          <w:rStyle w:val="FootnoteReference"/>
          <w:sz w:val="25"/>
          <w:szCs w:val="25"/>
        </w:rPr>
        <w:footnoteReference w:id="241"/>
      </w:r>
      <w:r w:rsidRPr="00942F86">
        <w:rPr>
          <w:sz w:val="25"/>
          <w:szCs w:val="25"/>
        </w:rPr>
        <w:t xml:space="preserve">  </w:t>
      </w:r>
    </w:p>
    <w:p w14:paraId="3FD553B8" w14:textId="77777777" w:rsidR="004259AB" w:rsidRPr="00942F86" w:rsidRDefault="004259AB" w:rsidP="000455AC">
      <w:pPr>
        <w:spacing w:line="264" w:lineRule="auto"/>
        <w:rPr>
          <w:sz w:val="25"/>
          <w:szCs w:val="25"/>
        </w:rPr>
      </w:pPr>
    </w:p>
    <w:p w14:paraId="519EA9E3" w14:textId="4E854D62" w:rsidR="00A80B69" w:rsidRPr="00942F86" w:rsidRDefault="00A80B69" w:rsidP="00FC421A">
      <w:pPr>
        <w:numPr>
          <w:ilvl w:val="0"/>
          <w:numId w:val="1"/>
        </w:numPr>
        <w:tabs>
          <w:tab w:val="clear" w:pos="720"/>
          <w:tab w:val="num" w:pos="0"/>
        </w:tabs>
        <w:spacing w:line="264" w:lineRule="auto"/>
        <w:ind w:left="0"/>
        <w:rPr>
          <w:sz w:val="25"/>
          <w:szCs w:val="25"/>
        </w:rPr>
      </w:pPr>
      <w:r w:rsidRPr="00942F86">
        <w:rPr>
          <w:sz w:val="25"/>
          <w:szCs w:val="25"/>
        </w:rPr>
        <w:t xml:space="preserve">Mr. Vail testifies for the Company, however, that “this project is prudent and necessary to continue to provide safe and reliable service to Washington customers </w:t>
      </w:r>
      <w:r w:rsidRPr="00942F86">
        <w:rPr>
          <w:sz w:val="25"/>
          <w:szCs w:val="25"/>
        </w:rPr>
        <w:lastRenderedPageBreak/>
        <w:t xml:space="preserve">and to meet mandated </w:t>
      </w:r>
      <w:proofErr w:type="spellStart"/>
      <w:r w:rsidRPr="00942F86">
        <w:rPr>
          <w:sz w:val="25"/>
          <w:szCs w:val="25"/>
        </w:rPr>
        <w:t>NERC</w:t>
      </w:r>
      <w:proofErr w:type="spellEnd"/>
      <w:r w:rsidRPr="00942F86">
        <w:rPr>
          <w:sz w:val="25"/>
          <w:szCs w:val="25"/>
        </w:rPr>
        <w:t xml:space="preserve"> reliability standards.”</w:t>
      </w:r>
      <w:r w:rsidRPr="00942F86">
        <w:rPr>
          <w:rStyle w:val="FootnoteReference"/>
          <w:sz w:val="25"/>
          <w:szCs w:val="25"/>
        </w:rPr>
        <w:footnoteReference w:id="242"/>
      </w:r>
      <w:r w:rsidRPr="00942F86">
        <w:rPr>
          <w:sz w:val="25"/>
          <w:szCs w:val="25"/>
        </w:rPr>
        <w:t xml:space="preserve">  He says, in addition, that with construction for the first phase “complete and . . . placed in service in August 2014</w:t>
      </w:r>
      <w:r w:rsidR="000C1A1C" w:rsidRPr="00942F86">
        <w:rPr>
          <w:sz w:val="25"/>
          <w:szCs w:val="25"/>
        </w:rPr>
        <w:t>,</w:t>
      </w:r>
      <w:r w:rsidRPr="00942F86">
        <w:rPr>
          <w:sz w:val="25"/>
          <w:szCs w:val="25"/>
        </w:rPr>
        <w:t>”</w:t>
      </w:r>
      <w:r w:rsidRPr="00942F86">
        <w:rPr>
          <w:rStyle w:val="FootnoteReference"/>
          <w:sz w:val="25"/>
          <w:szCs w:val="25"/>
        </w:rPr>
        <w:footnoteReference w:id="243"/>
      </w:r>
      <w:r w:rsidRPr="00942F86">
        <w:rPr>
          <w:sz w:val="25"/>
          <w:szCs w:val="25"/>
        </w:rPr>
        <w:t xml:space="preserve"> “all of the associated equipment, including the distribution transformers, switchgear, and related assets, will be fully used and useful to serve the local area distribution load</w:t>
      </w:r>
      <w:r w:rsidR="004259AB" w:rsidRPr="00942F86">
        <w:rPr>
          <w:sz w:val="25"/>
          <w:szCs w:val="25"/>
        </w:rPr>
        <w:t>,</w:t>
      </w:r>
      <w:r w:rsidRPr="00942F86">
        <w:rPr>
          <w:sz w:val="25"/>
          <w:szCs w:val="25"/>
        </w:rPr>
        <w:t>”</w:t>
      </w:r>
      <w:r w:rsidR="004259AB" w:rsidRPr="00942F86">
        <w:rPr>
          <w:sz w:val="25"/>
          <w:szCs w:val="25"/>
        </w:rPr>
        <w:t xml:space="preserve"> providing benefits “by increasing distribution capacity, replacing aged equipment, and mitigating protection system exposures.”</w:t>
      </w:r>
      <w:r w:rsidRPr="00942F86">
        <w:rPr>
          <w:rStyle w:val="FootnoteReference"/>
          <w:sz w:val="25"/>
          <w:szCs w:val="25"/>
        </w:rPr>
        <w:footnoteReference w:id="244"/>
      </w:r>
    </w:p>
    <w:p w14:paraId="3F429AD2" w14:textId="77777777" w:rsidR="00A80B69" w:rsidRPr="00942F86" w:rsidRDefault="00A80B69" w:rsidP="000455AC">
      <w:pPr>
        <w:spacing w:line="264" w:lineRule="auto"/>
        <w:rPr>
          <w:sz w:val="25"/>
          <w:szCs w:val="25"/>
        </w:rPr>
      </w:pPr>
    </w:p>
    <w:p w14:paraId="6E728706" w14:textId="40254AC5" w:rsidR="00A36D33" w:rsidRPr="00942F86" w:rsidRDefault="000C1A1C" w:rsidP="00FC421A">
      <w:pPr>
        <w:numPr>
          <w:ilvl w:val="0"/>
          <w:numId w:val="1"/>
        </w:numPr>
        <w:tabs>
          <w:tab w:val="clear" w:pos="720"/>
          <w:tab w:val="num" w:pos="0"/>
        </w:tabs>
        <w:spacing w:line="264" w:lineRule="auto"/>
        <w:ind w:left="0"/>
        <w:rPr>
          <w:sz w:val="25"/>
          <w:szCs w:val="25"/>
        </w:rPr>
      </w:pPr>
      <w:r w:rsidRPr="00942F86">
        <w:rPr>
          <w:sz w:val="25"/>
          <w:szCs w:val="25"/>
        </w:rPr>
        <w:t>Mr. Mullins</w:t>
      </w:r>
      <w:r w:rsidR="004259AB" w:rsidRPr="00942F86">
        <w:rPr>
          <w:sz w:val="25"/>
          <w:szCs w:val="25"/>
        </w:rPr>
        <w:t xml:space="preserve"> also recommends that we reject the Jim Bridger Unit 1 Cooling Tower Replacement Project from the major plant additions adjustment.  Boise White Paper argues that the</w:t>
      </w:r>
      <w:r w:rsidR="00A36D33" w:rsidRPr="00942F86">
        <w:rPr>
          <w:sz w:val="25"/>
          <w:szCs w:val="25"/>
        </w:rPr>
        <w:t xml:space="preserve"> costs associated</w:t>
      </w:r>
      <w:r w:rsidR="004259AB" w:rsidRPr="00942F86">
        <w:rPr>
          <w:sz w:val="25"/>
          <w:szCs w:val="25"/>
        </w:rPr>
        <w:t xml:space="preserve"> with this project</w:t>
      </w:r>
      <w:r w:rsidR="00A36D33" w:rsidRPr="00942F86">
        <w:rPr>
          <w:sz w:val="25"/>
          <w:szCs w:val="25"/>
        </w:rPr>
        <w:t xml:space="preserve"> </w:t>
      </w:r>
      <w:r w:rsidR="004259AB" w:rsidRPr="00942F86">
        <w:rPr>
          <w:sz w:val="25"/>
          <w:szCs w:val="25"/>
        </w:rPr>
        <w:t>“</w:t>
      </w:r>
      <w:r w:rsidR="00A36D33" w:rsidRPr="00942F86">
        <w:rPr>
          <w:sz w:val="25"/>
          <w:szCs w:val="25"/>
        </w:rPr>
        <w:t xml:space="preserve">have varied so significantly as to be irreconcilable with a reasonable application of the Commission’s demand for </w:t>
      </w:r>
      <w:r w:rsidR="004259AB" w:rsidRPr="00942F86">
        <w:rPr>
          <w:sz w:val="25"/>
          <w:szCs w:val="25"/>
        </w:rPr>
        <w:t>‘</w:t>
      </w:r>
      <w:r w:rsidR="00A36D33" w:rsidRPr="00942F86">
        <w:rPr>
          <w:sz w:val="25"/>
          <w:szCs w:val="25"/>
        </w:rPr>
        <w:t>a high degree of analytical rigor</w:t>
      </w:r>
      <w:r w:rsidR="004259AB" w:rsidRPr="00942F86">
        <w:rPr>
          <w:sz w:val="25"/>
          <w:szCs w:val="25"/>
        </w:rPr>
        <w:t>’</w:t>
      </w:r>
      <w:r w:rsidR="00A36D33" w:rsidRPr="00942F86">
        <w:rPr>
          <w:sz w:val="25"/>
          <w:szCs w:val="25"/>
        </w:rPr>
        <w:t xml:space="preserve"> in order to satisfy the </w:t>
      </w:r>
      <w:r w:rsidR="004259AB" w:rsidRPr="00942F86">
        <w:rPr>
          <w:sz w:val="25"/>
          <w:szCs w:val="25"/>
        </w:rPr>
        <w:t>‘</w:t>
      </w:r>
      <w:r w:rsidR="00A36D33" w:rsidRPr="00942F86">
        <w:rPr>
          <w:sz w:val="25"/>
          <w:szCs w:val="25"/>
        </w:rPr>
        <w:t>known and measurable test.</w:t>
      </w:r>
      <w:r w:rsidR="004259AB" w:rsidRPr="00942F86">
        <w:rPr>
          <w:sz w:val="25"/>
          <w:szCs w:val="25"/>
        </w:rPr>
        <w:t>’</w:t>
      </w:r>
      <w:r w:rsidR="004259AB" w:rsidRPr="00942F86">
        <w:rPr>
          <w:rStyle w:val="FootnoteReference"/>
          <w:sz w:val="25"/>
          <w:szCs w:val="25"/>
        </w:rPr>
        <w:footnoteReference w:id="245"/>
      </w:r>
      <w:r w:rsidR="004259AB" w:rsidRPr="00942F86">
        <w:rPr>
          <w:sz w:val="25"/>
          <w:szCs w:val="25"/>
        </w:rPr>
        <w:t xml:space="preserve">  This argument, however, ignores Mr. Mullins’ related testimony explaining that the </w:t>
      </w:r>
      <w:r w:rsidRPr="00942F86">
        <w:rPr>
          <w:sz w:val="25"/>
          <w:szCs w:val="25"/>
        </w:rPr>
        <w:t>variability was due to</w:t>
      </w:r>
      <w:r w:rsidR="004259AB" w:rsidRPr="00942F86">
        <w:rPr>
          <w:sz w:val="25"/>
          <w:szCs w:val="25"/>
        </w:rPr>
        <w:t xml:space="preserve"> errors by the Company in reporting in-service dates and costs for some projects.</w:t>
      </w:r>
      <w:r w:rsidR="004259AB" w:rsidRPr="00942F86">
        <w:rPr>
          <w:rStyle w:val="FootnoteReference"/>
          <w:sz w:val="25"/>
          <w:szCs w:val="25"/>
        </w:rPr>
        <w:footnoteReference w:id="246"/>
      </w:r>
      <w:r w:rsidR="00955E42" w:rsidRPr="00942F86">
        <w:rPr>
          <w:sz w:val="25"/>
          <w:szCs w:val="25"/>
        </w:rPr>
        <w:t xml:space="preserve">  He acknowledges that the corrected information provided by Pacific Power “more closely aligned with the Company’s filing.”</w:t>
      </w:r>
      <w:r w:rsidR="00955E42" w:rsidRPr="00942F86">
        <w:rPr>
          <w:rStyle w:val="FootnoteReference"/>
          <w:sz w:val="25"/>
          <w:szCs w:val="25"/>
        </w:rPr>
        <w:footnoteReference w:id="247"/>
      </w:r>
    </w:p>
    <w:p w14:paraId="1B01AAAC" w14:textId="77777777" w:rsidR="00955E42" w:rsidRPr="00942F86" w:rsidRDefault="00955E42" w:rsidP="000455AC">
      <w:pPr>
        <w:spacing w:line="264" w:lineRule="auto"/>
        <w:rPr>
          <w:sz w:val="25"/>
          <w:szCs w:val="25"/>
        </w:rPr>
      </w:pPr>
    </w:p>
    <w:p w14:paraId="29FD43AE" w14:textId="2B9D766E" w:rsidR="00955E42" w:rsidRPr="00942F86" w:rsidRDefault="00955E42" w:rsidP="00FC421A">
      <w:pPr>
        <w:numPr>
          <w:ilvl w:val="0"/>
          <w:numId w:val="1"/>
        </w:numPr>
        <w:tabs>
          <w:tab w:val="clear" w:pos="720"/>
          <w:tab w:val="num" w:pos="0"/>
        </w:tabs>
        <w:spacing w:line="264" w:lineRule="auto"/>
        <w:ind w:left="0"/>
        <w:rPr>
          <w:sz w:val="25"/>
          <w:szCs w:val="25"/>
        </w:rPr>
      </w:pPr>
      <w:r w:rsidRPr="00942F86">
        <w:rPr>
          <w:sz w:val="25"/>
          <w:szCs w:val="25"/>
        </w:rPr>
        <w:t>According to Pacific Power, the Jim Bridger Unit 1 Cooling Tower Replacement Project was completed and put in service “in May 2014, shortly after the Company filed its case.”</w:t>
      </w:r>
      <w:r w:rsidRPr="00942F86">
        <w:rPr>
          <w:rStyle w:val="FootnoteReference"/>
          <w:sz w:val="25"/>
          <w:szCs w:val="25"/>
        </w:rPr>
        <w:footnoteReference w:id="248"/>
      </w:r>
      <w:r w:rsidRPr="00942F86">
        <w:rPr>
          <w:sz w:val="25"/>
          <w:szCs w:val="25"/>
        </w:rPr>
        <w:t xml:space="preserve">  </w:t>
      </w:r>
      <w:r w:rsidR="00454752" w:rsidRPr="00942F86">
        <w:rPr>
          <w:sz w:val="25"/>
          <w:szCs w:val="25"/>
        </w:rPr>
        <w:t>According to the Company, “there is no uncertainty regarding the final costs of the project or the project’s in service date.”</w:t>
      </w:r>
      <w:r w:rsidR="00454752" w:rsidRPr="00942F86">
        <w:rPr>
          <w:sz w:val="25"/>
          <w:szCs w:val="25"/>
          <w:vertAlign w:val="superscript"/>
        </w:rPr>
        <w:footnoteReference w:id="249"/>
      </w:r>
    </w:p>
    <w:p w14:paraId="3AB2F32E" w14:textId="77777777" w:rsidR="00A36D33" w:rsidRPr="00942F86" w:rsidRDefault="00A36D33" w:rsidP="000455AC">
      <w:pPr>
        <w:spacing w:line="264" w:lineRule="auto"/>
        <w:rPr>
          <w:sz w:val="25"/>
          <w:szCs w:val="25"/>
        </w:rPr>
      </w:pPr>
    </w:p>
    <w:p w14:paraId="45053D07" w14:textId="472EB0D4" w:rsidR="00955E42" w:rsidRPr="00942F86" w:rsidRDefault="00065EA1"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The Commission’s long-standing practice is to consider post-test-year capital additions on a case-by-case basis following the used and useful and known and measurable standards while exercising the considerable discretion </w:t>
      </w:r>
      <w:r w:rsidRPr="00942F86">
        <w:rPr>
          <w:sz w:val="25"/>
          <w:szCs w:val="25"/>
        </w:rPr>
        <w:lastRenderedPageBreak/>
        <w:t>these standards allow in the context of individual cases</w:t>
      </w:r>
      <w:r w:rsidRPr="00942F86">
        <w:rPr>
          <w:i/>
          <w:sz w:val="25"/>
          <w:szCs w:val="25"/>
        </w:rPr>
        <w:t>.</w:t>
      </w:r>
      <w:r w:rsidRPr="00942F86">
        <w:rPr>
          <w:rStyle w:val="FootnoteReference"/>
          <w:sz w:val="25"/>
          <w:szCs w:val="25"/>
        </w:rPr>
        <w:footnoteReference w:id="250"/>
      </w:r>
      <w:r w:rsidRPr="00942F86">
        <w:rPr>
          <w:sz w:val="25"/>
          <w:szCs w:val="25"/>
        </w:rPr>
        <w:t xml:space="preserve">  This </w:t>
      </w:r>
      <w:r w:rsidR="00844E9F" w:rsidRPr="00942F86">
        <w:rPr>
          <w:sz w:val="25"/>
          <w:szCs w:val="25"/>
        </w:rPr>
        <w:t>approach provides</w:t>
      </w:r>
      <w:r w:rsidRPr="00942F86">
        <w:rPr>
          <w:sz w:val="25"/>
          <w:szCs w:val="25"/>
        </w:rPr>
        <w:t xml:space="preserve"> the Commission with flexibility when evaluating </w:t>
      </w:r>
      <w:r w:rsidR="00844E9F" w:rsidRPr="00942F86">
        <w:rPr>
          <w:sz w:val="25"/>
          <w:szCs w:val="25"/>
        </w:rPr>
        <w:t>relevant</w:t>
      </w:r>
      <w:r w:rsidRPr="00942F86">
        <w:rPr>
          <w:sz w:val="25"/>
          <w:szCs w:val="25"/>
        </w:rPr>
        <w:t xml:space="preserve"> factors without being confined by “too rigid an approach” through a consistent, bright-line standard.</w:t>
      </w:r>
      <w:r w:rsidR="00844E9F" w:rsidRPr="00942F86">
        <w:rPr>
          <w:rStyle w:val="FootnoteReference"/>
          <w:sz w:val="25"/>
          <w:szCs w:val="25"/>
        </w:rPr>
        <w:footnoteReference w:id="251"/>
      </w:r>
      <w:r w:rsidRPr="00942F86">
        <w:rPr>
          <w:sz w:val="25"/>
          <w:szCs w:val="25"/>
          <w:vertAlign w:val="superscript"/>
        </w:rPr>
        <w:t xml:space="preserve"> </w:t>
      </w:r>
      <w:r w:rsidR="00955E42" w:rsidRPr="00942F86">
        <w:rPr>
          <w:sz w:val="25"/>
          <w:szCs w:val="25"/>
          <w:vertAlign w:val="superscript"/>
        </w:rPr>
        <w:t xml:space="preserve"> </w:t>
      </w:r>
    </w:p>
    <w:p w14:paraId="54CE2A31" w14:textId="77777777" w:rsidR="00141FD7" w:rsidRPr="00942F86" w:rsidRDefault="00141FD7" w:rsidP="000455AC">
      <w:pPr>
        <w:pStyle w:val="ListParagraph"/>
        <w:spacing w:line="264" w:lineRule="auto"/>
        <w:rPr>
          <w:sz w:val="25"/>
          <w:szCs w:val="25"/>
        </w:rPr>
      </w:pPr>
    </w:p>
    <w:p w14:paraId="1BA8FBA5" w14:textId="6D54567D" w:rsidR="00552B8F" w:rsidRPr="00942F86" w:rsidRDefault="00844E9F" w:rsidP="00FC421A">
      <w:pPr>
        <w:numPr>
          <w:ilvl w:val="0"/>
          <w:numId w:val="1"/>
        </w:numPr>
        <w:tabs>
          <w:tab w:val="clear" w:pos="720"/>
          <w:tab w:val="num" w:pos="0"/>
        </w:tabs>
        <w:spacing w:line="264" w:lineRule="auto"/>
        <w:ind w:left="0"/>
        <w:rPr>
          <w:sz w:val="25"/>
          <w:szCs w:val="25"/>
        </w:rPr>
      </w:pPr>
      <w:r w:rsidRPr="00942F86">
        <w:rPr>
          <w:sz w:val="25"/>
          <w:szCs w:val="25"/>
        </w:rPr>
        <w:t>The Commission has made clear in prior orders that</w:t>
      </w:r>
      <w:r w:rsidR="00403D3C" w:rsidRPr="00942F86">
        <w:rPr>
          <w:sz w:val="25"/>
          <w:szCs w:val="25"/>
        </w:rPr>
        <w:t xml:space="preserve"> when</w:t>
      </w:r>
      <w:r w:rsidRPr="00942F86">
        <w:rPr>
          <w:sz w:val="25"/>
          <w:szCs w:val="25"/>
        </w:rPr>
        <w:t xml:space="preserve"> the Company propos</w:t>
      </w:r>
      <w:r w:rsidR="00403D3C" w:rsidRPr="00942F86">
        <w:rPr>
          <w:sz w:val="25"/>
          <w:szCs w:val="25"/>
        </w:rPr>
        <w:t>es</w:t>
      </w:r>
      <w:r w:rsidRPr="00942F86">
        <w:rPr>
          <w:sz w:val="25"/>
          <w:szCs w:val="25"/>
        </w:rPr>
        <w:t xml:space="preserve"> a </w:t>
      </w:r>
      <w:r w:rsidRPr="00942F86">
        <w:rPr>
          <w:i/>
          <w:sz w:val="25"/>
          <w:szCs w:val="25"/>
        </w:rPr>
        <w:t>pro forma</w:t>
      </w:r>
      <w:r w:rsidRPr="00942F86">
        <w:rPr>
          <w:sz w:val="25"/>
          <w:szCs w:val="25"/>
        </w:rPr>
        <w:t xml:space="preserve"> addition to rate base</w:t>
      </w:r>
      <w:r w:rsidR="00403D3C" w:rsidRPr="00942F86">
        <w:rPr>
          <w:sz w:val="25"/>
          <w:szCs w:val="25"/>
        </w:rPr>
        <w:t xml:space="preserve"> it</w:t>
      </w:r>
      <w:r w:rsidRPr="00942F86">
        <w:rPr>
          <w:sz w:val="25"/>
          <w:szCs w:val="25"/>
        </w:rPr>
        <w:t xml:space="preserve"> has the burden of proof to show that resources allocated to Washington are “used and useful for service in this state.”</w:t>
      </w:r>
      <w:r w:rsidRPr="00942F86">
        <w:rPr>
          <w:rStyle w:val="FootnoteReference"/>
          <w:sz w:val="25"/>
          <w:szCs w:val="25"/>
        </w:rPr>
        <w:footnoteReference w:id="252"/>
      </w:r>
      <w:r w:rsidRPr="00942F86">
        <w:rPr>
          <w:sz w:val="25"/>
          <w:szCs w:val="25"/>
        </w:rPr>
        <w:t xml:space="preserve">  This means that the Company must demonstrate “quantifiable” benefits to ratepayers in Washington for each and every resource to be included in rates.</w:t>
      </w:r>
      <w:r w:rsidRPr="00942F86">
        <w:rPr>
          <w:rStyle w:val="FootnoteReference"/>
          <w:sz w:val="25"/>
          <w:szCs w:val="25"/>
        </w:rPr>
        <w:footnoteReference w:id="253"/>
      </w:r>
      <w:r w:rsidRPr="00942F86">
        <w:rPr>
          <w:sz w:val="25"/>
          <w:szCs w:val="25"/>
        </w:rPr>
        <w:t xml:space="preserve"> </w:t>
      </w:r>
    </w:p>
    <w:p w14:paraId="3CCAA004" w14:textId="77777777" w:rsidR="00552B8F" w:rsidRPr="00942F86" w:rsidRDefault="00552B8F" w:rsidP="000455AC">
      <w:pPr>
        <w:pStyle w:val="ListParagraph"/>
        <w:spacing w:line="264" w:lineRule="auto"/>
        <w:rPr>
          <w:sz w:val="25"/>
          <w:szCs w:val="25"/>
          <w:vertAlign w:val="superscript"/>
        </w:rPr>
      </w:pPr>
    </w:p>
    <w:p w14:paraId="44698056" w14:textId="77777777" w:rsidR="00065EA1" w:rsidRPr="00942F86" w:rsidRDefault="00552B8F" w:rsidP="00FC421A">
      <w:pPr>
        <w:numPr>
          <w:ilvl w:val="0"/>
          <w:numId w:val="1"/>
        </w:numPr>
        <w:tabs>
          <w:tab w:val="clear" w:pos="720"/>
          <w:tab w:val="num" w:pos="0"/>
        </w:tabs>
        <w:spacing w:line="264" w:lineRule="auto"/>
        <w:ind w:left="0"/>
        <w:rPr>
          <w:sz w:val="25"/>
          <w:szCs w:val="25"/>
        </w:rPr>
      </w:pPr>
      <w:r w:rsidRPr="00942F86">
        <w:rPr>
          <w:sz w:val="25"/>
          <w:szCs w:val="25"/>
        </w:rPr>
        <w:t>As recently as t</w:t>
      </w:r>
      <w:r w:rsidR="00065EA1" w:rsidRPr="00942F86">
        <w:rPr>
          <w:sz w:val="25"/>
          <w:szCs w:val="25"/>
        </w:rPr>
        <w:t>he Company’s 2013 GRC, the Commission reiterated its definition of the known and measurable standard applicable to capital additions:</w:t>
      </w:r>
    </w:p>
    <w:p w14:paraId="1E6D36A4" w14:textId="77777777" w:rsidR="00844E9F" w:rsidRPr="00942F86" w:rsidRDefault="00844E9F" w:rsidP="000455AC">
      <w:pPr>
        <w:spacing w:line="264" w:lineRule="auto"/>
        <w:ind w:left="720" w:right="720"/>
        <w:rPr>
          <w:sz w:val="25"/>
          <w:szCs w:val="25"/>
        </w:rPr>
      </w:pPr>
    </w:p>
    <w:p w14:paraId="5ED5EB6C" w14:textId="77777777" w:rsidR="00065EA1" w:rsidRPr="00942F86" w:rsidRDefault="00065EA1" w:rsidP="000455AC">
      <w:pPr>
        <w:spacing w:line="264" w:lineRule="auto"/>
        <w:ind w:left="720" w:right="720"/>
        <w:rPr>
          <w:sz w:val="25"/>
          <w:szCs w:val="25"/>
        </w:rPr>
      </w:pPr>
      <w:r w:rsidRPr="00942F86">
        <w:rPr>
          <w:sz w:val="25"/>
          <w:szCs w:val="25"/>
        </w:rPr>
        <w:t>The known and measurable test requires that an event that causes a change in revenue, expense or rate base must be known to have occurred during, or reasonably soon after, the historical 12 months of actual results of operations, and the effect of that event will be in place during the 12-month period when rates will likely be in effect.   Furthermore, the actual amount of the change must be measurable.  This means the amount typically cannot be an estimate, a projection, the product of a budget forecast, or some similar exercise of judgment – even informed judgment – concerning future revenue, expense or rate base.  There are exceptions, such as using the forward costs of gas in power cost projections, but these are few and demand a high degree of analytical rigor.</w:t>
      </w:r>
      <w:r w:rsidR="00552B8F" w:rsidRPr="00942F86">
        <w:rPr>
          <w:rStyle w:val="FootnoteReference"/>
          <w:sz w:val="25"/>
          <w:szCs w:val="25"/>
        </w:rPr>
        <w:footnoteReference w:id="254"/>
      </w:r>
    </w:p>
    <w:p w14:paraId="4FB570C4" w14:textId="77777777" w:rsidR="00BB45B9" w:rsidRPr="00942F86" w:rsidRDefault="00BB45B9" w:rsidP="000455AC">
      <w:pPr>
        <w:spacing w:line="264" w:lineRule="auto"/>
        <w:rPr>
          <w:i/>
          <w:sz w:val="25"/>
          <w:szCs w:val="25"/>
        </w:rPr>
      </w:pPr>
    </w:p>
    <w:p w14:paraId="69067B82" w14:textId="496B882E" w:rsidR="00C2553A" w:rsidRPr="00942F86" w:rsidRDefault="000C1A1C" w:rsidP="00FC421A">
      <w:pPr>
        <w:numPr>
          <w:ilvl w:val="0"/>
          <w:numId w:val="1"/>
        </w:numPr>
        <w:tabs>
          <w:tab w:val="clear" w:pos="720"/>
          <w:tab w:val="num" w:pos="0"/>
        </w:tabs>
        <w:spacing w:line="264" w:lineRule="auto"/>
        <w:ind w:left="0"/>
        <w:rPr>
          <w:i/>
          <w:sz w:val="25"/>
          <w:szCs w:val="25"/>
        </w:rPr>
      </w:pPr>
      <w:r w:rsidRPr="00942F86">
        <w:rPr>
          <w:sz w:val="25"/>
          <w:szCs w:val="25"/>
        </w:rPr>
        <w:t>We now turn to the bright line standards advocated by Public Counsel and Staff in this case (</w:t>
      </w:r>
      <w:r w:rsidR="00C2553A" w:rsidRPr="00942F86">
        <w:rPr>
          <w:i/>
          <w:sz w:val="25"/>
          <w:szCs w:val="25"/>
        </w:rPr>
        <w:t>i.e.,</w:t>
      </w:r>
      <w:r w:rsidR="00C2553A" w:rsidRPr="00942F86">
        <w:rPr>
          <w:sz w:val="25"/>
          <w:szCs w:val="25"/>
        </w:rPr>
        <w:t xml:space="preserve"> respectively, August 31, 2014, and the date of Pacific Power’s rebuttal filing, November 15, 2014)</w:t>
      </w:r>
      <w:r w:rsidR="006A6188" w:rsidRPr="00942F86">
        <w:rPr>
          <w:sz w:val="25"/>
          <w:szCs w:val="25"/>
        </w:rPr>
        <w:t xml:space="preserve">. </w:t>
      </w:r>
      <w:r w:rsidR="00C2553A" w:rsidRPr="00942F86">
        <w:rPr>
          <w:sz w:val="25"/>
          <w:szCs w:val="25"/>
        </w:rPr>
        <w:t xml:space="preserve"> </w:t>
      </w:r>
      <w:r w:rsidRPr="00942F86">
        <w:rPr>
          <w:sz w:val="25"/>
          <w:szCs w:val="25"/>
        </w:rPr>
        <w:t>In this regard, it is useful to recall the guidance the Commission provided in the Company’s prior GRC:</w:t>
      </w:r>
    </w:p>
    <w:p w14:paraId="0EF8B690" w14:textId="77777777" w:rsidR="00C2553A" w:rsidRPr="00942F86" w:rsidRDefault="00C2553A" w:rsidP="000455AC">
      <w:pPr>
        <w:spacing w:line="264" w:lineRule="auto"/>
        <w:rPr>
          <w:sz w:val="25"/>
          <w:szCs w:val="25"/>
        </w:rPr>
      </w:pPr>
    </w:p>
    <w:p w14:paraId="36CDC80E" w14:textId="0E9311E7" w:rsidR="00C2553A" w:rsidRPr="00942F86" w:rsidRDefault="00C2553A" w:rsidP="000455AC">
      <w:pPr>
        <w:spacing w:line="264" w:lineRule="auto"/>
        <w:ind w:left="720" w:right="720"/>
        <w:rPr>
          <w:sz w:val="25"/>
          <w:szCs w:val="25"/>
        </w:rPr>
      </w:pPr>
      <w:r w:rsidRPr="00942F86">
        <w:rPr>
          <w:sz w:val="25"/>
          <w:szCs w:val="25"/>
        </w:rPr>
        <w:lastRenderedPageBreak/>
        <w:t xml:space="preserve">Staff’s idea that the Commission should have “a consistent and practical” “bright line” standard when evaluating what is “known and measurable” or “used and useful,” though providing for some certainty in future application, is too rigid an approach.  The Commission requires flexibility in most cases to exercise its informed judgment in ways that respond adequately and appropriately to the dynamic economic and financial circumstances that are characteristic of the utility industry and the general economy.  Just as there are times when it is appropriate to depart from the preferred use of AMA rate base, as discussed above, there are times when it is appropriate to be more flexible in allowing post-test period </w:t>
      </w:r>
      <w:r w:rsidRPr="00942F86">
        <w:rPr>
          <w:i/>
          <w:sz w:val="25"/>
          <w:szCs w:val="25"/>
        </w:rPr>
        <w:t>pro forma</w:t>
      </w:r>
      <w:r w:rsidRPr="00942F86">
        <w:rPr>
          <w:sz w:val="25"/>
          <w:szCs w:val="25"/>
        </w:rPr>
        <w:t xml:space="preserve"> adjustments  and times when it is appropriate to be less flexible.</w:t>
      </w:r>
    </w:p>
    <w:p w14:paraId="35719933" w14:textId="77777777" w:rsidR="00C2553A" w:rsidRPr="00942F86" w:rsidRDefault="00C2553A" w:rsidP="000455AC">
      <w:pPr>
        <w:spacing w:line="264" w:lineRule="auto"/>
        <w:ind w:left="720" w:right="720"/>
        <w:rPr>
          <w:sz w:val="25"/>
          <w:szCs w:val="25"/>
        </w:rPr>
      </w:pPr>
    </w:p>
    <w:p w14:paraId="620F1430" w14:textId="2F08F82B" w:rsidR="00C2553A" w:rsidRPr="00942F86" w:rsidRDefault="00C2553A" w:rsidP="000455AC">
      <w:pPr>
        <w:spacing w:line="264" w:lineRule="auto"/>
        <w:ind w:left="720" w:right="720"/>
        <w:rPr>
          <w:sz w:val="25"/>
          <w:szCs w:val="25"/>
        </w:rPr>
      </w:pPr>
      <w:r w:rsidRPr="00942F86">
        <w:rPr>
          <w:sz w:val="25"/>
          <w:szCs w:val="25"/>
        </w:rPr>
        <w:t>In sum, we reject the bright line cutoff dates proposed respectively by Staff and Public Counsel.</w:t>
      </w:r>
      <w:r w:rsidRPr="00942F86">
        <w:rPr>
          <w:rStyle w:val="FootnoteReference"/>
          <w:sz w:val="25"/>
          <w:szCs w:val="25"/>
        </w:rPr>
        <w:footnoteReference w:id="255"/>
      </w:r>
      <w:r w:rsidRPr="00942F86">
        <w:rPr>
          <w:sz w:val="25"/>
          <w:szCs w:val="25"/>
        </w:rPr>
        <w:t xml:space="preserve">  </w:t>
      </w:r>
    </w:p>
    <w:p w14:paraId="78DE898E" w14:textId="77777777" w:rsidR="00C2553A" w:rsidRPr="00942F86" w:rsidRDefault="00C2553A" w:rsidP="000455AC">
      <w:pPr>
        <w:spacing w:line="264" w:lineRule="auto"/>
        <w:rPr>
          <w:i/>
          <w:sz w:val="25"/>
          <w:szCs w:val="25"/>
        </w:rPr>
      </w:pPr>
    </w:p>
    <w:p w14:paraId="24A4B543" w14:textId="158E17F1" w:rsidR="00C2553A" w:rsidRPr="00942F86" w:rsidRDefault="00C2553A" w:rsidP="000455AC">
      <w:pPr>
        <w:spacing w:line="264" w:lineRule="auto"/>
        <w:rPr>
          <w:sz w:val="25"/>
          <w:szCs w:val="25"/>
        </w:rPr>
      </w:pPr>
      <w:r w:rsidRPr="00942F86">
        <w:rPr>
          <w:sz w:val="25"/>
          <w:szCs w:val="25"/>
        </w:rPr>
        <w:t xml:space="preserve">While the Commission accepted three </w:t>
      </w:r>
      <w:r w:rsidRPr="00942F86">
        <w:rPr>
          <w:i/>
          <w:sz w:val="25"/>
          <w:szCs w:val="25"/>
        </w:rPr>
        <w:t>pro forma</w:t>
      </w:r>
      <w:r w:rsidRPr="00942F86">
        <w:rPr>
          <w:sz w:val="25"/>
          <w:szCs w:val="25"/>
        </w:rPr>
        <w:t xml:space="preserve"> additions</w:t>
      </w:r>
      <w:r w:rsidR="000C1A1C" w:rsidRPr="00942F86">
        <w:rPr>
          <w:sz w:val="25"/>
          <w:szCs w:val="25"/>
        </w:rPr>
        <w:t xml:space="preserve"> in 2013</w:t>
      </w:r>
      <w:r w:rsidRPr="00942F86">
        <w:rPr>
          <w:sz w:val="25"/>
          <w:szCs w:val="25"/>
        </w:rPr>
        <w:t xml:space="preserve"> based on updated actuals</w:t>
      </w:r>
      <w:r w:rsidR="00DF5500" w:rsidRPr="00942F86">
        <w:rPr>
          <w:sz w:val="25"/>
          <w:szCs w:val="25"/>
        </w:rPr>
        <w:t>,</w:t>
      </w:r>
      <w:r w:rsidRPr="00942F86">
        <w:rPr>
          <w:sz w:val="25"/>
          <w:szCs w:val="25"/>
        </w:rPr>
        <w:t xml:space="preserve"> as revised by the Company in rebuttal</w:t>
      </w:r>
      <w:r w:rsidR="00DF5500" w:rsidRPr="00942F86">
        <w:rPr>
          <w:sz w:val="25"/>
          <w:szCs w:val="25"/>
        </w:rPr>
        <w:t>, it is clear from the discussion quoted above that the timing of the updates had nothing to do with the Commission’s decision.  Rather, the acceptance of these adjustments was based on the Commission’s flexible exercise of discretion in applying its informed judgment to</w:t>
      </w:r>
      <w:r w:rsidR="002547BB" w:rsidRPr="00942F86">
        <w:rPr>
          <w:sz w:val="25"/>
          <w:szCs w:val="25"/>
        </w:rPr>
        <w:t xml:space="preserve"> the record, and to its determination that it was appropriate “to be more flexible in allowing post-test period </w:t>
      </w:r>
      <w:r w:rsidR="002547BB" w:rsidRPr="00942F86">
        <w:rPr>
          <w:i/>
          <w:sz w:val="25"/>
          <w:szCs w:val="25"/>
        </w:rPr>
        <w:t>pro forma</w:t>
      </w:r>
      <w:r w:rsidR="002547BB" w:rsidRPr="00942F86">
        <w:rPr>
          <w:sz w:val="25"/>
          <w:szCs w:val="25"/>
        </w:rPr>
        <w:t xml:space="preserve"> adjustments” in the specific context of the case before it. </w:t>
      </w:r>
      <w:r w:rsidR="00DF5500" w:rsidRPr="00942F86">
        <w:rPr>
          <w:sz w:val="25"/>
          <w:szCs w:val="25"/>
        </w:rPr>
        <w:t xml:space="preserve"> </w:t>
      </w:r>
    </w:p>
    <w:p w14:paraId="5DCA9E5C" w14:textId="77777777" w:rsidR="00C2553A" w:rsidRPr="00942F86" w:rsidRDefault="00C2553A" w:rsidP="000455AC">
      <w:pPr>
        <w:spacing w:line="264" w:lineRule="auto"/>
        <w:rPr>
          <w:i/>
          <w:sz w:val="25"/>
          <w:szCs w:val="25"/>
        </w:rPr>
      </w:pPr>
    </w:p>
    <w:p w14:paraId="70BB6EA5" w14:textId="2DA566A4" w:rsidR="000A6DE3" w:rsidRPr="00942F86" w:rsidRDefault="00141FD7" w:rsidP="00FC421A">
      <w:pPr>
        <w:numPr>
          <w:ilvl w:val="0"/>
          <w:numId w:val="1"/>
        </w:numPr>
        <w:tabs>
          <w:tab w:val="clear" w:pos="720"/>
          <w:tab w:val="num" w:pos="0"/>
        </w:tabs>
        <w:spacing w:line="264" w:lineRule="auto"/>
        <w:ind w:left="0"/>
        <w:rPr>
          <w:sz w:val="25"/>
          <w:szCs w:val="25"/>
        </w:rPr>
      </w:pPr>
      <w:r w:rsidRPr="00942F86">
        <w:rPr>
          <w:sz w:val="25"/>
          <w:szCs w:val="25"/>
        </w:rPr>
        <w:t xml:space="preserve">Having just rejected the use of a bright-line cutoff date for the acceptance of post-test period additions to rate base and having just reiterated the Commission’s standard for considering whether to allow such additions, we are confronted in this case with Staff and Public Counsel advocating bright-lines and the Company more or less ignoring the </w:t>
      </w:r>
      <w:r w:rsidR="002547BB" w:rsidRPr="00942F86">
        <w:rPr>
          <w:sz w:val="25"/>
          <w:szCs w:val="25"/>
        </w:rPr>
        <w:t xml:space="preserve">used and useful and known and measurable </w:t>
      </w:r>
      <w:r w:rsidRPr="00942F86">
        <w:rPr>
          <w:sz w:val="25"/>
          <w:szCs w:val="25"/>
        </w:rPr>
        <w:t>standard</w:t>
      </w:r>
      <w:r w:rsidR="002547BB" w:rsidRPr="00942F86">
        <w:rPr>
          <w:sz w:val="25"/>
          <w:szCs w:val="25"/>
        </w:rPr>
        <w:t>s</w:t>
      </w:r>
      <w:r w:rsidRPr="00942F86">
        <w:rPr>
          <w:sz w:val="25"/>
          <w:szCs w:val="25"/>
        </w:rPr>
        <w:t xml:space="preserve">.  </w:t>
      </w:r>
      <w:r w:rsidR="002547BB" w:rsidRPr="00942F86">
        <w:rPr>
          <w:sz w:val="25"/>
          <w:szCs w:val="25"/>
        </w:rPr>
        <w:t xml:space="preserve">The record in this case demonstrates why the Commission requires </w:t>
      </w:r>
      <w:r w:rsidR="000A6DE3" w:rsidRPr="00942F86">
        <w:rPr>
          <w:sz w:val="25"/>
          <w:szCs w:val="25"/>
        </w:rPr>
        <w:t xml:space="preserve">a more rigorous record and increasingly concrete support for </w:t>
      </w:r>
      <w:r w:rsidR="000A6DE3" w:rsidRPr="00942F86">
        <w:rPr>
          <w:i/>
          <w:sz w:val="25"/>
          <w:szCs w:val="25"/>
        </w:rPr>
        <w:t>pro forma</w:t>
      </w:r>
      <w:r w:rsidR="000A6DE3" w:rsidRPr="00942F86">
        <w:rPr>
          <w:sz w:val="25"/>
          <w:szCs w:val="25"/>
        </w:rPr>
        <w:t xml:space="preserve"> adjustments the later in time</w:t>
      </w:r>
      <w:r w:rsidR="00D9287A" w:rsidRPr="00942F86">
        <w:rPr>
          <w:sz w:val="25"/>
          <w:szCs w:val="25"/>
        </w:rPr>
        <w:t xml:space="preserve"> plant additions </w:t>
      </w:r>
      <w:r w:rsidR="000A6DE3" w:rsidRPr="00942F86">
        <w:rPr>
          <w:sz w:val="25"/>
          <w:szCs w:val="25"/>
        </w:rPr>
        <w:t xml:space="preserve">are put in service and claimed to be used and useful.  In this case the Company presents scant data concerning most of its proposed post-test period adjustments and the quality of </w:t>
      </w:r>
      <w:r w:rsidR="00D9287A" w:rsidRPr="00942F86">
        <w:rPr>
          <w:sz w:val="25"/>
          <w:szCs w:val="25"/>
        </w:rPr>
        <w:t xml:space="preserve">its </w:t>
      </w:r>
      <w:r w:rsidR="000A6DE3" w:rsidRPr="00942F86">
        <w:rPr>
          <w:sz w:val="25"/>
          <w:szCs w:val="25"/>
        </w:rPr>
        <w:t xml:space="preserve">data </w:t>
      </w:r>
      <w:r w:rsidR="00D9287A" w:rsidRPr="00942F86">
        <w:rPr>
          <w:sz w:val="25"/>
          <w:szCs w:val="25"/>
        </w:rPr>
        <w:t>has been shown to be poor and subject to revisions</w:t>
      </w:r>
      <w:r w:rsidR="000A6DE3" w:rsidRPr="00942F86">
        <w:rPr>
          <w:sz w:val="25"/>
          <w:szCs w:val="25"/>
        </w:rPr>
        <w:t xml:space="preserve">.  Both cost and in-service date data presented </w:t>
      </w:r>
      <w:r w:rsidR="00D9287A" w:rsidRPr="00942F86">
        <w:rPr>
          <w:sz w:val="25"/>
          <w:szCs w:val="25"/>
        </w:rPr>
        <w:t xml:space="preserve">in the original filing </w:t>
      </w:r>
      <w:r w:rsidR="000A6DE3" w:rsidRPr="00942F86">
        <w:rPr>
          <w:sz w:val="25"/>
          <w:szCs w:val="25"/>
        </w:rPr>
        <w:t xml:space="preserve">proved to be </w:t>
      </w:r>
      <w:r w:rsidR="00D9287A" w:rsidRPr="00942F86">
        <w:rPr>
          <w:sz w:val="25"/>
          <w:szCs w:val="25"/>
        </w:rPr>
        <w:t xml:space="preserve">quite </w:t>
      </w:r>
      <w:r w:rsidR="000A6DE3" w:rsidRPr="00942F86">
        <w:rPr>
          <w:sz w:val="25"/>
          <w:szCs w:val="25"/>
        </w:rPr>
        <w:t>inaccurate</w:t>
      </w:r>
      <w:r w:rsidR="00D9287A" w:rsidRPr="00942F86">
        <w:rPr>
          <w:sz w:val="25"/>
          <w:szCs w:val="25"/>
        </w:rPr>
        <w:t xml:space="preserve"> for some </w:t>
      </w:r>
      <w:r w:rsidR="00D9287A" w:rsidRPr="00942F86">
        <w:rPr>
          <w:sz w:val="25"/>
          <w:szCs w:val="25"/>
        </w:rPr>
        <w:lastRenderedPageBreak/>
        <w:t>projects</w:t>
      </w:r>
      <w:r w:rsidR="000A6DE3" w:rsidRPr="00942F86">
        <w:rPr>
          <w:sz w:val="25"/>
          <w:szCs w:val="25"/>
        </w:rPr>
        <w:t xml:space="preserve">.  </w:t>
      </w:r>
      <w:r w:rsidR="00D9287A" w:rsidRPr="00942F86">
        <w:rPr>
          <w:sz w:val="25"/>
          <w:szCs w:val="25"/>
        </w:rPr>
        <w:t xml:space="preserve">In addition, neither </w:t>
      </w:r>
      <w:r w:rsidR="000A6DE3" w:rsidRPr="00942F86">
        <w:rPr>
          <w:sz w:val="25"/>
          <w:szCs w:val="25"/>
        </w:rPr>
        <w:t xml:space="preserve">Staff nor Public Counsel present any evidence that they actually audited the data presented at any point in time.  </w:t>
      </w:r>
      <w:r w:rsidR="00D9287A" w:rsidRPr="00942F86">
        <w:rPr>
          <w:sz w:val="25"/>
          <w:szCs w:val="25"/>
        </w:rPr>
        <w:t>While</w:t>
      </w:r>
      <w:r w:rsidR="000A6DE3" w:rsidRPr="00942F86">
        <w:rPr>
          <w:sz w:val="25"/>
          <w:szCs w:val="25"/>
        </w:rPr>
        <w:t xml:space="preserve"> Public Counsel’s analyses during the case uncovered numerous errors in the data the Company presented</w:t>
      </w:r>
      <w:r w:rsidR="00D9287A" w:rsidRPr="00942F86">
        <w:rPr>
          <w:sz w:val="25"/>
          <w:szCs w:val="25"/>
        </w:rPr>
        <w:t xml:space="preserve"> the analysis was not an audit-level review</w:t>
      </w:r>
      <w:r w:rsidR="000A6DE3" w:rsidRPr="00942F86">
        <w:rPr>
          <w:sz w:val="25"/>
          <w:szCs w:val="25"/>
        </w:rPr>
        <w:t>.</w:t>
      </w:r>
      <w:r w:rsidR="008F0CE3" w:rsidRPr="00942F86">
        <w:rPr>
          <w:sz w:val="25"/>
          <w:szCs w:val="25"/>
        </w:rPr>
        <w:t xml:space="preserve">  </w:t>
      </w:r>
      <w:r w:rsidR="00D9287A" w:rsidRPr="00942F86">
        <w:rPr>
          <w:sz w:val="25"/>
          <w:szCs w:val="25"/>
        </w:rPr>
        <w:t xml:space="preserve">The Company’s </w:t>
      </w:r>
      <w:r w:rsidR="008F0CE3" w:rsidRPr="00942F86">
        <w:rPr>
          <w:sz w:val="25"/>
          <w:szCs w:val="25"/>
        </w:rPr>
        <w:t>evidence</w:t>
      </w:r>
      <w:r w:rsidR="00D9287A" w:rsidRPr="00942F86">
        <w:rPr>
          <w:sz w:val="25"/>
          <w:szCs w:val="25"/>
        </w:rPr>
        <w:t xml:space="preserve"> and other parties’ review</w:t>
      </w:r>
      <w:r w:rsidR="008F0CE3" w:rsidRPr="00942F86">
        <w:rPr>
          <w:sz w:val="25"/>
          <w:szCs w:val="25"/>
        </w:rPr>
        <w:t xml:space="preserve"> falls far short of what we require to determine </w:t>
      </w:r>
      <w:r w:rsidR="006A6188" w:rsidRPr="00942F86">
        <w:rPr>
          <w:sz w:val="25"/>
          <w:szCs w:val="25"/>
        </w:rPr>
        <w:t xml:space="preserve">whether </w:t>
      </w:r>
      <w:r w:rsidR="008F0CE3" w:rsidRPr="00942F86">
        <w:rPr>
          <w:sz w:val="25"/>
          <w:szCs w:val="25"/>
        </w:rPr>
        <w:t>a proposed plant addition is used and useful and that its costs are known and measurable.</w:t>
      </w:r>
    </w:p>
    <w:p w14:paraId="60FE663D" w14:textId="77777777" w:rsidR="000A6DE3" w:rsidRPr="00942F86" w:rsidRDefault="000A6DE3" w:rsidP="000455AC">
      <w:pPr>
        <w:spacing w:line="264" w:lineRule="auto"/>
        <w:rPr>
          <w:sz w:val="25"/>
          <w:szCs w:val="25"/>
        </w:rPr>
      </w:pPr>
    </w:p>
    <w:p w14:paraId="3D97A913" w14:textId="0436403F" w:rsidR="008F0CE3" w:rsidRPr="00942F86" w:rsidRDefault="0041337D" w:rsidP="00FC421A">
      <w:pPr>
        <w:numPr>
          <w:ilvl w:val="0"/>
          <w:numId w:val="1"/>
        </w:numPr>
        <w:tabs>
          <w:tab w:val="clear" w:pos="720"/>
          <w:tab w:val="num" w:pos="0"/>
        </w:tabs>
        <w:spacing w:line="264" w:lineRule="auto"/>
        <w:ind w:left="0"/>
        <w:rPr>
          <w:i/>
          <w:sz w:val="25"/>
          <w:szCs w:val="25"/>
        </w:rPr>
      </w:pPr>
      <w:r w:rsidRPr="00942F86">
        <w:rPr>
          <w:sz w:val="25"/>
          <w:szCs w:val="25"/>
        </w:rPr>
        <w:t xml:space="preserve">We also </w:t>
      </w:r>
      <w:r w:rsidR="00D9287A" w:rsidRPr="00942F86">
        <w:rPr>
          <w:sz w:val="25"/>
          <w:szCs w:val="25"/>
        </w:rPr>
        <w:t>note</w:t>
      </w:r>
      <w:r w:rsidRPr="00942F86">
        <w:rPr>
          <w:sz w:val="25"/>
          <w:szCs w:val="25"/>
        </w:rPr>
        <w:t xml:space="preserve"> that the relative size of many of the Company’s proposed plant additions</w:t>
      </w:r>
      <w:r w:rsidR="008F0CE3" w:rsidRPr="00942F86">
        <w:rPr>
          <w:sz w:val="25"/>
          <w:szCs w:val="25"/>
        </w:rPr>
        <w:t xml:space="preserve"> in this case</w:t>
      </w:r>
      <w:r w:rsidRPr="00942F86">
        <w:rPr>
          <w:sz w:val="25"/>
          <w:szCs w:val="25"/>
        </w:rPr>
        <w:t xml:space="preserve"> falls short of any reasonable definition of “major” </w:t>
      </w:r>
      <w:r w:rsidR="008F0CE3" w:rsidRPr="00942F86">
        <w:rPr>
          <w:sz w:val="25"/>
          <w:szCs w:val="25"/>
        </w:rPr>
        <w:t xml:space="preserve">and there is no discussion </w:t>
      </w:r>
      <w:r w:rsidR="00D9287A" w:rsidRPr="00942F86">
        <w:rPr>
          <w:sz w:val="25"/>
          <w:szCs w:val="25"/>
        </w:rPr>
        <w:t xml:space="preserve">in the record </w:t>
      </w:r>
      <w:r w:rsidR="008F0CE3" w:rsidRPr="00942F86">
        <w:rPr>
          <w:sz w:val="25"/>
          <w:szCs w:val="25"/>
        </w:rPr>
        <w:t>concerning possibly offsetting factors that may have occurred coincident with any of the plant going into service</w:t>
      </w:r>
      <w:r w:rsidRPr="00942F86">
        <w:rPr>
          <w:sz w:val="25"/>
          <w:szCs w:val="25"/>
        </w:rPr>
        <w:t>.</w:t>
      </w:r>
      <w:r w:rsidR="008F0CE3" w:rsidRPr="00942F86">
        <w:rPr>
          <w:sz w:val="25"/>
          <w:szCs w:val="25"/>
        </w:rPr>
        <w:t xml:space="preserve">  </w:t>
      </w:r>
      <w:r w:rsidR="00D9287A" w:rsidRPr="00942F86">
        <w:rPr>
          <w:sz w:val="25"/>
          <w:szCs w:val="25"/>
        </w:rPr>
        <w:t xml:space="preserve">In other words, neither the Company, nor any of the parties, appear to have taken into serious consideration the requirement to consider the </w:t>
      </w:r>
      <w:r w:rsidR="008F0CE3" w:rsidRPr="00942F86">
        <w:rPr>
          <w:sz w:val="25"/>
          <w:szCs w:val="25"/>
        </w:rPr>
        <w:t>matching principle</w:t>
      </w:r>
      <w:r w:rsidR="00D9287A" w:rsidRPr="00942F86">
        <w:rPr>
          <w:sz w:val="25"/>
          <w:szCs w:val="25"/>
        </w:rPr>
        <w:t xml:space="preserve"> for such capital additions.</w:t>
      </w:r>
      <w:r w:rsidR="00E94188" w:rsidRPr="00942F86">
        <w:rPr>
          <w:sz w:val="25"/>
          <w:szCs w:val="25"/>
        </w:rPr>
        <w:t xml:space="preserve">  </w:t>
      </w:r>
    </w:p>
    <w:p w14:paraId="2C4A666B" w14:textId="77777777" w:rsidR="008F0CE3" w:rsidRPr="00942F86" w:rsidRDefault="008F0CE3" w:rsidP="000455AC">
      <w:pPr>
        <w:pStyle w:val="ListParagraph"/>
        <w:spacing w:line="264" w:lineRule="auto"/>
        <w:rPr>
          <w:sz w:val="25"/>
          <w:szCs w:val="25"/>
        </w:rPr>
      </w:pPr>
    </w:p>
    <w:p w14:paraId="7EB3E392" w14:textId="25F8E260" w:rsidR="00552B8F" w:rsidRPr="00942F86" w:rsidRDefault="00D9287A" w:rsidP="00FC421A">
      <w:pPr>
        <w:numPr>
          <w:ilvl w:val="0"/>
          <w:numId w:val="1"/>
        </w:numPr>
        <w:tabs>
          <w:tab w:val="clear" w:pos="720"/>
          <w:tab w:val="num" w:pos="0"/>
        </w:tabs>
        <w:spacing w:line="264" w:lineRule="auto"/>
        <w:ind w:left="0"/>
        <w:rPr>
          <w:i/>
          <w:sz w:val="25"/>
          <w:szCs w:val="25"/>
        </w:rPr>
      </w:pPr>
      <w:r w:rsidRPr="00942F86">
        <w:rPr>
          <w:sz w:val="25"/>
          <w:szCs w:val="25"/>
        </w:rPr>
        <w:t>Accordingly, w</w:t>
      </w:r>
      <w:r w:rsidR="00E94188" w:rsidRPr="00942F86">
        <w:rPr>
          <w:sz w:val="25"/>
          <w:szCs w:val="25"/>
        </w:rPr>
        <w:t>e reject</w:t>
      </w:r>
      <w:r w:rsidRPr="00942F86">
        <w:rPr>
          <w:sz w:val="25"/>
          <w:szCs w:val="25"/>
        </w:rPr>
        <w:t xml:space="preserve"> the </w:t>
      </w:r>
      <w:r w:rsidRPr="00942F86">
        <w:rPr>
          <w:i/>
          <w:sz w:val="25"/>
          <w:szCs w:val="25"/>
        </w:rPr>
        <w:t>pro forma</w:t>
      </w:r>
      <w:r w:rsidR="00E94188" w:rsidRPr="00942F86">
        <w:rPr>
          <w:sz w:val="25"/>
          <w:szCs w:val="25"/>
        </w:rPr>
        <w:t xml:space="preserve"> </w:t>
      </w:r>
      <w:r w:rsidRPr="00942F86">
        <w:rPr>
          <w:sz w:val="25"/>
          <w:szCs w:val="25"/>
        </w:rPr>
        <w:t xml:space="preserve">plant additions to rate base for 25 of the 30 relatively small projects, </w:t>
      </w:r>
      <w:r w:rsidR="00E94188" w:rsidRPr="00942F86">
        <w:rPr>
          <w:sz w:val="25"/>
          <w:szCs w:val="25"/>
        </w:rPr>
        <w:t>described briefly in Ms. Siores revenue requirements exhibit</w:t>
      </w:r>
      <w:r w:rsidRPr="00942F86">
        <w:rPr>
          <w:sz w:val="25"/>
          <w:szCs w:val="25"/>
        </w:rPr>
        <w:t xml:space="preserve"> as being insufficiently supported by the evidence</w:t>
      </w:r>
      <w:r w:rsidR="00E94188" w:rsidRPr="00942F86">
        <w:rPr>
          <w:sz w:val="25"/>
          <w:szCs w:val="25"/>
        </w:rPr>
        <w:t>.</w:t>
      </w:r>
      <w:r w:rsidR="00E94188" w:rsidRPr="00942F86">
        <w:rPr>
          <w:rStyle w:val="FootnoteReference"/>
          <w:sz w:val="25"/>
          <w:szCs w:val="25"/>
        </w:rPr>
        <w:footnoteReference w:id="256"/>
      </w:r>
      <w:r w:rsidR="00E94188" w:rsidRPr="00942F86">
        <w:rPr>
          <w:sz w:val="25"/>
          <w:szCs w:val="25"/>
        </w:rPr>
        <w:t xml:space="preserve">  The </w:t>
      </w:r>
      <w:r w:rsidR="00125EFD" w:rsidRPr="00942F86">
        <w:rPr>
          <w:sz w:val="25"/>
          <w:szCs w:val="25"/>
        </w:rPr>
        <w:t xml:space="preserve">brief </w:t>
      </w:r>
      <w:r w:rsidR="00E94188" w:rsidRPr="00942F86">
        <w:rPr>
          <w:sz w:val="25"/>
          <w:szCs w:val="25"/>
        </w:rPr>
        <w:t xml:space="preserve">descriptions of these 25 projects, </w:t>
      </w:r>
      <w:r w:rsidR="00125EFD" w:rsidRPr="00942F86">
        <w:rPr>
          <w:sz w:val="25"/>
          <w:szCs w:val="25"/>
        </w:rPr>
        <w:t>supported by another two pages of data showing anticipated in-service dates and cost estimates</w:t>
      </w:r>
      <w:r w:rsidR="00E94188" w:rsidRPr="00942F86">
        <w:rPr>
          <w:sz w:val="25"/>
          <w:szCs w:val="25"/>
        </w:rPr>
        <w:t>, simply do nothing to establish that the projects should be added to rate base.</w:t>
      </w:r>
      <w:r w:rsidR="00125EFD" w:rsidRPr="00942F86">
        <w:rPr>
          <w:sz w:val="25"/>
          <w:szCs w:val="25"/>
        </w:rPr>
        <w:t xml:space="preserve">  The problems associated with </w:t>
      </w:r>
      <w:r w:rsidR="00B83C5A" w:rsidRPr="00942F86">
        <w:rPr>
          <w:sz w:val="25"/>
          <w:szCs w:val="25"/>
        </w:rPr>
        <w:t xml:space="preserve">not </w:t>
      </w:r>
      <w:r w:rsidR="00125EFD" w:rsidRPr="00942F86">
        <w:rPr>
          <w:sz w:val="25"/>
          <w:szCs w:val="25"/>
        </w:rPr>
        <w:t xml:space="preserve">having accurate in-service dates </w:t>
      </w:r>
      <w:r w:rsidR="00B83C5A" w:rsidRPr="00942F86">
        <w:rPr>
          <w:sz w:val="25"/>
          <w:szCs w:val="25"/>
        </w:rPr>
        <w:t>or</w:t>
      </w:r>
      <w:r w:rsidR="00125EFD" w:rsidRPr="00942F86">
        <w:rPr>
          <w:sz w:val="25"/>
          <w:szCs w:val="25"/>
        </w:rPr>
        <w:t xml:space="preserve"> costs that </w:t>
      </w:r>
      <w:r w:rsidR="00B83C5A" w:rsidRPr="00942F86">
        <w:rPr>
          <w:sz w:val="25"/>
          <w:szCs w:val="25"/>
        </w:rPr>
        <w:t>can be considered</w:t>
      </w:r>
      <w:r w:rsidR="00125EFD" w:rsidRPr="00942F86">
        <w:rPr>
          <w:sz w:val="25"/>
          <w:szCs w:val="25"/>
        </w:rPr>
        <w:t xml:space="preserve"> known and measurable for these projects are illustrated by Mr. Mullins’ example of the Yale Upper Rock Block Stabilization project, by his unrebutted testimony that similar problems plague the data displayed in Ms. Siores’ revenue requirements exhibit, and by the fact that the Company found it appropriate to remove a number of projects </w:t>
      </w:r>
      <w:r w:rsidRPr="00942F86">
        <w:rPr>
          <w:sz w:val="25"/>
          <w:szCs w:val="25"/>
        </w:rPr>
        <w:t>immediately prior to</w:t>
      </w:r>
      <w:r w:rsidR="00B83C5A" w:rsidRPr="00942F86">
        <w:rPr>
          <w:sz w:val="25"/>
          <w:szCs w:val="25"/>
        </w:rPr>
        <w:t xml:space="preserve"> our evidentiary hearing in this docket.</w:t>
      </w:r>
      <w:r w:rsidR="00B83C5A" w:rsidRPr="00942F86">
        <w:rPr>
          <w:rStyle w:val="FootnoteReference"/>
          <w:sz w:val="25"/>
          <w:szCs w:val="25"/>
        </w:rPr>
        <w:footnoteReference w:id="257"/>
      </w:r>
      <w:r w:rsidR="00125EFD" w:rsidRPr="00942F86">
        <w:rPr>
          <w:sz w:val="25"/>
          <w:szCs w:val="25"/>
        </w:rPr>
        <w:t xml:space="preserve"> </w:t>
      </w:r>
    </w:p>
    <w:p w14:paraId="47E21EC2" w14:textId="77777777" w:rsidR="0041337D" w:rsidRPr="00942F86" w:rsidRDefault="0041337D" w:rsidP="000455AC">
      <w:pPr>
        <w:spacing w:line="264" w:lineRule="auto"/>
        <w:rPr>
          <w:i/>
          <w:sz w:val="25"/>
          <w:szCs w:val="25"/>
        </w:rPr>
      </w:pPr>
    </w:p>
    <w:p w14:paraId="1CA0A722" w14:textId="26B1C7EE" w:rsidR="0041337D" w:rsidRPr="00942F86" w:rsidRDefault="006A6188" w:rsidP="00FC421A">
      <w:pPr>
        <w:numPr>
          <w:ilvl w:val="0"/>
          <w:numId w:val="1"/>
        </w:numPr>
        <w:tabs>
          <w:tab w:val="clear" w:pos="720"/>
          <w:tab w:val="num" w:pos="0"/>
        </w:tabs>
        <w:spacing w:line="264" w:lineRule="auto"/>
        <w:ind w:left="0"/>
        <w:rPr>
          <w:i/>
          <w:sz w:val="25"/>
          <w:szCs w:val="25"/>
        </w:rPr>
      </w:pPr>
      <w:r w:rsidRPr="00942F86">
        <w:rPr>
          <w:sz w:val="25"/>
          <w:szCs w:val="25"/>
        </w:rPr>
        <w:t xml:space="preserve">Of the remaining five projects, the Company withdrew consideration of the Fry and Selah Substation projects, and the Merwin Project is not contested.  </w:t>
      </w:r>
      <w:r w:rsidR="00454752" w:rsidRPr="00942F86">
        <w:rPr>
          <w:sz w:val="25"/>
          <w:szCs w:val="25"/>
        </w:rPr>
        <w:t xml:space="preserve">Turning to the two remaining plant additions that are contested, the Union Gap Substation Upgrade and the Jim Bridger Unit 1 Cooling Tower, we find the Company satisfactorily demonstrated that both projects are used and useful and that their costs are known and measurable.  Phase 1 of the Union Gap project met these criteria by August 2014, well in advance of the date for response testimony.  The Jim Bridger project went on </w:t>
      </w:r>
      <w:r w:rsidR="00454752" w:rsidRPr="00942F86">
        <w:rPr>
          <w:sz w:val="25"/>
          <w:szCs w:val="25"/>
        </w:rPr>
        <w:lastRenderedPageBreak/>
        <w:t>line even earlier, in May 2014</w:t>
      </w:r>
      <w:r w:rsidR="0078337B" w:rsidRPr="00942F86">
        <w:rPr>
          <w:sz w:val="25"/>
          <w:szCs w:val="25"/>
        </w:rPr>
        <w:t>.</w:t>
      </w:r>
      <w:r w:rsidRPr="00942F86">
        <w:rPr>
          <w:sz w:val="25"/>
          <w:szCs w:val="25"/>
        </w:rPr>
        <w:t xml:space="preserve">  Accordingly, we accept the post-test year plant additions in rate base for the three projects mentioned above, including the uncontested Merwin Project.</w:t>
      </w:r>
    </w:p>
    <w:p w14:paraId="20C2CF26" w14:textId="77777777" w:rsidR="00757FA5" w:rsidRPr="00942F86" w:rsidRDefault="00757FA5" w:rsidP="000455AC">
      <w:pPr>
        <w:spacing w:line="264" w:lineRule="auto"/>
        <w:rPr>
          <w:sz w:val="25"/>
          <w:szCs w:val="25"/>
        </w:rPr>
      </w:pPr>
    </w:p>
    <w:p w14:paraId="6C91AFE1" w14:textId="77777777" w:rsidR="00757FA5" w:rsidRPr="00942F86" w:rsidRDefault="00757FA5" w:rsidP="00883A54">
      <w:pPr>
        <w:pStyle w:val="Heading4"/>
      </w:pPr>
      <w:bookmarkStart w:id="31" w:name="_Toc415037628"/>
      <w:r w:rsidRPr="00942F86">
        <w:t>Depreciation Study and Annual Depreciation (Adjustments 6.3 - 6.3.2 and 6.5)</w:t>
      </w:r>
      <w:bookmarkEnd w:id="31"/>
    </w:p>
    <w:p w14:paraId="2C154B18" w14:textId="77777777" w:rsidR="00757FA5" w:rsidRPr="00942F86" w:rsidRDefault="00757FA5" w:rsidP="000455AC">
      <w:pPr>
        <w:spacing w:line="264" w:lineRule="auto"/>
        <w:rPr>
          <w:sz w:val="25"/>
          <w:szCs w:val="25"/>
        </w:rPr>
      </w:pPr>
    </w:p>
    <w:p w14:paraId="47EE910A" w14:textId="77777777" w:rsidR="00757FA5" w:rsidRPr="00942F86" w:rsidRDefault="00757FA5" w:rsidP="00FC421A">
      <w:pPr>
        <w:numPr>
          <w:ilvl w:val="0"/>
          <w:numId w:val="1"/>
        </w:numPr>
        <w:tabs>
          <w:tab w:val="clear" w:pos="720"/>
          <w:tab w:val="num" w:pos="0"/>
        </w:tabs>
        <w:spacing w:line="264" w:lineRule="auto"/>
        <w:ind w:left="0"/>
        <w:rPr>
          <w:sz w:val="25"/>
          <w:szCs w:val="25"/>
        </w:rPr>
      </w:pPr>
      <w:r w:rsidRPr="00942F86">
        <w:rPr>
          <w:sz w:val="25"/>
          <w:szCs w:val="25"/>
        </w:rPr>
        <w:t xml:space="preserve">Public Counsel proposes an adjustment to reflect the reduced depreciation expense associated with </w:t>
      </w:r>
      <w:r w:rsidRPr="00942F86">
        <w:rPr>
          <w:i/>
          <w:sz w:val="25"/>
          <w:szCs w:val="25"/>
        </w:rPr>
        <w:t>pro forma</w:t>
      </w:r>
      <w:r w:rsidRPr="00942F86">
        <w:rPr>
          <w:sz w:val="25"/>
          <w:szCs w:val="25"/>
        </w:rPr>
        <w:t xml:space="preserve"> major plant retirements in determining revenue requirement.</w:t>
      </w:r>
      <w:r w:rsidRPr="00942F86">
        <w:rPr>
          <w:sz w:val="25"/>
          <w:szCs w:val="25"/>
          <w:vertAlign w:val="superscript"/>
        </w:rPr>
        <w:footnoteReference w:id="258"/>
      </w:r>
      <w:r w:rsidRPr="00942F86">
        <w:rPr>
          <w:sz w:val="25"/>
          <w:szCs w:val="25"/>
        </w:rPr>
        <w:t xml:space="preserve">  The Company agrees that this adjustment is appropriate for purposes of this case and developed Adjustment 6.5 (Retired Assets Depreciation Expense Removal) to reflect the removal of depreciation expense associated with major plant retirements exceeding $250,000 on a Washington-allocated basis.</w:t>
      </w:r>
      <w:r w:rsidRPr="00942F86">
        <w:rPr>
          <w:sz w:val="25"/>
          <w:szCs w:val="25"/>
          <w:vertAlign w:val="superscript"/>
        </w:rPr>
        <w:footnoteReference w:id="259"/>
      </w:r>
      <w:r w:rsidRPr="00942F86">
        <w:rPr>
          <w:sz w:val="25"/>
          <w:szCs w:val="25"/>
        </w:rPr>
        <w:t xml:space="preserve">  According to Ms. Siores, “based on the most recent asset retirement information available,” including tax impacts, this adjustment decreases Washington revenue requirement by approximately $29,000.  The Company proposes to update this adjustment in its compliance filing to reflect the depreciation expense impact of actual major plant retirements before the rate effective date to maintain consistency with the Company’s proposed treatment of </w:t>
      </w:r>
      <w:r w:rsidRPr="00942F86">
        <w:rPr>
          <w:i/>
          <w:sz w:val="25"/>
          <w:szCs w:val="25"/>
        </w:rPr>
        <w:t>pro forma</w:t>
      </w:r>
      <w:r w:rsidRPr="00942F86">
        <w:rPr>
          <w:sz w:val="25"/>
          <w:szCs w:val="25"/>
        </w:rPr>
        <w:t xml:space="preserve"> major plant additions.</w:t>
      </w:r>
      <w:r w:rsidRPr="00942F86">
        <w:rPr>
          <w:rStyle w:val="FootnoteReference"/>
          <w:sz w:val="25"/>
          <w:szCs w:val="25"/>
        </w:rPr>
        <w:footnoteReference w:id="260"/>
      </w:r>
    </w:p>
    <w:p w14:paraId="263F04C0" w14:textId="77777777" w:rsidR="00757FA5" w:rsidRPr="00942F86" w:rsidRDefault="00757FA5" w:rsidP="000455AC">
      <w:pPr>
        <w:spacing w:line="264" w:lineRule="auto"/>
        <w:rPr>
          <w:sz w:val="25"/>
          <w:szCs w:val="25"/>
        </w:rPr>
      </w:pPr>
    </w:p>
    <w:p w14:paraId="7B61E0A7" w14:textId="0F13868D" w:rsidR="00757FA5" w:rsidRPr="00942F86" w:rsidRDefault="00757FA5"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This adjustment</w:t>
      </w:r>
      <w:r w:rsidR="00685D17" w:rsidRPr="00942F86">
        <w:rPr>
          <w:sz w:val="25"/>
          <w:szCs w:val="25"/>
        </w:rPr>
        <w:t>,</w:t>
      </w:r>
      <w:r w:rsidRPr="00942F86">
        <w:rPr>
          <w:sz w:val="25"/>
          <w:szCs w:val="25"/>
        </w:rPr>
        <w:t xml:space="preserve"> to which Pacific Power and Public Counsel agree, </w:t>
      </w:r>
      <w:r w:rsidR="00685D17" w:rsidRPr="00942F86">
        <w:rPr>
          <w:sz w:val="25"/>
          <w:szCs w:val="25"/>
        </w:rPr>
        <w:t xml:space="preserve">appears to rest on the </w:t>
      </w:r>
      <w:r w:rsidRPr="00942F86">
        <w:rPr>
          <w:sz w:val="25"/>
          <w:szCs w:val="25"/>
        </w:rPr>
        <w:t>predicate that the Commission accepts the plant additions to which the Company and Staff agree</w:t>
      </w:r>
      <w:r w:rsidR="00685D17" w:rsidRPr="00942F86">
        <w:rPr>
          <w:sz w:val="25"/>
          <w:szCs w:val="25"/>
        </w:rPr>
        <w:t>.  We do not, as discussed in the preceding section of this Order.  We do not foreclose Pacific Power from recognizing this adjustment in its compliance filing, but we do not require it to do so.</w:t>
      </w:r>
    </w:p>
    <w:p w14:paraId="5BFAC45C" w14:textId="77777777" w:rsidR="00F9592D" w:rsidRPr="00942F86" w:rsidRDefault="00F9592D" w:rsidP="000455AC">
      <w:pPr>
        <w:spacing w:line="264" w:lineRule="auto"/>
        <w:rPr>
          <w:sz w:val="25"/>
          <w:szCs w:val="25"/>
        </w:rPr>
      </w:pPr>
    </w:p>
    <w:p w14:paraId="34F18603" w14:textId="47101571" w:rsidR="00BB45B9" w:rsidRPr="00942F86" w:rsidRDefault="00A77C7F" w:rsidP="000455AC">
      <w:pPr>
        <w:pStyle w:val="Heading3"/>
        <w:spacing w:before="0" w:after="0"/>
        <w:rPr>
          <w:rFonts w:cs="Times New Roman"/>
        </w:rPr>
      </w:pPr>
      <w:r w:rsidRPr="00942F86">
        <w:rPr>
          <w:rFonts w:cs="Times New Roman"/>
        </w:rPr>
        <w:t xml:space="preserve"> </w:t>
      </w:r>
      <w:bookmarkStart w:id="32" w:name="_Toc415037629"/>
      <w:r w:rsidR="00BB45B9" w:rsidRPr="00942F86">
        <w:rPr>
          <w:rFonts w:cs="Times New Roman"/>
        </w:rPr>
        <w:t>“Fall-Out” Adjustments</w:t>
      </w:r>
      <w:bookmarkEnd w:id="32"/>
    </w:p>
    <w:p w14:paraId="30AEF396" w14:textId="77777777" w:rsidR="00BB45B9" w:rsidRPr="00942F86" w:rsidRDefault="00BB45B9" w:rsidP="000455AC">
      <w:pPr>
        <w:spacing w:line="264" w:lineRule="auto"/>
        <w:rPr>
          <w:sz w:val="25"/>
          <w:szCs w:val="25"/>
        </w:rPr>
      </w:pPr>
    </w:p>
    <w:p w14:paraId="376ECFCE" w14:textId="3DE96E98" w:rsidR="008E1041" w:rsidRPr="00942F86" w:rsidRDefault="008E1041" w:rsidP="00FC421A">
      <w:pPr>
        <w:numPr>
          <w:ilvl w:val="0"/>
          <w:numId w:val="1"/>
        </w:numPr>
        <w:tabs>
          <w:tab w:val="clear" w:pos="720"/>
          <w:tab w:val="num" w:pos="0"/>
        </w:tabs>
        <w:spacing w:line="264" w:lineRule="auto"/>
        <w:ind w:left="0"/>
        <w:rPr>
          <w:sz w:val="25"/>
          <w:szCs w:val="25"/>
        </w:rPr>
      </w:pPr>
      <w:r w:rsidRPr="00942F86">
        <w:rPr>
          <w:sz w:val="25"/>
          <w:szCs w:val="25"/>
        </w:rPr>
        <w:t xml:space="preserve">We recognize two so-called fall-out adjustments, interest true up (Adjustment </w:t>
      </w:r>
      <w:r w:rsidR="00A925A8" w:rsidRPr="00942F86">
        <w:rPr>
          <w:sz w:val="25"/>
          <w:szCs w:val="25"/>
        </w:rPr>
        <w:t>7.1</w:t>
      </w:r>
      <w:r w:rsidRPr="00942F86">
        <w:rPr>
          <w:sz w:val="25"/>
          <w:szCs w:val="25"/>
        </w:rPr>
        <w:t xml:space="preserve">) and Production Factor (Adjustment </w:t>
      </w:r>
      <w:r w:rsidR="00A925A8" w:rsidRPr="00942F86">
        <w:rPr>
          <w:sz w:val="25"/>
          <w:szCs w:val="25"/>
        </w:rPr>
        <w:t>9.1</w:t>
      </w:r>
      <w:r w:rsidRPr="00942F86">
        <w:rPr>
          <w:sz w:val="25"/>
          <w:szCs w:val="25"/>
        </w:rPr>
        <w:t>).  The amounts of these adjustments turn entirely on decisions concerning contested revenue requirements.  The method for determining them is not disputed.  It is the Commission’s practice, however, to include these in the table of contested adjustments included as an appendix to this Order.  We will do so again in this case.</w:t>
      </w:r>
    </w:p>
    <w:p w14:paraId="79A0AC6D" w14:textId="77777777" w:rsidR="00E23234" w:rsidRPr="00942F86" w:rsidRDefault="00E23234" w:rsidP="000455AC">
      <w:pPr>
        <w:spacing w:line="264" w:lineRule="auto"/>
        <w:rPr>
          <w:sz w:val="25"/>
          <w:szCs w:val="25"/>
        </w:rPr>
      </w:pPr>
    </w:p>
    <w:p w14:paraId="2403DA92" w14:textId="77777777" w:rsidR="00C34A9B" w:rsidRPr="00942F86" w:rsidRDefault="00C34A9B" w:rsidP="000455AC">
      <w:pPr>
        <w:pStyle w:val="Heading3"/>
        <w:spacing w:before="0" w:after="0"/>
        <w:rPr>
          <w:rFonts w:cs="Times New Roman"/>
        </w:rPr>
      </w:pPr>
      <w:bookmarkStart w:id="33" w:name="_Toc415037630"/>
      <w:r w:rsidRPr="00942F86">
        <w:rPr>
          <w:rFonts w:cs="Times New Roman"/>
        </w:rPr>
        <w:t>Capital Structure and Cost of Capital</w:t>
      </w:r>
      <w:bookmarkEnd w:id="33"/>
    </w:p>
    <w:p w14:paraId="42E4C803" w14:textId="77777777" w:rsidR="00C34A9B" w:rsidRPr="00942F86" w:rsidRDefault="00C34A9B" w:rsidP="000455AC">
      <w:pPr>
        <w:pStyle w:val="NoSpacing"/>
        <w:spacing w:line="264" w:lineRule="auto"/>
        <w:rPr>
          <w:sz w:val="25"/>
          <w:szCs w:val="25"/>
        </w:rPr>
      </w:pPr>
    </w:p>
    <w:p w14:paraId="41822353" w14:textId="7D7116BC" w:rsidR="00373036" w:rsidRPr="00942F86" w:rsidRDefault="00DA0E71" w:rsidP="00FC421A">
      <w:pPr>
        <w:numPr>
          <w:ilvl w:val="0"/>
          <w:numId w:val="1"/>
        </w:numPr>
        <w:tabs>
          <w:tab w:val="clear" w:pos="720"/>
          <w:tab w:val="num" w:pos="0"/>
        </w:tabs>
        <w:spacing w:line="264" w:lineRule="auto"/>
        <w:ind w:left="0"/>
        <w:rPr>
          <w:sz w:val="25"/>
          <w:szCs w:val="25"/>
        </w:rPr>
      </w:pPr>
      <w:r w:rsidRPr="00942F86">
        <w:rPr>
          <w:sz w:val="25"/>
          <w:szCs w:val="25"/>
        </w:rPr>
        <w:t>Pacific Power and other parties presented in</w:t>
      </w:r>
      <w:r w:rsidR="003E41D8" w:rsidRPr="00942F86">
        <w:rPr>
          <w:sz w:val="25"/>
          <w:szCs w:val="25"/>
        </w:rPr>
        <w:t xml:space="preserve"> the Company’s 2012/2013 GRC,</w:t>
      </w:r>
      <w:r w:rsidRPr="00942F86">
        <w:rPr>
          <w:sz w:val="25"/>
          <w:szCs w:val="25"/>
        </w:rPr>
        <w:t xml:space="preserve"> Docket UE-130043</w:t>
      </w:r>
      <w:r w:rsidR="003E41D8" w:rsidRPr="00942F86">
        <w:rPr>
          <w:sz w:val="25"/>
          <w:szCs w:val="25"/>
        </w:rPr>
        <w:t>,</w:t>
      </w:r>
      <w:r w:rsidRPr="00942F86">
        <w:rPr>
          <w:sz w:val="25"/>
          <w:szCs w:val="25"/>
        </w:rPr>
        <w:t xml:space="preserve"> the full panoply of evidence typically filed in cases where the Company’s capital structure, </w:t>
      </w:r>
      <w:r w:rsidR="002F4A6C" w:rsidRPr="00942F86">
        <w:rPr>
          <w:sz w:val="25"/>
          <w:szCs w:val="25"/>
        </w:rPr>
        <w:t>cost of</w:t>
      </w:r>
      <w:r w:rsidRPr="00942F86">
        <w:rPr>
          <w:sz w:val="25"/>
          <w:szCs w:val="25"/>
        </w:rPr>
        <w:t xml:space="preserve"> equity, and overall weighted cost of capital (</w:t>
      </w:r>
      <w:r w:rsidRPr="00942F86">
        <w:rPr>
          <w:i/>
          <w:sz w:val="25"/>
          <w:szCs w:val="25"/>
        </w:rPr>
        <w:t>i.e.,</w:t>
      </w:r>
      <w:r w:rsidRPr="00942F86">
        <w:rPr>
          <w:sz w:val="25"/>
          <w:szCs w:val="25"/>
        </w:rPr>
        <w:t xml:space="preserve"> </w:t>
      </w:r>
      <w:r w:rsidR="002F4A6C" w:rsidRPr="00942F86">
        <w:rPr>
          <w:sz w:val="25"/>
          <w:szCs w:val="25"/>
        </w:rPr>
        <w:t xml:space="preserve">overall </w:t>
      </w:r>
      <w:r w:rsidRPr="00942F86">
        <w:rPr>
          <w:sz w:val="25"/>
          <w:szCs w:val="25"/>
        </w:rPr>
        <w:t>rate of return</w:t>
      </w:r>
      <w:r w:rsidR="002F4A6C" w:rsidRPr="00942F86">
        <w:rPr>
          <w:sz w:val="25"/>
          <w:szCs w:val="25"/>
        </w:rPr>
        <w:t xml:space="preserve">, or </w:t>
      </w:r>
      <w:proofErr w:type="spellStart"/>
      <w:r w:rsidR="002F4A6C" w:rsidRPr="00942F86">
        <w:rPr>
          <w:sz w:val="25"/>
          <w:szCs w:val="25"/>
        </w:rPr>
        <w:t>ROR</w:t>
      </w:r>
      <w:proofErr w:type="spellEnd"/>
      <w:r w:rsidRPr="00942F86">
        <w:rPr>
          <w:sz w:val="25"/>
          <w:szCs w:val="25"/>
        </w:rPr>
        <w:t>) are contested.</w:t>
      </w:r>
      <w:r w:rsidR="003E41D8" w:rsidRPr="00942F86">
        <w:rPr>
          <w:sz w:val="25"/>
          <w:szCs w:val="25"/>
        </w:rPr>
        <w:t xml:space="preserve">  The Commission determined the issues on their merits, as discussed in detail in the Commission’s Final Order in the case.</w:t>
      </w:r>
      <w:r w:rsidR="003E41D8" w:rsidRPr="00942F86">
        <w:rPr>
          <w:rStyle w:val="FootnoteReference"/>
          <w:sz w:val="25"/>
          <w:szCs w:val="25"/>
        </w:rPr>
        <w:footnoteReference w:id="261"/>
      </w:r>
      <w:r w:rsidR="00373036" w:rsidRPr="00942F86">
        <w:rPr>
          <w:sz w:val="25"/>
          <w:szCs w:val="25"/>
        </w:rPr>
        <w:t xml:space="preserve">  </w:t>
      </w:r>
    </w:p>
    <w:p w14:paraId="516B530E" w14:textId="3892099C" w:rsidR="00373036" w:rsidRPr="00942F86" w:rsidRDefault="00A56A0B" w:rsidP="000455AC">
      <w:pPr>
        <w:spacing w:line="264" w:lineRule="auto"/>
        <w:rPr>
          <w:sz w:val="25"/>
          <w:szCs w:val="25"/>
        </w:rPr>
      </w:pPr>
      <w:r w:rsidRPr="00942F86">
        <w:rPr>
          <w:sz w:val="25"/>
          <w:szCs w:val="25"/>
        </w:rPr>
        <w:t xml:space="preserve">  </w:t>
      </w:r>
    </w:p>
    <w:p w14:paraId="793BF0D3" w14:textId="362E0E28" w:rsidR="003E41D8" w:rsidRPr="00942F86" w:rsidRDefault="00A56A0B" w:rsidP="00FC421A">
      <w:pPr>
        <w:numPr>
          <w:ilvl w:val="0"/>
          <w:numId w:val="1"/>
        </w:numPr>
        <w:tabs>
          <w:tab w:val="clear" w:pos="720"/>
          <w:tab w:val="num" w:pos="0"/>
        </w:tabs>
        <w:spacing w:line="264" w:lineRule="auto"/>
        <w:ind w:left="0"/>
        <w:rPr>
          <w:sz w:val="25"/>
          <w:szCs w:val="25"/>
        </w:rPr>
      </w:pPr>
      <w:r w:rsidRPr="00942F86">
        <w:rPr>
          <w:sz w:val="25"/>
          <w:szCs w:val="25"/>
        </w:rPr>
        <w:t xml:space="preserve">Pacific Power filed a petition for judicial review of Order 05, as discussed above in connection with the issue of the allocation of </w:t>
      </w:r>
      <w:proofErr w:type="spellStart"/>
      <w:r w:rsidRPr="00942F86">
        <w:rPr>
          <w:sz w:val="25"/>
          <w:szCs w:val="25"/>
        </w:rPr>
        <w:t>QF</w:t>
      </w:r>
      <w:proofErr w:type="spellEnd"/>
      <w:r w:rsidRPr="00942F86">
        <w:rPr>
          <w:sz w:val="25"/>
          <w:szCs w:val="25"/>
        </w:rPr>
        <w:t xml:space="preserve"> power costs.  In its petition, the Company also challenges the Commission’s determination of cost of capital, focusing specifically on the Commission’s rejection of Pacific Power’s argument that the Commission must rely on the capital structure of </w:t>
      </w:r>
      <w:r w:rsidR="00A9122F" w:rsidRPr="00942F86">
        <w:rPr>
          <w:sz w:val="25"/>
          <w:szCs w:val="25"/>
        </w:rPr>
        <w:t xml:space="preserve">PacifiCorp, </w:t>
      </w:r>
      <w:r w:rsidRPr="00942F86">
        <w:rPr>
          <w:sz w:val="25"/>
          <w:szCs w:val="25"/>
        </w:rPr>
        <w:t>the Company’s corporate parent</w:t>
      </w:r>
      <w:r w:rsidR="00A9122F" w:rsidRPr="00942F86">
        <w:rPr>
          <w:sz w:val="25"/>
          <w:szCs w:val="25"/>
        </w:rPr>
        <w:t>,</w:t>
      </w:r>
      <w:r w:rsidRPr="00942F86">
        <w:rPr>
          <w:sz w:val="25"/>
          <w:szCs w:val="25"/>
        </w:rPr>
        <w:t xml:space="preserve"> as a surrogate for Pacific Power’s “actual capital structure” when, in fact, Pacific Power has no capital structure of its own.</w:t>
      </w:r>
      <w:r w:rsidR="00BA728A" w:rsidRPr="00942F86">
        <w:rPr>
          <w:rStyle w:val="FootnoteReference"/>
          <w:sz w:val="25"/>
          <w:szCs w:val="25"/>
        </w:rPr>
        <w:footnoteReference w:id="262"/>
      </w:r>
      <w:r w:rsidRPr="00942F86">
        <w:rPr>
          <w:sz w:val="25"/>
          <w:szCs w:val="25"/>
        </w:rPr>
        <w:t xml:space="preserve"> </w:t>
      </w:r>
    </w:p>
    <w:p w14:paraId="415E5491" w14:textId="43FF0A9F" w:rsidR="003E41D8" w:rsidRPr="00942F86" w:rsidRDefault="003E41D8" w:rsidP="000455AC">
      <w:pPr>
        <w:spacing w:line="264" w:lineRule="auto"/>
        <w:rPr>
          <w:sz w:val="25"/>
          <w:szCs w:val="25"/>
        </w:rPr>
      </w:pPr>
    </w:p>
    <w:p w14:paraId="6DFB87B4" w14:textId="59E0D0AC" w:rsidR="007674B1" w:rsidRPr="00942F86" w:rsidRDefault="00BF0F3B" w:rsidP="00FC421A">
      <w:pPr>
        <w:numPr>
          <w:ilvl w:val="0"/>
          <w:numId w:val="1"/>
        </w:numPr>
        <w:tabs>
          <w:tab w:val="clear" w:pos="720"/>
          <w:tab w:val="num" w:pos="0"/>
        </w:tabs>
        <w:spacing w:line="264" w:lineRule="auto"/>
        <w:ind w:left="0"/>
        <w:rPr>
          <w:sz w:val="25"/>
          <w:szCs w:val="25"/>
        </w:rPr>
      </w:pPr>
      <w:r w:rsidRPr="00942F86">
        <w:rPr>
          <w:sz w:val="25"/>
          <w:szCs w:val="25"/>
        </w:rPr>
        <w:t xml:space="preserve">Yet, in the present case, filed just five months after the Commission entered its final order in Docket UE-130043, Pacific Power has put forward a full cost of capital case.  Staff, Public Counsel, and Boise White Paper, in response, each put on full cost of capital cases and all parties fully briefed the issues.  </w:t>
      </w:r>
      <w:r w:rsidR="007674B1" w:rsidRPr="00942F86">
        <w:rPr>
          <w:sz w:val="25"/>
          <w:szCs w:val="25"/>
        </w:rPr>
        <w:t xml:space="preserve">The only difference </w:t>
      </w:r>
      <w:r w:rsidRPr="00942F86">
        <w:rPr>
          <w:sz w:val="25"/>
          <w:szCs w:val="25"/>
        </w:rPr>
        <w:t xml:space="preserve">between the capital structure proposed in this case and the previous one, now subject to judicial review, </w:t>
      </w:r>
      <w:r w:rsidR="007674B1" w:rsidRPr="00942F86">
        <w:rPr>
          <w:sz w:val="25"/>
          <w:szCs w:val="25"/>
        </w:rPr>
        <w:t>is a slight change in the level of equity proposed</w:t>
      </w:r>
      <w:r w:rsidRPr="00942F86">
        <w:rPr>
          <w:sz w:val="25"/>
          <w:szCs w:val="25"/>
        </w:rPr>
        <w:t xml:space="preserve"> (</w:t>
      </w:r>
      <w:r w:rsidRPr="00942F86">
        <w:rPr>
          <w:i/>
          <w:sz w:val="25"/>
          <w:szCs w:val="25"/>
        </w:rPr>
        <w:t>i.e,</w:t>
      </w:r>
      <w:r w:rsidRPr="00942F86">
        <w:rPr>
          <w:sz w:val="25"/>
          <w:szCs w:val="25"/>
        </w:rPr>
        <w:t xml:space="preserve"> 51.73 percent)</w:t>
      </w:r>
      <w:r w:rsidR="007674B1" w:rsidRPr="00942F86">
        <w:rPr>
          <w:sz w:val="25"/>
          <w:szCs w:val="25"/>
        </w:rPr>
        <w:t xml:space="preserve"> because “the Company used an average of PacifiCorp’s five-quarter ends spanning the </w:t>
      </w:r>
      <w:r w:rsidR="007674B1" w:rsidRPr="00942F86">
        <w:rPr>
          <w:sz w:val="25"/>
          <w:szCs w:val="25"/>
        </w:rPr>
        <w:lastRenderedPageBreak/>
        <w:t>12 months ending December 31, 2014,”</w:t>
      </w:r>
      <w:r w:rsidR="005C013C" w:rsidRPr="00942F86">
        <w:rPr>
          <w:rStyle w:val="FootnoteReference"/>
          <w:sz w:val="25"/>
          <w:szCs w:val="25"/>
        </w:rPr>
        <w:footnoteReference w:id="263"/>
      </w:r>
      <w:r w:rsidR="007674B1" w:rsidRPr="00942F86">
        <w:rPr>
          <w:sz w:val="25"/>
          <w:szCs w:val="25"/>
        </w:rPr>
        <w:t xml:space="preserve"> instead of </w:t>
      </w:r>
      <w:r w:rsidR="005C013C" w:rsidRPr="00942F86">
        <w:rPr>
          <w:sz w:val="25"/>
          <w:szCs w:val="25"/>
        </w:rPr>
        <w:t>“the five-quarter end spanning the 12 months ending June 30, 2013”</w:t>
      </w:r>
      <w:r w:rsidR="005C013C" w:rsidRPr="00942F86">
        <w:rPr>
          <w:rStyle w:val="FootnoteReference"/>
          <w:sz w:val="25"/>
          <w:szCs w:val="25"/>
        </w:rPr>
        <w:footnoteReference w:id="264"/>
      </w:r>
      <w:r w:rsidR="005C013C" w:rsidRPr="00942F86">
        <w:rPr>
          <w:sz w:val="25"/>
          <w:szCs w:val="25"/>
        </w:rPr>
        <w:t xml:space="preserve"> used in Docket UE-130043.</w:t>
      </w:r>
    </w:p>
    <w:p w14:paraId="6591FADA" w14:textId="77777777" w:rsidR="007674B1" w:rsidRPr="00942F86" w:rsidRDefault="007674B1" w:rsidP="000455AC">
      <w:pPr>
        <w:pStyle w:val="ListParagraph"/>
        <w:spacing w:line="264" w:lineRule="auto"/>
        <w:rPr>
          <w:sz w:val="25"/>
          <w:szCs w:val="25"/>
        </w:rPr>
      </w:pPr>
    </w:p>
    <w:p w14:paraId="7452C767" w14:textId="45A87F98" w:rsidR="005C013C" w:rsidRPr="00942F86" w:rsidRDefault="005C013C" w:rsidP="00FC421A">
      <w:pPr>
        <w:numPr>
          <w:ilvl w:val="0"/>
          <w:numId w:val="1"/>
        </w:numPr>
        <w:tabs>
          <w:tab w:val="clear" w:pos="720"/>
          <w:tab w:val="num" w:pos="0"/>
        </w:tabs>
        <w:spacing w:line="264" w:lineRule="auto"/>
        <w:ind w:left="0"/>
        <w:rPr>
          <w:sz w:val="25"/>
          <w:szCs w:val="25"/>
        </w:rPr>
      </w:pPr>
      <w:r w:rsidRPr="00942F86">
        <w:rPr>
          <w:sz w:val="25"/>
          <w:szCs w:val="25"/>
        </w:rPr>
        <w:t>In Docket UE-130043, Pacific Power argued that its weighted cost of capital should be based on a 10</w:t>
      </w:r>
      <w:r w:rsidR="00237464" w:rsidRPr="00942F86">
        <w:rPr>
          <w:sz w:val="25"/>
          <w:szCs w:val="25"/>
        </w:rPr>
        <w:t>.0</w:t>
      </w:r>
      <w:r w:rsidRPr="00942F86">
        <w:rPr>
          <w:sz w:val="25"/>
          <w:szCs w:val="25"/>
        </w:rPr>
        <w:t xml:space="preserve"> percent rate of return on equity</w:t>
      </w:r>
      <w:r w:rsidR="003674E2" w:rsidRPr="00942F86">
        <w:rPr>
          <w:sz w:val="25"/>
          <w:szCs w:val="25"/>
        </w:rPr>
        <w:t xml:space="preserve"> (ROE)</w:t>
      </w:r>
      <w:r w:rsidRPr="00942F86">
        <w:rPr>
          <w:sz w:val="25"/>
          <w:szCs w:val="25"/>
        </w:rPr>
        <w:t>, its actual long-term debt costs and its actual costs of preferred stock.</w:t>
      </w:r>
      <w:r w:rsidR="005E0475" w:rsidRPr="00942F86">
        <w:rPr>
          <w:rStyle w:val="FootnoteReference"/>
          <w:sz w:val="25"/>
          <w:szCs w:val="25"/>
        </w:rPr>
        <w:footnoteReference w:id="265"/>
      </w:r>
      <w:r w:rsidR="00237464" w:rsidRPr="00942F86">
        <w:rPr>
          <w:sz w:val="25"/>
          <w:szCs w:val="25"/>
        </w:rPr>
        <w:t xml:space="preserve">  The Company argued that its capital structure should not include short-term debt.  The Commission, based on a detailed analysis of the full record, determined that </w:t>
      </w:r>
      <w:r w:rsidR="00F2149B" w:rsidRPr="00942F86">
        <w:rPr>
          <w:bCs/>
          <w:sz w:val="25"/>
          <w:szCs w:val="25"/>
        </w:rPr>
        <w:t>“[t]he Company failed to carry its burden in this case to support its proposed 10.0 percent return on equity,” and</w:t>
      </w:r>
      <w:r w:rsidR="00237464" w:rsidRPr="00942F86">
        <w:rPr>
          <w:sz w:val="25"/>
          <w:szCs w:val="25"/>
        </w:rPr>
        <w:t xml:space="preserve"> authorize</w:t>
      </w:r>
      <w:r w:rsidR="00F2149B" w:rsidRPr="00942F86">
        <w:rPr>
          <w:sz w:val="25"/>
          <w:szCs w:val="25"/>
        </w:rPr>
        <w:t>d</w:t>
      </w:r>
      <w:r w:rsidR="00237464" w:rsidRPr="00942F86">
        <w:rPr>
          <w:sz w:val="25"/>
          <w:szCs w:val="25"/>
        </w:rPr>
        <w:t xml:space="preserve"> a 9.5 percent </w:t>
      </w:r>
      <w:r w:rsidR="003674E2" w:rsidRPr="00942F86">
        <w:rPr>
          <w:sz w:val="25"/>
          <w:szCs w:val="25"/>
        </w:rPr>
        <w:t>ROE</w:t>
      </w:r>
      <w:r w:rsidR="00237464" w:rsidRPr="00942F86">
        <w:rPr>
          <w:sz w:val="25"/>
          <w:szCs w:val="25"/>
        </w:rPr>
        <w:t>.</w:t>
      </w:r>
      <w:r w:rsidR="00237464" w:rsidRPr="00942F86">
        <w:rPr>
          <w:rStyle w:val="FootnoteReference"/>
          <w:sz w:val="25"/>
          <w:szCs w:val="25"/>
        </w:rPr>
        <w:footnoteReference w:id="266"/>
      </w:r>
      <w:r w:rsidR="00237464" w:rsidRPr="00942F86">
        <w:rPr>
          <w:sz w:val="25"/>
          <w:szCs w:val="25"/>
        </w:rPr>
        <w:t xml:space="preserve">  </w:t>
      </w:r>
      <w:r w:rsidR="00BF0F3B" w:rsidRPr="00942F86">
        <w:rPr>
          <w:sz w:val="25"/>
          <w:szCs w:val="25"/>
        </w:rPr>
        <w:t>The Commission authorized a 49.1 percent equity layer based on a hypothetical capital structure for the Washington-jurisdictional rate base.  Also, in that case, t</w:t>
      </w:r>
      <w:r w:rsidR="00237464" w:rsidRPr="00942F86">
        <w:rPr>
          <w:sz w:val="25"/>
          <w:szCs w:val="25"/>
        </w:rPr>
        <w:t xml:space="preserve">he Commission agreed with the Company’s </w:t>
      </w:r>
      <w:r w:rsidR="008A5A93" w:rsidRPr="00942F86">
        <w:rPr>
          <w:sz w:val="25"/>
          <w:szCs w:val="25"/>
        </w:rPr>
        <w:t xml:space="preserve">actual </w:t>
      </w:r>
      <w:r w:rsidR="00237464" w:rsidRPr="00942F86">
        <w:rPr>
          <w:sz w:val="25"/>
          <w:szCs w:val="25"/>
        </w:rPr>
        <w:t xml:space="preserve">costs for long-term debt and preferred stock, and </w:t>
      </w:r>
      <w:r w:rsidR="008A5A93" w:rsidRPr="00942F86">
        <w:rPr>
          <w:sz w:val="25"/>
          <w:szCs w:val="25"/>
        </w:rPr>
        <w:t xml:space="preserve">did </w:t>
      </w:r>
      <w:r w:rsidR="00237464" w:rsidRPr="00942F86">
        <w:rPr>
          <w:sz w:val="25"/>
          <w:szCs w:val="25"/>
        </w:rPr>
        <w:t>not impute short-term debt into the capital structure.</w:t>
      </w:r>
    </w:p>
    <w:p w14:paraId="542F9B1C" w14:textId="77777777" w:rsidR="003E41D8" w:rsidRPr="00942F86" w:rsidRDefault="003E41D8" w:rsidP="000455AC">
      <w:pPr>
        <w:spacing w:line="264" w:lineRule="auto"/>
        <w:rPr>
          <w:sz w:val="25"/>
          <w:szCs w:val="25"/>
        </w:rPr>
      </w:pPr>
    </w:p>
    <w:p w14:paraId="3AB29DC4" w14:textId="306048CC" w:rsidR="003E41D8" w:rsidRPr="00942F86" w:rsidRDefault="00237464" w:rsidP="00FC421A">
      <w:pPr>
        <w:numPr>
          <w:ilvl w:val="0"/>
          <w:numId w:val="1"/>
        </w:numPr>
        <w:tabs>
          <w:tab w:val="clear" w:pos="720"/>
          <w:tab w:val="num" w:pos="0"/>
        </w:tabs>
        <w:spacing w:line="264" w:lineRule="auto"/>
        <w:ind w:left="0"/>
        <w:rPr>
          <w:sz w:val="25"/>
          <w:szCs w:val="25"/>
        </w:rPr>
      </w:pPr>
      <w:r w:rsidRPr="00942F86">
        <w:rPr>
          <w:sz w:val="25"/>
          <w:szCs w:val="25"/>
        </w:rPr>
        <w:t xml:space="preserve">In this case, Pacific Power argues again that its weighted cost of capital should be based on a 10.0 percent </w:t>
      </w:r>
      <w:r w:rsidR="003674E2" w:rsidRPr="00942F86">
        <w:rPr>
          <w:sz w:val="25"/>
          <w:szCs w:val="25"/>
        </w:rPr>
        <w:t>ROE</w:t>
      </w:r>
      <w:r w:rsidRPr="00942F86">
        <w:rPr>
          <w:sz w:val="25"/>
          <w:szCs w:val="25"/>
        </w:rPr>
        <w:t xml:space="preserve">, its actual long-term debt costs and its actual costs of preferred stock.  The Company “continues to believe that it is inappropriate and inequitable to include short-term debt in the capital structure for Pacific Power,” </w:t>
      </w:r>
      <w:r w:rsidR="005E0475" w:rsidRPr="00942F86">
        <w:rPr>
          <w:sz w:val="25"/>
          <w:szCs w:val="25"/>
        </w:rPr>
        <w:t>but “</w:t>
      </w:r>
      <w:r w:rsidR="005E0475" w:rsidRPr="00942F86">
        <w:rPr>
          <w:bCs/>
          <w:sz w:val="25"/>
          <w:szCs w:val="25"/>
        </w:rPr>
        <w:t>included projected quarter-end short-term debt balances for the period ending December 31, 2014.”</w:t>
      </w:r>
      <w:r w:rsidR="005E0475" w:rsidRPr="00942F86">
        <w:rPr>
          <w:rStyle w:val="FootnoteReference"/>
          <w:bCs/>
          <w:sz w:val="25"/>
          <w:szCs w:val="25"/>
        </w:rPr>
        <w:footnoteReference w:id="267"/>
      </w:r>
      <w:r w:rsidR="005E0475" w:rsidRPr="00942F86">
        <w:rPr>
          <w:bCs/>
          <w:sz w:val="25"/>
          <w:szCs w:val="25"/>
        </w:rPr>
        <w:t xml:space="preserve">  The imputation of short-term debt, like the use of actual preferred stock data,</w:t>
      </w:r>
      <w:r w:rsidR="00E45ACD" w:rsidRPr="00942F86">
        <w:rPr>
          <w:bCs/>
          <w:sz w:val="25"/>
          <w:szCs w:val="25"/>
        </w:rPr>
        <w:t xml:space="preserve"> however,</w:t>
      </w:r>
      <w:r w:rsidR="005E0475" w:rsidRPr="00942F86">
        <w:rPr>
          <w:bCs/>
          <w:sz w:val="25"/>
          <w:szCs w:val="25"/>
        </w:rPr>
        <w:t xml:space="preserve"> has no practical impact on the weighted cost of capital (</w:t>
      </w:r>
      <w:r w:rsidR="005E0475" w:rsidRPr="00942F86">
        <w:rPr>
          <w:bCs/>
          <w:i/>
          <w:sz w:val="25"/>
          <w:szCs w:val="25"/>
        </w:rPr>
        <w:t>i.e.,</w:t>
      </w:r>
      <w:r w:rsidR="005E0475" w:rsidRPr="00942F86">
        <w:rPr>
          <w:bCs/>
          <w:sz w:val="25"/>
          <w:szCs w:val="25"/>
        </w:rPr>
        <w:t xml:space="preserve"> overall rate of return) determined for setting rates</w:t>
      </w:r>
      <w:r w:rsidR="00E45ACD" w:rsidRPr="00942F86">
        <w:rPr>
          <w:bCs/>
          <w:sz w:val="25"/>
          <w:szCs w:val="25"/>
        </w:rPr>
        <w:t>, which we round to two decimal places</w:t>
      </w:r>
      <w:r w:rsidR="005E0475" w:rsidRPr="00942F86">
        <w:rPr>
          <w:bCs/>
          <w:sz w:val="25"/>
          <w:szCs w:val="25"/>
        </w:rPr>
        <w:t>.</w:t>
      </w:r>
      <w:r w:rsidR="00E45ACD" w:rsidRPr="00942F86">
        <w:rPr>
          <w:rStyle w:val="FootnoteReference"/>
          <w:bCs/>
          <w:sz w:val="25"/>
          <w:szCs w:val="25"/>
        </w:rPr>
        <w:footnoteReference w:id="268"/>
      </w:r>
    </w:p>
    <w:p w14:paraId="1EAD7DC1" w14:textId="77777777" w:rsidR="005E0475" w:rsidRPr="00942F86" w:rsidRDefault="005E0475" w:rsidP="000455AC">
      <w:pPr>
        <w:pStyle w:val="ListParagraph"/>
        <w:spacing w:line="264" w:lineRule="auto"/>
        <w:rPr>
          <w:sz w:val="25"/>
          <w:szCs w:val="25"/>
        </w:rPr>
      </w:pPr>
    </w:p>
    <w:p w14:paraId="15B775FF" w14:textId="603CE3F9" w:rsidR="00E96068" w:rsidRPr="00942F86" w:rsidRDefault="00E45ACD" w:rsidP="00FC421A">
      <w:pPr>
        <w:numPr>
          <w:ilvl w:val="0"/>
          <w:numId w:val="1"/>
        </w:numPr>
        <w:tabs>
          <w:tab w:val="clear" w:pos="720"/>
          <w:tab w:val="num" w:pos="0"/>
        </w:tabs>
        <w:spacing w:line="264" w:lineRule="auto"/>
        <w:ind w:left="0"/>
        <w:rPr>
          <w:sz w:val="25"/>
          <w:szCs w:val="25"/>
        </w:rPr>
      </w:pPr>
      <w:r w:rsidRPr="00942F86">
        <w:rPr>
          <w:sz w:val="25"/>
          <w:szCs w:val="25"/>
        </w:rPr>
        <w:t>The level of equity in Pacific Power’s capital structure</w:t>
      </w:r>
      <w:r w:rsidR="003674E2" w:rsidRPr="00942F86">
        <w:rPr>
          <w:sz w:val="25"/>
          <w:szCs w:val="25"/>
        </w:rPr>
        <w:t xml:space="preserve"> (i.e., the “equity ratio”)</w:t>
      </w:r>
      <w:r w:rsidRPr="00942F86">
        <w:rPr>
          <w:sz w:val="25"/>
          <w:szCs w:val="25"/>
        </w:rPr>
        <w:t xml:space="preserve"> and the </w:t>
      </w:r>
      <w:r w:rsidR="003674E2" w:rsidRPr="00942F86">
        <w:rPr>
          <w:sz w:val="25"/>
          <w:szCs w:val="25"/>
        </w:rPr>
        <w:t>ROE</w:t>
      </w:r>
      <w:r w:rsidRPr="00942F86">
        <w:rPr>
          <w:sz w:val="25"/>
          <w:szCs w:val="25"/>
        </w:rPr>
        <w:t xml:space="preserve"> are the only contested issues</w:t>
      </w:r>
      <w:r w:rsidR="003B7428" w:rsidRPr="00942F86">
        <w:rPr>
          <w:sz w:val="25"/>
          <w:szCs w:val="25"/>
        </w:rPr>
        <w:t xml:space="preserve"> on the subject of cost of capital</w:t>
      </w:r>
      <w:r w:rsidRPr="00942F86">
        <w:rPr>
          <w:sz w:val="25"/>
          <w:szCs w:val="25"/>
        </w:rPr>
        <w:t xml:space="preserve"> in this docket.  The Commission resolved these issues on a full record in Docket UE-130043</w:t>
      </w:r>
      <w:r w:rsidR="00A70C16" w:rsidRPr="00942F86">
        <w:rPr>
          <w:sz w:val="25"/>
          <w:szCs w:val="25"/>
        </w:rPr>
        <w:t xml:space="preserve"> in December 2013,</w:t>
      </w:r>
      <w:r w:rsidRPr="00942F86">
        <w:rPr>
          <w:sz w:val="25"/>
          <w:szCs w:val="25"/>
        </w:rPr>
        <w:t xml:space="preserve"> just months before </w:t>
      </w:r>
      <w:r w:rsidR="00A70C16" w:rsidRPr="00942F86">
        <w:rPr>
          <w:sz w:val="25"/>
          <w:szCs w:val="25"/>
        </w:rPr>
        <w:t xml:space="preserve">the Company filed this general rate case in May 2014.  </w:t>
      </w:r>
      <w:r w:rsidR="007A7981" w:rsidRPr="00942F86">
        <w:rPr>
          <w:sz w:val="25"/>
          <w:szCs w:val="25"/>
        </w:rPr>
        <w:t xml:space="preserve">Although the parties </w:t>
      </w:r>
      <w:r w:rsidR="003674E2" w:rsidRPr="00942F86">
        <w:rPr>
          <w:sz w:val="25"/>
          <w:szCs w:val="25"/>
        </w:rPr>
        <w:t xml:space="preserve">presented </w:t>
      </w:r>
      <w:r w:rsidR="007A7981" w:rsidRPr="00942F86">
        <w:rPr>
          <w:sz w:val="25"/>
          <w:szCs w:val="25"/>
        </w:rPr>
        <w:t xml:space="preserve">evidence on these issues, </w:t>
      </w:r>
      <w:r w:rsidR="003674E2" w:rsidRPr="00942F86">
        <w:rPr>
          <w:sz w:val="25"/>
          <w:szCs w:val="25"/>
        </w:rPr>
        <w:t xml:space="preserve">we determine that </w:t>
      </w:r>
      <w:r w:rsidR="007A7981" w:rsidRPr="00942F86">
        <w:rPr>
          <w:sz w:val="25"/>
          <w:szCs w:val="25"/>
        </w:rPr>
        <w:t xml:space="preserve">this </w:t>
      </w:r>
      <w:r w:rsidR="007A7981" w:rsidRPr="00942F86">
        <w:rPr>
          <w:sz w:val="25"/>
          <w:szCs w:val="25"/>
        </w:rPr>
        <w:lastRenderedPageBreak/>
        <w:t xml:space="preserve">evidence does not demonstrate </w:t>
      </w:r>
      <w:r w:rsidR="003674E2" w:rsidRPr="00942F86">
        <w:rPr>
          <w:sz w:val="25"/>
          <w:szCs w:val="25"/>
        </w:rPr>
        <w:t>any significant change in capital markets, or in the Company’s ability to access such markets</w:t>
      </w:r>
      <w:r w:rsidR="007A7981" w:rsidRPr="00942F86">
        <w:rPr>
          <w:sz w:val="25"/>
          <w:szCs w:val="25"/>
        </w:rPr>
        <w:t xml:space="preserve">, that would justify rehearing them in this case.  </w:t>
      </w:r>
      <w:r w:rsidR="00A70C16" w:rsidRPr="00942F86">
        <w:rPr>
          <w:sz w:val="25"/>
          <w:szCs w:val="25"/>
        </w:rPr>
        <w:t>We</w:t>
      </w:r>
      <w:r w:rsidR="00B76FC3" w:rsidRPr="00942F86">
        <w:rPr>
          <w:sz w:val="25"/>
          <w:szCs w:val="25"/>
        </w:rPr>
        <w:t xml:space="preserve"> therefore</w:t>
      </w:r>
      <w:r w:rsidR="00A70C16" w:rsidRPr="00942F86">
        <w:rPr>
          <w:sz w:val="25"/>
          <w:szCs w:val="25"/>
        </w:rPr>
        <w:t xml:space="preserve"> exercise our discretion under </w:t>
      </w:r>
      <w:proofErr w:type="spellStart"/>
      <w:r w:rsidR="00A70C16" w:rsidRPr="00942F86">
        <w:rPr>
          <w:sz w:val="25"/>
          <w:szCs w:val="25"/>
        </w:rPr>
        <w:t>RCW</w:t>
      </w:r>
      <w:proofErr w:type="spellEnd"/>
      <w:r w:rsidR="00A70C16" w:rsidRPr="00942F86">
        <w:rPr>
          <w:sz w:val="25"/>
          <w:szCs w:val="25"/>
        </w:rPr>
        <w:t xml:space="preserve"> 80.04.200</w:t>
      </w:r>
      <w:r w:rsidR="008A5A93" w:rsidRPr="00942F86">
        <w:rPr>
          <w:sz w:val="25"/>
          <w:szCs w:val="25"/>
        </w:rPr>
        <w:t xml:space="preserve"> not</w:t>
      </w:r>
      <w:r w:rsidR="00A70C16" w:rsidRPr="00942F86">
        <w:rPr>
          <w:sz w:val="25"/>
          <w:szCs w:val="25"/>
        </w:rPr>
        <w:t xml:space="preserve"> to rehear these so recently resolved issues in this proceeding.</w:t>
      </w:r>
      <w:r w:rsidR="00257042" w:rsidRPr="00942F86">
        <w:rPr>
          <w:rStyle w:val="FootnoteReference"/>
          <w:sz w:val="25"/>
          <w:szCs w:val="25"/>
        </w:rPr>
        <w:footnoteReference w:id="269"/>
      </w:r>
      <w:r w:rsidR="003B7428" w:rsidRPr="00942F86">
        <w:rPr>
          <w:sz w:val="25"/>
          <w:szCs w:val="25"/>
        </w:rPr>
        <w:t xml:space="preserve">  </w:t>
      </w:r>
    </w:p>
    <w:p w14:paraId="56F9CF36" w14:textId="77777777" w:rsidR="00E96068" w:rsidRPr="00942F86" w:rsidRDefault="00E96068" w:rsidP="000455AC">
      <w:pPr>
        <w:pStyle w:val="ListParagraph"/>
        <w:spacing w:line="264" w:lineRule="auto"/>
        <w:rPr>
          <w:sz w:val="25"/>
          <w:szCs w:val="25"/>
        </w:rPr>
      </w:pPr>
    </w:p>
    <w:p w14:paraId="38A58815" w14:textId="43E2572C" w:rsidR="003C0475" w:rsidRPr="00942F86" w:rsidRDefault="003B7428" w:rsidP="00FC421A">
      <w:pPr>
        <w:numPr>
          <w:ilvl w:val="0"/>
          <w:numId w:val="1"/>
        </w:numPr>
        <w:tabs>
          <w:tab w:val="clear" w:pos="720"/>
          <w:tab w:val="num" w:pos="0"/>
        </w:tabs>
        <w:spacing w:line="264" w:lineRule="auto"/>
        <w:ind w:left="0"/>
        <w:rPr>
          <w:sz w:val="25"/>
          <w:szCs w:val="25"/>
        </w:rPr>
      </w:pPr>
      <w:r w:rsidRPr="00942F86">
        <w:rPr>
          <w:sz w:val="25"/>
          <w:szCs w:val="25"/>
        </w:rPr>
        <w:t>We refrain from rehearing these issues, in addition, because we should not risk disrupting the Court of Appeal’s orderly consideration of Pacific Power’s appeal of Order 05 in Docket UE-130043</w:t>
      </w:r>
      <w:r w:rsidR="00B76FC3" w:rsidRPr="00942F86">
        <w:rPr>
          <w:sz w:val="25"/>
          <w:szCs w:val="25"/>
        </w:rPr>
        <w:t xml:space="preserve"> on the issue of capital structure.  </w:t>
      </w:r>
      <w:r w:rsidR="00B83458" w:rsidRPr="00942F86">
        <w:rPr>
          <w:sz w:val="25"/>
          <w:szCs w:val="25"/>
        </w:rPr>
        <w:t xml:space="preserve">The equity ratio in the Company’s capital structure and its allowed </w:t>
      </w:r>
      <w:r w:rsidR="003674E2" w:rsidRPr="00942F86">
        <w:rPr>
          <w:sz w:val="25"/>
          <w:szCs w:val="25"/>
        </w:rPr>
        <w:t>ROE</w:t>
      </w:r>
      <w:r w:rsidR="00B83458" w:rsidRPr="00942F86">
        <w:rPr>
          <w:sz w:val="25"/>
          <w:szCs w:val="25"/>
        </w:rPr>
        <w:t xml:space="preserve"> are inextricably intertwined issues as components that go into determining the Company’s overall rate of return</w:t>
      </w:r>
      <w:r w:rsidR="006C32D1" w:rsidRPr="00942F86">
        <w:rPr>
          <w:sz w:val="25"/>
          <w:szCs w:val="25"/>
        </w:rPr>
        <w:t xml:space="preserve"> </w:t>
      </w:r>
      <w:r w:rsidR="00B83458" w:rsidRPr="00942F86">
        <w:rPr>
          <w:sz w:val="25"/>
          <w:szCs w:val="25"/>
        </w:rPr>
        <w:t>that is used in determining revenue requirements.</w:t>
      </w:r>
      <w:r w:rsidR="00B83458" w:rsidRPr="00942F86">
        <w:rPr>
          <w:sz w:val="25"/>
          <w:szCs w:val="25"/>
          <w:vertAlign w:val="superscript"/>
        </w:rPr>
        <w:footnoteReference w:id="270"/>
      </w:r>
      <w:r w:rsidR="00B83458" w:rsidRPr="00942F86">
        <w:rPr>
          <w:sz w:val="25"/>
          <w:szCs w:val="25"/>
        </w:rPr>
        <w:t xml:space="preserve">  Given that it is the overall return that defines the “end result” that is the rate regulatory goal, we should await any direction the Court of Appeals may give on capital structure before revisiting the related issue of cost of equity.</w:t>
      </w:r>
      <w:r w:rsidR="00B83458" w:rsidRPr="00942F86">
        <w:rPr>
          <w:sz w:val="25"/>
          <w:szCs w:val="25"/>
          <w:vertAlign w:val="superscript"/>
        </w:rPr>
        <w:footnoteReference w:id="271"/>
      </w:r>
      <w:r w:rsidR="00B83458" w:rsidRPr="00942F86">
        <w:rPr>
          <w:sz w:val="25"/>
          <w:szCs w:val="25"/>
        </w:rPr>
        <w:t xml:space="preserve">  </w:t>
      </w:r>
      <w:r w:rsidR="00257042" w:rsidRPr="00942F86">
        <w:rPr>
          <w:sz w:val="25"/>
          <w:szCs w:val="25"/>
        </w:rPr>
        <w:t>The Company’s return on equity will remain at 9.5 percent for purposes of this case.</w:t>
      </w:r>
      <w:r w:rsidR="00B83458" w:rsidRPr="00942F86">
        <w:rPr>
          <w:sz w:val="25"/>
          <w:szCs w:val="25"/>
        </w:rPr>
        <w:t xml:space="preserve"> </w:t>
      </w:r>
      <w:r w:rsidR="00B76FC3" w:rsidRPr="00942F86">
        <w:rPr>
          <w:sz w:val="25"/>
          <w:szCs w:val="25"/>
        </w:rPr>
        <w:t xml:space="preserve"> </w:t>
      </w:r>
      <w:r w:rsidR="00A70C16" w:rsidRPr="00942F86">
        <w:rPr>
          <w:sz w:val="25"/>
          <w:szCs w:val="25"/>
        </w:rPr>
        <w:t xml:space="preserve">  </w:t>
      </w:r>
    </w:p>
    <w:p w14:paraId="7789F3DE" w14:textId="77777777" w:rsidR="003C0475" w:rsidRPr="00942F86" w:rsidRDefault="003C0475" w:rsidP="000455AC">
      <w:pPr>
        <w:pStyle w:val="ListParagraph"/>
        <w:spacing w:line="264" w:lineRule="auto"/>
        <w:rPr>
          <w:sz w:val="25"/>
          <w:szCs w:val="25"/>
        </w:rPr>
      </w:pPr>
    </w:p>
    <w:p w14:paraId="488CC26C" w14:textId="49704A7D" w:rsidR="0088324B" w:rsidRDefault="003C0475" w:rsidP="00EA3F7E">
      <w:pPr>
        <w:numPr>
          <w:ilvl w:val="0"/>
          <w:numId w:val="1"/>
        </w:numPr>
        <w:tabs>
          <w:tab w:val="clear" w:pos="720"/>
          <w:tab w:val="num" w:pos="0"/>
        </w:tabs>
        <w:spacing w:line="264" w:lineRule="auto"/>
        <w:ind w:left="0"/>
        <w:rPr>
          <w:sz w:val="25"/>
          <w:szCs w:val="25"/>
        </w:rPr>
      </w:pPr>
      <w:r w:rsidRPr="001A2EDD">
        <w:rPr>
          <w:sz w:val="25"/>
          <w:szCs w:val="25"/>
        </w:rPr>
        <w:t xml:space="preserve">With respect to the remaining components of the Company’s capital structure and costs, the issues are uncontested.  We </w:t>
      </w:r>
      <w:r w:rsidR="00A46D03" w:rsidRPr="001A2EDD">
        <w:rPr>
          <w:sz w:val="25"/>
          <w:szCs w:val="25"/>
        </w:rPr>
        <w:t>adjust the Company’s long-term debt ratio to reflect our decision</w:t>
      </w:r>
      <w:r w:rsidR="008A5A93" w:rsidRPr="001A2EDD">
        <w:rPr>
          <w:sz w:val="25"/>
          <w:szCs w:val="25"/>
        </w:rPr>
        <w:t xml:space="preserve"> not</w:t>
      </w:r>
      <w:r w:rsidR="00A46D03" w:rsidRPr="001A2EDD">
        <w:rPr>
          <w:sz w:val="25"/>
          <w:szCs w:val="25"/>
        </w:rPr>
        <w:t xml:space="preserve"> to revisit the equity ratio and in light of our </w:t>
      </w:r>
      <w:r w:rsidRPr="001A2EDD">
        <w:rPr>
          <w:sz w:val="25"/>
          <w:szCs w:val="25"/>
        </w:rPr>
        <w:t>accept</w:t>
      </w:r>
      <w:r w:rsidR="00A46D03" w:rsidRPr="001A2EDD">
        <w:rPr>
          <w:sz w:val="25"/>
          <w:szCs w:val="25"/>
        </w:rPr>
        <w:t>ance of</w:t>
      </w:r>
      <w:r w:rsidRPr="001A2EDD">
        <w:rPr>
          <w:sz w:val="25"/>
          <w:szCs w:val="25"/>
        </w:rPr>
        <w:t xml:space="preserve"> the Company’s as-filed ratios and costs for short-term debt and preferred stock.  </w:t>
      </w:r>
      <w:r w:rsidR="00A70C16" w:rsidRPr="001A2EDD">
        <w:rPr>
          <w:sz w:val="25"/>
          <w:szCs w:val="25"/>
        </w:rPr>
        <w:t xml:space="preserve">Thus, </w:t>
      </w:r>
      <w:r w:rsidRPr="001A2EDD">
        <w:rPr>
          <w:sz w:val="25"/>
          <w:szCs w:val="25"/>
        </w:rPr>
        <w:t>the Company’s</w:t>
      </w:r>
      <w:r w:rsidR="00A70C16" w:rsidRPr="001A2EDD">
        <w:rPr>
          <w:sz w:val="25"/>
          <w:szCs w:val="25"/>
        </w:rPr>
        <w:t xml:space="preserve"> capital structure and cost of capital </w:t>
      </w:r>
      <w:r w:rsidRPr="001A2EDD">
        <w:rPr>
          <w:sz w:val="25"/>
          <w:szCs w:val="25"/>
        </w:rPr>
        <w:t>for purposes of setting rates in this proceeding are</w:t>
      </w:r>
      <w:r w:rsidR="00A70C16" w:rsidRPr="001A2EDD">
        <w:rPr>
          <w:sz w:val="25"/>
          <w:szCs w:val="25"/>
        </w:rPr>
        <w:t xml:space="preserve"> as illustrated in Table </w:t>
      </w:r>
      <w:r w:rsidR="004476E1" w:rsidRPr="001A2EDD">
        <w:rPr>
          <w:sz w:val="25"/>
          <w:szCs w:val="25"/>
        </w:rPr>
        <w:t>2</w:t>
      </w:r>
      <w:r w:rsidR="00A70C16" w:rsidRPr="001A2EDD">
        <w:rPr>
          <w:sz w:val="25"/>
          <w:szCs w:val="25"/>
        </w:rPr>
        <w:t>.</w:t>
      </w:r>
    </w:p>
    <w:p w14:paraId="73E66783" w14:textId="77777777" w:rsidR="0088324B" w:rsidRDefault="0088324B">
      <w:pPr>
        <w:rPr>
          <w:sz w:val="25"/>
          <w:szCs w:val="25"/>
        </w:rPr>
      </w:pPr>
      <w:r>
        <w:rPr>
          <w:sz w:val="25"/>
          <w:szCs w:val="25"/>
        </w:rPr>
        <w:br w:type="page"/>
      </w:r>
    </w:p>
    <w:p w14:paraId="31C40E95" w14:textId="77777777" w:rsidR="00FC421A" w:rsidRPr="001A2EDD" w:rsidRDefault="00FC421A" w:rsidP="0088324B">
      <w:pPr>
        <w:spacing w:line="264" w:lineRule="auto"/>
        <w:ind w:left="-720"/>
        <w:rPr>
          <w:sz w:val="25"/>
          <w:szCs w:val="25"/>
        </w:rPr>
      </w:pPr>
    </w:p>
    <w:tbl>
      <w:tblPr>
        <w:tblpPr w:leftFromText="180" w:rightFromText="180" w:vertAnchor="text" w:horzAnchor="margin" w:tblpXSpec="center" w:tblpY="294"/>
        <w:tblW w:w="7598" w:type="dxa"/>
        <w:tblLayout w:type="fixed"/>
        <w:tblCellMar>
          <w:left w:w="0" w:type="dxa"/>
          <w:right w:w="0" w:type="dxa"/>
        </w:tblCellMar>
        <w:tblLook w:val="0000" w:firstRow="0" w:lastRow="0" w:firstColumn="0" w:lastColumn="0" w:noHBand="0" w:noVBand="0"/>
      </w:tblPr>
      <w:tblGrid>
        <w:gridCol w:w="3093"/>
        <w:gridCol w:w="1363"/>
        <w:gridCol w:w="1126"/>
        <w:gridCol w:w="2016"/>
      </w:tblGrid>
      <w:tr w:rsidR="00BF7B6F" w:rsidRPr="00942F86" w14:paraId="331BA4FE" w14:textId="77777777" w:rsidTr="00E05A86">
        <w:trPr>
          <w:trHeight w:val="197"/>
        </w:trPr>
        <w:tc>
          <w:tcPr>
            <w:tcW w:w="7598" w:type="dxa"/>
            <w:gridSpan w:val="4"/>
            <w:tcBorders>
              <w:top w:val="thinThickSmallGap" w:sz="24" w:space="0" w:color="auto"/>
              <w:left w:val="thinThickSmallGap" w:sz="24" w:space="0" w:color="auto"/>
              <w:bottom w:val="single" w:sz="4" w:space="0" w:color="auto"/>
              <w:right w:val="thickThinSmallGap" w:sz="24" w:space="0" w:color="auto"/>
            </w:tcBorders>
            <w:noWrap/>
            <w:tcMar>
              <w:top w:w="17" w:type="dxa"/>
              <w:left w:w="17" w:type="dxa"/>
              <w:bottom w:w="0" w:type="dxa"/>
              <w:right w:w="17" w:type="dxa"/>
            </w:tcMar>
          </w:tcPr>
          <w:p w14:paraId="3BADC7BD" w14:textId="77777777" w:rsidR="00BF7B6F" w:rsidRPr="00942F86" w:rsidRDefault="00BF7B6F" w:rsidP="00BF7B6F">
            <w:pPr>
              <w:keepNext/>
              <w:keepLines/>
              <w:spacing w:line="264" w:lineRule="auto"/>
              <w:jc w:val="center"/>
              <w:rPr>
                <w:b/>
                <w:bCs/>
                <w:sz w:val="25"/>
                <w:szCs w:val="25"/>
              </w:rPr>
            </w:pPr>
            <w:r w:rsidRPr="00942F86">
              <w:rPr>
                <w:b/>
                <w:bCs/>
                <w:sz w:val="25"/>
                <w:szCs w:val="25"/>
              </w:rPr>
              <w:t>TABLE 2</w:t>
            </w:r>
          </w:p>
          <w:p w14:paraId="14D4836A" w14:textId="77777777" w:rsidR="00BF7B6F" w:rsidRPr="00942F86" w:rsidRDefault="00BF7B6F" w:rsidP="00BF7B6F">
            <w:pPr>
              <w:keepNext/>
              <w:keepLines/>
              <w:spacing w:line="264" w:lineRule="auto"/>
              <w:jc w:val="center"/>
              <w:rPr>
                <w:b/>
                <w:bCs/>
                <w:sz w:val="25"/>
                <w:szCs w:val="25"/>
              </w:rPr>
            </w:pPr>
            <w:r w:rsidRPr="00942F86">
              <w:rPr>
                <w:b/>
                <w:bCs/>
                <w:sz w:val="25"/>
                <w:szCs w:val="25"/>
              </w:rPr>
              <w:t>Capital Structure and Cost of Capital</w:t>
            </w:r>
          </w:p>
          <w:p w14:paraId="37C2469C" w14:textId="77777777" w:rsidR="00BF7B6F" w:rsidRPr="00942F86" w:rsidRDefault="00BF7B6F" w:rsidP="00BF7B6F">
            <w:pPr>
              <w:keepNext/>
              <w:keepLines/>
              <w:spacing w:line="264" w:lineRule="auto"/>
              <w:jc w:val="center"/>
              <w:rPr>
                <w:b/>
                <w:bCs/>
                <w:sz w:val="25"/>
                <w:szCs w:val="25"/>
              </w:rPr>
            </w:pPr>
          </w:p>
        </w:tc>
      </w:tr>
      <w:tr w:rsidR="00BF7B6F" w:rsidRPr="00942F86" w14:paraId="7EFDC18C" w14:textId="77777777" w:rsidTr="00E05A86">
        <w:trPr>
          <w:trHeight w:val="197"/>
        </w:trPr>
        <w:tc>
          <w:tcPr>
            <w:tcW w:w="3093" w:type="dxa"/>
            <w:tcBorders>
              <w:top w:val="thinThickSmallGap" w:sz="24" w:space="0" w:color="auto"/>
              <w:left w:val="thinThickSmallGap" w:sz="24" w:space="0" w:color="auto"/>
              <w:bottom w:val="single" w:sz="4" w:space="0" w:color="auto"/>
              <w:right w:val="single" w:sz="4" w:space="0" w:color="auto"/>
            </w:tcBorders>
            <w:noWrap/>
            <w:tcMar>
              <w:top w:w="17" w:type="dxa"/>
              <w:left w:w="17" w:type="dxa"/>
              <w:bottom w:w="0" w:type="dxa"/>
              <w:right w:w="17" w:type="dxa"/>
            </w:tcMar>
          </w:tcPr>
          <w:p w14:paraId="46956157" w14:textId="77777777" w:rsidR="00BF7B6F" w:rsidRPr="00942F86" w:rsidRDefault="00BF7B6F" w:rsidP="00BF7B6F">
            <w:pPr>
              <w:keepNext/>
              <w:keepLines/>
              <w:spacing w:line="264" w:lineRule="auto"/>
              <w:rPr>
                <w:sz w:val="25"/>
                <w:szCs w:val="25"/>
              </w:rPr>
            </w:pPr>
          </w:p>
        </w:tc>
        <w:tc>
          <w:tcPr>
            <w:tcW w:w="1363" w:type="dxa"/>
            <w:tcBorders>
              <w:top w:val="thinThickSmallGap" w:sz="24" w:space="0" w:color="auto"/>
              <w:left w:val="single" w:sz="4" w:space="0" w:color="auto"/>
              <w:bottom w:val="single" w:sz="4" w:space="0" w:color="auto"/>
              <w:right w:val="nil"/>
            </w:tcBorders>
            <w:noWrap/>
            <w:tcMar>
              <w:top w:w="17" w:type="dxa"/>
              <w:left w:w="17" w:type="dxa"/>
              <w:bottom w:w="0" w:type="dxa"/>
              <w:right w:w="17" w:type="dxa"/>
            </w:tcMar>
            <w:vAlign w:val="bottom"/>
          </w:tcPr>
          <w:p w14:paraId="6BC421DE" w14:textId="77777777" w:rsidR="00BF7B6F" w:rsidRPr="00942F86" w:rsidRDefault="00BF7B6F" w:rsidP="00BF7B6F">
            <w:pPr>
              <w:keepNext/>
              <w:keepLines/>
              <w:spacing w:line="264" w:lineRule="auto"/>
              <w:jc w:val="center"/>
              <w:rPr>
                <w:b/>
                <w:bCs/>
                <w:sz w:val="25"/>
                <w:szCs w:val="25"/>
              </w:rPr>
            </w:pPr>
            <w:r w:rsidRPr="00942F86">
              <w:rPr>
                <w:b/>
                <w:bCs/>
                <w:sz w:val="25"/>
                <w:szCs w:val="25"/>
              </w:rPr>
              <w:t xml:space="preserve">Share </w:t>
            </w:r>
          </w:p>
        </w:tc>
        <w:tc>
          <w:tcPr>
            <w:tcW w:w="1126" w:type="dxa"/>
            <w:tcBorders>
              <w:top w:val="thinThickSmallGap" w:sz="24" w:space="0" w:color="auto"/>
              <w:left w:val="double" w:sz="4" w:space="0" w:color="auto"/>
              <w:bottom w:val="single" w:sz="4" w:space="0" w:color="auto"/>
              <w:right w:val="nil"/>
            </w:tcBorders>
            <w:noWrap/>
            <w:tcMar>
              <w:top w:w="17" w:type="dxa"/>
              <w:left w:w="17" w:type="dxa"/>
              <w:bottom w:w="0" w:type="dxa"/>
              <w:right w:w="17" w:type="dxa"/>
            </w:tcMar>
            <w:vAlign w:val="bottom"/>
          </w:tcPr>
          <w:p w14:paraId="5E5424A1" w14:textId="77777777" w:rsidR="00BF7B6F" w:rsidRPr="00942F86" w:rsidRDefault="00BF7B6F" w:rsidP="00BF7B6F">
            <w:pPr>
              <w:keepNext/>
              <w:keepLines/>
              <w:spacing w:line="264" w:lineRule="auto"/>
              <w:jc w:val="center"/>
              <w:rPr>
                <w:b/>
                <w:bCs/>
                <w:sz w:val="25"/>
                <w:szCs w:val="25"/>
              </w:rPr>
            </w:pPr>
            <w:r w:rsidRPr="00942F86">
              <w:rPr>
                <w:b/>
                <w:bCs/>
                <w:sz w:val="25"/>
                <w:szCs w:val="25"/>
              </w:rPr>
              <w:t xml:space="preserve">Cost </w:t>
            </w:r>
          </w:p>
        </w:tc>
        <w:tc>
          <w:tcPr>
            <w:tcW w:w="2016" w:type="dxa"/>
            <w:tcBorders>
              <w:top w:val="thinThickSmallGap" w:sz="24" w:space="0" w:color="auto"/>
              <w:left w:val="double" w:sz="4" w:space="0" w:color="auto"/>
              <w:bottom w:val="single" w:sz="4" w:space="0" w:color="auto"/>
              <w:right w:val="thickThinSmallGap" w:sz="24" w:space="0" w:color="auto"/>
            </w:tcBorders>
            <w:noWrap/>
            <w:tcMar>
              <w:top w:w="17" w:type="dxa"/>
              <w:left w:w="17" w:type="dxa"/>
              <w:bottom w:w="0" w:type="dxa"/>
              <w:right w:w="17" w:type="dxa"/>
            </w:tcMar>
            <w:vAlign w:val="bottom"/>
          </w:tcPr>
          <w:p w14:paraId="5D0E0C61" w14:textId="77777777" w:rsidR="00BF7B6F" w:rsidRPr="00942F86" w:rsidRDefault="00BF7B6F" w:rsidP="00BF7B6F">
            <w:pPr>
              <w:keepNext/>
              <w:keepLines/>
              <w:spacing w:line="264" w:lineRule="auto"/>
              <w:jc w:val="center"/>
              <w:rPr>
                <w:b/>
                <w:bCs/>
                <w:sz w:val="25"/>
                <w:szCs w:val="25"/>
              </w:rPr>
            </w:pPr>
            <w:r w:rsidRPr="00942F86">
              <w:rPr>
                <w:b/>
                <w:bCs/>
                <w:sz w:val="25"/>
                <w:szCs w:val="25"/>
              </w:rPr>
              <w:t xml:space="preserve">Weighted Cost </w:t>
            </w:r>
          </w:p>
        </w:tc>
      </w:tr>
      <w:tr w:rsidR="00BF7B6F" w:rsidRPr="00942F86" w14:paraId="12AB7AA3" w14:textId="77777777" w:rsidTr="00E05A86">
        <w:trPr>
          <w:trHeight w:val="197"/>
        </w:trPr>
        <w:tc>
          <w:tcPr>
            <w:tcW w:w="3093" w:type="dxa"/>
            <w:tcBorders>
              <w:top w:val="single" w:sz="4" w:space="0" w:color="auto"/>
              <w:left w:val="thinThickSmallGap" w:sz="24" w:space="0" w:color="auto"/>
              <w:bottom w:val="single" w:sz="4" w:space="0" w:color="auto"/>
              <w:right w:val="single" w:sz="4" w:space="0" w:color="auto"/>
            </w:tcBorders>
            <w:noWrap/>
            <w:tcMar>
              <w:top w:w="17" w:type="dxa"/>
              <w:left w:w="17" w:type="dxa"/>
              <w:bottom w:w="0" w:type="dxa"/>
              <w:right w:w="17" w:type="dxa"/>
            </w:tcMar>
          </w:tcPr>
          <w:p w14:paraId="67F70FAB" w14:textId="77777777" w:rsidR="00BF7B6F" w:rsidRPr="00942F86" w:rsidRDefault="00BF7B6F" w:rsidP="00BF7B6F">
            <w:pPr>
              <w:keepNext/>
              <w:keepLines/>
              <w:spacing w:line="264" w:lineRule="auto"/>
              <w:jc w:val="both"/>
              <w:rPr>
                <w:sz w:val="25"/>
                <w:szCs w:val="25"/>
              </w:rPr>
            </w:pPr>
            <w:r w:rsidRPr="00942F86">
              <w:rPr>
                <w:sz w:val="25"/>
                <w:szCs w:val="25"/>
              </w:rPr>
              <w:t>Equity</w:t>
            </w:r>
          </w:p>
        </w:tc>
        <w:tc>
          <w:tcPr>
            <w:tcW w:w="1363" w:type="dxa"/>
            <w:tcBorders>
              <w:top w:val="single" w:sz="4" w:space="0" w:color="auto"/>
              <w:left w:val="single" w:sz="4" w:space="0" w:color="auto"/>
              <w:bottom w:val="single" w:sz="4" w:space="0" w:color="auto"/>
              <w:right w:val="nil"/>
            </w:tcBorders>
            <w:noWrap/>
            <w:tcMar>
              <w:top w:w="17" w:type="dxa"/>
              <w:left w:w="17" w:type="dxa"/>
              <w:bottom w:w="0" w:type="dxa"/>
              <w:right w:w="17" w:type="dxa"/>
            </w:tcMar>
          </w:tcPr>
          <w:p w14:paraId="0C20FE0C" w14:textId="77777777" w:rsidR="00BF7B6F" w:rsidRPr="00942F86" w:rsidRDefault="00BF7B6F" w:rsidP="00BF7B6F">
            <w:pPr>
              <w:keepNext/>
              <w:keepLines/>
              <w:spacing w:line="264" w:lineRule="auto"/>
              <w:jc w:val="center"/>
              <w:rPr>
                <w:sz w:val="25"/>
                <w:szCs w:val="25"/>
              </w:rPr>
            </w:pPr>
            <w:r w:rsidRPr="00942F86">
              <w:rPr>
                <w:sz w:val="25"/>
                <w:szCs w:val="25"/>
              </w:rPr>
              <w:t>49.10%</w:t>
            </w:r>
          </w:p>
        </w:tc>
        <w:tc>
          <w:tcPr>
            <w:tcW w:w="1126" w:type="dxa"/>
            <w:tcBorders>
              <w:top w:val="single" w:sz="4" w:space="0" w:color="auto"/>
              <w:left w:val="double" w:sz="4" w:space="0" w:color="auto"/>
              <w:bottom w:val="single" w:sz="4" w:space="0" w:color="auto"/>
              <w:right w:val="nil"/>
            </w:tcBorders>
            <w:noWrap/>
            <w:tcMar>
              <w:top w:w="17" w:type="dxa"/>
              <w:left w:w="17" w:type="dxa"/>
              <w:bottom w:w="0" w:type="dxa"/>
              <w:right w:w="17" w:type="dxa"/>
            </w:tcMar>
          </w:tcPr>
          <w:p w14:paraId="68BECD8D" w14:textId="77777777" w:rsidR="00BF7B6F" w:rsidRPr="00942F86" w:rsidRDefault="00BF7B6F" w:rsidP="00BF7B6F">
            <w:pPr>
              <w:keepNext/>
              <w:keepLines/>
              <w:spacing w:line="264" w:lineRule="auto"/>
              <w:jc w:val="center"/>
              <w:rPr>
                <w:sz w:val="25"/>
                <w:szCs w:val="25"/>
              </w:rPr>
            </w:pPr>
            <w:r w:rsidRPr="00942F86">
              <w:rPr>
                <w:sz w:val="25"/>
                <w:szCs w:val="25"/>
              </w:rPr>
              <w:t>9.50%</w:t>
            </w:r>
          </w:p>
        </w:tc>
        <w:tc>
          <w:tcPr>
            <w:tcW w:w="2016" w:type="dxa"/>
            <w:tcBorders>
              <w:top w:val="single" w:sz="4" w:space="0" w:color="auto"/>
              <w:left w:val="double" w:sz="4" w:space="0" w:color="auto"/>
              <w:bottom w:val="single" w:sz="4" w:space="0" w:color="auto"/>
              <w:right w:val="thickThinSmallGap" w:sz="24" w:space="0" w:color="auto"/>
            </w:tcBorders>
            <w:noWrap/>
            <w:tcMar>
              <w:top w:w="17" w:type="dxa"/>
              <w:left w:w="17" w:type="dxa"/>
              <w:bottom w:w="0" w:type="dxa"/>
              <w:right w:w="17" w:type="dxa"/>
            </w:tcMar>
          </w:tcPr>
          <w:p w14:paraId="7AE08717" w14:textId="77777777" w:rsidR="00BF7B6F" w:rsidRPr="00942F86" w:rsidRDefault="00BF7B6F" w:rsidP="00BF7B6F">
            <w:pPr>
              <w:keepNext/>
              <w:keepLines/>
              <w:spacing w:line="264" w:lineRule="auto"/>
              <w:jc w:val="center"/>
              <w:rPr>
                <w:sz w:val="25"/>
                <w:szCs w:val="25"/>
              </w:rPr>
            </w:pPr>
            <w:r w:rsidRPr="00942F86">
              <w:rPr>
                <w:sz w:val="25"/>
                <w:szCs w:val="25"/>
              </w:rPr>
              <w:t>4.67%</w:t>
            </w:r>
          </w:p>
        </w:tc>
      </w:tr>
      <w:tr w:rsidR="00BF7B6F" w:rsidRPr="00942F86" w14:paraId="34F2050B" w14:textId="77777777" w:rsidTr="00E05A86">
        <w:trPr>
          <w:trHeight w:val="197"/>
        </w:trPr>
        <w:tc>
          <w:tcPr>
            <w:tcW w:w="3093" w:type="dxa"/>
            <w:tcBorders>
              <w:top w:val="single" w:sz="4" w:space="0" w:color="auto"/>
              <w:left w:val="thinThickSmallGap" w:sz="24" w:space="0" w:color="auto"/>
              <w:bottom w:val="single" w:sz="4" w:space="0" w:color="auto"/>
              <w:right w:val="single" w:sz="4" w:space="0" w:color="auto"/>
            </w:tcBorders>
            <w:noWrap/>
            <w:tcMar>
              <w:top w:w="17" w:type="dxa"/>
              <w:left w:w="17" w:type="dxa"/>
              <w:bottom w:w="0" w:type="dxa"/>
              <w:right w:w="17" w:type="dxa"/>
            </w:tcMar>
          </w:tcPr>
          <w:p w14:paraId="578C8DAA" w14:textId="77777777" w:rsidR="00BF7B6F" w:rsidRPr="00942F86" w:rsidRDefault="00BF7B6F" w:rsidP="00BF7B6F">
            <w:pPr>
              <w:keepNext/>
              <w:keepLines/>
              <w:spacing w:line="264" w:lineRule="auto"/>
              <w:jc w:val="both"/>
              <w:rPr>
                <w:sz w:val="25"/>
                <w:szCs w:val="25"/>
              </w:rPr>
            </w:pPr>
            <w:r w:rsidRPr="00942F86">
              <w:rPr>
                <w:sz w:val="25"/>
                <w:szCs w:val="25"/>
              </w:rPr>
              <w:t>Long-Term Debt</w:t>
            </w:r>
          </w:p>
        </w:tc>
        <w:tc>
          <w:tcPr>
            <w:tcW w:w="1363" w:type="dxa"/>
            <w:tcBorders>
              <w:top w:val="single" w:sz="4" w:space="0" w:color="auto"/>
              <w:left w:val="single" w:sz="4" w:space="0" w:color="auto"/>
              <w:bottom w:val="single" w:sz="4" w:space="0" w:color="auto"/>
              <w:right w:val="nil"/>
            </w:tcBorders>
            <w:noWrap/>
            <w:tcMar>
              <w:top w:w="17" w:type="dxa"/>
              <w:left w:w="17" w:type="dxa"/>
              <w:bottom w:w="0" w:type="dxa"/>
              <w:right w:w="17" w:type="dxa"/>
            </w:tcMar>
          </w:tcPr>
          <w:p w14:paraId="4623936A" w14:textId="77777777" w:rsidR="00BF7B6F" w:rsidRPr="00942F86" w:rsidRDefault="00BF7B6F" w:rsidP="00BF7B6F">
            <w:pPr>
              <w:keepNext/>
              <w:keepLines/>
              <w:spacing w:line="264" w:lineRule="auto"/>
              <w:jc w:val="center"/>
              <w:rPr>
                <w:sz w:val="25"/>
                <w:szCs w:val="25"/>
              </w:rPr>
            </w:pPr>
            <w:r w:rsidRPr="00942F86">
              <w:rPr>
                <w:sz w:val="25"/>
                <w:szCs w:val="25"/>
              </w:rPr>
              <w:t>50.69%</w:t>
            </w:r>
          </w:p>
        </w:tc>
        <w:tc>
          <w:tcPr>
            <w:tcW w:w="1126" w:type="dxa"/>
            <w:tcBorders>
              <w:top w:val="single" w:sz="4" w:space="0" w:color="auto"/>
              <w:left w:val="double" w:sz="4" w:space="0" w:color="auto"/>
              <w:bottom w:val="single" w:sz="4" w:space="0" w:color="auto"/>
              <w:right w:val="nil"/>
            </w:tcBorders>
            <w:noWrap/>
            <w:tcMar>
              <w:top w:w="17" w:type="dxa"/>
              <w:left w:w="17" w:type="dxa"/>
              <w:bottom w:w="0" w:type="dxa"/>
              <w:right w:w="17" w:type="dxa"/>
            </w:tcMar>
          </w:tcPr>
          <w:p w14:paraId="5DDB2F7C" w14:textId="77777777" w:rsidR="00BF7B6F" w:rsidRPr="00942F86" w:rsidRDefault="00BF7B6F" w:rsidP="00BF7B6F">
            <w:pPr>
              <w:keepNext/>
              <w:keepLines/>
              <w:spacing w:line="264" w:lineRule="auto"/>
              <w:jc w:val="center"/>
              <w:rPr>
                <w:sz w:val="25"/>
                <w:szCs w:val="25"/>
              </w:rPr>
            </w:pPr>
            <w:r w:rsidRPr="00942F86">
              <w:rPr>
                <w:sz w:val="25"/>
                <w:szCs w:val="25"/>
              </w:rPr>
              <w:t>5.19%</w:t>
            </w:r>
          </w:p>
        </w:tc>
        <w:tc>
          <w:tcPr>
            <w:tcW w:w="2016" w:type="dxa"/>
            <w:tcBorders>
              <w:top w:val="single" w:sz="4" w:space="0" w:color="auto"/>
              <w:left w:val="double" w:sz="4" w:space="0" w:color="auto"/>
              <w:bottom w:val="single" w:sz="4" w:space="0" w:color="auto"/>
              <w:right w:val="thickThinSmallGap" w:sz="24" w:space="0" w:color="auto"/>
            </w:tcBorders>
            <w:noWrap/>
            <w:tcMar>
              <w:top w:w="17" w:type="dxa"/>
              <w:left w:w="17" w:type="dxa"/>
              <w:bottom w:w="0" w:type="dxa"/>
              <w:right w:w="17" w:type="dxa"/>
            </w:tcMar>
          </w:tcPr>
          <w:p w14:paraId="3CB98A0E" w14:textId="77777777" w:rsidR="00BF7B6F" w:rsidRPr="00942F86" w:rsidRDefault="00BF7B6F" w:rsidP="00BF7B6F">
            <w:pPr>
              <w:keepNext/>
              <w:keepLines/>
              <w:spacing w:line="264" w:lineRule="auto"/>
              <w:jc w:val="center"/>
              <w:rPr>
                <w:sz w:val="25"/>
                <w:szCs w:val="25"/>
              </w:rPr>
            </w:pPr>
            <w:r w:rsidRPr="00942F86">
              <w:rPr>
                <w:sz w:val="25"/>
                <w:szCs w:val="25"/>
              </w:rPr>
              <w:t>2.63%</w:t>
            </w:r>
          </w:p>
        </w:tc>
      </w:tr>
      <w:tr w:rsidR="00BF7B6F" w:rsidRPr="00942F86" w14:paraId="1A3DF841" w14:textId="77777777" w:rsidTr="00E05A86">
        <w:trPr>
          <w:trHeight w:val="197"/>
        </w:trPr>
        <w:tc>
          <w:tcPr>
            <w:tcW w:w="3093" w:type="dxa"/>
            <w:tcBorders>
              <w:top w:val="single" w:sz="4" w:space="0" w:color="auto"/>
              <w:left w:val="thinThickSmallGap" w:sz="24" w:space="0" w:color="auto"/>
              <w:bottom w:val="single" w:sz="4" w:space="0" w:color="auto"/>
              <w:right w:val="single" w:sz="4" w:space="0" w:color="auto"/>
            </w:tcBorders>
            <w:noWrap/>
            <w:tcMar>
              <w:top w:w="17" w:type="dxa"/>
              <w:left w:w="17" w:type="dxa"/>
              <w:bottom w:w="0" w:type="dxa"/>
              <w:right w:w="17" w:type="dxa"/>
            </w:tcMar>
          </w:tcPr>
          <w:p w14:paraId="43B83530" w14:textId="77777777" w:rsidR="00BF7B6F" w:rsidRPr="00942F86" w:rsidRDefault="00BF7B6F" w:rsidP="00BF7B6F">
            <w:pPr>
              <w:keepNext/>
              <w:keepLines/>
              <w:spacing w:line="264" w:lineRule="auto"/>
              <w:jc w:val="both"/>
              <w:rPr>
                <w:sz w:val="25"/>
                <w:szCs w:val="25"/>
              </w:rPr>
            </w:pPr>
            <w:r w:rsidRPr="00942F86">
              <w:rPr>
                <w:sz w:val="25"/>
                <w:szCs w:val="25"/>
              </w:rPr>
              <w:t>Short-Term Debt</w:t>
            </w:r>
          </w:p>
        </w:tc>
        <w:tc>
          <w:tcPr>
            <w:tcW w:w="1363" w:type="dxa"/>
            <w:tcBorders>
              <w:top w:val="single" w:sz="4" w:space="0" w:color="auto"/>
              <w:left w:val="single" w:sz="4" w:space="0" w:color="auto"/>
              <w:bottom w:val="single" w:sz="4" w:space="0" w:color="auto"/>
              <w:right w:val="nil"/>
            </w:tcBorders>
            <w:noWrap/>
            <w:tcMar>
              <w:top w:w="17" w:type="dxa"/>
              <w:left w:w="17" w:type="dxa"/>
              <w:bottom w:w="0" w:type="dxa"/>
              <w:right w:w="17" w:type="dxa"/>
            </w:tcMar>
          </w:tcPr>
          <w:p w14:paraId="0CDD4324" w14:textId="77777777" w:rsidR="00BF7B6F" w:rsidRPr="00942F86" w:rsidRDefault="00BF7B6F" w:rsidP="00BF7B6F">
            <w:pPr>
              <w:keepNext/>
              <w:keepLines/>
              <w:spacing w:line="264" w:lineRule="auto"/>
              <w:jc w:val="center"/>
              <w:rPr>
                <w:sz w:val="25"/>
                <w:szCs w:val="25"/>
              </w:rPr>
            </w:pPr>
            <w:r w:rsidRPr="00942F86">
              <w:rPr>
                <w:sz w:val="25"/>
                <w:szCs w:val="25"/>
              </w:rPr>
              <w:t>00.19%</w:t>
            </w:r>
          </w:p>
        </w:tc>
        <w:tc>
          <w:tcPr>
            <w:tcW w:w="1126" w:type="dxa"/>
            <w:tcBorders>
              <w:top w:val="single" w:sz="4" w:space="0" w:color="auto"/>
              <w:left w:val="double" w:sz="4" w:space="0" w:color="auto"/>
              <w:bottom w:val="single" w:sz="4" w:space="0" w:color="auto"/>
              <w:right w:val="nil"/>
            </w:tcBorders>
            <w:noWrap/>
            <w:tcMar>
              <w:top w:w="17" w:type="dxa"/>
              <w:left w:w="17" w:type="dxa"/>
              <w:bottom w:w="0" w:type="dxa"/>
              <w:right w:w="17" w:type="dxa"/>
            </w:tcMar>
          </w:tcPr>
          <w:p w14:paraId="1F65613F" w14:textId="77777777" w:rsidR="00BF7B6F" w:rsidRPr="00942F86" w:rsidRDefault="00BF7B6F" w:rsidP="00BF7B6F">
            <w:pPr>
              <w:keepNext/>
              <w:keepLines/>
              <w:spacing w:line="264" w:lineRule="auto"/>
              <w:jc w:val="center"/>
              <w:rPr>
                <w:sz w:val="25"/>
                <w:szCs w:val="25"/>
              </w:rPr>
            </w:pPr>
            <w:r w:rsidRPr="00942F86">
              <w:rPr>
                <w:sz w:val="25"/>
                <w:szCs w:val="25"/>
              </w:rPr>
              <w:t>1.73</w:t>
            </w:r>
          </w:p>
        </w:tc>
        <w:tc>
          <w:tcPr>
            <w:tcW w:w="2016" w:type="dxa"/>
            <w:tcBorders>
              <w:top w:val="single" w:sz="4" w:space="0" w:color="auto"/>
              <w:left w:val="double" w:sz="4" w:space="0" w:color="auto"/>
              <w:bottom w:val="single" w:sz="4" w:space="0" w:color="auto"/>
              <w:right w:val="thickThinSmallGap" w:sz="24" w:space="0" w:color="auto"/>
            </w:tcBorders>
            <w:noWrap/>
            <w:tcMar>
              <w:top w:w="17" w:type="dxa"/>
              <w:left w:w="17" w:type="dxa"/>
              <w:bottom w:w="0" w:type="dxa"/>
              <w:right w:w="17" w:type="dxa"/>
            </w:tcMar>
          </w:tcPr>
          <w:p w14:paraId="0F5064F6" w14:textId="77777777" w:rsidR="00BF7B6F" w:rsidRPr="00942F86" w:rsidRDefault="00BF7B6F" w:rsidP="00BF7B6F">
            <w:pPr>
              <w:keepNext/>
              <w:keepLines/>
              <w:spacing w:line="264" w:lineRule="auto"/>
              <w:jc w:val="center"/>
              <w:rPr>
                <w:sz w:val="25"/>
                <w:szCs w:val="25"/>
              </w:rPr>
            </w:pPr>
            <w:r w:rsidRPr="00942F86">
              <w:rPr>
                <w:sz w:val="25"/>
                <w:szCs w:val="25"/>
              </w:rPr>
              <w:t>0.00%</w:t>
            </w:r>
          </w:p>
        </w:tc>
      </w:tr>
      <w:tr w:rsidR="00BF7B6F" w:rsidRPr="00942F86" w14:paraId="3EFD21BE" w14:textId="77777777" w:rsidTr="00E05A86">
        <w:trPr>
          <w:trHeight w:val="197"/>
        </w:trPr>
        <w:tc>
          <w:tcPr>
            <w:tcW w:w="3093" w:type="dxa"/>
            <w:tcBorders>
              <w:top w:val="single" w:sz="4" w:space="0" w:color="auto"/>
              <w:left w:val="thinThickSmallGap" w:sz="24" w:space="0" w:color="auto"/>
              <w:bottom w:val="single" w:sz="4" w:space="0" w:color="auto"/>
              <w:right w:val="single" w:sz="4" w:space="0" w:color="auto"/>
            </w:tcBorders>
            <w:noWrap/>
            <w:tcMar>
              <w:top w:w="17" w:type="dxa"/>
              <w:left w:w="17" w:type="dxa"/>
              <w:bottom w:w="0" w:type="dxa"/>
              <w:right w:w="17" w:type="dxa"/>
            </w:tcMar>
          </w:tcPr>
          <w:p w14:paraId="566982A5" w14:textId="77777777" w:rsidR="00BF7B6F" w:rsidRPr="00942F86" w:rsidRDefault="00BF7B6F" w:rsidP="00BF7B6F">
            <w:pPr>
              <w:keepNext/>
              <w:keepLines/>
              <w:spacing w:line="264" w:lineRule="auto"/>
              <w:rPr>
                <w:sz w:val="25"/>
                <w:szCs w:val="25"/>
              </w:rPr>
            </w:pPr>
            <w:r w:rsidRPr="00942F86">
              <w:rPr>
                <w:sz w:val="25"/>
                <w:szCs w:val="25"/>
              </w:rPr>
              <w:t>Preferred Stock</w:t>
            </w:r>
          </w:p>
        </w:tc>
        <w:tc>
          <w:tcPr>
            <w:tcW w:w="1363" w:type="dxa"/>
            <w:tcBorders>
              <w:top w:val="single" w:sz="4" w:space="0" w:color="auto"/>
              <w:left w:val="single" w:sz="4" w:space="0" w:color="auto"/>
              <w:bottom w:val="single" w:sz="4" w:space="0" w:color="auto"/>
              <w:right w:val="nil"/>
            </w:tcBorders>
            <w:noWrap/>
            <w:tcMar>
              <w:top w:w="17" w:type="dxa"/>
              <w:left w:w="17" w:type="dxa"/>
              <w:bottom w:w="0" w:type="dxa"/>
              <w:right w:w="17" w:type="dxa"/>
            </w:tcMar>
          </w:tcPr>
          <w:p w14:paraId="28C5D427" w14:textId="77777777" w:rsidR="00BF7B6F" w:rsidRPr="00942F86" w:rsidRDefault="00BF7B6F" w:rsidP="00BF7B6F">
            <w:pPr>
              <w:keepNext/>
              <w:keepLines/>
              <w:spacing w:line="264" w:lineRule="auto"/>
              <w:jc w:val="center"/>
              <w:rPr>
                <w:sz w:val="25"/>
                <w:szCs w:val="25"/>
              </w:rPr>
            </w:pPr>
            <w:r w:rsidRPr="00942F86">
              <w:rPr>
                <w:sz w:val="25"/>
                <w:szCs w:val="25"/>
              </w:rPr>
              <w:t>00.02%</w:t>
            </w:r>
          </w:p>
        </w:tc>
        <w:tc>
          <w:tcPr>
            <w:tcW w:w="1126" w:type="dxa"/>
            <w:tcBorders>
              <w:top w:val="single" w:sz="4" w:space="0" w:color="auto"/>
              <w:left w:val="double" w:sz="4" w:space="0" w:color="auto"/>
              <w:bottom w:val="single" w:sz="4" w:space="0" w:color="auto"/>
              <w:right w:val="nil"/>
            </w:tcBorders>
            <w:noWrap/>
            <w:tcMar>
              <w:top w:w="17" w:type="dxa"/>
              <w:left w:w="17" w:type="dxa"/>
              <w:bottom w:w="0" w:type="dxa"/>
              <w:right w:w="17" w:type="dxa"/>
            </w:tcMar>
          </w:tcPr>
          <w:p w14:paraId="48689856" w14:textId="77777777" w:rsidR="00BF7B6F" w:rsidRPr="00942F86" w:rsidRDefault="00BF7B6F" w:rsidP="00BF7B6F">
            <w:pPr>
              <w:keepNext/>
              <w:keepLines/>
              <w:spacing w:line="264" w:lineRule="auto"/>
              <w:jc w:val="center"/>
              <w:rPr>
                <w:sz w:val="25"/>
                <w:szCs w:val="25"/>
              </w:rPr>
            </w:pPr>
            <w:r w:rsidRPr="00942F86">
              <w:rPr>
                <w:sz w:val="25"/>
                <w:szCs w:val="25"/>
              </w:rPr>
              <w:t>6.75%</w:t>
            </w:r>
          </w:p>
        </w:tc>
        <w:tc>
          <w:tcPr>
            <w:tcW w:w="2016" w:type="dxa"/>
            <w:tcBorders>
              <w:top w:val="single" w:sz="4" w:space="0" w:color="auto"/>
              <w:left w:val="double" w:sz="4" w:space="0" w:color="auto"/>
              <w:bottom w:val="single" w:sz="4" w:space="0" w:color="auto"/>
              <w:right w:val="thickThinSmallGap" w:sz="24" w:space="0" w:color="auto"/>
            </w:tcBorders>
            <w:noWrap/>
            <w:tcMar>
              <w:top w:w="17" w:type="dxa"/>
              <w:left w:w="17" w:type="dxa"/>
              <w:bottom w:w="0" w:type="dxa"/>
              <w:right w:w="17" w:type="dxa"/>
            </w:tcMar>
          </w:tcPr>
          <w:p w14:paraId="6FA8EF9C" w14:textId="77777777" w:rsidR="00BF7B6F" w:rsidRPr="00942F86" w:rsidRDefault="00BF7B6F" w:rsidP="00BF7B6F">
            <w:pPr>
              <w:keepNext/>
              <w:keepLines/>
              <w:tabs>
                <w:tab w:val="left" w:pos="315"/>
                <w:tab w:val="right" w:pos="2055"/>
              </w:tabs>
              <w:spacing w:line="264" w:lineRule="auto"/>
              <w:jc w:val="center"/>
              <w:rPr>
                <w:sz w:val="25"/>
                <w:szCs w:val="25"/>
              </w:rPr>
            </w:pPr>
            <w:r w:rsidRPr="00942F86">
              <w:rPr>
                <w:sz w:val="25"/>
                <w:szCs w:val="25"/>
              </w:rPr>
              <w:t>0.00%</w:t>
            </w:r>
          </w:p>
        </w:tc>
      </w:tr>
      <w:tr w:rsidR="00BF7B6F" w:rsidRPr="00942F86" w14:paraId="5813138A" w14:textId="77777777" w:rsidTr="00E05A86">
        <w:trPr>
          <w:trHeight w:val="197"/>
        </w:trPr>
        <w:tc>
          <w:tcPr>
            <w:tcW w:w="3093" w:type="dxa"/>
            <w:tcBorders>
              <w:top w:val="single" w:sz="4" w:space="0" w:color="auto"/>
              <w:left w:val="thinThickSmallGap" w:sz="24" w:space="0" w:color="auto"/>
              <w:bottom w:val="thickThinSmallGap" w:sz="24" w:space="0" w:color="auto"/>
              <w:right w:val="single" w:sz="4" w:space="0" w:color="auto"/>
            </w:tcBorders>
            <w:noWrap/>
            <w:tcMar>
              <w:top w:w="17" w:type="dxa"/>
              <w:left w:w="17" w:type="dxa"/>
              <w:bottom w:w="0" w:type="dxa"/>
              <w:right w:w="17" w:type="dxa"/>
            </w:tcMar>
          </w:tcPr>
          <w:p w14:paraId="1004496C" w14:textId="77777777" w:rsidR="00BF7B6F" w:rsidRPr="00942F86" w:rsidRDefault="00BF7B6F" w:rsidP="00BF7B6F">
            <w:pPr>
              <w:keepNext/>
              <w:keepLines/>
              <w:spacing w:line="264" w:lineRule="auto"/>
              <w:rPr>
                <w:sz w:val="25"/>
                <w:szCs w:val="25"/>
              </w:rPr>
            </w:pPr>
            <w:r w:rsidRPr="00942F86">
              <w:rPr>
                <w:b/>
                <w:sz w:val="25"/>
                <w:szCs w:val="25"/>
              </w:rPr>
              <w:t>OVERALL Rate of Return</w:t>
            </w:r>
          </w:p>
        </w:tc>
        <w:tc>
          <w:tcPr>
            <w:tcW w:w="1363" w:type="dxa"/>
            <w:tcBorders>
              <w:top w:val="single" w:sz="4" w:space="0" w:color="auto"/>
              <w:left w:val="single" w:sz="4" w:space="0" w:color="auto"/>
              <w:bottom w:val="thickThinSmallGap" w:sz="24" w:space="0" w:color="auto"/>
              <w:right w:val="nil"/>
            </w:tcBorders>
            <w:noWrap/>
            <w:tcMar>
              <w:top w:w="17" w:type="dxa"/>
              <w:left w:w="17" w:type="dxa"/>
              <w:bottom w:w="0" w:type="dxa"/>
              <w:right w:w="17" w:type="dxa"/>
            </w:tcMar>
            <w:vAlign w:val="bottom"/>
          </w:tcPr>
          <w:p w14:paraId="0F816E15" w14:textId="77777777" w:rsidR="00BF7B6F" w:rsidRPr="00942F86" w:rsidRDefault="00BF7B6F" w:rsidP="00BF7B6F">
            <w:pPr>
              <w:keepNext/>
              <w:keepLines/>
              <w:spacing w:line="264" w:lineRule="auto"/>
              <w:jc w:val="right"/>
              <w:rPr>
                <w:bCs/>
                <w:sz w:val="25"/>
                <w:szCs w:val="25"/>
              </w:rPr>
            </w:pPr>
          </w:p>
        </w:tc>
        <w:tc>
          <w:tcPr>
            <w:tcW w:w="1126" w:type="dxa"/>
            <w:tcBorders>
              <w:top w:val="single" w:sz="4" w:space="0" w:color="auto"/>
              <w:left w:val="double" w:sz="4" w:space="0" w:color="auto"/>
              <w:bottom w:val="thickThinSmallGap" w:sz="24" w:space="0" w:color="auto"/>
              <w:right w:val="nil"/>
            </w:tcBorders>
            <w:noWrap/>
            <w:tcMar>
              <w:top w:w="17" w:type="dxa"/>
              <w:left w:w="17" w:type="dxa"/>
              <w:bottom w:w="0" w:type="dxa"/>
              <w:right w:w="17" w:type="dxa"/>
            </w:tcMar>
            <w:vAlign w:val="bottom"/>
          </w:tcPr>
          <w:p w14:paraId="7368D7CB" w14:textId="77777777" w:rsidR="00BF7B6F" w:rsidRPr="00942F86" w:rsidRDefault="00BF7B6F" w:rsidP="00BF7B6F">
            <w:pPr>
              <w:keepNext/>
              <w:keepLines/>
              <w:spacing w:line="264" w:lineRule="auto"/>
              <w:jc w:val="right"/>
              <w:rPr>
                <w:bCs/>
                <w:sz w:val="25"/>
                <w:szCs w:val="25"/>
              </w:rPr>
            </w:pPr>
          </w:p>
        </w:tc>
        <w:tc>
          <w:tcPr>
            <w:tcW w:w="2016" w:type="dxa"/>
            <w:tcBorders>
              <w:top w:val="single" w:sz="4" w:space="0" w:color="auto"/>
              <w:left w:val="double" w:sz="4" w:space="0" w:color="auto"/>
              <w:bottom w:val="thickThinSmallGap" w:sz="24" w:space="0" w:color="auto"/>
              <w:right w:val="thickThinSmallGap" w:sz="24" w:space="0" w:color="auto"/>
            </w:tcBorders>
            <w:noWrap/>
            <w:tcMar>
              <w:top w:w="17" w:type="dxa"/>
              <w:left w:w="17" w:type="dxa"/>
              <w:bottom w:w="0" w:type="dxa"/>
              <w:right w:w="17" w:type="dxa"/>
            </w:tcMar>
            <w:vAlign w:val="bottom"/>
          </w:tcPr>
          <w:p w14:paraId="182B817B" w14:textId="77777777" w:rsidR="00BF7B6F" w:rsidRPr="00942F86" w:rsidRDefault="00BF7B6F" w:rsidP="00BF7B6F">
            <w:pPr>
              <w:keepNext/>
              <w:keepLines/>
              <w:spacing w:line="264" w:lineRule="auto"/>
              <w:jc w:val="center"/>
              <w:rPr>
                <w:b/>
                <w:bCs/>
                <w:sz w:val="25"/>
                <w:szCs w:val="25"/>
              </w:rPr>
            </w:pPr>
            <w:r w:rsidRPr="00942F86">
              <w:rPr>
                <w:b/>
                <w:bCs/>
                <w:sz w:val="25"/>
                <w:szCs w:val="25"/>
              </w:rPr>
              <w:t>7.30%</w:t>
            </w:r>
          </w:p>
        </w:tc>
      </w:tr>
    </w:tbl>
    <w:p w14:paraId="656D9A1F" w14:textId="77777777" w:rsidR="00E05A86" w:rsidRPr="00942F86" w:rsidRDefault="00E05A86" w:rsidP="00ED2C13">
      <w:pPr>
        <w:spacing w:line="264" w:lineRule="auto"/>
        <w:rPr>
          <w:sz w:val="25"/>
          <w:szCs w:val="25"/>
        </w:rPr>
      </w:pPr>
    </w:p>
    <w:p w14:paraId="10AEC6FE" w14:textId="77777777" w:rsidR="00FC421A" w:rsidRDefault="00FC421A" w:rsidP="00FC421A">
      <w:pPr>
        <w:pStyle w:val="Heading3"/>
        <w:numPr>
          <w:ilvl w:val="0"/>
          <w:numId w:val="0"/>
        </w:numPr>
        <w:spacing w:before="0" w:after="0"/>
        <w:ind w:left="1080"/>
        <w:rPr>
          <w:rFonts w:cs="Times New Roman"/>
        </w:rPr>
      </w:pPr>
      <w:bookmarkStart w:id="34" w:name="_Toc153351903"/>
      <w:bookmarkStart w:id="35" w:name="_Toc252797497"/>
    </w:p>
    <w:p w14:paraId="55E96FC6" w14:textId="1F854CC5" w:rsidR="003E6A7D" w:rsidRPr="00942F86" w:rsidRDefault="003E6A7D" w:rsidP="000455AC">
      <w:pPr>
        <w:pStyle w:val="Heading3"/>
        <w:spacing w:before="0" w:after="0"/>
        <w:rPr>
          <w:rFonts w:cs="Times New Roman"/>
        </w:rPr>
      </w:pPr>
      <w:bookmarkStart w:id="36" w:name="_Toc415037631"/>
      <w:r w:rsidRPr="00942F86">
        <w:rPr>
          <w:rFonts w:cs="Times New Roman"/>
        </w:rPr>
        <w:t>Summary of Revenue Requirement Determinations</w:t>
      </w:r>
      <w:bookmarkEnd w:id="36"/>
    </w:p>
    <w:p w14:paraId="7771D312" w14:textId="77777777" w:rsidR="003E6A7D" w:rsidRPr="00942F86" w:rsidRDefault="003E6A7D" w:rsidP="000455AC">
      <w:pPr>
        <w:spacing w:line="264" w:lineRule="auto"/>
        <w:rPr>
          <w:sz w:val="25"/>
          <w:szCs w:val="25"/>
        </w:rPr>
      </w:pPr>
    </w:p>
    <w:p w14:paraId="64BB5911" w14:textId="66C43F4F" w:rsidR="003E6A7D" w:rsidRPr="00942F86" w:rsidRDefault="003E6A7D" w:rsidP="00FC421A">
      <w:pPr>
        <w:numPr>
          <w:ilvl w:val="0"/>
          <w:numId w:val="1"/>
        </w:numPr>
        <w:tabs>
          <w:tab w:val="clear" w:pos="720"/>
          <w:tab w:val="num" w:pos="0"/>
        </w:tabs>
        <w:spacing w:line="264" w:lineRule="auto"/>
        <w:ind w:left="0"/>
        <w:rPr>
          <w:sz w:val="25"/>
          <w:szCs w:val="25"/>
        </w:rPr>
      </w:pPr>
      <w:r w:rsidRPr="00942F86">
        <w:rPr>
          <w:sz w:val="25"/>
          <w:szCs w:val="25"/>
        </w:rPr>
        <w:t xml:space="preserve">Appendix A to this Order shows the Commission’s determinations of the contested adjustments discussed above.  Appendix B shows the uncontested adjustments, which we approve without the need for further discussion.  Based in part on these adjustments, we portray in Table </w:t>
      </w:r>
      <w:r w:rsidR="004476E1" w:rsidRPr="00942F86">
        <w:rPr>
          <w:sz w:val="25"/>
          <w:szCs w:val="25"/>
        </w:rPr>
        <w:t>3</w:t>
      </w:r>
      <w:r w:rsidRPr="00942F86">
        <w:rPr>
          <w:sz w:val="25"/>
          <w:szCs w:val="25"/>
        </w:rPr>
        <w:t xml:space="preserve"> the revenue requirement that we approve for recovery in rates.</w:t>
      </w:r>
    </w:p>
    <w:p w14:paraId="087D4FC8" w14:textId="77777777" w:rsidR="003E6A7D" w:rsidRPr="00942F86" w:rsidRDefault="003E6A7D" w:rsidP="000455AC">
      <w:pPr>
        <w:spacing w:line="264" w:lineRule="auto"/>
        <w:rPr>
          <w:b/>
          <w:sz w:val="25"/>
          <w:szCs w:val="25"/>
        </w:rPr>
      </w:pPr>
    </w:p>
    <w:tbl>
      <w:tblPr>
        <w:tblW w:w="6204" w:type="dxa"/>
        <w:tblInd w:w="1185" w:type="dxa"/>
        <w:tblLook w:val="04A0" w:firstRow="1" w:lastRow="0" w:firstColumn="1" w:lastColumn="0" w:noHBand="0" w:noVBand="1"/>
      </w:tblPr>
      <w:tblGrid>
        <w:gridCol w:w="4108"/>
        <w:gridCol w:w="2096"/>
      </w:tblGrid>
      <w:tr w:rsidR="003E6A7D" w:rsidRPr="00942F86" w14:paraId="76F502C4" w14:textId="77777777" w:rsidTr="00127C47">
        <w:trPr>
          <w:trHeight w:val="20"/>
        </w:trPr>
        <w:tc>
          <w:tcPr>
            <w:tcW w:w="6204" w:type="dxa"/>
            <w:gridSpan w:val="2"/>
            <w:tcBorders>
              <w:top w:val="thinThickSmallGap" w:sz="24" w:space="0" w:color="auto"/>
              <w:left w:val="thickThinSmallGap" w:sz="24" w:space="0" w:color="auto"/>
              <w:bottom w:val="nil"/>
              <w:right w:val="thinThickSmallGap" w:sz="24" w:space="0" w:color="auto"/>
            </w:tcBorders>
            <w:shd w:val="clear" w:color="auto" w:fill="auto"/>
            <w:noWrap/>
            <w:vAlign w:val="bottom"/>
          </w:tcPr>
          <w:p w14:paraId="4A6A6E45" w14:textId="11BDB51C" w:rsidR="003E6A7D" w:rsidRPr="00942F86" w:rsidRDefault="003E6A7D" w:rsidP="000455AC">
            <w:pPr>
              <w:spacing w:line="264" w:lineRule="auto"/>
              <w:jc w:val="center"/>
              <w:rPr>
                <w:b/>
                <w:sz w:val="25"/>
                <w:szCs w:val="25"/>
              </w:rPr>
            </w:pPr>
            <w:r w:rsidRPr="00942F86">
              <w:rPr>
                <w:b/>
                <w:sz w:val="25"/>
                <w:szCs w:val="25"/>
              </w:rPr>
              <w:t xml:space="preserve">TABLE </w:t>
            </w:r>
            <w:r w:rsidR="004476E1" w:rsidRPr="00942F86">
              <w:rPr>
                <w:b/>
                <w:sz w:val="25"/>
                <w:szCs w:val="25"/>
              </w:rPr>
              <w:t>3</w:t>
            </w:r>
          </w:p>
          <w:p w14:paraId="701529E4" w14:textId="77777777" w:rsidR="003E6A7D" w:rsidRPr="00942F86" w:rsidRDefault="003E6A7D" w:rsidP="000455AC">
            <w:pPr>
              <w:spacing w:line="264" w:lineRule="auto"/>
              <w:jc w:val="center"/>
              <w:rPr>
                <w:sz w:val="25"/>
                <w:szCs w:val="25"/>
              </w:rPr>
            </w:pPr>
            <w:r w:rsidRPr="00942F86">
              <w:rPr>
                <w:b/>
                <w:sz w:val="25"/>
                <w:szCs w:val="25"/>
              </w:rPr>
              <w:t>Revenue Requirement</w:t>
            </w:r>
          </w:p>
        </w:tc>
      </w:tr>
      <w:tr w:rsidR="00400C1F" w:rsidRPr="00942F86" w14:paraId="48E10B85" w14:textId="77777777" w:rsidTr="00127C47">
        <w:trPr>
          <w:trHeight w:val="26"/>
        </w:trPr>
        <w:tc>
          <w:tcPr>
            <w:tcW w:w="4108" w:type="dxa"/>
            <w:tcBorders>
              <w:top w:val="thinThickSmallGap" w:sz="24" w:space="0" w:color="auto"/>
              <w:left w:val="thickThinSmallGap" w:sz="24" w:space="0" w:color="auto"/>
              <w:bottom w:val="nil"/>
              <w:right w:val="double" w:sz="4" w:space="0" w:color="auto"/>
            </w:tcBorders>
            <w:shd w:val="clear" w:color="auto" w:fill="auto"/>
            <w:noWrap/>
            <w:vAlign w:val="bottom"/>
            <w:hideMark/>
          </w:tcPr>
          <w:p w14:paraId="30780B9F" w14:textId="77777777" w:rsidR="00400C1F" w:rsidRPr="00942F86" w:rsidRDefault="00400C1F" w:rsidP="000455AC">
            <w:pPr>
              <w:spacing w:line="264" w:lineRule="auto"/>
              <w:rPr>
                <w:sz w:val="25"/>
                <w:szCs w:val="25"/>
              </w:rPr>
            </w:pPr>
            <w:r w:rsidRPr="00942F86">
              <w:rPr>
                <w:sz w:val="25"/>
                <w:szCs w:val="25"/>
              </w:rPr>
              <w:t>Rate Base</w:t>
            </w:r>
          </w:p>
        </w:tc>
        <w:tc>
          <w:tcPr>
            <w:tcW w:w="2096" w:type="dxa"/>
            <w:tcBorders>
              <w:top w:val="thinThickSmallGap" w:sz="24" w:space="0" w:color="auto"/>
              <w:left w:val="double" w:sz="4" w:space="0" w:color="auto"/>
              <w:bottom w:val="nil"/>
              <w:right w:val="thinThickSmallGap" w:sz="24" w:space="0" w:color="auto"/>
            </w:tcBorders>
            <w:shd w:val="clear" w:color="auto" w:fill="auto"/>
            <w:noWrap/>
            <w:vAlign w:val="bottom"/>
          </w:tcPr>
          <w:p w14:paraId="08629454" w14:textId="23D57DA0" w:rsidR="00400C1F" w:rsidRPr="00942F86" w:rsidRDefault="00400C1F" w:rsidP="000455AC">
            <w:pPr>
              <w:spacing w:line="264" w:lineRule="auto"/>
              <w:jc w:val="right"/>
              <w:rPr>
                <w:sz w:val="25"/>
                <w:szCs w:val="25"/>
              </w:rPr>
            </w:pPr>
            <w:r w:rsidRPr="00942F86">
              <w:rPr>
                <w:sz w:val="25"/>
                <w:szCs w:val="25"/>
              </w:rPr>
              <w:t>$818,890,931</w:t>
            </w:r>
          </w:p>
        </w:tc>
      </w:tr>
      <w:tr w:rsidR="00400C1F" w:rsidRPr="00942F86" w14:paraId="19049ADF" w14:textId="77777777" w:rsidTr="00E05A86">
        <w:trPr>
          <w:trHeight w:val="207"/>
        </w:trPr>
        <w:tc>
          <w:tcPr>
            <w:tcW w:w="4108" w:type="dxa"/>
            <w:tcBorders>
              <w:top w:val="nil"/>
              <w:left w:val="thickThinSmallGap" w:sz="24" w:space="0" w:color="auto"/>
              <w:bottom w:val="nil"/>
              <w:right w:val="double" w:sz="4" w:space="0" w:color="auto"/>
            </w:tcBorders>
            <w:shd w:val="clear" w:color="auto" w:fill="auto"/>
            <w:noWrap/>
            <w:vAlign w:val="bottom"/>
            <w:hideMark/>
          </w:tcPr>
          <w:p w14:paraId="7C83BF36" w14:textId="77777777" w:rsidR="00400C1F" w:rsidRPr="00942F86" w:rsidRDefault="00400C1F" w:rsidP="000455AC">
            <w:pPr>
              <w:spacing w:line="264" w:lineRule="auto"/>
              <w:rPr>
                <w:sz w:val="25"/>
                <w:szCs w:val="25"/>
              </w:rPr>
            </w:pPr>
            <w:r w:rsidRPr="00942F86">
              <w:rPr>
                <w:sz w:val="25"/>
                <w:szCs w:val="25"/>
              </w:rPr>
              <w:t>Rate of Return</w:t>
            </w:r>
          </w:p>
        </w:tc>
        <w:tc>
          <w:tcPr>
            <w:tcW w:w="2096" w:type="dxa"/>
            <w:tcBorders>
              <w:top w:val="nil"/>
              <w:left w:val="double" w:sz="4" w:space="0" w:color="auto"/>
              <w:bottom w:val="nil"/>
              <w:right w:val="thinThickSmallGap" w:sz="24" w:space="0" w:color="auto"/>
            </w:tcBorders>
            <w:shd w:val="clear" w:color="auto" w:fill="auto"/>
            <w:noWrap/>
            <w:vAlign w:val="bottom"/>
          </w:tcPr>
          <w:p w14:paraId="654B68E9" w14:textId="504117E0" w:rsidR="00400C1F" w:rsidRPr="00942F86" w:rsidRDefault="00400C1F" w:rsidP="000455AC">
            <w:pPr>
              <w:spacing w:line="264" w:lineRule="auto"/>
              <w:jc w:val="right"/>
              <w:rPr>
                <w:sz w:val="25"/>
                <w:szCs w:val="25"/>
              </w:rPr>
            </w:pPr>
            <w:r w:rsidRPr="00942F86">
              <w:rPr>
                <w:sz w:val="25"/>
                <w:szCs w:val="25"/>
              </w:rPr>
              <w:t>7.30%</w:t>
            </w:r>
          </w:p>
        </w:tc>
      </w:tr>
      <w:tr w:rsidR="00400C1F" w:rsidRPr="00942F86" w14:paraId="47B26AC7" w14:textId="77777777" w:rsidTr="00127C47">
        <w:trPr>
          <w:trHeight w:val="350"/>
        </w:trPr>
        <w:tc>
          <w:tcPr>
            <w:tcW w:w="4108" w:type="dxa"/>
            <w:tcBorders>
              <w:top w:val="single" w:sz="4" w:space="0" w:color="auto"/>
              <w:left w:val="thickThinSmallGap" w:sz="24" w:space="0" w:color="auto"/>
              <w:bottom w:val="nil"/>
              <w:right w:val="double" w:sz="4" w:space="0" w:color="auto"/>
            </w:tcBorders>
            <w:shd w:val="clear" w:color="auto" w:fill="auto"/>
            <w:noWrap/>
            <w:vAlign w:val="bottom"/>
            <w:hideMark/>
          </w:tcPr>
          <w:p w14:paraId="4771D13E" w14:textId="7A2743FD" w:rsidR="00400C1F" w:rsidRPr="00942F86" w:rsidRDefault="00400C1F" w:rsidP="000455AC">
            <w:pPr>
              <w:spacing w:line="264" w:lineRule="auto"/>
              <w:rPr>
                <w:sz w:val="25"/>
                <w:szCs w:val="25"/>
              </w:rPr>
            </w:pPr>
            <w:r w:rsidRPr="00942F86">
              <w:rPr>
                <w:sz w:val="25"/>
                <w:szCs w:val="25"/>
              </w:rPr>
              <w:t>N</w:t>
            </w:r>
            <w:r w:rsidR="0045711D" w:rsidRPr="00942F86">
              <w:rPr>
                <w:sz w:val="25"/>
                <w:szCs w:val="25"/>
              </w:rPr>
              <w:t xml:space="preserve">et </w:t>
            </w:r>
            <w:r w:rsidRPr="00942F86">
              <w:rPr>
                <w:sz w:val="25"/>
                <w:szCs w:val="25"/>
              </w:rPr>
              <w:t>O</w:t>
            </w:r>
            <w:r w:rsidR="0045711D" w:rsidRPr="00942F86">
              <w:rPr>
                <w:sz w:val="25"/>
                <w:szCs w:val="25"/>
              </w:rPr>
              <w:t>perating Income (</w:t>
            </w:r>
            <w:proofErr w:type="spellStart"/>
            <w:r w:rsidR="0045711D" w:rsidRPr="00942F86">
              <w:rPr>
                <w:sz w:val="25"/>
                <w:szCs w:val="25"/>
              </w:rPr>
              <w:t>NOI</w:t>
            </w:r>
            <w:proofErr w:type="spellEnd"/>
            <w:r w:rsidR="0045711D" w:rsidRPr="00942F86">
              <w:rPr>
                <w:sz w:val="25"/>
                <w:szCs w:val="25"/>
              </w:rPr>
              <w:t>)</w:t>
            </w:r>
            <w:r w:rsidRPr="00942F86">
              <w:rPr>
                <w:sz w:val="25"/>
                <w:szCs w:val="25"/>
              </w:rPr>
              <w:t xml:space="preserve"> Requirement</w:t>
            </w:r>
          </w:p>
        </w:tc>
        <w:tc>
          <w:tcPr>
            <w:tcW w:w="2096" w:type="dxa"/>
            <w:tcBorders>
              <w:top w:val="single" w:sz="4" w:space="0" w:color="auto"/>
              <w:left w:val="double" w:sz="4" w:space="0" w:color="auto"/>
              <w:bottom w:val="nil"/>
              <w:right w:val="thinThickSmallGap" w:sz="24" w:space="0" w:color="auto"/>
            </w:tcBorders>
            <w:shd w:val="clear" w:color="auto" w:fill="auto"/>
            <w:noWrap/>
            <w:vAlign w:val="bottom"/>
          </w:tcPr>
          <w:p w14:paraId="747500F3" w14:textId="6C3DC16B" w:rsidR="00400C1F" w:rsidRPr="00942F86" w:rsidRDefault="00400C1F" w:rsidP="000455AC">
            <w:pPr>
              <w:spacing w:line="264" w:lineRule="auto"/>
              <w:jc w:val="right"/>
              <w:rPr>
                <w:sz w:val="25"/>
                <w:szCs w:val="25"/>
              </w:rPr>
            </w:pPr>
            <w:r w:rsidRPr="00942F86">
              <w:rPr>
                <w:sz w:val="25"/>
                <w:szCs w:val="25"/>
              </w:rPr>
              <w:t>$59,779,038</w:t>
            </w:r>
          </w:p>
        </w:tc>
      </w:tr>
      <w:tr w:rsidR="00400C1F" w:rsidRPr="00942F86" w14:paraId="1BAA0BAD" w14:textId="77777777" w:rsidTr="00E05A86">
        <w:trPr>
          <w:trHeight w:val="513"/>
        </w:trPr>
        <w:tc>
          <w:tcPr>
            <w:tcW w:w="4108" w:type="dxa"/>
            <w:tcBorders>
              <w:top w:val="nil"/>
              <w:left w:val="thickThinSmallGap" w:sz="24" w:space="0" w:color="auto"/>
              <w:bottom w:val="single" w:sz="4" w:space="0" w:color="auto"/>
              <w:right w:val="double" w:sz="4" w:space="0" w:color="auto"/>
            </w:tcBorders>
            <w:shd w:val="clear" w:color="auto" w:fill="auto"/>
            <w:noWrap/>
            <w:vAlign w:val="bottom"/>
            <w:hideMark/>
          </w:tcPr>
          <w:p w14:paraId="248467DF" w14:textId="77777777" w:rsidR="00400C1F" w:rsidRPr="00942F86" w:rsidRDefault="00400C1F" w:rsidP="000455AC">
            <w:pPr>
              <w:spacing w:line="264" w:lineRule="auto"/>
              <w:rPr>
                <w:sz w:val="25"/>
                <w:szCs w:val="25"/>
              </w:rPr>
            </w:pPr>
            <w:r w:rsidRPr="00942F86">
              <w:rPr>
                <w:i/>
                <w:sz w:val="25"/>
                <w:szCs w:val="25"/>
              </w:rPr>
              <w:t>Pro Forma</w:t>
            </w:r>
            <w:r w:rsidRPr="00942F86">
              <w:rPr>
                <w:sz w:val="25"/>
                <w:szCs w:val="25"/>
              </w:rPr>
              <w:t xml:space="preserve"> </w:t>
            </w:r>
            <w:proofErr w:type="spellStart"/>
            <w:r w:rsidRPr="00942F86">
              <w:rPr>
                <w:sz w:val="25"/>
                <w:szCs w:val="25"/>
              </w:rPr>
              <w:t>NOI</w:t>
            </w:r>
            <w:proofErr w:type="spellEnd"/>
          </w:p>
        </w:tc>
        <w:tc>
          <w:tcPr>
            <w:tcW w:w="2096" w:type="dxa"/>
            <w:tcBorders>
              <w:top w:val="nil"/>
              <w:left w:val="double" w:sz="4" w:space="0" w:color="auto"/>
              <w:bottom w:val="single" w:sz="4" w:space="0" w:color="auto"/>
              <w:right w:val="thinThickSmallGap" w:sz="24" w:space="0" w:color="auto"/>
            </w:tcBorders>
            <w:shd w:val="clear" w:color="auto" w:fill="auto"/>
            <w:noWrap/>
            <w:vAlign w:val="bottom"/>
          </w:tcPr>
          <w:p w14:paraId="06919FBF" w14:textId="183205EF" w:rsidR="00400C1F" w:rsidRPr="00942F86" w:rsidRDefault="00400C1F" w:rsidP="000455AC">
            <w:pPr>
              <w:spacing w:line="264" w:lineRule="auto"/>
              <w:jc w:val="right"/>
              <w:rPr>
                <w:sz w:val="25"/>
                <w:szCs w:val="25"/>
              </w:rPr>
            </w:pPr>
            <w:r w:rsidRPr="00942F86">
              <w:rPr>
                <w:sz w:val="25"/>
                <w:szCs w:val="25"/>
              </w:rPr>
              <w:t>53,850,896</w:t>
            </w:r>
          </w:p>
        </w:tc>
      </w:tr>
      <w:tr w:rsidR="00400C1F" w:rsidRPr="00942F86" w14:paraId="25FDA5D3" w14:textId="77777777" w:rsidTr="00127C47">
        <w:trPr>
          <w:trHeight w:val="255"/>
        </w:trPr>
        <w:tc>
          <w:tcPr>
            <w:tcW w:w="4108" w:type="dxa"/>
            <w:tcBorders>
              <w:top w:val="nil"/>
              <w:left w:val="thickThinSmallGap" w:sz="24" w:space="0" w:color="auto"/>
              <w:bottom w:val="nil"/>
              <w:right w:val="double" w:sz="4" w:space="0" w:color="auto"/>
            </w:tcBorders>
            <w:shd w:val="clear" w:color="auto" w:fill="auto"/>
            <w:noWrap/>
            <w:vAlign w:val="bottom"/>
            <w:hideMark/>
          </w:tcPr>
          <w:p w14:paraId="01A9A8F2" w14:textId="77777777" w:rsidR="00400C1F" w:rsidRPr="00942F86" w:rsidRDefault="00400C1F" w:rsidP="000455AC">
            <w:pPr>
              <w:spacing w:line="264" w:lineRule="auto"/>
              <w:rPr>
                <w:sz w:val="25"/>
                <w:szCs w:val="25"/>
              </w:rPr>
            </w:pPr>
            <w:r w:rsidRPr="00942F86">
              <w:rPr>
                <w:sz w:val="25"/>
                <w:szCs w:val="25"/>
              </w:rPr>
              <w:t>Operating Income Deficiency</w:t>
            </w:r>
          </w:p>
        </w:tc>
        <w:tc>
          <w:tcPr>
            <w:tcW w:w="2096" w:type="dxa"/>
            <w:tcBorders>
              <w:top w:val="nil"/>
              <w:left w:val="double" w:sz="4" w:space="0" w:color="auto"/>
              <w:bottom w:val="nil"/>
              <w:right w:val="thinThickSmallGap" w:sz="24" w:space="0" w:color="auto"/>
            </w:tcBorders>
            <w:shd w:val="clear" w:color="auto" w:fill="auto"/>
            <w:noWrap/>
            <w:vAlign w:val="bottom"/>
          </w:tcPr>
          <w:p w14:paraId="64C2F353" w14:textId="521A5034" w:rsidR="00400C1F" w:rsidRPr="00942F86" w:rsidRDefault="00400C1F" w:rsidP="000455AC">
            <w:pPr>
              <w:spacing w:line="264" w:lineRule="auto"/>
              <w:jc w:val="right"/>
              <w:rPr>
                <w:sz w:val="25"/>
                <w:szCs w:val="25"/>
              </w:rPr>
            </w:pPr>
            <w:r w:rsidRPr="00942F86">
              <w:rPr>
                <w:sz w:val="25"/>
                <w:szCs w:val="25"/>
              </w:rPr>
              <w:t>$5,928,142</w:t>
            </w:r>
          </w:p>
        </w:tc>
      </w:tr>
      <w:tr w:rsidR="00400C1F" w:rsidRPr="00942F86" w14:paraId="110138AE" w14:textId="77777777" w:rsidTr="00E05A86">
        <w:trPr>
          <w:trHeight w:val="477"/>
        </w:trPr>
        <w:tc>
          <w:tcPr>
            <w:tcW w:w="4108" w:type="dxa"/>
            <w:tcBorders>
              <w:top w:val="nil"/>
              <w:left w:val="thickThinSmallGap" w:sz="24" w:space="0" w:color="auto"/>
              <w:bottom w:val="single" w:sz="4" w:space="0" w:color="auto"/>
              <w:right w:val="double" w:sz="4" w:space="0" w:color="auto"/>
            </w:tcBorders>
            <w:shd w:val="clear" w:color="auto" w:fill="auto"/>
            <w:noWrap/>
            <w:vAlign w:val="bottom"/>
            <w:hideMark/>
          </w:tcPr>
          <w:p w14:paraId="43B3AFAB" w14:textId="77777777" w:rsidR="00400C1F" w:rsidRPr="00942F86" w:rsidRDefault="00400C1F" w:rsidP="000455AC">
            <w:pPr>
              <w:spacing w:line="264" w:lineRule="auto"/>
              <w:rPr>
                <w:sz w:val="25"/>
                <w:szCs w:val="25"/>
              </w:rPr>
            </w:pPr>
            <w:r w:rsidRPr="00942F86">
              <w:rPr>
                <w:sz w:val="25"/>
                <w:szCs w:val="25"/>
              </w:rPr>
              <w:t>Conversion Factor</w:t>
            </w:r>
          </w:p>
        </w:tc>
        <w:tc>
          <w:tcPr>
            <w:tcW w:w="2096" w:type="dxa"/>
            <w:tcBorders>
              <w:top w:val="nil"/>
              <w:left w:val="double" w:sz="4" w:space="0" w:color="auto"/>
              <w:bottom w:val="single" w:sz="4" w:space="0" w:color="auto"/>
              <w:right w:val="thinThickSmallGap" w:sz="24" w:space="0" w:color="auto"/>
            </w:tcBorders>
            <w:shd w:val="clear" w:color="auto" w:fill="auto"/>
            <w:noWrap/>
            <w:vAlign w:val="bottom"/>
          </w:tcPr>
          <w:p w14:paraId="5F671799" w14:textId="5683C570" w:rsidR="00400C1F" w:rsidRPr="00942F86" w:rsidRDefault="00400C1F" w:rsidP="000455AC">
            <w:pPr>
              <w:spacing w:line="264" w:lineRule="auto"/>
              <w:jc w:val="right"/>
              <w:rPr>
                <w:sz w:val="25"/>
                <w:szCs w:val="25"/>
              </w:rPr>
            </w:pPr>
            <w:r w:rsidRPr="00942F86">
              <w:rPr>
                <w:sz w:val="25"/>
                <w:szCs w:val="25"/>
              </w:rPr>
              <w:t>0.61955</w:t>
            </w:r>
          </w:p>
        </w:tc>
      </w:tr>
      <w:tr w:rsidR="003E6A7D" w:rsidRPr="00942F86" w14:paraId="50A45415" w14:textId="77777777" w:rsidTr="00E05A86">
        <w:trPr>
          <w:trHeight w:val="377"/>
        </w:trPr>
        <w:tc>
          <w:tcPr>
            <w:tcW w:w="4108" w:type="dxa"/>
            <w:tcBorders>
              <w:top w:val="single" w:sz="4" w:space="0" w:color="auto"/>
              <w:left w:val="thickThinSmallGap" w:sz="24" w:space="0" w:color="auto"/>
              <w:bottom w:val="thickThinSmallGap" w:sz="24" w:space="0" w:color="auto"/>
              <w:right w:val="double" w:sz="4" w:space="0" w:color="auto"/>
            </w:tcBorders>
            <w:shd w:val="clear" w:color="auto" w:fill="auto"/>
            <w:noWrap/>
            <w:vAlign w:val="bottom"/>
            <w:hideMark/>
          </w:tcPr>
          <w:p w14:paraId="76E8147E" w14:textId="77777777" w:rsidR="003E6A7D" w:rsidRPr="00942F86" w:rsidRDefault="003E6A7D" w:rsidP="000455AC">
            <w:pPr>
              <w:spacing w:line="264" w:lineRule="auto"/>
              <w:rPr>
                <w:sz w:val="25"/>
                <w:szCs w:val="25"/>
              </w:rPr>
            </w:pPr>
            <w:r w:rsidRPr="00942F86">
              <w:rPr>
                <w:sz w:val="25"/>
                <w:szCs w:val="25"/>
              </w:rPr>
              <w:t xml:space="preserve">Gross Revenue Requirement Increase </w:t>
            </w:r>
          </w:p>
        </w:tc>
        <w:tc>
          <w:tcPr>
            <w:tcW w:w="2096" w:type="dxa"/>
            <w:tcBorders>
              <w:top w:val="single" w:sz="4" w:space="0" w:color="auto"/>
              <w:left w:val="double" w:sz="4" w:space="0" w:color="auto"/>
              <w:bottom w:val="thickThinSmallGap" w:sz="24" w:space="0" w:color="auto"/>
              <w:right w:val="thinThickSmallGap" w:sz="24" w:space="0" w:color="auto"/>
            </w:tcBorders>
            <w:shd w:val="clear" w:color="auto" w:fill="auto"/>
            <w:noWrap/>
            <w:vAlign w:val="bottom"/>
          </w:tcPr>
          <w:p w14:paraId="40672933" w14:textId="028DB3A8" w:rsidR="003E6A7D" w:rsidRPr="00942F86" w:rsidRDefault="00400C1F" w:rsidP="000455AC">
            <w:pPr>
              <w:spacing w:line="264" w:lineRule="auto"/>
              <w:jc w:val="right"/>
              <w:rPr>
                <w:sz w:val="25"/>
                <w:szCs w:val="25"/>
              </w:rPr>
            </w:pPr>
            <w:r w:rsidRPr="00942F86">
              <w:rPr>
                <w:sz w:val="25"/>
                <w:szCs w:val="25"/>
              </w:rPr>
              <w:t>$9,568,464</w:t>
            </w:r>
          </w:p>
        </w:tc>
      </w:tr>
    </w:tbl>
    <w:p w14:paraId="1D4895FC" w14:textId="6BB775BE" w:rsidR="00A5673E" w:rsidRDefault="00A5673E" w:rsidP="000455AC">
      <w:pPr>
        <w:spacing w:line="264" w:lineRule="auto"/>
        <w:rPr>
          <w:b/>
          <w:bCs/>
          <w:sz w:val="25"/>
          <w:szCs w:val="25"/>
        </w:rPr>
      </w:pPr>
    </w:p>
    <w:p w14:paraId="782CF2F4" w14:textId="77777777" w:rsidR="00A5673E" w:rsidRDefault="00A5673E">
      <w:pPr>
        <w:rPr>
          <w:b/>
          <w:bCs/>
          <w:sz w:val="25"/>
          <w:szCs w:val="25"/>
        </w:rPr>
      </w:pPr>
      <w:r>
        <w:rPr>
          <w:b/>
          <w:bCs/>
          <w:sz w:val="25"/>
          <w:szCs w:val="25"/>
        </w:rPr>
        <w:br w:type="page"/>
      </w:r>
    </w:p>
    <w:p w14:paraId="60BDC83B" w14:textId="77777777" w:rsidR="00FC421A" w:rsidRDefault="00FC421A" w:rsidP="000455AC">
      <w:pPr>
        <w:spacing w:line="264" w:lineRule="auto"/>
        <w:rPr>
          <w:b/>
          <w:bCs/>
          <w:sz w:val="25"/>
          <w:szCs w:val="25"/>
        </w:rPr>
      </w:pPr>
    </w:p>
    <w:p w14:paraId="0FC03CC6" w14:textId="77777777" w:rsidR="0000149F" w:rsidRPr="00942F86" w:rsidRDefault="0000149F" w:rsidP="000455AC">
      <w:pPr>
        <w:pStyle w:val="Heading3"/>
        <w:spacing w:before="0" w:after="0"/>
        <w:rPr>
          <w:rFonts w:cs="Times New Roman"/>
        </w:rPr>
      </w:pPr>
      <w:bookmarkStart w:id="37" w:name="_Toc153351917"/>
      <w:bookmarkStart w:id="38" w:name="_Toc252797500"/>
      <w:bookmarkStart w:id="39" w:name="_Toc153351918"/>
      <w:bookmarkStart w:id="40" w:name="_Toc252797501"/>
      <w:bookmarkStart w:id="41" w:name="_Toc415037632"/>
      <w:bookmarkEnd w:id="34"/>
      <w:bookmarkEnd w:id="35"/>
      <w:r w:rsidRPr="00942F86">
        <w:rPr>
          <w:rFonts w:cs="Times New Roman"/>
        </w:rPr>
        <w:t>Rates to Customers</w:t>
      </w:r>
      <w:bookmarkEnd w:id="41"/>
    </w:p>
    <w:p w14:paraId="7B320656" w14:textId="77777777" w:rsidR="00752AA2" w:rsidRPr="00942F86" w:rsidRDefault="00752AA2" w:rsidP="000455AC">
      <w:pPr>
        <w:spacing w:line="264" w:lineRule="auto"/>
        <w:rPr>
          <w:sz w:val="25"/>
          <w:szCs w:val="25"/>
        </w:rPr>
      </w:pPr>
    </w:p>
    <w:p w14:paraId="5CE83DC3" w14:textId="77777777" w:rsidR="0000149F" w:rsidRPr="00942F86" w:rsidRDefault="00A55C62" w:rsidP="00883A54">
      <w:pPr>
        <w:pStyle w:val="Heading4"/>
        <w:numPr>
          <w:ilvl w:val="0"/>
          <w:numId w:val="44"/>
        </w:numPr>
      </w:pPr>
      <w:bookmarkStart w:id="42" w:name="_Toc415037633"/>
      <w:r w:rsidRPr="00942F86">
        <w:t>Cost of Service</w:t>
      </w:r>
      <w:r w:rsidR="0000149F" w:rsidRPr="00942F86">
        <w:t xml:space="preserve"> Study</w:t>
      </w:r>
      <w:bookmarkEnd w:id="42"/>
    </w:p>
    <w:p w14:paraId="3BB036C7" w14:textId="77777777" w:rsidR="00752AA2" w:rsidRPr="00942F86" w:rsidRDefault="00752AA2" w:rsidP="000455AC">
      <w:pPr>
        <w:spacing w:line="264" w:lineRule="auto"/>
        <w:rPr>
          <w:sz w:val="25"/>
          <w:szCs w:val="25"/>
        </w:rPr>
      </w:pPr>
    </w:p>
    <w:p w14:paraId="71D81B40" w14:textId="303BC64B" w:rsidR="00B72D74" w:rsidRPr="00942F86" w:rsidRDefault="00B72D74" w:rsidP="00E0533F">
      <w:pPr>
        <w:pStyle w:val="Heading5"/>
        <w:spacing w:before="0" w:after="0" w:line="264" w:lineRule="auto"/>
        <w:ind w:firstLine="0"/>
        <w:rPr>
          <w:szCs w:val="25"/>
        </w:rPr>
      </w:pPr>
      <w:bookmarkStart w:id="43" w:name="_Toc415037634"/>
      <w:r w:rsidRPr="00942F86">
        <w:rPr>
          <w:szCs w:val="25"/>
        </w:rPr>
        <w:t>Classification of Generation and Transmission Costs</w:t>
      </w:r>
      <w:bookmarkEnd w:id="43"/>
    </w:p>
    <w:p w14:paraId="549646C4" w14:textId="77777777" w:rsidR="0000149F" w:rsidRPr="00942F86" w:rsidRDefault="0000149F" w:rsidP="000455AC">
      <w:pPr>
        <w:spacing w:line="264" w:lineRule="auto"/>
        <w:rPr>
          <w:sz w:val="25"/>
          <w:szCs w:val="25"/>
        </w:rPr>
      </w:pPr>
    </w:p>
    <w:p w14:paraId="5050C82C" w14:textId="09578ABC" w:rsidR="006E13D7" w:rsidRPr="00942F86" w:rsidRDefault="00901343" w:rsidP="00FC421A">
      <w:pPr>
        <w:numPr>
          <w:ilvl w:val="0"/>
          <w:numId w:val="1"/>
        </w:numPr>
        <w:tabs>
          <w:tab w:val="clear" w:pos="720"/>
          <w:tab w:val="num" w:pos="0"/>
        </w:tabs>
        <w:spacing w:line="264" w:lineRule="auto"/>
        <w:ind w:left="0"/>
        <w:rPr>
          <w:sz w:val="25"/>
          <w:szCs w:val="25"/>
        </w:rPr>
      </w:pPr>
      <w:r w:rsidRPr="00942F86">
        <w:rPr>
          <w:sz w:val="25"/>
          <w:szCs w:val="25"/>
        </w:rPr>
        <w:t>Pacific Power propose</w:t>
      </w:r>
      <w:r w:rsidR="00027512" w:rsidRPr="00942F86">
        <w:rPr>
          <w:sz w:val="25"/>
          <w:szCs w:val="25"/>
        </w:rPr>
        <w:t>d in its cost of service study</w:t>
      </w:r>
      <w:r w:rsidR="00A4734B" w:rsidRPr="00942F86">
        <w:rPr>
          <w:sz w:val="25"/>
          <w:szCs w:val="25"/>
        </w:rPr>
        <w:t xml:space="preserve"> (</w:t>
      </w:r>
      <w:proofErr w:type="spellStart"/>
      <w:r w:rsidR="00A4734B" w:rsidRPr="00942F86">
        <w:rPr>
          <w:sz w:val="25"/>
          <w:szCs w:val="25"/>
        </w:rPr>
        <w:t>COSS</w:t>
      </w:r>
      <w:proofErr w:type="spellEnd"/>
      <w:r w:rsidR="00A4734B" w:rsidRPr="00942F86">
        <w:rPr>
          <w:sz w:val="25"/>
          <w:szCs w:val="25"/>
        </w:rPr>
        <w:t>)</w:t>
      </w:r>
      <w:r w:rsidR="00027512" w:rsidRPr="00942F86">
        <w:rPr>
          <w:sz w:val="25"/>
          <w:szCs w:val="25"/>
        </w:rPr>
        <w:t xml:space="preserve"> in Docket UE-130043</w:t>
      </w:r>
      <w:r w:rsidRPr="00942F86">
        <w:rPr>
          <w:sz w:val="25"/>
          <w:szCs w:val="25"/>
        </w:rPr>
        <w:t xml:space="preserve"> to use what is generally known as the Peak &amp; Average (</w:t>
      </w:r>
      <w:proofErr w:type="spellStart"/>
      <w:r w:rsidRPr="00942F86">
        <w:rPr>
          <w:sz w:val="25"/>
          <w:szCs w:val="25"/>
        </w:rPr>
        <w:t>P&amp;A</w:t>
      </w:r>
      <w:proofErr w:type="spellEnd"/>
      <w:r w:rsidRPr="00942F86">
        <w:rPr>
          <w:sz w:val="25"/>
          <w:szCs w:val="25"/>
        </w:rPr>
        <w:t>) method to classify generation and transmission plant as “demand-related” or “energy-related.”</w:t>
      </w:r>
      <w:r w:rsidRPr="00942F86">
        <w:rPr>
          <w:rStyle w:val="FootnoteReference"/>
          <w:sz w:val="25"/>
          <w:szCs w:val="25"/>
        </w:rPr>
        <w:footnoteReference w:id="272"/>
      </w:r>
      <w:r w:rsidRPr="00942F86">
        <w:rPr>
          <w:sz w:val="25"/>
          <w:szCs w:val="25"/>
        </w:rPr>
        <w:t xml:space="preserve">  </w:t>
      </w:r>
      <w:r w:rsidR="00027512" w:rsidRPr="00942F86">
        <w:rPr>
          <w:sz w:val="25"/>
          <w:szCs w:val="25"/>
        </w:rPr>
        <w:t xml:space="preserve">This replaced the Peak Credit methodology previously approved for the Company.  </w:t>
      </w:r>
      <w:r w:rsidR="006E13D7" w:rsidRPr="00942F86">
        <w:rPr>
          <w:sz w:val="25"/>
          <w:szCs w:val="25"/>
        </w:rPr>
        <w:t xml:space="preserve">Mr. Watkins, testifying for Public Counsel, </w:t>
      </w:r>
      <w:r w:rsidR="001E5C26" w:rsidRPr="00942F86">
        <w:rPr>
          <w:sz w:val="25"/>
          <w:szCs w:val="25"/>
        </w:rPr>
        <w:t>discusses</w:t>
      </w:r>
      <w:r w:rsidR="006E13D7" w:rsidRPr="00942F86">
        <w:rPr>
          <w:sz w:val="25"/>
          <w:szCs w:val="25"/>
        </w:rPr>
        <w:t xml:space="preserve"> that:</w:t>
      </w:r>
    </w:p>
    <w:p w14:paraId="5BBD08CA" w14:textId="77777777" w:rsidR="006E13D7" w:rsidRPr="00942F86" w:rsidRDefault="006E13D7" w:rsidP="000455AC">
      <w:pPr>
        <w:spacing w:line="264" w:lineRule="auto"/>
        <w:rPr>
          <w:sz w:val="25"/>
          <w:szCs w:val="25"/>
        </w:rPr>
      </w:pPr>
    </w:p>
    <w:p w14:paraId="71C9238E" w14:textId="34F7F6FE" w:rsidR="006E13D7" w:rsidRPr="00942F86" w:rsidRDefault="006E13D7" w:rsidP="000455AC">
      <w:pPr>
        <w:spacing w:line="264" w:lineRule="auto"/>
        <w:ind w:left="720" w:right="720"/>
        <w:rPr>
          <w:sz w:val="25"/>
          <w:szCs w:val="25"/>
        </w:rPr>
      </w:pPr>
      <w:r w:rsidRPr="00942F86">
        <w:rPr>
          <w:sz w:val="25"/>
          <w:szCs w:val="25"/>
          <w:lang w:val="en-CA"/>
        </w:rPr>
        <w:t xml:space="preserve">The </w:t>
      </w:r>
      <w:proofErr w:type="spellStart"/>
      <w:r w:rsidRPr="00942F86">
        <w:rPr>
          <w:sz w:val="25"/>
          <w:szCs w:val="25"/>
          <w:lang w:val="en-CA"/>
        </w:rPr>
        <w:t>P&amp;A</w:t>
      </w:r>
      <w:proofErr w:type="spellEnd"/>
      <w:r w:rsidRPr="00942F86">
        <w:rPr>
          <w:sz w:val="25"/>
          <w:szCs w:val="25"/>
          <w:lang w:val="en-CA"/>
        </w:rPr>
        <w:t xml:space="preserve"> and Peak Credit methods are distinctly different both conceptually as well as mathematically.  The </w:t>
      </w:r>
      <w:proofErr w:type="spellStart"/>
      <w:r w:rsidRPr="00942F86">
        <w:rPr>
          <w:sz w:val="25"/>
          <w:szCs w:val="25"/>
          <w:lang w:val="en-CA"/>
        </w:rPr>
        <w:t>P&amp;A</w:t>
      </w:r>
      <w:proofErr w:type="spellEnd"/>
      <w:r w:rsidRPr="00942F86">
        <w:rPr>
          <w:sz w:val="25"/>
          <w:szCs w:val="25"/>
          <w:lang w:val="en-CA"/>
        </w:rPr>
        <w:t xml:space="preserve"> and Peak Credit methods both recognize energy usage and peak load (demand).  However, the Peak Credit method, also known as the Equivalent Peaker method in other jurisdictions, combines certain aspects of traditional embedded cost methods with those used in forward-looking marginal costs studies, whereas the </w:t>
      </w:r>
      <w:proofErr w:type="spellStart"/>
      <w:r w:rsidRPr="00942F86">
        <w:rPr>
          <w:sz w:val="25"/>
          <w:szCs w:val="25"/>
          <w:lang w:val="en-CA"/>
        </w:rPr>
        <w:t>P&amp;A</w:t>
      </w:r>
      <w:proofErr w:type="spellEnd"/>
      <w:r w:rsidRPr="00942F86">
        <w:rPr>
          <w:sz w:val="25"/>
          <w:szCs w:val="25"/>
          <w:lang w:val="en-CA"/>
        </w:rPr>
        <w:t xml:space="preserve"> method is strictly an embedded (historical) cost allocation approach.</w:t>
      </w:r>
      <w:r w:rsidRPr="00942F86">
        <w:rPr>
          <w:rStyle w:val="FootnoteReference"/>
          <w:sz w:val="25"/>
          <w:szCs w:val="25"/>
          <w:lang w:val="en-CA"/>
        </w:rPr>
        <w:footnoteReference w:id="273"/>
      </w:r>
    </w:p>
    <w:p w14:paraId="4C65E16A" w14:textId="77777777" w:rsidR="006E13D7" w:rsidRPr="00942F86" w:rsidRDefault="006E13D7" w:rsidP="000455AC">
      <w:pPr>
        <w:spacing w:line="264" w:lineRule="auto"/>
        <w:rPr>
          <w:sz w:val="25"/>
          <w:szCs w:val="25"/>
        </w:rPr>
      </w:pPr>
    </w:p>
    <w:p w14:paraId="4108961B" w14:textId="35D9ACDE" w:rsidR="00CF0ED8" w:rsidRPr="00942F86" w:rsidRDefault="00027512" w:rsidP="00FC421A">
      <w:pPr>
        <w:numPr>
          <w:ilvl w:val="0"/>
          <w:numId w:val="1"/>
        </w:numPr>
        <w:tabs>
          <w:tab w:val="clear" w:pos="720"/>
          <w:tab w:val="num" w:pos="0"/>
        </w:tabs>
        <w:spacing w:line="264" w:lineRule="auto"/>
        <w:ind w:left="0"/>
        <w:rPr>
          <w:sz w:val="25"/>
          <w:szCs w:val="25"/>
        </w:rPr>
      </w:pPr>
      <w:r w:rsidRPr="00942F86">
        <w:rPr>
          <w:sz w:val="25"/>
          <w:szCs w:val="25"/>
        </w:rPr>
        <w:t xml:space="preserve">The Commission approved </w:t>
      </w:r>
      <w:r w:rsidR="00CF0ED8" w:rsidRPr="00942F86">
        <w:rPr>
          <w:sz w:val="25"/>
          <w:szCs w:val="25"/>
        </w:rPr>
        <w:t xml:space="preserve">use of </w:t>
      </w:r>
      <w:r w:rsidRPr="00942F86">
        <w:rPr>
          <w:sz w:val="25"/>
          <w:szCs w:val="25"/>
        </w:rPr>
        <w:t xml:space="preserve">the </w:t>
      </w:r>
      <w:proofErr w:type="spellStart"/>
      <w:r w:rsidRPr="00942F86">
        <w:rPr>
          <w:sz w:val="25"/>
          <w:szCs w:val="25"/>
        </w:rPr>
        <w:t>P&amp;A</w:t>
      </w:r>
      <w:proofErr w:type="spellEnd"/>
      <w:r w:rsidRPr="00942F86">
        <w:rPr>
          <w:sz w:val="25"/>
          <w:szCs w:val="25"/>
        </w:rPr>
        <w:t xml:space="preserve"> method as part of a partial settlement in the 2013 case</w:t>
      </w:r>
      <w:r w:rsidR="00CF0ED8" w:rsidRPr="00942F86">
        <w:rPr>
          <w:sz w:val="25"/>
          <w:szCs w:val="25"/>
        </w:rPr>
        <w:t xml:space="preserve"> with the expectation that the issue would be revisited here</w:t>
      </w:r>
      <w:r w:rsidRPr="00942F86">
        <w:rPr>
          <w:sz w:val="25"/>
          <w:szCs w:val="25"/>
        </w:rPr>
        <w:t>.</w:t>
      </w:r>
      <w:r w:rsidRPr="00942F86">
        <w:rPr>
          <w:rStyle w:val="FootnoteReference"/>
          <w:sz w:val="25"/>
          <w:szCs w:val="25"/>
        </w:rPr>
        <w:footnoteReference w:id="274"/>
      </w:r>
      <w:r w:rsidRPr="00942F86">
        <w:rPr>
          <w:sz w:val="25"/>
          <w:szCs w:val="25"/>
        </w:rPr>
        <w:t xml:space="preserve"> </w:t>
      </w:r>
      <w:r w:rsidR="006E13D7" w:rsidRPr="00942F86">
        <w:rPr>
          <w:sz w:val="25"/>
          <w:szCs w:val="25"/>
        </w:rPr>
        <w:t xml:space="preserve"> </w:t>
      </w:r>
      <w:r w:rsidR="00A4734B" w:rsidRPr="00942F86">
        <w:rPr>
          <w:sz w:val="25"/>
          <w:szCs w:val="25"/>
        </w:rPr>
        <w:t xml:space="preserve">Company witness </w:t>
      </w:r>
      <w:r w:rsidR="00901343" w:rsidRPr="00942F86">
        <w:rPr>
          <w:sz w:val="25"/>
          <w:szCs w:val="25"/>
        </w:rPr>
        <w:t xml:space="preserve">Ms. Steward uses the same calculation </w:t>
      </w:r>
      <w:r w:rsidR="00CF0ED8" w:rsidRPr="00942F86">
        <w:rPr>
          <w:sz w:val="25"/>
          <w:szCs w:val="25"/>
        </w:rPr>
        <w:t>in this case as used</w:t>
      </w:r>
      <w:r w:rsidR="00901343" w:rsidRPr="00942F86">
        <w:rPr>
          <w:sz w:val="25"/>
          <w:szCs w:val="25"/>
        </w:rPr>
        <w:t xml:space="preserve"> in the Company’s 2013 Rate Case</w:t>
      </w:r>
      <w:r w:rsidR="00CF0ED8" w:rsidRPr="00942F86">
        <w:rPr>
          <w:sz w:val="25"/>
          <w:szCs w:val="25"/>
        </w:rPr>
        <w:t xml:space="preserve"> employing</w:t>
      </w:r>
      <w:r w:rsidR="00901343" w:rsidRPr="00942F86">
        <w:rPr>
          <w:sz w:val="25"/>
          <w:szCs w:val="25"/>
        </w:rPr>
        <w:t xml:space="preserve"> the </w:t>
      </w:r>
      <w:r w:rsidR="00A4734B" w:rsidRPr="00942F86">
        <w:rPr>
          <w:sz w:val="25"/>
          <w:szCs w:val="25"/>
        </w:rPr>
        <w:t>WCA</w:t>
      </w:r>
      <w:r w:rsidR="00901343" w:rsidRPr="00942F86">
        <w:rPr>
          <w:sz w:val="25"/>
          <w:szCs w:val="25"/>
        </w:rPr>
        <w:t xml:space="preserve"> system diversified load factor (</w:t>
      </w:r>
      <w:proofErr w:type="spellStart"/>
      <w:r w:rsidR="00901343" w:rsidRPr="00942F86">
        <w:rPr>
          <w:sz w:val="25"/>
          <w:szCs w:val="25"/>
        </w:rPr>
        <w:t>SDLF</w:t>
      </w:r>
      <w:proofErr w:type="spellEnd"/>
      <w:r w:rsidR="00901343" w:rsidRPr="00942F86">
        <w:rPr>
          <w:sz w:val="25"/>
          <w:szCs w:val="25"/>
        </w:rPr>
        <w:t>) to determine the proportion of generation and transmission costs that are demand related</w:t>
      </w:r>
      <w:r w:rsidR="00CF0ED8" w:rsidRPr="00942F86">
        <w:rPr>
          <w:sz w:val="25"/>
          <w:szCs w:val="25"/>
        </w:rPr>
        <w:t xml:space="preserve">.  This </w:t>
      </w:r>
      <w:r w:rsidR="00901343" w:rsidRPr="00942F86">
        <w:rPr>
          <w:sz w:val="25"/>
          <w:szCs w:val="25"/>
        </w:rPr>
        <w:t>result</w:t>
      </w:r>
      <w:r w:rsidR="00CF0ED8" w:rsidRPr="00942F86">
        <w:rPr>
          <w:sz w:val="25"/>
          <w:szCs w:val="25"/>
        </w:rPr>
        <w:t>s</w:t>
      </w:r>
      <w:r w:rsidR="00901343" w:rsidRPr="00942F86">
        <w:rPr>
          <w:sz w:val="25"/>
          <w:szCs w:val="25"/>
        </w:rPr>
        <w:t xml:space="preserve"> in 43 percent of generation and transmission costs classified as demand related and the remaining 57 percent of costs classified as energy related.</w:t>
      </w:r>
    </w:p>
    <w:p w14:paraId="11F8FA23" w14:textId="0173630D" w:rsidR="00901343" w:rsidRPr="00942F86" w:rsidRDefault="00901343" w:rsidP="000455AC">
      <w:pPr>
        <w:spacing w:line="264" w:lineRule="auto"/>
        <w:rPr>
          <w:sz w:val="25"/>
          <w:szCs w:val="25"/>
        </w:rPr>
      </w:pPr>
      <w:r w:rsidRPr="00942F86">
        <w:rPr>
          <w:sz w:val="25"/>
          <w:szCs w:val="25"/>
        </w:rPr>
        <w:t xml:space="preserve">  </w:t>
      </w:r>
    </w:p>
    <w:p w14:paraId="1BBC3FA6" w14:textId="5D37101E" w:rsidR="00B72D74" w:rsidRPr="00942F86" w:rsidRDefault="00B72D74" w:rsidP="00FC421A">
      <w:pPr>
        <w:numPr>
          <w:ilvl w:val="0"/>
          <w:numId w:val="1"/>
        </w:numPr>
        <w:tabs>
          <w:tab w:val="clear" w:pos="720"/>
          <w:tab w:val="num" w:pos="0"/>
        </w:tabs>
        <w:spacing w:line="264" w:lineRule="auto"/>
        <w:ind w:left="0"/>
        <w:rPr>
          <w:b/>
          <w:sz w:val="25"/>
          <w:szCs w:val="25"/>
        </w:rPr>
      </w:pPr>
      <w:r w:rsidRPr="00942F86">
        <w:rPr>
          <w:sz w:val="25"/>
          <w:szCs w:val="25"/>
        </w:rPr>
        <w:lastRenderedPageBreak/>
        <w:t xml:space="preserve">Public Counsel </w:t>
      </w:r>
      <w:r w:rsidR="006E13D7" w:rsidRPr="00942F86">
        <w:rPr>
          <w:sz w:val="25"/>
          <w:szCs w:val="25"/>
        </w:rPr>
        <w:t>does not oppose</w:t>
      </w:r>
      <w:r w:rsidRPr="00942F86">
        <w:rPr>
          <w:sz w:val="25"/>
          <w:szCs w:val="25"/>
        </w:rPr>
        <w:t xml:space="preserve"> the use of the </w:t>
      </w:r>
      <w:proofErr w:type="spellStart"/>
      <w:r w:rsidRPr="00942F86">
        <w:rPr>
          <w:sz w:val="25"/>
          <w:szCs w:val="25"/>
        </w:rPr>
        <w:t>P&amp;A</w:t>
      </w:r>
      <w:proofErr w:type="spellEnd"/>
      <w:r w:rsidRPr="00942F86">
        <w:rPr>
          <w:sz w:val="25"/>
          <w:szCs w:val="25"/>
        </w:rPr>
        <w:t xml:space="preserve"> method but disagrees with the number of coincidental peak</w:t>
      </w:r>
      <w:r w:rsidR="003674E2" w:rsidRPr="00942F86">
        <w:rPr>
          <w:sz w:val="25"/>
          <w:szCs w:val="25"/>
        </w:rPr>
        <w:t xml:space="preserve"> (</w:t>
      </w:r>
      <w:proofErr w:type="spellStart"/>
      <w:r w:rsidR="003674E2" w:rsidRPr="00942F86">
        <w:rPr>
          <w:sz w:val="25"/>
          <w:szCs w:val="25"/>
        </w:rPr>
        <w:t>CP</w:t>
      </w:r>
      <w:proofErr w:type="spellEnd"/>
      <w:r w:rsidR="003674E2" w:rsidRPr="00942F86">
        <w:rPr>
          <w:sz w:val="25"/>
          <w:szCs w:val="25"/>
        </w:rPr>
        <w:t>)</w:t>
      </w:r>
      <w:r w:rsidRPr="00942F86">
        <w:rPr>
          <w:sz w:val="25"/>
          <w:szCs w:val="25"/>
        </w:rPr>
        <w:t xml:space="preserve"> hours the Company uses in its </w:t>
      </w:r>
      <w:proofErr w:type="spellStart"/>
      <w:r w:rsidRPr="00942F86">
        <w:rPr>
          <w:sz w:val="25"/>
          <w:szCs w:val="25"/>
        </w:rPr>
        <w:t>P&amp;A</w:t>
      </w:r>
      <w:proofErr w:type="spellEnd"/>
      <w:r w:rsidRPr="00942F86">
        <w:rPr>
          <w:sz w:val="25"/>
          <w:szCs w:val="25"/>
        </w:rPr>
        <w:t xml:space="preserve"> method.  Public Counsel</w:t>
      </w:r>
      <w:r w:rsidR="00CF0ED8" w:rsidRPr="00942F86">
        <w:rPr>
          <w:sz w:val="25"/>
          <w:szCs w:val="25"/>
        </w:rPr>
        <w:t xml:space="preserve"> is concerned about the “reasonableness and stability” of the Company’s reliance on the single highest hour of system peak (1-</w:t>
      </w:r>
      <w:proofErr w:type="spellStart"/>
      <w:r w:rsidR="00CF0ED8" w:rsidRPr="00942F86">
        <w:rPr>
          <w:sz w:val="25"/>
          <w:szCs w:val="25"/>
        </w:rPr>
        <w:t>CP</w:t>
      </w:r>
      <w:proofErr w:type="spellEnd"/>
      <w:r w:rsidR="00CF0ED8" w:rsidRPr="00942F86">
        <w:rPr>
          <w:sz w:val="25"/>
          <w:szCs w:val="25"/>
        </w:rPr>
        <w:t>)</w:t>
      </w:r>
      <w:r w:rsidR="00D55877" w:rsidRPr="00942F86">
        <w:rPr>
          <w:sz w:val="25"/>
          <w:szCs w:val="25"/>
        </w:rPr>
        <w:t xml:space="preserve"> to classify costs to demand</w:t>
      </w:r>
      <w:r w:rsidRPr="00942F86">
        <w:rPr>
          <w:sz w:val="25"/>
          <w:szCs w:val="25"/>
        </w:rPr>
        <w:t>.</w:t>
      </w:r>
      <w:r w:rsidRPr="00942F86">
        <w:rPr>
          <w:rStyle w:val="FootnoteReference"/>
          <w:sz w:val="25"/>
          <w:szCs w:val="25"/>
        </w:rPr>
        <w:footnoteReference w:id="275"/>
      </w:r>
      <w:r w:rsidRPr="00942F86">
        <w:rPr>
          <w:sz w:val="25"/>
          <w:szCs w:val="25"/>
        </w:rPr>
        <w:t xml:space="preserve">  Public Counsel recommends using</w:t>
      </w:r>
      <w:r w:rsidR="00D55877" w:rsidRPr="00942F86">
        <w:rPr>
          <w:sz w:val="25"/>
          <w:szCs w:val="25"/>
        </w:rPr>
        <w:t xml:space="preserve"> instead</w:t>
      </w:r>
      <w:r w:rsidRPr="00942F86">
        <w:rPr>
          <w:sz w:val="25"/>
          <w:szCs w:val="25"/>
        </w:rPr>
        <w:t xml:space="preserve"> the</w:t>
      </w:r>
      <w:r w:rsidR="00D55877" w:rsidRPr="00942F86">
        <w:rPr>
          <w:sz w:val="25"/>
          <w:szCs w:val="25"/>
        </w:rPr>
        <w:t xml:space="preserve"> Company’s</w:t>
      </w:r>
      <w:r w:rsidRPr="00942F86">
        <w:rPr>
          <w:sz w:val="25"/>
          <w:szCs w:val="25"/>
        </w:rPr>
        <w:t xml:space="preserve"> 2013 </w:t>
      </w:r>
      <w:proofErr w:type="spellStart"/>
      <w:r w:rsidRPr="00942F86">
        <w:rPr>
          <w:sz w:val="25"/>
          <w:szCs w:val="25"/>
        </w:rPr>
        <w:t>IRP</w:t>
      </w:r>
      <w:proofErr w:type="spellEnd"/>
      <w:r w:rsidRPr="00942F86">
        <w:rPr>
          <w:sz w:val="25"/>
          <w:szCs w:val="25"/>
        </w:rPr>
        <w:t xml:space="preserve"> Update</w:t>
      </w:r>
      <w:r w:rsidR="00D55877" w:rsidRPr="00942F86">
        <w:rPr>
          <w:sz w:val="25"/>
          <w:szCs w:val="25"/>
        </w:rPr>
        <w:t>,</w:t>
      </w:r>
      <w:r w:rsidRPr="00942F86">
        <w:rPr>
          <w:sz w:val="25"/>
          <w:szCs w:val="25"/>
        </w:rPr>
        <w:t xml:space="preserve"> or in the alternative 4-</w:t>
      </w:r>
      <w:proofErr w:type="spellStart"/>
      <w:r w:rsidRPr="00942F86">
        <w:rPr>
          <w:sz w:val="25"/>
          <w:szCs w:val="25"/>
        </w:rPr>
        <w:t>CP</w:t>
      </w:r>
      <w:proofErr w:type="spellEnd"/>
      <w:r w:rsidRPr="00942F86">
        <w:rPr>
          <w:sz w:val="25"/>
          <w:szCs w:val="25"/>
        </w:rPr>
        <w:t>, 6-</w:t>
      </w:r>
      <w:proofErr w:type="spellStart"/>
      <w:r w:rsidRPr="00942F86">
        <w:rPr>
          <w:sz w:val="25"/>
          <w:szCs w:val="25"/>
        </w:rPr>
        <w:t>CP</w:t>
      </w:r>
      <w:proofErr w:type="spellEnd"/>
      <w:r w:rsidRPr="00942F86">
        <w:rPr>
          <w:sz w:val="25"/>
          <w:szCs w:val="25"/>
        </w:rPr>
        <w:t xml:space="preserve">, </w:t>
      </w:r>
      <w:r w:rsidR="00A4734B" w:rsidRPr="00942F86">
        <w:rPr>
          <w:sz w:val="25"/>
          <w:szCs w:val="25"/>
        </w:rPr>
        <w:t xml:space="preserve">or </w:t>
      </w:r>
      <w:r w:rsidRPr="00942F86">
        <w:rPr>
          <w:sz w:val="25"/>
          <w:szCs w:val="25"/>
        </w:rPr>
        <w:t>8-CP.</w:t>
      </w:r>
      <w:r w:rsidRPr="00942F86">
        <w:rPr>
          <w:rStyle w:val="FootnoteReference"/>
          <w:sz w:val="25"/>
          <w:szCs w:val="25"/>
        </w:rPr>
        <w:t xml:space="preserve"> </w:t>
      </w:r>
      <w:r w:rsidRPr="00942F86">
        <w:rPr>
          <w:rStyle w:val="FootnoteReference"/>
          <w:sz w:val="25"/>
          <w:szCs w:val="25"/>
        </w:rPr>
        <w:footnoteReference w:id="276"/>
      </w:r>
      <w:r w:rsidRPr="00942F86">
        <w:rPr>
          <w:sz w:val="25"/>
          <w:szCs w:val="25"/>
        </w:rPr>
        <w:t xml:space="preserve">  </w:t>
      </w:r>
      <w:r w:rsidR="00D55877" w:rsidRPr="00942F86">
        <w:rPr>
          <w:sz w:val="25"/>
          <w:szCs w:val="25"/>
        </w:rPr>
        <w:t xml:space="preserve">Table </w:t>
      </w:r>
      <w:r w:rsidR="004476E1" w:rsidRPr="00942F86">
        <w:rPr>
          <w:sz w:val="25"/>
          <w:szCs w:val="25"/>
        </w:rPr>
        <w:t>4</w:t>
      </w:r>
      <w:r w:rsidRPr="00942F86">
        <w:rPr>
          <w:sz w:val="25"/>
          <w:szCs w:val="25"/>
        </w:rPr>
        <w:t xml:space="preserve"> </w:t>
      </w:r>
      <w:r w:rsidR="00D55877" w:rsidRPr="00942F86">
        <w:rPr>
          <w:sz w:val="25"/>
          <w:szCs w:val="25"/>
        </w:rPr>
        <w:t>shows</w:t>
      </w:r>
      <w:r w:rsidRPr="00942F86">
        <w:rPr>
          <w:sz w:val="25"/>
          <w:szCs w:val="25"/>
        </w:rPr>
        <w:t xml:space="preserve"> </w:t>
      </w:r>
      <w:r w:rsidR="00D55877" w:rsidRPr="00942F86">
        <w:rPr>
          <w:sz w:val="25"/>
          <w:szCs w:val="25"/>
        </w:rPr>
        <w:t xml:space="preserve">the results of these alternative methodologies.  </w:t>
      </w:r>
    </w:p>
    <w:p w14:paraId="1B500FBF" w14:textId="77777777" w:rsidR="00752AA2" w:rsidRPr="00942F86" w:rsidRDefault="00752AA2" w:rsidP="000455AC">
      <w:pPr>
        <w:spacing w:line="264" w:lineRule="auto"/>
        <w:rPr>
          <w:b/>
          <w:sz w:val="25"/>
          <w:szCs w:val="25"/>
        </w:rPr>
      </w:pPr>
    </w:p>
    <w:p w14:paraId="4D1EF1E6" w14:textId="5A70B3C4" w:rsidR="00B72D74" w:rsidRPr="00942F86" w:rsidRDefault="00B72D74" w:rsidP="000455AC">
      <w:pPr>
        <w:spacing w:line="264" w:lineRule="auto"/>
        <w:jc w:val="center"/>
        <w:rPr>
          <w:sz w:val="25"/>
          <w:szCs w:val="25"/>
        </w:rPr>
      </w:pPr>
      <w:r w:rsidRPr="00942F86">
        <w:rPr>
          <w:b/>
          <w:sz w:val="25"/>
          <w:szCs w:val="25"/>
        </w:rPr>
        <w:t>Table</w:t>
      </w:r>
      <w:r w:rsidR="00D55877" w:rsidRPr="00942F86">
        <w:rPr>
          <w:b/>
          <w:sz w:val="25"/>
          <w:szCs w:val="25"/>
        </w:rPr>
        <w:t xml:space="preserve"> </w:t>
      </w:r>
      <w:r w:rsidR="004476E1" w:rsidRPr="00942F86">
        <w:rPr>
          <w:b/>
          <w:sz w:val="25"/>
          <w:szCs w:val="25"/>
        </w:rPr>
        <w:t>4</w:t>
      </w:r>
    </w:p>
    <w:tbl>
      <w:tblPr>
        <w:tblStyle w:val="TableGrid"/>
        <w:tblW w:w="8664" w:type="dxa"/>
        <w:jc w:val="center"/>
        <w:tblLook w:val="04A0" w:firstRow="1" w:lastRow="0" w:firstColumn="1" w:lastColumn="0" w:noHBand="0" w:noVBand="1"/>
      </w:tblPr>
      <w:tblGrid>
        <w:gridCol w:w="4883"/>
        <w:gridCol w:w="1418"/>
        <w:gridCol w:w="1244"/>
        <w:gridCol w:w="1119"/>
      </w:tblGrid>
      <w:tr w:rsidR="00B72D74" w:rsidRPr="00942F86" w14:paraId="13A3A781" w14:textId="77777777" w:rsidTr="00544645">
        <w:trPr>
          <w:jc w:val="center"/>
        </w:trPr>
        <w:tc>
          <w:tcPr>
            <w:tcW w:w="4883" w:type="dxa"/>
          </w:tcPr>
          <w:p w14:paraId="352E9E81" w14:textId="77777777" w:rsidR="00B72D74" w:rsidRPr="00942F86" w:rsidRDefault="00B72D74" w:rsidP="000455AC">
            <w:pPr>
              <w:spacing w:line="264" w:lineRule="auto"/>
              <w:jc w:val="center"/>
              <w:rPr>
                <w:b/>
                <w:sz w:val="25"/>
                <w:szCs w:val="25"/>
              </w:rPr>
            </w:pPr>
            <w:r w:rsidRPr="00942F86">
              <w:rPr>
                <w:b/>
                <w:sz w:val="25"/>
                <w:szCs w:val="25"/>
              </w:rPr>
              <w:t xml:space="preserve">Party Proposing &amp; Method of Calculation </w:t>
            </w:r>
          </w:p>
        </w:tc>
        <w:tc>
          <w:tcPr>
            <w:tcW w:w="1418" w:type="dxa"/>
          </w:tcPr>
          <w:p w14:paraId="58837EAC" w14:textId="77777777" w:rsidR="00B72D74" w:rsidRPr="00942F86" w:rsidRDefault="00B72D74" w:rsidP="000455AC">
            <w:pPr>
              <w:spacing w:line="264" w:lineRule="auto"/>
              <w:jc w:val="center"/>
              <w:rPr>
                <w:b/>
                <w:sz w:val="25"/>
                <w:szCs w:val="25"/>
              </w:rPr>
            </w:pPr>
            <w:r w:rsidRPr="00942F86">
              <w:rPr>
                <w:b/>
                <w:sz w:val="25"/>
                <w:szCs w:val="25"/>
              </w:rPr>
              <w:t>Year</w:t>
            </w:r>
          </w:p>
        </w:tc>
        <w:tc>
          <w:tcPr>
            <w:tcW w:w="1244" w:type="dxa"/>
          </w:tcPr>
          <w:p w14:paraId="479F7516" w14:textId="77777777" w:rsidR="00B72D74" w:rsidRPr="00942F86" w:rsidRDefault="00B72D74" w:rsidP="000455AC">
            <w:pPr>
              <w:spacing w:line="264" w:lineRule="auto"/>
              <w:jc w:val="center"/>
              <w:rPr>
                <w:b/>
                <w:sz w:val="25"/>
                <w:szCs w:val="25"/>
              </w:rPr>
            </w:pPr>
            <w:r w:rsidRPr="00942F86">
              <w:rPr>
                <w:b/>
                <w:sz w:val="25"/>
                <w:szCs w:val="25"/>
              </w:rPr>
              <w:t>Demand</w:t>
            </w:r>
          </w:p>
        </w:tc>
        <w:tc>
          <w:tcPr>
            <w:tcW w:w="1119" w:type="dxa"/>
          </w:tcPr>
          <w:p w14:paraId="4B5B9659" w14:textId="77777777" w:rsidR="00B72D74" w:rsidRPr="00942F86" w:rsidRDefault="00B72D74" w:rsidP="000455AC">
            <w:pPr>
              <w:spacing w:line="264" w:lineRule="auto"/>
              <w:jc w:val="center"/>
              <w:rPr>
                <w:b/>
                <w:sz w:val="25"/>
                <w:szCs w:val="25"/>
              </w:rPr>
            </w:pPr>
            <w:r w:rsidRPr="00942F86">
              <w:rPr>
                <w:b/>
                <w:sz w:val="25"/>
                <w:szCs w:val="25"/>
              </w:rPr>
              <w:t>Energy</w:t>
            </w:r>
          </w:p>
        </w:tc>
      </w:tr>
      <w:tr w:rsidR="00B72D74" w:rsidRPr="00942F86" w14:paraId="22274111" w14:textId="77777777" w:rsidTr="00544645">
        <w:trPr>
          <w:jc w:val="center"/>
        </w:trPr>
        <w:tc>
          <w:tcPr>
            <w:tcW w:w="4883" w:type="dxa"/>
          </w:tcPr>
          <w:p w14:paraId="085DCB2C" w14:textId="77777777" w:rsidR="00B72D74" w:rsidRPr="00942F86" w:rsidRDefault="00B72D74" w:rsidP="000455AC">
            <w:pPr>
              <w:spacing w:line="264" w:lineRule="auto"/>
              <w:jc w:val="center"/>
              <w:rPr>
                <w:sz w:val="25"/>
                <w:szCs w:val="25"/>
              </w:rPr>
            </w:pPr>
            <w:r w:rsidRPr="00942F86">
              <w:rPr>
                <w:sz w:val="25"/>
                <w:szCs w:val="25"/>
              </w:rPr>
              <w:t>Company’s 1-</w:t>
            </w:r>
            <w:proofErr w:type="spellStart"/>
            <w:r w:rsidRPr="00942F86">
              <w:rPr>
                <w:sz w:val="25"/>
                <w:szCs w:val="25"/>
              </w:rPr>
              <w:t>CP</w:t>
            </w:r>
            <w:proofErr w:type="spellEnd"/>
          </w:p>
        </w:tc>
        <w:tc>
          <w:tcPr>
            <w:tcW w:w="1418" w:type="dxa"/>
          </w:tcPr>
          <w:p w14:paraId="1147F928" w14:textId="77777777" w:rsidR="00B72D74" w:rsidRPr="00942F86" w:rsidRDefault="00B72D74" w:rsidP="000455AC">
            <w:pPr>
              <w:spacing w:line="264" w:lineRule="auto"/>
              <w:jc w:val="center"/>
              <w:rPr>
                <w:sz w:val="25"/>
                <w:szCs w:val="25"/>
              </w:rPr>
            </w:pPr>
            <w:r w:rsidRPr="00942F86">
              <w:rPr>
                <w:sz w:val="25"/>
                <w:szCs w:val="25"/>
              </w:rPr>
              <w:t>2014 GRC</w:t>
            </w:r>
          </w:p>
        </w:tc>
        <w:tc>
          <w:tcPr>
            <w:tcW w:w="1244" w:type="dxa"/>
          </w:tcPr>
          <w:p w14:paraId="112E206B" w14:textId="77777777" w:rsidR="00B72D74" w:rsidRPr="00942F86" w:rsidRDefault="00B72D74" w:rsidP="000455AC">
            <w:pPr>
              <w:spacing w:line="264" w:lineRule="auto"/>
              <w:jc w:val="center"/>
              <w:rPr>
                <w:sz w:val="25"/>
                <w:szCs w:val="25"/>
              </w:rPr>
            </w:pPr>
            <w:r w:rsidRPr="00942F86">
              <w:rPr>
                <w:sz w:val="25"/>
                <w:szCs w:val="25"/>
              </w:rPr>
              <w:t>43%</w:t>
            </w:r>
          </w:p>
        </w:tc>
        <w:tc>
          <w:tcPr>
            <w:tcW w:w="1119" w:type="dxa"/>
          </w:tcPr>
          <w:p w14:paraId="319E54C8" w14:textId="77777777" w:rsidR="00B72D74" w:rsidRPr="00942F86" w:rsidRDefault="00B72D74" w:rsidP="000455AC">
            <w:pPr>
              <w:spacing w:line="264" w:lineRule="auto"/>
              <w:jc w:val="center"/>
              <w:rPr>
                <w:sz w:val="25"/>
                <w:szCs w:val="25"/>
              </w:rPr>
            </w:pPr>
            <w:r w:rsidRPr="00942F86">
              <w:rPr>
                <w:sz w:val="25"/>
                <w:szCs w:val="25"/>
              </w:rPr>
              <w:t>57%</w:t>
            </w:r>
          </w:p>
        </w:tc>
      </w:tr>
      <w:tr w:rsidR="00B72D74" w:rsidRPr="00942F86" w14:paraId="065FA458" w14:textId="77777777" w:rsidTr="00544645">
        <w:trPr>
          <w:jc w:val="center"/>
        </w:trPr>
        <w:tc>
          <w:tcPr>
            <w:tcW w:w="4883" w:type="dxa"/>
          </w:tcPr>
          <w:p w14:paraId="56F7FCCB" w14:textId="77777777" w:rsidR="00B72D74" w:rsidRPr="00942F86" w:rsidRDefault="00B72D74" w:rsidP="000455AC">
            <w:pPr>
              <w:spacing w:line="264" w:lineRule="auto"/>
              <w:jc w:val="center"/>
              <w:rPr>
                <w:sz w:val="25"/>
                <w:szCs w:val="25"/>
              </w:rPr>
            </w:pPr>
            <w:r w:rsidRPr="00942F86">
              <w:rPr>
                <w:sz w:val="25"/>
                <w:szCs w:val="25"/>
              </w:rPr>
              <w:t xml:space="preserve">Public Counsel’s </w:t>
            </w:r>
            <w:proofErr w:type="spellStart"/>
            <w:r w:rsidRPr="00942F86">
              <w:rPr>
                <w:sz w:val="25"/>
                <w:szCs w:val="25"/>
              </w:rPr>
              <w:t>IRP</w:t>
            </w:r>
            <w:proofErr w:type="spellEnd"/>
            <w:r w:rsidRPr="00942F86">
              <w:rPr>
                <w:sz w:val="25"/>
                <w:szCs w:val="25"/>
              </w:rPr>
              <w:t xml:space="preserve"> Update</w:t>
            </w:r>
          </w:p>
        </w:tc>
        <w:tc>
          <w:tcPr>
            <w:tcW w:w="1418" w:type="dxa"/>
          </w:tcPr>
          <w:p w14:paraId="02A9ECDD" w14:textId="77777777" w:rsidR="00B72D74" w:rsidRPr="00942F86" w:rsidRDefault="00B72D74" w:rsidP="000455AC">
            <w:pPr>
              <w:spacing w:line="264" w:lineRule="auto"/>
              <w:jc w:val="center"/>
              <w:rPr>
                <w:sz w:val="25"/>
                <w:szCs w:val="25"/>
              </w:rPr>
            </w:pPr>
            <w:r w:rsidRPr="00942F86">
              <w:rPr>
                <w:sz w:val="25"/>
                <w:szCs w:val="25"/>
              </w:rPr>
              <w:t>2014 GRC</w:t>
            </w:r>
          </w:p>
        </w:tc>
        <w:tc>
          <w:tcPr>
            <w:tcW w:w="1244" w:type="dxa"/>
          </w:tcPr>
          <w:p w14:paraId="4BF08A17" w14:textId="5A86912A" w:rsidR="00B72D74" w:rsidRPr="00942F86" w:rsidRDefault="00B72D74" w:rsidP="000455AC">
            <w:pPr>
              <w:spacing w:line="264" w:lineRule="auto"/>
              <w:jc w:val="center"/>
              <w:rPr>
                <w:sz w:val="25"/>
                <w:szCs w:val="25"/>
              </w:rPr>
            </w:pPr>
            <w:r w:rsidRPr="00942F86">
              <w:rPr>
                <w:sz w:val="25"/>
                <w:szCs w:val="25"/>
              </w:rPr>
              <w:t>28%</w:t>
            </w:r>
          </w:p>
        </w:tc>
        <w:tc>
          <w:tcPr>
            <w:tcW w:w="1119" w:type="dxa"/>
          </w:tcPr>
          <w:p w14:paraId="65EE69D9" w14:textId="77777777" w:rsidR="00B72D74" w:rsidRPr="00942F86" w:rsidRDefault="00B72D74" w:rsidP="000455AC">
            <w:pPr>
              <w:spacing w:line="264" w:lineRule="auto"/>
              <w:jc w:val="center"/>
              <w:rPr>
                <w:sz w:val="25"/>
                <w:szCs w:val="25"/>
              </w:rPr>
            </w:pPr>
            <w:r w:rsidRPr="00942F86">
              <w:rPr>
                <w:sz w:val="25"/>
                <w:szCs w:val="25"/>
              </w:rPr>
              <w:t>72%</w:t>
            </w:r>
          </w:p>
        </w:tc>
      </w:tr>
      <w:tr w:rsidR="00B72D74" w:rsidRPr="00942F86" w14:paraId="618D1E72" w14:textId="77777777" w:rsidTr="00544645">
        <w:trPr>
          <w:jc w:val="center"/>
        </w:trPr>
        <w:tc>
          <w:tcPr>
            <w:tcW w:w="4883" w:type="dxa"/>
          </w:tcPr>
          <w:p w14:paraId="1E3076C6" w14:textId="2F9A5BA4" w:rsidR="00B72D74" w:rsidRPr="00942F86" w:rsidRDefault="00B72D74" w:rsidP="000455AC">
            <w:pPr>
              <w:spacing w:line="264" w:lineRule="auto"/>
              <w:jc w:val="center"/>
              <w:rPr>
                <w:sz w:val="25"/>
                <w:szCs w:val="25"/>
              </w:rPr>
            </w:pPr>
            <w:r w:rsidRPr="00942F86">
              <w:rPr>
                <w:sz w:val="25"/>
                <w:szCs w:val="25"/>
              </w:rPr>
              <w:t xml:space="preserve">Peak Credit </w:t>
            </w:r>
          </w:p>
        </w:tc>
        <w:tc>
          <w:tcPr>
            <w:tcW w:w="1418" w:type="dxa"/>
          </w:tcPr>
          <w:p w14:paraId="44494340" w14:textId="77777777" w:rsidR="00B72D74" w:rsidRPr="00942F86" w:rsidRDefault="00B72D74" w:rsidP="000455AC">
            <w:pPr>
              <w:spacing w:line="264" w:lineRule="auto"/>
              <w:jc w:val="center"/>
              <w:rPr>
                <w:sz w:val="25"/>
                <w:szCs w:val="25"/>
              </w:rPr>
            </w:pPr>
            <w:r w:rsidRPr="00942F86">
              <w:rPr>
                <w:sz w:val="25"/>
                <w:szCs w:val="25"/>
              </w:rPr>
              <w:t>2014 GRC</w:t>
            </w:r>
          </w:p>
        </w:tc>
        <w:tc>
          <w:tcPr>
            <w:tcW w:w="1244" w:type="dxa"/>
          </w:tcPr>
          <w:p w14:paraId="49A5C65E" w14:textId="77777777" w:rsidR="00B72D74" w:rsidRPr="00942F86" w:rsidRDefault="00B72D74" w:rsidP="000455AC">
            <w:pPr>
              <w:spacing w:line="264" w:lineRule="auto"/>
              <w:jc w:val="center"/>
              <w:rPr>
                <w:sz w:val="25"/>
                <w:szCs w:val="25"/>
              </w:rPr>
            </w:pPr>
            <w:r w:rsidRPr="00942F86">
              <w:rPr>
                <w:sz w:val="25"/>
                <w:szCs w:val="25"/>
              </w:rPr>
              <w:t>35%</w:t>
            </w:r>
          </w:p>
        </w:tc>
        <w:tc>
          <w:tcPr>
            <w:tcW w:w="1119" w:type="dxa"/>
          </w:tcPr>
          <w:p w14:paraId="77B7CF00" w14:textId="77777777" w:rsidR="00B72D74" w:rsidRPr="00942F86" w:rsidRDefault="00B72D74" w:rsidP="000455AC">
            <w:pPr>
              <w:spacing w:line="264" w:lineRule="auto"/>
              <w:jc w:val="center"/>
              <w:rPr>
                <w:sz w:val="25"/>
                <w:szCs w:val="25"/>
              </w:rPr>
            </w:pPr>
            <w:r w:rsidRPr="00942F86">
              <w:rPr>
                <w:sz w:val="25"/>
                <w:szCs w:val="25"/>
              </w:rPr>
              <w:t>65%</w:t>
            </w:r>
          </w:p>
        </w:tc>
      </w:tr>
      <w:tr w:rsidR="00B72D74" w:rsidRPr="00942F86" w14:paraId="732EA9BA" w14:textId="77777777" w:rsidTr="00544645">
        <w:trPr>
          <w:jc w:val="center"/>
        </w:trPr>
        <w:tc>
          <w:tcPr>
            <w:tcW w:w="4883" w:type="dxa"/>
          </w:tcPr>
          <w:p w14:paraId="7DD5E788" w14:textId="77777777" w:rsidR="00B72D74" w:rsidRPr="00942F86" w:rsidRDefault="00B72D74" w:rsidP="000455AC">
            <w:pPr>
              <w:spacing w:line="264" w:lineRule="auto"/>
              <w:jc w:val="center"/>
              <w:rPr>
                <w:sz w:val="25"/>
                <w:szCs w:val="25"/>
              </w:rPr>
            </w:pPr>
            <w:r w:rsidRPr="00942F86">
              <w:rPr>
                <w:sz w:val="25"/>
                <w:szCs w:val="25"/>
              </w:rPr>
              <w:t>Company’s 1-</w:t>
            </w:r>
            <w:proofErr w:type="spellStart"/>
            <w:r w:rsidRPr="00942F86">
              <w:rPr>
                <w:sz w:val="25"/>
                <w:szCs w:val="25"/>
              </w:rPr>
              <w:t>CP</w:t>
            </w:r>
            <w:proofErr w:type="spellEnd"/>
          </w:p>
        </w:tc>
        <w:tc>
          <w:tcPr>
            <w:tcW w:w="1418" w:type="dxa"/>
          </w:tcPr>
          <w:p w14:paraId="122050BC" w14:textId="77777777" w:rsidR="00B72D74" w:rsidRPr="00942F86" w:rsidRDefault="00B72D74" w:rsidP="000455AC">
            <w:pPr>
              <w:spacing w:line="264" w:lineRule="auto"/>
              <w:jc w:val="center"/>
              <w:rPr>
                <w:sz w:val="25"/>
                <w:szCs w:val="25"/>
              </w:rPr>
            </w:pPr>
            <w:r w:rsidRPr="00942F86">
              <w:rPr>
                <w:sz w:val="25"/>
                <w:szCs w:val="25"/>
              </w:rPr>
              <w:t>2013 GRC</w:t>
            </w:r>
          </w:p>
        </w:tc>
        <w:tc>
          <w:tcPr>
            <w:tcW w:w="1244" w:type="dxa"/>
          </w:tcPr>
          <w:p w14:paraId="7CC5E761" w14:textId="77777777" w:rsidR="00B72D74" w:rsidRPr="00942F86" w:rsidRDefault="00B72D74" w:rsidP="000455AC">
            <w:pPr>
              <w:spacing w:line="264" w:lineRule="auto"/>
              <w:jc w:val="center"/>
              <w:rPr>
                <w:sz w:val="25"/>
                <w:szCs w:val="25"/>
              </w:rPr>
            </w:pPr>
            <w:r w:rsidRPr="00942F86">
              <w:rPr>
                <w:sz w:val="25"/>
                <w:szCs w:val="25"/>
              </w:rPr>
              <w:t>38%</w:t>
            </w:r>
          </w:p>
        </w:tc>
        <w:tc>
          <w:tcPr>
            <w:tcW w:w="1119" w:type="dxa"/>
          </w:tcPr>
          <w:p w14:paraId="4F4A5F16" w14:textId="77777777" w:rsidR="00B72D74" w:rsidRPr="00942F86" w:rsidRDefault="00B72D74" w:rsidP="000455AC">
            <w:pPr>
              <w:spacing w:line="264" w:lineRule="auto"/>
              <w:jc w:val="center"/>
              <w:rPr>
                <w:sz w:val="25"/>
                <w:szCs w:val="25"/>
              </w:rPr>
            </w:pPr>
            <w:r w:rsidRPr="00942F86">
              <w:rPr>
                <w:sz w:val="25"/>
                <w:szCs w:val="25"/>
              </w:rPr>
              <w:t>62%</w:t>
            </w:r>
          </w:p>
        </w:tc>
      </w:tr>
    </w:tbl>
    <w:p w14:paraId="6032437F" w14:textId="77777777" w:rsidR="00B72D74" w:rsidRPr="00942F86" w:rsidRDefault="00B72D74" w:rsidP="000455AC">
      <w:pPr>
        <w:spacing w:line="264" w:lineRule="auto"/>
        <w:rPr>
          <w:sz w:val="25"/>
          <w:szCs w:val="25"/>
        </w:rPr>
      </w:pPr>
    </w:p>
    <w:p w14:paraId="035453F4" w14:textId="06F7F9DA" w:rsidR="00B72D74" w:rsidRPr="00942F86" w:rsidRDefault="00D55877" w:rsidP="00FC421A">
      <w:pPr>
        <w:numPr>
          <w:ilvl w:val="0"/>
          <w:numId w:val="1"/>
        </w:numPr>
        <w:tabs>
          <w:tab w:val="clear" w:pos="720"/>
          <w:tab w:val="num" w:pos="0"/>
        </w:tabs>
        <w:spacing w:line="264" w:lineRule="auto"/>
        <w:ind w:left="0"/>
        <w:rPr>
          <w:sz w:val="25"/>
          <w:szCs w:val="25"/>
        </w:rPr>
      </w:pPr>
      <w:r w:rsidRPr="00942F86">
        <w:rPr>
          <w:sz w:val="25"/>
          <w:szCs w:val="25"/>
        </w:rPr>
        <w:t>Ms. Steward testifies</w:t>
      </w:r>
      <w:r w:rsidR="00B72D74" w:rsidRPr="00942F86">
        <w:rPr>
          <w:sz w:val="25"/>
          <w:szCs w:val="25"/>
        </w:rPr>
        <w:t xml:space="preserve"> that use of the </w:t>
      </w:r>
      <w:proofErr w:type="spellStart"/>
      <w:r w:rsidR="00B72D74" w:rsidRPr="00942F86">
        <w:rPr>
          <w:sz w:val="25"/>
          <w:szCs w:val="25"/>
        </w:rPr>
        <w:t>IRP</w:t>
      </w:r>
      <w:proofErr w:type="spellEnd"/>
      <w:r w:rsidR="00B72D74" w:rsidRPr="00942F86">
        <w:rPr>
          <w:sz w:val="25"/>
          <w:szCs w:val="25"/>
        </w:rPr>
        <w:t xml:space="preserve"> data is not appropriate because the </w:t>
      </w:r>
      <w:proofErr w:type="spellStart"/>
      <w:r w:rsidR="00B72D74" w:rsidRPr="00942F86">
        <w:rPr>
          <w:sz w:val="25"/>
          <w:szCs w:val="25"/>
        </w:rPr>
        <w:t>IRP</w:t>
      </w:r>
      <w:proofErr w:type="spellEnd"/>
      <w:r w:rsidR="00B72D74" w:rsidRPr="00942F86">
        <w:rPr>
          <w:sz w:val="25"/>
          <w:szCs w:val="25"/>
        </w:rPr>
        <w:t xml:space="preserve"> </w:t>
      </w:r>
      <w:r w:rsidR="00BE15D8" w:rsidRPr="00942F86">
        <w:rPr>
          <w:sz w:val="25"/>
          <w:szCs w:val="25"/>
        </w:rPr>
        <w:t>“looks at the loads of the west control area at the time of the Company’s entire system peak</w:t>
      </w:r>
      <w:r w:rsidR="00B72D74" w:rsidRPr="00942F86">
        <w:rPr>
          <w:sz w:val="25"/>
          <w:szCs w:val="25"/>
        </w:rPr>
        <w:t xml:space="preserve">, while </w:t>
      </w:r>
      <w:r w:rsidR="00A4734B" w:rsidRPr="00942F86">
        <w:rPr>
          <w:sz w:val="25"/>
          <w:szCs w:val="25"/>
        </w:rPr>
        <w:t xml:space="preserve">the </w:t>
      </w:r>
      <w:r w:rsidR="00B72D74" w:rsidRPr="00942F86">
        <w:rPr>
          <w:sz w:val="25"/>
          <w:szCs w:val="25"/>
        </w:rPr>
        <w:t xml:space="preserve">Company’s studies look at only </w:t>
      </w:r>
      <w:r w:rsidR="00A4734B" w:rsidRPr="00942F86">
        <w:rPr>
          <w:sz w:val="25"/>
          <w:szCs w:val="25"/>
        </w:rPr>
        <w:t>WCA</w:t>
      </w:r>
      <w:r w:rsidR="00B72D74" w:rsidRPr="00942F86">
        <w:rPr>
          <w:sz w:val="25"/>
          <w:szCs w:val="25"/>
        </w:rPr>
        <w:t xml:space="preserve"> peak.</w:t>
      </w:r>
      <w:r w:rsidR="00BE15D8" w:rsidRPr="00942F86">
        <w:rPr>
          <w:sz w:val="25"/>
          <w:szCs w:val="25"/>
        </w:rPr>
        <w:t>”</w:t>
      </w:r>
      <w:r w:rsidR="00B72D74" w:rsidRPr="00942F86">
        <w:rPr>
          <w:rStyle w:val="FootnoteReference"/>
          <w:sz w:val="25"/>
          <w:szCs w:val="25"/>
        </w:rPr>
        <w:footnoteReference w:id="277"/>
      </w:r>
      <w:r w:rsidR="00B72D74" w:rsidRPr="00942F86">
        <w:rPr>
          <w:sz w:val="25"/>
          <w:szCs w:val="25"/>
        </w:rPr>
        <w:t xml:space="preserve">  Thus, the</w:t>
      </w:r>
      <w:r w:rsidR="00BE15D8" w:rsidRPr="00942F86">
        <w:rPr>
          <w:sz w:val="25"/>
          <w:szCs w:val="25"/>
        </w:rPr>
        <w:t xml:space="preserve"> difference in the </w:t>
      </w:r>
      <w:proofErr w:type="spellStart"/>
      <w:r w:rsidR="00BE15D8" w:rsidRPr="00942F86">
        <w:rPr>
          <w:sz w:val="25"/>
          <w:szCs w:val="25"/>
        </w:rPr>
        <w:t>IRP</w:t>
      </w:r>
      <w:proofErr w:type="spellEnd"/>
      <w:r w:rsidR="00BE15D8" w:rsidRPr="00942F86">
        <w:rPr>
          <w:sz w:val="25"/>
          <w:szCs w:val="25"/>
        </w:rPr>
        <w:t xml:space="preserve"> coincident peaks and the peak used by the Company are explained simply by the fact that the Company-wide peak and the </w:t>
      </w:r>
      <w:r w:rsidR="00A4734B" w:rsidRPr="00942F86">
        <w:rPr>
          <w:sz w:val="25"/>
          <w:szCs w:val="25"/>
        </w:rPr>
        <w:t>WCA</w:t>
      </w:r>
      <w:r w:rsidR="00BE15D8" w:rsidRPr="00942F86">
        <w:rPr>
          <w:sz w:val="25"/>
          <w:szCs w:val="25"/>
        </w:rPr>
        <w:t xml:space="preserve"> peak occur at different times.</w:t>
      </w:r>
      <w:r w:rsidR="00BE15D8" w:rsidRPr="00942F86">
        <w:rPr>
          <w:rStyle w:val="FootnoteReference"/>
          <w:sz w:val="25"/>
          <w:szCs w:val="25"/>
        </w:rPr>
        <w:footnoteReference w:id="278"/>
      </w:r>
      <w:r w:rsidR="00BE15D8" w:rsidRPr="00942F86">
        <w:rPr>
          <w:sz w:val="25"/>
          <w:szCs w:val="25"/>
        </w:rPr>
        <w:t xml:space="preserve">  Using Public Counsel’s preferred approach would shift costs from lower load-factor customers (</w:t>
      </w:r>
      <w:r w:rsidR="00BE15D8" w:rsidRPr="00942F86">
        <w:rPr>
          <w:i/>
          <w:sz w:val="25"/>
          <w:szCs w:val="25"/>
        </w:rPr>
        <w:t>i.e.,</w:t>
      </w:r>
      <w:r w:rsidR="00BE15D8" w:rsidRPr="00942F86">
        <w:rPr>
          <w:sz w:val="25"/>
          <w:szCs w:val="25"/>
        </w:rPr>
        <w:t xml:space="preserve"> residential customers) to higher load factor </w:t>
      </w:r>
      <w:r w:rsidR="00A4734B" w:rsidRPr="00942F86">
        <w:rPr>
          <w:sz w:val="25"/>
          <w:szCs w:val="25"/>
        </w:rPr>
        <w:t xml:space="preserve">customers </w:t>
      </w:r>
      <w:r w:rsidR="00BE15D8" w:rsidRPr="00942F86">
        <w:rPr>
          <w:sz w:val="25"/>
          <w:szCs w:val="25"/>
        </w:rPr>
        <w:t>(</w:t>
      </w:r>
      <w:r w:rsidR="00BE15D8" w:rsidRPr="00942F86">
        <w:rPr>
          <w:i/>
          <w:sz w:val="25"/>
          <w:szCs w:val="25"/>
        </w:rPr>
        <w:t xml:space="preserve">i.e., </w:t>
      </w:r>
      <w:r w:rsidR="00BE15D8" w:rsidRPr="00942F86">
        <w:rPr>
          <w:sz w:val="25"/>
          <w:szCs w:val="25"/>
        </w:rPr>
        <w:t>industrial and large general service customers)</w:t>
      </w:r>
      <w:r w:rsidR="00CB673B" w:rsidRPr="00942F86">
        <w:rPr>
          <w:sz w:val="25"/>
          <w:szCs w:val="25"/>
        </w:rPr>
        <w:t>.</w:t>
      </w:r>
      <w:r w:rsidR="00CB673B" w:rsidRPr="00942F86">
        <w:rPr>
          <w:rStyle w:val="FootnoteReference"/>
          <w:sz w:val="25"/>
          <w:szCs w:val="25"/>
        </w:rPr>
        <w:footnoteReference w:id="279"/>
      </w:r>
    </w:p>
    <w:p w14:paraId="552571EF" w14:textId="77777777" w:rsidR="00B72D74" w:rsidRPr="00942F86" w:rsidRDefault="00B72D74" w:rsidP="000455AC">
      <w:pPr>
        <w:spacing w:line="264" w:lineRule="auto"/>
        <w:rPr>
          <w:sz w:val="25"/>
          <w:szCs w:val="25"/>
        </w:rPr>
      </w:pPr>
    </w:p>
    <w:p w14:paraId="287FC89E" w14:textId="3D92824C" w:rsidR="004F41DA" w:rsidRPr="00942F86" w:rsidRDefault="00B72D74" w:rsidP="00FC421A">
      <w:pPr>
        <w:numPr>
          <w:ilvl w:val="0"/>
          <w:numId w:val="1"/>
        </w:numPr>
        <w:tabs>
          <w:tab w:val="clear" w:pos="720"/>
          <w:tab w:val="num" w:pos="0"/>
        </w:tabs>
        <w:spacing w:line="264" w:lineRule="auto"/>
        <w:ind w:left="0"/>
        <w:rPr>
          <w:sz w:val="25"/>
          <w:szCs w:val="25"/>
        </w:rPr>
      </w:pPr>
      <w:r w:rsidRPr="00942F86">
        <w:rPr>
          <w:sz w:val="25"/>
          <w:szCs w:val="25"/>
        </w:rPr>
        <w:t xml:space="preserve">Boise </w:t>
      </w:r>
      <w:r w:rsidR="00A4734B" w:rsidRPr="00942F86">
        <w:rPr>
          <w:sz w:val="25"/>
          <w:szCs w:val="25"/>
        </w:rPr>
        <w:t xml:space="preserve">White Paper </w:t>
      </w:r>
      <w:r w:rsidRPr="00942F86">
        <w:rPr>
          <w:sz w:val="25"/>
          <w:szCs w:val="25"/>
        </w:rPr>
        <w:t xml:space="preserve">does not support the Company’s use of any type of peak credit method to classify generation costs.  Instead, </w:t>
      </w:r>
      <w:r w:rsidR="00A4734B" w:rsidRPr="00942F86">
        <w:rPr>
          <w:sz w:val="25"/>
          <w:szCs w:val="25"/>
        </w:rPr>
        <w:t xml:space="preserve">it </w:t>
      </w:r>
      <w:r w:rsidRPr="00942F86">
        <w:rPr>
          <w:sz w:val="25"/>
          <w:szCs w:val="25"/>
        </w:rPr>
        <w:t>proposes that the Company classify all fixed generation costs as demand-related, and all of the variable generation costs as energy-related.</w:t>
      </w:r>
      <w:r w:rsidRPr="00942F86">
        <w:rPr>
          <w:rStyle w:val="FootnoteReference"/>
          <w:sz w:val="25"/>
          <w:szCs w:val="25"/>
        </w:rPr>
        <w:footnoteReference w:id="280"/>
      </w:r>
      <w:r w:rsidRPr="00942F86">
        <w:rPr>
          <w:sz w:val="25"/>
          <w:szCs w:val="25"/>
        </w:rPr>
        <w:t xml:space="preserve"> </w:t>
      </w:r>
      <w:r w:rsidR="00A4734B" w:rsidRPr="00942F86">
        <w:rPr>
          <w:sz w:val="25"/>
          <w:szCs w:val="25"/>
        </w:rPr>
        <w:t xml:space="preserve">Boise White Paper witness </w:t>
      </w:r>
      <w:r w:rsidR="00B11E9B" w:rsidRPr="00942F86">
        <w:rPr>
          <w:sz w:val="25"/>
          <w:szCs w:val="25"/>
        </w:rPr>
        <w:t>Mr. Stephens testifies, however, that if the Commission approves a peak credit method, it should use a 2-</w:t>
      </w:r>
      <w:proofErr w:type="spellStart"/>
      <w:r w:rsidR="00B11E9B" w:rsidRPr="00942F86">
        <w:rPr>
          <w:sz w:val="25"/>
          <w:szCs w:val="25"/>
        </w:rPr>
        <w:t>CP</w:t>
      </w:r>
      <w:proofErr w:type="spellEnd"/>
      <w:r w:rsidR="00B11E9B" w:rsidRPr="00942F86">
        <w:rPr>
          <w:sz w:val="25"/>
          <w:szCs w:val="25"/>
        </w:rPr>
        <w:t>, 3-</w:t>
      </w:r>
      <w:proofErr w:type="spellStart"/>
      <w:r w:rsidR="00B11E9B" w:rsidRPr="00942F86">
        <w:rPr>
          <w:sz w:val="25"/>
          <w:szCs w:val="25"/>
        </w:rPr>
        <w:t>CP</w:t>
      </w:r>
      <w:proofErr w:type="spellEnd"/>
      <w:r w:rsidR="00B11E9B" w:rsidRPr="00942F86">
        <w:rPr>
          <w:sz w:val="25"/>
          <w:szCs w:val="25"/>
        </w:rPr>
        <w:t>, or 4-</w:t>
      </w:r>
      <w:proofErr w:type="spellStart"/>
      <w:r w:rsidR="00B11E9B" w:rsidRPr="00942F86">
        <w:rPr>
          <w:sz w:val="25"/>
          <w:szCs w:val="25"/>
        </w:rPr>
        <w:t>CP</w:t>
      </w:r>
      <w:proofErr w:type="spellEnd"/>
      <w:r w:rsidR="00B11E9B" w:rsidRPr="00942F86">
        <w:rPr>
          <w:sz w:val="25"/>
          <w:szCs w:val="25"/>
        </w:rPr>
        <w:t xml:space="preserve"> </w:t>
      </w:r>
      <w:r w:rsidR="00B11E9B" w:rsidRPr="00942F86">
        <w:rPr>
          <w:sz w:val="25"/>
          <w:szCs w:val="25"/>
        </w:rPr>
        <w:lastRenderedPageBreak/>
        <w:t>factor for demand related production costs.</w:t>
      </w:r>
      <w:r w:rsidR="00B11E9B" w:rsidRPr="00942F86">
        <w:rPr>
          <w:rStyle w:val="FootnoteReference"/>
          <w:sz w:val="25"/>
          <w:szCs w:val="25"/>
        </w:rPr>
        <w:footnoteReference w:id="281"/>
      </w:r>
      <w:r w:rsidR="00B11E9B" w:rsidRPr="00942F86">
        <w:rPr>
          <w:sz w:val="25"/>
          <w:szCs w:val="25"/>
        </w:rPr>
        <w:t xml:space="preserve">  Mr. Stephens testifies further that there is no justification for using an energy component in allocating transmission costs</w:t>
      </w:r>
      <w:r w:rsidR="004F41DA" w:rsidRPr="00942F86">
        <w:rPr>
          <w:sz w:val="25"/>
          <w:szCs w:val="25"/>
        </w:rPr>
        <w:t xml:space="preserve">.  </w:t>
      </w:r>
    </w:p>
    <w:p w14:paraId="4F684C5A" w14:textId="77777777" w:rsidR="0045711D" w:rsidRPr="00942F86" w:rsidRDefault="0045711D" w:rsidP="000455AC">
      <w:pPr>
        <w:spacing w:line="264" w:lineRule="auto"/>
        <w:rPr>
          <w:sz w:val="25"/>
          <w:szCs w:val="25"/>
        </w:rPr>
      </w:pPr>
    </w:p>
    <w:p w14:paraId="1AD340D2" w14:textId="2B6C7EC7" w:rsidR="009A3F98" w:rsidRPr="00942F86" w:rsidRDefault="00B72D74"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w:t>
      </w:r>
      <w:r w:rsidR="009A3F98" w:rsidRPr="00942F86">
        <w:rPr>
          <w:sz w:val="25"/>
          <w:szCs w:val="25"/>
        </w:rPr>
        <w:t xml:space="preserve">The Commission has long preferred the Peak Credit methodology and </w:t>
      </w:r>
      <w:r w:rsidR="001E5C26" w:rsidRPr="00942F86">
        <w:rPr>
          <w:sz w:val="25"/>
          <w:szCs w:val="25"/>
        </w:rPr>
        <w:t xml:space="preserve">consistently has </w:t>
      </w:r>
      <w:r w:rsidR="009A3F98" w:rsidRPr="00942F86">
        <w:rPr>
          <w:sz w:val="25"/>
          <w:szCs w:val="25"/>
        </w:rPr>
        <w:t>approved its use in cost of service studies for Pacific Power</w:t>
      </w:r>
      <w:r w:rsidR="001E5C26" w:rsidRPr="00942F86">
        <w:rPr>
          <w:sz w:val="25"/>
          <w:szCs w:val="25"/>
        </w:rPr>
        <w:t>,</w:t>
      </w:r>
      <w:r w:rsidR="009A3F98" w:rsidRPr="00942F86">
        <w:rPr>
          <w:sz w:val="25"/>
          <w:szCs w:val="25"/>
        </w:rPr>
        <w:t xml:space="preserve"> and </w:t>
      </w:r>
      <w:r w:rsidR="001E5C26" w:rsidRPr="00942F86">
        <w:rPr>
          <w:sz w:val="25"/>
          <w:szCs w:val="25"/>
        </w:rPr>
        <w:t xml:space="preserve">for </w:t>
      </w:r>
      <w:r w:rsidR="009A3F98" w:rsidRPr="00942F86">
        <w:rPr>
          <w:sz w:val="25"/>
          <w:szCs w:val="25"/>
        </w:rPr>
        <w:t xml:space="preserve">both PSE and Avista.  Mr. Watkins for Public Counsel and Mr. Stephens for Boise White Paper explore this topic in some detail.  Mr. Watkins does not oppose the </w:t>
      </w:r>
      <w:proofErr w:type="spellStart"/>
      <w:r w:rsidR="009A3F98" w:rsidRPr="00942F86">
        <w:rPr>
          <w:sz w:val="25"/>
          <w:szCs w:val="25"/>
        </w:rPr>
        <w:t>P&amp;A</w:t>
      </w:r>
      <w:proofErr w:type="spellEnd"/>
      <w:r w:rsidR="009A3F98" w:rsidRPr="00942F86">
        <w:rPr>
          <w:sz w:val="25"/>
          <w:szCs w:val="25"/>
        </w:rPr>
        <w:t xml:space="preserve"> methodology the Company uses here, as it did in its 2013 GRC, but recommends several alternative adjustments in its application.  Mr. Stephens opposes the </w:t>
      </w:r>
      <w:proofErr w:type="spellStart"/>
      <w:r w:rsidR="009A3F98" w:rsidRPr="00942F86">
        <w:rPr>
          <w:sz w:val="25"/>
          <w:szCs w:val="25"/>
        </w:rPr>
        <w:t>P&amp;A</w:t>
      </w:r>
      <w:proofErr w:type="spellEnd"/>
      <w:r w:rsidR="009A3F98" w:rsidRPr="00942F86">
        <w:rPr>
          <w:sz w:val="25"/>
          <w:szCs w:val="25"/>
        </w:rPr>
        <w:t xml:space="preserve"> and the Peak Credit methodologies and suggests additional alternatives.  Mr. Watkins, moreover, discusses that there are numerous methodologies that suggests different classification and allocation approaches related to demand.</w:t>
      </w:r>
      <w:r w:rsidR="009A3F98" w:rsidRPr="00942F86">
        <w:rPr>
          <w:rStyle w:val="FootnoteReference"/>
          <w:sz w:val="25"/>
          <w:szCs w:val="25"/>
        </w:rPr>
        <w:footnoteReference w:id="282"/>
      </w:r>
    </w:p>
    <w:p w14:paraId="5B48E544" w14:textId="77777777" w:rsidR="009A3F98" w:rsidRPr="00942F86" w:rsidRDefault="009A3F98" w:rsidP="000455AC">
      <w:pPr>
        <w:spacing w:line="264" w:lineRule="auto"/>
        <w:rPr>
          <w:sz w:val="25"/>
          <w:szCs w:val="25"/>
        </w:rPr>
      </w:pPr>
    </w:p>
    <w:p w14:paraId="52171A78" w14:textId="31B5049F" w:rsidR="00B72D74" w:rsidRPr="00942F86" w:rsidRDefault="00A4734B" w:rsidP="00FC421A">
      <w:pPr>
        <w:numPr>
          <w:ilvl w:val="0"/>
          <w:numId w:val="1"/>
        </w:numPr>
        <w:tabs>
          <w:tab w:val="clear" w:pos="720"/>
          <w:tab w:val="num" w:pos="0"/>
        </w:tabs>
        <w:spacing w:line="264" w:lineRule="auto"/>
        <w:ind w:left="0"/>
        <w:rPr>
          <w:sz w:val="25"/>
          <w:szCs w:val="25"/>
        </w:rPr>
      </w:pPr>
      <w:r w:rsidRPr="00942F86">
        <w:rPr>
          <w:sz w:val="25"/>
          <w:szCs w:val="25"/>
        </w:rPr>
        <w:t>W</w:t>
      </w:r>
      <w:r w:rsidR="007A1A8D" w:rsidRPr="00942F86">
        <w:rPr>
          <w:sz w:val="25"/>
          <w:szCs w:val="25"/>
        </w:rPr>
        <w:t>e are not persuaded by the record</w:t>
      </w:r>
      <w:r w:rsidR="00B72D74" w:rsidRPr="00942F86">
        <w:rPr>
          <w:sz w:val="25"/>
          <w:szCs w:val="25"/>
        </w:rPr>
        <w:t xml:space="preserve"> in this case </w:t>
      </w:r>
      <w:r w:rsidR="007A1A8D" w:rsidRPr="00942F86">
        <w:rPr>
          <w:sz w:val="25"/>
          <w:szCs w:val="25"/>
        </w:rPr>
        <w:t xml:space="preserve">that we should reject Pacific Power’s approach to classification of generation or transmission costs.  </w:t>
      </w:r>
      <w:r w:rsidRPr="00942F86">
        <w:rPr>
          <w:sz w:val="25"/>
          <w:szCs w:val="25"/>
        </w:rPr>
        <w:t xml:space="preserve">Hence, we accept the continued use in this case of the </w:t>
      </w:r>
      <w:proofErr w:type="spellStart"/>
      <w:r w:rsidRPr="00942F86">
        <w:rPr>
          <w:sz w:val="25"/>
          <w:szCs w:val="25"/>
        </w:rPr>
        <w:t>P&amp;A</w:t>
      </w:r>
      <w:proofErr w:type="spellEnd"/>
      <w:r w:rsidRPr="00942F86">
        <w:rPr>
          <w:sz w:val="25"/>
          <w:szCs w:val="25"/>
        </w:rPr>
        <w:t xml:space="preserve"> method approved and adopted as part of a settlement in the previous GRC.  </w:t>
      </w:r>
      <w:r w:rsidR="007A1A8D" w:rsidRPr="00942F86">
        <w:rPr>
          <w:sz w:val="25"/>
          <w:szCs w:val="25"/>
        </w:rPr>
        <w:t xml:space="preserve">However, the parties raise sufficient concerns </w:t>
      </w:r>
      <w:r w:rsidR="00B72D74" w:rsidRPr="00942F86">
        <w:rPr>
          <w:sz w:val="25"/>
          <w:szCs w:val="25"/>
        </w:rPr>
        <w:t xml:space="preserve">to </w:t>
      </w:r>
      <w:r w:rsidR="007A1A8D" w:rsidRPr="00942F86">
        <w:rPr>
          <w:sz w:val="25"/>
          <w:szCs w:val="25"/>
        </w:rPr>
        <w:t>persuade us that the Company should return in its next case to using t</w:t>
      </w:r>
      <w:r w:rsidR="00B72D74" w:rsidRPr="00942F86">
        <w:rPr>
          <w:sz w:val="25"/>
          <w:szCs w:val="25"/>
        </w:rPr>
        <w:t>he Commission-approved Peak Credit method</w:t>
      </w:r>
      <w:r w:rsidR="007A1A8D" w:rsidRPr="00942F86">
        <w:rPr>
          <w:sz w:val="25"/>
          <w:szCs w:val="25"/>
        </w:rPr>
        <w:t xml:space="preserve"> or provide a more detailed justification for using an alternative approach, or approaches</w:t>
      </w:r>
      <w:r w:rsidR="003674E2" w:rsidRPr="00942F86">
        <w:rPr>
          <w:sz w:val="25"/>
          <w:szCs w:val="25"/>
        </w:rPr>
        <w:t xml:space="preserve"> including t</w:t>
      </w:r>
      <w:r w:rsidR="00B93E60" w:rsidRPr="00942F86">
        <w:rPr>
          <w:sz w:val="25"/>
          <w:szCs w:val="25"/>
        </w:rPr>
        <w:t xml:space="preserve">he use of Peak and Average method compared to the Peak Credit method, as well as </w:t>
      </w:r>
      <w:r w:rsidR="003674E2" w:rsidRPr="00942F86">
        <w:rPr>
          <w:sz w:val="25"/>
          <w:szCs w:val="25"/>
        </w:rPr>
        <w:t xml:space="preserve">consideration of the number of </w:t>
      </w:r>
      <w:r w:rsidR="00B93E60" w:rsidRPr="00942F86">
        <w:rPr>
          <w:sz w:val="25"/>
          <w:szCs w:val="25"/>
        </w:rPr>
        <w:t>hours that should be used within these methods.</w:t>
      </w:r>
      <w:r w:rsidR="001E5C26" w:rsidRPr="00942F86">
        <w:rPr>
          <w:sz w:val="25"/>
          <w:szCs w:val="25"/>
        </w:rPr>
        <w:t xml:space="preserve">  </w:t>
      </w:r>
    </w:p>
    <w:p w14:paraId="01ACB59A" w14:textId="628FBA13" w:rsidR="00E05A86" w:rsidRDefault="00E05A86" w:rsidP="000455AC">
      <w:pPr>
        <w:spacing w:line="264" w:lineRule="auto"/>
        <w:rPr>
          <w:sz w:val="25"/>
          <w:szCs w:val="25"/>
        </w:rPr>
      </w:pPr>
    </w:p>
    <w:p w14:paraId="4847C617" w14:textId="5B246F14" w:rsidR="00B72D74" w:rsidRPr="00942F86" w:rsidRDefault="00B72D74" w:rsidP="000455AC">
      <w:pPr>
        <w:pStyle w:val="Heading5"/>
        <w:spacing w:before="0" w:after="0" w:line="264" w:lineRule="auto"/>
        <w:rPr>
          <w:szCs w:val="25"/>
        </w:rPr>
      </w:pPr>
      <w:bookmarkStart w:id="44" w:name="_Toc415037635"/>
      <w:r w:rsidRPr="00942F86">
        <w:rPr>
          <w:szCs w:val="25"/>
        </w:rPr>
        <w:t>Allocation of Demand Classified Generation and Transmission Costs to Customer Classes</w:t>
      </w:r>
      <w:bookmarkEnd w:id="44"/>
    </w:p>
    <w:p w14:paraId="04873C39" w14:textId="77777777" w:rsidR="00B72D74" w:rsidRPr="00942F86" w:rsidRDefault="00B72D74" w:rsidP="000455AC">
      <w:pPr>
        <w:spacing w:line="264" w:lineRule="auto"/>
        <w:rPr>
          <w:sz w:val="25"/>
          <w:szCs w:val="25"/>
        </w:rPr>
      </w:pPr>
    </w:p>
    <w:p w14:paraId="5D782DF9" w14:textId="5655F8C4" w:rsidR="00B72D74" w:rsidRPr="00942F86" w:rsidRDefault="00B72D74" w:rsidP="00FC421A">
      <w:pPr>
        <w:numPr>
          <w:ilvl w:val="0"/>
          <w:numId w:val="1"/>
        </w:numPr>
        <w:tabs>
          <w:tab w:val="clear" w:pos="720"/>
          <w:tab w:val="num" w:pos="0"/>
        </w:tabs>
        <w:spacing w:line="264" w:lineRule="auto"/>
        <w:ind w:left="0"/>
        <w:rPr>
          <w:sz w:val="25"/>
          <w:szCs w:val="25"/>
        </w:rPr>
      </w:pPr>
      <w:r w:rsidRPr="00942F86">
        <w:rPr>
          <w:sz w:val="25"/>
          <w:szCs w:val="25"/>
        </w:rPr>
        <w:t xml:space="preserve">After classifying costs, the next step in a </w:t>
      </w:r>
      <w:proofErr w:type="spellStart"/>
      <w:r w:rsidRPr="00942F86">
        <w:rPr>
          <w:sz w:val="25"/>
          <w:szCs w:val="25"/>
        </w:rPr>
        <w:t>COSS</w:t>
      </w:r>
      <w:proofErr w:type="spellEnd"/>
      <w:r w:rsidRPr="00942F86">
        <w:rPr>
          <w:sz w:val="25"/>
          <w:szCs w:val="25"/>
        </w:rPr>
        <w:t xml:space="preserve"> is to allocate costs. The Company’s allocation of demand</w:t>
      </w:r>
      <w:r w:rsidR="00A4734B" w:rsidRPr="00942F86">
        <w:rPr>
          <w:sz w:val="25"/>
          <w:szCs w:val="25"/>
        </w:rPr>
        <w:t>-</w:t>
      </w:r>
      <w:r w:rsidRPr="00942F86">
        <w:rPr>
          <w:sz w:val="25"/>
          <w:szCs w:val="25"/>
        </w:rPr>
        <w:t xml:space="preserve">classified generation and transmission costs to customer classes </w:t>
      </w:r>
      <w:r w:rsidRPr="00942F86">
        <w:rPr>
          <w:sz w:val="25"/>
          <w:szCs w:val="25"/>
        </w:rPr>
        <w:lastRenderedPageBreak/>
        <w:t>is based on the top 100 hours in summer and top 100 hours in winter</w:t>
      </w:r>
      <w:r w:rsidR="00532549" w:rsidRPr="00942F86">
        <w:rPr>
          <w:sz w:val="25"/>
          <w:szCs w:val="25"/>
        </w:rPr>
        <w:t xml:space="preserve">, </w:t>
      </w:r>
      <w:r w:rsidR="00B93E60" w:rsidRPr="00942F86">
        <w:rPr>
          <w:sz w:val="25"/>
          <w:szCs w:val="25"/>
        </w:rPr>
        <w:t xml:space="preserve">sometimes </w:t>
      </w:r>
      <w:r w:rsidR="00532549" w:rsidRPr="00942F86">
        <w:rPr>
          <w:sz w:val="25"/>
          <w:szCs w:val="25"/>
        </w:rPr>
        <w:t xml:space="preserve">called </w:t>
      </w:r>
      <w:r w:rsidR="00A4734B" w:rsidRPr="00942F86">
        <w:rPr>
          <w:sz w:val="25"/>
          <w:szCs w:val="25"/>
        </w:rPr>
        <w:t xml:space="preserve">the </w:t>
      </w:r>
      <w:r w:rsidR="00532549" w:rsidRPr="00942F86">
        <w:rPr>
          <w:sz w:val="25"/>
          <w:szCs w:val="25"/>
        </w:rPr>
        <w:t xml:space="preserve">200 </w:t>
      </w:r>
      <w:r w:rsidR="00A4734B" w:rsidRPr="00942F86">
        <w:rPr>
          <w:sz w:val="25"/>
          <w:szCs w:val="25"/>
        </w:rPr>
        <w:t>Coincident Peak (</w:t>
      </w:r>
      <w:proofErr w:type="spellStart"/>
      <w:r w:rsidR="00532549" w:rsidRPr="00942F86">
        <w:rPr>
          <w:sz w:val="25"/>
          <w:szCs w:val="25"/>
        </w:rPr>
        <w:t>CP</w:t>
      </w:r>
      <w:proofErr w:type="spellEnd"/>
      <w:r w:rsidR="00A4734B" w:rsidRPr="00942F86">
        <w:rPr>
          <w:sz w:val="25"/>
          <w:szCs w:val="25"/>
        </w:rPr>
        <w:t>)</w:t>
      </w:r>
      <w:r w:rsidR="00532549" w:rsidRPr="00942F86">
        <w:rPr>
          <w:sz w:val="25"/>
          <w:szCs w:val="25"/>
        </w:rPr>
        <w:t xml:space="preserve"> methodology</w:t>
      </w:r>
      <w:r w:rsidRPr="00942F86">
        <w:rPr>
          <w:sz w:val="25"/>
          <w:szCs w:val="25"/>
        </w:rPr>
        <w:t xml:space="preserve">.  </w:t>
      </w:r>
    </w:p>
    <w:p w14:paraId="6688993F" w14:textId="77777777" w:rsidR="00B72D74" w:rsidRPr="00942F86" w:rsidRDefault="00B72D74" w:rsidP="000455AC">
      <w:pPr>
        <w:spacing w:line="264" w:lineRule="auto"/>
        <w:rPr>
          <w:sz w:val="25"/>
          <w:szCs w:val="25"/>
        </w:rPr>
      </w:pPr>
    </w:p>
    <w:p w14:paraId="3D708BCE" w14:textId="6263A07C" w:rsidR="00532549" w:rsidRPr="00942F86" w:rsidRDefault="00B72D74" w:rsidP="00FC421A">
      <w:pPr>
        <w:numPr>
          <w:ilvl w:val="0"/>
          <w:numId w:val="1"/>
        </w:numPr>
        <w:tabs>
          <w:tab w:val="clear" w:pos="720"/>
          <w:tab w:val="num" w:pos="0"/>
        </w:tabs>
        <w:spacing w:line="264" w:lineRule="auto"/>
        <w:ind w:left="0"/>
        <w:rPr>
          <w:sz w:val="25"/>
          <w:szCs w:val="25"/>
        </w:rPr>
      </w:pPr>
      <w:r w:rsidRPr="00942F86">
        <w:rPr>
          <w:sz w:val="25"/>
          <w:szCs w:val="25"/>
        </w:rPr>
        <w:t>Boise</w:t>
      </w:r>
      <w:r w:rsidR="00532549" w:rsidRPr="00942F86">
        <w:rPr>
          <w:sz w:val="25"/>
          <w:szCs w:val="25"/>
        </w:rPr>
        <w:t xml:space="preserve"> White Paper</w:t>
      </w:r>
      <w:r w:rsidRPr="00942F86">
        <w:rPr>
          <w:sz w:val="25"/>
          <w:szCs w:val="25"/>
        </w:rPr>
        <w:t xml:space="preserve"> argues against this approach </w:t>
      </w:r>
      <w:r w:rsidR="00532549" w:rsidRPr="00942F86">
        <w:rPr>
          <w:sz w:val="25"/>
          <w:szCs w:val="25"/>
        </w:rPr>
        <w:t>and in favor of a method that considers only the hourly demands that are reasonably close to the system peak.  Mr. Stephens testifies in this regard that:</w:t>
      </w:r>
      <w:r w:rsidRPr="00942F86">
        <w:rPr>
          <w:sz w:val="25"/>
          <w:szCs w:val="25"/>
        </w:rPr>
        <w:t xml:space="preserve"> </w:t>
      </w:r>
    </w:p>
    <w:p w14:paraId="01E4478C" w14:textId="77777777" w:rsidR="00532549" w:rsidRPr="00942F86" w:rsidRDefault="00532549" w:rsidP="000455AC">
      <w:pPr>
        <w:pStyle w:val="ListParagraph"/>
        <w:spacing w:line="264" w:lineRule="auto"/>
        <w:rPr>
          <w:sz w:val="25"/>
          <w:szCs w:val="25"/>
        </w:rPr>
      </w:pPr>
    </w:p>
    <w:p w14:paraId="2D997B82" w14:textId="0DF15889" w:rsidR="00532549" w:rsidRPr="00942F86" w:rsidRDefault="00532549" w:rsidP="000455AC">
      <w:pPr>
        <w:spacing w:line="264" w:lineRule="auto"/>
        <w:ind w:left="720" w:right="720"/>
        <w:rPr>
          <w:sz w:val="25"/>
          <w:szCs w:val="25"/>
        </w:rPr>
      </w:pPr>
      <w:r w:rsidRPr="00942F86">
        <w:rPr>
          <w:sz w:val="25"/>
          <w:szCs w:val="25"/>
        </w:rPr>
        <w:t>By considering only the hourly demands that are reasonably close to the annual system peak, the cost analyst recognizes that it is only during the highest system load hours that production capacity is most likely to be fully utilized.  Consequently, a demand allocation method that is based on each class’s contribution during these high demand periods will fairly and reasonably recognize the classes’ proportionate responsibility in causing the utility to incur those production investments.</w:t>
      </w:r>
      <w:r w:rsidR="00B72D74" w:rsidRPr="00942F86">
        <w:rPr>
          <w:sz w:val="25"/>
          <w:szCs w:val="25"/>
          <w:vertAlign w:val="superscript"/>
        </w:rPr>
        <w:footnoteReference w:id="283"/>
      </w:r>
      <w:r w:rsidR="00B72D74" w:rsidRPr="00942F86">
        <w:rPr>
          <w:sz w:val="25"/>
          <w:szCs w:val="25"/>
        </w:rPr>
        <w:t xml:space="preserve">  </w:t>
      </w:r>
    </w:p>
    <w:p w14:paraId="250D653B" w14:textId="77777777" w:rsidR="00532549" w:rsidRPr="00942F86" w:rsidRDefault="00532549" w:rsidP="000455AC">
      <w:pPr>
        <w:spacing w:line="264" w:lineRule="auto"/>
        <w:rPr>
          <w:sz w:val="25"/>
          <w:szCs w:val="25"/>
        </w:rPr>
      </w:pPr>
    </w:p>
    <w:p w14:paraId="0B66F780" w14:textId="106120CF" w:rsidR="00B72D74" w:rsidRPr="00942F86" w:rsidRDefault="00B72D74" w:rsidP="000455AC">
      <w:pPr>
        <w:spacing w:line="264" w:lineRule="auto"/>
        <w:rPr>
          <w:sz w:val="25"/>
          <w:szCs w:val="25"/>
        </w:rPr>
      </w:pPr>
      <w:r w:rsidRPr="00942F86">
        <w:rPr>
          <w:sz w:val="25"/>
          <w:szCs w:val="25"/>
        </w:rPr>
        <w:t>Boise</w:t>
      </w:r>
      <w:r w:rsidR="00532549" w:rsidRPr="00942F86">
        <w:rPr>
          <w:sz w:val="25"/>
          <w:szCs w:val="25"/>
        </w:rPr>
        <w:t xml:space="preserve"> White Paper</w:t>
      </w:r>
      <w:r w:rsidRPr="00942F86">
        <w:rPr>
          <w:sz w:val="25"/>
          <w:szCs w:val="25"/>
        </w:rPr>
        <w:t xml:space="preserve"> proposes using the highest two monthly load hours in summer and winter months (</w:t>
      </w:r>
      <w:r w:rsidR="00532549" w:rsidRPr="00942F86">
        <w:rPr>
          <w:i/>
          <w:sz w:val="25"/>
          <w:szCs w:val="25"/>
        </w:rPr>
        <w:t>i.e.,</w:t>
      </w:r>
      <w:r w:rsidRPr="00942F86">
        <w:rPr>
          <w:sz w:val="25"/>
          <w:szCs w:val="25"/>
        </w:rPr>
        <w:t xml:space="preserve"> a 4-</w:t>
      </w:r>
      <w:proofErr w:type="spellStart"/>
      <w:r w:rsidRPr="00942F86">
        <w:rPr>
          <w:sz w:val="25"/>
          <w:szCs w:val="25"/>
        </w:rPr>
        <w:t>CP</w:t>
      </w:r>
      <w:proofErr w:type="spellEnd"/>
      <w:r w:rsidRPr="00942F86">
        <w:rPr>
          <w:sz w:val="25"/>
          <w:szCs w:val="25"/>
        </w:rPr>
        <w:t xml:space="preserve"> method).</w:t>
      </w:r>
      <w:r w:rsidRPr="00942F86">
        <w:rPr>
          <w:sz w:val="25"/>
          <w:szCs w:val="25"/>
          <w:vertAlign w:val="superscript"/>
        </w:rPr>
        <w:footnoteReference w:id="284"/>
      </w:r>
      <w:r w:rsidRPr="00942F86">
        <w:rPr>
          <w:sz w:val="25"/>
          <w:szCs w:val="25"/>
        </w:rPr>
        <w:t xml:space="preserve">  Public Counsel </w:t>
      </w:r>
      <w:r w:rsidR="0055539A" w:rsidRPr="00942F86">
        <w:rPr>
          <w:sz w:val="25"/>
          <w:szCs w:val="25"/>
        </w:rPr>
        <w:t>argues that</w:t>
      </w:r>
      <w:r w:rsidRPr="00942F86">
        <w:rPr>
          <w:sz w:val="25"/>
          <w:szCs w:val="25"/>
        </w:rPr>
        <w:t xml:space="preserve"> Boise</w:t>
      </w:r>
      <w:r w:rsidR="001D36B5" w:rsidRPr="00942F86">
        <w:rPr>
          <w:sz w:val="25"/>
          <w:szCs w:val="25"/>
        </w:rPr>
        <w:t xml:space="preserve"> White Paper</w:t>
      </w:r>
      <w:r w:rsidRPr="00942F86">
        <w:rPr>
          <w:sz w:val="25"/>
          <w:szCs w:val="25"/>
        </w:rPr>
        <w:t xml:space="preserve">’s proposal </w:t>
      </w:r>
      <w:r w:rsidR="0055539A" w:rsidRPr="00942F86">
        <w:rPr>
          <w:sz w:val="25"/>
          <w:szCs w:val="25"/>
        </w:rPr>
        <w:t>ignores</w:t>
      </w:r>
      <w:r w:rsidRPr="00942F86">
        <w:rPr>
          <w:sz w:val="25"/>
          <w:szCs w:val="25"/>
        </w:rPr>
        <w:t xml:space="preserve"> the trade-offs that utilities make when deciding to build base load plants or peaker plants; because this trade-off exists, generation must be classified as partially demand and partially energy-related.</w:t>
      </w:r>
      <w:r w:rsidR="001D36B5" w:rsidRPr="00942F86">
        <w:rPr>
          <w:rStyle w:val="FootnoteReference"/>
          <w:sz w:val="25"/>
          <w:szCs w:val="25"/>
        </w:rPr>
        <w:footnoteReference w:id="285"/>
      </w:r>
      <w:r w:rsidRPr="00942F86">
        <w:rPr>
          <w:sz w:val="25"/>
          <w:szCs w:val="25"/>
        </w:rPr>
        <w:t xml:space="preserve">  Public Counsel also notes that Boise</w:t>
      </w:r>
      <w:r w:rsidR="00A4734B" w:rsidRPr="00942F86">
        <w:rPr>
          <w:sz w:val="25"/>
          <w:szCs w:val="25"/>
        </w:rPr>
        <w:t xml:space="preserve"> White Paper</w:t>
      </w:r>
      <w:r w:rsidRPr="00942F86">
        <w:rPr>
          <w:sz w:val="25"/>
          <w:szCs w:val="25"/>
        </w:rPr>
        <w:t>’s proposal represents a departure from Commission precedent dating back to 1981.</w:t>
      </w:r>
      <w:r w:rsidRPr="00942F86">
        <w:rPr>
          <w:sz w:val="25"/>
          <w:szCs w:val="25"/>
          <w:vertAlign w:val="superscript"/>
        </w:rPr>
        <w:footnoteReference w:id="286"/>
      </w:r>
      <w:r w:rsidRPr="00942F86">
        <w:rPr>
          <w:sz w:val="25"/>
          <w:szCs w:val="25"/>
        </w:rPr>
        <w:t xml:space="preserve">  Similarly, the Company cites to </w:t>
      </w:r>
      <w:r w:rsidR="00A4734B" w:rsidRPr="00942F86">
        <w:rPr>
          <w:sz w:val="25"/>
          <w:szCs w:val="25"/>
        </w:rPr>
        <w:t xml:space="preserve">Pacific Power’s </w:t>
      </w:r>
      <w:r w:rsidRPr="00942F86">
        <w:rPr>
          <w:sz w:val="25"/>
          <w:szCs w:val="25"/>
        </w:rPr>
        <w:t xml:space="preserve">2010 GRC in which </w:t>
      </w:r>
      <w:proofErr w:type="spellStart"/>
      <w:r w:rsidRPr="00942F86">
        <w:rPr>
          <w:sz w:val="25"/>
          <w:szCs w:val="25"/>
        </w:rPr>
        <w:t>ICNU</w:t>
      </w:r>
      <w:proofErr w:type="spellEnd"/>
      <w:r w:rsidRPr="00942F86">
        <w:rPr>
          <w:sz w:val="25"/>
          <w:szCs w:val="25"/>
        </w:rPr>
        <w:t xml:space="preserve"> proposed to use the same 4-</w:t>
      </w:r>
      <w:proofErr w:type="spellStart"/>
      <w:r w:rsidRPr="00942F86">
        <w:rPr>
          <w:sz w:val="25"/>
          <w:szCs w:val="25"/>
        </w:rPr>
        <w:t>CP</w:t>
      </w:r>
      <w:proofErr w:type="spellEnd"/>
      <w:r w:rsidRPr="00942F86">
        <w:rPr>
          <w:sz w:val="25"/>
          <w:szCs w:val="25"/>
        </w:rPr>
        <w:t xml:space="preserve"> method</w:t>
      </w:r>
      <w:r w:rsidR="00A4734B" w:rsidRPr="00942F86">
        <w:rPr>
          <w:sz w:val="25"/>
          <w:szCs w:val="25"/>
        </w:rPr>
        <w:t>.</w:t>
      </w:r>
      <w:r w:rsidRPr="00942F86">
        <w:rPr>
          <w:sz w:val="25"/>
          <w:szCs w:val="25"/>
        </w:rPr>
        <w:t xml:space="preserve"> </w:t>
      </w:r>
      <w:r w:rsidR="003674E2" w:rsidRPr="00942F86">
        <w:rPr>
          <w:sz w:val="25"/>
          <w:szCs w:val="25"/>
        </w:rPr>
        <w:t xml:space="preserve"> </w:t>
      </w:r>
      <w:r w:rsidR="00A4734B" w:rsidRPr="00942F86">
        <w:rPr>
          <w:sz w:val="25"/>
          <w:szCs w:val="25"/>
        </w:rPr>
        <w:t>T</w:t>
      </w:r>
      <w:r w:rsidRPr="00942F86">
        <w:rPr>
          <w:sz w:val="25"/>
          <w:szCs w:val="25"/>
        </w:rPr>
        <w:t xml:space="preserve">he Commission rejected </w:t>
      </w:r>
      <w:r w:rsidR="00A4734B" w:rsidRPr="00942F86">
        <w:rPr>
          <w:sz w:val="25"/>
          <w:szCs w:val="25"/>
        </w:rPr>
        <w:t>that proposal</w:t>
      </w:r>
      <w:r w:rsidRPr="00942F86">
        <w:rPr>
          <w:sz w:val="25"/>
          <w:szCs w:val="25"/>
        </w:rPr>
        <w:t>, saying:</w:t>
      </w:r>
    </w:p>
    <w:p w14:paraId="083192DD" w14:textId="77777777" w:rsidR="00B72D74" w:rsidRPr="00942F86" w:rsidRDefault="00B72D74" w:rsidP="000455AC">
      <w:pPr>
        <w:spacing w:line="264" w:lineRule="auto"/>
        <w:rPr>
          <w:sz w:val="25"/>
          <w:szCs w:val="25"/>
        </w:rPr>
      </w:pPr>
    </w:p>
    <w:p w14:paraId="2425C0BF" w14:textId="2DC3E601" w:rsidR="0000149F" w:rsidRPr="00942F86" w:rsidRDefault="00B72D74" w:rsidP="000455AC">
      <w:pPr>
        <w:spacing w:line="264" w:lineRule="auto"/>
        <w:ind w:left="720" w:right="720"/>
        <w:rPr>
          <w:sz w:val="25"/>
          <w:szCs w:val="25"/>
        </w:rPr>
      </w:pPr>
      <w:r w:rsidRPr="00942F86">
        <w:rPr>
          <w:sz w:val="25"/>
          <w:szCs w:val="25"/>
        </w:rPr>
        <w:t xml:space="preserve">As we have in the past when presented with a precise revision to peak demand, we conclude that this is too narrow a range. </w:t>
      </w:r>
      <w:r w:rsidR="0055539A" w:rsidRPr="00942F86">
        <w:rPr>
          <w:sz w:val="25"/>
          <w:szCs w:val="25"/>
        </w:rPr>
        <w:t xml:space="preserve"> </w:t>
      </w:r>
      <w:r w:rsidRPr="00942F86">
        <w:rPr>
          <w:sz w:val="25"/>
          <w:szCs w:val="25"/>
        </w:rPr>
        <w:t xml:space="preserve">We agree with PacifiCorp that </w:t>
      </w:r>
      <w:proofErr w:type="spellStart"/>
      <w:r w:rsidRPr="00942F86">
        <w:rPr>
          <w:sz w:val="25"/>
          <w:szCs w:val="25"/>
        </w:rPr>
        <w:t>ICNU’s</w:t>
      </w:r>
      <w:proofErr w:type="spellEnd"/>
      <w:r w:rsidRPr="00942F86">
        <w:rPr>
          <w:sz w:val="25"/>
          <w:szCs w:val="25"/>
        </w:rPr>
        <w:t xml:space="preserve"> proposal could produce volatility in results depending on the test period. </w:t>
      </w:r>
      <w:r w:rsidR="0055539A" w:rsidRPr="00942F86">
        <w:rPr>
          <w:sz w:val="25"/>
          <w:szCs w:val="25"/>
        </w:rPr>
        <w:t xml:space="preserve"> </w:t>
      </w:r>
      <w:r w:rsidRPr="00942F86">
        <w:rPr>
          <w:sz w:val="25"/>
          <w:szCs w:val="25"/>
        </w:rPr>
        <w:t xml:space="preserve">While it is reasonable to allocate the costs of peaking resources based on the hours those resources will actually be used to serve load, the allocation method should be flexible </w:t>
      </w:r>
      <w:r w:rsidRPr="00942F86">
        <w:rPr>
          <w:sz w:val="25"/>
          <w:szCs w:val="25"/>
        </w:rPr>
        <w:lastRenderedPageBreak/>
        <w:t xml:space="preserve">enough to incorporate the variable peaks experienced in Washington. </w:t>
      </w:r>
      <w:r w:rsidR="0055539A" w:rsidRPr="00942F86">
        <w:rPr>
          <w:sz w:val="25"/>
          <w:szCs w:val="25"/>
        </w:rPr>
        <w:t xml:space="preserve">  </w:t>
      </w:r>
      <w:r w:rsidRPr="00942F86">
        <w:rPr>
          <w:sz w:val="25"/>
          <w:szCs w:val="25"/>
        </w:rPr>
        <w:t>PacifiCorp experiences both a summer peak and a winter peak, and its proposal to include 100 summer hours and 100 winter hours to determine peak demand recognizes how resources are used.</w:t>
      </w:r>
      <w:r w:rsidRPr="00942F86">
        <w:rPr>
          <w:sz w:val="25"/>
          <w:szCs w:val="25"/>
          <w:vertAlign w:val="superscript"/>
        </w:rPr>
        <w:footnoteReference w:id="287"/>
      </w:r>
      <w:r w:rsidRPr="00942F86">
        <w:rPr>
          <w:sz w:val="25"/>
          <w:szCs w:val="25"/>
        </w:rPr>
        <w:t xml:space="preserve"> </w:t>
      </w:r>
    </w:p>
    <w:p w14:paraId="6CDA6BAD" w14:textId="77777777" w:rsidR="00B72D74" w:rsidRPr="00942F86" w:rsidRDefault="00B72D74" w:rsidP="000455AC">
      <w:pPr>
        <w:spacing w:line="264" w:lineRule="auto"/>
        <w:rPr>
          <w:sz w:val="25"/>
          <w:szCs w:val="25"/>
        </w:rPr>
      </w:pPr>
    </w:p>
    <w:p w14:paraId="78F1C360" w14:textId="1047853F" w:rsidR="00B72D74" w:rsidRPr="00942F86" w:rsidRDefault="00B72D74"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w:t>
      </w:r>
      <w:r w:rsidR="0055539A" w:rsidRPr="00942F86">
        <w:rPr>
          <w:sz w:val="25"/>
          <w:szCs w:val="25"/>
        </w:rPr>
        <w:t xml:space="preserve">The Commission has found it appropriate for some time to use the 200 </w:t>
      </w:r>
      <w:proofErr w:type="spellStart"/>
      <w:r w:rsidR="0055539A" w:rsidRPr="00942F86">
        <w:rPr>
          <w:sz w:val="25"/>
          <w:szCs w:val="25"/>
        </w:rPr>
        <w:t>CP</w:t>
      </w:r>
      <w:proofErr w:type="spellEnd"/>
      <w:r w:rsidR="0055539A" w:rsidRPr="00942F86">
        <w:rPr>
          <w:sz w:val="25"/>
          <w:szCs w:val="25"/>
        </w:rPr>
        <w:t xml:space="preserve"> method to allocate Pacific Power’s generation and transmission costs considering how the Company’s resources are used to serve customers in Washington.  We find </w:t>
      </w:r>
      <w:r w:rsidR="00247B7E" w:rsidRPr="00942F86">
        <w:rPr>
          <w:sz w:val="25"/>
          <w:szCs w:val="25"/>
        </w:rPr>
        <w:t>insufficient basis in the current record to depart from this approach.</w:t>
      </w:r>
    </w:p>
    <w:p w14:paraId="256E1710" w14:textId="77777777" w:rsidR="00752AA2" w:rsidRPr="00942F86" w:rsidRDefault="00752AA2" w:rsidP="000455AC">
      <w:pPr>
        <w:spacing w:line="264" w:lineRule="auto"/>
        <w:rPr>
          <w:sz w:val="25"/>
          <w:szCs w:val="25"/>
        </w:rPr>
      </w:pPr>
    </w:p>
    <w:p w14:paraId="27E84344" w14:textId="2C3BF941" w:rsidR="008C367C" w:rsidRPr="00942F86" w:rsidRDefault="00247B7E" w:rsidP="000455AC">
      <w:pPr>
        <w:pStyle w:val="Heading5"/>
        <w:spacing w:before="0" w:after="0" w:line="264" w:lineRule="auto"/>
        <w:rPr>
          <w:b w:val="0"/>
          <w:szCs w:val="25"/>
        </w:rPr>
      </w:pPr>
      <w:bookmarkStart w:id="45" w:name="_Toc415037636"/>
      <w:r w:rsidRPr="00942F86">
        <w:rPr>
          <w:szCs w:val="25"/>
        </w:rPr>
        <w:t>C</w:t>
      </w:r>
      <w:r w:rsidR="008C367C" w:rsidRPr="00942F86">
        <w:rPr>
          <w:szCs w:val="25"/>
        </w:rPr>
        <w:t xml:space="preserve">orporate </w:t>
      </w:r>
      <w:r w:rsidRPr="00942F86">
        <w:rPr>
          <w:szCs w:val="25"/>
        </w:rPr>
        <w:t>A</w:t>
      </w:r>
      <w:r w:rsidR="008C367C" w:rsidRPr="00942F86">
        <w:rPr>
          <w:szCs w:val="25"/>
        </w:rPr>
        <w:t xml:space="preserve">ccount </w:t>
      </w:r>
      <w:r w:rsidRPr="00942F86">
        <w:rPr>
          <w:szCs w:val="25"/>
        </w:rPr>
        <w:t>M</w:t>
      </w:r>
      <w:r w:rsidR="008C367C" w:rsidRPr="00942F86">
        <w:rPr>
          <w:szCs w:val="25"/>
        </w:rPr>
        <w:t xml:space="preserve">anager </w:t>
      </w:r>
      <w:r w:rsidRPr="00942F86">
        <w:rPr>
          <w:szCs w:val="25"/>
        </w:rPr>
        <w:t>E</w:t>
      </w:r>
      <w:r w:rsidR="008C367C" w:rsidRPr="00942F86">
        <w:rPr>
          <w:szCs w:val="25"/>
        </w:rPr>
        <w:t>xpenses</w:t>
      </w:r>
      <w:bookmarkEnd w:id="45"/>
    </w:p>
    <w:p w14:paraId="14694825" w14:textId="77777777" w:rsidR="008C367C" w:rsidRPr="00942F86" w:rsidRDefault="008C367C" w:rsidP="000455AC">
      <w:pPr>
        <w:spacing w:line="264" w:lineRule="auto"/>
        <w:rPr>
          <w:sz w:val="25"/>
          <w:szCs w:val="25"/>
        </w:rPr>
      </w:pPr>
    </w:p>
    <w:p w14:paraId="26016F03" w14:textId="70F70F14" w:rsidR="008C367C" w:rsidRPr="00942F86" w:rsidRDefault="008C367C" w:rsidP="00FC421A">
      <w:pPr>
        <w:numPr>
          <w:ilvl w:val="0"/>
          <w:numId w:val="1"/>
        </w:numPr>
        <w:tabs>
          <w:tab w:val="clear" w:pos="720"/>
          <w:tab w:val="num" w:pos="0"/>
        </w:tabs>
        <w:spacing w:line="264" w:lineRule="auto"/>
        <w:ind w:left="0"/>
        <w:rPr>
          <w:sz w:val="25"/>
          <w:szCs w:val="25"/>
        </w:rPr>
      </w:pPr>
      <w:r w:rsidRPr="00942F86">
        <w:rPr>
          <w:sz w:val="25"/>
          <w:szCs w:val="25"/>
        </w:rPr>
        <w:t xml:space="preserve">Staff and Public Counsel recommend the </w:t>
      </w:r>
      <w:r w:rsidR="00247B7E" w:rsidRPr="00942F86">
        <w:rPr>
          <w:sz w:val="25"/>
          <w:szCs w:val="25"/>
        </w:rPr>
        <w:t xml:space="preserve">direct assignment of </w:t>
      </w:r>
      <w:r w:rsidRPr="00942F86">
        <w:rPr>
          <w:sz w:val="25"/>
          <w:szCs w:val="25"/>
        </w:rPr>
        <w:t xml:space="preserve">costs associated with corporate account managers </w:t>
      </w:r>
      <w:r w:rsidR="00247B7E" w:rsidRPr="00942F86">
        <w:rPr>
          <w:sz w:val="25"/>
          <w:szCs w:val="25"/>
        </w:rPr>
        <w:t>for industrial customers that take service under Pacific Power’s Tariff</w:t>
      </w:r>
      <w:r w:rsidRPr="00942F86">
        <w:rPr>
          <w:sz w:val="25"/>
          <w:szCs w:val="25"/>
        </w:rPr>
        <w:t xml:space="preserve"> Schedule </w:t>
      </w:r>
      <w:proofErr w:type="spellStart"/>
      <w:r w:rsidRPr="00942F86">
        <w:rPr>
          <w:sz w:val="25"/>
          <w:szCs w:val="25"/>
        </w:rPr>
        <w:t>48T</w:t>
      </w:r>
      <w:proofErr w:type="spellEnd"/>
      <w:r w:rsidRPr="00942F86">
        <w:rPr>
          <w:sz w:val="25"/>
          <w:szCs w:val="25"/>
        </w:rPr>
        <w:t>.</w:t>
      </w:r>
      <w:r w:rsidRPr="00942F86">
        <w:rPr>
          <w:sz w:val="25"/>
          <w:szCs w:val="25"/>
          <w:vertAlign w:val="superscript"/>
        </w:rPr>
        <w:footnoteReference w:id="288"/>
      </w:r>
      <w:r w:rsidRPr="00942F86">
        <w:rPr>
          <w:sz w:val="25"/>
          <w:szCs w:val="25"/>
        </w:rPr>
        <w:t xml:space="preserve">  Pacifi</w:t>
      </w:r>
      <w:r w:rsidR="00247B7E" w:rsidRPr="00942F86">
        <w:rPr>
          <w:sz w:val="25"/>
          <w:szCs w:val="25"/>
        </w:rPr>
        <w:t>c Power</w:t>
      </w:r>
      <w:r w:rsidRPr="00942F86">
        <w:rPr>
          <w:sz w:val="25"/>
          <w:szCs w:val="25"/>
        </w:rPr>
        <w:t xml:space="preserve"> does not oppose this change, but d</w:t>
      </w:r>
      <w:r w:rsidR="00247B7E" w:rsidRPr="00942F86">
        <w:rPr>
          <w:sz w:val="25"/>
          <w:szCs w:val="25"/>
        </w:rPr>
        <w:t>oes</w:t>
      </w:r>
      <w:r w:rsidRPr="00942F86">
        <w:rPr>
          <w:sz w:val="25"/>
          <w:szCs w:val="25"/>
        </w:rPr>
        <w:t xml:space="preserve"> not include </w:t>
      </w:r>
      <w:r w:rsidR="00A4734B" w:rsidRPr="00942F86">
        <w:rPr>
          <w:sz w:val="25"/>
          <w:szCs w:val="25"/>
        </w:rPr>
        <w:t xml:space="preserve">the proposal </w:t>
      </w:r>
      <w:r w:rsidRPr="00942F86">
        <w:rPr>
          <w:sz w:val="25"/>
          <w:szCs w:val="25"/>
        </w:rPr>
        <w:t xml:space="preserve">in its </w:t>
      </w:r>
      <w:proofErr w:type="spellStart"/>
      <w:r w:rsidRPr="00942F86">
        <w:rPr>
          <w:sz w:val="25"/>
          <w:szCs w:val="25"/>
        </w:rPr>
        <w:t>COSS</w:t>
      </w:r>
      <w:proofErr w:type="spellEnd"/>
      <w:r w:rsidRPr="00942F86">
        <w:rPr>
          <w:sz w:val="25"/>
          <w:szCs w:val="25"/>
        </w:rPr>
        <w:t xml:space="preserve"> because of </w:t>
      </w:r>
      <w:r w:rsidR="00A4734B" w:rsidRPr="00942F86">
        <w:rPr>
          <w:sz w:val="25"/>
          <w:szCs w:val="25"/>
        </w:rPr>
        <w:t xml:space="preserve">the </w:t>
      </w:r>
      <w:r w:rsidRPr="00942F86">
        <w:rPr>
          <w:sz w:val="25"/>
          <w:szCs w:val="25"/>
        </w:rPr>
        <w:t>minimal impact.</w:t>
      </w:r>
      <w:r w:rsidRPr="00942F86">
        <w:rPr>
          <w:sz w:val="25"/>
          <w:szCs w:val="25"/>
          <w:vertAlign w:val="superscript"/>
        </w:rPr>
        <w:footnoteReference w:id="289"/>
      </w:r>
      <w:r w:rsidRPr="00942F86">
        <w:rPr>
          <w:sz w:val="25"/>
          <w:szCs w:val="25"/>
        </w:rPr>
        <w:t xml:space="preserve">  Boise </w:t>
      </w:r>
      <w:r w:rsidR="00A4734B" w:rsidRPr="00942F86">
        <w:rPr>
          <w:sz w:val="25"/>
          <w:szCs w:val="25"/>
        </w:rPr>
        <w:t xml:space="preserve">White Paper </w:t>
      </w:r>
      <w:r w:rsidRPr="00942F86">
        <w:rPr>
          <w:sz w:val="25"/>
          <w:szCs w:val="25"/>
        </w:rPr>
        <w:t>does not support this proposal</w:t>
      </w:r>
      <w:r w:rsidR="00561EBC" w:rsidRPr="00942F86">
        <w:rPr>
          <w:sz w:val="25"/>
          <w:szCs w:val="25"/>
        </w:rPr>
        <w:t>, asserting that, as a matter</w:t>
      </w:r>
      <w:r w:rsidR="00247B7E" w:rsidRPr="00942F86">
        <w:rPr>
          <w:sz w:val="25"/>
          <w:szCs w:val="25"/>
        </w:rPr>
        <w:t xml:space="preserve"> of fairness</w:t>
      </w:r>
      <w:r w:rsidR="00561EBC" w:rsidRPr="00942F86">
        <w:rPr>
          <w:sz w:val="25"/>
          <w:szCs w:val="25"/>
        </w:rPr>
        <w:t>,</w:t>
      </w:r>
      <w:r w:rsidRPr="00942F86">
        <w:rPr>
          <w:sz w:val="25"/>
          <w:szCs w:val="25"/>
        </w:rPr>
        <w:t xml:space="preserve"> Schedule </w:t>
      </w:r>
      <w:proofErr w:type="spellStart"/>
      <w:r w:rsidRPr="00942F86">
        <w:rPr>
          <w:sz w:val="25"/>
          <w:szCs w:val="25"/>
        </w:rPr>
        <w:t>48T</w:t>
      </w:r>
      <w:proofErr w:type="spellEnd"/>
      <w:r w:rsidRPr="00942F86">
        <w:rPr>
          <w:sz w:val="25"/>
          <w:szCs w:val="25"/>
        </w:rPr>
        <w:t xml:space="preserve"> customers are assigned costs related to residential customer service (</w:t>
      </w:r>
      <w:r w:rsidRPr="00942F86">
        <w:rPr>
          <w:i/>
          <w:sz w:val="25"/>
          <w:szCs w:val="25"/>
        </w:rPr>
        <w:t>i.e.</w:t>
      </w:r>
      <w:r w:rsidRPr="00942F86">
        <w:rPr>
          <w:sz w:val="25"/>
          <w:szCs w:val="25"/>
        </w:rPr>
        <w:t>, call centers) from which they receive no benefit.</w:t>
      </w:r>
      <w:r w:rsidRPr="00942F86">
        <w:rPr>
          <w:sz w:val="25"/>
          <w:szCs w:val="25"/>
          <w:vertAlign w:val="superscript"/>
        </w:rPr>
        <w:footnoteReference w:id="290"/>
      </w:r>
      <w:r w:rsidRPr="00942F86">
        <w:rPr>
          <w:sz w:val="25"/>
          <w:szCs w:val="25"/>
        </w:rPr>
        <w:t xml:space="preserve">  </w:t>
      </w:r>
    </w:p>
    <w:p w14:paraId="200C8914" w14:textId="77777777" w:rsidR="008C367C" w:rsidRPr="00942F86" w:rsidRDefault="008C367C" w:rsidP="000455AC">
      <w:pPr>
        <w:spacing w:line="264" w:lineRule="auto"/>
        <w:rPr>
          <w:sz w:val="25"/>
          <w:szCs w:val="25"/>
        </w:rPr>
      </w:pPr>
    </w:p>
    <w:p w14:paraId="3037DDD7" w14:textId="510A6774" w:rsidR="008C367C" w:rsidRPr="00942F86" w:rsidRDefault="00247B7E"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While there is merit to the idea of directly assigning costs that are easily identified to specific customer, Boise White Paper’s fairness argument also has merit.  Thus, were we to make the change Staff and Public Counsel recommend, we would also need a re</w:t>
      </w:r>
      <w:r w:rsidR="004B7F29" w:rsidRPr="00942F86">
        <w:rPr>
          <w:sz w:val="25"/>
          <w:szCs w:val="25"/>
        </w:rPr>
        <w:t xml:space="preserve">cord to show what specific customer service costs might be demonstrably inappropriate to allocate to industrial customers.  </w:t>
      </w:r>
      <w:r w:rsidR="00561EBC" w:rsidRPr="00942F86">
        <w:rPr>
          <w:sz w:val="25"/>
          <w:szCs w:val="25"/>
        </w:rPr>
        <w:t>Without such a record, w</w:t>
      </w:r>
      <w:r w:rsidR="004B7F29" w:rsidRPr="00942F86">
        <w:rPr>
          <w:sz w:val="25"/>
          <w:szCs w:val="25"/>
        </w:rPr>
        <w:t>e find it appropriate to r</w:t>
      </w:r>
      <w:r w:rsidR="008C367C" w:rsidRPr="00942F86">
        <w:rPr>
          <w:sz w:val="25"/>
          <w:szCs w:val="25"/>
        </w:rPr>
        <w:t>etain the status quo and reject Staff</w:t>
      </w:r>
      <w:r w:rsidR="004B7F29" w:rsidRPr="00942F86">
        <w:rPr>
          <w:sz w:val="25"/>
          <w:szCs w:val="25"/>
        </w:rPr>
        <w:t xml:space="preserve"> and Public Counsel</w:t>
      </w:r>
      <w:r w:rsidR="008C367C" w:rsidRPr="00942F86">
        <w:rPr>
          <w:sz w:val="25"/>
          <w:szCs w:val="25"/>
        </w:rPr>
        <w:t xml:space="preserve">’s recommendation.  </w:t>
      </w:r>
    </w:p>
    <w:p w14:paraId="5760164F" w14:textId="3F0927F8" w:rsidR="00C716F4" w:rsidRDefault="00C716F4">
      <w:pPr>
        <w:rPr>
          <w:sz w:val="25"/>
          <w:szCs w:val="25"/>
        </w:rPr>
      </w:pPr>
      <w:r>
        <w:rPr>
          <w:sz w:val="25"/>
          <w:szCs w:val="25"/>
        </w:rPr>
        <w:br w:type="page"/>
      </w:r>
    </w:p>
    <w:p w14:paraId="5D4F214B" w14:textId="77777777" w:rsidR="00ED2C13" w:rsidRDefault="00ED2C13" w:rsidP="000455AC">
      <w:pPr>
        <w:spacing w:line="264" w:lineRule="auto"/>
        <w:rPr>
          <w:sz w:val="25"/>
          <w:szCs w:val="25"/>
        </w:rPr>
      </w:pPr>
    </w:p>
    <w:p w14:paraId="1C44B403" w14:textId="77777777" w:rsidR="0000149F" w:rsidRPr="00942F86" w:rsidRDefault="002E1524" w:rsidP="00883A54">
      <w:pPr>
        <w:pStyle w:val="Heading4"/>
      </w:pPr>
      <w:bookmarkStart w:id="46" w:name="_Toc415037637"/>
      <w:r w:rsidRPr="00942F86">
        <w:t>Rate Spread</w:t>
      </w:r>
      <w:bookmarkEnd w:id="46"/>
    </w:p>
    <w:p w14:paraId="19A7AB3F" w14:textId="77777777" w:rsidR="0000149F" w:rsidRPr="00942F86" w:rsidRDefault="0000149F" w:rsidP="000455AC">
      <w:pPr>
        <w:spacing w:line="264" w:lineRule="auto"/>
        <w:rPr>
          <w:sz w:val="25"/>
          <w:szCs w:val="25"/>
        </w:rPr>
      </w:pPr>
    </w:p>
    <w:p w14:paraId="4DB11727" w14:textId="17FB4A01" w:rsidR="008C367C" w:rsidRPr="00942F86" w:rsidRDefault="008C367C" w:rsidP="00FC421A">
      <w:pPr>
        <w:numPr>
          <w:ilvl w:val="0"/>
          <w:numId w:val="1"/>
        </w:numPr>
        <w:tabs>
          <w:tab w:val="clear" w:pos="720"/>
          <w:tab w:val="num" w:pos="0"/>
        </w:tabs>
        <w:spacing w:line="264" w:lineRule="auto"/>
        <w:ind w:left="0"/>
        <w:rPr>
          <w:sz w:val="25"/>
          <w:szCs w:val="25"/>
        </w:rPr>
      </w:pPr>
      <w:r w:rsidRPr="00942F86">
        <w:rPr>
          <w:sz w:val="25"/>
          <w:szCs w:val="25"/>
        </w:rPr>
        <w:t xml:space="preserve">A utility performs a </w:t>
      </w:r>
      <w:proofErr w:type="spellStart"/>
      <w:r w:rsidRPr="00942F86">
        <w:rPr>
          <w:sz w:val="25"/>
          <w:szCs w:val="25"/>
        </w:rPr>
        <w:t>COSS</w:t>
      </w:r>
      <w:proofErr w:type="spellEnd"/>
      <w:r w:rsidRPr="00942F86">
        <w:rPr>
          <w:sz w:val="25"/>
          <w:szCs w:val="25"/>
        </w:rPr>
        <w:t xml:space="preserve"> to determine its cost to serve each class of customers.  The primary result of the </w:t>
      </w:r>
      <w:r w:rsidR="00561EBC" w:rsidRPr="00942F86">
        <w:rPr>
          <w:sz w:val="25"/>
          <w:szCs w:val="25"/>
        </w:rPr>
        <w:t xml:space="preserve">study </w:t>
      </w:r>
      <w:r w:rsidRPr="00942F86">
        <w:rPr>
          <w:sz w:val="25"/>
          <w:szCs w:val="25"/>
        </w:rPr>
        <w:t>is a parity ratio, calculated by dividing the revenue collected from each customer class by the cost to serve that customer class.</w:t>
      </w:r>
      <w:r w:rsidRPr="00942F86">
        <w:rPr>
          <w:sz w:val="25"/>
          <w:szCs w:val="25"/>
          <w:vertAlign w:val="superscript"/>
        </w:rPr>
        <w:footnoteReference w:id="291"/>
      </w:r>
      <w:r w:rsidRPr="00942F86">
        <w:rPr>
          <w:sz w:val="25"/>
          <w:szCs w:val="25"/>
        </w:rPr>
        <w:t xml:space="preserve">  </w:t>
      </w:r>
      <w:r w:rsidR="00D909CD" w:rsidRPr="00942F86">
        <w:rPr>
          <w:sz w:val="25"/>
          <w:szCs w:val="25"/>
        </w:rPr>
        <w:t xml:space="preserve">As a general matter, it is appropriate from case to case </w:t>
      </w:r>
      <w:r w:rsidRPr="00942F86">
        <w:rPr>
          <w:sz w:val="25"/>
          <w:szCs w:val="25"/>
        </w:rPr>
        <w:t xml:space="preserve">to move the rates of each customer class closer </w:t>
      </w:r>
      <w:r w:rsidR="00D909CD" w:rsidRPr="00942F86">
        <w:rPr>
          <w:sz w:val="25"/>
          <w:szCs w:val="25"/>
        </w:rPr>
        <w:t xml:space="preserve">to parity. </w:t>
      </w:r>
      <w:r w:rsidR="00111736" w:rsidRPr="00942F86">
        <w:rPr>
          <w:sz w:val="25"/>
          <w:szCs w:val="25"/>
        </w:rPr>
        <w:t xml:space="preserve"> </w:t>
      </w:r>
      <w:r w:rsidR="00D909CD" w:rsidRPr="00942F86">
        <w:rPr>
          <w:sz w:val="25"/>
          <w:szCs w:val="25"/>
        </w:rPr>
        <w:t>C</w:t>
      </w:r>
      <w:r w:rsidRPr="00942F86">
        <w:rPr>
          <w:sz w:val="25"/>
          <w:szCs w:val="25"/>
        </w:rPr>
        <w:t>hanges</w:t>
      </w:r>
      <w:r w:rsidR="00D909CD" w:rsidRPr="00942F86">
        <w:rPr>
          <w:sz w:val="25"/>
          <w:szCs w:val="25"/>
        </w:rPr>
        <w:t xml:space="preserve"> in rates to effect greater parity, however,</w:t>
      </w:r>
      <w:r w:rsidRPr="00942F86">
        <w:rPr>
          <w:sz w:val="25"/>
          <w:szCs w:val="25"/>
        </w:rPr>
        <w:t xml:space="preserve"> </w:t>
      </w:r>
      <w:r w:rsidR="00D909CD" w:rsidRPr="00942F86">
        <w:rPr>
          <w:sz w:val="25"/>
          <w:szCs w:val="25"/>
        </w:rPr>
        <w:t>must take into account</w:t>
      </w:r>
      <w:r w:rsidRPr="00942F86">
        <w:rPr>
          <w:sz w:val="25"/>
          <w:szCs w:val="25"/>
        </w:rPr>
        <w:t xml:space="preserve"> “fairness, perceptions of equity, economic conditions in the service territory, gradualism, and rate stability.”</w:t>
      </w:r>
      <w:r w:rsidRPr="00942F86">
        <w:rPr>
          <w:sz w:val="25"/>
          <w:szCs w:val="25"/>
          <w:vertAlign w:val="superscript"/>
        </w:rPr>
        <w:footnoteReference w:id="292"/>
      </w:r>
    </w:p>
    <w:p w14:paraId="2C5FE472" w14:textId="77777777" w:rsidR="00D909CD" w:rsidRPr="00942F86" w:rsidRDefault="00D909CD" w:rsidP="000455AC">
      <w:pPr>
        <w:spacing w:line="264" w:lineRule="auto"/>
        <w:rPr>
          <w:sz w:val="25"/>
          <w:szCs w:val="25"/>
        </w:rPr>
      </w:pPr>
    </w:p>
    <w:p w14:paraId="3F2AA5D2" w14:textId="1A26FA26" w:rsidR="00E93357" w:rsidRPr="00942F86" w:rsidRDefault="00D909CD" w:rsidP="00FC421A">
      <w:pPr>
        <w:numPr>
          <w:ilvl w:val="0"/>
          <w:numId w:val="1"/>
        </w:numPr>
        <w:tabs>
          <w:tab w:val="clear" w:pos="720"/>
          <w:tab w:val="num" w:pos="0"/>
        </w:tabs>
        <w:spacing w:line="264" w:lineRule="auto"/>
        <w:ind w:left="0"/>
        <w:rPr>
          <w:bCs/>
          <w:sz w:val="25"/>
          <w:szCs w:val="25"/>
        </w:rPr>
      </w:pPr>
      <w:r w:rsidRPr="00FC421A">
        <w:rPr>
          <w:i/>
          <w:sz w:val="25"/>
          <w:szCs w:val="25"/>
        </w:rPr>
        <w:t>Pacific</w:t>
      </w:r>
      <w:r w:rsidRPr="00942F86">
        <w:rPr>
          <w:sz w:val="25"/>
          <w:szCs w:val="25"/>
        </w:rPr>
        <w:t xml:space="preserve"> Power presents </w:t>
      </w:r>
      <w:r w:rsidR="00164F78" w:rsidRPr="00942F86">
        <w:rPr>
          <w:sz w:val="25"/>
          <w:szCs w:val="25"/>
        </w:rPr>
        <w:t>its</w:t>
      </w:r>
      <w:r w:rsidRPr="00942F86">
        <w:rPr>
          <w:sz w:val="25"/>
          <w:szCs w:val="25"/>
        </w:rPr>
        <w:t xml:space="preserve"> rate spread proposal through </w:t>
      </w:r>
      <w:r w:rsidR="00164F78" w:rsidRPr="00942F86">
        <w:rPr>
          <w:sz w:val="25"/>
          <w:szCs w:val="25"/>
        </w:rPr>
        <w:t>Ms. Steward’s testimony.</w:t>
      </w:r>
      <w:r w:rsidR="00164F78" w:rsidRPr="00942F86">
        <w:rPr>
          <w:rStyle w:val="FootnoteReference"/>
          <w:sz w:val="25"/>
          <w:szCs w:val="25"/>
        </w:rPr>
        <w:footnoteReference w:id="293"/>
      </w:r>
      <w:r w:rsidR="00164F78" w:rsidRPr="00942F86">
        <w:rPr>
          <w:sz w:val="25"/>
          <w:szCs w:val="25"/>
        </w:rPr>
        <w:t xml:space="preserve">  She explains that </w:t>
      </w:r>
      <w:r w:rsidR="00164F78" w:rsidRPr="00942F86">
        <w:rPr>
          <w:bCs/>
          <w:sz w:val="25"/>
          <w:szCs w:val="25"/>
        </w:rPr>
        <w:t xml:space="preserve">the Company, relying on its </w:t>
      </w:r>
      <w:proofErr w:type="spellStart"/>
      <w:r w:rsidR="00590D1F" w:rsidRPr="00942F86">
        <w:rPr>
          <w:bCs/>
          <w:sz w:val="25"/>
          <w:szCs w:val="25"/>
        </w:rPr>
        <w:t>COSS</w:t>
      </w:r>
      <w:proofErr w:type="spellEnd"/>
      <w:r w:rsidR="00164F78" w:rsidRPr="00942F86">
        <w:rPr>
          <w:bCs/>
          <w:sz w:val="25"/>
          <w:szCs w:val="25"/>
        </w:rPr>
        <w:t>, proposes to: (1) allocate an increase based on one-half of the overall 8.5 percent proposed increase in revenue (</w:t>
      </w:r>
      <w:r w:rsidR="00164F78" w:rsidRPr="00942F86">
        <w:rPr>
          <w:bCs/>
          <w:i/>
          <w:sz w:val="25"/>
          <w:szCs w:val="25"/>
        </w:rPr>
        <w:t>i.e.,</w:t>
      </w:r>
      <w:r w:rsidR="00164F78" w:rsidRPr="00942F86">
        <w:rPr>
          <w:bCs/>
          <w:sz w:val="25"/>
          <w:szCs w:val="25"/>
        </w:rPr>
        <w:t xml:space="preserve"> 4.2 percent) to rate Schedules 24</w:t>
      </w:r>
      <w:r w:rsidR="00561EBC" w:rsidRPr="00942F86">
        <w:rPr>
          <w:bCs/>
          <w:sz w:val="25"/>
          <w:szCs w:val="25"/>
        </w:rPr>
        <w:t xml:space="preserve"> (Small General Service)</w:t>
      </w:r>
      <w:r w:rsidR="00164F78" w:rsidRPr="00942F86">
        <w:rPr>
          <w:bCs/>
          <w:sz w:val="25"/>
          <w:szCs w:val="25"/>
        </w:rPr>
        <w:t>, 40</w:t>
      </w:r>
      <w:r w:rsidR="00561EBC" w:rsidRPr="00942F86">
        <w:rPr>
          <w:bCs/>
          <w:sz w:val="25"/>
          <w:szCs w:val="25"/>
        </w:rPr>
        <w:t xml:space="preserve"> (Agricultural Pumping)</w:t>
      </w:r>
      <w:r w:rsidR="00164F78" w:rsidRPr="00942F86">
        <w:rPr>
          <w:bCs/>
          <w:sz w:val="25"/>
          <w:szCs w:val="25"/>
        </w:rPr>
        <w:t xml:space="preserve">, and lighting schedules because the cost of service study indicates parity ratios </w:t>
      </w:r>
      <w:r w:rsidR="00E93357" w:rsidRPr="00942F86">
        <w:rPr>
          <w:bCs/>
          <w:sz w:val="25"/>
          <w:szCs w:val="25"/>
        </w:rPr>
        <w:t xml:space="preserve">for these customers that </w:t>
      </w:r>
      <w:r w:rsidR="00164F78" w:rsidRPr="00942F86">
        <w:rPr>
          <w:bCs/>
          <w:sz w:val="25"/>
          <w:szCs w:val="25"/>
        </w:rPr>
        <w:t>show they are paying more than the cost of serving them.</w:t>
      </w:r>
      <w:r w:rsidR="00E93357" w:rsidRPr="00942F86">
        <w:rPr>
          <w:bCs/>
          <w:sz w:val="25"/>
          <w:szCs w:val="25"/>
        </w:rPr>
        <w:t xml:space="preserve">  The Company proposes that</w:t>
      </w:r>
      <w:r w:rsidR="00164F78" w:rsidRPr="00942F86">
        <w:rPr>
          <w:bCs/>
          <w:sz w:val="25"/>
          <w:szCs w:val="25"/>
        </w:rPr>
        <w:t xml:space="preserve"> the remaining increase</w:t>
      </w:r>
      <w:r w:rsidR="00E93357" w:rsidRPr="00942F86">
        <w:rPr>
          <w:bCs/>
          <w:sz w:val="25"/>
          <w:szCs w:val="25"/>
        </w:rPr>
        <w:t xml:space="preserve"> should</w:t>
      </w:r>
      <w:r w:rsidR="00164F78" w:rsidRPr="00942F86">
        <w:rPr>
          <w:bCs/>
          <w:sz w:val="25"/>
          <w:szCs w:val="25"/>
        </w:rPr>
        <w:t xml:space="preserve"> </w:t>
      </w:r>
      <w:r w:rsidR="00E93357" w:rsidRPr="00942F86">
        <w:rPr>
          <w:bCs/>
          <w:sz w:val="25"/>
          <w:szCs w:val="25"/>
        </w:rPr>
        <w:t>be</w:t>
      </w:r>
      <w:r w:rsidR="00164F78" w:rsidRPr="00942F86">
        <w:rPr>
          <w:bCs/>
          <w:sz w:val="25"/>
          <w:szCs w:val="25"/>
        </w:rPr>
        <w:t xml:space="preserve"> spread equally to the </w:t>
      </w:r>
      <w:r w:rsidR="00E93357" w:rsidRPr="00942F86">
        <w:rPr>
          <w:bCs/>
          <w:sz w:val="25"/>
          <w:szCs w:val="25"/>
        </w:rPr>
        <w:t>remaining</w:t>
      </w:r>
      <w:r w:rsidR="00164F78" w:rsidRPr="00942F86">
        <w:rPr>
          <w:bCs/>
          <w:sz w:val="25"/>
          <w:szCs w:val="25"/>
        </w:rPr>
        <w:t xml:space="preserve"> rate schedules, which results in a 9.5 percent increase</w:t>
      </w:r>
      <w:r w:rsidR="00561EBC" w:rsidRPr="00942F86">
        <w:rPr>
          <w:bCs/>
          <w:sz w:val="25"/>
          <w:szCs w:val="25"/>
        </w:rPr>
        <w:t xml:space="preserve"> for those schedules</w:t>
      </w:r>
      <w:r w:rsidR="00164F78" w:rsidRPr="00942F86">
        <w:rPr>
          <w:bCs/>
          <w:sz w:val="25"/>
          <w:szCs w:val="25"/>
        </w:rPr>
        <w:t xml:space="preserve">. </w:t>
      </w:r>
    </w:p>
    <w:p w14:paraId="3AB01CAC" w14:textId="77777777" w:rsidR="00E93357" w:rsidRPr="00942F86" w:rsidRDefault="00E93357" w:rsidP="000455AC">
      <w:pPr>
        <w:pStyle w:val="ListParagraph"/>
        <w:spacing w:line="264" w:lineRule="auto"/>
        <w:rPr>
          <w:bCs/>
          <w:sz w:val="25"/>
          <w:szCs w:val="25"/>
        </w:rPr>
      </w:pPr>
    </w:p>
    <w:p w14:paraId="5673DE17" w14:textId="77777777" w:rsidR="00E93357" w:rsidRPr="00942F86" w:rsidRDefault="00E93357" w:rsidP="00FC421A">
      <w:pPr>
        <w:numPr>
          <w:ilvl w:val="0"/>
          <w:numId w:val="1"/>
        </w:numPr>
        <w:tabs>
          <w:tab w:val="clear" w:pos="720"/>
          <w:tab w:val="num" w:pos="0"/>
        </w:tabs>
        <w:spacing w:line="264" w:lineRule="auto"/>
        <w:ind w:left="0"/>
        <w:rPr>
          <w:bCs/>
          <w:sz w:val="25"/>
          <w:szCs w:val="25"/>
        </w:rPr>
      </w:pPr>
      <w:r w:rsidRPr="00942F86">
        <w:rPr>
          <w:bCs/>
          <w:sz w:val="25"/>
          <w:szCs w:val="25"/>
        </w:rPr>
        <w:t>Public Counsel accepts the Pacific Power rate spread recommendation for base rate revenue allocation (rate spread).</w:t>
      </w:r>
      <w:r w:rsidRPr="00942F86">
        <w:rPr>
          <w:bCs/>
          <w:sz w:val="25"/>
          <w:szCs w:val="25"/>
          <w:vertAlign w:val="superscript"/>
        </w:rPr>
        <w:footnoteReference w:id="294"/>
      </w:r>
      <w:r w:rsidRPr="00942F86">
        <w:rPr>
          <w:bCs/>
          <w:sz w:val="25"/>
          <w:szCs w:val="25"/>
        </w:rPr>
        <w:t xml:space="preserve">  According to Public Counsel:</w:t>
      </w:r>
    </w:p>
    <w:p w14:paraId="6B2402F1" w14:textId="77777777" w:rsidR="00E93357" w:rsidRPr="00942F86" w:rsidRDefault="00E93357" w:rsidP="000455AC">
      <w:pPr>
        <w:pStyle w:val="ListParagraph"/>
        <w:spacing w:line="264" w:lineRule="auto"/>
        <w:rPr>
          <w:bCs/>
          <w:sz w:val="25"/>
          <w:szCs w:val="25"/>
        </w:rPr>
      </w:pPr>
    </w:p>
    <w:p w14:paraId="35C6E5F4" w14:textId="645731A9" w:rsidR="00E93357" w:rsidRPr="00942F86" w:rsidRDefault="00E93357" w:rsidP="000455AC">
      <w:pPr>
        <w:spacing w:line="264" w:lineRule="auto"/>
        <w:ind w:left="720" w:right="720"/>
        <w:rPr>
          <w:bCs/>
          <w:sz w:val="25"/>
          <w:szCs w:val="25"/>
        </w:rPr>
      </w:pPr>
      <w:r w:rsidRPr="00942F86">
        <w:rPr>
          <w:bCs/>
          <w:sz w:val="25"/>
          <w:szCs w:val="25"/>
        </w:rPr>
        <w:t xml:space="preserve">The Company proposal reflects movement towards allocated costs under Ms. Steward’s </w:t>
      </w:r>
      <w:proofErr w:type="spellStart"/>
      <w:r w:rsidRPr="00942F86">
        <w:rPr>
          <w:bCs/>
          <w:sz w:val="25"/>
          <w:szCs w:val="25"/>
        </w:rPr>
        <w:t>COSS</w:t>
      </w:r>
      <w:proofErr w:type="spellEnd"/>
      <w:r w:rsidRPr="00942F86">
        <w:rPr>
          <w:bCs/>
          <w:sz w:val="25"/>
          <w:szCs w:val="25"/>
        </w:rPr>
        <w:t xml:space="preserve">.  It also reflects the principle of gradualism </w:t>
      </w:r>
      <w:r w:rsidRPr="00942F86">
        <w:rPr>
          <w:bCs/>
          <w:sz w:val="25"/>
          <w:szCs w:val="25"/>
        </w:rPr>
        <w:lastRenderedPageBreak/>
        <w:t>in that the Residential class will sustain a somewhat larger increase than the overall system average (8.5% under the original request) and the Small General Service a smaller increase.  The percentage increase would be scaled back proportionately if, as requested by Public Counsel and other parties, the overall increase is less than the amount requested by the Company.</w:t>
      </w:r>
      <w:r w:rsidRPr="00942F86">
        <w:rPr>
          <w:rStyle w:val="FootnoteReference"/>
          <w:bCs/>
          <w:sz w:val="25"/>
          <w:szCs w:val="25"/>
        </w:rPr>
        <w:footnoteReference w:id="295"/>
      </w:r>
    </w:p>
    <w:p w14:paraId="0739B4E6" w14:textId="77777777" w:rsidR="00E93357" w:rsidRPr="00942F86" w:rsidRDefault="00E93357" w:rsidP="000455AC">
      <w:pPr>
        <w:spacing w:line="264" w:lineRule="auto"/>
        <w:rPr>
          <w:bCs/>
          <w:sz w:val="25"/>
          <w:szCs w:val="25"/>
        </w:rPr>
      </w:pPr>
    </w:p>
    <w:p w14:paraId="4144779C" w14:textId="547FABE9" w:rsidR="00164F78" w:rsidRPr="00942F86" w:rsidRDefault="00E93357" w:rsidP="00FC421A">
      <w:pPr>
        <w:numPr>
          <w:ilvl w:val="0"/>
          <w:numId w:val="1"/>
        </w:numPr>
        <w:tabs>
          <w:tab w:val="clear" w:pos="720"/>
          <w:tab w:val="num" w:pos="0"/>
        </w:tabs>
        <w:spacing w:line="264" w:lineRule="auto"/>
        <w:ind w:left="0"/>
        <w:rPr>
          <w:bCs/>
          <w:sz w:val="25"/>
          <w:szCs w:val="25"/>
        </w:rPr>
      </w:pPr>
      <w:r w:rsidRPr="00942F86">
        <w:rPr>
          <w:bCs/>
          <w:sz w:val="25"/>
          <w:szCs w:val="25"/>
        </w:rPr>
        <w:t xml:space="preserve">As illustrated in Table </w:t>
      </w:r>
      <w:r w:rsidR="004476E1" w:rsidRPr="00942F86">
        <w:rPr>
          <w:bCs/>
          <w:sz w:val="25"/>
          <w:szCs w:val="25"/>
        </w:rPr>
        <w:t>5</w:t>
      </w:r>
      <w:r w:rsidRPr="00942F86">
        <w:rPr>
          <w:bCs/>
          <w:sz w:val="25"/>
          <w:szCs w:val="25"/>
        </w:rPr>
        <w:t xml:space="preserve"> below, </w:t>
      </w:r>
      <w:r w:rsidR="004E4FD4" w:rsidRPr="00942F86">
        <w:rPr>
          <w:bCs/>
          <w:sz w:val="25"/>
          <w:szCs w:val="25"/>
        </w:rPr>
        <w:t xml:space="preserve">alternative proposals by Boise White </w:t>
      </w:r>
      <w:r w:rsidR="00561EBC" w:rsidRPr="00942F86">
        <w:rPr>
          <w:bCs/>
          <w:sz w:val="25"/>
          <w:szCs w:val="25"/>
        </w:rPr>
        <w:t xml:space="preserve">Paper </w:t>
      </w:r>
      <w:r w:rsidR="004E4FD4" w:rsidRPr="00942F86">
        <w:rPr>
          <w:bCs/>
          <w:sz w:val="25"/>
          <w:szCs w:val="25"/>
        </w:rPr>
        <w:t>and Wal</w:t>
      </w:r>
      <w:r w:rsidR="007A3FED">
        <w:rPr>
          <w:bCs/>
          <w:sz w:val="25"/>
          <w:szCs w:val="25"/>
        </w:rPr>
        <w:t>m</w:t>
      </w:r>
      <w:r w:rsidR="004E4FD4" w:rsidRPr="00942F86">
        <w:rPr>
          <w:bCs/>
          <w:sz w:val="25"/>
          <w:szCs w:val="25"/>
        </w:rPr>
        <w:t xml:space="preserve">art are in most respects quite similar to the Company’s proposal.    </w:t>
      </w:r>
    </w:p>
    <w:p w14:paraId="0B779197" w14:textId="77777777" w:rsidR="00752AA2" w:rsidRPr="00942F86" w:rsidRDefault="00752AA2" w:rsidP="000455AC">
      <w:pPr>
        <w:spacing w:line="264" w:lineRule="auto"/>
        <w:contextualSpacing/>
        <w:jc w:val="center"/>
        <w:rPr>
          <w:b/>
          <w:sz w:val="25"/>
          <w:szCs w:val="25"/>
        </w:rPr>
      </w:pPr>
    </w:p>
    <w:p w14:paraId="2EFC4B61" w14:textId="4C3777E5" w:rsidR="00E93357" w:rsidRPr="00942F86" w:rsidRDefault="004476E1" w:rsidP="000455AC">
      <w:pPr>
        <w:spacing w:line="264" w:lineRule="auto"/>
        <w:contextualSpacing/>
        <w:jc w:val="center"/>
        <w:rPr>
          <w:b/>
          <w:sz w:val="25"/>
          <w:szCs w:val="25"/>
        </w:rPr>
      </w:pPr>
      <w:r w:rsidRPr="00942F86">
        <w:rPr>
          <w:b/>
          <w:sz w:val="25"/>
          <w:szCs w:val="25"/>
        </w:rPr>
        <w:t>Table 5</w:t>
      </w:r>
    </w:p>
    <w:p w14:paraId="06FF72D9" w14:textId="53B04C75" w:rsidR="004476E1" w:rsidRPr="00942F86" w:rsidRDefault="004476E1" w:rsidP="000455AC">
      <w:pPr>
        <w:spacing w:line="264" w:lineRule="auto"/>
        <w:contextualSpacing/>
        <w:jc w:val="center"/>
        <w:rPr>
          <w:b/>
          <w:sz w:val="25"/>
          <w:szCs w:val="25"/>
        </w:rPr>
      </w:pPr>
      <w:r w:rsidRPr="00942F86">
        <w:rPr>
          <w:b/>
          <w:sz w:val="25"/>
          <w:szCs w:val="25"/>
        </w:rPr>
        <w:t>Rate Spread Proposals</w:t>
      </w:r>
    </w:p>
    <w:tbl>
      <w:tblPr>
        <w:tblStyle w:val="TableGrid"/>
        <w:tblW w:w="4380" w:type="pct"/>
        <w:jc w:val="center"/>
        <w:tblLayout w:type="fixed"/>
        <w:tblLook w:val="04A0" w:firstRow="1" w:lastRow="0" w:firstColumn="1" w:lastColumn="0" w:noHBand="0" w:noVBand="1"/>
      </w:tblPr>
      <w:tblGrid>
        <w:gridCol w:w="2425"/>
        <w:gridCol w:w="1440"/>
        <w:gridCol w:w="1260"/>
        <w:gridCol w:w="1265"/>
        <w:gridCol w:w="1170"/>
      </w:tblGrid>
      <w:tr w:rsidR="00E93357" w:rsidRPr="00942F86" w14:paraId="1B155A72" w14:textId="77777777" w:rsidTr="00C716F4">
        <w:trPr>
          <w:jc w:val="center"/>
        </w:trPr>
        <w:tc>
          <w:tcPr>
            <w:tcW w:w="2425" w:type="dxa"/>
          </w:tcPr>
          <w:p w14:paraId="1FE49C89" w14:textId="77777777" w:rsidR="00E93357" w:rsidRPr="00942F86" w:rsidRDefault="00E93357" w:rsidP="000455AC">
            <w:pPr>
              <w:spacing w:line="264" w:lineRule="auto"/>
              <w:contextualSpacing/>
              <w:jc w:val="center"/>
              <w:rPr>
                <w:b/>
                <w:sz w:val="25"/>
                <w:szCs w:val="25"/>
              </w:rPr>
            </w:pPr>
            <w:r w:rsidRPr="00942F86">
              <w:rPr>
                <w:b/>
                <w:sz w:val="25"/>
                <w:szCs w:val="25"/>
              </w:rPr>
              <w:t>Schedule</w:t>
            </w:r>
          </w:p>
        </w:tc>
        <w:tc>
          <w:tcPr>
            <w:tcW w:w="1440" w:type="dxa"/>
          </w:tcPr>
          <w:p w14:paraId="2055F483" w14:textId="77777777" w:rsidR="00E93357" w:rsidRPr="00942F86" w:rsidRDefault="00E93357" w:rsidP="000455AC">
            <w:pPr>
              <w:spacing w:line="264" w:lineRule="auto"/>
              <w:contextualSpacing/>
              <w:jc w:val="center"/>
              <w:rPr>
                <w:b/>
                <w:sz w:val="25"/>
                <w:szCs w:val="25"/>
              </w:rPr>
            </w:pPr>
            <w:r w:rsidRPr="00942F86">
              <w:rPr>
                <w:b/>
                <w:sz w:val="25"/>
                <w:szCs w:val="25"/>
              </w:rPr>
              <w:t>Company’s Proposal</w:t>
            </w:r>
          </w:p>
        </w:tc>
        <w:tc>
          <w:tcPr>
            <w:tcW w:w="1260" w:type="dxa"/>
          </w:tcPr>
          <w:p w14:paraId="1C91F6AC" w14:textId="77777777" w:rsidR="00E93357" w:rsidRPr="00942F86" w:rsidRDefault="00E93357" w:rsidP="000455AC">
            <w:pPr>
              <w:spacing w:line="264" w:lineRule="auto"/>
              <w:contextualSpacing/>
              <w:jc w:val="center"/>
              <w:rPr>
                <w:b/>
                <w:sz w:val="25"/>
                <w:szCs w:val="25"/>
              </w:rPr>
            </w:pPr>
            <w:r w:rsidRPr="00942F86">
              <w:rPr>
                <w:b/>
                <w:sz w:val="25"/>
                <w:szCs w:val="25"/>
              </w:rPr>
              <w:t>Boise’s Proposal</w:t>
            </w:r>
          </w:p>
        </w:tc>
        <w:tc>
          <w:tcPr>
            <w:tcW w:w="1265" w:type="dxa"/>
          </w:tcPr>
          <w:p w14:paraId="26B0D6FD" w14:textId="77777777" w:rsidR="00E93357" w:rsidRPr="00942F86" w:rsidRDefault="00E93357" w:rsidP="000455AC">
            <w:pPr>
              <w:spacing w:line="264" w:lineRule="auto"/>
              <w:contextualSpacing/>
              <w:jc w:val="center"/>
              <w:rPr>
                <w:b/>
                <w:sz w:val="25"/>
                <w:szCs w:val="25"/>
              </w:rPr>
            </w:pPr>
            <w:r w:rsidRPr="00942F86">
              <w:rPr>
                <w:b/>
                <w:sz w:val="25"/>
                <w:szCs w:val="25"/>
              </w:rPr>
              <w:t>Wal-Mart’s Proposal</w:t>
            </w:r>
          </w:p>
        </w:tc>
        <w:tc>
          <w:tcPr>
            <w:tcW w:w="1170" w:type="dxa"/>
          </w:tcPr>
          <w:p w14:paraId="69346BB8" w14:textId="77777777" w:rsidR="00E93357" w:rsidRPr="00942F86" w:rsidRDefault="00E93357" w:rsidP="000455AC">
            <w:pPr>
              <w:spacing w:line="264" w:lineRule="auto"/>
              <w:contextualSpacing/>
              <w:jc w:val="center"/>
              <w:rPr>
                <w:b/>
                <w:sz w:val="25"/>
                <w:szCs w:val="25"/>
              </w:rPr>
            </w:pPr>
            <w:r w:rsidRPr="00942F86">
              <w:rPr>
                <w:b/>
                <w:sz w:val="25"/>
                <w:szCs w:val="25"/>
              </w:rPr>
              <w:t>Staff’s Proposal</w:t>
            </w:r>
          </w:p>
        </w:tc>
      </w:tr>
      <w:tr w:rsidR="00E93357" w:rsidRPr="00942F86" w14:paraId="1B487AC4" w14:textId="77777777" w:rsidTr="00C716F4">
        <w:trPr>
          <w:jc w:val="center"/>
        </w:trPr>
        <w:tc>
          <w:tcPr>
            <w:tcW w:w="2425" w:type="dxa"/>
          </w:tcPr>
          <w:p w14:paraId="1D3B90C5" w14:textId="77777777" w:rsidR="00E93357" w:rsidRPr="00942F86" w:rsidRDefault="00E93357" w:rsidP="000455AC">
            <w:pPr>
              <w:spacing w:line="264" w:lineRule="auto"/>
              <w:contextualSpacing/>
              <w:rPr>
                <w:sz w:val="25"/>
                <w:szCs w:val="25"/>
              </w:rPr>
            </w:pPr>
            <w:r w:rsidRPr="00942F86">
              <w:rPr>
                <w:sz w:val="25"/>
                <w:szCs w:val="25"/>
              </w:rPr>
              <w:t>16, Residential</w:t>
            </w:r>
          </w:p>
        </w:tc>
        <w:tc>
          <w:tcPr>
            <w:tcW w:w="1440" w:type="dxa"/>
          </w:tcPr>
          <w:p w14:paraId="112DA8BD" w14:textId="77777777" w:rsidR="00E93357" w:rsidRPr="00942F86" w:rsidRDefault="00E93357" w:rsidP="000455AC">
            <w:pPr>
              <w:spacing w:line="264" w:lineRule="auto"/>
              <w:contextualSpacing/>
              <w:jc w:val="center"/>
              <w:rPr>
                <w:sz w:val="25"/>
                <w:szCs w:val="25"/>
              </w:rPr>
            </w:pPr>
            <w:r w:rsidRPr="00942F86">
              <w:rPr>
                <w:sz w:val="25"/>
                <w:szCs w:val="25"/>
              </w:rPr>
              <w:t>112%</w:t>
            </w:r>
          </w:p>
        </w:tc>
        <w:tc>
          <w:tcPr>
            <w:tcW w:w="1260" w:type="dxa"/>
          </w:tcPr>
          <w:p w14:paraId="1FAF25F7" w14:textId="77777777" w:rsidR="00E93357" w:rsidRPr="00942F86" w:rsidRDefault="00E93357" w:rsidP="000455AC">
            <w:pPr>
              <w:spacing w:line="264" w:lineRule="auto"/>
              <w:contextualSpacing/>
              <w:jc w:val="center"/>
              <w:rPr>
                <w:sz w:val="25"/>
                <w:szCs w:val="25"/>
              </w:rPr>
            </w:pPr>
            <w:r w:rsidRPr="00942F86">
              <w:rPr>
                <w:sz w:val="25"/>
                <w:szCs w:val="25"/>
              </w:rPr>
              <w:t>112%</w:t>
            </w:r>
          </w:p>
        </w:tc>
        <w:tc>
          <w:tcPr>
            <w:tcW w:w="1265" w:type="dxa"/>
          </w:tcPr>
          <w:p w14:paraId="1D503D43" w14:textId="77777777" w:rsidR="00E93357" w:rsidRPr="00942F86" w:rsidRDefault="00E93357" w:rsidP="000455AC">
            <w:pPr>
              <w:spacing w:line="264" w:lineRule="auto"/>
              <w:contextualSpacing/>
              <w:jc w:val="center"/>
              <w:rPr>
                <w:sz w:val="25"/>
                <w:szCs w:val="25"/>
              </w:rPr>
            </w:pPr>
            <w:r w:rsidRPr="00942F86">
              <w:rPr>
                <w:sz w:val="25"/>
                <w:szCs w:val="25"/>
              </w:rPr>
              <w:t>112%</w:t>
            </w:r>
          </w:p>
        </w:tc>
        <w:tc>
          <w:tcPr>
            <w:tcW w:w="1170" w:type="dxa"/>
          </w:tcPr>
          <w:p w14:paraId="2A4B0696" w14:textId="77777777" w:rsidR="00E93357" w:rsidRPr="00942F86" w:rsidRDefault="00E93357" w:rsidP="000455AC">
            <w:pPr>
              <w:spacing w:line="264" w:lineRule="auto"/>
              <w:contextualSpacing/>
              <w:jc w:val="center"/>
              <w:rPr>
                <w:sz w:val="25"/>
                <w:szCs w:val="25"/>
              </w:rPr>
            </w:pPr>
            <w:r w:rsidRPr="00942F86">
              <w:rPr>
                <w:sz w:val="25"/>
                <w:szCs w:val="25"/>
              </w:rPr>
              <w:t>150%</w:t>
            </w:r>
          </w:p>
        </w:tc>
      </w:tr>
      <w:tr w:rsidR="00E93357" w:rsidRPr="00942F86" w14:paraId="22C602F3" w14:textId="77777777" w:rsidTr="00C716F4">
        <w:trPr>
          <w:trHeight w:val="70"/>
          <w:jc w:val="center"/>
        </w:trPr>
        <w:tc>
          <w:tcPr>
            <w:tcW w:w="2425" w:type="dxa"/>
          </w:tcPr>
          <w:p w14:paraId="469A759D" w14:textId="77777777" w:rsidR="00E93357" w:rsidRPr="00942F86" w:rsidRDefault="00E93357" w:rsidP="000455AC">
            <w:pPr>
              <w:spacing w:line="264" w:lineRule="auto"/>
              <w:contextualSpacing/>
              <w:rPr>
                <w:sz w:val="25"/>
                <w:szCs w:val="25"/>
              </w:rPr>
            </w:pPr>
            <w:r w:rsidRPr="00942F86">
              <w:rPr>
                <w:sz w:val="25"/>
                <w:szCs w:val="25"/>
              </w:rPr>
              <w:t>24, Small General Service</w:t>
            </w:r>
          </w:p>
        </w:tc>
        <w:tc>
          <w:tcPr>
            <w:tcW w:w="1440" w:type="dxa"/>
          </w:tcPr>
          <w:p w14:paraId="2E9EDBA8" w14:textId="77777777" w:rsidR="00E93357" w:rsidRPr="00942F86" w:rsidRDefault="00E93357" w:rsidP="000455AC">
            <w:pPr>
              <w:spacing w:line="264" w:lineRule="auto"/>
              <w:contextualSpacing/>
              <w:jc w:val="center"/>
              <w:rPr>
                <w:sz w:val="25"/>
                <w:szCs w:val="25"/>
              </w:rPr>
            </w:pPr>
            <w:r w:rsidRPr="00942F86">
              <w:rPr>
                <w:sz w:val="25"/>
                <w:szCs w:val="25"/>
              </w:rPr>
              <w:t>50%</w:t>
            </w:r>
          </w:p>
        </w:tc>
        <w:tc>
          <w:tcPr>
            <w:tcW w:w="1260" w:type="dxa"/>
          </w:tcPr>
          <w:p w14:paraId="1F5D8AC9" w14:textId="77777777" w:rsidR="00E93357" w:rsidRPr="00942F86" w:rsidRDefault="00E93357" w:rsidP="000455AC">
            <w:pPr>
              <w:spacing w:line="264" w:lineRule="auto"/>
              <w:contextualSpacing/>
              <w:jc w:val="center"/>
              <w:rPr>
                <w:sz w:val="25"/>
                <w:szCs w:val="25"/>
              </w:rPr>
            </w:pPr>
            <w:r w:rsidRPr="00942F86">
              <w:rPr>
                <w:sz w:val="25"/>
                <w:szCs w:val="25"/>
              </w:rPr>
              <w:t>45%</w:t>
            </w:r>
          </w:p>
        </w:tc>
        <w:tc>
          <w:tcPr>
            <w:tcW w:w="1265" w:type="dxa"/>
          </w:tcPr>
          <w:p w14:paraId="62A1F0D2" w14:textId="77777777" w:rsidR="00E93357" w:rsidRPr="00942F86" w:rsidRDefault="00E93357" w:rsidP="000455AC">
            <w:pPr>
              <w:spacing w:line="264" w:lineRule="auto"/>
              <w:contextualSpacing/>
              <w:jc w:val="center"/>
              <w:rPr>
                <w:sz w:val="25"/>
                <w:szCs w:val="25"/>
              </w:rPr>
            </w:pPr>
            <w:r w:rsidRPr="00942F86">
              <w:rPr>
                <w:sz w:val="25"/>
                <w:szCs w:val="25"/>
              </w:rPr>
              <w:t>68%</w:t>
            </w:r>
          </w:p>
        </w:tc>
        <w:tc>
          <w:tcPr>
            <w:tcW w:w="1170" w:type="dxa"/>
          </w:tcPr>
          <w:p w14:paraId="79A0A424" w14:textId="77777777" w:rsidR="00E93357" w:rsidRPr="00942F86" w:rsidRDefault="00E93357" w:rsidP="000455AC">
            <w:pPr>
              <w:pStyle w:val="answer"/>
              <w:spacing w:before="0" w:after="0" w:line="264" w:lineRule="auto"/>
              <w:ind w:left="0" w:firstLine="0"/>
              <w:contextualSpacing/>
              <w:jc w:val="center"/>
              <w:rPr>
                <w:sz w:val="25"/>
                <w:szCs w:val="25"/>
              </w:rPr>
            </w:pPr>
            <w:r w:rsidRPr="00942F86">
              <w:rPr>
                <w:sz w:val="25"/>
                <w:szCs w:val="25"/>
              </w:rPr>
              <w:t>0%</w:t>
            </w:r>
          </w:p>
        </w:tc>
      </w:tr>
      <w:tr w:rsidR="00E93357" w:rsidRPr="00942F86" w14:paraId="538FB433" w14:textId="77777777" w:rsidTr="00C716F4">
        <w:trPr>
          <w:jc w:val="center"/>
        </w:trPr>
        <w:tc>
          <w:tcPr>
            <w:tcW w:w="2425" w:type="dxa"/>
          </w:tcPr>
          <w:p w14:paraId="216BE026" w14:textId="77777777" w:rsidR="00E93357" w:rsidRPr="00942F86" w:rsidRDefault="00E93357" w:rsidP="000455AC">
            <w:pPr>
              <w:spacing w:line="264" w:lineRule="auto"/>
              <w:contextualSpacing/>
              <w:rPr>
                <w:sz w:val="25"/>
                <w:szCs w:val="25"/>
              </w:rPr>
            </w:pPr>
            <w:r w:rsidRPr="00942F86">
              <w:rPr>
                <w:sz w:val="25"/>
                <w:szCs w:val="25"/>
              </w:rPr>
              <w:t>36, Large General Service &lt;1 MW</w:t>
            </w:r>
          </w:p>
        </w:tc>
        <w:tc>
          <w:tcPr>
            <w:tcW w:w="1440" w:type="dxa"/>
          </w:tcPr>
          <w:p w14:paraId="4282CA4D" w14:textId="77777777" w:rsidR="00E93357" w:rsidRPr="00942F86" w:rsidRDefault="00E93357" w:rsidP="000455AC">
            <w:pPr>
              <w:spacing w:line="264" w:lineRule="auto"/>
              <w:contextualSpacing/>
              <w:jc w:val="center"/>
              <w:rPr>
                <w:sz w:val="25"/>
                <w:szCs w:val="25"/>
              </w:rPr>
            </w:pPr>
            <w:r w:rsidRPr="00942F86">
              <w:rPr>
                <w:sz w:val="25"/>
                <w:szCs w:val="25"/>
              </w:rPr>
              <w:t>112%</w:t>
            </w:r>
          </w:p>
        </w:tc>
        <w:tc>
          <w:tcPr>
            <w:tcW w:w="1260" w:type="dxa"/>
          </w:tcPr>
          <w:p w14:paraId="2E97C42A" w14:textId="77777777" w:rsidR="00E93357" w:rsidRPr="00942F86" w:rsidRDefault="00E93357" w:rsidP="000455AC">
            <w:pPr>
              <w:spacing w:line="264" w:lineRule="auto"/>
              <w:jc w:val="center"/>
              <w:rPr>
                <w:sz w:val="25"/>
                <w:szCs w:val="25"/>
              </w:rPr>
            </w:pPr>
            <w:r w:rsidRPr="00942F86">
              <w:rPr>
                <w:sz w:val="25"/>
                <w:szCs w:val="25"/>
              </w:rPr>
              <w:t>112%</w:t>
            </w:r>
          </w:p>
        </w:tc>
        <w:tc>
          <w:tcPr>
            <w:tcW w:w="1265" w:type="dxa"/>
          </w:tcPr>
          <w:p w14:paraId="0F4D5115" w14:textId="77777777" w:rsidR="00E93357" w:rsidRPr="00942F86" w:rsidRDefault="00E93357" w:rsidP="000455AC">
            <w:pPr>
              <w:spacing w:line="264" w:lineRule="auto"/>
              <w:contextualSpacing/>
              <w:jc w:val="center"/>
              <w:rPr>
                <w:sz w:val="25"/>
                <w:szCs w:val="25"/>
              </w:rPr>
            </w:pPr>
            <w:r w:rsidRPr="00942F86">
              <w:rPr>
                <w:sz w:val="25"/>
                <w:szCs w:val="25"/>
              </w:rPr>
              <w:t>100%</w:t>
            </w:r>
          </w:p>
        </w:tc>
        <w:tc>
          <w:tcPr>
            <w:tcW w:w="1170" w:type="dxa"/>
          </w:tcPr>
          <w:p w14:paraId="242C5398" w14:textId="77777777" w:rsidR="00E93357" w:rsidRPr="00942F86" w:rsidRDefault="00E93357" w:rsidP="000455AC">
            <w:pPr>
              <w:pStyle w:val="answer"/>
              <w:spacing w:before="0" w:after="0" w:line="264" w:lineRule="auto"/>
              <w:ind w:left="0" w:firstLine="0"/>
              <w:contextualSpacing/>
              <w:jc w:val="center"/>
              <w:rPr>
                <w:sz w:val="25"/>
                <w:szCs w:val="25"/>
              </w:rPr>
            </w:pPr>
            <w:r w:rsidRPr="00942F86">
              <w:rPr>
                <w:sz w:val="25"/>
                <w:szCs w:val="25"/>
              </w:rPr>
              <w:t>70%</w:t>
            </w:r>
          </w:p>
        </w:tc>
      </w:tr>
      <w:tr w:rsidR="00E93357" w:rsidRPr="00942F86" w14:paraId="1103228B" w14:textId="77777777" w:rsidTr="00C716F4">
        <w:trPr>
          <w:jc w:val="center"/>
        </w:trPr>
        <w:tc>
          <w:tcPr>
            <w:tcW w:w="2425" w:type="dxa"/>
          </w:tcPr>
          <w:p w14:paraId="4B00FB64" w14:textId="77777777" w:rsidR="00E93357" w:rsidRPr="00942F86" w:rsidRDefault="00E93357" w:rsidP="000455AC">
            <w:pPr>
              <w:spacing w:line="264" w:lineRule="auto"/>
              <w:contextualSpacing/>
              <w:rPr>
                <w:sz w:val="25"/>
                <w:szCs w:val="25"/>
              </w:rPr>
            </w:pPr>
            <w:proofErr w:type="spellStart"/>
            <w:r w:rsidRPr="00942F86">
              <w:rPr>
                <w:sz w:val="25"/>
                <w:szCs w:val="25"/>
              </w:rPr>
              <w:t>48T</w:t>
            </w:r>
            <w:proofErr w:type="spellEnd"/>
            <w:r w:rsidRPr="00942F86">
              <w:rPr>
                <w:sz w:val="25"/>
                <w:szCs w:val="25"/>
              </w:rPr>
              <w:t>, Large General Service &gt;1 MW</w:t>
            </w:r>
          </w:p>
        </w:tc>
        <w:tc>
          <w:tcPr>
            <w:tcW w:w="1440" w:type="dxa"/>
          </w:tcPr>
          <w:p w14:paraId="7FB9169F" w14:textId="77777777" w:rsidR="00E93357" w:rsidRPr="00942F86" w:rsidRDefault="00E93357" w:rsidP="000455AC">
            <w:pPr>
              <w:spacing w:line="264" w:lineRule="auto"/>
              <w:contextualSpacing/>
              <w:jc w:val="center"/>
              <w:rPr>
                <w:sz w:val="25"/>
                <w:szCs w:val="25"/>
              </w:rPr>
            </w:pPr>
            <w:r w:rsidRPr="00942F86">
              <w:rPr>
                <w:sz w:val="25"/>
                <w:szCs w:val="25"/>
              </w:rPr>
              <w:t>112%</w:t>
            </w:r>
          </w:p>
        </w:tc>
        <w:tc>
          <w:tcPr>
            <w:tcW w:w="1260" w:type="dxa"/>
          </w:tcPr>
          <w:p w14:paraId="7AA5D628" w14:textId="77777777" w:rsidR="00E93357" w:rsidRPr="00942F86" w:rsidRDefault="00E93357" w:rsidP="000455AC">
            <w:pPr>
              <w:spacing w:line="264" w:lineRule="auto"/>
              <w:contextualSpacing/>
              <w:jc w:val="center"/>
              <w:rPr>
                <w:sz w:val="25"/>
                <w:szCs w:val="25"/>
              </w:rPr>
            </w:pPr>
            <w:r w:rsidRPr="00942F86">
              <w:rPr>
                <w:sz w:val="25"/>
                <w:szCs w:val="25"/>
              </w:rPr>
              <w:t>112%</w:t>
            </w:r>
          </w:p>
        </w:tc>
        <w:tc>
          <w:tcPr>
            <w:tcW w:w="1265" w:type="dxa"/>
          </w:tcPr>
          <w:p w14:paraId="4715BB3C" w14:textId="77777777" w:rsidR="00E93357" w:rsidRPr="00942F86" w:rsidRDefault="00E93357" w:rsidP="000455AC">
            <w:pPr>
              <w:spacing w:line="264" w:lineRule="auto"/>
              <w:contextualSpacing/>
              <w:jc w:val="center"/>
              <w:rPr>
                <w:sz w:val="25"/>
                <w:szCs w:val="25"/>
              </w:rPr>
            </w:pPr>
            <w:r w:rsidRPr="00942F86">
              <w:rPr>
                <w:sz w:val="25"/>
                <w:szCs w:val="25"/>
              </w:rPr>
              <w:t>100%</w:t>
            </w:r>
          </w:p>
        </w:tc>
        <w:tc>
          <w:tcPr>
            <w:tcW w:w="1170" w:type="dxa"/>
          </w:tcPr>
          <w:p w14:paraId="27BCCCA2" w14:textId="77777777" w:rsidR="00E93357" w:rsidRPr="00942F86" w:rsidRDefault="00E93357" w:rsidP="000455AC">
            <w:pPr>
              <w:pStyle w:val="answer"/>
              <w:spacing w:before="0" w:after="0" w:line="264" w:lineRule="auto"/>
              <w:ind w:left="0" w:firstLine="0"/>
              <w:contextualSpacing/>
              <w:jc w:val="center"/>
              <w:rPr>
                <w:sz w:val="25"/>
                <w:szCs w:val="25"/>
              </w:rPr>
            </w:pPr>
            <w:r w:rsidRPr="00942F86">
              <w:rPr>
                <w:sz w:val="25"/>
                <w:szCs w:val="25"/>
              </w:rPr>
              <w:t>100%</w:t>
            </w:r>
          </w:p>
        </w:tc>
      </w:tr>
      <w:tr w:rsidR="00E93357" w:rsidRPr="00942F86" w14:paraId="2D653984" w14:textId="77777777" w:rsidTr="00C716F4">
        <w:trPr>
          <w:jc w:val="center"/>
        </w:trPr>
        <w:tc>
          <w:tcPr>
            <w:tcW w:w="2425" w:type="dxa"/>
          </w:tcPr>
          <w:p w14:paraId="4050F11C" w14:textId="77777777" w:rsidR="00E93357" w:rsidRPr="00942F86" w:rsidRDefault="00E93357" w:rsidP="000455AC">
            <w:pPr>
              <w:spacing w:line="264" w:lineRule="auto"/>
              <w:contextualSpacing/>
              <w:rPr>
                <w:sz w:val="25"/>
                <w:szCs w:val="25"/>
              </w:rPr>
            </w:pPr>
            <w:proofErr w:type="spellStart"/>
            <w:r w:rsidRPr="00942F86">
              <w:rPr>
                <w:sz w:val="25"/>
                <w:szCs w:val="25"/>
              </w:rPr>
              <w:t>48T</w:t>
            </w:r>
            <w:proofErr w:type="spellEnd"/>
            <w:r w:rsidRPr="00942F86">
              <w:rPr>
                <w:sz w:val="25"/>
                <w:szCs w:val="25"/>
              </w:rPr>
              <w:t>, Dedicated Facilities</w:t>
            </w:r>
          </w:p>
        </w:tc>
        <w:tc>
          <w:tcPr>
            <w:tcW w:w="1440" w:type="dxa"/>
          </w:tcPr>
          <w:p w14:paraId="7C3E8500" w14:textId="77777777" w:rsidR="00E93357" w:rsidRPr="00942F86" w:rsidRDefault="00E93357" w:rsidP="000455AC">
            <w:pPr>
              <w:spacing w:line="264" w:lineRule="auto"/>
              <w:contextualSpacing/>
              <w:jc w:val="center"/>
              <w:rPr>
                <w:sz w:val="25"/>
                <w:szCs w:val="25"/>
              </w:rPr>
            </w:pPr>
            <w:r w:rsidRPr="00942F86">
              <w:rPr>
                <w:sz w:val="25"/>
                <w:szCs w:val="25"/>
              </w:rPr>
              <w:t>112%</w:t>
            </w:r>
          </w:p>
        </w:tc>
        <w:tc>
          <w:tcPr>
            <w:tcW w:w="1260" w:type="dxa"/>
          </w:tcPr>
          <w:p w14:paraId="05815C4C" w14:textId="77777777" w:rsidR="00E93357" w:rsidRPr="00942F86" w:rsidRDefault="00E93357" w:rsidP="000455AC">
            <w:pPr>
              <w:spacing w:line="264" w:lineRule="auto"/>
              <w:contextualSpacing/>
              <w:jc w:val="center"/>
              <w:rPr>
                <w:sz w:val="25"/>
                <w:szCs w:val="25"/>
              </w:rPr>
            </w:pPr>
            <w:r w:rsidRPr="00942F86">
              <w:rPr>
                <w:sz w:val="25"/>
                <w:szCs w:val="25"/>
              </w:rPr>
              <w:t>112%</w:t>
            </w:r>
          </w:p>
        </w:tc>
        <w:tc>
          <w:tcPr>
            <w:tcW w:w="1265" w:type="dxa"/>
          </w:tcPr>
          <w:p w14:paraId="4EBE767F" w14:textId="77777777" w:rsidR="00E93357" w:rsidRPr="00942F86" w:rsidRDefault="00E93357" w:rsidP="000455AC">
            <w:pPr>
              <w:spacing w:line="264" w:lineRule="auto"/>
              <w:contextualSpacing/>
              <w:jc w:val="center"/>
              <w:rPr>
                <w:sz w:val="25"/>
                <w:szCs w:val="25"/>
              </w:rPr>
            </w:pPr>
            <w:r w:rsidRPr="00942F86">
              <w:rPr>
                <w:sz w:val="25"/>
                <w:szCs w:val="25"/>
              </w:rPr>
              <w:t>112%</w:t>
            </w:r>
          </w:p>
        </w:tc>
        <w:tc>
          <w:tcPr>
            <w:tcW w:w="1170" w:type="dxa"/>
          </w:tcPr>
          <w:p w14:paraId="7BD4CA63" w14:textId="77777777" w:rsidR="00E93357" w:rsidRPr="00942F86" w:rsidRDefault="00E93357" w:rsidP="000455AC">
            <w:pPr>
              <w:pStyle w:val="answer"/>
              <w:spacing w:before="0" w:after="0" w:line="264" w:lineRule="auto"/>
              <w:ind w:left="0" w:firstLine="0"/>
              <w:contextualSpacing/>
              <w:jc w:val="center"/>
              <w:rPr>
                <w:sz w:val="25"/>
                <w:szCs w:val="25"/>
              </w:rPr>
            </w:pPr>
            <w:r w:rsidRPr="00942F86">
              <w:rPr>
                <w:sz w:val="25"/>
                <w:szCs w:val="25"/>
              </w:rPr>
              <w:t>150%</w:t>
            </w:r>
          </w:p>
        </w:tc>
      </w:tr>
      <w:tr w:rsidR="00E93357" w:rsidRPr="00942F86" w14:paraId="3A8B3A22" w14:textId="77777777" w:rsidTr="00C716F4">
        <w:trPr>
          <w:jc w:val="center"/>
        </w:trPr>
        <w:tc>
          <w:tcPr>
            <w:tcW w:w="2425" w:type="dxa"/>
          </w:tcPr>
          <w:p w14:paraId="1F5C590B" w14:textId="77777777" w:rsidR="00E93357" w:rsidRPr="00942F86" w:rsidRDefault="00E93357" w:rsidP="000455AC">
            <w:pPr>
              <w:spacing w:line="264" w:lineRule="auto"/>
              <w:contextualSpacing/>
              <w:rPr>
                <w:sz w:val="25"/>
                <w:szCs w:val="25"/>
              </w:rPr>
            </w:pPr>
            <w:r w:rsidRPr="00942F86">
              <w:rPr>
                <w:sz w:val="25"/>
                <w:szCs w:val="25"/>
              </w:rPr>
              <w:t>40, Agricultural Pumping</w:t>
            </w:r>
          </w:p>
        </w:tc>
        <w:tc>
          <w:tcPr>
            <w:tcW w:w="1440" w:type="dxa"/>
          </w:tcPr>
          <w:p w14:paraId="34D0B78A" w14:textId="77777777" w:rsidR="00E93357" w:rsidRPr="00942F86" w:rsidRDefault="00E93357" w:rsidP="000455AC">
            <w:pPr>
              <w:spacing w:line="264" w:lineRule="auto"/>
              <w:contextualSpacing/>
              <w:jc w:val="center"/>
              <w:rPr>
                <w:sz w:val="25"/>
                <w:szCs w:val="25"/>
              </w:rPr>
            </w:pPr>
            <w:r w:rsidRPr="00942F86">
              <w:rPr>
                <w:sz w:val="25"/>
                <w:szCs w:val="25"/>
              </w:rPr>
              <w:t>50%</w:t>
            </w:r>
          </w:p>
        </w:tc>
        <w:tc>
          <w:tcPr>
            <w:tcW w:w="1260" w:type="dxa"/>
          </w:tcPr>
          <w:p w14:paraId="461DF9FB" w14:textId="77777777" w:rsidR="00E93357" w:rsidRPr="00942F86" w:rsidRDefault="00E93357" w:rsidP="000455AC">
            <w:pPr>
              <w:spacing w:line="264" w:lineRule="auto"/>
              <w:contextualSpacing/>
              <w:jc w:val="center"/>
              <w:rPr>
                <w:sz w:val="25"/>
                <w:szCs w:val="25"/>
              </w:rPr>
            </w:pPr>
            <w:r w:rsidRPr="00942F86">
              <w:rPr>
                <w:sz w:val="25"/>
                <w:szCs w:val="25"/>
              </w:rPr>
              <w:t>71%</w:t>
            </w:r>
          </w:p>
        </w:tc>
        <w:tc>
          <w:tcPr>
            <w:tcW w:w="1265" w:type="dxa"/>
          </w:tcPr>
          <w:p w14:paraId="070BEBA7" w14:textId="77777777" w:rsidR="00E93357" w:rsidRPr="00942F86" w:rsidRDefault="00E93357" w:rsidP="000455AC">
            <w:pPr>
              <w:spacing w:line="264" w:lineRule="auto"/>
              <w:contextualSpacing/>
              <w:jc w:val="center"/>
              <w:rPr>
                <w:sz w:val="25"/>
                <w:szCs w:val="25"/>
              </w:rPr>
            </w:pPr>
            <w:r w:rsidRPr="00942F86">
              <w:rPr>
                <w:sz w:val="25"/>
                <w:szCs w:val="25"/>
              </w:rPr>
              <w:t>68%</w:t>
            </w:r>
          </w:p>
        </w:tc>
        <w:tc>
          <w:tcPr>
            <w:tcW w:w="1170" w:type="dxa"/>
          </w:tcPr>
          <w:p w14:paraId="6F5C147F" w14:textId="77777777" w:rsidR="00E93357" w:rsidRPr="00942F86" w:rsidRDefault="00E93357" w:rsidP="000455AC">
            <w:pPr>
              <w:pStyle w:val="answer"/>
              <w:spacing w:before="0" w:after="0" w:line="264" w:lineRule="auto"/>
              <w:ind w:left="0" w:firstLine="0"/>
              <w:contextualSpacing/>
              <w:jc w:val="center"/>
              <w:rPr>
                <w:sz w:val="25"/>
                <w:szCs w:val="25"/>
              </w:rPr>
            </w:pPr>
            <w:r w:rsidRPr="00942F86">
              <w:rPr>
                <w:sz w:val="25"/>
                <w:szCs w:val="25"/>
              </w:rPr>
              <w:t>0%</w:t>
            </w:r>
          </w:p>
        </w:tc>
      </w:tr>
      <w:tr w:rsidR="00E93357" w:rsidRPr="00942F86" w14:paraId="39F4C736" w14:textId="77777777" w:rsidTr="00C716F4">
        <w:trPr>
          <w:jc w:val="center"/>
        </w:trPr>
        <w:tc>
          <w:tcPr>
            <w:tcW w:w="2425" w:type="dxa"/>
          </w:tcPr>
          <w:p w14:paraId="0A41F6B5" w14:textId="77777777" w:rsidR="00E93357" w:rsidRPr="00942F86" w:rsidRDefault="00E93357" w:rsidP="000455AC">
            <w:pPr>
              <w:spacing w:line="264" w:lineRule="auto"/>
              <w:contextualSpacing/>
              <w:rPr>
                <w:sz w:val="25"/>
                <w:szCs w:val="25"/>
              </w:rPr>
            </w:pPr>
            <w:r w:rsidRPr="00942F86">
              <w:rPr>
                <w:sz w:val="25"/>
                <w:szCs w:val="25"/>
              </w:rPr>
              <w:t>Street Lighting</w:t>
            </w:r>
          </w:p>
        </w:tc>
        <w:tc>
          <w:tcPr>
            <w:tcW w:w="1440" w:type="dxa"/>
          </w:tcPr>
          <w:p w14:paraId="1FA234C1" w14:textId="77777777" w:rsidR="00E93357" w:rsidRPr="00942F86" w:rsidRDefault="00E93357" w:rsidP="000455AC">
            <w:pPr>
              <w:spacing w:line="264" w:lineRule="auto"/>
              <w:contextualSpacing/>
              <w:jc w:val="center"/>
              <w:rPr>
                <w:sz w:val="25"/>
                <w:szCs w:val="25"/>
              </w:rPr>
            </w:pPr>
            <w:r w:rsidRPr="00942F86">
              <w:rPr>
                <w:sz w:val="25"/>
                <w:szCs w:val="25"/>
              </w:rPr>
              <w:t>50%</w:t>
            </w:r>
          </w:p>
        </w:tc>
        <w:tc>
          <w:tcPr>
            <w:tcW w:w="1260" w:type="dxa"/>
          </w:tcPr>
          <w:p w14:paraId="2CCE9007" w14:textId="77777777" w:rsidR="00E93357" w:rsidRPr="00942F86" w:rsidRDefault="00E93357" w:rsidP="000455AC">
            <w:pPr>
              <w:pStyle w:val="answer"/>
              <w:spacing w:before="0" w:after="0" w:line="264" w:lineRule="auto"/>
              <w:ind w:left="0" w:firstLine="0"/>
              <w:contextualSpacing/>
              <w:jc w:val="center"/>
              <w:rPr>
                <w:sz w:val="25"/>
                <w:szCs w:val="25"/>
              </w:rPr>
            </w:pPr>
            <w:r w:rsidRPr="00942F86">
              <w:rPr>
                <w:sz w:val="25"/>
                <w:szCs w:val="25"/>
              </w:rPr>
              <w:t>55%</w:t>
            </w:r>
          </w:p>
        </w:tc>
        <w:tc>
          <w:tcPr>
            <w:tcW w:w="1265" w:type="dxa"/>
          </w:tcPr>
          <w:p w14:paraId="0B783410" w14:textId="77777777" w:rsidR="00E93357" w:rsidRPr="00942F86" w:rsidRDefault="00E93357" w:rsidP="000455AC">
            <w:pPr>
              <w:spacing w:line="264" w:lineRule="auto"/>
              <w:contextualSpacing/>
              <w:jc w:val="center"/>
              <w:rPr>
                <w:sz w:val="25"/>
                <w:szCs w:val="25"/>
              </w:rPr>
            </w:pPr>
            <w:r w:rsidRPr="00942F86">
              <w:rPr>
                <w:sz w:val="25"/>
                <w:szCs w:val="25"/>
              </w:rPr>
              <w:t>50%</w:t>
            </w:r>
          </w:p>
        </w:tc>
        <w:tc>
          <w:tcPr>
            <w:tcW w:w="1170" w:type="dxa"/>
          </w:tcPr>
          <w:p w14:paraId="1D720349" w14:textId="77777777" w:rsidR="00E93357" w:rsidRPr="00942F86" w:rsidRDefault="00E93357" w:rsidP="000455AC">
            <w:pPr>
              <w:spacing w:line="264" w:lineRule="auto"/>
              <w:contextualSpacing/>
              <w:jc w:val="center"/>
              <w:rPr>
                <w:sz w:val="25"/>
                <w:szCs w:val="25"/>
              </w:rPr>
            </w:pPr>
            <w:r w:rsidRPr="00942F86">
              <w:rPr>
                <w:sz w:val="25"/>
                <w:szCs w:val="25"/>
              </w:rPr>
              <w:t>0%</w:t>
            </w:r>
          </w:p>
        </w:tc>
      </w:tr>
    </w:tbl>
    <w:p w14:paraId="0E6373C4" w14:textId="2A38F66E" w:rsidR="00E93357" w:rsidRPr="00942F86" w:rsidRDefault="00E93357" w:rsidP="000455AC">
      <w:pPr>
        <w:pStyle w:val="ListParagraph"/>
        <w:spacing w:line="264" w:lineRule="auto"/>
        <w:rPr>
          <w:bCs/>
          <w:sz w:val="25"/>
          <w:szCs w:val="25"/>
        </w:rPr>
      </w:pPr>
    </w:p>
    <w:p w14:paraId="5F93BB1F" w14:textId="41F7C2F0" w:rsidR="00921B34" w:rsidRPr="00942F86" w:rsidRDefault="004E4FD4" w:rsidP="00FC421A">
      <w:pPr>
        <w:numPr>
          <w:ilvl w:val="0"/>
          <w:numId w:val="1"/>
        </w:numPr>
        <w:tabs>
          <w:tab w:val="clear" w:pos="720"/>
          <w:tab w:val="num" w:pos="0"/>
        </w:tabs>
        <w:spacing w:line="264" w:lineRule="auto"/>
        <w:ind w:left="0"/>
        <w:rPr>
          <w:sz w:val="25"/>
          <w:szCs w:val="25"/>
        </w:rPr>
      </w:pPr>
      <w:r w:rsidRPr="00942F86">
        <w:rPr>
          <w:bCs/>
          <w:sz w:val="25"/>
          <w:szCs w:val="25"/>
        </w:rPr>
        <w:t>Staff is the outlier</w:t>
      </w:r>
      <w:r w:rsidR="00590D1F" w:rsidRPr="00942F86">
        <w:rPr>
          <w:bCs/>
          <w:sz w:val="25"/>
          <w:szCs w:val="25"/>
        </w:rPr>
        <w:t>,</w:t>
      </w:r>
      <w:r w:rsidRPr="00942F86">
        <w:rPr>
          <w:sz w:val="25"/>
          <w:szCs w:val="25"/>
        </w:rPr>
        <w:t xml:space="preserve"> </w:t>
      </w:r>
      <w:r w:rsidRPr="00942F86">
        <w:rPr>
          <w:bCs/>
          <w:sz w:val="25"/>
          <w:szCs w:val="25"/>
        </w:rPr>
        <w:t>recommending, among other things, that the Residential class contribute 150</w:t>
      </w:r>
      <w:r w:rsidR="00561EBC" w:rsidRPr="00942F86">
        <w:rPr>
          <w:bCs/>
          <w:sz w:val="25"/>
          <w:szCs w:val="25"/>
        </w:rPr>
        <w:t xml:space="preserve"> percent </w:t>
      </w:r>
      <w:r w:rsidRPr="00942F86">
        <w:rPr>
          <w:bCs/>
          <w:sz w:val="25"/>
          <w:szCs w:val="25"/>
        </w:rPr>
        <w:t xml:space="preserve">of the system average percentage increase, while small general service customers bear none of the increase.  Staff’s proposal is to bring each schedule’s rates within </w:t>
      </w:r>
      <w:r w:rsidR="00561EBC" w:rsidRPr="00942F86">
        <w:rPr>
          <w:bCs/>
          <w:sz w:val="25"/>
          <w:szCs w:val="25"/>
        </w:rPr>
        <w:t xml:space="preserve">5 </w:t>
      </w:r>
      <w:r w:rsidRPr="00942F86">
        <w:rPr>
          <w:bCs/>
          <w:sz w:val="25"/>
          <w:szCs w:val="25"/>
        </w:rPr>
        <w:t xml:space="preserve">percent of parity in a single move. </w:t>
      </w:r>
    </w:p>
    <w:p w14:paraId="1DD2176D" w14:textId="417E700D" w:rsidR="008C367C" w:rsidRPr="00942F86" w:rsidRDefault="004E4FD4" w:rsidP="000455AC">
      <w:pPr>
        <w:spacing w:line="264" w:lineRule="auto"/>
        <w:rPr>
          <w:sz w:val="25"/>
          <w:szCs w:val="25"/>
        </w:rPr>
      </w:pPr>
      <w:r w:rsidRPr="00942F86">
        <w:rPr>
          <w:bCs/>
          <w:sz w:val="25"/>
          <w:szCs w:val="25"/>
        </w:rPr>
        <w:t xml:space="preserve"> </w:t>
      </w:r>
    </w:p>
    <w:p w14:paraId="5B97838A" w14:textId="58FE57EA" w:rsidR="00921B34" w:rsidRPr="00942F86" w:rsidRDefault="00921B34"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Staff’s proposal would </w:t>
      </w:r>
      <w:r w:rsidR="00561EBC" w:rsidRPr="00942F86">
        <w:rPr>
          <w:sz w:val="25"/>
          <w:szCs w:val="25"/>
        </w:rPr>
        <w:t xml:space="preserve">certainly move the rate spread toward </w:t>
      </w:r>
      <w:r w:rsidRPr="00942F86">
        <w:rPr>
          <w:sz w:val="25"/>
          <w:szCs w:val="25"/>
        </w:rPr>
        <w:t>greater parity</w:t>
      </w:r>
      <w:r w:rsidR="00561EBC" w:rsidRPr="00942F86">
        <w:rPr>
          <w:sz w:val="25"/>
          <w:szCs w:val="25"/>
        </w:rPr>
        <w:t xml:space="preserve"> in a single move.  However,</w:t>
      </w:r>
      <w:r w:rsidRPr="00942F86">
        <w:rPr>
          <w:sz w:val="25"/>
          <w:szCs w:val="25"/>
        </w:rPr>
        <w:t xml:space="preserve"> it fails</w:t>
      </w:r>
      <w:r w:rsidR="00561EBC" w:rsidRPr="00942F86">
        <w:rPr>
          <w:sz w:val="25"/>
          <w:szCs w:val="25"/>
        </w:rPr>
        <w:t xml:space="preserve"> to</w:t>
      </w:r>
      <w:r w:rsidRPr="00942F86">
        <w:rPr>
          <w:sz w:val="25"/>
          <w:szCs w:val="25"/>
        </w:rPr>
        <w:t xml:space="preserve"> take into account the other factors the Commission has identified as necessary considerations when making </w:t>
      </w:r>
      <w:r w:rsidRPr="00942F86">
        <w:rPr>
          <w:sz w:val="25"/>
          <w:szCs w:val="25"/>
        </w:rPr>
        <w:lastRenderedPageBreak/>
        <w:t xml:space="preserve">changes in rate spread: fairness, perceptions of equity, </w:t>
      </w:r>
      <w:proofErr w:type="gramStart"/>
      <w:r w:rsidRPr="00942F86">
        <w:rPr>
          <w:sz w:val="25"/>
          <w:szCs w:val="25"/>
        </w:rPr>
        <w:t>economic</w:t>
      </w:r>
      <w:proofErr w:type="gramEnd"/>
      <w:r w:rsidRPr="00942F86">
        <w:rPr>
          <w:sz w:val="25"/>
          <w:szCs w:val="25"/>
        </w:rPr>
        <w:t xml:space="preserve"> conditions in the service territory, gradualism, and rate stability.  Indeed, in Pacific Power’s 2010 GRC the Commission found that increases of 114 percent of the average were too extreme.</w:t>
      </w:r>
      <w:r w:rsidRPr="00942F86">
        <w:rPr>
          <w:rStyle w:val="FootnoteReference"/>
          <w:sz w:val="25"/>
          <w:szCs w:val="25"/>
        </w:rPr>
        <w:footnoteReference w:id="296"/>
      </w:r>
      <w:r w:rsidRPr="00942F86">
        <w:rPr>
          <w:sz w:val="25"/>
          <w:szCs w:val="25"/>
        </w:rPr>
        <w:t xml:space="preserve">  The other parties’ proposals effectively present a more </w:t>
      </w:r>
      <w:r w:rsidR="00561EBC" w:rsidRPr="00942F86">
        <w:rPr>
          <w:sz w:val="25"/>
          <w:szCs w:val="25"/>
        </w:rPr>
        <w:t xml:space="preserve">measured </w:t>
      </w:r>
      <w:r w:rsidRPr="00942F86">
        <w:rPr>
          <w:sz w:val="25"/>
          <w:szCs w:val="25"/>
        </w:rPr>
        <w:t>move in the direction of greater parity, capping the disproportionate increases to residential and other customer classes at 112 percent of the average increase.</w:t>
      </w:r>
      <w:r w:rsidR="00561EBC" w:rsidRPr="00942F86">
        <w:rPr>
          <w:sz w:val="25"/>
          <w:szCs w:val="25"/>
        </w:rPr>
        <w:t xml:space="preserve">  On balance, while we appreciate Staff’s efforts to move quickly toward greater parity, we believe the Company’s proposal comports best with principles the Commission has enunciated in prior orders.</w:t>
      </w:r>
      <w:r w:rsidR="00642A51" w:rsidRPr="00942F86">
        <w:rPr>
          <w:sz w:val="25"/>
          <w:szCs w:val="25"/>
        </w:rPr>
        <w:t xml:space="preserve">  We </w:t>
      </w:r>
      <w:r w:rsidR="00561EBC" w:rsidRPr="00942F86">
        <w:rPr>
          <w:sz w:val="25"/>
          <w:szCs w:val="25"/>
        </w:rPr>
        <w:t xml:space="preserve">therefore </w:t>
      </w:r>
      <w:r w:rsidR="00642A51" w:rsidRPr="00942F86">
        <w:rPr>
          <w:sz w:val="25"/>
          <w:szCs w:val="25"/>
        </w:rPr>
        <w:t>accept the Company’s proposal</w:t>
      </w:r>
      <w:r w:rsidR="00561EBC" w:rsidRPr="00942F86">
        <w:rPr>
          <w:sz w:val="25"/>
          <w:szCs w:val="25"/>
        </w:rPr>
        <w:t xml:space="preserve"> in this case</w:t>
      </w:r>
      <w:r w:rsidR="00642A51" w:rsidRPr="00942F86">
        <w:rPr>
          <w:sz w:val="25"/>
          <w:szCs w:val="25"/>
        </w:rPr>
        <w:t>.</w:t>
      </w:r>
    </w:p>
    <w:p w14:paraId="0518F9FE" w14:textId="77777777" w:rsidR="00752AA2" w:rsidRPr="00942F86" w:rsidRDefault="00752AA2" w:rsidP="000455AC">
      <w:pPr>
        <w:spacing w:line="264" w:lineRule="auto"/>
        <w:rPr>
          <w:sz w:val="25"/>
          <w:szCs w:val="25"/>
        </w:rPr>
      </w:pPr>
    </w:p>
    <w:p w14:paraId="40BDBD4D" w14:textId="77777777" w:rsidR="00D3242A" w:rsidRPr="00942F86" w:rsidRDefault="002E1524" w:rsidP="00883A54">
      <w:pPr>
        <w:pStyle w:val="Heading4"/>
      </w:pPr>
      <w:bookmarkStart w:id="47" w:name="_Toc415037638"/>
      <w:r w:rsidRPr="00942F86">
        <w:t>Rate Design</w:t>
      </w:r>
      <w:bookmarkEnd w:id="47"/>
    </w:p>
    <w:p w14:paraId="1CD525EF" w14:textId="77777777" w:rsidR="00752AA2" w:rsidRPr="00942F86" w:rsidRDefault="00752AA2" w:rsidP="000455AC">
      <w:pPr>
        <w:spacing w:line="264" w:lineRule="auto"/>
        <w:rPr>
          <w:sz w:val="25"/>
          <w:szCs w:val="25"/>
        </w:rPr>
      </w:pPr>
    </w:p>
    <w:p w14:paraId="4A13F6EF" w14:textId="0ADA1E98" w:rsidR="00A55C62" w:rsidRPr="00942F86" w:rsidRDefault="000E2D91" w:rsidP="000455AC">
      <w:pPr>
        <w:pStyle w:val="Heading5"/>
        <w:numPr>
          <w:ilvl w:val="0"/>
          <w:numId w:val="34"/>
        </w:numPr>
        <w:spacing w:before="0" w:after="0" w:line="264" w:lineRule="auto"/>
        <w:rPr>
          <w:szCs w:val="25"/>
        </w:rPr>
      </w:pPr>
      <w:bookmarkStart w:id="48" w:name="_Toc415037639"/>
      <w:r w:rsidRPr="00942F86">
        <w:rPr>
          <w:szCs w:val="25"/>
        </w:rPr>
        <w:t>Residential Rates</w:t>
      </w:r>
      <w:bookmarkEnd w:id="48"/>
    </w:p>
    <w:p w14:paraId="3E49044B" w14:textId="0F27A9B4" w:rsidR="00D3242A" w:rsidRPr="00942F86" w:rsidRDefault="00D3242A" w:rsidP="000455AC">
      <w:pPr>
        <w:spacing w:line="264" w:lineRule="auto"/>
        <w:rPr>
          <w:sz w:val="25"/>
          <w:szCs w:val="25"/>
        </w:rPr>
      </w:pPr>
    </w:p>
    <w:p w14:paraId="6D83BD4D" w14:textId="072A6055" w:rsidR="00BB415A" w:rsidRPr="00942F86" w:rsidRDefault="007637D5" w:rsidP="00FC421A">
      <w:pPr>
        <w:numPr>
          <w:ilvl w:val="0"/>
          <w:numId w:val="1"/>
        </w:numPr>
        <w:tabs>
          <w:tab w:val="clear" w:pos="720"/>
          <w:tab w:val="num" w:pos="0"/>
        </w:tabs>
        <w:spacing w:line="264" w:lineRule="auto"/>
        <w:ind w:left="0"/>
        <w:rPr>
          <w:sz w:val="25"/>
          <w:szCs w:val="25"/>
        </w:rPr>
      </w:pPr>
      <w:r w:rsidRPr="00942F86">
        <w:rPr>
          <w:sz w:val="25"/>
          <w:szCs w:val="25"/>
        </w:rPr>
        <w:t>Pacific Power proposes to increase the residential basic charge</w:t>
      </w:r>
      <w:r w:rsidR="003A37ED" w:rsidRPr="00942F86">
        <w:rPr>
          <w:sz w:val="25"/>
          <w:szCs w:val="25"/>
        </w:rPr>
        <w:t xml:space="preserve"> for Schedule 16 customers</w:t>
      </w:r>
      <w:r w:rsidR="00642A51" w:rsidRPr="00942F86">
        <w:rPr>
          <w:sz w:val="25"/>
          <w:szCs w:val="25"/>
        </w:rPr>
        <w:t xml:space="preserve"> from $7.75 per month</w:t>
      </w:r>
      <w:r w:rsidRPr="00942F86">
        <w:rPr>
          <w:sz w:val="25"/>
          <w:szCs w:val="25"/>
        </w:rPr>
        <w:t xml:space="preserve"> to $14.00 per month</w:t>
      </w:r>
      <w:r w:rsidR="00BB415A" w:rsidRPr="00942F86">
        <w:rPr>
          <w:sz w:val="25"/>
          <w:szCs w:val="25"/>
        </w:rPr>
        <w:t>,</w:t>
      </w:r>
      <w:r w:rsidR="00642A51" w:rsidRPr="00942F86">
        <w:rPr>
          <w:sz w:val="25"/>
          <w:szCs w:val="25"/>
        </w:rPr>
        <w:t xml:space="preserve"> </w:t>
      </w:r>
      <w:r w:rsidR="00BB415A" w:rsidRPr="00942F86">
        <w:rPr>
          <w:sz w:val="25"/>
          <w:szCs w:val="25"/>
        </w:rPr>
        <w:t xml:space="preserve">an 81 percent increase from the current level.  </w:t>
      </w:r>
      <w:r w:rsidR="003C1B40" w:rsidRPr="00942F86">
        <w:rPr>
          <w:sz w:val="25"/>
          <w:szCs w:val="25"/>
        </w:rPr>
        <w:t>The Company would make an exception for Schedule 17, which sets rates for qualifying customers under the Company’s Low Income Bill Assistance (</w:t>
      </w:r>
      <w:proofErr w:type="spellStart"/>
      <w:r w:rsidR="003C1B40" w:rsidRPr="00942F86">
        <w:rPr>
          <w:sz w:val="25"/>
          <w:szCs w:val="25"/>
        </w:rPr>
        <w:t>LIBA</w:t>
      </w:r>
      <w:proofErr w:type="spellEnd"/>
      <w:r w:rsidR="003C1B40" w:rsidRPr="00942F86">
        <w:rPr>
          <w:sz w:val="25"/>
          <w:szCs w:val="25"/>
        </w:rPr>
        <w:t>) Program, increasing the basic charge by one dollar to $8.75.  Ms. Steward testifies</w:t>
      </w:r>
      <w:r w:rsidR="00BB415A" w:rsidRPr="00942F86">
        <w:rPr>
          <w:sz w:val="25"/>
          <w:szCs w:val="25"/>
        </w:rPr>
        <w:t xml:space="preserve"> that </w:t>
      </w:r>
      <w:r w:rsidR="003C1B40" w:rsidRPr="00942F86">
        <w:rPr>
          <w:sz w:val="25"/>
          <w:szCs w:val="25"/>
        </w:rPr>
        <w:t>the Company’s</w:t>
      </w:r>
      <w:r w:rsidR="00BB415A" w:rsidRPr="00942F86">
        <w:rPr>
          <w:sz w:val="25"/>
          <w:szCs w:val="25"/>
        </w:rPr>
        <w:t xml:space="preserve"> embedded cost of service results supports an even higher basic charge of $28</w:t>
      </w:r>
      <w:r w:rsidR="003C1B40" w:rsidRPr="00942F86">
        <w:rPr>
          <w:sz w:val="25"/>
          <w:szCs w:val="25"/>
        </w:rPr>
        <w:t>.00 per month</w:t>
      </w:r>
      <w:r w:rsidR="00BB415A" w:rsidRPr="00942F86">
        <w:rPr>
          <w:sz w:val="25"/>
          <w:szCs w:val="25"/>
        </w:rPr>
        <w:t>.</w:t>
      </w:r>
      <w:r w:rsidR="00BB415A" w:rsidRPr="00942F86">
        <w:rPr>
          <w:sz w:val="25"/>
          <w:szCs w:val="25"/>
          <w:vertAlign w:val="superscript"/>
        </w:rPr>
        <w:footnoteReference w:id="297"/>
      </w:r>
      <w:r w:rsidR="00BB415A" w:rsidRPr="00942F86">
        <w:rPr>
          <w:sz w:val="25"/>
          <w:szCs w:val="25"/>
        </w:rPr>
        <w:t xml:space="preserve">  </w:t>
      </w:r>
      <w:r w:rsidR="003C1B40" w:rsidRPr="00942F86">
        <w:rPr>
          <w:sz w:val="25"/>
          <w:szCs w:val="25"/>
        </w:rPr>
        <w:t>This</w:t>
      </w:r>
      <w:r w:rsidR="00BB415A" w:rsidRPr="00942F86">
        <w:rPr>
          <w:sz w:val="25"/>
          <w:szCs w:val="25"/>
        </w:rPr>
        <w:t xml:space="preserve"> </w:t>
      </w:r>
      <w:r w:rsidR="003C1B40" w:rsidRPr="00942F86">
        <w:rPr>
          <w:sz w:val="25"/>
          <w:szCs w:val="25"/>
        </w:rPr>
        <w:t>figure includes</w:t>
      </w:r>
      <w:r w:rsidR="00BB415A" w:rsidRPr="00942F86">
        <w:rPr>
          <w:sz w:val="25"/>
          <w:szCs w:val="25"/>
        </w:rPr>
        <w:t xml:space="preserve"> distribution system fixed costs (line transformers, poles, and wires)</w:t>
      </w:r>
      <w:r w:rsidR="003C1B40" w:rsidRPr="00942F86">
        <w:rPr>
          <w:sz w:val="25"/>
          <w:szCs w:val="25"/>
        </w:rPr>
        <w:t>, now recovered in volumetric rates,</w:t>
      </w:r>
      <w:r w:rsidR="00BB415A" w:rsidRPr="00942F86">
        <w:rPr>
          <w:sz w:val="25"/>
          <w:szCs w:val="25"/>
        </w:rPr>
        <w:t xml:space="preserve"> as well as</w:t>
      </w:r>
      <w:r w:rsidR="0011142E" w:rsidRPr="00942F86">
        <w:rPr>
          <w:sz w:val="25"/>
          <w:szCs w:val="25"/>
        </w:rPr>
        <w:t xml:space="preserve"> the traditional</w:t>
      </w:r>
      <w:r w:rsidR="00BB415A" w:rsidRPr="00942F86">
        <w:rPr>
          <w:sz w:val="25"/>
          <w:szCs w:val="25"/>
        </w:rPr>
        <w:t xml:space="preserve"> costs</w:t>
      </w:r>
      <w:r w:rsidR="0011142E" w:rsidRPr="00942F86">
        <w:rPr>
          <w:sz w:val="25"/>
          <w:szCs w:val="25"/>
        </w:rPr>
        <w:t xml:space="preserve"> included in basic charges</w:t>
      </w:r>
      <w:r w:rsidR="00BB415A" w:rsidRPr="00942F86">
        <w:rPr>
          <w:sz w:val="25"/>
          <w:szCs w:val="25"/>
        </w:rPr>
        <w:t xml:space="preserve"> that vary based on the number of customers served (service drops, meters, meter reading, and billing).</w:t>
      </w:r>
      <w:r w:rsidR="00BB415A" w:rsidRPr="00942F86">
        <w:rPr>
          <w:sz w:val="25"/>
          <w:szCs w:val="25"/>
          <w:vertAlign w:val="superscript"/>
        </w:rPr>
        <w:footnoteReference w:id="298"/>
      </w:r>
      <w:r w:rsidR="00BB415A" w:rsidRPr="00942F86">
        <w:rPr>
          <w:sz w:val="25"/>
          <w:szCs w:val="25"/>
        </w:rPr>
        <w:t xml:space="preserve">  </w:t>
      </w:r>
      <w:r w:rsidR="003C1B40" w:rsidRPr="00942F86">
        <w:rPr>
          <w:sz w:val="25"/>
          <w:szCs w:val="25"/>
        </w:rPr>
        <w:t>Ms. Steward</w:t>
      </w:r>
      <w:r w:rsidR="00BB415A" w:rsidRPr="00942F86">
        <w:rPr>
          <w:sz w:val="25"/>
          <w:szCs w:val="25"/>
        </w:rPr>
        <w:t xml:space="preserve"> </w:t>
      </w:r>
      <w:r w:rsidR="003C1B40" w:rsidRPr="00942F86">
        <w:rPr>
          <w:sz w:val="25"/>
          <w:szCs w:val="25"/>
        </w:rPr>
        <w:t>implies</w:t>
      </w:r>
      <w:r w:rsidR="00BB415A" w:rsidRPr="00942F86">
        <w:rPr>
          <w:sz w:val="25"/>
          <w:szCs w:val="25"/>
        </w:rPr>
        <w:t xml:space="preserve"> that all fixed costs are appropriate for inclusion in the basic charge</w:t>
      </w:r>
      <w:r w:rsidR="003C1B40" w:rsidRPr="00942F86">
        <w:rPr>
          <w:sz w:val="25"/>
          <w:szCs w:val="25"/>
        </w:rPr>
        <w:t>, including transmission and generation, which would raise the charge even more, to $47.00 per month</w:t>
      </w:r>
      <w:r w:rsidR="00BB415A" w:rsidRPr="00942F86">
        <w:rPr>
          <w:sz w:val="25"/>
          <w:szCs w:val="25"/>
        </w:rPr>
        <w:t>.</w:t>
      </w:r>
      <w:r w:rsidR="00BB415A" w:rsidRPr="00942F86">
        <w:rPr>
          <w:sz w:val="25"/>
          <w:szCs w:val="25"/>
          <w:vertAlign w:val="superscript"/>
        </w:rPr>
        <w:footnoteReference w:id="299"/>
      </w:r>
      <w:r w:rsidR="003C1B40" w:rsidRPr="00942F86">
        <w:rPr>
          <w:sz w:val="25"/>
          <w:szCs w:val="25"/>
        </w:rPr>
        <w:t xml:space="preserve"> </w:t>
      </w:r>
      <w:r w:rsidR="00BB415A" w:rsidRPr="00942F86">
        <w:rPr>
          <w:sz w:val="25"/>
          <w:szCs w:val="25"/>
        </w:rPr>
        <w:t xml:space="preserve"> </w:t>
      </w:r>
    </w:p>
    <w:p w14:paraId="5866C332" w14:textId="77777777" w:rsidR="00BB415A" w:rsidRPr="00942F86" w:rsidRDefault="00BB415A" w:rsidP="000455AC">
      <w:pPr>
        <w:spacing w:line="264" w:lineRule="auto"/>
        <w:rPr>
          <w:sz w:val="25"/>
          <w:szCs w:val="25"/>
        </w:rPr>
      </w:pPr>
    </w:p>
    <w:p w14:paraId="1AFE78FD" w14:textId="7B9BB866" w:rsidR="00BB415A" w:rsidRPr="00942F86" w:rsidRDefault="00642A51" w:rsidP="00FC421A">
      <w:pPr>
        <w:numPr>
          <w:ilvl w:val="0"/>
          <w:numId w:val="1"/>
        </w:numPr>
        <w:tabs>
          <w:tab w:val="clear" w:pos="720"/>
          <w:tab w:val="num" w:pos="0"/>
        </w:tabs>
        <w:spacing w:line="264" w:lineRule="auto"/>
        <w:ind w:left="0"/>
        <w:rPr>
          <w:sz w:val="25"/>
          <w:szCs w:val="25"/>
        </w:rPr>
      </w:pPr>
      <w:r w:rsidRPr="00942F86">
        <w:rPr>
          <w:sz w:val="25"/>
          <w:szCs w:val="25"/>
        </w:rPr>
        <w:t xml:space="preserve">Staff proposes increasing the basic charge to $13 to allow the company more stable revenues and </w:t>
      </w:r>
      <w:r w:rsidR="003C1B40" w:rsidRPr="00942F86">
        <w:rPr>
          <w:sz w:val="25"/>
          <w:szCs w:val="25"/>
        </w:rPr>
        <w:t xml:space="preserve">in support of its proposal to </w:t>
      </w:r>
      <w:r w:rsidRPr="00942F86">
        <w:rPr>
          <w:sz w:val="25"/>
          <w:szCs w:val="25"/>
        </w:rPr>
        <w:t>add a third volumetric block to encourage conservation and distributed generation (DG).</w:t>
      </w:r>
      <w:r w:rsidR="000A0045" w:rsidRPr="00942F86">
        <w:rPr>
          <w:rStyle w:val="FootnoteReference"/>
          <w:sz w:val="25"/>
          <w:szCs w:val="25"/>
        </w:rPr>
        <w:footnoteReference w:id="300"/>
      </w:r>
      <w:r w:rsidRPr="00942F86">
        <w:rPr>
          <w:sz w:val="25"/>
          <w:szCs w:val="25"/>
        </w:rPr>
        <w:t xml:space="preserve">  </w:t>
      </w:r>
      <w:r w:rsidR="00BB415A" w:rsidRPr="00942F86">
        <w:rPr>
          <w:sz w:val="25"/>
          <w:szCs w:val="25"/>
        </w:rPr>
        <w:t xml:space="preserve">Staff reaches its proposed $13 basic </w:t>
      </w:r>
      <w:r w:rsidR="00BB415A" w:rsidRPr="00942F86">
        <w:rPr>
          <w:sz w:val="25"/>
          <w:szCs w:val="25"/>
        </w:rPr>
        <w:lastRenderedPageBreak/>
        <w:t>charge by including the cost of line transformers, a distribution system cost previously included in energy rates.</w:t>
      </w:r>
      <w:r w:rsidR="00BB415A" w:rsidRPr="00942F86">
        <w:rPr>
          <w:sz w:val="25"/>
          <w:szCs w:val="25"/>
          <w:vertAlign w:val="superscript"/>
        </w:rPr>
        <w:footnoteReference w:id="301"/>
      </w:r>
    </w:p>
    <w:p w14:paraId="39E22D1D" w14:textId="77777777" w:rsidR="003062CB" w:rsidRPr="00942F86" w:rsidRDefault="003062CB" w:rsidP="000455AC">
      <w:pPr>
        <w:pStyle w:val="ListParagraph"/>
        <w:spacing w:line="264" w:lineRule="auto"/>
        <w:rPr>
          <w:sz w:val="25"/>
          <w:szCs w:val="25"/>
        </w:rPr>
      </w:pPr>
    </w:p>
    <w:p w14:paraId="222E27C8" w14:textId="5B602AC6" w:rsidR="003062CB" w:rsidRPr="00942F86" w:rsidRDefault="003062CB" w:rsidP="00FC421A">
      <w:pPr>
        <w:numPr>
          <w:ilvl w:val="0"/>
          <w:numId w:val="1"/>
        </w:numPr>
        <w:tabs>
          <w:tab w:val="clear" w:pos="720"/>
          <w:tab w:val="num" w:pos="0"/>
        </w:tabs>
        <w:spacing w:line="264" w:lineRule="auto"/>
        <w:ind w:left="0"/>
        <w:rPr>
          <w:rFonts w:eastAsia="Calibri"/>
          <w:sz w:val="25"/>
          <w:szCs w:val="25"/>
        </w:rPr>
      </w:pPr>
      <w:r w:rsidRPr="00942F86">
        <w:rPr>
          <w:sz w:val="25"/>
          <w:szCs w:val="25"/>
        </w:rPr>
        <w:t>Public</w:t>
      </w:r>
      <w:r w:rsidRPr="00942F86">
        <w:rPr>
          <w:rFonts w:eastAsia="Calibri"/>
          <w:sz w:val="25"/>
          <w:szCs w:val="25"/>
        </w:rPr>
        <w:t xml:space="preserve"> Counsel, </w:t>
      </w:r>
      <w:proofErr w:type="spellStart"/>
      <w:r w:rsidRPr="00942F86">
        <w:rPr>
          <w:rFonts w:eastAsia="Calibri"/>
          <w:sz w:val="25"/>
          <w:szCs w:val="25"/>
        </w:rPr>
        <w:t>TASC</w:t>
      </w:r>
      <w:proofErr w:type="spellEnd"/>
      <w:r w:rsidRPr="00942F86">
        <w:rPr>
          <w:rFonts w:eastAsia="Calibri"/>
          <w:sz w:val="25"/>
          <w:szCs w:val="25"/>
        </w:rPr>
        <w:t xml:space="preserve">, and the Energy Project </w:t>
      </w:r>
      <w:r w:rsidR="000A0045" w:rsidRPr="00942F86">
        <w:rPr>
          <w:rFonts w:eastAsia="Calibri"/>
          <w:sz w:val="25"/>
          <w:szCs w:val="25"/>
        </w:rPr>
        <w:t>all offer testimony</w:t>
      </w:r>
      <w:r w:rsidRPr="00942F86">
        <w:rPr>
          <w:rFonts w:eastAsia="Calibri"/>
          <w:sz w:val="25"/>
          <w:szCs w:val="25"/>
        </w:rPr>
        <w:t xml:space="preserve"> that the basic charge should include only costs that vary based on the number of customers served.</w:t>
      </w:r>
      <w:r w:rsidRPr="00942F86">
        <w:rPr>
          <w:rFonts w:eastAsia="Calibri"/>
          <w:sz w:val="25"/>
          <w:szCs w:val="25"/>
          <w:vertAlign w:val="superscript"/>
        </w:rPr>
        <w:footnoteReference w:id="302"/>
      </w:r>
      <w:r w:rsidRPr="00942F86">
        <w:rPr>
          <w:rFonts w:eastAsia="Calibri"/>
          <w:sz w:val="25"/>
          <w:szCs w:val="25"/>
        </w:rPr>
        <w:t xml:space="preserve">  Public Counsel and </w:t>
      </w:r>
      <w:proofErr w:type="spellStart"/>
      <w:r w:rsidRPr="00942F86">
        <w:rPr>
          <w:rFonts w:eastAsia="Calibri"/>
          <w:sz w:val="25"/>
          <w:szCs w:val="25"/>
        </w:rPr>
        <w:t>TASC</w:t>
      </w:r>
      <w:proofErr w:type="spellEnd"/>
      <w:r w:rsidRPr="00942F86">
        <w:rPr>
          <w:rFonts w:eastAsia="Calibri"/>
          <w:sz w:val="25"/>
          <w:szCs w:val="25"/>
        </w:rPr>
        <w:t xml:space="preserve"> argue, based on the traditional “direct customer cost” analysis and a Regulatory Assistance Project paper, that transformer costs vary based upon demand and should be included in energy rates.</w:t>
      </w:r>
      <w:r w:rsidRPr="00942F86">
        <w:rPr>
          <w:rFonts w:eastAsia="Calibri"/>
          <w:sz w:val="25"/>
          <w:szCs w:val="25"/>
          <w:vertAlign w:val="superscript"/>
        </w:rPr>
        <w:footnoteReference w:id="303"/>
      </w:r>
      <w:r w:rsidRPr="00942F86">
        <w:rPr>
          <w:rFonts w:eastAsia="Calibri"/>
          <w:sz w:val="25"/>
          <w:szCs w:val="25"/>
        </w:rPr>
        <w:t xml:space="preserve"> </w:t>
      </w:r>
      <w:r w:rsidR="00561EBC" w:rsidRPr="00942F86">
        <w:rPr>
          <w:rFonts w:eastAsia="Calibri"/>
          <w:sz w:val="25"/>
          <w:szCs w:val="25"/>
        </w:rPr>
        <w:t xml:space="preserve"> </w:t>
      </w:r>
      <w:r w:rsidRPr="00942F86">
        <w:rPr>
          <w:rFonts w:eastAsia="Calibri"/>
          <w:sz w:val="25"/>
          <w:szCs w:val="25"/>
        </w:rPr>
        <w:t xml:space="preserve">Public Counsel and </w:t>
      </w:r>
      <w:proofErr w:type="spellStart"/>
      <w:r w:rsidRPr="00942F86">
        <w:rPr>
          <w:rFonts w:eastAsia="Calibri"/>
          <w:sz w:val="25"/>
          <w:szCs w:val="25"/>
        </w:rPr>
        <w:t>TASC</w:t>
      </w:r>
      <w:proofErr w:type="spellEnd"/>
      <w:r w:rsidRPr="00942F86">
        <w:rPr>
          <w:rFonts w:eastAsia="Calibri"/>
          <w:sz w:val="25"/>
          <w:szCs w:val="25"/>
        </w:rPr>
        <w:t xml:space="preserve"> also argue that the Company’s increase in the basic charge violates the regulatory principle of gradualism and is contrary to conservation efforts.</w:t>
      </w:r>
      <w:r w:rsidRPr="00942F86">
        <w:rPr>
          <w:rFonts w:eastAsia="Calibri"/>
          <w:sz w:val="25"/>
          <w:szCs w:val="25"/>
          <w:vertAlign w:val="superscript"/>
        </w:rPr>
        <w:footnoteReference w:id="304"/>
      </w:r>
      <w:r w:rsidRPr="00942F86">
        <w:rPr>
          <w:rFonts w:eastAsia="Calibri"/>
          <w:sz w:val="25"/>
          <w:szCs w:val="25"/>
        </w:rPr>
        <w:t xml:space="preserve">  </w:t>
      </w:r>
      <w:r w:rsidR="000A0045" w:rsidRPr="00942F86">
        <w:rPr>
          <w:rFonts w:eastAsia="Calibri"/>
          <w:sz w:val="25"/>
          <w:szCs w:val="25"/>
        </w:rPr>
        <w:t>Mr. Watkins, for</w:t>
      </w:r>
      <w:r w:rsidRPr="00942F86">
        <w:rPr>
          <w:rFonts w:eastAsia="Calibri"/>
          <w:sz w:val="25"/>
          <w:szCs w:val="25"/>
        </w:rPr>
        <w:t xml:space="preserve"> Public Counsel</w:t>
      </w:r>
      <w:r w:rsidR="000A0045" w:rsidRPr="00942F86">
        <w:rPr>
          <w:rFonts w:eastAsia="Calibri"/>
          <w:sz w:val="25"/>
          <w:szCs w:val="25"/>
        </w:rPr>
        <w:t xml:space="preserve"> calculates that using</w:t>
      </w:r>
      <w:r w:rsidRPr="00942F86">
        <w:rPr>
          <w:rFonts w:eastAsia="Calibri"/>
          <w:sz w:val="25"/>
          <w:szCs w:val="25"/>
        </w:rPr>
        <w:t xml:space="preserve"> traditional “direct customer cost” analysis, the basic charge should be between $7.31-7.50</w:t>
      </w:r>
      <w:r w:rsidR="000A0045" w:rsidRPr="00942F86">
        <w:rPr>
          <w:rFonts w:eastAsia="Calibri"/>
          <w:sz w:val="25"/>
          <w:szCs w:val="25"/>
        </w:rPr>
        <w:t>.</w:t>
      </w:r>
      <w:r w:rsidR="006C0807" w:rsidRPr="00942F86">
        <w:rPr>
          <w:rStyle w:val="FootnoteReference"/>
          <w:rFonts w:eastAsia="Calibri"/>
          <w:sz w:val="25"/>
          <w:szCs w:val="25"/>
        </w:rPr>
        <w:footnoteReference w:id="305"/>
      </w:r>
      <w:r w:rsidR="000A0045" w:rsidRPr="00942F86">
        <w:rPr>
          <w:rFonts w:eastAsia="Calibri"/>
          <w:sz w:val="25"/>
          <w:szCs w:val="25"/>
        </w:rPr>
        <w:t xml:space="preserve">  Mr. Fulmer, for</w:t>
      </w:r>
      <w:r w:rsidRPr="00942F86">
        <w:rPr>
          <w:rFonts w:eastAsia="Calibri"/>
          <w:sz w:val="25"/>
          <w:szCs w:val="25"/>
        </w:rPr>
        <w:t xml:space="preserve"> </w:t>
      </w:r>
      <w:proofErr w:type="spellStart"/>
      <w:r w:rsidRPr="00942F86">
        <w:rPr>
          <w:rFonts w:eastAsia="Calibri"/>
          <w:sz w:val="25"/>
          <w:szCs w:val="25"/>
        </w:rPr>
        <w:t>TASC</w:t>
      </w:r>
      <w:proofErr w:type="spellEnd"/>
      <w:r w:rsidR="000A0045" w:rsidRPr="00942F86">
        <w:rPr>
          <w:rFonts w:eastAsia="Calibri"/>
          <w:sz w:val="25"/>
          <w:szCs w:val="25"/>
        </w:rPr>
        <w:t xml:space="preserve">, </w:t>
      </w:r>
      <w:r w:rsidRPr="00942F86">
        <w:rPr>
          <w:rFonts w:eastAsia="Calibri"/>
          <w:sz w:val="25"/>
          <w:szCs w:val="25"/>
        </w:rPr>
        <w:t>supports a basic charge of $9.</w:t>
      </w:r>
      <w:r w:rsidR="00590D1F" w:rsidRPr="00942F86">
        <w:rPr>
          <w:rFonts w:eastAsia="Calibri"/>
          <w:sz w:val="25"/>
          <w:szCs w:val="25"/>
        </w:rPr>
        <w:t>00.</w:t>
      </w:r>
      <w:r w:rsidRPr="00942F86">
        <w:rPr>
          <w:rFonts w:eastAsia="Calibri"/>
          <w:sz w:val="25"/>
          <w:szCs w:val="25"/>
          <w:vertAlign w:val="superscript"/>
        </w:rPr>
        <w:footnoteReference w:id="306"/>
      </w:r>
      <w:r w:rsidRPr="00942F86">
        <w:rPr>
          <w:rFonts w:eastAsia="Calibri"/>
          <w:sz w:val="25"/>
          <w:szCs w:val="25"/>
        </w:rPr>
        <w:t xml:space="preserve">  </w:t>
      </w:r>
      <w:r w:rsidR="000A0045" w:rsidRPr="00942F86">
        <w:rPr>
          <w:rFonts w:eastAsia="Calibri"/>
          <w:sz w:val="25"/>
          <w:szCs w:val="25"/>
        </w:rPr>
        <w:t>Mr. Eber</w:t>
      </w:r>
      <w:r w:rsidR="00856E8D">
        <w:rPr>
          <w:rFonts w:eastAsia="Calibri"/>
          <w:sz w:val="25"/>
          <w:szCs w:val="25"/>
        </w:rPr>
        <w:t>d</w:t>
      </w:r>
      <w:r w:rsidR="000A0045" w:rsidRPr="00942F86">
        <w:rPr>
          <w:rFonts w:eastAsia="Calibri"/>
          <w:sz w:val="25"/>
          <w:szCs w:val="25"/>
        </w:rPr>
        <w:t>t testifies that t</w:t>
      </w:r>
      <w:r w:rsidRPr="00942F86">
        <w:rPr>
          <w:rFonts w:eastAsia="Calibri"/>
          <w:sz w:val="25"/>
          <w:szCs w:val="25"/>
        </w:rPr>
        <w:t>he Energy Project opposes an increase to the basic charge for all customers.</w:t>
      </w:r>
      <w:r w:rsidRPr="00942F86">
        <w:rPr>
          <w:rFonts w:eastAsia="Calibri"/>
          <w:sz w:val="25"/>
          <w:szCs w:val="25"/>
          <w:vertAlign w:val="superscript"/>
        </w:rPr>
        <w:footnoteReference w:id="307"/>
      </w:r>
    </w:p>
    <w:p w14:paraId="177EA3EE" w14:textId="77777777" w:rsidR="003062CB" w:rsidRPr="00942F86" w:rsidRDefault="003062CB" w:rsidP="000455AC">
      <w:pPr>
        <w:pStyle w:val="ListParagraph"/>
        <w:spacing w:line="264" w:lineRule="auto"/>
        <w:rPr>
          <w:rFonts w:eastAsia="Calibri"/>
          <w:sz w:val="25"/>
          <w:szCs w:val="25"/>
        </w:rPr>
      </w:pPr>
    </w:p>
    <w:p w14:paraId="02B29159" w14:textId="5510BEFE" w:rsidR="003062CB" w:rsidRPr="00942F86" w:rsidRDefault="003062CB" w:rsidP="00FC421A">
      <w:pPr>
        <w:numPr>
          <w:ilvl w:val="0"/>
          <w:numId w:val="1"/>
        </w:numPr>
        <w:tabs>
          <w:tab w:val="clear" w:pos="720"/>
          <w:tab w:val="num" w:pos="0"/>
        </w:tabs>
        <w:spacing w:line="264" w:lineRule="auto"/>
        <w:ind w:left="0"/>
        <w:rPr>
          <w:rFonts w:eastAsia="Calibri"/>
          <w:sz w:val="25"/>
          <w:szCs w:val="25"/>
        </w:rPr>
      </w:pPr>
      <w:r w:rsidRPr="00FC421A">
        <w:rPr>
          <w:i/>
          <w:sz w:val="25"/>
          <w:szCs w:val="25"/>
        </w:rPr>
        <w:t>Staff</w:t>
      </w:r>
      <w:r w:rsidRPr="00942F86">
        <w:rPr>
          <w:rFonts w:eastAsia="Calibri"/>
          <w:sz w:val="25"/>
          <w:szCs w:val="25"/>
        </w:rPr>
        <w:t xml:space="preserve"> supports its proposed</w:t>
      </w:r>
      <w:r w:rsidR="000A0045" w:rsidRPr="00942F86">
        <w:rPr>
          <w:rFonts w:eastAsia="Calibri"/>
          <w:sz w:val="25"/>
          <w:szCs w:val="25"/>
        </w:rPr>
        <w:t xml:space="preserve"> increase in the</w:t>
      </w:r>
      <w:r w:rsidRPr="00942F86">
        <w:rPr>
          <w:rFonts w:eastAsia="Calibri"/>
          <w:sz w:val="25"/>
          <w:szCs w:val="25"/>
        </w:rPr>
        <w:t xml:space="preserve"> basic charge by reasoning that “in the absence of a decoupling mechanism to reduce Pacific Power’s risk of under-recovering fixed costs due to declining load, it is appropriate to shift the distribution of the Company’s cost recovery toward fixed sources of recovery, such as the monthly basic charge.”</w:t>
      </w:r>
      <w:r w:rsidRPr="00942F86">
        <w:rPr>
          <w:rFonts w:eastAsia="Calibri"/>
          <w:sz w:val="25"/>
          <w:szCs w:val="25"/>
          <w:vertAlign w:val="superscript"/>
        </w:rPr>
        <w:footnoteReference w:id="308"/>
      </w:r>
      <w:r w:rsidRPr="00942F86">
        <w:rPr>
          <w:rFonts w:eastAsia="Calibri"/>
          <w:sz w:val="25"/>
          <w:szCs w:val="25"/>
        </w:rPr>
        <w:t xml:space="preserve">  </w:t>
      </w:r>
      <w:r w:rsidR="000A0045" w:rsidRPr="00942F86">
        <w:rPr>
          <w:rFonts w:eastAsia="Calibri"/>
          <w:sz w:val="25"/>
          <w:szCs w:val="25"/>
        </w:rPr>
        <w:t>Mr. Fulmer</w:t>
      </w:r>
      <w:r w:rsidR="00561EBC" w:rsidRPr="00942F86">
        <w:rPr>
          <w:rFonts w:eastAsia="Calibri"/>
          <w:sz w:val="25"/>
          <w:szCs w:val="25"/>
        </w:rPr>
        <w:t xml:space="preserve">, for </w:t>
      </w:r>
      <w:proofErr w:type="spellStart"/>
      <w:r w:rsidR="00561EBC" w:rsidRPr="00942F86">
        <w:rPr>
          <w:rFonts w:eastAsia="Calibri"/>
          <w:sz w:val="25"/>
          <w:szCs w:val="25"/>
        </w:rPr>
        <w:t>TASC</w:t>
      </w:r>
      <w:proofErr w:type="spellEnd"/>
      <w:r w:rsidR="00561EBC" w:rsidRPr="00942F86">
        <w:rPr>
          <w:rFonts w:eastAsia="Calibri"/>
          <w:sz w:val="25"/>
          <w:szCs w:val="25"/>
        </w:rPr>
        <w:t>,</w:t>
      </w:r>
      <w:r w:rsidRPr="00942F86">
        <w:rPr>
          <w:rFonts w:eastAsia="Calibri"/>
          <w:sz w:val="25"/>
          <w:szCs w:val="25"/>
        </w:rPr>
        <w:t xml:space="preserve"> </w:t>
      </w:r>
      <w:r w:rsidR="000A0045" w:rsidRPr="00942F86">
        <w:rPr>
          <w:rFonts w:eastAsia="Calibri"/>
          <w:sz w:val="25"/>
          <w:szCs w:val="25"/>
        </w:rPr>
        <w:t>p</w:t>
      </w:r>
      <w:r w:rsidR="00A94D49" w:rsidRPr="00942F86">
        <w:rPr>
          <w:rFonts w:eastAsia="Calibri"/>
          <w:sz w:val="25"/>
          <w:szCs w:val="25"/>
        </w:rPr>
        <w:t>oints out</w:t>
      </w:r>
      <w:r w:rsidRPr="00942F86">
        <w:rPr>
          <w:rFonts w:eastAsia="Calibri"/>
          <w:sz w:val="25"/>
          <w:szCs w:val="25"/>
        </w:rPr>
        <w:t xml:space="preserve"> that increasing the basic charge would discourage distributed generation, and that decoupling, attrition adjustments, minimum bills and forward-looking test years are more appropriate ways to address utility revenue deficiency than higher fixed charges.</w:t>
      </w:r>
      <w:r w:rsidRPr="00942F86">
        <w:rPr>
          <w:rFonts w:eastAsia="Calibri"/>
          <w:sz w:val="25"/>
          <w:szCs w:val="25"/>
          <w:vertAlign w:val="superscript"/>
        </w:rPr>
        <w:footnoteReference w:id="309"/>
      </w:r>
      <w:r w:rsidRPr="00942F86">
        <w:rPr>
          <w:rFonts w:eastAsia="Calibri"/>
          <w:sz w:val="25"/>
          <w:szCs w:val="25"/>
        </w:rPr>
        <w:t xml:space="preserve">  </w:t>
      </w:r>
      <w:r w:rsidR="0011142E" w:rsidRPr="00942F86">
        <w:rPr>
          <w:rFonts w:eastAsia="Calibri"/>
          <w:sz w:val="25"/>
          <w:szCs w:val="25"/>
        </w:rPr>
        <w:t xml:space="preserve">Staff agrees with </w:t>
      </w:r>
      <w:proofErr w:type="spellStart"/>
      <w:r w:rsidR="0011142E" w:rsidRPr="00942F86">
        <w:rPr>
          <w:rFonts w:eastAsia="Calibri"/>
          <w:sz w:val="25"/>
          <w:szCs w:val="25"/>
        </w:rPr>
        <w:lastRenderedPageBreak/>
        <w:t>TASC</w:t>
      </w:r>
      <w:proofErr w:type="spellEnd"/>
      <w:r w:rsidR="0011142E" w:rsidRPr="00942F86">
        <w:rPr>
          <w:rFonts w:eastAsia="Calibri"/>
          <w:sz w:val="25"/>
          <w:szCs w:val="25"/>
        </w:rPr>
        <w:t xml:space="preserve"> on this point, stating in its Initial Brief that it is curious that</w:t>
      </w:r>
      <w:r w:rsidR="0011142E" w:rsidRPr="00942F86">
        <w:rPr>
          <w:color w:val="000000"/>
          <w:sz w:val="25"/>
          <w:szCs w:val="25"/>
        </w:rPr>
        <w:t xml:space="preserve"> </w:t>
      </w:r>
      <w:r w:rsidR="0011142E" w:rsidRPr="00942F86">
        <w:rPr>
          <w:rFonts w:eastAsia="Calibri"/>
          <w:sz w:val="25"/>
          <w:szCs w:val="25"/>
        </w:rPr>
        <w:t>Pacific Power did not request a decoupling mechanism in this case.  Staff argues that “[t]he decoupling mechanisms recently approved by the Commission provide the affected utilities a guaranteed amount of revenue, regardless of actual retail sales.”</w:t>
      </w:r>
      <w:r w:rsidR="0011142E" w:rsidRPr="00942F86">
        <w:rPr>
          <w:rFonts w:eastAsia="Calibri"/>
          <w:sz w:val="25"/>
          <w:szCs w:val="25"/>
          <w:vertAlign w:val="superscript"/>
        </w:rPr>
        <w:footnoteReference w:id="310"/>
      </w:r>
      <w:r w:rsidR="0011142E" w:rsidRPr="00942F86">
        <w:rPr>
          <w:rFonts w:eastAsia="Calibri"/>
          <w:sz w:val="25"/>
          <w:szCs w:val="25"/>
        </w:rPr>
        <w:t xml:space="preserve">  In Staff’s view</w:t>
      </w:r>
      <w:r w:rsidR="00A94D49" w:rsidRPr="00942F86">
        <w:rPr>
          <w:rFonts w:eastAsia="Calibri"/>
          <w:sz w:val="25"/>
          <w:szCs w:val="25"/>
        </w:rPr>
        <w:t>,</w:t>
      </w:r>
      <w:r w:rsidR="0011142E" w:rsidRPr="00942F86">
        <w:rPr>
          <w:rFonts w:eastAsia="Calibri"/>
          <w:sz w:val="25"/>
          <w:szCs w:val="25"/>
        </w:rPr>
        <w:t xml:space="preserve"> a decoupling mechanism would provide the Company more certainty of cost recovery than do other approaches</w:t>
      </w:r>
      <w:r w:rsidRPr="00942F86">
        <w:rPr>
          <w:rFonts w:eastAsia="Calibri"/>
          <w:sz w:val="25"/>
          <w:szCs w:val="25"/>
        </w:rPr>
        <w:t>.</w:t>
      </w:r>
    </w:p>
    <w:p w14:paraId="18D1E166" w14:textId="77777777" w:rsidR="00BB415A" w:rsidRPr="00942F86" w:rsidRDefault="00BB415A" w:rsidP="000455AC">
      <w:pPr>
        <w:pStyle w:val="ListParagraph"/>
        <w:spacing w:line="264" w:lineRule="auto"/>
        <w:rPr>
          <w:sz w:val="25"/>
          <w:szCs w:val="25"/>
        </w:rPr>
      </w:pPr>
    </w:p>
    <w:p w14:paraId="0118475F" w14:textId="78701BED" w:rsidR="003062CB" w:rsidRPr="00942F86" w:rsidRDefault="003062CB" w:rsidP="00FC421A">
      <w:pPr>
        <w:numPr>
          <w:ilvl w:val="0"/>
          <w:numId w:val="1"/>
        </w:numPr>
        <w:tabs>
          <w:tab w:val="clear" w:pos="720"/>
          <w:tab w:val="num" w:pos="0"/>
        </w:tabs>
        <w:spacing w:line="264" w:lineRule="auto"/>
        <w:ind w:left="0"/>
        <w:rPr>
          <w:sz w:val="25"/>
          <w:szCs w:val="25"/>
        </w:rPr>
      </w:pPr>
      <w:r w:rsidRPr="00942F86">
        <w:rPr>
          <w:sz w:val="25"/>
          <w:szCs w:val="25"/>
        </w:rPr>
        <w:t xml:space="preserve">Staff combines an increase in the basic charge with the addition of a third volumetric block to </w:t>
      </w:r>
      <w:r w:rsidR="00561EBC" w:rsidRPr="00942F86">
        <w:rPr>
          <w:sz w:val="25"/>
          <w:szCs w:val="25"/>
        </w:rPr>
        <w:t xml:space="preserve">Pacific Power’s </w:t>
      </w:r>
      <w:r w:rsidRPr="00942F86">
        <w:rPr>
          <w:sz w:val="25"/>
          <w:szCs w:val="25"/>
        </w:rPr>
        <w:t>residential rates in order to:</w:t>
      </w:r>
    </w:p>
    <w:p w14:paraId="1B76B7B1" w14:textId="77777777" w:rsidR="003062CB" w:rsidRPr="00942F86" w:rsidRDefault="003062CB" w:rsidP="000455AC">
      <w:pPr>
        <w:spacing w:line="264" w:lineRule="auto"/>
        <w:rPr>
          <w:sz w:val="25"/>
          <w:szCs w:val="25"/>
        </w:rPr>
      </w:pPr>
    </w:p>
    <w:p w14:paraId="3471D346" w14:textId="7FEC4968" w:rsidR="003062CB" w:rsidRPr="00942F86" w:rsidRDefault="005E4D2C" w:rsidP="00E05A86">
      <w:pPr>
        <w:numPr>
          <w:ilvl w:val="0"/>
          <w:numId w:val="23"/>
        </w:numPr>
        <w:spacing w:line="264" w:lineRule="auto"/>
        <w:ind w:left="720"/>
        <w:rPr>
          <w:sz w:val="25"/>
          <w:szCs w:val="25"/>
        </w:rPr>
      </w:pPr>
      <w:r w:rsidRPr="00942F86">
        <w:rPr>
          <w:sz w:val="25"/>
          <w:szCs w:val="25"/>
        </w:rPr>
        <w:t>P</w:t>
      </w:r>
      <w:r w:rsidR="003062CB" w:rsidRPr="00942F86">
        <w:rPr>
          <w:sz w:val="25"/>
          <w:szCs w:val="25"/>
        </w:rPr>
        <w:t xml:space="preserve">rovide the </w:t>
      </w:r>
      <w:r w:rsidR="00561EBC" w:rsidRPr="00942F86">
        <w:rPr>
          <w:sz w:val="25"/>
          <w:szCs w:val="25"/>
        </w:rPr>
        <w:t xml:space="preserve">Company </w:t>
      </w:r>
      <w:r w:rsidR="003062CB" w:rsidRPr="00942F86">
        <w:rPr>
          <w:sz w:val="25"/>
          <w:szCs w:val="25"/>
        </w:rPr>
        <w:t>more reliable recovery of fixed costs</w:t>
      </w:r>
      <w:r w:rsidRPr="00942F86">
        <w:rPr>
          <w:sz w:val="25"/>
          <w:szCs w:val="25"/>
        </w:rPr>
        <w:t>.</w:t>
      </w:r>
      <w:r w:rsidR="003062CB" w:rsidRPr="00942F86">
        <w:rPr>
          <w:sz w:val="25"/>
          <w:szCs w:val="25"/>
        </w:rPr>
        <w:t xml:space="preserve"> </w:t>
      </w:r>
    </w:p>
    <w:p w14:paraId="381CFFDE" w14:textId="77777777" w:rsidR="00752AA2" w:rsidRPr="00942F86" w:rsidRDefault="00752AA2" w:rsidP="000455AC">
      <w:pPr>
        <w:pStyle w:val="ListParagraph"/>
        <w:spacing w:line="264" w:lineRule="auto"/>
        <w:rPr>
          <w:sz w:val="25"/>
          <w:szCs w:val="25"/>
        </w:rPr>
      </w:pPr>
    </w:p>
    <w:p w14:paraId="0DC2FED6" w14:textId="645294E1" w:rsidR="003062CB" w:rsidRPr="00942F86" w:rsidRDefault="005E4D2C" w:rsidP="00E05A86">
      <w:pPr>
        <w:numPr>
          <w:ilvl w:val="0"/>
          <w:numId w:val="23"/>
        </w:numPr>
        <w:spacing w:line="264" w:lineRule="auto"/>
        <w:ind w:left="720"/>
        <w:rPr>
          <w:sz w:val="25"/>
          <w:szCs w:val="25"/>
        </w:rPr>
      </w:pPr>
      <w:r w:rsidRPr="00942F86">
        <w:rPr>
          <w:sz w:val="25"/>
          <w:szCs w:val="25"/>
        </w:rPr>
        <w:t>E</w:t>
      </w:r>
      <w:r w:rsidR="003062CB" w:rsidRPr="00942F86">
        <w:rPr>
          <w:sz w:val="25"/>
          <w:szCs w:val="25"/>
        </w:rPr>
        <w:t>stablish clear price signals for consumers that support energy efficiency and distributed generation.</w:t>
      </w:r>
    </w:p>
    <w:p w14:paraId="447F8CBF" w14:textId="77777777" w:rsidR="003062CB" w:rsidRPr="00942F86" w:rsidRDefault="003062CB" w:rsidP="000455AC">
      <w:pPr>
        <w:spacing w:line="264" w:lineRule="auto"/>
        <w:rPr>
          <w:sz w:val="25"/>
          <w:szCs w:val="25"/>
        </w:rPr>
      </w:pPr>
      <w:r w:rsidRPr="00942F86">
        <w:rPr>
          <w:sz w:val="25"/>
          <w:szCs w:val="25"/>
        </w:rPr>
        <w:tab/>
      </w:r>
    </w:p>
    <w:p w14:paraId="741567D1" w14:textId="2975DAF4" w:rsidR="005E4D2C" w:rsidRPr="00942F86" w:rsidRDefault="005E4D2C" w:rsidP="00FC421A">
      <w:pPr>
        <w:numPr>
          <w:ilvl w:val="0"/>
          <w:numId w:val="1"/>
        </w:numPr>
        <w:tabs>
          <w:tab w:val="clear" w:pos="720"/>
          <w:tab w:val="num" w:pos="0"/>
        </w:tabs>
        <w:spacing w:line="264" w:lineRule="auto"/>
        <w:ind w:left="0"/>
        <w:rPr>
          <w:rFonts w:eastAsia="Calibri"/>
          <w:sz w:val="25"/>
          <w:szCs w:val="25"/>
        </w:rPr>
      </w:pPr>
      <w:r w:rsidRPr="00FC421A">
        <w:rPr>
          <w:i/>
          <w:sz w:val="25"/>
          <w:szCs w:val="25"/>
        </w:rPr>
        <w:t>The</w:t>
      </w:r>
      <w:r w:rsidRPr="00942F86">
        <w:rPr>
          <w:rFonts w:eastAsia="Calibri"/>
          <w:sz w:val="25"/>
          <w:szCs w:val="25"/>
        </w:rPr>
        <w:t xml:space="preserve"> bases for Staff’s three-block proposal are:</w:t>
      </w:r>
    </w:p>
    <w:p w14:paraId="743CB1E3" w14:textId="77777777" w:rsidR="005E4D2C" w:rsidRPr="00942F86" w:rsidRDefault="005E4D2C" w:rsidP="000455AC">
      <w:pPr>
        <w:spacing w:line="264" w:lineRule="auto"/>
        <w:rPr>
          <w:rFonts w:eastAsia="Calibri"/>
          <w:sz w:val="25"/>
          <w:szCs w:val="25"/>
        </w:rPr>
      </w:pPr>
    </w:p>
    <w:p w14:paraId="57814022" w14:textId="77777777" w:rsidR="005E4D2C" w:rsidRPr="00942F86" w:rsidRDefault="005E4D2C" w:rsidP="00E05A86">
      <w:pPr>
        <w:numPr>
          <w:ilvl w:val="0"/>
          <w:numId w:val="23"/>
        </w:numPr>
        <w:spacing w:line="264" w:lineRule="auto"/>
        <w:ind w:left="720"/>
        <w:rPr>
          <w:rFonts w:eastAsia="Calibri"/>
          <w:sz w:val="25"/>
          <w:szCs w:val="25"/>
        </w:rPr>
      </w:pPr>
      <w:r w:rsidRPr="00942F86">
        <w:rPr>
          <w:sz w:val="25"/>
          <w:szCs w:val="25"/>
        </w:rPr>
        <w:t>Block</w:t>
      </w:r>
      <w:r w:rsidRPr="00942F86">
        <w:rPr>
          <w:rFonts w:eastAsia="Calibri"/>
          <w:sz w:val="25"/>
          <w:szCs w:val="25"/>
        </w:rPr>
        <w:t xml:space="preserve"> 1 to correspond to inelastic use,</w:t>
      </w:r>
    </w:p>
    <w:p w14:paraId="29E15AB2" w14:textId="77777777" w:rsidR="00752AA2" w:rsidRPr="00942F86" w:rsidRDefault="00752AA2" w:rsidP="000455AC">
      <w:pPr>
        <w:pStyle w:val="ListParagraph"/>
        <w:spacing w:line="264" w:lineRule="auto"/>
        <w:rPr>
          <w:rFonts w:eastAsia="Calibri"/>
          <w:sz w:val="25"/>
          <w:szCs w:val="25"/>
        </w:rPr>
      </w:pPr>
    </w:p>
    <w:p w14:paraId="14863D22" w14:textId="77777777" w:rsidR="005E4D2C" w:rsidRPr="00942F86" w:rsidRDefault="005E4D2C" w:rsidP="00E05A86">
      <w:pPr>
        <w:numPr>
          <w:ilvl w:val="0"/>
          <w:numId w:val="23"/>
        </w:numPr>
        <w:spacing w:line="264" w:lineRule="auto"/>
        <w:ind w:left="720"/>
        <w:rPr>
          <w:rFonts w:eastAsia="Calibri"/>
          <w:sz w:val="25"/>
          <w:szCs w:val="25"/>
        </w:rPr>
      </w:pPr>
      <w:r w:rsidRPr="00942F86">
        <w:rPr>
          <w:sz w:val="25"/>
          <w:szCs w:val="25"/>
        </w:rPr>
        <w:t>Block</w:t>
      </w:r>
      <w:r w:rsidRPr="00942F86">
        <w:rPr>
          <w:rFonts w:eastAsia="Calibri"/>
          <w:sz w:val="25"/>
          <w:szCs w:val="25"/>
        </w:rPr>
        <w:t xml:space="preserve"> 2 to reflect average use, and </w:t>
      </w:r>
    </w:p>
    <w:p w14:paraId="45612C97" w14:textId="77777777" w:rsidR="00752AA2" w:rsidRPr="00942F86" w:rsidRDefault="00752AA2" w:rsidP="000455AC">
      <w:pPr>
        <w:spacing w:line="264" w:lineRule="auto"/>
        <w:rPr>
          <w:rFonts w:eastAsia="Calibri"/>
          <w:sz w:val="25"/>
          <w:szCs w:val="25"/>
        </w:rPr>
      </w:pPr>
    </w:p>
    <w:p w14:paraId="7CE40096" w14:textId="77777777" w:rsidR="005E4D2C" w:rsidRPr="00942F86" w:rsidRDefault="005E4D2C" w:rsidP="00E05A86">
      <w:pPr>
        <w:numPr>
          <w:ilvl w:val="0"/>
          <w:numId w:val="23"/>
        </w:numPr>
        <w:spacing w:line="264" w:lineRule="auto"/>
        <w:ind w:left="720"/>
        <w:rPr>
          <w:rFonts w:eastAsia="Calibri"/>
          <w:sz w:val="25"/>
          <w:szCs w:val="25"/>
        </w:rPr>
      </w:pPr>
      <w:r w:rsidRPr="00942F86">
        <w:rPr>
          <w:sz w:val="25"/>
          <w:szCs w:val="25"/>
        </w:rPr>
        <w:t>Block</w:t>
      </w:r>
      <w:r w:rsidRPr="00942F86">
        <w:rPr>
          <w:rFonts w:eastAsia="Calibri"/>
          <w:sz w:val="25"/>
          <w:szCs w:val="25"/>
        </w:rPr>
        <w:t xml:space="preserve"> 3 to assign a greater share of the increase to high-use customers and not impose additional costs on average users.</w:t>
      </w:r>
      <w:r w:rsidRPr="00942F86">
        <w:rPr>
          <w:rFonts w:eastAsia="Calibri"/>
          <w:sz w:val="25"/>
          <w:szCs w:val="25"/>
          <w:vertAlign w:val="superscript"/>
        </w:rPr>
        <w:footnoteReference w:id="311"/>
      </w:r>
    </w:p>
    <w:p w14:paraId="51F78662" w14:textId="77777777" w:rsidR="005E4D2C" w:rsidRPr="00942F86" w:rsidRDefault="005E4D2C" w:rsidP="000455AC">
      <w:pPr>
        <w:spacing w:line="264" w:lineRule="auto"/>
        <w:rPr>
          <w:rFonts w:eastAsia="Calibri"/>
          <w:sz w:val="25"/>
          <w:szCs w:val="25"/>
        </w:rPr>
      </w:pPr>
    </w:p>
    <w:p w14:paraId="1FEB3C3D" w14:textId="77777777" w:rsidR="005E4D2C" w:rsidRPr="00942F86" w:rsidRDefault="005E4D2C" w:rsidP="000455AC">
      <w:pPr>
        <w:spacing w:line="264" w:lineRule="auto"/>
        <w:rPr>
          <w:rFonts w:eastAsia="Calibri"/>
          <w:sz w:val="25"/>
          <w:szCs w:val="25"/>
        </w:rPr>
      </w:pPr>
      <w:r w:rsidRPr="00942F86">
        <w:rPr>
          <w:rFonts w:eastAsia="Calibri"/>
          <w:sz w:val="25"/>
          <w:szCs w:val="25"/>
        </w:rPr>
        <w:t>Staff proposes this new structure to send a price signal that encourages conservation among customers with discretionary, or elastic, electricity use.  Staff attempts to set the first volumetric block to cover a typical customer’s inelastic consumption, thereby placing discretionary use in the second and third volumetric blocks.</w:t>
      </w:r>
      <w:r w:rsidRPr="00942F86">
        <w:rPr>
          <w:rFonts w:eastAsia="Calibri"/>
          <w:sz w:val="25"/>
          <w:szCs w:val="25"/>
          <w:vertAlign w:val="superscript"/>
        </w:rPr>
        <w:footnoteReference w:id="312"/>
      </w:r>
      <w:r w:rsidRPr="00942F86">
        <w:rPr>
          <w:rFonts w:eastAsia="Calibri"/>
          <w:sz w:val="25"/>
          <w:szCs w:val="25"/>
        </w:rPr>
        <w:t xml:space="preserve">  </w:t>
      </w:r>
    </w:p>
    <w:p w14:paraId="1E72B373" w14:textId="77777777" w:rsidR="005E4D2C" w:rsidRPr="00942F86" w:rsidRDefault="005E4D2C" w:rsidP="000455AC">
      <w:pPr>
        <w:spacing w:line="264" w:lineRule="auto"/>
        <w:rPr>
          <w:rFonts w:eastAsia="Calibri"/>
          <w:sz w:val="25"/>
          <w:szCs w:val="25"/>
        </w:rPr>
      </w:pPr>
    </w:p>
    <w:p w14:paraId="315AFA9A" w14:textId="34E54E8D" w:rsidR="005E4D2C" w:rsidRPr="00942F86" w:rsidRDefault="005E4D2C" w:rsidP="00FC421A">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 xml:space="preserve">Relying on a U.S. Dept. of Housing and Urban Development (HUD) guidebook, Staff believes that the first 800 kWh of residential usage is inelastic because it represents use for essential needs (e.g., cooking, domestic hot water, lighting, and home </w:t>
      </w:r>
      <w:r w:rsidRPr="00942F86">
        <w:rPr>
          <w:rFonts w:eastAsia="Calibri"/>
          <w:sz w:val="25"/>
          <w:szCs w:val="25"/>
        </w:rPr>
        <w:lastRenderedPageBreak/>
        <w:t>appliances).</w:t>
      </w:r>
      <w:r w:rsidRPr="00942F86">
        <w:rPr>
          <w:rFonts w:eastAsia="Calibri"/>
          <w:sz w:val="25"/>
          <w:szCs w:val="25"/>
          <w:vertAlign w:val="superscript"/>
        </w:rPr>
        <w:footnoteReference w:id="313"/>
      </w:r>
      <w:r w:rsidRPr="00942F86">
        <w:rPr>
          <w:rFonts w:eastAsia="Calibri"/>
          <w:sz w:val="25"/>
          <w:szCs w:val="25"/>
        </w:rPr>
        <w:t xml:space="preserve">  Using data from its 2013 </w:t>
      </w:r>
      <w:proofErr w:type="spellStart"/>
      <w:r w:rsidRPr="00942F86">
        <w:rPr>
          <w:rFonts w:eastAsia="Calibri"/>
          <w:sz w:val="25"/>
          <w:szCs w:val="25"/>
        </w:rPr>
        <w:t>IRP</w:t>
      </w:r>
      <w:proofErr w:type="spellEnd"/>
      <w:r w:rsidRPr="00942F86">
        <w:rPr>
          <w:rFonts w:eastAsia="Calibri"/>
          <w:sz w:val="25"/>
          <w:szCs w:val="25"/>
        </w:rPr>
        <w:t xml:space="preserve"> the Company argues that the amount of electric energy use for the most common types of appliance and lighting load in a home is under 600 kWh per month.</w:t>
      </w:r>
      <w:r w:rsidRPr="00942F86">
        <w:rPr>
          <w:rFonts w:eastAsia="Calibri"/>
          <w:sz w:val="25"/>
          <w:szCs w:val="25"/>
          <w:vertAlign w:val="superscript"/>
        </w:rPr>
        <w:footnoteReference w:id="314"/>
      </w:r>
      <w:r w:rsidRPr="00942F86">
        <w:rPr>
          <w:rFonts w:eastAsia="Calibri"/>
          <w:sz w:val="25"/>
          <w:szCs w:val="25"/>
        </w:rPr>
        <w:t xml:space="preserve">  This 600 kWh excludes electric heating, which is present in 56</w:t>
      </w:r>
      <w:r w:rsidR="00A94D49" w:rsidRPr="00942F86">
        <w:rPr>
          <w:rFonts w:eastAsia="Calibri"/>
          <w:sz w:val="25"/>
          <w:szCs w:val="25"/>
        </w:rPr>
        <w:t xml:space="preserve"> percent</w:t>
      </w:r>
      <w:r w:rsidRPr="00942F86">
        <w:rPr>
          <w:rFonts w:eastAsia="Calibri"/>
          <w:sz w:val="25"/>
          <w:szCs w:val="25"/>
        </w:rPr>
        <w:t xml:space="preserve"> of homes in the Company’s service territory.</w:t>
      </w:r>
      <w:r w:rsidRPr="00942F86">
        <w:rPr>
          <w:rFonts w:eastAsia="Calibri"/>
          <w:sz w:val="25"/>
          <w:szCs w:val="25"/>
          <w:vertAlign w:val="superscript"/>
        </w:rPr>
        <w:footnoteReference w:id="315"/>
      </w:r>
    </w:p>
    <w:p w14:paraId="0A4CA5CA" w14:textId="77777777" w:rsidR="005E4D2C" w:rsidRPr="00942F86" w:rsidRDefault="005E4D2C" w:rsidP="000455AC">
      <w:pPr>
        <w:spacing w:line="264" w:lineRule="auto"/>
        <w:rPr>
          <w:rFonts w:eastAsia="Calibri"/>
          <w:sz w:val="25"/>
          <w:szCs w:val="25"/>
        </w:rPr>
      </w:pPr>
    </w:p>
    <w:p w14:paraId="3980E091" w14:textId="26C913CB" w:rsidR="005E4D2C" w:rsidRPr="00942F86" w:rsidRDefault="00195887" w:rsidP="00FC421A">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 xml:space="preserve">Staff witness </w:t>
      </w:r>
      <w:r w:rsidR="005E4D2C" w:rsidRPr="00942F86">
        <w:rPr>
          <w:rFonts w:eastAsia="Calibri"/>
          <w:sz w:val="25"/>
          <w:szCs w:val="25"/>
        </w:rPr>
        <w:t>Mr. Twitchell estimates that the addition of the third block could result in as much as 7,660 MWh of savings annually, or 14</w:t>
      </w:r>
      <w:r w:rsidR="00A94D49" w:rsidRPr="00942F86">
        <w:rPr>
          <w:rFonts w:eastAsia="Calibri"/>
          <w:sz w:val="25"/>
          <w:szCs w:val="25"/>
        </w:rPr>
        <w:t xml:space="preserve"> percent</w:t>
      </w:r>
      <w:r w:rsidR="005E4D2C" w:rsidRPr="00942F86">
        <w:rPr>
          <w:rFonts w:eastAsia="Calibri"/>
          <w:sz w:val="25"/>
          <w:szCs w:val="25"/>
        </w:rPr>
        <w:t xml:space="preserve"> of the company’s average annual conservation savings.</w:t>
      </w:r>
      <w:r w:rsidR="005E4D2C" w:rsidRPr="00942F86">
        <w:rPr>
          <w:rFonts w:eastAsia="Calibri"/>
          <w:sz w:val="25"/>
          <w:szCs w:val="25"/>
          <w:vertAlign w:val="superscript"/>
        </w:rPr>
        <w:footnoteReference w:id="316"/>
      </w:r>
      <w:r w:rsidR="005E4D2C" w:rsidRPr="00942F86">
        <w:rPr>
          <w:rFonts w:eastAsia="Calibri"/>
          <w:sz w:val="25"/>
          <w:szCs w:val="25"/>
        </w:rPr>
        <w:t xml:space="preserve">  The Company claims that its rate design will result in </w:t>
      </w:r>
      <w:r w:rsidRPr="00942F86">
        <w:rPr>
          <w:rFonts w:eastAsia="Calibri"/>
          <w:sz w:val="25"/>
          <w:szCs w:val="25"/>
        </w:rPr>
        <w:t xml:space="preserve">2 </w:t>
      </w:r>
      <w:r w:rsidR="00A94D49" w:rsidRPr="00942F86">
        <w:rPr>
          <w:rFonts w:eastAsia="Calibri"/>
          <w:sz w:val="25"/>
          <w:szCs w:val="25"/>
        </w:rPr>
        <w:t>percent</w:t>
      </w:r>
      <w:r w:rsidR="005E4D2C" w:rsidRPr="00942F86">
        <w:rPr>
          <w:rFonts w:eastAsia="Calibri"/>
          <w:sz w:val="25"/>
          <w:szCs w:val="25"/>
        </w:rPr>
        <w:t xml:space="preserve"> more conservation because a higher volumetric rate (from sales in the larger second block) would apply to more kWh sales.</w:t>
      </w:r>
      <w:r w:rsidR="005E4D2C" w:rsidRPr="00942F86">
        <w:rPr>
          <w:rFonts w:eastAsia="Calibri"/>
          <w:sz w:val="25"/>
          <w:szCs w:val="25"/>
          <w:vertAlign w:val="superscript"/>
        </w:rPr>
        <w:footnoteReference w:id="317"/>
      </w:r>
    </w:p>
    <w:p w14:paraId="6D26AAB7" w14:textId="77777777" w:rsidR="005E4D2C" w:rsidRPr="00942F86" w:rsidRDefault="005E4D2C" w:rsidP="000455AC">
      <w:pPr>
        <w:spacing w:line="264" w:lineRule="auto"/>
        <w:rPr>
          <w:sz w:val="25"/>
          <w:szCs w:val="25"/>
        </w:rPr>
      </w:pPr>
    </w:p>
    <w:p w14:paraId="08D7A139" w14:textId="513986F4" w:rsidR="00C169D6" w:rsidRPr="00942F86" w:rsidRDefault="003062CB" w:rsidP="00FC421A">
      <w:pPr>
        <w:numPr>
          <w:ilvl w:val="0"/>
          <w:numId w:val="1"/>
        </w:numPr>
        <w:tabs>
          <w:tab w:val="clear" w:pos="720"/>
          <w:tab w:val="num" w:pos="0"/>
        </w:tabs>
        <w:spacing w:line="264" w:lineRule="auto"/>
        <w:ind w:left="0"/>
        <w:rPr>
          <w:sz w:val="25"/>
          <w:szCs w:val="25"/>
        </w:rPr>
      </w:pPr>
      <w:r w:rsidRPr="00942F86">
        <w:rPr>
          <w:sz w:val="25"/>
          <w:szCs w:val="25"/>
        </w:rPr>
        <w:t>Under Staff’s proposal, most customers with average use will see a bill decrease, while low use and high use customers will see a bill increase</w:t>
      </w:r>
      <w:r w:rsidR="00A94D49" w:rsidRPr="00942F86">
        <w:rPr>
          <w:sz w:val="25"/>
          <w:szCs w:val="25"/>
        </w:rPr>
        <w:t xml:space="preserve">.  </w:t>
      </w:r>
      <w:r w:rsidRPr="00942F86">
        <w:rPr>
          <w:sz w:val="25"/>
          <w:szCs w:val="25"/>
        </w:rPr>
        <w:t xml:space="preserve">The Company </w:t>
      </w:r>
      <w:r w:rsidR="00A94D49" w:rsidRPr="00942F86">
        <w:rPr>
          <w:sz w:val="25"/>
          <w:szCs w:val="25"/>
        </w:rPr>
        <w:t>argues that</w:t>
      </w:r>
      <w:r w:rsidRPr="00942F86">
        <w:rPr>
          <w:sz w:val="25"/>
          <w:szCs w:val="25"/>
        </w:rPr>
        <w:t xml:space="preserve"> lower bills</w:t>
      </w:r>
      <w:r w:rsidR="00A94D49" w:rsidRPr="00942F86">
        <w:rPr>
          <w:sz w:val="25"/>
          <w:szCs w:val="25"/>
        </w:rPr>
        <w:t xml:space="preserve"> for most customers mean that</w:t>
      </w:r>
      <w:r w:rsidRPr="00942F86">
        <w:rPr>
          <w:sz w:val="25"/>
          <w:szCs w:val="25"/>
        </w:rPr>
        <w:t xml:space="preserve"> Staff’s proposal does not encourage conservation.</w:t>
      </w:r>
    </w:p>
    <w:p w14:paraId="3D5AA966" w14:textId="77777777" w:rsidR="00A26940" w:rsidRPr="00942F86" w:rsidRDefault="00A26940" w:rsidP="000455AC">
      <w:pPr>
        <w:spacing w:line="264" w:lineRule="auto"/>
        <w:rPr>
          <w:sz w:val="25"/>
          <w:szCs w:val="25"/>
        </w:rPr>
      </w:pPr>
    </w:p>
    <w:p w14:paraId="2FEEE8D3" w14:textId="6F314605" w:rsidR="00642A51" w:rsidRPr="00942F86" w:rsidRDefault="003062CB" w:rsidP="00FC421A">
      <w:pPr>
        <w:numPr>
          <w:ilvl w:val="0"/>
          <w:numId w:val="1"/>
        </w:numPr>
        <w:tabs>
          <w:tab w:val="clear" w:pos="720"/>
          <w:tab w:val="num" w:pos="0"/>
        </w:tabs>
        <w:spacing w:line="264" w:lineRule="auto"/>
        <w:ind w:left="0"/>
        <w:rPr>
          <w:sz w:val="25"/>
          <w:szCs w:val="25"/>
        </w:rPr>
      </w:pPr>
      <w:r w:rsidRPr="00942F86">
        <w:rPr>
          <w:sz w:val="25"/>
          <w:szCs w:val="25"/>
        </w:rPr>
        <w:t>The Company does not believe that Staff’s rate design will improve its revenue stability because it will recover 22 percent of its revenue from the third block, in contrast to its own rate design, which will recover 18 percent of revenues from use over 1,700 kWh.</w:t>
      </w:r>
      <w:r w:rsidRPr="00942F86">
        <w:rPr>
          <w:sz w:val="25"/>
          <w:szCs w:val="25"/>
          <w:vertAlign w:val="superscript"/>
        </w:rPr>
        <w:footnoteReference w:id="318"/>
      </w:r>
      <w:r w:rsidRPr="00942F86">
        <w:rPr>
          <w:sz w:val="25"/>
          <w:szCs w:val="25"/>
        </w:rPr>
        <w:t xml:space="preserve">  The Company argues that as a result of Staff’s proposal, variances in weather will result in larger variances in revenues.</w:t>
      </w:r>
      <w:r w:rsidRPr="00942F86">
        <w:rPr>
          <w:sz w:val="25"/>
          <w:szCs w:val="25"/>
          <w:vertAlign w:val="superscript"/>
        </w:rPr>
        <w:footnoteReference w:id="319"/>
      </w:r>
      <w:r w:rsidRPr="00942F86">
        <w:rPr>
          <w:sz w:val="25"/>
          <w:szCs w:val="25"/>
        </w:rPr>
        <w:t xml:space="preserve">  </w:t>
      </w:r>
      <w:r w:rsidR="00812218" w:rsidRPr="00942F86">
        <w:rPr>
          <w:sz w:val="25"/>
          <w:szCs w:val="25"/>
        </w:rPr>
        <w:t xml:space="preserve"> </w:t>
      </w:r>
      <w:r w:rsidR="004B5B40" w:rsidRPr="00942F86">
        <w:rPr>
          <w:sz w:val="25"/>
          <w:szCs w:val="25"/>
        </w:rPr>
        <w:t xml:space="preserve"> </w:t>
      </w:r>
    </w:p>
    <w:p w14:paraId="2B252ACC" w14:textId="77777777" w:rsidR="00642A51" w:rsidRPr="00942F86" w:rsidRDefault="00642A51" w:rsidP="000455AC">
      <w:pPr>
        <w:pStyle w:val="ListParagraph"/>
        <w:spacing w:line="264" w:lineRule="auto"/>
        <w:rPr>
          <w:sz w:val="25"/>
          <w:szCs w:val="25"/>
        </w:rPr>
      </w:pPr>
    </w:p>
    <w:p w14:paraId="12961FF3" w14:textId="744004C6" w:rsidR="006B633C" w:rsidRPr="00942F86" w:rsidRDefault="000E4F15" w:rsidP="00FC421A">
      <w:pPr>
        <w:numPr>
          <w:ilvl w:val="0"/>
          <w:numId w:val="1"/>
        </w:numPr>
        <w:tabs>
          <w:tab w:val="clear" w:pos="720"/>
          <w:tab w:val="num" w:pos="0"/>
        </w:tabs>
        <w:spacing w:line="264" w:lineRule="auto"/>
        <w:ind w:left="0"/>
        <w:rPr>
          <w:rFonts w:eastAsia="Calibri"/>
          <w:sz w:val="25"/>
          <w:szCs w:val="25"/>
        </w:rPr>
      </w:pPr>
      <w:r w:rsidRPr="00942F86">
        <w:rPr>
          <w:sz w:val="25"/>
          <w:szCs w:val="25"/>
        </w:rPr>
        <w:t>Mr. Eber</w:t>
      </w:r>
      <w:r w:rsidR="003A1EEF">
        <w:rPr>
          <w:sz w:val="25"/>
          <w:szCs w:val="25"/>
        </w:rPr>
        <w:t>d</w:t>
      </w:r>
      <w:r w:rsidRPr="00942F86">
        <w:rPr>
          <w:sz w:val="25"/>
          <w:szCs w:val="25"/>
        </w:rPr>
        <w:t>t testifies that “the Energy Project opposes any increase to the monthly residential basic charge until such time as more thorough data is available and analyzed regarding the true number and nature of PacifiCorp's low income customers and their energy consumption.”</w:t>
      </w:r>
      <w:r w:rsidR="0033070A" w:rsidRPr="00942F86">
        <w:rPr>
          <w:rStyle w:val="FootnoteReference"/>
          <w:sz w:val="25"/>
          <w:szCs w:val="25"/>
        </w:rPr>
        <w:footnoteReference w:id="320"/>
      </w:r>
      <w:r w:rsidR="004B5B40" w:rsidRPr="00942F86">
        <w:rPr>
          <w:sz w:val="25"/>
          <w:szCs w:val="25"/>
        </w:rPr>
        <w:t xml:space="preserve">  Some low-income customers are relatively high </w:t>
      </w:r>
      <w:r w:rsidR="004B5B40" w:rsidRPr="00942F86">
        <w:rPr>
          <w:sz w:val="25"/>
          <w:szCs w:val="25"/>
        </w:rPr>
        <w:lastRenderedPageBreak/>
        <w:t>users in the winter months, not by choice, but because of poor housing stock</w:t>
      </w:r>
      <w:r w:rsidR="00812218" w:rsidRPr="00942F86">
        <w:rPr>
          <w:sz w:val="25"/>
          <w:szCs w:val="25"/>
        </w:rPr>
        <w:t xml:space="preserve"> </w:t>
      </w:r>
      <w:r w:rsidR="00024F13" w:rsidRPr="00942F86">
        <w:rPr>
          <w:sz w:val="25"/>
          <w:szCs w:val="25"/>
        </w:rPr>
        <w:t>and</w:t>
      </w:r>
      <w:r w:rsidR="004B5B40" w:rsidRPr="00942F86">
        <w:rPr>
          <w:sz w:val="25"/>
          <w:szCs w:val="25"/>
        </w:rPr>
        <w:t xml:space="preserve"> </w:t>
      </w:r>
      <w:r w:rsidR="00024F13" w:rsidRPr="00942F86">
        <w:rPr>
          <w:sz w:val="25"/>
          <w:szCs w:val="25"/>
        </w:rPr>
        <w:t xml:space="preserve">an inability to finance conservation measures such as insulation and more efficient heating.  To these customers, </w:t>
      </w:r>
      <w:r w:rsidR="00195887" w:rsidRPr="00942F86">
        <w:rPr>
          <w:sz w:val="25"/>
          <w:szCs w:val="25"/>
        </w:rPr>
        <w:t xml:space="preserve">an </w:t>
      </w:r>
      <w:r w:rsidR="00024F13" w:rsidRPr="00942F86">
        <w:rPr>
          <w:sz w:val="25"/>
          <w:szCs w:val="25"/>
        </w:rPr>
        <w:t xml:space="preserve">increased basic charge coupled with </w:t>
      </w:r>
      <w:r w:rsidR="00195887" w:rsidRPr="00942F86">
        <w:rPr>
          <w:sz w:val="25"/>
          <w:szCs w:val="25"/>
        </w:rPr>
        <w:t xml:space="preserve">a </w:t>
      </w:r>
      <w:r w:rsidR="00024F13" w:rsidRPr="00942F86">
        <w:rPr>
          <w:sz w:val="25"/>
          <w:szCs w:val="25"/>
        </w:rPr>
        <w:t>third tier rate will mean increases in monthly bills to customers who can least afford it.</w:t>
      </w:r>
      <w:r w:rsidRPr="00942F86">
        <w:rPr>
          <w:rStyle w:val="FootnoteReference"/>
          <w:sz w:val="25"/>
          <w:szCs w:val="25"/>
        </w:rPr>
        <w:footnoteReference w:id="321"/>
      </w:r>
      <w:r w:rsidR="00024F13" w:rsidRPr="00942F86">
        <w:rPr>
          <w:sz w:val="25"/>
          <w:szCs w:val="25"/>
        </w:rPr>
        <w:t xml:space="preserve">  At the other end of the low-income spectrum, very low volume users will experience significantly higher bills and a disproportionate impact from an increased basic charge.</w:t>
      </w:r>
      <w:r w:rsidR="00C169D6" w:rsidRPr="00942F86">
        <w:rPr>
          <w:sz w:val="25"/>
          <w:szCs w:val="25"/>
        </w:rPr>
        <w:t xml:space="preserve">  </w:t>
      </w:r>
      <w:r w:rsidR="00E91FFF" w:rsidRPr="00942F86">
        <w:rPr>
          <w:sz w:val="25"/>
          <w:szCs w:val="25"/>
        </w:rPr>
        <w:t>Because of these impacts, t</w:t>
      </w:r>
      <w:r w:rsidR="006B633C" w:rsidRPr="00942F86">
        <w:rPr>
          <w:rFonts w:eastAsia="Calibri"/>
          <w:sz w:val="25"/>
          <w:szCs w:val="25"/>
        </w:rPr>
        <w:t>he Energy Project supports raising the upper end of the first block from 600 to 800 kWh, but thinks the beginning of the third block should be higher than 1,700 kWh.  Mr. Eberdt argues that many low-income customers would be subject to third block rates in the winter, “running the risk of greater shut-offs and less revenue recovery than expected.”</w:t>
      </w:r>
      <w:r w:rsidR="006B633C" w:rsidRPr="00942F86">
        <w:rPr>
          <w:rFonts w:eastAsia="Calibri"/>
          <w:sz w:val="25"/>
          <w:szCs w:val="25"/>
          <w:vertAlign w:val="superscript"/>
        </w:rPr>
        <w:footnoteReference w:id="322"/>
      </w:r>
      <w:r w:rsidR="006B633C" w:rsidRPr="00942F86">
        <w:rPr>
          <w:rFonts w:eastAsia="Calibri"/>
          <w:sz w:val="25"/>
          <w:szCs w:val="25"/>
        </w:rPr>
        <w:t xml:space="preserve">  Mr. Eberdt provides data that shows in two months, January and December 2013, average low-income use was about 2,200 kWh and would result in higher bills under Staff’s proposal; in all other months average low-income use was in the range that will result in bill reductions.</w:t>
      </w:r>
      <w:r w:rsidR="006B633C" w:rsidRPr="00942F86">
        <w:rPr>
          <w:rFonts w:eastAsia="Calibri"/>
          <w:sz w:val="25"/>
          <w:szCs w:val="25"/>
          <w:vertAlign w:val="superscript"/>
        </w:rPr>
        <w:footnoteReference w:id="323"/>
      </w:r>
    </w:p>
    <w:p w14:paraId="27042348" w14:textId="77777777" w:rsidR="00024F13" w:rsidRPr="00942F86" w:rsidRDefault="00024F13" w:rsidP="000455AC">
      <w:pPr>
        <w:spacing w:line="264" w:lineRule="auto"/>
        <w:rPr>
          <w:sz w:val="25"/>
          <w:szCs w:val="25"/>
        </w:rPr>
      </w:pPr>
    </w:p>
    <w:p w14:paraId="64CA4291" w14:textId="00646488" w:rsidR="00024F13" w:rsidRPr="00942F86" w:rsidRDefault="00024F13" w:rsidP="00FC421A">
      <w:pPr>
        <w:numPr>
          <w:ilvl w:val="0"/>
          <w:numId w:val="1"/>
        </w:numPr>
        <w:tabs>
          <w:tab w:val="clear" w:pos="720"/>
          <w:tab w:val="num" w:pos="0"/>
        </w:tabs>
        <w:spacing w:line="264" w:lineRule="auto"/>
        <w:ind w:left="0"/>
        <w:rPr>
          <w:sz w:val="25"/>
          <w:szCs w:val="25"/>
        </w:rPr>
      </w:pPr>
      <w:r w:rsidRPr="00FC421A">
        <w:rPr>
          <w:i/>
          <w:sz w:val="25"/>
          <w:szCs w:val="25"/>
        </w:rPr>
        <w:t>The</w:t>
      </w:r>
      <w:r w:rsidRPr="00942F86">
        <w:rPr>
          <w:sz w:val="25"/>
          <w:szCs w:val="25"/>
        </w:rPr>
        <w:t xml:space="preserve"> Energy Project argues that the Company's proposal to increase the basic charge by </w:t>
      </w:r>
      <w:r w:rsidR="00E91FFF" w:rsidRPr="00942F86">
        <w:rPr>
          <w:sz w:val="25"/>
          <w:szCs w:val="25"/>
        </w:rPr>
        <w:t xml:space="preserve">only </w:t>
      </w:r>
      <w:r w:rsidRPr="00942F86">
        <w:rPr>
          <w:sz w:val="25"/>
          <w:szCs w:val="25"/>
        </w:rPr>
        <w:t xml:space="preserve">$1.00 for low income customers who receive benefits under either </w:t>
      </w:r>
      <w:proofErr w:type="spellStart"/>
      <w:r w:rsidRPr="00942F86">
        <w:rPr>
          <w:sz w:val="25"/>
          <w:szCs w:val="25"/>
        </w:rPr>
        <w:t>LIHEAP</w:t>
      </w:r>
      <w:proofErr w:type="spellEnd"/>
      <w:r w:rsidRPr="00942F86">
        <w:rPr>
          <w:sz w:val="25"/>
          <w:szCs w:val="25"/>
        </w:rPr>
        <w:t xml:space="preserve"> or </w:t>
      </w:r>
      <w:proofErr w:type="spellStart"/>
      <w:r w:rsidRPr="00942F86">
        <w:rPr>
          <w:sz w:val="25"/>
          <w:szCs w:val="25"/>
        </w:rPr>
        <w:t>LIBA</w:t>
      </w:r>
      <w:proofErr w:type="spellEnd"/>
      <w:r w:rsidRPr="00942F86">
        <w:rPr>
          <w:sz w:val="25"/>
          <w:szCs w:val="25"/>
        </w:rPr>
        <w:t xml:space="preserve"> does not recognize the scope of the problem increased basic charges pose for the low-income population.</w:t>
      </w:r>
      <w:r w:rsidRPr="00942F86">
        <w:rPr>
          <w:rStyle w:val="FootnoteReference"/>
          <w:sz w:val="25"/>
          <w:szCs w:val="25"/>
        </w:rPr>
        <w:footnoteReference w:id="324"/>
      </w:r>
      <w:r w:rsidRPr="00942F86">
        <w:rPr>
          <w:sz w:val="25"/>
          <w:szCs w:val="25"/>
        </w:rPr>
        <w:t xml:space="preserve"> The Energy Project points to Staff witness </w:t>
      </w:r>
      <w:r w:rsidR="00E91FFF" w:rsidRPr="00942F86">
        <w:rPr>
          <w:sz w:val="25"/>
          <w:szCs w:val="25"/>
        </w:rPr>
        <w:t xml:space="preserve">Mr. </w:t>
      </w:r>
      <w:r w:rsidRPr="00942F86">
        <w:rPr>
          <w:sz w:val="25"/>
          <w:szCs w:val="25"/>
        </w:rPr>
        <w:t xml:space="preserve">Kouchi’s testimony that the </w:t>
      </w:r>
      <w:proofErr w:type="spellStart"/>
      <w:r w:rsidRPr="00942F86">
        <w:rPr>
          <w:sz w:val="25"/>
          <w:szCs w:val="25"/>
        </w:rPr>
        <w:t>LIHEAP</w:t>
      </w:r>
      <w:proofErr w:type="spellEnd"/>
      <w:r w:rsidRPr="00942F86">
        <w:rPr>
          <w:sz w:val="25"/>
          <w:szCs w:val="25"/>
        </w:rPr>
        <w:t>/</w:t>
      </w:r>
      <w:proofErr w:type="spellStart"/>
      <w:r w:rsidRPr="00942F86">
        <w:rPr>
          <w:sz w:val="25"/>
          <w:szCs w:val="25"/>
        </w:rPr>
        <w:t>LIBA</w:t>
      </w:r>
      <w:proofErr w:type="spellEnd"/>
      <w:r w:rsidRPr="00942F86">
        <w:rPr>
          <w:sz w:val="25"/>
          <w:szCs w:val="25"/>
        </w:rPr>
        <w:t xml:space="preserve"> recipients to whom Schedule 17 applies constitute only 5.</w:t>
      </w:r>
      <w:r w:rsidR="00F953D9" w:rsidRPr="00942F86">
        <w:rPr>
          <w:sz w:val="25"/>
          <w:szCs w:val="25"/>
        </w:rPr>
        <w:t>6</w:t>
      </w:r>
      <w:r w:rsidRPr="00942F86">
        <w:rPr>
          <w:sz w:val="25"/>
          <w:szCs w:val="25"/>
        </w:rPr>
        <w:t xml:space="preserve"> percent of the Company's residential population, yet the poverty levels in Pacific Power’s Yakima and Walla Walla service areas might be as high as </w:t>
      </w:r>
      <w:r w:rsidR="00F953D9" w:rsidRPr="00942F86">
        <w:rPr>
          <w:sz w:val="25"/>
          <w:szCs w:val="25"/>
        </w:rPr>
        <w:t>23 percent to 38 percent</w:t>
      </w:r>
      <w:r w:rsidRPr="00942F86">
        <w:rPr>
          <w:sz w:val="25"/>
          <w:szCs w:val="25"/>
        </w:rPr>
        <w:t xml:space="preserve"> respectively.</w:t>
      </w:r>
      <w:r w:rsidR="00F953D9" w:rsidRPr="00942F86">
        <w:rPr>
          <w:rStyle w:val="FootnoteReference"/>
          <w:sz w:val="25"/>
          <w:szCs w:val="25"/>
        </w:rPr>
        <w:footnoteReference w:id="325"/>
      </w:r>
      <w:r w:rsidRPr="00942F86">
        <w:rPr>
          <w:sz w:val="25"/>
          <w:szCs w:val="25"/>
        </w:rPr>
        <w:t xml:space="preserve"> </w:t>
      </w:r>
      <w:r w:rsidR="00F953D9" w:rsidRPr="00942F86">
        <w:rPr>
          <w:sz w:val="25"/>
          <w:szCs w:val="25"/>
        </w:rPr>
        <w:t>“</w:t>
      </w:r>
      <w:r w:rsidRPr="00942F86">
        <w:rPr>
          <w:sz w:val="25"/>
          <w:szCs w:val="25"/>
        </w:rPr>
        <w:t xml:space="preserve">Thus, limiting the basic charge increase to only those customers already receiving some form of assistance hardly scratches the </w:t>
      </w:r>
      <w:r w:rsidRPr="00942F86">
        <w:rPr>
          <w:sz w:val="25"/>
          <w:szCs w:val="25"/>
        </w:rPr>
        <w:lastRenderedPageBreak/>
        <w:t>surface of the true low income population, the majority of whom will bear the full brunt of a considerable basic charge increase.</w:t>
      </w:r>
      <w:r w:rsidR="00F953D9" w:rsidRPr="00942F86">
        <w:rPr>
          <w:sz w:val="25"/>
          <w:szCs w:val="25"/>
        </w:rPr>
        <w:t>”</w:t>
      </w:r>
      <w:r w:rsidR="00F953D9" w:rsidRPr="00942F86">
        <w:rPr>
          <w:rStyle w:val="FootnoteReference"/>
          <w:sz w:val="25"/>
          <w:szCs w:val="25"/>
        </w:rPr>
        <w:footnoteReference w:id="326"/>
      </w:r>
    </w:p>
    <w:p w14:paraId="3E68A478" w14:textId="77777777" w:rsidR="00B871C7" w:rsidRPr="00942F86" w:rsidRDefault="00B871C7" w:rsidP="000455AC">
      <w:pPr>
        <w:pStyle w:val="ListParagraph"/>
        <w:spacing w:line="264" w:lineRule="auto"/>
        <w:rPr>
          <w:sz w:val="25"/>
          <w:szCs w:val="25"/>
        </w:rPr>
      </w:pPr>
    </w:p>
    <w:p w14:paraId="1421327F" w14:textId="66338A65" w:rsidR="006B633C" w:rsidRPr="00942F86" w:rsidRDefault="006B633C" w:rsidP="00FC421A">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 xml:space="preserve">Mr. Eberdt also </w:t>
      </w:r>
      <w:r w:rsidR="00C169D6" w:rsidRPr="00942F86">
        <w:rPr>
          <w:rFonts w:eastAsia="Calibri"/>
          <w:sz w:val="25"/>
          <w:szCs w:val="25"/>
        </w:rPr>
        <w:t>testifie</w:t>
      </w:r>
      <w:r w:rsidRPr="00942F86">
        <w:rPr>
          <w:rFonts w:eastAsia="Calibri"/>
          <w:sz w:val="25"/>
          <w:szCs w:val="25"/>
        </w:rPr>
        <w:t>s that “we just don’t have a good handle on the usage characteristics of PacifiCorp’s low-income customers,” due to conflicting usage data from the Company’s proxy group (</w:t>
      </w:r>
      <w:proofErr w:type="spellStart"/>
      <w:r w:rsidRPr="00942F86">
        <w:rPr>
          <w:rFonts w:eastAsia="Calibri"/>
          <w:sz w:val="25"/>
          <w:szCs w:val="25"/>
        </w:rPr>
        <w:t>LIBA</w:t>
      </w:r>
      <w:proofErr w:type="spellEnd"/>
      <w:r w:rsidRPr="00942F86">
        <w:rPr>
          <w:rFonts w:eastAsia="Calibri"/>
          <w:sz w:val="25"/>
          <w:szCs w:val="25"/>
        </w:rPr>
        <w:t xml:space="preserve"> and </w:t>
      </w:r>
      <w:proofErr w:type="spellStart"/>
      <w:r w:rsidRPr="00942F86">
        <w:rPr>
          <w:rFonts w:eastAsia="Calibri"/>
          <w:sz w:val="25"/>
          <w:szCs w:val="25"/>
        </w:rPr>
        <w:t>LIHEAP</w:t>
      </w:r>
      <w:proofErr w:type="spellEnd"/>
      <w:r w:rsidRPr="00942F86">
        <w:rPr>
          <w:rFonts w:eastAsia="Calibri"/>
          <w:sz w:val="25"/>
          <w:szCs w:val="25"/>
        </w:rPr>
        <w:t xml:space="preserve"> participants) and the Company’s residential use survey completed last year.</w:t>
      </w:r>
      <w:r w:rsidRPr="00942F86">
        <w:rPr>
          <w:rFonts w:eastAsia="Calibri"/>
          <w:sz w:val="25"/>
          <w:szCs w:val="25"/>
          <w:vertAlign w:val="superscript"/>
        </w:rPr>
        <w:footnoteReference w:id="327"/>
      </w:r>
      <w:r w:rsidRPr="00942F86">
        <w:rPr>
          <w:rFonts w:eastAsia="Calibri"/>
          <w:sz w:val="25"/>
          <w:szCs w:val="25"/>
        </w:rPr>
        <w:t xml:space="preserve">  Accordingly, he recommends rejecting Staff’s proposal and requiring the Company to conduct another study that better identifies low-income customers and their usage characteristics.</w:t>
      </w:r>
      <w:r w:rsidRPr="00942F86">
        <w:rPr>
          <w:rFonts w:eastAsia="Calibri"/>
          <w:sz w:val="25"/>
          <w:szCs w:val="25"/>
          <w:vertAlign w:val="superscript"/>
        </w:rPr>
        <w:footnoteReference w:id="328"/>
      </w:r>
      <w:r w:rsidRPr="00942F86">
        <w:rPr>
          <w:rFonts w:eastAsia="Calibri"/>
          <w:sz w:val="25"/>
          <w:szCs w:val="25"/>
        </w:rPr>
        <w:t xml:space="preserve">  Mr. Eberdt acknowledges that this recommendation is the same as the outcome in the Company’s </w:t>
      </w:r>
      <w:r w:rsidR="00151BA9" w:rsidRPr="00942F86">
        <w:rPr>
          <w:rFonts w:eastAsia="Calibri"/>
          <w:sz w:val="25"/>
          <w:szCs w:val="25"/>
        </w:rPr>
        <w:t>previous general rate case</w:t>
      </w:r>
      <w:r w:rsidRPr="00942F86">
        <w:rPr>
          <w:rFonts w:eastAsia="Calibri"/>
          <w:sz w:val="25"/>
          <w:szCs w:val="25"/>
        </w:rPr>
        <w:t xml:space="preserve">, but argues that the usage study was not done well enough.  </w:t>
      </w:r>
    </w:p>
    <w:p w14:paraId="2637187B" w14:textId="77777777" w:rsidR="007637D5" w:rsidRPr="00942F86" w:rsidRDefault="007637D5" w:rsidP="000455AC">
      <w:pPr>
        <w:spacing w:line="264" w:lineRule="auto"/>
        <w:rPr>
          <w:sz w:val="25"/>
          <w:szCs w:val="25"/>
        </w:rPr>
      </w:pPr>
    </w:p>
    <w:p w14:paraId="39A727E6" w14:textId="647D56EB" w:rsidR="00DC00DA" w:rsidRPr="00942F86" w:rsidRDefault="00D3242A"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w:t>
      </w:r>
      <w:r w:rsidR="00DC5942" w:rsidRPr="00942F86">
        <w:rPr>
          <w:sz w:val="25"/>
          <w:szCs w:val="25"/>
        </w:rPr>
        <w:t xml:space="preserve"> </w:t>
      </w:r>
      <w:r w:rsidR="00951F80" w:rsidRPr="00942F86">
        <w:rPr>
          <w:sz w:val="25"/>
          <w:szCs w:val="25"/>
        </w:rPr>
        <w:t>We reject the Company’s and Staff’s proposals to increase significantly the basic charge to residential customers.  The Commission is not prepared to move away from the long-accepted principle that basic charges should reflect only “direct customer costs” such as meter reading and billing.  Including distribution costs in the basic charge</w:t>
      </w:r>
      <w:r w:rsidR="00126F4D" w:rsidRPr="00942F86">
        <w:rPr>
          <w:sz w:val="25"/>
          <w:szCs w:val="25"/>
        </w:rPr>
        <w:t xml:space="preserve"> and increasing it 81 percent</w:t>
      </w:r>
      <w:r w:rsidR="00951F80" w:rsidRPr="00942F86">
        <w:rPr>
          <w:sz w:val="25"/>
          <w:szCs w:val="25"/>
        </w:rPr>
        <w:t xml:space="preserve">, as the Company proposes </w:t>
      </w:r>
      <w:r w:rsidR="00DC00DA" w:rsidRPr="00942F86">
        <w:rPr>
          <w:sz w:val="25"/>
          <w:szCs w:val="25"/>
        </w:rPr>
        <w:t>in this case</w:t>
      </w:r>
      <w:r w:rsidR="00951F80" w:rsidRPr="00942F86">
        <w:rPr>
          <w:sz w:val="25"/>
          <w:szCs w:val="25"/>
        </w:rPr>
        <w:t>, does not promote, and may be antithetical to, the realization of conservation goals.</w:t>
      </w:r>
      <w:r w:rsidR="00126F4D" w:rsidRPr="00942F86">
        <w:rPr>
          <w:sz w:val="25"/>
          <w:szCs w:val="25"/>
        </w:rPr>
        <w:t xml:space="preserve">  </w:t>
      </w:r>
      <w:r w:rsidR="00DC00DA" w:rsidRPr="00942F86">
        <w:rPr>
          <w:sz w:val="25"/>
          <w:szCs w:val="25"/>
        </w:rPr>
        <w:t xml:space="preserve">  </w:t>
      </w:r>
    </w:p>
    <w:p w14:paraId="46BCBBF7" w14:textId="77777777" w:rsidR="00DC00DA" w:rsidRPr="00942F86" w:rsidRDefault="00DC00DA" w:rsidP="000455AC">
      <w:pPr>
        <w:pStyle w:val="ListParagraph"/>
        <w:spacing w:line="264" w:lineRule="auto"/>
        <w:rPr>
          <w:sz w:val="25"/>
          <w:szCs w:val="25"/>
        </w:rPr>
      </w:pPr>
    </w:p>
    <w:p w14:paraId="2AB2EF97" w14:textId="1B5D8B28" w:rsidR="008D3150" w:rsidRPr="00942F86" w:rsidRDefault="00DC00DA" w:rsidP="00FC421A">
      <w:pPr>
        <w:numPr>
          <w:ilvl w:val="0"/>
          <w:numId w:val="1"/>
        </w:numPr>
        <w:tabs>
          <w:tab w:val="clear" w:pos="720"/>
          <w:tab w:val="num" w:pos="0"/>
        </w:tabs>
        <w:spacing w:line="264" w:lineRule="auto"/>
        <w:ind w:left="0"/>
        <w:rPr>
          <w:sz w:val="25"/>
          <w:szCs w:val="25"/>
        </w:rPr>
      </w:pPr>
      <w:r w:rsidRPr="00942F86">
        <w:rPr>
          <w:sz w:val="25"/>
          <w:szCs w:val="25"/>
        </w:rPr>
        <w:t xml:space="preserve">Staff’s </w:t>
      </w:r>
      <w:r w:rsidR="00E5010B" w:rsidRPr="00942F86">
        <w:rPr>
          <w:sz w:val="25"/>
          <w:szCs w:val="25"/>
        </w:rPr>
        <w:t xml:space="preserve">similar </w:t>
      </w:r>
      <w:r w:rsidRPr="00942F86">
        <w:rPr>
          <w:sz w:val="25"/>
          <w:szCs w:val="25"/>
        </w:rPr>
        <w:t>proposal</w:t>
      </w:r>
      <w:r w:rsidR="00126F4D" w:rsidRPr="00942F86">
        <w:rPr>
          <w:sz w:val="25"/>
          <w:szCs w:val="25"/>
        </w:rPr>
        <w:t xml:space="preserve"> to raise the basic charge</w:t>
      </w:r>
      <w:r w:rsidR="00E5010B" w:rsidRPr="00942F86">
        <w:rPr>
          <w:sz w:val="25"/>
          <w:szCs w:val="25"/>
        </w:rPr>
        <w:t xml:space="preserve"> significantly from the current level</w:t>
      </w:r>
      <w:r w:rsidRPr="00942F86">
        <w:rPr>
          <w:sz w:val="25"/>
          <w:szCs w:val="25"/>
        </w:rPr>
        <w:t xml:space="preserve"> is tied to its other major rate design recommendation, which is to move </w:t>
      </w:r>
      <w:r w:rsidR="00E5010B" w:rsidRPr="00942F86">
        <w:rPr>
          <w:sz w:val="25"/>
          <w:szCs w:val="25"/>
        </w:rPr>
        <w:t xml:space="preserve">Pacific Power’s </w:t>
      </w:r>
      <w:r w:rsidRPr="00942F86">
        <w:rPr>
          <w:sz w:val="25"/>
          <w:szCs w:val="25"/>
        </w:rPr>
        <w:t xml:space="preserve">residential rates from a two-block to a three-block inverted rate structure.  Such </w:t>
      </w:r>
      <w:r w:rsidR="00E5010B" w:rsidRPr="00942F86">
        <w:rPr>
          <w:sz w:val="25"/>
          <w:szCs w:val="25"/>
        </w:rPr>
        <w:t xml:space="preserve">rate </w:t>
      </w:r>
      <w:r w:rsidRPr="00942F86">
        <w:rPr>
          <w:sz w:val="25"/>
          <w:szCs w:val="25"/>
        </w:rPr>
        <w:t xml:space="preserve">restructuring might promote conservation to a degree that offsets the </w:t>
      </w:r>
      <w:r w:rsidR="009440B2" w:rsidRPr="00942F86">
        <w:rPr>
          <w:sz w:val="25"/>
          <w:szCs w:val="25"/>
        </w:rPr>
        <w:t>incentive to use more electricity that may be caused by</w:t>
      </w:r>
      <w:r w:rsidRPr="00942F86">
        <w:rPr>
          <w:sz w:val="25"/>
          <w:szCs w:val="25"/>
        </w:rPr>
        <w:t xml:space="preserve"> a high basic charge</w:t>
      </w:r>
      <w:r w:rsidR="00E5010B" w:rsidRPr="00942F86">
        <w:rPr>
          <w:sz w:val="25"/>
          <w:szCs w:val="25"/>
        </w:rPr>
        <w:t xml:space="preserve"> but we are not convinced</w:t>
      </w:r>
      <w:r w:rsidR="001244C9" w:rsidRPr="00942F86">
        <w:rPr>
          <w:sz w:val="25"/>
          <w:szCs w:val="25"/>
        </w:rPr>
        <w:t xml:space="preserve"> </w:t>
      </w:r>
      <w:r w:rsidR="00E5010B" w:rsidRPr="00942F86">
        <w:rPr>
          <w:sz w:val="25"/>
          <w:szCs w:val="25"/>
        </w:rPr>
        <w:t>on the record in this case that this is so.</w:t>
      </w:r>
      <w:r w:rsidR="009440B2" w:rsidRPr="00942F86">
        <w:rPr>
          <w:sz w:val="25"/>
          <w:szCs w:val="25"/>
        </w:rPr>
        <w:t xml:space="preserve">  Mr. Twitchell, for Staff, performed some analysis of this question as reflected in his testimony in some detail.</w:t>
      </w:r>
      <w:r w:rsidR="009440B2" w:rsidRPr="00942F86">
        <w:rPr>
          <w:rStyle w:val="FootnoteReference"/>
          <w:sz w:val="25"/>
          <w:szCs w:val="25"/>
        </w:rPr>
        <w:footnoteReference w:id="329"/>
      </w:r>
      <w:r w:rsidR="009440B2" w:rsidRPr="00942F86">
        <w:rPr>
          <w:sz w:val="25"/>
          <w:szCs w:val="25"/>
        </w:rPr>
        <w:t xml:space="preserve">  He cautions, however, that his results “are only rough projections.”  He testifies that “there are a number of other factors that will affect the total reduction in electricity usage.  Staff’s </w:t>
      </w:r>
      <w:r w:rsidR="009440B2" w:rsidRPr="00942F86">
        <w:rPr>
          <w:sz w:val="25"/>
          <w:szCs w:val="25"/>
        </w:rPr>
        <w:lastRenderedPageBreak/>
        <w:t>projection should be interpreted as an upper-bound estimate of the reduced usage that may occur.”</w:t>
      </w:r>
      <w:r w:rsidR="009440B2" w:rsidRPr="00942F86">
        <w:rPr>
          <w:rStyle w:val="FootnoteReference"/>
          <w:sz w:val="25"/>
          <w:szCs w:val="25"/>
        </w:rPr>
        <w:footnoteReference w:id="330"/>
      </w:r>
    </w:p>
    <w:p w14:paraId="2D9E4395" w14:textId="77777777" w:rsidR="0046508C" w:rsidRPr="00942F86" w:rsidRDefault="0046508C" w:rsidP="000455AC">
      <w:pPr>
        <w:spacing w:line="264" w:lineRule="auto"/>
        <w:rPr>
          <w:sz w:val="25"/>
          <w:szCs w:val="25"/>
        </w:rPr>
      </w:pPr>
    </w:p>
    <w:p w14:paraId="338DC35D" w14:textId="4416053C" w:rsidR="00DC00DA" w:rsidRPr="00942F86" w:rsidRDefault="00DC00DA" w:rsidP="00FC421A">
      <w:pPr>
        <w:numPr>
          <w:ilvl w:val="0"/>
          <w:numId w:val="1"/>
        </w:numPr>
        <w:tabs>
          <w:tab w:val="clear" w:pos="720"/>
          <w:tab w:val="num" w:pos="0"/>
        </w:tabs>
        <w:spacing w:line="264" w:lineRule="auto"/>
        <w:ind w:left="0"/>
        <w:rPr>
          <w:sz w:val="25"/>
          <w:szCs w:val="25"/>
        </w:rPr>
      </w:pPr>
      <w:r w:rsidRPr="00942F86">
        <w:rPr>
          <w:sz w:val="25"/>
          <w:szCs w:val="25"/>
        </w:rPr>
        <w:t>The Commission supports generally the concept of adding a third block to residential rates because it sends a price signal that promotes conservation and distributed generation.  Yet we hesitate to implement a third block with a low basic charge in this case because, as Staff acknowledges, “Staff’s core proposals (the increased basic charge and the third rate block) are mutually dependent.”</w:t>
      </w:r>
      <w:r w:rsidRPr="00942F86">
        <w:rPr>
          <w:sz w:val="25"/>
          <w:szCs w:val="25"/>
          <w:vertAlign w:val="superscript"/>
        </w:rPr>
        <w:footnoteReference w:id="331"/>
      </w:r>
      <w:r w:rsidRPr="00942F86">
        <w:rPr>
          <w:sz w:val="25"/>
          <w:szCs w:val="25"/>
        </w:rPr>
        <w:t xml:space="preserve">  No party provides analysis of the customer bill impact and company revenue impact of implementing a third block with a low basic charge.  Without this analysis in the record, we are unwilling to implement a third block with a low basic charge in this case.</w:t>
      </w:r>
      <w:r w:rsidR="00E5010B" w:rsidRPr="00942F86">
        <w:rPr>
          <w:sz w:val="25"/>
          <w:szCs w:val="25"/>
        </w:rPr>
        <w:t xml:space="preserve"> </w:t>
      </w:r>
    </w:p>
    <w:p w14:paraId="7A32E7D9" w14:textId="77777777" w:rsidR="004C0766" w:rsidRPr="00942F86" w:rsidRDefault="004C0766" w:rsidP="000455AC">
      <w:pPr>
        <w:spacing w:line="264" w:lineRule="auto"/>
        <w:rPr>
          <w:sz w:val="25"/>
          <w:szCs w:val="25"/>
        </w:rPr>
      </w:pPr>
    </w:p>
    <w:p w14:paraId="2F611710" w14:textId="60D9B14F" w:rsidR="004C0766" w:rsidRPr="00942F86" w:rsidRDefault="004C0766" w:rsidP="00FC421A">
      <w:pPr>
        <w:numPr>
          <w:ilvl w:val="0"/>
          <w:numId w:val="1"/>
        </w:numPr>
        <w:tabs>
          <w:tab w:val="clear" w:pos="720"/>
          <w:tab w:val="num" w:pos="0"/>
        </w:tabs>
        <w:spacing w:line="264" w:lineRule="auto"/>
        <w:ind w:left="0"/>
        <w:rPr>
          <w:sz w:val="25"/>
          <w:szCs w:val="25"/>
        </w:rPr>
      </w:pPr>
      <w:r w:rsidRPr="00942F86">
        <w:rPr>
          <w:sz w:val="25"/>
          <w:szCs w:val="25"/>
        </w:rPr>
        <w:t>W</w:t>
      </w:r>
      <w:r w:rsidR="00E5010B" w:rsidRPr="00942F86">
        <w:rPr>
          <w:sz w:val="25"/>
          <w:szCs w:val="25"/>
        </w:rPr>
        <w:t>hile we hope to see in the Company’s next case a proposal</w:t>
      </w:r>
      <w:r w:rsidR="00B52622" w:rsidRPr="00942F86">
        <w:rPr>
          <w:sz w:val="25"/>
          <w:szCs w:val="25"/>
        </w:rPr>
        <w:t xml:space="preserve"> from Pacific Power, Staff, or other parties</w:t>
      </w:r>
      <w:r w:rsidR="00E5010B" w:rsidRPr="00942F86">
        <w:rPr>
          <w:sz w:val="25"/>
          <w:szCs w:val="25"/>
        </w:rPr>
        <w:t xml:space="preserve"> for a third block rate that is not tied to a higher basic charge for residential customers,</w:t>
      </w:r>
      <w:r w:rsidR="00CA4D5C" w:rsidRPr="00942F86">
        <w:rPr>
          <w:rStyle w:val="FootnoteReference"/>
          <w:sz w:val="25"/>
          <w:szCs w:val="25"/>
        </w:rPr>
        <w:footnoteReference w:id="332"/>
      </w:r>
      <w:r w:rsidR="00E5010B" w:rsidRPr="00942F86">
        <w:rPr>
          <w:sz w:val="25"/>
          <w:szCs w:val="25"/>
        </w:rPr>
        <w:t xml:space="preserve"> w</w:t>
      </w:r>
      <w:r w:rsidRPr="00942F86">
        <w:rPr>
          <w:sz w:val="25"/>
          <w:szCs w:val="25"/>
        </w:rPr>
        <w:t xml:space="preserve">e </w:t>
      </w:r>
      <w:r w:rsidR="00B52622" w:rsidRPr="00942F86">
        <w:rPr>
          <w:sz w:val="25"/>
          <w:szCs w:val="25"/>
        </w:rPr>
        <w:t>remain</w:t>
      </w:r>
      <w:r w:rsidRPr="00942F86">
        <w:rPr>
          <w:sz w:val="25"/>
          <w:szCs w:val="25"/>
        </w:rPr>
        <w:t xml:space="preserve"> concerned about the impact of adding a third block on low-income customers.  We acknowledge and commend the parties for presenting data and some analysis of the issue in the record of this case.  However, the evidence does not dispel the concerns raised by the Energy Project that the rate design proposals by the Company and Staff will disproportionately impact the customers least</w:t>
      </w:r>
      <w:r w:rsidR="00E5010B" w:rsidRPr="00942F86">
        <w:rPr>
          <w:sz w:val="25"/>
          <w:szCs w:val="25"/>
        </w:rPr>
        <w:t xml:space="preserve"> able to</w:t>
      </w:r>
      <w:r w:rsidRPr="00942F86">
        <w:rPr>
          <w:sz w:val="25"/>
          <w:szCs w:val="25"/>
        </w:rPr>
        <w:t xml:space="preserve"> afford high basic charges and high third-block usage rates.</w:t>
      </w:r>
      <w:r w:rsidR="00B52622" w:rsidRPr="00942F86">
        <w:rPr>
          <w:sz w:val="25"/>
          <w:szCs w:val="25"/>
        </w:rPr>
        <w:t xml:space="preserve">  We expect the Company and others to continue developing data and undertaking analyses of low-income customer </w:t>
      </w:r>
      <w:r w:rsidR="001244C9" w:rsidRPr="00942F86">
        <w:rPr>
          <w:sz w:val="25"/>
          <w:szCs w:val="25"/>
        </w:rPr>
        <w:t xml:space="preserve">usage </w:t>
      </w:r>
      <w:r w:rsidR="00B52622" w:rsidRPr="00942F86">
        <w:rPr>
          <w:sz w:val="25"/>
          <w:szCs w:val="25"/>
        </w:rPr>
        <w:t>patterns in Pacific Power’s service territory</w:t>
      </w:r>
      <w:r w:rsidR="0061672A" w:rsidRPr="00942F86">
        <w:rPr>
          <w:sz w:val="25"/>
          <w:szCs w:val="25"/>
        </w:rPr>
        <w:t>.  These can inform</w:t>
      </w:r>
      <w:r w:rsidR="00B52622" w:rsidRPr="00942F86">
        <w:rPr>
          <w:sz w:val="25"/>
          <w:szCs w:val="25"/>
        </w:rPr>
        <w:t xml:space="preserve"> </w:t>
      </w:r>
      <w:r w:rsidR="0061672A" w:rsidRPr="00942F86">
        <w:rPr>
          <w:sz w:val="25"/>
          <w:szCs w:val="25"/>
        </w:rPr>
        <w:t xml:space="preserve">thoughtful consideration in testimony in the Company’s next general rate case concerning </w:t>
      </w:r>
      <w:r w:rsidR="00B52622" w:rsidRPr="00942F86">
        <w:rPr>
          <w:sz w:val="25"/>
          <w:szCs w:val="25"/>
        </w:rPr>
        <w:t>the price signals a third block rate design will likely have on such customers.</w:t>
      </w:r>
    </w:p>
    <w:p w14:paraId="39F8701B" w14:textId="77777777" w:rsidR="004C0766" w:rsidRPr="00942F86" w:rsidRDefault="004C0766" w:rsidP="000455AC">
      <w:pPr>
        <w:spacing w:line="264" w:lineRule="auto"/>
        <w:rPr>
          <w:sz w:val="25"/>
          <w:szCs w:val="25"/>
        </w:rPr>
      </w:pPr>
    </w:p>
    <w:p w14:paraId="49A95D1E" w14:textId="77777777" w:rsidR="00300D4C" w:rsidRPr="00942F86" w:rsidRDefault="00F90483" w:rsidP="00FC421A">
      <w:pPr>
        <w:numPr>
          <w:ilvl w:val="0"/>
          <w:numId w:val="1"/>
        </w:numPr>
        <w:tabs>
          <w:tab w:val="clear" w:pos="720"/>
          <w:tab w:val="num" w:pos="0"/>
        </w:tabs>
        <w:spacing w:line="264" w:lineRule="auto"/>
        <w:ind w:left="0"/>
        <w:rPr>
          <w:sz w:val="25"/>
          <w:szCs w:val="25"/>
        </w:rPr>
      </w:pPr>
      <w:r w:rsidRPr="00942F86">
        <w:rPr>
          <w:sz w:val="25"/>
          <w:szCs w:val="25"/>
        </w:rPr>
        <w:t>Several parties</w:t>
      </w:r>
      <w:r w:rsidR="004C0766" w:rsidRPr="00942F86">
        <w:rPr>
          <w:sz w:val="25"/>
          <w:szCs w:val="25"/>
        </w:rPr>
        <w:t xml:space="preserve"> </w:t>
      </w:r>
      <w:r w:rsidRPr="00942F86">
        <w:rPr>
          <w:sz w:val="25"/>
          <w:szCs w:val="25"/>
        </w:rPr>
        <w:t xml:space="preserve">touch on decoupling, recognizing it as the Commission’s preferred approach to address the various goals the Company and Staff residential rate design proposals are meant to address.  </w:t>
      </w:r>
      <w:r w:rsidR="006629F0" w:rsidRPr="00942F86">
        <w:rPr>
          <w:sz w:val="25"/>
          <w:szCs w:val="25"/>
        </w:rPr>
        <w:t>The Commission</w:t>
      </w:r>
      <w:r w:rsidR="00CD52E5" w:rsidRPr="00942F86">
        <w:rPr>
          <w:sz w:val="25"/>
          <w:szCs w:val="25"/>
        </w:rPr>
        <w:t>’s</w:t>
      </w:r>
      <w:r w:rsidR="006629F0" w:rsidRPr="00942F86">
        <w:rPr>
          <w:sz w:val="25"/>
          <w:szCs w:val="25"/>
        </w:rPr>
        <w:t xml:space="preserve"> long history with decoupling</w:t>
      </w:r>
      <w:r w:rsidR="00CD52E5" w:rsidRPr="00942F86">
        <w:rPr>
          <w:sz w:val="25"/>
          <w:szCs w:val="25"/>
        </w:rPr>
        <w:t xml:space="preserve"> dates back to 1991</w:t>
      </w:r>
      <w:r w:rsidR="00300D4C" w:rsidRPr="00942F86">
        <w:rPr>
          <w:sz w:val="25"/>
          <w:szCs w:val="25"/>
        </w:rPr>
        <w:t>,</w:t>
      </w:r>
      <w:r w:rsidR="00CD52E5" w:rsidRPr="00942F86">
        <w:rPr>
          <w:sz w:val="25"/>
          <w:szCs w:val="25"/>
        </w:rPr>
        <w:t xml:space="preserve"> w</w:t>
      </w:r>
      <w:r w:rsidR="006629F0" w:rsidRPr="00942F86">
        <w:rPr>
          <w:sz w:val="25"/>
          <w:szCs w:val="25"/>
        </w:rPr>
        <w:t>he</w:t>
      </w:r>
      <w:r w:rsidR="00CD52E5" w:rsidRPr="00942F86">
        <w:rPr>
          <w:sz w:val="25"/>
          <w:szCs w:val="25"/>
        </w:rPr>
        <w:t>n the</w:t>
      </w:r>
      <w:r w:rsidR="006629F0" w:rsidRPr="00942F86">
        <w:rPr>
          <w:sz w:val="25"/>
          <w:szCs w:val="25"/>
        </w:rPr>
        <w:t xml:space="preserve"> Commission first approved decoupling for PSE’s </w:t>
      </w:r>
      <w:r w:rsidR="006629F0" w:rsidRPr="00942F86">
        <w:rPr>
          <w:sz w:val="25"/>
          <w:szCs w:val="25"/>
        </w:rPr>
        <w:lastRenderedPageBreak/>
        <w:t>predecessor electric company, Puget Sound Power &amp; Light Company.</w:t>
      </w:r>
      <w:r w:rsidR="006629F0" w:rsidRPr="00942F86">
        <w:rPr>
          <w:sz w:val="25"/>
          <w:szCs w:val="25"/>
          <w:vertAlign w:val="superscript"/>
        </w:rPr>
        <w:footnoteReference w:id="333"/>
      </w:r>
      <w:r w:rsidR="006629F0" w:rsidRPr="00942F86">
        <w:rPr>
          <w:sz w:val="25"/>
          <w:szCs w:val="25"/>
        </w:rPr>
        <w:t xml:space="preserve">  </w:t>
      </w:r>
      <w:r w:rsidR="006629F0" w:rsidRPr="00942F86">
        <w:rPr>
          <w:bCs/>
          <w:sz w:val="25"/>
          <w:szCs w:val="25"/>
        </w:rPr>
        <w:t>In 2005, the Commission conducted a rulemaking inquiry into the subject</w:t>
      </w:r>
      <w:r w:rsidR="00CD52E5" w:rsidRPr="00942F86">
        <w:rPr>
          <w:bCs/>
          <w:sz w:val="25"/>
          <w:szCs w:val="25"/>
        </w:rPr>
        <w:t xml:space="preserve"> of decoupling</w:t>
      </w:r>
      <w:r w:rsidR="006629F0" w:rsidRPr="00942F86">
        <w:rPr>
          <w:bCs/>
          <w:sz w:val="25"/>
          <w:szCs w:val="25"/>
        </w:rPr>
        <w:t>.  After taking stakeholder comments and conducting a workshop, the Commission determined that “the wide variety of alternative approaches to decoupling make it more efficient to address these issues in the context of specific utility proposals included in general rate case filings rather than through a generic rulemaking.”</w:t>
      </w:r>
      <w:r w:rsidR="006629F0" w:rsidRPr="00942F86">
        <w:rPr>
          <w:bCs/>
          <w:sz w:val="25"/>
          <w:szCs w:val="25"/>
          <w:vertAlign w:val="superscript"/>
        </w:rPr>
        <w:footnoteReference w:id="334"/>
      </w:r>
      <w:r w:rsidR="00E5010B" w:rsidRPr="00942F86">
        <w:rPr>
          <w:bCs/>
          <w:sz w:val="25"/>
          <w:szCs w:val="25"/>
        </w:rPr>
        <w:t xml:space="preserve">  </w:t>
      </w:r>
    </w:p>
    <w:p w14:paraId="47CFAE52" w14:textId="77777777" w:rsidR="00300D4C" w:rsidRPr="00942F86" w:rsidRDefault="00300D4C" w:rsidP="000455AC">
      <w:pPr>
        <w:pStyle w:val="ListParagraph"/>
        <w:spacing w:line="264" w:lineRule="auto"/>
        <w:rPr>
          <w:bCs/>
          <w:sz w:val="25"/>
          <w:szCs w:val="25"/>
        </w:rPr>
      </w:pPr>
    </w:p>
    <w:p w14:paraId="0DF572F6" w14:textId="00C3722E" w:rsidR="004C0766" w:rsidRPr="00942F86" w:rsidRDefault="004F7B45" w:rsidP="00FC421A">
      <w:pPr>
        <w:numPr>
          <w:ilvl w:val="0"/>
          <w:numId w:val="1"/>
        </w:numPr>
        <w:tabs>
          <w:tab w:val="clear" w:pos="720"/>
          <w:tab w:val="num" w:pos="0"/>
        </w:tabs>
        <w:spacing w:line="264" w:lineRule="auto"/>
        <w:ind w:left="0"/>
        <w:rPr>
          <w:sz w:val="25"/>
          <w:szCs w:val="25"/>
        </w:rPr>
      </w:pPr>
      <w:r w:rsidRPr="00942F86">
        <w:rPr>
          <w:bCs/>
          <w:sz w:val="25"/>
          <w:szCs w:val="25"/>
        </w:rPr>
        <w:t xml:space="preserve">Following this, the Commission considered several decoupling proposals, </w:t>
      </w:r>
      <w:r w:rsidR="00300D4C" w:rsidRPr="00942F86">
        <w:rPr>
          <w:bCs/>
          <w:sz w:val="25"/>
          <w:szCs w:val="25"/>
        </w:rPr>
        <w:t>i</w:t>
      </w:r>
      <w:r w:rsidRPr="00942F86">
        <w:rPr>
          <w:bCs/>
          <w:sz w:val="25"/>
          <w:szCs w:val="25"/>
        </w:rPr>
        <w:t>mplementing some and rejecting others.</w:t>
      </w:r>
      <w:r w:rsidRPr="00942F86">
        <w:rPr>
          <w:rStyle w:val="FootnoteReference"/>
          <w:bCs/>
          <w:sz w:val="25"/>
          <w:szCs w:val="25"/>
        </w:rPr>
        <w:footnoteReference w:id="335"/>
      </w:r>
      <w:r w:rsidR="001244C9" w:rsidRPr="00942F86">
        <w:rPr>
          <w:bCs/>
          <w:sz w:val="25"/>
          <w:szCs w:val="25"/>
        </w:rPr>
        <w:t xml:space="preserve">  </w:t>
      </w:r>
      <w:r w:rsidR="006629F0" w:rsidRPr="00942F86">
        <w:rPr>
          <w:sz w:val="25"/>
          <w:szCs w:val="25"/>
        </w:rPr>
        <w:t xml:space="preserve">In </w:t>
      </w:r>
      <w:r w:rsidR="00CD52E5" w:rsidRPr="00942F86">
        <w:rPr>
          <w:sz w:val="25"/>
          <w:szCs w:val="25"/>
        </w:rPr>
        <w:t>its</w:t>
      </w:r>
      <w:r w:rsidR="006629F0" w:rsidRPr="00942F86">
        <w:rPr>
          <w:sz w:val="25"/>
          <w:szCs w:val="25"/>
        </w:rPr>
        <w:t xml:space="preserve"> 2010 Decoupling Policy Statement, the Commission expressed support for full decoupling and provided utilities and other parties with guidance on the elements that a full decoupling proposal should include.</w:t>
      </w:r>
      <w:r w:rsidR="006629F0" w:rsidRPr="00942F86">
        <w:rPr>
          <w:sz w:val="25"/>
          <w:szCs w:val="25"/>
          <w:vertAlign w:val="superscript"/>
        </w:rPr>
        <w:footnoteReference w:id="336"/>
      </w:r>
      <w:r w:rsidR="001244C9" w:rsidRPr="00942F86">
        <w:rPr>
          <w:sz w:val="25"/>
          <w:szCs w:val="25"/>
        </w:rPr>
        <w:t xml:space="preserve"> </w:t>
      </w:r>
      <w:r w:rsidR="006629F0" w:rsidRPr="00942F86">
        <w:rPr>
          <w:sz w:val="25"/>
          <w:szCs w:val="25"/>
        </w:rPr>
        <w:t xml:space="preserve"> Essential to the policy was recognition that the mechanism should aid the company when revenue per customer decreases and aid the customer when revenue per customer increases.  </w:t>
      </w:r>
      <w:r w:rsidR="00DE0D1A" w:rsidRPr="00942F86">
        <w:rPr>
          <w:sz w:val="25"/>
          <w:szCs w:val="25"/>
        </w:rPr>
        <w:t>The Commission</w:t>
      </w:r>
      <w:r w:rsidR="006629F0" w:rsidRPr="00942F86">
        <w:rPr>
          <w:sz w:val="25"/>
          <w:szCs w:val="25"/>
        </w:rPr>
        <w:t xml:space="preserve"> stated that </w:t>
      </w:r>
      <w:r w:rsidR="00DE0D1A" w:rsidRPr="00942F86">
        <w:rPr>
          <w:sz w:val="25"/>
          <w:szCs w:val="25"/>
        </w:rPr>
        <w:t xml:space="preserve">it believed that </w:t>
      </w:r>
      <w:r w:rsidR="006629F0" w:rsidRPr="00942F86">
        <w:rPr>
          <w:sz w:val="25"/>
          <w:szCs w:val="25"/>
        </w:rPr>
        <w:t xml:space="preserve">“a properly constructed full decoupling mechanism that is intended, between general rate cases, to balance out both lost and found margin from any source can be a tool that benefits </w:t>
      </w:r>
      <w:r w:rsidR="006629F0" w:rsidRPr="00942F86">
        <w:rPr>
          <w:sz w:val="25"/>
          <w:szCs w:val="25"/>
        </w:rPr>
        <w:lastRenderedPageBreak/>
        <w:t>both the company and its ratepayers.”</w:t>
      </w:r>
      <w:r w:rsidR="006629F0" w:rsidRPr="00942F86">
        <w:rPr>
          <w:sz w:val="25"/>
          <w:szCs w:val="25"/>
          <w:vertAlign w:val="superscript"/>
        </w:rPr>
        <w:footnoteReference w:id="337"/>
      </w:r>
      <w:r w:rsidR="006629F0" w:rsidRPr="00942F86">
        <w:rPr>
          <w:sz w:val="25"/>
          <w:szCs w:val="25"/>
        </w:rPr>
        <w:t xml:space="preserve">  By “decoupling” sales from revenues, a utility should no longer be encouraged to sell more energy, and conserve less, in order to earn more profit.  Ending this so-called “throughput incentive” is the essence of a full decoupling mechanism.</w:t>
      </w:r>
      <w:r w:rsidR="006629F0" w:rsidRPr="00942F86">
        <w:rPr>
          <w:sz w:val="25"/>
          <w:szCs w:val="25"/>
          <w:vertAlign w:val="superscript"/>
        </w:rPr>
        <w:footnoteReference w:id="338"/>
      </w:r>
    </w:p>
    <w:p w14:paraId="04454002" w14:textId="77777777" w:rsidR="00DC00DA" w:rsidRPr="00942F86" w:rsidRDefault="00DC00DA" w:rsidP="000455AC">
      <w:pPr>
        <w:spacing w:line="264" w:lineRule="auto"/>
        <w:rPr>
          <w:sz w:val="25"/>
          <w:szCs w:val="25"/>
        </w:rPr>
      </w:pPr>
    </w:p>
    <w:p w14:paraId="6FB52DD8" w14:textId="421F410E" w:rsidR="00DC00DA" w:rsidRPr="00942F86" w:rsidRDefault="00DE0D1A" w:rsidP="00FC421A">
      <w:pPr>
        <w:numPr>
          <w:ilvl w:val="0"/>
          <w:numId w:val="1"/>
        </w:numPr>
        <w:tabs>
          <w:tab w:val="clear" w:pos="720"/>
          <w:tab w:val="num" w:pos="0"/>
        </w:tabs>
        <w:spacing w:line="264" w:lineRule="auto"/>
        <w:ind w:left="0"/>
        <w:rPr>
          <w:sz w:val="25"/>
          <w:szCs w:val="25"/>
        </w:rPr>
      </w:pPr>
      <w:r w:rsidRPr="00942F86">
        <w:rPr>
          <w:sz w:val="25"/>
          <w:szCs w:val="25"/>
        </w:rPr>
        <w:t>We approved full decoupling for PSE in 2013</w:t>
      </w:r>
      <w:r w:rsidRPr="00942F86">
        <w:rPr>
          <w:rStyle w:val="FootnoteReference"/>
          <w:sz w:val="25"/>
          <w:szCs w:val="25"/>
        </w:rPr>
        <w:footnoteReference w:id="339"/>
      </w:r>
      <w:r w:rsidRPr="00942F86">
        <w:rPr>
          <w:sz w:val="25"/>
          <w:szCs w:val="25"/>
        </w:rPr>
        <w:t xml:space="preserve"> and for Avista in </w:t>
      </w:r>
      <w:r w:rsidR="006432CD" w:rsidRPr="00942F86">
        <w:rPr>
          <w:sz w:val="25"/>
          <w:szCs w:val="25"/>
        </w:rPr>
        <w:t>2014</w:t>
      </w:r>
      <w:r w:rsidRPr="00942F86">
        <w:rPr>
          <w:sz w:val="25"/>
          <w:szCs w:val="25"/>
        </w:rPr>
        <w:t>.</w:t>
      </w:r>
      <w:r w:rsidR="006432CD" w:rsidRPr="00942F86">
        <w:rPr>
          <w:rStyle w:val="FootnoteReference"/>
          <w:sz w:val="25"/>
          <w:szCs w:val="25"/>
        </w:rPr>
        <w:footnoteReference w:id="340"/>
      </w:r>
      <w:r w:rsidRPr="00942F86">
        <w:rPr>
          <w:sz w:val="25"/>
          <w:szCs w:val="25"/>
        </w:rPr>
        <w:t xml:space="preserve">  We </w:t>
      </w:r>
      <w:r w:rsidR="00B52622" w:rsidRPr="00942F86">
        <w:rPr>
          <w:sz w:val="25"/>
          <w:szCs w:val="25"/>
        </w:rPr>
        <w:t>invite such a proposal from</w:t>
      </w:r>
      <w:r w:rsidRPr="00942F86">
        <w:rPr>
          <w:sz w:val="25"/>
          <w:szCs w:val="25"/>
        </w:rPr>
        <w:t xml:space="preserve"> Pacific Power</w:t>
      </w:r>
      <w:r w:rsidR="00B52622" w:rsidRPr="00942F86">
        <w:rPr>
          <w:sz w:val="25"/>
          <w:szCs w:val="25"/>
        </w:rPr>
        <w:t xml:space="preserve"> and other parties in the Company’s next general rate case</w:t>
      </w:r>
      <w:r w:rsidRPr="00942F86">
        <w:rPr>
          <w:sz w:val="25"/>
          <w:szCs w:val="25"/>
        </w:rPr>
        <w:t xml:space="preserve">.  </w:t>
      </w:r>
      <w:r w:rsidR="003D79DD" w:rsidRPr="00942F86">
        <w:rPr>
          <w:sz w:val="25"/>
          <w:szCs w:val="25"/>
        </w:rPr>
        <w:t>We encourage Pacific Power to engage in meaningful discussion with Staff, Public Counsel, and other interested stakeholders</w:t>
      </w:r>
      <w:r w:rsidR="00590D1F" w:rsidRPr="00942F86">
        <w:rPr>
          <w:sz w:val="25"/>
          <w:szCs w:val="25"/>
        </w:rPr>
        <w:t xml:space="preserve"> and to develop a proposal</w:t>
      </w:r>
      <w:r w:rsidR="009C2B4E" w:rsidRPr="00942F86">
        <w:rPr>
          <w:sz w:val="25"/>
          <w:szCs w:val="25"/>
        </w:rPr>
        <w:t>.</w:t>
      </w:r>
    </w:p>
    <w:p w14:paraId="1E00D1DA" w14:textId="77777777" w:rsidR="00752AA2" w:rsidRPr="00942F86" w:rsidRDefault="00752AA2" w:rsidP="000455AC">
      <w:pPr>
        <w:spacing w:line="264" w:lineRule="auto"/>
        <w:rPr>
          <w:sz w:val="25"/>
          <w:szCs w:val="25"/>
        </w:rPr>
      </w:pPr>
    </w:p>
    <w:p w14:paraId="6CD46710" w14:textId="428DA570" w:rsidR="000E2D91" w:rsidRPr="00942F86" w:rsidRDefault="000E2D91" w:rsidP="000455AC">
      <w:pPr>
        <w:pStyle w:val="Heading5"/>
        <w:spacing w:before="0" w:after="0" w:line="264" w:lineRule="auto"/>
        <w:rPr>
          <w:szCs w:val="25"/>
        </w:rPr>
      </w:pPr>
      <w:bookmarkStart w:id="49" w:name="_Toc415037640"/>
      <w:r w:rsidRPr="00942F86">
        <w:rPr>
          <w:szCs w:val="25"/>
        </w:rPr>
        <w:t>Non-Residential Rates</w:t>
      </w:r>
      <w:bookmarkEnd w:id="49"/>
    </w:p>
    <w:p w14:paraId="6DC0E01F" w14:textId="77777777" w:rsidR="00482C15" w:rsidRPr="00942F86" w:rsidRDefault="00482C15" w:rsidP="000455AC">
      <w:pPr>
        <w:spacing w:line="264" w:lineRule="auto"/>
        <w:rPr>
          <w:sz w:val="25"/>
          <w:szCs w:val="25"/>
        </w:rPr>
      </w:pPr>
    </w:p>
    <w:p w14:paraId="5E5AB54E" w14:textId="33856291" w:rsidR="00132A1E" w:rsidRPr="00942F86" w:rsidRDefault="00132A1E" w:rsidP="00FC421A">
      <w:pPr>
        <w:numPr>
          <w:ilvl w:val="0"/>
          <w:numId w:val="1"/>
        </w:numPr>
        <w:tabs>
          <w:tab w:val="clear" w:pos="720"/>
          <w:tab w:val="num" w:pos="0"/>
        </w:tabs>
        <w:spacing w:line="264" w:lineRule="auto"/>
        <w:ind w:left="0"/>
        <w:rPr>
          <w:sz w:val="25"/>
          <w:szCs w:val="25"/>
        </w:rPr>
      </w:pPr>
      <w:r w:rsidRPr="00942F86">
        <w:rPr>
          <w:sz w:val="25"/>
          <w:szCs w:val="25"/>
        </w:rPr>
        <w:t xml:space="preserve">The Company proposes several non-controversial changes to its non-residential rate design.  For Schedule </w:t>
      </w:r>
      <w:proofErr w:type="spellStart"/>
      <w:r w:rsidRPr="00942F86">
        <w:rPr>
          <w:sz w:val="25"/>
          <w:szCs w:val="25"/>
        </w:rPr>
        <w:t>48T</w:t>
      </w:r>
      <w:proofErr w:type="spellEnd"/>
      <w:r w:rsidRPr="00942F86">
        <w:rPr>
          <w:sz w:val="25"/>
          <w:szCs w:val="25"/>
        </w:rPr>
        <w:t xml:space="preserve"> and 48-T Dedicated Facilities, the Company proposes larger increases to demand charges than other portions of rates.</w:t>
      </w:r>
      <w:r w:rsidRPr="00942F86">
        <w:rPr>
          <w:rStyle w:val="FootnoteReference"/>
          <w:sz w:val="25"/>
          <w:szCs w:val="25"/>
        </w:rPr>
        <w:footnoteReference w:id="341"/>
      </w:r>
      <w:r w:rsidR="001244C9" w:rsidRPr="00942F86">
        <w:rPr>
          <w:rStyle w:val="FootnoteReference"/>
          <w:sz w:val="25"/>
          <w:szCs w:val="25"/>
        </w:rPr>
        <w:t xml:space="preserve"> </w:t>
      </w:r>
      <w:r w:rsidR="001244C9" w:rsidRPr="00942F86">
        <w:rPr>
          <w:sz w:val="25"/>
          <w:szCs w:val="25"/>
        </w:rPr>
        <w:t xml:space="preserve"> </w:t>
      </w:r>
      <w:r w:rsidR="00C716F4">
        <w:rPr>
          <w:sz w:val="25"/>
          <w:szCs w:val="25"/>
        </w:rPr>
        <w:t xml:space="preserve"> </w:t>
      </w:r>
      <w:r w:rsidRPr="00942F86">
        <w:rPr>
          <w:sz w:val="25"/>
          <w:szCs w:val="25"/>
        </w:rPr>
        <w:t>Neither Boise</w:t>
      </w:r>
      <w:r w:rsidR="0061672A" w:rsidRPr="00942F86">
        <w:rPr>
          <w:sz w:val="25"/>
          <w:szCs w:val="25"/>
        </w:rPr>
        <w:t xml:space="preserve"> White Paper</w:t>
      </w:r>
      <w:r w:rsidRPr="00942F86">
        <w:rPr>
          <w:sz w:val="25"/>
          <w:szCs w:val="25"/>
        </w:rPr>
        <w:t xml:space="preserve"> nor Staff oppose the Company’s proposal for these schedules.  For general service, agricultural pumping, and street lighting schedules, the Company proposes allocating more of the increase to demand rates in order to move cost components closer to cost of service.</w:t>
      </w:r>
    </w:p>
    <w:p w14:paraId="58EA4794" w14:textId="77777777" w:rsidR="00132A1E" w:rsidRPr="00942F86" w:rsidRDefault="00132A1E" w:rsidP="000455AC">
      <w:pPr>
        <w:spacing w:line="264" w:lineRule="auto"/>
        <w:rPr>
          <w:sz w:val="25"/>
          <w:szCs w:val="25"/>
        </w:rPr>
      </w:pPr>
    </w:p>
    <w:p w14:paraId="1F291D62" w14:textId="3A83273C" w:rsidR="00A26940" w:rsidRPr="00942F86" w:rsidRDefault="00132A1E" w:rsidP="00FC421A">
      <w:pPr>
        <w:numPr>
          <w:ilvl w:val="0"/>
          <w:numId w:val="1"/>
        </w:numPr>
        <w:tabs>
          <w:tab w:val="clear" w:pos="720"/>
          <w:tab w:val="num" w:pos="0"/>
        </w:tabs>
        <w:spacing w:line="264" w:lineRule="auto"/>
        <w:ind w:left="0"/>
        <w:rPr>
          <w:sz w:val="25"/>
          <w:szCs w:val="25"/>
        </w:rPr>
      </w:pPr>
      <w:r w:rsidRPr="00942F86">
        <w:rPr>
          <w:sz w:val="25"/>
          <w:szCs w:val="25"/>
        </w:rPr>
        <w:t>Wal</w:t>
      </w:r>
      <w:r w:rsidR="007A3FED">
        <w:rPr>
          <w:sz w:val="25"/>
          <w:szCs w:val="25"/>
        </w:rPr>
        <w:t>m</w:t>
      </w:r>
      <w:r w:rsidRPr="00942F86">
        <w:rPr>
          <w:sz w:val="25"/>
          <w:szCs w:val="25"/>
        </w:rPr>
        <w:t xml:space="preserve">art proposes a substantial increase to demand charges and a substantial decrease in energy charges for Large General Service Schedule 36. </w:t>
      </w:r>
      <w:r w:rsidR="00792B63" w:rsidRPr="00942F86">
        <w:rPr>
          <w:sz w:val="25"/>
          <w:szCs w:val="25"/>
        </w:rPr>
        <w:t xml:space="preserve"> Walmart argues that “Pacific Power’s current and proposed Schedule 36 charges are not reflective of the underlying cost of service and are disproportionately weighted towards collection of energy-related costs and, as a result, under collect demand</w:t>
      </w:r>
      <w:r w:rsidR="0061672A" w:rsidRPr="00942F86">
        <w:rPr>
          <w:sz w:val="25"/>
          <w:szCs w:val="25"/>
        </w:rPr>
        <w:t>-</w:t>
      </w:r>
      <w:r w:rsidR="00792B63" w:rsidRPr="00942F86">
        <w:rPr>
          <w:sz w:val="25"/>
          <w:szCs w:val="25"/>
        </w:rPr>
        <w:t>related costs.”</w:t>
      </w:r>
      <w:r w:rsidR="00792B63" w:rsidRPr="00942F86">
        <w:rPr>
          <w:rStyle w:val="FootnoteReference"/>
          <w:sz w:val="25"/>
          <w:szCs w:val="25"/>
        </w:rPr>
        <w:footnoteReference w:id="342"/>
      </w:r>
      <w:r w:rsidR="00792B63" w:rsidRPr="00942F86">
        <w:rPr>
          <w:sz w:val="25"/>
          <w:szCs w:val="25"/>
        </w:rPr>
        <w:t xml:space="preserve">  In </w:t>
      </w:r>
      <w:r w:rsidR="00792B63" w:rsidRPr="00942F86">
        <w:rPr>
          <w:sz w:val="25"/>
          <w:szCs w:val="25"/>
        </w:rPr>
        <w:lastRenderedPageBreak/>
        <w:t>addition, Walmart argues Pacific Power’s proposed charges for Schedule 36 inappropriately shift transmission and generation demand cost responsibility from lower load factor customers to higher load factor customers resulting in a misallocation of cost responsibility because higher load factor customers will overpay for the demand-related transmission and generation costs.</w:t>
      </w:r>
      <w:r w:rsidR="00792B63" w:rsidRPr="00942F86">
        <w:rPr>
          <w:rStyle w:val="FootnoteReference"/>
          <w:sz w:val="25"/>
          <w:szCs w:val="25"/>
        </w:rPr>
        <w:footnoteReference w:id="343"/>
      </w:r>
      <w:r w:rsidR="00792B63" w:rsidRPr="00942F86">
        <w:rPr>
          <w:sz w:val="25"/>
          <w:szCs w:val="25"/>
        </w:rPr>
        <w:t xml:space="preserve"> </w:t>
      </w:r>
      <w:r w:rsidRPr="00942F86">
        <w:rPr>
          <w:sz w:val="25"/>
          <w:szCs w:val="25"/>
        </w:rPr>
        <w:t xml:space="preserve"> </w:t>
      </w:r>
      <w:r w:rsidR="00A26940" w:rsidRPr="00942F86">
        <w:rPr>
          <w:sz w:val="25"/>
          <w:szCs w:val="25"/>
        </w:rPr>
        <w:t>Walmart proposes four specific changes to Schedule 36 charges relative to the Company’s tariff unbundling proposal:</w:t>
      </w:r>
      <w:r w:rsidR="00A26940" w:rsidRPr="00942F86">
        <w:rPr>
          <w:sz w:val="25"/>
          <w:szCs w:val="25"/>
          <w:vertAlign w:val="superscript"/>
        </w:rPr>
        <w:footnoteReference w:id="344"/>
      </w:r>
    </w:p>
    <w:p w14:paraId="07590A94" w14:textId="77777777" w:rsidR="00A26940" w:rsidRPr="00942F86" w:rsidRDefault="00A26940" w:rsidP="000455AC">
      <w:pPr>
        <w:spacing w:line="264" w:lineRule="auto"/>
        <w:rPr>
          <w:sz w:val="25"/>
          <w:szCs w:val="25"/>
        </w:rPr>
      </w:pPr>
    </w:p>
    <w:p w14:paraId="7DF7784C" w14:textId="77777777" w:rsidR="00A26940" w:rsidRPr="00942F86" w:rsidRDefault="00A26940" w:rsidP="00E05A86">
      <w:pPr>
        <w:numPr>
          <w:ilvl w:val="0"/>
          <w:numId w:val="23"/>
        </w:numPr>
        <w:spacing w:line="264" w:lineRule="auto"/>
        <w:ind w:left="720"/>
        <w:rPr>
          <w:sz w:val="25"/>
          <w:szCs w:val="25"/>
        </w:rPr>
      </w:pPr>
      <w:r w:rsidRPr="00942F86">
        <w:rPr>
          <w:sz w:val="25"/>
          <w:szCs w:val="25"/>
        </w:rPr>
        <w:t>Set the unbundled generation (non-NPC) demand charge and transmission demand charge at 50 percent of their cost-based levels.</w:t>
      </w:r>
    </w:p>
    <w:p w14:paraId="4F8F4B42" w14:textId="77777777" w:rsidR="00752AA2" w:rsidRPr="00942F86" w:rsidRDefault="00752AA2" w:rsidP="000455AC">
      <w:pPr>
        <w:pStyle w:val="ListParagraph"/>
        <w:spacing w:line="264" w:lineRule="auto"/>
        <w:ind w:left="1080" w:right="720"/>
        <w:rPr>
          <w:sz w:val="25"/>
          <w:szCs w:val="25"/>
        </w:rPr>
      </w:pPr>
    </w:p>
    <w:p w14:paraId="19CF0614" w14:textId="77777777" w:rsidR="00A26940" w:rsidRPr="00942F86" w:rsidRDefault="00A26940" w:rsidP="00E05A86">
      <w:pPr>
        <w:numPr>
          <w:ilvl w:val="0"/>
          <w:numId w:val="23"/>
        </w:numPr>
        <w:spacing w:line="264" w:lineRule="auto"/>
        <w:ind w:left="720"/>
        <w:rPr>
          <w:sz w:val="25"/>
          <w:szCs w:val="25"/>
        </w:rPr>
      </w:pPr>
      <w:r w:rsidRPr="00942F86">
        <w:rPr>
          <w:sz w:val="25"/>
          <w:szCs w:val="25"/>
        </w:rPr>
        <w:t xml:space="preserve">Accept the energy charge block structure and price ratio as proposed by Pacific Power.  </w:t>
      </w:r>
    </w:p>
    <w:p w14:paraId="474700DD" w14:textId="77777777" w:rsidR="00752AA2" w:rsidRPr="00942F86" w:rsidRDefault="00752AA2" w:rsidP="000455AC">
      <w:pPr>
        <w:spacing w:line="264" w:lineRule="auto"/>
        <w:ind w:right="720"/>
        <w:rPr>
          <w:sz w:val="25"/>
          <w:szCs w:val="25"/>
        </w:rPr>
      </w:pPr>
    </w:p>
    <w:p w14:paraId="3628FA85" w14:textId="77777777" w:rsidR="00A26940" w:rsidRPr="00942F86" w:rsidRDefault="00A26940" w:rsidP="00E05A86">
      <w:pPr>
        <w:numPr>
          <w:ilvl w:val="0"/>
          <w:numId w:val="23"/>
        </w:numPr>
        <w:spacing w:line="264" w:lineRule="auto"/>
        <w:ind w:left="720"/>
        <w:rPr>
          <w:sz w:val="25"/>
          <w:szCs w:val="25"/>
        </w:rPr>
      </w:pPr>
      <w:r w:rsidRPr="00942F86">
        <w:rPr>
          <w:sz w:val="25"/>
          <w:szCs w:val="25"/>
        </w:rPr>
        <w:t>Reduce the generation (non-NPC) energy charge revenue requirement by an amount equal to the demand charge revenue requirement increase.</w:t>
      </w:r>
    </w:p>
    <w:p w14:paraId="0A768F4E" w14:textId="77777777" w:rsidR="00752AA2" w:rsidRPr="00942F86" w:rsidRDefault="00752AA2" w:rsidP="000455AC">
      <w:pPr>
        <w:spacing w:line="264" w:lineRule="auto"/>
        <w:ind w:right="720"/>
        <w:rPr>
          <w:sz w:val="25"/>
          <w:szCs w:val="25"/>
        </w:rPr>
      </w:pPr>
    </w:p>
    <w:p w14:paraId="657EFAC9" w14:textId="5D1F7E35" w:rsidR="00781A4F" w:rsidRPr="00942F86" w:rsidRDefault="00A26940" w:rsidP="00E05A86">
      <w:pPr>
        <w:numPr>
          <w:ilvl w:val="0"/>
          <w:numId w:val="23"/>
        </w:numPr>
        <w:spacing w:line="264" w:lineRule="auto"/>
        <w:ind w:left="720"/>
        <w:rPr>
          <w:sz w:val="25"/>
          <w:szCs w:val="25"/>
        </w:rPr>
      </w:pPr>
      <w:r w:rsidRPr="00942F86">
        <w:rPr>
          <w:sz w:val="25"/>
          <w:szCs w:val="25"/>
        </w:rPr>
        <w:t>Reflect any reductions in Schedule 36 revenue requirement from Pacific Power’s filed proposal by reducing the generation (non-NPC) energy charges and transmission energy charges.</w:t>
      </w:r>
      <w:r w:rsidRPr="00942F86">
        <w:rPr>
          <w:sz w:val="25"/>
          <w:szCs w:val="25"/>
          <w:vertAlign w:val="superscript"/>
        </w:rPr>
        <w:footnoteReference w:id="345"/>
      </w:r>
    </w:p>
    <w:p w14:paraId="56E319C1" w14:textId="77777777" w:rsidR="00792B63" w:rsidRPr="00942F86" w:rsidRDefault="00792B63" w:rsidP="000455AC">
      <w:pPr>
        <w:pStyle w:val="ListParagraph"/>
        <w:spacing w:line="264" w:lineRule="auto"/>
        <w:rPr>
          <w:sz w:val="25"/>
          <w:szCs w:val="25"/>
        </w:rPr>
      </w:pPr>
    </w:p>
    <w:p w14:paraId="1B62E612" w14:textId="1593A464" w:rsidR="00482C15" w:rsidRPr="00942F86" w:rsidRDefault="00132A1E" w:rsidP="00FC421A">
      <w:pPr>
        <w:numPr>
          <w:ilvl w:val="0"/>
          <w:numId w:val="1"/>
        </w:numPr>
        <w:tabs>
          <w:tab w:val="clear" w:pos="720"/>
          <w:tab w:val="num" w:pos="0"/>
        </w:tabs>
        <w:spacing w:line="264" w:lineRule="auto"/>
        <w:ind w:left="0"/>
        <w:rPr>
          <w:sz w:val="25"/>
          <w:szCs w:val="25"/>
        </w:rPr>
      </w:pPr>
      <w:r w:rsidRPr="00942F86">
        <w:rPr>
          <w:sz w:val="25"/>
          <w:szCs w:val="25"/>
        </w:rPr>
        <w:t>On rebuttal, the Company provides a revised proposal for Schedule 36 that moves towards, but does not match, Wal</w:t>
      </w:r>
      <w:r w:rsidR="007A3FED">
        <w:rPr>
          <w:sz w:val="25"/>
          <w:szCs w:val="25"/>
        </w:rPr>
        <w:t>m</w:t>
      </w:r>
      <w:r w:rsidRPr="00942F86">
        <w:rPr>
          <w:sz w:val="25"/>
          <w:szCs w:val="25"/>
        </w:rPr>
        <w:t xml:space="preserve">art’s proposal.  </w:t>
      </w:r>
      <w:r w:rsidR="008363E7" w:rsidRPr="00942F86">
        <w:rPr>
          <w:sz w:val="25"/>
          <w:szCs w:val="25"/>
        </w:rPr>
        <w:t>Ms. Steward testifies that:</w:t>
      </w:r>
    </w:p>
    <w:p w14:paraId="5D6CE210" w14:textId="77777777" w:rsidR="008363E7" w:rsidRPr="00942F86" w:rsidRDefault="008363E7" w:rsidP="000455AC">
      <w:pPr>
        <w:spacing w:line="264" w:lineRule="auto"/>
        <w:rPr>
          <w:sz w:val="25"/>
          <w:szCs w:val="25"/>
        </w:rPr>
      </w:pPr>
    </w:p>
    <w:p w14:paraId="1091B420" w14:textId="39BAD6D4" w:rsidR="008363E7" w:rsidRPr="00942F86" w:rsidRDefault="008363E7" w:rsidP="000455AC">
      <w:pPr>
        <w:spacing w:line="264" w:lineRule="auto"/>
        <w:ind w:left="720" w:right="720"/>
        <w:rPr>
          <w:sz w:val="25"/>
          <w:szCs w:val="25"/>
        </w:rPr>
      </w:pPr>
      <w:r w:rsidRPr="00942F86">
        <w:rPr>
          <w:bCs/>
          <w:sz w:val="25"/>
          <w:szCs w:val="25"/>
        </w:rPr>
        <w:t>The Company agrees in part with Wal</w:t>
      </w:r>
      <w:r w:rsidR="007A3FED">
        <w:rPr>
          <w:bCs/>
          <w:sz w:val="25"/>
          <w:szCs w:val="25"/>
        </w:rPr>
        <w:t>m</w:t>
      </w:r>
      <w:r w:rsidRPr="00942F86">
        <w:rPr>
          <w:bCs/>
          <w:sz w:val="25"/>
          <w:szCs w:val="25"/>
        </w:rPr>
        <w:t xml:space="preserve">art’s proposed rate design, however, the Company is proposing a more gradual movement in increasing the demand charge for Schedule 36 in light of bill impacts.  Specifically, the Company proposes a movement that is half way between a rebuttal </w:t>
      </w:r>
      <w:proofErr w:type="gramStart"/>
      <w:r w:rsidRPr="00942F86">
        <w:rPr>
          <w:bCs/>
          <w:sz w:val="25"/>
          <w:szCs w:val="25"/>
        </w:rPr>
        <w:t>rate</w:t>
      </w:r>
      <w:proofErr w:type="gramEnd"/>
      <w:r w:rsidRPr="00942F86">
        <w:rPr>
          <w:bCs/>
          <w:sz w:val="25"/>
          <w:szCs w:val="25"/>
        </w:rPr>
        <w:t xml:space="preserve"> calculated the same as the original filing of $3.49 or approximately 40 percent of total generation demand and Wal</w:t>
      </w:r>
      <w:r w:rsidR="007A3FED">
        <w:rPr>
          <w:bCs/>
          <w:sz w:val="25"/>
          <w:szCs w:val="25"/>
        </w:rPr>
        <w:t>m</w:t>
      </w:r>
      <w:r w:rsidRPr="00942F86">
        <w:rPr>
          <w:bCs/>
          <w:sz w:val="25"/>
          <w:szCs w:val="25"/>
        </w:rPr>
        <w:t xml:space="preserve">art’s 50 percent generation demand proposal or $4.38.  The proposed rate of $3.94 is approximately 45 percent of total generation </w:t>
      </w:r>
      <w:r w:rsidRPr="00942F86">
        <w:rPr>
          <w:bCs/>
          <w:sz w:val="25"/>
          <w:szCs w:val="25"/>
        </w:rPr>
        <w:lastRenderedPageBreak/>
        <w:t xml:space="preserve">demand costs. </w:t>
      </w:r>
      <w:r w:rsidR="00827595" w:rsidRPr="00942F86">
        <w:rPr>
          <w:bCs/>
          <w:sz w:val="25"/>
          <w:szCs w:val="25"/>
        </w:rPr>
        <w:t xml:space="preserve"> </w:t>
      </w:r>
      <w:r w:rsidRPr="00942F86">
        <w:rPr>
          <w:bCs/>
          <w:sz w:val="25"/>
          <w:szCs w:val="25"/>
        </w:rPr>
        <w:t>The transmission demand rate is calculated using the same approach as applied above but for transmission demand.</w:t>
      </w:r>
      <w:r w:rsidRPr="00942F86">
        <w:rPr>
          <w:rStyle w:val="FootnoteReference"/>
          <w:bCs/>
          <w:sz w:val="25"/>
          <w:szCs w:val="25"/>
        </w:rPr>
        <w:footnoteReference w:id="346"/>
      </w:r>
    </w:p>
    <w:p w14:paraId="21099F40" w14:textId="77777777" w:rsidR="00132A1E" w:rsidRPr="00942F86" w:rsidRDefault="00132A1E" w:rsidP="000455AC">
      <w:pPr>
        <w:pStyle w:val="ListParagraph"/>
        <w:spacing w:line="264" w:lineRule="auto"/>
        <w:rPr>
          <w:sz w:val="25"/>
          <w:szCs w:val="25"/>
        </w:rPr>
      </w:pPr>
    </w:p>
    <w:p w14:paraId="0D701CB2" w14:textId="440F80DD" w:rsidR="00132A1E" w:rsidRPr="00942F86" w:rsidRDefault="00132A1E"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w:t>
      </w:r>
      <w:r w:rsidR="002C5C0F" w:rsidRPr="00942F86">
        <w:rPr>
          <w:sz w:val="25"/>
          <w:szCs w:val="25"/>
        </w:rPr>
        <w:t>The principle of gradualism is an important consideration in making changes in rate design proposed by a commercial customer that will have a bill impact for the entire class of customers served under a given rate schedule.  We accept Pacific Power’s proposed changes to non-residential rate design, including the Company’s revised proposal, on rebuttal, for Schedule 36 that is generally consistent with what Walmart recommends but implemented more gradually.</w:t>
      </w:r>
      <w:r w:rsidR="00792B63" w:rsidRPr="00942F86">
        <w:rPr>
          <w:sz w:val="25"/>
          <w:szCs w:val="25"/>
        </w:rPr>
        <w:t xml:space="preserve">  </w:t>
      </w:r>
    </w:p>
    <w:p w14:paraId="73A27318" w14:textId="77777777" w:rsidR="00752AA2" w:rsidRPr="00942F86" w:rsidRDefault="00752AA2" w:rsidP="000455AC">
      <w:pPr>
        <w:spacing w:line="264" w:lineRule="auto"/>
        <w:rPr>
          <w:sz w:val="25"/>
          <w:szCs w:val="25"/>
        </w:rPr>
      </w:pPr>
    </w:p>
    <w:p w14:paraId="617437CD" w14:textId="6A8F09F7" w:rsidR="000E2D91" w:rsidRPr="00942F86" w:rsidRDefault="00482C15" w:rsidP="000455AC">
      <w:pPr>
        <w:pStyle w:val="Heading5"/>
        <w:spacing w:before="0" w:after="0" w:line="264" w:lineRule="auto"/>
        <w:rPr>
          <w:szCs w:val="25"/>
        </w:rPr>
      </w:pPr>
      <w:bookmarkStart w:id="50" w:name="_Toc415037641"/>
      <w:r w:rsidRPr="00942F86">
        <w:rPr>
          <w:szCs w:val="25"/>
        </w:rPr>
        <w:t>Unbundled Rates</w:t>
      </w:r>
      <w:bookmarkEnd w:id="50"/>
    </w:p>
    <w:p w14:paraId="18445F75" w14:textId="77777777" w:rsidR="000E2D91" w:rsidRPr="00942F86" w:rsidRDefault="000E2D91" w:rsidP="000455AC">
      <w:pPr>
        <w:spacing w:line="264" w:lineRule="auto"/>
        <w:rPr>
          <w:sz w:val="25"/>
          <w:szCs w:val="25"/>
        </w:rPr>
      </w:pPr>
    </w:p>
    <w:p w14:paraId="08DBB86C" w14:textId="30587FC6" w:rsidR="004615BC" w:rsidRPr="00942F86" w:rsidRDefault="004615BC" w:rsidP="00FC421A">
      <w:pPr>
        <w:numPr>
          <w:ilvl w:val="0"/>
          <w:numId w:val="1"/>
        </w:numPr>
        <w:tabs>
          <w:tab w:val="clear" w:pos="720"/>
          <w:tab w:val="num" w:pos="0"/>
        </w:tabs>
        <w:spacing w:line="264" w:lineRule="auto"/>
        <w:ind w:left="0"/>
        <w:rPr>
          <w:sz w:val="25"/>
          <w:szCs w:val="25"/>
        </w:rPr>
      </w:pPr>
      <w:r w:rsidRPr="00942F86">
        <w:rPr>
          <w:sz w:val="25"/>
          <w:szCs w:val="25"/>
        </w:rPr>
        <w:t>Pacific Power proposes</w:t>
      </w:r>
      <w:r w:rsidR="002C027C" w:rsidRPr="00942F86">
        <w:rPr>
          <w:sz w:val="25"/>
          <w:szCs w:val="25"/>
        </w:rPr>
        <w:t xml:space="preserve"> to unbundle rates</w:t>
      </w:r>
      <w:r w:rsidRPr="00942F86">
        <w:rPr>
          <w:sz w:val="25"/>
          <w:szCs w:val="25"/>
        </w:rPr>
        <w:t xml:space="preserve"> in its tariffs</w:t>
      </w:r>
      <w:r w:rsidR="002C027C" w:rsidRPr="00942F86">
        <w:rPr>
          <w:sz w:val="25"/>
          <w:szCs w:val="25"/>
        </w:rPr>
        <w:t xml:space="preserve"> by service function.  The purpose, according to Ms. Steward is to make the costs associated with the different utility functions shown in the </w:t>
      </w:r>
      <w:proofErr w:type="spellStart"/>
      <w:r w:rsidR="002C5C0F" w:rsidRPr="00942F86">
        <w:rPr>
          <w:sz w:val="25"/>
          <w:szCs w:val="25"/>
        </w:rPr>
        <w:t>COSS</w:t>
      </w:r>
      <w:proofErr w:type="spellEnd"/>
      <w:r w:rsidR="002C5C0F" w:rsidRPr="00942F86">
        <w:rPr>
          <w:sz w:val="25"/>
          <w:szCs w:val="25"/>
        </w:rPr>
        <w:t xml:space="preserve"> (</w:t>
      </w:r>
      <w:r w:rsidR="002C5C0F" w:rsidRPr="00942F86">
        <w:rPr>
          <w:i/>
          <w:sz w:val="25"/>
          <w:szCs w:val="25"/>
        </w:rPr>
        <w:t>i.e.,</w:t>
      </w:r>
      <w:r w:rsidR="002C5C0F" w:rsidRPr="00942F86">
        <w:rPr>
          <w:sz w:val="25"/>
          <w:szCs w:val="25"/>
        </w:rPr>
        <w:t xml:space="preserve"> </w:t>
      </w:r>
      <w:r w:rsidR="002C027C" w:rsidRPr="00942F86">
        <w:rPr>
          <w:sz w:val="25"/>
          <w:szCs w:val="25"/>
        </w:rPr>
        <w:t>generation, transmission, and distribution</w:t>
      </w:r>
      <w:r w:rsidR="002C5C0F" w:rsidRPr="00942F86">
        <w:rPr>
          <w:sz w:val="25"/>
          <w:szCs w:val="25"/>
        </w:rPr>
        <w:t>)</w:t>
      </w:r>
      <w:r w:rsidR="00590D1F" w:rsidRPr="00942F86">
        <w:rPr>
          <w:sz w:val="25"/>
          <w:szCs w:val="25"/>
        </w:rPr>
        <w:t xml:space="preserve"> </w:t>
      </w:r>
      <w:r w:rsidR="002C027C" w:rsidRPr="00942F86">
        <w:rPr>
          <w:sz w:val="25"/>
          <w:szCs w:val="25"/>
        </w:rPr>
        <w:t>more readily transparent in rates.</w:t>
      </w:r>
      <w:r w:rsidR="002C027C" w:rsidRPr="00942F86">
        <w:rPr>
          <w:rStyle w:val="FootnoteReference"/>
          <w:sz w:val="25"/>
          <w:szCs w:val="25"/>
        </w:rPr>
        <w:footnoteReference w:id="347"/>
      </w:r>
      <w:r w:rsidR="002C027C" w:rsidRPr="00942F86">
        <w:rPr>
          <w:sz w:val="25"/>
          <w:szCs w:val="25"/>
        </w:rPr>
        <w:t xml:space="preserve">  </w:t>
      </w:r>
      <w:r w:rsidR="00482C15" w:rsidRPr="00942F86">
        <w:rPr>
          <w:sz w:val="25"/>
          <w:szCs w:val="25"/>
        </w:rPr>
        <w:t>No</w:t>
      </w:r>
      <w:r w:rsidRPr="00942F86">
        <w:rPr>
          <w:sz w:val="25"/>
          <w:szCs w:val="25"/>
        </w:rPr>
        <w:t>ne of the parties</w:t>
      </w:r>
      <w:r w:rsidR="00482C15" w:rsidRPr="00942F86">
        <w:rPr>
          <w:sz w:val="25"/>
          <w:szCs w:val="25"/>
        </w:rPr>
        <w:t xml:space="preserve"> </w:t>
      </w:r>
      <w:r w:rsidRPr="00942F86">
        <w:rPr>
          <w:sz w:val="25"/>
          <w:szCs w:val="25"/>
        </w:rPr>
        <w:t xml:space="preserve">expressly </w:t>
      </w:r>
      <w:r w:rsidR="00482C15" w:rsidRPr="00942F86">
        <w:rPr>
          <w:sz w:val="25"/>
          <w:szCs w:val="25"/>
        </w:rPr>
        <w:t>object to the Company providing a more granular description of costs in its tariffs.  Wal</w:t>
      </w:r>
      <w:r w:rsidR="007A3FED">
        <w:rPr>
          <w:sz w:val="25"/>
          <w:szCs w:val="25"/>
        </w:rPr>
        <w:t>m</w:t>
      </w:r>
      <w:r w:rsidR="00482C15" w:rsidRPr="00942F86">
        <w:rPr>
          <w:sz w:val="25"/>
          <w:szCs w:val="25"/>
        </w:rPr>
        <w:t>art</w:t>
      </w:r>
      <w:r w:rsidRPr="00942F86">
        <w:rPr>
          <w:sz w:val="25"/>
          <w:szCs w:val="25"/>
        </w:rPr>
        <w:t>, moreover,</w:t>
      </w:r>
      <w:r w:rsidR="00482C15" w:rsidRPr="00942F86">
        <w:rPr>
          <w:sz w:val="25"/>
          <w:szCs w:val="25"/>
        </w:rPr>
        <w:t xml:space="preserve"> </w:t>
      </w:r>
      <w:r w:rsidRPr="00942F86">
        <w:rPr>
          <w:sz w:val="25"/>
          <w:szCs w:val="25"/>
        </w:rPr>
        <w:t xml:space="preserve">supports the idea and </w:t>
      </w:r>
      <w:r w:rsidR="00482C15" w:rsidRPr="00942F86">
        <w:rPr>
          <w:sz w:val="25"/>
          <w:szCs w:val="25"/>
        </w:rPr>
        <w:t>encourages the Company to show unbundled rates on its bills as well.</w:t>
      </w:r>
      <w:r w:rsidR="00482C15" w:rsidRPr="00942F86">
        <w:rPr>
          <w:rStyle w:val="FootnoteReference"/>
          <w:sz w:val="25"/>
          <w:szCs w:val="25"/>
        </w:rPr>
        <w:footnoteReference w:id="348"/>
      </w:r>
      <w:r w:rsidR="00482C15" w:rsidRPr="00942F86">
        <w:rPr>
          <w:sz w:val="25"/>
          <w:szCs w:val="25"/>
        </w:rPr>
        <w:t xml:space="preserve">  </w:t>
      </w:r>
      <w:r w:rsidRPr="00942F86">
        <w:rPr>
          <w:sz w:val="25"/>
          <w:szCs w:val="25"/>
        </w:rPr>
        <w:t>Ms. Steward</w:t>
      </w:r>
      <w:r w:rsidR="00482C15" w:rsidRPr="00942F86">
        <w:rPr>
          <w:sz w:val="25"/>
          <w:szCs w:val="25"/>
        </w:rPr>
        <w:t xml:space="preserve"> </w:t>
      </w:r>
      <w:r w:rsidRPr="00942F86">
        <w:rPr>
          <w:sz w:val="25"/>
          <w:szCs w:val="25"/>
        </w:rPr>
        <w:t>testifies that:</w:t>
      </w:r>
    </w:p>
    <w:p w14:paraId="4B6A8600" w14:textId="77777777" w:rsidR="00132A1E" w:rsidRPr="00942F86" w:rsidRDefault="00132A1E" w:rsidP="000455AC">
      <w:pPr>
        <w:spacing w:line="264" w:lineRule="auto"/>
        <w:rPr>
          <w:sz w:val="25"/>
          <w:szCs w:val="25"/>
        </w:rPr>
      </w:pPr>
    </w:p>
    <w:p w14:paraId="4D21FC89" w14:textId="6A4204B8" w:rsidR="00482C15" w:rsidRPr="00942F86" w:rsidRDefault="004615BC" w:rsidP="000455AC">
      <w:pPr>
        <w:spacing w:line="264" w:lineRule="auto"/>
        <w:ind w:left="720" w:right="720"/>
        <w:rPr>
          <w:sz w:val="25"/>
          <w:szCs w:val="25"/>
        </w:rPr>
      </w:pPr>
      <w:r w:rsidRPr="00942F86">
        <w:rPr>
          <w:sz w:val="25"/>
          <w:szCs w:val="25"/>
        </w:rPr>
        <w:t>The Company supports increased transparency in rates and accordingly is willing to work with parties to add greater cost transparency on bills for non-residential customers through unbundled rates.  For residential customer bills, it will be important to incorporate customer education prior to making changes on the bills in order to minimize customer confusion.  As such, any roll out in reflecting unbundled rates on bills will need to be staggered between residential and non-residential customer bills.</w:t>
      </w:r>
      <w:r w:rsidRPr="00942F86">
        <w:rPr>
          <w:rStyle w:val="FootnoteReference"/>
          <w:sz w:val="25"/>
          <w:szCs w:val="25"/>
        </w:rPr>
        <w:footnoteReference w:id="349"/>
      </w:r>
    </w:p>
    <w:p w14:paraId="2BE1EFEF" w14:textId="77777777" w:rsidR="00482C15" w:rsidRPr="00942F86" w:rsidRDefault="00482C15" w:rsidP="000455AC">
      <w:pPr>
        <w:spacing w:line="264" w:lineRule="auto"/>
        <w:rPr>
          <w:sz w:val="25"/>
          <w:szCs w:val="25"/>
        </w:rPr>
      </w:pPr>
    </w:p>
    <w:p w14:paraId="366C8062" w14:textId="43FC6D5F" w:rsidR="004615BC" w:rsidRPr="00942F86" w:rsidRDefault="004615BC" w:rsidP="00FC421A">
      <w:pPr>
        <w:numPr>
          <w:ilvl w:val="0"/>
          <w:numId w:val="1"/>
        </w:numPr>
        <w:tabs>
          <w:tab w:val="clear" w:pos="720"/>
          <w:tab w:val="num" w:pos="0"/>
        </w:tabs>
        <w:spacing w:line="264" w:lineRule="auto"/>
        <w:ind w:left="0"/>
        <w:rPr>
          <w:sz w:val="25"/>
          <w:szCs w:val="25"/>
        </w:rPr>
      </w:pPr>
      <w:r w:rsidRPr="00942F86">
        <w:rPr>
          <w:sz w:val="25"/>
          <w:szCs w:val="25"/>
        </w:rPr>
        <w:t xml:space="preserve">Describing the Company’s concept of unbundling, Ms. Steward testifies that the Company includes the costs for customer services, billing, and meter reading from the </w:t>
      </w:r>
      <w:r w:rsidRPr="00942F86">
        <w:rPr>
          <w:sz w:val="25"/>
          <w:szCs w:val="25"/>
        </w:rPr>
        <w:lastRenderedPageBreak/>
        <w:t>cost of service study in the Distribution category.</w:t>
      </w:r>
      <w:r w:rsidRPr="00942F86">
        <w:rPr>
          <w:rStyle w:val="FootnoteReference"/>
          <w:sz w:val="25"/>
          <w:szCs w:val="25"/>
        </w:rPr>
        <w:footnoteReference w:id="350"/>
      </w:r>
      <w:r w:rsidRPr="00942F86">
        <w:rPr>
          <w:sz w:val="25"/>
          <w:szCs w:val="25"/>
        </w:rPr>
        <w:t xml:space="preserve">  </w:t>
      </w:r>
      <w:r w:rsidR="00F215BE" w:rsidRPr="00942F86">
        <w:rPr>
          <w:sz w:val="25"/>
          <w:szCs w:val="25"/>
        </w:rPr>
        <w:t>She says also that “[t]he type of rate component used—basic charge, demand charge, energy charge—depends on the type of functionalized cost and whether the costs are fixed or variable.”</w:t>
      </w:r>
      <w:r w:rsidR="00F215BE" w:rsidRPr="00942F86">
        <w:rPr>
          <w:rStyle w:val="FootnoteReference"/>
          <w:sz w:val="25"/>
          <w:szCs w:val="25"/>
        </w:rPr>
        <w:footnoteReference w:id="351"/>
      </w:r>
      <w:r w:rsidR="00F215BE" w:rsidRPr="00942F86">
        <w:rPr>
          <w:sz w:val="25"/>
          <w:szCs w:val="25"/>
        </w:rPr>
        <w:t xml:space="preserve">  She explains the implications of this, from the Company’s perspective, in some detail, as follows:</w:t>
      </w:r>
    </w:p>
    <w:p w14:paraId="5B64C593" w14:textId="77777777" w:rsidR="00F215BE" w:rsidRPr="00942F86" w:rsidRDefault="00F215BE" w:rsidP="000455AC">
      <w:pPr>
        <w:spacing w:line="264" w:lineRule="auto"/>
        <w:rPr>
          <w:sz w:val="25"/>
          <w:szCs w:val="25"/>
        </w:rPr>
      </w:pPr>
    </w:p>
    <w:p w14:paraId="52EBC67D" w14:textId="77777777" w:rsidR="00F215BE" w:rsidRPr="00942F86" w:rsidRDefault="00F215BE" w:rsidP="000455AC">
      <w:pPr>
        <w:spacing w:line="264" w:lineRule="auto"/>
        <w:ind w:left="720" w:right="720"/>
        <w:rPr>
          <w:sz w:val="25"/>
          <w:szCs w:val="25"/>
        </w:rPr>
      </w:pPr>
      <w:r w:rsidRPr="00942F86">
        <w:rPr>
          <w:sz w:val="25"/>
          <w:szCs w:val="25"/>
        </w:rPr>
        <w:t xml:space="preserve">Generation is comprised of both fixed (capacity or demand) and variable (energy) costs.  As previously discussed, the cost of service study classifies costs between demand and energy using the west control area </w:t>
      </w:r>
      <w:proofErr w:type="spellStart"/>
      <w:r w:rsidRPr="00942F86">
        <w:rPr>
          <w:sz w:val="25"/>
          <w:szCs w:val="25"/>
        </w:rPr>
        <w:t>SDLF</w:t>
      </w:r>
      <w:proofErr w:type="spellEnd"/>
      <w:r w:rsidRPr="00942F86">
        <w:rPr>
          <w:sz w:val="25"/>
          <w:szCs w:val="25"/>
        </w:rPr>
        <w:t xml:space="preserve">.  Accordingly, the Company proposes to recover these costs through both energy and demand rates.  The variable or net power costs are recovered through energy rates for all rate schedules, which is consistent with cost causation.  While cost causation principles would support recovery of generation fixed costs through demand rates, not all customers currently have the metering capability for demand charges, or three-part rates (i.e., basic charges, demand charges and energy charges).  For these customers, most fixed costs are currently recovered through energy rates.  For the customers that currently do have three-part rates, current demand charges recover only a portion of the fixed generation costs.  As discussed below, the Company is proposing larger increases to demand charges to better reflect cost causation; however, to avoid adverse impacts to low load factor customers, in this case the remainder of the allocated generation fixed costs continue to be recovered through energy charges.  </w:t>
      </w:r>
    </w:p>
    <w:p w14:paraId="3A2A94A2" w14:textId="77777777" w:rsidR="00F215BE" w:rsidRPr="00942F86" w:rsidRDefault="00F215BE" w:rsidP="000455AC">
      <w:pPr>
        <w:spacing w:line="264" w:lineRule="auto"/>
        <w:ind w:left="720" w:right="720"/>
        <w:rPr>
          <w:sz w:val="25"/>
          <w:szCs w:val="25"/>
        </w:rPr>
      </w:pPr>
      <w:r w:rsidRPr="00942F86">
        <w:rPr>
          <w:sz w:val="25"/>
          <w:szCs w:val="25"/>
        </w:rPr>
        <w:t>Transmission costs are associated with the bulk transmission system that brings power from the generation source to the load centers.  Transmission is also comprised of fixed cost and variable costs.  It has been the Commission’s accepted practice to use the same classification methodology as used for generation to determine demand- and energy-related costs in the Transmission function in the cost of service study.  Therefore, the Company proposes to recover these costs through both demand and energy rates for this case in a similar manner as described above for generation costs.</w:t>
      </w:r>
    </w:p>
    <w:p w14:paraId="1C1F9BE7" w14:textId="77777777" w:rsidR="00F215BE" w:rsidRPr="00942F86" w:rsidRDefault="00F215BE" w:rsidP="000455AC">
      <w:pPr>
        <w:spacing w:line="264" w:lineRule="auto"/>
        <w:ind w:left="720" w:right="720"/>
        <w:rPr>
          <w:sz w:val="25"/>
          <w:szCs w:val="25"/>
        </w:rPr>
      </w:pPr>
    </w:p>
    <w:p w14:paraId="45FCAE9A" w14:textId="0E94E1EC" w:rsidR="00F215BE" w:rsidRPr="00942F86" w:rsidRDefault="00F215BE" w:rsidP="000455AC">
      <w:pPr>
        <w:spacing w:line="264" w:lineRule="auto"/>
        <w:ind w:left="720" w:right="720"/>
        <w:rPr>
          <w:sz w:val="25"/>
          <w:szCs w:val="25"/>
        </w:rPr>
      </w:pPr>
      <w:r w:rsidRPr="00942F86">
        <w:rPr>
          <w:sz w:val="25"/>
          <w:szCs w:val="25"/>
        </w:rPr>
        <w:lastRenderedPageBreak/>
        <w:t>Distribution costs (along with retail and miscellaneous) are fixed costs associated with the local facilities necessary to connect and serve individual customers.  Accordingly, these costs should be recovered through the monthly basic charges and load size charges (which are based on demand measurements).  For rate schedules that do not have three-part rates (where demand meters are not available for load size measurements), as described later the Company designed rates in this case to recover half of these costs through the basic charge and half through energy rates.  For all other schedules, the Company proposes to recover these costs through the basic charges and load size charges.</w:t>
      </w:r>
    </w:p>
    <w:p w14:paraId="7B85F2F5" w14:textId="77777777" w:rsidR="004615BC" w:rsidRPr="00942F86" w:rsidRDefault="004615BC" w:rsidP="000455AC">
      <w:pPr>
        <w:spacing w:line="264" w:lineRule="auto"/>
        <w:rPr>
          <w:sz w:val="25"/>
          <w:szCs w:val="25"/>
        </w:rPr>
      </w:pPr>
    </w:p>
    <w:p w14:paraId="410A75EF" w14:textId="2998A3B9" w:rsidR="00482C15" w:rsidRPr="00942F86" w:rsidRDefault="00F215BE" w:rsidP="00FC421A">
      <w:pPr>
        <w:numPr>
          <w:ilvl w:val="0"/>
          <w:numId w:val="1"/>
        </w:numPr>
        <w:tabs>
          <w:tab w:val="clear" w:pos="720"/>
          <w:tab w:val="num" w:pos="0"/>
        </w:tabs>
        <w:spacing w:line="264" w:lineRule="auto"/>
        <w:ind w:left="0"/>
        <w:rPr>
          <w:sz w:val="25"/>
          <w:szCs w:val="25"/>
        </w:rPr>
      </w:pPr>
      <w:r w:rsidRPr="00942F86">
        <w:rPr>
          <w:i/>
          <w:sz w:val="25"/>
          <w:szCs w:val="25"/>
        </w:rPr>
        <w:t xml:space="preserve">Commission Determination:  </w:t>
      </w:r>
      <w:r w:rsidRPr="00942F86">
        <w:rPr>
          <w:sz w:val="25"/>
          <w:szCs w:val="25"/>
        </w:rPr>
        <w:t xml:space="preserve">The Company does not make entirely clear why it is proposing unbundling rates in its tariffs along the lines described, but </w:t>
      </w:r>
      <w:r w:rsidR="002C5C0F" w:rsidRPr="00942F86">
        <w:rPr>
          <w:sz w:val="25"/>
          <w:szCs w:val="25"/>
        </w:rPr>
        <w:t xml:space="preserve">until the proposal is more fully vetted </w:t>
      </w:r>
      <w:r w:rsidRPr="00942F86">
        <w:rPr>
          <w:sz w:val="25"/>
          <w:szCs w:val="25"/>
        </w:rPr>
        <w:t xml:space="preserve">we </w:t>
      </w:r>
      <w:r w:rsidR="002C5C0F" w:rsidRPr="00942F86">
        <w:rPr>
          <w:sz w:val="25"/>
          <w:szCs w:val="25"/>
        </w:rPr>
        <w:t xml:space="preserve">are concerned </w:t>
      </w:r>
      <w:r w:rsidRPr="00942F86">
        <w:rPr>
          <w:sz w:val="25"/>
          <w:szCs w:val="25"/>
        </w:rPr>
        <w:t>that this is a first step in a direction the Commission may not wish to go.  We find interesting, for example, that the Company actually proposes to bundle the costs</w:t>
      </w:r>
      <w:r w:rsidR="002C5C0F" w:rsidRPr="00942F86">
        <w:rPr>
          <w:sz w:val="25"/>
          <w:szCs w:val="25"/>
        </w:rPr>
        <w:t xml:space="preserve"> normally categorized as “direct customer costs”</w:t>
      </w:r>
      <w:r w:rsidRPr="00942F86">
        <w:rPr>
          <w:sz w:val="25"/>
          <w:szCs w:val="25"/>
        </w:rPr>
        <w:t xml:space="preserve"> </w:t>
      </w:r>
      <w:r w:rsidR="002C5C0F" w:rsidRPr="00942F86">
        <w:rPr>
          <w:sz w:val="25"/>
          <w:szCs w:val="25"/>
        </w:rPr>
        <w:t>(</w:t>
      </w:r>
      <w:r w:rsidR="002C5C0F" w:rsidRPr="00942F86">
        <w:rPr>
          <w:i/>
          <w:sz w:val="25"/>
          <w:szCs w:val="25"/>
        </w:rPr>
        <w:t>i.e.,</w:t>
      </w:r>
      <w:r w:rsidR="002C5C0F" w:rsidRPr="00942F86">
        <w:rPr>
          <w:sz w:val="25"/>
          <w:szCs w:val="25"/>
        </w:rPr>
        <w:t xml:space="preserve"> </w:t>
      </w:r>
      <w:r w:rsidRPr="00942F86">
        <w:rPr>
          <w:sz w:val="25"/>
          <w:szCs w:val="25"/>
        </w:rPr>
        <w:t>customer services, billing, and meter reading</w:t>
      </w:r>
      <w:r w:rsidR="002C5C0F" w:rsidRPr="00942F86">
        <w:rPr>
          <w:sz w:val="25"/>
          <w:szCs w:val="25"/>
        </w:rPr>
        <w:t>)</w:t>
      </w:r>
      <w:r w:rsidRPr="00942F86">
        <w:rPr>
          <w:sz w:val="25"/>
          <w:szCs w:val="25"/>
        </w:rPr>
        <w:t xml:space="preserve"> </w:t>
      </w:r>
      <w:r w:rsidR="002C5C0F" w:rsidRPr="00942F86">
        <w:rPr>
          <w:sz w:val="25"/>
          <w:szCs w:val="25"/>
        </w:rPr>
        <w:t xml:space="preserve">in </w:t>
      </w:r>
      <w:r w:rsidRPr="00942F86">
        <w:rPr>
          <w:sz w:val="25"/>
          <w:szCs w:val="25"/>
        </w:rPr>
        <w:t>the cost of service study</w:t>
      </w:r>
      <w:r w:rsidR="002C5C0F" w:rsidRPr="00942F86">
        <w:rPr>
          <w:sz w:val="25"/>
          <w:szCs w:val="25"/>
        </w:rPr>
        <w:t>,</w:t>
      </w:r>
      <w:r w:rsidRPr="00942F86">
        <w:rPr>
          <w:sz w:val="25"/>
          <w:szCs w:val="25"/>
        </w:rPr>
        <w:t xml:space="preserve"> in the </w:t>
      </w:r>
      <w:r w:rsidR="002C5C0F" w:rsidRPr="00942F86">
        <w:rPr>
          <w:sz w:val="25"/>
          <w:szCs w:val="25"/>
        </w:rPr>
        <w:t>“</w:t>
      </w:r>
      <w:r w:rsidRPr="00942F86">
        <w:rPr>
          <w:sz w:val="25"/>
          <w:szCs w:val="25"/>
        </w:rPr>
        <w:t>Distribution</w:t>
      </w:r>
      <w:r w:rsidR="002C5C0F" w:rsidRPr="00942F86">
        <w:rPr>
          <w:sz w:val="25"/>
          <w:szCs w:val="25"/>
        </w:rPr>
        <w:t>”</w:t>
      </w:r>
      <w:r w:rsidRPr="00942F86">
        <w:rPr>
          <w:sz w:val="25"/>
          <w:szCs w:val="25"/>
        </w:rPr>
        <w:t xml:space="preserve"> category.  This is consistent with the Company’s proposal in this case to increase </w:t>
      </w:r>
      <w:r w:rsidR="00590D1F" w:rsidRPr="00942F86">
        <w:rPr>
          <w:sz w:val="25"/>
          <w:szCs w:val="25"/>
        </w:rPr>
        <w:t xml:space="preserve">dramatically </w:t>
      </w:r>
      <w:r w:rsidRPr="00942F86">
        <w:rPr>
          <w:sz w:val="25"/>
          <w:szCs w:val="25"/>
        </w:rPr>
        <w:t xml:space="preserve">the basic charge to residential customers by adding distribution costs to the basic </w:t>
      </w:r>
      <w:r w:rsidR="002C5C0F" w:rsidRPr="00942F86">
        <w:rPr>
          <w:sz w:val="25"/>
          <w:szCs w:val="25"/>
        </w:rPr>
        <w:t xml:space="preserve">charge which </w:t>
      </w:r>
      <w:r w:rsidRPr="00942F86">
        <w:rPr>
          <w:sz w:val="25"/>
          <w:szCs w:val="25"/>
        </w:rPr>
        <w:t xml:space="preserve">ordinarily </w:t>
      </w:r>
      <w:r w:rsidR="002C5C0F" w:rsidRPr="00942F86">
        <w:rPr>
          <w:sz w:val="25"/>
          <w:szCs w:val="25"/>
        </w:rPr>
        <w:t>includes only direct customer costs</w:t>
      </w:r>
      <w:r w:rsidR="0093380E" w:rsidRPr="00942F86">
        <w:rPr>
          <w:sz w:val="25"/>
          <w:szCs w:val="25"/>
        </w:rPr>
        <w:t>.  We</w:t>
      </w:r>
      <w:r w:rsidR="002C5C0F" w:rsidRPr="00942F86">
        <w:rPr>
          <w:sz w:val="25"/>
          <w:szCs w:val="25"/>
        </w:rPr>
        <w:t xml:space="preserve"> earlier</w:t>
      </w:r>
      <w:r w:rsidR="0093380E" w:rsidRPr="00942F86">
        <w:rPr>
          <w:sz w:val="25"/>
          <w:szCs w:val="25"/>
        </w:rPr>
        <w:t xml:space="preserve"> reject </w:t>
      </w:r>
      <w:r w:rsidR="002C5C0F" w:rsidRPr="00942F86">
        <w:rPr>
          <w:sz w:val="25"/>
          <w:szCs w:val="25"/>
        </w:rPr>
        <w:t xml:space="preserve">in this Order </w:t>
      </w:r>
      <w:r w:rsidR="0093380E" w:rsidRPr="00942F86">
        <w:rPr>
          <w:sz w:val="25"/>
          <w:szCs w:val="25"/>
        </w:rPr>
        <w:t>the Company’s proposed increase in the basic charge.  Were we to accept the Company’s unbundling proposal, which in this instance amount</w:t>
      </w:r>
      <w:r w:rsidR="00A46D03" w:rsidRPr="00942F86">
        <w:rPr>
          <w:sz w:val="25"/>
          <w:szCs w:val="25"/>
        </w:rPr>
        <w:t>s instead</w:t>
      </w:r>
      <w:r w:rsidR="0093380E" w:rsidRPr="00942F86">
        <w:rPr>
          <w:sz w:val="25"/>
          <w:szCs w:val="25"/>
        </w:rPr>
        <w:t xml:space="preserve"> to a bundling proposal, this might signal acceptance of the idea that distribution costs are properly recovered in a basic charge.  Looking at other evidence sponsored by the Company, this </w:t>
      </w:r>
      <w:r w:rsidR="002C5C0F" w:rsidRPr="00942F86">
        <w:rPr>
          <w:sz w:val="25"/>
          <w:szCs w:val="25"/>
        </w:rPr>
        <w:t>could</w:t>
      </w:r>
      <w:r w:rsidR="0093380E" w:rsidRPr="00942F86">
        <w:rPr>
          <w:sz w:val="25"/>
          <w:szCs w:val="25"/>
        </w:rPr>
        <w:t xml:space="preserve"> lead to proposals to increase the residential basic charge to $28 and then to $47 so as to recover all fixed costs of distribution to residential customers </w:t>
      </w:r>
      <w:r w:rsidR="002C5C0F" w:rsidRPr="00942F86">
        <w:rPr>
          <w:sz w:val="25"/>
          <w:szCs w:val="25"/>
        </w:rPr>
        <w:t xml:space="preserve">through the </w:t>
      </w:r>
      <w:r w:rsidR="0093380E" w:rsidRPr="00942F86">
        <w:rPr>
          <w:sz w:val="25"/>
          <w:szCs w:val="25"/>
        </w:rPr>
        <w:t xml:space="preserve">basic charges. </w:t>
      </w:r>
      <w:r w:rsidR="00A46D03" w:rsidRPr="00942F86">
        <w:rPr>
          <w:sz w:val="25"/>
          <w:szCs w:val="25"/>
        </w:rPr>
        <w:t xml:space="preserve"> </w:t>
      </w:r>
      <w:r w:rsidR="004D4B97" w:rsidRPr="00942F86">
        <w:rPr>
          <w:sz w:val="25"/>
          <w:szCs w:val="25"/>
        </w:rPr>
        <w:t>As we discuss above</w:t>
      </w:r>
      <w:r w:rsidR="00A46D03" w:rsidRPr="00942F86">
        <w:rPr>
          <w:sz w:val="25"/>
          <w:szCs w:val="25"/>
        </w:rPr>
        <w:t>, a well-developed decoupling mechanism will address any issues the Company may have with respect to recovery of its fixed distribution costs</w:t>
      </w:r>
      <w:r w:rsidR="0093380E" w:rsidRPr="00942F86">
        <w:rPr>
          <w:sz w:val="25"/>
          <w:szCs w:val="25"/>
        </w:rPr>
        <w:t>.</w:t>
      </w:r>
    </w:p>
    <w:p w14:paraId="290496A9" w14:textId="77777777" w:rsidR="0093380E" w:rsidRPr="00942F86" w:rsidRDefault="0093380E" w:rsidP="000455AC">
      <w:pPr>
        <w:spacing w:line="264" w:lineRule="auto"/>
        <w:rPr>
          <w:sz w:val="25"/>
          <w:szCs w:val="25"/>
        </w:rPr>
      </w:pPr>
    </w:p>
    <w:p w14:paraId="120EC1D4" w14:textId="530D43A8" w:rsidR="000E2D91" w:rsidRPr="00942F86" w:rsidRDefault="0093380E" w:rsidP="00FC421A">
      <w:pPr>
        <w:numPr>
          <w:ilvl w:val="0"/>
          <w:numId w:val="1"/>
        </w:numPr>
        <w:tabs>
          <w:tab w:val="clear" w:pos="720"/>
          <w:tab w:val="num" w:pos="0"/>
        </w:tabs>
        <w:spacing w:line="264" w:lineRule="auto"/>
        <w:ind w:left="0"/>
        <w:rPr>
          <w:sz w:val="25"/>
          <w:szCs w:val="25"/>
        </w:rPr>
      </w:pPr>
      <w:r w:rsidRPr="00942F86">
        <w:rPr>
          <w:sz w:val="25"/>
          <w:szCs w:val="25"/>
        </w:rPr>
        <w:t xml:space="preserve">Ms. Steward’s discussion of fixed and variable costs in connection with generation and transmission </w:t>
      </w:r>
      <w:r w:rsidR="00D875B8" w:rsidRPr="00942F86">
        <w:rPr>
          <w:sz w:val="25"/>
          <w:szCs w:val="25"/>
        </w:rPr>
        <w:t>presents similar concerns</w:t>
      </w:r>
      <w:r w:rsidRPr="00942F86">
        <w:rPr>
          <w:sz w:val="25"/>
          <w:szCs w:val="25"/>
        </w:rPr>
        <w:t>.  It appears that in Pacific Power’s view the only barrier</w:t>
      </w:r>
      <w:r w:rsidR="00D875B8" w:rsidRPr="00942F86">
        <w:rPr>
          <w:sz w:val="25"/>
          <w:szCs w:val="25"/>
        </w:rPr>
        <w:t>s</w:t>
      </w:r>
      <w:r w:rsidRPr="00942F86">
        <w:rPr>
          <w:sz w:val="25"/>
          <w:szCs w:val="25"/>
        </w:rPr>
        <w:t xml:space="preserve"> to straight fixed-variable rate design are metering capabilities and three-part rates.  Were we to accept the Company’s unbundling proposal</w:t>
      </w:r>
      <w:r w:rsidR="00D875B8" w:rsidRPr="00942F86">
        <w:rPr>
          <w:sz w:val="25"/>
          <w:szCs w:val="25"/>
        </w:rPr>
        <w:t>,</w:t>
      </w:r>
      <w:r w:rsidRPr="00942F86">
        <w:rPr>
          <w:sz w:val="25"/>
          <w:szCs w:val="25"/>
        </w:rPr>
        <w:t xml:space="preserve"> this might be taken as a signal that the Commission is prepared to move in the direction of such a rate design for all classes of customers.  We are not.</w:t>
      </w:r>
      <w:r w:rsidR="00A46D03" w:rsidRPr="00942F86">
        <w:rPr>
          <w:sz w:val="25"/>
          <w:szCs w:val="25"/>
        </w:rPr>
        <w:t xml:space="preserve">  </w:t>
      </w:r>
    </w:p>
    <w:p w14:paraId="61F6012D" w14:textId="77777777" w:rsidR="0093380E" w:rsidRPr="00942F86" w:rsidRDefault="0093380E" w:rsidP="000455AC">
      <w:pPr>
        <w:pStyle w:val="ListParagraph"/>
        <w:spacing w:line="264" w:lineRule="auto"/>
        <w:rPr>
          <w:sz w:val="25"/>
          <w:szCs w:val="25"/>
        </w:rPr>
      </w:pPr>
    </w:p>
    <w:p w14:paraId="44985B13" w14:textId="7E33A2FF" w:rsidR="002B633D" w:rsidRPr="00942F86" w:rsidRDefault="0093380E" w:rsidP="00FC421A">
      <w:pPr>
        <w:numPr>
          <w:ilvl w:val="0"/>
          <w:numId w:val="1"/>
        </w:numPr>
        <w:tabs>
          <w:tab w:val="clear" w:pos="720"/>
          <w:tab w:val="num" w:pos="0"/>
        </w:tabs>
        <w:spacing w:line="264" w:lineRule="auto"/>
        <w:ind w:left="0"/>
        <w:rPr>
          <w:sz w:val="25"/>
          <w:szCs w:val="25"/>
        </w:rPr>
      </w:pPr>
      <w:r w:rsidRPr="00942F86">
        <w:rPr>
          <w:sz w:val="25"/>
          <w:szCs w:val="25"/>
        </w:rPr>
        <w:lastRenderedPageBreak/>
        <w:t xml:space="preserve">Proposals such as </w:t>
      </w:r>
      <w:r w:rsidR="00D875B8" w:rsidRPr="00942F86">
        <w:rPr>
          <w:sz w:val="25"/>
          <w:szCs w:val="25"/>
        </w:rPr>
        <w:t>these are more effectively considered in separate proceedings or in industry-wide discussions in workshops</w:t>
      </w:r>
      <w:r w:rsidR="00A24AF8" w:rsidRPr="00942F86">
        <w:rPr>
          <w:sz w:val="25"/>
          <w:szCs w:val="25"/>
        </w:rPr>
        <w:t>.  We reject the Company’s proposal to unbundle rates in its tariffs in the fashion described in Ms. Steward’s testimony.</w:t>
      </w:r>
    </w:p>
    <w:p w14:paraId="551575D5" w14:textId="77777777" w:rsidR="00450D93" w:rsidRPr="00942F86" w:rsidRDefault="00450D93" w:rsidP="000455AC">
      <w:pPr>
        <w:pStyle w:val="ListParagraph"/>
        <w:spacing w:line="264" w:lineRule="auto"/>
        <w:rPr>
          <w:sz w:val="25"/>
          <w:szCs w:val="25"/>
        </w:rPr>
      </w:pPr>
    </w:p>
    <w:p w14:paraId="5F1C9A53" w14:textId="4E0F1F44" w:rsidR="00450D93" w:rsidRPr="00942F86" w:rsidRDefault="00815740" w:rsidP="000455AC">
      <w:pPr>
        <w:pStyle w:val="Heading5"/>
        <w:spacing w:before="0" w:after="0" w:line="264" w:lineRule="auto"/>
        <w:rPr>
          <w:b w:val="0"/>
          <w:i w:val="0"/>
          <w:szCs w:val="25"/>
        </w:rPr>
      </w:pPr>
      <w:bookmarkStart w:id="51" w:name="_Toc415037642"/>
      <w:r w:rsidRPr="00942F86">
        <w:rPr>
          <w:szCs w:val="25"/>
        </w:rPr>
        <w:t xml:space="preserve">Tariff Rule </w:t>
      </w:r>
      <w:proofErr w:type="spellStart"/>
      <w:r w:rsidRPr="00942F86">
        <w:rPr>
          <w:szCs w:val="25"/>
        </w:rPr>
        <w:t>11D</w:t>
      </w:r>
      <w:proofErr w:type="spellEnd"/>
      <w:r w:rsidRPr="00942F86">
        <w:rPr>
          <w:szCs w:val="25"/>
        </w:rPr>
        <w:t xml:space="preserve"> and Tariff </w:t>
      </w:r>
      <w:r w:rsidR="00450D93" w:rsidRPr="00942F86">
        <w:rPr>
          <w:szCs w:val="25"/>
        </w:rPr>
        <w:t>Schedule 300</w:t>
      </w:r>
      <w:bookmarkEnd w:id="51"/>
    </w:p>
    <w:p w14:paraId="097FB62B" w14:textId="77777777" w:rsidR="00450D93" w:rsidRPr="00942F86" w:rsidRDefault="00450D93" w:rsidP="000455AC">
      <w:pPr>
        <w:spacing w:line="264" w:lineRule="auto"/>
        <w:rPr>
          <w:sz w:val="25"/>
          <w:szCs w:val="25"/>
        </w:rPr>
      </w:pPr>
    </w:p>
    <w:p w14:paraId="032BA37E" w14:textId="73A7CD38" w:rsidR="00815740" w:rsidRPr="00942F86" w:rsidRDefault="00815740" w:rsidP="00FC421A">
      <w:pPr>
        <w:numPr>
          <w:ilvl w:val="0"/>
          <w:numId w:val="1"/>
        </w:numPr>
        <w:tabs>
          <w:tab w:val="clear" w:pos="720"/>
          <w:tab w:val="num" w:pos="0"/>
        </w:tabs>
        <w:spacing w:line="264" w:lineRule="auto"/>
        <w:ind w:left="0"/>
        <w:rPr>
          <w:sz w:val="25"/>
          <w:szCs w:val="25"/>
        </w:rPr>
      </w:pPr>
      <w:r w:rsidRPr="00942F86">
        <w:rPr>
          <w:sz w:val="25"/>
          <w:szCs w:val="25"/>
        </w:rPr>
        <w:t xml:space="preserve">Pacific Power initially proposed to modify Section B of Rule </w:t>
      </w:r>
      <w:proofErr w:type="spellStart"/>
      <w:r w:rsidRPr="00942F86">
        <w:rPr>
          <w:sz w:val="25"/>
          <w:szCs w:val="25"/>
        </w:rPr>
        <w:t>11D</w:t>
      </w:r>
      <w:proofErr w:type="spellEnd"/>
      <w:r w:rsidRPr="00942F86">
        <w:rPr>
          <w:sz w:val="25"/>
          <w:szCs w:val="25"/>
        </w:rPr>
        <w:t xml:space="preserve">, </w:t>
      </w:r>
      <w:r w:rsidRPr="00942F86">
        <w:rPr>
          <w:i/>
          <w:sz w:val="25"/>
          <w:szCs w:val="25"/>
        </w:rPr>
        <w:t>Field Visit Charge</w:t>
      </w:r>
      <w:r w:rsidRPr="00942F86">
        <w:rPr>
          <w:sz w:val="25"/>
          <w:szCs w:val="25"/>
        </w:rPr>
        <w:t>, by adding language providing that</w:t>
      </w:r>
      <w:r w:rsidR="004D4B97" w:rsidRPr="00942F86">
        <w:rPr>
          <w:sz w:val="25"/>
          <w:szCs w:val="25"/>
        </w:rPr>
        <w:t xml:space="preserve"> the Company may assess</w:t>
      </w:r>
      <w:r w:rsidRPr="00942F86">
        <w:rPr>
          <w:sz w:val="25"/>
          <w:szCs w:val="25"/>
        </w:rPr>
        <w:t xml:space="preserve"> such a charge if an action by a customer during a field visit prevents the Pacific Power employee from disconnecting or reconnecting the customer’s meter.</w:t>
      </w:r>
      <w:r w:rsidRPr="00942F86">
        <w:rPr>
          <w:rStyle w:val="FootnoteReference"/>
          <w:sz w:val="25"/>
          <w:szCs w:val="25"/>
        </w:rPr>
        <w:footnoteReference w:id="352"/>
      </w:r>
      <w:r w:rsidR="00EA7C4A" w:rsidRPr="00942F86">
        <w:rPr>
          <w:sz w:val="25"/>
          <w:szCs w:val="25"/>
        </w:rPr>
        <w:t xml:space="preserve">  In addition, Ms. Coug</w:t>
      </w:r>
      <w:r w:rsidR="009B129B" w:rsidRPr="00942F86">
        <w:rPr>
          <w:sz w:val="25"/>
          <w:szCs w:val="25"/>
        </w:rPr>
        <w:t>h</w:t>
      </w:r>
      <w:r w:rsidR="00EA7C4A" w:rsidRPr="00942F86">
        <w:rPr>
          <w:sz w:val="25"/>
          <w:szCs w:val="25"/>
        </w:rPr>
        <w:t xml:space="preserve">lin’s direct testimony relates that the Company proposed to add language to Rule </w:t>
      </w:r>
      <w:proofErr w:type="spellStart"/>
      <w:r w:rsidR="00EA7C4A" w:rsidRPr="00942F86">
        <w:rPr>
          <w:sz w:val="25"/>
          <w:szCs w:val="25"/>
        </w:rPr>
        <w:t>11D</w:t>
      </w:r>
      <w:proofErr w:type="spellEnd"/>
      <w:r w:rsidR="00EA7C4A" w:rsidRPr="00942F86">
        <w:rPr>
          <w:sz w:val="25"/>
          <w:szCs w:val="25"/>
        </w:rPr>
        <w:t xml:space="preserve"> to specify that individual customers are responsible for paying the collection agency costs associated with the collection of their unpaid debt, rather than having these costs recovered in rates.</w:t>
      </w:r>
    </w:p>
    <w:p w14:paraId="54B93F1D" w14:textId="77777777" w:rsidR="00D31E19" w:rsidRPr="00942F86" w:rsidRDefault="00D31E19" w:rsidP="000455AC">
      <w:pPr>
        <w:spacing w:line="264" w:lineRule="auto"/>
        <w:rPr>
          <w:sz w:val="25"/>
          <w:szCs w:val="25"/>
        </w:rPr>
      </w:pPr>
    </w:p>
    <w:p w14:paraId="61308185" w14:textId="5DF3886A" w:rsidR="00D31E19" w:rsidRPr="00942F86" w:rsidRDefault="00D31E19" w:rsidP="00FC421A">
      <w:pPr>
        <w:numPr>
          <w:ilvl w:val="0"/>
          <w:numId w:val="1"/>
        </w:numPr>
        <w:tabs>
          <w:tab w:val="clear" w:pos="720"/>
          <w:tab w:val="num" w:pos="0"/>
        </w:tabs>
        <w:spacing w:line="264" w:lineRule="auto"/>
        <w:ind w:left="0"/>
        <w:rPr>
          <w:sz w:val="25"/>
          <w:szCs w:val="25"/>
        </w:rPr>
      </w:pPr>
      <w:r w:rsidRPr="00FC421A">
        <w:rPr>
          <w:i/>
          <w:sz w:val="25"/>
          <w:szCs w:val="25"/>
        </w:rPr>
        <w:t>The</w:t>
      </w:r>
      <w:r w:rsidRPr="00942F86">
        <w:rPr>
          <w:sz w:val="25"/>
          <w:szCs w:val="25"/>
        </w:rPr>
        <w:t xml:space="preserve"> Company also proposes that a new charge, Non-Radio-Frequency Meter Accommodation, be added to Schedule 300.  This new charge coincides with the proposed addition of non-radio-frequency meter accommodation language proposed for Rule 8.  The “accommodation” is for customers who wish to have a meter that does not emit radio signals because they have concerns that such meters may affect their health.  Pacific Power proposes to charge a one-time $240 fee, ostensibly to cover installation and removal costs, and $20 per month to have a field employee read the meter.</w:t>
      </w:r>
    </w:p>
    <w:p w14:paraId="56430AAB" w14:textId="1CE5A828" w:rsidR="00D31E19" w:rsidRPr="00942F86" w:rsidRDefault="00D31E19" w:rsidP="000455AC">
      <w:pPr>
        <w:spacing w:line="264" w:lineRule="auto"/>
        <w:rPr>
          <w:sz w:val="25"/>
          <w:szCs w:val="25"/>
        </w:rPr>
      </w:pPr>
      <w:r w:rsidRPr="00942F86">
        <w:rPr>
          <w:sz w:val="25"/>
          <w:szCs w:val="25"/>
        </w:rPr>
        <w:t xml:space="preserve"> </w:t>
      </w:r>
    </w:p>
    <w:p w14:paraId="64FD38E1" w14:textId="4287993A" w:rsidR="00D31E19" w:rsidRPr="00942F86" w:rsidRDefault="00D31E19" w:rsidP="00FC421A">
      <w:pPr>
        <w:numPr>
          <w:ilvl w:val="0"/>
          <w:numId w:val="1"/>
        </w:numPr>
        <w:tabs>
          <w:tab w:val="clear" w:pos="720"/>
          <w:tab w:val="num" w:pos="0"/>
        </w:tabs>
        <w:spacing w:line="264" w:lineRule="auto"/>
        <w:ind w:left="0"/>
        <w:rPr>
          <w:sz w:val="25"/>
          <w:szCs w:val="25"/>
        </w:rPr>
      </w:pPr>
      <w:r w:rsidRPr="00942F86">
        <w:rPr>
          <w:sz w:val="25"/>
          <w:szCs w:val="25"/>
        </w:rPr>
        <w:t xml:space="preserve">In addition, the Company </w:t>
      </w:r>
      <w:r w:rsidR="009B129B" w:rsidRPr="00942F86">
        <w:rPr>
          <w:sz w:val="25"/>
          <w:szCs w:val="25"/>
        </w:rPr>
        <w:t>propose</w:t>
      </w:r>
      <w:r w:rsidR="004D4B97" w:rsidRPr="00942F86">
        <w:rPr>
          <w:sz w:val="25"/>
          <w:szCs w:val="25"/>
        </w:rPr>
        <w:t>s</w:t>
      </w:r>
      <w:r w:rsidR="009B129B" w:rsidRPr="00942F86">
        <w:rPr>
          <w:sz w:val="25"/>
          <w:szCs w:val="25"/>
        </w:rPr>
        <w:t xml:space="preserve"> </w:t>
      </w:r>
      <w:r w:rsidRPr="00942F86">
        <w:rPr>
          <w:sz w:val="25"/>
          <w:szCs w:val="25"/>
        </w:rPr>
        <w:t xml:space="preserve">to modify the amounts for the following charges </w:t>
      </w:r>
      <w:r w:rsidR="009B129B" w:rsidRPr="00942F86">
        <w:rPr>
          <w:sz w:val="25"/>
          <w:szCs w:val="25"/>
        </w:rPr>
        <w:t>“</w:t>
      </w:r>
      <w:r w:rsidRPr="00942F86">
        <w:rPr>
          <w:sz w:val="25"/>
          <w:szCs w:val="25"/>
        </w:rPr>
        <w:t>to more closely align with the Company’s costs to perform the work:</w:t>
      </w:r>
      <w:r w:rsidR="009B129B" w:rsidRPr="00942F86">
        <w:rPr>
          <w:sz w:val="25"/>
          <w:szCs w:val="25"/>
        </w:rPr>
        <w:t>”</w:t>
      </w:r>
      <w:r w:rsidR="009B129B" w:rsidRPr="00942F86">
        <w:rPr>
          <w:rStyle w:val="FootnoteReference"/>
          <w:sz w:val="25"/>
          <w:szCs w:val="25"/>
        </w:rPr>
        <w:footnoteReference w:id="353"/>
      </w:r>
    </w:p>
    <w:p w14:paraId="3A2643AC" w14:textId="77777777" w:rsidR="00752AA2" w:rsidRPr="00942F86" w:rsidRDefault="00752AA2" w:rsidP="000455AC">
      <w:pPr>
        <w:spacing w:line="264" w:lineRule="auto"/>
        <w:rPr>
          <w:sz w:val="25"/>
          <w:szCs w:val="25"/>
        </w:rPr>
      </w:pPr>
    </w:p>
    <w:p w14:paraId="617C0C1E" w14:textId="77777777" w:rsidR="00D31E19" w:rsidRPr="00942F86" w:rsidRDefault="00D31E19" w:rsidP="00E05A86">
      <w:pPr>
        <w:numPr>
          <w:ilvl w:val="0"/>
          <w:numId w:val="23"/>
        </w:numPr>
        <w:spacing w:line="264" w:lineRule="auto"/>
        <w:ind w:left="720"/>
        <w:rPr>
          <w:sz w:val="25"/>
          <w:szCs w:val="25"/>
        </w:rPr>
      </w:pPr>
      <w:r w:rsidRPr="00942F86">
        <w:rPr>
          <w:sz w:val="25"/>
          <w:szCs w:val="25"/>
        </w:rPr>
        <w:t>Connection Charge</w:t>
      </w:r>
    </w:p>
    <w:p w14:paraId="617C08AA" w14:textId="77777777" w:rsidR="00752AA2" w:rsidRPr="00942F86" w:rsidRDefault="00752AA2" w:rsidP="000455AC">
      <w:pPr>
        <w:pStyle w:val="ListParagraph"/>
        <w:spacing w:line="264" w:lineRule="auto"/>
        <w:ind w:left="1440"/>
        <w:rPr>
          <w:sz w:val="25"/>
          <w:szCs w:val="25"/>
        </w:rPr>
      </w:pPr>
    </w:p>
    <w:p w14:paraId="6EE9C8D1" w14:textId="77777777" w:rsidR="00D31E19" w:rsidRDefault="00D31E19" w:rsidP="00E05A86">
      <w:pPr>
        <w:numPr>
          <w:ilvl w:val="0"/>
          <w:numId w:val="23"/>
        </w:numPr>
        <w:spacing w:line="264" w:lineRule="auto"/>
        <w:ind w:left="720"/>
        <w:rPr>
          <w:sz w:val="25"/>
          <w:szCs w:val="25"/>
        </w:rPr>
      </w:pPr>
      <w:r w:rsidRPr="00942F86">
        <w:rPr>
          <w:sz w:val="25"/>
          <w:szCs w:val="25"/>
        </w:rPr>
        <w:t>Reconnection Charge</w:t>
      </w:r>
    </w:p>
    <w:p w14:paraId="7DD81D60" w14:textId="77777777" w:rsidR="00ED2C13" w:rsidRPr="00ED2C13" w:rsidRDefault="00ED2C13" w:rsidP="00ED2C13">
      <w:pPr>
        <w:spacing w:line="264" w:lineRule="auto"/>
        <w:ind w:right="720"/>
        <w:rPr>
          <w:sz w:val="25"/>
          <w:szCs w:val="25"/>
        </w:rPr>
      </w:pPr>
    </w:p>
    <w:p w14:paraId="19C9E5AD" w14:textId="77777777" w:rsidR="00D31E19" w:rsidRPr="00942F86" w:rsidRDefault="00D31E19" w:rsidP="00E05A86">
      <w:pPr>
        <w:numPr>
          <w:ilvl w:val="0"/>
          <w:numId w:val="23"/>
        </w:numPr>
        <w:spacing w:line="264" w:lineRule="auto"/>
        <w:ind w:left="720"/>
        <w:rPr>
          <w:sz w:val="25"/>
          <w:szCs w:val="25"/>
        </w:rPr>
      </w:pPr>
      <w:r w:rsidRPr="00942F86">
        <w:rPr>
          <w:sz w:val="25"/>
          <w:szCs w:val="25"/>
        </w:rPr>
        <w:t>Unauthorized Reconnection/Tampering Charge</w:t>
      </w:r>
    </w:p>
    <w:p w14:paraId="3C5BB1E0" w14:textId="77777777" w:rsidR="00752AA2" w:rsidRPr="00942F86" w:rsidRDefault="00752AA2" w:rsidP="000455AC">
      <w:pPr>
        <w:pStyle w:val="ListParagraph"/>
        <w:spacing w:line="264" w:lineRule="auto"/>
        <w:ind w:left="1440"/>
        <w:rPr>
          <w:sz w:val="25"/>
          <w:szCs w:val="25"/>
        </w:rPr>
      </w:pPr>
    </w:p>
    <w:p w14:paraId="656AFEAE" w14:textId="717CD91D" w:rsidR="00D31E19" w:rsidRPr="00942F86" w:rsidRDefault="00D31E19" w:rsidP="00E05A86">
      <w:pPr>
        <w:numPr>
          <w:ilvl w:val="0"/>
          <w:numId w:val="23"/>
        </w:numPr>
        <w:spacing w:line="264" w:lineRule="auto"/>
        <w:ind w:left="720"/>
        <w:rPr>
          <w:sz w:val="25"/>
          <w:szCs w:val="25"/>
        </w:rPr>
      </w:pPr>
      <w:r w:rsidRPr="00942F86">
        <w:rPr>
          <w:sz w:val="25"/>
          <w:szCs w:val="25"/>
        </w:rPr>
        <w:t>Facilities Charge</w:t>
      </w:r>
    </w:p>
    <w:p w14:paraId="1846D9F0" w14:textId="77777777" w:rsidR="00EA7C4A" w:rsidRPr="00942F86" w:rsidRDefault="00EA7C4A" w:rsidP="000455AC">
      <w:pPr>
        <w:spacing w:line="264" w:lineRule="auto"/>
        <w:rPr>
          <w:sz w:val="25"/>
          <w:szCs w:val="25"/>
        </w:rPr>
      </w:pPr>
    </w:p>
    <w:p w14:paraId="5F926D24" w14:textId="4FD43092" w:rsidR="00C37E9E" w:rsidRPr="00942F86" w:rsidRDefault="00C37E9E" w:rsidP="00FC421A">
      <w:pPr>
        <w:numPr>
          <w:ilvl w:val="0"/>
          <w:numId w:val="1"/>
        </w:numPr>
        <w:tabs>
          <w:tab w:val="clear" w:pos="720"/>
          <w:tab w:val="num" w:pos="0"/>
        </w:tabs>
        <w:spacing w:line="264" w:lineRule="auto"/>
        <w:ind w:left="0"/>
        <w:rPr>
          <w:sz w:val="25"/>
          <w:szCs w:val="25"/>
        </w:rPr>
      </w:pPr>
      <w:r w:rsidRPr="00942F86">
        <w:rPr>
          <w:sz w:val="25"/>
          <w:szCs w:val="25"/>
        </w:rPr>
        <w:lastRenderedPageBreak/>
        <w:t xml:space="preserve">Ms. Steward testified for the Company on </w:t>
      </w:r>
      <w:r w:rsidR="008F4EB7" w:rsidRPr="00942F86">
        <w:rPr>
          <w:sz w:val="25"/>
          <w:szCs w:val="25"/>
        </w:rPr>
        <w:t>rebuttal</w:t>
      </w:r>
      <w:r w:rsidRPr="00942F86">
        <w:rPr>
          <w:sz w:val="25"/>
          <w:szCs w:val="25"/>
        </w:rPr>
        <w:t xml:space="preserve"> that:</w:t>
      </w:r>
    </w:p>
    <w:p w14:paraId="222C6DBA" w14:textId="77777777" w:rsidR="00C37E9E" w:rsidRPr="00942F86" w:rsidRDefault="00C37E9E" w:rsidP="000455AC">
      <w:pPr>
        <w:spacing w:line="264" w:lineRule="auto"/>
        <w:rPr>
          <w:sz w:val="25"/>
          <w:szCs w:val="25"/>
        </w:rPr>
      </w:pPr>
    </w:p>
    <w:p w14:paraId="78D564D3" w14:textId="0B48934A" w:rsidR="008F4EB7" w:rsidRPr="00942F86" w:rsidRDefault="00C37E9E" w:rsidP="000455AC">
      <w:pPr>
        <w:spacing w:line="264" w:lineRule="auto"/>
        <w:ind w:left="1440" w:right="720"/>
        <w:rPr>
          <w:sz w:val="25"/>
          <w:szCs w:val="25"/>
        </w:rPr>
      </w:pPr>
      <w:r w:rsidRPr="00942F86">
        <w:rPr>
          <w:bCs/>
          <w:sz w:val="25"/>
          <w:szCs w:val="25"/>
        </w:rPr>
        <w:t xml:space="preserve">In response to concerns raised by the parties, the Company is willing to withdraw its proposal for the Collection Agency to charge the customer as reflected in the changes proposed for Rule </w:t>
      </w:r>
      <w:proofErr w:type="spellStart"/>
      <w:r w:rsidRPr="00942F86">
        <w:rPr>
          <w:bCs/>
          <w:sz w:val="25"/>
          <w:szCs w:val="25"/>
        </w:rPr>
        <w:t>11D</w:t>
      </w:r>
      <w:proofErr w:type="spellEnd"/>
      <w:r w:rsidRPr="00942F86">
        <w:rPr>
          <w:bCs/>
          <w:sz w:val="25"/>
          <w:szCs w:val="25"/>
        </w:rPr>
        <w:t xml:space="preserve">, its proposal for changes to the Field Visit Charge language in Rule </w:t>
      </w:r>
      <w:proofErr w:type="spellStart"/>
      <w:r w:rsidRPr="00942F86">
        <w:rPr>
          <w:bCs/>
          <w:sz w:val="25"/>
          <w:szCs w:val="25"/>
        </w:rPr>
        <w:t>11D</w:t>
      </w:r>
      <w:proofErr w:type="spellEnd"/>
      <w:r w:rsidRPr="00942F86">
        <w:rPr>
          <w:bCs/>
          <w:sz w:val="25"/>
          <w:szCs w:val="25"/>
        </w:rPr>
        <w:t xml:space="preserve">, and its proposal to increase the Connection Charge and Reconnection Charge.  In doing so, an adjustment of $83,324 to increase revenue requirement is being made. </w:t>
      </w:r>
      <w:r w:rsidR="008F4EB7" w:rsidRPr="00942F86">
        <w:rPr>
          <w:rStyle w:val="FootnoteReference"/>
          <w:sz w:val="25"/>
          <w:szCs w:val="25"/>
        </w:rPr>
        <w:footnoteReference w:id="354"/>
      </w:r>
    </w:p>
    <w:p w14:paraId="2D89FC39" w14:textId="77777777" w:rsidR="008F4EB7" w:rsidRPr="00942F86" w:rsidRDefault="008F4EB7" w:rsidP="000455AC">
      <w:pPr>
        <w:spacing w:line="264" w:lineRule="auto"/>
        <w:rPr>
          <w:sz w:val="25"/>
          <w:szCs w:val="25"/>
        </w:rPr>
      </w:pPr>
    </w:p>
    <w:p w14:paraId="219DDD11" w14:textId="04AE222F" w:rsidR="008F4EB7" w:rsidRPr="00942F86" w:rsidRDefault="008F4EB7" w:rsidP="00FC421A">
      <w:pPr>
        <w:numPr>
          <w:ilvl w:val="0"/>
          <w:numId w:val="1"/>
        </w:numPr>
        <w:tabs>
          <w:tab w:val="clear" w:pos="720"/>
          <w:tab w:val="num" w:pos="0"/>
        </w:tabs>
        <w:spacing w:line="264" w:lineRule="auto"/>
        <w:ind w:left="0"/>
        <w:rPr>
          <w:sz w:val="25"/>
          <w:szCs w:val="25"/>
        </w:rPr>
      </w:pPr>
      <w:r w:rsidRPr="00942F86">
        <w:rPr>
          <w:sz w:val="25"/>
          <w:szCs w:val="25"/>
        </w:rPr>
        <w:t xml:space="preserve">The </w:t>
      </w:r>
      <w:r w:rsidR="007D108D" w:rsidRPr="00942F86">
        <w:rPr>
          <w:sz w:val="25"/>
          <w:szCs w:val="25"/>
        </w:rPr>
        <w:t xml:space="preserve">Company </w:t>
      </w:r>
      <w:r w:rsidRPr="00942F86">
        <w:rPr>
          <w:sz w:val="25"/>
          <w:szCs w:val="25"/>
        </w:rPr>
        <w:t>continues to support the following proposed charges in Schedule 300:</w:t>
      </w:r>
      <w:r w:rsidRPr="00942F86">
        <w:rPr>
          <w:rStyle w:val="FootnoteReference"/>
          <w:sz w:val="25"/>
          <w:szCs w:val="25"/>
        </w:rPr>
        <w:footnoteReference w:id="355"/>
      </w:r>
      <w:r w:rsidRPr="00942F86">
        <w:rPr>
          <w:sz w:val="25"/>
          <w:szCs w:val="25"/>
        </w:rPr>
        <w:t xml:space="preserve">  </w:t>
      </w:r>
    </w:p>
    <w:p w14:paraId="3689CB0F" w14:textId="6DCB86B3" w:rsidR="00752AA2" w:rsidRPr="00942F86" w:rsidRDefault="00752AA2" w:rsidP="000455AC">
      <w:pPr>
        <w:spacing w:line="264" w:lineRule="auto"/>
        <w:jc w:val="center"/>
        <w:rPr>
          <w:b/>
          <w:sz w:val="25"/>
          <w:szCs w:val="25"/>
        </w:rPr>
      </w:pPr>
    </w:p>
    <w:p w14:paraId="2D720C6E" w14:textId="2F0116A5" w:rsidR="004476E1" w:rsidRPr="00942F86" w:rsidRDefault="00F820E5" w:rsidP="000455AC">
      <w:pPr>
        <w:spacing w:line="264" w:lineRule="auto"/>
        <w:jc w:val="center"/>
        <w:rPr>
          <w:b/>
          <w:sz w:val="25"/>
          <w:szCs w:val="25"/>
        </w:rPr>
      </w:pPr>
      <w:r w:rsidRPr="00942F86">
        <w:rPr>
          <w:b/>
          <w:sz w:val="25"/>
          <w:szCs w:val="25"/>
        </w:rPr>
        <w:t>Proposed Changes to Schedule 300</w:t>
      </w:r>
    </w:p>
    <w:tbl>
      <w:tblPr>
        <w:tblStyle w:val="TableGrid"/>
        <w:tblW w:w="9725" w:type="dxa"/>
        <w:jc w:val="center"/>
        <w:tblLook w:val="04A0" w:firstRow="1" w:lastRow="0" w:firstColumn="1" w:lastColumn="0" w:noHBand="0" w:noVBand="1"/>
      </w:tblPr>
      <w:tblGrid>
        <w:gridCol w:w="5770"/>
        <w:gridCol w:w="1080"/>
        <w:gridCol w:w="2875"/>
      </w:tblGrid>
      <w:tr w:rsidR="00A26940" w:rsidRPr="00942F86" w14:paraId="7C8682F0" w14:textId="77777777" w:rsidTr="00E05A86">
        <w:trPr>
          <w:jc w:val="center"/>
        </w:trPr>
        <w:tc>
          <w:tcPr>
            <w:tcW w:w="5770" w:type="dxa"/>
          </w:tcPr>
          <w:p w14:paraId="0A5E3B3A" w14:textId="77777777" w:rsidR="008F4EB7" w:rsidRPr="00942F86" w:rsidRDefault="008F4EB7" w:rsidP="000455AC">
            <w:pPr>
              <w:spacing w:line="264" w:lineRule="auto"/>
              <w:jc w:val="center"/>
              <w:rPr>
                <w:b/>
                <w:sz w:val="25"/>
                <w:szCs w:val="25"/>
              </w:rPr>
            </w:pPr>
            <w:r w:rsidRPr="00942F86">
              <w:rPr>
                <w:b/>
                <w:sz w:val="25"/>
                <w:szCs w:val="25"/>
              </w:rPr>
              <w:t>Schedule 300 (Note 1)</w:t>
            </w:r>
          </w:p>
        </w:tc>
        <w:tc>
          <w:tcPr>
            <w:tcW w:w="1080" w:type="dxa"/>
          </w:tcPr>
          <w:p w14:paraId="5C12D99D" w14:textId="77777777" w:rsidR="008F4EB7" w:rsidRPr="00942F86" w:rsidRDefault="008F4EB7" w:rsidP="000455AC">
            <w:pPr>
              <w:spacing w:line="264" w:lineRule="auto"/>
              <w:jc w:val="center"/>
              <w:rPr>
                <w:sz w:val="25"/>
                <w:szCs w:val="25"/>
              </w:rPr>
            </w:pPr>
            <w:r w:rsidRPr="00942F86">
              <w:rPr>
                <w:sz w:val="25"/>
                <w:szCs w:val="25"/>
              </w:rPr>
              <w:t>Existing</w:t>
            </w:r>
          </w:p>
        </w:tc>
        <w:tc>
          <w:tcPr>
            <w:tcW w:w="2875" w:type="dxa"/>
          </w:tcPr>
          <w:p w14:paraId="5A33490E" w14:textId="77777777" w:rsidR="008F4EB7" w:rsidRPr="00942F86" w:rsidRDefault="008F4EB7" w:rsidP="000455AC">
            <w:pPr>
              <w:spacing w:line="264" w:lineRule="auto"/>
              <w:jc w:val="center"/>
              <w:rPr>
                <w:sz w:val="25"/>
                <w:szCs w:val="25"/>
              </w:rPr>
            </w:pPr>
            <w:r w:rsidRPr="00942F86">
              <w:rPr>
                <w:sz w:val="25"/>
                <w:szCs w:val="25"/>
              </w:rPr>
              <w:t>Proposed</w:t>
            </w:r>
          </w:p>
        </w:tc>
      </w:tr>
      <w:tr w:rsidR="00A26940" w:rsidRPr="00942F86" w14:paraId="2C05C2DE" w14:textId="77777777" w:rsidTr="00E05A86">
        <w:trPr>
          <w:jc w:val="center"/>
        </w:trPr>
        <w:tc>
          <w:tcPr>
            <w:tcW w:w="5770" w:type="dxa"/>
          </w:tcPr>
          <w:p w14:paraId="4F5A1DC2" w14:textId="77777777" w:rsidR="008F4EB7" w:rsidRPr="00942F86" w:rsidRDefault="008F4EB7" w:rsidP="000455AC">
            <w:pPr>
              <w:spacing w:line="264" w:lineRule="auto"/>
              <w:rPr>
                <w:sz w:val="25"/>
                <w:szCs w:val="25"/>
              </w:rPr>
            </w:pPr>
            <w:r w:rsidRPr="00942F86">
              <w:rPr>
                <w:sz w:val="25"/>
                <w:szCs w:val="25"/>
              </w:rPr>
              <w:t>Rule 8:  Non-Radio Frequency Meter Charge (new charge)</w:t>
            </w:r>
            <w:r w:rsidRPr="00942F86">
              <w:rPr>
                <w:rStyle w:val="FootnoteReference"/>
                <w:sz w:val="25"/>
                <w:szCs w:val="25"/>
              </w:rPr>
              <w:footnoteReference w:id="356"/>
            </w:r>
          </w:p>
        </w:tc>
        <w:tc>
          <w:tcPr>
            <w:tcW w:w="1080" w:type="dxa"/>
          </w:tcPr>
          <w:p w14:paraId="4F347CF5" w14:textId="77777777" w:rsidR="008F4EB7" w:rsidRPr="00942F86" w:rsidRDefault="008F4EB7" w:rsidP="000455AC">
            <w:pPr>
              <w:spacing w:line="264" w:lineRule="auto"/>
              <w:jc w:val="center"/>
              <w:rPr>
                <w:sz w:val="25"/>
                <w:szCs w:val="25"/>
              </w:rPr>
            </w:pPr>
            <w:r w:rsidRPr="00942F86">
              <w:rPr>
                <w:sz w:val="25"/>
                <w:szCs w:val="25"/>
              </w:rPr>
              <w:t>N/A</w:t>
            </w:r>
          </w:p>
        </w:tc>
        <w:tc>
          <w:tcPr>
            <w:tcW w:w="2875" w:type="dxa"/>
          </w:tcPr>
          <w:p w14:paraId="6923715E" w14:textId="77777777" w:rsidR="00E05A86" w:rsidRDefault="008F4EB7" w:rsidP="00E05A86">
            <w:pPr>
              <w:spacing w:line="264" w:lineRule="auto"/>
              <w:jc w:val="center"/>
              <w:rPr>
                <w:sz w:val="25"/>
                <w:szCs w:val="25"/>
              </w:rPr>
            </w:pPr>
            <w:r w:rsidRPr="00942F86">
              <w:rPr>
                <w:sz w:val="25"/>
                <w:szCs w:val="25"/>
              </w:rPr>
              <w:t xml:space="preserve">$240 </w:t>
            </w:r>
          </w:p>
          <w:p w14:paraId="4D1EA752" w14:textId="0FC118DD" w:rsidR="008F4EB7" w:rsidRPr="00942F86" w:rsidRDefault="008F4EB7" w:rsidP="00E05A86">
            <w:pPr>
              <w:spacing w:line="264" w:lineRule="auto"/>
              <w:jc w:val="center"/>
              <w:rPr>
                <w:sz w:val="25"/>
                <w:szCs w:val="25"/>
              </w:rPr>
            </w:pPr>
            <w:r w:rsidRPr="00942F86">
              <w:rPr>
                <w:sz w:val="25"/>
                <w:szCs w:val="25"/>
              </w:rPr>
              <w:t>(+ $20/ month)</w:t>
            </w:r>
          </w:p>
        </w:tc>
      </w:tr>
      <w:tr w:rsidR="00A26940" w:rsidRPr="00942F86" w14:paraId="1330B236" w14:textId="77777777" w:rsidTr="00E05A86">
        <w:trPr>
          <w:jc w:val="center"/>
        </w:trPr>
        <w:tc>
          <w:tcPr>
            <w:tcW w:w="5770" w:type="dxa"/>
          </w:tcPr>
          <w:p w14:paraId="74117C76" w14:textId="77777777" w:rsidR="008F4EB7" w:rsidRPr="00942F86" w:rsidRDefault="008F4EB7" w:rsidP="000455AC">
            <w:pPr>
              <w:spacing w:line="264" w:lineRule="auto"/>
              <w:rPr>
                <w:sz w:val="25"/>
                <w:szCs w:val="25"/>
              </w:rPr>
            </w:pPr>
            <w:r w:rsidRPr="00942F86">
              <w:rPr>
                <w:sz w:val="25"/>
                <w:szCs w:val="25"/>
              </w:rPr>
              <w:t>Tampering/Unauthorized Reconnection Charge</w:t>
            </w:r>
            <w:r w:rsidRPr="00942F86">
              <w:rPr>
                <w:rStyle w:val="FootnoteReference"/>
                <w:sz w:val="25"/>
                <w:szCs w:val="25"/>
              </w:rPr>
              <w:footnoteReference w:id="357"/>
            </w:r>
          </w:p>
        </w:tc>
        <w:tc>
          <w:tcPr>
            <w:tcW w:w="1080" w:type="dxa"/>
          </w:tcPr>
          <w:p w14:paraId="5DE0B573" w14:textId="77777777" w:rsidR="008F4EB7" w:rsidRPr="00942F86" w:rsidRDefault="008F4EB7" w:rsidP="000455AC">
            <w:pPr>
              <w:spacing w:line="264" w:lineRule="auto"/>
              <w:jc w:val="center"/>
              <w:rPr>
                <w:sz w:val="25"/>
                <w:szCs w:val="25"/>
              </w:rPr>
            </w:pPr>
            <w:r w:rsidRPr="00942F86">
              <w:rPr>
                <w:sz w:val="25"/>
                <w:szCs w:val="25"/>
              </w:rPr>
              <w:t>$75</w:t>
            </w:r>
          </w:p>
        </w:tc>
        <w:tc>
          <w:tcPr>
            <w:tcW w:w="2875" w:type="dxa"/>
          </w:tcPr>
          <w:p w14:paraId="109DDCEA" w14:textId="77777777" w:rsidR="008F4EB7" w:rsidRPr="00942F86" w:rsidRDefault="008F4EB7" w:rsidP="000455AC">
            <w:pPr>
              <w:spacing w:line="264" w:lineRule="auto"/>
              <w:jc w:val="center"/>
              <w:rPr>
                <w:sz w:val="25"/>
                <w:szCs w:val="25"/>
              </w:rPr>
            </w:pPr>
            <w:r w:rsidRPr="00942F86">
              <w:rPr>
                <w:sz w:val="25"/>
                <w:szCs w:val="25"/>
              </w:rPr>
              <w:t>$110</w:t>
            </w:r>
          </w:p>
        </w:tc>
      </w:tr>
      <w:tr w:rsidR="00A26940" w:rsidRPr="00942F86" w14:paraId="6809A16B" w14:textId="77777777" w:rsidTr="00E05A86">
        <w:trPr>
          <w:jc w:val="center"/>
        </w:trPr>
        <w:tc>
          <w:tcPr>
            <w:tcW w:w="5770" w:type="dxa"/>
          </w:tcPr>
          <w:p w14:paraId="4E3173BE" w14:textId="77777777" w:rsidR="008F4EB7" w:rsidRPr="00942F86" w:rsidRDefault="008F4EB7" w:rsidP="000455AC">
            <w:pPr>
              <w:spacing w:line="264" w:lineRule="auto"/>
              <w:rPr>
                <w:sz w:val="25"/>
                <w:szCs w:val="25"/>
              </w:rPr>
            </w:pPr>
            <w:r w:rsidRPr="00942F86">
              <w:rPr>
                <w:sz w:val="25"/>
                <w:szCs w:val="25"/>
              </w:rPr>
              <w:t>Line Extension Facilities Charge (company’s exp.)</w:t>
            </w:r>
            <w:r w:rsidRPr="00942F86">
              <w:rPr>
                <w:rStyle w:val="FootnoteReference"/>
                <w:sz w:val="25"/>
                <w:szCs w:val="25"/>
              </w:rPr>
              <w:t xml:space="preserve"> </w:t>
            </w:r>
            <w:r w:rsidRPr="00942F86">
              <w:rPr>
                <w:rStyle w:val="FootnoteReference"/>
                <w:sz w:val="25"/>
                <w:szCs w:val="25"/>
              </w:rPr>
              <w:footnoteReference w:id="358"/>
            </w:r>
          </w:p>
        </w:tc>
        <w:tc>
          <w:tcPr>
            <w:tcW w:w="1080" w:type="dxa"/>
          </w:tcPr>
          <w:p w14:paraId="5A322DB8" w14:textId="77777777" w:rsidR="008F4EB7" w:rsidRPr="00942F86" w:rsidRDefault="008F4EB7" w:rsidP="000455AC">
            <w:pPr>
              <w:spacing w:line="264" w:lineRule="auto"/>
              <w:jc w:val="center"/>
              <w:rPr>
                <w:sz w:val="25"/>
                <w:szCs w:val="25"/>
              </w:rPr>
            </w:pPr>
            <w:r w:rsidRPr="00942F86">
              <w:rPr>
                <w:sz w:val="25"/>
                <w:szCs w:val="25"/>
              </w:rPr>
              <w:t>1.67%</w:t>
            </w:r>
          </w:p>
        </w:tc>
        <w:tc>
          <w:tcPr>
            <w:tcW w:w="2875" w:type="dxa"/>
          </w:tcPr>
          <w:p w14:paraId="5210C2AF" w14:textId="77777777" w:rsidR="008F4EB7" w:rsidRPr="00942F86" w:rsidRDefault="008F4EB7" w:rsidP="000455AC">
            <w:pPr>
              <w:spacing w:line="264" w:lineRule="auto"/>
              <w:jc w:val="center"/>
              <w:rPr>
                <w:sz w:val="25"/>
                <w:szCs w:val="25"/>
              </w:rPr>
            </w:pPr>
            <w:r w:rsidRPr="00942F86">
              <w:rPr>
                <w:sz w:val="25"/>
                <w:szCs w:val="25"/>
              </w:rPr>
              <w:t>1.20%</w:t>
            </w:r>
          </w:p>
        </w:tc>
      </w:tr>
      <w:tr w:rsidR="00A26940" w:rsidRPr="00942F86" w14:paraId="240707C3" w14:textId="77777777" w:rsidTr="00E05A86">
        <w:trPr>
          <w:jc w:val="center"/>
        </w:trPr>
        <w:tc>
          <w:tcPr>
            <w:tcW w:w="5770" w:type="dxa"/>
          </w:tcPr>
          <w:p w14:paraId="54826AA6" w14:textId="77777777" w:rsidR="008F4EB7" w:rsidRPr="00942F86" w:rsidRDefault="008F4EB7" w:rsidP="000455AC">
            <w:pPr>
              <w:spacing w:line="264" w:lineRule="auto"/>
              <w:rPr>
                <w:sz w:val="25"/>
                <w:szCs w:val="25"/>
              </w:rPr>
            </w:pPr>
            <w:r w:rsidRPr="00942F86">
              <w:rPr>
                <w:sz w:val="25"/>
                <w:szCs w:val="25"/>
              </w:rPr>
              <w:t>Line Extension Facilities Charge (customer’s exp.)</w:t>
            </w:r>
          </w:p>
        </w:tc>
        <w:tc>
          <w:tcPr>
            <w:tcW w:w="1080" w:type="dxa"/>
          </w:tcPr>
          <w:p w14:paraId="2A4247E9" w14:textId="77777777" w:rsidR="008F4EB7" w:rsidRPr="00942F86" w:rsidRDefault="008F4EB7" w:rsidP="000455AC">
            <w:pPr>
              <w:spacing w:line="264" w:lineRule="auto"/>
              <w:jc w:val="center"/>
              <w:rPr>
                <w:sz w:val="25"/>
                <w:szCs w:val="25"/>
              </w:rPr>
            </w:pPr>
            <w:r w:rsidRPr="00942F86">
              <w:rPr>
                <w:sz w:val="25"/>
                <w:szCs w:val="25"/>
              </w:rPr>
              <w:t>0.67%</w:t>
            </w:r>
          </w:p>
        </w:tc>
        <w:tc>
          <w:tcPr>
            <w:tcW w:w="2875" w:type="dxa"/>
          </w:tcPr>
          <w:p w14:paraId="4BCD74CF" w14:textId="77777777" w:rsidR="008F4EB7" w:rsidRPr="00942F86" w:rsidRDefault="008F4EB7" w:rsidP="000455AC">
            <w:pPr>
              <w:spacing w:line="264" w:lineRule="auto"/>
              <w:jc w:val="center"/>
              <w:rPr>
                <w:sz w:val="25"/>
                <w:szCs w:val="25"/>
              </w:rPr>
            </w:pPr>
            <w:r w:rsidRPr="00942F86">
              <w:rPr>
                <w:sz w:val="25"/>
                <w:szCs w:val="25"/>
              </w:rPr>
              <w:t>0.60%</w:t>
            </w:r>
          </w:p>
        </w:tc>
      </w:tr>
      <w:tr w:rsidR="00A26940" w:rsidRPr="00942F86" w14:paraId="541BD01C" w14:textId="77777777" w:rsidTr="00E05A86">
        <w:trPr>
          <w:jc w:val="center"/>
        </w:trPr>
        <w:tc>
          <w:tcPr>
            <w:tcW w:w="5770" w:type="dxa"/>
          </w:tcPr>
          <w:p w14:paraId="3CC18028" w14:textId="77777777" w:rsidR="008F4EB7" w:rsidRPr="00942F86" w:rsidRDefault="008F4EB7" w:rsidP="000455AC">
            <w:pPr>
              <w:spacing w:line="264" w:lineRule="auto"/>
              <w:rPr>
                <w:sz w:val="25"/>
                <w:szCs w:val="25"/>
              </w:rPr>
            </w:pPr>
            <w:r w:rsidRPr="00942F86">
              <w:rPr>
                <w:sz w:val="25"/>
                <w:szCs w:val="25"/>
              </w:rPr>
              <w:t>Transmission Facilities Charge (company’s exp.)</w:t>
            </w:r>
          </w:p>
        </w:tc>
        <w:tc>
          <w:tcPr>
            <w:tcW w:w="1080" w:type="dxa"/>
          </w:tcPr>
          <w:p w14:paraId="665E60D6" w14:textId="77777777" w:rsidR="008F4EB7" w:rsidRPr="00942F86" w:rsidRDefault="008F4EB7" w:rsidP="000455AC">
            <w:pPr>
              <w:spacing w:line="264" w:lineRule="auto"/>
              <w:jc w:val="center"/>
              <w:rPr>
                <w:sz w:val="25"/>
                <w:szCs w:val="25"/>
              </w:rPr>
            </w:pPr>
            <w:r w:rsidRPr="00942F86">
              <w:rPr>
                <w:sz w:val="25"/>
                <w:szCs w:val="25"/>
              </w:rPr>
              <w:t>0%</w:t>
            </w:r>
          </w:p>
        </w:tc>
        <w:tc>
          <w:tcPr>
            <w:tcW w:w="2875" w:type="dxa"/>
          </w:tcPr>
          <w:p w14:paraId="4DB5D792" w14:textId="77777777" w:rsidR="008F4EB7" w:rsidRPr="00942F86" w:rsidRDefault="008F4EB7" w:rsidP="000455AC">
            <w:pPr>
              <w:spacing w:line="264" w:lineRule="auto"/>
              <w:jc w:val="center"/>
              <w:rPr>
                <w:sz w:val="25"/>
                <w:szCs w:val="25"/>
              </w:rPr>
            </w:pPr>
            <w:r w:rsidRPr="00942F86">
              <w:rPr>
                <w:sz w:val="25"/>
                <w:szCs w:val="25"/>
              </w:rPr>
              <w:t>0.90%</w:t>
            </w:r>
          </w:p>
        </w:tc>
      </w:tr>
      <w:tr w:rsidR="00A26940" w:rsidRPr="00942F86" w14:paraId="445AAAFA" w14:textId="77777777" w:rsidTr="00E05A86">
        <w:trPr>
          <w:jc w:val="center"/>
        </w:trPr>
        <w:tc>
          <w:tcPr>
            <w:tcW w:w="5770" w:type="dxa"/>
          </w:tcPr>
          <w:p w14:paraId="4A0B945E" w14:textId="77777777" w:rsidR="008F4EB7" w:rsidRPr="00942F86" w:rsidRDefault="008F4EB7" w:rsidP="000455AC">
            <w:pPr>
              <w:spacing w:line="264" w:lineRule="auto"/>
              <w:rPr>
                <w:sz w:val="25"/>
                <w:szCs w:val="25"/>
              </w:rPr>
            </w:pPr>
            <w:r w:rsidRPr="00942F86">
              <w:rPr>
                <w:sz w:val="25"/>
                <w:szCs w:val="25"/>
              </w:rPr>
              <w:t>Transmission Facilities Charge (customer’s exp.)</w:t>
            </w:r>
          </w:p>
        </w:tc>
        <w:tc>
          <w:tcPr>
            <w:tcW w:w="1080" w:type="dxa"/>
          </w:tcPr>
          <w:p w14:paraId="3947BDF4" w14:textId="77777777" w:rsidR="008F4EB7" w:rsidRPr="00942F86" w:rsidRDefault="008F4EB7" w:rsidP="000455AC">
            <w:pPr>
              <w:spacing w:line="264" w:lineRule="auto"/>
              <w:jc w:val="center"/>
              <w:rPr>
                <w:sz w:val="25"/>
                <w:szCs w:val="25"/>
              </w:rPr>
            </w:pPr>
            <w:r w:rsidRPr="00942F86">
              <w:rPr>
                <w:sz w:val="25"/>
                <w:szCs w:val="25"/>
              </w:rPr>
              <w:t>0%</w:t>
            </w:r>
          </w:p>
        </w:tc>
        <w:tc>
          <w:tcPr>
            <w:tcW w:w="2875" w:type="dxa"/>
          </w:tcPr>
          <w:p w14:paraId="104F1163" w14:textId="77777777" w:rsidR="008F4EB7" w:rsidRPr="00942F86" w:rsidRDefault="008F4EB7" w:rsidP="000455AC">
            <w:pPr>
              <w:spacing w:line="264" w:lineRule="auto"/>
              <w:jc w:val="center"/>
              <w:rPr>
                <w:sz w:val="25"/>
                <w:szCs w:val="25"/>
              </w:rPr>
            </w:pPr>
            <w:r w:rsidRPr="00942F86">
              <w:rPr>
                <w:sz w:val="25"/>
                <w:szCs w:val="25"/>
              </w:rPr>
              <w:t>0.30%</w:t>
            </w:r>
          </w:p>
        </w:tc>
      </w:tr>
    </w:tbl>
    <w:p w14:paraId="655E1282" w14:textId="546FE94D" w:rsidR="008F4EB7" w:rsidRPr="00942F86" w:rsidRDefault="008F4EB7" w:rsidP="000455AC">
      <w:pPr>
        <w:spacing w:line="264" w:lineRule="auto"/>
        <w:rPr>
          <w:sz w:val="25"/>
          <w:szCs w:val="25"/>
        </w:rPr>
      </w:pPr>
      <w:r w:rsidRPr="00942F86">
        <w:rPr>
          <w:sz w:val="25"/>
          <w:szCs w:val="25"/>
        </w:rPr>
        <w:tab/>
        <w:t xml:space="preserve"> (Note: Facilities charges are percentages of installed costs per month.)</w:t>
      </w:r>
      <w:r w:rsidRPr="00942F86">
        <w:rPr>
          <w:sz w:val="25"/>
          <w:szCs w:val="25"/>
        </w:rPr>
        <w:tab/>
      </w:r>
    </w:p>
    <w:p w14:paraId="64F8EF53" w14:textId="77777777" w:rsidR="008F4EB7" w:rsidRPr="00942F86" w:rsidRDefault="008F4EB7" w:rsidP="000455AC">
      <w:pPr>
        <w:spacing w:line="264" w:lineRule="auto"/>
        <w:rPr>
          <w:sz w:val="25"/>
          <w:szCs w:val="25"/>
        </w:rPr>
      </w:pPr>
    </w:p>
    <w:p w14:paraId="7294FC94" w14:textId="2BE12368" w:rsidR="007D108D" w:rsidRPr="00942F86" w:rsidRDefault="007D108D" w:rsidP="000455AC">
      <w:pPr>
        <w:spacing w:line="264" w:lineRule="auto"/>
        <w:rPr>
          <w:sz w:val="25"/>
          <w:szCs w:val="25"/>
        </w:rPr>
      </w:pPr>
      <w:r w:rsidRPr="00942F86">
        <w:rPr>
          <w:sz w:val="25"/>
          <w:szCs w:val="25"/>
        </w:rPr>
        <w:lastRenderedPageBreak/>
        <w:t xml:space="preserve">Staff witness Roger Kouchi and Public Counsel </w:t>
      </w:r>
      <w:proofErr w:type="gramStart"/>
      <w:r w:rsidRPr="00942F86">
        <w:rPr>
          <w:sz w:val="25"/>
          <w:szCs w:val="25"/>
        </w:rPr>
        <w:t>witness</w:t>
      </w:r>
      <w:proofErr w:type="gramEnd"/>
      <w:r w:rsidRPr="00942F86">
        <w:rPr>
          <w:sz w:val="25"/>
          <w:szCs w:val="25"/>
        </w:rPr>
        <w:t xml:space="preserve"> Stefanie Johnson provided detailed testimony contesting the Company’s proposed increases to connection and reconnection charges and changes to Rule </w:t>
      </w:r>
      <w:proofErr w:type="spellStart"/>
      <w:r w:rsidRPr="00942F86">
        <w:rPr>
          <w:sz w:val="25"/>
          <w:szCs w:val="25"/>
        </w:rPr>
        <w:t>11D</w:t>
      </w:r>
      <w:proofErr w:type="spellEnd"/>
      <w:r w:rsidRPr="00942F86">
        <w:rPr>
          <w:sz w:val="25"/>
          <w:szCs w:val="25"/>
        </w:rPr>
        <w:t xml:space="preserve"> that the Company withdrew.  Although they do not address specifically the proposed new charge and fee modifications </w:t>
      </w:r>
      <w:r w:rsidR="00DF1609" w:rsidRPr="00942F86">
        <w:rPr>
          <w:sz w:val="25"/>
          <w:szCs w:val="25"/>
        </w:rPr>
        <w:t xml:space="preserve">in </w:t>
      </w:r>
      <w:r w:rsidR="00F820E5" w:rsidRPr="00942F86">
        <w:rPr>
          <w:sz w:val="25"/>
          <w:szCs w:val="25"/>
        </w:rPr>
        <w:t>Table 6</w:t>
      </w:r>
      <w:r w:rsidRPr="00942F86">
        <w:rPr>
          <w:sz w:val="25"/>
          <w:szCs w:val="25"/>
        </w:rPr>
        <w:t xml:space="preserve">, both witnesses recommend that the Commission reject the entire </w:t>
      </w:r>
      <w:r w:rsidR="00DF1609" w:rsidRPr="00942F86">
        <w:rPr>
          <w:sz w:val="25"/>
          <w:szCs w:val="25"/>
        </w:rPr>
        <w:t>A</w:t>
      </w:r>
      <w:r w:rsidRPr="00942F86">
        <w:rPr>
          <w:sz w:val="25"/>
          <w:szCs w:val="25"/>
        </w:rPr>
        <w:t>djustment 3.8 associated with Schedule 300 because Pacific Power failed to provide a detailed assessment of how these increases would impact low-income customers.</w:t>
      </w:r>
      <w:r w:rsidRPr="00942F86">
        <w:rPr>
          <w:sz w:val="25"/>
          <w:szCs w:val="25"/>
          <w:vertAlign w:val="superscript"/>
        </w:rPr>
        <w:footnoteReference w:id="359"/>
      </w:r>
    </w:p>
    <w:p w14:paraId="58AAB984" w14:textId="77777777" w:rsidR="007D108D" w:rsidRPr="00942F86" w:rsidRDefault="007D108D" w:rsidP="000455AC">
      <w:pPr>
        <w:spacing w:line="264" w:lineRule="auto"/>
        <w:rPr>
          <w:sz w:val="25"/>
          <w:szCs w:val="25"/>
        </w:rPr>
      </w:pPr>
    </w:p>
    <w:p w14:paraId="3C5B848E" w14:textId="63ABBECD" w:rsidR="002A4D41" w:rsidRPr="00942F86" w:rsidRDefault="007D108D"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w:t>
      </w:r>
      <w:r w:rsidR="008F4EB7" w:rsidRPr="00942F86">
        <w:rPr>
          <w:sz w:val="25"/>
          <w:szCs w:val="25"/>
        </w:rPr>
        <w:t xml:space="preserve"> Pacific Power used the same method to calculate the unauthorized reconnection / tampering charge as it did to calculate the reconnection / connection charges </w:t>
      </w:r>
      <w:r w:rsidR="00DF1609" w:rsidRPr="00942F86">
        <w:rPr>
          <w:sz w:val="25"/>
          <w:szCs w:val="25"/>
        </w:rPr>
        <w:t>that it withdrew</w:t>
      </w:r>
      <w:r w:rsidR="008F4EB7" w:rsidRPr="00942F86">
        <w:rPr>
          <w:sz w:val="25"/>
          <w:szCs w:val="25"/>
        </w:rPr>
        <w:t xml:space="preserve">.  </w:t>
      </w:r>
      <w:r w:rsidR="00DF1609" w:rsidRPr="00942F86">
        <w:rPr>
          <w:sz w:val="25"/>
          <w:szCs w:val="25"/>
        </w:rPr>
        <w:t>Moreover, the magnitude of the proposed change, a nearly 50 percent increase, is similarly significant.  If approved, the proposed fee would be the highest in any of PacifiCorp’s service territories.</w:t>
      </w:r>
      <w:r w:rsidR="00DF1609" w:rsidRPr="00942F86">
        <w:rPr>
          <w:sz w:val="25"/>
          <w:szCs w:val="25"/>
          <w:vertAlign w:val="superscript"/>
        </w:rPr>
        <w:footnoteReference w:id="360"/>
      </w:r>
      <w:r w:rsidR="008F4EB7" w:rsidRPr="00942F86">
        <w:rPr>
          <w:sz w:val="25"/>
          <w:szCs w:val="25"/>
        </w:rPr>
        <w:t xml:space="preserve"> </w:t>
      </w:r>
      <w:r w:rsidR="00D60008" w:rsidRPr="00942F86">
        <w:rPr>
          <w:sz w:val="25"/>
          <w:szCs w:val="25"/>
        </w:rPr>
        <w:t xml:space="preserve"> </w:t>
      </w:r>
      <w:r w:rsidR="000016C1" w:rsidRPr="00942F86">
        <w:rPr>
          <w:sz w:val="25"/>
          <w:szCs w:val="25"/>
        </w:rPr>
        <w:t xml:space="preserve">We are concerned, too, that </w:t>
      </w:r>
      <w:r w:rsidR="008F4EB7" w:rsidRPr="00942F86">
        <w:rPr>
          <w:sz w:val="25"/>
          <w:szCs w:val="25"/>
        </w:rPr>
        <w:t xml:space="preserve">Pacific Power failed to provide an assessment of how this fee increase would impact low-income customers. </w:t>
      </w:r>
      <w:r w:rsidR="00D60008" w:rsidRPr="00942F86">
        <w:rPr>
          <w:sz w:val="25"/>
          <w:szCs w:val="25"/>
        </w:rPr>
        <w:t xml:space="preserve"> Thus, w</w:t>
      </w:r>
      <w:r w:rsidR="000016C1" w:rsidRPr="00942F86">
        <w:rPr>
          <w:sz w:val="25"/>
          <w:szCs w:val="25"/>
        </w:rPr>
        <w:t xml:space="preserve">e reject the Company’s proposed increase to the unauthorized reconnection / tampering charge for these reasons.  </w:t>
      </w:r>
    </w:p>
    <w:p w14:paraId="01CA826D" w14:textId="4EC3A5F3" w:rsidR="008F4EB7" w:rsidRPr="00942F86" w:rsidRDefault="008F4EB7" w:rsidP="000455AC">
      <w:pPr>
        <w:spacing w:line="264" w:lineRule="auto"/>
        <w:rPr>
          <w:sz w:val="25"/>
          <w:szCs w:val="25"/>
        </w:rPr>
      </w:pPr>
    </w:p>
    <w:p w14:paraId="23148FE2" w14:textId="36AACB79" w:rsidR="000016C1" w:rsidRPr="00942F86" w:rsidRDefault="000016C1" w:rsidP="00FC421A">
      <w:pPr>
        <w:numPr>
          <w:ilvl w:val="0"/>
          <w:numId w:val="1"/>
        </w:numPr>
        <w:tabs>
          <w:tab w:val="clear" w:pos="720"/>
          <w:tab w:val="num" w:pos="0"/>
        </w:tabs>
        <w:spacing w:line="264" w:lineRule="auto"/>
        <w:ind w:left="0"/>
        <w:rPr>
          <w:sz w:val="25"/>
          <w:szCs w:val="25"/>
        </w:rPr>
      </w:pPr>
      <w:r w:rsidRPr="00942F86">
        <w:rPr>
          <w:sz w:val="25"/>
          <w:szCs w:val="25"/>
        </w:rPr>
        <w:t xml:space="preserve">We also reject Pacific Power’s proposed reduction to the distribution facilities charge and new </w:t>
      </w:r>
      <w:r w:rsidR="00A83462" w:rsidRPr="00942F86">
        <w:rPr>
          <w:sz w:val="25"/>
          <w:szCs w:val="25"/>
        </w:rPr>
        <w:t xml:space="preserve">facilities </w:t>
      </w:r>
      <w:r w:rsidRPr="00942F86">
        <w:rPr>
          <w:sz w:val="25"/>
          <w:szCs w:val="25"/>
        </w:rPr>
        <w:t>charge for transmission facilities.  These charges are based on financial models</w:t>
      </w:r>
      <w:r w:rsidR="00A83462" w:rsidRPr="00942F86">
        <w:rPr>
          <w:sz w:val="25"/>
          <w:szCs w:val="25"/>
        </w:rPr>
        <w:t>,</w:t>
      </w:r>
      <w:r w:rsidRPr="00942F86">
        <w:rPr>
          <w:sz w:val="25"/>
          <w:szCs w:val="25"/>
        </w:rPr>
        <w:t xml:space="preserve"> but Ms. Coughlin’s testimony fails to provide adequate support for the cost assumptions used.</w:t>
      </w:r>
      <w:r w:rsidRPr="00942F86">
        <w:rPr>
          <w:rStyle w:val="FootnoteReference"/>
          <w:sz w:val="25"/>
          <w:szCs w:val="25"/>
        </w:rPr>
        <w:footnoteReference w:id="361"/>
      </w:r>
      <w:r w:rsidRPr="00942F86">
        <w:rPr>
          <w:sz w:val="25"/>
          <w:szCs w:val="25"/>
        </w:rPr>
        <w:t xml:space="preserve">  Ms. Coughlin’s calculation</w:t>
      </w:r>
      <w:r w:rsidR="00A83462" w:rsidRPr="00942F86">
        <w:rPr>
          <w:sz w:val="25"/>
          <w:szCs w:val="25"/>
        </w:rPr>
        <w:t>s</w:t>
      </w:r>
      <w:r w:rsidRPr="00942F86">
        <w:rPr>
          <w:sz w:val="25"/>
          <w:szCs w:val="25"/>
        </w:rPr>
        <w:t>, for example, include a combined Federal and State Income rate, despite the fact that Washington does not have state income tax.</w:t>
      </w:r>
      <w:r w:rsidRPr="00942F86">
        <w:rPr>
          <w:rStyle w:val="FootnoteReference"/>
          <w:sz w:val="25"/>
          <w:szCs w:val="25"/>
        </w:rPr>
        <w:footnoteReference w:id="362"/>
      </w:r>
      <w:r w:rsidRPr="00942F86">
        <w:rPr>
          <w:sz w:val="25"/>
          <w:szCs w:val="25"/>
        </w:rPr>
        <w:t xml:space="preserve">  The record does not include sufficient evidence to support approval of the proposed change in the distribution facilities charge </w:t>
      </w:r>
      <w:r w:rsidR="00A83462" w:rsidRPr="00942F86">
        <w:rPr>
          <w:sz w:val="25"/>
          <w:szCs w:val="25"/>
        </w:rPr>
        <w:t>or</w:t>
      </w:r>
      <w:r w:rsidRPr="00942F86">
        <w:rPr>
          <w:sz w:val="25"/>
          <w:szCs w:val="25"/>
        </w:rPr>
        <w:t xml:space="preserve"> the new transmission facilities charge.</w:t>
      </w:r>
    </w:p>
    <w:p w14:paraId="36987175" w14:textId="77777777" w:rsidR="000016C1" w:rsidRPr="00942F86" w:rsidRDefault="000016C1" w:rsidP="000455AC">
      <w:pPr>
        <w:spacing w:line="264" w:lineRule="auto"/>
        <w:rPr>
          <w:sz w:val="25"/>
          <w:szCs w:val="25"/>
        </w:rPr>
      </w:pPr>
    </w:p>
    <w:p w14:paraId="2D6D3040" w14:textId="08A4F52C" w:rsidR="008F4EB7" w:rsidRPr="00942F86" w:rsidRDefault="000016C1" w:rsidP="00FC421A">
      <w:pPr>
        <w:numPr>
          <w:ilvl w:val="0"/>
          <w:numId w:val="1"/>
        </w:numPr>
        <w:tabs>
          <w:tab w:val="clear" w:pos="720"/>
          <w:tab w:val="num" w:pos="0"/>
        </w:tabs>
        <w:spacing w:line="264" w:lineRule="auto"/>
        <w:ind w:left="0"/>
        <w:rPr>
          <w:sz w:val="25"/>
          <w:szCs w:val="25"/>
        </w:rPr>
      </w:pPr>
      <w:r w:rsidRPr="00942F86">
        <w:rPr>
          <w:sz w:val="25"/>
          <w:szCs w:val="25"/>
        </w:rPr>
        <w:t>Although it is a close call, we will accept</w:t>
      </w:r>
      <w:r w:rsidR="00A83462" w:rsidRPr="00942F86">
        <w:rPr>
          <w:sz w:val="25"/>
          <w:szCs w:val="25"/>
        </w:rPr>
        <w:t>,</w:t>
      </w:r>
      <w:r w:rsidRPr="00942F86">
        <w:rPr>
          <w:sz w:val="25"/>
          <w:szCs w:val="25"/>
        </w:rPr>
        <w:t xml:space="preserve"> for purposes of this case</w:t>
      </w:r>
      <w:r w:rsidR="00A83462" w:rsidRPr="00942F86">
        <w:rPr>
          <w:sz w:val="25"/>
          <w:szCs w:val="25"/>
        </w:rPr>
        <w:t>,</w:t>
      </w:r>
      <w:r w:rsidR="008F4EB7" w:rsidRPr="00942F86">
        <w:rPr>
          <w:sz w:val="25"/>
          <w:szCs w:val="25"/>
        </w:rPr>
        <w:t xml:space="preserve"> the proposed new fee for a Non-Radio Frequency Meter Charge.</w:t>
      </w:r>
      <w:r w:rsidR="00A83462" w:rsidRPr="00942F86">
        <w:rPr>
          <w:sz w:val="25"/>
          <w:szCs w:val="25"/>
        </w:rPr>
        <w:t xml:space="preserve">  We allow the fees principally because they are linked to a new service that some customers may wish to have available.  </w:t>
      </w:r>
      <w:r w:rsidR="008F4EB7" w:rsidRPr="00942F86">
        <w:rPr>
          <w:sz w:val="25"/>
          <w:szCs w:val="25"/>
        </w:rPr>
        <w:t xml:space="preserve">Ms. </w:t>
      </w:r>
      <w:r w:rsidR="008F4EB7" w:rsidRPr="00942F86">
        <w:rPr>
          <w:sz w:val="25"/>
          <w:szCs w:val="25"/>
        </w:rPr>
        <w:lastRenderedPageBreak/>
        <w:t>Coughlin’s testimony</w:t>
      </w:r>
      <w:r w:rsidR="00A83462" w:rsidRPr="00942F86">
        <w:rPr>
          <w:sz w:val="25"/>
          <w:szCs w:val="25"/>
        </w:rPr>
        <w:t>, however,</w:t>
      </w:r>
      <w:r w:rsidR="008F4EB7" w:rsidRPr="00942F86">
        <w:rPr>
          <w:sz w:val="25"/>
          <w:szCs w:val="25"/>
        </w:rPr>
        <w:t xml:space="preserve"> </w:t>
      </w:r>
      <w:r w:rsidRPr="00942F86">
        <w:rPr>
          <w:sz w:val="25"/>
          <w:szCs w:val="25"/>
        </w:rPr>
        <w:t>fall</w:t>
      </w:r>
      <w:r w:rsidR="00A83462" w:rsidRPr="00942F86">
        <w:rPr>
          <w:sz w:val="25"/>
          <w:szCs w:val="25"/>
        </w:rPr>
        <w:t>s</w:t>
      </w:r>
      <w:r w:rsidRPr="00942F86">
        <w:rPr>
          <w:sz w:val="25"/>
          <w:szCs w:val="25"/>
        </w:rPr>
        <w:t xml:space="preserve"> short of</w:t>
      </w:r>
      <w:r w:rsidR="008F4EB7" w:rsidRPr="00942F86">
        <w:rPr>
          <w:sz w:val="25"/>
          <w:szCs w:val="25"/>
        </w:rPr>
        <w:t xml:space="preserve"> </w:t>
      </w:r>
      <w:r w:rsidRPr="00942F86">
        <w:rPr>
          <w:sz w:val="25"/>
          <w:szCs w:val="25"/>
        </w:rPr>
        <w:t xml:space="preserve">demonstrating to our full satisfaction </w:t>
      </w:r>
      <w:r w:rsidR="008F4EB7" w:rsidRPr="00942F86">
        <w:rPr>
          <w:sz w:val="25"/>
          <w:szCs w:val="25"/>
        </w:rPr>
        <w:t>that the proposed fee</w:t>
      </w:r>
      <w:r w:rsidR="00A83462" w:rsidRPr="00942F86">
        <w:rPr>
          <w:sz w:val="25"/>
          <w:szCs w:val="25"/>
        </w:rPr>
        <w:t>s</w:t>
      </w:r>
      <w:r w:rsidR="008F4EB7" w:rsidRPr="00942F86">
        <w:rPr>
          <w:sz w:val="25"/>
          <w:szCs w:val="25"/>
        </w:rPr>
        <w:t xml:space="preserve"> </w:t>
      </w:r>
      <w:r w:rsidR="00A83462" w:rsidRPr="00942F86">
        <w:rPr>
          <w:sz w:val="25"/>
          <w:szCs w:val="25"/>
        </w:rPr>
        <w:t xml:space="preserve">are </w:t>
      </w:r>
      <w:r w:rsidR="008F4EB7" w:rsidRPr="00942F86">
        <w:rPr>
          <w:sz w:val="25"/>
          <w:szCs w:val="25"/>
        </w:rPr>
        <w:t xml:space="preserve">reasonable.  </w:t>
      </w:r>
      <w:r w:rsidRPr="00942F86">
        <w:rPr>
          <w:sz w:val="25"/>
          <w:szCs w:val="25"/>
        </w:rPr>
        <w:t>It appears from</w:t>
      </w:r>
      <w:r w:rsidR="008F4EB7" w:rsidRPr="00942F86">
        <w:rPr>
          <w:sz w:val="25"/>
          <w:szCs w:val="25"/>
        </w:rPr>
        <w:t xml:space="preserve"> her testimony</w:t>
      </w:r>
      <w:r w:rsidR="00D60008" w:rsidRPr="00942F86">
        <w:rPr>
          <w:sz w:val="25"/>
          <w:szCs w:val="25"/>
        </w:rPr>
        <w:t xml:space="preserve"> that</w:t>
      </w:r>
      <w:r w:rsidR="008F4EB7" w:rsidRPr="00942F86">
        <w:rPr>
          <w:sz w:val="25"/>
          <w:szCs w:val="25"/>
        </w:rPr>
        <w:t xml:space="preserve"> Company personnel </w:t>
      </w:r>
      <w:r w:rsidR="00A1694E" w:rsidRPr="00942F86">
        <w:rPr>
          <w:sz w:val="25"/>
          <w:szCs w:val="25"/>
        </w:rPr>
        <w:t xml:space="preserve">will </w:t>
      </w:r>
      <w:r w:rsidR="008F4EB7" w:rsidRPr="00942F86">
        <w:rPr>
          <w:sz w:val="25"/>
          <w:szCs w:val="25"/>
        </w:rPr>
        <w:t>not perform this work efficiently.</w:t>
      </w:r>
      <w:r w:rsidR="008F4EB7" w:rsidRPr="00942F86">
        <w:rPr>
          <w:rStyle w:val="FootnoteReference"/>
          <w:sz w:val="25"/>
          <w:szCs w:val="25"/>
        </w:rPr>
        <w:footnoteReference w:id="363"/>
      </w:r>
      <w:r w:rsidR="008F4EB7" w:rsidRPr="00942F86">
        <w:rPr>
          <w:sz w:val="25"/>
          <w:szCs w:val="25"/>
        </w:rPr>
        <w:t xml:space="preserve">  </w:t>
      </w:r>
      <w:r w:rsidRPr="00942F86">
        <w:rPr>
          <w:sz w:val="25"/>
          <w:szCs w:val="25"/>
        </w:rPr>
        <w:t>In addition, t</w:t>
      </w:r>
      <w:r w:rsidR="008F4EB7" w:rsidRPr="00942F86">
        <w:rPr>
          <w:sz w:val="25"/>
          <w:szCs w:val="25"/>
        </w:rPr>
        <w:t>he proposed fee</w:t>
      </w:r>
      <w:r w:rsidR="00A83462" w:rsidRPr="00942F86">
        <w:rPr>
          <w:sz w:val="25"/>
          <w:szCs w:val="25"/>
        </w:rPr>
        <w:t xml:space="preserve"> does not compare favorably with significantly lower fees for the same service</w:t>
      </w:r>
      <w:r w:rsidR="008F4EB7" w:rsidRPr="00942F86">
        <w:rPr>
          <w:sz w:val="25"/>
          <w:szCs w:val="25"/>
        </w:rPr>
        <w:t xml:space="preserve"> in other jurisdictions.</w:t>
      </w:r>
      <w:r w:rsidR="008F4EB7" w:rsidRPr="00942F86">
        <w:rPr>
          <w:rStyle w:val="FootnoteReference"/>
          <w:sz w:val="25"/>
          <w:szCs w:val="25"/>
        </w:rPr>
        <w:footnoteReference w:id="364"/>
      </w:r>
      <w:r w:rsidR="008F4EB7" w:rsidRPr="00942F86">
        <w:rPr>
          <w:sz w:val="25"/>
          <w:szCs w:val="25"/>
        </w:rPr>
        <w:t xml:space="preserve">  </w:t>
      </w:r>
      <w:r w:rsidR="00A83462" w:rsidRPr="00942F86">
        <w:rPr>
          <w:sz w:val="25"/>
          <w:szCs w:val="25"/>
        </w:rPr>
        <w:t xml:space="preserve">The bases for these fees </w:t>
      </w:r>
      <w:r w:rsidR="008F4EB7" w:rsidRPr="00942F86">
        <w:rPr>
          <w:sz w:val="25"/>
          <w:szCs w:val="25"/>
        </w:rPr>
        <w:t>warrant further investigation</w:t>
      </w:r>
      <w:r w:rsidR="00A83462" w:rsidRPr="00942F86">
        <w:rPr>
          <w:sz w:val="25"/>
          <w:szCs w:val="25"/>
        </w:rPr>
        <w:t xml:space="preserve">  and we expect to see a more fully developed record in the Company’s next general rate case.  We also expect our Staff to investigate</w:t>
      </w:r>
      <w:r w:rsidR="00D60008" w:rsidRPr="00942F86">
        <w:rPr>
          <w:sz w:val="25"/>
          <w:szCs w:val="25"/>
        </w:rPr>
        <w:t xml:space="preserve"> fully the bases and support for</w:t>
      </w:r>
      <w:r w:rsidR="00A83462" w:rsidRPr="00942F86">
        <w:rPr>
          <w:sz w:val="25"/>
          <w:szCs w:val="25"/>
        </w:rPr>
        <w:t xml:space="preserve"> this </w:t>
      </w:r>
      <w:r w:rsidR="00D60008" w:rsidRPr="00942F86">
        <w:rPr>
          <w:sz w:val="25"/>
          <w:szCs w:val="25"/>
        </w:rPr>
        <w:t>charge.</w:t>
      </w:r>
    </w:p>
    <w:p w14:paraId="50E0C225" w14:textId="77777777" w:rsidR="008F4EB7" w:rsidRPr="00BC50E0" w:rsidRDefault="008F4EB7" w:rsidP="000455AC">
      <w:pPr>
        <w:spacing w:line="264" w:lineRule="auto"/>
        <w:rPr>
          <w:sz w:val="25"/>
          <w:szCs w:val="25"/>
        </w:rPr>
      </w:pPr>
    </w:p>
    <w:p w14:paraId="2B9368CC" w14:textId="1F643615" w:rsidR="00715BD7" w:rsidRPr="00942F86" w:rsidRDefault="00D3242A" w:rsidP="000455AC">
      <w:pPr>
        <w:pStyle w:val="Heading3"/>
        <w:spacing w:before="0" w:after="0"/>
        <w:rPr>
          <w:rFonts w:cs="Times New Roman"/>
        </w:rPr>
      </w:pPr>
      <w:bookmarkStart w:id="52" w:name="_Toc415037643"/>
      <w:bookmarkEnd w:id="37"/>
      <w:bookmarkEnd w:id="38"/>
      <w:r w:rsidRPr="00942F86">
        <w:rPr>
          <w:rFonts w:cs="Times New Roman"/>
        </w:rPr>
        <w:t>Low</w:t>
      </w:r>
      <w:r w:rsidR="00F73869" w:rsidRPr="00942F86">
        <w:rPr>
          <w:rFonts w:cs="Times New Roman"/>
        </w:rPr>
        <w:t>-</w:t>
      </w:r>
      <w:r w:rsidRPr="00942F86">
        <w:rPr>
          <w:rFonts w:cs="Times New Roman"/>
        </w:rPr>
        <w:t>Income Bill Assistance</w:t>
      </w:r>
      <w:r w:rsidR="00D875B8" w:rsidRPr="00942F86">
        <w:rPr>
          <w:rFonts w:cs="Times New Roman"/>
        </w:rPr>
        <w:t xml:space="preserve"> (</w:t>
      </w:r>
      <w:proofErr w:type="spellStart"/>
      <w:r w:rsidR="00D875B8" w:rsidRPr="00942F86">
        <w:rPr>
          <w:rFonts w:cs="Times New Roman"/>
        </w:rPr>
        <w:t>LIBA</w:t>
      </w:r>
      <w:proofErr w:type="spellEnd"/>
      <w:r w:rsidR="00D875B8" w:rsidRPr="00942F86">
        <w:rPr>
          <w:rFonts w:cs="Times New Roman"/>
        </w:rPr>
        <w:t>)</w:t>
      </w:r>
      <w:bookmarkEnd w:id="52"/>
    </w:p>
    <w:p w14:paraId="51282064" w14:textId="77777777" w:rsidR="00715BD7" w:rsidRPr="00942F86" w:rsidRDefault="00715BD7" w:rsidP="000455AC">
      <w:pPr>
        <w:pStyle w:val="NoSpacing"/>
        <w:spacing w:line="264" w:lineRule="auto"/>
        <w:rPr>
          <w:sz w:val="25"/>
          <w:szCs w:val="25"/>
        </w:rPr>
      </w:pPr>
    </w:p>
    <w:bookmarkEnd w:id="39"/>
    <w:bookmarkEnd w:id="40"/>
    <w:p w14:paraId="0B6F84B5" w14:textId="21264080" w:rsidR="00E141A0" w:rsidRPr="00942F86" w:rsidRDefault="00C965E9" w:rsidP="00FC421A">
      <w:pPr>
        <w:numPr>
          <w:ilvl w:val="0"/>
          <w:numId w:val="1"/>
        </w:numPr>
        <w:tabs>
          <w:tab w:val="clear" w:pos="720"/>
          <w:tab w:val="num" w:pos="0"/>
        </w:tabs>
        <w:spacing w:line="264" w:lineRule="auto"/>
        <w:ind w:left="0"/>
        <w:rPr>
          <w:sz w:val="25"/>
          <w:szCs w:val="25"/>
        </w:rPr>
      </w:pPr>
      <w:r w:rsidRPr="00FC421A">
        <w:rPr>
          <w:i/>
          <w:sz w:val="25"/>
          <w:szCs w:val="25"/>
        </w:rPr>
        <w:t>Pacific</w:t>
      </w:r>
      <w:r w:rsidRPr="00942F86">
        <w:rPr>
          <w:sz w:val="25"/>
          <w:szCs w:val="25"/>
        </w:rPr>
        <w:t xml:space="preserve"> Power</w:t>
      </w:r>
      <w:r w:rsidR="000C07A5" w:rsidRPr="00942F86">
        <w:rPr>
          <w:sz w:val="25"/>
          <w:szCs w:val="25"/>
        </w:rPr>
        <w:t>’s low-income customers</w:t>
      </w:r>
      <w:r w:rsidR="00BE2165" w:rsidRPr="00942F86">
        <w:rPr>
          <w:sz w:val="25"/>
          <w:szCs w:val="25"/>
        </w:rPr>
        <w:t xml:space="preserve"> continue to</w:t>
      </w:r>
      <w:r w:rsidR="000C07A5" w:rsidRPr="00942F86">
        <w:rPr>
          <w:sz w:val="25"/>
          <w:szCs w:val="25"/>
        </w:rPr>
        <w:t xml:space="preserve"> face</w:t>
      </w:r>
      <w:r w:rsidR="00BE2165" w:rsidRPr="00942F86">
        <w:rPr>
          <w:sz w:val="25"/>
          <w:szCs w:val="25"/>
        </w:rPr>
        <w:t xml:space="preserve"> difficult choices</w:t>
      </w:r>
      <w:r w:rsidR="000C07A5" w:rsidRPr="00942F86">
        <w:rPr>
          <w:sz w:val="25"/>
          <w:szCs w:val="25"/>
        </w:rPr>
        <w:t xml:space="preserve"> as they balance their needs for goods and services against their financial resources.  Facing these issues in </w:t>
      </w:r>
      <w:r w:rsidRPr="00942F86">
        <w:rPr>
          <w:sz w:val="25"/>
          <w:szCs w:val="25"/>
        </w:rPr>
        <w:t>Pacific Power</w:t>
      </w:r>
      <w:r w:rsidR="000C07A5" w:rsidRPr="00942F86">
        <w:rPr>
          <w:sz w:val="25"/>
          <w:szCs w:val="25"/>
        </w:rPr>
        <w:t xml:space="preserve">’s 2011/2012 </w:t>
      </w:r>
      <w:r w:rsidR="00590D1F" w:rsidRPr="00942F86">
        <w:rPr>
          <w:sz w:val="25"/>
          <w:szCs w:val="25"/>
        </w:rPr>
        <w:t>GRC</w:t>
      </w:r>
      <w:r w:rsidR="000C07A5" w:rsidRPr="00942F86">
        <w:rPr>
          <w:sz w:val="25"/>
          <w:szCs w:val="25"/>
        </w:rPr>
        <w:t>, the Commission approved a settlement that included a five-year plan addressing low-income bill assistance.</w:t>
      </w:r>
      <w:r w:rsidR="000C07A5" w:rsidRPr="00942F86">
        <w:rPr>
          <w:rStyle w:val="FootnoteReference"/>
          <w:sz w:val="25"/>
          <w:szCs w:val="25"/>
        </w:rPr>
        <w:footnoteReference w:id="365"/>
      </w:r>
      <w:r w:rsidR="00E141A0" w:rsidRPr="00942F86">
        <w:rPr>
          <w:sz w:val="25"/>
          <w:szCs w:val="25"/>
        </w:rPr>
        <w:t xml:space="preserve">  The plan includes four key elements:</w:t>
      </w:r>
    </w:p>
    <w:p w14:paraId="5042C834" w14:textId="77777777" w:rsidR="00BE2165" w:rsidRPr="00942F86" w:rsidRDefault="00BE2165" w:rsidP="000455AC">
      <w:pPr>
        <w:spacing w:line="264" w:lineRule="auto"/>
        <w:rPr>
          <w:sz w:val="25"/>
          <w:szCs w:val="25"/>
        </w:rPr>
      </w:pPr>
    </w:p>
    <w:p w14:paraId="2D07526D" w14:textId="77777777" w:rsidR="00BE2165" w:rsidRPr="00942F86" w:rsidRDefault="00BE2165" w:rsidP="00B44676">
      <w:pPr>
        <w:numPr>
          <w:ilvl w:val="0"/>
          <w:numId w:val="23"/>
        </w:numPr>
        <w:spacing w:line="264" w:lineRule="auto"/>
        <w:ind w:left="720"/>
        <w:rPr>
          <w:sz w:val="25"/>
          <w:szCs w:val="25"/>
        </w:rPr>
      </w:pPr>
      <w:r w:rsidRPr="00942F86">
        <w:rPr>
          <w:sz w:val="25"/>
          <w:szCs w:val="25"/>
        </w:rPr>
        <w:t xml:space="preserve">As a cost-cutting measure, a percentage of the Company's </w:t>
      </w:r>
      <w:proofErr w:type="spellStart"/>
      <w:r w:rsidRPr="00942F86">
        <w:rPr>
          <w:sz w:val="25"/>
          <w:szCs w:val="25"/>
        </w:rPr>
        <w:t>LIBA</w:t>
      </w:r>
      <w:proofErr w:type="spellEnd"/>
      <w:r w:rsidRPr="00942F86">
        <w:rPr>
          <w:sz w:val="25"/>
          <w:szCs w:val="25"/>
        </w:rPr>
        <w:t xml:space="preserve"> recipients will be certified every other year, as opposed to annually.</w:t>
      </w:r>
    </w:p>
    <w:p w14:paraId="5F3FCCAC" w14:textId="77777777" w:rsidR="00752AA2" w:rsidRPr="00942F86" w:rsidRDefault="00752AA2" w:rsidP="000455AC">
      <w:pPr>
        <w:spacing w:line="264" w:lineRule="auto"/>
        <w:ind w:left="720" w:right="432"/>
        <w:rPr>
          <w:sz w:val="25"/>
          <w:szCs w:val="25"/>
        </w:rPr>
      </w:pPr>
    </w:p>
    <w:p w14:paraId="0CF1E9C8" w14:textId="77777777" w:rsidR="00BE2165" w:rsidRPr="00942F86" w:rsidRDefault="00BE2165" w:rsidP="00B44676">
      <w:pPr>
        <w:numPr>
          <w:ilvl w:val="0"/>
          <w:numId w:val="23"/>
        </w:numPr>
        <w:spacing w:line="264" w:lineRule="auto"/>
        <w:ind w:left="720"/>
        <w:rPr>
          <w:sz w:val="25"/>
          <w:szCs w:val="25"/>
        </w:rPr>
      </w:pPr>
      <w:r w:rsidRPr="00942F86">
        <w:rPr>
          <w:sz w:val="25"/>
          <w:szCs w:val="25"/>
        </w:rPr>
        <w:t>The program will provide assistance to additional recipients.</w:t>
      </w:r>
    </w:p>
    <w:p w14:paraId="2D9BD49A" w14:textId="77777777" w:rsidR="00752AA2" w:rsidRPr="00942F86" w:rsidRDefault="00752AA2" w:rsidP="000455AC">
      <w:pPr>
        <w:spacing w:line="264" w:lineRule="auto"/>
        <w:ind w:right="432"/>
        <w:rPr>
          <w:sz w:val="25"/>
          <w:szCs w:val="25"/>
        </w:rPr>
      </w:pPr>
    </w:p>
    <w:p w14:paraId="37A24A64" w14:textId="77777777" w:rsidR="00BE2165" w:rsidRPr="00942F86" w:rsidRDefault="00BE2165" w:rsidP="00B44676">
      <w:pPr>
        <w:numPr>
          <w:ilvl w:val="0"/>
          <w:numId w:val="23"/>
        </w:numPr>
        <w:spacing w:line="264" w:lineRule="auto"/>
        <w:ind w:left="720"/>
        <w:rPr>
          <w:sz w:val="25"/>
          <w:szCs w:val="25"/>
        </w:rPr>
      </w:pPr>
      <w:r w:rsidRPr="00942F86">
        <w:rPr>
          <w:sz w:val="25"/>
          <w:szCs w:val="25"/>
        </w:rPr>
        <w:t xml:space="preserve">The </w:t>
      </w:r>
      <w:proofErr w:type="spellStart"/>
      <w:r w:rsidRPr="00942F86">
        <w:rPr>
          <w:sz w:val="25"/>
          <w:szCs w:val="25"/>
        </w:rPr>
        <w:t>LIBA</w:t>
      </w:r>
      <w:proofErr w:type="spellEnd"/>
      <w:r w:rsidRPr="00942F86">
        <w:rPr>
          <w:sz w:val="25"/>
          <w:szCs w:val="25"/>
        </w:rPr>
        <w:t xml:space="preserve"> eligibility certification fee paid to the community action agencies who administer </w:t>
      </w:r>
      <w:proofErr w:type="spellStart"/>
      <w:r w:rsidRPr="00942F86">
        <w:rPr>
          <w:sz w:val="25"/>
          <w:szCs w:val="25"/>
        </w:rPr>
        <w:t>LIBA</w:t>
      </w:r>
      <w:proofErr w:type="spellEnd"/>
      <w:r w:rsidRPr="00942F86">
        <w:rPr>
          <w:sz w:val="25"/>
          <w:szCs w:val="25"/>
        </w:rPr>
        <w:t xml:space="preserve"> will be incrementally increased.</w:t>
      </w:r>
    </w:p>
    <w:p w14:paraId="512FB59E" w14:textId="77777777" w:rsidR="00752AA2" w:rsidRPr="00942F86" w:rsidRDefault="00752AA2" w:rsidP="000455AC">
      <w:pPr>
        <w:spacing w:line="264" w:lineRule="auto"/>
        <w:ind w:right="432"/>
        <w:rPr>
          <w:sz w:val="25"/>
          <w:szCs w:val="25"/>
        </w:rPr>
      </w:pPr>
    </w:p>
    <w:p w14:paraId="680CA2A9" w14:textId="479A0BF0" w:rsidR="00E141A0" w:rsidRPr="00942F86" w:rsidRDefault="00BE2165" w:rsidP="00B44676">
      <w:pPr>
        <w:numPr>
          <w:ilvl w:val="0"/>
          <w:numId w:val="23"/>
        </w:numPr>
        <w:spacing w:line="264" w:lineRule="auto"/>
        <w:ind w:left="720"/>
        <w:rPr>
          <w:sz w:val="25"/>
          <w:szCs w:val="25"/>
        </w:rPr>
      </w:pPr>
      <w:r w:rsidRPr="00942F86">
        <w:rPr>
          <w:sz w:val="25"/>
          <w:szCs w:val="25"/>
        </w:rPr>
        <w:t xml:space="preserve">Funding for benefits received by </w:t>
      </w:r>
      <w:proofErr w:type="spellStart"/>
      <w:r w:rsidRPr="00942F86">
        <w:rPr>
          <w:sz w:val="25"/>
          <w:szCs w:val="25"/>
        </w:rPr>
        <w:t>LIBA</w:t>
      </w:r>
      <w:proofErr w:type="spellEnd"/>
      <w:r w:rsidRPr="00942F86">
        <w:rPr>
          <w:sz w:val="25"/>
          <w:szCs w:val="25"/>
        </w:rPr>
        <w:t xml:space="preserve"> participants will be increased to twice the amount of any rate increase authorized by the Commission for </w:t>
      </w:r>
      <w:r w:rsidR="00D875B8" w:rsidRPr="00942F86">
        <w:rPr>
          <w:sz w:val="25"/>
          <w:szCs w:val="25"/>
        </w:rPr>
        <w:t>Pacifi</w:t>
      </w:r>
      <w:r w:rsidR="00D60008" w:rsidRPr="00942F86">
        <w:rPr>
          <w:sz w:val="25"/>
          <w:szCs w:val="25"/>
        </w:rPr>
        <w:t>c</w:t>
      </w:r>
      <w:r w:rsidR="00D875B8" w:rsidRPr="00942F86">
        <w:rPr>
          <w:sz w:val="25"/>
          <w:szCs w:val="25"/>
        </w:rPr>
        <w:t xml:space="preserve"> Power</w:t>
      </w:r>
      <w:r w:rsidRPr="00942F86">
        <w:rPr>
          <w:sz w:val="25"/>
          <w:szCs w:val="25"/>
        </w:rPr>
        <w:t>.</w:t>
      </w:r>
      <w:r w:rsidRPr="00942F86">
        <w:rPr>
          <w:rStyle w:val="FootnoteReference"/>
          <w:sz w:val="25"/>
          <w:szCs w:val="25"/>
        </w:rPr>
        <w:footnoteReference w:id="366"/>
      </w:r>
      <w:r w:rsidRPr="00942F86">
        <w:rPr>
          <w:sz w:val="25"/>
          <w:szCs w:val="25"/>
        </w:rPr>
        <w:t xml:space="preserve"> </w:t>
      </w:r>
    </w:p>
    <w:p w14:paraId="64AF0703" w14:textId="77777777" w:rsidR="00752AA2" w:rsidRPr="00942F86" w:rsidRDefault="00752AA2" w:rsidP="000455AC">
      <w:pPr>
        <w:spacing w:line="264" w:lineRule="auto"/>
        <w:ind w:right="432"/>
        <w:rPr>
          <w:sz w:val="25"/>
          <w:szCs w:val="25"/>
        </w:rPr>
      </w:pPr>
    </w:p>
    <w:p w14:paraId="47C92069" w14:textId="77777777" w:rsidR="008D7598" w:rsidRPr="00942F86" w:rsidRDefault="00E141A0" w:rsidP="00FC421A">
      <w:pPr>
        <w:numPr>
          <w:ilvl w:val="0"/>
          <w:numId w:val="1"/>
        </w:numPr>
        <w:tabs>
          <w:tab w:val="clear" w:pos="720"/>
          <w:tab w:val="num" w:pos="0"/>
        </w:tabs>
        <w:spacing w:line="264" w:lineRule="auto"/>
        <w:ind w:left="0"/>
        <w:rPr>
          <w:sz w:val="25"/>
          <w:szCs w:val="25"/>
        </w:rPr>
      </w:pPr>
      <w:r w:rsidRPr="00FC421A">
        <w:rPr>
          <w:i/>
          <w:sz w:val="25"/>
          <w:szCs w:val="25"/>
        </w:rPr>
        <w:t>In</w:t>
      </w:r>
      <w:r w:rsidRPr="00942F86">
        <w:rPr>
          <w:sz w:val="25"/>
          <w:szCs w:val="25"/>
        </w:rPr>
        <w:t xml:space="preserve"> this case, </w:t>
      </w:r>
      <w:r w:rsidR="00C965E9" w:rsidRPr="00942F86">
        <w:rPr>
          <w:sz w:val="25"/>
          <w:szCs w:val="25"/>
        </w:rPr>
        <w:t>Pacific Power</w:t>
      </w:r>
      <w:r w:rsidRPr="00942F86">
        <w:rPr>
          <w:sz w:val="25"/>
          <w:szCs w:val="25"/>
        </w:rPr>
        <w:t xml:space="preserve"> proposed specific changes</w:t>
      </w:r>
      <w:r w:rsidR="005C1D4D" w:rsidRPr="00942F86">
        <w:rPr>
          <w:sz w:val="25"/>
          <w:szCs w:val="25"/>
        </w:rPr>
        <w:t xml:space="preserve"> that </w:t>
      </w:r>
      <w:r w:rsidR="000C07A5" w:rsidRPr="00942F86">
        <w:rPr>
          <w:sz w:val="25"/>
          <w:szCs w:val="25"/>
        </w:rPr>
        <w:t xml:space="preserve">are consistent with </w:t>
      </w:r>
      <w:r w:rsidR="005C1D4D" w:rsidRPr="00942F86">
        <w:rPr>
          <w:sz w:val="25"/>
          <w:szCs w:val="25"/>
        </w:rPr>
        <w:t>the five</w:t>
      </w:r>
      <w:r w:rsidR="000C07A5" w:rsidRPr="00942F86">
        <w:rPr>
          <w:sz w:val="25"/>
          <w:szCs w:val="25"/>
        </w:rPr>
        <w:t>-year plan and are supported by the Energy Project.</w:t>
      </w:r>
      <w:r w:rsidR="000C07A5" w:rsidRPr="00942F86">
        <w:rPr>
          <w:sz w:val="25"/>
          <w:szCs w:val="25"/>
          <w:vertAlign w:val="superscript"/>
        </w:rPr>
        <w:footnoteReference w:id="367"/>
      </w:r>
    </w:p>
    <w:p w14:paraId="09ED2F05" w14:textId="77777777" w:rsidR="00E55026" w:rsidRPr="00942F86" w:rsidRDefault="00E55026" w:rsidP="000455AC">
      <w:pPr>
        <w:spacing w:line="264" w:lineRule="auto"/>
        <w:rPr>
          <w:sz w:val="25"/>
          <w:szCs w:val="25"/>
        </w:rPr>
      </w:pPr>
    </w:p>
    <w:p w14:paraId="6B31823E" w14:textId="04EE7D80" w:rsidR="001B0900" w:rsidRPr="00942F86" w:rsidRDefault="0091796A"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w:t>
      </w:r>
      <w:r w:rsidR="00D875B8" w:rsidRPr="00942F86">
        <w:rPr>
          <w:sz w:val="25"/>
          <w:szCs w:val="25"/>
        </w:rPr>
        <w:t xml:space="preserve">While the </w:t>
      </w:r>
      <w:r w:rsidR="00E55026" w:rsidRPr="00942F86">
        <w:rPr>
          <w:sz w:val="25"/>
          <w:szCs w:val="25"/>
        </w:rPr>
        <w:t>issue of low-income bill assistance is not contested in this proceeding, we call it out for discussion and expressly approve the Company’s proposal in this case because the matter is critically important and deserv</w:t>
      </w:r>
      <w:r w:rsidR="001B0900" w:rsidRPr="00942F86">
        <w:rPr>
          <w:sz w:val="25"/>
          <w:szCs w:val="25"/>
        </w:rPr>
        <w:t xml:space="preserve">es </w:t>
      </w:r>
      <w:r w:rsidR="00E55026" w:rsidRPr="00942F86">
        <w:rPr>
          <w:sz w:val="25"/>
          <w:szCs w:val="25"/>
        </w:rPr>
        <w:t>close attention</w:t>
      </w:r>
      <w:r w:rsidR="00BE2165" w:rsidRPr="00942F86">
        <w:rPr>
          <w:sz w:val="25"/>
          <w:szCs w:val="25"/>
        </w:rPr>
        <w:t xml:space="preserve"> on a continuing basis</w:t>
      </w:r>
      <w:r w:rsidR="00E55026" w:rsidRPr="00942F86">
        <w:rPr>
          <w:sz w:val="25"/>
          <w:szCs w:val="25"/>
        </w:rPr>
        <w:t>.</w:t>
      </w:r>
      <w:r w:rsidR="001B0900" w:rsidRPr="00942F86">
        <w:rPr>
          <w:sz w:val="25"/>
          <w:szCs w:val="25"/>
        </w:rPr>
        <w:t xml:space="preserve">  As we did in approving the five-year low-income bill assistance program in 2012, we again commend the</w:t>
      </w:r>
      <w:r w:rsidR="00D875B8" w:rsidRPr="00942F86">
        <w:rPr>
          <w:sz w:val="25"/>
          <w:szCs w:val="25"/>
        </w:rPr>
        <w:t xml:space="preserve"> Company and the other</w:t>
      </w:r>
      <w:r w:rsidR="001B0900" w:rsidRPr="00942F86">
        <w:rPr>
          <w:sz w:val="25"/>
          <w:szCs w:val="25"/>
        </w:rPr>
        <w:t xml:space="preserve"> parties for their proactive endeavors and cooperative behavior in increasing funding to assist those most in need.  The Commission’s observation in its 2012 order bears repeating:</w:t>
      </w:r>
    </w:p>
    <w:p w14:paraId="655E83E6" w14:textId="77777777" w:rsidR="001B0900" w:rsidRPr="00942F86" w:rsidRDefault="001B0900" w:rsidP="000455AC">
      <w:pPr>
        <w:spacing w:line="264" w:lineRule="auto"/>
        <w:rPr>
          <w:sz w:val="25"/>
          <w:szCs w:val="25"/>
        </w:rPr>
      </w:pPr>
    </w:p>
    <w:p w14:paraId="75F706A9" w14:textId="77777777" w:rsidR="00E55026" w:rsidRPr="00942F86" w:rsidRDefault="001B0900" w:rsidP="000455AC">
      <w:pPr>
        <w:spacing w:line="264" w:lineRule="auto"/>
        <w:ind w:left="720" w:right="720"/>
        <w:rPr>
          <w:sz w:val="25"/>
          <w:szCs w:val="25"/>
        </w:rPr>
      </w:pPr>
      <w:r w:rsidRPr="00942F86">
        <w:rPr>
          <w:sz w:val="25"/>
          <w:szCs w:val="25"/>
        </w:rPr>
        <w:t xml:space="preserve">While many customers are adversely affected by an increase in their electricity rates, we recognize that the customers eligible for the </w:t>
      </w:r>
      <w:proofErr w:type="spellStart"/>
      <w:r w:rsidRPr="00942F86">
        <w:rPr>
          <w:sz w:val="25"/>
          <w:szCs w:val="25"/>
        </w:rPr>
        <w:t>LIBA</w:t>
      </w:r>
      <w:proofErr w:type="spellEnd"/>
      <w:r w:rsidRPr="00942F86">
        <w:rPr>
          <w:sz w:val="25"/>
          <w:szCs w:val="25"/>
        </w:rPr>
        <w:t xml:space="preserve"> program are the most dramatically affected by a rate increase and are the least capable of absorbing any rate increase in their monthly income.  Accordingly, changes to the </w:t>
      </w:r>
      <w:proofErr w:type="spellStart"/>
      <w:r w:rsidRPr="00942F86">
        <w:rPr>
          <w:sz w:val="25"/>
          <w:szCs w:val="25"/>
        </w:rPr>
        <w:t>LIBA</w:t>
      </w:r>
      <w:proofErr w:type="spellEnd"/>
      <w:r w:rsidRPr="00942F86">
        <w:rPr>
          <w:sz w:val="25"/>
          <w:szCs w:val="25"/>
        </w:rPr>
        <w:t xml:space="preserve"> Program that reduce the administrative burden of annual certification and increase benefits should provide welcome respite to participating customers.  Conversely, the increase to the Schedule 91 residential surcharge, eight cents per month, imposes a minimal burden on the customers funding the program.</w:t>
      </w:r>
      <w:r w:rsidRPr="00942F86">
        <w:rPr>
          <w:rStyle w:val="FootnoteReference"/>
          <w:sz w:val="25"/>
          <w:szCs w:val="25"/>
        </w:rPr>
        <w:footnoteReference w:id="368"/>
      </w:r>
    </w:p>
    <w:p w14:paraId="20C7881E" w14:textId="77777777" w:rsidR="001B0900" w:rsidRPr="00942F86" w:rsidRDefault="001B0900" w:rsidP="000455AC">
      <w:pPr>
        <w:spacing w:line="264" w:lineRule="auto"/>
        <w:ind w:left="720" w:right="720"/>
        <w:rPr>
          <w:sz w:val="25"/>
          <w:szCs w:val="25"/>
        </w:rPr>
      </w:pPr>
    </w:p>
    <w:p w14:paraId="21BDB128" w14:textId="77777777" w:rsidR="001B0900" w:rsidRPr="00942F86" w:rsidRDefault="00D012F3" w:rsidP="000455AC">
      <w:pPr>
        <w:spacing w:line="264" w:lineRule="auto"/>
        <w:rPr>
          <w:sz w:val="25"/>
          <w:szCs w:val="25"/>
        </w:rPr>
      </w:pPr>
      <w:r w:rsidRPr="00942F86">
        <w:rPr>
          <w:sz w:val="25"/>
          <w:szCs w:val="25"/>
        </w:rPr>
        <w:t xml:space="preserve">We encourage continued efforts by the Company, Staff, the Energy Project, and others who recognize the importance of ensuring that low-income customers have access to the vital services </w:t>
      </w:r>
      <w:r w:rsidR="00C965E9" w:rsidRPr="00942F86">
        <w:rPr>
          <w:sz w:val="25"/>
          <w:szCs w:val="25"/>
        </w:rPr>
        <w:t>Pacific Power</w:t>
      </w:r>
      <w:r w:rsidRPr="00942F86">
        <w:rPr>
          <w:sz w:val="25"/>
          <w:szCs w:val="25"/>
        </w:rPr>
        <w:t xml:space="preserve"> provides, to find innovative means to provide it.</w:t>
      </w:r>
    </w:p>
    <w:p w14:paraId="4F137C79" w14:textId="77777777" w:rsidR="00A77C7F" w:rsidRPr="00942F86" w:rsidRDefault="00A77C7F" w:rsidP="000455AC">
      <w:pPr>
        <w:spacing w:line="264" w:lineRule="auto"/>
        <w:rPr>
          <w:sz w:val="25"/>
          <w:szCs w:val="25"/>
        </w:rPr>
      </w:pPr>
    </w:p>
    <w:p w14:paraId="1A4FC5F8" w14:textId="77777777" w:rsidR="00A77C7F" w:rsidRPr="00942F86" w:rsidRDefault="00A77C7F" w:rsidP="000455AC">
      <w:pPr>
        <w:pStyle w:val="Heading3"/>
        <w:spacing w:before="0" w:after="0"/>
        <w:rPr>
          <w:rFonts w:cs="Times New Roman"/>
        </w:rPr>
      </w:pPr>
      <w:bookmarkStart w:id="53" w:name="_Toc415037644"/>
      <w:r w:rsidRPr="00942F86">
        <w:rPr>
          <w:rFonts w:cs="Times New Roman"/>
        </w:rPr>
        <w:t>Regulatory Assets and Liabilities (Deferral Accounts)</w:t>
      </w:r>
      <w:bookmarkEnd w:id="53"/>
    </w:p>
    <w:p w14:paraId="016A7DC9" w14:textId="77777777" w:rsidR="00A77C7F" w:rsidRPr="00942F86" w:rsidRDefault="00A77C7F" w:rsidP="000455AC">
      <w:pPr>
        <w:spacing w:line="264" w:lineRule="auto"/>
        <w:rPr>
          <w:sz w:val="25"/>
          <w:szCs w:val="25"/>
        </w:rPr>
      </w:pPr>
    </w:p>
    <w:p w14:paraId="6D682E75" w14:textId="77777777" w:rsidR="00A77C7F" w:rsidRPr="00942F86" w:rsidRDefault="00A77C7F" w:rsidP="00883A54">
      <w:pPr>
        <w:pStyle w:val="Heading4"/>
        <w:numPr>
          <w:ilvl w:val="0"/>
          <w:numId w:val="19"/>
        </w:numPr>
      </w:pPr>
      <w:bookmarkStart w:id="54" w:name="_Toc415037645"/>
      <w:r w:rsidRPr="00942F86">
        <w:t>Merwin Fish Collector (Docket UE-140617)</w:t>
      </w:r>
      <w:bookmarkEnd w:id="54"/>
    </w:p>
    <w:p w14:paraId="50CB1F50" w14:textId="77777777" w:rsidR="00A77C7F" w:rsidRPr="00942F86" w:rsidRDefault="00A77C7F" w:rsidP="000455AC">
      <w:pPr>
        <w:spacing w:line="264" w:lineRule="auto"/>
        <w:rPr>
          <w:sz w:val="25"/>
          <w:szCs w:val="25"/>
        </w:rPr>
      </w:pPr>
    </w:p>
    <w:p w14:paraId="11173D2D" w14:textId="2C887694" w:rsidR="003C4B8A" w:rsidRPr="00942F86" w:rsidRDefault="003C4B8A" w:rsidP="00FC421A">
      <w:pPr>
        <w:numPr>
          <w:ilvl w:val="0"/>
          <w:numId w:val="1"/>
        </w:numPr>
        <w:tabs>
          <w:tab w:val="clear" w:pos="720"/>
          <w:tab w:val="num" w:pos="0"/>
        </w:tabs>
        <w:spacing w:line="264" w:lineRule="auto"/>
        <w:ind w:left="0"/>
        <w:rPr>
          <w:sz w:val="25"/>
          <w:szCs w:val="25"/>
        </w:rPr>
      </w:pPr>
      <w:r w:rsidRPr="00942F86">
        <w:rPr>
          <w:sz w:val="25"/>
          <w:szCs w:val="25"/>
        </w:rPr>
        <w:t xml:space="preserve">The Commission rejected Pacific Power’s request for recovery of costs associated with the Merwin Fish Collector </w:t>
      </w:r>
      <w:r w:rsidR="00D875B8" w:rsidRPr="00942F86">
        <w:rPr>
          <w:sz w:val="25"/>
          <w:szCs w:val="25"/>
        </w:rPr>
        <w:t xml:space="preserve">Project </w:t>
      </w:r>
      <w:r w:rsidRPr="00942F86">
        <w:rPr>
          <w:sz w:val="25"/>
          <w:szCs w:val="25"/>
        </w:rPr>
        <w:t>(Merwin Project) in Docket UE-130043 because it was not expected to be in service and, hence, used and useful, until at least February 2014.</w:t>
      </w:r>
      <w:r w:rsidRPr="00942F86">
        <w:rPr>
          <w:sz w:val="25"/>
          <w:szCs w:val="25"/>
          <w:vertAlign w:val="superscript"/>
        </w:rPr>
        <w:footnoteReference w:id="369"/>
      </w:r>
      <w:r w:rsidRPr="00942F86">
        <w:rPr>
          <w:sz w:val="25"/>
          <w:szCs w:val="25"/>
        </w:rPr>
        <w:t xml:space="preserve">  The Commission also found that Pacific Power failed to present </w:t>
      </w:r>
      <w:r w:rsidRPr="00942F86">
        <w:rPr>
          <w:sz w:val="25"/>
          <w:szCs w:val="25"/>
        </w:rPr>
        <w:lastRenderedPageBreak/>
        <w:t xml:space="preserve">evidence </w:t>
      </w:r>
      <w:r w:rsidR="00D60008" w:rsidRPr="00942F86">
        <w:rPr>
          <w:sz w:val="25"/>
          <w:szCs w:val="25"/>
        </w:rPr>
        <w:t>that</w:t>
      </w:r>
      <w:r w:rsidRPr="00942F86">
        <w:rPr>
          <w:sz w:val="25"/>
          <w:szCs w:val="25"/>
        </w:rPr>
        <w:t xml:space="preserve"> the costs of constructing the project met the known and measurable standard.</w:t>
      </w:r>
      <w:r w:rsidRPr="00942F86">
        <w:rPr>
          <w:rStyle w:val="FootnoteReference"/>
          <w:sz w:val="25"/>
          <w:szCs w:val="25"/>
        </w:rPr>
        <w:footnoteReference w:id="370"/>
      </w:r>
      <w:r w:rsidRPr="00942F86">
        <w:rPr>
          <w:sz w:val="25"/>
          <w:szCs w:val="25"/>
        </w:rPr>
        <w:t xml:space="preserve">  </w:t>
      </w:r>
    </w:p>
    <w:p w14:paraId="609B2242" w14:textId="77777777" w:rsidR="00D875B8" w:rsidRPr="00942F86" w:rsidRDefault="00D875B8" w:rsidP="000455AC">
      <w:pPr>
        <w:spacing w:line="264" w:lineRule="auto"/>
        <w:rPr>
          <w:sz w:val="25"/>
          <w:szCs w:val="25"/>
        </w:rPr>
      </w:pPr>
    </w:p>
    <w:p w14:paraId="7C7C37EC" w14:textId="35332A43" w:rsidR="00D90433" w:rsidRPr="00942F86" w:rsidRDefault="003C4B8A" w:rsidP="00FC421A">
      <w:pPr>
        <w:numPr>
          <w:ilvl w:val="0"/>
          <w:numId w:val="1"/>
        </w:numPr>
        <w:tabs>
          <w:tab w:val="clear" w:pos="720"/>
          <w:tab w:val="num" w:pos="0"/>
        </w:tabs>
        <w:spacing w:line="264" w:lineRule="auto"/>
        <w:ind w:left="0"/>
        <w:rPr>
          <w:sz w:val="25"/>
          <w:szCs w:val="25"/>
        </w:rPr>
      </w:pPr>
      <w:r w:rsidRPr="00942F86">
        <w:rPr>
          <w:sz w:val="25"/>
          <w:szCs w:val="25"/>
        </w:rPr>
        <w:t>The Merwin Project was placed in service on March 28, 2014, just over one month before Pacific Power filed this case.</w:t>
      </w:r>
      <w:r w:rsidRPr="00942F86">
        <w:rPr>
          <w:sz w:val="25"/>
          <w:szCs w:val="25"/>
          <w:vertAlign w:val="superscript"/>
        </w:rPr>
        <w:footnoteReference w:id="371"/>
      </w:r>
      <w:r w:rsidRPr="00942F86">
        <w:rPr>
          <w:sz w:val="25"/>
          <w:szCs w:val="25"/>
        </w:rPr>
        <w:t xml:space="preserve"> </w:t>
      </w:r>
      <w:r w:rsidR="00D90433" w:rsidRPr="00942F86">
        <w:rPr>
          <w:sz w:val="25"/>
          <w:szCs w:val="25"/>
        </w:rPr>
        <w:t xml:space="preserve"> As discussed previously, </w:t>
      </w:r>
      <w:r w:rsidR="00D875B8" w:rsidRPr="00942F86">
        <w:rPr>
          <w:sz w:val="25"/>
          <w:szCs w:val="25"/>
        </w:rPr>
        <w:t>the Company</w:t>
      </w:r>
      <w:r w:rsidR="00D90433" w:rsidRPr="00942F86">
        <w:rPr>
          <w:sz w:val="25"/>
          <w:szCs w:val="25"/>
        </w:rPr>
        <w:t xml:space="preserve"> proposes to include the </w:t>
      </w:r>
      <w:r w:rsidR="00D875B8" w:rsidRPr="00942F86">
        <w:rPr>
          <w:sz w:val="25"/>
          <w:szCs w:val="25"/>
        </w:rPr>
        <w:t>p</w:t>
      </w:r>
      <w:r w:rsidR="00D90433" w:rsidRPr="00942F86">
        <w:rPr>
          <w:sz w:val="25"/>
          <w:szCs w:val="25"/>
        </w:rPr>
        <w:t>roject in rate base as a post-test period major plant addition and the Commission approves that treatment.</w:t>
      </w:r>
      <w:r w:rsidRPr="00942F86">
        <w:rPr>
          <w:sz w:val="25"/>
          <w:szCs w:val="25"/>
        </w:rPr>
        <w:t xml:space="preserve"> </w:t>
      </w:r>
      <w:r w:rsidR="00D90433" w:rsidRPr="00942F86">
        <w:rPr>
          <w:sz w:val="25"/>
          <w:szCs w:val="25"/>
        </w:rPr>
        <w:t xml:space="preserve"> Just as in the case of any other plant addition found prudent and otherwise appropriate for inclusion in rate base, the Company will earn a return of its investment through depreciation expense and a return on its investment as of the effective date of </w:t>
      </w:r>
      <w:r w:rsidR="00D875B8" w:rsidRPr="00942F86">
        <w:rPr>
          <w:sz w:val="25"/>
          <w:szCs w:val="25"/>
        </w:rPr>
        <w:t xml:space="preserve">new </w:t>
      </w:r>
      <w:r w:rsidR="00D90433" w:rsidRPr="00942F86">
        <w:rPr>
          <w:sz w:val="25"/>
          <w:szCs w:val="25"/>
        </w:rPr>
        <w:t>rates.</w:t>
      </w:r>
    </w:p>
    <w:p w14:paraId="030F09F5" w14:textId="77777777" w:rsidR="00D90433" w:rsidRPr="00942F86" w:rsidRDefault="00D90433" w:rsidP="000455AC">
      <w:pPr>
        <w:spacing w:line="264" w:lineRule="auto"/>
        <w:rPr>
          <w:sz w:val="25"/>
          <w:szCs w:val="25"/>
        </w:rPr>
      </w:pPr>
    </w:p>
    <w:p w14:paraId="465DE981" w14:textId="4A4B2D25" w:rsidR="00277EB7" w:rsidRPr="00942F86" w:rsidRDefault="00D90433" w:rsidP="00FC421A">
      <w:pPr>
        <w:numPr>
          <w:ilvl w:val="0"/>
          <w:numId w:val="1"/>
        </w:numPr>
        <w:tabs>
          <w:tab w:val="clear" w:pos="720"/>
          <w:tab w:val="num" w:pos="0"/>
        </w:tabs>
        <w:spacing w:line="264" w:lineRule="auto"/>
        <w:ind w:left="0"/>
        <w:rPr>
          <w:sz w:val="25"/>
          <w:szCs w:val="25"/>
        </w:rPr>
      </w:pPr>
      <w:r w:rsidRPr="00FC421A">
        <w:rPr>
          <w:i/>
          <w:sz w:val="25"/>
          <w:szCs w:val="25"/>
        </w:rPr>
        <w:t>Unlike</w:t>
      </w:r>
      <w:r w:rsidRPr="00942F86">
        <w:rPr>
          <w:sz w:val="25"/>
          <w:szCs w:val="25"/>
        </w:rPr>
        <w:t xml:space="preserve"> other </w:t>
      </w:r>
      <w:r w:rsidRPr="00942F86">
        <w:rPr>
          <w:i/>
          <w:sz w:val="25"/>
          <w:szCs w:val="25"/>
        </w:rPr>
        <w:t>pro forma</w:t>
      </w:r>
      <w:r w:rsidRPr="00942F86">
        <w:rPr>
          <w:sz w:val="25"/>
          <w:szCs w:val="25"/>
        </w:rPr>
        <w:t xml:space="preserve"> additions to rate base, however, Pacific Power preserved its right to request special treatment by petitioning</w:t>
      </w:r>
      <w:r w:rsidR="003C4B8A" w:rsidRPr="00942F86">
        <w:rPr>
          <w:sz w:val="25"/>
          <w:szCs w:val="25"/>
        </w:rPr>
        <w:t xml:space="preserve"> the Commission</w:t>
      </w:r>
      <w:r w:rsidR="00606C9E" w:rsidRPr="00942F86">
        <w:rPr>
          <w:sz w:val="25"/>
          <w:szCs w:val="25"/>
        </w:rPr>
        <w:t xml:space="preserve"> on April 14, 2014,</w:t>
      </w:r>
      <w:r w:rsidR="003C4B8A" w:rsidRPr="00942F86">
        <w:rPr>
          <w:sz w:val="25"/>
          <w:szCs w:val="25"/>
        </w:rPr>
        <w:t xml:space="preserve"> in Docket UE-140617 to allow either</w:t>
      </w:r>
      <w:r w:rsidR="00D41BE8" w:rsidRPr="00942F86">
        <w:rPr>
          <w:sz w:val="25"/>
          <w:szCs w:val="25"/>
        </w:rPr>
        <w:t xml:space="preserve"> </w:t>
      </w:r>
      <w:r w:rsidR="003C4B8A" w:rsidRPr="00942F86">
        <w:rPr>
          <w:sz w:val="25"/>
          <w:szCs w:val="25"/>
        </w:rPr>
        <w:t>recovery of costs through a separate tariff rider</w:t>
      </w:r>
      <w:r w:rsidR="00D41BE8" w:rsidRPr="00942F86">
        <w:rPr>
          <w:sz w:val="25"/>
          <w:szCs w:val="25"/>
        </w:rPr>
        <w:t>, or</w:t>
      </w:r>
      <w:r w:rsidR="003C4B8A" w:rsidRPr="00942F86">
        <w:rPr>
          <w:sz w:val="25"/>
          <w:szCs w:val="25"/>
        </w:rPr>
        <w:t xml:space="preserve"> an accounting petition to defer those costs.  The Commission rejected the tariff rider but granted the accounting petition for a deferral </w:t>
      </w:r>
      <w:r w:rsidR="00D41BE8" w:rsidRPr="00942F86">
        <w:rPr>
          <w:sz w:val="25"/>
          <w:szCs w:val="25"/>
        </w:rPr>
        <w:t>and</w:t>
      </w:r>
      <w:r w:rsidR="003C4B8A" w:rsidRPr="00942F86">
        <w:rPr>
          <w:sz w:val="25"/>
          <w:szCs w:val="25"/>
        </w:rPr>
        <w:t xml:space="preserve"> consolidated Docket UE-140617 into Docket UE-140762.</w:t>
      </w:r>
      <w:r w:rsidR="003C4B8A" w:rsidRPr="00942F86">
        <w:rPr>
          <w:sz w:val="25"/>
          <w:szCs w:val="25"/>
          <w:vertAlign w:val="superscript"/>
        </w:rPr>
        <w:footnoteReference w:id="372"/>
      </w:r>
      <w:r w:rsidRPr="00942F86">
        <w:rPr>
          <w:sz w:val="25"/>
          <w:szCs w:val="25"/>
        </w:rPr>
        <w:t xml:space="preserve">  In the context of this case, the Company proposes </w:t>
      </w:r>
      <w:r w:rsidR="00D875B8" w:rsidRPr="00942F86">
        <w:rPr>
          <w:sz w:val="25"/>
          <w:szCs w:val="25"/>
        </w:rPr>
        <w:t>to recover the</w:t>
      </w:r>
      <w:r w:rsidR="002B232F" w:rsidRPr="00942F86">
        <w:rPr>
          <w:sz w:val="25"/>
          <w:szCs w:val="25"/>
        </w:rPr>
        <w:t xml:space="preserve"> return of,</w:t>
      </w:r>
      <w:r w:rsidRPr="00942F86">
        <w:rPr>
          <w:sz w:val="25"/>
          <w:szCs w:val="25"/>
        </w:rPr>
        <w:t xml:space="preserve"> and </w:t>
      </w:r>
      <w:r w:rsidR="002B232F" w:rsidRPr="00942F86">
        <w:rPr>
          <w:sz w:val="25"/>
          <w:szCs w:val="25"/>
        </w:rPr>
        <w:t>return</w:t>
      </w:r>
      <w:r w:rsidRPr="00942F86">
        <w:rPr>
          <w:sz w:val="25"/>
          <w:szCs w:val="25"/>
        </w:rPr>
        <w:t xml:space="preserve"> on</w:t>
      </w:r>
      <w:r w:rsidR="002B232F" w:rsidRPr="00942F86">
        <w:rPr>
          <w:sz w:val="25"/>
          <w:szCs w:val="25"/>
        </w:rPr>
        <w:t>,</w:t>
      </w:r>
      <w:r w:rsidR="002247D8" w:rsidRPr="00942F86">
        <w:rPr>
          <w:sz w:val="25"/>
          <w:szCs w:val="25"/>
        </w:rPr>
        <w:t xml:space="preserve"> the Merwin plant beginning as of the date of its deferral petition.</w:t>
      </w:r>
      <w:r w:rsidR="002247D8" w:rsidRPr="00942F86">
        <w:rPr>
          <w:rStyle w:val="FootnoteReference"/>
          <w:sz w:val="25"/>
          <w:szCs w:val="25"/>
        </w:rPr>
        <w:footnoteReference w:id="373"/>
      </w:r>
      <w:r w:rsidR="003C4B8A" w:rsidRPr="00942F86">
        <w:rPr>
          <w:sz w:val="25"/>
          <w:szCs w:val="25"/>
        </w:rPr>
        <w:t xml:space="preserve"> </w:t>
      </w:r>
      <w:r w:rsidR="00D875B8" w:rsidRPr="00942F86">
        <w:rPr>
          <w:sz w:val="25"/>
          <w:szCs w:val="25"/>
        </w:rPr>
        <w:t xml:space="preserve"> </w:t>
      </w:r>
      <w:r w:rsidR="002B232F" w:rsidRPr="00942F86">
        <w:rPr>
          <w:sz w:val="25"/>
          <w:szCs w:val="25"/>
        </w:rPr>
        <w:t xml:space="preserve">That is, the Company asks for both depreciation expense and return on rate base as if the Merwin plant had been approved for inclusion in rate base as of the date of its deferral accounting petition.  </w:t>
      </w:r>
      <w:r w:rsidR="00277EB7" w:rsidRPr="00942F86">
        <w:rPr>
          <w:sz w:val="25"/>
          <w:szCs w:val="25"/>
        </w:rPr>
        <w:t xml:space="preserve">Pacific Power also requests recovery of O&amp;M costs associated with the Merwin </w:t>
      </w:r>
      <w:r w:rsidR="00D875B8" w:rsidRPr="00942F86">
        <w:rPr>
          <w:sz w:val="25"/>
          <w:szCs w:val="25"/>
        </w:rPr>
        <w:t xml:space="preserve">Project </w:t>
      </w:r>
      <w:r w:rsidR="00277EB7" w:rsidRPr="00942F86">
        <w:rPr>
          <w:sz w:val="25"/>
          <w:szCs w:val="25"/>
        </w:rPr>
        <w:t>from the date of its accounting petition.</w:t>
      </w:r>
      <w:r w:rsidR="00F519C6" w:rsidRPr="00942F86">
        <w:rPr>
          <w:sz w:val="25"/>
          <w:szCs w:val="25"/>
        </w:rPr>
        <w:t xml:space="preserve">  The impact of the Company’s proposal on revenue requirement is $1,875,489.</w:t>
      </w:r>
      <w:r w:rsidR="00F519C6" w:rsidRPr="00942F86">
        <w:rPr>
          <w:sz w:val="25"/>
          <w:szCs w:val="25"/>
          <w:vertAlign w:val="superscript"/>
        </w:rPr>
        <w:footnoteReference w:id="374"/>
      </w:r>
    </w:p>
    <w:p w14:paraId="45B114F9" w14:textId="1BD3E6F6" w:rsidR="00D90433" w:rsidRPr="00942F86" w:rsidRDefault="003C4B8A" w:rsidP="000455AC">
      <w:pPr>
        <w:spacing w:line="264" w:lineRule="auto"/>
        <w:rPr>
          <w:sz w:val="25"/>
          <w:szCs w:val="25"/>
        </w:rPr>
      </w:pPr>
      <w:r w:rsidRPr="00942F86">
        <w:rPr>
          <w:sz w:val="25"/>
          <w:szCs w:val="25"/>
        </w:rPr>
        <w:t xml:space="preserve"> </w:t>
      </w:r>
    </w:p>
    <w:p w14:paraId="1B7D1928" w14:textId="410FC33A" w:rsidR="00A77C7F" w:rsidRPr="00942F86" w:rsidRDefault="00F519C6" w:rsidP="00FC421A">
      <w:pPr>
        <w:numPr>
          <w:ilvl w:val="0"/>
          <w:numId w:val="1"/>
        </w:numPr>
        <w:tabs>
          <w:tab w:val="clear" w:pos="720"/>
          <w:tab w:val="num" w:pos="0"/>
        </w:tabs>
        <w:spacing w:line="264" w:lineRule="auto"/>
        <w:ind w:left="0"/>
        <w:rPr>
          <w:sz w:val="25"/>
          <w:szCs w:val="25"/>
        </w:rPr>
      </w:pPr>
      <w:r w:rsidRPr="00FC421A">
        <w:rPr>
          <w:i/>
          <w:sz w:val="25"/>
          <w:szCs w:val="25"/>
        </w:rPr>
        <w:t>Staff</w:t>
      </w:r>
      <w:r w:rsidRPr="00942F86">
        <w:rPr>
          <w:sz w:val="25"/>
          <w:szCs w:val="25"/>
        </w:rPr>
        <w:t xml:space="preserve"> proposes the Commission allow the Company to recover the O&amp;M </w:t>
      </w:r>
      <w:r w:rsidR="002B232F" w:rsidRPr="00942F86">
        <w:rPr>
          <w:sz w:val="25"/>
          <w:szCs w:val="25"/>
        </w:rPr>
        <w:t xml:space="preserve">expense </w:t>
      </w:r>
      <w:r w:rsidRPr="00942F86">
        <w:rPr>
          <w:sz w:val="25"/>
          <w:szCs w:val="25"/>
        </w:rPr>
        <w:t>and depreciation expense (</w:t>
      </w:r>
      <w:r w:rsidRPr="00942F86">
        <w:rPr>
          <w:i/>
          <w:sz w:val="25"/>
          <w:szCs w:val="25"/>
        </w:rPr>
        <w:t>i.e.,</w:t>
      </w:r>
      <w:r w:rsidRPr="00942F86">
        <w:rPr>
          <w:sz w:val="25"/>
          <w:szCs w:val="25"/>
        </w:rPr>
        <w:t xml:space="preserve"> return of investment) included in the deferral but exclude </w:t>
      </w:r>
      <w:r w:rsidRPr="00942F86">
        <w:rPr>
          <w:sz w:val="25"/>
          <w:szCs w:val="25"/>
        </w:rPr>
        <w:lastRenderedPageBreak/>
        <w:t>pre-tax return on rate base</w:t>
      </w:r>
      <w:r w:rsidR="002B232F" w:rsidRPr="00942F86">
        <w:rPr>
          <w:sz w:val="25"/>
          <w:szCs w:val="25"/>
        </w:rPr>
        <w:t xml:space="preserve"> (</w:t>
      </w:r>
      <w:r w:rsidR="002B232F" w:rsidRPr="00942F86">
        <w:rPr>
          <w:i/>
          <w:sz w:val="25"/>
          <w:szCs w:val="25"/>
        </w:rPr>
        <w:t>i.e.,</w:t>
      </w:r>
      <w:r w:rsidR="002B232F" w:rsidRPr="00942F86">
        <w:rPr>
          <w:sz w:val="25"/>
          <w:szCs w:val="25"/>
        </w:rPr>
        <w:t xml:space="preserve"> return of investment)</w:t>
      </w:r>
      <w:r w:rsidRPr="00942F86">
        <w:rPr>
          <w:sz w:val="25"/>
          <w:szCs w:val="25"/>
        </w:rPr>
        <w:t>.</w:t>
      </w:r>
      <w:r w:rsidRPr="00942F86">
        <w:rPr>
          <w:sz w:val="25"/>
          <w:szCs w:val="25"/>
          <w:vertAlign w:val="superscript"/>
        </w:rPr>
        <w:footnoteReference w:id="375"/>
      </w:r>
      <w:r w:rsidRPr="00942F86">
        <w:rPr>
          <w:sz w:val="25"/>
          <w:szCs w:val="25"/>
        </w:rPr>
        <w:t xml:space="preserve">  Staff</w:t>
      </w:r>
      <w:r w:rsidR="002B232F" w:rsidRPr="00942F86">
        <w:rPr>
          <w:sz w:val="25"/>
          <w:szCs w:val="25"/>
        </w:rPr>
        <w:t xml:space="preserve"> argues that its</w:t>
      </w:r>
      <w:r w:rsidRPr="00942F86">
        <w:rPr>
          <w:sz w:val="25"/>
          <w:szCs w:val="25"/>
        </w:rPr>
        <w:t xml:space="preserve"> recommendation </w:t>
      </w:r>
      <w:r w:rsidR="00C761B3" w:rsidRPr="00942F86">
        <w:rPr>
          <w:sz w:val="25"/>
          <w:szCs w:val="25"/>
        </w:rPr>
        <w:t xml:space="preserve">“balances competing policy concerns” by </w:t>
      </w:r>
      <w:r w:rsidRPr="00942F86">
        <w:rPr>
          <w:sz w:val="25"/>
          <w:szCs w:val="25"/>
        </w:rPr>
        <w:t>provid</w:t>
      </w:r>
      <w:r w:rsidR="00C761B3" w:rsidRPr="00942F86">
        <w:rPr>
          <w:sz w:val="25"/>
          <w:szCs w:val="25"/>
        </w:rPr>
        <w:t>ing</w:t>
      </w:r>
      <w:r w:rsidRPr="00942F86">
        <w:rPr>
          <w:sz w:val="25"/>
          <w:szCs w:val="25"/>
        </w:rPr>
        <w:t xml:space="preserve"> shareholders with recovery</w:t>
      </w:r>
      <w:r w:rsidR="00C761B3" w:rsidRPr="00942F86">
        <w:rPr>
          <w:sz w:val="25"/>
          <w:szCs w:val="25"/>
        </w:rPr>
        <w:t xml:space="preserve"> of depreciation expense and O&amp;M expense incurred during the pendency of this rate proceeding (</w:t>
      </w:r>
      <w:r w:rsidR="00C761B3" w:rsidRPr="00942F86">
        <w:rPr>
          <w:i/>
          <w:sz w:val="25"/>
          <w:szCs w:val="25"/>
        </w:rPr>
        <w:t>i.e.,</w:t>
      </w:r>
      <w:r w:rsidR="00C761B3" w:rsidRPr="00942F86">
        <w:rPr>
          <w:sz w:val="25"/>
          <w:szCs w:val="25"/>
        </w:rPr>
        <w:t xml:space="preserve"> between rate effective dates)</w:t>
      </w:r>
      <w:r w:rsidRPr="00942F86">
        <w:rPr>
          <w:sz w:val="25"/>
          <w:szCs w:val="25"/>
        </w:rPr>
        <w:t xml:space="preserve"> while </w:t>
      </w:r>
      <w:r w:rsidR="00C761B3" w:rsidRPr="00942F86">
        <w:rPr>
          <w:sz w:val="25"/>
          <w:szCs w:val="25"/>
        </w:rPr>
        <w:t>not allowing</w:t>
      </w:r>
      <w:r w:rsidRPr="00942F86">
        <w:rPr>
          <w:sz w:val="25"/>
          <w:szCs w:val="25"/>
        </w:rPr>
        <w:t xml:space="preserve"> the </w:t>
      </w:r>
      <w:r w:rsidR="002B232F" w:rsidRPr="00942F86">
        <w:rPr>
          <w:sz w:val="25"/>
          <w:szCs w:val="25"/>
        </w:rPr>
        <w:t xml:space="preserve">Company’s </w:t>
      </w:r>
      <w:r w:rsidR="00C761B3" w:rsidRPr="00942F86">
        <w:rPr>
          <w:sz w:val="25"/>
          <w:szCs w:val="25"/>
        </w:rPr>
        <w:t xml:space="preserve">to recover </w:t>
      </w:r>
      <w:r w:rsidR="00606C9E" w:rsidRPr="00942F86">
        <w:rPr>
          <w:sz w:val="25"/>
          <w:szCs w:val="25"/>
        </w:rPr>
        <w:t xml:space="preserve">the </w:t>
      </w:r>
      <w:r w:rsidR="00C761B3" w:rsidRPr="00942F86">
        <w:rPr>
          <w:sz w:val="25"/>
          <w:szCs w:val="25"/>
        </w:rPr>
        <w:t xml:space="preserve">return on its investment for the 13 months preceding the date the asset is authorized to be included in rate base.  This removes the Company’s </w:t>
      </w:r>
      <w:r w:rsidRPr="00942F86">
        <w:rPr>
          <w:sz w:val="25"/>
          <w:szCs w:val="25"/>
        </w:rPr>
        <w:t>primary incentive for frequent accounting petitions</w:t>
      </w:r>
      <w:r w:rsidR="002B232F" w:rsidRPr="00942F86">
        <w:rPr>
          <w:sz w:val="25"/>
          <w:szCs w:val="25"/>
        </w:rPr>
        <w:t xml:space="preserve"> </w:t>
      </w:r>
      <w:r w:rsidR="00C761B3" w:rsidRPr="00942F86">
        <w:rPr>
          <w:sz w:val="25"/>
          <w:szCs w:val="25"/>
        </w:rPr>
        <w:t>that</w:t>
      </w:r>
      <w:r w:rsidR="002B232F" w:rsidRPr="00942F86">
        <w:rPr>
          <w:sz w:val="25"/>
          <w:szCs w:val="25"/>
        </w:rPr>
        <w:t xml:space="preserve"> effectively add plant to rate base between rate cases</w:t>
      </w:r>
      <w:r w:rsidR="003C4B8A" w:rsidRPr="00942F86">
        <w:rPr>
          <w:sz w:val="25"/>
          <w:szCs w:val="25"/>
        </w:rPr>
        <w:t>.</w:t>
      </w:r>
      <w:r w:rsidR="002B232F" w:rsidRPr="00942F86">
        <w:rPr>
          <w:rStyle w:val="FootnoteReference"/>
          <w:sz w:val="25"/>
          <w:szCs w:val="25"/>
        </w:rPr>
        <w:footnoteReference w:id="376"/>
      </w:r>
      <w:r w:rsidR="003C4B8A" w:rsidRPr="00942F86">
        <w:rPr>
          <w:sz w:val="25"/>
          <w:szCs w:val="25"/>
        </w:rPr>
        <w:t xml:space="preserve">  </w:t>
      </w:r>
    </w:p>
    <w:p w14:paraId="68D55DD1" w14:textId="77777777" w:rsidR="00C761B3" w:rsidRPr="00942F86" w:rsidRDefault="00C761B3" w:rsidP="000455AC">
      <w:pPr>
        <w:pStyle w:val="ListParagraph"/>
        <w:spacing w:line="264" w:lineRule="auto"/>
        <w:rPr>
          <w:sz w:val="25"/>
          <w:szCs w:val="25"/>
        </w:rPr>
      </w:pPr>
    </w:p>
    <w:p w14:paraId="6719EE3C" w14:textId="14C1594C" w:rsidR="00C761B3" w:rsidRPr="00942F86" w:rsidRDefault="00005DAD" w:rsidP="00FC421A">
      <w:pPr>
        <w:numPr>
          <w:ilvl w:val="0"/>
          <w:numId w:val="1"/>
        </w:numPr>
        <w:tabs>
          <w:tab w:val="clear" w:pos="720"/>
          <w:tab w:val="num" w:pos="0"/>
        </w:tabs>
        <w:spacing w:line="264" w:lineRule="auto"/>
        <w:ind w:left="0"/>
        <w:rPr>
          <w:sz w:val="25"/>
          <w:szCs w:val="25"/>
        </w:rPr>
      </w:pPr>
      <w:r w:rsidRPr="00942F86">
        <w:rPr>
          <w:sz w:val="25"/>
          <w:szCs w:val="25"/>
        </w:rPr>
        <w:t>Boise White Paper opposes allowing any of the Merwin Project deferral costs for the same reason Staff proposes disallowing the return on equity component.  Mr. Mullins testifies that deferral request</w:t>
      </w:r>
      <w:r w:rsidR="00606C9E" w:rsidRPr="00942F86">
        <w:rPr>
          <w:sz w:val="25"/>
          <w:szCs w:val="25"/>
        </w:rPr>
        <w:t>s</w:t>
      </w:r>
      <w:r w:rsidRPr="00942F86">
        <w:rPr>
          <w:sz w:val="25"/>
          <w:szCs w:val="25"/>
        </w:rPr>
        <w:t xml:space="preserve"> such as this one raise serious issues of equity and fairness.  In particular, Mr. Mullins testifies that:</w:t>
      </w:r>
    </w:p>
    <w:p w14:paraId="66D80789" w14:textId="77777777" w:rsidR="00005DAD" w:rsidRPr="00942F86" w:rsidRDefault="00005DAD" w:rsidP="000455AC">
      <w:pPr>
        <w:pStyle w:val="ListParagraph"/>
        <w:spacing w:line="264" w:lineRule="auto"/>
        <w:rPr>
          <w:sz w:val="25"/>
          <w:szCs w:val="25"/>
        </w:rPr>
      </w:pPr>
    </w:p>
    <w:p w14:paraId="09FC4E81" w14:textId="087E0D39" w:rsidR="00005DAD" w:rsidRPr="00942F86" w:rsidRDefault="00005DAD" w:rsidP="000455AC">
      <w:pPr>
        <w:spacing w:line="264" w:lineRule="auto"/>
        <w:ind w:left="720" w:right="720"/>
        <w:rPr>
          <w:sz w:val="25"/>
          <w:szCs w:val="25"/>
        </w:rPr>
      </w:pPr>
      <w:r w:rsidRPr="00942F86">
        <w:rPr>
          <w:sz w:val="25"/>
          <w:szCs w:val="25"/>
        </w:rPr>
        <w:t xml:space="preserve">Customers do not control the timing of rate cases, nor do they have the information or the resources to file petitions requesting deferred accounting of </w:t>
      </w:r>
      <w:r w:rsidRPr="00942F86">
        <w:rPr>
          <w:i/>
          <w:sz w:val="25"/>
          <w:szCs w:val="25"/>
        </w:rPr>
        <w:t>benefits</w:t>
      </w:r>
      <w:r w:rsidRPr="00942F86">
        <w:rPr>
          <w:sz w:val="25"/>
          <w:szCs w:val="25"/>
        </w:rPr>
        <w:t xml:space="preserve"> the Company receives between rate cases.  Rather, customers rely on the regulatory compact and the oversight of the Commission’s rate case process to capture and balance both the costs and the benefits the Company realizes between rate cases.  It would be unfair to allow PacifiCorp to shift responsibility for all of its expenses to customers through deferred accounting, while allowing the Company to enjoy the benefits it receives until such a time as it chooses to file a rate case.</w:t>
      </w:r>
      <w:r w:rsidRPr="00942F86">
        <w:rPr>
          <w:rStyle w:val="FootnoteReference"/>
          <w:sz w:val="25"/>
          <w:szCs w:val="25"/>
        </w:rPr>
        <w:footnoteReference w:id="377"/>
      </w:r>
    </w:p>
    <w:p w14:paraId="07E9883B" w14:textId="77777777" w:rsidR="00005DAD" w:rsidRPr="00942F86" w:rsidRDefault="00005DAD" w:rsidP="000455AC">
      <w:pPr>
        <w:spacing w:line="264" w:lineRule="auto"/>
        <w:ind w:right="720"/>
        <w:rPr>
          <w:sz w:val="25"/>
          <w:szCs w:val="25"/>
        </w:rPr>
      </w:pPr>
    </w:p>
    <w:p w14:paraId="251BF6A8" w14:textId="4BA8B1E0" w:rsidR="00005DAD" w:rsidRPr="00942F86" w:rsidRDefault="00005DAD" w:rsidP="000455AC">
      <w:pPr>
        <w:spacing w:line="264" w:lineRule="auto"/>
        <w:ind w:right="720"/>
        <w:rPr>
          <w:sz w:val="25"/>
          <w:szCs w:val="25"/>
        </w:rPr>
      </w:pPr>
      <w:r w:rsidRPr="00942F86">
        <w:rPr>
          <w:sz w:val="25"/>
          <w:szCs w:val="25"/>
        </w:rPr>
        <w:t>Boise White Paper argues the Company’s request for special treatment of the Merwin Project “</w:t>
      </w:r>
      <w:r w:rsidR="00D2408A" w:rsidRPr="00942F86">
        <w:rPr>
          <w:sz w:val="25"/>
          <w:szCs w:val="25"/>
        </w:rPr>
        <w:t xml:space="preserve">is simply unnecessary and harmful to customers, given the </w:t>
      </w:r>
      <w:r w:rsidR="00D2408A" w:rsidRPr="00942F86">
        <w:rPr>
          <w:sz w:val="25"/>
          <w:szCs w:val="25"/>
        </w:rPr>
        <w:lastRenderedPageBreak/>
        <w:t>return and depreciation treatment already available to the Company in the normal rate base mechanism.”</w:t>
      </w:r>
      <w:r w:rsidR="00D2408A" w:rsidRPr="00942F86">
        <w:rPr>
          <w:rStyle w:val="FootnoteReference"/>
          <w:sz w:val="25"/>
          <w:szCs w:val="25"/>
        </w:rPr>
        <w:footnoteReference w:id="378"/>
      </w:r>
    </w:p>
    <w:p w14:paraId="7A6C7209" w14:textId="77777777" w:rsidR="00D2408A" w:rsidRPr="00942F86" w:rsidRDefault="00D2408A" w:rsidP="000455AC">
      <w:pPr>
        <w:spacing w:line="264" w:lineRule="auto"/>
        <w:ind w:right="720"/>
        <w:rPr>
          <w:sz w:val="25"/>
          <w:szCs w:val="25"/>
        </w:rPr>
      </w:pPr>
    </w:p>
    <w:p w14:paraId="2D5FB4B6" w14:textId="48347BDA" w:rsidR="00D2408A" w:rsidRPr="00942F86" w:rsidRDefault="00D2408A" w:rsidP="00FC421A">
      <w:pPr>
        <w:numPr>
          <w:ilvl w:val="0"/>
          <w:numId w:val="1"/>
        </w:numPr>
        <w:tabs>
          <w:tab w:val="clear" w:pos="720"/>
          <w:tab w:val="num" w:pos="0"/>
        </w:tabs>
        <w:spacing w:line="264" w:lineRule="auto"/>
        <w:ind w:left="0"/>
        <w:rPr>
          <w:sz w:val="25"/>
          <w:szCs w:val="25"/>
        </w:rPr>
      </w:pPr>
      <w:r w:rsidRPr="00942F86">
        <w:rPr>
          <w:sz w:val="25"/>
          <w:szCs w:val="25"/>
        </w:rPr>
        <w:t>Public Counsel also opposes approval of any part of Pacific Power’s request to recover deferred Merwin Project costs, essentially for the same reasons as Boise White Paper.  Public Counsel argues that cost recovery between rate cases “violates the general restriction on single-issue ratemaking.”</w:t>
      </w:r>
      <w:r w:rsidRPr="00942F86">
        <w:rPr>
          <w:rStyle w:val="FootnoteReference"/>
          <w:sz w:val="25"/>
          <w:szCs w:val="25"/>
        </w:rPr>
        <w:footnoteReference w:id="379"/>
      </w:r>
      <w:r w:rsidRPr="00942F86">
        <w:rPr>
          <w:sz w:val="25"/>
          <w:szCs w:val="25"/>
        </w:rPr>
        <w:t xml:space="preserve">  He argues that the Company has not established a basis for an exception to this doctrine and that it is neither fair nor reasonable to single out the Merwin Project for special treatment between rate cases.</w:t>
      </w:r>
      <w:r w:rsidR="00144297" w:rsidRPr="00942F86">
        <w:rPr>
          <w:sz w:val="25"/>
          <w:szCs w:val="25"/>
        </w:rPr>
        <w:t xml:space="preserve">  It is enough, in Public Counsel’s view, to include the Merwin Project plant in rate base just like any other </w:t>
      </w:r>
      <w:r w:rsidR="00144297" w:rsidRPr="00942F86">
        <w:rPr>
          <w:i/>
          <w:sz w:val="25"/>
          <w:szCs w:val="25"/>
        </w:rPr>
        <w:t>pro forma</w:t>
      </w:r>
      <w:r w:rsidR="00144297" w:rsidRPr="00942F86">
        <w:rPr>
          <w:sz w:val="25"/>
          <w:szCs w:val="25"/>
        </w:rPr>
        <w:t xml:space="preserve"> major plant addition, which allows for “the reasonable and sufficient recovery of Merwin Project costs.”</w:t>
      </w:r>
      <w:r w:rsidR="00144297" w:rsidRPr="00942F86">
        <w:rPr>
          <w:rStyle w:val="FootnoteReference"/>
          <w:sz w:val="25"/>
          <w:szCs w:val="25"/>
        </w:rPr>
        <w:footnoteReference w:id="380"/>
      </w:r>
    </w:p>
    <w:p w14:paraId="190A15E7" w14:textId="77777777" w:rsidR="00005DAD" w:rsidRPr="00942F86" w:rsidRDefault="00005DAD" w:rsidP="000455AC">
      <w:pPr>
        <w:spacing w:line="264" w:lineRule="auto"/>
        <w:rPr>
          <w:sz w:val="25"/>
          <w:szCs w:val="25"/>
        </w:rPr>
      </w:pPr>
    </w:p>
    <w:p w14:paraId="4C07307D" w14:textId="5B85A8A0" w:rsidR="00144297" w:rsidRPr="00942F86" w:rsidRDefault="00144297"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w:t>
      </w:r>
      <w:r w:rsidR="00BD3293" w:rsidRPr="00942F86">
        <w:rPr>
          <w:sz w:val="25"/>
          <w:szCs w:val="25"/>
        </w:rPr>
        <w:t xml:space="preserve">While not unique, the Merwin Project is of a type that is unusual.  </w:t>
      </w:r>
      <w:r w:rsidR="009168C4" w:rsidRPr="00942F86">
        <w:rPr>
          <w:sz w:val="25"/>
          <w:szCs w:val="25"/>
        </w:rPr>
        <w:t xml:space="preserve">The installation of this fish collector was necessary for the Company to secure a new </w:t>
      </w:r>
      <w:r w:rsidR="00D875B8" w:rsidRPr="00942F86">
        <w:rPr>
          <w:sz w:val="25"/>
          <w:szCs w:val="25"/>
        </w:rPr>
        <w:t>Federal Energy Regulatory Commission (</w:t>
      </w:r>
      <w:r w:rsidR="009168C4" w:rsidRPr="00942F86">
        <w:rPr>
          <w:sz w:val="25"/>
          <w:szCs w:val="25"/>
        </w:rPr>
        <w:t>FERC</w:t>
      </w:r>
      <w:r w:rsidR="00D875B8" w:rsidRPr="00942F86">
        <w:rPr>
          <w:sz w:val="25"/>
          <w:szCs w:val="25"/>
        </w:rPr>
        <w:t>)</w:t>
      </w:r>
      <w:r w:rsidR="009168C4" w:rsidRPr="00942F86">
        <w:rPr>
          <w:sz w:val="25"/>
          <w:szCs w:val="25"/>
        </w:rPr>
        <w:t xml:space="preserve"> license, which will allow the Company to continue to operate the Lewis River dams for an additional 50 years.</w:t>
      </w:r>
      <w:r w:rsidR="009168C4" w:rsidRPr="00942F86">
        <w:rPr>
          <w:rStyle w:val="FootnoteReference"/>
          <w:sz w:val="25"/>
          <w:szCs w:val="25"/>
        </w:rPr>
        <w:footnoteReference w:id="381"/>
      </w:r>
      <w:r w:rsidR="009168C4" w:rsidRPr="00942F86">
        <w:rPr>
          <w:sz w:val="25"/>
          <w:szCs w:val="25"/>
        </w:rPr>
        <w:t xml:space="preserve">  The project’s design was dictated and approved by federal regulators.</w:t>
      </w:r>
      <w:r w:rsidR="009168C4" w:rsidRPr="00942F86">
        <w:rPr>
          <w:rStyle w:val="FootnoteReference"/>
          <w:sz w:val="25"/>
          <w:szCs w:val="25"/>
        </w:rPr>
        <w:footnoteReference w:id="382"/>
      </w:r>
      <w:r w:rsidR="009168C4" w:rsidRPr="00942F86">
        <w:rPr>
          <w:sz w:val="25"/>
          <w:szCs w:val="25"/>
        </w:rPr>
        <w:t xml:space="preserve">  Because of this project,</w:t>
      </w:r>
      <w:r w:rsidR="00345870" w:rsidRPr="00942F86">
        <w:rPr>
          <w:sz w:val="25"/>
          <w:szCs w:val="25"/>
        </w:rPr>
        <w:t xml:space="preserve"> albeit not revenue producing itself,</w:t>
      </w:r>
      <w:r w:rsidR="009168C4" w:rsidRPr="00942F86">
        <w:rPr>
          <w:sz w:val="25"/>
          <w:szCs w:val="25"/>
        </w:rPr>
        <w:t xml:space="preserve"> customers will continue to benefit from the Company’s emission-free, low-cost hydropower generation.</w:t>
      </w:r>
      <w:r w:rsidR="009168C4" w:rsidRPr="00942F86">
        <w:rPr>
          <w:rStyle w:val="FootnoteReference"/>
          <w:sz w:val="25"/>
          <w:szCs w:val="25"/>
        </w:rPr>
        <w:footnoteReference w:id="383"/>
      </w:r>
    </w:p>
    <w:p w14:paraId="0B20D4D1" w14:textId="77777777" w:rsidR="009168C4" w:rsidRPr="00942F86" w:rsidRDefault="009168C4" w:rsidP="000455AC">
      <w:pPr>
        <w:pStyle w:val="ListParagraph"/>
        <w:spacing w:line="264" w:lineRule="auto"/>
        <w:rPr>
          <w:sz w:val="25"/>
          <w:szCs w:val="25"/>
        </w:rPr>
      </w:pPr>
    </w:p>
    <w:p w14:paraId="7412AA6C" w14:textId="092308CB" w:rsidR="009168C4" w:rsidRPr="00942F86" w:rsidRDefault="009168C4" w:rsidP="00FC421A">
      <w:pPr>
        <w:numPr>
          <w:ilvl w:val="0"/>
          <w:numId w:val="1"/>
        </w:numPr>
        <w:tabs>
          <w:tab w:val="clear" w:pos="720"/>
          <w:tab w:val="num" w:pos="0"/>
        </w:tabs>
        <w:spacing w:line="264" w:lineRule="auto"/>
        <w:ind w:left="0"/>
        <w:rPr>
          <w:sz w:val="25"/>
          <w:szCs w:val="25"/>
        </w:rPr>
      </w:pPr>
      <w:r w:rsidRPr="00942F86">
        <w:rPr>
          <w:sz w:val="25"/>
          <w:szCs w:val="25"/>
        </w:rPr>
        <w:t>Staff refers us to a somewhat similar situation that confronted Avista, leading the company to file a petition for an accounting order to defer costs related to the improvement of dissolved oxygen levels in Lake Spokane.</w:t>
      </w:r>
      <w:r w:rsidRPr="00942F86">
        <w:rPr>
          <w:rStyle w:val="FootnoteReference"/>
          <w:sz w:val="25"/>
          <w:szCs w:val="25"/>
        </w:rPr>
        <w:footnoteReference w:id="384"/>
      </w:r>
      <w:r w:rsidRPr="00942F86">
        <w:rPr>
          <w:sz w:val="25"/>
          <w:szCs w:val="25"/>
        </w:rPr>
        <w:t xml:space="preserve">  </w:t>
      </w:r>
      <w:r w:rsidR="00463D74" w:rsidRPr="00942F86">
        <w:rPr>
          <w:sz w:val="25"/>
          <w:szCs w:val="25"/>
        </w:rPr>
        <w:t xml:space="preserve">This project was </w:t>
      </w:r>
      <w:r w:rsidR="00D875B8" w:rsidRPr="00942F86">
        <w:rPr>
          <w:sz w:val="25"/>
          <w:szCs w:val="25"/>
        </w:rPr>
        <w:t xml:space="preserve">also </w:t>
      </w:r>
      <w:r w:rsidR="00463D74" w:rsidRPr="00942F86">
        <w:rPr>
          <w:sz w:val="25"/>
          <w:szCs w:val="25"/>
        </w:rPr>
        <w:t xml:space="preserve">part of a FERC </w:t>
      </w:r>
      <w:r w:rsidR="00D875B8" w:rsidRPr="00942F86">
        <w:rPr>
          <w:sz w:val="25"/>
          <w:szCs w:val="25"/>
        </w:rPr>
        <w:t xml:space="preserve">licensing </w:t>
      </w:r>
      <w:r w:rsidR="00463D74" w:rsidRPr="00942F86">
        <w:rPr>
          <w:sz w:val="25"/>
          <w:szCs w:val="25"/>
        </w:rPr>
        <w:t xml:space="preserve">process and also involved the Washington Department of Ecology.  Avista recorded its costs for the project as Construction Work in Progress.  It intended to capitalize the costs after construction of a facility that was anticipated to be required as part of an attainment plan.  Once a non-facility based plan was </w:t>
      </w:r>
      <w:r w:rsidR="00463D74" w:rsidRPr="00942F86">
        <w:rPr>
          <w:sz w:val="25"/>
          <w:szCs w:val="25"/>
        </w:rPr>
        <w:lastRenderedPageBreak/>
        <w:t>approved, however, Avista requested deferral accounting treatment for its costs with the intention to seek a determination of eligibility for recovery “in their next general rate case or in a separate filing.”</w:t>
      </w:r>
      <w:r w:rsidR="00463D74" w:rsidRPr="00942F86">
        <w:rPr>
          <w:rStyle w:val="FootnoteReference"/>
          <w:sz w:val="25"/>
          <w:szCs w:val="25"/>
        </w:rPr>
        <w:footnoteReference w:id="385"/>
      </w:r>
      <w:r w:rsidR="00463D74" w:rsidRPr="00942F86">
        <w:rPr>
          <w:sz w:val="25"/>
          <w:szCs w:val="25"/>
        </w:rPr>
        <w:t xml:space="preserve">  Avista did not seek and the Commission did not authorize the accrual of interest (</w:t>
      </w:r>
      <w:r w:rsidR="00463D74" w:rsidRPr="00942F86">
        <w:rPr>
          <w:i/>
          <w:sz w:val="25"/>
          <w:szCs w:val="25"/>
        </w:rPr>
        <w:t>i.e.,</w:t>
      </w:r>
      <w:r w:rsidR="00463D74" w:rsidRPr="00942F86">
        <w:rPr>
          <w:sz w:val="25"/>
          <w:szCs w:val="25"/>
        </w:rPr>
        <w:t xml:space="preserve"> return on investment) on the Washington share of the deferrals.</w:t>
      </w:r>
      <w:r w:rsidR="00463D74" w:rsidRPr="00942F86">
        <w:rPr>
          <w:rStyle w:val="FootnoteReference"/>
          <w:sz w:val="25"/>
          <w:szCs w:val="25"/>
        </w:rPr>
        <w:footnoteReference w:id="386"/>
      </w:r>
    </w:p>
    <w:p w14:paraId="2AC08E7D" w14:textId="77777777" w:rsidR="00463D74" w:rsidRPr="00942F86" w:rsidRDefault="00463D74" w:rsidP="000455AC">
      <w:pPr>
        <w:pStyle w:val="ListParagraph"/>
        <w:spacing w:line="264" w:lineRule="auto"/>
        <w:rPr>
          <w:sz w:val="25"/>
          <w:szCs w:val="25"/>
        </w:rPr>
      </w:pPr>
    </w:p>
    <w:p w14:paraId="352D6D22" w14:textId="6FF93D8F" w:rsidR="00463D74" w:rsidRPr="00942F86" w:rsidRDefault="004C4256" w:rsidP="00FC421A">
      <w:pPr>
        <w:numPr>
          <w:ilvl w:val="0"/>
          <w:numId w:val="1"/>
        </w:numPr>
        <w:tabs>
          <w:tab w:val="clear" w:pos="720"/>
          <w:tab w:val="num" w:pos="0"/>
        </w:tabs>
        <w:spacing w:line="264" w:lineRule="auto"/>
        <w:ind w:left="0"/>
        <w:rPr>
          <w:sz w:val="25"/>
          <w:szCs w:val="25"/>
        </w:rPr>
      </w:pPr>
      <w:r w:rsidRPr="00942F86">
        <w:rPr>
          <w:sz w:val="25"/>
          <w:szCs w:val="25"/>
        </w:rPr>
        <w:t>While a close call</w:t>
      </w:r>
      <w:r w:rsidR="00345870" w:rsidRPr="00942F86">
        <w:rPr>
          <w:sz w:val="25"/>
          <w:szCs w:val="25"/>
        </w:rPr>
        <w:t xml:space="preserve">, the approach taken in the Avista case provides guidance and influences us to accept Staff’s recommendation with respect to the Merwin Project deferral.  We take seriously the concerns Staff, Public Counsel, and Boise White Paper raise with respect to the importance of </w:t>
      </w:r>
      <w:r w:rsidRPr="00942F86">
        <w:rPr>
          <w:sz w:val="25"/>
          <w:szCs w:val="25"/>
        </w:rPr>
        <w:t>dis</w:t>
      </w:r>
      <w:r w:rsidR="00345870" w:rsidRPr="00942F86">
        <w:rPr>
          <w:sz w:val="25"/>
          <w:szCs w:val="25"/>
        </w:rPr>
        <w:t xml:space="preserve">couraging companies </w:t>
      </w:r>
      <w:r w:rsidRPr="00942F86">
        <w:rPr>
          <w:sz w:val="25"/>
          <w:szCs w:val="25"/>
        </w:rPr>
        <w:t>from filing</w:t>
      </w:r>
      <w:r w:rsidR="00345870" w:rsidRPr="00942F86">
        <w:rPr>
          <w:sz w:val="25"/>
          <w:szCs w:val="25"/>
        </w:rPr>
        <w:t xml:space="preserve"> accounting petitions as a means to secure between-rate-case cost recovery for plant additions.  We are nearly persuaded to reject Pacific Power’s request for recovery of any of these costs</w:t>
      </w:r>
      <w:r w:rsidR="00966F13" w:rsidRPr="00942F86">
        <w:rPr>
          <w:sz w:val="25"/>
          <w:szCs w:val="25"/>
        </w:rPr>
        <w:t xml:space="preserve"> and to treat the Merwin Project just as any other post test period </w:t>
      </w:r>
      <w:r w:rsidR="00966F13" w:rsidRPr="00942F86">
        <w:rPr>
          <w:i/>
          <w:sz w:val="25"/>
          <w:szCs w:val="25"/>
        </w:rPr>
        <w:t>pro forma</w:t>
      </w:r>
      <w:r w:rsidR="00966F13" w:rsidRPr="00942F86">
        <w:rPr>
          <w:sz w:val="25"/>
          <w:szCs w:val="25"/>
        </w:rPr>
        <w:t xml:space="preserve"> adjustment to rate base.  We emphasize, then, that the treatment we allow in this instance is exceptional and turns on the unusual nature of the project involved.  We authorize recovery</w:t>
      </w:r>
      <w:r w:rsidR="008A0FB6" w:rsidRPr="00942F86">
        <w:rPr>
          <w:sz w:val="25"/>
          <w:szCs w:val="25"/>
        </w:rPr>
        <w:t xml:space="preserve"> </w:t>
      </w:r>
      <w:r w:rsidR="00966F13" w:rsidRPr="00942F86">
        <w:rPr>
          <w:sz w:val="25"/>
          <w:szCs w:val="25"/>
        </w:rPr>
        <w:t>of the Merwin Project’s deferred O&amp;M costs and depreciation from the date of the Company’s deferral petition through the day preceding the rate effective date of Pacific Power’s compliance filing in Docket UE-140762.</w:t>
      </w:r>
      <w:r w:rsidR="008A0FB6" w:rsidRPr="00942F86">
        <w:rPr>
          <w:sz w:val="25"/>
          <w:szCs w:val="25"/>
        </w:rPr>
        <w:t xml:space="preserve"> </w:t>
      </w:r>
      <w:r w:rsidR="00606C9E" w:rsidRPr="00942F86">
        <w:rPr>
          <w:sz w:val="25"/>
          <w:szCs w:val="25"/>
        </w:rPr>
        <w:t xml:space="preserve">This deferral will allow the Company to recover $530,000 in such costs, but exclude any deferred interest.  </w:t>
      </w:r>
      <w:r w:rsidR="008A0FB6" w:rsidRPr="00942F86">
        <w:rPr>
          <w:sz w:val="25"/>
          <w:szCs w:val="25"/>
        </w:rPr>
        <w:t>The recovery will be through Pacific Power’s Tariff Schedule 92.</w:t>
      </w:r>
      <w:r w:rsidR="00966F13" w:rsidRPr="00942F86">
        <w:rPr>
          <w:sz w:val="25"/>
          <w:szCs w:val="25"/>
        </w:rPr>
        <w:t xml:space="preserve">  Pacific Power is authorized to </w:t>
      </w:r>
      <w:r w:rsidR="008779AA" w:rsidRPr="00942F86">
        <w:rPr>
          <w:sz w:val="25"/>
          <w:szCs w:val="25"/>
        </w:rPr>
        <w:t xml:space="preserve">include the Merwin Project in rate base and will </w:t>
      </w:r>
      <w:r w:rsidR="00966F13" w:rsidRPr="00942F86">
        <w:rPr>
          <w:sz w:val="25"/>
          <w:szCs w:val="25"/>
        </w:rPr>
        <w:t>recover return on</w:t>
      </w:r>
      <w:r w:rsidR="008779AA" w:rsidRPr="00942F86">
        <w:rPr>
          <w:sz w:val="25"/>
          <w:szCs w:val="25"/>
        </w:rPr>
        <w:t>, in addition to return of,</w:t>
      </w:r>
      <w:r w:rsidR="00966F13" w:rsidRPr="00942F86">
        <w:rPr>
          <w:sz w:val="25"/>
          <w:szCs w:val="25"/>
        </w:rPr>
        <w:t xml:space="preserve"> its investment prospectively</w:t>
      </w:r>
      <w:r w:rsidR="008A0FB6" w:rsidRPr="00942F86">
        <w:rPr>
          <w:sz w:val="25"/>
          <w:szCs w:val="25"/>
        </w:rPr>
        <w:t>,</w:t>
      </w:r>
      <w:r w:rsidR="00966F13" w:rsidRPr="00942F86">
        <w:rPr>
          <w:sz w:val="25"/>
          <w:szCs w:val="25"/>
        </w:rPr>
        <w:t xml:space="preserve"> beginning on the rate effective date</w:t>
      </w:r>
      <w:r w:rsidR="008A0FB6" w:rsidRPr="00942F86">
        <w:rPr>
          <w:sz w:val="25"/>
          <w:szCs w:val="25"/>
        </w:rPr>
        <w:t>.</w:t>
      </w:r>
    </w:p>
    <w:p w14:paraId="35DD3185" w14:textId="7D963216" w:rsidR="00323CCC" w:rsidRDefault="00323CCC" w:rsidP="000455AC">
      <w:pPr>
        <w:spacing w:line="264" w:lineRule="auto"/>
        <w:rPr>
          <w:sz w:val="25"/>
          <w:szCs w:val="25"/>
        </w:rPr>
      </w:pPr>
    </w:p>
    <w:p w14:paraId="293AC5E3" w14:textId="77777777" w:rsidR="00A77C7F" w:rsidRPr="00942F86" w:rsidRDefault="00A77C7F" w:rsidP="00883A54">
      <w:pPr>
        <w:pStyle w:val="Heading4"/>
        <w:numPr>
          <w:ilvl w:val="0"/>
          <w:numId w:val="19"/>
        </w:numPr>
      </w:pPr>
      <w:bookmarkStart w:id="55" w:name="_Toc415037646"/>
      <w:r w:rsidRPr="00942F86">
        <w:t>Colstrip Outage (Docket UE-131384)</w:t>
      </w:r>
      <w:bookmarkEnd w:id="55"/>
    </w:p>
    <w:p w14:paraId="4EC64B56" w14:textId="77777777" w:rsidR="00A77C7F" w:rsidRPr="00942F86" w:rsidRDefault="00A77C7F" w:rsidP="000455AC">
      <w:pPr>
        <w:spacing w:line="264" w:lineRule="auto"/>
        <w:rPr>
          <w:sz w:val="25"/>
          <w:szCs w:val="25"/>
        </w:rPr>
      </w:pPr>
    </w:p>
    <w:p w14:paraId="73AB9422" w14:textId="396D4846" w:rsidR="009F4873" w:rsidRPr="00942F86" w:rsidRDefault="008B3C72" w:rsidP="00FC421A">
      <w:pPr>
        <w:numPr>
          <w:ilvl w:val="0"/>
          <w:numId w:val="1"/>
        </w:numPr>
        <w:tabs>
          <w:tab w:val="clear" w:pos="720"/>
          <w:tab w:val="num" w:pos="0"/>
        </w:tabs>
        <w:spacing w:line="264" w:lineRule="auto"/>
        <w:ind w:left="0"/>
        <w:rPr>
          <w:sz w:val="25"/>
          <w:szCs w:val="25"/>
        </w:rPr>
      </w:pPr>
      <w:r w:rsidRPr="00942F86">
        <w:rPr>
          <w:sz w:val="25"/>
          <w:szCs w:val="25"/>
        </w:rPr>
        <w:t>Pacific Power filed a petition for an accounting order on July 26, 2013, in Docket UE-131384</w:t>
      </w:r>
      <w:r w:rsidR="00F33976" w:rsidRPr="00942F86">
        <w:rPr>
          <w:sz w:val="25"/>
          <w:szCs w:val="25"/>
        </w:rPr>
        <w:t>,</w:t>
      </w:r>
      <w:r w:rsidRPr="00942F86">
        <w:rPr>
          <w:sz w:val="25"/>
          <w:szCs w:val="25"/>
        </w:rPr>
        <w:t xml:space="preserve"> requesting an order authorizing the Company to defer from the date of the petition forward its costs for repair and replacement purchase power for an outage at the 740-megawatt unit 4 of the Colstrip generating plant located in Colstrip, Montana.</w:t>
      </w:r>
      <w:r w:rsidRPr="00942F86">
        <w:rPr>
          <w:rStyle w:val="FootnoteReference"/>
          <w:sz w:val="25"/>
          <w:szCs w:val="25"/>
        </w:rPr>
        <w:footnoteReference w:id="387"/>
      </w:r>
      <w:r w:rsidR="00606C9E" w:rsidRPr="00942F86">
        <w:rPr>
          <w:sz w:val="25"/>
          <w:szCs w:val="25"/>
        </w:rPr>
        <w:t xml:space="preserve">  </w:t>
      </w:r>
      <w:r w:rsidRPr="00942F86">
        <w:rPr>
          <w:sz w:val="25"/>
          <w:szCs w:val="25"/>
        </w:rPr>
        <w:t xml:space="preserve">The petition followed a major plant failure on July 1, 2013, resulting in material damage to the unit.  The Company estimated the costs to repair the plant </w:t>
      </w:r>
      <w:r w:rsidRPr="00942F86">
        <w:rPr>
          <w:sz w:val="25"/>
          <w:szCs w:val="25"/>
        </w:rPr>
        <w:lastRenderedPageBreak/>
        <w:t>would range between $3 million to $4 million and was expected to take at least six months to complete.</w:t>
      </w:r>
      <w:r w:rsidRPr="00942F86">
        <w:rPr>
          <w:rStyle w:val="FootnoteReference"/>
          <w:sz w:val="25"/>
          <w:szCs w:val="25"/>
        </w:rPr>
        <w:footnoteReference w:id="388"/>
      </w:r>
      <w:r w:rsidRPr="00942F86">
        <w:rPr>
          <w:rStyle w:val="FootnoteReference"/>
          <w:sz w:val="25"/>
          <w:szCs w:val="25"/>
        </w:rPr>
        <w:t xml:space="preserve"> </w:t>
      </w:r>
      <w:r w:rsidR="009518A7" w:rsidRPr="00942F86">
        <w:rPr>
          <w:sz w:val="25"/>
          <w:szCs w:val="25"/>
        </w:rPr>
        <w:t xml:space="preserve"> </w:t>
      </w:r>
    </w:p>
    <w:p w14:paraId="08689A8C" w14:textId="77777777" w:rsidR="009F4873" w:rsidRPr="00942F86" w:rsidRDefault="009F4873" w:rsidP="000455AC">
      <w:pPr>
        <w:spacing w:line="264" w:lineRule="auto"/>
        <w:rPr>
          <w:sz w:val="25"/>
          <w:szCs w:val="25"/>
        </w:rPr>
      </w:pPr>
    </w:p>
    <w:p w14:paraId="35A550B0" w14:textId="40F2F744" w:rsidR="00F33976" w:rsidRPr="00942F86" w:rsidRDefault="009518A7" w:rsidP="00FC421A">
      <w:pPr>
        <w:numPr>
          <w:ilvl w:val="0"/>
          <w:numId w:val="1"/>
        </w:numPr>
        <w:tabs>
          <w:tab w:val="clear" w:pos="720"/>
          <w:tab w:val="num" w:pos="0"/>
        </w:tabs>
        <w:spacing w:line="264" w:lineRule="auto"/>
        <w:ind w:left="0"/>
        <w:rPr>
          <w:sz w:val="25"/>
          <w:szCs w:val="25"/>
        </w:rPr>
      </w:pPr>
      <w:r w:rsidRPr="00942F86">
        <w:rPr>
          <w:sz w:val="25"/>
          <w:szCs w:val="25"/>
        </w:rPr>
        <w:t>Although we have found no related discussion in the record, it appears from a comparison of Ms. Siores’ direct and rebuttal exhibits that the Company removed the costs of repair from its deferral accounting,</w:t>
      </w:r>
      <w:r w:rsidRPr="00942F86">
        <w:rPr>
          <w:rStyle w:val="FootnoteReference"/>
          <w:sz w:val="25"/>
          <w:szCs w:val="25"/>
        </w:rPr>
        <w:footnoteReference w:id="389"/>
      </w:r>
      <w:r w:rsidRPr="00942F86">
        <w:rPr>
          <w:sz w:val="25"/>
          <w:szCs w:val="25"/>
        </w:rPr>
        <w:t xml:space="preserve"> leaving only a request to defer replacement power costs.  We presume this means the Company now elects to recover the costs of repair as a capital cost in base rates, rather than through a Schedule 92 surcharge addition.</w:t>
      </w:r>
      <w:r w:rsidR="008B3C72" w:rsidRPr="00942F86">
        <w:rPr>
          <w:sz w:val="25"/>
          <w:szCs w:val="25"/>
        </w:rPr>
        <w:t xml:space="preserve"> </w:t>
      </w:r>
    </w:p>
    <w:p w14:paraId="72510976" w14:textId="77777777" w:rsidR="009518A7" w:rsidRPr="00942F86" w:rsidRDefault="009518A7" w:rsidP="000455AC">
      <w:pPr>
        <w:spacing w:line="264" w:lineRule="auto"/>
        <w:rPr>
          <w:sz w:val="25"/>
          <w:szCs w:val="25"/>
        </w:rPr>
      </w:pPr>
    </w:p>
    <w:p w14:paraId="3F91C2ED" w14:textId="5BC29243" w:rsidR="00767D64" w:rsidRPr="00942F86" w:rsidRDefault="00B573D8" w:rsidP="00FC421A">
      <w:pPr>
        <w:numPr>
          <w:ilvl w:val="0"/>
          <w:numId w:val="1"/>
        </w:numPr>
        <w:tabs>
          <w:tab w:val="clear" w:pos="720"/>
          <w:tab w:val="num" w:pos="0"/>
        </w:tabs>
        <w:spacing w:line="264" w:lineRule="auto"/>
        <w:ind w:left="0"/>
        <w:rPr>
          <w:sz w:val="25"/>
          <w:szCs w:val="25"/>
        </w:rPr>
      </w:pPr>
      <w:r w:rsidRPr="00942F86">
        <w:rPr>
          <w:sz w:val="25"/>
          <w:szCs w:val="25"/>
        </w:rPr>
        <w:t>T</w:t>
      </w:r>
      <w:r w:rsidR="008B3C72" w:rsidRPr="00942F86">
        <w:rPr>
          <w:sz w:val="25"/>
          <w:szCs w:val="25"/>
        </w:rPr>
        <w:t>he Company</w:t>
      </w:r>
      <w:r w:rsidRPr="00942F86">
        <w:rPr>
          <w:sz w:val="25"/>
          <w:szCs w:val="25"/>
        </w:rPr>
        <w:t xml:space="preserve"> estimates</w:t>
      </w:r>
      <w:r w:rsidR="008B3C72" w:rsidRPr="00942F86">
        <w:rPr>
          <w:sz w:val="25"/>
          <w:szCs w:val="25"/>
        </w:rPr>
        <w:t xml:space="preserve"> that additional power purchases required to replace the lost energy normally obtained from the damaged unit</w:t>
      </w:r>
      <w:r w:rsidRPr="00942F86">
        <w:rPr>
          <w:sz w:val="25"/>
          <w:szCs w:val="25"/>
        </w:rPr>
        <w:t xml:space="preserve"> range</w:t>
      </w:r>
      <w:r w:rsidR="008B3C72" w:rsidRPr="00942F86">
        <w:rPr>
          <w:sz w:val="25"/>
          <w:szCs w:val="25"/>
        </w:rPr>
        <w:t xml:space="preserve"> from $9 million to $12 million over the anticipated term of the outage.</w:t>
      </w:r>
      <w:r w:rsidR="008B3C72" w:rsidRPr="00942F86">
        <w:rPr>
          <w:rStyle w:val="FootnoteReference"/>
          <w:sz w:val="25"/>
          <w:szCs w:val="25"/>
        </w:rPr>
        <w:footnoteReference w:id="390"/>
      </w:r>
      <w:r w:rsidR="008B3C72" w:rsidRPr="00942F86">
        <w:rPr>
          <w:rStyle w:val="FootnoteReference"/>
          <w:sz w:val="25"/>
          <w:szCs w:val="25"/>
        </w:rPr>
        <w:t xml:space="preserve"> </w:t>
      </w:r>
      <w:r w:rsidR="00BC50E0">
        <w:rPr>
          <w:sz w:val="25"/>
          <w:szCs w:val="25"/>
        </w:rPr>
        <w:t xml:space="preserve"> </w:t>
      </w:r>
      <w:r w:rsidR="008B3C72" w:rsidRPr="00942F86">
        <w:rPr>
          <w:rStyle w:val="FootnoteReference"/>
          <w:sz w:val="25"/>
          <w:szCs w:val="25"/>
        </w:rPr>
        <w:t xml:space="preserve"> </w:t>
      </w:r>
      <w:r w:rsidR="008961A6" w:rsidRPr="00942F86">
        <w:rPr>
          <w:sz w:val="25"/>
          <w:szCs w:val="25"/>
        </w:rPr>
        <w:t>The Company requests deferral accounting treatment for the replacement power costs, and for recovery of the deferred costs in base rates.</w:t>
      </w:r>
    </w:p>
    <w:p w14:paraId="6D6FA187" w14:textId="77777777" w:rsidR="00767D64" w:rsidRPr="00942F86" w:rsidRDefault="00767D64" w:rsidP="000455AC">
      <w:pPr>
        <w:spacing w:line="264" w:lineRule="auto"/>
        <w:rPr>
          <w:sz w:val="25"/>
          <w:szCs w:val="25"/>
        </w:rPr>
      </w:pPr>
    </w:p>
    <w:p w14:paraId="02F6DACE" w14:textId="3FA57BE9" w:rsidR="008B3C72" w:rsidRPr="00942F86" w:rsidRDefault="008B3C72" w:rsidP="00FC421A">
      <w:pPr>
        <w:numPr>
          <w:ilvl w:val="0"/>
          <w:numId w:val="1"/>
        </w:numPr>
        <w:tabs>
          <w:tab w:val="clear" w:pos="720"/>
          <w:tab w:val="num" w:pos="0"/>
        </w:tabs>
        <w:spacing w:line="264" w:lineRule="auto"/>
        <w:ind w:left="0"/>
        <w:rPr>
          <w:sz w:val="25"/>
          <w:szCs w:val="25"/>
        </w:rPr>
      </w:pPr>
      <w:r w:rsidRPr="00942F86">
        <w:rPr>
          <w:sz w:val="25"/>
          <w:szCs w:val="25"/>
        </w:rPr>
        <w:t xml:space="preserve">On June, 24, 2014, </w:t>
      </w:r>
      <w:r w:rsidR="008961A6" w:rsidRPr="00942F86">
        <w:rPr>
          <w:sz w:val="25"/>
          <w:szCs w:val="25"/>
        </w:rPr>
        <w:t xml:space="preserve">without acting on the petition, the Commission consolidated Docket UE-131384 into </w:t>
      </w:r>
      <w:r w:rsidR="00EA3F7E">
        <w:rPr>
          <w:sz w:val="25"/>
          <w:szCs w:val="25"/>
        </w:rPr>
        <w:t>this</w:t>
      </w:r>
      <w:r w:rsidR="008961A6" w:rsidRPr="00942F86">
        <w:rPr>
          <w:sz w:val="25"/>
          <w:szCs w:val="25"/>
        </w:rPr>
        <w:t xml:space="preserve"> general rate case in Docket UE-140762.</w:t>
      </w:r>
      <w:r w:rsidR="008961A6" w:rsidRPr="00942F86">
        <w:rPr>
          <w:rStyle w:val="FootnoteReference"/>
          <w:sz w:val="25"/>
          <w:szCs w:val="25"/>
        </w:rPr>
        <w:footnoteReference w:id="391"/>
      </w:r>
      <w:r w:rsidR="008961A6" w:rsidRPr="00942F86">
        <w:rPr>
          <w:sz w:val="25"/>
          <w:szCs w:val="25"/>
        </w:rPr>
        <w:t xml:space="preserve">  In the context of the consolidated cases the Commission must determine whether to grant the petition and, if so, whether to allow recovery of the deferred costs.</w:t>
      </w:r>
    </w:p>
    <w:p w14:paraId="5334D16C" w14:textId="77777777" w:rsidR="008B3C72" w:rsidRPr="00942F86" w:rsidRDefault="008B3C72" w:rsidP="000455AC">
      <w:pPr>
        <w:spacing w:line="264" w:lineRule="auto"/>
        <w:rPr>
          <w:sz w:val="25"/>
          <w:szCs w:val="25"/>
        </w:rPr>
      </w:pPr>
    </w:p>
    <w:p w14:paraId="2C530C1B" w14:textId="53852F89" w:rsidR="008B3C72" w:rsidRPr="00942F86" w:rsidRDefault="008B3C72" w:rsidP="00FC421A">
      <w:pPr>
        <w:numPr>
          <w:ilvl w:val="0"/>
          <w:numId w:val="1"/>
        </w:numPr>
        <w:tabs>
          <w:tab w:val="clear" w:pos="720"/>
          <w:tab w:val="num" w:pos="0"/>
        </w:tabs>
        <w:spacing w:line="264" w:lineRule="auto"/>
        <w:ind w:left="0"/>
        <w:rPr>
          <w:sz w:val="25"/>
          <w:szCs w:val="25"/>
        </w:rPr>
      </w:pPr>
      <w:r w:rsidRPr="00942F86">
        <w:rPr>
          <w:sz w:val="25"/>
          <w:szCs w:val="25"/>
        </w:rPr>
        <w:t xml:space="preserve">The Company’s only mention </w:t>
      </w:r>
      <w:r w:rsidR="004C4256" w:rsidRPr="00942F86">
        <w:rPr>
          <w:sz w:val="25"/>
          <w:szCs w:val="25"/>
        </w:rPr>
        <w:t xml:space="preserve">of </w:t>
      </w:r>
      <w:r w:rsidRPr="00942F86">
        <w:rPr>
          <w:sz w:val="25"/>
          <w:szCs w:val="25"/>
        </w:rPr>
        <w:t xml:space="preserve">the deferral </w:t>
      </w:r>
      <w:r w:rsidR="004C4256" w:rsidRPr="00942F86">
        <w:rPr>
          <w:sz w:val="25"/>
          <w:szCs w:val="25"/>
        </w:rPr>
        <w:t xml:space="preserve">in its direct testimony </w:t>
      </w:r>
      <w:r w:rsidRPr="00942F86">
        <w:rPr>
          <w:sz w:val="25"/>
          <w:szCs w:val="25"/>
        </w:rPr>
        <w:t xml:space="preserve">is that its initial filing in UE-131384 </w:t>
      </w:r>
      <w:r w:rsidR="000F7A93" w:rsidRPr="00942F86">
        <w:rPr>
          <w:sz w:val="25"/>
          <w:szCs w:val="25"/>
        </w:rPr>
        <w:t>i</w:t>
      </w:r>
      <w:r w:rsidRPr="00942F86">
        <w:rPr>
          <w:sz w:val="25"/>
          <w:szCs w:val="25"/>
        </w:rPr>
        <w:t>s consistent with Staff testimony in Docket UE-080220.  It was in that proceeding that Staff recommended the company file an accounting petition to request deferral and possible recovery of excess costs resulting from extended forced outages.</w:t>
      </w:r>
      <w:r w:rsidRPr="00942F86">
        <w:rPr>
          <w:rStyle w:val="FootnoteReference"/>
          <w:sz w:val="25"/>
          <w:szCs w:val="25"/>
        </w:rPr>
        <w:footnoteReference w:id="392"/>
      </w:r>
    </w:p>
    <w:p w14:paraId="0904398F" w14:textId="77777777" w:rsidR="008B3C72" w:rsidRPr="00942F86" w:rsidRDefault="008B3C72" w:rsidP="000455AC">
      <w:pPr>
        <w:spacing w:line="264" w:lineRule="auto"/>
        <w:rPr>
          <w:sz w:val="25"/>
          <w:szCs w:val="25"/>
        </w:rPr>
      </w:pPr>
    </w:p>
    <w:p w14:paraId="0220DCF3" w14:textId="260F2125" w:rsidR="008B3C72" w:rsidRPr="00942F86" w:rsidRDefault="008B3C72" w:rsidP="00FC421A">
      <w:pPr>
        <w:numPr>
          <w:ilvl w:val="0"/>
          <w:numId w:val="1"/>
        </w:numPr>
        <w:tabs>
          <w:tab w:val="clear" w:pos="720"/>
          <w:tab w:val="num" w:pos="0"/>
        </w:tabs>
        <w:spacing w:line="264" w:lineRule="auto"/>
        <w:ind w:left="0"/>
        <w:rPr>
          <w:sz w:val="25"/>
          <w:szCs w:val="25"/>
        </w:rPr>
      </w:pPr>
      <w:r w:rsidRPr="00FC421A">
        <w:rPr>
          <w:i/>
          <w:sz w:val="25"/>
          <w:szCs w:val="25"/>
        </w:rPr>
        <w:t>Staff’s</w:t>
      </w:r>
      <w:r w:rsidRPr="00942F86">
        <w:rPr>
          <w:sz w:val="25"/>
          <w:szCs w:val="25"/>
        </w:rPr>
        <w:t xml:space="preserve"> witness</w:t>
      </w:r>
      <w:r w:rsidR="000F7A93" w:rsidRPr="00942F86">
        <w:rPr>
          <w:sz w:val="25"/>
          <w:szCs w:val="25"/>
        </w:rPr>
        <w:t>,</w:t>
      </w:r>
      <w:r w:rsidRPr="00942F86">
        <w:rPr>
          <w:sz w:val="25"/>
          <w:szCs w:val="25"/>
        </w:rPr>
        <w:t xml:space="preserve"> Ms. Erdahl</w:t>
      </w:r>
      <w:r w:rsidR="000F7A93" w:rsidRPr="00942F86">
        <w:rPr>
          <w:sz w:val="25"/>
          <w:szCs w:val="25"/>
        </w:rPr>
        <w:t>,</w:t>
      </w:r>
      <w:r w:rsidRPr="00942F86">
        <w:rPr>
          <w:sz w:val="25"/>
          <w:szCs w:val="25"/>
        </w:rPr>
        <w:t xml:space="preserve"> </w:t>
      </w:r>
      <w:r w:rsidR="000F7A93" w:rsidRPr="00942F86">
        <w:rPr>
          <w:sz w:val="25"/>
          <w:szCs w:val="25"/>
        </w:rPr>
        <w:t>does not oppose</w:t>
      </w:r>
      <w:r w:rsidRPr="00942F86">
        <w:rPr>
          <w:sz w:val="25"/>
          <w:szCs w:val="25"/>
        </w:rPr>
        <w:t xml:space="preserve"> the proposed deferral</w:t>
      </w:r>
      <w:r w:rsidR="000F7A93" w:rsidRPr="00942F86">
        <w:rPr>
          <w:sz w:val="25"/>
          <w:szCs w:val="25"/>
        </w:rPr>
        <w:t xml:space="preserve"> and recovery of both the repair and the replacement power costs,</w:t>
      </w:r>
      <w:r w:rsidRPr="00942F86">
        <w:rPr>
          <w:sz w:val="25"/>
          <w:szCs w:val="25"/>
        </w:rPr>
        <w:t xml:space="preserve"> but </w:t>
      </w:r>
      <w:r w:rsidR="000F7A93" w:rsidRPr="00942F86">
        <w:rPr>
          <w:sz w:val="25"/>
          <w:szCs w:val="25"/>
        </w:rPr>
        <w:t xml:space="preserve">recommends that they </w:t>
      </w:r>
      <w:r w:rsidRPr="00942F86">
        <w:rPr>
          <w:sz w:val="25"/>
          <w:szCs w:val="25"/>
        </w:rPr>
        <w:t xml:space="preserve">be </w:t>
      </w:r>
      <w:r w:rsidRPr="00942F86">
        <w:rPr>
          <w:sz w:val="25"/>
          <w:szCs w:val="25"/>
        </w:rPr>
        <w:lastRenderedPageBreak/>
        <w:t>recovered without recognition of an interest component.</w:t>
      </w:r>
      <w:r w:rsidRPr="00942F86">
        <w:rPr>
          <w:rStyle w:val="FootnoteReference"/>
          <w:sz w:val="25"/>
          <w:szCs w:val="25"/>
        </w:rPr>
        <w:footnoteReference w:id="393"/>
      </w:r>
      <w:r w:rsidRPr="00942F86">
        <w:rPr>
          <w:sz w:val="25"/>
          <w:szCs w:val="25"/>
        </w:rPr>
        <w:t xml:space="preserve"> </w:t>
      </w:r>
      <w:r w:rsidR="004C4256" w:rsidRPr="00942F86">
        <w:rPr>
          <w:sz w:val="25"/>
          <w:szCs w:val="25"/>
        </w:rPr>
        <w:t xml:space="preserve"> </w:t>
      </w:r>
      <w:r w:rsidRPr="00942F86">
        <w:rPr>
          <w:sz w:val="25"/>
          <w:szCs w:val="25"/>
        </w:rPr>
        <w:t>Additionally, under Staff’s approach, the Company’s recovery of the deferred costs would be as an element of the revenue requirement model, embedded in base rates, not as a component of the Company’s proposed Schedule 92.</w:t>
      </w:r>
      <w:r w:rsidRPr="00942F86">
        <w:rPr>
          <w:rStyle w:val="FootnoteReference"/>
          <w:sz w:val="25"/>
          <w:szCs w:val="25"/>
        </w:rPr>
        <w:footnoteReference w:id="394"/>
      </w:r>
      <w:r w:rsidRPr="00942F86">
        <w:rPr>
          <w:sz w:val="25"/>
          <w:szCs w:val="25"/>
        </w:rPr>
        <w:t xml:space="preserve">  </w:t>
      </w:r>
    </w:p>
    <w:p w14:paraId="41C8FA05" w14:textId="77777777" w:rsidR="008B3C72" w:rsidRPr="00942F86" w:rsidRDefault="008B3C72" w:rsidP="000455AC">
      <w:pPr>
        <w:spacing w:line="264" w:lineRule="auto"/>
        <w:rPr>
          <w:sz w:val="25"/>
          <w:szCs w:val="25"/>
        </w:rPr>
      </w:pPr>
    </w:p>
    <w:p w14:paraId="13A4E217" w14:textId="29665175" w:rsidR="008B3C72" w:rsidRPr="00942F86" w:rsidRDefault="000F7A93" w:rsidP="00FC421A">
      <w:pPr>
        <w:numPr>
          <w:ilvl w:val="0"/>
          <w:numId w:val="1"/>
        </w:numPr>
        <w:tabs>
          <w:tab w:val="clear" w:pos="720"/>
          <w:tab w:val="num" w:pos="0"/>
        </w:tabs>
        <w:spacing w:line="264" w:lineRule="auto"/>
        <w:ind w:left="0"/>
        <w:rPr>
          <w:sz w:val="25"/>
          <w:szCs w:val="25"/>
        </w:rPr>
      </w:pPr>
      <w:r w:rsidRPr="00942F86">
        <w:rPr>
          <w:sz w:val="25"/>
          <w:szCs w:val="25"/>
        </w:rPr>
        <w:t>T</w:t>
      </w:r>
      <w:r w:rsidR="008B3C72" w:rsidRPr="00942F86">
        <w:rPr>
          <w:sz w:val="25"/>
          <w:szCs w:val="25"/>
        </w:rPr>
        <w:t xml:space="preserve">he Company </w:t>
      </w:r>
      <w:r w:rsidRPr="00942F86">
        <w:rPr>
          <w:sz w:val="25"/>
          <w:szCs w:val="25"/>
        </w:rPr>
        <w:t>opposes Staff’s recommendation that no</w:t>
      </w:r>
      <w:r w:rsidR="008B3C72" w:rsidRPr="00942F86">
        <w:rPr>
          <w:sz w:val="25"/>
          <w:szCs w:val="25"/>
        </w:rPr>
        <w:t xml:space="preserve"> interest </w:t>
      </w:r>
      <w:r w:rsidRPr="00942F86">
        <w:rPr>
          <w:sz w:val="25"/>
          <w:szCs w:val="25"/>
        </w:rPr>
        <w:t xml:space="preserve">be allowed if the petition is approved and </w:t>
      </w:r>
      <w:r w:rsidR="008B3C72" w:rsidRPr="00942F86">
        <w:rPr>
          <w:sz w:val="25"/>
          <w:szCs w:val="25"/>
        </w:rPr>
        <w:t>deferral</w:t>
      </w:r>
      <w:r w:rsidRPr="00942F86">
        <w:rPr>
          <w:sz w:val="25"/>
          <w:szCs w:val="25"/>
        </w:rPr>
        <w:t xml:space="preserve"> accounting is authorized</w:t>
      </w:r>
      <w:r w:rsidR="008B3C72" w:rsidRPr="00942F86">
        <w:rPr>
          <w:sz w:val="25"/>
          <w:szCs w:val="25"/>
        </w:rPr>
        <w:t>.  Ms. Sio</w:t>
      </w:r>
      <w:r w:rsidRPr="00942F86">
        <w:rPr>
          <w:sz w:val="25"/>
          <w:szCs w:val="25"/>
        </w:rPr>
        <w:t>r</w:t>
      </w:r>
      <w:r w:rsidR="008B3C72" w:rsidRPr="00942F86">
        <w:rPr>
          <w:sz w:val="25"/>
          <w:szCs w:val="25"/>
        </w:rPr>
        <w:t xml:space="preserve">es testifies </w:t>
      </w:r>
      <w:r w:rsidRPr="00942F86">
        <w:rPr>
          <w:sz w:val="25"/>
          <w:szCs w:val="25"/>
        </w:rPr>
        <w:t xml:space="preserve">that </w:t>
      </w:r>
      <w:r w:rsidR="008B3C72" w:rsidRPr="00942F86">
        <w:rPr>
          <w:sz w:val="25"/>
          <w:szCs w:val="25"/>
        </w:rPr>
        <w:t xml:space="preserve">removal of interest expense does not account for the time value of money which means the financing costs on </w:t>
      </w:r>
      <w:r w:rsidRPr="00942F86">
        <w:rPr>
          <w:sz w:val="25"/>
          <w:szCs w:val="25"/>
        </w:rPr>
        <w:t>any</w:t>
      </w:r>
      <w:r w:rsidR="008B3C72" w:rsidRPr="00942F86">
        <w:rPr>
          <w:sz w:val="25"/>
          <w:szCs w:val="25"/>
        </w:rPr>
        <w:t xml:space="preserve"> deferred amounts </w:t>
      </w:r>
      <w:r w:rsidRPr="00942F86">
        <w:rPr>
          <w:sz w:val="25"/>
          <w:szCs w:val="25"/>
        </w:rPr>
        <w:t>will</w:t>
      </w:r>
      <w:r w:rsidR="008B3C72" w:rsidRPr="00942F86">
        <w:rPr>
          <w:sz w:val="25"/>
          <w:szCs w:val="25"/>
        </w:rPr>
        <w:t xml:space="preserve"> not be recovered.</w:t>
      </w:r>
      <w:r w:rsidR="008B3C72" w:rsidRPr="00942F86">
        <w:rPr>
          <w:rStyle w:val="FootnoteReference"/>
          <w:sz w:val="25"/>
          <w:szCs w:val="25"/>
        </w:rPr>
        <w:footnoteReference w:id="395"/>
      </w:r>
      <w:r w:rsidR="008B3C72" w:rsidRPr="00942F86">
        <w:rPr>
          <w:sz w:val="25"/>
          <w:szCs w:val="25"/>
        </w:rPr>
        <w:t xml:space="preserve">  Ms. Sio</w:t>
      </w:r>
      <w:r w:rsidR="00606C9E" w:rsidRPr="00942F86">
        <w:rPr>
          <w:sz w:val="25"/>
          <w:szCs w:val="25"/>
        </w:rPr>
        <w:t>r</w:t>
      </w:r>
      <w:r w:rsidR="008B3C72" w:rsidRPr="00942F86">
        <w:rPr>
          <w:sz w:val="25"/>
          <w:szCs w:val="25"/>
        </w:rPr>
        <w:t xml:space="preserve">es does not address </w:t>
      </w:r>
      <w:r w:rsidRPr="00942F86">
        <w:rPr>
          <w:sz w:val="25"/>
          <w:szCs w:val="25"/>
        </w:rPr>
        <w:t xml:space="preserve">Ms. Erdahl’s objection </w:t>
      </w:r>
      <w:r w:rsidR="008B3C72" w:rsidRPr="00942F86">
        <w:rPr>
          <w:sz w:val="25"/>
          <w:szCs w:val="25"/>
        </w:rPr>
        <w:t>that the Company’s approach enables earning</w:t>
      </w:r>
      <w:r w:rsidRPr="00942F86">
        <w:rPr>
          <w:sz w:val="25"/>
          <w:szCs w:val="25"/>
        </w:rPr>
        <w:t xml:space="preserve"> interest</w:t>
      </w:r>
      <w:r w:rsidR="008B3C72" w:rsidRPr="00942F86">
        <w:rPr>
          <w:sz w:val="25"/>
          <w:szCs w:val="25"/>
        </w:rPr>
        <w:t xml:space="preserve"> on revenue</w:t>
      </w:r>
      <w:r w:rsidR="004C4256" w:rsidRPr="00942F86">
        <w:rPr>
          <w:sz w:val="25"/>
          <w:szCs w:val="25"/>
        </w:rPr>
        <w:t>-</w:t>
      </w:r>
      <w:r w:rsidR="008B3C72" w:rsidRPr="00942F86">
        <w:rPr>
          <w:sz w:val="25"/>
          <w:szCs w:val="25"/>
        </w:rPr>
        <w:t xml:space="preserve">sensitive taxes.  </w:t>
      </w:r>
    </w:p>
    <w:p w14:paraId="37823D49" w14:textId="77777777" w:rsidR="008B3C72" w:rsidRPr="00942F86" w:rsidRDefault="008B3C72" w:rsidP="000455AC">
      <w:pPr>
        <w:spacing w:line="264" w:lineRule="auto"/>
        <w:rPr>
          <w:sz w:val="25"/>
          <w:szCs w:val="25"/>
        </w:rPr>
      </w:pPr>
    </w:p>
    <w:p w14:paraId="1A75E473" w14:textId="089684FB" w:rsidR="008B3C72" w:rsidRPr="00942F86" w:rsidRDefault="008B3C72" w:rsidP="00FC421A">
      <w:pPr>
        <w:numPr>
          <w:ilvl w:val="0"/>
          <w:numId w:val="1"/>
        </w:numPr>
        <w:tabs>
          <w:tab w:val="clear" w:pos="720"/>
          <w:tab w:val="num" w:pos="0"/>
        </w:tabs>
        <w:spacing w:line="264" w:lineRule="auto"/>
        <w:ind w:left="0"/>
        <w:rPr>
          <w:sz w:val="25"/>
          <w:szCs w:val="25"/>
        </w:rPr>
      </w:pPr>
      <w:r w:rsidRPr="00FC421A">
        <w:rPr>
          <w:i/>
          <w:sz w:val="25"/>
          <w:szCs w:val="25"/>
        </w:rPr>
        <w:t>In</w:t>
      </w:r>
      <w:r w:rsidRPr="00942F86">
        <w:rPr>
          <w:sz w:val="25"/>
          <w:szCs w:val="25"/>
        </w:rPr>
        <w:t xml:space="preserve"> response to Staff’s position that a separate tariff not be used to collect the deferral, Ms. Sio</w:t>
      </w:r>
      <w:r w:rsidR="004C4256" w:rsidRPr="00942F86">
        <w:rPr>
          <w:sz w:val="25"/>
          <w:szCs w:val="25"/>
        </w:rPr>
        <w:t>r</w:t>
      </w:r>
      <w:r w:rsidRPr="00942F86">
        <w:rPr>
          <w:sz w:val="25"/>
          <w:szCs w:val="25"/>
        </w:rPr>
        <w:t>es maintains that once the amounts are fully amortized, collection under the separate tariff rider will cease, whereas if the deferrals are included in the permanent rates the Company will continue to collect the rates until the next rate case.</w:t>
      </w:r>
      <w:r w:rsidRPr="00942F86">
        <w:rPr>
          <w:rStyle w:val="FootnoteReference"/>
          <w:sz w:val="25"/>
          <w:szCs w:val="25"/>
        </w:rPr>
        <w:footnoteReference w:id="396"/>
      </w:r>
      <w:r w:rsidRPr="00942F86">
        <w:rPr>
          <w:sz w:val="25"/>
          <w:szCs w:val="25"/>
        </w:rPr>
        <w:t xml:space="preserve"> </w:t>
      </w:r>
    </w:p>
    <w:p w14:paraId="37C9DBD5" w14:textId="77777777" w:rsidR="008B3C72" w:rsidRPr="00942F86" w:rsidRDefault="008B3C72" w:rsidP="000455AC">
      <w:pPr>
        <w:spacing w:line="264" w:lineRule="auto"/>
        <w:rPr>
          <w:sz w:val="25"/>
          <w:szCs w:val="25"/>
        </w:rPr>
      </w:pPr>
    </w:p>
    <w:p w14:paraId="0F50A413" w14:textId="29852365" w:rsidR="000F7A93" w:rsidRPr="00942F86" w:rsidRDefault="008B3C72" w:rsidP="00FC421A">
      <w:pPr>
        <w:numPr>
          <w:ilvl w:val="0"/>
          <w:numId w:val="1"/>
        </w:numPr>
        <w:tabs>
          <w:tab w:val="clear" w:pos="720"/>
          <w:tab w:val="num" w:pos="0"/>
        </w:tabs>
        <w:spacing w:line="264" w:lineRule="auto"/>
        <w:ind w:left="0"/>
        <w:rPr>
          <w:sz w:val="25"/>
          <w:szCs w:val="25"/>
        </w:rPr>
      </w:pPr>
      <w:r w:rsidRPr="00942F86">
        <w:rPr>
          <w:sz w:val="25"/>
          <w:szCs w:val="25"/>
        </w:rPr>
        <w:t xml:space="preserve">Mr. Mullins opposes </w:t>
      </w:r>
      <w:r w:rsidR="000F7A93" w:rsidRPr="00942F86">
        <w:rPr>
          <w:sz w:val="25"/>
          <w:szCs w:val="25"/>
        </w:rPr>
        <w:t xml:space="preserve">deferral and recovery </w:t>
      </w:r>
      <w:r w:rsidRPr="00942F86">
        <w:rPr>
          <w:sz w:val="25"/>
          <w:szCs w:val="25"/>
        </w:rPr>
        <w:t xml:space="preserve">of </w:t>
      </w:r>
      <w:r w:rsidR="000F7A93" w:rsidRPr="00942F86">
        <w:rPr>
          <w:sz w:val="25"/>
          <w:szCs w:val="25"/>
        </w:rPr>
        <w:t>any</w:t>
      </w:r>
      <w:r w:rsidRPr="00942F86">
        <w:rPr>
          <w:sz w:val="25"/>
          <w:szCs w:val="25"/>
        </w:rPr>
        <w:t xml:space="preserve"> Colstrip cost</w:t>
      </w:r>
      <w:r w:rsidR="000F7A93" w:rsidRPr="00942F86">
        <w:rPr>
          <w:sz w:val="25"/>
          <w:szCs w:val="25"/>
        </w:rPr>
        <w:t xml:space="preserve"> because, in his opinion,</w:t>
      </w:r>
      <w:r w:rsidRPr="00942F86">
        <w:rPr>
          <w:sz w:val="25"/>
          <w:szCs w:val="25"/>
        </w:rPr>
        <w:t xml:space="preserve"> the outage was not an extraordinary event.</w:t>
      </w:r>
      <w:r w:rsidRPr="00942F86">
        <w:rPr>
          <w:rStyle w:val="FootnoteReference"/>
          <w:sz w:val="25"/>
          <w:szCs w:val="25"/>
        </w:rPr>
        <w:footnoteReference w:id="397"/>
      </w:r>
      <w:r w:rsidRPr="00942F86">
        <w:rPr>
          <w:sz w:val="25"/>
          <w:szCs w:val="25"/>
        </w:rPr>
        <w:t xml:space="preserve">  Mr. Mullins also claims that the Company has failed to provide any updated estimated costs incurred, a point Ms. Siores rebuts in her testimony.  According to Ms. Siores, the Company provided updates in its initial filing</w:t>
      </w:r>
      <w:r w:rsidR="009F4873" w:rsidRPr="00942F86">
        <w:rPr>
          <w:sz w:val="25"/>
          <w:szCs w:val="25"/>
        </w:rPr>
        <w:t>, showing actual costs,</w:t>
      </w:r>
      <w:r w:rsidRPr="00942F86">
        <w:rPr>
          <w:sz w:val="25"/>
          <w:szCs w:val="25"/>
        </w:rPr>
        <w:t xml:space="preserve"> in her exhibit </w:t>
      </w:r>
      <w:proofErr w:type="spellStart"/>
      <w:r w:rsidRPr="00942F86">
        <w:rPr>
          <w:sz w:val="25"/>
          <w:szCs w:val="25"/>
        </w:rPr>
        <w:t>NCS</w:t>
      </w:r>
      <w:proofErr w:type="spellEnd"/>
      <w:r w:rsidRPr="00942F86">
        <w:rPr>
          <w:sz w:val="25"/>
          <w:szCs w:val="25"/>
        </w:rPr>
        <w:t>-9.</w:t>
      </w:r>
      <w:r w:rsidRPr="00942F86">
        <w:rPr>
          <w:rStyle w:val="FootnoteReference"/>
          <w:sz w:val="25"/>
          <w:szCs w:val="25"/>
        </w:rPr>
        <w:footnoteReference w:id="398"/>
      </w:r>
      <w:r w:rsidRPr="00942F86">
        <w:rPr>
          <w:sz w:val="25"/>
          <w:szCs w:val="25"/>
        </w:rPr>
        <w:t xml:space="preserve"> </w:t>
      </w:r>
    </w:p>
    <w:p w14:paraId="2D85D187" w14:textId="77777777" w:rsidR="000F7A93" w:rsidRPr="00942F86" w:rsidRDefault="000F7A93" w:rsidP="000455AC">
      <w:pPr>
        <w:pStyle w:val="ListParagraph"/>
        <w:spacing w:line="264" w:lineRule="auto"/>
        <w:rPr>
          <w:sz w:val="25"/>
          <w:szCs w:val="25"/>
        </w:rPr>
      </w:pPr>
    </w:p>
    <w:p w14:paraId="42029661" w14:textId="5D6A0CC2" w:rsidR="008B3C72" w:rsidRPr="00942F86" w:rsidRDefault="000F7A93" w:rsidP="00FC421A">
      <w:pPr>
        <w:numPr>
          <w:ilvl w:val="0"/>
          <w:numId w:val="1"/>
        </w:numPr>
        <w:tabs>
          <w:tab w:val="clear" w:pos="720"/>
          <w:tab w:val="num" w:pos="0"/>
        </w:tabs>
        <w:spacing w:line="264" w:lineRule="auto"/>
        <w:ind w:left="0"/>
        <w:rPr>
          <w:sz w:val="25"/>
          <w:szCs w:val="25"/>
        </w:rPr>
      </w:pPr>
      <w:r w:rsidRPr="00942F86">
        <w:rPr>
          <w:sz w:val="25"/>
          <w:szCs w:val="25"/>
        </w:rPr>
        <w:t>Mr. Mullins testifies that</w:t>
      </w:r>
      <w:r w:rsidR="008B3C72" w:rsidRPr="00942F86">
        <w:rPr>
          <w:sz w:val="25"/>
          <w:szCs w:val="25"/>
        </w:rPr>
        <w:t xml:space="preserve"> it is </w:t>
      </w:r>
      <w:r w:rsidR="00802488" w:rsidRPr="00942F86">
        <w:rPr>
          <w:sz w:val="25"/>
          <w:szCs w:val="25"/>
        </w:rPr>
        <w:t xml:space="preserve">the Company’s </w:t>
      </w:r>
      <w:r w:rsidR="008B3C72" w:rsidRPr="00942F86">
        <w:rPr>
          <w:sz w:val="25"/>
          <w:szCs w:val="25"/>
        </w:rPr>
        <w:t>fail</w:t>
      </w:r>
      <w:r w:rsidRPr="00942F86">
        <w:rPr>
          <w:sz w:val="25"/>
          <w:szCs w:val="25"/>
        </w:rPr>
        <w:t>ure to gain approval of a properly designed PCAM, which the Commission has more than once invited it to file,</w:t>
      </w:r>
      <w:r w:rsidR="008B3C72" w:rsidRPr="00942F86">
        <w:rPr>
          <w:sz w:val="25"/>
          <w:szCs w:val="25"/>
        </w:rPr>
        <w:t xml:space="preserve"> </w:t>
      </w:r>
      <w:r w:rsidRPr="00942F86">
        <w:rPr>
          <w:sz w:val="25"/>
          <w:szCs w:val="25"/>
        </w:rPr>
        <w:t>that now should prevent</w:t>
      </w:r>
      <w:r w:rsidR="008B3C72" w:rsidRPr="00942F86">
        <w:rPr>
          <w:sz w:val="25"/>
          <w:szCs w:val="25"/>
        </w:rPr>
        <w:t xml:space="preserve"> it from</w:t>
      </w:r>
      <w:r w:rsidR="00211525" w:rsidRPr="00942F86">
        <w:rPr>
          <w:sz w:val="25"/>
          <w:szCs w:val="25"/>
        </w:rPr>
        <w:t xml:space="preserve"> deferring and</w:t>
      </w:r>
      <w:r w:rsidR="008B3C72" w:rsidRPr="00942F86">
        <w:rPr>
          <w:sz w:val="25"/>
          <w:szCs w:val="25"/>
        </w:rPr>
        <w:t xml:space="preserve"> recovering the costs of replacement power.</w:t>
      </w:r>
      <w:r w:rsidR="008B3C72" w:rsidRPr="00942F86">
        <w:rPr>
          <w:rStyle w:val="FootnoteReference"/>
          <w:sz w:val="25"/>
          <w:szCs w:val="25"/>
        </w:rPr>
        <w:footnoteReference w:id="399"/>
      </w:r>
      <w:r w:rsidR="008B3C72" w:rsidRPr="00942F86">
        <w:rPr>
          <w:sz w:val="25"/>
          <w:szCs w:val="25"/>
        </w:rPr>
        <w:t xml:space="preserve">  Mr. Mullins argues</w:t>
      </w:r>
      <w:r w:rsidR="009F4873" w:rsidRPr="00942F86">
        <w:rPr>
          <w:sz w:val="25"/>
          <w:szCs w:val="25"/>
        </w:rPr>
        <w:t xml:space="preserve"> in addition</w:t>
      </w:r>
      <w:r w:rsidR="008B3C72" w:rsidRPr="00942F86">
        <w:rPr>
          <w:sz w:val="25"/>
          <w:szCs w:val="25"/>
        </w:rPr>
        <w:t xml:space="preserve"> that the </w:t>
      </w:r>
      <w:r w:rsidR="00211525" w:rsidRPr="00942F86">
        <w:rPr>
          <w:sz w:val="25"/>
          <w:szCs w:val="25"/>
        </w:rPr>
        <w:t>Company</w:t>
      </w:r>
      <w:r w:rsidR="008B3C72" w:rsidRPr="00942F86">
        <w:rPr>
          <w:sz w:val="25"/>
          <w:szCs w:val="25"/>
        </w:rPr>
        <w:t xml:space="preserve"> should not be allowed to</w:t>
      </w:r>
      <w:r w:rsidR="00211525" w:rsidRPr="00942F86">
        <w:rPr>
          <w:sz w:val="25"/>
          <w:szCs w:val="25"/>
        </w:rPr>
        <w:t xml:space="preserve"> defer and recover its costs </w:t>
      </w:r>
      <w:r w:rsidR="008B3C72" w:rsidRPr="00942F86">
        <w:rPr>
          <w:sz w:val="25"/>
          <w:szCs w:val="25"/>
        </w:rPr>
        <w:t xml:space="preserve">because, in his view, the Colstrip failure is directly </w:t>
      </w:r>
      <w:r w:rsidR="008B3C72" w:rsidRPr="00942F86">
        <w:rPr>
          <w:sz w:val="25"/>
          <w:szCs w:val="25"/>
        </w:rPr>
        <w:lastRenderedPageBreak/>
        <w:t xml:space="preserve">attributable to the plant’s operator as a result of </w:t>
      </w:r>
      <w:r w:rsidR="00211525" w:rsidRPr="00942F86">
        <w:rPr>
          <w:sz w:val="25"/>
          <w:szCs w:val="25"/>
        </w:rPr>
        <w:t xml:space="preserve">faulty </w:t>
      </w:r>
      <w:r w:rsidR="008B3C72" w:rsidRPr="00942F86">
        <w:rPr>
          <w:sz w:val="25"/>
          <w:szCs w:val="25"/>
        </w:rPr>
        <w:t>repair work done at the time of the prior outage</w:t>
      </w:r>
      <w:r w:rsidR="00211525" w:rsidRPr="00942F86">
        <w:rPr>
          <w:sz w:val="25"/>
          <w:szCs w:val="25"/>
        </w:rPr>
        <w:t>.  Mr. Mullins contends the</w:t>
      </w:r>
      <w:r w:rsidR="008B3C72" w:rsidRPr="00942F86">
        <w:rPr>
          <w:sz w:val="25"/>
          <w:szCs w:val="25"/>
        </w:rPr>
        <w:t xml:space="preserve"> costs </w:t>
      </w:r>
      <w:r w:rsidR="009F4873" w:rsidRPr="00942F86">
        <w:rPr>
          <w:sz w:val="25"/>
          <w:szCs w:val="25"/>
        </w:rPr>
        <w:t xml:space="preserve">attributable to this latest failure </w:t>
      </w:r>
      <w:r w:rsidR="008B3C72" w:rsidRPr="00942F86">
        <w:rPr>
          <w:sz w:val="25"/>
          <w:szCs w:val="25"/>
        </w:rPr>
        <w:t>are more properly recovered from the operator and not Washington rate payers.</w:t>
      </w:r>
      <w:r w:rsidR="008B3C72" w:rsidRPr="00942F86">
        <w:rPr>
          <w:rStyle w:val="FootnoteReference"/>
          <w:sz w:val="25"/>
          <w:szCs w:val="25"/>
        </w:rPr>
        <w:footnoteReference w:id="400"/>
      </w:r>
    </w:p>
    <w:p w14:paraId="784FCECB" w14:textId="77777777" w:rsidR="008B3C72" w:rsidRPr="00942F86" w:rsidRDefault="008B3C72" w:rsidP="000455AC">
      <w:pPr>
        <w:spacing w:line="264" w:lineRule="auto"/>
        <w:rPr>
          <w:sz w:val="25"/>
          <w:szCs w:val="25"/>
        </w:rPr>
      </w:pPr>
    </w:p>
    <w:p w14:paraId="0550B690" w14:textId="19CCFAF9" w:rsidR="00AB1DB8" w:rsidRPr="00942F86" w:rsidRDefault="008B3C72" w:rsidP="00FC421A">
      <w:pPr>
        <w:numPr>
          <w:ilvl w:val="0"/>
          <w:numId w:val="1"/>
        </w:numPr>
        <w:tabs>
          <w:tab w:val="clear" w:pos="720"/>
          <w:tab w:val="num" w:pos="0"/>
        </w:tabs>
        <w:spacing w:line="264" w:lineRule="auto"/>
        <w:ind w:left="0"/>
        <w:rPr>
          <w:sz w:val="25"/>
          <w:szCs w:val="25"/>
        </w:rPr>
      </w:pPr>
      <w:r w:rsidRPr="00942F86">
        <w:rPr>
          <w:sz w:val="25"/>
          <w:szCs w:val="25"/>
        </w:rPr>
        <w:t>Mr. Ralston</w:t>
      </w:r>
      <w:r w:rsidR="00211525" w:rsidRPr="00942F86">
        <w:rPr>
          <w:sz w:val="25"/>
          <w:szCs w:val="25"/>
        </w:rPr>
        <w:t>, in rebuttal testimony for Pacific Power, disputes</w:t>
      </w:r>
      <w:r w:rsidRPr="00942F86">
        <w:rPr>
          <w:sz w:val="25"/>
          <w:szCs w:val="25"/>
        </w:rPr>
        <w:t xml:space="preserve"> Boise</w:t>
      </w:r>
      <w:r w:rsidR="00211525" w:rsidRPr="00942F86">
        <w:rPr>
          <w:sz w:val="25"/>
          <w:szCs w:val="25"/>
        </w:rPr>
        <w:t xml:space="preserve"> White Paper</w:t>
      </w:r>
      <w:r w:rsidRPr="00942F86">
        <w:rPr>
          <w:sz w:val="25"/>
          <w:szCs w:val="25"/>
        </w:rPr>
        <w:t xml:space="preserve">’s contention that the Colstrip operator was imprudent.  Mr. Ralston </w:t>
      </w:r>
      <w:r w:rsidR="00211525" w:rsidRPr="00942F86">
        <w:rPr>
          <w:sz w:val="25"/>
          <w:szCs w:val="25"/>
        </w:rPr>
        <w:t>testifies that the fact that the root cause scenario could not identify with certainty the cause of the outage, does not support a conclusion that the operator was not at fault.</w:t>
      </w:r>
      <w:r w:rsidR="00211525" w:rsidRPr="00942F86">
        <w:rPr>
          <w:rStyle w:val="FootnoteReference"/>
          <w:sz w:val="25"/>
          <w:szCs w:val="25"/>
        </w:rPr>
        <w:footnoteReference w:id="401"/>
      </w:r>
      <w:r w:rsidRPr="00942F86">
        <w:rPr>
          <w:sz w:val="25"/>
          <w:szCs w:val="25"/>
        </w:rPr>
        <w:t xml:space="preserve"> </w:t>
      </w:r>
      <w:r w:rsidR="00AB1DB8" w:rsidRPr="00942F86">
        <w:rPr>
          <w:sz w:val="25"/>
          <w:szCs w:val="25"/>
        </w:rPr>
        <w:t xml:space="preserve"> Focusing on the failure report </w:t>
      </w:r>
      <w:r w:rsidR="00567641" w:rsidRPr="00942F86">
        <w:rPr>
          <w:sz w:val="25"/>
          <w:szCs w:val="25"/>
        </w:rPr>
        <w:t xml:space="preserve">an outside expert prepared for </w:t>
      </w:r>
      <w:r w:rsidR="00AB1DB8" w:rsidRPr="00942F86">
        <w:rPr>
          <w:sz w:val="25"/>
          <w:szCs w:val="25"/>
        </w:rPr>
        <w:t>the Company</w:t>
      </w:r>
      <w:r w:rsidR="00567641" w:rsidRPr="00942F86">
        <w:rPr>
          <w:sz w:val="25"/>
          <w:szCs w:val="25"/>
        </w:rPr>
        <w:t>,</w:t>
      </w:r>
      <w:r w:rsidR="00AB1DB8" w:rsidRPr="00942F86">
        <w:rPr>
          <w:sz w:val="25"/>
          <w:szCs w:val="25"/>
        </w:rPr>
        <w:t xml:space="preserve"> Mr. Ralston testifies:</w:t>
      </w:r>
    </w:p>
    <w:p w14:paraId="1A1985BB" w14:textId="77777777" w:rsidR="00AB1DB8" w:rsidRPr="00942F86" w:rsidRDefault="00AB1DB8" w:rsidP="000455AC">
      <w:pPr>
        <w:pStyle w:val="ListParagraph"/>
        <w:spacing w:line="264" w:lineRule="auto"/>
        <w:rPr>
          <w:sz w:val="25"/>
          <w:szCs w:val="25"/>
        </w:rPr>
      </w:pPr>
    </w:p>
    <w:p w14:paraId="71117C4A" w14:textId="4DCC5A9E" w:rsidR="00AB1DB8" w:rsidRPr="00942F86" w:rsidRDefault="00AB1DB8" w:rsidP="000455AC">
      <w:pPr>
        <w:spacing w:line="264" w:lineRule="auto"/>
        <w:ind w:left="720" w:right="720"/>
        <w:rPr>
          <w:sz w:val="25"/>
          <w:szCs w:val="25"/>
        </w:rPr>
      </w:pPr>
      <w:r w:rsidRPr="00942F86">
        <w:rPr>
          <w:sz w:val="25"/>
          <w:szCs w:val="25"/>
        </w:rPr>
        <w:t xml:space="preserve">Boise suggests that factual evidence available was not adequate to develop a failure </w:t>
      </w:r>
      <w:proofErr w:type="gramStart"/>
      <w:r w:rsidRPr="00942F86">
        <w:rPr>
          <w:sz w:val="25"/>
          <w:szCs w:val="25"/>
        </w:rPr>
        <w:t>cause</w:t>
      </w:r>
      <w:proofErr w:type="gramEnd"/>
      <w:r w:rsidRPr="00942F86">
        <w:rPr>
          <w:sz w:val="25"/>
          <w:szCs w:val="25"/>
        </w:rPr>
        <w:t xml:space="preserve"> and that concrete evidence and a clear indication of failure must be present to show the Company’s actions were prudent.  However, the failure report was very detailed and used all the information available, including plant logs, relay and alarm data, and physical inspections of the damage by industry expects.  Boise discounts the statement by the external root cause investigating team that, “[i]n our opinion, PPL did everything according to standard industry practice such as hiring the OEM (Siemens) to perform the maintenance, performing El Cid testing on the core, operating their unit according to industry practice, (since there was no indication of </w:t>
      </w:r>
      <w:proofErr w:type="spellStart"/>
      <w:r w:rsidRPr="00942F86">
        <w:rPr>
          <w:sz w:val="25"/>
          <w:szCs w:val="25"/>
        </w:rPr>
        <w:t>mis</w:t>
      </w:r>
      <w:proofErr w:type="spellEnd"/>
      <w:r w:rsidRPr="00942F86">
        <w:rPr>
          <w:sz w:val="25"/>
          <w:szCs w:val="25"/>
        </w:rPr>
        <w:t>-operation), and protecting the unit with adequate relay protection.  Nothing they did or could have done, could have prevented this failure.”  This statement, along with the rest of the report, demonstrates that the Company acted prudently and took all recommended steps to maintain the equipment as per the OEM recommendations.</w:t>
      </w:r>
      <w:r w:rsidRPr="00942F86">
        <w:rPr>
          <w:rStyle w:val="FootnoteReference"/>
          <w:sz w:val="25"/>
          <w:szCs w:val="25"/>
        </w:rPr>
        <w:footnoteReference w:id="402"/>
      </w:r>
      <w:r w:rsidRPr="00942F86">
        <w:rPr>
          <w:sz w:val="25"/>
          <w:szCs w:val="25"/>
        </w:rPr>
        <w:t xml:space="preserve"> </w:t>
      </w:r>
    </w:p>
    <w:p w14:paraId="2829A09E" w14:textId="77777777" w:rsidR="00AB1DB8" w:rsidRPr="00942F86" w:rsidRDefault="00AB1DB8" w:rsidP="000455AC">
      <w:pPr>
        <w:pStyle w:val="ListParagraph"/>
        <w:spacing w:line="264" w:lineRule="auto"/>
        <w:rPr>
          <w:sz w:val="25"/>
          <w:szCs w:val="25"/>
        </w:rPr>
      </w:pPr>
    </w:p>
    <w:p w14:paraId="28BD2D7F" w14:textId="03608060" w:rsidR="008B3C72" w:rsidRPr="00942F86" w:rsidRDefault="008B3C72" w:rsidP="000455AC">
      <w:pPr>
        <w:spacing w:line="264" w:lineRule="auto"/>
        <w:rPr>
          <w:sz w:val="25"/>
          <w:szCs w:val="25"/>
        </w:rPr>
      </w:pPr>
      <w:r w:rsidRPr="00942F86">
        <w:rPr>
          <w:sz w:val="25"/>
          <w:szCs w:val="25"/>
        </w:rPr>
        <w:t xml:space="preserve">Mr. Ralston </w:t>
      </w:r>
      <w:r w:rsidR="00AB1DB8" w:rsidRPr="00942F86">
        <w:rPr>
          <w:sz w:val="25"/>
          <w:szCs w:val="25"/>
        </w:rPr>
        <w:t>concludes that:</w:t>
      </w:r>
      <w:r w:rsidRPr="00942F86">
        <w:rPr>
          <w:sz w:val="25"/>
          <w:szCs w:val="25"/>
        </w:rPr>
        <w:t xml:space="preserve"> “</w:t>
      </w:r>
      <w:r w:rsidR="00AB1DB8" w:rsidRPr="00942F86">
        <w:rPr>
          <w:sz w:val="25"/>
          <w:szCs w:val="25"/>
        </w:rPr>
        <w:t>Bo</w:t>
      </w:r>
      <w:r w:rsidRPr="00942F86">
        <w:rPr>
          <w:sz w:val="25"/>
          <w:szCs w:val="25"/>
        </w:rPr>
        <w:t>ise’s claim is speculation unsupported by the expert analysis in the root cause report.”</w:t>
      </w:r>
      <w:r w:rsidRPr="00942F86">
        <w:rPr>
          <w:rStyle w:val="FootnoteReference"/>
          <w:sz w:val="25"/>
          <w:szCs w:val="25"/>
        </w:rPr>
        <w:footnoteReference w:id="403"/>
      </w:r>
    </w:p>
    <w:p w14:paraId="6A794782" w14:textId="77777777" w:rsidR="00F33976" w:rsidRPr="00942F86" w:rsidRDefault="00F33976" w:rsidP="000455AC">
      <w:pPr>
        <w:pStyle w:val="ListParagraph"/>
        <w:spacing w:line="264" w:lineRule="auto"/>
        <w:rPr>
          <w:sz w:val="25"/>
          <w:szCs w:val="25"/>
        </w:rPr>
      </w:pPr>
    </w:p>
    <w:p w14:paraId="0D261164" w14:textId="5D135469" w:rsidR="00AB1DB8" w:rsidRPr="00942F86" w:rsidRDefault="00F33976" w:rsidP="00F00893">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w:t>
      </w:r>
      <w:r w:rsidR="00AB1DB8" w:rsidRPr="00942F86">
        <w:rPr>
          <w:sz w:val="25"/>
          <w:szCs w:val="25"/>
        </w:rPr>
        <w:t xml:space="preserve">We </w:t>
      </w:r>
      <w:r w:rsidR="00B573D8" w:rsidRPr="00942F86">
        <w:rPr>
          <w:sz w:val="25"/>
          <w:szCs w:val="25"/>
        </w:rPr>
        <w:t>deny</w:t>
      </w:r>
      <w:r w:rsidR="00AB1DB8" w:rsidRPr="00942F86">
        <w:rPr>
          <w:sz w:val="25"/>
          <w:szCs w:val="25"/>
        </w:rPr>
        <w:t xml:space="preserve"> Pacific Power’s accounting petition.</w:t>
      </w:r>
      <w:r w:rsidR="00B573D8" w:rsidRPr="00942F86">
        <w:rPr>
          <w:sz w:val="25"/>
          <w:szCs w:val="25"/>
        </w:rPr>
        <w:t xml:space="preserve">  The replacement power costs in question do not qualify as extraordinary costs such as might arguably be candidates for deferral accounting.  </w:t>
      </w:r>
      <w:r w:rsidRPr="00942F86">
        <w:rPr>
          <w:sz w:val="25"/>
          <w:szCs w:val="25"/>
        </w:rPr>
        <w:t xml:space="preserve">As recently as Pacific Power’s </w:t>
      </w:r>
      <w:r w:rsidRPr="00942F86">
        <w:rPr>
          <w:sz w:val="25"/>
          <w:szCs w:val="25"/>
        </w:rPr>
        <w:lastRenderedPageBreak/>
        <w:t>2012/2013 GRC, the Commission made clear its preference for a properly designed PCAM that addresses all of the Company’s power costs, not a single element.  Order 05 also expresses the Commission’s objections to power cost recovery mechanisms that are nothing more than trackers.</w:t>
      </w:r>
      <w:r w:rsidR="00B573D8" w:rsidRPr="00942F86">
        <w:rPr>
          <w:sz w:val="25"/>
          <w:szCs w:val="25"/>
        </w:rPr>
        <w:t xml:space="preserve">  Pacific Power’s deferral request here</w:t>
      </w:r>
      <w:r w:rsidRPr="00942F86">
        <w:rPr>
          <w:sz w:val="25"/>
          <w:szCs w:val="25"/>
        </w:rPr>
        <w:t xml:space="preserve"> </w:t>
      </w:r>
      <w:r w:rsidR="00B573D8" w:rsidRPr="00942F86">
        <w:rPr>
          <w:sz w:val="25"/>
          <w:szCs w:val="25"/>
        </w:rPr>
        <w:t>is nothing more than a single element power cost tracker.</w:t>
      </w:r>
      <w:r w:rsidRPr="00942F86">
        <w:rPr>
          <w:sz w:val="25"/>
          <w:szCs w:val="25"/>
        </w:rPr>
        <w:t xml:space="preserve"> As previously discussed, the Commission, through this Order, will require Pacific Power to file tariff sheets implementing a properly designed PCAM along the lines of Staff’s proposal in this case.  Once in place, this will resolve power cost recovery issues such as those presented in Docket UE-131384.</w:t>
      </w:r>
    </w:p>
    <w:p w14:paraId="2499EFC9" w14:textId="77777777" w:rsidR="00AB1DB8" w:rsidRPr="00942F86" w:rsidRDefault="00AB1DB8" w:rsidP="000455AC">
      <w:pPr>
        <w:spacing w:line="264" w:lineRule="auto"/>
        <w:rPr>
          <w:sz w:val="25"/>
          <w:szCs w:val="25"/>
        </w:rPr>
      </w:pPr>
    </w:p>
    <w:p w14:paraId="7CF9FB98" w14:textId="15941D09" w:rsidR="00A77C7F" w:rsidRPr="00942F86" w:rsidRDefault="00A77C7F" w:rsidP="00883A54">
      <w:pPr>
        <w:pStyle w:val="Heading4"/>
        <w:numPr>
          <w:ilvl w:val="0"/>
          <w:numId w:val="19"/>
        </w:numPr>
      </w:pPr>
      <w:bookmarkStart w:id="56" w:name="_Toc415037647"/>
      <w:r w:rsidRPr="00942F86">
        <w:t>Hydro</w:t>
      </w:r>
      <w:r w:rsidR="00802488" w:rsidRPr="00942F86">
        <w:t>power</w:t>
      </w:r>
      <w:r w:rsidRPr="00942F86">
        <w:t xml:space="preserve"> Deferral (Docket UE-140094)</w:t>
      </w:r>
      <w:bookmarkEnd w:id="56"/>
      <w:r w:rsidRPr="00942F86">
        <w:t xml:space="preserve"> </w:t>
      </w:r>
    </w:p>
    <w:p w14:paraId="1D35F6CC" w14:textId="77777777" w:rsidR="00A77C7F" w:rsidRPr="00942F86" w:rsidRDefault="00A77C7F" w:rsidP="000455AC">
      <w:pPr>
        <w:spacing w:line="264" w:lineRule="auto"/>
        <w:rPr>
          <w:sz w:val="25"/>
          <w:szCs w:val="25"/>
        </w:rPr>
      </w:pPr>
    </w:p>
    <w:p w14:paraId="3A49BE43" w14:textId="5272064E" w:rsidR="00A77C7F" w:rsidRPr="00942F86" w:rsidRDefault="00A77C7F" w:rsidP="00FC421A">
      <w:pPr>
        <w:numPr>
          <w:ilvl w:val="0"/>
          <w:numId w:val="1"/>
        </w:numPr>
        <w:tabs>
          <w:tab w:val="clear" w:pos="720"/>
          <w:tab w:val="num" w:pos="0"/>
        </w:tabs>
        <w:spacing w:line="264" w:lineRule="auto"/>
        <w:ind w:left="0"/>
        <w:rPr>
          <w:sz w:val="25"/>
          <w:szCs w:val="25"/>
        </w:rPr>
      </w:pPr>
      <w:r w:rsidRPr="00942F86">
        <w:rPr>
          <w:sz w:val="25"/>
          <w:szCs w:val="25"/>
        </w:rPr>
        <w:t xml:space="preserve">Pacific Power filed a petition for an accounting order in Docket UE-140094 on January 17, 2014, seeking to defer costs that the Company anticipated </w:t>
      </w:r>
      <w:r w:rsidR="00567641" w:rsidRPr="00942F86">
        <w:rPr>
          <w:sz w:val="25"/>
          <w:szCs w:val="25"/>
        </w:rPr>
        <w:t xml:space="preserve">it </w:t>
      </w:r>
      <w:r w:rsidRPr="00942F86">
        <w:rPr>
          <w:sz w:val="25"/>
          <w:szCs w:val="25"/>
        </w:rPr>
        <w:t xml:space="preserve">would </w:t>
      </w:r>
      <w:r w:rsidR="00567641" w:rsidRPr="00942F86">
        <w:rPr>
          <w:sz w:val="25"/>
          <w:szCs w:val="25"/>
        </w:rPr>
        <w:t>incur</w:t>
      </w:r>
      <w:r w:rsidRPr="00942F86">
        <w:rPr>
          <w:sz w:val="25"/>
          <w:szCs w:val="25"/>
        </w:rPr>
        <w:t xml:space="preserve"> during 201</w:t>
      </w:r>
      <w:r w:rsidR="004A4EE5" w:rsidRPr="00942F86">
        <w:rPr>
          <w:sz w:val="25"/>
          <w:szCs w:val="25"/>
        </w:rPr>
        <w:t>4</w:t>
      </w:r>
      <w:r w:rsidRPr="00942F86">
        <w:rPr>
          <w:sz w:val="25"/>
          <w:szCs w:val="25"/>
        </w:rPr>
        <w:t xml:space="preserve"> due to decreased hydro</w:t>
      </w:r>
      <w:r w:rsidR="00802488" w:rsidRPr="00942F86">
        <w:rPr>
          <w:sz w:val="25"/>
          <w:szCs w:val="25"/>
        </w:rPr>
        <w:t>power</w:t>
      </w:r>
      <w:r w:rsidRPr="00942F86">
        <w:rPr>
          <w:sz w:val="25"/>
          <w:szCs w:val="25"/>
        </w:rPr>
        <w:t xml:space="preserve"> production</w:t>
      </w:r>
      <w:r w:rsidR="00802488" w:rsidRPr="00942F86">
        <w:rPr>
          <w:sz w:val="25"/>
          <w:szCs w:val="25"/>
        </w:rPr>
        <w:t xml:space="preserve"> (hydro)</w:t>
      </w:r>
      <w:r w:rsidRPr="00942F86">
        <w:rPr>
          <w:sz w:val="25"/>
          <w:szCs w:val="25"/>
        </w:rPr>
        <w:t>.</w:t>
      </w:r>
      <w:r w:rsidRPr="00942F86">
        <w:rPr>
          <w:color w:val="000000" w:themeColor="text1"/>
          <w:sz w:val="25"/>
          <w:szCs w:val="25"/>
        </w:rPr>
        <w:t xml:space="preserve"> </w:t>
      </w:r>
      <w:r w:rsidR="00ED416E" w:rsidRPr="00942F86">
        <w:rPr>
          <w:color w:val="000000" w:themeColor="text1"/>
          <w:sz w:val="25"/>
          <w:szCs w:val="25"/>
        </w:rPr>
        <w:t xml:space="preserve"> </w:t>
      </w:r>
      <w:r w:rsidRPr="00942F86">
        <w:rPr>
          <w:color w:val="000000" w:themeColor="text1"/>
          <w:sz w:val="25"/>
          <w:szCs w:val="25"/>
        </w:rPr>
        <w:t xml:space="preserve">Pacific Power requested specifically an order authorizing the Company to defer from the date of its petition forward </w:t>
      </w:r>
      <w:r w:rsidR="00ED416E" w:rsidRPr="00942F86">
        <w:rPr>
          <w:color w:val="000000" w:themeColor="text1"/>
          <w:sz w:val="25"/>
          <w:szCs w:val="25"/>
        </w:rPr>
        <w:t>any</w:t>
      </w:r>
      <w:r w:rsidRPr="00942F86">
        <w:rPr>
          <w:color w:val="000000" w:themeColor="text1"/>
          <w:sz w:val="25"/>
          <w:szCs w:val="25"/>
        </w:rPr>
        <w:t xml:space="preserve"> increased power costs caused by declines in hydro generation, due to abnormally dry weather conditions.  </w:t>
      </w:r>
      <w:r w:rsidR="00802488" w:rsidRPr="00942F86">
        <w:rPr>
          <w:color w:val="000000" w:themeColor="text1"/>
          <w:sz w:val="25"/>
          <w:szCs w:val="25"/>
        </w:rPr>
        <w:t xml:space="preserve">Pacific Power </w:t>
      </w:r>
      <w:r w:rsidRPr="00942F86">
        <w:rPr>
          <w:color w:val="000000" w:themeColor="text1"/>
          <w:sz w:val="25"/>
          <w:szCs w:val="25"/>
        </w:rPr>
        <w:t>sought deferral of these costs to track and preserve them for later ratemaking treatment.</w:t>
      </w:r>
    </w:p>
    <w:p w14:paraId="5AEE8E11" w14:textId="77777777" w:rsidR="00767D64" w:rsidRPr="00942F86" w:rsidRDefault="00767D64" w:rsidP="000455AC">
      <w:pPr>
        <w:spacing w:line="264" w:lineRule="auto"/>
        <w:rPr>
          <w:sz w:val="25"/>
          <w:szCs w:val="25"/>
        </w:rPr>
      </w:pPr>
    </w:p>
    <w:p w14:paraId="3A14D520" w14:textId="27021327" w:rsidR="00A77C7F" w:rsidRPr="00942F86" w:rsidRDefault="008B3C72" w:rsidP="00F00893">
      <w:pPr>
        <w:numPr>
          <w:ilvl w:val="0"/>
          <w:numId w:val="1"/>
        </w:numPr>
        <w:tabs>
          <w:tab w:val="clear" w:pos="720"/>
          <w:tab w:val="num" w:pos="0"/>
        </w:tabs>
        <w:spacing w:line="264" w:lineRule="auto"/>
        <w:ind w:left="0"/>
        <w:rPr>
          <w:sz w:val="25"/>
          <w:szCs w:val="25"/>
        </w:rPr>
      </w:pPr>
      <w:r w:rsidRPr="00942F86">
        <w:rPr>
          <w:sz w:val="25"/>
          <w:szCs w:val="25"/>
        </w:rPr>
        <w:t xml:space="preserve">On June, 24, 2014, </w:t>
      </w:r>
      <w:r w:rsidR="008961A6" w:rsidRPr="00942F86">
        <w:rPr>
          <w:sz w:val="25"/>
          <w:szCs w:val="25"/>
        </w:rPr>
        <w:t xml:space="preserve">without acting on the petition, the Commission consolidated Docket UE-140094 into </w:t>
      </w:r>
      <w:r w:rsidR="00EA3F7E">
        <w:rPr>
          <w:sz w:val="25"/>
          <w:szCs w:val="25"/>
        </w:rPr>
        <w:t>this</w:t>
      </w:r>
      <w:r w:rsidR="008961A6" w:rsidRPr="00942F86">
        <w:rPr>
          <w:sz w:val="25"/>
          <w:szCs w:val="25"/>
        </w:rPr>
        <w:t xml:space="preserve"> general rate case.</w:t>
      </w:r>
      <w:r w:rsidR="008961A6" w:rsidRPr="00942F86">
        <w:rPr>
          <w:sz w:val="25"/>
          <w:szCs w:val="25"/>
          <w:vertAlign w:val="superscript"/>
        </w:rPr>
        <w:footnoteReference w:id="404"/>
      </w:r>
      <w:r w:rsidR="008961A6" w:rsidRPr="00942F86">
        <w:rPr>
          <w:sz w:val="25"/>
          <w:szCs w:val="25"/>
        </w:rPr>
        <w:t xml:space="preserve">  In the context of the consolidated cases the Commission must determine whether to grant the petition and, if so, whether to allow recovery of the deferred costs.</w:t>
      </w:r>
    </w:p>
    <w:p w14:paraId="225CCED7" w14:textId="77777777" w:rsidR="008961A6" w:rsidRPr="00942F86" w:rsidRDefault="008961A6" w:rsidP="000455AC">
      <w:pPr>
        <w:spacing w:line="264" w:lineRule="auto"/>
        <w:rPr>
          <w:sz w:val="25"/>
          <w:szCs w:val="25"/>
        </w:rPr>
      </w:pPr>
    </w:p>
    <w:p w14:paraId="4C40FCB9" w14:textId="49C25C78" w:rsidR="00A77C7F" w:rsidRPr="00942F86" w:rsidRDefault="00A77C7F" w:rsidP="00F00893">
      <w:pPr>
        <w:numPr>
          <w:ilvl w:val="0"/>
          <w:numId w:val="1"/>
        </w:numPr>
        <w:tabs>
          <w:tab w:val="clear" w:pos="720"/>
          <w:tab w:val="num" w:pos="0"/>
        </w:tabs>
        <w:spacing w:line="264" w:lineRule="auto"/>
        <w:ind w:left="0"/>
        <w:rPr>
          <w:sz w:val="25"/>
          <w:szCs w:val="25"/>
        </w:rPr>
      </w:pPr>
      <w:r w:rsidRPr="00942F86">
        <w:rPr>
          <w:sz w:val="25"/>
          <w:szCs w:val="25"/>
        </w:rPr>
        <w:t xml:space="preserve">Pacific Power’s petition states that </w:t>
      </w:r>
      <w:r w:rsidRPr="00942F86">
        <w:rPr>
          <w:color w:val="000000" w:themeColor="text1"/>
          <w:sz w:val="25"/>
          <w:szCs w:val="25"/>
        </w:rPr>
        <w:t>“significant declines in hydro generation due to abnormally dry weather conditions and low water availability” would cause the Company “to make market purchases and rely on more thermal generation to compensate for the shortfall,” expected to be in the range of $15 million.  Pacific Power presented no evidence</w:t>
      </w:r>
      <w:r w:rsidR="00ED416E" w:rsidRPr="00942F86">
        <w:rPr>
          <w:color w:val="000000" w:themeColor="text1"/>
          <w:sz w:val="25"/>
          <w:szCs w:val="25"/>
        </w:rPr>
        <w:t xml:space="preserve"> with its petition</w:t>
      </w:r>
      <w:r w:rsidRPr="00942F86">
        <w:rPr>
          <w:color w:val="000000" w:themeColor="text1"/>
          <w:sz w:val="25"/>
          <w:szCs w:val="25"/>
        </w:rPr>
        <w:t xml:space="preserve"> demonstrating the asserted “significant declines” or their magnitude.  Nor did Pacific Power present evidence demonstrating any “abnormally dry weather conditions and low water availability” record during periods leading up to the time of its petition in January 2014.  Nor did </w:t>
      </w:r>
      <w:r w:rsidR="00802488" w:rsidRPr="00942F86">
        <w:rPr>
          <w:color w:val="000000" w:themeColor="text1"/>
          <w:sz w:val="25"/>
          <w:szCs w:val="25"/>
        </w:rPr>
        <w:t>the Company</w:t>
      </w:r>
      <w:r w:rsidRPr="00942F86">
        <w:rPr>
          <w:color w:val="000000" w:themeColor="text1"/>
          <w:sz w:val="25"/>
          <w:szCs w:val="25"/>
        </w:rPr>
        <w:t xml:space="preserve"> present evidence, other than its bare assertion, projecting that such claimed conditions would persist through the remainder of 2014 or, indeed, for any period of time.</w:t>
      </w:r>
    </w:p>
    <w:p w14:paraId="742C25B6" w14:textId="77777777" w:rsidR="00A77C7F" w:rsidRPr="00942F86" w:rsidRDefault="00A77C7F" w:rsidP="000455AC">
      <w:pPr>
        <w:pStyle w:val="ListParagraph"/>
        <w:spacing w:line="264" w:lineRule="auto"/>
        <w:rPr>
          <w:sz w:val="25"/>
          <w:szCs w:val="25"/>
        </w:rPr>
      </w:pPr>
    </w:p>
    <w:p w14:paraId="4BA672F5" w14:textId="40624C86" w:rsidR="008B30EE" w:rsidRPr="00942F86" w:rsidRDefault="00C26172" w:rsidP="00F00893">
      <w:pPr>
        <w:numPr>
          <w:ilvl w:val="0"/>
          <w:numId w:val="1"/>
        </w:numPr>
        <w:tabs>
          <w:tab w:val="clear" w:pos="720"/>
          <w:tab w:val="num" w:pos="0"/>
        </w:tabs>
        <w:spacing w:line="264" w:lineRule="auto"/>
        <w:ind w:left="0"/>
        <w:rPr>
          <w:sz w:val="25"/>
          <w:szCs w:val="25"/>
        </w:rPr>
      </w:pPr>
      <w:r w:rsidRPr="00942F86">
        <w:rPr>
          <w:sz w:val="25"/>
          <w:szCs w:val="25"/>
        </w:rPr>
        <w:lastRenderedPageBreak/>
        <w:t xml:space="preserve">In this case, </w:t>
      </w:r>
      <w:r w:rsidR="008B30EE" w:rsidRPr="00942F86">
        <w:rPr>
          <w:sz w:val="25"/>
          <w:szCs w:val="25"/>
        </w:rPr>
        <w:t>Pacific Power</w:t>
      </w:r>
      <w:r w:rsidRPr="00942F86">
        <w:rPr>
          <w:sz w:val="25"/>
          <w:szCs w:val="25"/>
        </w:rPr>
        <w:t xml:space="preserve"> </w:t>
      </w:r>
      <w:r w:rsidR="00F33976" w:rsidRPr="00942F86">
        <w:rPr>
          <w:sz w:val="25"/>
          <w:szCs w:val="25"/>
        </w:rPr>
        <w:t xml:space="preserve">seeks not only authority to defer these costs, but also </w:t>
      </w:r>
      <w:r w:rsidRPr="00942F86">
        <w:rPr>
          <w:sz w:val="25"/>
          <w:szCs w:val="25"/>
        </w:rPr>
        <w:t>proposes</w:t>
      </w:r>
      <w:r w:rsidR="00802488" w:rsidRPr="00942F86">
        <w:rPr>
          <w:sz w:val="25"/>
          <w:szCs w:val="25"/>
        </w:rPr>
        <w:t xml:space="preserve"> to</w:t>
      </w:r>
      <w:r w:rsidRPr="00942F86">
        <w:rPr>
          <w:sz w:val="25"/>
          <w:szCs w:val="25"/>
        </w:rPr>
        <w:t xml:space="preserve"> recover $2.4 million in increased costs </w:t>
      </w:r>
      <w:r w:rsidR="00F33976" w:rsidRPr="00942F86">
        <w:rPr>
          <w:sz w:val="25"/>
          <w:szCs w:val="25"/>
        </w:rPr>
        <w:t>the Company claims were</w:t>
      </w:r>
      <w:r w:rsidRPr="00942F86">
        <w:rPr>
          <w:sz w:val="25"/>
          <w:szCs w:val="25"/>
        </w:rPr>
        <w:t xml:space="preserve"> caused by lower than forecast hydropower during 2014.</w:t>
      </w:r>
      <w:r w:rsidR="008B30EE" w:rsidRPr="00942F86">
        <w:rPr>
          <w:rStyle w:val="FootnoteReference"/>
          <w:sz w:val="25"/>
          <w:szCs w:val="25"/>
        </w:rPr>
        <w:footnoteReference w:id="405"/>
      </w:r>
      <w:r w:rsidRPr="00942F86">
        <w:rPr>
          <w:sz w:val="25"/>
          <w:szCs w:val="25"/>
        </w:rPr>
        <w:t xml:space="preserve">  When this is compared with the $15 million amount suggested in support of the Company’s petition, it appears the anticipated conditions, in fact, did not materialize as anticipated.</w:t>
      </w:r>
      <w:r w:rsidR="00730303" w:rsidRPr="00942F86">
        <w:rPr>
          <w:sz w:val="25"/>
          <w:szCs w:val="25"/>
        </w:rPr>
        <w:t xml:space="preserve">  </w:t>
      </w:r>
    </w:p>
    <w:p w14:paraId="2D4B5A70" w14:textId="77777777" w:rsidR="008B30EE" w:rsidRPr="00942F86" w:rsidRDefault="008B30EE" w:rsidP="000455AC">
      <w:pPr>
        <w:pStyle w:val="ListParagraph"/>
        <w:spacing w:line="264" w:lineRule="auto"/>
        <w:rPr>
          <w:sz w:val="25"/>
          <w:szCs w:val="25"/>
        </w:rPr>
      </w:pPr>
    </w:p>
    <w:p w14:paraId="5CAFB585" w14:textId="6EB42093" w:rsidR="00A77C7F" w:rsidRPr="00942F86" w:rsidRDefault="00FB17DE" w:rsidP="00F00893">
      <w:pPr>
        <w:numPr>
          <w:ilvl w:val="0"/>
          <w:numId w:val="1"/>
        </w:numPr>
        <w:tabs>
          <w:tab w:val="clear" w:pos="720"/>
          <w:tab w:val="num" w:pos="0"/>
        </w:tabs>
        <w:spacing w:line="264" w:lineRule="auto"/>
        <w:ind w:left="0"/>
        <w:rPr>
          <w:sz w:val="25"/>
          <w:szCs w:val="25"/>
        </w:rPr>
      </w:pPr>
      <w:r w:rsidRPr="00942F86">
        <w:rPr>
          <w:sz w:val="25"/>
          <w:szCs w:val="25"/>
        </w:rPr>
        <w:t xml:space="preserve">The only testimony </w:t>
      </w:r>
      <w:r w:rsidR="00567641" w:rsidRPr="00942F86">
        <w:rPr>
          <w:sz w:val="25"/>
          <w:szCs w:val="25"/>
        </w:rPr>
        <w:t xml:space="preserve">the Company offers </w:t>
      </w:r>
      <w:r w:rsidRPr="00942F86">
        <w:rPr>
          <w:sz w:val="25"/>
          <w:szCs w:val="25"/>
        </w:rPr>
        <w:t xml:space="preserve">on this issue in </w:t>
      </w:r>
      <w:r w:rsidR="00567641" w:rsidRPr="00942F86">
        <w:rPr>
          <w:sz w:val="25"/>
          <w:szCs w:val="25"/>
        </w:rPr>
        <w:t>its</w:t>
      </w:r>
      <w:r w:rsidRPr="00942F86">
        <w:rPr>
          <w:sz w:val="25"/>
          <w:szCs w:val="25"/>
        </w:rPr>
        <w:t xml:space="preserve"> direct case </w:t>
      </w:r>
      <w:r w:rsidR="00567641" w:rsidRPr="00942F86">
        <w:rPr>
          <w:sz w:val="25"/>
          <w:szCs w:val="25"/>
        </w:rPr>
        <w:t>is by</w:t>
      </w:r>
      <w:r w:rsidRPr="00942F86">
        <w:rPr>
          <w:sz w:val="25"/>
          <w:szCs w:val="25"/>
        </w:rPr>
        <w:t xml:space="preserve"> Mr. Dalley in a single sentence stating</w:t>
      </w:r>
      <w:r w:rsidR="00567641" w:rsidRPr="00942F86">
        <w:rPr>
          <w:sz w:val="25"/>
          <w:szCs w:val="25"/>
        </w:rPr>
        <w:t>:</w:t>
      </w:r>
      <w:r w:rsidRPr="00942F86">
        <w:rPr>
          <w:sz w:val="25"/>
          <w:szCs w:val="25"/>
        </w:rPr>
        <w:t xml:space="preserve"> “The hydro deferral request is consistent with Commission precedent in Docket UE-080220.”</w:t>
      </w:r>
      <w:r w:rsidRPr="00942F86">
        <w:rPr>
          <w:sz w:val="25"/>
          <w:szCs w:val="25"/>
          <w:vertAlign w:val="superscript"/>
        </w:rPr>
        <w:footnoteReference w:id="406"/>
      </w:r>
      <w:r w:rsidRPr="00942F86">
        <w:rPr>
          <w:sz w:val="25"/>
          <w:szCs w:val="25"/>
        </w:rPr>
        <w:t xml:space="preserve">  Docket UE-080220</w:t>
      </w:r>
      <w:r w:rsidR="00802488" w:rsidRPr="00942F86">
        <w:rPr>
          <w:sz w:val="25"/>
          <w:szCs w:val="25"/>
        </w:rPr>
        <w:t>, however,</w:t>
      </w:r>
      <w:r w:rsidRPr="00942F86">
        <w:rPr>
          <w:sz w:val="25"/>
          <w:szCs w:val="25"/>
        </w:rPr>
        <w:t xml:space="preserve"> was resolved on the basis of a settlement among the parties that by its own </w:t>
      </w:r>
      <w:r w:rsidR="004C34BF" w:rsidRPr="00942F86">
        <w:rPr>
          <w:sz w:val="25"/>
          <w:szCs w:val="25"/>
        </w:rPr>
        <w:t>t</w:t>
      </w:r>
      <w:r w:rsidRPr="00942F86">
        <w:rPr>
          <w:sz w:val="25"/>
          <w:szCs w:val="25"/>
        </w:rPr>
        <w:t>erms, as approved by the Commission, does not establish precedent</w:t>
      </w:r>
      <w:r w:rsidR="00CB04DC" w:rsidRPr="00942F86">
        <w:rPr>
          <w:sz w:val="25"/>
          <w:szCs w:val="25"/>
        </w:rPr>
        <w:t xml:space="preserve"> in any sense of the word.</w:t>
      </w:r>
      <w:r w:rsidR="00CB04DC" w:rsidRPr="00942F86">
        <w:rPr>
          <w:rStyle w:val="FootnoteReference"/>
          <w:sz w:val="25"/>
          <w:szCs w:val="25"/>
        </w:rPr>
        <w:footnoteReference w:id="407"/>
      </w:r>
      <w:r w:rsidRPr="00942F86">
        <w:rPr>
          <w:sz w:val="25"/>
          <w:szCs w:val="25"/>
        </w:rPr>
        <w:t xml:space="preserve"> </w:t>
      </w:r>
    </w:p>
    <w:p w14:paraId="60381434" w14:textId="77777777" w:rsidR="00FB17DE" w:rsidRPr="00942F86" w:rsidRDefault="00FB17DE" w:rsidP="000455AC">
      <w:pPr>
        <w:pStyle w:val="ListParagraph"/>
        <w:spacing w:line="264" w:lineRule="auto"/>
        <w:rPr>
          <w:sz w:val="25"/>
          <w:szCs w:val="25"/>
        </w:rPr>
      </w:pPr>
    </w:p>
    <w:p w14:paraId="50A887BA" w14:textId="65D298C7" w:rsidR="007F136B" w:rsidRPr="00942F86" w:rsidRDefault="00730303" w:rsidP="00F00893">
      <w:pPr>
        <w:numPr>
          <w:ilvl w:val="0"/>
          <w:numId w:val="1"/>
        </w:numPr>
        <w:tabs>
          <w:tab w:val="clear" w:pos="720"/>
          <w:tab w:val="num" w:pos="0"/>
        </w:tabs>
        <w:spacing w:line="264" w:lineRule="auto"/>
        <w:ind w:left="0"/>
        <w:rPr>
          <w:sz w:val="25"/>
          <w:szCs w:val="25"/>
        </w:rPr>
      </w:pPr>
      <w:r w:rsidRPr="00942F86">
        <w:rPr>
          <w:sz w:val="25"/>
          <w:szCs w:val="25"/>
        </w:rPr>
        <w:t>The Company did not present testimony demonstrating significant declines in hydro generation during 2014 either in its deferral petition or in its direct case.  Mr. Gomez, for Staff, analyzed the Company’s hydro generator performance</w:t>
      </w:r>
      <w:r w:rsidR="00802488" w:rsidRPr="00942F86">
        <w:rPr>
          <w:sz w:val="25"/>
          <w:szCs w:val="25"/>
        </w:rPr>
        <w:t>-</w:t>
      </w:r>
      <w:r w:rsidRPr="00942F86">
        <w:rPr>
          <w:sz w:val="25"/>
          <w:szCs w:val="25"/>
        </w:rPr>
        <w:t>based in part on the Company’s responses to two data requests – one submitted by Public Counsel and one submitted by Staff.</w:t>
      </w:r>
      <w:r w:rsidRPr="00942F86">
        <w:rPr>
          <w:sz w:val="25"/>
          <w:szCs w:val="25"/>
          <w:vertAlign w:val="superscript"/>
        </w:rPr>
        <w:footnoteReference w:id="408"/>
      </w:r>
      <w:r w:rsidRPr="00942F86">
        <w:rPr>
          <w:sz w:val="25"/>
          <w:szCs w:val="25"/>
        </w:rPr>
        <w:t xml:space="preserve">  According to Staff</w:t>
      </w:r>
      <w:r w:rsidR="00802488" w:rsidRPr="00942F86">
        <w:rPr>
          <w:sz w:val="25"/>
          <w:szCs w:val="25"/>
        </w:rPr>
        <w:t>,</w:t>
      </w:r>
      <w:r w:rsidRPr="00942F86">
        <w:rPr>
          <w:sz w:val="25"/>
          <w:szCs w:val="25"/>
        </w:rPr>
        <w:t xml:space="preserve"> “actual hydro generation (January – August 2014)” when combined with the Company’s forecast for the “remainder of the proposed deferral period (September- December 2014)</w:t>
      </w:r>
      <w:r w:rsidR="00802488" w:rsidRPr="00942F86">
        <w:rPr>
          <w:sz w:val="25"/>
          <w:szCs w:val="25"/>
        </w:rPr>
        <w:t>,</w:t>
      </w:r>
      <w:r w:rsidRPr="00942F86">
        <w:rPr>
          <w:sz w:val="25"/>
          <w:szCs w:val="25"/>
        </w:rPr>
        <w:t>” shows hydro generator output within 2.9 percent of the amount placed into rates.</w:t>
      </w:r>
      <w:r w:rsidRPr="00942F86">
        <w:rPr>
          <w:sz w:val="25"/>
          <w:szCs w:val="25"/>
          <w:vertAlign w:val="superscript"/>
        </w:rPr>
        <w:footnoteReference w:id="409"/>
      </w:r>
      <w:r w:rsidRPr="00942F86">
        <w:rPr>
          <w:sz w:val="25"/>
          <w:szCs w:val="25"/>
        </w:rPr>
        <w:t xml:space="preserve">  This result </w:t>
      </w:r>
      <w:r w:rsidR="007F136B" w:rsidRPr="00942F86">
        <w:rPr>
          <w:sz w:val="25"/>
          <w:szCs w:val="25"/>
        </w:rPr>
        <w:t xml:space="preserve">was better </w:t>
      </w:r>
      <w:r w:rsidR="007F136B" w:rsidRPr="00942F86">
        <w:rPr>
          <w:sz w:val="25"/>
          <w:szCs w:val="25"/>
        </w:rPr>
        <w:lastRenderedPageBreak/>
        <w:t>than the</w:t>
      </w:r>
      <w:r w:rsidRPr="00942F86">
        <w:rPr>
          <w:sz w:val="25"/>
          <w:szCs w:val="25"/>
        </w:rPr>
        <w:t xml:space="preserve"> Company</w:t>
      </w:r>
      <w:r w:rsidR="007F136B" w:rsidRPr="00942F86">
        <w:rPr>
          <w:sz w:val="25"/>
          <w:szCs w:val="25"/>
        </w:rPr>
        <w:t>’s experience</w:t>
      </w:r>
      <w:r w:rsidRPr="00942F86">
        <w:rPr>
          <w:sz w:val="25"/>
          <w:szCs w:val="25"/>
        </w:rPr>
        <w:t xml:space="preserve"> from 2007 to 2013</w:t>
      </w:r>
      <w:r w:rsidR="007F136B" w:rsidRPr="00942F86">
        <w:rPr>
          <w:sz w:val="25"/>
          <w:szCs w:val="25"/>
        </w:rPr>
        <w:t xml:space="preserve"> when</w:t>
      </w:r>
      <w:r w:rsidRPr="00942F86">
        <w:rPr>
          <w:sz w:val="25"/>
          <w:szCs w:val="25"/>
        </w:rPr>
        <w:t xml:space="preserve"> the difference between actual hydro</w:t>
      </w:r>
      <w:r w:rsidR="00802488" w:rsidRPr="00942F86">
        <w:rPr>
          <w:sz w:val="25"/>
          <w:szCs w:val="25"/>
        </w:rPr>
        <w:t>power</w:t>
      </w:r>
      <w:r w:rsidRPr="00942F86">
        <w:rPr>
          <w:sz w:val="25"/>
          <w:szCs w:val="25"/>
        </w:rPr>
        <w:t xml:space="preserve"> generation and the amount in rates averaged about 9 percent.</w:t>
      </w:r>
      <w:r w:rsidRPr="00942F86">
        <w:rPr>
          <w:sz w:val="25"/>
          <w:szCs w:val="25"/>
          <w:vertAlign w:val="superscript"/>
        </w:rPr>
        <w:footnoteReference w:id="410"/>
      </w:r>
      <w:r w:rsidRPr="00942F86">
        <w:rPr>
          <w:sz w:val="25"/>
          <w:szCs w:val="25"/>
        </w:rPr>
        <w:t xml:space="preserve"> </w:t>
      </w:r>
      <w:r w:rsidR="00802488" w:rsidRPr="00942F86">
        <w:rPr>
          <w:sz w:val="25"/>
          <w:szCs w:val="25"/>
        </w:rPr>
        <w:t xml:space="preserve"> </w:t>
      </w:r>
      <w:r w:rsidRPr="00942F86">
        <w:rPr>
          <w:sz w:val="25"/>
          <w:szCs w:val="25"/>
        </w:rPr>
        <w:t>Mr. Gomez concluded that the Company’s hydro performance during the deferral period (2.9 percent as compared with 9.0 percent) was “well within an acceptable range.”</w:t>
      </w:r>
      <w:r w:rsidRPr="00942F86">
        <w:rPr>
          <w:sz w:val="25"/>
          <w:szCs w:val="25"/>
          <w:vertAlign w:val="superscript"/>
        </w:rPr>
        <w:footnoteReference w:id="411"/>
      </w:r>
      <w:r w:rsidRPr="00942F86">
        <w:rPr>
          <w:sz w:val="25"/>
          <w:szCs w:val="25"/>
        </w:rPr>
        <w:t xml:space="preserve">  </w:t>
      </w:r>
    </w:p>
    <w:p w14:paraId="7CF34678" w14:textId="77777777" w:rsidR="007F136B" w:rsidRPr="00942F86" w:rsidRDefault="007F136B" w:rsidP="000455AC">
      <w:pPr>
        <w:pStyle w:val="ListParagraph"/>
        <w:spacing w:line="264" w:lineRule="auto"/>
        <w:rPr>
          <w:sz w:val="25"/>
          <w:szCs w:val="25"/>
        </w:rPr>
      </w:pPr>
    </w:p>
    <w:p w14:paraId="0C68739A" w14:textId="77777777" w:rsidR="00C46037" w:rsidRPr="00942F86" w:rsidRDefault="00730303" w:rsidP="00F00893">
      <w:pPr>
        <w:numPr>
          <w:ilvl w:val="0"/>
          <w:numId w:val="1"/>
        </w:numPr>
        <w:tabs>
          <w:tab w:val="clear" w:pos="720"/>
          <w:tab w:val="num" w:pos="0"/>
        </w:tabs>
        <w:spacing w:line="264" w:lineRule="auto"/>
        <w:ind w:left="0"/>
        <w:rPr>
          <w:sz w:val="25"/>
          <w:szCs w:val="25"/>
        </w:rPr>
      </w:pPr>
      <w:r w:rsidRPr="00942F86">
        <w:rPr>
          <w:sz w:val="25"/>
          <w:szCs w:val="25"/>
        </w:rPr>
        <w:t xml:space="preserve">In </w:t>
      </w:r>
      <w:r w:rsidR="007F136B" w:rsidRPr="00942F86">
        <w:rPr>
          <w:sz w:val="25"/>
          <w:szCs w:val="25"/>
        </w:rPr>
        <w:t>Mr. Duvall’s rebuttal testimony</w:t>
      </w:r>
      <w:r w:rsidRPr="00942F86">
        <w:rPr>
          <w:sz w:val="25"/>
          <w:szCs w:val="25"/>
        </w:rPr>
        <w:t xml:space="preserve">, the Company updated </w:t>
      </w:r>
      <w:r w:rsidR="007F136B" w:rsidRPr="00942F86">
        <w:rPr>
          <w:sz w:val="25"/>
          <w:szCs w:val="25"/>
        </w:rPr>
        <w:t xml:space="preserve">its </w:t>
      </w:r>
      <w:r w:rsidRPr="00942F86">
        <w:rPr>
          <w:sz w:val="25"/>
          <w:szCs w:val="25"/>
        </w:rPr>
        <w:t xml:space="preserve">analysis of its hydro output, and </w:t>
      </w:r>
      <w:r w:rsidR="007F136B" w:rsidRPr="00942F86">
        <w:rPr>
          <w:sz w:val="25"/>
          <w:szCs w:val="25"/>
        </w:rPr>
        <w:t>represents</w:t>
      </w:r>
      <w:r w:rsidRPr="00942F86">
        <w:rPr>
          <w:sz w:val="25"/>
          <w:szCs w:val="25"/>
        </w:rPr>
        <w:t xml:space="preserve"> that the difference between actual hydro generation and the amount in rates would be “approximately 7.6 percent” for all of 2014</w:t>
      </w:r>
      <w:r w:rsidR="007F136B" w:rsidRPr="00942F86">
        <w:rPr>
          <w:sz w:val="25"/>
          <w:szCs w:val="25"/>
        </w:rPr>
        <w:t>.  Staff argues that even accepting this data</w:t>
      </w:r>
      <w:r w:rsidRPr="00942F86">
        <w:rPr>
          <w:sz w:val="25"/>
          <w:szCs w:val="25"/>
        </w:rPr>
        <w:t xml:space="preserve">, </w:t>
      </w:r>
      <w:r w:rsidR="007F136B" w:rsidRPr="00942F86">
        <w:rPr>
          <w:sz w:val="25"/>
          <w:szCs w:val="25"/>
        </w:rPr>
        <w:t>“</w:t>
      </w:r>
      <w:r w:rsidRPr="00942F86">
        <w:rPr>
          <w:sz w:val="25"/>
          <w:szCs w:val="25"/>
        </w:rPr>
        <w:t>the Company’s actual hydro generation still falls within Staff’s acceptable range of 9 percent of forecast.</w:t>
      </w:r>
      <w:r w:rsidR="007F136B" w:rsidRPr="00942F86">
        <w:rPr>
          <w:sz w:val="25"/>
          <w:szCs w:val="25"/>
        </w:rPr>
        <w:t>”</w:t>
      </w:r>
      <w:r w:rsidR="007F136B" w:rsidRPr="00942F86">
        <w:rPr>
          <w:rStyle w:val="FootnoteReference"/>
          <w:sz w:val="25"/>
          <w:szCs w:val="25"/>
        </w:rPr>
        <w:footnoteReference w:id="412"/>
      </w:r>
      <w:r w:rsidRPr="00942F86">
        <w:rPr>
          <w:sz w:val="25"/>
          <w:szCs w:val="25"/>
        </w:rPr>
        <w:t xml:space="preserve">  </w:t>
      </w:r>
      <w:r w:rsidR="00C46037" w:rsidRPr="00942F86">
        <w:rPr>
          <w:sz w:val="25"/>
          <w:szCs w:val="25"/>
        </w:rPr>
        <w:t xml:space="preserve">In a similar vein, Mr. Mullins testifies that despite early concerns that hydro conditions during 2014 would be below average for the calendar year, “the Northwest experienced higher than average spring precipitation, which has resulted in </w:t>
      </w:r>
      <w:proofErr w:type="gramStart"/>
      <w:r w:rsidR="00C46037" w:rsidRPr="00942F86">
        <w:rPr>
          <w:sz w:val="25"/>
          <w:szCs w:val="25"/>
        </w:rPr>
        <w:t>Northwest</w:t>
      </w:r>
      <w:proofErr w:type="gramEnd"/>
      <w:r w:rsidR="00C46037" w:rsidRPr="00942F86">
        <w:rPr>
          <w:sz w:val="25"/>
          <w:szCs w:val="25"/>
        </w:rPr>
        <w:t xml:space="preserve"> hydro conditions that are about normal.”</w:t>
      </w:r>
      <w:r w:rsidR="00C46037" w:rsidRPr="00942F86">
        <w:rPr>
          <w:rStyle w:val="FootnoteReference"/>
          <w:sz w:val="25"/>
          <w:szCs w:val="25"/>
        </w:rPr>
        <w:footnoteReference w:id="413"/>
      </w:r>
      <w:r w:rsidR="00C46037" w:rsidRPr="00942F86">
        <w:rPr>
          <w:sz w:val="25"/>
          <w:szCs w:val="25"/>
        </w:rPr>
        <w:t xml:space="preserve"> </w:t>
      </w:r>
    </w:p>
    <w:p w14:paraId="6D75E394" w14:textId="77777777" w:rsidR="00C46037" w:rsidRPr="00942F86" w:rsidRDefault="00C46037" w:rsidP="000455AC">
      <w:pPr>
        <w:pStyle w:val="ListParagraph"/>
        <w:spacing w:line="264" w:lineRule="auto"/>
        <w:rPr>
          <w:sz w:val="25"/>
          <w:szCs w:val="25"/>
        </w:rPr>
      </w:pPr>
    </w:p>
    <w:p w14:paraId="44D7BEBF" w14:textId="77777777" w:rsidR="004C34BF" w:rsidRPr="00942F86" w:rsidRDefault="00C46037" w:rsidP="00F00893">
      <w:pPr>
        <w:numPr>
          <w:ilvl w:val="0"/>
          <w:numId w:val="1"/>
        </w:numPr>
        <w:tabs>
          <w:tab w:val="clear" w:pos="720"/>
          <w:tab w:val="num" w:pos="0"/>
        </w:tabs>
        <w:spacing w:line="264" w:lineRule="auto"/>
        <w:ind w:left="0"/>
        <w:rPr>
          <w:sz w:val="25"/>
          <w:szCs w:val="25"/>
        </w:rPr>
      </w:pPr>
      <w:r w:rsidRPr="00942F86">
        <w:rPr>
          <w:sz w:val="25"/>
          <w:szCs w:val="25"/>
        </w:rPr>
        <w:t>Mr. Mullins also testifies that the Commission should reject the Company’s deferred accounting proposal because it is one-sided.</w:t>
      </w:r>
      <w:r w:rsidRPr="00942F86">
        <w:rPr>
          <w:rStyle w:val="FootnoteReference"/>
          <w:sz w:val="25"/>
          <w:szCs w:val="25"/>
        </w:rPr>
        <w:footnoteReference w:id="414"/>
      </w:r>
      <w:r w:rsidRPr="00942F86">
        <w:rPr>
          <w:sz w:val="25"/>
          <w:szCs w:val="25"/>
        </w:rPr>
        <w:t xml:space="preserve">  </w:t>
      </w:r>
      <w:r w:rsidR="004C34BF" w:rsidRPr="00942F86">
        <w:rPr>
          <w:sz w:val="25"/>
          <w:szCs w:val="25"/>
        </w:rPr>
        <w:t>As he explains it:</w:t>
      </w:r>
    </w:p>
    <w:p w14:paraId="35AA3E0E" w14:textId="77777777" w:rsidR="004C34BF" w:rsidRPr="00942F86" w:rsidRDefault="004C34BF" w:rsidP="000455AC">
      <w:pPr>
        <w:pStyle w:val="ListParagraph"/>
        <w:spacing w:line="264" w:lineRule="auto"/>
        <w:rPr>
          <w:sz w:val="25"/>
          <w:szCs w:val="25"/>
        </w:rPr>
      </w:pPr>
    </w:p>
    <w:p w14:paraId="7C88C539" w14:textId="41F92D16" w:rsidR="00A77C7F" w:rsidRPr="00942F86" w:rsidRDefault="00C46037" w:rsidP="000455AC">
      <w:pPr>
        <w:spacing w:line="264" w:lineRule="auto"/>
        <w:ind w:left="720" w:right="720"/>
        <w:rPr>
          <w:sz w:val="25"/>
          <w:szCs w:val="25"/>
        </w:rPr>
      </w:pPr>
      <w:r w:rsidRPr="00942F86">
        <w:rPr>
          <w:sz w:val="25"/>
          <w:szCs w:val="25"/>
        </w:rPr>
        <w:t>The Company forecasts hydro output in the GRID model based on median generation of a historical period.  Accordingly, half of the time hydro generation is expected to be lower than the Company’s forecast, and half of the time it is expected to be higher.  In this case, the Company is seeking deferred accounting for costs associated with hydro generation that it originally expected to be below the median forecast; yet, the Company has not made similar proposals when hydro generation has been greater than the median.</w:t>
      </w:r>
      <w:r w:rsidR="004C34BF" w:rsidRPr="00942F86">
        <w:rPr>
          <w:rStyle w:val="FootnoteReference"/>
          <w:sz w:val="25"/>
          <w:szCs w:val="25"/>
        </w:rPr>
        <w:footnoteReference w:id="415"/>
      </w:r>
      <w:r w:rsidRPr="00942F86">
        <w:rPr>
          <w:sz w:val="25"/>
          <w:szCs w:val="25"/>
        </w:rPr>
        <w:t xml:space="preserve">  </w:t>
      </w:r>
    </w:p>
    <w:p w14:paraId="4F109015" w14:textId="77777777" w:rsidR="004C34BF" w:rsidRPr="00942F86" w:rsidRDefault="004C34BF" w:rsidP="000455AC">
      <w:pPr>
        <w:spacing w:line="264" w:lineRule="auto"/>
        <w:rPr>
          <w:sz w:val="25"/>
          <w:szCs w:val="25"/>
        </w:rPr>
      </w:pPr>
    </w:p>
    <w:p w14:paraId="35221F57" w14:textId="26EEAB17" w:rsidR="00A77C7F" w:rsidRPr="00942F86" w:rsidRDefault="004C34BF" w:rsidP="000455AC">
      <w:pPr>
        <w:spacing w:line="264" w:lineRule="auto"/>
        <w:rPr>
          <w:sz w:val="25"/>
          <w:szCs w:val="25"/>
        </w:rPr>
      </w:pPr>
      <w:r w:rsidRPr="00942F86">
        <w:rPr>
          <w:sz w:val="25"/>
          <w:szCs w:val="25"/>
        </w:rPr>
        <w:lastRenderedPageBreak/>
        <w:t>Mr. Mullins cites 2011 and 2012 as examples, observing that “when the spring run-off was well above the median, the Company made no effort to return the savings attributable to the higher than average hydro conditions.”</w:t>
      </w:r>
      <w:r w:rsidRPr="00942F86">
        <w:rPr>
          <w:rStyle w:val="FootnoteReference"/>
          <w:sz w:val="25"/>
          <w:szCs w:val="25"/>
        </w:rPr>
        <w:footnoteReference w:id="416"/>
      </w:r>
    </w:p>
    <w:p w14:paraId="5E66194E" w14:textId="77777777" w:rsidR="004C34BF" w:rsidRPr="00942F86" w:rsidRDefault="004C34BF" w:rsidP="000455AC">
      <w:pPr>
        <w:spacing w:line="264" w:lineRule="auto"/>
        <w:rPr>
          <w:sz w:val="25"/>
          <w:szCs w:val="25"/>
        </w:rPr>
      </w:pPr>
    </w:p>
    <w:p w14:paraId="0DE5B19C" w14:textId="41309503" w:rsidR="004C34BF" w:rsidRPr="00942F86" w:rsidRDefault="004C34BF" w:rsidP="00F00893">
      <w:pPr>
        <w:numPr>
          <w:ilvl w:val="0"/>
          <w:numId w:val="1"/>
        </w:numPr>
        <w:tabs>
          <w:tab w:val="clear" w:pos="720"/>
          <w:tab w:val="num" w:pos="0"/>
        </w:tabs>
        <w:spacing w:line="264" w:lineRule="auto"/>
        <w:ind w:left="0"/>
        <w:rPr>
          <w:sz w:val="25"/>
          <w:szCs w:val="25"/>
        </w:rPr>
      </w:pPr>
      <w:r w:rsidRPr="00942F86">
        <w:rPr>
          <w:sz w:val="25"/>
          <w:szCs w:val="25"/>
        </w:rPr>
        <w:t xml:space="preserve">Staff, referring to the Company’s proposal as a “Hydro Tracker,” </w:t>
      </w:r>
      <w:r w:rsidR="00D645B3" w:rsidRPr="00942F86">
        <w:rPr>
          <w:sz w:val="25"/>
          <w:szCs w:val="25"/>
        </w:rPr>
        <w:t>say</w:t>
      </w:r>
      <w:r w:rsidRPr="00942F86">
        <w:rPr>
          <w:sz w:val="25"/>
          <w:szCs w:val="25"/>
        </w:rPr>
        <w:t xml:space="preserve">s that </w:t>
      </w:r>
      <w:r w:rsidR="00D645B3" w:rsidRPr="00942F86">
        <w:rPr>
          <w:sz w:val="25"/>
          <w:szCs w:val="25"/>
        </w:rPr>
        <w:t>the Company seeks to recover ordinary variability in power costs, shielding itself entirely from the effects of weather, resulting hydro conditions, and changes in fuel costs.</w:t>
      </w:r>
      <w:r w:rsidR="00D645B3" w:rsidRPr="00942F86">
        <w:rPr>
          <w:rStyle w:val="FootnoteReference"/>
          <w:sz w:val="25"/>
          <w:szCs w:val="25"/>
        </w:rPr>
        <w:footnoteReference w:id="417"/>
      </w:r>
      <w:r w:rsidR="00D645B3" w:rsidRPr="00942F86">
        <w:rPr>
          <w:sz w:val="25"/>
          <w:szCs w:val="25"/>
        </w:rPr>
        <w:t xml:space="preserve">  Staff argues that the Commission previously has rejected the inclusion of normal hydro variability in power cost adjustment mechanisms.</w:t>
      </w:r>
      <w:r w:rsidR="00BC2D5F" w:rsidRPr="00942F86">
        <w:rPr>
          <w:sz w:val="25"/>
          <w:szCs w:val="25"/>
        </w:rPr>
        <w:t xml:space="preserve">  Indeed, as recently as Order 05 in Docket UE-130043 the Commission said: </w:t>
      </w:r>
    </w:p>
    <w:p w14:paraId="612754DA" w14:textId="77777777" w:rsidR="00BC2D5F" w:rsidRPr="00942F86" w:rsidRDefault="00BC2D5F" w:rsidP="000455AC">
      <w:pPr>
        <w:spacing w:line="264" w:lineRule="auto"/>
        <w:rPr>
          <w:sz w:val="25"/>
          <w:szCs w:val="25"/>
        </w:rPr>
      </w:pPr>
    </w:p>
    <w:p w14:paraId="3CEF2296" w14:textId="3D0EA3D7" w:rsidR="00BC2D5F" w:rsidRPr="00942F86" w:rsidRDefault="00BC2D5F" w:rsidP="000455AC">
      <w:pPr>
        <w:spacing w:line="264" w:lineRule="auto"/>
        <w:ind w:left="720" w:right="720"/>
        <w:rPr>
          <w:sz w:val="25"/>
          <w:szCs w:val="25"/>
        </w:rPr>
      </w:pPr>
      <w:r w:rsidRPr="00942F86">
        <w:rPr>
          <w:sz w:val="25"/>
          <w:szCs w:val="25"/>
        </w:rPr>
        <w:t xml:space="preserve">PacifiCorp, however, proposes a PCAM that would protect the Company from any risk of under-recovery, even that due to the ordinary variability in power costs due to normal and foreseeable changes in fuel costs, ordinary variance in hydro conditions, normal variations in weather, and so forth.  As the Commission previously observed in connection with such a proposal:  “This would mark a new and much expanded role for the </w:t>
      </w:r>
      <w:proofErr w:type="spellStart"/>
      <w:r w:rsidRPr="00942F86">
        <w:rPr>
          <w:sz w:val="25"/>
          <w:szCs w:val="25"/>
        </w:rPr>
        <w:t>PCA</w:t>
      </w:r>
      <w:proofErr w:type="spellEnd"/>
      <w:r w:rsidRPr="00942F86">
        <w:rPr>
          <w:sz w:val="25"/>
          <w:szCs w:val="25"/>
        </w:rPr>
        <w:t>.”</w:t>
      </w:r>
      <w:r w:rsidRPr="00942F86">
        <w:rPr>
          <w:sz w:val="25"/>
          <w:szCs w:val="25"/>
          <w:vertAlign w:val="superscript"/>
        </w:rPr>
        <w:footnoteReference w:id="418"/>
      </w:r>
    </w:p>
    <w:p w14:paraId="74852806" w14:textId="77777777" w:rsidR="004C34BF" w:rsidRPr="00942F86" w:rsidRDefault="004C34BF" w:rsidP="000455AC">
      <w:pPr>
        <w:spacing w:line="264" w:lineRule="auto"/>
        <w:rPr>
          <w:sz w:val="25"/>
          <w:szCs w:val="25"/>
        </w:rPr>
      </w:pPr>
    </w:p>
    <w:p w14:paraId="6702430F" w14:textId="23F0BAEC" w:rsidR="00BC2D5F" w:rsidRPr="00942F86" w:rsidRDefault="00BC2D5F" w:rsidP="000455AC">
      <w:pPr>
        <w:spacing w:line="264" w:lineRule="auto"/>
        <w:rPr>
          <w:sz w:val="25"/>
          <w:szCs w:val="25"/>
        </w:rPr>
      </w:pPr>
      <w:r w:rsidRPr="00942F86">
        <w:rPr>
          <w:sz w:val="25"/>
          <w:szCs w:val="25"/>
        </w:rPr>
        <w:t xml:space="preserve">Staff </w:t>
      </w:r>
      <w:r w:rsidR="00802488" w:rsidRPr="00942F86">
        <w:rPr>
          <w:sz w:val="25"/>
          <w:szCs w:val="25"/>
        </w:rPr>
        <w:t xml:space="preserve">asserts </w:t>
      </w:r>
      <w:r w:rsidRPr="00942F86">
        <w:rPr>
          <w:sz w:val="25"/>
          <w:szCs w:val="25"/>
        </w:rPr>
        <w:t xml:space="preserve">that despite such clear Commission guidance, the Company here seeks identical but narrower relief through its Hydro Tracker.  </w:t>
      </w:r>
    </w:p>
    <w:p w14:paraId="727DAF1A" w14:textId="77777777" w:rsidR="00BC2D5F" w:rsidRPr="00942F86" w:rsidRDefault="00BC2D5F" w:rsidP="000455AC">
      <w:pPr>
        <w:spacing w:line="264" w:lineRule="auto"/>
        <w:rPr>
          <w:sz w:val="25"/>
          <w:szCs w:val="25"/>
        </w:rPr>
      </w:pPr>
    </w:p>
    <w:p w14:paraId="5AB37EF1" w14:textId="5D909D9F" w:rsidR="00BC2D5F" w:rsidRPr="00942F86" w:rsidRDefault="00BC2D5F" w:rsidP="00F00893">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We deny Pacific Power’s</w:t>
      </w:r>
      <w:r w:rsidR="00F33976" w:rsidRPr="00942F86">
        <w:rPr>
          <w:sz w:val="25"/>
          <w:szCs w:val="25"/>
        </w:rPr>
        <w:t xml:space="preserve"> petition for an accounting order and, consequently, its</w:t>
      </w:r>
      <w:r w:rsidRPr="00942F86">
        <w:rPr>
          <w:sz w:val="25"/>
          <w:szCs w:val="25"/>
        </w:rPr>
        <w:t xml:space="preserve"> proposed recovery in rates of </w:t>
      </w:r>
      <w:r w:rsidR="00F33976" w:rsidRPr="00942F86">
        <w:rPr>
          <w:sz w:val="25"/>
          <w:szCs w:val="25"/>
        </w:rPr>
        <w:t xml:space="preserve">any </w:t>
      </w:r>
      <w:r w:rsidRPr="00942F86">
        <w:rPr>
          <w:sz w:val="25"/>
          <w:szCs w:val="25"/>
        </w:rPr>
        <w:t xml:space="preserve">costs </w:t>
      </w:r>
      <w:r w:rsidR="00F33976" w:rsidRPr="00942F86">
        <w:rPr>
          <w:sz w:val="25"/>
          <w:szCs w:val="25"/>
        </w:rPr>
        <w:t xml:space="preserve">it would otherwise be authorized to </w:t>
      </w:r>
      <w:r w:rsidRPr="00942F86">
        <w:rPr>
          <w:sz w:val="25"/>
          <w:szCs w:val="25"/>
        </w:rPr>
        <w:t xml:space="preserve">book </w:t>
      </w:r>
      <w:r w:rsidR="00F33976" w:rsidRPr="00942F86">
        <w:rPr>
          <w:sz w:val="25"/>
          <w:szCs w:val="25"/>
        </w:rPr>
        <w:t>as deferred power costs</w:t>
      </w:r>
      <w:r w:rsidRPr="00942F86">
        <w:rPr>
          <w:sz w:val="25"/>
          <w:szCs w:val="25"/>
        </w:rPr>
        <w:t>.  These costs are in no sense “extraordinary</w:t>
      </w:r>
      <w:r w:rsidR="00BA0B21" w:rsidRPr="00942F86">
        <w:rPr>
          <w:sz w:val="25"/>
          <w:szCs w:val="25"/>
        </w:rPr>
        <w:t>,” a criterion that should apply to a cost deferral accounting mechanism at the time requested and at the time any recovery is sought.</w:t>
      </w:r>
    </w:p>
    <w:p w14:paraId="275C0B41" w14:textId="77777777" w:rsidR="00BA0B21" w:rsidRPr="00942F86" w:rsidRDefault="00BA0B21" w:rsidP="000455AC">
      <w:pPr>
        <w:spacing w:line="264" w:lineRule="auto"/>
        <w:rPr>
          <w:sz w:val="25"/>
          <w:szCs w:val="25"/>
        </w:rPr>
      </w:pPr>
    </w:p>
    <w:p w14:paraId="6BEABCDB" w14:textId="5DB89859" w:rsidR="00BA0B21" w:rsidRPr="00942F86" w:rsidRDefault="00802488" w:rsidP="00F00893">
      <w:pPr>
        <w:numPr>
          <w:ilvl w:val="0"/>
          <w:numId w:val="1"/>
        </w:numPr>
        <w:tabs>
          <w:tab w:val="clear" w:pos="720"/>
          <w:tab w:val="num" w:pos="0"/>
        </w:tabs>
        <w:spacing w:line="264" w:lineRule="auto"/>
        <w:ind w:left="0"/>
        <w:rPr>
          <w:sz w:val="25"/>
          <w:szCs w:val="25"/>
        </w:rPr>
      </w:pPr>
      <w:r w:rsidRPr="00F00893">
        <w:rPr>
          <w:i/>
          <w:sz w:val="25"/>
          <w:szCs w:val="25"/>
        </w:rPr>
        <w:t>As</w:t>
      </w:r>
      <w:r w:rsidRPr="00942F86">
        <w:rPr>
          <w:sz w:val="25"/>
          <w:szCs w:val="25"/>
        </w:rPr>
        <w:t xml:space="preserve"> stated previously, we do not favor narrow, single purpose trackers that use deferral accounting to recover on a dollar-for-dollar basis all variations in wholesale power costs, whether or not such variations are outside of the Company’s control</w:t>
      </w:r>
      <w:r w:rsidR="00BA0B21" w:rsidRPr="00942F86">
        <w:rPr>
          <w:sz w:val="25"/>
          <w:szCs w:val="25"/>
        </w:rPr>
        <w:t>.</w:t>
      </w:r>
      <w:r w:rsidRPr="00942F86">
        <w:rPr>
          <w:sz w:val="25"/>
          <w:szCs w:val="25"/>
        </w:rPr>
        <w:t xml:space="preserve">  Instead, as the Commission has stated clearly in prior orders, such issues should be examined on the basis of the Company’s total portfolio of resources, and include mechanisms to </w:t>
      </w:r>
      <w:r w:rsidRPr="00942F86">
        <w:rPr>
          <w:sz w:val="25"/>
          <w:szCs w:val="25"/>
        </w:rPr>
        <w:lastRenderedPageBreak/>
        <w:t>protect customers as well as promoting the Company’s ability to recover such costs in a timely manner.</w:t>
      </w:r>
    </w:p>
    <w:p w14:paraId="0C2B8383" w14:textId="77777777" w:rsidR="00BA0B21" w:rsidRPr="00942F86" w:rsidRDefault="00BA0B21" w:rsidP="000455AC">
      <w:pPr>
        <w:pStyle w:val="ListParagraph"/>
        <w:spacing w:line="264" w:lineRule="auto"/>
        <w:rPr>
          <w:sz w:val="25"/>
          <w:szCs w:val="25"/>
        </w:rPr>
      </w:pPr>
    </w:p>
    <w:p w14:paraId="7DD269A3" w14:textId="75D88146" w:rsidR="00BA0B21" w:rsidRPr="00942F86" w:rsidRDefault="00BA0B21" w:rsidP="00F00893">
      <w:pPr>
        <w:numPr>
          <w:ilvl w:val="0"/>
          <w:numId w:val="1"/>
        </w:numPr>
        <w:tabs>
          <w:tab w:val="clear" w:pos="720"/>
          <w:tab w:val="num" w:pos="0"/>
        </w:tabs>
        <w:spacing w:line="264" w:lineRule="auto"/>
        <w:ind w:left="0"/>
        <w:rPr>
          <w:sz w:val="25"/>
          <w:szCs w:val="25"/>
        </w:rPr>
      </w:pPr>
      <w:r w:rsidRPr="00942F86">
        <w:rPr>
          <w:sz w:val="25"/>
          <w:szCs w:val="25"/>
        </w:rPr>
        <w:t xml:space="preserve">As previously discussed </w:t>
      </w:r>
      <w:r w:rsidR="00863593" w:rsidRPr="00942F86">
        <w:rPr>
          <w:sz w:val="25"/>
          <w:szCs w:val="25"/>
        </w:rPr>
        <w:t xml:space="preserve">in </w:t>
      </w:r>
      <w:r w:rsidRPr="00942F86">
        <w:rPr>
          <w:sz w:val="25"/>
          <w:szCs w:val="25"/>
        </w:rPr>
        <w:t>this Order</w:t>
      </w:r>
      <w:r w:rsidR="00863593" w:rsidRPr="00942F86">
        <w:rPr>
          <w:sz w:val="25"/>
          <w:szCs w:val="25"/>
        </w:rPr>
        <w:t>,</w:t>
      </w:r>
      <w:r w:rsidRPr="00942F86">
        <w:rPr>
          <w:sz w:val="25"/>
          <w:szCs w:val="25"/>
        </w:rPr>
        <w:t xml:space="preserve"> </w:t>
      </w:r>
      <w:r w:rsidR="00863593" w:rsidRPr="00942F86">
        <w:rPr>
          <w:sz w:val="25"/>
          <w:szCs w:val="25"/>
        </w:rPr>
        <w:t xml:space="preserve">we </w:t>
      </w:r>
      <w:r w:rsidRPr="00942F86">
        <w:rPr>
          <w:sz w:val="25"/>
          <w:szCs w:val="25"/>
        </w:rPr>
        <w:t>require Pacific Power to file tariff sheets implementing a properly designed PCAM along the lines of Staff’s proposal in this case.  Once in place, this will resolve power cost recovery issues such as those presented in Docket UE-140094.</w:t>
      </w:r>
    </w:p>
    <w:p w14:paraId="01BFA70C" w14:textId="77777777" w:rsidR="007D3986" w:rsidRPr="00942F86" w:rsidRDefault="007D3986" w:rsidP="000455AC">
      <w:pPr>
        <w:pStyle w:val="ListParagraph"/>
        <w:spacing w:line="264" w:lineRule="auto"/>
        <w:rPr>
          <w:sz w:val="25"/>
          <w:szCs w:val="25"/>
        </w:rPr>
      </w:pPr>
    </w:p>
    <w:p w14:paraId="526181DC" w14:textId="6FF1CD7E" w:rsidR="007D3986" w:rsidRPr="00942F86" w:rsidRDefault="007D3986" w:rsidP="00883A54">
      <w:pPr>
        <w:pStyle w:val="Heading4"/>
        <w:numPr>
          <w:ilvl w:val="0"/>
          <w:numId w:val="19"/>
        </w:numPr>
      </w:pPr>
      <w:bookmarkStart w:id="57" w:name="_Toc415037648"/>
      <w:r w:rsidRPr="00942F86">
        <w:t>Depreciation Deferral</w:t>
      </w:r>
      <w:bookmarkEnd w:id="57"/>
    </w:p>
    <w:p w14:paraId="34064780" w14:textId="77777777" w:rsidR="007D3986" w:rsidRPr="00942F86" w:rsidRDefault="007D3986" w:rsidP="000455AC">
      <w:pPr>
        <w:spacing w:line="264" w:lineRule="auto"/>
        <w:rPr>
          <w:sz w:val="25"/>
          <w:szCs w:val="25"/>
        </w:rPr>
      </w:pPr>
    </w:p>
    <w:p w14:paraId="179AA09F" w14:textId="38AC4E98" w:rsidR="007D3986" w:rsidRPr="00942F86" w:rsidRDefault="007D3986" w:rsidP="00F00893">
      <w:pPr>
        <w:numPr>
          <w:ilvl w:val="0"/>
          <w:numId w:val="1"/>
        </w:numPr>
        <w:tabs>
          <w:tab w:val="clear" w:pos="720"/>
          <w:tab w:val="num" w:pos="0"/>
        </w:tabs>
        <w:spacing w:line="264" w:lineRule="auto"/>
        <w:ind w:left="0"/>
        <w:rPr>
          <w:sz w:val="25"/>
          <w:szCs w:val="25"/>
        </w:rPr>
      </w:pPr>
      <w:r w:rsidRPr="00942F86">
        <w:rPr>
          <w:sz w:val="25"/>
          <w:szCs w:val="25"/>
        </w:rPr>
        <w:t xml:space="preserve">On December 31, 2013, </w:t>
      </w:r>
      <w:r w:rsidR="00863593" w:rsidRPr="00942F86">
        <w:rPr>
          <w:sz w:val="25"/>
          <w:szCs w:val="25"/>
        </w:rPr>
        <w:t xml:space="preserve">Pacific Power </w:t>
      </w:r>
      <w:r w:rsidRPr="00942F86">
        <w:rPr>
          <w:sz w:val="25"/>
          <w:szCs w:val="25"/>
        </w:rPr>
        <w:t>filed a petition in Docket UE-132350 seeking to defer a reduction in depreciation expense resulting from the difference in depreciation rates that were approved in Docket UE-130052 and the amount of depreciation expense used for setting rates in Docket UE-130043.  In Order 01 of UE-132350, the Commission allowed the Company to defer the one</w:t>
      </w:r>
      <w:r w:rsidR="00863593" w:rsidRPr="00942F86">
        <w:rPr>
          <w:sz w:val="25"/>
          <w:szCs w:val="25"/>
        </w:rPr>
        <w:t>-</w:t>
      </w:r>
      <w:r w:rsidRPr="00942F86">
        <w:rPr>
          <w:sz w:val="25"/>
          <w:szCs w:val="25"/>
        </w:rPr>
        <w:t xml:space="preserve">time reduction of depreciation expense of $669,000 until such time as the deferred amount could be refunded through an appropriate adjustment to rates in </w:t>
      </w:r>
      <w:r w:rsidR="00863593" w:rsidRPr="00942F86">
        <w:rPr>
          <w:sz w:val="25"/>
          <w:szCs w:val="25"/>
        </w:rPr>
        <w:t xml:space="preserve">Pacific Power’s </w:t>
      </w:r>
      <w:r w:rsidRPr="00942F86">
        <w:rPr>
          <w:sz w:val="25"/>
          <w:szCs w:val="25"/>
        </w:rPr>
        <w:t>subsequent GRC, which is this proceeding.  The Company, recognizing the increased deferral balance since the original filing, reflects the total reduction to revenue requirement for the rate year of $877,345.</w:t>
      </w:r>
      <w:r w:rsidR="004D595D" w:rsidRPr="00942F86">
        <w:rPr>
          <w:rStyle w:val="FootnoteReference"/>
          <w:sz w:val="25"/>
          <w:szCs w:val="25"/>
        </w:rPr>
        <w:footnoteReference w:id="419"/>
      </w:r>
      <w:r w:rsidRPr="00942F86">
        <w:rPr>
          <w:sz w:val="25"/>
          <w:szCs w:val="25"/>
        </w:rPr>
        <w:t xml:space="preserve"> </w:t>
      </w:r>
    </w:p>
    <w:p w14:paraId="74E3D5B5" w14:textId="77777777" w:rsidR="007D3986" w:rsidRPr="00942F86" w:rsidRDefault="007D3986" w:rsidP="000455AC">
      <w:pPr>
        <w:spacing w:line="264" w:lineRule="auto"/>
        <w:ind w:left="720"/>
        <w:rPr>
          <w:sz w:val="25"/>
          <w:szCs w:val="25"/>
        </w:rPr>
      </w:pPr>
      <w:r w:rsidRPr="00942F86">
        <w:rPr>
          <w:sz w:val="25"/>
          <w:szCs w:val="25"/>
        </w:rPr>
        <w:t xml:space="preserve"> </w:t>
      </w:r>
    </w:p>
    <w:p w14:paraId="1B619C1B" w14:textId="727ADECD" w:rsidR="007D3986" w:rsidRPr="00942F86" w:rsidRDefault="007D3986" w:rsidP="00F00893">
      <w:pPr>
        <w:numPr>
          <w:ilvl w:val="0"/>
          <w:numId w:val="1"/>
        </w:numPr>
        <w:tabs>
          <w:tab w:val="clear" w:pos="720"/>
          <w:tab w:val="num" w:pos="0"/>
        </w:tabs>
        <w:spacing w:line="264" w:lineRule="auto"/>
        <w:ind w:left="0"/>
        <w:rPr>
          <w:sz w:val="25"/>
          <w:szCs w:val="25"/>
        </w:rPr>
      </w:pPr>
      <w:r w:rsidRPr="00942F86">
        <w:rPr>
          <w:sz w:val="25"/>
          <w:szCs w:val="25"/>
        </w:rPr>
        <w:t xml:space="preserve">Staff agrees with the </w:t>
      </w:r>
      <w:r w:rsidR="00863593" w:rsidRPr="00942F86">
        <w:rPr>
          <w:sz w:val="25"/>
          <w:szCs w:val="25"/>
        </w:rPr>
        <w:t xml:space="preserve">refund </w:t>
      </w:r>
      <w:r w:rsidRPr="00942F86">
        <w:rPr>
          <w:sz w:val="25"/>
          <w:szCs w:val="25"/>
        </w:rPr>
        <w:t xml:space="preserve">calculation reflecting the increased balance of the deferral, </w:t>
      </w:r>
      <w:r w:rsidR="00863593" w:rsidRPr="00942F86">
        <w:rPr>
          <w:sz w:val="25"/>
          <w:szCs w:val="25"/>
        </w:rPr>
        <w:t xml:space="preserve">but </w:t>
      </w:r>
      <w:r w:rsidRPr="00942F86">
        <w:rPr>
          <w:sz w:val="25"/>
          <w:szCs w:val="25"/>
        </w:rPr>
        <w:t xml:space="preserve">Staff disagrees with the use of a separate tariff rider as the mechanism for the refunding the over-collection of depreciation expense. </w:t>
      </w:r>
      <w:r w:rsidR="004D595D" w:rsidRPr="00942F86">
        <w:rPr>
          <w:sz w:val="25"/>
          <w:szCs w:val="25"/>
        </w:rPr>
        <w:t xml:space="preserve"> </w:t>
      </w:r>
      <w:r w:rsidRPr="00942F86">
        <w:rPr>
          <w:sz w:val="25"/>
          <w:szCs w:val="25"/>
        </w:rPr>
        <w:t xml:space="preserve">Instead of handling it through Schedule 92 as </w:t>
      </w:r>
      <w:r w:rsidR="00863593" w:rsidRPr="00942F86">
        <w:rPr>
          <w:sz w:val="25"/>
          <w:szCs w:val="25"/>
        </w:rPr>
        <w:t xml:space="preserve">the Company </w:t>
      </w:r>
      <w:r w:rsidRPr="00942F86">
        <w:rPr>
          <w:sz w:val="25"/>
          <w:szCs w:val="25"/>
        </w:rPr>
        <w:t>proposes, Staff proposes to recognize the impact of the credit to customers as a reduction to revenues in the overall revenue requirement model.</w:t>
      </w:r>
      <w:r w:rsidR="008B3318" w:rsidRPr="00942F86">
        <w:rPr>
          <w:rStyle w:val="FootnoteReference"/>
          <w:sz w:val="25"/>
          <w:szCs w:val="25"/>
        </w:rPr>
        <w:footnoteReference w:id="420"/>
      </w:r>
      <w:r w:rsidRPr="00942F86">
        <w:rPr>
          <w:sz w:val="25"/>
          <w:szCs w:val="25"/>
        </w:rPr>
        <w:t xml:space="preserve">  </w:t>
      </w:r>
    </w:p>
    <w:p w14:paraId="0AAE7853" w14:textId="77777777" w:rsidR="007D3986" w:rsidRPr="00942F86" w:rsidRDefault="007D3986" w:rsidP="000455AC">
      <w:pPr>
        <w:spacing w:line="264" w:lineRule="auto"/>
        <w:ind w:left="720"/>
        <w:rPr>
          <w:sz w:val="25"/>
          <w:szCs w:val="25"/>
        </w:rPr>
      </w:pPr>
    </w:p>
    <w:p w14:paraId="624ACAB0" w14:textId="7729CD36" w:rsidR="007D3986" w:rsidRPr="00942F86" w:rsidRDefault="007D3986" w:rsidP="00F00893">
      <w:pPr>
        <w:numPr>
          <w:ilvl w:val="0"/>
          <w:numId w:val="1"/>
        </w:numPr>
        <w:tabs>
          <w:tab w:val="clear" w:pos="720"/>
          <w:tab w:val="num" w:pos="0"/>
        </w:tabs>
        <w:spacing w:line="264" w:lineRule="auto"/>
        <w:ind w:left="0"/>
        <w:rPr>
          <w:sz w:val="25"/>
          <w:szCs w:val="25"/>
        </w:rPr>
      </w:pPr>
      <w:r w:rsidRPr="00942F86">
        <w:rPr>
          <w:sz w:val="25"/>
          <w:szCs w:val="25"/>
        </w:rPr>
        <w:t xml:space="preserve">In response, Ms. Siores testifies that once the deferred amount is fully amortized, the credit under Schedule 92 will cease, whereas if the deferrals are included in permanent rates as Staff suggests, </w:t>
      </w:r>
      <w:r w:rsidR="004D595D" w:rsidRPr="00942F86">
        <w:rPr>
          <w:sz w:val="25"/>
          <w:szCs w:val="25"/>
        </w:rPr>
        <w:t>this will not occur</w:t>
      </w:r>
      <w:r w:rsidRPr="00942F86">
        <w:rPr>
          <w:sz w:val="25"/>
          <w:szCs w:val="25"/>
        </w:rPr>
        <w:t xml:space="preserve"> until </w:t>
      </w:r>
      <w:r w:rsidR="004D595D" w:rsidRPr="00942F86">
        <w:rPr>
          <w:sz w:val="25"/>
          <w:szCs w:val="25"/>
        </w:rPr>
        <w:t>adjusted out of rates i</w:t>
      </w:r>
      <w:r w:rsidRPr="00942F86">
        <w:rPr>
          <w:sz w:val="25"/>
          <w:szCs w:val="25"/>
        </w:rPr>
        <w:t>n a future rate case.</w:t>
      </w:r>
      <w:r w:rsidR="008B3318" w:rsidRPr="00942F86">
        <w:rPr>
          <w:sz w:val="25"/>
          <w:szCs w:val="25"/>
          <w:vertAlign w:val="superscript"/>
        </w:rPr>
        <w:t xml:space="preserve"> </w:t>
      </w:r>
      <w:r w:rsidR="008B3318" w:rsidRPr="00942F86">
        <w:rPr>
          <w:sz w:val="25"/>
          <w:szCs w:val="25"/>
          <w:vertAlign w:val="superscript"/>
        </w:rPr>
        <w:footnoteReference w:id="421"/>
      </w:r>
      <w:r w:rsidRPr="00942F86">
        <w:rPr>
          <w:sz w:val="25"/>
          <w:szCs w:val="25"/>
        </w:rPr>
        <w:t xml:space="preserve">  </w:t>
      </w:r>
    </w:p>
    <w:p w14:paraId="6A4EA72A" w14:textId="77777777" w:rsidR="007D3986" w:rsidRPr="00942F86" w:rsidRDefault="007D3986" w:rsidP="000455AC">
      <w:pPr>
        <w:spacing w:line="264" w:lineRule="auto"/>
        <w:ind w:left="720"/>
        <w:rPr>
          <w:sz w:val="25"/>
          <w:szCs w:val="25"/>
        </w:rPr>
      </w:pPr>
    </w:p>
    <w:p w14:paraId="0B2F73B7" w14:textId="185FB3EA" w:rsidR="007D3986" w:rsidRPr="00942F86" w:rsidRDefault="007D3986" w:rsidP="00F00893">
      <w:pPr>
        <w:numPr>
          <w:ilvl w:val="0"/>
          <w:numId w:val="1"/>
        </w:numPr>
        <w:tabs>
          <w:tab w:val="clear" w:pos="720"/>
          <w:tab w:val="num" w:pos="0"/>
        </w:tabs>
        <w:spacing w:line="264" w:lineRule="auto"/>
        <w:ind w:left="0"/>
        <w:rPr>
          <w:sz w:val="25"/>
          <w:szCs w:val="25"/>
        </w:rPr>
      </w:pPr>
      <w:r w:rsidRPr="00942F86">
        <w:rPr>
          <w:i/>
          <w:sz w:val="25"/>
          <w:szCs w:val="25"/>
        </w:rPr>
        <w:lastRenderedPageBreak/>
        <w:t xml:space="preserve">Commission Determination: </w:t>
      </w:r>
      <w:r w:rsidRPr="00942F86">
        <w:rPr>
          <w:sz w:val="25"/>
          <w:szCs w:val="25"/>
        </w:rPr>
        <w:t xml:space="preserve"> The deferral amount is not contested and we approve its recovery as a credit to customers reflected in Schedule 92.    </w:t>
      </w:r>
    </w:p>
    <w:p w14:paraId="2A654C5E" w14:textId="77777777" w:rsidR="007D3986" w:rsidRPr="00942F86" w:rsidRDefault="007D3986" w:rsidP="000455AC">
      <w:pPr>
        <w:spacing w:line="264" w:lineRule="auto"/>
        <w:rPr>
          <w:sz w:val="25"/>
          <w:szCs w:val="25"/>
        </w:rPr>
      </w:pPr>
    </w:p>
    <w:p w14:paraId="0541FF3C" w14:textId="77777777" w:rsidR="00FA7775" w:rsidRPr="00942F86" w:rsidRDefault="00FA7775" w:rsidP="000455AC">
      <w:pPr>
        <w:pStyle w:val="Heading1"/>
        <w:spacing w:before="0" w:after="0" w:line="264" w:lineRule="auto"/>
        <w:jc w:val="center"/>
        <w:rPr>
          <w:rFonts w:cs="Times New Roman"/>
          <w:szCs w:val="25"/>
          <w:u w:val="single"/>
        </w:rPr>
      </w:pPr>
      <w:bookmarkStart w:id="58" w:name="_Toc252797503"/>
      <w:bookmarkStart w:id="59" w:name="_Toc415037649"/>
      <w:r w:rsidRPr="00942F86">
        <w:rPr>
          <w:rFonts w:cs="Times New Roman"/>
          <w:szCs w:val="25"/>
          <w:u w:val="single"/>
        </w:rPr>
        <w:t>FINDINGS OF FACT</w:t>
      </w:r>
      <w:bookmarkEnd w:id="59"/>
    </w:p>
    <w:p w14:paraId="4FE96103" w14:textId="77777777" w:rsidR="00FA7775" w:rsidRPr="00942F86" w:rsidRDefault="00FA7775" w:rsidP="000455AC">
      <w:pPr>
        <w:spacing w:line="264" w:lineRule="auto"/>
        <w:rPr>
          <w:sz w:val="25"/>
          <w:szCs w:val="25"/>
        </w:rPr>
      </w:pPr>
    </w:p>
    <w:p w14:paraId="473B7D1E" w14:textId="77777777" w:rsidR="00FA7775" w:rsidRPr="00942F86" w:rsidRDefault="00FA7775" w:rsidP="00F00893">
      <w:pPr>
        <w:numPr>
          <w:ilvl w:val="0"/>
          <w:numId w:val="1"/>
        </w:numPr>
        <w:tabs>
          <w:tab w:val="clear" w:pos="720"/>
          <w:tab w:val="num" w:pos="0"/>
        </w:tabs>
        <w:spacing w:line="264" w:lineRule="auto"/>
        <w:ind w:left="0"/>
        <w:rPr>
          <w:color w:val="000000"/>
          <w:sz w:val="25"/>
          <w:szCs w:val="25"/>
        </w:rPr>
      </w:pPr>
      <w:r w:rsidRPr="00942F86">
        <w:rPr>
          <w:sz w:val="25"/>
          <w:szCs w:val="25"/>
        </w:rPr>
        <w:t>Having discussed above in detail the evidence received in this proceeding concerning all material matters, and having stated findings and conclusions upon issues in dispute among the parties and the reasons therefore, the Commission now makes and enters the following summary of those facts, incorporating by reference pertinent portions of the preceding detailed findings:</w:t>
      </w:r>
    </w:p>
    <w:p w14:paraId="503BB73F" w14:textId="77777777" w:rsidR="00FA7775" w:rsidRPr="00942F86" w:rsidRDefault="00FA7775" w:rsidP="000455AC">
      <w:pPr>
        <w:spacing w:line="264" w:lineRule="auto"/>
        <w:rPr>
          <w:sz w:val="25"/>
          <w:szCs w:val="25"/>
        </w:rPr>
      </w:pPr>
    </w:p>
    <w:p w14:paraId="1DF1D371" w14:textId="77777777" w:rsidR="00FA7775" w:rsidRPr="00942F86" w:rsidRDefault="00FA7775" w:rsidP="00F00893">
      <w:pPr>
        <w:numPr>
          <w:ilvl w:val="0"/>
          <w:numId w:val="1"/>
        </w:numPr>
        <w:tabs>
          <w:tab w:val="clear" w:pos="720"/>
          <w:tab w:val="left" w:pos="0"/>
        </w:tabs>
        <w:spacing w:line="264" w:lineRule="auto"/>
        <w:ind w:hanging="1440"/>
        <w:rPr>
          <w:bCs/>
          <w:color w:val="000000"/>
          <w:sz w:val="25"/>
          <w:szCs w:val="25"/>
        </w:rPr>
      </w:pPr>
      <w:r w:rsidRPr="00942F86">
        <w:rPr>
          <w:sz w:val="25"/>
          <w:szCs w:val="25"/>
        </w:rPr>
        <w:t>(1)</w:t>
      </w:r>
      <w:r w:rsidRPr="00942F86">
        <w:rPr>
          <w:sz w:val="25"/>
          <w:szCs w:val="25"/>
        </w:rPr>
        <w:tab/>
      </w:r>
      <w:r w:rsidRPr="00942F86">
        <w:rPr>
          <w:color w:val="000000"/>
          <w:sz w:val="25"/>
          <w:szCs w:val="25"/>
        </w:rPr>
        <w:t>The</w:t>
      </w:r>
      <w:r w:rsidRPr="00942F86">
        <w:rPr>
          <w:sz w:val="25"/>
          <w:szCs w:val="25"/>
        </w:rPr>
        <w:t xml:space="preserve"> Washington Utilities and Transportation Commission is an agency of the State of Washington, vested by statute with authority to regulate rates, rules, regulations, practices, and accounts of public service companies, including electrical and gas companies</w:t>
      </w:r>
      <w:r w:rsidRPr="00942F86">
        <w:rPr>
          <w:i/>
          <w:iCs/>
          <w:sz w:val="25"/>
          <w:szCs w:val="25"/>
        </w:rPr>
        <w:t>.</w:t>
      </w:r>
    </w:p>
    <w:p w14:paraId="61494A93" w14:textId="77777777" w:rsidR="00FA7775" w:rsidRPr="00942F86" w:rsidRDefault="00FA7775" w:rsidP="000455AC">
      <w:pPr>
        <w:spacing w:line="264" w:lineRule="auto"/>
        <w:rPr>
          <w:sz w:val="25"/>
          <w:szCs w:val="25"/>
        </w:rPr>
      </w:pPr>
    </w:p>
    <w:p w14:paraId="53BECFE7" w14:textId="77777777" w:rsidR="00FA7775" w:rsidRPr="00942F86" w:rsidRDefault="00FA7775" w:rsidP="00F00893">
      <w:pPr>
        <w:numPr>
          <w:ilvl w:val="0"/>
          <w:numId w:val="1"/>
        </w:numPr>
        <w:tabs>
          <w:tab w:val="clear" w:pos="720"/>
          <w:tab w:val="left" w:pos="0"/>
        </w:tabs>
        <w:spacing w:line="264" w:lineRule="auto"/>
        <w:ind w:hanging="1440"/>
        <w:rPr>
          <w:color w:val="000000"/>
          <w:sz w:val="25"/>
          <w:szCs w:val="25"/>
        </w:rPr>
      </w:pPr>
      <w:r w:rsidRPr="00942F86">
        <w:rPr>
          <w:sz w:val="25"/>
          <w:szCs w:val="25"/>
        </w:rPr>
        <w:t>(2)</w:t>
      </w:r>
      <w:r w:rsidRPr="00942F86">
        <w:rPr>
          <w:i/>
          <w:sz w:val="25"/>
          <w:szCs w:val="25"/>
        </w:rPr>
        <w:t xml:space="preserve"> </w:t>
      </w:r>
      <w:r w:rsidRPr="00942F86">
        <w:rPr>
          <w:i/>
          <w:sz w:val="25"/>
          <w:szCs w:val="25"/>
        </w:rPr>
        <w:tab/>
      </w:r>
      <w:r w:rsidR="00C965E9" w:rsidRPr="00942F86">
        <w:rPr>
          <w:sz w:val="25"/>
          <w:szCs w:val="25"/>
        </w:rPr>
        <w:t>Pacific Power</w:t>
      </w:r>
      <w:r w:rsidRPr="00942F86">
        <w:rPr>
          <w:sz w:val="25"/>
          <w:szCs w:val="25"/>
        </w:rPr>
        <w:t xml:space="preserve"> is a “public service company” </w:t>
      </w:r>
      <w:r w:rsidR="00D32148" w:rsidRPr="00942F86">
        <w:rPr>
          <w:sz w:val="25"/>
          <w:szCs w:val="25"/>
        </w:rPr>
        <w:t xml:space="preserve">and </w:t>
      </w:r>
      <w:r w:rsidRPr="00942F86">
        <w:rPr>
          <w:sz w:val="25"/>
          <w:szCs w:val="25"/>
        </w:rPr>
        <w:t>an “electrical company</w:t>
      </w:r>
      <w:r w:rsidR="00D32148" w:rsidRPr="00942F86">
        <w:rPr>
          <w:sz w:val="25"/>
          <w:szCs w:val="25"/>
        </w:rPr>
        <w:t>,</w:t>
      </w:r>
      <w:r w:rsidRPr="00942F86">
        <w:rPr>
          <w:sz w:val="25"/>
          <w:szCs w:val="25"/>
        </w:rPr>
        <w:t>” as th</w:t>
      </w:r>
      <w:r w:rsidR="00D32148" w:rsidRPr="00942F86">
        <w:rPr>
          <w:sz w:val="25"/>
          <w:szCs w:val="25"/>
        </w:rPr>
        <w:t>e</w:t>
      </w:r>
      <w:r w:rsidRPr="00942F86">
        <w:rPr>
          <w:sz w:val="25"/>
          <w:szCs w:val="25"/>
        </w:rPr>
        <w:t xml:space="preserve">se terms are defined in </w:t>
      </w:r>
      <w:proofErr w:type="spellStart"/>
      <w:r w:rsidRPr="00942F86">
        <w:rPr>
          <w:sz w:val="25"/>
          <w:szCs w:val="25"/>
        </w:rPr>
        <w:t>RCW</w:t>
      </w:r>
      <w:proofErr w:type="spellEnd"/>
      <w:r w:rsidRPr="00942F86">
        <w:rPr>
          <w:sz w:val="25"/>
          <w:szCs w:val="25"/>
        </w:rPr>
        <w:t xml:space="preserve"> 80.04.010 and as th</w:t>
      </w:r>
      <w:r w:rsidR="00D32148" w:rsidRPr="00942F86">
        <w:rPr>
          <w:sz w:val="25"/>
          <w:szCs w:val="25"/>
        </w:rPr>
        <w:t>e</w:t>
      </w:r>
      <w:r w:rsidRPr="00942F86">
        <w:rPr>
          <w:sz w:val="25"/>
          <w:szCs w:val="25"/>
        </w:rPr>
        <w:t xml:space="preserve">se terms otherwise are used in Title 80 </w:t>
      </w:r>
      <w:proofErr w:type="spellStart"/>
      <w:r w:rsidRPr="00942F86">
        <w:rPr>
          <w:sz w:val="25"/>
          <w:szCs w:val="25"/>
        </w:rPr>
        <w:t>RCW</w:t>
      </w:r>
      <w:proofErr w:type="spellEnd"/>
      <w:r w:rsidRPr="00942F86">
        <w:rPr>
          <w:sz w:val="25"/>
          <w:szCs w:val="25"/>
        </w:rPr>
        <w:t xml:space="preserve">.  </w:t>
      </w:r>
      <w:r w:rsidR="00C965E9" w:rsidRPr="00942F86">
        <w:rPr>
          <w:sz w:val="25"/>
          <w:szCs w:val="25"/>
        </w:rPr>
        <w:t>Pacific Power</w:t>
      </w:r>
      <w:r w:rsidRPr="00942F86">
        <w:rPr>
          <w:sz w:val="25"/>
          <w:szCs w:val="25"/>
        </w:rPr>
        <w:t xml:space="preserve"> is engaged in Washington State in the business of supplying utility services and commodities to the public for compensation.</w:t>
      </w:r>
    </w:p>
    <w:p w14:paraId="5A3ABD57" w14:textId="77777777" w:rsidR="00FA7775" w:rsidRPr="00942F86" w:rsidRDefault="00FA7775" w:rsidP="000455AC">
      <w:pPr>
        <w:spacing w:line="264" w:lineRule="auto"/>
        <w:rPr>
          <w:sz w:val="25"/>
          <w:szCs w:val="25"/>
        </w:rPr>
      </w:pPr>
    </w:p>
    <w:p w14:paraId="1A7E8614" w14:textId="508E78A1" w:rsidR="00CE7947" w:rsidRPr="00942F86" w:rsidRDefault="00FA7775" w:rsidP="00F00893">
      <w:pPr>
        <w:numPr>
          <w:ilvl w:val="0"/>
          <w:numId w:val="1"/>
        </w:numPr>
        <w:tabs>
          <w:tab w:val="clear" w:pos="720"/>
          <w:tab w:val="left" w:pos="0"/>
        </w:tabs>
        <w:spacing w:line="264" w:lineRule="auto"/>
        <w:ind w:hanging="1440"/>
        <w:rPr>
          <w:sz w:val="25"/>
          <w:szCs w:val="25"/>
        </w:rPr>
      </w:pPr>
      <w:r w:rsidRPr="00942F86">
        <w:rPr>
          <w:sz w:val="25"/>
          <w:szCs w:val="25"/>
        </w:rPr>
        <w:t xml:space="preserve">(3) </w:t>
      </w:r>
      <w:r w:rsidRPr="00942F86">
        <w:rPr>
          <w:sz w:val="25"/>
          <w:szCs w:val="25"/>
        </w:rPr>
        <w:tab/>
      </w:r>
      <w:r w:rsidR="006F5DAB" w:rsidRPr="00942F86">
        <w:rPr>
          <w:sz w:val="25"/>
          <w:szCs w:val="25"/>
        </w:rPr>
        <w:t xml:space="preserve">Pacific Power’s current rates </w:t>
      </w:r>
      <w:r w:rsidR="007208A4" w:rsidRPr="00942F86">
        <w:rPr>
          <w:sz w:val="25"/>
          <w:szCs w:val="25"/>
        </w:rPr>
        <w:t>do not</w:t>
      </w:r>
      <w:r w:rsidR="006F5DAB" w:rsidRPr="00942F86">
        <w:rPr>
          <w:sz w:val="25"/>
          <w:szCs w:val="25"/>
        </w:rPr>
        <w:t xml:space="preserve"> yield </w:t>
      </w:r>
      <w:r w:rsidR="007208A4" w:rsidRPr="00942F86">
        <w:rPr>
          <w:sz w:val="25"/>
          <w:szCs w:val="25"/>
        </w:rPr>
        <w:t>sufficient</w:t>
      </w:r>
      <w:r w:rsidR="006F5DAB" w:rsidRPr="00942F86">
        <w:rPr>
          <w:sz w:val="25"/>
          <w:szCs w:val="25"/>
        </w:rPr>
        <w:t xml:space="preserve"> compensation for the electric services it provides in Washington</w:t>
      </w:r>
      <w:r w:rsidR="006B79C8" w:rsidRPr="00942F86">
        <w:rPr>
          <w:sz w:val="25"/>
          <w:szCs w:val="25"/>
        </w:rPr>
        <w:t>.</w:t>
      </w:r>
    </w:p>
    <w:p w14:paraId="02EA6E15" w14:textId="77777777" w:rsidR="00FA7775" w:rsidRPr="00942F86" w:rsidRDefault="00FA7775" w:rsidP="000455AC">
      <w:pPr>
        <w:tabs>
          <w:tab w:val="left" w:pos="720"/>
        </w:tabs>
        <w:spacing w:line="264" w:lineRule="auto"/>
        <w:ind w:left="720"/>
        <w:rPr>
          <w:sz w:val="25"/>
          <w:szCs w:val="25"/>
        </w:rPr>
      </w:pPr>
    </w:p>
    <w:p w14:paraId="768DD3AC" w14:textId="262E2FD0" w:rsidR="00FA7775" w:rsidRPr="00942F86" w:rsidRDefault="00FA7775" w:rsidP="00F00893">
      <w:pPr>
        <w:numPr>
          <w:ilvl w:val="0"/>
          <w:numId w:val="1"/>
        </w:numPr>
        <w:tabs>
          <w:tab w:val="clear" w:pos="720"/>
          <w:tab w:val="left" w:pos="0"/>
        </w:tabs>
        <w:spacing w:line="264" w:lineRule="auto"/>
        <w:ind w:hanging="1440"/>
        <w:rPr>
          <w:sz w:val="25"/>
          <w:szCs w:val="25"/>
        </w:rPr>
      </w:pPr>
      <w:r w:rsidRPr="00942F86">
        <w:rPr>
          <w:color w:val="000000"/>
          <w:sz w:val="25"/>
          <w:szCs w:val="25"/>
        </w:rPr>
        <w:t>(4)</w:t>
      </w:r>
      <w:r w:rsidRPr="00942F86">
        <w:rPr>
          <w:color w:val="000000"/>
          <w:sz w:val="25"/>
          <w:szCs w:val="25"/>
        </w:rPr>
        <w:tab/>
      </w:r>
      <w:r w:rsidR="006F5DAB" w:rsidRPr="00942F86">
        <w:rPr>
          <w:color w:val="000000"/>
          <w:sz w:val="25"/>
          <w:szCs w:val="25"/>
        </w:rPr>
        <w:t>Pacific Power requires relief with respect to the rates it charges for electric service provided in Washington State so that it can recover its electric service revenue deficiencies.</w:t>
      </w:r>
      <w:r w:rsidRPr="00942F86">
        <w:rPr>
          <w:sz w:val="25"/>
          <w:szCs w:val="25"/>
        </w:rPr>
        <w:t xml:space="preserve">  </w:t>
      </w:r>
    </w:p>
    <w:p w14:paraId="39FE6898" w14:textId="77777777" w:rsidR="00FA7775" w:rsidRPr="00942F86" w:rsidRDefault="00FA7775" w:rsidP="000455AC">
      <w:pPr>
        <w:spacing w:line="264" w:lineRule="auto"/>
        <w:rPr>
          <w:sz w:val="25"/>
          <w:szCs w:val="25"/>
        </w:rPr>
      </w:pPr>
    </w:p>
    <w:p w14:paraId="6FFF6A67" w14:textId="2466D4C4" w:rsidR="00FA7775" w:rsidRPr="00942F86" w:rsidRDefault="00FA7775" w:rsidP="00F00893">
      <w:pPr>
        <w:numPr>
          <w:ilvl w:val="0"/>
          <w:numId w:val="1"/>
        </w:numPr>
        <w:tabs>
          <w:tab w:val="clear" w:pos="720"/>
          <w:tab w:val="left" w:pos="0"/>
        </w:tabs>
        <w:spacing w:line="264" w:lineRule="auto"/>
        <w:ind w:hanging="1440"/>
        <w:rPr>
          <w:sz w:val="25"/>
          <w:szCs w:val="25"/>
        </w:rPr>
      </w:pPr>
      <w:r w:rsidRPr="00942F86">
        <w:rPr>
          <w:sz w:val="25"/>
          <w:szCs w:val="25"/>
        </w:rPr>
        <w:t>(</w:t>
      </w:r>
      <w:r w:rsidR="00ED1C21" w:rsidRPr="00942F86">
        <w:rPr>
          <w:sz w:val="25"/>
          <w:szCs w:val="25"/>
        </w:rPr>
        <w:t>5</w:t>
      </w:r>
      <w:r w:rsidRPr="00942F86">
        <w:rPr>
          <w:sz w:val="25"/>
          <w:szCs w:val="25"/>
        </w:rPr>
        <w:t>)</w:t>
      </w:r>
      <w:r w:rsidRPr="00942F86">
        <w:rPr>
          <w:sz w:val="25"/>
          <w:szCs w:val="25"/>
        </w:rPr>
        <w:tab/>
      </w:r>
      <w:r w:rsidRPr="00B44676">
        <w:rPr>
          <w:color w:val="000000"/>
          <w:sz w:val="25"/>
          <w:szCs w:val="25"/>
        </w:rPr>
        <w:t>The</w:t>
      </w:r>
      <w:r w:rsidRPr="00942F86">
        <w:rPr>
          <w:sz w:val="25"/>
          <w:szCs w:val="25"/>
        </w:rPr>
        <w:t xml:space="preserve"> record supports a capital structure and costs of capital, which together produce an overall rate of return of </w:t>
      </w:r>
      <w:r w:rsidR="00E75EF3" w:rsidRPr="00942F86">
        <w:rPr>
          <w:sz w:val="25"/>
          <w:szCs w:val="25"/>
        </w:rPr>
        <w:t>7.30</w:t>
      </w:r>
      <w:r w:rsidR="008D3150" w:rsidRPr="00942F86">
        <w:rPr>
          <w:sz w:val="25"/>
          <w:szCs w:val="25"/>
        </w:rPr>
        <w:t xml:space="preserve"> </w:t>
      </w:r>
      <w:r w:rsidRPr="00942F86">
        <w:rPr>
          <w:sz w:val="25"/>
          <w:szCs w:val="25"/>
        </w:rPr>
        <w:t xml:space="preserve">percent, as set forth in the body of this Order in Table </w:t>
      </w:r>
      <w:r w:rsidR="004476E1" w:rsidRPr="00942F86">
        <w:rPr>
          <w:sz w:val="25"/>
          <w:szCs w:val="25"/>
        </w:rPr>
        <w:t>2</w:t>
      </w:r>
      <w:r w:rsidRPr="00942F86">
        <w:rPr>
          <w:sz w:val="25"/>
          <w:szCs w:val="25"/>
        </w:rPr>
        <w:t xml:space="preserve">.  </w:t>
      </w:r>
    </w:p>
    <w:p w14:paraId="34A1F3CB" w14:textId="77777777" w:rsidR="00FA7775" w:rsidRPr="00942F86" w:rsidRDefault="00FA7775" w:rsidP="000455AC">
      <w:pPr>
        <w:spacing w:line="264" w:lineRule="auto"/>
        <w:ind w:left="-720"/>
        <w:rPr>
          <w:sz w:val="25"/>
          <w:szCs w:val="25"/>
        </w:rPr>
      </w:pPr>
    </w:p>
    <w:p w14:paraId="5160FD7D" w14:textId="78D8841C" w:rsidR="004A2AD6" w:rsidRPr="00942F86" w:rsidRDefault="00FA7775" w:rsidP="00F00893">
      <w:pPr>
        <w:numPr>
          <w:ilvl w:val="0"/>
          <w:numId w:val="1"/>
        </w:numPr>
        <w:tabs>
          <w:tab w:val="clear" w:pos="720"/>
          <w:tab w:val="left" w:pos="0"/>
        </w:tabs>
        <w:spacing w:line="264" w:lineRule="auto"/>
        <w:ind w:hanging="1440"/>
        <w:rPr>
          <w:sz w:val="25"/>
          <w:szCs w:val="25"/>
        </w:rPr>
      </w:pPr>
      <w:r w:rsidRPr="00942F86">
        <w:rPr>
          <w:sz w:val="25"/>
          <w:szCs w:val="25"/>
        </w:rPr>
        <w:t>(</w:t>
      </w:r>
      <w:r w:rsidR="00ED1C21" w:rsidRPr="00942F86">
        <w:rPr>
          <w:sz w:val="25"/>
          <w:szCs w:val="25"/>
        </w:rPr>
        <w:t>6</w:t>
      </w:r>
      <w:r w:rsidRPr="00942F86">
        <w:rPr>
          <w:sz w:val="25"/>
          <w:szCs w:val="25"/>
        </w:rPr>
        <w:t>)</w:t>
      </w:r>
      <w:r w:rsidRPr="00942F86">
        <w:rPr>
          <w:sz w:val="25"/>
          <w:szCs w:val="25"/>
        </w:rPr>
        <w:tab/>
      </w:r>
      <w:r w:rsidRPr="00942F86">
        <w:rPr>
          <w:color w:val="000000"/>
          <w:sz w:val="25"/>
          <w:szCs w:val="25"/>
        </w:rPr>
        <w:t>The</w:t>
      </w:r>
      <w:r w:rsidRPr="00942F86">
        <w:rPr>
          <w:sz w:val="25"/>
          <w:szCs w:val="25"/>
        </w:rPr>
        <w:t xml:space="preserve"> Commission’s resolution of the disputed issues in this proceeding,</w:t>
      </w:r>
      <w:r w:rsidR="007208A4" w:rsidRPr="00942F86">
        <w:rPr>
          <w:sz w:val="25"/>
          <w:szCs w:val="25"/>
        </w:rPr>
        <w:t xml:space="preserve"> identified in Appendix A to this Order,</w:t>
      </w:r>
      <w:r w:rsidRPr="00942F86">
        <w:rPr>
          <w:sz w:val="25"/>
          <w:szCs w:val="25"/>
        </w:rPr>
        <w:t xml:space="preserve"> coupled with its determination that certain uncontested adjustments</w:t>
      </w:r>
      <w:r w:rsidR="000D7602" w:rsidRPr="00942F86">
        <w:rPr>
          <w:sz w:val="25"/>
          <w:szCs w:val="25"/>
        </w:rPr>
        <w:t xml:space="preserve"> identified in </w:t>
      </w:r>
      <w:r w:rsidR="007208A4" w:rsidRPr="00942F86">
        <w:rPr>
          <w:sz w:val="25"/>
          <w:szCs w:val="25"/>
        </w:rPr>
        <w:t>Appendix</w:t>
      </w:r>
      <w:r w:rsidR="000D7602" w:rsidRPr="00942F86">
        <w:rPr>
          <w:sz w:val="25"/>
          <w:szCs w:val="25"/>
        </w:rPr>
        <w:t xml:space="preserve"> </w:t>
      </w:r>
      <w:r w:rsidR="00400C1F" w:rsidRPr="00942F86">
        <w:rPr>
          <w:sz w:val="25"/>
          <w:szCs w:val="25"/>
        </w:rPr>
        <w:t xml:space="preserve">B </w:t>
      </w:r>
      <w:r w:rsidR="000D7602" w:rsidRPr="00942F86">
        <w:rPr>
          <w:sz w:val="25"/>
          <w:szCs w:val="25"/>
        </w:rPr>
        <w:t>to this Order</w:t>
      </w:r>
      <w:r w:rsidR="00400C1F" w:rsidRPr="00942F86">
        <w:rPr>
          <w:sz w:val="25"/>
          <w:szCs w:val="25"/>
        </w:rPr>
        <w:t>, and taking into account the Commission’s determinations of the consolidated dockets concerning deferrals as shown in Appendix C,</w:t>
      </w:r>
      <w:r w:rsidRPr="00942F86">
        <w:rPr>
          <w:sz w:val="25"/>
          <w:szCs w:val="25"/>
        </w:rPr>
        <w:t xml:space="preserve"> are reasonable, result</w:t>
      </w:r>
      <w:r w:rsidR="000D7602" w:rsidRPr="00942F86">
        <w:rPr>
          <w:sz w:val="25"/>
          <w:szCs w:val="25"/>
        </w:rPr>
        <w:t>s</w:t>
      </w:r>
      <w:r w:rsidRPr="00942F86">
        <w:rPr>
          <w:b/>
          <w:sz w:val="25"/>
          <w:szCs w:val="25"/>
        </w:rPr>
        <w:t xml:space="preserve"> </w:t>
      </w:r>
      <w:r w:rsidRPr="00942F86">
        <w:rPr>
          <w:sz w:val="25"/>
          <w:szCs w:val="25"/>
        </w:rPr>
        <w:lastRenderedPageBreak/>
        <w:t xml:space="preserve">in </w:t>
      </w:r>
      <w:r w:rsidR="000D7602" w:rsidRPr="00942F86">
        <w:rPr>
          <w:sz w:val="25"/>
          <w:szCs w:val="25"/>
        </w:rPr>
        <w:t xml:space="preserve">our </w:t>
      </w:r>
      <w:r w:rsidRPr="00942F86">
        <w:rPr>
          <w:sz w:val="25"/>
          <w:szCs w:val="25"/>
        </w:rPr>
        <w:t xml:space="preserve">finding that </w:t>
      </w:r>
      <w:r w:rsidR="00C965E9" w:rsidRPr="00942F86">
        <w:rPr>
          <w:sz w:val="25"/>
          <w:szCs w:val="25"/>
        </w:rPr>
        <w:t>Pacific Power</w:t>
      </w:r>
      <w:r w:rsidRPr="00942F86">
        <w:rPr>
          <w:sz w:val="25"/>
          <w:szCs w:val="25"/>
        </w:rPr>
        <w:t>’s</w:t>
      </w:r>
      <w:r w:rsidR="000D7602" w:rsidRPr="00942F86">
        <w:rPr>
          <w:sz w:val="25"/>
          <w:szCs w:val="25"/>
        </w:rPr>
        <w:t xml:space="preserve"> electric</w:t>
      </w:r>
      <w:r w:rsidRPr="00942F86">
        <w:rPr>
          <w:sz w:val="25"/>
          <w:szCs w:val="25"/>
        </w:rPr>
        <w:t xml:space="preserve"> revenue deficiency is</w:t>
      </w:r>
      <w:r w:rsidR="00FD413E" w:rsidRPr="00942F86">
        <w:rPr>
          <w:sz w:val="25"/>
          <w:szCs w:val="25"/>
        </w:rPr>
        <w:t xml:space="preserve"> </w:t>
      </w:r>
      <w:r w:rsidR="00096773" w:rsidRPr="00942F86">
        <w:rPr>
          <w:sz w:val="25"/>
          <w:szCs w:val="25"/>
        </w:rPr>
        <w:t>$</w:t>
      </w:r>
      <w:r w:rsidR="003C517B" w:rsidRPr="00942F86">
        <w:rPr>
          <w:sz w:val="25"/>
          <w:szCs w:val="25"/>
        </w:rPr>
        <w:t>9,568,464</w:t>
      </w:r>
      <w:r w:rsidR="00393D73" w:rsidRPr="00942F86">
        <w:rPr>
          <w:sz w:val="25"/>
          <w:szCs w:val="25"/>
        </w:rPr>
        <w:t>,</w:t>
      </w:r>
      <w:r w:rsidR="00FD413E" w:rsidRPr="00942F86">
        <w:rPr>
          <w:sz w:val="25"/>
          <w:szCs w:val="25"/>
        </w:rPr>
        <w:t xml:space="preserve"> as set forth</w:t>
      </w:r>
      <w:r w:rsidR="000D7602" w:rsidRPr="00942F86">
        <w:rPr>
          <w:sz w:val="25"/>
          <w:szCs w:val="25"/>
        </w:rPr>
        <w:t xml:space="preserve"> in detail in Table</w:t>
      </w:r>
      <w:r w:rsidR="00393D73" w:rsidRPr="00942F86">
        <w:rPr>
          <w:sz w:val="25"/>
          <w:szCs w:val="25"/>
        </w:rPr>
        <w:t xml:space="preserve"> </w:t>
      </w:r>
      <w:r w:rsidR="004476E1" w:rsidRPr="00942F86">
        <w:rPr>
          <w:sz w:val="25"/>
          <w:szCs w:val="25"/>
        </w:rPr>
        <w:t>3</w:t>
      </w:r>
      <w:r w:rsidR="00393D73" w:rsidRPr="00942F86">
        <w:rPr>
          <w:sz w:val="25"/>
          <w:szCs w:val="25"/>
        </w:rPr>
        <w:t>,</w:t>
      </w:r>
      <w:r w:rsidR="0014004E" w:rsidRPr="00942F86">
        <w:rPr>
          <w:sz w:val="25"/>
          <w:szCs w:val="25"/>
        </w:rPr>
        <w:t xml:space="preserve"> </w:t>
      </w:r>
      <w:r w:rsidR="000D7602" w:rsidRPr="00942F86">
        <w:rPr>
          <w:sz w:val="25"/>
          <w:szCs w:val="25"/>
        </w:rPr>
        <w:t>in the body of</w:t>
      </w:r>
      <w:r w:rsidR="00FD413E" w:rsidRPr="00942F86">
        <w:rPr>
          <w:sz w:val="25"/>
          <w:szCs w:val="25"/>
        </w:rPr>
        <w:t xml:space="preserve"> this Order</w:t>
      </w:r>
      <w:r w:rsidR="000D7602" w:rsidRPr="00942F86">
        <w:rPr>
          <w:sz w:val="25"/>
          <w:szCs w:val="25"/>
        </w:rPr>
        <w:t>.</w:t>
      </w:r>
      <w:r w:rsidRPr="00942F86">
        <w:rPr>
          <w:sz w:val="25"/>
          <w:szCs w:val="25"/>
        </w:rPr>
        <w:t xml:space="preserve"> </w:t>
      </w:r>
    </w:p>
    <w:p w14:paraId="10E99555" w14:textId="77777777" w:rsidR="00180A53" w:rsidRPr="00942F86" w:rsidRDefault="00180A53" w:rsidP="000455AC">
      <w:pPr>
        <w:pStyle w:val="ListParagraph"/>
        <w:spacing w:line="264" w:lineRule="auto"/>
        <w:rPr>
          <w:bCs/>
          <w:color w:val="000000"/>
          <w:sz w:val="25"/>
          <w:szCs w:val="25"/>
        </w:rPr>
      </w:pPr>
    </w:p>
    <w:p w14:paraId="6C128716" w14:textId="42E9205A" w:rsidR="00180A53" w:rsidRPr="00942F86" w:rsidRDefault="00180A53" w:rsidP="00F00893">
      <w:pPr>
        <w:numPr>
          <w:ilvl w:val="0"/>
          <w:numId w:val="1"/>
        </w:numPr>
        <w:tabs>
          <w:tab w:val="clear" w:pos="720"/>
          <w:tab w:val="left" w:pos="0"/>
        </w:tabs>
        <w:spacing w:line="264" w:lineRule="auto"/>
        <w:ind w:hanging="1440"/>
        <w:rPr>
          <w:bCs/>
          <w:color w:val="000000"/>
          <w:sz w:val="25"/>
          <w:szCs w:val="25"/>
        </w:rPr>
      </w:pPr>
      <w:r w:rsidRPr="00942F86">
        <w:rPr>
          <w:bCs/>
          <w:color w:val="000000"/>
          <w:sz w:val="25"/>
          <w:szCs w:val="25"/>
        </w:rPr>
        <w:t>(</w:t>
      </w:r>
      <w:r w:rsidR="00C83DF5" w:rsidRPr="00942F86">
        <w:rPr>
          <w:bCs/>
          <w:color w:val="000000"/>
          <w:sz w:val="25"/>
          <w:szCs w:val="25"/>
        </w:rPr>
        <w:t>7</w:t>
      </w:r>
      <w:r w:rsidRPr="00942F86">
        <w:rPr>
          <w:bCs/>
          <w:color w:val="000000"/>
          <w:sz w:val="25"/>
          <w:szCs w:val="25"/>
        </w:rPr>
        <w:t>)</w:t>
      </w:r>
      <w:r w:rsidRPr="00942F86">
        <w:rPr>
          <w:bCs/>
          <w:color w:val="000000"/>
          <w:sz w:val="25"/>
          <w:szCs w:val="25"/>
        </w:rPr>
        <w:tab/>
        <w:t>Applying the requirements of the five-year low-income bill assistance program approved in Docket UE-111190 in March 2012 results in</w:t>
      </w:r>
      <w:r w:rsidR="006F5DAB" w:rsidRPr="00942F86">
        <w:rPr>
          <w:bCs/>
          <w:color w:val="000000"/>
          <w:sz w:val="25"/>
          <w:szCs w:val="25"/>
        </w:rPr>
        <w:t xml:space="preserve"> appropriate adjustments that enhance support for the Company’s programs for low-income customers</w:t>
      </w:r>
      <w:r w:rsidRPr="00942F86">
        <w:rPr>
          <w:bCs/>
          <w:color w:val="000000"/>
          <w:sz w:val="25"/>
          <w:szCs w:val="25"/>
        </w:rPr>
        <w:t>.</w:t>
      </w:r>
    </w:p>
    <w:p w14:paraId="1DD55373" w14:textId="77777777" w:rsidR="004A2AD6" w:rsidRPr="00942F86" w:rsidRDefault="004A2AD6" w:rsidP="000455AC">
      <w:pPr>
        <w:spacing w:line="264" w:lineRule="auto"/>
        <w:rPr>
          <w:bCs/>
          <w:color w:val="000000"/>
          <w:sz w:val="25"/>
          <w:szCs w:val="25"/>
        </w:rPr>
      </w:pPr>
    </w:p>
    <w:p w14:paraId="1BEF3161" w14:textId="048AF784" w:rsidR="00FA7775" w:rsidRPr="00942F86" w:rsidRDefault="00FA7775" w:rsidP="00F00893">
      <w:pPr>
        <w:numPr>
          <w:ilvl w:val="0"/>
          <w:numId w:val="1"/>
        </w:numPr>
        <w:tabs>
          <w:tab w:val="clear" w:pos="720"/>
          <w:tab w:val="left" w:pos="0"/>
        </w:tabs>
        <w:spacing w:line="264" w:lineRule="auto"/>
        <w:ind w:hanging="1440"/>
        <w:rPr>
          <w:sz w:val="25"/>
          <w:szCs w:val="25"/>
        </w:rPr>
      </w:pPr>
      <w:r w:rsidRPr="00942F86">
        <w:rPr>
          <w:sz w:val="25"/>
          <w:szCs w:val="25"/>
        </w:rPr>
        <w:t>(</w:t>
      </w:r>
      <w:r w:rsidR="00C83DF5" w:rsidRPr="00942F86">
        <w:rPr>
          <w:sz w:val="25"/>
          <w:szCs w:val="25"/>
        </w:rPr>
        <w:t>8</w:t>
      </w:r>
      <w:r w:rsidRPr="00942F86">
        <w:rPr>
          <w:sz w:val="25"/>
          <w:szCs w:val="25"/>
        </w:rPr>
        <w:t>)</w:t>
      </w:r>
      <w:r w:rsidRPr="00942F86">
        <w:rPr>
          <w:sz w:val="25"/>
          <w:szCs w:val="25"/>
        </w:rPr>
        <w:tab/>
      </w:r>
      <w:r w:rsidRPr="00942F86">
        <w:rPr>
          <w:color w:val="000000"/>
          <w:sz w:val="25"/>
          <w:szCs w:val="25"/>
        </w:rPr>
        <w:t>The</w:t>
      </w:r>
      <w:r w:rsidRPr="00942F86">
        <w:rPr>
          <w:sz w:val="25"/>
          <w:szCs w:val="25"/>
        </w:rPr>
        <w:t xml:space="preserve"> rates, terms, and conditions of service that result from this Order are fair, just, reasonable, and sufficient.</w:t>
      </w:r>
    </w:p>
    <w:p w14:paraId="42461E78" w14:textId="77777777" w:rsidR="00FA7775" w:rsidRPr="00942F86" w:rsidRDefault="00FA7775" w:rsidP="000455AC">
      <w:pPr>
        <w:pStyle w:val="Header"/>
        <w:tabs>
          <w:tab w:val="clear" w:pos="4320"/>
          <w:tab w:val="clear" w:pos="8640"/>
        </w:tabs>
        <w:spacing w:line="264" w:lineRule="auto"/>
        <w:rPr>
          <w:sz w:val="25"/>
          <w:szCs w:val="25"/>
        </w:rPr>
      </w:pPr>
    </w:p>
    <w:p w14:paraId="170BBF55" w14:textId="39301C51" w:rsidR="00FA7775" w:rsidRPr="00942F86" w:rsidRDefault="00FA7775" w:rsidP="00F00893">
      <w:pPr>
        <w:numPr>
          <w:ilvl w:val="0"/>
          <w:numId w:val="1"/>
        </w:numPr>
        <w:tabs>
          <w:tab w:val="clear" w:pos="720"/>
          <w:tab w:val="left" w:pos="0"/>
        </w:tabs>
        <w:spacing w:line="264" w:lineRule="auto"/>
        <w:ind w:hanging="1440"/>
        <w:rPr>
          <w:sz w:val="25"/>
          <w:szCs w:val="25"/>
        </w:rPr>
      </w:pPr>
      <w:r w:rsidRPr="00942F86">
        <w:rPr>
          <w:sz w:val="25"/>
          <w:szCs w:val="25"/>
        </w:rPr>
        <w:t>(</w:t>
      </w:r>
      <w:r w:rsidR="00C83DF5" w:rsidRPr="00942F86">
        <w:rPr>
          <w:sz w:val="25"/>
          <w:szCs w:val="25"/>
        </w:rPr>
        <w:t>9</w:t>
      </w:r>
      <w:r w:rsidRPr="00942F86">
        <w:rPr>
          <w:sz w:val="25"/>
          <w:szCs w:val="25"/>
        </w:rPr>
        <w:t>)</w:t>
      </w:r>
      <w:r w:rsidRPr="00942F86">
        <w:rPr>
          <w:sz w:val="25"/>
          <w:szCs w:val="25"/>
        </w:rPr>
        <w:tab/>
        <w:t>The rates, terms, and conditions of service that result from this Order are neither unduly preferential nor discriminatory.</w:t>
      </w:r>
    </w:p>
    <w:p w14:paraId="041D2971" w14:textId="33FB7923" w:rsidR="000455AC" w:rsidRDefault="000455AC" w:rsidP="000455AC">
      <w:pPr>
        <w:pStyle w:val="Heading1"/>
        <w:spacing w:before="0" w:after="0" w:line="264" w:lineRule="auto"/>
        <w:rPr>
          <w:rFonts w:cs="Times New Roman"/>
          <w:szCs w:val="25"/>
          <w:u w:val="single"/>
        </w:rPr>
      </w:pPr>
    </w:p>
    <w:p w14:paraId="008A2C58" w14:textId="27DA7DE9" w:rsidR="00FA7775" w:rsidRPr="00942F86" w:rsidRDefault="00FA7775" w:rsidP="000455AC">
      <w:pPr>
        <w:pStyle w:val="Heading1"/>
        <w:spacing w:before="0" w:after="0" w:line="264" w:lineRule="auto"/>
        <w:jc w:val="center"/>
        <w:rPr>
          <w:rFonts w:cs="Times New Roman"/>
          <w:szCs w:val="25"/>
        </w:rPr>
      </w:pPr>
      <w:bookmarkStart w:id="60" w:name="_Toc415037650"/>
      <w:r w:rsidRPr="00942F86">
        <w:rPr>
          <w:rFonts w:cs="Times New Roman"/>
          <w:szCs w:val="25"/>
          <w:u w:val="single"/>
        </w:rPr>
        <w:t>CONCLUSIONS OF LAW</w:t>
      </w:r>
      <w:bookmarkEnd w:id="60"/>
    </w:p>
    <w:p w14:paraId="4FD3E750" w14:textId="77777777" w:rsidR="00FA7775" w:rsidRPr="00942F86" w:rsidRDefault="00FA7775" w:rsidP="000455AC">
      <w:pPr>
        <w:tabs>
          <w:tab w:val="num" w:pos="1080"/>
        </w:tabs>
        <w:spacing w:line="264" w:lineRule="auto"/>
        <w:ind w:left="-720"/>
        <w:rPr>
          <w:b/>
          <w:sz w:val="25"/>
          <w:szCs w:val="25"/>
        </w:rPr>
      </w:pPr>
    </w:p>
    <w:p w14:paraId="0F5DBC83" w14:textId="77777777" w:rsidR="00FA7775" w:rsidRPr="00942F86" w:rsidRDefault="00FA7775" w:rsidP="00F00893">
      <w:pPr>
        <w:numPr>
          <w:ilvl w:val="0"/>
          <w:numId w:val="1"/>
        </w:numPr>
        <w:tabs>
          <w:tab w:val="clear" w:pos="720"/>
          <w:tab w:val="num" w:pos="630"/>
        </w:tabs>
        <w:spacing w:line="264" w:lineRule="auto"/>
        <w:ind w:left="0"/>
        <w:rPr>
          <w:b/>
          <w:sz w:val="25"/>
          <w:szCs w:val="25"/>
        </w:rPr>
      </w:pPr>
      <w:r w:rsidRPr="00942F86">
        <w:rPr>
          <w:color w:val="000000"/>
          <w:sz w:val="25"/>
          <w:szCs w:val="25"/>
        </w:rPr>
        <w:t>Having</w:t>
      </w:r>
      <w:r w:rsidRPr="00942F86">
        <w:rPr>
          <w:sz w:val="25"/>
          <w:szCs w:val="25"/>
        </w:rPr>
        <w:t xml:space="preserve"> discussed above all matters material to this decision, and having stated detailed findings, conclusions, and the reasons therefore, the Commission now makes the following summary conclusions of law, incorporating by reference pertinent portions of the preceding detailed conclusions:</w:t>
      </w:r>
    </w:p>
    <w:p w14:paraId="1A15A15E" w14:textId="77777777" w:rsidR="00FA7775" w:rsidRPr="00942F86" w:rsidRDefault="00FA7775" w:rsidP="000455AC">
      <w:pPr>
        <w:spacing w:line="264" w:lineRule="auto"/>
        <w:rPr>
          <w:sz w:val="25"/>
          <w:szCs w:val="25"/>
        </w:rPr>
      </w:pPr>
    </w:p>
    <w:p w14:paraId="4ADC5A54" w14:textId="77777777" w:rsidR="00FA7775" w:rsidRPr="00942F86" w:rsidRDefault="00FA7775" w:rsidP="00F00893">
      <w:pPr>
        <w:numPr>
          <w:ilvl w:val="0"/>
          <w:numId w:val="1"/>
        </w:numPr>
        <w:tabs>
          <w:tab w:val="clear" w:pos="720"/>
          <w:tab w:val="left" w:pos="0"/>
        </w:tabs>
        <w:spacing w:line="264" w:lineRule="auto"/>
        <w:ind w:hanging="1440"/>
        <w:rPr>
          <w:color w:val="000000"/>
          <w:sz w:val="25"/>
          <w:szCs w:val="25"/>
        </w:rPr>
      </w:pPr>
      <w:r w:rsidRPr="00942F86">
        <w:rPr>
          <w:sz w:val="25"/>
          <w:szCs w:val="25"/>
        </w:rPr>
        <w:t>(1)</w:t>
      </w:r>
      <w:r w:rsidRPr="00942F86">
        <w:rPr>
          <w:sz w:val="25"/>
          <w:szCs w:val="25"/>
        </w:rPr>
        <w:tab/>
        <w:t xml:space="preserve">The Washington Utilities and Transportation Commission has jurisdiction over the </w:t>
      </w:r>
      <w:r w:rsidRPr="00942F86">
        <w:rPr>
          <w:color w:val="000000"/>
          <w:sz w:val="25"/>
          <w:szCs w:val="25"/>
        </w:rPr>
        <w:t>subject</w:t>
      </w:r>
      <w:r w:rsidRPr="00942F86">
        <w:rPr>
          <w:sz w:val="25"/>
          <w:szCs w:val="25"/>
        </w:rPr>
        <w:t xml:space="preserve"> matter of, and parties to, these proceedings.  </w:t>
      </w:r>
    </w:p>
    <w:p w14:paraId="028237CA" w14:textId="77777777" w:rsidR="00FA7775" w:rsidRPr="00942F86" w:rsidRDefault="00FA7775" w:rsidP="000455AC">
      <w:pPr>
        <w:spacing w:line="264" w:lineRule="auto"/>
        <w:rPr>
          <w:sz w:val="25"/>
          <w:szCs w:val="25"/>
        </w:rPr>
      </w:pPr>
    </w:p>
    <w:p w14:paraId="58A2E9BE" w14:textId="05BB2359" w:rsidR="00FA7775" w:rsidRPr="00942F86" w:rsidRDefault="00FA7775" w:rsidP="00F00893">
      <w:pPr>
        <w:numPr>
          <w:ilvl w:val="0"/>
          <w:numId w:val="1"/>
        </w:numPr>
        <w:tabs>
          <w:tab w:val="clear" w:pos="720"/>
          <w:tab w:val="left" w:pos="0"/>
        </w:tabs>
        <w:spacing w:line="264" w:lineRule="auto"/>
        <w:ind w:hanging="1440"/>
        <w:rPr>
          <w:color w:val="000000"/>
          <w:sz w:val="25"/>
          <w:szCs w:val="25"/>
        </w:rPr>
      </w:pPr>
      <w:r w:rsidRPr="00942F86">
        <w:rPr>
          <w:sz w:val="25"/>
          <w:szCs w:val="25"/>
        </w:rPr>
        <w:t>(</w:t>
      </w:r>
      <w:r w:rsidRPr="00942F86">
        <w:rPr>
          <w:color w:val="000000"/>
          <w:sz w:val="25"/>
          <w:szCs w:val="25"/>
        </w:rPr>
        <w:t>2)</w:t>
      </w:r>
      <w:r w:rsidRPr="00942F86">
        <w:rPr>
          <w:color w:val="000000"/>
          <w:sz w:val="25"/>
          <w:szCs w:val="25"/>
        </w:rPr>
        <w:tab/>
      </w:r>
      <w:r w:rsidR="00C965E9" w:rsidRPr="00942F86">
        <w:rPr>
          <w:color w:val="000000"/>
          <w:sz w:val="25"/>
          <w:szCs w:val="25"/>
        </w:rPr>
        <w:t>Pacific Power</w:t>
      </w:r>
      <w:r w:rsidR="00ED1C21" w:rsidRPr="00942F86">
        <w:rPr>
          <w:color w:val="000000"/>
          <w:sz w:val="25"/>
          <w:szCs w:val="25"/>
        </w:rPr>
        <w:t xml:space="preserve"> failed to show that the</w:t>
      </w:r>
      <w:r w:rsidRPr="00942F86">
        <w:rPr>
          <w:sz w:val="25"/>
          <w:szCs w:val="25"/>
        </w:rPr>
        <w:t xml:space="preserve"> rates </w:t>
      </w:r>
      <w:r w:rsidR="00ED1C21" w:rsidRPr="00942F86">
        <w:rPr>
          <w:sz w:val="25"/>
          <w:szCs w:val="25"/>
        </w:rPr>
        <w:t xml:space="preserve">it </w:t>
      </w:r>
      <w:r w:rsidRPr="00942F86">
        <w:rPr>
          <w:sz w:val="25"/>
          <w:szCs w:val="25"/>
        </w:rPr>
        <w:t>proposed by tariff revisions filed on</w:t>
      </w:r>
      <w:r w:rsidR="00A37A53" w:rsidRPr="00942F86">
        <w:rPr>
          <w:sz w:val="25"/>
          <w:szCs w:val="25"/>
        </w:rPr>
        <w:t xml:space="preserve"> </w:t>
      </w:r>
      <w:r w:rsidR="007208A4" w:rsidRPr="00942F86">
        <w:rPr>
          <w:sz w:val="25"/>
          <w:szCs w:val="25"/>
        </w:rPr>
        <w:t>May 1, 2014</w:t>
      </w:r>
      <w:r w:rsidR="00ED1C21" w:rsidRPr="00942F86">
        <w:rPr>
          <w:sz w:val="25"/>
          <w:szCs w:val="25"/>
        </w:rPr>
        <w:t xml:space="preserve">, </w:t>
      </w:r>
      <w:r w:rsidR="00FD413E" w:rsidRPr="00942F86">
        <w:rPr>
          <w:sz w:val="25"/>
          <w:szCs w:val="25"/>
        </w:rPr>
        <w:t xml:space="preserve">which were </w:t>
      </w:r>
      <w:r w:rsidRPr="00942F86">
        <w:rPr>
          <w:sz w:val="25"/>
          <w:szCs w:val="25"/>
        </w:rPr>
        <w:t>suspended by prior Co</w:t>
      </w:r>
      <w:r w:rsidRPr="00942F86">
        <w:rPr>
          <w:color w:val="000000"/>
          <w:sz w:val="25"/>
          <w:szCs w:val="25"/>
        </w:rPr>
        <w:t>m</w:t>
      </w:r>
      <w:r w:rsidRPr="00942F86">
        <w:rPr>
          <w:sz w:val="25"/>
          <w:szCs w:val="25"/>
        </w:rPr>
        <w:t xml:space="preserve">mission order, </w:t>
      </w:r>
      <w:r w:rsidR="00FD413E" w:rsidRPr="00942F86">
        <w:rPr>
          <w:sz w:val="25"/>
          <w:szCs w:val="25"/>
        </w:rPr>
        <w:t>are</w:t>
      </w:r>
      <w:r w:rsidRPr="00942F86">
        <w:rPr>
          <w:sz w:val="25"/>
          <w:szCs w:val="25"/>
        </w:rPr>
        <w:t xml:space="preserve"> fair, just or reasonable</w:t>
      </w:r>
      <w:r w:rsidR="00FD413E" w:rsidRPr="00942F86">
        <w:rPr>
          <w:sz w:val="25"/>
          <w:szCs w:val="25"/>
        </w:rPr>
        <w:t>.  These as-filed rates accordingly</w:t>
      </w:r>
      <w:r w:rsidRPr="00942F86">
        <w:rPr>
          <w:sz w:val="25"/>
          <w:szCs w:val="25"/>
        </w:rPr>
        <w:t xml:space="preserve"> should be rejected.</w:t>
      </w:r>
    </w:p>
    <w:p w14:paraId="7CEE020D" w14:textId="77777777" w:rsidR="00FA7775" w:rsidRPr="00942F86" w:rsidRDefault="00FA7775" w:rsidP="000455AC">
      <w:pPr>
        <w:spacing w:line="264" w:lineRule="auto"/>
        <w:rPr>
          <w:sz w:val="25"/>
          <w:szCs w:val="25"/>
        </w:rPr>
      </w:pPr>
    </w:p>
    <w:p w14:paraId="51D1B05F" w14:textId="7747D197" w:rsidR="00FA7775" w:rsidRPr="00942F86" w:rsidRDefault="00FA7775" w:rsidP="00F00893">
      <w:pPr>
        <w:numPr>
          <w:ilvl w:val="0"/>
          <w:numId w:val="1"/>
        </w:numPr>
        <w:tabs>
          <w:tab w:val="clear" w:pos="720"/>
          <w:tab w:val="left" w:pos="0"/>
        </w:tabs>
        <w:spacing w:line="264" w:lineRule="auto"/>
        <w:ind w:hanging="1440"/>
        <w:rPr>
          <w:color w:val="000000"/>
          <w:sz w:val="25"/>
          <w:szCs w:val="25"/>
        </w:rPr>
      </w:pPr>
      <w:r w:rsidRPr="00942F86">
        <w:rPr>
          <w:sz w:val="25"/>
          <w:szCs w:val="25"/>
        </w:rPr>
        <w:t>(3)</w:t>
      </w:r>
      <w:r w:rsidRPr="00942F86">
        <w:rPr>
          <w:sz w:val="25"/>
          <w:szCs w:val="25"/>
        </w:rPr>
        <w:tab/>
      </w:r>
      <w:r w:rsidR="00C965E9" w:rsidRPr="00942F86">
        <w:rPr>
          <w:color w:val="000000"/>
          <w:sz w:val="25"/>
          <w:szCs w:val="25"/>
        </w:rPr>
        <w:t>Pacific Power</w:t>
      </w:r>
      <w:r w:rsidR="00FD413E" w:rsidRPr="00942F86">
        <w:rPr>
          <w:color w:val="000000"/>
          <w:sz w:val="25"/>
          <w:szCs w:val="25"/>
        </w:rPr>
        <w:t xml:space="preserve"> carried its burden to prove that its</w:t>
      </w:r>
      <w:r w:rsidRPr="00942F86">
        <w:rPr>
          <w:sz w:val="25"/>
          <w:szCs w:val="25"/>
        </w:rPr>
        <w:t xml:space="preserve"> existing rates for electric service provided in Washington State are insufficient to yield reasonable compensation for the service rendered. </w:t>
      </w:r>
    </w:p>
    <w:p w14:paraId="74680BE4" w14:textId="77777777" w:rsidR="00FA7775" w:rsidRPr="00942F86" w:rsidRDefault="00FA7775" w:rsidP="000455AC">
      <w:pPr>
        <w:spacing w:line="264" w:lineRule="auto"/>
        <w:rPr>
          <w:sz w:val="25"/>
          <w:szCs w:val="25"/>
        </w:rPr>
      </w:pPr>
    </w:p>
    <w:p w14:paraId="569D32CC" w14:textId="194079E8" w:rsidR="00FA7775" w:rsidRPr="00942F86" w:rsidRDefault="00FA7775" w:rsidP="00F00893">
      <w:pPr>
        <w:numPr>
          <w:ilvl w:val="0"/>
          <w:numId w:val="1"/>
        </w:numPr>
        <w:tabs>
          <w:tab w:val="clear" w:pos="720"/>
          <w:tab w:val="left" w:pos="0"/>
        </w:tabs>
        <w:spacing w:line="264" w:lineRule="auto"/>
        <w:ind w:hanging="1440"/>
        <w:rPr>
          <w:color w:val="000000"/>
          <w:sz w:val="25"/>
          <w:szCs w:val="25"/>
        </w:rPr>
      </w:pPr>
      <w:r w:rsidRPr="00942F86">
        <w:rPr>
          <w:sz w:val="25"/>
          <w:szCs w:val="25"/>
        </w:rPr>
        <w:t>(4)</w:t>
      </w:r>
      <w:r w:rsidRPr="00942F86">
        <w:rPr>
          <w:sz w:val="25"/>
          <w:szCs w:val="25"/>
        </w:rPr>
        <w:tab/>
      </w:r>
      <w:r w:rsidR="00C965E9" w:rsidRPr="00942F86">
        <w:rPr>
          <w:sz w:val="25"/>
          <w:szCs w:val="25"/>
        </w:rPr>
        <w:t>Pacific Power</w:t>
      </w:r>
      <w:r w:rsidRPr="00942F86">
        <w:rPr>
          <w:sz w:val="25"/>
          <w:szCs w:val="25"/>
        </w:rPr>
        <w:t xml:space="preserve"> requires relief with respect to the rates it charges for electric service provided in Washington State.</w:t>
      </w:r>
    </w:p>
    <w:p w14:paraId="67B29772" w14:textId="77777777" w:rsidR="00FA7775" w:rsidRPr="00942F86" w:rsidRDefault="00FA7775" w:rsidP="000455AC">
      <w:pPr>
        <w:pStyle w:val="ListParagraph"/>
        <w:spacing w:line="264" w:lineRule="auto"/>
        <w:rPr>
          <w:sz w:val="25"/>
          <w:szCs w:val="25"/>
        </w:rPr>
      </w:pPr>
    </w:p>
    <w:p w14:paraId="4968DA5D" w14:textId="59916A0F" w:rsidR="00FA7775" w:rsidRPr="00942F86" w:rsidRDefault="00FA7775" w:rsidP="00F00893">
      <w:pPr>
        <w:numPr>
          <w:ilvl w:val="0"/>
          <w:numId w:val="1"/>
        </w:numPr>
        <w:tabs>
          <w:tab w:val="clear" w:pos="720"/>
          <w:tab w:val="left" w:pos="0"/>
        </w:tabs>
        <w:spacing w:line="264" w:lineRule="auto"/>
        <w:ind w:hanging="1440"/>
        <w:rPr>
          <w:color w:val="000000"/>
          <w:sz w:val="25"/>
          <w:szCs w:val="25"/>
        </w:rPr>
      </w:pPr>
      <w:r w:rsidRPr="00942F86">
        <w:rPr>
          <w:sz w:val="25"/>
          <w:szCs w:val="25"/>
        </w:rPr>
        <w:t xml:space="preserve">(5)  </w:t>
      </w:r>
      <w:r w:rsidRPr="00942F86">
        <w:rPr>
          <w:sz w:val="25"/>
          <w:szCs w:val="25"/>
        </w:rPr>
        <w:tab/>
      </w:r>
      <w:r w:rsidRPr="00F00893">
        <w:rPr>
          <w:sz w:val="25"/>
          <w:szCs w:val="25"/>
        </w:rPr>
        <w:t>The</w:t>
      </w:r>
      <w:r w:rsidRPr="00942F86">
        <w:rPr>
          <w:sz w:val="25"/>
          <w:szCs w:val="25"/>
        </w:rPr>
        <w:t xml:space="preserve"> Commission must determine the fair, just, reasonable, and sufficient rates to be observed and in force under </w:t>
      </w:r>
      <w:r w:rsidR="00C965E9" w:rsidRPr="00942F86">
        <w:rPr>
          <w:sz w:val="25"/>
          <w:szCs w:val="25"/>
        </w:rPr>
        <w:t>Pacific Power</w:t>
      </w:r>
      <w:r w:rsidRPr="00942F86">
        <w:rPr>
          <w:sz w:val="25"/>
          <w:szCs w:val="25"/>
        </w:rPr>
        <w:t xml:space="preserve">’s tariffs that govern its rates, </w:t>
      </w:r>
      <w:r w:rsidRPr="00942F86">
        <w:rPr>
          <w:sz w:val="25"/>
          <w:szCs w:val="25"/>
        </w:rPr>
        <w:lastRenderedPageBreak/>
        <w:t xml:space="preserve">terms, and conditions of service for providing electricity to customers in Washington State.  </w:t>
      </w:r>
    </w:p>
    <w:p w14:paraId="568DF57B" w14:textId="77777777" w:rsidR="00FA7775" w:rsidRPr="00942F86" w:rsidRDefault="00FA7775" w:rsidP="000455AC">
      <w:pPr>
        <w:tabs>
          <w:tab w:val="num" w:pos="1080"/>
        </w:tabs>
        <w:spacing w:line="264" w:lineRule="auto"/>
        <w:rPr>
          <w:color w:val="000000"/>
          <w:sz w:val="25"/>
          <w:szCs w:val="25"/>
        </w:rPr>
      </w:pPr>
    </w:p>
    <w:p w14:paraId="1F0F4567" w14:textId="77777777" w:rsidR="00FA7775" w:rsidRPr="00942F86" w:rsidRDefault="00FA7775" w:rsidP="00F00893">
      <w:pPr>
        <w:numPr>
          <w:ilvl w:val="0"/>
          <w:numId w:val="1"/>
        </w:numPr>
        <w:tabs>
          <w:tab w:val="clear" w:pos="720"/>
          <w:tab w:val="left" w:pos="0"/>
        </w:tabs>
        <w:spacing w:line="264" w:lineRule="auto"/>
        <w:ind w:hanging="1440"/>
        <w:rPr>
          <w:color w:val="000000"/>
          <w:sz w:val="25"/>
          <w:szCs w:val="25"/>
        </w:rPr>
      </w:pPr>
      <w:r w:rsidRPr="00942F86">
        <w:rPr>
          <w:sz w:val="25"/>
          <w:szCs w:val="25"/>
        </w:rPr>
        <w:t>(6)</w:t>
      </w:r>
      <w:r w:rsidRPr="00942F86">
        <w:rPr>
          <w:sz w:val="25"/>
          <w:szCs w:val="25"/>
        </w:rPr>
        <w:tab/>
      </w:r>
      <w:r w:rsidRPr="00B44676">
        <w:rPr>
          <w:color w:val="000000"/>
          <w:sz w:val="25"/>
          <w:szCs w:val="25"/>
        </w:rPr>
        <w:t>The</w:t>
      </w:r>
      <w:r w:rsidRPr="00942F86">
        <w:rPr>
          <w:sz w:val="25"/>
          <w:szCs w:val="25"/>
        </w:rPr>
        <w:t xml:space="preserve"> costs of </w:t>
      </w:r>
      <w:r w:rsidR="00C965E9" w:rsidRPr="00942F86">
        <w:rPr>
          <w:sz w:val="25"/>
          <w:szCs w:val="25"/>
        </w:rPr>
        <w:t>Pacific Power</w:t>
      </w:r>
      <w:r w:rsidRPr="00942F86">
        <w:rPr>
          <w:sz w:val="25"/>
          <w:szCs w:val="25"/>
        </w:rPr>
        <w:t>’s investments found on the record in this proceeding to have been prudently made and reasonable should be allowed for recovery in rates.</w:t>
      </w:r>
    </w:p>
    <w:p w14:paraId="27E65277" w14:textId="77777777" w:rsidR="00FA7775" w:rsidRPr="00942F86" w:rsidRDefault="00FA7775" w:rsidP="00045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64" w:lineRule="auto"/>
        <w:rPr>
          <w:color w:val="000000"/>
          <w:sz w:val="25"/>
          <w:szCs w:val="25"/>
        </w:rPr>
      </w:pPr>
    </w:p>
    <w:p w14:paraId="49F67519" w14:textId="5D462193" w:rsidR="00FA7775" w:rsidRPr="00942F86" w:rsidRDefault="00FA7775" w:rsidP="00F00893">
      <w:pPr>
        <w:numPr>
          <w:ilvl w:val="0"/>
          <w:numId w:val="1"/>
        </w:numPr>
        <w:tabs>
          <w:tab w:val="clear" w:pos="720"/>
          <w:tab w:val="left" w:pos="0"/>
        </w:tabs>
        <w:spacing w:line="264" w:lineRule="auto"/>
        <w:ind w:hanging="1440"/>
        <w:rPr>
          <w:b/>
          <w:bCs/>
          <w:sz w:val="25"/>
          <w:szCs w:val="25"/>
          <w:u w:val="single"/>
        </w:rPr>
      </w:pPr>
      <w:r w:rsidRPr="00942F86">
        <w:rPr>
          <w:sz w:val="25"/>
          <w:szCs w:val="25"/>
        </w:rPr>
        <w:t>(7)</w:t>
      </w:r>
      <w:r w:rsidRPr="00942F86">
        <w:rPr>
          <w:sz w:val="25"/>
          <w:szCs w:val="25"/>
        </w:rPr>
        <w:tab/>
      </w:r>
      <w:r w:rsidR="00C965E9" w:rsidRPr="00942F86">
        <w:rPr>
          <w:sz w:val="25"/>
          <w:szCs w:val="25"/>
        </w:rPr>
        <w:t>Pacific Power</w:t>
      </w:r>
      <w:r w:rsidRPr="00942F86">
        <w:rPr>
          <w:sz w:val="25"/>
          <w:szCs w:val="25"/>
        </w:rPr>
        <w:t xml:space="preserve"> should have the opportunity to earn an overall rate of return of </w:t>
      </w:r>
      <w:r w:rsidR="00E75EF3" w:rsidRPr="00942F86">
        <w:rPr>
          <w:sz w:val="25"/>
          <w:szCs w:val="25"/>
        </w:rPr>
        <w:t>7.30</w:t>
      </w:r>
      <w:r w:rsidR="008D3150" w:rsidRPr="00942F86">
        <w:rPr>
          <w:sz w:val="25"/>
          <w:szCs w:val="25"/>
        </w:rPr>
        <w:t xml:space="preserve"> </w:t>
      </w:r>
      <w:r w:rsidRPr="00942F86">
        <w:rPr>
          <w:sz w:val="25"/>
          <w:szCs w:val="25"/>
        </w:rPr>
        <w:t xml:space="preserve">percent based on the capital structure and costs of capital set forth in the body of this Order.  </w:t>
      </w:r>
    </w:p>
    <w:p w14:paraId="0EF72012" w14:textId="77777777" w:rsidR="00FA7775" w:rsidRPr="00942F86" w:rsidRDefault="00FA7775" w:rsidP="000455AC">
      <w:pPr>
        <w:spacing w:line="264" w:lineRule="auto"/>
        <w:ind w:left="-720"/>
        <w:rPr>
          <w:b/>
          <w:bCs/>
          <w:sz w:val="25"/>
          <w:szCs w:val="25"/>
          <w:u w:val="single"/>
        </w:rPr>
      </w:pPr>
    </w:p>
    <w:p w14:paraId="3995F9CD" w14:textId="6682EFD9" w:rsidR="00FA7775" w:rsidRPr="00942F86" w:rsidRDefault="00FA7775" w:rsidP="00F00893">
      <w:pPr>
        <w:numPr>
          <w:ilvl w:val="0"/>
          <w:numId w:val="1"/>
        </w:numPr>
        <w:tabs>
          <w:tab w:val="clear" w:pos="720"/>
          <w:tab w:val="left" w:pos="0"/>
        </w:tabs>
        <w:spacing w:line="264" w:lineRule="auto"/>
        <w:ind w:hanging="1440"/>
        <w:rPr>
          <w:b/>
          <w:bCs/>
          <w:sz w:val="25"/>
          <w:szCs w:val="25"/>
          <w:u w:val="single"/>
        </w:rPr>
      </w:pPr>
      <w:r w:rsidRPr="00942F86">
        <w:rPr>
          <w:sz w:val="25"/>
          <w:szCs w:val="25"/>
        </w:rPr>
        <w:t>(8)</w:t>
      </w:r>
      <w:r w:rsidRPr="00942F86">
        <w:rPr>
          <w:sz w:val="25"/>
          <w:szCs w:val="25"/>
        </w:rPr>
        <w:tab/>
      </w:r>
      <w:r w:rsidR="00C965E9" w:rsidRPr="00942F86">
        <w:rPr>
          <w:sz w:val="25"/>
          <w:szCs w:val="25"/>
        </w:rPr>
        <w:t>Pacific Power</w:t>
      </w:r>
      <w:r w:rsidRPr="00942F86">
        <w:rPr>
          <w:sz w:val="25"/>
          <w:szCs w:val="25"/>
        </w:rPr>
        <w:t xml:space="preserve"> should be authorized and required to make a compliance filing to recover its revenue deficiency of </w:t>
      </w:r>
      <w:r w:rsidR="00F2730E" w:rsidRPr="00942F86">
        <w:rPr>
          <w:sz w:val="25"/>
          <w:szCs w:val="25"/>
        </w:rPr>
        <w:t>$</w:t>
      </w:r>
      <w:r w:rsidR="00863593" w:rsidRPr="00942F86">
        <w:rPr>
          <w:sz w:val="25"/>
          <w:szCs w:val="25"/>
        </w:rPr>
        <w:t xml:space="preserve">9,568,464 </w:t>
      </w:r>
      <w:r w:rsidRPr="00942F86">
        <w:rPr>
          <w:sz w:val="25"/>
          <w:szCs w:val="25"/>
        </w:rPr>
        <w:t xml:space="preserve">for </w:t>
      </w:r>
      <w:r w:rsidR="00FD413E" w:rsidRPr="00942F86">
        <w:rPr>
          <w:sz w:val="25"/>
          <w:szCs w:val="25"/>
        </w:rPr>
        <w:t>electrical</w:t>
      </w:r>
      <w:r w:rsidRPr="00942F86">
        <w:rPr>
          <w:sz w:val="25"/>
          <w:szCs w:val="25"/>
        </w:rPr>
        <w:t xml:space="preserve"> service</w:t>
      </w:r>
      <w:r w:rsidR="00FD413E" w:rsidRPr="00942F86">
        <w:rPr>
          <w:sz w:val="25"/>
          <w:szCs w:val="25"/>
        </w:rPr>
        <w:t xml:space="preserve"> provided to its customers in Washington</w:t>
      </w:r>
      <w:r w:rsidRPr="00942F86">
        <w:rPr>
          <w:sz w:val="25"/>
          <w:szCs w:val="25"/>
        </w:rPr>
        <w:t xml:space="preserve">.  </w:t>
      </w:r>
    </w:p>
    <w:p w14:paraId="499D0E34" w14:textId="77777777" w:rsidR="00FA7775" w:rsidRPr="00942F86" w:rsidRDefault="00FA7775" w:rsidP="000455AC">
      <w:pPr>
        <w:pStyle w:val="ListParagraph"/>
        <w:spacing w:line="264" w:lineRule="auto"/>
        <w:rPr>
          <w:sz w:val="25"/>
          <w:szCs w:val="25"/>
        </w:rPr>
      </w:pPr>
    </w:p>
    <w:p w14:paraId="2936CDD7" w14:textId="59F9A614" w:rsidR="007979CF" w:rsidRPr="00942F86" w:rsidRDefault="00FA7775" w:rsidP="00F00893">
      <w:pPr>
        <w:numPr>
          <w:ilvl w:val="0"/>
          <w:numId w:val="1"/>
        </w:numPr>
        <w:tabs>
          <w:tab w:val="clear" w:pos="720"/>
          <w:tab w:val="left" w:pos="0"/>
        </w:tabs>
        <w:spacing w:line="264" w:lineRule="auto"/>
        <w:ind w:hanging="1440"/>
        <w:rPr>
          <w:bCs/>
          <w:color w:val="000000"/>
          <w:sz w:val="25"/>
          <w:szCs w:val="25"/>
        </w:rPr>
      </w:pPr>
      <w:r w:rsidRPr="00942F86">
        <w:rPr>
          <w:sz w:val="25"/>
          <w:szCs w:val="25"/>
        </w:rPr>
        <w:t>(9)</w:t>
      </w:r>
      <w:r w:rsidRPr="00942F86">
        <w:rPr>
          <w:sz w:val="25"/>
          <w:szCs w:val="25"/>
        </w:rPr>
        <w:tab/>
      </w:r>
      <w:r w:rsidR="007979CF" w:rsidRPr="00B44676">
        <w:rPr>
          <w:color w:val="000000"/>
          <w:sz w:val="25"/>
          <w:szCs w:val="25"/>
        </w:rPr>
        <w:t>The</w:t>
      </w:r>
      <w:r w:rsidR="007979CF" w:rsidRPr="00942F86">
        <w:rPr>
          <w:sz w:val="25"/>
          <w:szCs w:val="25"/>
        </w:rPr>
        <w:t xml:space="preserve"> Commission should </w:t>
      </w:r>
      <w:r w:rsidR="006F5DAB" w:rsidRPr="00942F86">
        <w:rPr>
          <w:sz w:val="25"/>
          <w:szCs w:val="25"/>
        </w:rPr>
        <w:t>reject rate design proposals to increase substantially basic charges to residential customers.  The Commission should otherwise make adjustments to the Company’s</w:t>
      </w:r>
      <w:r w:rsidR="000054FA" w:rsidRPr="00942F86">
        <w:rPr>
          <w:sz w:val="25"/>
          <w:szCs w:val="25"/>
        </w:rPr>
        <w:t xml:space="preserve"> cost of service, rate spread, and rate design</w:t>
      </w:r>
      <w:r w:rsidR="007979CF" w:rsidRPr="00942F86">
        <w:rPr>
          <w:sz w:val="25"/>
          <w:szCs w:val="25"/>
        </w:rPr>
        <w:t xml:space="preserve"> </w:t>
      </w:r>
      <w:r w:rsidR="006F5DAB" w:rsidRPr="00942F86">
        <w:rPr>
          <w:sz w:val="25"/>
          <w:szCs w:val="25"/>
        </w:rPr>
        <w:t>as discussed in the body of this Order</w:t>
      </w:r>
      <w:r w:rsidR="000054FA" w:rsidRPr="00942F86">
        <w:rPr>
          <w:sz w:val="25"/>
          <w:szCs w:val="25"/>
        </w:rPr>
        <w:t>.</w:t>
      </w:r>
    </w:p>
    <w:p w14:paraId="368368A1" w14:textId="77777777" w:rsidR="00180A53" w:rsidRPr="00942F86" w:rsidRDefault="00180A53" w:rsidP="000455AC">
      <w:pPr>
        <w:pStyle w:val="ListParagraph"/>
        <w:spacing w:line="264" w:lineRule="auto"/>
        <w:rPr>
          <w:bCs/>
          <w:color w:val="000000"/>
          <w:sz w:val="25"/>
          <w:szCs w:val="25"/>
        </w:rPr>
      </w:pPr>
    </w:p>
    <w:p w14:paraId="6A51B2D1" w14:textId="6180CDE1" w:rsidR="00180A53" w:rsidRPr="00942F86" w:rsidRDefault="00180A53" w:rsidP="00F00893">
      <w:pPr>
        <w:numPr>
          <w:ilvl w:val="0"/>
          <w:numId w:val="1"/>
        </w:numPr>
        <w:tabs>
          <w:tab w:val="clear" w:pos="720"/>
          <w:tab w:val="left" w:pos="0"/>
        </w:tabs>
        <w:spacing w:line="264" w:lineRule="auto"/>
        <w:ind w:hanging="1440"/>
        <w:rPr>
          <w:bCs/>
          <w:color w:val="000000"/>
          <w:sz w:val="25"/>
          <w:szCs w:val="25"/>
        </w:rPr>
      </w:pPr>
      <w:r w:rsidRPr="00942F86">
        <w:rPr>
          <w:bCs/>
          <w:color w:val="000000"/>
          <w:sz w:val="25"/>
          <w:szCs w:val="25"/>
        </w:rPr>
        <w:t>(10)</w:t>
      </w:r>
      <w:r w:rsidRPr="00942F86">
        <w:rPr>
          <w:bCs/>
          <w:color w:val="000000"/>
          <w:sz w:val="25"/>
          <w:szCs w:val="25"/>
        </w:rPr>
        <w:tab/>
      </w:r>
      <w:r w:rsidR="00C965E9" w:rsidRPr="00942F86">
        <w:rPr>
          <w:bCs/>
          <w:color w:val="000000"/>
          <w:sz w:val="25"/>
          <w:szCs w:val="25"/>
        </w:rPr>
        <w:t>Pacific Power</w:t>
      </w:r>
      <w:r w:rsidRPr="00942F86">
        <w:rPr>
          <w:bCs/>
          <w:color w:val="000000"/>
          <w:sz w:val="25"/>
          <w:szCs w:val="25"/>
        </w:rPr>
        <w:t xml:space="preserve"> should be authorized to increase funding for the Company’s Low Income Bill Assistance Program </w:t>
      </w:r>
      <w:r w:rsidR="006F5DAB" w:rsidRPr="00942F86">
        <w:rPr>
          <w:bCs/>
          <w:color w:val="000000"/>
          <w:sz w:val="25"/>
          <w:szCs w:val="25"/>
        </w:rPr>
        <w:t>as provided by the five-year low-income bill assistance program approved in Docket UE-111190 in March 2012</w:t>
      </w:r>
      <w:r w:rsidRPr="00942F86">
        <w:rPr>
          <w:bCs/>
          <w:color w:val="000000"/>
          <w:sz w:val="25"/>
          <w:szCs w:val="25"/>
        </w:rPr>
        <w:t>.</w:t>
      </w:r>
    </w:p>
    <w:p w14:paraId="223A8576" w14:textId="77777777" w:rsidR="00C00826" w:rsidRPr="00942F86" w:rsidRDefault="00C00826" w:rsidP="000455AC">
      <w:pPr>
        <w:spacing w:line="264" w:lineRule="auto"/>
        <w:rPr>
          <w:b/>
          <w:bCs/>
          <w:sz w:val="25"/>
          <w:szCs w:val="25"/>
          <w:u w:val="single"/>
        </w:rPr>
      </w:pPr>
    </w:p>
    <w:p w14:paraId="3A1ECD45" w14:textId="77777777" w:rsidR="00FA7775" w:rsidRPr="00942F86" w:rsidRDefault="00FA7775" w:rsidP="00F00893">
      <w:pPr>
        <w:numPr>
          <w:ilvl w:val="0"/>
          <w:numId w:val="1"/>
        </w:numPr>
        <w:tabs>
          <w:tab w:val="clear" w:pos="720"/>
          <w:tab w:val="left" w:pos="0"/>
        </w:tabs>
        <w:spacing w:line="264" w:lineRule="auto"/>
        <w:ind w:hanging="1440"/>
        <w:rPr>
          <w:b/>
          <w:bCs/>
          <w:sz w:val="25"/>
          <w:szCs w:val="25"/>
          <w:u w:val="single"/>
        </w:rPr>
      </w:pPr>
      <w:r w:rsidRPr="00942F86">
        <w:rPr>
          <w:iCs/>
          <w:sz w:val="25"/>
          <w:szCs w:val="25"/>
        </w:rPr>
        <w:t>(1</w:t>
      </w:r>
      <w:r w:rsidR="00180A53" w:rsidRPr="00942F86">
        <w:rPr>
          <w:iCs/>
          <w:sz w:val="25"/>
          <w:szCs w:val="25"/>
        </w:rPr>
        <w:t>1</w:t>
      </w:r>
      <w:r w:rsidRPr="00942F86">
        <w:rPr>
          <w:iCs/>
          <w:sz w:val="25"/>
          <w:szCs w:val="25"/>
        </w:rPr>
        <w:t>)</w:t>
      </w:r>
      <w:r w:rsidRPr="00942F86">
        <w:rPr>
          <w:iCs/>
          <w:sz w:val="25"/>
          <w:szCs w:val="25"/>
        </w:rPr>
        <w:tab/>
      </w:r>
      <w:r w:rsidRPr="00942F86">
        <w:rPr>
          <w:color w:val="000000"/>
          <w:sz w:val="25"/>
          <w:szCs w:val="25"/>
        </w:rPr>
        <w:t>The</w:t>
      </w:r>
      <w:r w:rsidRPr="00942F86">
        <w:rPr>
          <w:sz w:val="25"/>
          <w:szCs w:val="25"/>
        </w:rPr>
        <w:t xml:space="preserve"> rates, terms, and conditions of service that will result from this Order are fair, just, reasonable, and sufficient.</w:t>
      </w:r>
      <w:r w:rsidRPr="00942F86">
        <w:rPr>
          <w:i/>
          <w:iCs/>
          <w:sz w:val="25"/>
          <w:szCs w:val="25"/>
        </w:rPr>
        <w:t xml:space="preserve"> </w:t>
      </w:r>
    </w:p>
    <w:p w14:paraId="4AB59BE5" w14:textId="77777777" w:rsidR="00FA7775" w:rsidRPr="00942F86" w:rsidRDefault="00FA7775" w:rsidP="000455AC">
      <w:pPr>
        <w:spacing w:line="264" w:lineRule="auto"/>
        <w:ind w:left="-720"/>
        <w:rPr>
          <w:b/>
          <w:bCs/>
          <w:sz w:val="25"/>
          <w:szCs w:val="25"/>
          <w:u w:val="single"/>
        </w:rPr>
      </w:pPr>
    </w:p>
    <w:p w14:paraId="7252DA1D" w14:textId="77777777" w:rsidR="007208A4" w:rsidRPr="00942F86" w:rsidRDefault="00FA7775" w:rsidP="00F00893">
      <w:pPr>
        <w:numPr>
          <w:ilvl w:val="0"/>
          <w:numId w:val="1"/>
        </w:numPr>
        <w:tabs>
          <w:tab w:val="clear" w:pos="720"/>
          <w:tab w:val="left" w:pos="0"/>
        </w:tabs>
        <w:spacing w:line="264" w:lineRule="auto"/>
        <w:ind w:hanging="1440"/>
        <w:rPr>
          <w:sz w:val="25"/>
          <w:szCs w:val="25"/>
        </w:rPr>
      </w:pPr>
      <w:r w:rsidRPr="00942F86">
        <w:rPr>
          <w:sz w:val="25"/>
          <w:szCs w:val="25"/>
        </w:rPr>
        <w:t>(1</w:t>
      </w:r>
      <w:r w:rsidR="00180A53" w:rsidRPr="00942F86">
        <w:rPr>
          <w:sz w:val="25"/>
          <w:szCs w:val="25"/>
        </w:rPr>
        <w:t>2</w:t>
      </w:r>
      <w:r w:rsidRPr="00942F86">
        <w:rPr>
          <w:sz w:val="25"/>
          <w:szCs w:val="25"/>
        </w:rPr>
        <w:t>)</w:t>
      </w:r>
      <w:r w:rsidRPr="00942F86">
        <w:rPr>
          <w:sz w:val="25"/>
          <w:szCs w:val="25"/>
        </w:rPr>
        <w:tab/>
      </w:r>
      <w:r w:rsidRPr="00B44676">
        <w:rPr>
          <w:color w:val="000000"/>
          <w:sz w:val="25"/>
          <w:szCs w:val="25"/>
        </w:rPr>
        <w:t>The</w:t>
      </w:r>
      <w:r w:rsidRPr="00942F86">
        <w:rPr>
          <w:sz w:val="25"/>
          <w:szCs w:val="25"/>
        </w:rPr>
        <w:t xml:space="preserve"> rates, terms, and conditions of service that will result from this Order are neither unduly preferential nor discriminatory.</w:t>
      </w:r>
    </w:p>
    <w:p w14:paraId="1526C19F" w14:textId="77777777" w:rsidR="007208A4" w:rsidRPr="00942F86" w:rsidRDefault="007208A4" w:rsidP="000455AC">
      <w:pPr>
        <w:pStyle w:val="ListParagraph"/>
        <w:spacing w:line="264" w:lineRule="auto"/>
        <w:rPr>
          <w:i/>
          <w:iCs/>
          <w:sz w:val="25"/>
          <w:szCs w:val="25"/>
        </w:rPr>
      </w:pPr>
    </w:p>
    <w:p w14:paraId="2FD18E1A" w14:textId="1F488280" w:rsidR="00F218E7" w:rsidRPr="00942F86" w:rsidRDefault="007208A4" w:rsidP="00F00893">
      <w:pPr>
        <w:numPr>
          <w:ilvl w:val="0"/>
          <w:numId w:val="1"/>
        </w:numPr>
        <w:tabs>
          <w:tab w:val="clear" w:pos="720"/>
          <w:tab w:val="left" w:pos="0"/>
        </w:tabs>
        <w:spacing w:line="264" w:lineRule="auto"/>
        <w:ind w:hanging="1440"/>
        <w:rPr>
          <w:sz w:val="25"/>
          <w:szCs w:val="25"/>
        </w:rPr>
      </w:pPr>
      <w:r w:rsidRPr="00942F86">
        <w:rPr>
          <w:iCs/>
          <w:sz w:val="25"/>
          <w:szCs w:val="25"/>
        </w:rPr>
        <w:t>(</w:t>
      </w:r>
      <w:r w:rsidR="00C83DF5" w:rsidRPr="00942F86">
        <w:rPr>
          <w:iCs/>
          <w:sz w:val="25"/>
          <w:szCs w:val="25"/>
        </w:rPr>
        <w:t>13</w:t>
      </w:r>
      <w:r w:rsidRPr="00942F86">
        <w:rPr>
          <w:iCs/>
          <w:sz w:val="25"/>
          <w:szCs w:val="25"/>
        </w:rPr>
        <w:t>)</w:t>
      </w:r>
      <w:r w:rsidRPr="00942F86">
        <w:rPr>
          <w:iCs/>
          <w:sz w:val="25"/>
          <w:szCs w:val="25"/>
        </w:rPr>
        <w:tab/>
        <w:t>Pacific Power, following additional process, should be required to file tariff sheets to make effective a Power C</w:t>
      </w:r>
      <w:r w:rsidR="00F218E7" w:rsidRPr="00942F86">
        <w:rPr>
          <w:iCs/>
          <w:sz w:val="25"/>
          <w:szCs w:val="25"/>
        </w:rPr>
        <w:t>ost Adjustment Mechanism that is consistent with the Commission’s design preferences, including among other things, appropriate dead bands and sharing bands that balance risk between the Company and its customers.</w:t>
      </w:r>
      <w:r w:rsidRPr="00942F86">
        <w:rPr>
          <w:iCs/>
          <w:sz w:val="25"/>
          <w:szCs w:val="25"/>
        </w:rPr>
        <w:t xml:space="preserve"> </w:t>
      </w:r>
    </w:p>
    <w:p w14:paraId="5B8FE27A" w14:textId="77777777" w:rsidR="00FA7775" w:rsidRPr="00942F86" w:rsidRDefault="00FA7775" w:rsidP="000455AC">
      <w:pPr>
        <w:spacing w:line="264" w:lineRule="auto"/>
        <w:rPr>
          <w:sz w:val="25"/>
          <w:szCs w:val="25"/>
        </w:rPr>
      </w:pPr>
    </w:p>
    <w:p w14:paraId="39F03737" w14:textId="493E0904" w:rsidR="00FA7775" w:rsidRPr="00BC50E0" w:rsidRDefault="00FA7775" w:rsidP="00F00893">
      <w:pPr>
        <w:numPr>
          <w:ilvl w:val="0"/>
          <w:numId w:val="1"/>
        </w:numPr>
        <w:tabs>
          <w:tab w:val="clear" w:pos="720"/>
          <w:tab w:val="left" w:pos="0"/>
        </w:tabs>
        <w:spacing w:line="264" w:lineRule="auto"/>
        <w:ind w:hanging="1440"/>
        <w:rPr>
          <w:bCs/>
          <w:sz w:val="25"/>
          <w:szCs w:val="25"/>
        </w:rPr>
      </w:pPr>
      <w:r w:rsidRPr="00942F86">
        <w:rPr>
          <w:sz w:val="25"/>
          <w:szCs w:val="25"/>
        </w:rPr>
        <w:lastRenderedPageBreak/>
        <w:t>(</w:t>
      </w:r>
      <w:r w:rsidR="00C83DF5" w:rsidRPr="00942F86">
        <w:rPr>
          <w:sz w:val="25"/>
          <w:szCs w:val="25"/>
        </w:rPr>
        <w:t>1</w:t>
      </w:r>
      <w:r w:rsidR="00942F86" w:rsidRPr="00942F86">
        <w:rPr>
          <w:sz w:val="25"/>
          <w:szCs w:val="25"/>
        </w:rPr>
        <w:t>4</w:t>
      </w:r>
      <w:r w:rsidRPr="00942F86">
        <w:rPr>
          <w:sz w:val="25"/>
          <w:szCs w:val="25"/>
        </w:rPr>
        <w:t>)</w:t>
      </w:r>
      <w:r w:rsidR="00BC50E0">
        <w:rPr>
          <w:sz w:val="25"/>
          <w:szCs w:val="25"/>
        </w:rPr>
        <w:tab/>
      </w:r>
      <w:r w:rsidRPr="00942F86">
        <w:rPr>
          <w:sz w:val="25"/>
          <w:szCs w:val="25"/>
        </w:rPr>
        <w:t xml:space="preserve">The Commission Secretary should be authorized to accept by letter, with copies to all parties to this proceeding, a filing that complies with the requirements of this Order.  </w:t>
      </w:r>
    </w:p>
    <w:p w14:paraId="4F830B1A" w14:textId="77777777" w:rsidR="00FA7775" w:rsidRPr="00BC50E0" w:rsidRDefault="00FA7775" w:rsidP="000455AC">
      <w:pPr>
        <w:spacing w:line="264" w:lineRule="auto"/>
        <w:rPr>
          <w:rStyle w:val="RCWSLText"/>
          <w:rFonts w:ascii="Times New Roman" w:eastAsia="SimSun" w:hAnsi="Times New Roman" w:cs="Times New Roman"/>
          <w:bCs/>
          <w:sz w:val="25"/>
          <w:szCs w:val="25"/>
        </w:rPr>
      </w:pPr>
    </w:p>
    <w:p w14:paraId="714DC147" w14:textId="2D8DA427" w:rsidR="00FA7775" w:rsidRPr="00942F86" w:rsidRDefault="00FA7775" w:rsidP="00F00893">
      <w:pPr>
        <w:numPr>
          <w:ilvl w:val="0"/>
          <w:numId w:val="1"/>
        </w:numPr>
        <w:tabs>
          <w:tab w:val="clear" w:pos="720"/>
          <w:tab w:val="left" w:pos="0"/>
        </w:tabs>
        <w:spacing w:line="264" w:lineRule="auto"/>
        <w:ind w:hanging="1440"/>
        <w:rPr>
          <w:sz w:val="25"/>
          <w:szCs w:val="25"/>
        </w:rPr>
      </w:pPr>
      <w:r w:rsidRPr="00942F86">
        <w:rPr>
          <w:sz w:val="25"/>
          <w:szCs w:val="25"/>
        </w:rPr>
        <w:t>(</w:t>
      </w:r>
      <w:r w:rsidR="00C83DF5" w:rsidRPr="00942F86">
        <w:rPr>
          <w:sz w:val="25"/>
          <w:szCs w:val="25"/>
        </w:rPr>
        <w:t>1</w:t>
      </w:r>
      <w:r w:rsidR="00942F86" w:rsidRPr="00942F86">
        <w:rPr>
          <w:sz w:val="25"/>
          <w:szCs w:val="25"/>
        </w:rPr>
        <w:t>5</w:t>
      </w:r>
      <w:r w:rsidRPr="00942F86">
        <w:rPr>
          <w:sz w:val="25"/>
          <w:szCs w:val="25"/>
        </w:rPr>
        <w:t>)</w:t>
      </w:r>
      <w:r w:rsidRPr="00942F86">
        <w:rPr>
          <w:sz w:val="25"/>
          <w:szCs w:val="25"/>
        </w:rPr>
        <w:tab/>
        <w:t>The Commission should retain jurisdiction over the subject matters and the parties to this proceeding to effectuate the terms of this Order</w:t>
      </w:r>
      <w:r w:rsidRPr="00942F86">
        <w:rPr>
          <w:i/>
          <w:iCs/>
          <w:sz w:val="25"/>
          <w:szCs w:val="25"/>
        </w:rPr>
        <w:t>.</w:t>
      </w:r>
    </w:p>
    <w:p w14:paraId="4EFCC305" w14:textId="77777777" w:rsidR="00154667" w:rsidRPr="00942F86" w:rsidRDefault="00154667" w:rsidP="000455AC">
      <w:pPr>
        <w:pStyle w:val="ListParagraph"/>
        <w:spacing w:line="264" w:lineRule="auto"/>
        <w:rPr>
          <w:sz w:val="25"/>
          <w:szCs w:val="25"/>
        </w:rPr>
      </w:pPr>
    </w:p>
    <w:p w14:paraId="51D264F7" w14:textId="77777777" w:rsidR="00FA7775" w:rsidRPr="00942F86" w:rsidRDefault="00FA7775" w:rsidP="000455AC">
      <w:pPr>
        <w:pStyle w:val="Heading1"/>
        <w:keepLines/>
        <w:spacing w:before="0" w:after="0" w:line="264" w:lineRule="auto"/>
        <w:jc w:val="center"/>
        <w:rPr>
          <w:rFonts w:cs="Times New Roman"/>
          <w:szCs w:val="25"/>
          <w:u w:val="single"/>
        </w:rPr>
      </w:pPr>
      <w:bookmarkStart w:id="61" w:name="_Toc415037651"/>
      <w:r w:rsidRPr="00942F86">
        <w:rPr>
          <w:rFonts w:cs="Times New Roman"/>
          <w:szCs w:val="25"/>
          <w:u w:val="single"/>
        </w:rPr>
        <w:t>ORDER</w:t>
      </w:r>
      <w:bookmarkEnd w:id="61"/>
    </w:p>
    <w:p w14:paraId="0F7842E2" w14:textId="77777777" w:rsidR="00FA7775" w:rsidRPr="00942F86" w:rsidRDefault="00FA7775" w:rsidP="000455AC">
      <w:pPr>
        <w:pStyle w:val="NoSpacing"/>
        <w:spacing w:line="264" w:lineRule="auto"/>
        <w:rPr>
          <w:sz w:val="25"/>
          <w:szCs w:val="25"/>
        </w:rPr>
      </w:pPr>
    </w:p>
    <w:p w14:paraId="13AA81D7" w14:textId="77777777" w:rsidR="00FA7775" w:rsidRPr="00942F86" w:rsidRDefault="00FA7775" w:rsidP="000455AC">
      <w:pPr>
        <w:pStyle w:val="NoSpacing"/>
        <w:spacing w:line="264" w:lineRule="auto"/>
        <w:rPr>
          <w:color w:val="000000"/>
          <w:sz w:val="25"/>
          <w:szCs w:val="25"/>
        </w:rPr>
      </w:pPr>
      <w:r w:rsidRPr="00942F86">
        <w:rPr>
          <w:sz w:val="25"/>
          <w:szCs w:val="25"/>
        </w:rPr>
        <w:t>THE COMMISSION ORDERS THAT:</w:t>
      </w:r>
    </w:p>
    <w:p w14:paraId="0F43CF41" w14:textId="77777777" w:rsidR="00FA7775" w:rsidRPr="00942F86" w:rsidRDefault="00FA7775" w:rsidP="000455AC">
      <w:pPr>
        <w:pStyle w:val="NoSpacing"/>
        <w:spacing w:line="264" w:lineRule="auto"/>
        <w:rPr>
          <w:sz w:val="25"/>
          <w:szCs w:val="25"/>
        </w:rPr>
      </w:pPr>
    </w:p>
    <w:p w14:paraId="3772A24B" w14:textId="70C489A2" w:rsidR="00FA7775" w:rsidRPr="00942F86" w:rsidRDefault="00FA7775" w:rsidP="00F00893">
      <w:pPr>
        <w:numPr>
          <w:ilvl w:val="0"/>
          <w:numId w:val="1"/>
        </w:numPr>
        <w:tabs>
          <w:tab w:val="clear" w:pos="720"/>
          <w:tab w:val="left" w:pos="0"/>
        </w:tabs>
        <w:spacing w:line="264" w:lineRule="auto"/>
        <w:ind w:hanging="1440"/>
        <w:rPr>
          <w:bCs/>
          <w:color w:val="000000"/>
          <w:sz w:val="25"/>
          <w:szCs w:val="25"/>
        </w:rPr>
      </w:pPr>
      <w:r w:rsidRPr="00942F86">
        <w:rPr>
          <w:sz w:val="25"/>
          <w:szCs w:val="25"/>
        </w:rPr>
        <w:t>(1)</w:t>
      </w:r>
      <w:r w:rsidRPr="00942F86">
        <w:rPr>
          <w:sz w:val="25"/>
          <w:szCs w:val="25"/>
        </w:rPr>
        <w:tab/>
        <w:t xml:space="preserve">The proposed tariff revisions </w:t>
      </w:r>
      <w:r w:rsidR="00C965E9" w:rsidRPr="00942F86">
        <w:rPr>
          <w:sz w:val="25"/>
          <w:szCs w:val="25"/>
        </w:rPr>
        <w:t>Pacific Power</w:t>
      </w:r>
      <w:r w:rsidRPr="00942F86">
        <w:rPr>
          <w:sz w:val="25"/>
          <w:szCs w:val="25"/>
        </w:rPr>
        <w:t xml:space="preserve"> filed on</w:t>
      </w:r>
      <w:r w:rsidR="000054FA" w:rsidRPr="00942F86">
        <w:rPr>
          <w:sz w:val="25"/>
          <w:szCs w:val="25"/>
        </w:rPr>
        <w:t xml:space="preserve"> </w:t>
      </w:r>
      <w:r w:rsidR="007208A4" w:rsidRPr="00942F86">
        <w:rPr>
          <w:sz w:val="25"/>
          <w:szCs w:val="25"/>
        </w:rPr>
        <w:t>May 1, 2014</w:t>
      </w:r>
      <w:r w:rsidRPr="00942F86">
        <w:rPr>
          <w:sz w:val="25"/>
          <w:szCs w:val="25"/>
        </w:rPr>
        <w:t>, which were suspended by prior Commission order, are rejected.</w:t>
      </w:r>
    </w:p>
    <w:p w14:paraId="43C8DB22" w14:textId="77777777" w:rsidR="00AA630D" w:rsidRPr="00942F86" w:rsidRDefault="00AA630D" w:rsidP="000455AC">
      <w:pPr>
        <w:spacing w:line="264" w:lineRule="auto"/>
        <w:ind w:left="720"/>
        <w:rPr>
          <w:bCs/>
          <w:color w:val="000000"/>
          <w:sz w:val="25"/>
          <w:szCs w:val="25"/>
        </w:rPr>
      </w:pPr>
    </w:p>
    <w:p w14:paraId="0B8B708F" w14:textId="4B07A008" w:rsidR="00393D73" w:rsidRPr="00942F86" w:rsidRDefault="00AA630D" w:rsidP="00F00893">
      <w:pPr>
        <w:numPr>
          <w:ilvl w:val="0"/>
          <w:numId w:val="1"/>
        </w:numPr>
        <w:tabs>
          <w:tab w:val="clear" w:pos="720"/>
          <w:tab w:val="left" w:pos="0"/>
        </w:tabs>
        <w:spacing w:line="264" w:lineRule="auto"/>
        <w:ind w:hanging="1440"/>
        <w:rPr>
          <w:sz w:val="25"/>
          <w:szCs w:val="25"/>
        </w:rPr>
      </w:pPr>
      <w:r w:rsidRPr="00942F86">
        <w:rPr>
          <w:sz w:val="25"/>
          <w:szCs w:val="25"/>
        </w:rPr>
        <w:t>(2)</w:t>
      </w:r>
      <w:r w:rsidRPr="00942F86">
        <w:rPr>
          <w:sz w:val="25"/>
          <w:szCs w:val="25"/>
        </w:rPr>
        <w:tab/>
      </w:r>
      <w:r w:rsidR="002843DC" w:rsidRPr="00942F86">
        <w:rPr>
          <w:sz w:val="25"/>
          <w:szCs w:val="25"/>
        </w:rPr>
        <w:t>Pacific Power is authorized and required to file tariff sheets that are necessary and sufficient to effectuate the terms of this Order, including determinations of a revenue deficiency of $</w:t>
      </w:r>
      <w:r w:rsidR="00863593" w:rsidRPr="00942F86">
        <w:rPr>
          <w:sz w:val="25"/>
          <w:szCs w:val="25"/>
        </w:rPr>
        <w:t xml:space="preserve">9,568,464 </w:t>
      </w:r>
      <w:r w:rsidR="002843DC" w:rsidRPr="00942F86">
        <w:rPr>
          <w:sz w:val="25"/>
          <w:szCs w:val="25"/>
        </w:rPr>
        <w:t xml:space="preserve">for electrical service.  Pacific Power must file the required tariff sheets at least </w:t>
      </w:r>
      <w:r w:rsidR="00863593" w:rsidRPr="00942F86">
        <w:rPr>
          <w:sz w:val="25"/>
          <w:szCs w:val="25"/>
        </w:rPr>
        <w:t>two full</w:t>
      </w:r>
      <w:r w:rsidR="002843DC" w:rsidRPr="00942F86">
        <w:rPr>
          <w:sz w:val="25"/>
          <w:szCs w:val="25"/>
        </w:rPr>
        <w:t xml:space="preserve"> business days prior to their stated effective date, which shall be no sooner than April 1, 2015.</w:t>
      </w:r>
    </w:p>
    <w:p w14:paraId="7F69E32E" w14:textId="77777777" w:rsidR="00180A53" w:rsidRPr="00942F86" w:rsidRDefault="00180A53" w:rsidP="000455AC">
      <w:pPr>
        <w:pStyle w:val="ListParagraph"/>
        <w:spacing w:line="264" w:lineRule="auto"/>
        <w:rPr>
          <w:sz w:val="25"/>
          <w:szCs w:val="25"/>
        </w:rPr>
      </w:pPr>
    </w:p>
    <w:p w14:paraId="1C3D559F" w14:textId="44E7C5F0" w:rsidR="00180A53" w:rsidRPr="00942F86" w:rsidRDefault="00180A53" w:rsidP="00F00893">
      <w:pPr>
        <w:numPr>
          <w:ilvl w:val="0"/>
          <w:numId w:val="1"/>
        </w:numPr>
        <w:tabs>
          <w:tab w:val="clear" w:pos="720"/>
          <w:tab w:val="left" w:pos="0"/>
        </w:tabs>
        <w:spacing w:line="264" w:lineRule="auto"/>
        <w:ind w:hanging="1440"/>
        <w:rPr>
          <w:sz w:val="25"/>
          <w:szCs w:val="25"/>
        </w:rPr>
      </w:pPr>
      <w:r w:rsidRPr="00942F86">
        <w:rPr>
          <w:sz w:val="25"/>
          <w:szCs w:val="25"/>
        </w:rPr>
        <w:t>(3)</w:t>
      </w:r>
      <w:r w:rsidRPr="00942F86">
        <w:rPr>
          <w:sz w:val="25"/>
          <w:szCs w:val="25"/>
        </w:rPr>
        <w:tab/>
      </w:r>
      <w:r w:rsidR="00C965E9" w:rsidRPr="00942F86">
        <w:rPr>
          <w:bCs/>
          <w:sz w:val="25"/>
          <w:szCs w:val="25"/>
        </w:rPr>
        <w:t>Pacific Power</w:t>
      </w:r>
      <w:r w:rsidRPr="00942F86">
        <w:rPr>
          <w:bCs/>
          <w:sz w:val="25"/>
          <w:szCs w:val="25"/>
        </w:rPr>
        <w:t xml:space="preserve"> is authorized and required to increase funding for the Company’s Low Income Bill Assistance Program </w:t>
      </w:r>
      <w:r w:rsidR="006F5DAB" w:rsidRPr="00942F86">
        <w:rPr>
          <w:bCs/>
          <w:sz w:val="25"/>
          <w:szCs w:val="25"/>
        </w:rPr>
        <w:t>as provided by the five-year low-income bill assistance program approved in Docket UE-111190 in March 2012</w:t>
      </w:r>
      <w:r w:rsidRPr="00942F86">
        <w:rPr>
          <w:bCs/>
          <w:sz w:val="25"/>
          <w:szCs w:val="25"/>
        </w:rPr>
        <w:t>.</w:t>
      </w:r>
    </w:p>
    <w:p w14:paraId="780A7C9D" w14:textId="77777777" w:rsidR="00506BCB" w:rsidRPr="00942F86" w:rsidRDefault="00506BCB" w:rsidP="000455AC">
      <w:pPr>
        <w:spacing w:line="264" w:lineRule="auto"/>
        <w:rPr>
          <w:sz w:val="25"/>
          <w:szCs w:val="25"/>
        </w:rPr>
      </w:pPr>
    </w:p>
    <w:p w14:paraId="455B9AA8" w14:textId="2B19B6D1" w:rsidR="00FA7775" w:rsidRPr="00942F86" w:rsidRDefault="00FA7775" w:rsidP="00F00893">
      <w:pPr>
        <w:numPr>
          <w:ilvl w:val="0"/>
          <w:numId w:val="1"/>
        </w:numPr>
        <w:tabs>
          <w:tab w:val="clear" w:pos="720"/>
          <w:tab w:val="left" w:pos="0"/>
        </w:tabs>
        <w:spacing w:line="264" w:lineRule="auto"/>
        <w:ind w:hanging="1440"/>
        <w:rPr>
          <w:bCs/>
          <w:color w:val="000000"/>
          <w:sz w:val="25"/>
          <w:szCs w:val="25"/>
        </w:rPr>
      </w:pPr>
      <w:r w:rsidRPr="00942F86">
        <w:rPr>
          <w:sz w:val="25"/>
          <w:szCs w:val="25"/>
        </w:rPr>
        <w:t>(</w:t>
      </w:r>
      <w:r w:rsidR="00180A53" w:rsidRPr="00942F86">
        <w:rPr>
          <w:sz w:val="25"/>
          <w:szCs w:val="25"/>
        </w:rPr>
        <w:t>4</w:t>
      </w:r>
      <w:r w:rsidRPr="00942F86">
        <w:rPr>
          <w:sz w:val="25"/>
          <w:szCs w:val="25"/>
        </w:rPr>
        <w:t xml:space="preserve">) </w:t>
      </w:r>
      <w:r w:rsidRPr="00942F86">
        <w:rPr>
          <w:sz w:val="25"/>
          <w:szCs w:val="25"/>
        </w:rPr>
        <w:tab/>
      </w:r>
      <w:r w:rsidR="002843DC" w:rsidRPr="00942F86">
        <w:rPr>
          <w:sz w:val="25"/>
          <w:szCs w:val="25"/>
        </w:rPr>
        <w:t>Pacific Power is required to participate in further proceedings in this docket to develop fully, and implement by filing appropriate tariff sheets, a Power Cost Adjustment Mechanism designed to be consistent with guidance the Commission has given in prior orders, as discussed in the body of this Order.</w:t>
      </w:r>
    </w:p>
    <w:p w14:paraId="6648F02D" w14:textId="77777777" w:rsidR="00FA7775" w:rsidRPr="00942F86" w:rsidRDefault="00FA7775" w:rsidP="000455AC">
      <w:pPr>
        <w:spacing w:line="264" w:lineRule="auto"/>
        <w:rPr>
          <w:sz w:val="25"/>
          <w:szCs w:val="25"/>
        </w:rPr>
      </w:pPr>
    </w:p>
    <w:p w14:paraId="1732E3B0" w14:textId="28078113" w:rsidR="00FA7775" w:rsidRPr="00942F86" w:rsidRDefault="00FA7775" w:rsidP="00F00893">
      <w:pPr>
        <w:numPr>
          <w:ilvl w:val="0"/>
          <w:numId w:val="1"/>
        </w:numPr>
        <w:tabs>
          <w:tab w:val="clear" w:pos="720"/>
          <w:tab w:val="left" w:pos="0"/>
        </w:tabs>
        <w:spacing w:line="264" w:lineRule="auto"/>
        <w:ind w:hanging="1440"/>
        <w:rPr>
          <w:bCs/>
          <w:color w:val="000000"/>
          <w:sz w:val="25"/>
          <w:szCs w:val="25"/>
        </w:rPr>
      </w:pPr>
      <w:r w:rsidRPr="00942F86">
        <w:rPr>
          <w:sz w:val="25"/>
          <w:szCs w:val="25"/>
        </w:rPr>
        <w:t>(</w:t>
      </w:r>
      <w:r w:rsidR="00863593" w:rsidRPr="00942F86">
        <w:rPr>
          <w:sz w:val="25"/>
          <w:szCs w:val="25"/>
        </w:rPr>
        <w:t>5</w:t>
      </w:r>
      <w:r w:rsidRPr="00942F86">
        <w:rPr>
          <w:sz w:val="25"/>
          <w:szCs w:val="25"/>
        </w:rPr>
        <w:t>)</w:t>
      </w:r>
      <w:r w:rsidRPr="00942F86">
        <w:rPr>
          <w:sz w:val="25"/>
          <w:szCs w:val="25"/>
        </w:rPr>
        <w:tab/>
      </w:r>
      <w:r w:rsidRPr="00B44676">
        <w:rPr>
          <w:color w:val="000000"/>
          <w:sz w:val="25"/>
          <w:szCs w:val="25"/>
        </w:rPr>
        <w:t>The</w:t>
      </w:r>
      <w:r w:rsidRPr="00942F86">
        <w:rPr>
          <w:sz w:val="25"/>
          <w:szCs w:val="25"/>
        </w:rPr>
        <w:t xml:space="preserve"> Commission Secretary is authorized to accept by letter, with copies to all parties to this proceeding, a filing that complies with the requirements of this Final Order.</w:t>
      </w:r>
    </w:p>
    <w:p w14:paraId="16559BA6" w14:textId="479CA9AA" w:rsidR="00B44676" w:rsidRDefault="00B44676" w:rsidP="000455AC">
      <w:pPr>
        <w:spacing w:line="264" w:lineRule="auto"/>
        <w:rPr>
          <w:sz w:val="25"/>
          <w:szCs w:val="25"/>
        </w:rPr>
      </w:pPr>
      <w:r>
        <w:rPr>
          <w:sz w:val="25"/>
          <w:szCs w:val="25"/>
        </w:rPr>
        <w:br w:type="page"/>
      </w:r>
    </w:p>
    <w:p w14:paraId="6D40F86F" w14:textId="77202F18" w:rsidR="00FA7775" w:rsidRPr="00942F86" w:rsidRDefault="00FA7775" w:rsidP="00F00893">
      <w:pPr>
        <w:numPr>
          <w:ilvl w:val="0"/>
          <w:numId w:val="1"/>
        </w:numPr>
        <w:tabs>
          <w:tab w:val="clear" w:pos="720"/>
          <w:tab w:val="left" w:pos="0"/>
        </w:tabs>
        <w:spacing w:line="264" w:lineRule="auto"/>
        <w:ind w:hanging="1440"/>
        <w:rPr>
          <w:bCs/>
          <w:color w:val="000000"/>
          <w:sz w:val="25"/>
          <w:szCs w:val="25"/>
        </w:rPr>
      </w:pPr>
      <w:r w:rsidRPr="00942F86">
        <w:rPr>
          <w:sz w:val="25"/>
          <w:szCs w:val="25"/>
        </w:rPr>
        <w:lastRenderedPageBreak/>
        <w:t>(</w:t>
      </w:r>
      <w:r w:rsidR="00863593" w:rsidRPr="00942F86">
        <w:rPr>
          <w:sz w:val="25"/>
          <w:szCs w:val="25"/>
        </w:rPr>
        <w:t>6</w:t>
      </w:r>
      <w:r w:rsidRPr="00942F86">
        <w:rPr>
          <w:sz w:val="25"/>
          <w:szCs w:val="25"/>
        </w:rPr>
        <w:t>)</w:t>
      </w:r>
      <w:r w:rsidRPr="00942F86">
        <w:rPr>
          <w:sz w:val="25"/>
          <w:szCs w:val="25"/>
        </w:rPr>
        <w:tab/>
        <w:t xml:space="preserve">The Commission retains jurisdiction to effectuate the terms of this Final Order. </w:t>
      </w:r>
    </w:p>
    <w:p w14:paraId="70879EF3" w14:textId="77777777" w:rsidR="002656B1" w:rsidRPr="00942F86" w:rsidRDefault="002656B1" w:rsidP="000455AC">
      <w:pPr>
        <w:spacing w:line="264" w:lineRule="auto"/>
        <w:rPr>
          <w:sz w:val="25"/>
          <w:szCs w:val="25"/>
        </w:rPr>
      </w:pPr>
    </w:p>
    <w:p w14:paraId="1DE9CE62" w14:textId="11E15B1F" w:rsidR="00FA7775" w:rsidRPr="00942F86" w:rsidRDefault="00FA7775" w:rsidP="000455AC">
      <w:pPr>
        <w:spacing w:line="264" w:lineRule="auto"/>
        <w:rPr>
          <w:sz w:val="25"/>
          <w:szCs w:val="25"/>
        </w:rPr>
      </w:pPr>
      <w:r w:rsidRPr="00942F86">
        <w:rPr>
          <w:sz w:val="25"/>
          <w:szCs w:val="25"/>
        </w:rPr>
        <w:t xml:space="preserve">Dated at Olympia, Washington, and effective </w:t>
      </w:r>
      <w:r w:rsidR="00502300" w:rsidRPr="00942F86">
        <w:rPr>
          <w:sz w:val="25"/>
          <w:szCs w:val="25"/>
        </w:rPr>
        <w:t xml:space="preserve">March </w:t>
      </w:r>
      <w:r w:rsidR="005244B4">
        <w:rPr>
          <w:sz w:val="25"/>
          <w:szCs w:val="25"/>
        </w:rPr>
        <w:t>25</w:t>
      </w:r>
      <w:r w:rsidR="00502300" w:rsidRPr="00942F86">
        <w:rPr>
          <w:sz w:val="25"/>
          <w:szCs w:val="25"/>
        </w:rPr>
        <w:t>, 2015</w:t>
      </w:r>
      <w:r w:rsidRPr="00942F86">
        <w:rPr>
          <w:sz w:val="25"/>
          <w:szCs w:val="25"/>
        </w:rPr>
        <w:t>.</w:t>
      </w:r>
    </w:p>
    <w:p w14:paraId="2D9F540E" w14:textId="77777777" w:rsidR="00FA7775" w:rsidRPr="00942F86" w:rsidRDefault="00FA7775" w:rsidP="000455AC">
      <w:pPr>
        <w:pStyle w:val="Header"/>
        <w:tabs>
          <w:tab w:val="clear" w:pos="4320"/>
          <w:tab w:val="clear" w:pos="8640"/>
        </w:tabs>
        <w:spacing w:line="264" w:lineRule="auto"/>
        <w:rPr>
          <w:sz w:val="25"/>
          <w:szCs w:val="25"/>
        </w:rPr>
      </w:pPr>
    </w:p>
    <w:p w14:paraId="54685761" w14:textId="77777777" w:rsidR="00FA7775" w:rsidRPr="00942F86" w:rsidRDefault="00FA7775" w:rsidP="000455AC">
      <w:pPr>
        <w:spacing w:line="264" w:lineRule="auto"/>
        <w:jc w:val="center"/>
        <w:rPr>
          <w:sz w:val="25"/>
          <w:szCs w:val="25"/>
        </w:rPr>
      </w:pPr>
      <w:r w:rsidRPr="00942F86">
        <w:rPr>
          <w:sz w:val="25"/>
          <w:szCs w:val="25"/>
        </w:rPr>
        <w:t>WASHINGTON UTILITIES AND TRANSPORTATION COMMISSION</w:t>
      </w:r>
    </w:p>
    <w:p w14:paraId="41ED0A37" w14:textId="77777777" w:rsidR="00FA7775" w:rsidRPr="00942F86" w:rsidRDefault="00FA7775" w:rsidP="000455AC">
      <w:pPr>
        <w:spacing w:line="264" w:lineRule="auto"/>
        <w:rPr>
          <w:sz w:val="25"/>
          <w:szCs w:val="25"/>
        </w:rPr>
      </w:pPr>
    </w:p>
    <w:p w14:paraId="3DADC1FD" w14:textId="77777777" w:rsidR="00154667" w:rsidRPr="00942F86" w:rsidRDefault="00154667" w:rsidP="000455AC">
      <w:pPr>
        <w:spacing w:line="264" w:lineRule="auto"/>
        <w:rPr>
          <w:sz w:val="25"/>
          <w:szCs w:val="25"/>
        </w:rPr>
      </w:pPr>
    </w:p>
    <w:p w14:paraId="4DF7D0DD" w14:textId="77777777" w:rsidR="00154667" w:rsidRPr="00942F86" w:rsidRDefault="00154667" w:rsidP="000455AC">
      <w:pPr>
        <w:spacing w:line="264" w:lineRule="auto"/>
        <w:rPr>
          <w:sz w:val="25"/>
          <w:szCs w:val="25"/>
        </w:rPr>
      </w:pPr>
    </w:p>
    <w:bookmarkEnd w:id="58"/>
    <w:p w14:paraId="371492D7" w14:textId="77777777" w:rsidR="009C5627" w:rsidRPr="00942F86" w:rsidRDefault="009C5627" w:rsidP="000455AC">
      <w:pPr>
        <w:spacing w:line="264" w:lineRule="auto"/>
        <w:rPr>
          <w:sz w:val="25"/>
          <w:szCs w:val="25"/>
        </w:rPr>
      </w:pPr>
    </w:p>
    <w:p w14:paraId="2B5212CE" w14:textId="77777777" w:rsidR="009C5627" w:rsidRPr="00942F86" w:rsidRDefault="000B7867" w:rsidP="000455AC">
      <w:pPr>
        <w:spacing w:line="264" w:lineRule="auto"/>
        <w:rPr>
          <w:sz w:val="25"/>
          <w:szCs w:val="25"/>
        </w:rPr>
      </w:pPr>
      <w:r w:rsidRPr="00942F86">
        <w:rPr>
          <w:sz w:val="25"/>
          <w:szCs w:val="25"/>
        </w:rPr>
        <w:tab/>
      </w:r>
      <w:r w:rsidRPr="00942F86">
        <w:rPr>
          <w:sz w:val="25"/>
          <w:szCs w:val="25"/>
        </w:rPr>
        <w:tab/>
      </w:r>
      <w:r w:rsidRPr="00942F86">
        <w:rPr>
          <w:sz w:val="25"/>
          <w:szCs w:val="25"/>
        </w:rPr>
        <w:tab/>
      </w:r>
      <w:r w:rsidRPr="00942F86">
        <w:rPr>
          <w:sz w:val="25"/>
          <w:szCs w:val="25"/>
        </w:rPr>
        <w:tab/>
      </w:r>
      <w:r w:rsidRPr="00942F86">
        <w:rPr>
          <w:sz w:val="25"/>
          <w:szCs w:val="25"/>
        </w:rPr>
        <w:tab/>
      </w:r>
      <w:r w:rsidR="002E298E" w:rsidRPr="00942F86">
        <w:rPr>
          <w:sz w:val="25"/>
          <w:szCs w:val="25"/>
        </w:rPr>
        <w:t>DAVID W. DANNER</w:t>
      </w:r>
      <w:r w:rsidRPr="00942F86">
        <w:rPr>
          <w:sz w:val="25"/>
          <w:szCs w:val="25"/>
        </w:rPr>
        <w:t>, Chairman</w:t>
      </w:r>
    </w:p>
    <w:p w14:paraId="06A8345E" w14:textId="77777777" w:rsidR="009C5627" w:rsidRPr="00942F86" w:rsidRDefault="009C5627" w:rsidP="000455AC">
      <w:pPr>
        <w:spacing w:line="264" w:lineRule="auto"/>
        <w:rPr>
          <w:sz w:val="25"/>
          <w:szCs w:val="25"/>
        </w:rPr>
      </w:pPr>
    </w:p>
    <w:p w14:paraId="7DEDB138" w14:textId="77777777" w:rsidR="009C5627" w:rsidRPr="00942F86" w:rsidRDefault="009C5627" w:rsidP="000455AC">
      <w:pPr>
        <w:spacing w:line="264" w:lineRule="auto"/>
        <w:rPr>
          <w:sz w:val="25"/>
          <w:szCs w:val="25"/>
        </w:rPr>
      </w:pPr>
    </w:p>
    <w:p w14:paraId="22B49E97" w14:textId="77777777" w:rsidR="00154667" w:rsidRPr="00942F86" w:rsidRDefault="00154667" w:rsidP="000455AC">
      <w:pPr>
        <w:spacing w:line="264" w:lineRule="auto"/>
        <w:rPr>
          <w:sz w:val="25"/>
          <w:szCs w:val="25"/>
        </w:rPr>
      </w:pPr>
    </w:p>
    <w:p w14:paraId="0634DA68" w14:textId="77777777" w:rsidR="00154667" w:rsidRPr="00942F86" w:rsidRDefault="00154667" w:rsidP="000455AC">
      <w:pPr>
        <w:spacing w:line="264" w:lineRule="auto"/>
        <w:rPr>
          <w:sz w:val="25"/>
          <w:szCs w:val="25"/>
        </w:rPr>
      </w:pPr>
    </w:p>
    <w:p w14:paraId="34AB6933" w14:textId="77777777" w:rsidR="00154667" w:rsidRPr="00942F86" w:rsidRDefault="000B7867" w:rsidP="000455AC">
      <w:pPr>
        <w:spacing w:line="264" w:lineRule="auto"/>
        <w:rPr>
          <w:sz w:val="25"/>
          <w:szCs w:val="25"/>
        </w:rPr>
      </w:pPr>
      <w:r w:rsidRPr="00942F86">
        <w:rPr>
          <w:sz w:val="25"/>
          <w:szCs w:val="25"/>
        </w:rPr>
        <w:tab/>
      </w:r>
      <w:r w:rsidRPr="00942F86">
        <w:rPr>
          <w:sz w:val="25"/>
          <w:szCs w:val="25"/>
        </w:rPr>
        <w:tab/>
      </w:r>
      <w:r w:rsidRPr="00942F86">
        <w:rPr>
          <w:sz w:val="25"/>
          <w:szCs w:val="25"/>
        </w:rPr>
        <w:tab/>
      </w:r>
      <w:r w:rsidRPr="00942F86">
        <w:rPr>
          <w:sz w:val="25"/>
          <w:szCs w:val="25"/>
        </w:rPr>
        <w:tab/>
      </w:r>
      <w:r w:rsidRPr="00942F86">
        <w:rPr>
          <w:sz w:val="25"/>
          <w:szCs w:val="25"/>
        </w:rPr>
        <w:tab/>
        <w:t>PHILIP B. JONES, Commissioner</w:t>
      </w:r>
    </w:p>
    <w:p w14:paraId="2EEFA3D1" w14:textId="77777777" w:rsidR="002E298E" w:rsidRPr="00942F86" w:rsidRDefault="002E298E" w:rsidP="000455AC">
      <w:pPr>
        <w:spacing w:line="264" w:lineRule="auto"/>
        <w:rPr>
          <w:sz w:val="25"/>
          <w:szCs w:val="25"/>
        </w:rPr>
      </w:pPr>
    </w:p>
    <w:p w14:paraId="3A6C5E0C" w14:textId="77777777" w:rsidR="002E298E" w:rsidRPr="00942F86" w:rsidRDefault="002E298E" w:rsidP="000455AC">
      <w:pPr>
        <w:spacing w:line="264" w:lineRule="auto"/>
        <w:rPr>
          <w:sz w:val="25"/>
          <w:szCs w:val="25"/>
        </w:rPr>
      </w:pPr>
    </w:p>
    <w:p w14:paraId="6A60B305" w14:textId="77777777" w:rsidR="002E298E" w:rsidRPr="00942F86" w:rsidRDefault="002E298E" w:rsidP="000455AC">
      <w:pPr>
        <w:spacing w:line="264" w:lineRule="auto"/>
        <w:rPr>
          <w:sz w:val="25"/>
          <w:szCs w:val="25"/>
        </w:rPr>
      </w:pPr>
    </w:p>
    <w:p w14:paraId="1AC0BDA8" w14:textId="77777777" w:rsidR="002E298E" w:rsidRPr="00942F86" w:rsidRDefault="002E298E" w:rsidP="000455AC">
      <w:pPr>
        <w:spacing w:line="264" w:lineRule="auto"/>
        <w:rPr>
          <w:sz w:val="25"/>
          <w:szCs w:val="25"/>
        </w:rPr>
      </w:pPr>
    </w:p>
    <w:p w14:paraId="6F388CA7" w14:textId="6BECAF39" w:rsidR="002E298E" w:rsidRPr="00942F86" w:rsidRDefault="008D3150" w:rsidP="000455AC">
      <w:pPr>
        <w:spacing w:line="264" w:lineRule="auto"/>
        <w:ind w:left="2880" w:firstLine="720"/>
        <w:rPr>
          <w:sz w:val="25"/>
          <w:szCs w:val="25"/>
        </w:rPr>
      </w:pPr>
      <w:r w:rsidRPr="00942F86">
        <w:rPr>
          <w:sz w:val="25"/>
          <w:szCs w:val="25"/>
        </w:rPr>
        <w:t xml:space="preserve">ANN </w:t>
      </w:r>
      <w:r w:rsidR="00BC50E0">
        <w:rPr>
          <w:sz w:val="25"/>
          <w:szCs w:val="25"/>
        </w:rPr>
        <w:t xml:space="preserve">E. </w:t>
      </w:r>
      <w:r w:rsidRPr="00942F86">
        <w:rPr>
          <w:sz w:val="25"/>
          <w:szCs w:val="25"/>
        </w:rPr>
        <w:t>RENDAHL</w:t>
      </w:r>
      <w:r w:rsidR="002E298E" w:rsidRPr="00942F86">
        <w:rPr>
          <w:sz w:val="25"/>
          <w:szCs w:val="25"/>
        </w:rPr>
        <w:t>, Commissioner</w:t>
      </w:r>
    </w:p>
    <w:p w14:paraId="6778CC77" w14:textId="77777777" w:rsidR="009C5627" w:rsidRDefault="009C5627" w:rsidP="000455AC">
      <w:pPr>
        <w:spacing w:line="264" w:lineRule="auto"/>
        <w:rPr>
          <w:sz w:val="25"/>
          <w:szCs w:val="25"/>
        </w:rPr>
      </w:pPr>
    </w:p>
    <w:p w14:paraId="0A0C4880" w14:textId="77777777" w:rsidR="001A7DD7" w:rsidRDefault="001A7DD7" w:rsidP="000455AC">
      <w:pPr>
        <w:spacing w:line="264" w:lineRule="auto"/>
        <w:rPr>
          <w:sz w:val="25"/>
          <w:szCs w:val="25"/>
        </w:rPr>
      </w:pPr>
    </w:p>
    <w:p w14:paraId="14460FAC" w14:textId="77777777" w:rsidR="001A7DD7" w:rsidRDefault="001A7DD7" w:rsidP="000455AC">
      <w:pPr>
        <w:spacing w:line="264" w:lineRule="auto"/>
        <w:rPr>
          <w:sz w:val="25"/>
          <w:szCs w:val="25"/>
        </w:rPr>
      </w:pPr>
    </w:p>
    <w:p w14:paraId="069D63DB" w14:textId="77777777" w:rsidR="001A7DD7" w:rsidRPr="00942F86" w:rsidRDefault="001A7DD7" w:rsidP="001A7DD7">
      <w:pPr>
        <w:pStyle w:val="BodyText"/>
        <w:spacing w:after="0" w:line="264" w:lineRule="auto"/>
        <w:rPr>
          <w:b/>
          <w:sz w:val="25"/>
          <w:szCs w:val="25"/>
        </w:rPr>
      </w:pPr>
      <w:r w:rsidRPr="00942F86">
        <w:rPr>
          <w:b/>
          <w:sz w:val="25"/>
          <w:szCs w:val="25"/>
        </w:rPr>
        <w:t xml:space="preserve">NOTICE TO PARTIES:  This is a Commission Final Order.  In addition to judicial review, administrative relief may be available through a petition for reconsideration, filed within 10 days of the service of this order pursuant to </w:t>
      </w:r>
      <w:proofErr w:type="spellStart"/>
      <w:r w:rsidRPr="00942F86">
        <w:rPr>
          <w:b/>
          <w:sz w:val="25"/>
          <w:szCs w:val="25"/>
        </w:rPr>
        <w:t>RCW</w:t>
      </w:r>
      <w:proofErr w:type="spellEnd"/>
      <w:r w:rsidRPr="00942F86">
        <w:rPr>
          <w:b/>
          <w:sz w:val="25"/>
          <w:szCs w:val="25"/>
        </w:rPr>
        <w:t xml:space="preserve"> 34.05.470 and WAC 480-07-850, or a petition for rehearing pursuant to </w:t>
      </w:r>
      <w:proofErr w:type="spellStart"/>
      <w:r w:rsidRPr="00942F86">
        <w:rPr>
          <w:b/>
          <w:sz w:val="25"/>
          <w:szCs w:val="25"/>
        </w:rPr>
        <w:t>RCW</w:t>
      </w:r>
      <w:proofErr w:type="spellEnd"/>
      <w:r w:rsidRPr="00942F86">
        <w:rPr>
          <w:b/>
          <w:sz w:val="25"/>
          <w:szCs w:val="25"/>
        </w:rPr>
        <w:t xml:space="preserve"> 80.04.200 and WAC 480-07-870.</w:t>
      </w:r>
    </w:p>
    <w:p w14:paraId="5ED403A9" w14:textId="77777777" w:rsidR="001A7DD7" w:rsidRPr="00942F86" w:rsidRDefault="001A7DD7" w:rsidP="000455AC">
      <w:pPr>
        <w:spacing w:line="264" w:lineRule="auto"/>
        <w:rPr>
          <w:sz w:val="25"/>
          <w:szCs w:val="25"/>
        </w:rPr>
      </w:pPr>
    </w:p>
    <w:p w14:paraId="583408E6" w14:textId="57A010AD" w:rsidR="001A7DD7" w:rsidRDefault="001A7DD7">
      <w:pPr>
        <w:rPr>
          <w:sz w:val="25"/>
          <w:szCs w:val="25"/>
        </w:rPr>
      </w:pPr>
      <w:r>
        <w:rPr>
          <w:sz w:val="25"/>
          <w:szCs w:val="25"/>
        </w:rPr>
        <w:br w:type="page"/>
      </w:r>
    </w:p>
    <w:p w14:paraId="234E61E7" w14:textId="77777777" w:rsidR="001A7DD7" w:rsidRPr="003E3F24" w:rsidRDefault="001A7DD7" w:rsidP="001A7DD7">
      <w:pPr>
        <w:pStyle w:val="Heading1"/>
        <w:rPr>
          <w:rFonts w:eastAsiaTheme="minorHAnsi"/>
        </w:rPr>
      </w:pPr>
      <w:bookmarkStart w:id="62" w:name="_Toc415037652"/>
      <w:r w:rsidRPr="003E3F24">
        <w:rPr>
          <w:rFonts w:eastAsiaTheme="minorHAnsi"/>
        </w:rPr>
        <w:lastRenderedPageBreak/>
        <w:t>Commissioner Jones’ Separate Statement on Rate Design</w:t>
      </w:r>
      <w:bookmarkEnd w:id="62"/>
    </w:p>
    <w:p w14:paraId="110EA57A" w14:textId="77777777" w:rsidR="001A7DD7" w:rsidRDefault="001A7DD7" w:rsidP="001A7DD7">
      <w:pPr>
        <w:spacing w:line="288" w:lineRule="auto"/>
        <w:rPr>
          <w:rFonts w:eastAsiaTheme="minorHAnsi"/>
          <w:sz w:val="25"/>
          <w:szCs w:val="25"/>
        </w:rPr>
      </w:pPr>
    </w:p>
    <w:p w14:paraId="79EEE287" w14:textId="63770853" w:rsidR="001A7DD7" w:rsidRDefault="001A7DD7" w:rsidP="001A7DD7">
      <w:pPr>
        <w:numPr>
          <w:ilvl w:val="0"/>
          <w:numId w:val="1"/>
        </w:numPr>
        <w:tabs>
          <w:tab w:val="clear" w:pos="720"/>
          <w:tab w:val="left" w:pos="0"/>
        </w:tabs>
        <w:spacing w:line="264" w:lineRule="auto"/>
        <w:ind w:left="0"/>
        <w:rPr>
          <w:rFonts w:eastAsiaTheme="minorHAnsi"/>
          <w:sz w:val="25"/>
          <w:szCs w:val="25"/>
        </w:rPr>
      </w:pPr>
      <w:r w:rsidRPr="003E3F24">
        <w:rPr>
          <w:rFonts w:eastAsiaTheme="minorHAnsi"/>
          <w:sz w:val="25"/>
          <w:szCs w:val="25"/>
        </w:rPr>
        <w:t>I concur with the Majority with the end result in rate design, but write separately to express my differences with the tenor and rationale in our rejection of both the Company’s and Staff’s proposals.  At the outset, I wish to reiterate that the burden remains with the Company to develop a just and reasonable rate design, and reflect the traditional regulatory principles of fairness and gradualism when spreading costs among customers.  Staff and the stakeholders have an obligation to respond in good faith to the utility’s proposals, but ultimately Pacific Power must provide sufficient facts and rationale to justify its proposals.</w:t>
      </w:r>
    </w:p>
    <w:p w14:paraId="5C75517F" w14:textId="77777777" w:rsidR="001A7DD7" w:rsidRPr="003E3F24" w:rsidRDefault="001A7DD7" w:rsidP="001A7DD7">
      <w:pPr>
        <w:spacing w:line="288" w:lineRule="auto"/>
        <w:rPr>
          <w:rFonts w:eastAsiaTheme="minorHAnsi"/>
          <w:sz w:val="25"/>
          <w:szCs w:val="25"/>
        </w:rPr>
      </w:pPr>
    </w:p>
    <w:p w14:paraId="1BC46A1A" w14:textId="77777777" w:rsidR="001A7DD7" w:rsidRDefault="001A7DD7" w:rsidP="001A7DD7">
      <w:pPr>
        <w:numPr>
          <w:ilvl w:val="0"/>
          <w:numId w:val="1"/>
        </w:numPr>
        <w:tabs>
          <w:tab w:val="clear" w:pos="720"/>
          <w:tab w:val="left" w:pos="0"/>
        </w:tabs>
        <w:spacing w:line="264" w:lineRule="auto"/>
        <w:ind w:left="0"/>
        <w:rPr>
          <w:rFonts w:eastAsiaTheme="minorHAnsi"/>
          <w:sz w:val="25"/>
          <w:szCs w:val="25"/>
        </w:rPr>
      </w:pPr>
      <w:r w:rsidRPr="003E3F24">
        <w:rPr>
          <w:rFonts w:eastAsiaTheme="minorHAnsi"/>
          <w:sz w:val="25"/>
          <w:szCs w:val="25"/>
        </w:rPr>
        <w:t xml:space="preserve">I differ with the Majority, however, in encouraging the Company to put forward a full decoupling proposal as the preferred option.  Although it doesn’t require Pacific Power to file such a proposal in the next GRC, its critique of the Company and Staff’s proposals in this case, and frequent references to our Decoupling Policy Statement and adoption by PSE and Avista, certainly lead one to that conclusion.  Essentially, the Majority appears to argue that the other two electric utilities have adopted full electric decoupling, it is working well, </w:t>
      </w:r>
      <w:proofErr w:type="gramStart"/>
      <w:r w:rsidRPr="003E3F24">
        <w:rPr>
          <w:rFonts w:eastAsiaTheme="minorHAnsi"/>
          <w:sz w:val="25"/>
          <w:szCs w:val="25"/>
        </w:rPr>
        <w:t>hence</w:t>
      </w:r>
      <w:proofErr w:type="gramEnd"/>
      <w:r w:rsidRPr="003E3F24">
        <w:rPr>
          <w:rFonts w:eastAsiaTheme="minorHAnsi"/>
          <w:sz w:val="25"/>
          <w:szCs w:val="25"/>
        </w:rPr>
        <w:t xml:space="preserve"> Pacific Power should do so as well.  We appear to have taken on the role of the teacher who disciplines the disobedient child in the back of the classroom who is causing trouble to step forward to the front of the class and join the exemplary students, in other words, by adopting decoupling.   I am not an opponent of decoupling, depending on its detailed design and structures, and have supported its adoption by PSE and Avista.  Furthermore, I think the Commission can benefit by assessing different regulatory mechanisms to address flat load growth and potential attrition; a one-size-fits-all approach is not necessarily the best approach.</w:t>
      </w:r>
    </w:p>
    <w:p w14:paraId="59272FAD" w14:textId="77777777" w:rsidR="001A7DD7" w:rsidRPr="003E3F24" w:rsidRDefault="001A7DD7" w:rsidP="001A7DD7">
      <w:pPr>
        <w:spacing w:line="288" w:lineRule="auto"/>
        <w:rPr>
          <w:rFonts w:eastAsiaTheme="minorHAnsi"/>
          <w:sz w:val="25"/>
          <w:szCs w:val="25"/>
        </w:rPr>
      </w:pPr>
    </w:p>
    <w:p w14:paraId="4F5CDD95" w14:textId="77777777" w:rsidR="001A7DD7" w:rsidRDefault="001A7DD7" w:rsidP="001A7DD7">
      <w:pPr>
        <w:numPr>
          <w:ilvl w:val="0"/>
          <w:numId w:val="1"/>
        </w:numPr>
        <w:tabs>
          <w:tab w:val="clear" w:pos="720"/>
          <w:tab w:val="left" w:pos="0"/>
        </w:tabs>
        <w:spacing w:line="264" w:lineRule="auto"/>
        <w:ind w:left="0"/>
        <w:rPr>
          <w:rFonts w:eastAsiaTheme="minorHAnsi"/>
          <w:sz w:val="25"/>
          <w:szCs w:val="25"/>
        </w:rPr>
      </w:pPr>
      <w:r w:rsidRPr="003E3F24">
        <w:rPr>
          <w:rFonts w:eastAsiaTheme="minorHAnsi"/>
          <w:sz w:val="25"/>
          <w:szCs w:val="25"/>
        </w:rPr>
        <w:t xml:space="preserve">Rate design is a complex issue that attempts to do many things simultaneously, such as reflect fairness among customers, cost causation, adjust to changing utility loads and sources of generation, encourage certain public policy preferences, and protect low-income consumers.  This is a very challenging and difficult balance to achieve.  In my view, most observers have been aware for many years that most rate design structures do not truly reflect the true, actual costs of serving the various rate classes, especially in the balance between fixed (basic charge) and volumetric (per kilowatt-hour) rates.  But most Commissions, including the UTC, have chosen to maintain the current rate design structures for the reasons cited above, namely fairness and gradualism.  In this case, the Company proposes a significant increase in the residential basic charge, a dramatic shift away from the traditional residential rate </w:t>
      </w:r>
      <w:r w:rsidRPr="003E3F24">
        <w:rPr>
          <w:rFonts w:eastAsiaTheme="minorHAnsi"/>
          <w:sz w:val="25"/>
          <w:szCs w:val="25"/>
        </w:rPr>
        <w:lastRenderedPageBreak/>
        <w:t>design approved by this Commission over the past decade.  In short, the Company has not satisfied its burden in this case to provide evidence and rationale supporting the change.</w:t>
      </w:r>
    </w:p>
    <w:p w14:paraId="38AD7FE3" w14:textId="77777777" w:rsidR="001A7DD7" w:rsidRPr="003E3F24" w:rsidRDefault="001A7DD7" w:rsidP="001A7DD7">
      <w:pPr>
        <w:spacing w:line="288" w:lineRule="auto"/>
        <w:rPr>
          <w:rFonts w:eastAsiaTheme="minorHAnsi"/>
          <w:sz w:val="25"/>
          <w:szCs w:val="25"/>
        </w:rPr>
      </w:pPr>
    </w:p>
    <w:p w14:paraId="730FEA5F" w14:textId="77777777" w:rsidR="001A7DD7" w:rsidRPr="003E3F24" w:rsidRDefault="001A7DD7" w:rsidP="001A7DD7">
      <w:pPr>
        <w:numPr>
          <w:ilvl w:val="0"/>
          <w:numId w:val="1"/>
        </w:numPr>
        <w:tabs>
          <w:tab w:val="clear" w:pos="720"/>
          <w:tab w:val="left" w:pos="0"/>
        </w:tabs>
        <w:spacing w:line="264" w:lineRule="auto"/>
        <w:ind w:left="0"/>
        <w:rPr>
          <w:rFonts w:eastAsiaTheme="minorHAnsi"/>
          <w:sz w:val="25"/>
          <w:szCs w:val="25"/>
        </w:rPr>
      </w:pPr>
      <w:r w:rsidRPr="003E3F24">
        <w:rPr>
          <w:rFonts w:eastAsiaTheme="minorHAnsi"/>
          <w:sz w:val="25"/>
          <w:szCs w:val="25"/>
        </w:rPr>
        <w:t>At the same time, I commend the Company and the Staff for setting forth comprehensive, detailed proposals on residential rate design here.  The utility business model is evolving quickly in response to changes in technology, energy efficiency, and customer-owned generation, although at different speeds among utilities.  Moreover, our Legislature (and many other legislatures throughout the country) and other external stakeholders have focused on these issues and have been developing a variety of proposals at the state level.  In response, the Commission has been spending a good deal of time and energy studying and developing broad policy recommendations on these issues in responding to questions and concerns from the Legislature.</w:t>
      </w:r>
      <w:r w:rsidRPr="003E3F24">
        <w:rPr>
          <w:rFonts w:eastAsiaTheme="minorHAnsi"/>
          <w:sz w:val="25"/>
          <w:szCs w:val="25"/>
          <w:vertAlign w:val="superscript"/>
        </w:rPr>
        <w:footnoteReference w:id="422"/>
      </w:r>
      <w:r w:rsidRPr="003E3F24">
        <w:rPr>
          <w:rFonts w:eastAsiaTheme="minorHAnsi"/>
          <w:sz w:val="25"/>
          <w:szCs w:val="25"/>
        </w:rPr>
        <w:t xml:space="preserve">  Although I conclude that these two proposals from the Company and Staff are not sufficiently developed and vetted, the Commission has benefited from the exercise of reviewing and assessing these specific proposals.  However, it is premature to act at this time and on this record for the following reasons.</w:t>
      </w:r>
    </w:p>
    <w:p w14:paraId="449F4695" w14:textId="77777777" w:rsidR="001A7DD7" w:rsidRDefault="001A7DD7" w:rsidP="001A7DD7">
      <w:pPr>
        <w:spacing w:line="288" w:lineRule="auto"/>
        <w:rPr>
          <w:rFonts w:eastAsiaTheme="minorHAnsi"/>
          <w:sz w:val="25"/>
          <w:szCs w:val="25"/>
        </w:rPr>
      </w:pPr>
      <w:r w:rsidRPr="003E3F24">
        <w:rPr>
          <w:rFonts w:eastAsiaTheme="minorHAnsi"/>
          <w:sz w:val="25"/>
          <w:szCs w:val="25"/>
        </w:rPr>
        <w:t xml:space="preserve">First, the Company, at a senior management level, has to favor decoupling as a mechanism to address issues like attrition, lost margins from conservation, or lost revenues from customer-owned generation.  Moreover, it has to have a strong belief in decoupling, compared to other mechanisms, in order to succeed in getting the proposal through a contentious, fact-based regulatory process with other stakeholders.  With PSE, we engaged in a multi-year “conversation” about decoupling in which the Company attempted at least twice to persuade us to adopt decoupling proposals, and senior management and Board members were actively engaged.  Finally, PSE brought forward an acceptable proposal to us that we adopted as a multi-year pilot in the context of a complex settlement agreement.  With Avista, we engaged in a similar process that began with a limited decoupling proposal for natural gas, and resulted in full electric and gas decoupling proposals in the context of a settlement agreement. </w:t>
      </w:r>
    </w:p>
    <w:p w14:paraId="2D639693" w14:textId="77777777" w:rsidR="001A7DD7" w:rsidRDefault="001A7DD7" w:rsidP="001A7DD7">
      <w:pPr>
        <w:spacing w:line="288" w:lineRule="auto"/>
        <w:rPr>
          <w:rFonts w:eastAsiaTheme="minorHAnsi"/>
          <w:sz w:val="25"/>
          <w:szCs w:val="25"/>
        </w:rPr>
      </w:pPr>
      <w:r w:rsidRPr="003E3F24">
        <w:rPr>
          <w:rFonts w:eastAsiaTheme="minorHAnsi"/>
          <w:sz w:val="25"/>
          <w:szCs w:val="25"/>
        </w:rPr>
        <w:t xml:space="preserve"> </w:t>
      </w:r>
    </w:p>
    <w:p w14:paraId="60945413" w14:textId="4A932F68" w:rsidR="001A7DD7" w:rsidRDefault="001A7DD7" w:rsidP="001A7DD7">
      <w:pPr>
        <w:numPr>
          <w:ilvl w:val="0"/>
          <w:numId w:val="1"/>
        </w:numPr>
        <w:tabs>
          <w:tab w:val="clear" w:pos="720"/>
          <w:tab w:val="left" w:pos="0"/>
        </w:tabs>
        <w:spacing w:line="264" w:lineRule="auto"/>
        <w:ind w:left="0"/>
        <w:rPr>
          <w:rFonts w:eastAsiaTheme="minorHAnsi"/>
          <w:sz w:val="25"/>
          <w:szCs w:val="25"/>
        </w:rPr>
      </w:pPr>
      <w:r w:rsidRPr="003E3F24">
        <w:rPr>
          <w:rFonts w:eastAsiaTheme="minorHAnsi"/>
          <w:sz w:val="25"/>
          <w:szCs w:val="25"/>
        </w:rPr>
        <w:lastRenderedPageBreak/>
        <w:t>The context is markedly different with Pacific Power, and its parent company Berkshire Hathaway Energy (</w:t>
      </w:r>
      <w:proofErr w:type="spellStart"/>
      <w:r w:rsidRPr="003E3F24">
        <w:rPr>
          <w:rFonts w:eastAsiaTheme="minorHAnsi"/>
          <w:sz w:val="25"/>
          <w:szCs w:val="25"/>
        </w:rPr>
        <w:t>BHE</w:t>
      </w:r>
      <w:proofErr w:type="spellEnd"/>
      <w:r w:rsidRPr="003E3F24">
        <w:rPr>
          <w:rFonts w:eastAsiaTheme="minorHAnsi"/>
          <w:sz w:val="25"/>
          <w:szCs w:val="25"/>
        </w:rPr>
        <w:t>).  The Company is neutral at best on decoupling mechanisms, and doesn’t appear to favor them as the proper mechanism to address issues specific to its cost structure and service territory.  In our 2010 proceeding that led to the development of the Decoupling Policy Statement, in fact, the Company responded to the Commission’s request for comment on potential mechanisms to address lost revenues and recovery of its fixed costs, namely:  decoupling, a lost margin adjustment mechanism, straight fixed variable design (including an increase in the basic charge), and an attrition adjustment.</w:t>
      </w:r>
    </w:p>
    <w:p w14:paraId="356A5277" w14:textId="77777777" w:rsidR="001A7DD7" w:rsidRPr="003E3F24" w:rsidRDefault="001A7DD7" w:rsidP="001A7DD7">
      <w:pPr>
        <w:spacing w:line="288" w:lineRule="auto"/>
        <w:rPr>
          <w:rFonts w:eastAsiaTheme="minorHAnsi"/>
          <w:sz w:val="25"/>
          <w:szCs w:val="25"/>
        </w:rPr>
      </w:pPr>
    </w:p>
    <w:p w14:paraId="4AEA78D8" w14:textId="77777777" w:rsidR="001A7DD7" w:rsidRDefault="001A7DD7" w:rsidP="00ED24B9">
      <w:pPr>
        <w:numPr>
          <w:ilvl w:val="0"/>
          <w:numId w:val="1"/>
        </w:numPr>
        <w:tabs>
          <w:tab w:val="clear" w:pos="720"/>
          <w:tab w:val="left" w:pos="0"/>
        </w:tabs>
        <w:spacing w:line="264" w:lineRule="auto"/>
        <w:ind w:left="0"/>
        <w:rPr>
          <w:rFonts w:eastAsiaTheme="minorHAnsi"/>
          <w:sz w:val="25"/>
          <w:szCs w:val="25"/>
        </w:rPr>
      </w:pPr>
      <w:r w:rsidRPr="003E3F24">
        <w:rPr>
          <w:rFonts w:eastAsiaTheme="minorHAnsi"/>
          <w:sz w:val="25"/>
          <w:szCs w:val="25"/>
        </w:rPr>
        <w:t>Of the mechanisms discussed, Pacific Power was the most supportive of either a lost margin recovery mechanism, straight-fixed variable rate design (increase in basic charge, decrease in volumetric charge), or some type of attrition adjustment.</w:t>
      </w:r>
      <w:r w:rsidRPr="003E3F24">
        <w:rPr>
          <w:rFonts w:eastAsiaTheme="minorHAnsi"/>
          <w:sz w:val="25"/>
          <w:szCs w:val="25"/>
          <w:vertAlign w:val="superscript"/>
        </w:rPr>
        <w:footnoteReference w:id="423"/>
      </w:r>
      <w:r w:rsidRPr="003E3F24">
        <w:rPr>
          <w:rFonts w:eastAsiaTheme="minorHAnsi"/>
          <w:sz w:val="25"/>
          <w:szCs w:val="25"/>
        </w:rPr>
        <w:t xml:space="preserve">  Regarding a decoupling mechanism, it stated it was “neutral” and mentioned the drawbacks of such a proposal without offering much detail.  Since that time, we have not engaged with the senior management of Pacific Power on these issues, and they have never expressed a whit of support for decoupling.  Certainly, in this case the Company did not advocate at all for a decoupling mechanism; instead, it advocated for an increase in the residential basic charge to $14.  Since the burden ultimately remains with the Company to justify its proposals, I remain cautious about trying to either encourage or impose any specific regulatory mechanism, such as decoupling, without further process and deliberation.</w:t>
      </w:r>
    </w:p>
    <w:p w14:paraId="202AD99A" w14:textId="77777777" w:rsidR="001A7DD7" w:rsidRDefault="001A7DD7" w:rsidP="001A7DD7">
      <w:pPr>
        <w:spacing w:line="288" w:lineRule="auto"/>
        <w:rPr>
          <w:rFonts w:eastAsiaTheme="minorHAnsi"/>
          <w:sz w:val="25"/>
          <w:szCs w:val="25"/>
        </w:rPr>
      </w:pPr>
    </w:p>
    <w:p w14:paraId="26EAA856" w14:textId="77777777" w:rsidR="001A7DD7" w:rsidRDefault="001A7DD7" w:rsidP="001A7DD7">
      <w:pPr>
        <w:numPr>
          <w:ilvl w:val="0"/>
          <w:numId w:val="1"/>
        </w:numPr>
        <w:tabs>
          <w:tab w:val="clear" w:pos="720"/>
          <w:tab w:val="left" w:pos="0"/>
        </w:tabs>
        <w:spacing w:line="264" w:lineRule="auto"/>
        <w:ind w:left="0"/>
        <w:rPr>
          <w:rFonts w:eastAsiaTheme="minorHAnsi"/>
          <w:sz w:val="25"/>
          <w:szCs w:val="25"/>
        </w:rPr>
      </w:pPr>
      <w:r w:rsidRPr="003E3F24">
        <w:rPr>
          <w:rFonts w:eastAsiaTheme="minorHAnsi"/>
          <w:sz w:val="25"/>
          <w:szCs w:val="25"/>
        </w:rPr>
        <w:t>The specific proposals of the Company and the Staff raise a number of questions that I think need to be answered more fully before moving forward, including but not limited to:</w:t>
      </w:r>
    </w:p>
    <w:p w14:paraId="6B32D3C1" w14:textId="77777777" w:rsidR="008E0461" w:rsidRDefault="008E0461" w:rsidP="008E0461">
      <w:pPr>
        <w:pStyle w:val="ListParagraph"/>
        <w:rPr>
          <w:rFonts w:eastAsiaTheme="minorHAnsi"/>
          <w:sz w:val="25"/>
          <w:szCs w:val="25"/>
        </w:rPr>
      </w:pPr>
    </w:p>
    <w:p w14:paraId="1348B859" w14:textId="35E8D76D" w:rsidR="001A7DD7" w:rsidRDefault="001A7DD7" w:rsidP="008E0461">
      <w:pPr>
        <w:numPr>
          <w:ilvl w:val="0"/>
          <w:numId w:val="45"/>
        </w:numPr>
        <w:spacing w:after="240"/>
        <w:ind w:left="720" w:right="720"/>
        <w:contextualSpacing/>
        <w:rPr>
          <w:rFonts w:eastAsiaTheme="minorHAnsi"/>
          <w:sz w:val="25"/>
          <w:szCs w:val="25"/>
        </w:rPr>
      </w:pPr>
      <w:r w:rsidRPr="003E3F24">
        <w:rPr>
          <w:rFonts w:eastAsiaTheme="minorHAnsi"/>
          <w:sz w:val="25"/>
          <w:szCs w:val="25"/>
        </w:rPr>
        <w:t>The Company argues that the residential basic charge should include the fixed costs of the distribution system.</w:t>
      </w:r>
      <w:r w:rsidRPr="003E3F24">
        <w:rPr>
          <w:rFonts w:eastAsiaTheme="minorHAnsi"/>
          <w:sz w:val="25"/>
          <w:szCs w:val="25"/>
          <w:vertAlign w:val="superscript"/>
        </w:rPr>
        <w:footnoteReference w:id="424"/>
      </w:r>
      <w:r w:rsidRPr="003E3F24">
        <w:rPr>
          <w:rFonts w:eastAsiaTheme="minorHAnsi"/>
          <w:sz w:val="25"/>
          <w:szCs w:val="25"/>
        </w:rPr>
        <w:t xml:space="preserve">  This would include the cost of poles, wires, and line transformers – which traditionally have not been included in the basic charge – in addition to metering, service drop, and customer billing costs traditionally included in the basic </w:t>
      </w:r>
      <w:r w:rsidRPr="003E3F24">
        <w:rPr>
          <w:rFonts w:eastAsiaTheme="minorHAnsi"/>
          <w:sz w:val="25"/>
          <w:szCs w:val="25"/>
        </w:rPr>
        <w:lastRenderedPageBreak/>
        <w:t>charge.  Other Parties disagree with the inclusion of distribution system costs in the basic charge, and challenge Pacific Power’s classification of these costs as “fixed”.  Hence, I think the inclusion of distribution system costs in the basic charge, and their classification as either “fixed” or “variable” need to be examined further;</w:t>
      </w:r>
    </w:p>
    <w:p w14:paraId="67D4DE49" w14:textId="77777777" w:rsidR="001A7DD7" w:rsidRPr="003E3F24" w:rsidRDefault="001A7DD7" w:rsidP="001A7DD7">
      <w:pPr>
        <w:spacing w:after="240"/>
        <w:ind w:left="1080" w:right="720"/>
        <w:contextualSpacing/>
        <w:rPr>
          <w:rFonts w:eastAsiaTheme="minorHAnsi"/>
          <w:sz w:val="25"/>
          <w:szCs w:val="25"/>
        </w:rPr>
      </w:pPr>
    </w:p>
    <w:p w14:paraId="6C6079F2" w14:textId="77777777" w:rsidR="001A7DD7" w:rsidRDefault="001A7DD7" w:rsidP="008E0461">
      <w:pPr>
        <w:numPr>
          <w:ilvl w:val="0"/>
          <w:numId w:val="45"/>
        </w:numPr>
        <w:spacing w:after="240"/>
        <w:ind w:left="720" w:right="720"/>
        <w:contextualSpacing/>
        <w:rPr>
          <w:rFonts w:eastAsiaTheme="minorHAnsi"/>
          <w:sz w:val="25"/>
          <w:szCs w:val="25"/>
        </w:rPr>
      </w:pPr>
      <w:r w:rsidRPr="003E3F24">
        <w:rPr>
          <w:rFonts w:eastAsiaTheme="minorHAnsi"/>
          <w:sz w:val="25"/>
          <w:szCs w:val="25"/>
        </w:rPr>
        <w:t xml:space="preserve">Staff, to its credit, makes an interesting proposal for the addition of a third volumetric block in an inverted rate block design that would start at 1701 </w:t>
      </w:r>
      <w:proofErr w:type="spellStart"/>
      <w:proofErr w:type="gramStart"/>
      <w:r w:rsidRPr="003E3F24">
        <w:rPr>
          <w:rFonts w:eastAsiaTheme="minorHAnsi"/>
          <w:sz w:val="25"/>
          <w:szCs w:val="25"/>
        </w:rPr>
        <w:t>kwH</w:t>
      </w:r>
      <w:proofErr w:type="spellEnd"/>
      <w:proofErr w:type="gramEnd"/>
      <w:r w:rsidRPr="003E3F24">
        <w:rPr>
          <w:rFonts w:eastAsiaTheme="minorHAnsi"/>
          <w:sz w:val="25"/>
          <w:szCs w:val="25"/>
        </w:rPr>
        <w:t xml:space="preserve"> per month, at a cost of approximately 12 cents/</w:t>
      </w:r>
      <w:proofErr w:type="spellStart"/>
      <w:r w:rsidRPr="003E3F24">
        <w:rPr>
          <w:rFonts w:eastAsiaTheme="minorHAnsi"/>
          <w:sz w:val="25"/>
          <w:szCs w:val="25"/>
        </w:rPr>
        <w:t>kwH</w:t>
      </w:r>
      <w:proofErr w:type="spellEnd"/>
      <w:r w:rsidRPr="003E3F24">
        <w:rPr>
          <w:rFonts w:eastAsiaTheme="minorHAnsi"/>
          <w:sz w:val="25"/>
          <w:szCs w:val="25"/>
        </w:rPr>
        <w:t>.  This is an intriguing proposal, but needs more vetting.  In the context of a proposal to add a third volumetric block, I would like to see further analysis of price elasticity effects, the amount of “fixed costs” (however defined) included in such a third Block, and the impact on low-income customers.  Additionally, rate design experts should continue to explore other options than a third block with decoupling, building upon the various scenarios the Company developed for residential rate design in preparation for the current rate case;</w:t>
      </w:r>
    </w:p>
    <w:p w14:paraId="4C333A8A" w14:textId="77777777" w:rsidR="001A7DD7" w:rsidRPr="003E3F24" w:rsidRDefault="001A7DD7" w:rsidP="001A7DD7">
      <w:pPr>
        <w:spacing w:after="240"/>
        <w:ind w:right="720"/>
        <w:contextualSpacing/>
        <w:rPr>
          <w:rFonts w:eastAsiaTheme="minorHAnsi"/>
          <w:sz w:val="25"/>
          <w:szCs w:val="25"/>
        </w:rPr>
      </w:pPr>
    </w:p>
    <w:p w14:paraId="6459A343" w14:textId="77777777" w:rsidR="001A7DD7" w:rsidRDefault="001A7DD7" w:rsidP="008E0461">
      <w:pPr>
        <w:numPr>
          <w:ilvl w:val="0"/>
          <w:numId w:val="45"/>
        </w:numPr>
        <w:spacing w:after="240"/>
        <w:ind w:left="720" w:right="720"/>
        <w:contextualSpacing/>
        <w:rPr>
          <w:rFonts w:eastAsiaTheme="minorHAnsi"/>
          <w:sz w:val="25"/>
          <w:szCs w:val="25"/>
        </w:rPr>
      </w:pPr>
      <w:r w:rsidRPr="003E3F24">
        <w:rPr>
          <w:rFonts w:eastAsiaTheme="minorHAnsi"/>
          <w:sz w:val="25"/>
          <w:szCs w:val="25"/>
        </w:rPr>
        <w:t>Overall impact on low-income customers:  the Energy Project makes some good points on the potential impacts of rate design proposals on low-income customers, and some of the unique characteristics of that population in Pacific Power’s service territory.  Although Staff rebutted some of these criticisms in its analysis and offered an alternative low-income basic charge of $8.75, I think this analysis needs further refinement.  I also encourage the Energy Project to engage fully with Staff and the Company on these issues, and offer specific alternatives in the recognition that changes in residential rate design are likely to occur sooner rather than later.</w:t>
      </w:r>
    </w:p>
    <w:p w14:paraId="6EBD90D1" w14:textId="77777777" w:rsidR="001A7DD7" w:rsidRPr="003E3F24" w:rsidRDefault="001A7DD7" w:rsidP="001A7DD7">
      <w:pPr>
        <w:spacing w:after="240"/>
        <w:ind w:left="1080" w:right="720"/>
        <w:contextualSpacing/>
        <w:rPr>
          <w:rFonts w:eastAsiaTheme="minorHAnsi"/>
          <w:sz w:val="25"/>
          <w:szCs w:val="25"/>
        </w:rPr>
      </w:pPr>
    </w:p>
    <w:p w14:paraId="79699E9A" w14:textId="77777777" w:rsidR="001A7DD7" w:rsidRDefault="001A7DD7" w:rsidP="008E0461">
      <w:pPr>
        <w:numPr>
          <w:ilvl w:val="0"/>
          <w:numId w:val="45"/>
        </w:numPr>
        <w:spacing w:after="240"/>
        <w:ind w:left="720" w:right="720"/>
        <w:contextualSpacing/>
        <w:rPr>
          <w:rFonts w:eastAsiaTheme="minorHAnsi"/>
          <w:sz w:val="25"/>
          <w:szCs w:val="25"/>
        </w:rPr>
      </w:pPr>
      <w:r w:rsidRPr="003E3F24">
        <w:rPr>
          <w:rFonts w:eastAsiaTheme="minorHAnsi"/>
          <w:sz w:val="25"/>
          <w:szCs w:val="25"/>
        </w:rPr>
        <w:t xml:space="preserve">The Company makes repeated references to the growing impact </w:t>
      </w:r>
      <w:r>
        <w:rPr>
          <w:rFonts w:eastAsiaTheme="minorHAnsi"/>
          <w:sz w:val="25"/>
          <w:szCs w:val="25"/>
        </w:rPr>
        <w:t>c</w:t>
      </w:r>
      <w:r w:rsidRPr="003E3F24">
        <w:rPr>
          <w:rFonts w:eastAsiaTheme="minorHAnsi"/>
          <w:sz w:val="25"/>
          <w:szCs w:val="25"/>
        </w:rPr>
        <w:t>aused by more customer-owned generation in its service territory, but admitted that currently only 244 customers are self-generating with net metering.  If this appears to be such a “threat” to the Company’s revenues and margins, it needs to make a better case of what estimates or projections it is using.</w:t>
      </w:r>
    </w:p>
    <w:p w14:paraId="63F683BD" w14:textId="77777777" w:rsidR="001A7DD7" w:rsidRPr="003E3F24" w:rsidRDefault="001A7DD7" w:rsidP="001A7DD7">
      <w:pPr>
        <w:spacing w:after="120" w:line="288" w:lineRule="auto"/>
        <w:ind w:left="1080"/>
        <w:contextualSpacing/>
        <w:rPr>
          <w:rFonts w:eastAsiaTheme="minorHAnsi"/>
          <w:sz w:val="25"/>
          <w:szCs w:val="25"/>
        </w:rPr>
      </w:pPr>
    </w:p>
    <w:p w14:paraId="0328C500" w14:textId="77777777" w:rsidR="001A7DD7" w:rsidRDefault="001A7DD7" w:rsidP="00ED24B9">
      <w:pPr>
        <w:spacing w:line="264" w:lineRule="auto"/>
        <w:rPr>
          <w:rFonts w:eastAsiaTheme="minorHAnsi"/>
          <w:sz w:val="25"/>
          <w:szCs w:val="25"/>
        </w:rPr>
      </w:pPr>
      <w:r w:rsidRPr="003E3F24">
        <w:rPr>
          <w:rFonts w:eastAsiaTheme="minorHAnsi"/>
          <w:sz w:val="25"/>
          <w:szCs w:val="25"/>
        </w:rPr>
        <w:t>These are just a few of the many questions that must be addressed and answered more fully in the next rate case that the Company prepares for the Commission.  I am open to considering any specific mechanism that the Company wishes to propose for</w:t>
      </w:r>
      <w:r>
        <w:rPr>
          <w:rFonts w:eastAsiaTheme="minorHAnsi"/>
          <w:sz w:val="25"/>
          <w:szCs w:val="25"/>
        </w:rPr>
        <w:t xml:space="preserve"> </w:t>
      </w:r>
      <w:r w:rsidRPr="003E3F24">
        <w:rPr>
          <w:rFonts w:eastAsiaTheme="minorHAnsi"/>
          <w:sz w:val="25"/>
          <w:szCs w:val="25"/>
        </w:rPr>
        <w:t xml:space="preserve">residential rate design; or if the Company prefers, propose one “primary” mechanism, and one “alternative” mechanism for the Commission to consider specifically in the </w:t>
      </w:r>
      <w:r w:rsidRPr="003E3F24">
        <w:rPr>
          <w:rFonts w:eastAsiaTheme="minorHAnsi"/>
          <w:sz w:val="25"/>
          <w:szCs w:val="25"/>
        </w:rPr>
        <w:lastRenderedPageBreak/>
        <w:t>next case.  But I reiterate that any proposal needs to be properly supported, balanced, and answer some of the questions and concerns noted above.</w:t>
      </w:r>
    </w:p>
    <w:p w14:paraId="4E1A5496" w14:textId="77777777" w:rsidR="001A7DD7" w:rsidRPr="003E3F24" w:rsidRDefault="001A7DD7" w:rsidP="00ED24B9">
      <w:pPr>
        <w:spacing w:line="264" w:lineRule="auto"/>
        <w:rPr>
          <w:rFonts w:eastAsiaTheme="minorHAnsi"/>
          <w:sz w:val="25"/>
          <w:szCs w:val="25"/>
        </w:rPr>
      </w:pPr>
    </w:p>
    <w:p w14:paraId="632BD230" w14:textId="0451E44D" w:rsidR="001A7DD7" w:rsidRDefault="001A7DD7" w:rsidP="00ED24B9">
      <w:pPr>
        <w:numPr>
          <w:ilvl w:val="0"/>
          <w:numId w:val="1"/>
        </w:numPr>
        <w:tabs>
          <w:tab w:val="clear" w:pos="720"/>
          <w:tab w:val="left" w:pos="0"/>
        </w:tabs>
        <w:spacing w:line="264" w:lineRule="auto"/>
        <w:ind w:left="0"/>
        <w:rPr>
          <w:rFonts w:eastAsiaTheme="minorHAnsi"/>
          <w:sz w:val="25"/>
          <w:szCs w:val="25"/>
        </w:rPr>
      </w:pPr>
      <w:r w:rsidRPr="003E3F24">
        <w:rPr>
          <w:rFonts w:eastAsiaTheme="minorHAnsi"/>
          <w:sz w:val="25"/>
          <w:szCs w:val="25"/>
        </w:rPr>
        <w:t>Meanwhile, as stated above, we are engaging with all electric utilities and stakeholders in our ongoing Collaborative on Distributed Generation and plan to hold a workshop on methods for addressing attrition in April.  Since our Legislature and many external stakeholders are engaged in these issues, these fora are the ideal way for Pacific Power and other utilities to engage directly with the Commissioners and Staff on both policy and regulatory issues.  I encourage the new senior management of Pacific Power to engage constructively in these collaborative discussions, and propose various alternatives for us and other stakeholders to assess before proceeding to another general rate case.  I hope we can invite organizations that have been involved in similar issues with other state commissions, such as the Electric Power Research Institute, Regulatory Assistance Project, solar and renewable industry associations, to help inform our discussions on rate design and the impact of conservation and distributed generation on the distribution grid.</w:t>
      </w:r>
    </w:p>
    <w:p w14:paraId="232B6829" w14:textId="77777777" w:rsidR="001A7DD7" w:rsidRDefault="001A7DD7" w:rsidP="00ED24B9">
      <w:pPr>
        <w:spacing w:line="264" w:lineRule="auto"/>
        <w:rPr>
          <w:rFonts w:eastAsiaTheme="minorHAnsi"/>
          <w:sz w:val="25"/>
          <w:szCs w:val="25"/>
        </w:rPr>
      </w:pPr>
    </w:p>
    <w:p w14:paraId="5347B5E0" w14:textId="77777777" w:rsidR="001A7DD7" w:rsidRPr="003E3F24" w:rsidRDefault="001A7DD7" w:rsidP="00ED24B9">
      <w:pPr>
        <w:numPr>
          <w:ilvl w:val="0"/>
          <w:numId w:val="1"/>
        </w:numPr>
        <w:tabs>
          <w:tab w:val="clear" w:pos="720"/>
          <w:tab w:val="left" w:pos="0"/>
        </w:tabs>
        <w:spacing w:line="264" w:lineRule="auto"/>
        <w:ind w:left="0"/>
        <w:rPr>
          <w:rFonts w:eastAsiaTheme="minorHAnsi"/>
          <w:sz w:val="25"/>
          <w:szCs w:val="25"/>
        </w:rPr>
      </w:pPr>
      <w:r w:rsidRPr="003E3F24">
        <w:rPr>
          <w:rFonts w:eastAsiaTheme="minorHAnsi"/>
          <w:sz w:val="25"/>
          <w:szCs w:val="25"/>
        </w:rPr>
        <w:t xml:space="preserve">In sum, I believe there are better ways for the Company to engage in a constructive dialogue with the Commission, our Staff, and the stakeholders, and move this dialogue forward.  These are not easy issues to resolve and involve a complex balancing of a wide diversity of economic and public policy interests.  I agree with the Majority that neither the Company’s or Staff’s proposals are ready for adoption in this case, but I do think they have played a useful role in enhancing our understanding.  I do not necessarily think that a decoupling mechanism, however structured, is the preferred or default option for the Company at this time, and am open to consider any proposal in a better developed record that builds upon the </w:t>
      </w:r>
      <w:r>
        <w:rPr>
          <w:rFonts w:eastAsiaTheme="minorHAnsi"/>
          <w:sz w:val="25"/>
          <w:szCs w:val="25"/>
        </w:rPr>
        <w:t>d</w:t>
      </w:r>
      <w:r w:rsidRPr="003E3F24">
        <w:rPr>
          <w:rFonts w:eastAsiaTheme="minorHAnsi"/>
          <w:sz w:val="25"/>
          <w:szCs w:val="25"/>
        </w:rPr>
        <w:t xml:space="preserve">ialogue in our Collaborative discussions. </w:t>
      </w:r>
    </w:p>
    <w:p w14:paraId="32AC9EA1" w14:textId="77777777" w:rsidR="00E82853" w:rsidRDefault="00E82853" w:rsidP="00ED24B9">
      <w:pPr>
        <w:spacing w:line="264" w:lineRule="auto"/>
        <w:rPr>
          <w:sz w:val="25"/>
          <w:szCs w:val="25"/>
        </w:rPr>
      </w:pPr>
    </w:p>
    <w:p w14:paraId="12038171" w14:textId="77777777" w:rsidR="001A7DD7" w:rsidRDefault="001A7DD7" w:rsidP="000455AC">
      <w:pPr>
        <w:spacing w:line="264" w:lineRule="auto"/>
        <w:rPr>
          <w:sz w:val="25"/>
          <w:szCs w:val="25"/>
        </w:rPr>
      </w:pPr>
    </w:p>
    <w:p w14:paraId="09064A76" w14:textId="77777777" w:rsidR="008E0461" w:rsidRDefault="008E0461" w:rsidP="000455AC">
      <w:pPr>
        <w:spacing w:line="264" w:lineRule="auto"/>
        <w:rPr>
          <w:sz w:val="25"/>
          <w:szCs w:val="25"/>
        </w:rPr>
      </w:pPr>
    </w:p>
    <w:p w14:paraId="2B899183" w14:textId="77777777" w:rsidR="001A7DD7" w:rsidRDefault="001A7DD7" w:rsidP="000455AC">
      <w:pPr>
        <w:spacing w:line="264" w:lineRule="auto"/>
        <w:rPr>
          <w:sz w:val="25"/>
          <w:szCs w:val="25"/>
        </w:rPr>
      </w:pPr>
    </w:p>
    <w:p w14:paraId="3D615F57" w14:textId="4097578B" w:rsidR="008E0461" w:rsidRPr="00942F86" w:rsidRDefault="008E0461" w:rsidP="008E0461">
      <w:pPr>
        <w:spacing w:line="264" w:lineRule="auto"/>
        <w:ind w:left="3600" w:firstLine="720"/>
        <w:rPr>
          <w:sz w:val="25"/>
          <w:szCs w:val="25"/>
        </w:rPr>
      </w:pPr>
      <w:r>
        <w:rPr>
          <w:sz w:val="25"/>
          <w:szCs w:val="25"/>
        </w:rPr>
        <w:t>PHILIP B. JONES, Commissioner</w:t>
      </w:r>
    </w:p>
    <w:p w14:paraId="64733554" w14:textId="77777777" w:rsidR="00321A02" w:rsidRPr="00942F86" w:rsidRDefault="00DE3D61" w:rsidP="000455AC">
      <w:pPr>
        <w:pStyle w:val="BodyText"/>
        <w:spacing w:after="0" w:line="264" w:lineRule="auto"/>
        <w:rPr>
          <w:b/>
          <w:sz w:val="25"/>
          <w:szCs w:val="25"/>
        </w:rPr>
      </w:pPr>
      <w:r w:rsidRPr="00942F86">
        <w:rPr>
          <w:b/>
          <w:sz w:val="25"/>
          <w:szCs w:val="25"/>
        </w:rPr>
        <w:br w:type="page"/>
      </w:r>
    </w:p>
    <w:p w14:paraId="32D1B46E" w14:textId="77777777" w:rsidR="00321A02" w:rsidRPr="00942F86" w:rsidRDefault="00321A02" w:rsidP="000455AC">
      <w:pPr>
        <w:pStyle w:val="NoSpacing"/>
        <w:spacing w:line="264" w:lineRule="auto"/>
        <w:rPr>
          <w:sz w:val="25"/>
          <w:szCs w:val="25"/>
        </w:rPr>
      </w:pPr>
    </w:p>
    <w:p w14:paraId="32039C6E" w14:textId="77777777" w:rsidR="0083569A" w:rsidRPr="00942F86" w:rsidRDefault="0083569A" w:rsidP="000455AC">
      <w:pPr>
        <w:keepNext/>
        <w:spacing w:line="264" w:lineRule="auto"/>
        <w:ind w:left="360"/>
        <w:jc w:val="center"/>
        <w:outlineLvl w:val="0"/>
        <w:rPr>
          <w:b/>
          <w:bCs/>
          <w:kern w:val="32"/>
          <w:sz w:val="25"/>
          <w:szCs w:val="25"/>
        </w:rPr>
      </w:pPr>
    </w:p>
    <w:p w14:paraId="4F94F1D7" w14:textId="77777777" w:rsidR="0083569A" w:rsidRPr="00942F86" w:rsidRDefault="0083569A" w:rsidP="000455AC">
      <w:pPr>
        <w:keepNext/>
        <w:spacing w:line="264" w:lineRule="auto"/>
        <w:ind w:left="360"/>
        <w:jc w:val="center"/>
        <w:outlineLvl w:val="0"/>
        <w:rPr>
          <w:b/>
          <w:bCs/>
          <w:kern w:val="32"/>
          <w:sz w:val="25"/>
          <w:szCs w:val="25"/>
        </w:rPr>
      </w:pPr>
    </w:p>
    <w:p w14:paraId="200EA2B1" w14:textId="77777777" w:rsidR="0083569A" w:rsidRDefault="0083569A" w:rsidP="000455AC">
      <w:pPr>
        <w:keepNext/>
        <w:spacing w:line="264" w:lineRule="auto"/>
        <w:ind w:left="360"/>
        <w:jc w:val="center"/>
        <w:outlineLvl w:val="0"/>
        <w:rPr>
          <w:b/>
          <w:bCs/>
          <w:kern w:val="32"/>
          <w:sz w:val="25"/>
          <w:szCs w:val="25"/>
        </w:rPr>
      </w:pPr>
    </w:p>
    <w:p w14:paraId="3AAA49D5" w14:textId="77777777" w:rsidR="000455AC" w:rsidRDefault="000455AC" w:rsidP="000455AC">
      <w:pPr>
        <w:keepNext/>
        <w:spacing w:line="264" w:lineRule="auto"/>
        <w:ind w:left="360"/>
        <w:jc w:val="center"/>
        <w:outlineLvl w:val="0"/>
        <w:rPr>
          <w:b/>
          <w:bCs/>
          <w:kern w:val="32"/>
          <w:sz w:val="25"/>
          <w:szCs w:val="25"/>
        </w:rPr>
      </w:pPr>
    </w:p>
    <w:p w14:paraId="31DF3CBB" w14:textId="77777777" w:rsidR="000455AC" w:rsidRDefault="000455AC" w:rsidP="000455AC">
      <w:pPr>
        <w:keepNext/>
        <w:spacing w:line="264" w:lineRule="auto"/>
        <w:ind w:left="360"/>
        <w:jc w:val="center"/>
        <w:outlineLvl w:val="0"/>
        <w:rPr>
          <w:b/>
          <w:bCs/>
          <w:kern w:val="32"/>
          <w:sz w:val="25"/>
          <w:szCs w:val="25"/>
        </w:rPr>
      </w:pPr>
    </w:p>
    <w:p w14:paraId="5C29AF4B" w14:textId="77777777" w:rsidR="000455AC" w:rsidRPr="00942F86" w:rsidRDefault="000455AC" w:rsidP="000455AC">
      <w:pPr>
        <w:keepNext/>
        <w:spacing w:line="264" w:lineRule="auto"/>
        <w:ind w:left="360"/>
        <w:jc w:val="center"/>
        <w:outlineLvl w:val="0"/>
        <w:rPr>
          <w:b/>
          <w:bCs/>
          <w:kern w:val="32"/>
          <w:sz w:val="25"/>
          <w:szCs w:val="25"/>
        </w:rPr>
      </w:pPr>
    </w:p>
    <w:p w14:paraId="6C84351E" w14:textId="77777777" w:rsidR="0083569A" w:rsidRPr="00942F86" w:rsidRDefault="0083569A" w:rsidP="000455AC">
      <w:pPr>
        <w:keepNext/>
        <w:spacing w:line="264" w:lineRule="auto"/>
        <w:ind w:left="360"/>
        <w:jc w:val="center"/>
        <w:outlineLvl w:val="0"/>
        <w:rPr>
          <w:b/>
          <w:bCs/>
          <w:kern w:val="32"/>
          <w:sz w:val="25"/>
          <w:szCs w:val="25"/>
        </w:rPr>
      </w:pPr>
    </w:p>
    <w:p w14:paraId="26F6B16B" w14:textId="77777777" w:rsidR="0083569A" w:rsidRPr="00942F86" w:rsidRDefault="0083569A" w:rsidP="000455AC">
      <w:pPr>
        <w:keepNext/>
        <w:spacing w:line="264" w:lineRule="auto"/>
        <w:ind w:left="360"/>
        <w:jc w:val="center"/>
        <w:outlineLvl w:val="0"/>
        <w:rPr>
          <w:b/>
          <w:bCs/>
          <w:kern w:val="32"/>
          <w:sz w:val="25"/>
          <w:szCs w:val="25"/>
        </w:rPr>
      </w:pPr>
    </w:p>
    <w:p w14:paraId="6101108A" w14:textId="77777777" w:rsidR="0083569A" w:rsidRPr="00942F86" w:rsidRDefault="0083569A" w:rsidP="000455AC">
      <w:pPr>
        <w:keepNext/>
        <w:spacing w:line="264" w:lineRule="auto"/>
        <w:ind w:left="360"/>
        <w:jc w:val="center"/>
        <w:outlineLvl w:val="0"/>
        <w:rPr>
          <w:b/>
          <w:bCs/>
          <w:kern w:val="32"/>
          <w:sz w:val="25"/>
          <w:szCs w:val="25"/>
        </w:rPr>
      </w:pPr>
    </w:p>
    <w:p w14:paraId="00E46098" w14:textId="77777777" w:rsidR="00C60F85" w:rsidRPr="00942F86" w:rsidRDefault="00C60F85" w:rsidP="000455AC">
      <w:pPr>
        <w:keepNext/>
        <w:spacing w:line="264" w:lineRule="auto"/>
        <w:jc w:val="center"/>
        <w:outlineLvl w:val="0"/>
        <w:rPr>
          <w:b/>
          <w:bCs/>
          <w:kern w:val="32"/>
          <w:sz w:val="25"/>
          <w:szCs w:val="25"/>
        </w:rPr>
      </w:pPr>
      <w:bookmarkStart w:id="63" w:name="_Toc252797506"/>
    </w:p>
    <w:p w14:paraId="545A4E41" w14:textId="77777777" w:rsidR="00C60F85" w:rsidRPr="00942F86" w:rsidRDefault="00C60F85" w:rsidP="000455AC">
      <w:pPr>
        <w:keepNext/>
        <w:spacing w:line="264" w:lineRule="auto"/>
        <w:jc w:val="center"/>
        <w:outlineLvl w:val="0"/>
        <w:rPr>
          <w:b/>
          <w:bCs/>
          <w:kern w:val="32"/>
          <w:sz w:val="25"/>
          <w:szCs w:val="25"/>
        </w:rPr>
      </w:pPr>
    </w:p>
    <w:p w14:paraId="277905CF" w14:textId="12180E59" w:rsidR="0083569A" w:rsidRPr="00942F86" w:rsidRDefault="0083569A" w:rsidP="000455AC">
      <w:pPr>
        <w:pStyle w:val="Heading1"/>
        <w:spacing w:before="0" w:after="0" w:line="264" w:lineRule="auto"/>
        <w:jc w:val="center"/>
        <w:rPr>
          <w:rFonts w:cs="Times New Roman"/>
          <w:szCs w:val="25"/>
        </w:rPr>
      </w:pPr>
      <w:bookmarkStart w:id="64" w:name="_Toc415037653"/>
      <w:r w:rsidRPr="00942F86">
        <w:rPr>
          <w:rFonts w:cs="Times New Roman"/>
          <w:szCs w:val="25"/>
        </w:rPr>
        <w:t xml:space="preserve">APPENDIX </w:t>
      </w:r>
      <w:bookmarkEnd w:id="63"/>
      <w:r w:rsidR="00DE3D61" w:rsidRPr="00942F86">
        <w:rPr>
          <w:rFonts w:cs="Times New Roman"/>
          <w:szCs w:val="25"/>
        </w:rPr>
        <w:t>A</w:t>
      </w:r>
      <w:r w:rsidR="007E4EC6" w:rsidRPr="00942F86">
        <w:rPr>
          <w:rFonts w:cs="Times New Roman"/>
          <w:szCs w:val="25"/>
        </w:rPr>
        <w:t xml:space="preserve"> - CONTESTED ADJUSTMENTS</w:t>
      </w:r>
      <w:bookmarkEnd w:id="64"/>
    </w:p>
    <w:p w14:paraId="68E08E3E" w14:textId="77777777" w:rsidR="002D37BB" w:rsidRPr="00942F86" w:rsidRDefault="002D37BB" w:rsidP="000455AC">
      <w:pPr>
        <w:pStyle w:val="Heading1"/>
        <w:spacing w:before="0" w:after="0" w:line="264" w:lineRule="auto"/>
        <w:rPr>
          <w:rFonts w:cs="Times New Roman"/>
          <w:szCs w:val="25"/>
        </w:rPr>
      </w:pPr>
    </w:p>
    <w:p w14:paraId="09BDDBA2" w14:textId="76C9EC20" w:rsidR="009619E4" w:rsidRPr="00942F86" w:rsidRDefault="009619E4" w:rsidP="000455AC">
      <w:pPr>
        <w:spacing w:line="264" w:lineRule="auto"/>
        <w:jc w:val="center"/>
        <w:rPr>
          <w:b/>
          <w:sz w:val="25"/>
          <w:szCs w:val="25"/>
        </w:rPr>
      </w:pPr>
      <w:r w:rsidRPr="00942F86">
        <w:rPr>
          <w:b/>
          <w:sz w:val="25"/>
          <w:szCs w:val="25"/>
        </w:rPr>
        <w:t xml:space="preserve">COMMISSION DETERMINATIONS </w:t>
      </w:r>
    </w:p>
    <w:p w14:paraId="539F9A09" w14:textId="77777777" w:rsidR="00DE3D61" w:rsidRPr="00942F86" w:rsidRDefault="009619E4" w:rsidP="000455AC">
      <w:pPr>
        <w:keepNext/>
        <w:keepLines/>
        <w:spacing w:line="264" w:lineRule="auto"/>
        <w:jc w:val="center"/>
        <w:rPr>
          <w:b/>
          <w:sz w:val="25"/>
          <w:szCs w:val="25"/>
        </w:rPr>
      </w:pPr>
      <w:r w:rsidRPr="00942F86">
        <w:rPr>
          <w:b/>
          <w:sz w:val="25"/>
          <w:szCs w:val="25"/>
        </w:rPr>
        <w:br w:type="page"/>
      </w:r>
    </w:p>
    <w:tbl>
      <w:tblPr>
        <w:tblpPr w:leftFromText="180" w:rightFromText="180" w:vertAnchor="text" w:horzAnchor="margin" w:tblpXSpec="center" w:tblpY="317"/>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4302"/>
        <w:gridCol w:w="1466"/>
        <w:gridCol w:w="1591"/>
        <w:gridCol w:w="1645"/>
      </w:tblGrid>
      <w:tr w:rsidR="00323CCC" w:rsidRPr="00942F86" w14:paraId="7B08C1A1" w14:textId="77777777" w:rsidTr="00323CCC">
        <w:trPr>
          <w:trHeight w:val="255"/>
        </w:trPr>
        <w:tc>
          <w:tcPr>
            <w:tcW w:w="1122" w:type="dxa"/>
            <w:tcBorders>
              <w:top w:val="thinThickSmallGap" w:sz="24" w:space="0" w:color="auto"/>
              <w:left w:val="thinThickSmallGap" w:sz="24" w:space="0" w:color="auto"/>
              <w:bottom w:val="double" w:sz="4" w:space="0" w:color="auto"/>
              <w:right w:val="single" w:sz="4" w:space="0" w:color="auto"/>
            </w:tcBorders>
            <w:noWrap/>
            <w:vAlign w:val="bottom"/>
            <w:hideMark/>
          </w:tcPr>
          <w:p w14:paraId="3CC859F0" w14:textId="77777777" w:rsidR="00323CCC" w:rsidRPr="00942F86" w:rsidRDefault="00323CCC" w:rsidP="00323CCC">
            <w:pPr>
              <w:spacing w:line="264" w:lineRule="auto"/>
              <w:jc w:val="center"/>
              <w:rPr>
                <w:b/>
                <w:bCs/>
                <w:sz w:val="25"/>
                <w:szCs w:val="25"/>
              </w:rPr>
            </w:pPr>
          </w:p>
        </w:tc>
        <w:tc>
          <w:tcPr>
            <w:tcW w:w="4302" w:type="dxa"/>
            <w:tcBorders>
              <w:top w:val="thinThickSmallGap" w:sz="24" w:space="0" w:color="auto"/>
              <w:left w:val="single" w:sz="4" w:space="0" w:color="auto"/>
              <w:bottom w:val="double" w:sz="4" w:space="0" w:color="auto"/>
              <w:right w:val="single" w:sz="4" w:space="0" w:color="auto"/>
            </w:tcBorders>
            <w:noWrap/>
            <w:vAlign w:val="center"/>
            <w:hideMark/>
          </w:tcPr>
          <w:p w14:paraId="6D2F1A56" w14:textId="77777777" w:rsidR="00323CCC" w:rsidRPr="00942F86" w:rsidRDefault="00323CCC" w:rsidP="00323CCC">
            <w:pPr>
              <w:spacing w:line="264" w:lineRule="auto"/>
              <w:jc w:val="center"/>
              <w:rPr>
                <w:b/>
                <w:bCs/>
                <w:sz w:val="25"/>
                <w:szCs w:val="25"/>
              </w:rPr>
            </w:pPr>
            <w:r w:rsidRPr="00942F86">
              <w:rPr>
                <w:b/>
                <w:bCs/>
                <w:sz w:val="25"/>
                <w:szCs w:val="25"/>
              </w:rPr>
              <w:t>Adjustment</w:t>
            </w:r>
          </w:p>
        </w:tc>
        <w:tc>
          <w:tcPr>
            <w:tcW w:w="1466" w:type="dxa"/>
            <w:tcBorders>
              <w:top w:val="thinThickSmallGap" w:sz="24" w:space="0" w:color="auto"/>
              <w:left w:val="single" w:sz="4" w:space="0" w:color="auto"/>
              <w:bottom w:val="double" w:sz="4" w:space="0" w:color="auto"/>
              <w:right w:val="single" w:sz="4" w:space="0" w:color="auto"/>
            </w:tcBorders>
            <w:vAlign w:val="center"/>
            <w:hideMark/>
          </w:tcPr>
          <w:p w14:paraId="43124064" w14:textId="77777777" w:rsidR="00323CCC" w:rsidRPr="00942F86" w:rsidRDefault="00323CCC" w:rsidP="00323CCC">
            <w:pPr>
              <w:spacing w:line="264" w:lineRule="auto"/>
              <w:jc w:val="center"/>
              <w:rPr>
                <w:b/>
                <w:sz w:val="25"/>
                <w:szCs w:val="25"/>
              </w:rPr>
            </w:pPr>
            <w:r w:rsidRPr="00942F86">
              <w:rPr>
                <w:b/>
                <w:sz w:val="25"/>
                <w:szCs w:val="25"/>
              </w:rPr>
              <w:t>Net Operating Income</w:t>
            </w:r>
          </w:p>
        </w:tc>
        <w:tc>
          <w:tcPr>
            <w:tcW w:w="1591" w:type="dxa"/>
            <w:tcBorders>
              <w:top w:val="thinThickSmallGap" w:sz="24" w:space="0" w:color="auto"/>
              <w:left w:val="single" w:sz="4" w:space="0" w:color="auto"/>
              <w:bottom w:val="double" w:sz="4" w:space="0" w:color="auto"/>
              <w:right w:val="single" w:sz="4" w:space="0" w:color="auto"/>
            </w:tcBorders>
            <w:vAlign w:val="center"/>
            <w:hideMark/>
          </w:tcPr>
          <w:p w14:paraId="2E3D0C94" w14:textId="77777777" w:rsidR="00323CCC" w:rsidRPr="00942F86" w:rsidRDefault="00323CCC" w:rsidP="00323CCC">
            <w:pPr>
              <w:spacing w:line="264" w:lineRule="auto"/>
              <w:jc w:val="center"/>
              <w:rPr>
                <w:b/>
                <w:sz w:val="25"/>
                <w:szCs w:val="25"/>
              </w:rPr>
            </w:pPr>
            <w:r w:rsidRPr="00942F86">
              <w:rPr>
                <w:b/>
                <w:sz w:val="25"/>
                <w:szCs w:val="25"/>
              </w:rPr>
              <w:t>Rate Base</w:t>
            </w:r>
          </w:p>
        </w:tc>
        <w:tc>
          <w:tcPr>
            <w:tcW w:w="1645" w:type="dxa"/>
            <w:tcBorders>
              <w:top w:val="thinThickSmallGap" w:sz="24" w:space="0" w:color="auto"/>
              <w:left w:val="single" w:sz="4" w:space="0" w:color="auto"/>
              <w:bottom w:val="double" w:sz="4" w:space="0" w:color="auto"/>
              <w:right w:val="thickThinSmallGap" w:sz="24" w:space="0" w:color="auto"/>
            </w:tcBorders>
            <w:vAlign w:val="center"/>
            <w:hideMark/>
          </w:tcPr>
          <w:p w14:paraId="771851D8" w14:textId="77777777" w:rsidR="00323CCC" w:rsidRPr="00942F86" w:rsidRDefault="00323CCC" w:rsidP="00323CCC">
            <w:pPr>
              <w:spacing w:line="264" w:lineRule="auto"/>
              <w:jc w:val="center"/>
              <w:rPr>
                <w:b/>
                <w:sz w:val="25"/>
                <w:szCs w:val="25"/>
              </w:rPr>
            </w:pPr>
            <w:r w:rsidRPr="00942F86">
              <w:rPr>
                <w:b/>
                <w:sz w:val="25"/>
                <w:szCs w:val="25"/>
              </w:rPr>
              <w:t>Revenue Requirement</w:t>
            </w:r>
          </w:p>
        </w:tc>
      </w:tr>
      <w:tr w:rsidR="00323CCC" w:rsidRPr="00942F86" w14:paraId="17B131A0" w14:textId="77777777" w:rsidTr="00323CCC">
        <w:trPr>
          <w:trHeight w:val="432"/>
        </w:trPr>
        <w:tc>
          <w:tcPr>
            <w:tcW w:w="1122" w:type="dxa"/>
            <w:tcBorders>
              <w:top w:val="double" w:sz="4" w:space="0" w:color="auto"/>
              <w:left w:val="thinThickSmallGap" w:sz="24" w:space="0" w:color="auto"/>
              <w:bottom w:val="single" w:sz="18" w:space="0" w:color="auto"/>
              <w:right w:val="single" w:sz="4" w:space="0" w:color="auto"/>
            </w:tcBorders>
            <w:shd w:val="clear" w:color="auto" w:fill="auto"/>
            <w:noWrap/>
            <w:vAlign w:val="center"/>
            <w:hideMark/>
          </w:tcPr>
          <w:p w14:paraId="19F92890" w14:textId="77777777" w:rsidR="00323CCC" w:rsidRPr="00942F86" w:rsidRDefault="00323CCC" w:rsidP="00323CCC">
            <w:pPr>
              <w:spacing w:line="264" w:lineRule="auto"/>
              <w:rPr>
                <w:b/>
                <w:sz w:val="25"/>
                <w:szCs w:val="25"/>
              </w:rPr>
            </w:pPr>
          </w:p>
        </w:tc>
        <w:tc>
          <w:tcPr>
            <w:tcW w:w="4302" w:type="dxa"/>
            <w:tcBorders>
              <w:top w:val="double" w:sz="4" w:space="0" w:color="auto"/>
              <w:left w:val="single" w:sz="4" w:space="0" w:color="auto"/>
              <w:bottom w:val="single" w:sz="18" w:space="0" w:color="auto"/>
              <w:right w:val="single" w:sz="4" w:space="0" w:color="auto"/>
            </w:tcBorders>
            <w:noWrap/>
            <w:vAlign w:val="center"/>
          </w:tcPr>
          <w:p w14:paraId="0695E585" w14:textId="77777777" w:rsidR="00323CCC" w:rsidRPr="00942F86" w:rsidRDefault="00323CCC" w:rsidP="00323CCC">
            <w:pPr>
              <w:spacing w:line="264" w:lineRule="auto"/>
              <w:jc w:val="center"/>
              <w:rPr>
                <w:sz w:val="25"/>
                <w:szCs w:val="25"/>
              </w:rPr>
            </w:pPr>
            <w:r w:rsidRPr="00942F86">
              <w:rPr>
                <w:b/>
                <w:bCs/>
                <w:sz w:val="25"/>
                <w:szCs w:val="25"/>
              </w:rPr>
              <w:t>Actual Results of Operations</w:t>
            </w:r>
          </w:p>
        </w:tc>
        <w:tc>
          <w:tcPr>
            <w:tcW w:w="1466" w:type="dxa"/>
            <w:tcBorders>
              <w:top w:val="double" w:sz="4" w:space="0" w:color="auto"/>
              <w:left w:val="single" w:sz="4" w:space="0" w:color="auto"/>
              <w:bottom w:val="single" w:sz="18" w:space="0" w:color="auto"/>
              <w:right w:val="single" w:sz="4" w:space="0" w:color="auto"/>
            </w:tcBorders>
            <w:vAlign w:val="center"/>
          </w:tcPr>
          <w:p w14:paraId="3F92E48D" w14:textId="77777777" w:rsidR="00323CCC" w:rsidRPr="00942F86" w:rsidRDefault="00323CCC" w:rsidP="00323CCC">
            <w:pPr>
              <w:spacing w:line="264" w:lineRule="auto"/>
              <w:jc w:val="right"/>
              <w:rPr>
                <w:b/>
                <w:sz w:val="25"/>
                <w:szCs w:val="25"/>
              </w:rPr>
            </w:pPr>
            <w:r w:rsidRPr="00942F86">
              <w:rPr>
                <w:b/>
                <w:sz w:val="25"/>
                <w:szCs w:val="25"/>
              </w:rPr>
              <w:t>$40,389,777</w:t>
            </w:r>
          </w:p>
        </w:tc>
        <w:tc>
          <w:tcPr>
            <w:tcW w:w="1591" w:type="dxa"/>
            <w:tcBorders>
              <w:top w:val="double" w:sz="4" w:space="0" w:color="auto"/>
              <w:left w:val="single" w:sz="4" w:space="0" w:color="auto"/>
              <w:bottom w:val="single" w:sz="18" w:space="0" w:color="auto"/>
              <w:right w:val="single" w:sz="4" w:space="0" w:color="auto"/>
            </w:tcBorders>
            <w:vAlign w:val="center"/>
          </w:tcPr>
          <w:p w14:paraId="0156C8C6" w14:textId="77777777" w:rsidR="00323CCC" w:rsidRPr="00942F86" w:rsidRDefault="00323CCC" w:rsidP="00323CCC">
            <w:pPr>
              <w:spacing w:line="264" w:lineRule="auto"/>
              <w:jc w:val="right"/>
              <w:rPr>
                <w:b/>
                <w:sz w:val="25"/>
                <w:szCs w:val="25"/>
              </w:rPr>
            </w:pPr>
            <w:r w:rsidRPr="00942F86">
              <w:rPr>
                <w:b/>
                <w:sz w:val="25"/>
                <w:szCs w:val="25"/>
              </w:rPr>
              <w:t>$788,256,374</w:t>
            </w:r>
          </w:p>
        </w:tc>
        <w:tc>
          <w:tcPr>
            <w:tcW w:w="1645" w:type="dxa"/>
            <w:tcBorders>
              <w:top w:val="double" w:sz="4" w:space="0" w:color="auto"/>
              <w:left w:val="single" w:sz="4" w:space="0" w:color="auto"/>
              <w:bottom w:val="single" w:sz="18" w:space="0" w:color="auto"/>
              <w:right w:val="thickThinSmallGap" w:sz="24" w:space="0" w:color="auto"/>
            </w:tcBorders>
            <w:noWrap/>
            <w:vAlign w:val="center"/>
          </w:tcPr>
          <w:p w14:paraId="7960F558" w14:textId="77777777" w:rsidR="00323CCC" w:rsidRPr="00942F86" w:rsidRDefault="00323CCC" w:rsidP="00323CCC">
            <w:pPr>
              <w:spacing w:line="264" w:lineRule="auto"/>
              <w:jc w:val="right"/>
              <w:rPr>
                <w:b/>
                <w:sz w:val="25"/>
                <w:szCs w:val="25"/>
              </w:rPr>
            </w:pPr>
            <w:r w:rsidRPr="00942F86">
              <w:rPr>
                <w:b/>
                <w:sz w:val="25"/>
                <w:szCs w:val="25"/>
              </w:rPr>
              <w:t>$27,686,124</w:t>
            </w:r>
          </w:p>
        </w:tc>
      </w:tr>
      <w:tr w:rsidR="00323CCC" w:rsidRPr="00942F86" w14:paraId="485798F8" w14:textId="77777777" w:rsidTr="00323CCC">
        <w:trPr>
          <w:trHeight w:val="432"/>
        </w:trPr>
        <w:tc>
          <w:tcPr>
            <w:tcW w:w="1122" w:type="dxa"/>
            <w:tcBorders>
              <w:top w:val="single" w:sz="18" w:space="0" w:color="auto"/>
              <w:left w:val="thinThickSmallGap" w:sz="24" w:space="0" w:color="auto"/>
              <w:bottom w:val="single" w:sz="4" w:space="0" w:color="auto"/>
              <w:right w:val="single" w:sz="4" w:space="0" w:color="auto"/>
            </w:tcBorders>
            <w:shd w:val="clear" w:color="auto" w:fill="auto"/>
            <w:noWrap/>
            <w:vAlign w:val="center"/>
          </w:tcPr>
          <w:p w14:paraId="03C98180" w14:textId="77777777" w:rsidR="00323CCC" w:rsidRPr="00942F86" w:rsidRDefault="00323CCC" w:rsidP="00323CCC">
            <w:pPr>
              <w:spacing w:line="264" w:lineRule="auto"/>
              <w:jc w:val="center"/>
              <w:rPr>
                <w:b/>
                <w:sz w:val="25"/>
                <w:szCs w:val="25"/>
              </w:rPr>
            </w:pPr>
            <w:r w:rsidRPr="00942F86">
              <w:rPr>
                <w:b/>
                <w:sz w:val="25"/>
                <w:szCs w:val="25"/>
              </w:rPr>
              <w:t>3.8</w:t>
            </w:r>
          </w:p>
        </w:tc>
        <w:tc>
          <w:tcPr>
            <w:tcW w:w="4302" w:type="dxa"/>
            <w:tcBorders>
              <w:top w:val="single" w:sz="18" w:space="0" w:color="auto"/>
              <w:left w:val="single" w:sz="4" w:space="0" w:color="auto"/>
              <w:bottom w:val="single" w:sz="4" w:space="0" w:color="auto"/>
              <w:right w:val="single" w:sz="4" w:space="0" w:color="auto"/>
            </w:tcBorders>
            <w:noWrap/>
            <w:vAlign w:val="center"/>
          </w:tcPr>
          <w:p w14:paraId="6479ABB8" w14:textId="77777777" w:rsidR="00323CCC" w:rsidRPr="00942F86" w:rsidRDefault="00323CCC" w:rsidP="00323CCC">
            <w:pPr>
              <w:spacing w:line="264" w:lineRule="auto"/>
              <w:rPr>
                <w:sz w:val="25"/>
                <w:szCs w:val="25"/>
              </w:rPr>
            </w:pPr>
            <w:r w:rsidRPr="00942F86">
              <w:rPr>
                <w:b/>
                <w:bCs/>
                <w:sz w:val="25"/>
                <w:szCs w:val="25"/>
              </w:rPr>
              <w:t>Schedule 300 Fee Change</w:t>
            </w:r>
          </w:p>
        </w:tc>
        <w:tc>
          <w:tcPr>
            <w:tcW w:w="1466" w:type="dxa"/>
            <w:tcBorders>
              <w:top w:val="single" w:sz="18" w:space="0" w:color="auto"/>
              <w:left w:val="single" w:sz="4" w:space="0" w:color="auto"/>
              <w:bottom w:val="single" w:sz="4" w:space="0" w:color="auto"/>
              <w:right w:val="single" w:sz="4" w:space="0" w:color="auto"/>
            </w:tcBorders>
            <w:vAlign w:val="center"/>
          </w:tcPr>
          <w:p w14:paraId="2ABD8FBB" w14:textId="77777777" w:rsidR="00323CCC" w:rsidRPr="00942F86" w:rsidRDefault="00323CCC" w:rsidP="00323CCC">
            <w:pPr>
              <w:spacing w:line="264" w:lineRule="auto"/>
              <w:jc w:val="right"/>
              <w:rPr>
                <w:sz w:val="25"/>
                <w:szCs w:val="25"/>
              </w:rPr>
            </w:pPr>
            <w:r w:rsidRPr="00942F86">
              <w:rPr>
                <w:b/>
                <w:sz w:val="25"/>
                <w:szCs w:val="25"/>
              </w:rPr>
              <w:t>-</w:t>
            </w:r>
          </w:p>
        </w:tc>
        <w:tc>
          <w:tcPr>
            <w:tcW w:w="1591" w:type="dxa"/>
            <w:tcBorders>
              <w:top w:val="single" w:sz="18" w:space="0" w:color="auto"/>
              <w:left w:val="single" w:sz="4" w:space="0" w:color="auto"/>
              <w:bottom w:val="single" w:sz="4" w:space="0" w:color="auto"/>
              <w:right w:val="single" w:sz="4" w:space="0" w:color="auto"/>
            </w:tcBorders>
            <w:vAlign w:val="center"/>
          </w:tcPr>
          <w:p w14:paraId="453FC343" w14:textId="77777777" w:rsidR="00323CCC" w:rsidRPr="00942F86" w:rsidRDefault="00323CCC" w:rsidP="00323CCC">
            <w:pPr>
              <w:spacing w:line="264" w:lineRule="auto"/>
              <w:jc w:val="right"/>
              <w:rPr>
                <w:sz w:val="25"/>
                <w:szCs w:val="25"/>
              </w:rPr>
            </w:pPr>
            <w:r w:rsidRPr="00942F86">
              <w:rPr>
                <w:b/>
                <w:sz w:val="25"/>
                <w:szCs w:val="25"/>
              </w:rPr>
              <w:t>-</w:t>
            </w:r>
          </w:p>
        </w:tc>
        <w:tc>
          <w:tcPr>
            <w:tcW w:w="1645" w:type="dxa"/>
            <w:tcBorders>
              <w:top w:val="single" w:sz="18" w:space="0" w:color="auto"/>
              <w:left w:val="single" w:sz="4" w:space="0" w:color="auto"/>
              <w:bottom w:val="single" w:sz="4" w:space="0" w:color="auto"/>
              <w:right w:val="thickThinSmallGap" w:sz="24" w:space="0" w:color="auto"/>
            </w:tcBorders>
            <w:noWrap/>
            <w:vAlign w:val="center"/>
          </w:tcPr>
          <w:p w14:paraId="3A32C25F" w14:textId="77777777" w:rsidR="00323CCC" w:rsidRPr="00942F86" w:rsidRDefault="00323CCC" w:rsidP="00323CCC">
            <w:pPr>
              <w:spacing w:line="264" w:lineRule="auto"/>
              <w:jc w:val="right"/>
              <w:rPr>
                <w:sz w:val="25"/>
                <w:szCs w:val="25"/>
              </w:rPr>
            </w:pPr>
            <w:r w:rsidRPr="00942F86">
              <w:rPr>
                <w:b/>
                <w:sz w:val="25"/>
                <w:szCs w:val="25"/>
              </w:rPr>
              <w:t>-</w:t>
            </w:r>
          </w:p>
        </w:tc>
      </w:tr>
      <w:tr w:rsidR="00323CCC" w:rsidRPr="00942F86" w14:paraId="62BD92CC" w14:textId="77777777" w:rsidTr="00323CCC">
        <w:trPr>
          <w:trHeight w:val="432"/>
        </w:trPr>
        <w:tc>
          <w:tcPr>
            <w:tcW w:w="1122"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14:paraId="63942F7E" w14:textId="77777777" w:rsidR="00323CCC" w:rsidRPr="00942F86" w:rsidRDefault="00323CCC" w:rsidP="00323CCC">
            <w:pPr>
              <w:spacing w:line="264" w:lineRule="auto"/>
              <w:jc w:val="center"/>
              <w:rPr>
                <w:b/>
                <w:sz w:val="25"/>
                <w:szCs w:val="25"/>
              </w:rPr>
            </w:pPr>
            <w:r w:rsidRPr="00942F86">
              <w:rPr>
                <w:b/>
                <w:sz w:val="25"/>
                <w:szCs w:val="25"/>
              </w:rPr>
              <w:t>4.3</w:t>
            </w:r>
          </w:p>
        </w:tc>
        <w:tc>
          <w:tcPr>
            <w:tcW w:w="4302" w:type="dxa"/>
            <w:tcBorders>
              <w:top w:val="single" w:sz="4" w:space="0" w:color="auto"/>
              <w:left w:val="single" w:sz="4" w:space="0" w:color="auto"/>
              <w:bottom w:val="single" w:sz="4" w:space="0" w:color="auto"/>
              <w:right w:val="single" w:sz="4" w:space="0" w:color="auto"/>
            </w:tcBorders>
            <w:noWrap/>
            <w:vAlign w:val="center"/>
          </w:tcPr>
          <w:p w14:paraId="46EEE6F7" w14:textId="77777777" w:rsidR="00323CCC" w:rsidRPr="00942F86" w:rsidRDefault="00323CCC" w:rsidP="00323CCC">
            <w:pPr>
              <w:spacing w:line="264" w:lineRule="auto"/>
              <w:rPr>
                <w:sz w:val="25"/>
                <w:szCs w:val="25"/>
              </w:rPr>
            </w:pPr>
            <w:r w:rsidRPr="00942F86">
              <w:rPr>
                <w:b/>
                <w:bCs/>
                <w:sz w:val="25"/>
                <w:szCs w:val="25"/>
              </w:rPr>
              <w:t xml:space="preserve">Wage &amp; Employee Benefits - </w:t>
            </w:r>
            <w:r w:rsidRPr="00942F86">
              <w:rPr>
                <w:b/>
                <w:bCs/>
                <w:i/>
                <w:sz w:val="25"/>
                <w:szCs w:val="25"/>
              </w:rPr>
              <w:t>Pro Forma</w:t>
            </w:r>
          </w:p>
        </w:tc>
        <w:tc>
          <w:tcPr>
            <w:tcW w:w="1466" w:type="dxa"/>
            <w:tcBorders>
              <w:top w:val="single" w:sz="4" w:space="0" w:color="auto"/>
              <w:left w:val="single" w:sz="4" w:space="0" w:color="auto"/>
              <w:bottom w:val="single" w:sz="4" w:space="0" w:color="auto"/>
              <w:right w:val="single" w:sz="4" w:space="0" w:color="auto"/>
            </w:tcBorders>
            <w:vAlign w:val="center"/>
          </w:tcPr>
          <w:p w14:paraId="561F64AD" w14:textId="77777777" w:rsidR="00323CCC" w:rsidRPr="00942F86" w:rsidRDefault="00323CCC" w:rsidP="00323CCC">
            <w:pPr>
              <w:spacing w:line="264" w:lineRule="auto"/>
              <w:jc w:val="right"/>
              <w:rPr>
                <w:sz w:val="25"/>
                <w:szCs w:val="25"/>
              </w:rPr>
            </w:pPr>
            <w:r w:rsidRPr="00942F86">
              <w:rPr>
                <w:b/>
                <w:sz w:val="25"/>
                <w:szCs w:val="25"/>
              </w:rPr>
              <w:t>447,635</w:t>
            </w:r>
          </w:p>
        </w:tc>
        <w:tc>
          <w:tcPr>
            <w:tcW w:w="1591" w:type="dxa"/>
            <w:tcBorders>
              <w:top w:val="single" w:sz="4" w:space="0" w:color="auto"/>
              <w:left w:val="single" w:sz="4" w:space="0" w:color="auto"/>
              <w:bottom w:val="single" w:sz="4" w:space="0" w:color="auto"/>
              <w:right w:val="single" w:sz="4" w:space="0" w:color="auto"/>
            </w:tcBorders>
            <w:vAlign w:val="center"/>
          </w:tcPr>
          <w:p w14:paraId="0D661D9D" w14:textId="77777777" w:rsidR="00323CCC" w:rsidRPr="00942F86" w:rsidRDefault="00323CCC" w:rsidP="00323CCC">
            <w:pPr>
              <w:spacing w:line="264" w:lineRule="auto"/>
              <w:jc w:val="right"/>
              <w:rPr>
                <w:sz w:val="25"/>
                <w:szCs w:val="25"/>
              </w:rPr>
            </w:pPr>
            <w:r w:rsidRPr="00942F86">
              <w:rPr>
                <w:b/>
                <w:sz w:val="25"/>
                <w:szCs w:val="25"/>
              </w:rPr>
              <w:t>-</w:t>
            </w:r>
          </w:p>
        </w:tc>
        <w:tc>
          <w:tcPr>
            <w:tcW w:w="1645" w:type="dxa"/>
            <w:tcBorders>
              <w:top w:val="single" w:sz="4" w:space="0" w:color="auto"/>
              <w:left w:val="single" w:sz="4" w:space="0" w:color="auto"/>
              <w:bottom w:val="single" w:sz="4" w:space="0" w:color="auto"/>
              <w:right w:val="thickThinSmallGap" w:sz="24" w:space="0" w:color="auto"/>
            </w:tcBorders>
            <w:noWrap/>
            <w:vAlign w:val="center"/>
          </w:tcPr>
          <w:p w14:paraId="218ABE91" w14:textId="77777777" w:rsidR="00323CCC" w:rsidRPr="00942F86" w:rsidRDefault="00323CCC" w:rsidP="00323CCC">
            <w:pPr>
              <w:spacing w:line="264" w:lineRule="auto"/>
              <w:jc w:val="right"/>
              <w:rPr>
                <w:sz w:val="25"/>
                <w:szCs w:val="25"/>
              </w:rPr>
            </w:pPr>
            <w:r w:rsidRPr="00942F86">
              <w:rPr>
                <w:b/>
                <w:sz w:val="25"/>
                <w:szCs w:val="25"/>
              </w:rPr>
              <w:t>(722,516)</w:t>
            </w:r>
          </w:p>
        </w:tc>
      </w:tr>
      <w:tr w:rsidR="00323CCC" w:rsidRPr="00942F86" w14:paraId="4F1D0F3A" w14:textId="77777777" w:rsidTr="00323CCC">
        <w:trPr>
          <w:trHeight w:val="432"/>
        </w:trPr>
        <w:tc>
          <w:tcPr>
            <w:tcW w:w="1122"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14:paraId="1DB578F3" w14:textId="77777777" w:rsidR="00323CCC" w:rsidRPr="00942F86" w:rsidRDefault="00323CCC" w:rsidP="00323CCC">
            <w:pPr>
              <w:spacing w:line="264" w:lineRule="auto"/>
              <w:jc w:val="center"/>
              <w:rPr>
                <w:b/>
                <w:sz w:val="25"/>
                <w:szCs w:val="25"/>
              </w:rPr>
            </w:pPr>
            <w:r w:rsidRPr="00942F86">
              <w:rPr>
                <w:b/>
                <w:sz w:val="25"/>
                <w:szCs w:val="25"/>
              </w:rPr>
              <w:t>4.7</w:t>
            </w:r>
          </w:p>
        </w:tc>
        <w:tc>
          <w:tcPr>
            <w:tcW w:w="4302" w:type="dxa"/>
            <w:tcBorders>
              <w:top w:val="single" w:sz="4" w:space="0" w:color="auto"/>
              <w:left w:val="single" w:sz="4" w:space="0" w:color="auto"/>
              <w:bottom w:val="single" w:sz="4" w:space="0" w:color="auto"/>
              <w:right w:val="single" w:sz="4" w:space="0" w:color="auto"/>
            </w:tcBorders>
            <w:noWrap/>
            <w:vAlign w:val="center"/>
          </w:tcPr>
          <w:p w14:paraId="55EDB7C6" w14:textId="77777777" w:rsidR="00323CCC" w:rsidRPr="00942F86" w:rsidRDefault="00323CCC" w:rsidP="00323CCC">
            <w:pPr>
              <w:spacing w:line="264" w:lineRule="auto"/>
              <w:rPr>
                <w:sz w:val="25"/>
                <w:szCs w:val="25"/>
              </w:rPr>
            </w:pPr>
            <w:r w:rsidRPr="00942F86">
              <w:rPr>
                <w:b/>
                <w:bCs/>
                <w:sz w:val="25"/>
                <w:szCs w:val="25"/>
              </w:rPr>
              <w:t>Insurance Expense</w:t>
            </w:r>
          </w:p>
        </w:tc>
        <w:tc>
          <w:tcPr>
            <w:tcW w:w="1466" w:type="dxa"/>
            <w:tcBorders>
              <w:top w:val="single" w:sz="4" w:space="0" w:color="auto"/>
              <w:left w:val="single" w:sz="4" w:space="0" w:color="auto"/>
              <w:bottom w:val="single" w:sz="4" w:space="0" w:color="auto"/>
              <w:right w:val="single" w:sz="4" w:space="0" w:color="auto"/>
            </w:tcBorders>
            <w:vAlign w:val="center"/>
          </w:tcPr>
          <w:p w14:paraId="1BB01B4C" w14:textId="77777777" w:rsidR="00323CCC" w:rsidRPr="00942F86" w:rsidRDefault="00323CCC" w:rsidP="00323CCC">
            <w:pPr>
              <w:spacing w:line="264" w:lineRule="auto"/>
              <w:jc w:val="right"/>
              <w:rPr>
                <w:sz w:val="25"/>
                <w:szCs w:val="25"/>
              </w:rPr>
            </w:pPr>
            <w:r w:rsidRPr="00942F86">
              <w:rPr>
                <w:b/>
                <w:sz w:val="25"/>
                <w:szCs w:val="25"/>
              </w:rPr>
              <w:t>1,739,135</w:t>
            </w:r>
          </w:p>
        </w:tc>
        <w:tc>
          <w:tcPr>
            <w:tcW w:w="1591" w:type="dxa"/>
            <w:tcBorders>
              <w:top w:val="single" w:sz="4" w:space="0" w:color="auto"/>
              <w:left w:val="single" w:sz="4" w:space="0" w:color="auto"/>
              <w:bottom w:val="single" w:sz="4" w:space="0" w:color="auto"/>
              <w:right w:val="single" w:sz="4" w:space="0" w:color="auto"/>
            </w:tcBorders>
            <w:vAlign w:val="center"/>
          </w:tcPr>
          <w:p w14:paraId="4E13E975" w14:textId="77777777" w:rsidR="00323CCC" w:rsidRPr="00942F86" w:rsidRDefault="00323CCC" w:rsidP="00323CCC">
            <w:pPr>
              <w:spacing w:line="264" w:lineRule="auto"/>
              <w:jc w:val="right"/>
              <w:rPr>
                <w:sz w:val="25"/>
                <w:szCs w:val="25"/>
              </w:rPr>
            </w:pPr>
            <w:r w:rsidRPr="00942F86">
              <w:rPr>
                <w:b/>
                <w:sz w:val="25"/>
                <w:szCs w:val="25"/>
              </w:rPr>
              <w:t>-</w:t>
            </w:r>
          </w:p>
        </w:tc>
        <w:tc>
          <w:tcPr>
            <w:tcW w:w="1645" w:type="dxa"/>
            <w:tcBorders>
              <w:top w:val="single" w:sz="4" w:space="0" w:color="auto"/>
              <w:left w:val="single" w:sz="4" w:space="0" w:color="auto"/>
              <w:bottom w:val="single" w:sz="4" w:space="0" w:color="auto"/>
              <w:right w:val="thickThinSmallGap" w:sz="24" w:space="0" w:color="auto"/>
            </w:tcBorders>
            <w:noWrap/>
            <w:vAlign w:val="center"/>
          </w:tcPr>
          <w:p w14:paraId="6CF005D8" w14:textId="77777777" w:rsidR="00323CCC" w:rsidRPr="00942F86" w:rsidRDefault="00323CCC" w:rsidP="00323CCC">
            <w:pPr>
              <w:spacing w:line="264" w:lineRule="auto"/>
              <w:jc w:val="right"/>
              <w:rPr>
                <w:sz w:val="25"/>
                <w:szCs w:val="25"/>
              </w:rPr>
            </w:pPr>
            <w:r w:rsidRPr="00942F86">
              <w:rPr>
                <w:b/>
                <w:sz w:val="25"/>
                <w:szCs w:val="25"/>
              </w:rPr>
              <w:t>(2,807,094)</w:t>
            </w:r>
          </w:p>
        </w:tc>
      </w:tr>
      <w:tr w:rsidR="00323CCC" w:rsidRPr="00942F86" w14:paraId="5377F2F9" w14:textId="77777777" w:rsidTr="00323CCC">
        <w:trPr>
          <w:trHeight w:val="432"/>
        </w:trPr>
        <w:tc>
          <w:tcPr>
            <w:tcW w:w="1122"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14:paraId="28DE034E" w14:textId="77777777" w:rsidR="00323CCC" w:rsidRPr="00942F86" w:rsidRDefault="00323CCC" w:rsidP="00323CCC">
            <w:pPr>
              <w:spacing w:line="264" w:lineRule="auto"/>
              <w:jc w:val="center"/>
              <w:rPr>
                <w:b/>
                <w:sz w:val="25"/>
                <w:szCs w:val="25"/>
              </w:rPr>
            </w:pPr>
            <w:r w:rsidRPr="00942F86">
              <w:rPr>
                <w:b/>
                <w:sz w:val="25"/>
                <w:szCs w:val="25"/>
              </w:rPr>
              <w:t>4.13</w:t>
            </w:r>
          </w:p>
        </w:tc>
        <w:tc>
          <w:tcPr>
            <w:tcW w:w="4302" w:type="dxa"/>
            <w:tcBorders>
              <w:top w:val="single" w:sz="4" w:space="0" w:color="auto"/>
              <w:left w:val="single" w:sz="4" w:space="0" w:color="auto"/>
              <w:bottom w:val="single" w:sz="4" w:space="0" w:color="auto"/>
              <w:right w:val="single" w:sz="4" w:space="0" w:color="auto"/>
            </w:tcBorders>
            <w:noWrap/>
            <w:vAlign w:val="center"/>
          </w:tcPr>
          <w:p w14:paraId="68319C01" w14:textId="77777777" w:rsidR="00323CCC" w:rsidRPr="00942F86" w:rsidRDefault="00323CCC" w:rsidP="00323CCC">
            <w:pPr>
              <w:spacing w:line="264" w:lineRule="auto"/>
              <w:rPr>
                <w:sz w:val="25"/>
                <w:szCs w:val="25"/>
              </w:rPr>
            </w:pPr>
            <w:r w:rsidRPr="00942F86">
              <w:rPr>
                <w:b/>
                <w:bCs/>
                <w:sz w:val="25"/>
                <w:szCs w:val="25"/>
              </w:rPr>
              <w:t>IHS Global Insight Escalation</w:t>
            </w:r>
          </w:p>
        </w:tc>
        <w:tc>
          <w:tcPr>
            <w:tcW w:w="1466" w:type="dxa"/>
            <w:tcBorders>
              <w:top w:val="single" w:sz="4" w:space="0" w:color="auto"/>
              <w:left w:val="single" w:sz="4" w:space="0" w:color="auto"/>
              <w:bottom w:val="single" w:sz="4" w:space="0" w:color="auto"/>
              <w:right w:val="single" w:sz="4" w:space="0" w:color="auto"/>
            </w:tcBorders>
            <w:vAlign w:val="center"/>
          </w:tcPr>
          <w:p w14:paraId="523AB5F1" w14:textId="77777777" w:rsidR="00323CCC" w:rsidRPr="00942F86" w:rsidRDefault="00323CCC" w:rsidP="00323CCC">
            <w:pPr>
              <w:spacing w:line="264" w:lineRule="auto"/>
              <w:jc w:val="right"/>
              <w:rPr>
                <w:sz w:val="25"/>
                <w:szCs w:val="25"/>
              </w:rPr>
            </w:pPr>
            <w:r w:rsidRPr="00942F86">
              <w:rPr>
                <w:b/>
                <w:sz w:val="25"/>
                <w:szCs w:val="25"/>
              </w:rPr>
              <w:t>-</w:t>
            </w:r>
          </w:p>
        </w:tc>
        <w:tc>
          <w:tcPr>
            <w:tcW w:w="1591" w:type="dxa"/>
            <w:tcBorders>
              <w:top w:val="single" w:sz="4" w:space="0" w:color="auto"/>
              <w:left w:val="single" w:sz="4" w:space="0" w:color="auto"/>
              <w:bottom w:val="single" w:sz="4" w:space="0" w:color="auto"/>
              <w:right w:val="single" w:sz="4" w:space="0" w:color="auto"/>
            </w:tcBorders>
            <w:vAlign w:val="center"/>
          </w:tcPr>
          <w:p w14:paraId="3162C7C0" w14:textId="77777777" w:rsidR="00323CCC" w:rsidRPr="00942F86" w:rsidRDefault="00323CCC" w:rsidP="00323CCC">
            <w:pPr>
              <w:spacing w:line="264" w:lineRule="auto"/>
              <w:jc w:val="right"/>
              <w:rPr>
                <w:sz w:val="25"/>
                <w:szCs w:val="25"/>
              </w:rPr>
            </w:pPr>
            <w:r w:rsidRPr="00942F86">
              <w:rPr>
                <w:b/>
                <w:sz w:val="25"/>
                <w:szCs w:val="25"/>
              </w:rPr>
              <w:t>-</w:t>
            </w:r>
          </w:p>
        </w:tc>
        <w:tc>
          <w:tcPr>
            <w:tcW w:w="1645" w:type="dxa"/>
            <w:tcBorders>
              <w:top w:val="single" w:sz="4" w:space="0" w:color="auto"/>
              <w:left w:val="single" w:sz="4" w:space="0" w:color="auto"/>
              <w:bottom w:val="single" w:sz="4" w:space="0" w:color="auto"/>
              <w:right w:val="thickThinSmallGap" w:sz="24" w:space="0" w:color="auto"/>
            </w:tcBorders>
            <w:noWrap/>
            <w:vAlign w:val="center"/>
          </w:tcPr>
          <w:p w14:paraId="3595EB7D" w14:textId="77777777" w:rsidR="00323CCC" w:rsidRPr="00942F86" w:rsidRDefault="00323CCC" w:rsidP="00323CCC">
            <w:pPr>
              <w:spacing w:line="264" w:lineRule="auto"/>
              <w:jc w:val="right"/>
              <w:rPr>
                <w:sz w:val="25"/>
                <w:szCs w:val="25"/>
              </w:rPr>
            </w:pPr>
            <w:r w:rsidRPr="00942F86">
              <w:rPr>
                <w:b/>
                <w:sz w:val="25"/>
                <w:szCs w:val="25"/>
              </w:rPr>
              <w:t>-</w:t>
            </w:r>
          </w:p>
        </w:tc>
      </w:tr>
      <w:tr w:rsidR="00323CCC" w:rsidRPr="00942F86" w14:paraId="01DD1FE0" w14:textId="77777777" w:rsidTr="00323CCC">
        <w:trPr>
          <w:trHeight w:val="432"/>
        </w:trPr>
        <w:tc>
          <w:tcPr>
            <w:tcW w:w="1122"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14:paraId="3BB12F1F" w14:textId="77777777" w:rsidR="00323CCC" w:rsidRPr="00942F86" w:rsidRDefault="00323CCC" w:rsidP="00323CCC">
            <w:pPr>
              <w:spacing w:line="264" w:lineRule="auto"/>
              <w:jc w:val="center"/>
              <w:rPr>
                <w:b/>
                <w:sz w:val="25"/>
                <w:szCs w:val="25"/>
              </w:rPr>
            </w:pPr>
            <w:r w:rsidRPr="00942F86">
              <w:rPr>
                <w:b/>
                <w:sz w:val="25"/>
                <w:szCs w:val="25"/>
              </w:rPr>
              <w:t>5.1.1</w:t>
            </w:r>
          </w:p>
        </w:tc>
        <w:tc>
          <w:tcPr>
            <w:tcW w:w="4302" w:type="dxa"/>
            <w:tcBorders>
              <w:top w:val="single" w:sz="4" w:space="0" w:color="auto"/>
              <w:left w:val="single" w:sz="4" w:space="0" w:color="auto"/>
              <w:bottom w:val="single" w:sz="4" w:space="0" w:color="auto"/>
              <w:right w:val="single" w:sz="4" w:space="0" w:color="auto"/>
            </w:tcBorders>
            <w:noWrap/>
            <w:vAlign w:val="center"/>
          </w:tcPr>
          <w:p w14:paraId="17698AFC" w14:textId="77777777" w:rsidR="00323CCC" w:rsidRPr="00942F86" w:rsidRDefault="00323CCC" w:rsidP="00323CCC">
            <w:pPr>
              <w:spacing w:line="264" w:lineRule="auto"/>
              <w:rPr>
                <w:b/>
                <w:bCs/>
                <w:sz w:val="25"/>
                <w:szCs w:val="25"/>
              </w:rPr>
            </w:pPr>
            <w:r w:rsidRPr="00942F86">
              <w:rPr>
                <w:b/>
                <w:bCs/>
                <w:sz w:val="25"/>
                <w:szCs w:val="25"/>
              </w:rPr>
              <w:t xml:space="preserve">Net Power Costs- </w:t>
            </w:r>
            <w:r w:rsidRPr="00942F86">
              <w:rPr>
                <w:b/>
                <w:bCs/>
                <w:i/>
                <w:sz w:val="25"/>
                <w:szCs w:val="25"/>
              </w:rPr>
              <w:t>Pro forma</w:t>
            </w:r>
          </w:p>
        </w:tc>
        <w:tc>
          <w:tcPr>
            <w:tcW w:w="1466" w:type="dxa"/>
            <w:tcBorders>
              <w:top w:val="single" w:sz="4" w:space="0" w:color="auto"/>
              <w:left w:val="single" w:sz="4" w:space="0" w:color="auto"/>
              <w:bottom w:val="single" w:sz="4" w:space="0" w:color="auto"/>
              <w:right w:val="single" w:sz="4" w:space="0" w:color="auto"/>
            </w:tcBorders>
            <w:vAlign w:val="center"/>
          </w:tcPr>
          <w:p w14:paraId="4705AD67" w14:textId="77777777" w:rsidR="00323CCC" w:rsidRPr="00942F86" w:rsidRDefault="00323CCC" w:rsidP="00323CCC">
            <w:pPr>
              <w:spacing w:line="264" w:lineRule="auto"/>
              <w:jc w:val="right"/>
              <w:rPr>
                <w:sz w:val="25"/>
                <w:szCs w:val="25"/>
              </w:rPr>
            </w:pPr>
            <w:r w:rsidRPr="00942F86">
              <w:rPr>
                <w:b/>
                <w:sz w:val="25"/>
                <w:szCs w:val="25"/>
              </w:rPr>
              <w:t>(3,069,123)</w:t>
            </w:r>
          </w:p>
        </w:tc>
        <w:tc>
          <w:tcPr>
            <w:tcW w:w="1591" w:type="dxa"/>
            <w:tcBorders>
              <w:top w:val="single" w:sz="4" w:space="0" w:color="auto"/>
              <w:left w:val="single" w:sz="4" w:space="0" w:color="auto"/>
              <w:bottom w:val="single" w:sz="4" w:space="0" w:color="auto"/>
              <w:right w:val="single" w:sz="4" w:space="0" w:color="auto"/>
            </w:tcBorders>
            <w:vAlign w:val="center"/>
          </w:tcPr>
          <w:p w14:paraId="3FDA29AD" w14:textId="77777777" w:rsidR="00323CCC" w:rsidRPr="00942F86" w:rsidRDefault="00323CCC" w:rsidP="00323CCC">
            <w:pPr>
              <w:spacing w:line="264" w:lineRule="auto"/>
              <w:jc w:val="right"/>
              <w:rPr>
                <w:sz w:val="25"/>
                <w:szCs w:val="25"/>
              </w:rPr>
            </w:pPr>
            <w:r w:rsidRPr="00942F86">
              <w:rPr>
                <w:b/>
                <w:sz w:val="25"/>
                <w:szCs w:val="25"/>
              </w:rPr>
              <w:t>-</w:t>
            </w:r>
          </w:p>
        </w:tc>
        <w:tc>
          <w:tcPr>
            <w:tcW w:w="1645" w:type="dxa"/>
            <w:tcBorders>
              <w:top w:val="single" w:sz="4" w:space="0" w:color="auto"/>
              <w:left w:val="single" w:sz="4" w:space="0" w:color="auto"/>
              <w:bottom w:val="single" w:sz="4" w:space="0" w:color="auto"/>
              <w:right w:val="thickThinSmallGap" w:sz="24" w:space="0" w:color="auto"/>
            </w:tcBorders>
            <w:noWrap/>
            <w:vAlign w:val="center"/>
          </w:tcPr>
          <w:p w14:paraId="2F7DA2D9" w14:textId="77777777" w:rsidR="00323CCC" w:rsidRPr="00942F86" w:rsidRDefault="00323CCC" w:rsidP="00323CCC">
            <w:pPr>
              <w:spacing w:line="264" w:lineRule="auto"/>
              <w:jc w:val="right"/>
              <w:rPr>
                <w:sz w:val="25"/>
                <w:szCs w:val="25"/>
              </w:rPr>
            </w:pPr>
            <w:r w:rsidRPr="00942F86">
              <w:rPr>
                <w:b/>
                <w:sz w:val="25"/>
                <w:szCs w:val="25"/>
              </w:rPr>
              <w:t>4,953,793</w:t>
            </w:r>
          </w:p>
        </w:tc>
      </w:tr>
      <w:tr w:rsidR="00323CCC" w:rsidRPr="00942F86" w14:paraId="6A850C2A" w14:textId="77777777" w:rsidTr="00323CCC">
        <w:trPr>
          <w:trHeight w:val="432"/>
        </w:trPr>
        <w:tc>
          <w:tcPr>
            <w:tcW w:w="1122"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14:paraId="1B1C7AF7" w14:textId="77777777" w:rsidR="00323CCC" w:rsidRPr="00942F86" w:rsidRDefault="00323CCC" w:rsidP="00323CCC">
            <w:pPr>
              <w:spacing w:line="264" w:lineRule="auto"/>
              <w:jc w:val="center"/>
              <w:rPr>
                <w:b/>
                <w:sz w:val="25"/>
                <w:szCs w:val="25"/>
              </w:rPr>
            </w:pPr>
            <w:r w:rsidRPr="00942F86">
              <w:rPr>
                <w:b/>
                <w:sz w:val="25"/>
                <w:szCs w:val="25"/>
              </w:rPr>
              <w:t>6.2-6.2.2</w:t>
            </w:r>
          </w:p>
        </w:tc>
        <w:tc>
          <w:tcPr>
            <w:tcW w:w="4302" w:type="dxa"/>
            <w:tcBorders>
              <w:top w:val="single" w:sz="4" w:space="0" w:color="auto"/>
              <w:left w:val="single" w:sz="4" w:space="0" w:color="auto"/>
              <w:bottom w:val="single" w:sz="4" w:space="0" w:color="auto"/>
              <w:right w:val="single" w:sz="4" w:space="0" w:color="auto"/>
            </w:tcBorders>
            <w:noWrap/>
            <w:vAlign w:val="center"/>
          </w:tcPr>
          <w:p w14:paraId="2EA61E1D" w14:textId="77777777" w:rsidR="00323CCC" w:rsidRPr="00942F86" w:rsidRDefault="00323CCC" w:rsidP="00323CCC">
            <w:pPr>
              <w:spacing w:line="264" w:lineRule="auto"/>
              <w:rPr>
                <w:b/>
                <w:bCs/>
                <w:sz w:val="25"/>
                <w:szCs w:val="25"/>
              </w:rPr>
            </w:pPr>
            <w:r w:rsidRPr="00942F86">
              <w:rPr>
                <w:b/>
                <w:bCs/>
                <w:sz w:val="25"/>
                <w:szCs w:val="25"/>
              </w:rPr>
              <w:t>Depreciation &amp; Amortization Reserve to December 2013 Balance</w:t>
            </w:r>
          </w:p>
        </w:tc>
        <w:tc>
          <w:tcPr>
            <w:tcW w:w="1466" w:type="dxa"/>
            <w:tcBorders>
              <w:top w:val="single" w:sz="4" w:space="0" w:color="auto"/>
              <w:left w:val="single" w:sz="4" w:space="0" w:color="auto"/>
              <w:bottom w:val="single" w:sz="4" w:space="0" w:color="auto"/>
              <w:right w:val="single" w:sz="4" w:space="0" w:color="auto"/>
            </w:tcBorders>
            <w:vAlign w:val="center"/>
          </w:tcPr>
          <w:p w14:paraId="35DE1AD9" w14:textId="77777777" w:rsidR="00323CCC" w:rsidRPr="00942F86" w:rsidRDefault="00323CCC" w:rsidP="00323CCC">
            <w:pPr>
              <w:spacing w:line="264" w:lineRule="auto"/>
              <w:jc w:val="right"/>
              <w:rPr>
                <w:sz w:val="25"/>
                <w:szCs w:val="25"/>
              </w:rPr>
            </w:pPr>
            <w:r w:rsidRPr="00942F86">
              <w:rPr>
                <w:b/>
                <w:sz w:val="25"/>
                <w:szCs w:val="25"/>
              </w:rPr>
              <w:t>-</w:t>
            </w:r>
          </w:p>
        </w:tc>
        <w:tc>
          <w:tcPr>
            <w:tcW w:w="1591" w:type="dxa"/>
            <w:tcBorders>
              <w:top w:val="single" w:sz="4" w:space="0" w:color="auto"/>
              <w:left w:val="single" w:sz="4" w:space="0" w:color="auto"/>
              <w:bottom w:val="single" w:sz="4" w:space="0" w:color="auto"/>
              <w:right w:val="single" w:sz="4" w:space="0" w:color="auto"/>
            </w:tcBorders>
            <w:vAlign w:val="center"/>
          </w:tcPr>
          <w:p w14:paraId="24B8C848" w14:textId="77777777" w:rsidR="00323CCC" w:rsidRPr="00942F86" w:rsidRDefault="00323CCC" w:rsidP="00323CCC">
            <w:pPr>
              <w:spacing w:line="264" w:lineRule="auto"/>
              <w:jc w:val="right"/>
              <w:rPr>
                <w:sz w:val="25"/>
                <w:szCs w:val="25"/>
              </w:rPr>
            </w:pPr>
            <w:r w:rsidRPr="00942F86">
              <w:rPr>
                <w:b/>
                <w:sz w:val="25"/>
                <w:szCs w:val="25"/>
              </w:rPr>
              <w:t>-</w:t>
            </w:r>
          </w:p>
        </w:tc>
        <w:tc>
          <w:tcPr>
            <w:tcW w:w="1645" w:type="dxa"/>
            <w:tcBorders>
              <w:top w:val="single" w:sz="4" w:space="0" w:color="auto"/>
              <w:left w:val="single" w:sz="4" w:space="0" w:color="auto"/>
              <w:bottom w:val="single" w:sz="4" w:space="0" w:color="auto"/>
              <w:right w:val="thickThinSmallGap" w:sz="24" w:space="0" w:color="auto"/>
            </w:tcBorders>
            <w:noWrap/>
            <w:vAlign w:val="center"/>
          </w:tcPr>
          <w:p w14:paraId="5FE836A4" w14:textId="77777777" w:rsidR="00323CCC" w:rsidRPr="00942F86" w:rsidRDefault="00323CCC" w:rsidP="00323CCC">
            <w:pPr>
              <w:spacing w:line="264" w:lineRule="auto"/>
              <w:jc w:val="right"/>
              <w:rPr>
                <w:sz w:val="25"/>
                <w:szCs w:val="25"/>
              </w:rPr>
            </w:pPr>
            <w:r w:rsidRPr="00942F86">
              <w:rPr>
                <w:b/>
                <w:sz w:val="25"/>
                <w:szCs w:val="25"/>
              </w:rPr>
              <w:t>-</w:t>
            </w:r>
          </w:p>
        </w:tc>
      </w:tr>
      <w:tr w:rsidR="00323CCC" w:rsidRPr="00942F86" w14:paraId="2D7E973E" w14:textId="77777777" w:rsidTr="00323CCC">
        <w:trPr>
          <w:trHeight w:val="432"/>
        </w:trPr>
        <w:tc>
          <w:tcPr>
            <w:tcW w:w="1122"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14:paraId="0D309841" w14:textId="77777777" w:rsidR="00323CCC" w:rsidRPr="00942F86" w:rsidRDefault="00323CCC" w:rsidP="00323CCC">
            <w:pPr>
              <w:spacing w:line="264" w:lineRule="auto"/>
              <w:jc w:val="center"/>
              <w:rPr>
                <w:b/>
                <w:sz w:val="25"/>
                <w:szCs w:val="25"/>
              </w:rPr>
            </w:pPr>
            <w:r w:rsidRPr="00942F86">
              <w:rPr>
                <w:b/>
                <w:sz w:val="25"/>
                <w:szCs w:val="25"/>
              </w:rPr>
              <w:t>6.3-6.3.2</w:t>
            </w:r>
          </w:p>
        </w:tc>
        <w:tc>
          <w:tcPr>
            <w:tcW w:w="4302" w:type="dxa"/>
            <w:tcBorders>
              <w:top w:val="single" w:sz="4" w:space="0" w:color="auto"/>
              <w:left w:val="single" w:sz="4" w:space="0" w:color="auto"/>
              <w:bottom w:val="single" w:sz="4" w:space="0" w:color="auto"/>
              <w:right w:val="single" w:sz="4" w:space="0" w:color="auto"/>
            </w:tcBorders>
            <w:noWrap/>
            <w:vAlign w:val="center"/>
          </w:tcPr>
          <w:p w14:paraId="1C4DA5CB" w14:textId="77777777" w:rsidR="00323CCC" w:rsidRPr="00942F86" w:rsidRDefault="00323CCC" w:rsidP="00323CCC">
            <w:pPr>
              <w:spacing w:line="264" w:lineRule="auto"/>
              <w:rPr>
                <w:b/>
                <w:bCs/>
                <w:sz w:val="25"/>
                <w:szCs w:val="25"/>
              </w:rPr>
            </w:pPr>
            <w:r w:rsidRPr="00942F86">
              <w:rPr>
                <w:b/>
                <w:bCs/>
                <w:sz w:val="25"/>
                <w:szCs w:val="25"/>
              </w:rPr>
              <w:t>Proposed Depreciation Rates-Expense</w:t>
            </w:r>
          </w:p>
        </w:tc>
        <w:tc>
          <w:tcPr>
            <w:tcW w:w="1466" w:type="dxa"/>
            <w:tcBorders>
              <w:top w:val="single" w:sz="4" w:space="0" w:color="auto"/>
              <w:left w:val="single" w:sz="4" w:space="0" w:color="auto"/>
              <w:bottom w:val="single" w:sz="4" w:space="0" w:color="auto"/>
              <w:right w:val="single" w:sz="4" w:space="0" w:color="auto"/>
            </w:tcBorders>
            <w:vAlign w:val="center"/>
          </w:tcPr>
          <w:p w14:paraId="69DE2EB7" w14:textId="77777777" w:rsidR="00323CCC" w:rsidRPr="00942F86" w:rsidRDefault="00323CCC" w:rsidP="00323CCC">
            <w:pPr>
              <w:spacing w:line="264" w:lineRule="auto"/>
              <w:jc w:val="right"/>
              <w:rPr>
                <w:sz w:val="25"/>
                <w:szCs w:val="25"/>
              </w:rPr>
            </w:pPr>
            <w:r w:rsidRPr="00942F86">
              <w:rPr>
                <w:b/>
                <w:sz w:val="25"/>
                <w:szCs w:val="25"/>
              </w:rPr>
              <w:t>(886,437)</w:t>
            </w:r>
          </w:p>
        </w:tc>
        <w:tc>
          <w:tcPr>
            <w:tcW w:w="1591" w:type="dxa"/>
            <w:tcBorders>
              <w:top w:val="single" w:sz="4" w:space="0" w:color="auto"/>
              <w:left w:val="single" w:sz="4" w:space="0" w:color="auto"/>
              <w:bottom w:val="single" w:sz="4" w:space="0" w:color="auto"/>
              <w:right w:val="single" w:sz="4" w:space="0" w:color="auto"/>
            </w:tcBorders>
            <w:vAlign w:val="center"/>
          </w:tcPr>
          <w:p w14:paraId="0BB317BF" w14:textId="77777777" w:rsidR="00323CCC" w:rsidRPr="00942F86" w:rsidRDefault="00323CCC" w:rsidP="00323CCC">
            <w:pPr>
              <w:spacing w:line="264" w:lineRule="auto"/>
              <w:jc w:val="right"/>
              <w:rPr>
                <w:sz w:val="25"/>
                <w:szCs w:val="25"/>
              </w:rPr>
            </w:pPr>
            <w:r w:rsidRPr="00942F86">
              <w:rPr>
                <w:b/>
                <w:sz w:val="25"/>
                <w:szCs w:val="25"/>
              </w:rPr>
              <w:t>(886,437)</w:t>
            </w:r>
          </w:p>
        </w:tc>
        <w:tc>
          <w:tcPr>
            <w:tcW w:w="1645" w:type="dxa"/>
            <w:tcBorders>
              <w:top w:val="single" w:sz="4" w:space="0" w:color="auto"/>
              <w:left w:val="single" w:sz="4" w:space="0" w:color="auto"/>
              <w:bottom w:val="single" w:sz="4" w:space="0" w:color="auto"/>
              <w:right w:val="thickThinSmallGap" w:sz="24" w:space="0" w:color="auto"/>
            </w:tcBorders>
            <w:noWrap/>
            <w:vAlign w:val="center"/>
          </w:tcPr>
          <w:p w14:paraId="70A2B820" w14:textId="77777777" w:rsidR="00323CCC" w:rsidRPr="00942F86" w:rsidRDefault="00323CCC" w:rsidP="00323CCC">
            <w:pPr>
              <w:spacing w:line="264" w:lineRule="auto"/>
              <w:jc w:val="right"/>
              <w:rPr>
                <w:sz w:val="25"/>
                <w:szCs w:val="25"/>
              </w:rPr>
            </w:pPr>
            <w:r w:rsidRPr="00942F86">
              <w:rPr>
                <w:b/>
                <w:sz w:val="25"/>
                <w:szCs w:val="25"/>
              </w:rPr>
              <w:t>1,326,329</w:t>
            </w:r>
          </w:p>
        </w:tc>
      </w:tr>
      <w:tr w:rsidR="00323CCC" w:rsidRPr="00942F86" w14:paraId="18D21151" w14:textId="77777777" w:rsidTr="00323CCC">
        <w:trPr>
          <w:trHeight w:val="432"/>
        </w:trPr>
        <w:tc>
          <w:tcPr>
            <w:tcW w:w="1122"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14:paraId="6C7CE37D" w14:textId="77777777" w:rsidR="00323CCC" w:rsidRPr="00942F86" w:rsidRDefault="00323CCC" w:rsidP="00323CCC">
            <w:pPr>
              <w:spacing w:line="264" w:lineRule="auto"/>
              <w:jc w:val="center"/>
              <w:rPr>
                <w:b/>
                <w:sz w:val="25"/>
                <w:szCs w:val="25"/>
              </w:rPr>
            </w:pPr>
            <w:r w:rsidRPr="00942F86">
              <w:rPr>
                <w:b/>
                <w:sz w:val="25"/>
                <w:szCs w:val="25"/>
              </w:rPr>
              <w:t>6.5</w:t>
            </w:r>
          </w:p>
        </w:tc>
        <w:tc>
          <w:tcPr>
            <w:tcW w:w="4302" w:type="dxa"/>
            <w:tcBorders>
              <w:top w:val="single" w:sz="4" w:space="0" w:color="auto"/>
              <w:left w:val="single" w:sz="4" w:space="0" w:color="auto"/>
              <w:bottom w:val="single" w:sz="4" w:space="0" w:color="auto"/>
              <w:right w:val="single" w:sz="4" w:space="0" w:color="auto"/>
            </w:tcBorders>
            <w:noWrap/>
            <w:vAlign w:val="center"/>
          </w:tcPr>
          <w:p w14:paraId="0E301492" w14:textId="77777777" w:rsidR="00323CCC" w:rsidRPr="00942F86" w:rsidRDefault="00323CCC" w:rsidP="00323CCC">
            <w:pPr>
              <w:spacing w:line="264" w:lineRule="auto"/>
              <w:rPr>
                <w:sz w:val="25"/>
                <w:szCs w:val="25"/>
              </w:rPr>
            </w:pPr>
            <w:r w:rsidRPr="00942F86">
              <w:rPr>
                <w:b/>
                <w:bCs/>
                <w:sz w:val="25"/>
                <w:szCs w:val="25"/>
              </w:rPr>
              <w:t>Retired Assets Depreciation Expense Removal</w:t>
            </w:r>
          </w:p>
        </w:tc>
        <w:tc>
          <w:tcPr>
            <w:tcW w:w="1466" w:type="dxa"/>
            <w:tcBorders>
              <w:top w:val="single" w:sz="4" w:space="0" w:color="auto"/>
              <w:left w:val="single" w:sz="4" w:space="0" w:color="auto"/>
              <w:bottom w:val="single" w:sz="4" w:space="0" w:color="auto"/>
              <w:right w:val="single" w:sz="4" w:space="0" w:color="auto"/>
            </w:tcBorders>
            <w:vAlign w:val="center"/>
          </w:tcPr>
          <w:p w14:paraId="6591D6B7" w14:textId="77777777" w:rsidR="00323CCC" w:rsidRPr="00942F86" w:rsidRDefault="00323CCC" w:rsidP="00323CCC">
            <w:pPr>
              <w:spacing w:line="264" w:lineRule="auto"/>
              <w:jc w:val="right"/>
              <w:rPr>
                <w:sz w:val="25"/>
                <w:szCs w:val="25"/>
              </w:rPr>
            </w:pPr>
            <w:r w:rsidRPr="00942F86">
              <w:rPr>
                <w:b/>
                <w:sz w:val="25"/>
                <w:szCs w:val="25"/>
              </w:rPr>
              <w:t>-</w:t>
            </w:r>
          </w:p>
        </w:tc>
        <w:tc>
          <w:tcPr>
            <w:tcW w:w="1591" w:type="dxa"/>
            <w:tcBorders>
              <w:top w:val="single" w:sz="4" w:space="0" w:color="auto"/>
              <w:left w:val="single" w:sz="4" w:space="0" w:color="auto"/>
              <w:bottom w:val="single" w:sz="4" w:space="0" w:color="auto"/>
              <w:right w:val="single" w:sz="4" w:space="0" w:color="auto"/>
            </w:tcBorders>
            <w:vAlign w:val="center"/>
          </w:tcPr>
          <w:p w14:paraId="26E714BB" w14:textId="77777777" w:rsidR="00323CCC" w:rsidRPr="00942F86" w:rsidRDefault="00323CCC" w:rsidP="00323CCC">
            <w:pPr>
              <w:spacing w:line="264" w:lineRule="auto"/>
              <w:jc w:val="right"/>
              <w:rPr>
                <w:sz w:val="25"/>
                <w:szCs w:val="25"/>
              </w:rPr>
            </w:pPr>
            <w:r w:rsidRPr="00942F86">
              <w:rPr>
                <w:b/>
                <w:sz w:val="25"/>
                <w:szCs w:val="25"/>
              </w:rPr>
              <w:t>-</w:t>
            </w:r>
          </w:p>
        </w:tc>
        <w:tc>
          <w:tcPr>
            <w:tcW w:w="1645" w:type="dxa"/>
            <w:tcBorders>
              <w:top w:val="single" w:sz="4" w:space="0" w:color="auto"/>
              <w:left w:val="single" w:sz="4" w:space="0" w:color="auto"/>
              <w:bottom w:val="single" w:sz="4" w:space="0" w:color="auto"/>
              <w:right w:val="thickThinSmallGap" w:sz="24" w:space="0" w:color="auto"/>
            </w:tcBorders>
            <w:noWrap/>
            <w:vAlign w:val="center"/>
          </w:tcPr>
          <w:p w14:paraId="0A131324" w14:textId="77777777" w:rsidR="00323CCC" w:rsidRPr="00942F86" w:rsidRDefault="00323CCC" w:rsidP="00323CCC">
            <w:pPr>
              <w:spacing w:line="264" w:lineRule="auto"/>
              <w:jc w:val="right"/>
              <w:rPr>
                <w:sz w:val="25"/>
                <w:szCs w:val="25"/>
              </w:rPr>
            </w:pPr>
            <w:r w:rsidRPr="00942F86">
              <w:rPr>
                <w:b/>
                <w:sz w:val="25"/>
                <w:szCs w:val="25"/>
              </w:rPr>
              <w:t>-</w:t>
            </w:r>
          </w:p>
        </w:tc>
      </w:tr>
      <w:tr w:rsidR="00323CCC" w:rsidRPr="00942F86" w14:paraId="16F441B9" w14:textId="77777777" w:rsidTr="00323CCC">
        <w:trPr>
          <w:trHeight w:val="432"/>
        </w:trPr>
        <w:tc>
          <w:tcPr>
            <w:tcW w:w="1122"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14:paraId="4DEEFD9B" w14:textId="77777777" w:rsidR="00323CCC" w:rsidRPr="00942F86" w:rsidRDefault="00323CCC" w:rsidP="00323CCC">
            <w:pPr>
              <w:spacing w:line="264" w:lineRule="auto"/>
              <w:jc w:val="center"/>
              <w:rPr>
                <w:b/>
                <w:sz w:val="25"/>
                <w:szCs w:val="25"/>
              </w:rPr>
            </w:pPr>
            <w:r w:rsidRPr="00942F86">
              <w:rPr>
                <w:b/>
                <w:sz w:val="25"/>
                <w:szCs w:val="25"/>
              </w:rPr>
              <w:t>7.1</w:t>
            </w:r>
          </w:p>
        </w:tc>
        <w:tc>
          <w:tcPr>
            <w:tcW w:w="4302" w:type="dxa"/>
            <w:tcBorders>
              <w:top w:val="single" w:sz="4" w:space="0" w:color="auto"/>
              <w:left w:val="single" w:sz="4" w:space="0" w:color="auto"/>
              <w:bottom w:val="single" w:sz="4" w:space="0" w:color="auto"/>
              <w:right w:val="single" w:sz="4" w:space="0" w:color="auto"/>
            </w:tcBorders>
            <w:noWrap/>
            <w:vAlign w:val="center"/>
          </w:tcPr>
          <w:p w14:paraId="64841174" w14:textId="77777777" w:rsidR="00323CCC" w:rsidRPr="00942F86" w:rsidRDefault="00323CCC" w:rsidP="00323CCC">
            <w:pPr>
              <w:spacing w:line="264" w:lineRule="auto"/>
              <w:rPr>
                <w:sz w:val="25"/>
                <w:szCs w:val="25"/>
              </w:rPr>
            </w:pPr>
            <w:r w:rsidRPr="00942F86">
              <w:rPr>
                <w:b/>
                <w:bCs/>
                <w:sz w:val="25"/>
                <w:szCs w:val="25"/>
              </w:rPr>
              <w:t>Interest True-up*</w:t>
            </w:r>
          </w:p>
        </w:tc>
        <w:tc>
          <w:tcPr>
            <w:tcW w:w="1466" w:type="dxa"/>
            <w:tcBorders>
              <w:top w:val="single" w:sz="4" w:space="0" w:color="auto"/>
              <w:left w:val="single" w:sz="4" w:space="0" w:color="auto"/>
              <w:bottom w:val="single" w:sz="4" w:space="0" w:color="auto"/>
              <w:right w:val="single" w:sz="4" w:space="0" w:color="auto"/>
            </w:tcBorders>
            <w:vAlign w:val="center"/>
          </w:tcPr>
          <w:p w14:paraId="399E696E" w14:textId="77777777" w:rsidR="00323CCC" w:rsidRPr="00942F86" w:rsidRDefault="00323CCC" w:rsidP="00323CCC">
            <w:pPr>
              <w:spacing w:line="264" w:lineRule="auto"/>
              <w:jc w:val="right"/>
              <w:rPr>
                <w:sz w:val="25"/>
                <w:szCs w:val="25"/>
              </w:rPr>
            </w:pPr>
            <w:r w:rsidRPr="00942F86">
              <w:rPr>
                <w:b/>
                <w:sz w:val="25"/>
                <w:szCs w:val="25"/>
              </w:rPr>
              <w:t>29,821</w:t>
            </w:r>
          </w:p>
        </w:tc>
        <w:tc>
          <w:tcPr>
            <w:tcW w:w="1591" w:type="dxa"/>
            <w:tcBorders>
              <w:top w:val="single" w:sz="4" w:space="0" w:color="auto"/>
              <w:left w:val="single" w:sz="4" w:space="0" w:color="auto"/>
              <w:bottom w:val="single" w:sz="4" w:space="0" w:color="auto"/>
              <w:right w:val="single" w:sz="4" w:space="0" w:color="auto"/>
            </w:tcBorders>
            <w:vAlign w:val="center"/>
          </w:tcPr>
          <w:p w14:paraId="0D3F7615" w14:textId="77777777" w:rsidR="00323CCC" w:rsidRPr="00942F86" w:rsidRDefault="00323CCC" w:rsidP="00323CCC">
            <w:pPr>
              <w:spacing w:line="264" w:lineRule="auto"/>
              <w:jc w:val="right"/>
              <w:rPr>
                <w:sz w:val="25"/>
                <w:szCs w:val="25"/>
              </w:rPr>
            </w:pPr>
            <w:r w:rsidRPr="00942F86">
              <w:rPr>
                <w:b/>
                <w:sz w:val="25"/>
                <w:szCs w:val="25"/>
              </w:rPr>
              <w:t>-</w:t>
            </w:r>
          </w:p>
        </w:tc>
        <w:tc>
          <w:tcPr>
            <w:tcW w:w="1645" w:type="dxa"/>
            <w:tcBorders>
              <w:top w:val="single" w:sz="4" w:space="0" w:color="auto"/>
              <w:left w:val="single" w:sz="4" w:space="0" w:color="auto"/>
              <w:bottom w:val="single" w:sz="4" w:space="0" w:color="auto"/>
              <w:right w:val="thickThinSmallGap" w:sz="24" w:space="0" w:color="auto"/>
            </w:tcBorders>
            <w:noWrap/>
            <w:vAlign w:val="center"/>
          </w:tcPr>
          <w:p w14:paraId="56A1C44A" w14:textId="77777777" w:rsidR="00323CCC" w:rsidRPr="00942F86" w:rsidRDefault="00323CCC" w:rsidP="00323CCC">
            <w:pPr>
              <w:spacing w:line="264" w:lineRule="auto"/>
              <w:jc w:val="right"/>
              <w:rPr>
                <w:sz w:val="25"/>
                <w:szCs w:val="25"/>
              </w:rPr>
            </w:pPr>
            <w:r w:rsidRPr="00942F86">
              <w:rPr>
                <w:b/>
                <w:sz w:val="25"/>
                <w:szCs w:val="25"/>
              </w:rPr>
              <w:t>(48,133)</w:t>
            </w:r>
          </w:p>
        </w:tc>
      </w:tr>
      <w:tr w:rsidR="00323CCC" w:rsidRPr="00942F86" w14:paraId="580229D4" w14:textId="77777777" w:rsidTr="00323CCC">
        <w:trPr>
          <w:trHeight w:val="432"/>
        </w:trPr>
        <w:tc>
          <w:tcPr>
            <w:tcW w:w="1122"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14:paraId="338A0CD5" w14:textId="77777777" w:rsidR="00323CCC" w:rsidRPr="00942F86" w:rsidRDefault="00323CCC" w:rsidP="00323CCC">
            <w:pPr>
              <w:spacing w:line="264" w:lineRule="auto"/>
              <w:jc w:val="center"/>
              <w:rPr>
                <w:b/>
                <w:sz w:val="25"/>
                <w:szCs w:val="25"/>
              </w:rPr>
            </w:pPr>
            <w:r w:rsidRPr="00942F86">
              <w:rPr>
                <w:b/>
                <w:sz w:val="25"/>
                <w:szCs w:val="25"/>
              </w:rPr>
              <w:t>8.4</w:t>
            </w:r>
          </w:p>
        </w:tc>
        <w:tc>
          <w:tcPr>
            <w:tcW w:w="4302" w:type="dxa"/>
            <w:tcBorders>
              <w:top w:val="single" w:sz="4" w:space="0" w:color="auto"/>
              <w:left w:val="single" w:sz="4" w:space="0" w:color="auto"/>
              <w:bottom w:val="single" w:sz="4" w:space="0" w:color="auto"/>
              <w:right w:val="single" w:sz="4" w:space="0" w:color="auto"/>
            </w:tcBorders>
            <w:noWrap/>
            <w:vAlign w:val="center"/>
          </w:tcPr>
          <w:p w14:paraId="521B0AD0" w14:textId="77777777" w:rsidR="00323CCC" w:rsidRPr="00942F86" w:rsidRDefault="00323CCC" w:rsidP="00323CCC">
            <w:pPr>
              <w:spacing w:line="264" w:lineRule="auto"/>
              <w:rPr>
                <w:sz w:val="25"/>
                <w:szCs w:val="25"/>
              </w:rPr>
            </w:pPr>
            <w:r w:rsidRPr="00942F86">
              <w:rPr>
                <w:b/>
                <w:bCs/>
                <w:sz w:val="25"/>
                <w:szCs w:val="25"/>
              </w:rPr>
              <w:t>Major Plant Additions</w:t>
            </w:r>
          </w:p>
        </w:tc>
        <w:tc>
          <w:tcPr>
            <w:tcW w:w="1466" w:type="dxa"/>
            <w:tcBorders>
              <w:top w:val="single" w:sz="4" w:space="0" w:color="auto"/>
              <w:left w:val="single" w:sz="4" w:space="0" w:color="auto"/>
              <w:bottom w:val="single" w:sz="4" w:space="0" w:color="auto"/>
              <w:right w:val="single" w:sz="4" w:space="0" w:color="auto"/>
            </w:tcBorders>
            <w:vAlign w:val="center"/>
          </w:tcPr>
          <w:p w14:paraId="727AB9AE" w14:textId="77777777" w:rsidR="00323CCC" w:rsidRPr="00942F86" w:rsidRDefault="00323CCC" w:rsidP="00323CCC">
            <w:pPr>
              <w:spacing w:line="264" w:lineRule="auto"/>
              <w:jc w:val="right"/>
              <w:rPr>
                <w:sz w:val="25"/>
                <w:szCs w:val="25"/>
              </w:rPr>
            </w:pPr>
            <w:r w:rsidRPr="00942F86">
              <w:rPr>
                <w:b/>
                <w:sz w:val="25"/>
                <w:szCs w:val="25"/>
              </w:rPr>
              <w:t>(429,735)</w:t>
            </w:r>
          </w:p>
        </w:tc>
        <w:tc>
          <w:tcPr>
            <w:tcW w:w="1591" w:type="dxa"/>
            <w:tcBorders>
              <w:top w:val="single" w:sz="4" w:space="0" w:color="auto"/>
              <w:left w:val="single" w:sz="4" w:space="0" w:color="auto"/>
              <w:bottom w:val="single" w:sz="4" w:space="0" w:color="auto"/>
              <w:right w:val="single" w:sz="4" w:space="0" w:color="auto"/>
            </w:tcBorders>
            <w:vAlign w:val="center"/>
          </w:tcPr>
          <w:p w14:paraId="69324C88" w14:textId="77777777" w:rsidR="00323CCC" w:rsidRPr="00942F86" w:rsidRDefault="00323CCC" w:rsidP="00323CCC">
            <w:pPr>
              <w:spacing w:line="264" w:lineRule="auto"/>
              <w:jc w:val="right"/>
              <w:rPr>
                <w:sz w:val="25"/>
                <w:szCs w:val="25"/>
              </w:rPr>
            </w:pPr>
            <w:r w:rsidRPr="00942F86">
              <w:rPr>
                <w:b/>
                <w:sz w:val="25"/>
                <w:szCs w:val="25"/>
              </w:rPr>
              <w:t>18,429,412</w:t>
            </w:r>
          </w:p>
        </w:tc>
        <w:tc>
          <w:tcPr>
            <w:tcW w:w="1645" w:type="dxa"/>
            <w:tcBorders>
              <w:top w:val="single" w:sz="4" w:space="0" w:color="auto"/>
              <w:left w:val="single" w:sz="4" w:space="0" w:color="auto"/>
              <w:bottom w:val="single" w:sz="4" w:space="0" w:color="auto"/>
              <w:right w:val="thickThinSmallGap" w:sz="24" w:space="0" w:color="auto"/>
            </w:tcBorders>
            <w:noWrap/>
            <w:vAlign w:val="center"/>
          </w:tcPr>
          <w:p w14:paraId="49AEF537" w14:textId="77777777" w:rsidR="00323CCC" w:rsidRPr="00942F86" w:rsidRDefault="00323CCC" w:rsidP="00323CCC">
            <w:pPr>
              <w:spacing w:line="264" w:lineRule="auto"/>
              <w:jc w:val="right"/>
              <w:rPr>
                <w:sz w:val="25"/>
                <w:szCs w:val="25"/>
              </w:rPr>
            </w:pPr>
            <w:r w:rsidRPr="00942F86">
              <w:rPr>
                <w:b/>
                <w:sz w:val="25"/>
                <w:szCs w:val="25"/>
              </w:rPr>
              <w:t>2,865,115</w:t>
            </w:r>
          </w:p>
        </w:tc>
      </w:tr>
      <w:tr w:rsidR="00323CCC" w:rsidRPr="00942F86" w14:paraId="58B8378E" w14:textId="77777777" w:rsidTr="00323CCC">
        <w:trPr>
          <w:trHeight w:val="432"/>
        </w:trPr>
        <w:tc>
          <w:tcPr>
            <w:tcW w:w="1122"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14:paraId="660B849A" w14:textId="77777777" w:rsidR="00323CCC" w:rsidRPr="00942F86" w:rsidRDefault="00323CCC" w:rsidP="00323CCC">
            <w:pPr>
              <w:spacing w:line="264" w:lineRule="auto"/>
              <w:jc w:val="center"/>
              <w:rPr>
                <w:b/>
                <w:sz w:val="25"/>
                <w:szCs w:val="25"/>
              </w:rPr>
            </w:pPr>
            <w:r w:rsidRPr="00942F86">
              <w:rPr>
                <w:b/>
                <w:sz w:val="25"/>
                <w:szCs w:val="25"/>
              </w:rPr>
              <w:t>8.10</w:t>
            </w:r>
          </w:p>
        </w:tc>
        <w:tc>
          <w:tcPr>
            <w:tcW w:w="4302" w:type="dxa"/>
            <w:tcBorders>
              <w:top w:val="single" w:sz="4" w:space="0" w:color="auto"/>
              <w:left w:val="single" w:sz="4" w:space="0" w:color="auto"/>
              <w:bottom w:val="single" w:sz="4" w:space="0" w:color="auto"/>
              <w:right w:val="single" w:sz="4" w:space="0" w:color="auto"/>
            </w:tcBorders>
            <w:noWrap/>
            <w:vAlign w:val="center"/>
          </w:tcPr>
          <w:p w14:paraId="62EAF8EF" w14:textId="77777777" w:rsidR="00323CCC" w:rsidRPr="00942F86" w:rsidRDefault="00323CCC" w:rsidP="00323CCC">
            <w:pPr>
              <w:spacing w:line="264" w:lineRule="auto"/>
              <w:rPr>
                <w:sz w:val="25"/>
                <w:szCs w:val="25"/>
              </w:rPr>
            </w:pPr>
            <w:r w:rsidRPr="00942F86">
              <w:rPr>
                <w:b/>
                <w:bCs/>
                <w:sz w:val="25"/>
                <w:szCs w:val="25"/>
              </w:rPr>
              <w:t>Regulatory Asset Amortization</w:t>
            </w:r>
          </w:p>
        </w:tc>
        <w:tc>
          <w:tcPr>
            <w:tcW w:w="1466" w:type="dxa"/>
            <w:tcBorders>
              <w:top w:val="single" w:sz="4" w:space="0" w:color="auto"/>
              <w:left w:val="single" w:sz="4" w:space="0" w:color="auto"/>
              <w:bottom w:val="single" w:sz="4" w:space="0" w:color="auto"/>
              <w:right w:val="single" w:sz="4" w:space="0" w:color="auto"/>
            </w:tcBorders>
            <w:vAlign w:val="center"/>
          </w:tcPr>
          <w:p w14:paraId="6B5CE5BA" w14:textId="77777777" w:rsidR="00323CCC" w:rsidRPr="00942F86" w:rsidRDefault="00323CCC" w:rsidP="00323CCC">
            <w:pPr>
              <w:spacing w:line="264" w:lineRule="auto"/>
              <w:jc w:val="right"/>
              <w:rPr>
                <w:sz w:val="25"/>
                <w:szCs w:val="25"/>
              </w:rPr>
            </w:pPr>
            <w:r w:rsidRPr="00942F86">
              <w:rPr>
                <w:b/>
                <w:sz w:val="25"/>
                <w:szCs w:val="25"/>
              </w:rPr>
              <w:t>(1,950,000)</w:t>
            </w:r>
          </w:p>
        </w:tc>
        <w:tc>
          <w:tcPr>
            <w:tcW w:w="1591" w:type="dxa"/>
            <w:tcBorders>
              <w:top w:val="single" w:sz="4" w:space="0" w:color="auto"/>
              <w:left w:val="single" w:sz="4" w:space="0" w:color="auto"/>
              <w:bottom w:val="single" w:sz="4" w:space="0" w:color="auto"/>
              <w:right w:val="single" w:sz="4" w:space="0" w:color="auto"/>
            </w:tcBorders>
            <w:vAlign w:val="center"/>
          </w:tcPr>
          <w:p w14:paraId="65E608E7" w14:textId="77777777" w:rsidR="00323CCC" w:rsidRPr="00942F86" w:rsidRDefault="00323CCC" w:rsidP="00323CCC">
            <w:pPr>
              <w:spacing w:line="264" w:lineRule="auto"/>
              <w:jc w:val="right"/>
              <w:rPr>
                <w:sz w:val="25"/>
                <w:szCs w:val="25"/>
              </w:rPr>
            </w:pPr>
            <w:r w:rsidRPr="00942F86">
              <w:rPr>
                <w:b/>
                <w:sz w:val="25"/>
                <w:szCs w:val="25"/>
              </w:rPr>
              <w:t>-</w:t>
            </w:r>
          </w:p>
        </w:tc>
        <w:tc>
          <w:tcPr>
            <w:tcW w:w="1645" w:type="dxa"/>
            <w:tcBorders>
              <w:top w:val="single" w:sz="4" w:space="0" w:color="auto"/>
              <w:left w:val="single" w:sz="4" w:space="0" w:color="auto"/>
              <w:bottom w:val="single" w:sz="4" w:space="0" w:color="auto"/>
              <w:right w:val="thickThinSmallGap" w:sz="24" w:space="0" w:color="auto"/>
            </w:tcBorders>
            <w:noWrap/>
            <w:vAlign w:val="center"/>
          </w:tcPr>
          <w:p w14:paraId="44F07B55" w14:textId="77777777" w:rsidR="00323CCC" w:rsidRPr="00942F86" w:rsidRDefault="00323CCC" w:rsidP="00323CCC">
            <w:pPr>
              <w:spacing w:line="264" w:lineRule="auto"/>
              <w:jc w:val="right"/>
              <w:rPr>
                <w:sz w:val="25"/>
                <w:szCs w:val="25"/>
              </w:rPr>
            </w:pPr>
            <w:r w:rsidRPr="00942F86">
              <w:rPr>
                <w:b/>
                <w:sz w:val="25"/>
                <w:szCs w:val="25"/>
              </w:rPr>
              <w:t>3,147,446</w:t>
            </w:r>
          </w:p>
        </w:tc>
      </w:tr>
      <w:tr w:rsidR="00323CCC" w:rsidRPr="00942F86" w14:paraId="08BD7A07" w14:textId="77777777" w:rsidTr="00323CCC">
        <w:trPr>
          <w:trHeight w:val="432"/>
        </w:trPr>
        <w:tc>
          <w:tcPr>
            <w:tcW w:w="1122"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14:paraId="2E382DF6" w14:textId="77777777" w:rsidR="00323CCC" w:rsidRPr="00942F86" w:rsidRDefault="00323CCC" w:rsidP="00323CCC">
            <w:pPr>
              <w:spacing w:line="264" w:lineRule="auto"/>
              <w:jc w:val="center"/>
              <w:rPr>
                <w:b/>
                <w:sz w:val="25"/>
                <w:szCs w:val="25"/>
              </w:rPr>
            </w:pPr>
            <w:r w:rsidRPr="00942F86">
              <w:rPr>
                <w:b/>
                <w:sz w:val="25"/>
                <w:szCs w:val="25"/>
              </w:rPr>
              <w:t>8.12-8.12.6</w:t>
            </w:r>
          </w:p>
        </w:tc>
        <w:tc>
          <w:tcPr>
            <w:tcW w:w="4302" w:type="dxa"/>
            <w:tcBorders>
              <w:top w:val="single" w:sz="4" w:space="0" w:color="auto"/>
              <w:left w:val="single" w:sz="4" w:space="0" w:color="auto"/>
              <w:bottom w:val="single" w:sz="4" w:space="0" w:color="auto"/>
              <w:right w:val="single" w:sz="4" w:space="0" w:color="auto"/>
            </w:tcBorders>
            <w:noWrap/>
            <w:vAlign w:val="center"/>
          </w:tcPr>
          <w:p w14:paraId="3C47F502" w14:textId="77777777" w:rsidR="00323CCC" w:rsidRPr="00942F86" w:rsidRDefault="00323CCC" w:rsidP="00323CCC">
            <w:pPr>
              <w:spacing w:line="264" w:lineRule="auto"/>
              <w:rPr>
                <w:sz w:val="25"/>
                <w:szCs w:val="25"/>
              </w:rPr>
            </w:pPr>
            <w:r w:rsidRPr="00942F86">
              <w:rPr>
                <w:b/>
                <w:bCs/>
                <w:sz w:val="25"/>
                <w:szCs w:val="25"/>
              </w:rPr>
              <w:t>Adj. December 2013 AMA Plant Balances to  December 2013 EOP Balances</w:t>
            </w:r>
          </w:p>
        </w:tc>
        <w:tc>
          <w:tcPr>
            <w:tcW w:w="1466" w:type="dxa"/>
            <w:tcBorders>
              <w:top w:val="single" w:sz="4" w:space="0" w:color="auto"/>
              <w:left w:val="single" w:sz="4" w:space="0" w:color="auto"/>
              <w:bottom w:val="single" w:sz="4" w:space="0" w:color="auto"/>
              <w:right w:val="single" w:sz="4" w:space="0" w:color="auto"/>
            </w:tcBorders>
            <w:vAlign w:val="center"/>
          </w:tcPr>
          <w:p w14:paraId="2F8F21DF" w14:textId="77777777" w:rsidR="00323CCC" w:rsidRPr="00942F86" w:rsidRDefault="00323CCC" w:rsidP="00323CCC">
            <w:pPr>
              <w:spacing w:line="264" w:lineRule="auto"/>
              <w:jc w:val="right"/>
              <w:rPr>
                <w:sz w:val="25"/>
                <w:szCs w:val="25"/>
              </w:rPr>
            </w:pPr>
            <w:r w:rsidRPr="00942F86">
              <w:rPr>
                <w:b/>
                <w:sz w:val="25"/>
                <w:szCs w:val="25"/>
              </w:rPr>
              <w:t>-</w:t>
            </w:r>
          </w:p>
        </w:tc>
        <w:tc>
          <w:tcPr>
            <w:tcW w:w="1591" w:type="dxa"/>
            <w:tcBorders>
              <w:top w:val="single" w:sz="4" w:space="0" w:color="auto"/>
              <w:left w:val="single" w:sz="4" w:space="0" w:color="auto"/>
              <w:bottom w:val="single" w:sz="4" w:space="0" w:color="auto"/>
              <w:right w:val="single" w:sz="4" w:space="0" w:color="auto"/>
            </w:tcBorders>
            <w:vAlign w:val="center"/>
          </w:tcPr>
          <w:p w14:paraId="2113412E" w14:textId="77777777" w:rsidR="00323CCC" w:rsidRPr="00942F86" w:rsidRDefault="00323CCC" w:rsidP="00323CCC">
            <w:pPr>
              <w:spacing w:line="264" w:lineRule="auto"/>
              <w:jc w:val="right"/>
              <w:rPr>
                <w:sz w:val="25"/>
                <w:szCs w:val="25"/>
              </w:rPr>
            </w:pPr>
            <w:r w:rsidRPr="00942F86">
              <w:rPr>
                <w:b/>
                <w:sz w:val="25"/>
                <w:szCs w:val="25"/>
              </w:rPr>
              <w:t>-</w:t>
            </w:r>
          </w:p>
        </w:tc>
        <w:tc>
          <w:tcPr>
            <w:tcW w:w="1645" w:type="dxa"/>
            <w:tcBorders>
              <w:top w:val="single" w:sz="4" w:space="0" w:color="auto"/>
              <w:left w:val="single" w:sz="4" w:space="0" w:color="auto"/>
              <w:bottom w:val="single" w:sz="4" w:space="0" w:color="auto"/>
              <w:right w:val="thickThinSmallGap" w:sz="24" w:space="0" w:color="auto"/>
            </w:tcBorders>
            <w:noWrap/>
            <w:vAlign w:val="center"/>
          </w:tcPr>
          <w:p w14:paraId="7AB83B07" w14:textId="77777777" w:rsidR="00323CCC" w:rsidRPr="00942F86" w:rsidRDefault="00323CCC" w:rsidP="00323CCC">
            <w:pPr>
              <w:spacing w:line="264" w:lineRule="auto"/>
              <w:jc w:val="right"/>
              <w:rPr>
                <w:sz w:val="25"/>
                <w:szCs w:val="25"/>
              </w:rPr>
            </w:pPr>
            <w:r w:rsidRPr="00942F86">
              <w:rPr>
                <w:b/>
                <w:sz w:val="25"/>
                <w:szCs w:val="25"/>
              </w:rPr>
              <w:t>-</w:t>
            </w:r>
          </w:p>
        </w:tc>
      </w:tr>
      <w:tr w:rsidR="00323CCC" w:rsidRPr="00942F86" w14:paraId="6A3D0A58" w14:textId="77777777" w:rsidTr="00323CCC">
        <w:trPr>
          <w:trHeight w:val="432"/>
        </w:trPr>
        <w:tc>
          <w:tcPr>
            <w:tcW w:w="1122"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14:paraId="67FF0308" w14:textId="77777777" w:rsidR="00323CCC" w:rsidRPr="00942F86" w:rsidRDefault="00323CCC" w:rsidP="00323CCC">
            <w:pPr>
              <w:spacing w:line="264" w:lineRule="auto"/>
              <w:jc w:val="center"/>
              <w:rPr>
                <w:b/>
                <w:sz w:val="25"/>
                <w:szCs w:val="25"/>
              </w:rPr>
            </w:pPr>
            <w:r w:rsidRPr="00942F86">
              <w:rPr>
                <w:b/>
                <w:sz w:val="25"/>
                <w:szCs w:val="25"/>
              </w:rPr>
              <w:t>9.1</w:t>
            </w:r>
          </w:p>
        </w:tc>
        <w:tc>
          <w:tcPr>
            <w:tcW w:w="4302" w:type="dxa"/>
            <w:tcBorders>
              <w:top w:val="single" w:sz="4" w:space="0" w:color="auto"/>
              <w:left w:val="single" w:sz="4" w:space="0" w:color="auto"/>
              <w:bottom w:val="single" w:sz="4" w:space="0" w:color="auto"/>
              <w:right w:val="single" w:sz="4" w:space="0" w:color="auto"/>
            </w:tcBorders>
            <w:noWrap/>
            <w:vAlign w:val="center"/>
          </w:tcPr>
          <w:p w14:paraId="3D24355B" w14:textId="77777777" w:rsidR="00323CCC" w:rsidRPr="00942F86" w:rsidRDefault="00323CCC" w:rsidP="00323CCC">
            <w:pPr>
              <w:spacing w:line="264" w:lineRule="auto"/>
              <w:rPr>
                <w:sz w:val="25"/>
                <w:szCs w:val="25"/>
              </w:rPr>
            </w:pPr>
            <w:r w:rsidRPr="00942F86">
              <w:rPr>
                <w:b/>
                <w:bCs/>
                <w:sz w:val="25"/>
                <w:szCs w:val="25"/>
              </w:rPr>
              <w:t>Production Factor</w:t>
            </w:r>
          </w:p>
        </w:tc>
        <w:tc>
          <w:tcPr>
            <w:tcW w:w="1466" w:type="dxa"/>
            <w:tcBorders>
              <w:top w:val="single" w:sz="4" w:space="0" w:color="auto"/>
              <w:left w:val="single" w:sz="4" w:space="0" w:color="auto"/>
              <w:bottom w:val="single" w:sz="4" w:space="0" w:color="auto"/>
              <w:right w:val="single" w:sz="4" w:space="0" w:color="auto"/>
            </w:tcBorders>
            <w:vAlign w:val="center"/>
          </w:tcPr>
          <w:p w14:paraId="311FA9AB" w14:textId="77777777" w:rsidR="00323CCC" w:rsidRPr="00942F86" w:rsidRDefault="00323CCC" w:rsidP="00323CCC">
            <w:pPr>
              <w:spacing w:line="264" w:lineRule="auto"/>
              <w:jc w:val="right"/>
              <w:rPr>
                <w:sz w:val="25"/>
                <w:szCs w:val="25"/>
              </w:rPr>
            </w:pPr>
            <w:r w:rsidRPr="00942F86">
              <w:rPr>
                <w:b/>
                <w:sz w:val="25"/>
                <w:szCs w:val="25"/>
              </w:rPr>
              <w:t>(629,599)</w:t>
            </w:r>
          </w:p>
        </w:tc>
        <w:tc>
          <w:tcPr>
            <w:tcW w:w="1591" w:type="dxa"/>
            <w:tcBorders>
              <w:top w:val="single" w:sz="4" w:space="0" w:color="auto"/>
              <w:left w:val="single" w:sz="4" w:space="0" w:color="auto"/>
              <w:bottom w:val="single" w:sz="4" w:space="0" w:color="auto"/>
              <w:right w:val="single" w:sz="4" w:space="0" w:color="auto"/>
            </w:tcBorders>
            <w:vAlign w:val="center"/>
          </w:tcPr>
          <w:p w14:paraId="26BCD525" w14:textId="77777777" w:rsidR="00323CCC" w:rsidRPr="00942F86" w:rsidRDefault="00323CCC" w:rsidP="00323CCC">
            <w:pPr>
              <w:spacing w:line="264" w:lineRule="auto"/>
              <w:jc w:val="right"/>
              <w:rPr>
                <w:sz w:val="25"/>
                <w:szCs w:val="25"/>
              </w:rPr>
            </w:pPr>
            <w:r w:rsidRPr="00942F86">
              <w:rPr>
                <w:b/>
                <w:sz w:val="25"/>
                <w:szCs w:val="25"/>
              </w:rPr>
              <w:t>142,456</w:t>
            </w:r>
          </w:p>
        </w:tc>
        <w:tc>
          <w:tcPr>
            <w:tcW w:w="1645" w:type="dxa"/>
            <w:tcBorders>
              <w:top w:val="single" w:sz="4" w:space="0" w:color="auto"/>
              <w:left w:val="single" w:sz="4" w:space="0" w:color="auto"/>
              <w:bottom w:val="single" w:sz="4" w:space="0" w:color="auto"/>
              <w:right w:val="thickThinSmallGap" w:sz="24" w:space="0" w:color="auto"/>
            </w:tcBorders>
            <w:noWrap/>
            <w:vAlign w:val="center"/>
          </w:tcPr>
          <w:p w14:paraId="3549C5FB" w14:textId="77777777" w:rsidR="00323CCC" w:rsidRPr="00942F86" w:rsidRDefault="00323CCC" w:rsidP="00323CCC">
            <w:pPr>
              <w:spacing w:line="264" w:lineRule="auto"/>
              <w:jc w:val="right"/>
              <w:rPr>
                <w:sz w:val="25"/>
                <w:szCs w:val="25"/>
              </w:rPr>
            </w:pPr>
            <w:r w:rsidRPr="00942F86">
              <w:rPr>
                <w:b/>
                <w:sz w:val="25"/>
                <w:szCs w:val="25"/>
              </w:rPr>
              <w:t>1,033,006</w:t>
            </w:r>
          </w:p>
        </w:tc>
      </w:tr>
      <w:tr w:rsidR="00323CCC" w:rsidRPr="00942F86" w14:paraId="7CEEF59E" w14:textId="77777777" w:rsidTr="00323CCC">
        <w:trPr>
          <w:trHeight w:val="432"/>
        </w:trPr>
        <w:tc>
          <w:tcPr>
            <w:tcW w:w="1122"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14:paraId="42C2BBD8" w14:textId="77777777" w:rsidR="00323CCC" w:rsidRPr="00942F86" w:rsidRDefault="00323CCC" w:rsidP="00323CCC">
            <w:pPr>
              <w:spacing w:line="264" w:lineRule="auto"/>
              <w:rPr>
                <w:b/>
                <w:sz w:val="25"/>
                <w:szCs w:val="25"/>
              </w:rPr>
            </w:pPr>
          </w:p>
        </w:tc>
        <w:tc>
          <w:tcPr>
            <w:tcW w:w="4302" w:type="dxa"/>
            <w:tcBorders>
              <w:top w:val="single" w:sz="4" w:space="0" w:color="auto"/>
              <w:left w:val="single" w:sz="4" w:space="0" w:color="auto"/>
              <w:bottom w:val="single" w:sz="4" w:space="0" w:color="auto"/>
              <w:right w:val="single" w:sz="4" w:space="0" w:color="auto"/>
            </w:tcBorders>
            <w:noWrap/>
            <w:vAlign w:val="center"/>
          </w:tcPr>
          <w:p w14:paraId="43AD1A32" w14:textId="77777777" w:rsidR="00323CCC" w:rsidRPr="00942F86" w:rsidRDefault="00323CCC" w:rsidP="00323CCC">
            <w:pPr>
              <w:spacing w:line="264" w:lineRule="auto"/>
              <w:rPr>
                <w:sz w:val="25"/>
                <w:szCs w:val="25"/>
              </w:rPr>
            </w:pPr>
            <w:r w:rsidRPr="00942F86">
              <w:rPr>
                <w:b/>
                <w:sz w:val="25"/>
                <w:szCs w:val="25"/>
              </w:rPr>
              <w:t>Sub-total Contested Adjustments</w:t>
            </w:r>
          </w:p>
        </w:tc>
        <w:tc>
          <w:tcPr>
            <w:tcW w:w="1466" w:type="dxa"/>
            <w:tcBorders>
              <w:top w:val="single" w:sz="4" w:space="0" w:color="auto"/>
              <w:left w:val="single" w:sz="4" w:space="0" w:color="auto"/>
              <w:bottom w:val="single" w:sz="4" w:space="0" w:color="auto"/>
              <w:right w:val="single" w:sz="4" w:space="0" w:color="auto"/>
            </w:tcBorders>
            <w:vAlign w:val="center"/>
          </w:tcPr>
          <w:p w14:paraId="62D2CA00" w14:textId="77777777" w:rsidR="00323CCC" w:rsidRPr="00942F86" w:rsidRDefault="00323CCC" w:rsidP="00323CCC">
            <w:pPr>
              <w:spacing w:line="264" w:lineRule="auto"/>
              <w:jc w:val="right"/>
              <w:rPr>
                <w:sz w:val="25"/>
                <w:szCs w:val="25"/>
              </w:rPr>
            </w:pPr>
            <w:r w:rsidRPr="00942F86">
              <w:rPr>
                <w:b/>
                <w:sz w:val="25"/>
                <w:szCs w:val="25"/>
              </w:rPr>
              <w:t>$35,641,474</w:t>
            </w:r>
          </w:p>
        </w:tc>
        <w:tc>
          <w:tcPr>
            <w:tcW w:w="1591" w:type="dxa"/>
            <w:tcBorders>
              <w:top w:val="single" w:sz="4" w:space="0" w:color="auto"/>
              <w:left w:val="single" w:sz="4" w:space="0" w:color="auto"/>
              <w:bottom w:val="single" w:sz="4" w:space="0" w:color="auto"/>
              <w:right w:val="single" w:sz="4" w:space="0" w:color="auto"/>
            </w:tcBorders>
            <w:vAlign w:val="center"/>
          </w:tcPr>
          <w:p w14:paraId="4B9C5A09" w14:textId="77777777" w:rsidR="00323CCC" w:rsidRPr="00942F86" w:rsidRDefault="00323CCC" w:rsidP="00323CCC">
            <w:pPr>
              <w:spacing w:line="264" w:lineRule="auto"/>
              <w:jc w:val="right"/>
              <w:rPr>
                <w:sz w:val="25"/>
                <w:szCs w:val="25"/>
              </w:rPr>
            </w:pPr>
            <w:r w:rsidRPr="00942F86">
              <w:rPr>
                <w:b/>
                <w:sz w:val="25"/>
                <w:szCs w:val="25"/>
              </w:rPr>
              <w:t>$805,941,805</w:t>
            </w:r>
          </w:p>
        </w:tc>
        <w:tc>
          <w:tcPr>
            <w:tcW w:w="1645" w:type="dxa"/>
            <w:tcBorders>
              <w:top w:val="single" w:sz="4" w:space="0" w:color="auto"/>
              <w:left w:val="single" w:sz="4" w:space="0" w:color="auto"/>
              <w:bottom w:val="single" w:sz="4" w:space="0" w:color="auto"/>
              <w:right w:val="thickThinSmallGap" w:sz="24" w:space="0" w:color="auto"/>
            </w:tcBorders>
            <w:noWrap/>
            <w:vAlign w:val="center"/>
          </w:tcPr>
          <w:p w14:paraId="4836E4A9" w14:textId="77777777" w:rsidR="00323CCC" w:rsidRPr="00942F86" w:rsidRDefault="00323CCC" w:rsidP="00323CCC">
            <w:pPr>
              <w:spacing w:line="264" w:lineRule="auto"/>
              <w:jc w:val="right"/>
              <w:rPr>
                <w:sz w:val="25"/>
                <w:szCs w:val="25"/>
              </w:rPr>
            </w:pPr>
            <w:r w:rsidRPr="00942F86">
              <w:rPr>
                <w:b/>
                <w:sz w:val="25"/>
                <w:szCs w:val="25"/>
              </w:rPr>
              <w:t>$37,434,070</w:t>
            </w:r>
          </w:p>
        </w:tc>
      </w:tr>
      <w:tr w:rsidR="00323CCC" w:rsidRPr="00942F86" w14:paraId="08B3B6BD" w14:textId="77777777" w:rsidTr="00323CCC">
        <w:trPr>
          <w:trHeight w:val="432"/>
        </w:trPr>
        <w:tc>
          <w:tcPr>
            <w:tcW w:w="1122" w:type="dxa"/>
            <w:tcBorders>
              <w:top w:val="single" w:sz="4" w:space="0" w:color="auto"/>
              <w:left w:val="thinThickSmallGap" w:sz="24" w:space="0" w:color="auto"/>
              <w:bottom w:val="thickThinSmallGap" w:sz="24" w:space="0" w:color="auto"/>
              <w:right w:val="single" w:sz="4" w:space="0" w:color="auto"/>
            </w:tcBorders>
            <w:noWrap/>
            <w:vAlign w:val="center"/>
          </w:tcPr>
          <w:p w14:paraId="7651A083" w14:textId="77777777" w:rsidR="00323CCC" w:rsidRPr="00942F86" w:rsidRDefault="00323CCC" w:rsidP="00323CCC">
            <w:pPr>
              <w:spacing w:line="264" w:lineRule="auto"/>
              <w:rPr>
                <w:b/>
                <w:sz w:val="25"/>
                <w:szCs w:val="25"/>
              </w:rPr>
            </w:pPr>
          </w:p>
        </w:tc>
        <w:tc>
          <w:tcPr>
            <w:tcW w:w="4302" w:type="dxa"/>
            <w:tcBorders>
              <w:top w:val="single" w:sz="4" w:space="0" w:color="auto"/>
              <w:left w:val="single" w:sz="4" w:space="0" w:color="auto"/>
              <w:bottom w:val="thickThinSmallGap" w:sz="24" w:space="0" w:color="auto"/>
              <w:right w:val="single" w:sz="4" w:space="0" w:color="auto"/>
            </w:tcBorders>
            <w:noWrap/>
            <w:vAlign w:val="center"/>
          </w:tcPr>
          <w:p w14:paraId="3487B402" w14:textId="77777777" w:rsidR="00323CCC" w:rsidRPr="00942F86" w:rsidRDefault="00323CCC" w:rsidP="00323CCC">
            <w:pPr>
              <w:spacing w:line="264" w:lineRule="auto"/>
              <w:rPr>
                <w:sz w:val="25"/>
                <w:szCs w:val="25"/>
              </w:rPr>
            </w:pPr>
            <w:r w:rsidRPr="00942F86">
              <w:rPr>
                <w:b/>
                <w:sz w:val="25"/>
                <w:szCs w:val="25"/>
              </w:rPr>
              <w:t>Total Adjusted Results</w:t>
            </w:r>
            <w:r w:rsidRPr="00942F86">
              <w:rPr>
                <w:rStyle w:val="FootnoteReference"/>
                <w:b/>
                <w:sz w:val="25"/>
                <w:szCs w:val="25"/>
              </w:rPr>
              <w:footnoteReference w:id="425"/>
            </w:r>
          </w:p>
        </w:tc>
        <w:tc>
          <w:tcPr>
            <w:tcW w:w="1466" w:type="dxa"/>
            <w:tcBorders>
              <w:top w:val="single" w:sz="4" w:space="0" w:color="auto"/>
              <w:left w:val="single" w:sz="4" w:space="0" w:color="auto"/>
              <w:bottom w:val="thickThinSmallGap" w:sz="24" w:space="0" w:color="auto"/>
              <w:right w:val="single" w:sz="4" w:space="0" w:color="auto"/>
            </w:tcBorders>
            <w:vAlign w:val="center"/>
          </w:tcPr>
          <w:p w14:paraId="5511724A" w14:textId="77777777" w:rsidR="00323CCC" w:rsidRPr="00942F86" w:rsidRDefault="00323CCC" w:rsidP="00323CCC">
            <w:pPr>
              <w:spacing w:line="264" w:lineRule="auto"/>
              <w:jc w:val="right"/>
              <w:rPr>
                <w:sz w:val="25"/>
                <w:szCs w:val="25"/>
              </w:rPr>
            </w:pPr>
            <w:r w:rsidRPr="00942F86">
              <w:rPr>
                <w:b/>
                <w:sz w:val="25"/>
                <w:szCs w:val="25"/>
              </w:rPr>
              <w:t>$53,850,896</w:t>
            </w:r>
          </w:p>
        </w:tc>
        <w:tc>
          <w:tcPr>
            <w:tcW w:w="1591" w:type="dxa"/>
            <w:tcBorders>
              <w:top w:val="single" w:sz="4" w:space="0" w:color="auto"/>
              <w:left w:val="single" w:sz="4" w:space="0" w:color="auto"/>
              <w:bottom w:val="thickThinSmallGap" w:sz="24" w:space="0" w:color="auto"/>
              <w:right w:val="single" w:sz="4" w:space="0" w:color="auto"/>
            </w:tcBorders>
            <w:vAlign w:val="center"/>
          </w:tcPr>
          <w:p w14:paraId="195A5840" w14:textId="77777777" w:rsidR="00323CCC" w:rsidRPr="00942F86" w:rsidRDefault="00323CCC" w:rsidP="00323CCC">
            <w:pPr>
              <w:spacing w:line="264" w:lineRule="auto"/>
              <w:jc w:val="right"/>
              <w:rPr>
                <w:sz w:val="25"/>
                <w:szCs w:val="25"/>
              </w:rPr>
            </w:pPr>
            <w:r w:rsidRPr="00942F86">
              <w:rPr>
                <w:b/>
                <w:sz w:val="25"/>
                <w:szCs w:val="25"/>
              </w:rPr>
              <w:t>$818,890,931</w:t>
            </w:r>
          </w:p>
        </w:tc>
        <w:tc>
          <w:tcPr>
            <w:tcW w:w="1645" w:type="dxa"/>
            <w:tcBorders>
              <w:top w:val="single" w:sz="4" w:space="0" w:color="auto"/>
              <w:left w:val="single" w:sz="4" w:space="0" w:color="auto"/>
              <w:bottom w:val="thickThinSmallGap" w:sz="24" w:space="0" w:color="auto"/>
              <w:right w:val="thickThinSmallGap" w:sz="24" w:space="0" w:color="auto"/>
            </w:tcBorders>
            <w:noWrap/>
            <w:vAlign w:val="center"/>
          </w:tcPr>
          <w:p w14:paraId="39F86126" w14:textId="77777777" w:rsidR="00323CCC" w:rsidRPr="00942F86" w:rsidRDefault="00323CCC" w:rsidP="00323CCC">
            <w:pPr>
              <w:spacing w:line="264" w:lineRule="auto"/>
              <w:jc w:val="right"/>
              <w:rPr>
                <w:sz w:val="25"/>
                <w:szCs w:val="25"/>
              </w:rPr>
            </w:pPr>
            <w:r w:rsidRPr="00942F86">
              <w:rPr>
                <w:b/>
                <w:sz w:val="25"/>
                <w:szCs w:val="25"/>
              </w:rPr>
              <w:t>$9,568,464</w:t>
            </w:r>
          </w:p>
        </w:tc>
      </w:tr>
    </w:tbl>
    <w:p w14:paraId="6BD0E0B5" w14:textId="77777777" w:rsidR="00C62CBE" w:rsidRPr="00942F86" w:rsidRDefault="00C62CBE" w:rsidP="000455AC">
      <w:pPr>
        <w:keepNext/>
        <w:spacing w:line="264" w:lineRule="auto"/>
        <w:jc w:val="center"/>
        <w:outlineLvl w:val="0"/>
        <w:rPr>
          <w:b/>
          <w:bCs/>
          <w:kern w:val="32"/>
          <w:sz w:val="25"/>
          <w:szCs w:val="25"/>
        </w:rPr>
      </w:pPr>
      <w:r w:rsidRPr="00942F86">
        <w:rPr>
          <w:b/>
          <w:bCs/>
          <w:kern w:val="32"/>
          <w:sz w:val="25"/>
          <w:szCs w:val="25"/>
        </w:rPr>
        <w:br w:type="page"/>
      </w:r>
    </w:p>
    <w:p w14:paraId="47496728" w14:textId="77777777" w:rsidR="00C62CBE" w:rsidRPr="00942F86" w:rsidRDefault="00C62CBE" w:rsidP="000455AC">
      <w:pPr>
        <w:keepNext/>
        <w:spacing w:line="264" w:lineRule="auto"/>
        <w:jc w:val="center"/>
        <w:outlineLvl w:val="0"/>
        <w:rPr>
          <w:b/>
          <w:bCs/>
          <w:kern w:val="32"/>
          <w:sz w:val="25"/>
          <w:szCs w:val="25"/>
        </w:rPr>
      </w:pPr>
    </w:p>
    <w:p w14:paraId="6607367B" w14:textId="77777777" w:rsidR="00C62CBE" w:rsidRPr="00942F86" w:rsidRDefault="00C62CBE" w:rsidP="000455AC">
      <w:pPr>
        <w:keepNext/>
        <w:spacing w:line="264" w:lineRule="auto"/>
        <w:jc w:val="center"/>
        <w:outlineLvl w:val="0"/>
        <w:rPr>
          <w:b/>
          <w:bCs/>
          <w:kern w:val="32"/>
          <w:sz w:val="25"/>
          <w:szCs w:val="25"/>
        </w:rPr>
      </w:pPr>
    </w:p>
    <w:p w14:paraId="3DC1FB6E" w14:textId="77777777" w:rsidR="00C62CBE" w:rsidRPr="00942F86" w:rsidRDefault="00C62CBE" w:rsidP="000455AC">
      <w:pPr>
        <w:keepNext/>
        <w:spacing w:line="264" w:lineRule="auto"/>
        <w:jc w:val="center"/>
        <w:outlineLvl w:val="0"/>
        <w:rPr>
          <w:b/>
          <w:bCs/>
          <w:kern w:val="32"/>
          <w:sz w:val="25"/>
          <w:szCs w:val="25"/>
        </w:rPr>
      </w:pPr>
    </w:p>
    <w:p w14:paraId="55D77045" w14:textId="77777777" w:rsidR="00C62CBE" w:rsidRDefault="00C62CBE" w:rsidP="000455AC">
      <w:pPr>
        <w:keepNext/>
        <w:spacing w:line="264" w:lineRule="auto"/>
        <w:jc w:val="center"/>
        <w:outlineLvl w:val="0"/>
        <w:rPr>
          <w:b/>
          <w:bCs/>
          <w:kern w:val="32"/>
          <w:sz w:val="25"/>
          <w:szCs w:val="25"/>
        </w:rPr>
      </w:pPr>
    </w:p>
    <w:p w14:paraId="17D2587C" w14:textId="77777777" w:rsidR="000455AC" w:rsidRDefault="000455AC" w:rsidP="000455AC">
      <w:pPr>
        <w:keepNext/>
        <w:spacing w:line="264" w:lineRule="auto"/>
        <w:jc w:val="center"/>
        <w:outlineLvl w:val="0"/>
        <w:rPr>
          <w:b/>
          <w:bCs/>
          <w:kern w:val="32"/>
          <w:sz w:val="25"/>
          <w:szCs w:val="25"/>
        </w:rPr>
      </w:pPr>
    </w:p>
    <w:p w14:paraId="7B99568C" w14:textId="77777777" w:rsidR="000455AC" w:rsidRDefault="000455AC" w:rsidP="000455AC">
      <w:pPr>
        <w:keepNext/>
        <w:spacing w:line="264" w:lineRule="auto"/>
        <w:jc w:val="center"/>
        <w:outlineLvl w:val="0"/>
        <w:rPr>
          <w:b/>
          <w:bCs/>
          <w:kern w:val="32"/>
          <w:sz w:val="25"/>
          <w:szCs w:val="25"/>
        </w:rPr>
      </w:pPr>
    </w:p>
    <w:p w14:paraId="449A4054" w14:textId="77777777" w:rsidR="000455AC" w:rsidRDefault="000455AC" w:rsidP="000455AC">
      <w:pPr>
        <w:keepNext/>
        <w:spacing w:line="264" w:lineRule="auto"/>
        <w:jc w:val="center"/>
        <w:outlineLvl w:val="0"/>
        <w:rPr>
          <w:b/>
          <w:bCs/>
          <w:kern w:val="32"/>
          <w:sz w:val="25"/>
          <w:szCs w:val="25"/>
        </w:rPr>
      </w:pPr>
    </w:p>
    <w:p w14:paraId="44FAE194" w14:textId="77777777" w:rsidR="00C62CBE" w:rsidRPr="00942F86" w:rsidRDefault="00C62CBE" w:rsidP="000455AC">
      <w:pPr>
        <w:keepNext/>
        <w:spacing w:line="264" w:lineRule="auto"/>
        <w:jc w:val="center"/>
        <w:outlineLvl w:val="0"/>
        <w:rPr>
          <w:b/>
          <w:bCs/>
          <w:kern w:val="32"/>
          <w:sz w:val="25"/>
          <w:szCs w:val="25"/>
        </w:rPr>
      </w:pPr>
    </w:p>
    <w:p w14:paraId="67ACD4C9" w14:textId="77777777" w:rsidR="00C62CBE" w:rsidRPr="00942F86" w:rsidRDefault="00C62CBE" w:rsidP="000455AC">
      <w:pPr>
        <w:keepNext/>
        <w:spacing w:line="264" w:lineRule="auto"/>
        <w:jc w:val="center"/>
        <w:outlineLvl w:val="0"/>
        <w:rPr>
          <w:b/>
          <w:bCs/>
          <w:kern w:val="32"/>
          <w:sz w:val="25"/>
          <w:szCs w:val="25"/>
        </w:rPr>
      </w:pPr>
    </w:p>
    <w:p w14:paraId="6C6C240B" w14:textId="77777777" w:rsidR="00C62CBE" w:rsidRPr="00942F86" w:rsidRDefault="00C62CBE" w:rsidP="000455AC">
      <w:pPr>
        <w:keepNext/>
        <w:spacing w:line="264" w:lineRule="auto"/>
        <w:jc w:val="center"/>
        <w:outlineLvl w:val="0"/>
        <w:rPr>
          <w:b/>
          <w:bCs/>
          <w:kern w:val="32"/>
          <w:sz w:val="25"/>
          <w:szCs w:val="25"/>
        </w:rPr>
      </w:pPr>
    </w:p>
    <w:p w14:paraId="0BAFB1F6" w14:textId="77777777" w:rsidR="00C62CBE" w:rsidRPr="00942F86" w:rsidRDefault="00C62CBE" w:rsidP="000455AC">
      <w:pPr>
        <w:keepNext/>
        <w:spacing w:line="264" w:lineRule="auto"/>
        <w:jc w:val="center"/>
        <w:outlineLvl w:val="0"/>
        <w:rPr>
          <w:b/>
          <w:bCs/>
          <w:kern w:val="32"/>
          <w:sz w:val="25"/>
          <w:szCs w:val="25"/>
        </w:rPr>
      </w:pPr>
    </w:p>
    <w:p w14:paraId="6E4AD67F" w14:textId="77777777" w:rsidR="00C62CBE" w:rsidRPr="00942F86" w:rsidRDefault="00C62CBE" w:rsidP="000455AC">
      <w:pPr>
        <w:keepNext/>
        <w:spacing w:line="264" w:lineRule="auto"/>
        <w:jc w:val="center"/>
        <w:outlineLvl w:val="0"/>
        <w:rPr>
          <w:b/>
          <w:bCs/>
          <w:kern w:val="32"/>
          <w:sz w:val="25"/>
          <w:szCs w:val="25"/>
        </w:rPr>
      </w:pPr>
    </w:p>
    <w:p w14:paraId="2822E1E2" w14:textId="1E253CB8" w:rsidR="00DE3D61" w:rsidRPr="00942F86" w:rsidRDefault="00DE3D61" w:rsidP="000455AC">
      <w:pPr>
        <w:pStyle w:val="Heading1"/>
        <w:spacing w:before="0" w:after="0" w:line="264" w:lineRule="auto"/>
        <w:jc w:val="center"/>
        <w:rPr>
          <w:rFonts w:cs="Times New Roman"/>
          <w:szCs w:val="25"/>
        </w:rPr>
      </w:pPr>
      <w:bookmarkStart w:id="65" w:name="_Toc415037654"/>
      <w:r w:rsidRPr="00942F86">
        <w:rPr>
          <w:rFonts w:cs="Times New Roman"/>
          <w:szCs w:val="25"/>
        </w:rPr>
        <w:t xml:space="preserve">APPENDIX </w:t>
      </w:r>
      <w:r w:rsidR="007E4EC6" w:rsidRPr="00942F86">
        <w:rPr>
          <w:rFonts w:cs="Times New Roman"/>
          <w:szCs w:val="25"/>
        </w:rPr>
        <w:t>B – UNCONTESTED AJDUSTMENTS</w:t>
      </w:r>
      <w:bookmarkEnd w:id="65"/>
      <w:r w:rsidR="00BF6D39" w:rsidRPr="00942F86">
        <w:rPr>
          <w:rFonts w:cs="Times New Roman"/>
          <w:szCs w:val="25"/>
        </w:rPr>
        <w:br w:type="page"/>
      </w:r>
    </w:p>
    <w:tbl>
      <w:tblPr>
        <w:tblW w:w="99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
        <w:gridCol w:w="4230"/>
        <w:gridCol w:w="1530"/>
        <w:gridCol w:w="1530"/>
        <w:gridCol w:w="1683"/>
      </w:tblGrid>
      <w:tr w:rsidR="00334888" w:rsidRPr="00942F86" w14:paraId="48843DD4" w14:textId="77777777" w:rsidTr="00A5217D">
        <w:trPr>
          <w:trHeight w:val="207"/>
        </w:trPr>
        <w:tc>
          <w:tcPr>
            <w:tcW w:w="927" w:type="dxa"/>
            <w:tcBorders>
              <w:top w:val="thinThickSmallGap" w:sz="24" w:space="0" w:color="auto"/>
              <w:left w:val="thinThickSmallGap" w:sz="24" w:space="0" w:color="auto"/>
              <w:bottom w:val="double" w:sz="4" w:space="0" w:color="auto"/>
            </w:tcBorders>
          </w:tcPr>
          <w:p w14:paraId="5D405924" w14:textId="77777777" w:rsidR="00334888" w:rsidRPr="00942F86" w:rsidRDefault="00334888" w:rsidP="000455AC">
            <w:pPr>
              <w:spacing w:line="264" w:lineRule="auto"/>
              <w:jc w:val="center"/>
              <w:rPr>
                <w:b/>
                <w:bCs/>
                <w:sz w:val="25"/>
                <w:szCs w:val="25"/>
              </w:rPr>
            </w:pPr>
          </w:p>
        </w:tc>
        <w:tc>
          <w:tcPr>
            <w:tcW w:w="4230" w:type="dxa"/>
            <w:tcBorders>
              <w:top w:val="thinThickSmallGap" w:sz="24" w:space="0" w:color="auto"/>
              <w:bottom w:val="double" w:sz="4" w:space="0" w:color="auto"/>
            </w:tcBorders>
            <w:shd w:val="clear" w:color="auto" w:fill="auto"/>
            <w:vAlign w:val="center"/>
          </w:tcPr>
          <w:p w14:paraId="08A8A335" w14:textId="253EB0C0" w:rsidR="00334888" w:rsidRPr="00942F86" w:rsidRDefault="00334888" w:rsidP="000455AC">
            <w:pPr>
              <w:spacing w:line="264" w:lineRule="auto"/>
              <w:jc w:val="center"/>
              <w:rPr>
                <w:b/>
                <w:bCs/>
                <w:sz w:val="25"/>
                <w:szCs w:val="25"/>
              </w:rPr>
            </w:pPr>
            <w:r w:rsidRPr="00942F86">
              <w:rPr>
                <w:b/>
                <w:bCs/>
                <w:sz w:val="25"/>
                <w:szCs w:val="25"/>
              </w:rPr>
              <w:t>Adjustment</w:t>
            </w:r>
          </w:p>
        </w:tc>
        <w:tc>
          <w:tcPr>
            <w:tcW w:w="1530" w:type="dxa"/>
            <w:tcBorders>
              <w:top w:val="thinThickSmallGap" w:sz="24" w:space="0" w:color="auto"/>
              <w:bottom w:val="double" w:sz="4" w:space="0" w:color="auto"/>
            </w:tcBorders>
            <w:shd w:val="clear" w:color="auto" w:fill="auto"/>
            <w:vAlign w:val="center"/>
          </w:tcPr>
          <w:p w14:paraId="4889D5A9" w14:textId="4F96A876" w:rsidR="00334888" w:rsidRPr="00942F86" w:rsidRDefault="00B03B85" w:rsidP="000455AC">
            <w:pPr>
              <w:spacing w:line="264" w:lineRule="auto"/>
              <w:jc w:val="center"/>
              <w:rPr>
                <w:b/>
                <w:bCs/>
                <w:sz w:val="25"/>
                <w:szCs w:val="25"/>
              </w:rPr>
            </w:pPr>
            <w:r w:rsidRPr="00942F86">
              <w:rPr>
                <w:b/>
                <w:bCs/>
                <w:sz w:val="25"/>
                <w:szCs w:val="25"/>
              </w:rPr>
              <w:t>Net Operating Income</w:t>
            </w:r>
          </w:p>
        </w:tc>
        <w:tc>
          <w:tcPr>
            <w:tcW w:w="1530" w:type="dxa"/>
            <w:tcBorders>
              <w:top w:val="thinThickSmallGap" w:sz="24" w:space="0" w:color="auto"/>
              <w:bottom w:val="double" w:sz="4" w:space="0" w:color="auto"/>
            </w:tcBorders>
            <w:shd w:val="clear" w:color="auto" w:fill="auto"/>
            <w:vAlign w:val="center"/>
          </w:tcPr>
          <w:p w14:paraId="6AD69114" w14:textId="7C0770E8" w:rsidR="00334888" w:rsidRPr="00942F86" w:rsidRDefault="00334888" w:rsidP="000455AC">
            <w:pPr>
              <w:spacing w:line="264" w:lineRule="auto"/>
              <w:jc w:val="center"/>
              <w:rPr>
                <w:b/>
                <w:bCs/>
                <w:sz w:val="25"/>
                <w:szCs w:val="25"/>
              </w:rPr>
            </w:pPr>
            <w:r w:rsidRPr="00942F86">
              <w:rPr>
                <w:b/>
                <w:bCs/>
                <w:sz w:val="25"/>
                <w:szCs w:val="25"/>
              </w:rPr>
              <w:t>Rate Base</w:t>
            </w:r>
          </w:p>
        </w:tc>
        <w:tc>
          <w:tcPr>
            <w:tcW w:w="1683" w:type="dxa"/>
            <w:tcBorders>
              <w:top w:val="thinThickSmallGap" w:sz="24" w:space="0" w:color="auto"/>
              <w:bottom w:val="double" w:sz="4" w:space="0" w:color="auto"/>
              <w:right w:val="thickThinSmallGap" w:sz="24" w:space="0" w:color="auto"/>
            </w:tcBorders>
            <w:shd w:val="clear" w:color="auto" w:fill="auto"/>
            <w:vAlign w:val="center"/>
          </w:tcPr>
          <w:p w14:paraId="4488A08E" w14:textId="44835F34" w:rsidR="00334888" w:rsidRPr="00942F86" w:rsidRDefault="00334888" w:rsidP="000455AC">
            <w:pPr>
              <w:spacing w:line="264" w:lineRule="auto"/>
              <w:jc w:val="center"/>
              <w:rPr>
                <w:b/>
                <w:bCs/>
                <w:sz w:val="25"/>
                <w:szCs w:val="25"/>
              </w:rPr>
            </w:pPr>
            <w:r w:rsidRPr="00942F86">
              <w:rPr>
                <w:b/>
                <w:bCs/>
                <w:sz w:val="25"/>
                <w:szCs w:val="25"/>
              </w:rPr>
              <w:t>Revenue Requirement</w:t>
            </w:r>
          </w:p>
        </w:tc>
      </w:tr>
      <w:tr w:rsidR="00334888" w:rsidRPr="00942F86" w14:paraId="7BA5D458" w14:textId="77777777" w:rsidTr="00A5217D">
        <w:trPr>
          <w:trHeight w:val="432"/>
        </w:trPr>
        <w:tc>
          <w:tcPr>
            <w:tcW w:w="927" w:type="dxa"/>
            <w:tcBorders>
              <w:top w:val="double" w:sz="4" w:space="0" w:color="auto"/>
              <w:left w:val="thinThickSmallGap" w:sz="24" w:space="0" w:color="auto"/>
              <w:bottom w:val="single" w:sz="18" w:space="0" w:color="auto"/>
            </w:tcBorders>
          </w:tcPr>
          <w:p w14:paraId="1444CA7B" w14:textId="77777777" w:rsidR="00334888" w:rsidRPr="00942F86" w:rsidRDefault="00334888" w:rsidP="000455AC">
            <w:pPr>
              <w:spacing w:line="264" w:lineRule="auto"/>
              <w:jc w:val="center"/>
              <w:rPr>
                <w:b/>
                <w:bCs/>
                <w:sz w:val="25"/>
                <w:szCs w:val="25"/>
              </w:rPr>
            </w:pPr>
          </w:p>
        </w:tc>
        <w:tc>
          <w:tcPr>
            <w:tcW w:w="4230" w:type="dxa"/>
            <w:tcBorders>
              <w:top w:val="double" w:sz="4" w:space="0" w:color="auto"/>
              <w:bottom w:val="single" w:sz="18" w:space="0" w:color="auto"/>
            </w:tcBorders>
            <w:vAlign w:val="center"/>
          </w:tcPr>
          <w:p w14:paraId="2E1889B5" w14:textId="7EE82F85" w:rsidR="00334888" w:rsidRPr="00942F86" w:rsidRDefault="00334888" w:rsidP="000455AC">
            <w:pPr>
              <w:spacing w:line="264" w:lineRule="auto"/>
              <w:jc w:val="center"/>
              <w:rPr>
                <w:b/>
                <w:bCs/>
                <w:sz w:val="25"/>
                <w:szCs w:val="25"/>
              </w:rPr>
            </w:pPr>
            <w:r w:rsidRPr="00942F86">
              <w:rPr>
                <w:b/>
                <w:bCs/>
                <w:sz w:val="25"/>
                <w:szCs w:val="25"/>
              </w:rPr>
              <w:t>Actual Results of Operations</w:t>
            </w:r>
          </w:p>
        </w:tc>
        <w:tc>
          <w:tcPr>
            <w:tcW w:w="1530" w:type="dxa"/>
            <w:tcBorders>
              <w:top w:val="double" w:sz="4" w:space="0" w:color="auto"/>
              <w:bottom w:val="single" w:sz="18" w:space="0" w:color="auto"/>
            </w:tcBorders>
            <w:vAlign w:val="center"/>
          </w:tcPr>
          <w:p w14:paraId="7E67A0FE" w14:textId="77777777" w:rsidR="00334888" w:rsidRPr="00942F86" w:rsidRDefault="00334888" w:rsidP="000455AC">
            <w:pPr>
              <w:spacing w:line="264" w:lineRule="auto"/>
              <w:jc w:val="center"/>
              <w:rPr>
                <w:b/>
                <w:bCs/>
                <w:sz w:val="25"/>
                <w:szCs w:val="25"/>
              </w:rPr>
            </w:pPr>
          </w:p>
        </w:tc>
        <w:tc>
          <w:tcPr>
            <w:tcW w:w="1530" w:type="dxa"/>
            <w:tcBorders>
              <w:top w:val="double" w:sz="4" w:space="0" w:color="auto"/>
              <w:bottom w:val="single" w:sz="18" w:space="0" w:color="auto"/>
            </w:tcBorders>
            <w:vAlign w:val="center"/>
          </w:tcPr>
          <w:p w14:paraId="689831F9" w14:textId="77777777" w:rsidR="00334888" w:rsidRPr="00942F86" w:rsidRDefault="00334888" w:rsidP="000455AC">
            <w:pPr>
              <w:spacing w:line="264" w:lineRule="auto"/>
              <w:jc w:val="center"/>
              <w:rPr>
                <w:b/>
                <w:bCs/>
                <w:sz w:val="25"/>
                <w:szCs w:val="25"/>
              </w:rPr>
            </w:pPr>
          </w:p>
        </w:tc>
        <w:tc>
          <w:tcPr>
            <w:tcW w:w="1683" w:type="dxa"/>
            <w:tcBorders>
              <w:top w:val="double" w:sz="4" w:space="0" w:color="auto"/>
              <w:bottom w:val="single" w:sz="18" w:space="0" w:color="auto"/>
              <w:right w:val="thickThinSmallGap" w:sz="24" w:space="0" w:color="auto"/>
            </w:tcBorders>
            <w:vAlign w:val="center"/>
          </w:tcPr>
          <w:p w14:paraId="31C2077B" w14:textId="77777777" w:rsidR="00334888" w:rsidRPr="00942F86" w:rsidRDefault="00334888" w:rsidP="000455AC">
            <w:pPr>
              <w:spacing w:line="264" w:lineRule="auto"/>
              <w:jc w:val="center"/>
              <w:rPr>
                <w:b/>
                <w:bCs/>
                <w:sz w:val="25"/>
                <w:szCs w:val="25"/>
              </w:rPr>
            </w:pPr>
          </w:p>
        </w:tc>
      </w:tr>
      <w:tr w:rsidR="00334888" w:rsidRPr="00942F86" w14:paraId="7804A965" w14:textId="77777777" w:rsidTr="00A5217D">
        <w:trPr>
          <w:trHeight w:val="63"/>
        </w:trPr>
        <w:tc>
          <w:tcPr>
            <w:tcW w:w="927" w:type="dxa"/>
            <w:tcBorders>
              <w:top w:val="single" w:sz="18" w:space="0" w:color="auto"/>
              <w:left w:val="thinThickSmallGap" w:sz="24" w:space="0" w:color="auto"/>
              <w:bottom w:val="double" w:sz="4" w:space="0" w:color="auto"/>
            </w:tcBorders>
          </w:tcPr>
          <w:p w14:paraId="23D02BEE" w14:textId="77777777" w:rsidR="00334888" w:rsidRPr="00942F86" w:rsidRDefault="00334888" w:rsidP="000455AC">
            <w:pPr>
              <w:spacing w:line="264" w:lineRule="auto"/>
              <w:jc w:val="center"/>
              <w:rPr>
                <w:b/>
                <w:bCs/>
                <w:sz w:val="25"/>
                <w:szCs w:val="25"/>
              </w:rPr>
            </w:pPr>
          </w:p>
        </w:tc>
        <w:tc>
          <w:tcPr>
            <w:tcW w:w="4230" w:type="dxa"/>
            <w:tcBorders>
              <w:top w:val="single" w:sz="18" w:space="0" w:color="auto"/>
              <w:bottom w:val="double" w:sz="4" w:space="0" w:color="auto"/>
            </w:tcBorders>
            <w:vAlign w:val="center"/>
          </w:tcPr>
          <w:p w14:paraId="04321BF6" w14:textId="2C73F528" w:rsidR="00334888" w:rsidRPr="00942F86" w:rsidRDefault="00334888" w:rsidP="000455AC">
            <w:pPr>
              <w:tabs>
                <w:tab w:val="left" w:pos="2220"/>
              </w:tabs>
              <w:spacing w:line="264" w:lineRule="auto"/>
              <w:rPr>
                <w:b/>
                <w:bCs/>
                <w:sz w:val="25"/>
                <w:szCs w:val="25"/>
              </w:rPr>
            </w:pPr>
            <w:r w:rsidRPr="00942F86">
              <w:rPr>
                <w:b/>
                <w:bCs/>
                <w:sz w:val="25"/>
                <w:szCs w:val="25"/>
              </w:rPr>
              <w:tab/>
            </w:r>
          </w:p>
        </w:tc>
        <w:tc>
          <w:tcPr>
            <w:tcW w:w="1530" w:type="dxa"/>
            <w:tcBorders>
              <w:top w:val="single" w:sz="18" w:space="0" w:color="auto"/>
              <w:bottom w:val="double" w:sz="4" w:space="0" w:color="auto"/>
            </w:tcBorders>
          </w:tcPr>
          <w:p w14:paraId="11675F52" w14:textId="77777777" w:rsidR="00334888" w:rsidRPr="00942F86" w:rsidRDefault="00334888" w:rsidP="000455AC">
            <w:pPr>
              <w:spacing w:line="264" w:lineRule="auto"/>
              <w:jc w:val="center"/>
              <w:rPr>
                <w:b/>
                <w:bCs/>
                <w:sz w:val="25"/>
                <w:szCs w:val="25"/>
              </w:rPr>
            </w:pPr>
          </w:p>
        </w:tc>
        <w:tc>
          <w:tcPr>
            <w:tcW w:w="1530" w:type="dxa"/>
            <w:tcBorders>
              <w:top w:val="single" w:sz="18" w:space="0" w:color="auto"/>
              <w:bottom w:val="double" w:sz="4" w:space="0" w:color="auto"/>
            </w:tcBorders>
          </w:tcPr>
          <w:p w14:paraId="45C0940C" w14:textId="77777777" w:rsidR="00334888" w:rsidRPr="00942F86" w:rsidRDefault="00334888" w:rsidP="000455AC">
            <w:pPr>
              <w:spacing w:line="264" w:lineRule="auto"/>
              <w:jc w:val="center"/>
              <w:rPr>
                <w:b/>
                <w:bCs/>
                <w:sz w:val="25"/>
                <w:szCs w:val="25"/>
              </w:rPr>
            </w:pPr>
          </w:p>
        </w:tc>
        <w:tc>
          <w:tcPr>
            <w:tcW w:w="1683" w:type="dxa"/>
            <w:tcBorders>
              <w:top w:val="single" w:sz="18" w:space="0" w:color="auto"/>
              <w:bottom w:val="double" w:sz="4" w:space="0" w:color="auto"/>
              <w:right w:val="thickThinSmallGap" w:sz="24" w:space="0" w:color="auto"/>
            </w:tcBorders>
          </w:tcPr>
          <w:p w14:paraId="07FC603D" w14:textId="77777777" w:rsidR="00334888" w:rsidRPr="00942F86" w:rsidRDefault="00334888" w:rsidP="000455AC">
            <w:pPr>
              <w:spacing w:line="264" w:lineRule="auto"/>
              <w:jc w:val="center"/>
              <w:rPr>
                <w:b/>
                <w:bCs/>
                <w:sz w:val="25"/>
                <w:szCs w:val="25"/>
              </w:rPr>
            </w:pPr>
          </w:p>
        </w:tc>
      </w:tr>
      <w:tr w:rsidR="00334888" w:rsidRPr="00942F86" w14:paraId="2BC5C9D1" w14:textId="77777777" w:rsidTr="00A5217D">
        <w:trPr>
          <w:trHeight w:val="432"/>
        </w:trPr>
        <w:tc>
          <w:tcPr>
            <w:tcW w:w="927" w:type="dxa"/>
            <w:tcBorders>
              <w:top w:val="double" w:sz="4" w:space="0" w:color="auto"/>
              <w:left w:val="thinThickSmallGap" w:sz="24" w:space="0" w:color="auto"/>
            </w:tcBorders>
            <w:vAlign w:val="center"/>
          </w:tcPr>
          <w:p w14:paraId="65E39275" w14:textId="7790D279" w:rsidR="00334888" w:rsidRPr="00942F86" w:rsidRDefault="00334888" w:rsidP="000455AC">
            <w:pPr>
              <w:spacing w:line="264" w:lineRule="auto"/>
              <w:jc w:val="center"/>
              <w:rPr>
                <w:b/>
                <w:bCs/>
                <w:sz w:val="25"/>
                <w:szCs w:val="25"/>
              </w:rPr>
            </w:pPr>
            <w:r w:rsidRPr="00942F86">
              <w:rPr>
                <w:b/>
                <w:bCs/>
                <w:sz w:val="25"/>
                <w:szCs w:val="25"/>
              </w:rPr>
              <w:t>3.1</w:t>
            </w:r>
          </w:p>
        </w:tc>
        <w:tc>
          <w:tcPr>
            <w:tcW w:w="4230" w:type="dxa"/>
            <w:tcBorders>
              <w:top w:val="double" w:sz="4" w:space="0" w:color="auto"/>
            </w:tcBorders>
            <w:vAlign w:val="center"/>
          </w:tcPr>
          <w:p w14:paraId="66767BA0" w14:textId="09E76F16" w:rsidR="00334888" w:rsidRPr="00942F86" w:rsidRDefault="00334888" w:rsidP="000455AC">
            <w:pPr>
              <w:spacing w:line="264" w:lineRule="auto"/>
              <w:rPr>
                <w:b/>
                <w:bCs/>
                <w:sz w:val="25"/>
                <w:szCs w:val="25"/>
              </w:rPr>
            </w:pPr>
            <w:r w:rsidRPr="00942F86">
              <w:rPr>
                <w:b/>
                <w:bCs/>
                <w:sz w:val="25"/>
                <w:szCs w:val="25"/>
              </w:rPr>
              <w:t>Temperature Normalization</w:t>
            </w:r>
          </w:p>
        </w:tc>
        <w:tc>
          <w:tcPr>
            <w:tcW w:w="1530" w:type="dxa"/>
            <w:tcBorders>
              <w:top w:val="double" w:sz="4" w:space="0" w:color="auto"/>
            </w:tcBorders>
            <w:vAlign w:val="center"/>
          </w:tcPr>
          <w:p w14:paraId="6A71A341" w14:textId="04ACAE5E" w:rsidR="00334888" w:rsidRPr="00942F86" w:rsidRDefault="00334888" w:rsidP="000455AC">
            <w:pPr>
              <w:spacing w:line="264" w:lineRule="auto"/>
              <w:jc w:val="right"/>
              <w:rPr>
                <w:sz w:val="25"/>
                <w:szCs w:val="25"/>
              </w:rPr>
            </w:pPr>
            <w:r w:rsidRPr="00942F86">
              <w:rPr>
                <w:b/>
                <w:sz w:val="25"/>
                <w:szCs w:val="25"/>
              </w:rPr>
              <w:t>$(3,700,295)</w:t>
            </w:r>
          </w:p>
        </w:tc>
        <w:tc>
          <w:tcPr>
            <w:tcW w:w="1530" w:type="dxa"/>
            <w:tcBorders>
              <w:top w:val="double" w:sz="4" w:space="0" w:color="auto"/>
            </w:tcBorders>
            <w:vAlign w:val="center"/>
          </w:tcPr>
          <w:p w14:paraId="2490F7AA" w14:textId="77777777" w:rsidR="00334888" w:rsidRPr="00942F86" w:rsidRDefault="00334888" w:rsidP="000455AC">
            <w:pPr>
              <w:spacing w:line="264" w:lineRule="auto"/>
              <w:jc w:val="right"/>
              <w:rPr>
                <w:sz w:val="25"/>
                <w:szCs w:val="25"/>
              </w:rPr>
            </w:pPr>
          </w:p>
        </w:tc>
        <w:tc>
          <w:tcPr>
            <w:tcW w:w="1683" w:type="dxa"/>
            <w:tcBorders>
              <w:top w:val="double" w:sz="4" w:space="0" w:color="auto"/>
              <w:right w:val="thickThinSmallGap" w:sz="24" w:space="0" w:color="auto"/>
            </w:tcBorders>
            <w:vAlign w:val="center"/>
          </w:tcPr>
          <w:p w14:paraId="687A02AE" w14:textId="6FA9FC40" w:rsidR="00334888" w:rsidRPr="00942F86" w:rsidRDefault="00334888" w:rsidP="000455AC">
            <w:pPr>
              <w:spacing w:line="264" w:lineRule="auto"/>
              <w:jc w:val="right"/>
              <w:rPr>
                <w:sz w:val="25"/>
                <w:szCs w:val="25"/>
              </w:rPr>
            </w:pPr>
            <w:r w:rsidRPr="00942F86">
              <w:rPr>
                <w:b/>
                <w:sz w:val="25"/>
                <w:szCs w:val="25"/>
              </w:rPr>
              <w:t>$5,972,553</w:t>
            </w:r>
          </w:p>
        </w:tc>
      </w:tr>
      <w:tr w:rsidR="00334888" w:rsidRPr="00942F86" w14:paraId="4538302F" w14:textId="77777777" w:rsidTr="00A5217D">
        <w:trPr>
          <w:trHeight w:val="432"/>
        </w:trPr>
        <w:tc>
          <w:tcPr>
            <w:tcW w:w="927" w:type="dxa"/>
            <w:tcBorders>
              <w:left w:val="thinThickSmallGap" w:sz="24" w:space="0" w:color="auto"/>
            </w:tcBorders>
            <w:vAlign w:val="center"/>
          </w:tcPr>
          <w:p w14:paraId="5DDC3363" w14:textId="0E9D4DAD" w:rsidR="00334888" w:rsidRPr="00942F86" w:rsidRDefault="00334888" w:rsidP="000455AC">
            <w:pPr>
              <w:spacing w:line="264" w:lineRule="auto"/>
              <w:jc w:val="center"/>
              <w:rPr>
                <w:b/>
                <w:bCs/>
                <w:sz w:val="25"/>
                <w:szCs w:val="25"/>
              </w:rPr>
            </w:pPr>
            <w:r w:rsidRPr="00942F86">
              <w:rPr>
                <w:b/>
                <w:bCs/>
                <w:sz w:val="25"/>
                <w:szCs w:val="25"/>
              </w:rPr>
              <w:t>3.2</w:t>
            </w:r>
          </w:p>
        </w:tc>
        <w:tc>
          <w:tcPr>
            <w:tcW w:w="4230" w:type="dxa"/>
            <w:vAlign w:val="center"/>
          </w:tcPr>
          <w:p w14:paraId="63AC3C59" w14:textId="43B99F8B" w:rsidR="00334888" w:rsidRPr="00942F86" w:rsidRDefault="00334888" w:rsidP="000455AC">
            <w:pPr>
              <w:spacing w:line="264" w:lineRule="auto"/>
              <w:rPr>
                <w:b/>
                <w:bCs/>
                <w:sz w:val="25"/>
                <w:szCs w:val="25"/>
              </w:rPr>
            </w:pPr>
            <w:r w:rsidRPr="00942F86">
              <w:rPr>
                <w:b/>
                <w:bCs/>
                <w:sz w:val="25"/>
                <w:szCs w:val="25"/>
              </w:rPr>
              <w:t>Revenue Normalization</w:t>
            </w:r>
          </w:p>
        </w:tc>
        <w:tc>
          <w:tcPr>
            <w:tcW w:w="1530" w:type="dxa"/>
            <w:vAlign w:val="center"/>
          </w:tcPr>
          <w:p w14:paraId="619404F0" w14:textId="3D89A99E" w:rsidR="00334888" w:rsidRPr="00942F86" w:rsidRDefault="00334888" w:rsidP="000455AC">
            <w:pPr>
              <w:spacing w:line="264" w:lineRule="auto"/>
              <w:jc w:val="right"/>
              <w:rPr>
                <w:sz w:val="25"/>
                <w:szCs w:val="25"/>
              </w:rPr>
            </w:pPr>
            <w:r w:rsidRPr="00942F86">
              <w:rPr>
                <w:b/>
                <w:sz w:val="25"/>
                <w:szCs w:val="25"/>
              </w:rPr>
              <w:t>(4,</w:t>
            </w:r>
            <w:r w:rsidRPr="00942F86" w:rsidDel="00E4332B">
              <w:rPr>
                <w:b/>
                <w:sz w:val="25"/>
                <w:szCs w:val="25"/>
              </w:rPr>
              <w:t xml:space="preserve"> </w:t>
            </w:r>
            <w:r w:rsidRPr="00942F86">
              <w:rPr>
                <w:b/>
                <w:sz w:val="25"/>
                <w:szCs w:val="25"/>
              </w:rPr>
              <w:t>827,929)</w:t>
            </w:r>
          </w:p>
        </w:tc>
        <w:tc>
          <w:tcPr>
            <w:tcW w:w="1530" w:type="dxa"/>
            <w:vAlign w:val="center"/>
          </w:tcPr>
          <w:p w14:paraId="068E4687" w14:textId="77777777"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1B346CA2" w14:textId="653CEF28" w:rsidR="00334888" w:rsidRPr="00942F86" w:rsidRDefault="00334888" w:rsidP="000455AC">
            <w:pPr>
              <w:spacing w:line="264" w:lineRule="auto"/>
              <w:jc w:val="right"/>
              <w:rPr>
                <w:sz w:val="25"/>
                <w:szCs w:val="25"/>
              </w:rPr>
            </w:pPr>
            <w:r w:rsidRPr="00942F86">
              <w:rPr>
                <w:b/>
                <w:sz w:val="25"/>
                <w:szCs w:val="25"/>
              </w:rPr>
              <w:t>7,792,639</w:t>
            </w:r>
          </w:p>
        </w:tc>
      </w:tr>
      <w:tr w:rsidR="00334888" w:rsidRPr="00942F86" w14:paraId="577309C8" w14:textId="77777777" w:rsidTr="00A5217D">
        <w:trPr>
          <w:trHeight w:val="432"/>
        </w:trPr>
        <w:tc>
          <w:tcPr>
            <w:tcW w:w="927" w:type="dxa"/>
            <w:tcBorders>
              <w:left w:val="thinThickSmallGap" w:sz="24" w:space="0" w:color="auto"/>
            </w:tcBorders>
            <w:vAlign w:val="center"/>
          </w:tcPr>
          <w:p w14:paraId="179D50CC" w14:textId="432A6C17" w:rsidR="00334888" w:rsidRPr="00942F86" w:rsidRDefault="00334888" w:rsidP="000455AC">
            <w:pPr>
              <w:spacing w:line="264" w:lineRule="auto"/>
              <w:jc w:val="center"/>
              <w:rPr>
                <w:b/>
                <w:bCs/>
                <w:sz w:val="25"/>
                <w:szCs w:val="25"/>
              </w:rPr>
            </w:pPr>
            <w:r w:rsidRPr="00942F86">
              <w:rPr>
                <w:b/>
                <w:bCs/>
                <w:sz w:val="25"/>
                <w:szCs w:val="25"/>
              </w:rPr>
              <w:t>3.3</w:t>
            </w:r>
          </w:p>
        </w:tc>
        <w:tc>
          <w:tcPr>
            <w:tcW w:w="4230" w:type="dxa"/>
            <w:vAlign w:val="center"/>
          </w:tcPr>
          <w:p w14:paraId="09314DCC" w14:textId="4D818AF7" w:rsidR="00334888" w:rsidRPr="00942F86" w:rsidRDefault="00334888" w:rsidP="000455AC">
            <w:pPr>
              <w:spacing w:line="264" w:lineRule="auto"/>
              <w:rPr>
                <w:b/>
                <w:bCs/>
                <w:sz w:val="25"/>
                <w:szCs w:val="25"/>
              </w:rPr>
            </w:pPr>
            <w:r w:rsidRPr="00942F86">
              <w:rPr>
                <w:b/>
                <w:bCs/>
                <w:sz w:val="25"/>
                <w:szCs w:val="25"/>
              </w:rPr>
              <w:t>Effective Price Change</w:t>
            </w:r>
          </w:p>
        </w:tc>
        <w:tc>
          <w:tcPr>
            <w:tcW w:w="1530" w:type="dxa"/>
            <w:vAlign w:val="center"/>
          </w:tcPr>
          <w:p w14:paraId="43823A9D" w14:textId="6A49A6FA" w:rsidR="00334888" w:rsidRPr="00942F86" w:rsidRDefault="00334888" w:rsidP="000455AC">
            <w:pPr>
              <w:spacing w:line="264" w:lineRule="auto"/>
              <w:jc w:val="right"/>
              <w:rPr>
                <w:sz w:val="25"/>
                <w:szCs w:val="25"/>
              </w:rPr>
            </w:pPr>
            <w:r w:rsidRPr="00942F86">
              <w:rPr>
                <w:b/>
                <w:sz w:val="25"/>
                <w:szCs w:val="25"/>
              </w:rPr>
              <w:t>11,066,786</w:t>
            </w:r>
          </w:p>
        </w:tc>
        <w:tc>
          <w:tcPr>
            <w:tcW w:w="1530" w:type="dxa"/>
            <w:vAlign w:val="center"/>
          </w:tcPr>
          <w:p w14:paraId="760F7904" w14:textId="77777777"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4AA28271" w14:textId="2697AFF8" w:rsidR="00334888" w:rsidRPr="00942F86" w:rsidRDefault="00334888" w:rsidP="000455AC">
            <w:pPr>
              <w:spacing w:line="264" w:lineRule="auto"/>
              <w:jc w:val="right"/>
              <w:rPr>
                <w:sz w:val="25"/>
                <w:szCs w:val="25"/>
              </w:rPr>
            </w:pPr>
            <w:r w:rsidRPr="00942F86">
              <w:rPr>
                <w:b/>
                <w:sz w:val="25"/>
                <w:szCs w:val="25"/>
              </w:rPr>
              <w:t>(17,862,619)</w:t>
            </w:r>
          </w:p>
        </w:tc>
      </w:tr>
      <w:tr w:rsidR="00334888" w:rsidRPr="00942F86" w14:paraId="179CEEED" w14:textId="77777777" w:rsidTr="00A5217D">
        <w:trPr>
          <w:trHeight w:val="432"/>
        </w:trPr>
        <w:tc>
          <w:tcPr>
            <w:tcW w:w="927" w:type="dxa"/>
            <w:tcBorders>
              <w:left w:val="thinThickSmallGap" w:sz="24" w:space="0" w:color="auto"/>
            </w:tcBorders>
            <w:vAlign w:val="center"/>
          </w:tcPr>
          <w:p w14:paraId="734B2A99" w14:textId="7DBD130C" w:rsidR="00334888" w:rsidRPr="00942F86" w:rsidRDefault="00334888" w:rsidP="000455AC">
            <w:pPr>
              <w:spacing w:line="264" w:lineRule="auto"/>
              <w:jc w:val="center"/>
              <w:rPr>
                <w:b/>
                <w:bCs/>
                <w:sz w:val="25"/>
                <w:szCs w:val="25"/>
              </w:rPr>
            </w:pPr>
            <w:r w:rsidRPr="00942F86">
              <w:rPr>
                <w:b/>
                <w:bCs/>
                <w:sz w:val="25"/>
                <w:szCs w:val="25"/>
              </w:rPr>
              <w:t>3.4</w:t>
            </w:r>
          </w:p>
        </w:tc>
        <w:tc>
          <w:tcPr>
            <w:tcW w:w="4230" w:type="dxa"/>
            <w:vAlign w:val="center"/>
          </w:tcPr>
          <w:p w14:paraId="25AE33D5" w14:textId="499A206D" w:rsidR="00334888" w:rsidRPr="00942F86" w:rsidRDefault="00334888" w:rsidP="00EA3F7E">
            <w:pPr>
              <w:spacing w:line="264" w:lineRule="auto"/>
              <w:ind w:left="-18"/>
              <w:rPr>
                <w:b/>
                <w:bCs/>
                <w:sz w:val="25"/>
                <w:szCs w:val="25"/>
              </w:rPr>
            </w:pPr>
            <w:r w:rsidRPr="00942F86">
              <w:rPr>
                <w:b/>
                <w:bCs/>
                <w:sz w:val="25"/>
                <w:szCs w:val="25"/>
              </w:rPr>
              <w:t>SO2 Emission Allowance Sales</w:t>
            </w:r>
          </w:p>
        </w:tc>
        <w:tc>
          <w:tcPr>
            <w:tcW w:w="1530" w:type="dxa"/>
            <w:vAlign w:val="center"/>
          </w:tcPr>
          <w:p w14:paraId="27073CC9" w14:textId="046252DA" w:rsidR="00334888" w:rsidRPr="00942F86" w:rsidRDefault="00334888" w:rsidP="000455AC">
            <w:pPr>
              <w:spacing w:line="264" w:lineRule="auto"/>
              <w:jc w:val="right"/>
              <w:rPr>
                <w:sz w:val="25"/>
                <w:szCs w:val="25"/>
              </w:rPr>
            </w:pPr>
            <w:r w:rsidRPr="00942F86">
              <w:rPr>
                <w:b/>
                <w:sz w:val="25"/>
                <w:szCs w:val="25"/>
              </w:rPr>
              <w:t>481,474</w:t>
            </w:r>
          </w:p>
        </w:tc>
        <w:tc>
          <w:tcPr>
            <w:tcW w:w="1530" w:type="dxa"/>
            <w:vAlign w:val="center"/>
          </w:tcPr>
          <w:p w14:paraId="5BB3ACA8" w14:textId="4B113A6E" w:rsidR="00334888" w:rsidRPr="00942F86" w:rsidRDefault="00334888" w:rsidP="000455AC">
            <w:pPr>
              <w:spacing w:line="264" w:lineRule="auto"/>
              <w:jc w:val="right"/>
              <w:rPr>
                <w:sz w:val="25"/>
                <w:szCs w:val="25"/>
              </w:rPr>
            </w:pPr>
            <w:r w:rsidRPr="00942F86">
              <w:rPr>
                <w:b/>
                <w:sz w:val="25"/>
                <w:szCs w:val="25"/>
              </w:rPr>
              <w:t>(249,925)</w:t>
            </w:r>
          </w:p>
        </w:tc>
        <w:tc>
          <w:tcPr>
            <w:tcW w:w="1683" w:type="dxa"/>
            <w:tcBorders>
              <w:right w:val="thickThinSmallGap" w:sz="24" w:space="0" w:color="auto"/>
            </w:tcBorders>
            <w:vAlign w:val="center"/>
          </w:tcPr>
          <w:p w14:paraId="16F3875E" w14:textId="6EFB6181" w:rsidR="00334888" w:rsidRPr="00942F86" w:rsidRDefault="00334888" w:rsidP="000455AC">
            <w:pPr>
              <w:spacing w:line="264" w:lineRule="auto"/>
              <w:jc w:val="right"/>
              <w:rPr>
                <w:sz w:val="25"/>
                <w:szCs w:val="25"/>
              </w:rPr>
            </w:pPr>
            <w:r w:rsidRPr="00942F86">
              <w:rPr>
                <w:b/>
                <w:sz w:val="25"/>
                <w:szCs w:val="25"/>
              </w:rPr>
              <w:t>(806,582)</w:t>
            </w:r>
          </w:p>
        </w:tc>
      </w:tr>
      <w:tr w:rsidR="00334888" w:rsidRPr="00942F86" w14:paraId="1F79422A" w14:textId="77777777" w:rsidTr="00A5217D">
        <w:trPr>
          <w:trHeight w:val="432"/>
        </w:trPr>
        <w:tc>
          <w:tcPr>
            <w:tcW w:w="927" w:type="dxa"/>
            <w:tcBorders>
              <w:left w:val="thinThickSmallGap" w:sz="24" w:space="0" w:color="auto"/>
            </w:tcBorders>
            <w:vAlign w:val="center"/>
          </w:tcPr>
          <w:p w14:paraId="7A86C266" w14:textId="1F598C3B" w:rsidR="00334888" w:rsidRPr="00942F86" w:rsidRDefault="00334888" w:rsidP="000455AC">
            <w:pPr>
              <w:spacing w:line="264" w:lineRule="auto"/>
              <w:jc w:val="center"/>
              <w:rPr>
                <w:b/>
                <w:bCs/>
                <w:sz w:val="25"/>
                <w:szCs w:val="25"/>
              </w:rPr>
            </w:pPr>
            <w:r w:rsidRPr="00942F86">
              <w:rPr>
                <w:b/>
                <w:bCs/>
                <w:sz w:val="25"/>
                <w:szCs w:val="25"/>
              </w:rPr>
              <w:t>3.5</w:t>
            </w:r>
          </w:p>
        </w:tc>
        <w:tc>
          <w:tcPr>
            <w:tcW w:w="4230" w:type="dxa"/>
            <w:vAlign w:val="center"/>
          </w:tcPr>
          <w:p w14:paraId="1EDCCE20" w14:textId="49657DE9" w:rsidR="00334888" w:rsidRPr="00942F86" w:rsidRDefault="00334888" w:rsidP="000455AC">
            <w:pPr>
              <w:spacing w:line="264" w:lineRule="auto"/>
              <w:rPr>
                <w:b/>
                <w:bCs/>
                <w:sz w:val="25"/>
                <w:szCs w:val="25"/>
              </w:rPr>
            </w:pPr>
            <w:r w:rsidRPr="00942F86">
              <w:rPr>
                <w:b/>
                <w:bCs/>
                <w:sz w:val="25"/>
                <w:szCs w:val="25"/>
              </w:rPr>
              <w:t>Renewable Energy Credit and Renewable Energy Attribute Revenue</w:t>
            </w:r>
          </w:p>
        </w:tc>
        <w:tc>
          <w:tcPr>
            <w:tcW w:w="1530" w:type="dxa"/>
            <w:vAlign w:val="center"/>
          </w:tcPr>
          <w:p w14:paraId="17DC59E6" w14:textId="1BB64622" w:rsidR="00334888" w:rsidRPr="00942F86" w:rsidRDefault="00334888" w:rsidP="000455AC">
            <w:pPr>
              <w:spacing w:line="264" w:lineRule="auto"/>
              <w:jc w:val="right"/>
              <w:rPr>
                <w:sz w:val="25"/>
                <w:szCs w:val="25"/>
              </w:rPr>
            </w:pPr>
            <w:r w:rsidRPr="00942F86">
              <w:rPr>
                <w:b/>
                <w:sz w:val="25"/>
                <w:szCs w:val="25"/>
              </w:rPr>
              <w:t>(1,464,670)</w:t>
            </w:r>
          </w:p>
        </w:tc>
        <w:tc>
          <w:tcPr>
            <w:tcW w:w="1530" w:type="dxa"/>
            <w:vAlign w:val="center"/>
          </w:tcPr>
          <w:p w14:paraId="7B718FD6" w14:textId="77777777"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4EA8094A" w14:textId="3AAD3CE6" w:rsidR="00334888" w:rsidRPr="00942F86" w:rsidRDefault="00334888" w:rsidP="000455AC">
            <w:pPr>
              <w:spacing w:line="264" w:lineRule="auto"/>
              <w:jc w:val="right"/>
              <w:rPr>
                <w:sz w:val="25"/>
                <w:szCs w:val="25"/>
              </w:rPr>
            </w:pPr>
            <w:r w:rsidRPr="00942F86">
              <w:rPr>
                <w:b/>
                <w:sz w:val="25"/>
                <w:szCs w:val="25"/>
              </w:rPr>
              <w:t>2,364,087</w:t>
            </w:r>
          </w:p>
        </w:tc>
      </w:tr>
      <w:tr w:rsidR="00334888" w:rsidRPr="00942F86" w14:paraId="5EE130F3" w14:textId="77777777" w:rsidTr="00A5217D">
        <w:trPr>
          <w:trHeight w:val="432"/>
        </w:trPr>
        <w:tc>
          <w:tcPr>
            <w:tcW w:w="927" w:type="dxa"/>
            <w:tcBorders>
              <w:left w:val="thinThickSmallGap" w:sz="24" w:space="0" w:color="auto"/>
            </w:tcBorders>
            <w:vAlign w:val="center"/>
          </w:tcPr>
          <w:p w14:paraId="09EBF66A" w14:textId="559C429D" w:rsidR="00334888" w:rsidRPr="00942F86" w:rsidRDefault="00334888" w:rsidP="000455AC">
            <w:pPr>
              <w:spacing w:line="264" w:lineRule="auto"/>
              <w:jc w:val="center"/>
              <w:rPr>
                <w:b/>
                <w:bCs/>
                <w:sz w:val="25"/>
                <w:szCs w:val="25"/>
              </w:rPr>
            </w:pPr>
            <w:r w:rsidRPr="00942F86">
              <w:rPr>
                <w:b/>
                <w:bCs/>
                <w:sz w:val="25"/>
                <w:szCs w:val="25"/>
              </w:rPr>
              <w:t>3.6</w:t>
            </w:r>
          </w:p>
        </w:tc>
        <w:tc>
          <w:tcPr>
            <w:tcW w:w="4230" w:type="dxa"/>
            <w:vAlign w:val="center"/>
          </w:tcPr>
          <w:p w14:paraId="3C58F9FA" w14:textId="66B45B3F" w:rsidR="00334888" w:rsidRPr="00942F86" w:rsidRDefault="00334888" w:rsidP="000455AC">
            <w:pPr>
              <w:keepNext/>
              <w:keepLines/>
              <w:spacing w:line="264" w:lineRule="auto"/>
              <w:rPr>
                <w:b/>
                <w:bCs/>
                <w:sz w:val="25"/>
                <w:szCs w:val="25"/>
              </w:rPr>
            </w:pPr>
            <w:r w:rsidRPr="00942F86">
              <w:rPr>
                <w:b/>
                <w:bCs/>
                <w:sz w:val="25"/>
                <w:szCs w:val="25"/>
              </w:rPr>
              <w:t>Wheeling Revenue</w:t>
            </w:r>
          </w:p>
        </w:tc>
        <w:tc>
          <w:tcPr>
            <w:tcW w:w="1530" w:type="dxa"/>
            <w:vAlign w:val="center"/>
          </w:tcPr>
          <w:p w14:paraId="3C7AD1E0" w14:textId="20AAE570" w:rsidR="00334888" w:rsidRPr="00942F86" w:rsidRDefault="00334888" w:rsidP="000455AC">
            <w:pPr>
              <w:spacing w:line="264" w:lineRule="auto"/>
              <w:jc w:val="right"/>
              <w:rPr>
                <w:sz w:val="25"/>
                <w:szCs w:val="25"/>
              </w:rPr>
            </w:pPr>
            <w:r w:rsidRPr="00942F86">
              <w:rPr>
                <w:b/>
                <w:sz w:val="25"/>
                <w:szCs w:val="25"/>
              </w:rPr>
              <w:t>225,696</w:t>
            </w:r>
          </w:p>
        </w:tc>
        <w:tc>
          <w:tcPr>
            <w:tcW w:w="1530" w:type="dxa"/>
            <w:vAlign w:val="center"/>
          </w:tcPr>
          <w:p w14:paraId="4ED240FC" w14:textId="77777777"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7313EFBE" w14:textId="5730B448" w:rsidR="00334888" w:rsidRPr="00942F86" w:rsidRDefault="00334888" w:rsidP="000455AC">
            <w:pPr>
              <w:spacing w:line="264" w:lineRule="auto"/>
              <w:jc w:val="right"/>
              <w:rPr>
                <w:sz w:val="25"/>
                <w:szCs w:val="25"/>
              </w:rPr>
            </w:pPr>
            <w:r w:rsidRPr="00942F86">
              <w:rPr>
                <w:b/>
                <w:sz w:val="25"/>
                <w:szCs w:val="25"/>
              </w:rPr>
              <w:t>(364,290)</w:t>
            </w:r>
          </w:p>
        </w:tc>
      </w:tr>
      <w:tr w:rsidR="00334888" w:rsidRPr="00942F86" w14:paraId="4B990F9A" w14:textId="77777777" w:rsidTr="00A5217D">
        <w:trPr>
          <w:trHeight w:val="432"/>
        </w:trPr>
        <w:tc>
          <w:tcPr>
            <w:tcW w:w="927" w:type="dxa"/>
            <w:tcBorders>
              <w:left w:val="thinThickSmallGap" w:sz="24" w:space="0" w:color="auto"/>
            </w:tcBorders>
            <w:vAlign w:val="center"/>
          </w:tcPr>
          <w:p w14:paraId="001FCDE5" w14:textId="301D7467" w:rsidR="00334888" w:rsidRPr="00942F86" w:rsidRDefault="00334888" w:rsidP="000455AC">
            <w:pPr>
              <w:spacing w:line="264" w:lineRule="auto"/>
              <w:jc w:val="center"/>
              <w:rPr>
                <w:b/>
                <w:bCs/>
                <w:sz w:val="25"/>
                <w:szCs w:val="25"/>
              </w:rPr>
            </w:pPr>
            <w:r w:rsidRPr="00942F86">
              <w:rPr>
                <w:b/>
                <w:bCs/>
                <w:sz w:val="25"/>
                <w:szCs w:val="25"/>
              </w:rPr>
              <w:t>3.7</w:t>
            </w:r>
          </w:p>
        </w:tc>
        <w:tc>
          <w:tcPr>
            <w:tcW w:w="4230" w:type="dxa"/>
            <w:vAlign w:val="center"/>
          </w:tcPr>
          <w:p w14:paraId="5F2A8815" w14:textId="75075833" w:rsidR="00334888" w:rsidRPr="00942F86" w:rsidRDefault="00334888" w:rsidP="000455AC">
            <w:pPr>
              <w:spacing w:line="264" w:lineRule="auto"/>
              <w:rPr>
                <w:b/>
                <w:bCs/>
                <w:sz w:val="25"/>
                <w:szCs w:val="25"/>
              </w:rPr>
            </w:pPr>
            <w:r w:rsidRPr="00942F86">
              <w:rPr>
                <w:b/>
                <w:bCs/>
                <w:sz w:val="25"/>
                <w:szCs w:val="25"/>
              </w:rPr>
              <w:t>Ancillary Revenue</w:t>
            </w:r>
          </w:p>
        </w:tc>
        <w:tc>
          <w:tcPr>
            <w:tcW w:w="1530" w:type="dxa"/>
            <w:vAlign w:val="center"/>
          </w:tcPr>
          <w:p w14:paraId="7DB368D1" w14:textId="12886960" w:rsidR="00334888" w:rsidRPr="00942F86" w:rsidRDefault="00334888" w:rsidP="000455AC">
            <w:pPr>
              <w:spacing w:line="264" w:lineRule="auto"/>
              <w:jc w:val="right"/>
              <w:rPr>
                <w:sz w:val="25"/>
                <w:szCs w:val="25"/>
              </w:rPr>
            </w:pPr>
            <w:r w:rsidRPr="00942F86">
              <w:rPr>
                <w:b/>
                <w:sz w:val="25"/>
                <w:szCs w:val="25"/>
              </w:rPr>
              <w:t>26,682</w:t>
            </w:r>
          </w:p>
        </w:tc>
        <w:tc>
          <w:tcPr>
            <w:tcW w:w="1530" w:type="dxa"/>
            <w:vAlign w:val="center"/>
          </w:tcPr>
          <w:p w14:paraId="66C90452" w14:textId="078C946C"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48B7BB4B" w14:textId="163F3C54" w:rsidR="00334888" w:rsidRPr="00942F86" w:rsidRDefault="00334888" w:rsidP="000455AC">
            <w:pPr>
              <w:spacing w:line="264" w:lineRule="auto"/>
              <w:jc w:val="right"/>
              <w:rPr>
                <w:sz w:val="25"/>
                <w:szCs w:val="25"/>
              </w:rPr>
            </w:pPr>
            <w:r w:rsidRPr="00942F86">
              <w:rPr>
                <w:b/>
                <w:sz w:val="25"/>
                <w:szCs w:val="25"/>
              </w:rPr>
              <w:t>(43,357)</w:t>
            </w:r>
          </w:p>
        </w:tc>
      </w:tr>
      <w:tr w:rsidR="00334888" w:rsidRPr="00942F86" w14:paraId="236FD403" w14:textId="77777777" w:rsidTr="00A5217D">
        <w:trPr>
          <w:trHeight w:val="432"/>
        </w:trPr>
        <w:tc>
          <w:tcPr>
            <w:tcW w:w="927" w:type="dxa"/>
            <w:tcBorders>
              <w:left w:val="thinThickSmallGap" w:sz="24" w:space="0" w:color="auto"/>
            </w:tcBorders>
            <w:vAlign w:val="center"/>
          </w:tcPr>
          <w:p w14:paraId="49F85B3D" w14:textId="35CF92FD" w:rsidR="00334888" w:rsidRPr="00942F86" w:rsidRDefault="00334888" w:rsidP="000455AC">
            <w:pPr>
              <w:spacing w:line="264" w:lineRule="auto"/>
              <w:jc w:val="center"/>
              <w:rPr>
                <w:b/>
                <w:bCs/>
                <w:sz w:val="25"/>
                <w:szCs w:val="25"/>
              </w:rPr>
            </w:pPr>
            <w:r w:rsidRPr="00942F86">
              <w:rPr>
                <w:b/>
                <w:bCs/>
                <w:sz w:val="25"/>
                <w:szCs w:val="25"/>
              </w:rPr>
              <w:t>3.9</w:t>
            </w:r>
          </w:p>
        </w:tc>
        <w:tc>
          <w:tcPr>
            <w:tcW w:w="4230" w:type="dxa"/>
            <w:vAlign w:val="center"/>
          </w:tcPr>
          <w:p w14:paraId="57D11A43" w14:textId="7746D47D" w:rsidR="00334888" w:rsidRPr="00942F86" w:rsidRDefault="00334888" w:rsidP="000455AC">
            <w:pPr>
              <w:keepNext/>
              <w:keepLines/>
              <w:spacing w:line="264" w:lineRule="auto"/>
              <w:rPr>
                <w:b/>
                <w:bCs/>
                <w:sz w:val="25"/>
                <w:szCs w:val="25"/>
              </w:rPr>
            </w:pPr>
            <w:r w:rsidRPr="00942F86">
              <w:rPr>
                <w:b/>
                <w:bCs/>
                <w:sz w:val="25"/>
                <w:szCs w:val="25"/>
              </w:rPr>
              <w:t>Wind Wake Loss Revenue</w:t>
            </w:r>
          </w:p>
        </w:tc>
        <w:tc>
          <w:tcPr>
            <w:tcW w:w="1530" w:type="dxa"/>
            <w:vAlign w:val="center"/>
          </w:tcPr>
          <w:p w14:paraId="0BE953C9" w14:textId="43D9651C" w:rsidR="00334888" w:rsidRPr="00942F86" w:rsidRDefault="00334888" w:rsidP="000455AC">
            <w:pPr>
              <w:spacing w:line="264" w:lineRule="auto"/>
              <w:jc w:val="right"/>
              <w:rPr>
                <w:sz w:val="25"/>
                <w:szCs w:val="25"/>
              </w:rPr>
            </w:pPr>
            <w:r w:rsidRPr="00942F86">
              <w:rPr>
                <w:b/>
                <w:sz w:val="25"/>
                <w:szCs w:val="25"/>
              </w:rPr>
              <w:t>16,828</w:t>
            </w:r>
          </w:p>
        </w:tc>
        <w:tc>
          <w:tcPr>
            <w:tcW w:w="1530" w:type="dxa"/>
            <w:vAlign w:val="center"/>
          </w:tcPr>
          <w:p w14:paraId="113FF886" w14:textId="77777777"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5E2DF07D" w14:textId="0608B60C" w:rsidR="00334888" w:rsidRPr="00942F86" w:rsidRDefault="00334888" w:rsidP="000455AC">
            <w:pPr>
              <w:spacing w:line="264" w:lineRule="auto"/>
              <w:jc w:val="right"/>
              <w:rPr>
                <w:sz w:val="25"/>
                <w:szCs w:val="25"/>
              </w:rPr>
            </w:pPr>
            <w:r w:rsidRPr="00942F86">
              <w:rPr>
                <w:b/>
                <w:sz w:val="25"/>
                <w:szCs w:val="25"/>
              </w:rPr>
              <w:t>(27,161)</w:t>
            </w:r>
          </w:p>
        </w:tc>
      </w:tr>
      <w:tr w:rsidR="00334888" w:rsidRPr="00942F86" w14:paraId="118273B0" w14:textId="77777777" w:rsidTr="00A5217D">
        <w:trPr>
          <w:trHeight w:val="432"/>
        </w:trPr>
        <w:tc>
          <w:tcPr>
            <w:tcW w:w="927" w:type="dxa"/>
            <w:tcBorders>
              <w:left w:val="thinThickSmallGap" w:sz="24" w:space="0" w:color="auto"/>
            </w:tcBorders>
            <w:vAlign w:val="center"/>
          </w:tcPr>
          <w:p w14:paraId="14254073" w14:textId="7352C4C8" w:rsidR="00334888" w:rsidRPr="00942F86" w:rsidRDefault="00334888" w:rsidP="000455AC">
            <w:pPr>
              <w:spacing w:line="264" w:lineRule="auto"/>
              <w:jc w:val="center"/>
              <w:rPr>
                <w:b/>
                <w:bCs/>
                <w:sz w:val="25"/>
                <w:szCs w:val="25"/>
              </w:rPr>
            </w:pPr>
            <w:r w:rsidRPr="00942F86">
              <w:rPr>
                <w:b/>
                <w:bCs/>
                <w:sz w:val="25"/>
                <w:szCs w:val="25"/>
              </w:rPr>
              <w:t>4.1</w:t>
            </w:r>
          </w:p>
        </w:tc>
        <w:tc>
          <w:tcPr>
            <w:tcW w:w="4230" w:type="dxa"/>
            <w:vAlign w:val="center"/>
          </w:tcPr>
          <w:p w14:paraId="74262895" w14:textId="495412C9" w:rsidR="00334888" w:rsidRPr="00942F86" w:rsidRDefault="00334888" w:rsidP="000455AC">
            <w:pPr>
              <w:keepNext/>
              <w:keepLines/>
              <w:spacing w:line="264" w:lineRule="auto"/>
              <w:rPr>
                <w:b/>
                <w:bCs/>
                <w:sz w:val="25"/>
                <w:szCs w:val="25"/>
              </w:rPr>
            </w:pPr>
            <w:r w:rsidRPr="00942F86">
              <w:rPr>
                <w:b/>
                <w:bCs/>
                <w:sz w:val="25"/>
                <w:szCs w:val="25"/>
              </w:rPr>
              <w:t>Miscellaneous General Expense</w:t>
            </w:r>
          </w:p>
        </w:tc>
        <w:tc>
          <w:tcPr>
            <w:tcW w:w="1530" w:type="dxa"/>
            <w:vAlign w:val="center"/>
          </w:tcPr>
          <w:p w14:paraId="76EFCDCB" w14:textId="4C24D67C" w:rsidR="00334888" w:rsidRPr="00942F86" w:rsidRDefault="00334888" w:rsidP="000455AC">
            <w:pPr>
              <w:spacing w:line="264" w:lineRule="auto"/>
              <w:jc w:val="right"/>
              <w:rPr>
                <w:sz w:val="25"/>
                <w:szCs w:val="25"/>
              </w:rPr>
            </w:pPr>
            <w:r w:rsidRPr="00942F86">
              <w:rPr>
                <w:b/>
                <w:sz w:val="25"/>
                <w:szCs w:val="25"/>
              </w:rPr>
              <w:t>14,374</w:t>
            </w:r>
          </w:p>
        </w:tc>
        <w:tc>
          <w:tcPr>
            <w:tcW w:w="1530" w:type="dxa"/>
            <w:vAlign w:val="center"/>
          </w:tcPr>
          <w:p w14:paraId="68B6D3B6" w14:textId="77777777"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48E4EDC5" w14:textId="3C45362D" w:rsidR="00334888" w:rsidRPr="00942F86" w:rsidRDefault="00334888" w:rsidP="000455AC">
            <w:pPr>
              <w:spacing w:line="264" w:lineRule="auto"/>
              <w:jc w:val="right"/>
              <w:rPr>
                <w:sz w:val="25"/>
                <w:szCs w:val="25"/>
              </w:rPr>
            </w:pPr>
            <w:r w:rsidRPr="00942F86">
              <w:rPr>
                <w:b/>
                <w:sz w:val="25"/>
                <w:szCs w:val="25"/>
              </w:rPr>
              <w:t>(23,201)</w:t>
            </w:r>
          </w:p>
        </w:tc>
      </w:tr>
      <w:tr w:rsidR="00334888" w:rsidRPr="00942F86" w14:paraId="075200AD" w14:textId="77777777" w:rsidTr="00A5217D">
        <w:trPr>
          <w:trHeight w:val="432"/>
        </w:trPr>
        <w:tc>
          <w:tcPr>
            <w:tcW w:w="927" w:type="dxa"/>
            <w:tcBorders>
              <w:left w:val="thinThickSmallGap" w:sz="24" w:space="0" w:color="auto"/>
            </w:tcBorders>
            <w:vAlign w:val="center"/>
          </w:tcPr>
          <w:p w14:paraId="549CE79A" w14:textId="396172AD" w:rsidR="00334888" w:rsidRPr="00942F86" w:rsidRDefault="00334888" w:rsidP="000455AC">
            <w:pPr>
              <w:spacing w:line="264" w:lineRule="auto"/>
              <w:jc w:val="center"/>
              <w:rPr>
                <w:b/>
                <w:bCs/>
                <w:sz w:val="25"/>
                <w:szCs w:val="25"/>
              </w:rPr>
            </w:pPr>
            <w:r w:rsidRPr="00942F86">
              <w:rPr>
                <w:b/>
                <w:bCs/>
                <w:sz w:val="25"/>
                <w:szCs w:val="25"/>
              </w:rPr>
              <w:t>4.2</w:t>
            </w:r>
          </w:p>
        </w:tc>
        <w:tc>
          <w:tcPr>
            <w:tcW w:w="4230" w:type="dxa"/>
            <w:vAlign w:val="center"/>
          </w:tcPr>
          <w:p w14:paraId="226DCF6C" w14:textId="6A791F87" w:rsidR="00334888" w:rsidRPr="00942F86" w:rsidRDefault="00334888" w:rsidP="000455AC">
            <w:pPr>
              <w:keepNext/>
              <w:keepLines/>
              <w:spacing w:line="264" w:lineRule="auto"/>
              <w:rPr>
                <w:b/>
                <w:bCs/>
                <w:sz w:val="25"/>
                <w:szCs w:val="25"/>
              </w:rPr>
            </w:pPr>
            <w:r w:rsidRPr="00942F86">
              <w:rPr>
                <w:b/>
                <w:bCs/>
                <w:sz w:val="25"/>
                <w:szCs w:val="25"/>
              </w:rPr>
              <w:t>Wage &amp; Employee Benefits - Restating</w:t>
            </w:r>
          </w:p>
        </w:tc>
        <w:tc>
          <w:tcPr>
            <w:tcW w:w="1530" w:type="dxa"/>
            <w:vAlign w:val="center"/>
          </w:tcPr>
          <w:p w14:paraId="69BB18DB" w14:textId="2D2F9F8F" w:rsidR="00334888" w:rsidRPr="00942F86" w:rsidRDefault="00334888" w:rsidP="000455AC">
            <w:pPr>
              <w:spacing w:line="264" w:lineRule="auto"/>
              <w:jc w:val="right"/>
              <w:rPr>
                <w:sz w:val="25"/>
                <w:szCs w:val="25"/>
              </w:rPr>
            </w:pPr>
            <w:r w:rsidRPr="00942F86">
              <w:rPr>
                <w:b/>
                <w:sz w:val="25"/>
                <w:szCs w:val="25"/>
              </w:rPr>
              <w:t>30,933</w:t>
            </w:r>
          </w:p>
        </w:tc>
        <w:tc>
          <w:tcPr>
            <w:tcW w:w="1530" w:type="dxa"/>
            <w:vAlign w:val="center"/>
          </w:tcPr>
          <w:p w14:paraId="49B5735B" w14:textId="77777777"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5117562E" w14:textId="1708ED92" w:rsidR="00334888" w:rsidRPr="00942F86" w:rsidRDefault="00334888" w:rsidP="000455AC">
            <w:pPr>
              <w:spacing w:line="264" w:lineRule="auto"/>
              <w:jc w:val="right"/>
              <w:rPr>
                <w:sz w:val="25"/>
                <w:szCs w:val="25"/>
              </w:rPr>
            </w:pPr>
            <w:r w:rsidRPr="00942F86">
              <w:rPr>
                <w:b/>
                <w:sz w:val="25"/>
                <w:szCs w:val="25"/>
              </w:rPr>
              <w:t>(49,928)</w:t>
            </w:r>
          </w:p>
        </w:tc>
      </w:tr>
      <w:tr w:rsidR="00334888" w:rsidRPr="00942F86" w14:paraId="71040B67" w14:textId="77777777" w:rsidTr="00A5217D">
        <w:trPr>
          <w:trHeight w:val="432"/>
        </w:trPr>
        <w:tc>
          <w:tcPr>
            <w:tcW w:w="927" w:type="dxa"/>
            <w:tcBorders>
              <w:left w:val="thinThickSmallGap" w:sz="24" w:space="0" w:color="auto"/>
            </w:tcBorders>
            <w:vAlign w:val="center"/>
          </w:tcPr>
          <w:p w14:paraId="6FF097C7" w14:textId="43BB5F3A" w:rsidR="00334888" w:rsidRPr="00942F86" w:rsidRDefault="00334888" w:rsidP="000455AC">
            <w:pPr>
              <w:spacing w:line="264" w:lineRule="auto"/>
              <w:jc w:val="center"/>
              <w:rPr>
                <w:b/>
                <w:bCs/>
                <w:sz w:val="25"/>
                <w:szCs w:val="25"/>
              </w:rPr>
            </w:pPr>
            <w:r w:rsidRPr="00942F86">
              <w:rPr>
                <w:b/>
                <w:bCs/>
                <w:sz w:val="25"/>
                <w:szCs w:val="25"/>
              </w:rPr>
              <w:t>4.4</w:t>
            </w:r>
          </w:p>
        </w:tc>
        <w:tc>
          <w:tcPr>
            <w:tcW w:w="4230" w:type="dxa"/>
            <w:vAlign w:val="center"/>
          </w:tcPr>
          <w:p w14:paraId="7BFBB090" w14:textId="0640FE1A" w:rsidR="00334888" w:rsidRPr="00942F86" w:rsidRDefault="00334888" w:rsidP="000455AC">
            <w:pPr>
              <w:keepNext/>
              <w:keepLines/>
              <w:spacing w:line="264" w:lineRule="auto"/>
              <w:rPr>
                <w:b/>
                <w:bCs/>
                <w:sz w:val="25"/>
                <w:szCs w:val="25"/>
              </w:rPr>
            </w:pPr>
            <w:r w:rsidRPr="00942F86">
              <w:rPr>
                <w:b/>
                <w:bCs/>
                <w:sz w:val="25"/>
                <w:szCs w:val="25"/>
              </w:rPr>
              <w:t>Irrigation Load Control Program</w:t>
            </w:r>
          </w:p>
        </w:tc>
        <w:tc>
          <w:tcPr>
            <w:tcW w:w="1530" w:type="dxa"/>
            <w:vAlign w:val="center"/>
          </w:tcPr>
          <w:p w14:paraId="01B18D83" w14:textId="28295C81" w:rsidR="00334888" w:rsidRPr="00942F86" w:rsidRDefault="00334888" w:rsidP="000455AC">
            <w:pPr>
              <w:spacing w:line="264" w:lineRule="auto"/>
              <w:jc w:val="right"/>
              <w:rPr>
                <w:sz w:val="25"/>
                <w:szCs w:val="25"/>
              </w:rPr>
            </w:pPr>
            <w:r w:rsidRPr="00942F86">
              <w:rPr>
                <w:b/>
                <w:sz w:val="25"/>
                <w:szCs w:val="25"/>
              </w:rPr>
              <w:t>3,472</w:t>
            </w:r>
          </w:p>
        </w:tc>
        <w:tc>
          <w:tcPr>
            <w:tcW w:w="1530" w:type="dxa"/>
            <w:vAlign w:val="center"/>
          </w:tcPr>
          <w:p w14:paraId="138E7E2F" w14:textId="77777777"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5C8B8F44" w14:textId="55CE79BC" w:rsidR="00334888" w:rsidRPr="00942F86" w:rsidRDefault="00334888" w:rsidP="000455AC">
            <w:pPr>
              <w:spacing w:line="264" w:lineRule="auto"/>
              <w:jc w:val="right"/>
              <w:rPr>
                <w:sz w:val="25"/>
                <w:szCs w:val="25"/>
              </w:rPr>
            </w:pPr>
            <w:r w:rsidRPr="00942F86">
              <w:rPr>
                <w:b/>
                <w:sz w:val="25"/>
                <w:szCs w:val="25"/>
              </w:rPr>
              <w:t>(5,604)</w:t>
            </w:r>
          </w:p>
        </w:tc>
      </w:tr>
      <w:tr w:rsidR="00334888" w:rsidRPr="00942F86" w14:paraId="690E6EC3" w14:textId="77777777" w:rsidTr="00A5217D">
        <w:trPr>
          <w:trHeight w:val="432"/>
        </w:trPr>
        <w:tc>
          <w:tcPr>
            <w:tcW w:w="927" w:type="dxa"/>
            <w:tcBorders>
              <w:left w:val="thinThickSmallGap" w:sz="24" w:space="0" w:color="auto"/>
            </w:tcBorders>
            <w:vAlign w:val="center"/>
          </w:tcPr>
          <w:p w14:paraId="4336573E" w14:textId="0660F09C" w:rsidR="00334888" w:rsidRPr="00942F86" w:rsidRDefault="00334888" w:rsidP="000455AC">
            <w:pPr>
              <w:spacing w:line="264" w:lineRule="auto"/>
              <w:jc w:val="center"/>
              <w:rPr>
                <w:b/>
                <w:bCs/>
                <w:sz w:val="25"/>
                <w:szCs w:val="25"/>
              </w:rPr>
            </w:pPr>
            <w:r w:rsidRPr="00942F86">
              <w:rPr>
                <w:b/>
                <w:bCs/>
                <w:sz w:val="25"/>
                <w:szCs w:val="25"/>
              </w:rPr>
              <w:t>4.5</w:t>
            </w:r>
          </w:p>
        </w:tc>
        <w:tc>
          <w:tcPr>
            <w:tcW w:w="4230" w:type="dxa"/>
            <w:vAlign w:val="center"/>
          </w:tcPr>
          <w:p w14:paraId="16BDC3DC" w14:textId="4FFB36E2" w:rsidR="00334888" w:rsidRPr="00942F86" w:rsidRDefault="00334888" w:rsidP="000455AC">
            <w:pPr>
              <w:keepNext/>
              <w:keepLines/>
              <w:spacing w:line="264" w:lineRule="auto"/>
              <w:rPr>
                <w:b/>
                <w:bCs/>
                <w:sz w:val="25"/>
                <w:szCs w:val="25"/>
              </w:rPr>
            </w:pPr>
            <w:r w:rsidRPr="00942F86">
              <w:rPr>
                <w:b/>
                <w:bCs/>
                <w:sz w:val="25"/>
                <w:szCs w:val="25"/>
              </w:rPr>
              <w:t>Remove Non-recurring Entries</w:t>
            </w:r>
          </w:p>
        </w:tc>
        <w:tc>
          <w:tcPr>
            <w:tcW w:w="1530" w:type="dxa"/>
            <w:vAlign w:val="center"/>
          </w:tcPr>
          <w:p w14:paraId="090F9CB3" w14:textId="6018C8B3" w:rsidR="00334888" w:rsidRPr="00942F86" w:rsidRDefault="00334888" w:rsidP="000455AC">
            <w:pPr>
              <w:spacing w:line="264" w:lineRule="auto"/>
              <w:jc w:val="right"/>
              <w:rPr>
                <w:sz w:val="25"/>
                <w:szCs w:val="25"/>
              </w:rPr>
            </w:pPr>
            <w:r w:rsidRPr="00942F86">
              <w:rPr>
                <w:b/>
                <w:sz w:val="25"/>
                <w:szCs w:val="25"/>
              </w:rPr>
              <w:t>(101,034)</w:t>
            </w:r>
          </w:p>
        </w:tc>
        <w:tc>
          <w:tcPr>
            <w:tcW w:w="1530" w:type="dxa"/>
            <w:vAlign w:val="center"/>
          </w:tcPr>
          <w:p w14:paraId="36FB4756" w14:textId="77777777"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60EC6C95" w14:textId="31D87024" w:rsidR="00334888" w:rsidRPr="00942F86" w:rsidRDefault="00334888" w:rsidP="000455AC">
            <w:pPr>
              <w:spacing w:line="264" w:lineRule="auto"/>
              <w:jc w:val="right"/>
              <w:rPr>
                <w:sz w:val="25"/>
                <w:szCs w:val="25"/>
              </w:rPr>
            </w:pPr>
            <w:r w:rsidRPr="00942F86">
              <w:rPr>
                <w:b/>
                <w:sz w:val="25"/>
                <w:szCs w:val="25"/>
              </w:rPr>
              <w:t>163,076</w:t>
            </w:r>
          </w:p>
        </w:tc>
      </w:tr>
      <w:tr w:rsidR="00334888" w:rsidRPr="00942F86" w14:paraId="175FCB39" w14:textId="77777777" w:rsidTr="00A5217D">
        <w:trPr>
          <w:trHeight w:val="432"/>
        </w:trPr>
        <w:tc>
          <w:tcPr>
            <w:tcW w:w="927" w:type="dxa"/>
            <w:tcBorders>
              <w:left w:val="thinThickSmallGap" w:sz="24" w:space="0" w:color="auto"/>
            </w:tcBorders>
            <w:vAlign w:val="center"/>
          </w:tcPr>
          <w:p w14:paraId="69BC187D" w14:textId="73756E5D" w:rsidR="00334888" w:rsidRPr="00942F86" w:rsidRDefault="00334888" w:rsidP="000455AC">
            <w:pPr>
              <w:spacing w:line="264" w:lineRule="auto"/>
              <w:jc w:val="center"/>
              <w:rPr>
                <w:b/>
                <w:bCs/>
                <w:sz w:val="25"/>
                <w:szCs w:val="25"/>
              </w:rPr>
            </w:pPr>
            <w:r w:rsidRPr="00942F86">
              <w:rPr>
                <w:b/>
                <w:bCs/>
                <w:sz w:val="25"/>
                <w:szCs w:val="25"/>
              </w:rPr>
              <w:t>4.6</w:t>
            </w:r>
          </w:p>
        </w:tc>
        <w:tc>
          <w:tcPr>
            <w:tcW w:w="4230" w:type="dxa"/>
            <w:vAlign w:val="center"/>
          </w:tcPr>
          <w:p w14:paraId="70045198" w14:textId="7B17E60F" w:rsidR="00334888" w:rsidRPr="00942F86" w:rsidDel="00C30CC1" w:rsidRDefault="00334888" w:rsidP="000455AC">
            <w:pPr>
              <w:keepNext/>
              <w:keepLines/>
              <w:spacing w:line="264" w:lineRule="auto"/>
              <w:rPr>
                <w:b/>
                <w:bCs/>
                <w:sz w:val="25"/>
                <w:szCs w:val="25"/>
              </w:rPr>
            </w:pPr>
            <w:r w:rsidRPr="00942F86">
              <w:rPr>
                <w:b/>
                <w:bCs/>
                <w:sz w:val="25"/>
                <w:szCs w:val="25"/>
              </w:rPr>
              <w:t>DSM Revenue and Expense Removal</w:t>
            </w:r>
          </w:p>
        </w:tc>
        <w:tc>
          <w:tcPr>
            <w:tcW w:w="1530" w:type="dxa"/>
            <w:vAlign w:val="center"/>
          </w:tcPr>
          <w:p w14:paraId="70BB1A6B" w14:textId="5F40B079" w:rsidR="00334888" w:rsidRPr="00942F86" w:rsidRDefault="00334888" w:rsidP="000455AC">
            <w:pPr>
              <w:spacing w:line="264" w:lineRule="auto"/>
              <w:jc w:val="right"/>
              <w:rPr>
                <w:sz w:val="25"/>
                <w:szCs w:val="25"/>
              </w:rPr>
            </w:pPr>
            <w:r w:rsidRPr="00942F86">
              <w:rPr>
                <w:b/>
                <w:sz w:val="25"/>
                <w:szCs w:val="25"/>
              </w:rPr>
              <w:t>6,923,690</w:t>
            </w:r>
          </w:p>
        </w:tc>
        <w:tc>
          <w:tcPr>
            <w:tcW w:w="1530" w:type="dxa"/>
            <w:vAlign w:val="center"/>
          </w:tcPr>
          <w:p w14:paraId="54F171C8" w14:textId="77777777"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4DA6E9AF" w14:textId="4FBEEA26" w:rsidR="00334888" w:rsidRPr="00942F86" w:rsidRDefault="00334888" w:rsidP="000455AC">
            <w:pPr>
              <w:spacing w:line="264" w:lineRule="auto"/>
              <w:jc w:val="right"/>
              <w:rPr>
                <w:sz w:val="25"/>
                <w:szCs w:val="25"/>
              </w:rPr>
            </w:pPr>
            <w:r w:rsidRPr="00942F86">
              <w:rPr>
                <w:b/>
                <w:sz w:val="25"/>
                <w:szCs w:val="25"/>
              </w:rPr>
              <w:t>(11,175,352)</w:t>
            </w:r>
          </w:p>
        </w:tc>
      </w:tr>
      <w:tr w:rsidR="00334888" w:rsidRPr="00942F86" w14:paraId="2E6C915E" w14:textId="77777777" w:rsidTr="00A5217D">
        <w:trPr>
          <w:trHeight w:val="432"/>
        </w:trPr>
        <w:tc>
          <w:tcPr>
            <w:tcW w:w="927" w:type="dxa"/>
            <w:tcBorders>
              <w:left w:val="thinThickSmallGap" w:sz="24" w:space="0" w:color="auto"/>
            </w:tcBorders>
            <w:vAlign w:val="center"/>
          </w:tcPr>
          <w:p w14:paraId="51040BB8" w14:textId="5EE1CC73" w:rsidR="00334888" w:rsidRPr="00942F86" w:rsidRDefault="00334888" w:rsidP="000455AC">
            <w:pPr>
              <w:spacing w:line="264" w:lineRule="auto"/>
              <w:jc w:val="center"/>
              <w:rPr>
                <w:b/>
                <w:bCs/>
                <w:sz w:val="25"/>
                <w:szCs w:val="25"/>
              </w:rPr>
            </w:pPr>
            <w:r w:rsidRPr="00942F86">
              <w:rPr>
                <w:b/>
                <w:bCs/>
                <w:sz w:val="25"/>
                <w:szCs w:val="25"/>
              </w:rPr>
              <w:t>4.8</w:t>
            </w:r>
          </w:p>
        </w:tc>
        <w:tc>
          <w:tcPr>
            <w:tcW w:w="4230" w:type="dxa"/>
            <w:vAlign w:val="center"/>
          </w:tcPr>
          <w:p w14:paraId="23426CA9" w14:textId="176D537D" w:rsidR="00334888" w:rsidRPr="00942F86" w:rsidRDefault="00334888" w:rsidP="000455AC">
            <w:pPr>
              <w:keepNext/>
              <w:keepLines/>
              <w:spacing w:line="264" w:lineRule="auto"/>
              <w:rPr>
                <w:b/>
                <w:bCs/>
                <w:sz w:val="25"/>
                <w:szCs w:val="25"/>
              </w:rPr>
            </w:pPr>
            <w:r w:rsidRPr="00942F86">
              <w:rPr>
                <w:b/>
                <w:bCs/>
                <w:sz w:val="25"/>
                <w:szCs w:val="25"/>
              </w:rPr>
              <w:t>Advertising Expense</w:t>
            </w:r>
          </w:p>
        </w:tc>
        <w:tc>
          <w:tcPr>
            <w:tcW w:w="1530" w:type="dxa"/>
            <w:vAlign w:val="center"/>
          </w:tcPr>
          <w:p w14:paraId="464F4891" w14:textId="3E2450EC" w:rsidR="00334888" w:rsidRPr="00942F86" w:rsidRDefault="00334888" w:rsidP="000455AC">
            <w:pPr>
              <w:spacing w:line="264" w:lineRule="auto"/>
              <w:jc w:val="right"/>
              <w:rPr>
                <w:sz w:val="25"/>
                <w:szCs w:val="25"/>
              </w:rPr>
            </w:pPr>
            <w:r w:rsidRPr="00942F86">
              <w:rPr>
                <w:b/>
                <w:sz w:val="25"/>
                <w:szCs w:val="25"/>
              </w:rPr>
              <w:t>261</w:t>
            </w:r>
          </w:p>
        </w:tc>
        <w:tc>
          <w:tcPr>
            <w:tcW w:w="1530" w:type="dxa"/>
            <w:vAlign w:val="center"/>
          </w:tcPr>
          <w:p w14:paraId="6A9FACDA" w14:textId="152776BD"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0AB720A8" w14:textId="12414BC6" w:rsidR="00334888" w:rsidRPr="00942F86" w:rsidRDefault="00334888" w:rsidP="000455AC">
            <w:pPr>
              <w:spacing w:line="264" w:lineRule="auto"/>
              <w:jc w:val="right"/>
              <w:rPr>
                <w:sz w:val="25"/>
                <w:szCs w:val="25"/>
              </w:rPr>
            </w:pPr>
            <w:r w:rsidRPr="00942F86">
              <w:rPr>
                <w:b/>
                <w:sz w:val="25"/>
                <w:szCs w:val="25"/>
              </w:rPr>
              <w:t>(421)</w:t>
            </w:r>
          </w:p>
        </w:tc>
      </w:tr>
      <w:tr w:rsidR="00334888" w:rsidRPr="00942F86" w14:paraId="659C17B2" w14:textId="77777777" w:rsidTr="00A5217D">
        <w:trPr>
          <w:trHeight w:val="432"/>
        </w:trPr>
        <w:tc>
          <w:tcPr>
            <w:tcW w:w="927" w:type="dxa"/>
            <w:tcBorders>
              <w:left w:val="thinThickSmallGap" w:sz="24" w:space="0" w:color="auto"/>
            </w:tcBorders>
            <w:vAlign w:val="center"/>
          </w:tcPr>
          <w:p w14:paraId="16118FCE" w14:textId="5828919D" w:rsidR="00334888" w:rsidRPr="00942F86" w:rsidRDefault="00334888" w:rsidP="000455AC">
            <w:pPr>
              <w:spacing w:line="264" w:lineRule="auto"/>
              <w:jc w:val="center"/>
              <w:rPr>
                <w:b/>
                <w:bCs/>
                <w:sz w:val="25"/>
                <w:szCs w:val="25"/>
              </w:rPr>
            </w:pPr>
            <w:r w:rsidRPr="00942F86">
              <w:rPr>
                <w:b/>
                <w:bCs/>
                <w:sz w:val="25"/>
                <w:szCs w:val="25"/>
              </w:rPr>
              <w:t>4.9</w:t>
            </w:r>
          </w:p>
        </w:tc>
        <w:tc>
          <w:tcPr>
            <w:tcW w:w="4230" w:type="dxa"/>
            <w:vAlign w:val="center"/>
          </w:tcPr>
          <w:p w14:paraId="3AC67E58" w14:textId="27671E83" w:rsidR="00334888" w:rsidRPr="00942F86" w:rsidRDefault="00334888" w:rsidP="000455AC">
            <w:pPr>
              <w:keepNext/>
              <w:keepLines/>
              <w:spacing w:line="264" w:lineRule="auto"/>
              <w:rPr>
                <w:b/>
                <w:bCs/>
                <w:sz w:val="25"/>
                <w:szCs w:val="25"/>
              </w:rPr>
            </w:pPr>
            <w:r w:rsidRPr="00942F86">
              <w:rPr>
                <w:b/>
                <w:bCs/>
                <w:sz w:val="25"/>
                <w:szCs w:val="25"/>
              </w:rPr>
              <w:t>Memberships &amp; Subscriptions</w:t>
            </w:r>
          </w:p>
        </w:tc>
        <w:tc>
          <w:tcPr>
            <w:tcW w:w="1530" w:type="dxa"/>
            <w:vAlign w:val="center"/>
          </w:tcPr>
          <w:p w14:paraId="6BE9CBC2" w14:textId="71EA38BE" w:rsidR="00334888" w:rsidRPr="00942F86" w:rsidRDefault="00334888" w:rsidP="000455AC">
            <w:pPr>
              <w:spacing w:line="264" w:lineRule="auto"/>
              <w:jc w:val="right"/>
              <w:rPr>
                <w:sz w:val="25"/>
                <w:szCs w:val="25"/>
              </w:rPr>
            </w:pPr>
            <w:r w:rsidRPr="00942F86">
              <w:rPr>
                <w:b/>
                <w:sz w:val="25"/>
                <w:szCs w:val="25"/>
              </w:rPr>
              <w:t>(973)</w:t>
            </w:r>
          </w:p>
        </w:tc>
        <w:tc>
          <w:tcPr>
            <w:tcW w:w="1530" w:type="dxa"/>
            <w:vAlign w:val="center"/>
          </w:tcPr>
          <w:p w14:paraId="033AD0DC" w14:textId="77777777"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026B334F" w14:textId="418FCE74" w:rsidR="00334888" w:rsidRPr="00942F86" w:rsidRDefault="00334888" w:rsidP="000455AC">
            <w:pPr>
              <w:spacing w:line="264" w:lineRule="auto"/>
              <w:jc w:val="right"/>
              <w:rPr>
                <w:sz w:val="25"/>
                <w:szCs w:val="25"/>
              </w:rPr>
            </w:pPr>
            <w:r w:rsidRPr="00942F86">
              <w:rPr>
                <w:b/>
                <w:sz w:val="25"/>
                <w:szCs w:val="25"/>
              </w:rPr>
              <w:t>1,570</w:t>
            </w:r>
          </w:p>
        </w:tc>
      </w:tr>
      <w:tr w:rsidR="00334888" w:rsidRPr="00942F86" w14:paraId="6F5142CA" w14:textId="77777777" w:rsidTr="00A5217D">
        <w:trPr>
          <w:trHeight w:val="432"/>
        </w:trPr>
        <w:tc>
          <w:tcPr>
            <w:tcW w:w="927" w:type="dxa"/>
            <w:tcBorders>
              <w:left w:val="thinThickSmallGap" w:sz="24" w:space="0" w:color="auto"/>
            </w:tcBorders>
            <w:vAlign w:val="center"/>
          </w:tcPr>
          <w:p w14:paraId="3045E8C5" w14:textId="3A0A3F56" w:rsidR="00334888" w:rsidRPr="00942F86" w:rsidRDefault="00334888" w:rsidP="000455AC">
            <w:pPr>
              <w:spacing w:line="264" w:lineRule="auto"/>
              <w:jc w:val="center"/>
              <w:rPr>
                <w:b/>
                <w:bCs/>
                <w:sz w:val="25"/>
                <w:szCs w:val="25"/>
              </w:rPr>
            </w:pPr>
            <w:r w:rsidRPr="00942F86">
              <w:rPr>
                <w:b/>
                <w:bCs/>
                <w:sz w:val="25"/>
                <w:szCs w:val="25"/>
              </w:rPr>
              <w:t>4.10</w:t>
            </w:r>
          </w:p>
        </w:tc>
        <w:tc>
          <w:tcPr>
            <w:tcW w:w="4230" w:type="dxa"/>
            <w:vAlign w:val="center"/>
          </w:tcPr>
          <w:p w14:paraId="04FF88FD" w14:textId="362CA57A" w:rsidR="00334888" w:rsidRPr="00942F86" w:rsidDel="00C30CC1" w:rsidRDefault="00334888" w:rsidP="000455AC">
            <w:pPr>
              <w:spacing w:line="264" w:lineRule="auto"/>
              <w:rPr>
                <w:b/>
                <w:bCs/>
                <w:sz w:val="25"/>
                <w:szCs w:val="25"/>
              </w:rPr>
            </w:pPr>
            <w:r w:rsidRPr="00942F86">
              <w:rPr>
                <w:b/>
                <w:bCs/>
                <w:sz w:val="25"/>
                <w:szCs w:val="25"/>
              </w:rPr>
              <w:t>Uncollectible Expense</w:t>
            </w:r>
          </w:p>
        </w:tc>
        <w:tc>
          <w:tcPr>
            <w:tcW w:w="1530" w:type="dxa"/>
            <w:vAlign w:val="center"/>
          </w:tcPr>
          <w:p w14:paraId="5A3706F5" w14:textId="330D42E7" w:rsidR="00334888" w:rsidRPr="00942F86" w:rsidRDefault="00334888" w:rsidP="000455AC">
            <w:pPr>
              <w:spacing w:line="264" w:lineRule="auto"/>
              <w:jc w:val="right"/>
              <w:rPr>
                <w:sz w:val="25"/>
                <w:szCs w:val="25"/>
              </w:rPr>
            </w:pPr>
            <w:r w:rsidRPr="00942F86">
              <w:rPr>
                <w:b/>
                <w:sz w:val="25"/>
                <w:szCs w:val="25"/>
              </w:rPr>
              <w:t>(274,576)</w:t>
            </w:r>
          </w:p>
        </w:tc>
        <w:tc>
          <w:tcPr>
            <w:tcW w:w="1530" w:type="dxa"/>
            <w:vAlign w:val="center"/>
          </w:tcPr>
          <w:p w14:paraId="0C12D5ED" w14:textId="77777777"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49A58E4F" w14:textId="1ECC5703" w:rsidR="00334888" w:rsidRPr="00942F86" w:rsidRDefault="00334888" w:rsidP="000455AC">
            <w:pPr>
              <w:spacing w:line="264" w:lineRule="auto"/>
              <w:jc w:val="right"/>
              <w:rPr>
                <w:sz w:val="25"/>
                <w:szCs w:val="25"/>
              </w:rPr>
            </w:pPr>
            <w:r w:rsidRPr="00942F86">
              <w:rPr>
                <w:b/>
                <w:sz w:val="25"/>
                <w:szCs w:val="25"/>
              </w:rPr>
              <w:t>443,186</w:t>
            </w:r>
          </w:p>
        </w:tc>
      </w:tr>
      <w:tr w:rsidR="00334888" w:rsidRPr="00942F86" w14:paraId="27BA63F2" w14:textId="77777777" w:rsidTr="00A5217D">
        <w:trPr>
          <w:trHeight w:val="432"/>
        </w:trPr>
        <w:tc>
          <w:tcPr>
            <w:tcW w:w="927" w:type="dxa"/>
            <w:tcBorders>
              <w:left w:val="thinThickSmallGap" w:sz="24" w:space="0" w:color="auto"/>
            </w:tcBorders>
            <w:vAlign w:val="center"/>
          </w:tcPr>
          <w:p w14:paraId="1B7C3446" w14:textId="69D50DFD" w:rsidR="00334888" w:rsidRPr="00942F86" w:rsidRDefault="00334888" w:rsidP="000455AC">
            <w:pPr>
              <w:spacing w:line="264" w:lineRule="auto"/>
              <w:jc w:val="center"/>
              <w:rPr>
                <w:b/>
                <w:bCs/>
                <w:sz w:val="25"/>
                <w:szCs w:val="25"/>
              </w:rPr>
            </w:pPr>
            <w:r w:rsidRPr="00942F86">
              <w:rPr>
                <w:b/>
                <w:bCs/>
                <w:sz w:val="25"/>
                <w:szCs w:val="25"/>
              </w:rPr>
              <w:t>4.11</w:t>
            </w:r>
          </w:p>
        </w:tc>
        <w:tc>
          <w:tcPr>
            <w:tcW w:w="4230" w:type="dxa"/>
            <w:vAlign w:val="center"/>
          </w:tcPr>
          <w:p w14:paraId="06EE22B2" w14:textId="2D86867E" w:rsidR="00334888" w:rsidRPr="00942F86" w:rsidRDefault="00334888" w:rsidP="000455AC">
            <w:pPr>
              <w:spacing w:line="264" w:lineRule="auto"/>
              <w:rPr>
                <w:b/>
                <w:bCs/>
                <w:sz w:val="25"/>
                <w:szCs w:val="25"/>
              </w:rPr>
            </w:pPr>
            <w:r w:rsidRPr="00942F86">
              <w:rPr>
                <w:b/>
                <w:bCs/>
                <w:sz w:val="25"/>
                <w:szCs w:val="25"/>
              </w:rPr>
              <w:t>Legal Expenses</w:t>
            </w:r>
          </w:p>
        </w:tc>
        <w:tc>
          <w:tcPr>
            <w:tcW w:w="1530" w:type="dxa"/>
            <w:vAlign w:val="center"/>
          </w:tcPr>
          <w:p w14:paraId="78B5C227" w14:textId="216C7002" w:rsidR="00334888" w:rsidRPr="00942F86" w:rsidRDefault="00334888" w:rsidP="000455AC">
            <w:pPr>
              <w:spacing w:line="264" w:lineRule="auto"/>
              <w:jc w:val="right"/>
              <w:rPr>
                <w:sz w:val="25"/>
                <w:szCs w:val="25"/>
              </w:rPr>
            </w:pPr>
            <w:r w:rsidRPr="00942F86">
              <w:rPr>
                <w:b/>
                <w:sz w:val="25"/>
                <w:szCs w:val="25"/>
              </w:rPr>
              <w:t>(60,982)</w:t>
            </w:r>
          </w:p>
        </w:tc>
        <w:tc>
          <w:tcPr>
            <w:tcW w:w="1530" w:type="dxa"/>
            <w:vAlign w:val="center"/>
          </w:tcPr>
          <w:p w14:paraId="6FE65AE9" w14:textId="663E15C0"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733A8983" w14:textId="5811CD0C" w:rsidR="00334888" w:rsidRPr="00942F86" w:rsidRDefault="00334888" w:rsidP="000455AC">
            <w:pPr>
              <w:spacing w:line="264" w:lineRule="auto"/>
              <w:jc w:val="right"/>
              <w:rPr>
                <w:sz w:val="25"/>
                <w:szCs w:val="25"/>
              </w:rPr>
            </w:pPr>
            <w:r w:rsidRPr="00942F86">
              <w:rPr>
                <w:b/>
                <w:sz w:val="25"/>
                <w:szCs w:val="25"/>
              </w:rPr>
              <w:t>98,430</w:t>
            </w:r>
          </w:p>
        </w:tc>
      </w:tr>
      <w:tr w:rsidR="00334888" w:rsidRPr="00942F86" w14:paraId="1D9E08DF" w14:textId="77777777" w:rsidTr="00A5217D">
        <w:trPr>
          <w:trHeight w:val="432"/>
        </w:trPr>
        <w:tc>
          <w:tcPr>
            <w:tcW w:w="927" w:type="dxa"/>
            <w:tcBorders>
              <w:left w:val="thinThickSmallGap" w:sz="24" w:space="0" w:color="auto"/>
            </w:tcBorders>
            <w:vAlign w:val="center"/>
          </w:tcPr>
          <w:p w14:paraId="34991069" w14:textId="1CE2529D" w:rsidR="00334888" w:rsidRPr="00942F86" w:rsidRDefault="00334888" w:rsidP="000455AC">
            <w:pPr>
              <w:spacing w:line="264" w:lineRule="auto"/>
              <w:jc w:val="center"/>
              <w:rPr>
                <w:b/>
                <w:bCs/>
                <w:sz w:val="25"/>
                <w:szCs w:val="25"/>
              </w:rPr>
            </w:pPr>
            <w:r w:rsidRPr="00942F86">
              <w:rPr>
                <w:b/>
                <w:bCs/>
                <w:sz w:val="25"/>
                <w:szCs w:val="25"/>
              </w:rPr>
              <w:t>4.12</w:t>
            </w:r>
          </w:p>
        </w:tc>
        <w:tc>
          <w:tcPr>
            <w:tcW w:w="4230" w:type="dxa"/>
            <w:vAlign w:val="center"/>
          </w:tcPr>
          <w:p w14:paraId="6F174949" w14:textId="4A4465B6" w:rsidR="00334888" w:rsidRPr="00942F86" w:rsidRDefault="00334888" w:rsidP="000455AC">
            <w:pPr>
              <w:spacing w:line="264" w:lineRule="auto"/>
              <w:rPr>
                <w:b/>
                <w:bCs/>
                <w:sz w:val="25"/>
                <w:szCs w:val="25"/>
              </w:rPr>
            </w:pPr>
            <w:r w:rsidRPr="00942F86">
              <w:rPr>
                <w:b/>
                <w:bCs/>
                <w:sz w:val="25"/>
                <w:szCs w:val="25"/>
              </w:rPr>
              <w:t>Collection Agency Fees</w:t>
            </w:r>
          </w:p>
        </w:tc>
        <w:tc>
          <w:tcPr>
            <w:tcW w:w="1530" w:type="dxa"/>
            <w:vAlign w:val="center"/>
          </w:tcPr>
          <w:p w14:paraId="6B6357C0" w14:textId="39F0844B" w:rsidR="00334888" w:rsidRPr="00942F86" w:rsidRDefault="00334888" w:rsidP="000455AC">
            <w:pPr>
              <w:spacing w:line="264" w:lineRule="auto"/>
              <w:jc w:val="right"/>
              <w:rPr>
                <w:sz w:val="25"/>
                <w:szCs w:val="25"/>
              </w:rPr>
            </w:pPr>
            <w:r w:rsidRPr="00942F86">
              <w:rPr>
                <w:b/>
                <w:sz w:val="25"/>
                <w:szCs w:val="25"/>
              </w:rPr>
              <w:t>-</w:t>
            </w:r>
          </w:p>
        </w:tc>
        <w:tc>
          <w:tcPr>
            <w:tcW w:w="1530" w:type="dxa"/>
            <w:vAlign w:val="center"/>
          </w:tcPr>
          <w:p w14:paraId="5D2A3FAF" w14:textId="5B0FF92D" w:rsidR="00334888" w:rsidRPr="00942F86" w:rsidRDefault="00334888" w:rsidP="000455AC">
            <w:pPr>
              <w:spacing w:line="264" w:lineRule="auto"/>
              <w:jc w:val="right"/>
              <w:rPr>
                <w:sz w:val="25"/>
                <w:szCs w:val="25"/>
              </w:rPr>
            </w:pPr>
            <w:r w:rsidRPr="00942F86">
              <w:rPr>
                <w:b/>
                <w:sz w:val="25"/>
                <w:szCs w:val="25"/>
              </w:rPr>
              <w:t>-</w:t>
            </w:r>
          </w:p>
        </w:tc>
        <w:tc>
          <w:tcPr>
            <w:tcW w:w="1683" w:type="dxa"/>
            <w:tcBorders>
              <w:right w:val="thickThinSmallGap" w:sz="24" w:space="0" w:color="auto"/>
            </w:tcBorders>
            <w:vAlign w:val="center"/>
          </w:tcPr>
          <w:p w14:paraId="38D9FBCF" w14:textId="0ED71B94" w:rsidR="00334888" w:rsidRPr="00942F86" w:rsidRDefault="00334888" w:rsidP="000455AC">
            <w:pPr>
              <w:spacing w:line="264" w:lineRule="auto"/>
              <w:jc w:val="right"/>
              <w:rPr>
                <w:sz w:val="25"/>
                <w:szCs w:val="25"/>
              </w:rPr>
            </w:pPr>
            <w:r w:rsidRPr="00942F86">
              <w:rPr>
                <w:b/>
                <w:sz w:val="25"/>
                <w:szCs w:val="25"/>
              </w:rPr>
              <w:t>-</w:t>
            </w:r>
          </w:p>
        </w:tc>
      </w:tr>
      <w:tr w:rsidR="00334888" w:rsidRPr="00942F86" w14:paraId="1244BC91" w14:textId="77777777" w:rsidTr="00A5217D">
        <w:trPr>
          <w:trHeight w:val="432"/>
        </w:trPr>
        <w:tc>
          <w:tcPr>
            <w:tcW w:w="927" w:type="dxa"/>
            <w:tcBorders>
              <w:left w:val="thinThickSmallGap" w:sz="24" w:space="0" w:color="auto"/>
            </w:tcBorders>
            <w:vAlign w:val="center"/>
          </w:tcPr>
          <w:p w14:paraId="52C7103A" w14:textId="3CFEC56B" w:rsidR="00334888" w:rsidRPr="00942F86" w:rsidRDefault="00334888" w:rsidP="000455AC">
            <w:pPr>
              <w:spacing w:line="264" w:lineRule="auto"/>
              <w:jc w:val="center"/>
              <w:rPr>
                <w:b/>
                <w:bCs/>
                <w:sz w:val="25"/>
                <w:szCs w:val="25"/>
              </w:rPr>
            </w:pPr>
            <w:r w:rsidRPr="00942F86">
              <w:rPr>
                <w:b/>
                <w:bCs/>
                <w:sz w:val="25"/>
                <w:szCs w:val="25"/>
              </w:rPr>
              <w:t>5.1</w:t>
            </w:r>
          </w:p>
        </w:tc>
        <w:tc>
          <w:tcPr>
            <w:tcW w:w="4230" w:type="dxa"/>
            <w:vAlign w:val="center"/>
          </w:tcPr>
          <w:p w14:paraId="39C66A45" w14:textId="546D7929" w:rsidR="00334888" w:rsidRPr="00942F86" w:rsidRDefault="00334888" w:rsidP="000455AC">
            <w:pPr>
              <w:spacing w:line="264" w:lineRule="auto"/>
              <w:rPr>
                <w:b/>
                <w:bCs/>
                <w:sz w:val="25"/>
                <w:szCs w:val="25"/>
              </w:rPr>
            </w:pPr>
            <w:r w:rsidRPr="00942F86">
              <w:rPr>
                <w:b/>
                <w:bCs/>
                <w:sz w:val="25"/>
                <w:szCs w:val="25"/>
              </w:rPr>
              <w:t>Net Power Costs - Restating</w:t>
            </w:r>
          </w:p>
        </w:tc>
        <w:tc>
          <w:tcPr>
            <w:tcW w:w="1530" w:type="dxa"/>
            <w:vAlign w:val="center"/>
          </w:tcPr>
          <w:p w14:paraId="0BE7B3CF" w14:textId="090B7AD3" w:rsidR="00334888" w:rsidRPr="00942F86" w:rsidRDefault="00334888" w:rsidP="000455AC">
            <w:pPr>
              <w:spacing w:line="264" w:lineRule="auto"/>
              <w:jc w:val="right"/>
              <w:rPr>
                <w:sz w:val="25"/>
                <w:szCs w:val="25"/>
              </w:rPr>
            </w:pPr>
            <w:r w:rsidRPr="00942F86">
              <w:rPr>
                <w:b/>
                <w:sz w:val="25"/>
                <w:szCs w:val="25"/>
              </w:rPr>
              <w:t>7,484,568</w:t>
            </w:r>
          </w:p>
        </w:tc>
        <w:tc>
          <w:tcPr>
            <w:tcW w:w="1530" w:type="dxa"/>
            <w:vAlign w:val="center"/>
          </w:tcPr>
          <w:p w14:paraId="52E9BE66" w14:textId="77777777"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6C3A43B7" w14:textId="18739598" w:rsidR="00334888" w:rsidRPr="00942F86" w:rsidRDefault="00334888" w:rsidP="000455AC">
            <w:pPr>
              <w:spacing w:line="264" w:lineRule="auto"/>
              <w:jc w:val="right"/>
              <w:rPr>
                <w:sz w:val="25"/>
                <w:szCs w:val="25"/>
              </w:rPr>
            </w:pPr>
            <w:r w:rsidRPr="00942F86">
              <w:rPr>
                <w:b/>
                <w:sz w:val="25"/>
                <w:szCs w:val="25"/>
              </w:rPr>
              <w:t>(12,080,652)</w:t>
            </w:r>
          </w:p>
        </w:tc>
      </w:tr>
      <w:tr w:rsidR="00334888" w:rsidRPr="00942F86" w14:paraId="36242F79" w14:textId="77777777" w:rsidTr="00A5217D">
        <w:trPr>
          <w:trHeight w:val="432"/>
        </w:trPr>
        <w:tc>
          <w:tcPr>
            <w:tcW w:w="927" w:type="dxa"/>
            <w:tcBorders>
              <w:left w:val="thinThickSmallGap" w:sz="24" w:space="0" w:color="auto"/>
            </w:tcBorders>
            <w:shd w:val="clear" w:color="auto" w:fill="auto"/>
            <w:vAlign w:val="center"/>
          </w:tcPr>
          <w:p w14:paraId="6FAF92D5" w14:textId="7835FC90" w:rsidR="00334888" w:rsidRPr="00942F86" w:rsidRDefault="00334888" w:rsidP="000455AC">
            <w:pPr>
              <w:spacing w:line="264" w:lineRule="auto"/>
              <w:jc w:val="center"/>
              <w:rPr>
                <w:b/>
                <w:bCs/>
                <w:sz w:val="25"/>
                <w:szCs w:val="25"/>
              </w:rPr>
            </w:pPr>
            <w:r w:rsidRPr="00942F86">
              <w:rPr>
                <w:b/>
                <w:bCs/>
                <w:sz w:val="25"/>
                <w:szCs w:val="25"/>
              </w:rPr>
              <w:t>5.2</w:t>
            </w:r>
          </w:p>
        </w:tc>
        <w:tc>
          <w:tcPr>
            <w:tcW w:w="4230" w:type="dxa"/>
            <w:shd w:val="clear" w:color="auto" w:fill="auto"/>
            <w:vAlign w:val="center"/>
          </w:tcPr>
          <w:p w14:paraId="3DA0D750" w14:textId="4A272AB4" w:rsidR="00334888" w:rsidRPr="00942F86" w:rsidRDefault="00334888" w:rsidP="000455AC">
            <w:pPr>
              <w:spacing w:line="264" w:lineRule="auto"/>
              <w:rPr>
                <w:b/>
                <w:bCs/>
                <w:sz w:val="25"/>
                <w:szCs w:val="25"/>
              </w:rPr>
            </w:pPr>
            <w:r w:rsidRPr="00942F86">
              <w:rPr>
                <w:b/>
                <w:bCs/>
                <w:sz w:val="25"/>
                <w:szCs w:val="25"/>
              </w:rPr>
              <w:t>James River Royalty Offset</w:t>
            </w:r>
          </w:p>
        </w:tc>
        <w:tc>
          <w:tcPr>
            <w:tcW w:w="1530" w:type="dxa"/>
            <w:shd w:val="clear" w:color="auto" w:fill="auto"/>
            <w:vAlign w:val="center"/>
          </w:tcPr>
          <w:p w14:paraId="5E70DB1F" w14:textId="5B9E281C" w:rsidR="00334888" w:rsidRPr="00942F86" w:rsidRDefault="00334888" w:rsidP="000455AC">
            <w:pPr>
              <w:spacing w:line="264" w:lineRule="auto"/>
              <w:jc w:val="right"/>
              <w:rPr>
                <w:b/>
                <w:sz w:val="25"/>
                <w:szCs w:val="25"/>
              </w:rPr>
            </w:pPr>
            <w:r w:rsidRPr="00942F86">
              <w:rPr>
                <w:b/>
                <w:sz w:val="25"/>
                <w:szCs w:val="25"/>
              </w:rPr>
              <w:t>441,934</w:t>
            </w:r>
          </w:p>
        </w:tc>
        <w:tc>
          <w:tcPr>
            <w:tcW w:w="1530" w:type="dxa"/>
            <w:shd w:val="clear" w:color="auto" w:fill="auto"/>
            <w:vAlign w:val="center"/>
          </w:tcPr>
          <w:p w14:paraId="2A9323E8" w14:textId="77777777" w:rsidR="00334888" w:rsidRPr="00942F86" w:rsidRDefault="00334888" w:rsidP="000455AC">
            <w:pPr>
              <w:spacing w:line="264" w:lineRule="auto"/>
              <w:jc w:val="right"/>
              <w:rPr>
                <w:sz w:val="25"/>
                <w:szCs w:val="25"/>
              </w:rPr>
            </w:pPr>
          </w:p>
        </w:tc>
        <w:tc>
          <w:tcPr>
            <w:tcW w:w="1683" w:type="dxa"/>
            <w:tcBorders>
              <w:right w:val="thickThinSmallGap" w:sz="24" w:space="0" w:color="auto"/>
            </w:tcBorders>
            <w:shd w:val="clear" w:color="auto" w:fill="auto"/>
            <w:vAlign w:val="center"/>
          </w:tcPr>
          <w:p w14:paraId="69D5477B" w14:textId="5D75A984" w:rsidR="00334888" w:rsidRPr="00942F86" w:rsidRDefault="00334888" w:rsidP="000455AC">
            <w:pPr>
              <w:spacing w:line="264" w:lineRule="auto"/>
              <w:jc w:val="right"/>
              <w:rPr>
                <w:b/>
                <w:sz w:val="25"/>
                <w:szCs w:val="25"/>
              </w:rPr>
            </w:pPr>
            <w:r w:rsidRPr="00942F86">
              <w:rPr>
                <w:b/>
                <w:sz w:val="25"/>
                <w:szCs w:val="25"/>
              </w:rPr>
              <w:t>(713,315)</w:t>
            </w:r>
          </w:p>
        </w:tc>
      </w:tr>
      <w:tr w:rsidR="00334888" w:rsidRPr="00942F86" w14:paraId="04EFD2EF" w14:textId="77777777" w:rsidTr="00A5217D">
        <w:trPr>
          <w:trHeight w:val="432"/>
        </w:trPr>
        <w:tc>
          <w:tcPr>
            <w:tcW w:w="927" w:type="dxa"/>
            <w:tcBorders>
              <w:left w:val="thinThickSmallGap" w:sz="24" w:space="0" w:color="auto"/>
            </w:tcBorders>
            <w:shd w:val="clear" w:color="auto" w:fill="auto"/>
            <w:vAlign w:val="center"/>
          </w:tcPr>
          <w:p w14:paraId="070FC9F3" w14:textId="05F503A6" w:rsidR="00334888" w:rsidRPr="00942F86" w:rsidRDefault="00334888" w:rsidP="000455AC">
            <w:pPr>
              <w:spacing w:line="264" w:lineRule="auto"/>
              <w:jc w:val="center"/>
              <w:rPr>
                <w:b/>
                <w:bCs/>
                <w:sz w:val="25"/>
                <w:szCs w:val="25"/>
              </w:rPr>
            </w:pPr>
            <w:r w:rsidRPr="00942F86">
              <w:rPr>
                <w:b/>
                <w:bCs/>
                <w:sz w:val="25"/>
                <w:szCs w:val="25"/>
              </w:rPr>
              <w:t>5.3</w:t>
            </w:r>
          </w:p>
        </w:tc>
        <w:tc>
          <w:tcPr>
            <w:tcW w:w="4230" w:type="dxa"/>
            <w:shd w:val="clear" w:color="auto" w:fill="auto"/>
            <w:vAlign w:val="center"/>
          </w:tcPr>
          <w:p w14:paraId="03C315B8" w14:textId="2399B0DA" w:rsidR="00334888" w:rsidRPr="00942F86" w:rsidRDefault="00334888" w:rsidP="000455AC">
            <w:pPr>
              <w:spacing w:line="264" w:lineRule="auto"/>
              <w:rPr>
                <w:b/>
                <w:bCs/>
                <w:sz w:val="25"/>
                <w:szCs w:val="25"/>
              </w:rPr>
            </w:pPr>
            <w:r w:rsidRPr="00942F86">
              <w:rPr>
                <w:b/>
                <w:bCs/>
                <w:sz w:val="25"/>
                <w:szCs w:val="25"/>
              </w:rPr>
              <w:t>Colstrip 3 Removal</w:t>
            </w:r>
          </w:p>
        </w:tc>
        <w:tc>
          <w:tcPr>
            <w:tcW w:w="1530" w:type="dxa"/>
            <w:shd w:val="clear" w:color="auto" w:fill="auto"/>
            <w:vAlign w:val="center"/>
          </w:tcPr>
          <w:p w14:paraId="6E24EE49" w14:textId="5A2261DA" w:rsidR="00334888" w:rsidRPr="00942F86" w:rsidRDefault="00334888" w:rsidP="000455AC">
            <w:pPr>
              <w:spacing w:line="264" w:lineRule="auto"/>
              <w:jc w:val="right"/>
              <w:rPr>
                <w:b/>
                <w:sz w:val="25"/>
                <w:szCs w:val="25"/>
              </w:rPr>
            </w:pPr>
            <w:r w:rsidRPr="00942F86">
              <w:rPr>
                <w:b/>
                <w:sz w:val="25"/>
                <w:szCs w:val="25"/>
              </w:rPr>
              <w:t>314,398</w:t>
            </w:r>
          </w:p>
        </w:tc>
        <w:tc>
          <w:tcPr>
            <w:tcW w:w="1530" w:type="dxa"/>
            <w:shd w:val="clear" w:color="auto" w:fill="auto"/>
            <w:vAlign w:val="center"/>
          </w:tcPr>
          <w:p w14:paraId="19D65A70" w14:textId="7410CD0C" w:rsidR="00334888" w:rsidRPr="00942F86" w:rsidRDefault="00334888" w:rsidP="000455AC">
            <w:pPr>
              <w:spacing w:line="264" w:lineRule="auto"/>
              <w:jc w:val="right"/>
              <w:rPr>
                <w:sz w:val="25"/>
                <w:szCs w:val="25"/>
              </w:rPr>
            </w:pPr>
            <w:r w:rsidRPr="00942F86">
              <w:rPr>
                <w:b/>
                <w:sz w:val="25"/>
                <w:szCs w:val="25"/>
              </w:rPr>
              <w:t>(8,567,345)</w:t>
            </w:r>
          </w:p>
        </w:tc>
        <w:tc>
          <w:tcPr>
            <w:tcW w:w="1683" w:type="dxa"/>
            <w:tcBorders>
              <w:right w:val="thickThinSmallGap" w:sz="24" w:space="0" w:color="auto"/>
            </w:tcBorders>
            <w:shd w:val="clear" w:color="auto" w:fill="auto"/>
            <w:vAlign w:val="center"/>
          </w:tcPr>
          <w:p w14:paraId="4F582E2A" w14:textId="439731EE" w:rsidR="00334888" w:rsidRPr="00942F86" w:rsidRDefault="00334888" w:rsidP="000455AC">
            <w:pPr>
              <w:spacing w:line="264" w:lineRule="auto"/>
              <w:jc w:val="right"/>
              <w:rPr>
                <w:b/>
                <w:sz w:val="25"/>
                <w:szCs w:val="25"/>
              </w:rPr>
            </w:pPr>
            <w:r w:rsidRPr="00942F86">
              <w:rPr>
                <w:b/>
                <w:sz w:val="25"/>
                <w:szCs w:val="25"/>
              </w:rPr>
              <w:t>(1,516,931)</w:t>
            </w:r>
          </w:p>
        </w:tc>
      </w:tr>
      <w:tr w:rsidR="00334888" w:rsidRPr="00942F86" w14:paraId="48C1E962" w14:textId="77777777" w:rsidTr="00A5217D">
        <w:trPr>
          <w:trHeight w:val="432"/>
        </w:trPr>
        <w:tc>
          <w:tcPr>
            <w:tcW w:w="927" w:type="dxa"/>
            <w:tcBorders>
              <w:left w:val="thinThickSmallGap" w:sz="24" w:space="0" w:color="auto"/>
            </w:tcBorders>
            <w:shd w:val="clear" w:color="auto" w:fill="auto"/>
            <w:vAlign w:val="center"/>
          </w:tcPr>
          <w:p w14:paraId="616AECD9" w14:textId="1A6358F2" w:rsidR="00334888" w:rsidRPr="00942F86" w:rsidRDefault="00334888" w:rsidP="000455AC">
            <w:pPr>
              <w:spacing w:line="264" w:lineRule="auto"/>
              <w:jc w:val="center"/>
              <w:rPr>
                <w:b/>
                <w:bCs/>
                <w:sz w:val="25"/>
                <w:szCs w:val="25"/>
              </w:rPr>
            </w:pPr>
            <w:r w:rsidRPr="00942F86">
              <w:rPr>
                <w:b/>
                <w:bCs/>
                <w:sz w:val="25"/>
                <w:szCs w:val="25"/>
              </w:rPr>
              <w:lastRenderedPageBreak/>
              <w:t>6.1</w:t>
            </w:r>
          </w:p>
        </w:tc>
        <w:tc>
          <w:tcPr>
            <w:tcW w:w="4230" w:type="dxa"/>
            <w:shd w:val="clear" w:color="auto" w:fill="auto"/>
            <w:vAlign w:val="center"/>
          </w:tcPr>
          <w:p w14:paraId="5E0D3CD6" w14:textId="7057FB73" w:rsidR="00334888" w:rsidRPr="00942F86" w:rsidRDefault="00334888" w:rsidP="000455AC">
            <w:pPr>
              <w:spacing w:line="264" w:lineRule="auto"/>
              <w:rPr>
                <w:b/>
                <w:bCs/>
                <w:sz w:val="25"/>
                <w:szCs w:val="25"/>
              </w:rPr>
            </w:pPr>
            <w:r w:rsidRPr="00942F86">
              <w:rPr>
                <w:b/>
                <w:bCs/>
                <w:sz w:val="25"/>
                <w:szCs w:val="25"/>
              </w:rPr>
              <w:t>Hydro Decommissioning</w:t>
            </w:r>
          </w:p>
        </w:tc>
        <w:tc>
          <w:tcPr>
            <w:tcW w:w="1530" w:type="dxa"/>
            <w:shd w:val="clear" w:color="auto" w:fill="auto"/>
            <w:vAlign w:val="center"/>
          </w:tcPr>
          <w:p w14:paraId="3CE3CF2F" w14:textId="7A566C2D" w:rsidR="00334888" w:rsidRPr="00942F86" w:rsidRDefault="00334888" w:rsidP="000455AC">
            <w:pPr>
              <w:spacing w:line="264" w:lineRule="auto"/>
              <w:jc w:val="right"/>
              <w:rPr>
                <w:b/>
                <w:sz w:val="25"/>
                <w:szCs w:val="25"/>
              </w:rPr>
            </w:pPr>
            <w:r w:rsidRPr="00942F86">
              <w:rPr>
                <w:b/>
                <w:sz w:val="25"/>
                <w:szCs w:val="25"/>
              </w:rPr>
              <w:t>(3,781)</w:t>
            </w:r>
          </w:p>
        </w:tc>
        <w:tc>
          <w:tcPr>
            <w:tcW w:w="1530" w:type="dxa"/>
            <w:shd w:val="clear" w:color="auto" w:fill="auto"/>
            <w:vAlign w:val="center"/>
          </w:tcPr>
          <w:p w14:paraId="0A901811" w14:textId="6080EEDC" w:rsidR="00334888" w:rsidRPr="00942F86" w:rsidRDefault="00334888" w:rsidP="000455AC">
            <w:pPr>
              <w:spacing w:line="264" w:lineRule="auto"/>
              <w:jc w:val="right"/>
              <w:rPr>
                <w:sz w:val="25"/>
                <w:szCs w:val="25"/>
              </w:rPr>
            </w:pPr>
            <w:r w:rsidRPr="00942F86">
              <w:rPr>
                <w:b/>
                <w:sz w:val="25"/>
                <w:szCs w:val="25"/>
              </w:rPr>
              <w:t>(212,765)</w:t>
            </w:r>
          </w:p>
        </w:tc>
        <w:tc>
          <w:tcPr>
            <w:tcW w:w="1683" w:type="dxa"/>
            <w:tcBorders>
              <w:right w:val="thickThinSmallGap" w:sz="24" w:space="0" w:color="auto"/>
            </w:tcBorders>
            <w:shd w:val="clear" w:color="auto" w:fill="auto"/>
            <w:vAlign w:val="center"/>
          </w:tcPr>
          <w:p w14:paraId="54F7FD6C" w14:textId="4D585925" w:rsidR="00334888" w:rsidRPr="00942F86" w:rsidRDefault="00334888" w:rsidP="000455AC">
            <w:pPr>
              <w:spacing w:line="264" w:lineRule="auto"/>
              <w:jc w:val="right"/>
              <w:rPr>
                <w:b/>
                <w:sz w:val="25"/>
                <w:szCs w:val="25"/>
              </w:rPr>
            </w:pPr>
            <w:r w:rsidRPr="00942F86">
              <w:rPr>
                <w:b/>
                <w:sz w:val="25"/>
                <w:szCs w:val="25"/>
              </w:rPr>
              <w:t>(18,966)</w:t>
            </w:r>
          </w:p>
        </w:tc>
      </w:tr>
      <w:tr w:rsidR="00334888" w:rsidRPr="00942F86" w14:paraId="1829304C" w14:textId="77777777" w:rsidTr="00A5217D">
        <w:trPr>
          <w:trHeight w:val="432"/>
        </w:trPr>
        <w:tc>
          <w:tcPr>
            <w:tcW w:w="927" w:type="dxa"/>
            <w:tcBorders>
              <w:left w:val="thinThickSmallGap" w:sz="24" w:space="0" w:color="auto"/>
            </w:tcBorders>
            <w:shd w:val="clear" w:color="auto" w:fill="auto"/>
            <w:vAlign w:val="center"/>
          </w:tcPr>
          <w:p w14:paraId="7DEB0A2E" w14:textId="5160B782" w:rsidR="00334888" w:rsidRPr="00942F86" w:rsidRDefault="00334888" w:rsidP="000455AC">
            <w:pPr>
              <w:spacing w:line="264" w:lineRule="auto"/>
              <w:jc w:val="center"/>
              <w:rPr>
                <w:b/>
                <w:bCs/>
                <w:sz w:val="25"/>
                <w:szCs w:val="25"/>
              </w:rPr>
            </w:pPr>
            <w:r w:rsidRPr="00942F86">
              <w:rPr>
                <w:b/>
                <w:bCs/>
                <w:sz w:val="25"/>
                <w:szCs w:val="25"/>
              </w:rPr>
              <w:t>6.4</w:t>
            </w:r>
          </w:p>
        </w:tc>
        <w:tc>
          <w:tcPr>
            <w:tcW w:w="4230" w:type="dxa"/>
            <w:shd w:val="clear" w:color="auto" w:fill="auto"/>
            <w:vAlign w:val="center"/>
          </w:tcPr>
          <w:p w14:paraId="3CF28AE3" w14:textId="066CD29E" w:rsidR="00334888" w:rsidRPr="00942F86" w:rsidRDefault="00334888" w:rsidP="000455AC">
            <w:pPr>
              <w:spacing w:line="264" w:lineRule="auto"/>
              <w:rPr>
                <w:b/>
                <w:bCs/>
                <w:sz w:val="25"/>
                <w:szCs w:val="25"/>
              </w:rPr>
            </w:pPr>
            <w:r w:rsidRPr="00942F86">
              <w:rPr>
                <w:b/>
                <w:bCs/>
                <w:sz w:val="25"/>
                <w:szCs w:val="25"/>
              </w:rPr>
              <w:t>Vehicle Depreciation Study</w:t>
            </w:r>
          </w:p>
        </w:tc>
        <w:tc>
          <w:tcPr>
            <w:tcW w:w="1530" w:type="dxa"/>
            <w:shd w:val="clear" w:color="auto" w:fill="auto"/>
            <w:vAlign w:val="center"/>
          </w:tcPr>
          <w:p w14:paraId="3FC6E9D3" w14:textId="17D8A974" w:rsidR="00334888" w:rsidRPr="00942F86" w:rsidRDefault="00334888" w:rsidP="000455AC">
            <w:pPr>
              <w:spacing w:line="264" w:lineRule="auto"/>
              <w:jc w:val="right"/>
              <w:rPr>
                <w:b/>
                <w:sz w:val="25"/>
                <w:szCs w:val="25"/>
              </w:rPr>
            </w:pPr>
            <w:r w:rsidRPr="00942F86">
              <w:rPr>
                <w:b/>
                <w:sz w:val="25"/>
                <w:szCs w:val="25"/>
              </w:rPr>
              <w:t>74,724</w:t>
            </w:r>
          </w:p>
        </w:tc>
        <w:tc>
          <w:tcPr>
            <w:tcW w:w="1530" w:type="dxa"/>
            <w:shd w:val="clear" w:color="auto" w:fill="auto"/>
            <w:vAlign w:val="center"/>
          </w:tcPr>
          <w:p w14:paraId="4D0528CE" w14:textId="6DE98780" w:rsidR="00334888" w:rsidRPr="00942F86" w:rsidRDefault="00334888" w:rsidP="000455AC">
            <w:pPr>
              <w:spacing w:line="264" w:lineRule="auto"/>
              <w:jc w:val="right"/>
              <w:rPr>
                <w:sz w:val="25"/>
                <w:szCs w:val="25"/>
              </w:rPr>
            </w:pPr>
            <w:r w:rsidRPr="00942F86">
              <w:rPr>
                <w:b/>
                <w:sz w:val="25"/>
                <w:szCs w:val="25"/>
              </w:rPr>
              <w:t>(143,764)</w:t>
            </w:r>
          </w:p>
        </w:tc>
        <w:tc>
          <w:tcPr>
            <w:tcW w:w="1683" w:type="dxa"/>
            <w:tcBorders>
              <w:right w:val="thickThinSmallGap" w:sz="24" w:space="0" w:color="auto"/>
            </w:tcBorders>
            <w:shd w:val="clear" w:color="auto" w:fill="auto"/>
            <w:vAlign w:val="center"/>
          </w:tcPr>
          <w:p w14:paraId="59FB48EA" w14:textId="33003AD4" w:rsidR="00334888" w:rsidRPr="00942F86" w:rsidRDefault="00334888" w:rsidP="000455AC">
            <w:pPr>
              <w:spacing w:line="264" w:lineRule="auto"/>
              <w:jc w:val="right"/>
              <w:rPr>
                <w:b/>
                <w:sz w:val="25"/>
                <w:szCs w:val="25"/>
              </w:rPr>
            </w:pPr>
            <w:r w:rsidRPr="00942F86">
              <w:rPr>
                <w:b/>
                <w:sz w:val="25"/>
                <w:szCs w:val="25"/>
              </w:rPr>
              <w:t>(137,549)</w:t>
            </w:r>
          </w:p>
        </w:tc>
      </w:tr>
      <w:tr w:rsidR="00334888" w:rsidRPr="00942F86" w14:paraId="26EFCCC7" w14:textId="77777777" w:rsidTr="00A5217D">
        <w:trPr>
          <w:trHeight w:val="432"/>
        </w:trPr>
        <w:tc>
          <w:tcPr>
            <w:tcW w:w="927" w:type="dxa"/>
            <w:tcBorders>
              <w:left w:val="thinThickSmallGap" w:sz="24" w:space="0" w:color="auto"/>
            </w:tcBorders>
            <w:shd w:val="clear" w:color="auto" w:fill="auto"/>
            <w:vAlign w:val="center"/>
          </w:tcPr>
          <w:p w14:paraId="1756CC8C" w14:textId="0514F675" w:rsidR="00334888" w:rsidRPr="00942F86" w:rsidRDefault="00334888" w:rsidP="000455AC">
            <w:pPr>
              <w:spacing w:line="264" w:lineRule="auto"/>
              <w:jc w:val="center"/>
              <w:rPr>
                <w:b/>
                <w:bCs/>
                <w:sz w:val="25"/>
                <w:szCs w:val="25"/>
              </w:rPr>
            </w:pPr>
            <w:r w:rsidRPr="00942F86">
              <w:rPr>
                <w:b/>
                <w:bCs/>
                <w:sz w:val="25"/>
                <w:szCs w:val="25"/>
              </w:rPr>
              <w:t>7.2</w:t>
            </w:r>
          </w:p>
        </w:tc>
        <w:tc>
          <w:tcPr>
            <w:tcW w:w="4230" w:type="dxa"/>
            <w:shd w:val="clear" w:color="auto" w:fill="auto"/>
            <w:vAlign w:val="center"/>
          </w:tcPr>
          <w:p w14:paraId="77F1D5B9" w14:textId="37C2D10D" w:rsidR="00334888" w:rsidRPr="00942F86" w:rsidRDefault="00334888" w:rsidP="000455AC">
            <w:pPr>
              <w:spacing w:line="264" w:lineRule="auto"/>
              <w:rPr>
                <w:b/>
                <w:bCs/>
                <w:sz w:val="25"/>
                <w:szCs w:val="25"/>
              </w:rPr>
            </w:pPr>
            <w:r w:rsidRPr="00942F86">
              <w:rPr>
                <w:b/>
                <w:bCs/>
                <w:sz w:val="25"/>
                <w:szCs w:val="25"/>
              </w:rPr>
              <w:t>Property Tax Expense</w:t>
            </w:r>
          </w:p>
        </w:tc>
        <w:tc>
          <w:tcPr>
            <w:tcW w:w="1530" w:type="dxa"/>
            <w:shd w:val="clear" w:color="auto" w:fill="auto"/>
            <w:vAlign w:val="center"/>
          </w:tcPr>
          <w:p w14:paraId="13A10342" w14:textId="47DAA123" w:rsidR="00334888" w:rsidRPr="00942F86" w:rsidRDefault="00334888" w:rsidP="000455AC">
            <w:pPr>
              <w:spacing w:line="264" w:lineRule="auto"/>
              <w:jc w:val="right"/>
              <w:rPr>
                <w:b/>
                <w:sz w:val="25"/>
                <w:szCs w:val="25"/>
              </w:rPr>
            </w:pPr>
            <w:r w:rsidRPr="00942F86">
              <w:rPr>
                <w:b/>
                <w:sz w:val="25"/>
                <w:szCs w:val="25"/>
              </w:rPr>
              <w:t>(70,366)</w:t>
            </w:r>
          </w:p>
        </w:tc>
        <w:tc>
          <w:tcPr>
            <w:tcW w:w="1530" w:type="dxa"/>
            <w:shd w:val="clear" w:color="auto" w:fill="auto"/>
            <w:vAlign w:val="center"/>
          </w:tcPr>
          <w:p w14:paraId="2306C7EE" w14:textId="29648525" w:rsidR="00334888" w:rsidRPr="00942F86" w:rsidRDefault="00334888" w:rsidP="000455AC">
            <w:pPr>
              <w:spacing w:line="264" w:lineRule="auto"/>
              <w:jc w:val="right"/>
              <w:rPr>
                <w:sz w:val="25"/>
                <w:szCs w:val="25"/>
              </w:rPr>
            </w:pPr>
            <w:r w:rsidRPr="00942F86">
              <w:rPr>
                <w:b/>
                <w:sz w:val="25"/>
                <w:szCs w:val="25"/>
              </w:rPr>
              <w:t>-</w:t>
            </w:r>
          </w:p>
        </w:tc>
        <w:tc>
          <w:tcPr>
            <w:tcW w:w="1683" w:type="dxa"/>
            <w:tcBorders>
              <w:right w:val="thickThinSmallGap" w:sz="24" w:space="0" w:color="auto"/>
            </w:tcBorders>
            <w:shd w:val="clear" w:color="auto" w:fill="auto"/>
            <w:vAlign w:val="center"/>
          </w:tcPr>
          <w:p w14:paraId="5630BDD7" w14:textId="1054B695" w:rsidR="00334888" w:rsidRPr="00942F86" w:rsidRDefault="00334888" w:rsidP="000455AC">
            <w:pPr>
              <w:spacing w:line="264" w:lineRule="auto"/>
              <w:jc w:val="right"/>
              <w:rPr>
                <w:b/>
                <w:sz w:val="25"/>
                <w:szCs w:val="25"/>
              </w:rPr>
            </w:pPr>
            <w:r w:rsidRPr="00942F86">
              <w:rPr>
                <w:b/>
                <w:sz w:val="25"/>
                <w:szCs w:val="25"/>
              </w:rPr>
              <w:t>113,576</w:t>
            </w:r>
          </w:p>
        </w:tc>
      </w:tr>
      <w:tr w:rsidR="00334888" w:rsidRPr="00942F86" w14:paraId="2D92C7EA" w14:textId="77777777" w:rsidTr="00A5217D">
        <w:trPr>
          <w:trHeight w:val="432"/>
        </w:trPr>
        <w:tc>
          <w:tcPr>
            <w:tcW w:w="927" w:type="dxa"/>
            <w:tcBorders>
              <w:left w:val="thinThickSmallGap" w:sz="24" w:space="0" w:color="auto"/>
            </w:tcBorders>
            <w:shd w:val="clear" w:color="auto" w:fill="auto"/>
            <w:vAlign w:val="center"/>
          </w:tcPr>
          <w:p w14:paraId="26258EA4" w14:textId="1CED3950" w:rsidR="00334888" w:rsidRPr="00942F86" w:rsidRDefault="00334888" w:rsidP="000455AC">
            <w:pPr>
              <w:spacing w:line="264" w:lineRule="auto"/>
              <w:jc w:val="center"/>
              <w:rPr>
                <w:b/>
                <w:bCs/>
                <w:sz w:val="25"/>
                <w:szCs w:val="25"/>
              </w:rPr>
            </w:pPr>
            <w:r w:rsidRPr="00942F86">
              <w:rPr>
                <w:b/>
                <w:bCs/>
                <w:sz w:val="25"/>
                <w:szCs w:val="25"/>
              </w:rPr>
              <w:t>7.3</w:t>
            </w:r>
          </w:p>
        </w:tc>
        <w:tc>
          <w:tcPr>
            <w:tcW w:w="4230" w:type="dxa"/>
            <w:shd w:val="clear" w:color="auto" w:fill="auto"/>
            <w:vAlign w:val="center"/>
          </w:tcPr>
          <w:p w14:paraId="09DDF4F6" w14:textId="53BC7AF8" w:rsidR="00334888" w:rsidRPr="00942F86" w:rsidRDefault="00334888" w:rsidP="000455AC">
            <w:pPr>
              <w:spacing w:line="264" w:lineRule="auto"/>
              <w:rPr>
                <w:b/>
                <w:bCs/>
                <w:sz w:val="25"/>
                <w:szCs w:val="25"/>
              </w:rPr>
            </w:pPr>
            <w:r w:rsidRPr="00942F86">
              <w:rPr>
                <w:b/>
                <w:bCs/>
                <w:sz w:val="25"/>
                <w:szCs w:val="25"/>
              </w:rPr>
              <w:t>Renewable Energy Tax Credit</w:t>
            </w:r>
          </w:p>
        </w:tc>
        <w:tc>
          <w:tcPr>
            <w:tcW w:w="1530" w:type="dxa"/>
            <w:shd w:val="clear" w:color="auto" w:fill="auto"/>
            <w:vAlign w:val="center"/>
          </w:tcPr>
          <w:p w14:paraId="230B2A81" w14:textId="00C64BD2" w:rsidR="00334888" w:rsidRPr="00942F86" w:rsidRDefault="00334888" w:rsidP="000455AC">
            <w:pPr>
              <w:spacing w:line="264" w:lineRule="auto"/>
              <w:jc w:val="right"/>
              <w:rPr>
                <w:b/>
                <w:sz w:val="25"/>
                <w:szCs w:val="25"/>
              </w:rPr>
            </w:pPr>
            <w:r w:rsidRPr="00942F86">
              <w:rPr>
                <w:b/>
                <w:sz w:val="25"/>
                <w:szCs w:val="25"/>
              </w:rPr>
              <w:t>661,917</w:t>
            </w:r>
          </w:p>
        </w:tc>
        <w:tc>
          <w:tcPr>
            <w:tcW w:w="1530" w:type="dxa"/>
            <w:shd w:val="clear" w:color="auto" w:fill="auto"/>
            <w:vAlign w:val="center"/>
          </w:tcPr>
          <w:p w14:paraId="7E6A65FC" w14:textId="525774F4" w:rsidR="00334888" w:rsidRPr="00942F86" w:rsidRDefault="00334888" w:rsidP="000455AC">
            <w:pPr>
              <w:spacing w:line="264" w:lineRule="auto"/>
              <w:jc w:val="right"/>
              <w:rPr>
                <w:sz w:val="25"/>
                <w:szCs w:val="25"/>
              </w:rPr>
            </w:pPr>
            <w:r w:rsidRPr="00942F86">
              <w:rPr>
                <w:b/>
                <w:sz w:val="25"/>
                <w:szCs w:val="25"/>
              </w:rPr>
              <w:t>-</w:t>
            </w:r>
          </w:p>
        </w:tc>
        <w:tc>
          <w:tcPr>
            <w:tcW w:w="1683" w:type="dxa"/>
            <w:tcBorders>
              <w:right w:val="thickThinSmallGap" w:sz="24" w:space="0" w:color="auto"/>
            </w:tcBorders>
            <w:shd w:val="clear" w:color="auto" w:fill="auto"/>
            <w:vAlign w:val="center"/>
          </w:tcPr>
          <w:p w14:paraId="52D76D8E" w14:textId="002EA14B" w:rsidR="00334888" w:rsidRPr="00942F86" w:rsidRDefault="00334888" w:rsidP="000455AC">
            <w:pPr>
              <w:spacing w:line="264" w:lineRule="auto"/>
              <w:jc w:val="right"/>
              <w:rPr>
                <w:b/>
                <w:sz w:val="25"/>
                <w:szCs w:val="25"/>
              </w:rPr>
            </w:pPr>
            <w:r w:rsidRPr="00942F86">
              <w:rPr>
                <w:b/>
                <w:sz w:val="25"/>
                <w:szCs w:val="25"/>
              </w:rPr>
              <w:t>(1,068,383)</w:t>
            </w:r>
          </w:p>
        </w:tc>
      </w:tr>
      <w:tr w:rsidR="00334888" w:rsidRPr="00942F86" w14:paraId="3FD01F03" w14:textId="77777777" w:rsidTr="00A5217D">
        <w:trPr>
          <w:trHeight w:val="432"/>
        </w:trPr>
        <w:tc>
          <w:tcPr>
            <w:tcW w:w="927" w:type="dxa"/>
            <w:tcBorders>
              <w:left w:val="thinThickSmallGap" w:sz="24" w:space="0" w:color="auto"/>
            </w:tcBorders>
            <w:shd w:val="clear" w:color="auto" w:fill="auto"/>
            <w:vAlign w:val="center"/>
          </w:tcPr>
          <w:p w14:paraId="1B2438E6" w14:textId="17EE615D" w:rsidR="00334888" w:rsidRPr="00942F86" w:rsidRDefault="00334888" w:rsidP="000455AC">
            <w:pPr>
              <w:spacing w:line="264" w:lineRule="auto"/>
              <w:jc w:val="center"/>
              <w:rPr>
                <w:b/>
                <w:bCs/>
                <w:sz w:val="25"/>
                <w:szCs w:val="25"/>
              </w:rPr>
            </w:pPr>
            <w:r w:rsidRPr="00942F86">
              <w:rPr>
                <w:b/>
                <w:bCs/>
                <w:sz w:val="25"/>
                <w:szCs w:val="25"/>
              </w:rPr>
              <w:t>7.4</w:t>
            </w:r>
          </w:p>
        </w:tc>
        <w:tc>
          <w:tcPr>
            <w:tcW w:w="4230" w:type="dxa"/>
            <w:shd w:val="clear" w:color="auto" w:fill="auto"/>
            <w:vAlign w:val="center"/>
          </w:tcPr>
          <w:p w14:paraId="57A788E0" w14:textId="2F19D938" w:rsidR="00334888" w:rsidRPr="00942F86" w:rsidRDefault="00334888" w:rsidP="000455AC">
            <w:pPr>
              <w:spacing w:line="264" w:lineRule="auto"/>
              <w:rPr>
                <w:b/>
                <w:bCs/>
                <w:sz w:val="25"/>
                <w:szCs w:val="25"/>
              </w:rPr>
            </w:pPr>
            <w:r w:rsidRPr="00942F86">
              <w:rPr>
                <w:b/>
                <w:bCs/>
                <w:sz w:val="25"/>
                <w:szCs w:val="25"/>
              </w:rPr>
              <w:t>Power Tax ADIT Balance</w:t>
            </w:r>
          </w:p>
        </w:tc>
        <w:tc>
          <w:tcPr>
            <w:tcW w:w="1530" w:type="dxa"/>
            <w:shd w:val="clear" w:color="auto" w:fill="auto"/>
            <w:vAlign w:val="center"/>
          </w:tcPr>
          <w:p w14:paraId="513AD17D" w14:textId="0DAF168A" w:rsidR="00334888" w:rsidRPr="00942F86" w:rsidRDefault="00334888" w:rsidP="000455AC">
            <w:pPr>
              <w:spacing w:line="264" w:lineRule="auto"/>
              <w:jc w:val="right"/>
              <w:rPr>
                <w:b/>
                <w:sz w:val="25"/>
                <w:szCs w:val="25"/>
              </w:rPr>
            </w:pPr>
            <w:r w:rsidRPr="00942F86">
              <w:rPr>
                <w:b/>
                <w:sz w:val="25"/>
                <w:szCs w:val="25"/>
              </w:rPr>
              <w:t>-</w:t>
            </w:r>
          </w:p>
        </w:tc>
        <w:tc>
          <w:tcPr>
            <w:tcW w:w="1530" w:type="dxa"/>
            <w:shd w:val="clear" w:color="auto" w:fill="auto"/>
            <w:vAlign w:val="center"/>
          </w:tcPr>
          <w:p w14:paraId="588399A0" w14:textId="110065FB" w:rsidR="00334888" w:rsidRPr="00942F86" w:rsidRDefault="00334888" w:rsidP="000455AC">
            <w:pPr>
              <w:spacing w:line="264" w:lineRule="auto"/>
              <w:jc w:val="right"/>
              <w:rPr>
                <w:sz w:val="25"/>
                <w:szCs w:val="25"/>
              </w:rPr>
            </w:pPr>
            <w:r w:rsidRPr="00942F86">
              <w:rPr>
                <w:b/>
                <w:sz w:val="25"/>
                <w:szCs w:val="25"/>
              </w:rPr>
              <w:t>(1,637,024)</w:t>
            </w:r>
          </w:p>
        </w:tc>
        <w:tc>
          <w:tcPr>
            <w:tcW w:w="1683" w:type="dxa"/>
            <w:tcBorders>
              <w:right w:val="thickThinSmallGap" w:sz="24" w:space="0" w:color="auto"/>
            </w:tcBorders>
            <w:shd w:val="clear" w:color="auto" w:fill="auto"/>
            <w:vAlign w:val="center"/>
          </w:tcPr>
          <w:p w14:paraId="4BA97A92" w14:textId="57550A5A" w:rsidR="00334888" w:rsidRPr="00942F86" w:rsidRDefault="00334888" w:rsidP="000455AC">
            <w:pPr>
              <w:spacing w:line="264" w:lineRule="auto"/>
              <w:jc w:val="right"/>
              <w:rPr>
                <w:b/>
                <w:sz w:val="25"/>
                <w:szCs w:val="25"/>
              </w:rPr>
            </w:pPr>
            <w:r w:rsidRPr="00942F86">
              <w:rPr>
                <w:b/>
                <w:sz w:val="25"/>
                <w:szCs w:val="25"/>
              </w:rPr>
              <w:t>(192,886)</w:t>
            </w:r>
          </w:p>
        </w:tc>
      </w:tr>
      <w:tr w:rsidR="00334888" w:rsidRPr="00942F86" w14:paraId="0C98B1A7" w14:textId="77777777" w:rsidTr="00A5217D">
        <w:trPr>
          <w:trHeight w:val="432"/>
        </w:trPr>
        <w:tc>
          <w:tcPr>
            <w:tcW w:w="927" w:type="dxa"/>
            <w:tcBorders>
              <w:left w:val="thinThickSmallGap" w:sz="24" w:space="0" w:color="auto"/>
            </w:tcBorders>
            <w:shd w:val="clear" w:color="auto" w:fill="auto"/>
            <w:vAlign w:val="center"/>
          </w:tcPr>
          <w:p w14:paraId="481DBF99" w14:textId="747AF310" w:rsidR="00334888" w:rsidRPr="00942F86" w:rsidRDefault="00334888" w:rsidP="000455AC">
            <w:pPr>
              <w:spacing w:line="264" w:lineRule="auto"/>
              <w:jc w:val="center"/>
              <w:rPr>
                <w:b/>
                <w:bCs/>
                <w:sz w:val="25"/>
                <w:szCs w:val="25"/>
              </w:rPr>
            </w:pPr>
            <w:r w:rsidRPr="00942F86">
              <w:rPr>
                <w:b/>
                <w:bCs/>
                <w:sz w:val="25"/>
                <w:szCs w:val="25"/>
              </w:rPr>
              <w:t>7.5</w:t>
            </w:r>
          </w:p>
        </w:tc>
        <w:tc>
          <w:tcPr>
            <w:tcW w:w="4230" w:type="dxa"/>
            <w:shd w:val="clear" w:color="auto" w:fill="auto"/>
            <w:vAlign w:val="center"/>
          </w:tcPr>
          <w:p w14:paraId="384C2241" w14:textId="2BCB9AE2" w:rsidR="00334888" w:rsidRPr="00942F86" w:rsidRDefault="00334888" w:rsidP="000455AC">
            <w:pPr>
              <w:spacing w:line="264" w:lineRule="auto"/>
              <w:rPr>
                <w:b/>
                <w:bCs/>
                <w:sz w:val="25"/>
                <w:szCs w:val="25"/>
              </w:rPr>
            </w:pPr>
            <w:r w:rsidRPr="00942F86">
              <w:rPr>
                <w:b/>
                <w:bCs/>
                <w:sz w:val="25"/>
                <w:szCs w:val="25"/>
              </w:rPr>
              <w:t>Washington Low Income Tax Credit</w:t>
            </w:r>
          </w:p>
        </w:tc>
        <w:tc>
          <w:tcPr>
            <w:tcW w:w="1530" w:type="dxa"/>
            <w:shd w:val="clear" w:color="auto" w:fill="auto"/>
            <w:vAlign w:val="center"/>
          </w:tcPr>
          <w:p w14:paraId="5BCAF100" w14:textId="3D01A37F" w:rsidR="00334888" w:rsidRPr="00942F86" w:rsidRDefault="00334888" w:rsidP="000455AC">
            <w:pPr>
              <w:spacing w:line="264" w:lineRule="auto"/>
              <w:jc w:val="right"/>
              <w:rPr>
                <w:b/>
                <w:sz w:val="25"/>
                <w:szCs w:val="25"/>
              </w:rPr>
            </w:pPr>
            <w:r w:rsidRPr="00942F86">
              <w:rPr>
                <w:b/>
                <w:sz w:val="25"/>
                <w:szCs w:val="25"/>
              </w:rPr>
              <w:t>(25,873)</w:t>
            </w:r>
          </w:p>
        </w:tc>
        <w:tc>
          <w:tcPr>
            <w:tcW w:w="1530" w:type="dxa"/>
            <w:shd w:val="clear" w:color="auto" w:fill="auto"/>
            <w:vAlign w:val="center"/>
          </w:tcPr>
          <w:p w14:paraId="138C8197" w14:textId="02EA1F59" w:rsidR="00334888" w:rsidRPr="00942F86" w:rsidRDefault="00334888" w:rsidP="000455AC">
            <w:pPr>
              <w:spacing w:line="264" w:lineRule="auto"/>
              <w:jc w:val="right"/>
              <w:rPr>
                <w:sz w:val="25"/>
                <w:szCs w:val="25"/>
              </w:rPr>
            </w:pPr>
            <w:r w:rsidRPr="00942F86">
              <w:rPr>
                <w:b/>
                <w:sz w:val="25"/>
                <w:szCs w:val="25"/>
              </w:rPr>
              <w:t>-</w:t>
            </w:r>
          </w:p>
        </w:tc>
        <w:tc>
          <w:tcPr>
            <w:tcW w:w="1683" w:type="dxa"/>
            <w:tcBorders>
              <w:right w:val="thickThinSmallGap" w:sz="24" w:space="0" w:color="auto"/>
            </w:tcBorders>
            <w:shd w:val="clear" w:color="auto" w:fill="auto"/>
            <w:vAlign w:val="center"/>
          </w:tcPr>
          <w:p w14:paraId="1054499C" w14:textId="6AC1557F" w:rsidR="00334888" w:rsidRPr="00942F86" w:rsidRDefault="00334888" w:rsidP="000455AC">
            <w:pPr>
              <w:spacing w:line="264" w:lineRule="auto"/>
              <w:jc w:val="right"/>
              <w:rPr>
                <w:b/>
                <w:sz w:val="25"/>
                <w:szCs w:val="25"/>
              </w:rPr>
            </w:pPr>
            <w:r w:rsidRPr="00942F86">
              <w:rPr>
                <w:b/>
                <w:sz w:val="25"/>
                <w:szCs w:val="25"/>
              </w:rPr>
              <w:t>41,761</w:t>
            </w:r>
          </w:p>
        </w:tc>
      </w:tr>
      <w:tr w:rsidR="00334888" w:rsidRPr="00942F86" w14:paraId="5E1156CA" w14:textId="77777777" w:rsidTr="00A5217D">
        <w:trPr>
          <w:trHeight w:val="432"/>
        </w:trPr>
        <w:tc>
          <w:tcPr>
            <w:tcW w:w="927" w:type="dxa"/>
            <w:tcBorders>
              <w:left w:val="thinThickSmallGap" w:sz="24" w:space="0" w:color="auto"/>
            </w:tcBorders>
            <w:shd w:val="clear" w:color="auto" w:fill="auto"/>
            <w:vAlign w:val="center"/>
          </w:tcPr>
          <w:p w14:paraId="73684F76" w14:textId="15F9E3E0" w:rsidR="00334888" w:rsidRPr="00942F86" w:rsidRDefault="00334888" w:rsidP="000455AC">
            <w:pPr>
              <w:spacing w:line="264" w:lineRule="auto"/>
              <w:jc w:val="center"/>
              <w:rPr>
                <w:b/>
                <w:bCs/>
                <w:sz w:val="25"/>
                <w:szCs w:val="25"/>
              </w:rPr>
            </w:pPr>
            <w:r w:rsidRPr="00942F86">
              <w:rPr>
                <w:b/>
                <w:bCs/>
                <w:sz w:val="25"/>
                <w:szCs w:val="25"/>
              </w:rPr>
              <w:t>7.6-7.6.1</w:t>
            </w:r>
          </w:p>
        </w:tc>
        <w:tc>
          <w:tcPr>
            <w:tcW w:w="4230" w:type="dxa"/>
            <w:shd w:val="clear" w:color="auto" w:fill="auto"/>
            <w:vAlign w:val="center"/>
          </w:tcPr>
          <w:p w14:paraId="03BD5962" w14:textId="2EA7C0B9" w:rsidR="00334888" w:rsidRPr="00942F86" w:rsidRDefault="00334888" w:rsidP="000455AC">
            <w:pPr>
              <w:spacing w:line="264" w:lineRule="auto"/>
              <w:rPr>
                <w:b/>
                <w:bCs/>
                <w:sz w:val="25"/>
                <w:szCs w:val="25"/>
              </w:rPr>
            </w:pPr>
            <w:r w:rsidRPr="00942F86">
              <w:rPr>
                <w:b/>
                <w:bCs/>
                <w:sz w:val="25"/>
                <w:szCs w:val="25"/>
              </w:rPr>
              <w:t>Flow-through Adjustment</w:t>
            </w:r>
          </w:p>
        </w:tc>
        <w:tc>
          <w:tcPr>
            <w:tcW w:w="1530" w:type="dxa"/>
            <w:shd w:val="clear" w:color="auto" w:fill="auto"/>
            <w:vAlign w:val="center"/>
          </w:tcPr>
          <w:p w14:paraId="121AAD4A" w14:textId="74994375" w:rsidR="00334888" w:rsidRPr="00942F86" w:rsidRDefault="00334888" w:rsidP="000455AC">
            <w:pPr>
              <w:spacing w:line="264" w:lineRule="auto"/>
              <w:jc w:val="right"/>
              <w:rPr>
                <w:b/>
                <w:sz w:val="25"/>
                <w:szCs w:val="25"/>
              </w:rPr>
            </w:pPr>
            <w:r w:rsidRPr="00942F86">
              <w:rPr>
                <w:b/>
                <w:sz w:val="25"/>
                <w:szCs w:val="25"/>
              </w:rPr>
              <w:t>407,649</w:t>
            </w:r>
          </w:p>
        </w:tc>
        <w:tc>
          <w:tcPr>
            <w:tcW w:w="1530" w:type="dxa"/>
            <w:shd w:val="clear" w:color="auto" w:fill="auto"/>
            <w:vAlign w:val="center"/>
          </w:tcPr>
          <w:p w14:paraId="2476BB90" w14:textId="36BDDFEF" w:rsidR="00334888" w:rsidRPr="00942F86" w:rsidRDefault="00334888" w:rsidP="000455AC">
            <w:pPr>
              <w:spacing w:line="264" w:lineRule="auto"/>
              <w:jc w:val="right"/>
              <w:rPr>
                <w:sz w:val="25"/>
                <w:szCs w:val="25"/>
              </w:rPr>
            </w:pPr>
            <w:r w:rsidRPr="00942F86">
              <w:rPr>
                <w:b/>
                <w:sz w:val="25"/>
                <w:szCs w:val="25"/>
              </w:rPr>
              <w:t>(9,662,969)</w:t>
            </w:r>
          </w:p>
        </w:tc>
        <w:tc>
          <w:tcPr>
            <w:tcW w:w="1683" w:type="dxa"/>
            <w:tcBorders>
              <w:right w:val="thickThinSmallGap" w:sz="24" w:space="0" w:color="auto"/>
            </w:tcBorders>
            <w:shd w:val="clear" w:color="auto" w:fill="auto"/>
            <w:vAlign w:val="center"/>
          </w:tcPr>
          <w:p w14:paraId="7A064851" w14:textId="2D449430" w:rsidR="00334888" w:rsidRPr="00942F86" w:rsidRDefault="00334888" w:rsidP="000455AC">
            <w:pPr>
              <w:spacing w:line="264" w:lineRule="auto"/>
              <w:jc w:val="right"/>
              <w:rPr>
                <w:b/>
                <w:sz w:val="25"/>
                <w:szCs w:val="25"/>
              </w:rPr>
            </w:pPr>
            <w:r w:rsidRPr="00942F86">
              <w:rPr>
                <w:b/>
                <w:sz w:val="25"/>
                <w:szCs w:val="25"/>
              </w:rPr>
              <w:t>(1,796,539</w:t>
            </w:r>
          </w:p>
        </w:tc>
      </w:tr>
      <w:tr w:rsidR="00334888" w:rsidRPr="00942F86" w14:paraId="14C538E5" w14:textId="77777777" w:rsidTr="00A5217D">
        <w:trPr>
          <w:trHeight w:val="432"/>
        </w:trPr>
        <w:tc>
          <w:tcPr>
            <w:tcW w:w="927" w:type="dxa"/>
            <w:tcBorders>
              <w:left w:val="thinThickSmallGap" w:sz="24" w:space="0" w:color="auto"/>
            </w:tcBorders>
            <w:shd w:val="clear" w:color="auto" w:fill="auto"/>
            <w:vAlign w:val="center"/>
          </w:tcPr>
          <w:p w14:paraId="22AF11FC" w14:textId="3AF5D067" w:rsidR="00334888" w:rsidRPr="00942F86" w:rsidRDefault="00334888" w:rsidP="000455AC">
            <w:pPr>
              <w:spacing w:line="264" w:lineRule="auto"/>
              <w:jc w:val="center"/>
              <w:rPr>
                <w:b/>
                <w:bCs/>
                <w:sz w:val="25"/>
                <w:szCs w:val="25"/>
              </w:rPr>
            </w:pPr>
            <w:r w:rsidRPr="00942F86">
              <w:rPr>
                <w:b/>
                <w:bCs/>
                <w:sz w:val="25"/>
                <w:szCs w:val="25"/>
              </w:rPr>
              <w:t>7.7</w:t>
            </w:r>
          </w:p>
        </w:tc>
        <w:tc>
          <w:tcPr>
            <w:tcW w:w="4230" w:type="dxa"/>
            <w:shd w:val="clear" w:color="auto" w:fill="auto"/>
            <w:vAlign w:val="center"/>
          </w:tcPr>
          <w:p w14:paraId="3151B628" w14:textId="0348C687" w:rsidR="00334888" w:rsidRPr="00942F86" w:rsidRDefault="00334888" w:rsidP="000455AC">
            <w:pPr>
              <w:spacing w:line="264" w:lineRule="auto"/>
              <w:rPr>
                <w:b/>
                <w:bCs/>
                <w:sz w:val="25"/>
                <w:szCs w:val="25"/>
              </w:rPr>
            </w:pPr>
            <w:r w:rsidRPr="00942F86">
              <w:rPr>
                <w:b/>
                <w:bCs/>
                <w:sz w:val="25"/>
                <w:szCs w:val="25"/>
              </w:rPr>
              <w:t>Remove Deferred State Tax Expense and Balance</w:t>
            </w:r>
          </w:p>
        </w:tc>
        <w:tc>
          <w:tcPr>
            <w:tcW w:w="1530" w:type="dxa"/>
            <w:shd w:val="clear" w:color="auto" w:fill="auto"/>
            <w:vAlign w:val="center"/>
          </w:tcPr>
          <w:p w14:paraId="26C5EC8E" w14:textId="19F4EAFC" w:rsidR="00334888" w:rsidRPr="00942F86" w:rsidRDefault="00334888" w:rsidP="000455AC">
            <w:pPr>
              <w:spacing w:line="264" w:lineRule="auto"/>
              <w:jc w:val="right"/>
              <w:rPr>
                <w:b/>
                <w:sz w:val="25"/>
                <w:szCs w:val="25"/>
              </w:rPr>
            </w:pPr>
            <w:r w:rsidRPr="00942F86">
              <w:rPr>
                <w:b/>
                <w:sz w:val="25"/>
                <w:szCs w:val="25"/>
              </w:rPr>
              <w:t>488,064</w:t>
            </w:r>
          </w:p>
        </w:tc>
        <w:tc>
          <w:tcPr>
            <w:tcW w:w="1530" w:type="dxa"/>
            <w:shd w:val="clear" w:color="auto" w:fill="auto"/>
            <w:vAlign w:val="center"/>
          </w:tcPr>
          <w:p w14:paraId="1210DD21" w14:textId="63E77307" w:rsidR="00334888" w:rsidRPr="00942F86" w:rsidRDefault="00334888" w:rsidP="000455AC">
            <w:pPr>
              <w:spacing w:line="264" w:lineRule="auto"/>
              <w:jc w:val="right"/>
              <w:rPr>
                <w:sz w:val="25"/>
                <w:szCs w:val="25"/>
              </w:rPr>
            </w:pPr>
            <w:r w:rsidRPr="00942F86">
              <w:rPr>
                <w:b/>
                <w:sz w:val="25"/>
                <w:szCs w:val="25"/>
              </w:rPr>
              <w:t>244,032</w:t>
            </w:r>
          </w:p>
        </w:tc>
        <w:tc>
          <w:tcPr>
            <w:tcW w:w="1683" w:type="dxa"/>
            <w:tcBorders>
              <w:right w:val="thickThinSmallGap" w:sz="24" w:space="0" w:color="auto"/>
            </w:tcBorders>
            <w:shd w:val="clear" w:color="auto" w:fill="auto"/>
            <w:vAlign w:val="center"/>
          </w:tcPr>
          <w:p w14:paraId="2BFFF0CA" w14:textId="4134CE33" w:rsidR="00334888" w:rsidRPr="00942F86" w:rsidRDefault="00334888" w:rsidP="000455AC">
            <w:pPr>
              <w:spacing w:line="264" w:lineRule="auto"/>
              <w:jc w:val="right"/>
              <w:rPr>
                <w:b/>
                <w:sz w:val="25"/>
                <w:szCs w:val="25"/>
              </w:rPr>
            </w:pPr>
            <w:r w:rsidRPr="00942F86">
              <w:rPr>
                <w:b/>
                <w:sz w:val="25"/>
                <w:szCs w:val="25"/>
              </w:rPr>
              <w:t>(759,018)</w:t>
            </w:r>
          </w:p>
        </w:tc>
      </w:tr>
      <w:tr w:rsidR="00334888" w:rsidRPr="00942F86" w14:paraId="1A00AED8" w14:textId="77777777" w:rsidTr="00A5217D">
        <w:trPr>
          <w:trHeight w:val="432"/>
        </w:trPr>
        <w:tc>
          <w:tcPr>
            <w:tcW w:w="927" w:type="dxa"/>
            <w:tcBorders>
              <w:left w:val="thinThickSmallGap" w:sz="24" w:space="0" w:color="auto"/>
            </w:tcBorders>
            <w:shd w:val="clear" w:color="auto" w:fill="auto"/>
            <w:vAlign w:val="center"/>
          </w:tcPr>
          <w:p w14:paraId="5537B6FC" w14:textId="21D761A1" w:rsidR="00334888" w:rsidRPr="00942F86" w:rsidRDefault="00334888" w:rsidP="000455AC">
            <w:pPr>
              <w:spacing w:line="264" w:lineRule="auto"/>
              <w:jc w:val="center"/>
              <w:rPr>
                <w:b/>
                <w:bCs/>
                <w:sz w:val="25"/>
                <w:szCs w:val="25"/>
              </w:rPr>
            </w:pPr>
            <w:r w:rsidRPr="00942F86">
              <w:rPr>
                <w:b/>
                <w:bCs/>
                <w:sz w:val="25"/>
                <w:szCs w:val="25"/>
              </w:rPr>
              <w:t>7.8</w:t>
            </w:r>
          </w:p>
        </w:tc>
        <w:tc>
          <w:tcPr>
            <w:tcW w:w="4230" w:type="dxa"/>
            <w:shd w:val="clear" w:color="auto" w:fill="auto"/>
            <w:vAlign w:val="center"/>
          </w:tcPr>
          <w:p w14:paraId="5573D05D" w14:textId="5EC934EE" w:rsidR="00334888" w:rsidRPr="00942F86" w:rsidRDefault="00334888" w:rsidP="000455AC">
            <w:pPr>
              <w:spacing w:line="264" w:lineRule="auto"/>
              <w:rPr>
                <w:b/>
                <w:bCs/>
                <w:sz w:val="25"/>
                <w:szCs w:val="25"/>
              </w:rPr>
            </w:pPr>
            <w:r w:rsidRPr="00942F86">
              <w:rPr>
                <w:b/>
                <w:bCs/>
                <w:sz w:val="25"/>
                <w:szCs w:val="25"/>
              </w:rPr>
              <w:t xml:space="preserve">WA Public Utility Tax </w:t>
            </w:r>
          </w:p>
        </w:tc>
        <w:tc>
          <w:tcPr>
            <w:tcW w:w="1530" w:type="dxa"/>
            <w:shd w:val="clear" w:color="auto" w:fill="auto"/>
            <w:vAlign w:val="center"/>
          </w:tcPr>
          <w:p w14:paraId="570D726D" w14:textId="68006753" w:rsidR="00334888" w:rsidRPr="00942F86" w:rsidRDefault="00334888" w:rsidP="000455AC">
            <w:pPr>
              <w:spacing w:line="264" w:lineRule="auto"/>
              <w:jc w:val="right"/>
              <w:rPr>
                <w:b/>
                <w:sz w:val="25"/>
                <w:szCs w:val="25"/>
              </w:rPr>
            </w:pPr>
            <w:r w:rsidRPr="00942F86">
              <w:rPr>
                <w:b/>
                <w:sz w:val="25"/>
                <w:szCs w:val="25"/>
              </w:rPr>
              <w:t>524,708</w:t>
            </w:r>
          </w:p>
        </w:tc>
        <w:tc>
          <w:tcPr>
            <w:tcW w:w="1530" w:type="dxa"/>
            <w:shd w:val="clear" w:color="auto" w:fill="auto"/>
            <w:vAlign w:val="center"/>
          </w:tcPr>
          <w:p w14:paraId="39EB95FE" w14:textId="7288C553" w:rsidR="00334888" w:rsidRPr="00942F86" w:rsidRDefault="00334888" w:rsidP="000455AC">
            <w:pPr>
              <w:spacing w:line="264" w:lineRule="auto"/>
              <w:jc w:val="right"/>
              <w:rPr>
                <w:sz w:val="25"/>
                <w:szCs w:val="25"/>
              </w:rPr>
            </w:pPr>
            <w:r w:rsidRPr="00942F86">
              <w:rPr>
                <w:b/>
                <w:sz w:val="25"/>
                <w:szCs w:val="25"/>
              </w:rPr>
              <w:t>-</w:t>
            </w:r>
          </w:p>
        </w:tc>
        <w:tc>
          <w:tcPr>
            <w:tcW w:w="1683" w:type="dxa"/>
            <w:tcBorders>
              <w:right w:val="thickThinSmallGap" w:sz="24" w:space="0" w:color="auto"/>
            </w:tcBorders>
            <w:shd w:val="clear" w:color="auto" w:fill="auto"/>
            <w:vAlign w:val="center"/>
          </w:tcPr>
          <w:p w14:paraId="1DE5F550" w14:textId="0406E9C2" w:rsidR="00334888" w:rsidRPr="00942F86" w:rsidRDefault="00334888" w:rsidP="000455AC">
            <w:pPr>
              <w:spacing w:line="264" w:lineRule="auto"/>
              <w:jc w:val="right"/>
              <w:rPr>
                <w:b/>
                <w:sz w:val="25"/>
                <w:szCs w:val="25"/>
              </w:rPr>
            </w:pPr>
            <w:r w:rsidRPr="00942F86">
              <w:rPr>
                <w:b/>
                <w:sz w:val="25"/>
                <w:szCs w:val="25"/>
              </w:rPr>
              <w:t>(846,919)</w:t>
            </w:r>
          </w:p>
        </w:tc>
      </w:tr>
      <w:tr w:rsidR="00334888" w:rsidRPr="00942F86" w14:paraId="2915823F" w14:textId="77777777" w:rsidTr="00A5217D">
        <w:trPr>
          <w:trHeight w:val="432"/>
        </w:trPr>
        <w:tc>
          <w:tcPr>
            <w:tcW w:w="927" w:type="dxa"/>
            <w:tcBorders>
              <w:left w:val="thinThickSmallGap" w:sz="24" w:space="0" w:color="auto"/>
            </w:tcBorders>
            <w:shd w:val="clear" w:color="auto" w:fill="auto"/>
            <w:vAlign w:val="center"/>
          </w:tcPr>
          <w:p w14:paraId="2BEB792A" w14:textId="18425A79" w:rsidR="00334888" w:rsidRPr="00942F86" w:rsidRDefault="00334888" w:rsidP="000455AC">
            <w:pPr>
              <w:spacing w:line="264" w:lineRule="auto"/>
              <w:jc w:val="center"/>
              <w:rPr>
                <w:b/>
                <w:bCs/>
                <w:sz w:val="25"/>
                <w:szCs w:val="25"/>
              </w:rPr>
            </w:pPr>
            <w:r w:rsidRPr="00942F86">
              <w:rPr>
                <w:b/>
                <w:bCs/>
                <w:sz w:val="25"/>
                <w:szCs w:val="25"/>
              </w:rPr>
              <w:t>8.1</w:t>
            </w:r>
          </w:p>
        </w:tc>
        <w:tc>
          <w:tcPr>
            <w:tcW w:w="4230" w:type="dxa"/>
            <w:shd w:val="clear" w:color="auto" w:fill="auto"/>
            <w:vAlign w:val="center"/>
          </w:tcPr>
          <w:p w14:paraId="03940293" w14:textId="449580C4" w:rsidR="00334888" w:rsidRPr="00942F86" w:rsidRDefault="00334888" w:rsidP="000455AC">
            <w:pPr>
              <w:spacing w:line="264" w:lineRule="auto"/>
              <w:rPr>
                <w:b/>
                <w:bCs/>
                <w:sz w:val="25"/>
                <w:szCs w:val="25"/>
              </w:rPr>
            </w:pPr>
            <w:r w:rsidRPr="00942F86">
              <w:rPr>
                <w:b/>
                <w:bCs/>
                <w:sz w:val="25"/>
                <w:szCs w:val="25"/>
              </w:rPr>
              <w:t>Jim Bridger Mine Rate Base</w:t>
            </w:r>
          </w:p>
        </w:tc>
        <w:tc>
          <w:tcPr>
            <w:tcW w:w="1530" w:type="dxa"/>
            <w:shd w:val="clear" w:color="auto" w:fill="auto"/>
            <w:vAlign w:val="center"/>
          </w:tcPr>
          <w:p w14:paraId="60336B5C" w14:textId="3679AA82" w:rsidR="00334888" w:rsidRPr="00942F86" w:rsidRDefault="00334888" w:rsidP="000455AC">
            <w:pPr>
              <w:spacing w:line="264" w:lineRule="auto"/>
              <w:jc w:val="right"/>
              <w:rPr>
                <w:b/>
                <w:sz w:val="25"/>
                <w:szCs w:val="25"/>
              </w:rPr>
            </w:pPr>
            <w:r w:rsidRPr="00942F86">
              <w:rPr>
                <w:b/>
                <w:sz w:val="25"/>
                <w:szCs w:val="25"/>
              </w:rPr>
              <w:t>(138,615)</w:t>
            </w:r>
          </w:p>
        </w:tc>
        <w:tc>
          <w:tcPr>
            <w:tcW w:w="1530" w:type="dxa"/>
            <w:shd w:val="clear" w:color="auto" w:fill="auto"/>
            <w:vAlign w:val="center"/>
          </w:tcPr>
          <w:p w14:paraId="2FAA9DD6" w14:textId="748F05C1" w:rsidR="00334888" w:rsidRPr="00942F86" w:rsidRDefault="00334888" w:rsidP="000455AC">
            <w:pPr>
              <w:spacing w:line="264" w:lineRule="auto"/>
              <w:jc w:val="right"/>
              <w:rPr>
                <w:sz w:val="25"/>
                <w:szCs w:val="25"/>
              </w:rPr>
            </w:pPr>
            <w:r w:rsidRPr="00942F86">
              <w:rPr>
                <w:b/>
                <w:sz w:val="25"/>
                <w:szCs w:val="25"/>
              </w:rPr>
              <w:t>26,734,872</w:t>
            </w:r>
          </w:p>
        </w:tc>
        <w:tc>
          <w:tcPr>
            <w:tcW w:w="1683" w:type="dxa"/>
            <w:tcBorders>
              <w:right w:val="thickThinSmallGap" w:sz="24" w:space="0" w:color="auto"/>
            </w:tcBorders>
            <w:shd w:val="clear" w:color="auto" w:fill="auto"/>
            <w:vAlign w:val="center"/>
          </w:tcPr>
          <w:p w14:paraId="3F75E66C" w14:textId="2DDCB6B9" w:rsidR="00334888" w:rsidRPr="00942F86" w:rsidRDefault="00334888" w:rsidP="000455AC">
            <w:pPr>
              <w:spacing w:line="264" w:lineRule="auto"/>
              <w:jc w:val="right"/>
              <w:rPr>
                <w:b/>
                <w:sz w:val="25"/>
                <w:szCs w:val="25"/>
              </w:rPr>
            </w:pPr>
            <w:r w:rsidRPr="00942F86">
              <w:rPr>
                <w:b/>
                <w:sz w:val="25"/>
                <w:szCs w:val="25"/>
              </w:rPr>
              <w:t>3,373,837</w:t>
            </w:r>
          </w:p>
        </w:tc>
      </w:tr>
      <w:tr w:rsidR="00334888" w:rsidRPr="00942F86" w14:paraId="633F7DC9" w14:textId="77777777" w:rsidTr="00A5217D">
        <w:trPr>
          <w:trHeight w:val="432"/>
        </w:trPr>
        <w:tc>
          <w:tcPr>
            <w:tcW w:w="927" w:type="dxa"/>
            <w:tcBorders>
              <w:left w:val="thinThickSmallGap" w:sz="24" w:space="0" w:color="auto"/>
            </w:tcBorders>
            <w:shd w:val="clear" w:color="auto" w:fill="auto"/>
            <w:vAlign w:val="center"/>
          </w:tcPr>
          <w:p w14:paraId="32048E2A" w14:textId="075AA98F" w:rsidR="00334888" w:rsidRPr="00942F86" w:rsidRDefault="00334888" w:rsidP="000455AC">
            <w:pPr>
              <w:spacing w:line="264" w:lineRule="auto"/>
              <w:jc w:val="center"/>
              <w:rPr>
                <w:b/>
                <w:bCs/>
                <w:sz w:val="25"/>
                <w:szCs w:val="25"/>
              </w:rPr>
            </w:pPr>
            <w:r w:rsidRPr="00942F86">
              <w:rPr>
                <w:b/>
                <w:bCs/>
                <w:sz w:val="25"/>
                <w:szCs w:val="25"/>
              </w:rPr>
              <w:t>8.2</w:t>
            </w:r>
          </w:p>
        </w:tc>
        <w:tc>
          <w:tcPr>
            <w:tcW w:w="4230" w:type="dxa"/>
            <w:shd w:val="clear" w:color="auto" w:fill="auto"/>
            <w:vAlign w:val="center"/>
          </w:tcPr>
          <w:p w14:paraId="73CEA657" w14:textId="3C2777F7" w:rsidR="00334888" w:rsidRPr="00942F86" w:rsidRDefault="00334888" w:rsidP="000455AC">
            <w:pPr>
              <w:spacing w:line="264" w:lineRule="auto"/>
              <w:rPr>
                <w:b/>
                <w:bCs/>
                <w:sz w:val="25"/>
                <w:szCs w:val="25"/>
              </w:rPr>
            </w:pPr>
            <w:r w:rsidRPr="00942F86">
              <w:rPr>
                <w:b/>
                <w:bCs/>
                <w:sz w:val="25"/>
                <w:szCs w:val="25"/>
              </w:rPr>
              <w:t>Environmental Remediation</w:t>
            </w:r>
          </w:p>
        </w:tc>
        <w:tc>
          <w:tcPr>
            <w:tcW w:w="1530" w:type="dxa"/>
            <w:shd w:val="clear" w:color="auto" w:fill="auto"/>
            <w:vAlign w:val="center"/>
          </w:tcPr>
          <w:p w14:paraId="59D04393" w14:textId="51320E3B" w:rsidR="00334888" w:rsidRPr="00942F86" w:rsidRDefault="00334888" w:rsidP="000455AC">
            <w:pPr>
              <w:spacing w:line="264" w:lineRule="auto"/>
              <w:jc w:val="right"/>
              <w:rPr>
                <w:b/>
                <w:sz w:val="25"/>
                <w:szCs w:val="25"/>
              </w:rPr>
            </w:pPr>
            <w:r w:rsidRPr="00942F86">
              <w:rPr>
                <w:b/>
                <w:sz w:val="25"/>
                <w:szCs w:val="25"/>
              </w:rPr>
              <w:t>(171,517)</w:t>
            </w:r>
          </w:p>
        </w:tc>
        <w:tc>
          <w:tcPr>
            <w:tcW w:w="1530" w:type="dxa"/>
            <w:shd w:val="clear" w:color="auto" w:fill="auto"/>
            <w:vAlign w:val="center"/>
          </w:tcPr>
          <w:p w14:paraId="25BD54DE" w14:textId="0858BC90" w:rsidR="00334888" w:rsidRPr="00942F86" w:rsidRDefault="00334888" w:rsidP="000455AC">
            <w:pPr>
              <w:spacing w:line="264" w:lineRule="auto"/>
              <w:jc w:val="right"/>
              <w:rPr>
                <w:sz w:val="25"/>
                <w:szCs w:val="25"/>
              </w:rPr>
            </w:pPr>
            <w:r w:rsidRPr="00942F86">
              <w:rPr>
                <w:b/>
                <w:sz w:val="25"/>
                <w:szCs w:val="25"/>
              </w:rPr>
              <w:t>(250,034)</w:t>
            </w:r>
          </w:p>
        </w:tc>
        <w:tc>
          <w:tcPr>
            <w:tcW w:w="1683" w:type="dxa"/>
            <w:tcBorders>
              <w:right w:val="thickThinSmallGap" w:sz="24" w:space="0" w:color="auto"/>
            </w:tcBorders>
            <w:shd w:val="clear" w:color="auto" w:fill="auto"/>
            <w:vAlign w:val="center"/>
          </w:tcPr>
          <w:p w14:paraId="6B6D82CA" w14:textId="4F468C98" w:rsidR="00334888" w:rsidRPr="00942F86" w:rsidRDefault="00334888" w:rsidP="000455AC">
            <w:pPr>
              <w:spacing w:line="264" w:lineRule="auto"/>
              <w:jc w:val="right"/>
              <w:rPr>
                <w:b/>
                <w:sz w:val="25"/>
                <w:szCs w:val="25"/>
              </w:rPr>
            </w:pPr>
            <w:r w:rsidRPr="00942F86">
              <w:rPr>
                <w:b/>
                <w:sz w:val="25"/>
                <w:szCs w:val="25"/>
              </w:rPr>
              <w:t>247,380</w:t>
            </w:r>
          </w:p>
        </w:tc>
      </w:tr>
      <w:tr w:rsidR="00334888" w:rsidRPr="00942F86" w14:paraId="57E353A8" w14:textId="77777777" w:rsidTr="00A5217D">
        <w:trPr>
          <w:trHeight w:val="432"/>
        </w:trPr>
        <w:tc>
          <w:tcPr>
            <w:tcW w:w="927" w:type="dxa"/>
            <w:tcBorders>
              <w:left w:val="thinThickSmallGap" w:sz="24" w:space="0" w:color="auto"/>
            </w:tcBorders>
            <w:shd w:val="clear" w:color="auto" w:fill="auto"/>
            <w:vAlign w:val="center"/>
          </w:tcPr>
          <w:p w14:paraId="725906FB" w14:textId="608C8A78" w:rsidR="00334888" w:rsidRPr="00942F86" w:rsidRDefault="00334888" w:rsidP="000455AC">
            <w:pPr>
              <w:spacing w:line="264" w:lineRule="auto"/>
              <w:jc w:val="center"/>
              <w:rPr>
                <w:b/>
                <w:bCs/>
                <w:sz w:val="25"/>
                <w:szCs w:val="25"/>
              </w:rPr>
            </w:pPr>
            <w:r w:rsidRPr="00942F86">
              <w:rPr>
                <w:b/>
                <w:bCs/>
                <w:sz w:val="25"/>
                <w:szCs w:val="25"/>
              </w:rPr>
              <w:t>8.3</w:t>
            </w:r>
          </w:p>
        </w:tc>
        <w:tc>
          <w:tcPr>
            <w:tcW w:w="4230" w:type="dxa"/>
            <w:shd w:val="clear" w:color="auto" w:fill="auto"/>
            <w:vAlign w:val="center"/>
          </w:tcPr>
          <w:p w14:paraId="5C6DC8FD" w14:textId="0AA902FA" w:rsidR="00334888" w:rsidRPr="00942F86" w:rsidRDefault="00334888" w:rsidP="000455AC">
            <w:pPr>
              <w:spacing w:line="264" w:lineRule="auto"/>
              <w:rPr>
                <w:b/>
                <w:bCs/>
                <w:sz w:val="25"/>
                <w:szCs w:val="25"/>
              </w:rPr>
            </w:pPr>
            <w:r w:rsidRPr="00942F86">
              <w:rPr>
                <w:b/>
                <w:bCs/>
                <w:sz w:val="25"/>
                <w:szCs w:val="25"/>
              </w:rPr>
              <w:t>Customer Advances for Construction</w:t>
            </w:r>
          </w:p>
        </w:tc>
        <w:tc>
          <w:tcPr>
            <w:tcW w:w="1530" w:type="dxa"/>
            <w:shd w:val="clear" w:color="auto" w:fill="auto"/>
            <w:vAlign w:val="center"/>
          </w:tcPr>
          <w:p w14:paraId="7AC46AD9" w14:textId="10E3DB15" w:rsidR="00334888" w:rsidRPr="00942F86" w:rsidRDefault="00334888" w:rsidP="000455AC">
            <w:pPr>
              <w:spacing w:line="264" w:lineRule="auto"/>
              <w:jc w:val="right"/>
              <w:rPr>
                <w:b/>
                <w:sz w:val="25"/>
                <w:szCs w:val="25"/>
              </w:rPr>
            </w:pPr>
            <w:r w:rsidRPr="00942F86">
              <w:rPr>
                <w:b/>
                <w:sz w:val="25"/>
                <w:szCs w:val="25"/>
              </w:rPr>
              <w:t>-</w:t>
            </w:r>
          </w:p>
        </w:tc>
        <w:tc>
          <w:tcPr>
            <w:tcW w:w="1530" w:type="dxa"/>
            <w:shd w:val="clear" w:color="auto" w:fill="auto"/>
            <w:vAlign w:val="center"/>
          </w:tcPr>
          <w:p w14:paraId="5C43F7F9" w14:textId="10587931" w:rsidR="00334888" w:rsidRPr="00942F86" w:rsidRDefault="00334888" w:rsidP="000455AC">
            <w:pPr>
              <w:spacing w:line="264" w:lineRule="auto"/>
              <w:jc w:val="right"/>
              <w:rPr>
                <w:sz w:val="25"/>
                <w:szCs w:val="25"/>
              </w:rPr>
            </w:pPr>
            <w:r w:rsidRPr="00942F86">
              <w:rPr>
                <w:b/>
                <w:sz w:val="25"/>
                <w:szCs w:val="25"/>
              </w:rPr>
              <w:t>(481,414)</w:t>
            </w:r>
          </w:p>
        </w:tc>
        <w:tc>
          <w:tcPr>
            <w:tcW w:w="1683" w:type="dxa"/>
            <w:tcBorders>
              <w:right w:val="thickThinSmallGap" w:sz="24" w:space="0" w:color="auto"/>
            </w:tcBorders>
            <w:shd w:val="clear" w:color="auto" w:fill="auto"/>
            <w:vAlign w:val="center"/>
          </w:tcPr>
          <w:p w14:paraId="368CF016" w14:textId="2D2E07FF" w:rsidR="00334888" w:rsidRPr="00942F86" w:rsidRDefault="00334888" w:rsidP="000455AC">
            <w:pPr>
              <w:spacing w:line="264" w:lineRule="auto"/>
              <w:jc w:val="right"/>
              <w:rPr>
                <w:b/>
                <w:sz w:val="25"/>
                <w:szCs w:val="25"/>
              </w:rPr>
            </w:pPr>
            <w:r w:rsidRPr="00942F86">
              <w:rPr>
                <w:b/>
                <w:sz w:val="25"/>
                <w:szCs w:val="25"/>
              </w:rPr>
              <w:t>(56,724)</w:t>
            </w:r>
          </w:p>
        </w:tc>
      </w:tr>
      <w:tr w:rsidR="00334888" w:rsidRPr="00942F86" w14:paraId="645843EF" w14:textId="77777777" w:rsidTr="00A5217D">
        <w:trPr>
          <w:trHeight w:val="432"/>
        </w:trPr>
        <w:tc>
          <w:tcPr>
            <w:tcW w:w="927" w:type="dxa"/>
            <w:tcBorders>
              <w:left w:val="thinThickSmallGap" w:sz="24" w:space="0" w:color="auto"/>
            </w:tcBorders>
            <w:shd w:val="clear" w:color="auto" w:fill="auto"/>
            <w:vAlign w:val="center"/>
          </w:tcPr>
          <w:p w14:paraId="5912B591" w14:textId="59F58825" w:rsidR="00334888" w:rsidRPr="00942F86" w:rsidRDefault="00334888" w:rsidP="000455AC">
            <w:pPr>
              <w:spacing w:line="264" w:lineRule="auto"/>
              <w:jc w:val="center"/>
              <w:rPr>
                <w:b/>
                <w:bCs/>
                <w:sz w:val="25"/>
                <w:szCs w:val="25"/>
              </w:rPr>
            </w:pPr>
            <w:r w:rsidRPr="00942F86">
              <w:rPr>
                <w:b/>
                <w:bCs/>
                <w:sz w:val="25"/>
                <w:szCs w:val="25"/>
              </w:rPr>
              <w:t>8.5-8.5.1</w:t>
            </w:r>
          </w:p>
        </w:tc>
        <w:tc>
          <w:tcPr>
            <w:tcW w:w="4230" w:type="dxa"/>
            <w:shd w:val="clear" w:color="auto" w:fill="auto"/>
            <w:vAlign w:val="center"/>
          </w:tcPr>
          <w:p w14:paraId="3DCC5C1C" w14:textId="3B74CA5C" w:rsidR="00334888" w:rsidRPr="00942F86" w:rsidRDefault="00334888" w:rsidP="000455AC">
            <w:pPr>
              <w:spacing w:line="264" w:lineRule="auto"/>
              <w:rPr>
                <w:b/>
                <w:bCs/>
                <w:sz w:val="25"/>
                <w:szCs w:val="25"/>
              </w:rPr>
            </w:pPr>
            <w:r w:rsidRPr="00942F86">
              <w:rPr>
                <w:b/>
                <w:bCs/>
                <w:sz w:val="25"/>
                <w:szCs w:val="25"/>
              </w:rPr>
              <w:t>Miscellaneous Rate Base</w:t>
            </w:r>
          </w:p>
        </w:tc>
        <w:tc>
          <w:tcPr>
            <w:tcW w:w="1530" w:type="dxa"/>
            <w:shd w:val="clear" w:color="auto" w:fill="auto"/>
            <w:vAlign w:val="center"/>
          </w:tcPr>
          <w:p w14:paraId="63F66F3E" w14:textId="0A83F9E0" w:rsidR="00334888" w:rsidRPr="00942F86" w:rsidRDefault="00334888" w:rsidP="000455AC">
            <w:pPr>
              <w:spacing w:line="264" w:lineRule="auto"/>
              <w:jc w:val="right"/>
              <w:rPr>
                <w:b/>
                <w:sz w:val="25"/>
                <w:szCs w:val="25"/>
              </w:rPr>
            </w:pPr>
            <w:r w:rsidRPr="00942F86">
              <w:rPr>
                <w:b/>
                <w:sz w:val="25"/>
                <w:szCs w:val="25"/>
              </w:rPr>
              <w:t>-</w:t>
            </w:r>
          </w:p>
        </w:tc>
        <w:tc>
          <w:tcPr>
            <w:tcW w:w="1530" w:type="dxa"/>
            <w:shd w:val="clear" w:color="auto" w:fill="auto"/>
            <w:vAlign w:val="center"/>
          </w:tcPr>
          <w:p w14:paraId="00168BE6" w14:textId="0415C0AC" w:rsidR="00334888" w:rsidRPr="00942F86" w:rsidRDefault="00334888" w:rsidP="000455AC">
            <w:pPr>
              <w:spacing w:line="264" w:lineRule="auto"/>
              <w:jc w:val="right"/>
              <w:rPr>
                <w:sz w:val="25"/>
                <w:szCs w:val="25"/>
              </w:rPr>
            </w:pPr>
            <w:r w:rsidRPr="00942F86">
              <w:rPr>
                <w:b/>
                <w:sz w:val="25"/>
                <w:szCs w:val="25"/>
              </w:rPr>
              <w:t>(20,135,895)</w:t>
            </w:r>
          </w:p>
        </w:tc>
        <w:tc>
          <w:tcPr>
            <w:tcW w:w="1683" w:type="dxa"/>
            <w:tcBorders>
              <w:right w:val="thickThinSmallGap" w:sz="24" w:space="0" w:color="auto"/>
            </w:tcBorders>
            <w:shd w:val="clear" w:color="auto" w:fill="auto"/>
            <w:vAlign w:val="center"/>
          </w:tcPr>
          <w:p w14:paraId="7C019905" w14:textId="518D4619" w:rsidR="00334888" w:rsidRPr="00942F86" w:rsidRDefault="00334888" w:rsidP="000455AC">
            <w:pPr>
              <w:spacing w:line="264" w:lineRule="auto"/>
              <w:jc w:val="right"/>
              <w:rPr>
                <w:b/>
                <w:sz w:val="25"/>
                <w:szCs w:val="25"/>
              </w:rPr>
            </w:pPr>
            <w:r w:rsidRPr="00942F86">
              <w:rPr>
                <w:b/>
                <w:sz w:val="25"/>
                <w:szCs w:val="25"/>
              </w:rPr>
              <w:t>(2,372,561)</w:t>
            </w:r>
          </w:p>
        </w:tc>
      </w:tr>
      <w:tr w:rsidR="00334888" w:rsidRPr="00942F86" w14:paraId="4E5D5360" w14:textId="77777777" w:rsidTr="00A5217D">
        <w:trPr>
          <w:trHeight w:val="432"/>
        </w:trPr>
        <w:tc>
          <w:tcPr>
            <w:tcW w:w="927" w:type="dxa"/>
            <w:tcBorders>
              <w:left w:val="thinThickSmallGap" w:sz="24" w:space="0" w:color="auto"/>
            </w:tcBorders>
            <w:shd w:val="clear" w:color="auto" w:fill="auto"/>
            <w:vAlign w:val="center"/>
          </w:tcPr>
          <w:p w14:paraId="07BF2D67" w14:textId="33C70F17" w:rsidR="00334888" w:rsidRPr="00942F86" w:rsidRDefault="00334888" w:rsidP="000455AC">
            <w:pPr>
              <w:spacing w:line="264" w:lineRule="auto"/>
              <w:jc w:val="center"/>
              <w:rPr>
                <w:b/>
                <w:bCs/>
                <w:sz w:val="25"/>
                <w:szCs w:val="25"/>
              </w:rPr>
            </w:pPr>
            <w:r w:rsidRPr="00942F86">
              <w:rPr>
                <w:b/>
                <w:bCs/>
                <w:sz w:val="25"/>
                <w:szCs w:val="25"/>
              </w:rPr>
              <w:t>8.6</w:t>
            </w:r>
          </w:p>
        </w:tc>
        <w:tc>
          <w:tcPr>
            <w:tcW w:w="4230" w:type="dxa"/>
            <w:shd w:val="clear" w:color="auto" w:fill="auto"/>
            <w:vAlign w:val="center"/>
          </w:tcPr>
          <w:p w14:paraId="4C3D83FC" w14:textId="769AAF4F" w:rsidR="00334888" w:rsidRPr="00942F86" w:rsidRDefault="00334888" w:rsidP="000455AC">
            <w:pPr>
              <w:spacing w:line="264" w:lineRule="auto"/>
              <w:rPr>
                <w:b/>
                <w:bCs/>
                <w:sz w:val="25"/>
                <w:szCs w:val="25"/>
              </w:rPr>
            </w:pPr>
            <w:r w:rsidRPr="00942F86">
              <w:rPr>
                <w:b/>
                <w:bCs/>
                <w:sz w:val="25"/>
                <w:szCs w:val="25"/>
              </w:rPr>
              <w:t>Powerdale Hydro Removal</w:t>
            </w:r>
          </w:p>
        </w:tc>
        <w:tc>
          <w:tcPr>
            <w:tcW w:w="1530" w:type="dxa"/>
            <w:shd w:val="clear" w:color="auto" w:fill="auto"/>
            <w:vAlign w:val="center"/>
          </w:tcPr>
          <w:p w14:paraId="6EFD43E5" w14:textId="27444E41" w:rsidR="00334888" w:rsidRPr="00942F86" w:rsidRDefault="00334888" w:rsidP="000455AC">
            <w:pPr>
              <w:spacing w:line="264" w:lineRule="auto"/>
              <w:jc w:val="right"/>
              <w:rPr>
                <w:b/>
                <w:sz w:val="25"/>
                <w:szCs w:val="25"/>
              </w:rPr>
            </w:pPr>
            <w:r w:rsidRPr="00942F86">
              <w:rPr>
                <w:b/>
                <w:sz w:val="25"/>
                <w:szCs w:val="25"/>
              </w:rPr>
              <w:t>(58,361)</w:t>
            </w:r>
          </w:p>
        </w:tc>
        <w:tc>
          <w:tcPr>
            <w:tcW w:w="1530" w:type="dxa"/>
            <w:shd w:val="clear" w:color="auto" w:fill="auto"/>
            <w:vAlign w:val="center"/>
          </w:tcPr>
          <w:p w14:paraId="052290DF" w14:textId="027AE477" w:rsidR="00334888" w:rsidRPr="00942F86" w:rsidRDefault="00334888" w:rsidP="000455AC">
            <w:pPr>
              <w:spacing w:line="264" w:lineRule="auto"/>
              <w:jc w:val="right"/>
              <w:rPr>
                <w:sz w:val="25"/>
                <w:szCs w:val="25"/>
              </w:rPr>
            </w:pPr>
            <w:r w:rsidRPr="00942F86">
              <w:rPr>
                <w:b/>
                <w:sz w:val="25"/>
                <w:szCs w:val="25"/>
              </w:rPr>
              <w:t>97,700</w:t>
            </w:r>
          </w:p>
        </w:tc>
        <w:tc>
          <w:tcPr>
            <w:tcW w:w="1683" w:type="dxa"/>
            <w:tcBorders>
              <w:right w:val="thickThinSmallGap" w:sz="24" w:space="0" w:color="auto"/>
            </w:tcBorders>
            <w:shd w:val="clear" w:color="auto" w:fill="auto"/>
            <w:vAlign w:val="center"/>
          </w:tcPr>
          <w:p w14:paraId="1A1C650D" w14:textId="3F9B5C55" w:rsidR="00334888" w:rsidRPr="00942F86" w:rsidRDefault="00334888" w:rsidP="000455AC">
            <w:pPr>
              <w:spacing w:line="264" w:lineRule="auto"/>
              <w:jc w:val="right"/>
              <w:rPr>
                <w:b/>
                <w:sz w:val="25"/>
                <w:szCs w:val="25"/>
              </w:rPr>
            </w:pPr>
            <w:r w:rsidRPr="00942F86">
              <w:rPr>
                <w:b/>
                <w:sz w:val="25"/>
                <w:szCs w:val="25"/>
              </w:rPr>
              <w:t>105,710</w:t>
            </w:r>
          </w:p>
        </w:tc>
      </w:tr>
      <w:tr w:rsidR="00334888" w:rsidRPr="00942F86" w14:paraId="6B96B2EA" w14:textId="77777777" w:rsidTr="00A5217D">
        <w:trPr>
          <w:trHeight w:val="432"/>
        </w:trPr>
        <w:tc>
          <w:tcPr>
            <w:tcW w:w="927" w:type="dxa"/>
            <w:tcBorders>
              <w:left w:val="thinThickSmallGap" w:sz="24" w:space="0" w:color="auto"/>
            </w:tcBorders>
            <w:shd w:val="clear" w:color="auto" w:fill="auto"/>
            <w:vAlign w:val="center"/>
          </w:tcPr>
          <w:p w14:paraId="1CBF54C2" w14:textId="4631FE13" w:rsidR="00334888" w:rsidRPr="00942F86" w:rsidRDefault="00334888" w:rsidP="000455AC">
            <w:pPr>
              <w:spacing w:line="264" w:lineRule="auto"/>
              <w:jc w:val="center"/>
              <w:rPr>
                <w:b/>
                <w:bCs/>
                <w:sz w:val="25"/>
                <w:szCs w:val="25"/>
              </w:rPr>
            </w:pPr>
            <w:r w:rsidRPr="00942F86">
              <w:rPr>
                <w:b/>
                <w:bCs/>
                <w:sz w:val="25"/>
                <w:szCs w:val="25"/>
              </w:rPr>
              <w:t>8.7</w:t>
            </w:r>
          </w:p>
        </w:tc>
        <w:tc>
          <w:tcPr>
            <w:tcW w:w="4230" w:type="dxa"/>
            <w:shd w:val="clear" w:color="auto" w:fill="auto"/>
            <w:vAlign w:val="center"/>
          </w:tcPr>
          <w:p w14:paraId="73234D3F" w14:textId="06ECFD8A" w:rsidR="00334888" w:rsidRPr="00942F86" w:rsidRDefault="00334888" w:rsidP="000455AC">
            <w:pPr>
              <w:spacing w:line="264" w:lineRule="auto"/>
              <w:rPr>
                <w:b/>
                <w:bCs/>
                <w:sz w:val="25"/>
                <w:szCs w:val="25"/>
              </w:rPr>
            </w:pPr>
            <w:r w:rsidRPr="00942F86">
              <w:rPr>
                <w:b/>
                <w:bCs/>
                <w:sz w:val="25"/>
                <w:szCs w:val="25"/>
              </w:rPr>
              <w:t>Removal of Colstrip 4 AFUDC</w:t>
            </w:r>
          </w:p>
        </w:tc>
        <w:tc>
          <w:tcPr>
            <w:tcW w:w="1530" w:type="dxa"/>
            <w:shd w:val="clear" w:color="auto" w:fill="auto"/>
            <w:vAlign w:val="center"/>
          </w:tcPr>
          <w:p w14:paraId="2C5761A0" w14:textId="4CC75A6B" w:rsidR="00334888" w:rsidRPr="00942F86" w:rsidRDefault="00334888" w:rsidP="000455AC">
            <w:pPr>
              <w:spacing w:line="264" w:lineRule="auto"/>
              <w:jc w:val="right"/>
              <w:rPr>
                <w:b/>
                <w:sz w:val="25"/>
                <w:szCs w:val="25"/>
              </w:rPr>
            </w:pPr>
            <w:r w:rsidRPr="00942F86">
              <w:rPr>
                <w:b/>
                <w:sz w:val="25"/>
                <w:szCs w:val="25"/>
              </w:rPr>
              <w:t>17,991</w:t>
            </w:r>
          </w:p>
        </w:tc>
        <w:tc>
          <w:tcPr>
            <w:tcW w:w="1530" w:type="dxa"/>
            <w:shd w:val="clear" w:color="auto" w:fill="auto"/>
            <w:vAlign w:val="center"/>
          </w:tcPr>
          <w:p w14:paraId="2F48F4CB" w14:textId="16E4990F" w:rsidR="00334888" w:rsidRPr="00942F86" w:rsidRDefault="00334888" w:rsidP="000455AC">
            <w:pPr>
              <w:spacing w:line="264" w:lineRule="auto"/>
              <w:jc w:val="right"/>
              <w:rPr>
                <w:sz w:val="25"/>
                <w:szCs w:val="25"/>
              </w:rPr>
            </w:pPr>
            <w:r w:rsidRPr="00942F86">
              <w:rPr>
                <w:b/>
                <w:sz w:val="25"/>
                <w:szCs w:val="25"/>
              </w:rPr>
              <w:t>(360,049)</w:t>
            </w:r>
          </w:p>
        </w:tc>
        <w:tc>
          <w:tcPr>
            <w:tcW w:w="1683" w:type="dxa"/>
            <w:tcBorders>
              <w:right w:val="thickThinSmallGap" w:sz="24" w:space="0" w:color="auto"/>
            </w:tcBorders>
            <w:shd w:val="clear" w:color="auto" w:fill="auto"/>
            <w:vAlign w:val="center"/>
          </w:tcPr>
          <w:p w14:paraId="1CE3D608" w14:textId="5AD09449" w:rsidR="00334888" w:rsidRPr="00942F86" w:rsidRDefault="00334888" w:rsidP="000455AC">
            <w:pPr>
              <w:spacing w:line="264" w:lineRule="auto"/>
              <w:jc w:val="right"/>
              <w:rPr>
                <w:b/>
                <w:sz w:val="25"/>
                <w:szCs w:val="25"/>
              </w:rPr>
            </w:pPr>
            <w:r w:rsidRPr="00942F86">
              <w:rPr>
                <w:b/>
                <w:sz w:val="25"/>
                <w:szCs w:val="25"/>
              </w:rPr>
              <w:t>(71,462)</w:t>
            </w:r>
          </w:p>
        </w:tc>
      </w:tr>
      <w:tr w:rsidR="00334888" w:rsidRPr="00942F86" w14:paraId="768044F4" w14:textId="77777777" w:rsidTr="00A5217D">
        <w:trPr>
          <w:trHeight w:val="432"/>
        </w:trPr>
        <w:tc>
          <w:tcPr>
            <w:tcW w:w="927" w:type="dxa"/>
            <w:tcBorders>
              <w:left w:val="thinThickSmallGap" w:sz="24" w:space="0" w:color="auto"/>
            </w:tcBorders>
            <w:shd w:val="clear" w:color="auto" w:fill="auto"/>
            <w:vAlign w:val="center"/>
          </w:tcPr>
          <w:p w14:paraId="57BC53C8" w14:textId="0ED5AB6F" w:rsidR="00334888" w:rsidRPr="00942F86" w:rsidRDefault="00334888" w:rsidP="000455AC">
            <w:pPr>
              <w:spacing w:line="264" w:lineRule="auto"/>
              <w:jc w:val="center"/>
              <w:rPr>
                <w:b/>
                <w:bCs/>
                <w:sz w:val="25"/>
                <w:szCs w:val="25"/>
              </w:rPr>
            </w:pPr>
            <w:r w:rsidRPr="00942F86">
              <w:rPr>
                <w:b/>
                <w:bCs/>
                <w:sz w:val="25"/>
                <w:szCs w:val="25"/>
              </w:rPr>
              <w:t>8.8</w:t>
            </w:r>
          </w:p>
        </w:tc>
        <w:tc>
          <w:tcPr>
            <w:tcW w:w="4230" w:type="dxa"/>
            <w:shd w:val="clear" w:color="auto" w:fill="auto"/>
            <w:vAlign w:val="center"/>
          </w:tcPr>
          <w:p w14:paraId="6EE6F286" w14:textId="361E7EEB" w:rsidR="00334888" w:rsidRPr="00942F86" w:rsidRDefault="00334888" w:rsidP="000455AC">
            <w:pPr>
              <w:spacing w:line="264" w:lineRule="auto"/>
              <w:rPr>
                <w:b/>
                <w:bCs/>
                <w:sz w:val="25"/>
                <w:szCs w:val="25"/>
              </w:rPr>
            </w:pPr>
            <w:r w:rsidRPr="00942F86">
              <w:rPr>
                <w:b/>
                <w:bCs/>
                <w:sz w:val="25"/>
                <w:szCs w:val="25"/>
              </w:rPr>
              <w:t>Trojan Unrecovered Plant Adjustment</w:t>
            </w:r>
          </w:p>
        </w:tc>
        <w:tc>
          <w:tcPr>
            <w:tcW w:w="1530" w:type="dxa"/>
            <w:shd w:val="clear" w:color="auto" w:fill="auto"/>
            <w:vAlign w:val="center"/>
          </w:tcPr>
          <w:p w14:paraId="2CF2FAD6" w14:textId="4AF7BCAF" w:rsidR="00334888" w:rsidRPr="00942F86" w:rsidRDefault="00334888" w:rsidP="000455AC">
            <w:pPr>
              <w:spacing w:line="264" w:lineRule="auto"/>
              <w:jc w:val="right"/>
              <w:rPr>
                <w:b/>
                <w:sz w:val="25"/>
                <w:szCs w:val="25"/>
              </w:rPr>
            </w:pPr>
            <w:r w:rsidRPr="00942F86">
              <w:rPr>
                <w:b/>
                <w:sz w:val="25"/>
                <w:szCs w:val="25"/>
              </w:rPr>
              <w:t>(99,762)</w:t>
            </w:r>
          </w:p>
        </w:tc>
        <w:tc>
          <w:tcPr>
            <w:tcW w:w="1530" w:type="dxa"/>
            <w:shd w:val="clear" w:color="auto" w:fill="auto"/>
            <w:vAlign w:val="center"/>
          </w:tcPr>
          <w:p w14:paraId="008DBCD6" w14:textId="1D0E7213" w:rsidR="00334888" w:rsidRPr="00942F86" w:rsidRDefault="00334888" w:rsidP="000455AC">
            <w:pPr>
              <w:spacing w:line="264" w:lineRule="auto"/>
              <w:jc w:val="right"/>
              <w:rPr>
                <w:sz w:val="25"/>
                <w:szCs w:val="25"/>
              </w:rPr>
            </w:pPr>
            <w:r w:rsidRPr="00942F86">
              <w:rPr>
                <w:b/>
                <w:sz w:val="25"/>
                <w:szCs w:val="25"/>
              </w:rPr>
              <w:t>(83,643)</w:t>
            </w:r>
          </w:p>
        </w:tc>
        <w:tc>
          <w:tcPr>
            <w:tcW w:w="1683" w:type="dxa"/>
            <w:tcBorders>
              <w:right w:val="thickThinSmallGap" w:sz="24" w:space="0" w:color="auto"/>
            </w:tcBorders>
            <w:shd w:val="clear" w:color="auto" w:fill="auto"/>
            <w:vAlign w:val="center"/>
          </w:tcPr>
          <w:p w14:paraId="58921018" w14:textId="4E3AF6FA" w:rsidR="00334888" w:rsidRPr="00942F86" w:rsidRDefault="00334888" w:rsidP="000455AC">
            <w:pPr>
              <w:spacing w:line="264" w:lineRule="auto"/>
              <w:jc w:val="right"/>
              <w:rPr>
                <w:b/>
                <w:sz w:val="25"/>
                <w:szCs w:val="25"/>
              </w:rPr>
            </w:pPr>
            <w:r w:rsidRPr="00942F86">
              <w:rPr>
                <w:b/>
                <w:sz w:val="25"/>
                <w:szCs w:val="25"/>
              </w:rPr>
              <w:t>151,168</w:t>
            </w:r>
          </w:p>
        </w:tc>
      </w:tr>
      <w:tr w:rsidR="00334888" w:rsidRPr="00942F86" w14:paraId="0F784797" w14:textId="77777777" w:rsidTr="00A5217D">
        <w:trPr>
          <w:trHeight w:val="432"/>
        </w:trPr>
        <w:tc>
          <w:tcPr>
            <w:tcW w:w="927" w:type="dxa"/>
            <w:tcBorders>
              <w:left w:val="thinThickSmallGap" w:sz="24" w:space="0" w:color="auto"/>
            </w:tcBorders>
            <w:shd w:val="clear" w:color="auto" w:fill="auto"/>
            <w:vAlign w:val="center"/>
          </w:tcPr>
          <w:p w14:paraId="2B0F9136" w14:textId="4721B7E0" w:rsidR="00334888" w:rsidRPr="00942F86" w:rsidRDefault="00334888" w:rsidP="000455AC">
            <w:pPr>
              <w:spacing w:line="264" w:lineRule="auto"/>
              <w:jc w:val="center"/>
              <w:rPr>
                <w:b/>
                <w:bCs/>
                <w:sz w:val="25"/>
                <w:szCs w:val="25"/>
              </w:rPr>
            </w:pPr>
            <w:r w:rsidRPr="00942F86">
              <w:rPr>
                <w:b/>
                <w:bCs/>
                <w:sz w:val="25"/>
                <w:szCs w:val="25"/>
              </w:rPr>
              <w:t>8.9</w:t>
            </w:r>
          </w:p>
        </w:tc>
        <w:tc>
          <w:tcPr>
            <w:tcW w:w="4230" w:type="dxa"/>
            <w:shd w:val="clear" w:color="auto" w:fill="auto"/>
            <w:vAlign w:val="center"/>
          </w:tcPr>
          <w:p w14:paraId="0F427C38" w14:textId="7397EB28" w:rsidR="00334888" w:rsidRPr="00942F86" w:rsidRDefault="00334888" w:rsidP="000455AC">
            <w:pPr>
              <w:spacing w:line="264" w:lineRule="auto"/>
              <w:rPr>
                <w:b/>
                <w:bCs/>
                <w:sz w:val="25"/>
                <w:szCs w:val="25"/>
              </w:rPr>
            </w:pPr>
            <w:r w:rsidRPr="00942F86">
              <w:rPr>
                <w:b/>
                <w:bCs/>
                <w:sz w:val="25"/>
                <w:szCs w:val="25"/>
              </w:rPr>
              <w:t>Customer Service Deposits</w:t>
            </w:r>
          </w:p>
        </w:tc>
        <w:tc>
          <w:tcPr>
            <w:tcW w:w="1530" w:type="dxa"/>
            <w:shd w:val="clear" w:color="auto" w:fill="auto"/>
            <w:vAlign w:val="center"/>
          </w:tcPr>
          <w:p w14:paraId="04A41B48" w14:textId="2625551E" w:rsidR="00334888" w:rsidRPr="00942F86" w:rsidRDefault="00334888" w:rsidP="000455AC">
            <w:pPr>
              <w:spacing w:line="264" w:lineRule="auto"/>
              <w:jc w:val="right"/>
              <w:rPr>
                <w:b/>
                <w:sz w:val="25"/>
                <w:szCs w:val="25"/>
              </w:rPr>
            </w:pPr>
            <w:r w:rsidRPr="00942F86">
              <w:rPr>
                <w:b/>
                <w:sz w:val="25"/>
                <w:szCs w:val="25"/>
              </w:rPr>
              <w:t>(2,710)</w:t>
            </w:r>
          </w:p>
        </w:tc>
        <w:tc>
          <w:tcPr>
            <w:tcW w:w="1530" w:type="dxa"/>
            <w:shd w:val="clear" w:color="auto" w:fill="auto"/>
            <w:vAlign w:val="center"/>
          </w:tcPr>
          <w:p w14:paraId="26B74FB5" w14:textId="013F35D8" w:rsidR="00334888" w:rsidRPr="00942F86" w:rsidRDefault="00334888" w:rsidP="000455AC">
            <w:pPr>
              <w:spacing w:line="264" w:lineRule="auto"/>
              <w:jc w:val="right"/>
              <w:rPr>
                <w:sz w:val="25"/>
                <w:szCs w:val="25"/>
              </w:rPr>
            </w:pPr>
            <w:r w:rsidRPr="00942F86">
              <w:rPr>
                <w:b/>
                <w:sz w:val="25"/>
                <w:szCs w:val="25"/>
              </w:rPr>
              <w:t>(3,361,134)</w:t>
            </w:r>
          </w:p>
        </w:tc>
        <w:tc>
          <w:tcPr>
            <w:tcW w:w="1683" w:type="dxa"/>
            <w:tcBorders>
              <w:right w:val="thickThinSmallGap" w:sz="24" w:space="0" w:color="auto"/>
            </w:tcBorders>
            <w:shd w:val="clear" w:color="auto" w:fill="auto"/>
            <w:vAlign w:val="center"/>
          </w:tcPr>
          <w:p w14:paraId="61798F38" w14:textId="7101600E" w:rsidR="00334888" w:rsidRPr="00942F86" w:rsidRDefault="00334888" w:rsidP="000455AC">
            <w:pPr>
              <w:spacing w:line="264" w:lineRule="auto"/>
              <w:jc w:val="right"/>
              <w:rPr>
                <w:b/>
                <w:sz w:val="25"/>
                <w:szCs w:val="25"/>
              </w:rPr>
            </w:pPr>
            <w:r w:rsidRPr="00942F86">
              <w:rPr>
                <w:b/>
                <w:sz w:val="25"/>
                <w:szCs w:val="25"/>
              </w:rPr>
              <w:t>(391,659)</w:t>
            </w:r>
          </w:p>
        </w:tc>
      </w:tr>
      <w:tr w:rsidR="00334888" w:rsidRPr="00942F86" w14:paraId="6C4B575A" w14:textId="77777777" w:rsidTr="00A5217D">
        <w:trPr>
          <w:trHeight w:val="432"/>
        </w:trPr>
        <w:tc>
          <w:tcPr>
            <w:tcW w:w="927" w:type="dxa"/>
            <w:tcBorders>
              <w:left w:val="thinThickSmallGap" w:sz="24" w:space="0" w:color="auto"/>
            </w:tcBorders>
            <w:shd w:val="clear" w:color="auto" w:fill="auto"/>
            <w:vAlign w:val="center"/>
          </w:tcPr>
          <w:p w14:paraId="192D7406" w14:textId="5CCEE8F4" w:rsidR="00334888" w:rsidRPr="00942F86" w:rsidRDefault="00334888" w:rsidP="000455AC">
            <w:pPr>
              <w:spacing w:line="264" w:lineRule="auto"/>
              <w:jc w:val="center"/>
              <w:rPr>
                <w:b/>
                <w:bCs/>
                <w:sz w:val="25"/>
                <w:szCs w:val="25"/>
              </w:rPr>
            </w:pPr>
            <w:r w:rsidRPr="00942F86">
              <w:rPr>
                <w:b/>
                <w:bCs/>
                <w:sz w:val="25"/>
                <w:szCs w:val="25"/>
              </w:rPr>
              <w:t>8.11</w:t>
            </w:r>
          </w:p>
        </w:tc>
        <w:tc>
          <w:tcPr>
            <w:tcW w:w="4230" w:type="dxa"/>
            <w:shd w:val="clear" w:color="auto" w:fill="auto"/>
            <w:vAlign w:val="center"/>
          </w:tcPr>
          <w:p w14:paraId="7FC8BABB" w14:textId="08CBC55E" w:rsidR="00334888" w:rsidRPr="00942F86" w:rsidRDefault="00334888" w:rsidP="000455AC">
            <w:pPr>
              <w:spacing w:line="264" w:lineRule="auto"/>
              <w:rPr>
                <w:b/>
                <w:bCs/>
                <w:sz w:val="25"/>
                <w:szCs w:val="25"/>
              </w:rPr>
            </w:pPr>
            <w:r w:rsidRPr="00942F86">
              <w:rPr>
                <w:b/>
                <w:bCs/>
                <w:sz w:val="25"/>
                <w:szCs w:val="25"/>
              </w:rPr>
              <w:t>Misc. Asset Sales &amp; Removals</w:t>
            </w:r>
          </w:p>
        </w:tc>
        <w:tc>
          <w:tcPr>
            <w:tcW w:w="1530" w:type="dxa"/>
            <w:shd w:val="clear" w:color="auto" w:fill="auto"/>
            <w:vAlign w:val="center"/>
          </w:tcPr>
          <w:p w14:paraId="52B08CBF" w14:textId="0C5F49C5" w:rsidR="00334888" w:rsidRPr="00942F86" w:rsidRDefault="00334888" w:rsidP="000455AC">
            <w:pPr>
              <w:spacing w:line="264" w:lineRule="auto"/>
              <w:jc w:val="right"/>
              <w:rPr>
                <w:b/>
                <w:sz w:val="25"/>
                <w:szCs w:val="25"/>
              </w:rPr>
            </w:pPr>
            <w:r w:rsidRPr="00942F86">
              <w:rPr>
                <w:b/>
                <w:sz w:val="25"/>
                <w:szCs w:val="25"/>
              </w:rPr>
              <w:t>4,540</w:t>
            </w:r>
          </w:p>
        </w:tc>
        <w:tc>
          <w:tcPr>
            <w:tcW w:w="1530" w:type="dxa"/>
            <w:shd w:val="clear" w:color="auto" w:fill="auto"/>
            <w:vAlign w:val="center"/>
          </w:tcPr>
          <w:p w14:paraId="5A145C1E" w14:textId="3E9DBAE5" w:rsidR="00334888" w:rsidRPr="00942F86" w:rsidRDefault="00334888" w:rsidP="000455AC">
            <w:pPr>
              <w:spacing w:line="264" w:lineRule="auto"/>
              <w:jc w:val="right"/>
              <w:rPr>
                <w:sz w:val="25"/>
                <w:szCs w:val="25"/>
              </w:rPr>
            </w:pPr>
            <w:r w:rsidRPr="00942F86">
              <w:rPr>
                <w:b/>
                <w:sz w:val="25"/>
                <w:szCs w:val="25"/>
              </w:rPr>
              <w:t>-</w:t>
            </w:r>
          </w:p>
        </w:tc>
        <w:tc>
          <w:tcPr>
            <w:tcW w:w="1683" w:type="dxa"/>
            <w:tcBorders>
              <w:right w:val="thickThinSmallGap" w:sz="24" w:space="0" w:color="auto"/>
            </w:tcBorders>
            <w:shd w:val="clear" w:color="auto" w:fill="auto"/>
            <w:vAlign w:val="center"/>
          </w:tcPr>
          <w:p w14:paraId="5A1ED7D8" w14:textId="4417C31A" w:rsidR="00334888" w:rsidRPr="00942F86" w:rsidRDefault="00334888" w:rsidP="000455AC">
            <w:pPr>
              <w:spacing w:line="264" w:lineRule="auto"/>
              <w:jc w:val="right"/>
              <w:rPr>
                <w:b/>
                <w:sz w:val="25"/>
                <w:szCs w:val="25"/>
              </w:rPr>
            </w:pPr>
            <w:r w:rsidRPr="00942F86">
              <w:rPr>
                <w:b/>
                <w:sz w:val="25"/>
                <w:szCs w:val="25"/>
              </w:rPr>
              <w:t>(7,328)</w:t>
            </w:r>
          </w:p>
        </w:tc>
      </w:tr>
      <w:tr w:rsidR="00334888" w:rsidRPr="00942F86" w14:paraId="5A92C82E" w14:textId="77777777" w:rsidTr="00A5217D">
        <w:trPr>
          <w:trHeight w:val="432"/>
        </w:trPr>
        <w:tc>
          <w:tcPr>
            <w:tcW w:w="927" w:type="dxa"/>
            <w:tcBorders>
              <w:left w:val="thinThickSmallGap" w:sz="24" w:space="0" w:color="auto"/>
            </w:tcBorders>
            <w:shd w:val="clear" w:color="auto" w:fill="auto"/>
            <w:vAlign w:val="center"/>
          </w:tcPr>
          <w:p w14:paraId="01D6B716" w14:textId="5EA4831A" w:rsidR="00334888" w:rsidRPr="00942F86" w:rsidRDefault="00334888" w:rsidP="000455AC">
            <w:pPr>
              <w:spacing w:line="264" w:lineRule="auto"/>
              <w:jc w:val="center"/>
              <w:rPr>
                <w:b/>
                <w:bCs/>
                <w:sz w:val="25"/>
                <w:szCs w:val="25"/>
              </w:rPr>
            </w:pPr>
            <w:r w:rsidRPr="00942F86">
              <w:rPr>
                <w:b/>
                <w:bCs/>
                <w:sz w:val="25"/>
                <w:szCs w:val="25"/>
              </w:rPr>
              <w:t>8.13</w:t>
            </w:r>
          </w:p>
        </w:tc>
        <w:tc>
          <w:tcPr>
            <w:tcW w:w="4230" w:type="dxa"/>
            <w:shd w:val="clear" w:color="auto" w:fill="auto"/>
            <w:vAlign w:val="center"/>
          </w:tcPr>
          <w:p w14:paraId="253A7E24" w14:textId="6846614C" w:rsidR="00334888" w:rsidRPr="00942F86" w:rsidRDefault="00334888" w:rsidP="000455AC">
            <w:pPr>
              <w:spacing w:line="264" w:lineRule="auto"/>
              <w:rPr>
                <w:b/>
                <w:bCs/>
                <w:sz w:val="25"/>
                <w:szCs w:val="25"/>
              </w:rPr>
            </w:pPr>
            <w:r w:rsidRPr="00942F86">
              <w:rPr>
                <w:b/>
                <w:bCs/>
                <w:sz w:val="25"/>
                <w:szCs w:val="25"/>
              </w:rPr>
              <w:t xml:space="preserve">Investor Supplied Working Capital </w:t>
            </w:r>
          </w:p>
        </w:tc>
        <w:tc>
          <w:tcPr>
            <w:tcW w:w="1530" w:type="dxa"/>
            <w:shd w:val="clear" w:color="auto" w:fill="auto"/>
            <w:vAlign w:val="center"/>
          </w:tcPr>
          <w:p w14:paraId="5005F8EE" w14:textId="6F0F8D2E" w:rsidR="00334888" w:rsidRPr="00942F86" w:rsidRDefault="00334888" w:rsidP="000455AC">
            <w:pPr>
              <w:spacing w:line="264" w:lineRule="auto"/>
              <w:jc w:val="right"/>
              <w:rPr>
                <w:b/>
                <w:sz w:val="25"/>
                <w:szCs w:val="25"/>
              </w:rPr>
            </w:pPr>
            <w:r w:rsidRPr="00942F86">
              <w:rPr>
                <w:b/>
                <w:sz w:val="25"/>
                <w:szCs w:val="25"/>
              </w:rPr>
              <w:t>-</w:t>
            </w:r>
          </w:p>
        </w:tc>
        <w:tc>
          <w:tcPr>
            <w:tcW w:w="1530" w:type="dxa"/>
            <w:shd w:val="clear" w:color="auto" w:fill="auto"/>
            <w:vAlign w:val="center"/>
          </w:tcPr>
          <w:p w14:paraId="102BA8BE" w14:textId="42A7FF1E" w:rsidR="00334888" w:rsidRPr="00942F86" w:rsidRDefault="00334888" w:rsidP="000455AC">
            <w:pPr>
              <w:spacing w:line="264" w:lineRule="auto"/>
              <w:jc w:val="right"/>
              <w:rPr>
                <w:sz w:val="25"/>
                <w:szCs w:val="25"/>
              </w:rPr>
            </w:pPr>
            <w:r w:rsidRPr="00942F86">
              <w:rPr>
                <w:b/>
                <w:sz w:val="25"/>
                <w:szCs w:val="25"/>
              </w:rPr>
              <w:t>31,018,483</w:t>
            </w:r>
          </w:p>
        </w:tc>
        <w:tc>
          <w:tcPr>
            <w:tcW w:w="1683" w:type="dxa"/>
            <w:tcBorders>
              <w:right w:val="thickThinSmallGap" w:sz="24" w:space="0" w:color="auto"/>
            </w:tcBorders>
            <w:shd w:val="clear" w:color="auto" w:fill="auto"/>
            <w:vAlign w:val="center"/>
          </w:tcPr>
          <w:p w14:paraId="75F5322C" w14:textId="41F300D5" w:rsidR="00334888" w:rsidRPr="00942F86" w:rsidRDefault="00334888" w:rsidP="000455AC">
            <w:pPr>
              <w:spacing w:line="264" w:lineRule="auto"/>
              <w:jc w:val="right"/>
              <w:rPr>
                <w:b/>
                <w:sz w:val="25"/>
                <w:szCs w:val="25"/>
              </w:rPr>
            </w:pPr>
            <w:r w:rsidRPr="00942F86">
              <w:rPr>
                <w:b/>
                <w:sz w:val="25"/>
                <w:szCs w:val="25"/>
              </w:rPr>
              <w:t>3,654,829</w:t>
            </w:r>
          </w:p>
        </w:tc>
      </w:tr>
      <w:tr w:rsidR="00334888" w:rsidRPr="00942F86" w14:paraId="20CB168C" w14:textId="77777777" w:rsidTr="00A5217D">
        <w:trPr>
          <w:trHeight w:val="432"/>
        </w:trPr>
        <w:tc>
          <w:tcPr>
            <w:tcW w:w="927" w:type="dxa"/>
            <w:tcBorders>
              <w:left w:val="thinThickSmallGap" w:sz="24" w:space="0" w:color="auto"/>
              <w:bottom w:val="thinThickSmallGap" w:sz="24" w:space="0" w:color="auto"/>
            </w:tcBorders>
            <w:shd w:val="clear" w:color="auto" w:fill="auto"/>
            <w:vAlign w:val="center"/>
          </w:tcPr>
          <w:p w14:paraId="23C14E33" w14:textId="77777777" w:rsidR="00334888" w:rsidRPr="00942F86" w:rsidRDefault="00334888" w:rsidP="000455AC">
            <w:pPr>
              <w:spacing w:line="264" w:lineRule="auto"/>
              <w:jc w:val="center"/>
              <w:rPr>
                <w:b/>
                <w:bCs/>
                <w:sz w:val="25"/>
                <w:szCs w:val="25"/>
              </w:rPr>
            </w:pPr>
          </w:p>
        </w:tc>
        <w:tc>
          <w:tcPr>
            <w:tcW w:w="4230" w:type="dxa"/>
            <w:tcBorders>
              <w:bottom w:val="thinThickSmallGap" w:sz="24" w:space="0" w:color="auto"/>
            </w:tcBorders>
            <w:shd w:val="clear" w:color="auto" w:fill="auto"/>
            <w:vAlign w:val="center"/>
          </w:tcPr>
          <w:p w14:paraId="49E1B559" w14:textId="15971941" w:rsidR="00334888" w:rsidRPr="00942F86" w:rsidRDefault="00334888" w:rsidP="000455AC">
            <w:pPr>
              <w:spacing w:line="264" w:lineRule="auto"/>
              <w:rPr>
                <w:b/>
                <w:bCs/>
                <w:sz w:val="25"/>
                <w:szCs w:val="25"/>
              </w:rPr>
            </w:pPr>
            <w:r w:rsidRPr="00942F86">
              <w:rPr>
                <w:b/>
                <w:bCs/>
                <w:sz w:val="25"/>
                <w:szCs w:val="25"/>
              </w:rPr>
              <w:t xml:space="preserve">Sub-total Uncontested </w:t>
            </w:r>
            <w:r w:rsidR="00A22C9A" w:rsidRPr="00942F86">
              <w:rPr>
                <w:b/>
                <w:bCs/>
                <w:sz w:val="25"/>
                <w:szCs w:val="25"/>
              </w:rPr>
              <w:t>Adjustments</w:t>
            </w:r>
          </w:p>
        </w:tc>
        <w:tc>
          <w:tcPr>
            <w:tcW w:w="1530" w:type="dxa"/>
            <w:tcBorders>
              <w:bottom w:val="thinThickSmallGap" w:sz="24" w:space="0" w:color="auto"/>
            </w:tcBorders>
            <w:shd w:val="clear" w:color="auto" w:fill="auto"/>
            <w:vAlign w:val="center"/>
          </w:tcPr>
          <w:p w14:paraId="72F6E15C" w14:textId="4F2DDDD5" w:rsidR="00334888" w:rsidRPr="00942F86" w:rsidRDefault="00334888" w:rsidP="000455AC">
            <w:pPr>
              <w:spacing w:line="264" w:lineRule="auto"/>
              <w:jc w:val="right"/>
              <w:rPr>
                <w:b/>
                <w:sz w:val="25"/>
                <w:szCs w:val="25"/>
              </w:rPr>
            </w:pPr>
            <w:r w:rsidRPr="00942F86">
              <w:rPr>
                <w:b/>
                <w:sz w:val="25"/>
                <w:szCs w:val="25"/>
              </w:rPr>
              <w:t>$18,209,423</w:t>
            </w:r>
          </w:p>
        </w:tc>
        <w:tc>
          <w:tcPr>
            <w:tcW w:w="1530" w:type="dxa"/>
            <w:tcBorders>
              <w:bottom w:val="thinThickSmallGap" w:sz="24" w:space="0" w:color="auto"/>
            </w:tcBorders>
            <w:shd w:val="clear" w:color="auto" w:fill="auto"/>
            <w:vAlign w:val="center"/>
          </w:tcPr>
          <w:p w14:paraId="043071F3" w14:textId="2DA41C15" w:rsidR="00334888" w:rsidRPr="00942F86" w:rsidRDefault="00334888" w:rsidP="000455AC">
            <w:pPr>
              <w:spacing w:line="264" w:lineRule="auto"/>
              <w:jc w:val="right"/>
              <w:rPr>
                <w:sz w:val="25"/>
                <w:szCs w:val="25"/>
              </w:rPr>
            </w:pPr>
            <w:r w:rsidRPr="00942F86">
              <w:rPr>
                <w:b/>
                <w:sz w:val="25"/>
                <w:szCs w:val="25"/>
              </w:rPr>
              <w:t>$12,949,127</w:t>
            </w:r>
          </w:p>
        </w:tc>
        <w:tc>
          <w:tcPr>
            <w:tcW w:w="1683" w:type="dxa"/>
            <w:tcBorders>
              <w:bottom w:val="thinThickSmallGap" w:sz="24" w:space="0" w:color="auto"/>
              <w:right w:val="thickThinSmallGap" w:sz="24" w:space="0" w:color="auto"/>
            </w:tcBorders>
            <w:shd w:val="clear" w:color="auto" w:fill="auto"/>
            <w:vAlign w:val="center"/>
          </w:tcPr>
          <w:p w14:paraId="51901D91" w14:textId="0BD61418" w:rsidR="00334888" w:rsidRPr="00942F86" w:rsidRDefault="00334888" w:rsidP="000455AC">
            <w:pPr>
              <w:spacing w:line="264" w:lineRule="auto"/>
              <w:jc w:val="right"/>
              <w:rPr>
                <w:b/>
                <w:sz w:val="25"/>
                <w:szCs w:val="25"/>
              </w:rPr>
            </w:pPr>
            <w:r w:rsidRPr="00942F86">
              <w:rPr>
                <w:b/>
                <w:sz w:val="25"/>
                <w:szCs w:val="25"/>
              </w:rPr>
              <w:t>$(27,865,606)</w:t>
            </w:r>
          </w:p>
        </w:tc>
      </w:tr>
    </w:tbl>
    <w:p w14:paraId="63C32F16" w14:textId="7CEE1F78" w:rsidR="00400C1F" w:rsidRPr="00942F86" w:rsidRDefault="00400C1F" w:rsidP="000455AC">
      <w:pPr>
        <w:spacing w:line="264" w:lineRule="auto"/>
        <w:rPr>
          <w:b/>
          <w:sz w:val="25"/>
          <w:szCs w:val="25"/>
        </w:rPr>
      </w:pPr>
    </w:p>
    <w:p w14:paraId="29884F2B" w14:textId="77777777" w:rsidR="00400C1F" w:rsidRPr="00942F86" w:rsidRDefault="00400C1F" w:rsidP="000455AC">
      <w:pPr>
        <w:keepNext/>
        <w:keepLines/>
        <w:spacing w:line="264" w:lineRule="auto"/>
        <w:jc w:val="center"/>
        <w:rPr>
          <w:b/>
          <w:sz w:val="25"/>
          <w:szCs w:val="25"/>
        </w:rPr>
      </w:pPr>
    </w:p>
    <w:p w14:paraId="6D51DB51" w14:textId="77777777" w:rsidR="00400C1F" w:rsidRPr="00942F86" w:rsidRDefault="00400C1F" w:rsidP="000455AC">
      <w:pPr>
        <w:keepNext/>
        <w:keepLines/>
        <w:spacing w:line="264" w:lineRule="auto"/>
        <w:jc w:val="center"/>
        <w:rPr>
          <w:b/>
          <w:sz w:val="25"/>
          <w:szCs w:val="25"/>
        </w:rPr>
      </w:pPr>
    </w:p>
    <w:p w14:paraId="7857A331" w14:textId="77777777" w:rsidR="00400C1F" w:rsidRPr="00942F86" w:rsidRDefault="00400C1F" w:rsidP="000455AC">
      <w:pPr>
        <w:keepNext/>
        <w:keepLines/>
        <w:spacing w:line="264" w:lineRule="auto"/>
        <w:jc w:val="center"/>
        <w:rPr>
          <w:b/>
          <w:sz w:val="25"/>
          <w:szCs w:val="25"/>
        </w:rPr>
      </w:pPr>
    </w:p>
    <w:p w14:paraId="551C76E0" w14:textId="77777777" w:rsidR="00400C1F" w:rsidRPr="00942F86" w:rsidRDefault="00400C1F" w:rsidP="000455AC">
      <w:pPr>
        <w:keepNext/>
        <w:keepLines/>
        <w:spacing w:line="264" w:lineRule="auto"/>
        <w:jc w:val="center"/>
        <w:rPr>
          <w:b/>
          <w:sz w:val="25"/>
          <w:szCs w:val="25"/>
        </w:rPr>
      </w:pPr>
    </w:p>
    <w:p w14:paraId="400954C1" w14:textId="77777777" w:rsidR="00400C1F" w:rsidRPr="00942F86" w:rsidRDefault="00400C1F" w:rsidP="000455AC">
      <w:pPr>
        <w:keepNext/>
        <w:keepLines/>
        <w:spacing w:line="264" w:lineRule="auto"/>
        <w:jc w:val="center"/>
        <w:rPr>
          <w:b/>
          <w:sz w:val="25"/>
          <w:szCs w:val="25"/>
        </w:rPr>
      </w:pPr>
    </w:p>
    <w:p w14:paraId="410540BD" w14:textId="77777777" w:rsidR="00400C1F" w:rsidRPr="00942F86" w:rsidRDefault="00400C1F" w:rsidP="000455AC">
      <w:pPr>
        <w:keepNext/>
        <w:keepLines/>
        <w:spacing w:line="264" w:lineRule="auto"/>
        <w:jc w:val="center"/>
        <w:rPr>
          <w:b/>
          <w:sz w:val="25"/>
          <w:szCs w:val="25"/>
        </w:rPr>
      </w:pPr>
    </w:p>
    <w:p w14:paraId="01915739" w14:textId="77777777" w:rsidR="00400C1F" w:rsidRPr="00942F86" w:rsidRDefault="00400C1F" w:rsidP="000455AC">
      <w:pPr>
        <w:keepNext/>
        <w:keepLines/>
        <w:spacing w:line="264" w:lineRule="auto"/>
        <w:jc w:val="center"/>
        <w:rPr>
          <w:b/>
          <w:sz w:val="25"/>
          <w:szCs w:val="25"/>
        </w:rPr>
      </w:pPr>
    </w:p>
    <w:p w14:paraId="3FCBE0E7" w14:textId="77777777" w:rsidR="00400C1F" w:rsidRPr="00942F86" w:rsidRDefault="00400C1F" w:rsidP="000455AC">
      <w:pPr>
        <w:keepNext/>
        <w:keepLines/>
        <w:spacing w:line="264" w:lineRule="auto"/>
        <w:jc w:val="center"/>
        <w:rPr>
          <w:b/>
          <w:sz w:val="25"/>
          <w:szCs w:val="25"/>
        </w:rPr>
      </w:pPr>
    </w:p>
    <w:p w14:paraId="0B7FC46E" w14:textId="77777777" w:rsidR="00400C1F" w:rsidRPr="00942F86" w:rsidRDefault="00400C1F" w:rsidP="000455AC">
      <w:pPr>
        <w:keepNext/>
        <w:keepLines/>
        <w:spacing w:line="264" w:lineRule="auto"/>
        <w:jc w:val="center"/>
        <w:rPr>
          <w:b/>
          <w:sz w:val="25"/>
          <w:szCs w:val="25"/>
        </w:rPr>
      </w:pPr>
    </w:p>
    <w:p w14:paraId="3F9F6BFB" w14:textId="77777777" w:rsidR="00400C1F" w:rsidRPr="00942F86" w:rsidRDefault="00400C1F" w:rsidP="000455AC">
      <w:pPr>
        <w:keepNext/>
        <w:keepLines/>
        <w:spacing w:line="264" w:lineRule="auto"/>
        <w:jc w:val="center"/>
        <w:rPr>
          <w:b/>
          <w:sz w:val="25"/>
          <w:szCs w:val="25"/>
        </w:rPr>
      </w:pPr>
    </w:p>
    <w:p w14:paraId="61FE429D" w14:textId="77777777" w:rsidR="00400C1F" w:rsidRPr="00942F86" w:rsidRDefault="00400C1F" w:rsidP="000455AC">
      <w:pPr>
        <w:keepNext/>
        <w:keepLines/>
        <w:spacing w:line="264" w:lineRule="auto"/>
        <w:jc w:val="center"/>
        <w:rPr>
          <w:b/>
          <w:sz w:val="25"/>
          <w:szCs w:val="25"/>
        </w:rPr>
      </w:pPr>
    </w:p>
    <w:p w14:paraId="45ED86EF" w14:textId="1A3F4D35" w:rsidR="00400C1F" w:rsidRPr="00942F86" w:rsidRDefault="00400C1F" w:rsidP="000455AC">
      <w:pPr>
        <w:pStyle w:val="Heading1"/>
        <w:spacing w:before="0" w:after="0" w:line="264" w:lineRule="auto"/>
        <w:jc w:val="center"/>
        <w:rPr>
          <w:rFonts w:cs="Times New Roman"/>
          <w:szCs w:val="25"/>
        </w:rPr>
      </w:pPr>
      <w:bookmarkStart w:id="66" w:name="_Toc415037655"/>
      <w:r w:rsidRPr="00942F86">
        <w:rPr>
          <w:rFonts w:cs="Times New Roman"/>
          <w:szCs w:val="25"/>
        </w:rPr>
        <w:t>APPENDIX C</w:t>
      </w:r>
      <w:r w:rsidR="007E4EC6" w:rsidRPr="00942F86">
        <w:rPr>
          <w:rFonts w:cs="Times New Roman"/>
          <w:szCs w:val="25"/>
        </w:rPr>
        <w:t xml:space="preserve"> - CONSOLIDATED DOCKETS</w:t>
      </w:r>
      <w:bookmarkEnd w:id="66"/>
    </w:p>
    <w:p w14:paraId="2B8203B8" w14:textId="77777777" w:rsidR="00400C1F" w:rsidRPr="00942F86" w:rsidRDefault="00400C1F" w:rsidP="000455AC">
      <w:pPr>
        <w:pStyle w:val="Heading1"/>
        <w:spacing w:before="0" w:after="0" w:line="264" w:lineRule="auto"/>
        <w:jc w:val="center"/>
        <w:rPr>
          <w:rFonts w:cs="Times New Roman"/>
          <w:szCs w:val="25"/>
        </w:rPr>
      </w:pPr>
    </w:p>
    <w:p w14:paraId="18661B51" w14:textId="10AF3B32" w:rsidR="00334888" w:rsidRPr="00942F86" w:rsidRDefault="00400C1F" w:rsidP="000455AC">
      <w:pPr>
        <w:spacing w:line="264" w:lineRule="auto"/>
        <w:jc w:val="center"/>
        <w:rPr>
          <w:b/>
          <w:sz w:val="25"/>
          <w:szCs w:val="25"/>
        </w:rPr>
      </w:pPr>
      <w:r w:rsidRPr="00942F86">
        <w:rPr>
          <w:b/>
          <w:sz w:val="25"/>
          <w:szCs w:val="25"/>
        </w:rPr>
        <w:t>DETERMINATION</w:t>
      </w:r>
      <w:r w:rsidR="00334888" w:rsidRPr="00942F86">
        <w:rPr>
          <w:b/>
          <w:sz w:val="25"/>
          <w:szCs w:val="25"/>
        </w:rPr>
        <w:t>S</w:t>
      </w:r>
      <w:r w:rsidRPr="00942F86">
        <w:rPr>
          <w:b/>
          <w:sz w:val="25"/>
          <w:szCs w:val="25"/>
        </w:rPr>
        <w:t xml:space="preserve"> IN DOCKETS</w:t>
      </w:r>
    </w:p>
    <w:p w14:paraId="4BCA32BB" w14:textId="77777777" w:rsidR="007E4EC6" w:rsidRPr="00942F86" w:rsidRDefault="007E4EC6" w:rsidP="000455AC">
      <w:pPr>
        <w:spacing w:line="264" w:lineRule="auto"/>
        <w:jc w:val="center"/>
        <w:rPr>
          <w:b/>
          <w:sz w:val="25"/>
          <w:szCs w:val="25"/>
        </w:rPr>
      </w:pPr>
    </w:p>
    <w:p w14:paraId="541E890D" w14:textId="27090CEC" w:rsidR="00334888" w:rsidRPr="00942F86" w:rsidRDefault="00400C1F" w:rsidP="000455AC">
      <w:pPr>
        <w:spacing w:line="264" w:lineRule="auto"/>
        <w:jc w:val="center"/>
        <w:rPr>
          <w:b/>
          <w:sz w:val="25"/>
          <w:szCs w:val="25"/>
        </w:rPr>
      </w:pPr>
      <w:r w:rsidRPr="00942F86">
        <w:rPr>
          <w:b/>
          <w:sz w:val="25"/>
          <w:szCs w:val="25"/>
        </w:rPr>
        <w:t>UE-131384 (COLSTRIP DEFERRAL),</w:t>
      </w:r>
    </w:p>
    <w:p w14:paraId="726CF603" w14:textId="21417D2C" w:rsidR="00334888" w:rsidRPr="00942F86" w:rsidRDefault="00400C1F" w:rsidP="000455AC">
      <w:pPr>
        <w:spacing w:line="264" w:lineRule="auto"/>
        <w:jc w:val="center"/>
        <w:rPr>
          <w:b/>
          <w:sz w:val="25"/>
          <w:szCs w:val="25"/>
        </w:rPr>
      </w:pPr>
      <w:r w:rsidRPr="00942F86">
        <w:rPr>
          <w:b/>
          <w:sz w:val="25"/>
          <w:szCs w:val="25"/>
        </w:rPr>
        <w:t>UE-132350 (DEPRECIATION DEFERRAL),</w:t>
      </w:r>
    </w:p>
    <w:p w14:paraId="40CAC0E8" w14:textId="686BC6BE" w:rsidR="00334888" w:rsidRPr="00942F86" w:rsidRDefault="00400C1F" w:rsidP="000455AC">
      <w:pPr>
        <w:spacing w:line="264" w:lineRule="auto"/>
        <w:jc w:val="center"/>
        <w:rPr>
          <w:b/>
          <w:sz w:val="25"/>
          <w:szCs w:val="25"/>
        </w:rPr>
      </w:pPr>
      <w:r w:rsidRPr="00942F86">
        <w:rPr>
          <w:b/>
          <w:sz w:val="25"/>
          <w:szCs w:val="25"/>
        </w:rPr>
        <w:t>UE-140094 (HYDRO DEFERRAL),</w:t>
      </w:r>
    </w:p>
    <w:p w14:paraId="5D356C40" w14:textId="09B444FD" w:rsidR="00334888" w:rsidRPr="00942F86" w:rsidRDefault="00334888" w:rsidP="000455AC">
      <w:pPr>
        <w:spacing w:line="264" w:lineRule="auto"/>
        <w:jc w:val="center"/>
        <w:rPr>
          <w:b/>
          <w:sz w:val="25"/>
          <w:szCs w:val="25"/>
        </w:rPr>
      </w:pPr>
      <w:r w:rsidRPr="00942F86">
        <w:rPr>
          <w:b/>
          <w:sz w:val="25"/>
          <w:szCs w:val="25"/>
        </w:rPr>
        <w:t>and</w:t>
      </w:r>
    </w:p>
    <w:p w14:paraId="551125AF" w14:textId="4B5A29D6" w:rsidR="00334888" w:rsidRPr="00942F86" w:rsidRDefault="00400C1F" w:rsidP="000455AC">
      <w:pPr>
        <w:spacing w:line="264" w:lineRule="auto"/>
        <w:jc w:val="center"/>
        <w:rPr>
          <w:b/>
          <w:sz w:val="25"/>
          <w:szCs w:val="25"/>
        </w:rPr>
      </w:pPr>
      <w:r w:rsidRPr="00942F86">
        <w:rPr>
          <w:b/>
          <w:sz w:val="25"/>
          <w:szCs w:val="25"/>
        </w:rPr>
        <w:t>UE-140617 (MERWIN FISH COLLECTOR PROJECT DEFERRAL)</w:t>
      </w:r>
    </w:p>
    <w:p w14:paraId="5D03D1DB" w14:textId="77777777" w:rsidR="00334888" w:rsidRPr="00942F86" w:rsidRDefault="00334888" w:rsidP="000455AC">
      <w:pPr>
        <w:spacing w:line="264" w:lineRule="auto"/>
        <w:rPr>
          <w:b/>
          <w:sz w:val="25"/>
          <w:szCs w:val="25"/>
        </w:rPr>
      </w:pPr>
      <w:r w:rsidRPr="00942F86">
        <w:rPr>
          <w:b/>
          <w:sz w:val="25"/>
          <w:szCs w:val="25"/>
        </w:rPr>
        <w:br w:type="page"/>
      </w:r>
    </w:p>
    <w:p w14:paraId="34B501EC" w14:textId="77777777" w:rsidR="00334888" w:rsidRPr="00942F86" w:rsidRDefault="00334888" w:rsidP="000455AC">
      <w:pPr>
        <w:spacing w:line="264" w:lineRule="auto"/>
        <w:rPr>
          <w:b/>
          <w:sz w:val="25"/>
          <w:szCs w:val="25"/>
        </w:rPr>
      </w:pPr>
    </w:p>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4590"/>
        <w:gridCol w:w="3960"/>
      </w:tblGrid>
      <w:tr w:rsidR="00194A9B" w:rsidRPr="00942F86" w14:paraId="27F401EF" w14:textId="77777777" w:rsidTr="00194A9B">
        <w:trPr>
          <w:trHeight w:val="720"/>
        </w:trPr>
        <w:tc>
          <w:tcPr>
            <w:tcW w:w="0" w:type="auto"/>
            <w:tcBorders>
              <w:bottom w:val="thinThickThinSmallGap" w:sz="24" w:space="0" w:color="auto"/>
            </w:tcBorders>
            <w:vAlign w:val="center"/>
          </w:tcPr>
          <w:p w14:paraId="5BF9527F" w14:textId="77777777" w:rsidR="00334888" w:rsidRPr="00942F86" w:rsidRDefault="00334888" w:rsidP="000455AC">
            <w:pPr>
              <w:keepNext/>
              <w:keepLines/>
              <w:spacing w:line="264" w:lineRule="auto"/>
              <w:jc w:val="center"/>
              <w:rPr>
                <w:b/>
                <w:bCs/>
                <w:sz w:val="25"/>
                <w:szCs w:val="25"/>
              </w:rPr>
            </w:pPr>
            <w:r w:rsidRPr="00942F86">
              <w:rPr>
                <w:b/>
                <w:bCs/>
                <w:sz w:val="25"/>
                <w:szCs w:val="25"/>
              </w:rPr>
              <w:t xml:space="preserve">Cost Deferrals </w:t>
            </w:r>
          </w:p>
        </w:tc>
        <w:tc>
          <w:tcPr>
            <w:tcW w:w="0" w:type="auto"/>
            <w:tcBorders>
              <w:bottom w:val="thinThickThinSmallGap" w:sz="24" w:space="0" w:color="auto"/>
            </w:tcBorders>
            <w:vAlign w:val="center"/>
          </w:tcPr>
          <w:p w14:paraId="06DEAF34" w14:textId="77777777" w:rsidR="00334888" w:rsidRPr="00942F86" w:rsidRDefault="00334888" w:rsidP="000455AC">
            <w:pPr>
              <w:keepNext/>
              <w:keepLines/>
              <w:spacing w:line="264" w:lineRule="auto"/>
              <w:jc w:val="center"/>
              <w:rPr>
                <w:b/>
                <w:bCs/>
                <w:sz w:val="25"/>
                <w:szCs w:val="25"/>
              </w:rPr>
            </w:pPr>
            <w:r w:rsidRPr="00942F86">
              <w:rPr>
                <w:b/>
                <w:bCs/>
                <w:sz w:val="25"/>
                <w:szCs w:val="25"/>
              </w:rPr>
              <w:t>Allowed Amounts to Amortize in Schedule 92</w:t>
            </w:r>
          </w:p>
        </w:tc>
      </w:tr>
      <w:tr w:rsidR="00194A9B" w:rsidRPr="00942F86" w14:paraId="5C9478AA" w14:textId="77777777" w:rsidTr="00194A9B">
        <w:trPr>
          <w:trHeight w:val="720"/>
        </w:trPr>
        <w:tc>
          <w:tcPr>
            <w:tcW w:w="0" w:type="auto"/>
            <w:tcBorders>
              <w:top w:val="thinThickThinSmallGap" w:sz="24" w:space="0" w:color="auto"/>
            </w:tcBorders>
            <w:vAlign w:val="center"/>
          </w:tcPr>
          <w:p w14:paraId="56FAEF76" w14:textId="2D7EAD01" w:rsidR="00334888" w:rsidRPr="00942F86" w:rsidRDefault="00334888" w:rsidP="000455AC">
            <w:pPr>
              <w:keepNext/>
              <w:keepLines/>
              <w:spacing w:line="264" w:lineRule="auto"/>
              <w:jc w:val="center"/>
              <w:rPr>
                <w:b/>
                <w:bCs/>
                <w:sz w:val="25"/>
                <w:szCs w:val="25"/>
              </w:rPr>
            </w:pPr>
            <w:r w:rsidRPr="00942F86">
              <w:rPr>
                <w:b/>
                <w:bCs/>
                <w:sz w:val="25"/>
                <w:szCs w:val="25"/>
              </w:rPr>
              <w:t>Colstrip Deferral (UE-131384)</w:t>
            </w:r>
          </w:p>
        </w:tc>
        <w:tc>
          <w:tcPr>
            <w:tcW w:w="0" w:type="auto"/>
            <w:tcBorders>
              <w:top w:val="thinThickThinSmallGap" w:sz="24" w:space="0" w:color="auto"/>
            </w:tcBorders>
            <w:vAlign w:val="center"/>
          </w:tcPr>
          <w:p w14:paraId="73C16033" w14:textId="77777777" w:rsidR="00334888" w:rsidRPr="00942F86" w:rsidRDefault="00334888" w:rsidP="000455AC">
            <w:pPr>
              <w:keepNext/>
              <w:keepLines/>
              <w:spacing w:line="264" w:lineRule="auto"/>
              <w:jc w:val="center"/>
              <w:rPr>
                <w:b/>
                <w:bCs/>
                <w:sz w:val="25"/>
                <w:szCs w:val="25"/>
              </w:rPr>
            </w:pPr>
            <w:r w:rsidRPr="00942F86">
              <w:rPr>
                <w:b/>
                <w:bCs/>
                <w:sz w:val="25"/>
                <w:szCs w:val="25"/>
              </w:rPr>
              <w:t>$0.00</w:t>
            </w:r>
          </w:p>
        </w:tc>
      </w:tr>
      <w:tr w:rsidR="00194A9B" w:rsidRPr="00942F86" w14:paraId="20754E64" w14:textId="77777777" w:rsidTr="00194A9B">
        <w:trPr>
          <w:trHeight w:val="720"/>
        </w:trPr>
        <w:tc>
          <w:tcPr>
            <w:tcW w:w="0" w:type="auto"/>
            <w:vAlign w:val="center"/>
          </w:tcPr>
          <w:p w14:paraId="46E60094" w14:textId="6FBFCFE9" w:rsidR="00334888" w:rsidRPr="00942F86" w:rsidRDefault="00334888" w:rsidP="000455AC">
            <w:pPr>
              <w:keepNext/>
              <w:keepLines/>
              <w:spacing w:line="264" w:lineRule="auto"/>
              <w:jc w:val="center"/>
              <w:rPr>
                <w:b/>
                <w:bCs/>
                <w:sz w:val="25"/>
                <w:szCs w:val="25"/>
              </w:rPr>
            </w:pPr>
            <w:r w:rsidRPr="00942F86">
              <w:rPr>
                <w:b/>
                <w:bCs/>
                <w:sz w:val="25"/>
                <w:szCs w:val="25"/>
              </w:rPr>
              <w:t>Depreciation Deferral (UE-132350)</w:t>
            </w:r>
          </w:p>
        </w:tc>
        <w:tc>
          <w:tcPr>
            <w:tcW w:w="0" w:type="auto"/>
            <w:vAlign w:val="center"/>
          </w:tcPr>
          <w:p w14:paraId="00B0FA0C" w14:textId="77777777" w:rsidR="00334888" w:rsidRPr="00942F86" w:rsidRDefault="00334888" w:rsidP="000455AC">
            <w:pPr>
              <w:keepNext/>
              <w:keepLines/>
              <w:spacing w:line="264" w:lineRule="auto"/>
              <w:jc w:val="center"/>
              <w:rPr>
                <w:b/>
                <w:bCs/>
                <w:sz w:val="25"/>
                <w:szCs w:val="25"/>
              </w:rPr>
            </w:pPr>
            <w:r w:rsidRPr="00942F86">
              <w:rPr>
                <w:b/>
                <w:bCs/>
                <w:sz w:val="25"/>
                <w:szCs w:val="25"/>
              </w:rPr>
              <w:t>($877,345)</w:t>
            </w:r>
          </w:p>
        </w:tc>
      </w:tr>
      <w:tr w:rsidR="00194A9B" w:rsidRPr="00942F86" w14:paraId="05CBD7A4" w14:textId="77777777" w:rsidTr="00194A9B">
        <w:trPr>
          <w:trHeight w:val="720"/>
        </w:trPr>
        <w:tc>
          <w:tcPr>
            <w:tcW w:w="0" w:type="auto"/>
            <w:vAlign w:val="center"/>
          </w:tcPr>
          <w:p w14:paraId="4F4D165D" w14:textId="2C98019A" w:rsidR="00334888" w:rsidRPr="00942F86" w:rsidRDefault="00334888" w:rsidP="000455AC">
            <w:pPr>
              <w:keepNext/>
              <w:keepLines/>
              <w:spacing w:line="264" w:lineRule="auto"/>
              <w:jc w:val="center"/>
              <w:rPr>
                <w:b/>
                <w:bCs/>
                <w:sz w:val="25"/>
                <w:szCs w:val="25"/>
              </w:rPr>
            </w:pPr>
            <w:r w:rsidRPr="00942F86">
              <w:rPr>
                <w:b/>
                <w:bCs/>
                <w:sz w:val="25"/>
                <w:szCs w:val="25"/>
              </w:rPr>
              <w:t>Hydro Deferral (UE-140094)</w:t>
            </w:r>
          </w:p>
        </w:tc>
        <w:tc>
          <w:tcPr>
            <w:tcW w:w="0" w:type="auto"/>
            <w:vAlign w:val="center"/>
          </w:tcPr>
          <w:p w14:paraId="5B5FD06D" w14:textId="77777777" w:rsidR="00334888" w:rsidRPr="00942F86" w:rsidRDefault="00334888" w:rsidP="000455AC">
            <w:pPr>
              <w:keepNext/>
              <w:keepLines/>
              <w:spacing w:line="264" w:lineRule="auto"/>
              <w:jc w:val="center"/>
              <w:rPr>
                <w:b/>
                <w:bCs/>
                <w:sz w:val="25"/>
                <w:szCs w:val="25"/>
              </w:rPr>
            </w:pPr>
            <w:r w:rsidRPr="00942F86">
              <w:rPr>
                <w:b/>
                <w:bCs/>
                <w:sz w:val="25"/>
                <w:szCs w:val="25"/>
              </w:rPr>
              <w:t>$0.00</w:t>
            </w:r>
          </w:p>
        </w:tc>
      </w:tr>
      <w:tr w:rsidR="00194A9B" w:rsidRPr="00942F86" w14:paraId="5350AA48" w14:textId="77777777" w:rsidTr="00194A9B">
        <w:trPr>
          <w:trHeight w:val="720"/>
        </w:trPr>
        <w:tc>
          <w:tcPr>
            <w:tcW w:w="0" w:type="auto"/>
            <w:vAlign w:val="center"/>
          </w:tcPr>
          <w:p w14:paraId="781C7396" w14:textId="5E823068" w:rsidR="00334888" w:rsidRPr="00942F86" w:rsidRDefault="00334888" w:rsidP="000455AC">
            <w:pPr>
              <w:keepNext/>
              <w:keepLines/>
              <w:spacing w:line="264" w:lineRule="auto"/>
              <w:jc w:val="center"/>
              <w:rPr>
                <w:b/>
                <w:bCs/>
                <w:sz w:val="25"/>
                <w:szCs w:val="25"/>
              </w:rPr>
            </w:pPr>
            <w:r w:rsidRPr="00942F86">
              <w:rPr>
                <w:b/>
                <w:bCs/>
                <w:sz w:val="25"/>
                <w:szCs w:val="25"/>
              </w:rPr>
              <w:t xml:space="preserve">Merwin </w:t>
            </w:r>
            <w:r w:rsidR="00194A9B" w:rsidRPr="00942F86">
              <w:rPr>
                <w:b/>
                <w:bCs/>
                <w:sz w:val="25"/>
                <w:szCs w:val="25"/>
              </w:rPr>
              <w:t xml:space="preserve">Fish Collector Project </w:t>
            </w:r>
            <w:r w:rsidRPr="00942F86">
              <w:rPr>
                <w:b/>
                <w:bCs/>
                <w:sz w:val="25"/>
                <w:szCs w:val="25"/>
              </w:rPr>
              <w:t>Deferral (UE-140617)</w:t>
            </w:r>
          </w:p>
        </w:tc>
        <w:tc>
          <w:tcPr>
            <w:tcW w:w="0" w:type="auto"/>
            <w:vAlign w:val="center"/>
          </w:tcPr>
          <w:p w14:paraId="768B267E" w14:textId="09B0E2B4" w:rsidR="00334888" w:rsidRPr="00942F86" w:rsidRDefault="00334888" w:rsidP="00882789">
            <w:pPr>
              <w:keepNext/>
              <w:keepLines/>
              <w:spacing w:line="264" w:lineRule="auto"/>
              <w:jc w:val="center"/>
              <w:rPr>
                <w:b/>
                <w:bCs/>
                <w:sz w:val="25"/>
                <w:szCs w:val="25"/>
              </w:rPr>
            </w:pPr>
            <w:r w:rsidRPr="00942F86">
              <w:rPr>
                <w:b/>
                <w:bCs/>
                <w:sz w:val="25"/>
                <w:szCs w:val="25"/>
              </w:rPr>
              <w:t>$</w:t>
            </w:r>
            <w:r w:rsidR="00882789">
              <w:rPr>
                <w:b/>
                <w:bCs/>
                <w:sz w:val="24"/>
                <w:szCs w:val="24"/>
              </w:rPr>
              <w:t>529,312</w:t>
            </w:r>
          </w:p>
        </w:tc>
      </w:tr>
      <w:tr w:rsidR="00194A9B" w:rsidRPr="00942F86" w14:paraId="36E895F7" w14:textId="77777777" w:rsidTr="00194A9B">
        <w:trPr>
          <w:trHeight w:val="720"/>
        </w:trPr>
        <w:tc>
          <w:tcPr>
            <w:tcW w:w="0" w:type="auto"/>
            <w:vAlign w:val="center"/>
          </w:tcPr>
          <w:p w14:paraId="58A16565" w14:textId="77777777" w:rsidR="00334888" w:rsidRPr="00942F86" w:rsidRDefault="00334888" w:rsidP="000455AC">
            <w:pPr>
              <w:keepNext/>
              <w:keepLines/>
              <w:spacing w:line="264" w:lineRule="auto"/>
              <w:jc w:val="center"/>
              <w:rPr>
                <w:b/>
                <w:bCs/>
                <w:sz w:val="25"/>
                <w:szCs w:val="25"/>
              </w:rPr>
            </w:pPr>
            <w:r w:rsidRPr="00942F86">
              <w:rPr>
                <w:b/>
                <w:bCs/>
                <w:sz w:val="25"/>
                <w:szCs w:val="25"/>
              </w:rPr>
              <w:t>TOTAL</w:t>
            </w:r>
          </w:p>
        </w:tc>
        <w:tc>
          <w:tcPr>
            <w:tcW w:w="0" w:type="auto"/>
            <w:vAlign w:val="center"/>
          </w:tcPr>
          <w:p w14:paraId="42BBBA58" w14:textId="688447FE" w:rsidR="00334888" w:rsidRPr="00942F86" w:rsidRDefault="00334888" w:rsidP="00882789">
            <w:pPr>
              <w:keepNext/>
              <w:keepLines/>
              <w:spacing w:line="264" w:lineRule="auto"/>
              <w:jc w:val="center"/>
              <w:rPr>
                <w:b/>
                <w:bCs/>
                <w:sz w:val="25"/>
                <w:szCs w:val="25"/>
              </w:rPr>
            </w:pPr>
            <w:r w:rsidRPr="00942F86">
              <w:rPr>
                <w:b/>
                <w:bCs/>
                <w:sz w:val="25"/>
                <w:szCs w:val="25"/>
              </w:rPr>
              <w:t>($</w:t>
            </w:r>
            <w:r w:rsidR="00882789">
              <w:rPr>
                <w:b/>
                <w:bCs/>
                <w:sz w:val="24"/>
                <w:szCs w:val="24"/>
              </w:rPr>
              <w:t>348,033</w:t>
            </w:r>
            <w:r w:rsidRPr="00942F86">
              <w:rPr>
                <w:b/>
                <w:bCs/>
                <w:sz w:val="25"/>
                <w:szCs w:val="25"/>
              </w:rPr>
              <w:t>)</w:t>
            </w:r>
          </w:p>
        </w:tc>
      </w:tr>
    </w:tbl>
    <w:p w14:paraId="13CDEFF6" w14:textId="77777777" w:rsidR="00334888" w:rsidRPr="00942F86" w:rsidRDefault="00334888" w:rsidP="000455AC">
      <w:pPr>
        <w:keepNext/>
        <w:keepLines/>
        <w:spacing w:line="264" w:lineRule="auto"/>
        <w:jc w:val="center"/>
        <w:rPr>
          <w:b/>
          <w:bCs/>
          <w:sz w:val="25"/>
          <w:szCs w:val="25"/>
        </w:rPr>
      </w:pPr>
    </w:p>
    <w:p w14:paraId="42D047AA" w14:textId="77777777" w:rsidR="00400C1F" w:rsidRPr="00942F86" w:rsidRDefault="00400C1F" w:rsidP="000455AC">
      <w:pPr>
        <w:keepNext/>
        <w:keepLines/>
        <w:spacing w:line="264" w:lineRule="auto"/>
        <w:jc w:val="center"/>
        <w:rPr>
          <w:b/>
          <w:sz w:val="25"/>
          <w:szCs w:val="25"/>
        </w:rPr>
      </w:pPr>
    </w:p>
    <w:sectPr w:rsidR="00400C1F" w:rsidRPr="00942F86" w:rsidSect="0088324B">
      <w:pgSz w:w="12240" w:h="15840" w:code="1"/>
      <w:pgMar w:top="1440" w:right="1440" w:bottom="1440" w:left="2160" w:header="1440" w:footer="720" w:gutter="0"/>
      <w:paperSrc w:first="1025" w:other="1025"/>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9405E" w14:textId="77777777" w:rsidR="00EA3F7E" w:rsidRDefault="00EA3F7E">
      <w:r>
        <w:separator/>
      </w:r>
    </w:p>
  </w:endnote>
  <w:endnote w:type="continuationSeparator" w:id="0">
    <w:p w14:paraId="5249D7E5" w14:textId="77777777" w:rsidR="00EA3F7E" w:rsidRDefault="00EA3F7E">
      <w:r>
        <w:continuationSeparator/>
      </w:r>
    </w:p>
  </w:endnote>
  <w:endnote w:type="continuationNotice" w:id="1">
    <w:p w14:paraId="603A8041" w14:textId="77777777" w:rsidR="00EA3F7E" w:rsidRDefault="00EA3F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39826" w14:textId="77777777" w:rsidR="00EA3F7E" w:rsidRDefault="00EA3F7E">
      <w:r>
        <w:separator/>
      </w:r>
    </w:p>
  </w:footnote>
  <w:footnote w:type="continuationSeparator" w:id="0">
    <w:p w14:paraId="4793DBE3" w14:textId="77777777" w:rsidR="00EA3F7E" w:rsidRDefault="00EA3F7E">
      <w:r>
        <w:continuationSeparator/>
      </w:r>
    </w:p>
  </w:footnote>
  <w:footnote w:type="continuationNotice" w:id="1">
    <w:p w14:paraId="62484A96" w14:textId="77777777" w:rsidR="00EA3F7E" w:rsidRDefault="00EA3F7E"/>
  </w:footnote>
  <w:footnote w:id="2">
    <w:p w14:paraId="31999FA1" w14:textId="77777777" w:rsidR="00EA3F7E" w:rsidRDefault="00EA3F7E" w:rsidP="000302A8">
      <w:pPr>
        <w:pStyle w:val="FootnoteText"/>
      </w:pPr>
      <w:r>
        <w:rPr>
          <w:rStyle w:val="FootnoteReference"/>
        </w:rPr>
        <w:footnoteRef/>
      </w:r>
      <w:r>
        <w:t xml:space="preserve"> </w:t>
      </w:r>
      <w:hyperlink r:id="rId1" w:history="1">
        <w:r w:rsidRPr="00BD42CD">
          <w:rPr>
            <w:rStyle w:val="Hyperlink"/>
            <w:color w:val="auto"/>
            <w:u w:val="none"/>
            <w:lang w:val="en"/>
          </w:rPr>
          <w:t>Pub.L. 95–617</w:t>
        </w:r>
      </w:hyperlink>
      <w:r w:rsidRPr="00A9156B">
        <w:rPr>
          <w:lang w:val="en"/>
        </w:rPr>
        <w:t>, 92 </w:t>
      </w:r>
      <w:hyperlink r:id="rId2" w:tooltip="United States Statutes at Large" w:history="1">
        <w:r w:rsidRPr="00BD42CD">
          <w:rPr>
            <w:rStyle w:val="Hyperlink"/>
            <w:color w:val="auto"/>
            <w:u w:val="none"/>
            <w:lang w:val="en"/>
          </w:rPr>
          <w:t>Stat.</w:t>
        </w:r>
      </w:hyperlink>
      <w:r w:rsidRPr="00BD42CD">
        <w:rPr>
          <w:lang w:val="en"/>
        </w:rPr>
        <w:t> </w:t>
      </w:r>
      <w:hyperlink r:id="rId3" w:history="1">
        <w:r w:rsidRPr="00BD42CD">
          <w:rPr>
            <w:rStyle w:val="Hyperlink"/>
            <w:color w:val="auto"/>
            <w:u w:val="none"/>
            <w:lang w:val="en"/>
          </w:rPr>
          <w:t>3117</w:t>
        </w:r>
      </w:hyperlink>
      <w:r w:rsidRPr="00A9156B">
        <w:rPr>
          <w:lang w:val="en"/>
        </w:rPr>
        <w:t xml:space="preserve"> </w:t>
      </w:r>
      <w:r>
        <w:rPr>
          <w:lang w:val="en"/>
        </w:rPr>
        <w:t>(</w:t>
      </w:r>
      <w:r w:rsidRPr="004D7909">
        <w:rPr>
          <w:lang w:val="en"/>
        </w:rPr>
        <w:t>enacted November 9, 1978)</w:t>
      </w:r>
      <w:r>
        <w:rPr>
          <w:lang w:val="en"/>
        </w:rPr>
        <w:t>.</w:t>
      </w:r>
    </w:p>
  </w:footnote>
  <w:footnote w:id="3">
    <w:p w14:paraId="1571A537" w14:textId="77777777" w:rsidR="00EA3F7E" w:rsidRDefault="00EA3F7E" w:rsidP="009510E1">
      <w:pPr>
        <w:pStyle w:val="FootnoteText"/>
      </w:pPr>
      <w:r>
        <w:rPr>
          <w:rStyle w:val="FootnoteReference"/>
        </w:rPr>
        <w:footnoteRef/>
      </w:r>
      <w:r>
        <w:t xml:space="preserve"> </w:t>
      </w:r>
      <w:r w:rsidRPr="00FF0336">
        <w:t>PacifiCorp was initially incorporated in 1910 under the laws of the state of Maine under the name Pacific Power &amp; Light Company. In 1984, Pacific Power &amp; Light Company changed its name to PacifiCorp. In 1989, it merged with Utah Power and Light Company, a Utah corporation, in a transaction wherein both corporations merged into a newly-formed Oregon corporation</w:t>
      </w:r>
      <w:r>
        <w:t xml:space="preserve"> that retained the</w:t>
      </w:r>
      <w:r w:rsidRPr="00FF0336">
        <w:t xml:space="preserve"> PacifiCorp</w:t>
      </w:r>
      <w:r>
        <w:t xml:space="preserve"> name</w:t>
      </w:r>
      <w:r w:rsidRPr="00FF0336">
        <w:t>.</w:t>
      </w:r>
      <w:r>
        <w:t xml:space="preserve"> </w:t>
      </w:r>
      <w:r w:rsidRPr="004D7D1F">
        <w:t>PacifiCorp delivers electricity to customers in Utah, Wyoming and Idaho under the trade name</w:t>
      </w:r>
      <w:r>
        <w:t xml:space="preserve"> of its operating division,</w:t>
      </w:r>
      <w:r w:rsidRPr="004D7D1F">
        <w:t xml:space="preserve"> Rocky Mountain Power</w:t>
      </w:r>
      <w:r>
        <w:t>,</w:t>
      </w:r>
      <w:r w:rsidRPr="004D7D1F">
        <w:t xml:space="preserve"> and to customers in Oregon, Washington and California under the trade name</w:t>
      </w:r>
      <w:r>
        <w:t xml:space="preserve"> of its operating division,</w:t>
      </w:r>
      <w:r w:rsidRPr="004D7D1F">
        <w:t xml:space="preserve"> Pacific Power. PacifiCorp's electric generation, commercial and trading, and coal mining functions are operated under the trade name</w:t>
      </w:r>
      <w:r>
        <w:t xml:space="preserve"> of its third principal operating division</w:t>
      </w:r>
      <w:r w:rsidRPr="004D7D1F">
        <w:t xml:space="preserve"> PacifiCorp Energy.</w:t>
      </w:r>
      <w:r>
        <w:t xml:space="preserve">  PacifiCorp is a wholly-owned subsidiary of Berkshire Hathaway Energy which, in turn, is wholly owned by its affiliate, Berkshire Hathaway.</w:t>
      </w:r>
    </w:p>
  </w:footnote>
  <w:footnote w:id="4">
    <w:p w14:paraId="43DBE827" w14:textId="43880037" w:rsidR="00EA3F7E" w:rsidRDefault="00EA3F7E" w:rsidP="009510E1">
      <w:pPr>
        <w:pStyle w:val="FootnoteText"/>
      </w:pPr>
      <w:r>
        <w:rPr>
          <w:rStyle w:val="FootnoteReference"/>
        </w:rPr>
        <w:footnoteRef/>
      </w:r>
      <w:r>
        <w:t xml:space="preserve"> Pacific Power increased its revenue request in its rebuttal testimony filed on November 14, 2014, to $31.9 million, “driven primarily by the Company’s net power cost update” and based on it requested 10 percent return on equity.  Dalley, Exh. No. RBD-3T at 1:15-17.  By the conclusion of the evidentiary hearing, Pacific Power’s request was at $30,398,178.</w:t>
      </w:r>
    </w:p>
  </w:footnote>
  <w:footnote w:id="5">
    <w:p w14:paraId="750D53CE" w14:textId="37D3C14C" w:rsidR="00EA3F7E" w:rsidRDefault="00EA3F7E">
      <w:pPr>
        <w:pStyle w:val="FootnoteText"/>
      </w:pPr>
      <w:r>
        <w:rPr>
          <w:rStyle w:val="FootnoteReference"/>
        </w:rPr>
        <w:footnoteRef/>
      </w:r>
      <w:r>
        <w:t xml:space="preserve"> </w:t>
      </w:r>
      <w:r w:rsidRPr="002249F1">
        <w:rPr>
          <w:i/>
        </w:rPr>
        <w:t>WUTC v. Pacific Power &amp; Light Co</w:t>
      </w:r>
      <w:r>
        <w:t>., Docket UE-140617, Order 01 (May 29, 2014).</w:t>
      </w:r>
    </w:p>
  </w:footnote>
  <w:footnote w:id="6">
    <w:p w14:paraId="0A926259" w14:textId="3A6E8A62" w:rsidR="00EA3F7E" w:rsidRDefault="00EA3F7E">
      <w:pPr>
        <w:pStyle w:val="FootnoteText"/>
      </w:pPr>
      <w:r>
        <w:rPr>
          <w:rStyle w:val="FootnoteReference"/>
        </w:rPr>
        <w:footnoteRef/>
      </w:r>
      <w:r>
        <w:t xml:space="preserve"> </w:t>
      </w:r>
      <w:r w:rsidRPr="001D25A1">
        <w:rPr>
          <w:szCs w:val="22"/>
        </w:rPr>
        <w:t xml:space="preserve">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Pr="001D25A1">
        <w:rPr>
          <w:i/>
          <w:szCs w:val="22"/>
        </w:rPr>
        <w:t xml:space="preserve">See </w:t>
      </w:r>
      <w:r w:rsidRPr="001D25A1">
        <w:rPr>
          <w:szCs w:val="22"/>
        </w:rPr>
        <w:t>RCW 34.05.455.</w:t>
      </w:r>
    </w:p>
  </w:footnote>
  <w:footnote w:id="7">
    <w:p w14:paraId="6665EA58" w14:textId="77777777" w:rsidR="00EA3F7E" w:rsidRPr="001D25A1" w:rsidRDefault="00EA3F7E">
      <w:pPr>
        <w:pStyle w:val="FootnoteText"/>
        <w:rPr>
          <w:szCs w:val="22"/>
        </w:rPr>
      </w:pPr>
      <w:r w:rsidRPr="001D25A1">
        <w:rPr>
          <w:rStyle w:val="FootnoteReference"/>
          <w:szCs w:val="22"/>
        </w:rPr>
        <w:footnoteRef/>
      </w:r>
      <w:r w:rsidRPr="001D25A1">
        <w:rPr>
          <w:szCs w:val="22"/>
        </w:rPr>
        <w:t xml:space="preserve"> The Columbia Rural Electric Association (CREA), represented by Irion Sanger, Davison Van Cleve, Portland, Oregon was granted leave to intervene in this proceeding under the “participation in the public interest” standard in WAC 480-07-355(3) in connection with a single issue that later was withdrawn from the case.  In its order granting </w:t>
      </w:r>
      <w:r>
        <w:rPr>
          <w:szCs w:val="22"/>
        </w:rPr>
        <w:t>Pacific Power</w:t>
      </w:r>
      <w:r w:rsidRPr="001D25A1">
        <w:rPr>
          <w:szCs w:val="22"/>
        </w:rPr>
        <w:t xml:space="preserve"> leave to withdraw the issue, the Commission dismissed CREA as an intervenor as provide</w:t>
      </w:r>
      <w:r>
        <w:rPr>
          <w:szCs w:val="22"/>
        </w:rPr>
        <w:t>d</w:t>
      </w:r>
      <w:r w:rsidRPr="001D25A1">
        <w:rPr>
          <w:szCs w:val="22"/>
        </w:rPr>
        <w:t xml:space="preserve"> in WAC 480-07-355(4).  </w:t>
      </w:r>
    </w:p>
  </w:footnote>
  <w:footnote w:id="8">
    <w:p w14:paraId="0C57276F" w14:textId="05225A97" w:rsidR="00EA3F7E" w:rsidRDefault="00EA3F7E">
      <w:pPr>
        <w:pStyle w:val="FootnoteText"/>
      </w:pPr>
      <w:r>
        <w:rPr>
          <w:rStyle w:val="FootnoteReference"/>
        </w:rPr>
        <w:footnoteRef/>
      </w:r>
      <w:r>
        <w:t xml:space="preserve"> </w:t>
      </w:r>
      <w:r w:rsidRPr="00CC696B">
        <w:rPr>
          <w:i/>
        </w:rPr>
        <w:t>See</w:t>
      </w:r>
      <w:r>
        <w:t xml:space="preserve"> RCW 80.04.220.</w:t>
      </w:r>
    </w:p>
  </w:footnote>
  <w:footnote w:id="9">
    <w:p w14:paraId="7FC1552A" w14:textId="513A84F0" w:rsidR="00EA3F7E" w:rsidRDefault="00EA3F7E">
      <w:pPr>
        <w:pStyle w:val="FootnoteText"/>
      </w:pPr>
      <w:r>
        <w:rPr>
          <w:rStyle w:val="FootnoteReference"/>
        </w:rPr>
        <w:footnoteRef/>
      </w:r>
      <w:r>
        <w:t xml:space="preserve"> </w:t>
      </w:r>
      <w:r w:rsidRPr="004D6154">
        <w:rPr>
          <w:i/>
        </w:rPr>
        <w:t>See</w:t>
      </w:r>
      <w:r>
        <w:t xml:space="preserve"> </w:t>
      </w:r>
      <w:r w:rsidRPr="004D6154">
        <w:rPr>
          <w:i/>
        </w:rPr>
        <w:t>In re WUTC Investigation into Energy Conservation Incentives,</w:t>
      </w:r>
      <w:r w:rsidRPr="004D6154">
        <w:t xml:space="preserve"> Docket U-100522, Report and Policy Statement on Regulatory Mechanisms, including Decoupling, To Encourage Utilities </w:t>
      </w:r>
      <w:r>
        <w:t>T</w:t>
      </w:r>
      <w:r w:rsidRPr="004D6154">
        <w:t>o Meet or Exceed Their Conservation Targets at (Nov. 4, 2010) (Decoupling Policy Statement).</w:t>
      </w:r>
    </w:p>
  </w:footnote>
  <w:footnote w:id="10">
    <w:p w14:paraId="03E47DAE" w14:textId="6EC2BD89" w:rsidR="00EA3F7E" w:rsidRPr="001D25A1" w:rsidRDefault="00EA3F7E" w:rsidP="002016A8">
      <w:pPr>
        <w:pStyle w:val="FootnoteText"/>
        <w:rPr>
          <w:szCs w:val="22"/>
        </w:rPr>
      </w:pPr>
      <w:r w:rsidRPr="001D25A1">
        <w:rPr>
          <w:rStyle w:val="FootnoteReference"/>
          <w:szCs w:val="22"/>
        </w:rPr>
        <w:footnoteRef/>
      </w:r>
      <w:r w:rsidRPr="001D25A1">
        <w:rPr>
          <w:szCs w:val="22"/>
        </w:rPr>
        <w:t xml:space="preserve"> These comments are identified in the formal record as Exhibit B-1.</w:t>
      </w:r>
    </w:p>
  </w:footnote>
  <w:footnote w:id="11">
    <w:p w14:paraId="6F6D0766" w14:textId="72AAF330" w:rsidR="00EA3F7E" w:rsidRDefault="00EA3F7E">
      <w:pPr>
        <w:pStyle w:val="FootnoteText"/>
      </w:pPr>
      <w:r>
        <w:rPr>
          <w:rStyle w:val="FootnoteReference"/>
        </w:rPr>
        <w:footnoteRef/>
      </w:r>
      <w:r>
        <w:t xml:space="preserve"> </w:t>
      </w:r>
      <w:r w:rsidRPr="00C25E0B">
        <w:t>RCW 80.01.040</w:t>
      </w:r>
      <w:r>
        <w:t xml:space="preserve"> (3).</w:t>
      </w:r>
    </w:p>
  </w:footnote>
  <w:footnote w:id="12">
    <w:p w14:paraId="6E4808F2" w14:textId="52B19230" w:rsidR="00EA3F7E" w:rsidRDefault="00EA3F7E">
      <w:pPr>
        <w:pStyle w:val="FootnoteText"/>
      </w:pPr>
      <w:r>
        <w:rPr>
          <w:rStyle w:val="FootnoteReference"/>
        </w:rPr>
        <w:footnoteRef/>
      </w:r>
      <w:r>
        <w:t xml:space="preserve"> </w:t>
      </w:r>
      <w:r w:rsidRPr="00A02608">
        <w:rPr>
          <w:i/>
        </w:rPr>
        <w:t>See supra</w:t>
      </w:r>
      <w:r>
        <w:t xml:space="preserve"> ¶ 11.</w:t>
      </w:r>
    </w:p>
  </w:footnote>
  <w:footnote w:id="13">
    <w:p w14:paraId="740F6D34" w14:textId="6DA6AFBF" w:rsidR="00EA3F7E" w:rsidRDefault="00EA3F7E">
      <w:pPr>
        <w:pStyle w:val="FootnoteText"/>
      </w:pPr>
      <w:r>
        <w:rPr>
          <w:rStyle w:val="FootnoteReference"/>
        </w:rPr>
        <w:footnoteRef/>
      </w:r>
      <w:r>
        <w:t xml:space="preserve"> RCW 80.28.020.</w:t>
      </w:r>
    </w:p>
  </w:footnote>
  <w:footnote w:id="14">
    <w:p w14:paraId="00E9DD15" w14:textId="794B9E1D" w:rsidR="00EA3F7E" w:rsidRDefault="00EA3F7E">
      <w:pPr>
        <w:pStyle w:val="FootnoteText"/>
      </w:pPr>
      <w:r>
        <w:rPr>
          <w:rStyle w:val="FootnoteReference"/>
        </w:rPr>
        <w:footnoteRef/>
      </w:r>
      <w:r>
        <w:t xml:space="preserve"> The seminal cases establishing the legal principles for utility rate regulation that have continued to guide ratemaking practice for 75 years refer to the “just and reasonable standard,” leaving “sufficient” as an implied constitutional condition for just and reasonable rates from the utility company’s perspective.  Thus, in </w:t>
      </w:r>
      <w:r w:rsidRPr="000D1538">
        <w:rPr>
          <w:i/>
        </w:rPr>
        <w:t xml:space="preserve">Fed. Power Comm 'n </w:t>
      </w:r>
      <w:r w:rsidRPr="005B7ED3">
        <w:rPr>
          <w:i/>
        </w:rPr>
        <w:t>v. Hope Nat. Gas Co.</w:t>
      </w:r>
      <w:r>
        <w:t xml:space="preserve">, 320 U.S. 591, 602-03 (1944), the Supreme Court stated that there are various “permissible ways in which any rate base on which the return is computed might be arrived at,” and it is constitutionally sound so long as the “result reached” by the regulator is just and reasonable from the company viewpoint.  </w:t>
      </w:r>
      <w:r w:rsidRPr="00D93438">
        <w:rPr>
          <w:i/>
        </w:rPr>
        <w:t>See also Fed. Power Comm’n v. Nat. Gas Pipeline Co.</w:t>
      </w:r>
      <w:r>
        <w:rPr>
          <w:i/>
        </w:rPr>
        <w:t>,</w:t>
      </w:r>
      <w:r>
        <w:t xml:space="preserve"> 315 U.S. 575, 586 (1942) (“[T]he just and reasonable standard . . . coincides with the applicable constitutional standards.”  The Court reaffirmed the “teachings of Hope” in </w:t>
      </w:r>
      <w:r w:rsidRPr="00C80ABA">
        <w:rPr>
          <w:i/>
        </w:rPr>
        <w:t>Duquesne Light Co. v. Barasch</w:t>
      </w:r>
      <w:r>
        <w:t xml:space="preserve">, 488 U.S. 299, 310 (1989). </w:t>
      </w:r>
    </w:p>
  </w:footnote>
  <w:footnote w:id="15">
    <w:p w14:paraId="281FFE88" w14:textId="7F7CB355" w:rsidR="00EA3F7E" w:rsidRDefault="00EA3F7E">
      <w:pPr>
        <w:pStyle w:val="FootnoteText"/>
      </w:pPr>
      <w:r>
        <w:rPr>
          <w:rStyle w:val="FootnoteReference"/>
        </w:rPr>
        <w:footnoteRef/>
      </w:r>
      <w:r>
        <w:t xml:space="preserve"> </w:t>
      </w:r>
      <w:r w:rsidRPr="004A63E6">
        <w:rPr>
          <w:i/>
        </w:rPr>
        <w:t>Hope</w:t>
      </w:r>
      <w:r>
        <w:t>, 320 U.S. at 602.  Expanding on this point, the Court said:</w:t>
      </w:r>
    </w:p>
    <w:p w14:paraId="04B06E1B" w14:textId="194415B9" w:rsidR="00EA3F7E" w:rsidRDefault="00EA3F7E" w:rsidP="004A63E6">
      <w:pPr>
        <w:pStyle w:val="FootnoteText"/>
        <w:ind w:left="720" w:right="720"/>
      </w:pPr>
      <w:r>
        <w:t>Under the statutory standard of ‘just and reasonable’ it is the result reached not the method employed which is controlling.  It is not theory but the impact of the rate order which counts.  If the total effect of the rate order cannot be said to be unjust and unreasonable, judicial inquiry under the Act is at an end.  The fact that the method employed to reach that result may contain infirmities is not then important.</w:t>
      </w:r>
    </w:p>
    <w:p w14:paraId="1A68EF64" w14:textId="77777777" w:rsidR="00EA3F7E" w:rsidRDefault="00EA3F7E" w:rsidP="00D62EF6">
      <w:pPr>
        <w:pStyle w:val="FootnoteText"/>
      </w:pPr>
      <w:r w:rsidRPr="004A63E6">
        <w:rPr>
          <w:i/>
        </w:rPr>
        <w:t>Id.</w:t>
      </w:r>
      <w:r>
        <w:t xml:space="preserve">  This language, embodying the familiar “end result” test, is universally recognized as an important guiding principle in utility ratemaking throughout the United States.  In a later case, the Supreme Court embraced the end result test and recognized a “zone of reasonableness” within which rates approved by a regulatory authority may not be set aside.  </w:t>
      </w:r>
      <w:r w:rsidRPr="00CE158E">
        <w:rPr>
          <w:i/>
        </w:rPr>
        <w:t>In re Permian Basin Area Rate Cases</w:t>
      </w:r>
      <w:r>
        <w:t>, 390 U.S. 747, 767 (1968).  The Washington Supreme Court, more recently yet, made clear the applicability of these principles in cases before this Commission:</w:t>
      </w:r>
    </w:p>
    <w:p w14:paraId="18E509A9" w14:textId="5E2C574A" w:rsidR="00EA3F7E" w:rsidRDefault="00EA3F7E" w:rsidP="00CE158E">
      <w:pPr>
        <w:pStyle w:val="FootnoteText"/>
        <w:ind w:left="720" w:right="720"/>
      </w:pPr>
      <w:r>
        <w:t xml:space="preserve">While modernly a reviewing court’s role in this State is delineated by the administrative procedure act . . . </w:t>
      </w:r>
      <w:r w:rsidRPr="00D62EF6">
        <w:rPr>
          <w:i/>
        </w:rPr>
        <w:t>Hope Natural Gas</w:t>
      </w:r>
      <w:r>
        <w:t xml:space="preserve"> and </w:t>
      </w:r>
      <w:r w:rsidRPr="00D62EF6">
        <w:rPr>
          <w:i/>
        </w:rPr>
        <w:t>Permian Basin</w:t>
      </w:r>
      <w:r>
        <w:t xml:space="preserve"> continue to provide guidance in the judicial review of rate cases; and it remains the law that courts are not at liberty to substitute their judgment for that of the Commission.</w:t>
      </w:r>
    </w:p>
    <w:p w14:paraId="7AF4B802" w14:textId="56999D17" w:rsidR="00EA3F7E" w:rsidRPr="004A63E6" w:rsidRDefault="00EA3F7E" w:rsidP="004A63E6">
      <w:pPr>
        <w:pStyle w:val="FootnoteText"/>
        <w:ind w:right="720"/>
      </w:pPr>
      <w:r w:rsidRPr="00CE158E">
        <w:rPr>
          <w:i/>
        </w:rPr>
        <w:t xml:space="preserve">People’s Org. for Wash. Energy Res. </w:t>
      </w:r>
      <w:r>
        <w:rPr>
          <w:i/>
        </w:rPr>
        <w:t>v</w:t>
      </w:r>
      <w:r w:rsidRPr="00CE158E">
        <w:rPr>
          <w:i/>
        </w:rPr>
        <w:t>. Utils. &amp; Transp. Comm’n,</w:t>
      </w:r>
      <w:r>
        <w:t xml:space="preserve"> 104 Wn. 2d 798, 812 (1985) (</w:t>
      </w:r>
      <w:r w:rsidRPr="00A120A4">
        <w:rPr>
          <w:i/>
        </w:rPr>
        <w:t>POWER</w:t>
      </w:r>
      <w:r>
        <w:t>).</w:t>
      </w:r>
    </w:p>
  </w:footnote>
  <w:footnote w:id="16">
    <w:p w14:paraId="344B0D17" w14:textId="77777777" w:rsidR="00EA3F7E" w:rsidRDefault="00EA3F7E" w:rsidP="00764268">
      <w:pPr>
        <w:pStyle w:val="FootnoteText"/>
      </w:pPr>
      <w:r>
        <w:rPr>
          <w:rStyle w:val="FootnoteReference"/>
        </w:rPr>
        <w:footnoteRef/>
      </w:r>
      <w:r>
        <w:t xml:space="preserve"> The rate year begins on the date the Commission authorizes or allows new rates to become effective.  This may be as early as 30 days after a company files revised tariff sheets.  </w:t>
      </w:r>
      <w:r w:rsidRPr="00CE7F44">
        <w:rPr>
          <w:i/>
        </w:rPr>
        <w:t>See</w:t>
      </w:r>
      <w:r>
        <w:t xml:space="preserve"> RCW 80.04.  Typically, however, when a company files a general rate case, the as-filed tariff sheets are suspended for a period of up to 10 months after their stated effective date and the benchmark effective date for revised rates to become effective is the day after the last day of the statutory suspension period.  In this case, the benchmark effective date is April 1, 2015.  Thus, the anticipated rate year in this case is April 1, 2015, through March 31, 2016.</w:t>
      </w:r>
    </w:p>
  </w:footnote>
  <w:footnote w:id="17">
    <w:p w14:paraId="3E4205DF" w14:textId="2D4219E9" w:rsidR="00EA3F7E" w:rsidRDefault="00EA3F7E" w:rsidP="00764268">
      <w:pPr>
        <w:pStyle w:val="FootnoteText"/>
      </w:pPr>
      <w:r>
        <w:rPr>
          <w:rStyle w:val="FootnoteReference"/>
        </w:rPr>
        <w:footnoteRef/>
      </w:r>
      <w:r>
        <w:t xml:space="preserve"> Reduced to a simple definition, rate base is the Commission-approved level of PSE’s investment in facilities plus the cash, or “working capital” supplied by investors that is used to fund the Company’s day-to-day operations.  The Commission follows the original cost less depreciation method when determining the value of a utility’s property that is used and useful in providing service to customers.</w:t>
      </w:r>
      <w:r w:rsidRPr="008A0FB5">
        <w:rPr>
          <w:i/>
        </w:rPr>
        <w:t xml:space="preserve"> </w:t>
      </w:r>
      <w:r>
        <w:rPr>
          <w:i/>
        </w:rPr>
        <w:t xml:space="preserve"> POWER</w:t>
      </w:r>
      <w:r>
        <w:t>, 104 Wn.2d at 828.</w:t>
      </w:r>
    </w:p>
  </w:footnote>
  <w:footnote w:id="18">
    <w:p w14:paraId="05E7FFAD" w14:textId="77777777" w:rsidR="00EA3F7E" w:rsidRPr="00857595" w:rsidRDefault="00EA3F7E" w:rsidP="00764268">
      <w:pPr>
        <w:pStyle w:val="FootnoteText"/>
      </w:pPr>
      <w:r>
        <w:rPr>
          <w:rStyle w:val="FootnoteReference"/>
        </w:rPr>
        <w:footnoteRef/>
      </w:r>
      <w:r>
        <w:t xml:space="preserve"> </w:t>
      </w:r>
      <w:r>
        <w:rPr>
          <w:i/>
        </w:rPr>
        <w:t>Id.</w:t>
      </w:r>
      <w:r>
        <w:t xml:space="preserve"> at 809.</w:t>
      </w:r>
    </w:p>
  </w:footnote>
  <w:footnote w:id="19">
    <w:p w14:paraId="30484426" w14:textId="77777777" w:rsidR="00EA3F7E" w:rsidRPr="00B3111F" w:rsidRDefault="00EA3F7E" w:rsidP="00764268">
      <w:pPr>
        <w:pStyle w:val="FootnoteText"/>
      </w:pPr>
      <w:r>
        <w:rPr>
          <w:rStyle w:val="FootnoteReference"/>
        </w:rPr>
        <w:footnoteRef/>
      </w:r>
      <w:r>
        <w:t xml:space="preserve"> </w:t>
      </w:r>
      <w:r>
        <w:rPr>
          <w:i/>
        </w:rPr>
        <w:t xml:space="preserve">See </w:t>
      </w:r>
      <w:r w:rsidRPr="003B26D1">
        <w:rPr>
          <w:i/>
        </w:rPr>
        <w:t>id</w:t>
      </w:r>
      <w:r>
        <w:rPr>
          <w:i/>
        </w:rPr>
        <w:t xml:space="preserve">. </w:t>
      </w:r>
      <w:r>
        <w:t>at 807-09</w:t>
      </w:r>
      <w:r>
        <w:rPr>
          <w:i/>
        </w:rPr>
        <w:t xml:space="preserve"> </w:t>
      </w:r>
      <w:r>
        <w:t>(describing ratemaking principles and process).</w:t>
      </w:r>
    </w:p>
  </w:footnote>
  <w:footnote w:id="20">
    <w:p w14:paraId="5F6B3766" w14:textId="5BE8CE18" w:rsidR="00EA3F7E" w:rsidRPr="004A7EB3" w:rsidRDefault="00EA3F7E" w:rsidP="00764268">
      <w:pPr>
        <w:pStyle w:val="FootnoteText"/>
      </w:pPr>
      <w:r w:rsidRPr="004A7EB3">
        <w:rPr>
          <w:rStyle w:val="FootnoteReference"/>
        </w:rPr>
        <w:footnoteRef/>
      </w:r>
      <w:r w:rsidRPr="004A7EB3">
        <w:t xml:space="preserve"> Regulatory agencies need not, and do not guarantee that a utility will recover its authorized return.  “A regulated [utility] has no constitutional right to a profit” and regulation does not even ensure that the regulated company will produce net revenues.  </w:t>
      </w:r>
      <w:r w:rsidRPr="004A7EB3">
        <w:rPr>
          <w:i/>
        </w:rPr>
        <w:t>Jersey Cent. Power &amp; Light Co. v. FERC,</w:t>
      </w:r>
      <w:r w:rsidRPr="004A7EB3">
        <w:t xml:space="preserve"> 810 F.2d 1168, 1180-81 (D.C. Cir. 1987) (</w:t>
      </w:r>
      <w:r w:rsidRPr="004A7EB3">
        <w:rPr>
          <w:i/>
        </w:rPr>
        <w:t>en banc</w:t>
      </w:r>
      <w:r w:rsidRPr="004A7EB3">
        <w:t xml:space="preserve">); </w:t>
      </w:r>
      <w:r w:rsidRPr="004A7EB3">
        <w:rPr>
          <w:i/>
        </w:rPr>
        <w:t xml:space="preserve">see also Nat. Gas Pipeline Co., 315 U.S. </w:t>
      </w:r>
      <w:r w:rsidRPr="004A7EB3">
        <w:t xml:space="preserve">at 590.  Indeed, a rate is not necessarily unlawful even if it results in the company operating at a loss so long as it gave the company the opportunity to operate at a profit when approved.   </w:t>
      </w:r>
    </w:p>
  </w:footnote>
  <w:footnote w:id="21">
    <w:p w14:paraId="7EF9D4B2" w14:textId="6AF76329" w:rsidR="00EA3F7E" w:rsidRPr="004A7EB3" w:rsidRDefault="00EA3F7E">
      <w:pPr>
        <w:pStyle w:val="FootnoteText"/>
      </w:pPr>
      <w:r w:rsidRPr="004A7EB3">
        <w:rPr>
          <w:rStyle w:val="FootnoteReference"/>
        </w:rPr>
        <w:footnoteRef/>
      </w:r>
      <w:r w:rsidRPr="004A7EB3">
        <w:t xml:space="preserve"> </w:t>
      </w:r>
      <w:r w:rsidRPr="004A7EB3">
        <w:rPr>
          <w:i/>
        </w:rPr>
        <w:t>Duquesne Light Co. v. Barasch</w:t>
      </w:r>
      <w:r w:rsidRPr="004A7EB3">
        <w:t>, 488 U.S. 299, 315-16 (1989).</w:t>
      </w:r>
    </w:p>
  </w:footnote>
  <w:footnote w:id="22">
    <w:p w14:paraId="41DFD674" w14:textId="61C837CB" w:rsidR="00EA3F7E" w:rsidRDefault="00EA3F7E" w:rsidP="00764268">
      <w:pPr>
        <w:pStyle w:val="FootnoteText"/>
      </w:pPr>
      <w:r w:rsidRPr="004A7EB3">
        <w:rPr>
          <w:rStyle w:val="FootnoteReference"/>
        </w:rPr>
        <w:footnoteRef/>
      </w:r>
      <w:r w:rsidRPr="004A7EB3">
        <w:t xml:space="preserve"> </w:t>
      </w:r>
      <w:r w:rsidRPr="004A7EB3">
        <w:rPr>
          <w:i/>
          <w:szCs w:val="22"/>
        </w:rPr>
        <w:t xml:space="preserve">See </w:t>
      </w:r>
      <w:r w:rsidRPr="004A7EB3">
        <w:rPr>
          <w:szCs w:val="22"/>
        </w:rPr>
        <w:t>Lowry, Mark Newton, Hovde, David Getachew,</w:t>
      </w:r>
      <w:r w:rsidR="00E00494">
        <w:rPr>
          <w:szCs w:val="22"/>
        </w:rPr>
        <w:t xml:space="preserve"> </w:t>
      </w:r>
      <w:r w:rsidRPr="004A7EB3">
        <w:rPr>
          <w:szCs w:val="22"/>
        </w:rPr>
        <w:t xml:space="preserve">Lullit’ Makos, Matt, Edison Electric Institute, </w:t>
      </w:r>
      <w:r w:rsidRPr="004A7EB3">
        <w:rPr>
          <w:i/>
          <w:szCs w:val="22"/>
        </w:rPr>
        <w:t>Forward Test Years for U.S. Electric Utilities</w:t>
      </w:r>
      <w:r w:rsidRPr="004A7EB3">
        <w:rPr>
          <w:szCs w:val="22"/>
        </w:rPr>
        <w:t>, August 2010</w:t>
      </w:r>
      <w:r w:rsidRPr="004A7EB3">
        <w:rPr>
          <w:b/>
          <w:bCs/>
          <w:szCs w:val="22"/>
        </w:rPr>
        <w:t>.</w:t>
      </w:r>
    </w:p>
  </w:footnote>
  <w:footnote w:id="23">
    <w:p w14:paraId="245E2F3B" w14:textId="77777777" w:rsidR="00EA3F7E" w:rsidRDefault="00EA3F7E" w:rsidP="00E44EF0">
      <w:pPr>
        <w:pStyle w:val="FootnoteText"/>
      </w:pPr>
      <w:r>
        <w:rPr>
          <w:rStyle w:val="FootnoteReference"/>
        </w:rPr>
        <w:footnoteRef/>
      </w:r>
      <w:r>
        <w:t xml:space="preserve"> Duvall, Exh. No. GND-4T at 8:5-9.</w:t>
      </w:r>
    </w:p>
  </w:footnote>
  <w:footnote w:id="24">
    <w:p w14:paraId="4D9AADF8" w14:textId="77777777" w:rsidR="00EA3F7E" w:rsidRPr="001D25A1" w:rsidRDefault="00EA3F7E" w:rsidP="00BC00AF">
      <w:pPr>
        <w:pStyle w:val="FootnoteText"/>
        <w:rPr>
          <w:szCs w:val="22"/>
        </w:rPr>
      </w:pPr>
      <w:r w:rsidRPr="001D25A1">
        <w:rPr>
          <w:rStyle w:val="FootnoteReference"/>
          <w:szCs w:val="22"/>
        </w:rPr>
        <w:footnoteRef/>
      </w:r>
      <w:r w:rsidRPr="001D25A1">
        <w:rPr>
          <w:szCs w:val="22"/>
        </w:rPr>
        <w:t xml:space="preserve"> The use of equity versus debt capital is also significant because of the impact of </w:t>
      </w:r>
      <w:r>
        <w:rPr>
          <w:szCs w:val="22"/>
        </w:rPr>
        <w:t>f</w:t>
      </w:r>
      <w:r w:rsidRPr="001D25A1">
        <w:rPr>
          <w:szCs w:val="22"/>
        </w:rPr>
        <w:t>ederal income taxes in the determination of a utility’s revenue requirement.  The additional revenue necessary to pay a higher return on equity must be supported by additional revenue from customers to pay Federal income taxes.  On the other hand, when financing with debt the utility can deduct its interest expense resulting in a reduction in the utility’s costs and revenue requirement, benefiting both customers and the utility.</w:t>
      </w:r>
    </w:p>
  </w:footnote>
  <w:footnote w:id="25">
    <w:p w14:paraId="4210F3F0" w14:textId="77777777" w:rsidR="00EA3F7E" w:rsidRPr="001D25A1" w:rsidRDefault="00EA3F7E" w:rsidP="00BC00AF">
      <w:pPr>
        <w:spacing w:after="120"/>
        <w:rPr>
          <w:sz w:val="22"/>
        </w:rPr>
      </w:pPr>
      <w:r w:rsidRPr="001D25A1">
        <w:rPr>
          <w:rStyle w:val="FootnoteReference"/>
          <w:sz w:val="22"/>
        </w:rPr>
        <w:footnoteRef/>
      </w:r>
      <w:r w:rsidRPr="001D25A1">
        <w:rPr>
          <w:sz w:val="22"/>
        </w:rPr>
        <w:t xml:space="preserve"> This simplified relationship assumes that the cost of equity does not vary with the equity ratio.  In fact, the cost of equity may decline as the equity ratio increases because financial risk declines. </w:t>
      </w:r>
      <w:r w:rsidRPr="001D25A1">
        <w:rPr>
          <w:i/>
          <w:sz w:val="22"/>
        </w:rPr>
        <w:t xml:space="preserve">See </w:t>
      </w:r>
      <w:r w:rsidRPr="001D25A1">
        <w:rPr>
          <w:sz w:val="22"/>
        </w:rPr>
        <w:t xml:space="preserve">1 Leonard Saul Goodman, </w:t>
      </w:r>
      <w:r w:rsidRPr="001D25A1">
        <w:rPr>
          <w:i/>
          <w:iCs/>
          <w:sz w:val="22"/>
        </w:rPr>
        <w:t xml:space="preserve">The Process of Ratemaking </w:t>
      </w:r>
      <w:r w:rsidRPr="001D25A1">
        <w:rPr>
          <w:iCs/>
          <w:sz w:val="22"/>
        </w:rPr>
        <w:t xml:space="preserve">642-43 </w:t>
      </w:r>
      <w:r w:rsidRPr="001D25A1">
        <w:rPr>
          <w:sz w:val="22"/>
        </w:rPr>
        <w:t>(1998).</w:t>
      </w:r>
    </w:p>
  </w:footnote>
  <w:footnote w:id="26">
    <w:p w14:paraId="0FB32C69" w14:textId="736D491D" w:rsidR="00EA3F7E" w:rsidRDefault="00EA3F7E">
      <w:pPr>
        <w:pStyle w:val="FootnoteText"/>
      </w:pPr>
      <w:r>
        <w:rPr>
          <w:rStyle w:val="FootnoteReference"/>
        </w:rPr>
        <w:footnoteRef/>
      </w:r>
      <w:r>
        <w:t xml:space="preserve"> The Commission, in Docket UE-132350, approved deferral of the resulting reduction in depreciation expense.</w:t>
      </w:r>
    </w:p>
  </w:footnote>
  <w:footnote w:id="27">
    <w:p w14:paraId="474A0FCB" w14:textId="77777777" w:rsidR="00EA3F7E" w:rsidRDefault="00EA3F7E" w:rsidP="00D076C5">
      <w:pPr>
        <w:pStyle w:val="FootnoteText"/>
      </w:pPr>
      <w:r>
        <w:rPr>
          <w:rStyle w:val="FootnoteReference"/>
        </w:rPr>
        <w:footnoteRef/>
      </w:r>
      <w:r>
        <w:t xml:space="preserve"> The prior dockets are UE</w:t>
      </w:r>
      <w:r>
        <w:noBreakHyphen/>
        <w:t>032065 (2003/2004), UE-050684 (2005/2006), UE</w:t>
      </w:r>
      <w:r>
        <w:noBreakHyphen/>
        <w:t>061546 (2006/2007), UE-080220 (2008), UE-090205 (2009), UE-100749 (2010/2011), UE-111190 (2011/2012), and UE-130043 (2013/2014).</w:t>
      </w:r>
    </w:p>
  </w:footnote>
  <w:footnote w:id="28">
    <w:p w14:paraId="6492765B" w14:textId="72BA462A" w:rsidR="00EA3F7E" w:rsidRDefault="00EA3F7E">
      <w:pPr>
        <w:pStyle w:val="FootnoteText"/>
      </w:pPr>
      <w:r>
        <w:rPr>
          <w:rStyle w:val="FootnoteReference"/>
        </w:rPr>
        <w:footnoteRef/>
      </w:r>
      <w:r>
        <w:t xml:space="preserve"> The Commission rejected the Company’s 2005 tariff filing.  </w:t>
      </w:r>
      <w:r w:rsidRPr="00AF505C">
        <w:rPr>
          <w:i/>
        </w:rPr>
        <w:t>Utilities &amp; Transp. Comm’n v. PacifiCorp d/b/a Pacific Power &amp; Light</w:t>
      </w:r>
      <w:r w:rsidRPr="00AF505C">
        <w:t>,</w:t>
      </w:r>
      <w:r>
        <w:t xml:space="preserve"> Docket UE-050684, Order 04 (April 17, 2006).  The Commission’s order in Docket UE-050684 is significant in the context of this case because it rejected the use of the Revised Protocol inter-jurisdictional cost allocation methodology in this state, rejected a decoupling proposal by the Company and Natural Resource Defense Council because it lacked </w:t>
      </w:r>
      <w:r w:rsidRPr="00D076C5">
        <w:t xml:space="preserve">necessary operational details and </w:t>
      </w:r>
      <w:r>
        <w:t>was otherwise</w:t>
      </w:r>
      <w:r w:rsidRPr="00D076C5">
        <w:t xml:space="preserve"> insufficient</w:t>
      </w:r>
      <w:r>
        <w:t xml:space="preserve">ly developed, and rejected the Company’ proposed Power Cost Adjustment Mechanism because it failed to </w:t>
      </w:r>
      <w:r w:rsidRPr="003F32C6">
        <w:t>focus on short-term costs subject to market volatility or other extraordinary events beyond the Company’s control</w:t>
      </w:r>
      <w:r>
        <w:t>,</w:t>
      </w:r>
      <w:r w:rsidRPr="003F32C6">
        <w:t xml:space="preserve"> include</w:t>
      </w:r>
      <w:r>
        <w:t>d</w:t>
      </w:r>
      <w:r w:rsidRPr="003F32C6">
        <w:t xml:space="preserve"> costs for new generation</w:t>
      </w:r>
      <w:r>
        <w:t xml:space="preserve">, and failed to </w:t>
      </w:r>
      <w:r w:rsidRPr="00D076C5">
        <w:t>balance</w:t>
      </w:r>
      <w:r>
        <w:t xml:space="preserve"> adequately through the use of dead bands and sharing bands</w:t>
      </w:r>
      <w:r w:rsidRPr="00D076C5">
        <w:t xml:space="preserve"> the </w:t>
      </w:r>
      <w:r>
        <w:t xml:space="preserve">shared </w:t>
      </w:r>
      <w:r w:rsidRPr="00D076C5">
        <w:t xml:space="preserve">risks and benefits </w:t>
      </w:r>
      <w:r>
        <w:t>borne by</w:t>
      </w:r>
      <w:r w:rsidRPr="00D076C5">
        <w:t xml:space="preserve"> shareholders and ratepayers.</w:t>
      </w:r>
      <w:r>
        <w:t xml:space="preserve"> </w:t>
      </w:r>
    </w:p>
  </w:footnote>
  <w:footnote w:id="29">
    <w:p w14:paraId="3BC417B8" w14:textId="55593718" w:rsidR="00EA3F7E" w:rsidRDefault="00EA3F7E" w:rsidP="00AF505C">
      <w:pPr>
        <w:pStyle w:val="FootnoteText"/>
      </w:pPr>
      <w:r>
        <w:rPr>
          <w:rStyle w:val="FootnoteReference"/>
        </w:rPr>
        <w:footnoteRef/>
      </w:r>
      <w:r>
        <w:t xml:space="preserve"> </w:t>
      </w:r>
      <w:r w:rsidRPr="00AF505C">
        <w:rPr>
          <w:i/>
        </w:rPr>
        <w:t>Utilities &amp; Transp. Comm’n v. PacifiCorp d/b/a Pacific Power &amp; Light</w:t>
      </w:r>
      <w:r w:rsidRPr="00AF505C">
        <w:t>,</w:t>
      </w:r>
      <w:r>
        <w:t xml:space="preserve"> Docket UE-130043, Order 05 </w:t>
      </w:r>
      <w:r w:rsidRPr="00AF505C">
        <w:t>(December 4, 2013)</w:t>
      </w:r>
      <w:r>
        <w:t>.</w:t>
      </w:r>
    </w:p>
  </w:footnote>
  <w:footnote w:id="30">
    <w:p w14:paraId="33B019F6" w14:textId="366ED1D3" w:rsidR="00EA3F7E" w:rsidRDefault="00EA3F7E">
      <w:pPr>
        <w:pStyle w:val="FootnoteText"/>
      </w:pPr>
      <w:r>
        <w:rPr>
          <w:rStyle w:val="FootnoteReference"/>
        </w:rPr>
        <w:footnoteRef/>
      </w:r>
      <w:r>
        <w:t xml:space="preserve"> </w:t>
      </w:r>
      <w:hyperlink r:id="rId4" w:history="1">
        <w:r w:rsidRPr="00BD42CD">
          <w:rPr>
            <w:rStyle w:val="Hyperlink"/>
            <w:color w:val="auto"/>
            <w:u w:val="none"/>
            <w:lang w:val="en"/>
          </w:rPr>
          <w:t>Pub.L. 95–617</w:t>
        </w:r>
      </w:hyperlink>
      <w:r w:rsidRPr="00A9156B">
        <w:rPr>
          <w:lang w:val="en"/>
        </w:rPr>
        <w:t>, 92 </w:t>
      </w:r>
      <w:hyperlink r:id="rId5" w:tooltip="United States Statutes at Large" w:history="1">
        <w:r w:rsidRPr="00BD42CD">
          <w:rPr>
            <w:rStyle w:val="Hyperlink"/>
            <w:color w:val="auto"/>
            <w:u w:val="none"/>
            <w:lang w:val="en"/>
          </w:rPr>
          <w:t>Stat.</w:t>
        </w:r>
      </w:hyperlink>
      <w:r w:rsidRPr="00BD42CD">
        <w:rPr>
          <w:lang w:val="en"/>
        </w:rPr>
        <w:t> </w:t>
      </w:r>
      <w:hyperlink r:id="rId6" w:history="1">
        <w:r w:rsidRPr="00BD42CD">
          <w:rPr>
            <w:rStyle w:val="Hyperlink"/>
            <w:color w:val="auto"/>
            <w:u w:val="none"/>
            <w:lang w:val="en"/>
          </w:rPr>
          <w:t>3117</w:t>
        </w:r>
      </w:hyperlink>
      <w:r w:rsidRPr="00A9156B">
        <w:rPr>
          <w:lang w:val="en"/>
        </w:rPr>
        <w:t xml:space="preserve"> </w:t>
      </w:r>
      <w:r>
        <w:rPr>
          <w:lang w:val="en"/>
        </w:rPr>
        <w:t>(</w:t>
      </w:r>
      <w:r w:rsidRPr="004D7909">
        <w:rPr>
          <w:lang w:val="en"/>
        </w:rPr>
        <w:t>enacted November 9, 1978)</w:t>
      </w:r>
      <w:r>
        <w:rPr>
          <w:lang w:val="en"/>
        </w:rPr>
        <w:t>.</w:t>
      </w:r>
    </w:p>
  </w:footnote>
  <w:footnote w:id="31">
    <w:p w14:paraId="58AFC8F3" w14:textId="0BD87B5E" w:rsidR="00EA3F7E" w:rsidRDefault="00EA3F7E" w:rsidP="002E336C">
      <w:pPr>
        <w:spacing w:after="120"/>
      </w:pPr>
      <w:r>
        <w:rPr>
          <w:rStyle w:val="FootnoteReference"/>
        </w:rPr>
        <w:footnoteRef/>
      </w:r>
      <w:r w:rsidRPr="005F43A6">
        <w:rPr>
          <w:rFonts w:eastAsiaTheme="minorHAnsi"/>
          <w:i/>
          <w:sz w:val="22"/>
          <w:szCs w:val="22"/>
        </w:rPr>
        <w:t>Pacifi</w:t>
      </w:r>
      <w:r>
        <w:rPr>
          <w:rFonts w:eastAsiaTheme="minorHAnsi"/>
          <w:i/>
          <w:sz w:val="22"/>
          <w:szCs w:val="22"/>
        </w:rPr>
        <w:t>C</w:t>
      </w:r>
      <w:r w:rsidRPr="005F43A6">
        <w:rPr>
          <w:rFonts w:eastAsiaTheme="minorHAnsi"/>
          <w:i/>
          <w:sz w:val="22"/>
          <w:szCs w:val="22"/>
        </w:rPr>
        <w:t xml:space="preserve">orp d/b/a Pacific Power &amp; Light Company </w:t>
      </w:r>
      <w:r w:rsidRPr="005F43A6">
        <w:rPr>
          <w:rFonts w:eastAsiaTheme="minorHAnsi"/>
          <w:sz w:val="22"/>
          <w:szCs w:val="22"/>
        </w:rPr>
        <w:t xml:space="preserve">v. </w:t>
      </w:r>
      <w:r w:rsidRPr="005F43A6">
        <w:rPr>
          <w:rFonts w:eastAsiaTheme="minorHAnsi"/>
          <w:i/>
          <w:sz w:val="22"/>
          <w:szCs w:val="22"/>
        </w:rPr>
        <w:t>Washington Utilities and Transportation  Commission</w:t>
      </w:r>
      <w:r w:rsidRPr="005F43A6">
        <w:rPr>
          <w:rFonts w:eastAsiaTheme="minorHAnsi"/>
          <w:sz w:val="22"/>
          <w:szCs w:val="22"/>
        </w:rPr>
        <w:t xml:space="preserve">, </w:t>
      </w:r>
      <w:r w:rsidRPr="005F43A6">
        <w:rPr>
          <w:rFonts w:eastAsiaTheme="minorHAnsi"/>
          <w:i/>
          <w:sz w:val="22"/>
          <w:szCs w:val="22"/>
        </w:rPr>
        <w:t>Public Counsel Division of the Washington State Office of the Attorney General</w:t>
      </w:r>
      <w:r w:rsidRPr="005F43A6">
        <w:rPr>
          <w:rFonts w:eastAsiaTheme="minorHAnsi"/>
          <w:sz w:val="22"/>
          <w:szCs w:val="22"/>
        </w:rPr>
        <w:t xml:space="preserve"> and, </w:t>
      </w:r>
      <w:r w:rsidRPr="005F43A6">
        <w:rPr>
          <w:rFonts w:eastAsiaTheme="minorHAnsi"/>
          <w:i/>
          <w:sz w:val="22"/>
          <w:szCs w:val="22"/>
        </w:rPr>
        <w:t>Packaging Corporation of America f/k/a Boise White Paper, L.L.C</w:t>
      </w:r>
      <w:r w:rsidRPr="005F43A6">
        <w:rPr>
          <w:rFonts w:eastAsiaTheme="minorHAnsi"/>
          <w:sz w:val="22"/>
          <w:szCs w:val="22"/>
        </w:rPr>
        <w:t>.,</w:t>
      </w:r>
      <w:r>
        <w:rPr>
          <w:rFonts w:eastAsiaTheme="minorHAnsi"/>
          <w:sz w:val="22"/>
          <w:szCs w:val="22"/>
        </w:rPr>
        <w:t xml:space="preserve"> </w:t>
      </w:r>
      <w:r>
        <w:rPr>
          <w:sz w:val="23"/>
          <w:szCs w:val="23"/>
        </w:rPr>
        <w:t>No</w:t>
      </w:r>
      <w:r w:rsidRPr="005F43A6">
        <w:rPr>
          <w:sz w:val="23"/>
          <w:szCs w:val="23"/>
        </w:rPr>
        <w:t>.</w:t>
      </w:r>
      <w:r w:rsidRPr="005F43A6">
        <w:rPr>
          <w:spacing w:val="24"/>
          <w:sz w:val="23"/>
          <w:szCs w:val="23"/>
        </w:rPr>
        <w:t xml:space="preserve"> </w:t>
      </w:r>
      <w:r w:rsidRPr="005F43A6">
        <w:rPr>
          <w:w w:val="103"/>
          <w:sz w:val="23"/>
          <w:szCs w:val="23"/>
        </w:rPr>
        <w:t>46009-2-II</w:t>
      </w:r>
      <w:r>
        <w:rPr>
          <w:w w:val="103"/>
          <w:sz w:val="23"/>
          <w:szCs w:val="23"/>
        </w:rPr>
        <w:t>.</w:t>
      </w:r>
    </w:p>
  </w:footnote>
  <w:footnote w:id="32">
    <w:p w14:paraId="720DB47D" w14:textId="0998E889" w:rsidR="00EA3F7E" w:rsidRDefault="00EA3F7E">
      <w:pPr>
        <w:pStyle w:val="FootnoteText"/>
      </w:pPr>
      <w:r>
        <w:rPr>
          <w:rStyle w:val="FootnoteReference"/>
        </w:rPr>
        <w:footnoteRef/>
      </w:r>
      <w:r>
        <w:t xml:space="preserve"> </w:t>
      </w:r>
      <w:r w:rsidRPr="00082E2F">
        <w:rPr>
          <w:i/>
        </w:rPr>
        <w:t>See</w:t>
      </w:r>
      <w:r>
        <w:t xml:space="preserve"> </w:t>
      </w:r>
      <w:r w:rsidRPr="00AF505C">
        <w:rPr>
          <w:i/>
        </w:rPr>
        <w:t>Utilities &amp; Transp. Comm’n v. PacifiCorp d/b/a Pacific Power &amp; Light</w:t>
      </w:r>
      <w:r w:rsidRPr="001D25A1">
        <w:rPr>
          <w:szCs w:val="22"/>
        </w:rPr>
        <w:t>, Dockets UE-061546 and UE-060817 (consolidated), Order 08</w:t>
      </w:r>
      <w:r>
        <w:rPr>
          <w:szCs w:val="22"/>
        </w:rPr>
        <w:t xml:space="preserve"> ¶¶ 43-58, </w:t>
      </w:r>
      <w:r w:rsidRPr="001D25A1">
        <w:rPr>
          <w:szCs w:val="22"/>
        </w:rPr>
        <w:t xml:space="preserve"> (June 21, 2007)</w:t>
      </w:r>
    </w:p>
  </w:footnote>
  <w:footnote w:id="33">
    <w:p w14:paraId="63468054" w14:textId="4404BB94" w:rsidR="00EA3F7E" w:rsidRDefault="00EA3F7E">
      <w:pPr>
        <w:pStyle w:val="FootnoteText"/>
      </w:pPr>
      <w:r>
        <w:rPr>
          <w:rStyle w:val="FootnoteReference"/>
        </w:rPr>
        <w:footnoteRef/>
      </w:r>
      <w:r>
        <w:t xml:space="preserve"> Neither Pacific Power nor its parent, PacifiCorp, are publicly listed or traded on the stock exchanges.  It thus is something of a stretch to conceive of either corporation having an “actual” capital structure.  PacifiCorp’s capital structure is controlled entirely by its owner, Berkshire Hathaway Energy, presumably to benefit BHE.  This fact is evidenced in this case by Mr. Dalley’s and Mr. Williams’ testimony that PacifiCorp, after retaining 100 percent of its earnings since the time of its acquisition by BHE, recently began providing significant dividends up to BHE.  While retaining earnings and other practices have inflated the level of equity on PacifiCorp’s books since the time it was acquired by BHE, dividend payments will reduce the amount of equity on the Company’s books.  According to Mr. Williams, the corporate plan is to reduce the equity share at PacifiCorp to “about 50 percent.”  </w:t>
      </w:r>
      <w:r w:rsidRPr="00A120A4">
        <w:rPr>
          <w:i/>
        </w:rPr>
        <w:t>See</w:t>
      </w:r>
      <w:r>
        <w:t xml:space="preserve"> TR. 326:24-328:7.</w:t>
      </w:r>
    </w:p>
  </w:footnote>
  <w:footnote w:id="34">
    <w:p w14:paraId="44CFD8A4" w14:textId="1FE9DD07" w:rsidR="00EA3F7E" w:rsidRDefault="00EA3F7E">
      <w:pPr>
        <w:pStyle w:val="FootnoteText"/>
      </w:pPr>
      <w:r>
        <w:rPr>
          <w:rStyle w:val="FootnoteReference"/>
        </w:rPr>
        <w:footnoteRef/>
      </w:r>
      <w:r>
        <w:t xml:space="preserve"> Pacific Power Initial Brief ¶ 129.</w:t>
      </w:r>
    </w:p>
  </w:footnote>
  <w:footnote w:id="35">
    <w:p w14:paraId="74B6DB00" w14:textId="77777777" w:rsidR="00EA3F7E" w:rsidRDefault="00EA3F7E">
      <w:pPr>
        <w:pStyle w:val="FootnoteText"/>
      </w:pPr>
      <w:r>
        <w:rPr>
          <w:rStyle w:val="FootnoteReference"/>
        </w:rPr>
        <w:footnoteRef/>
      </w:r>
      <w:r>
        <w:t xml:space="preserve"> </w:t>
      </w:r>
      <w:r w:rsidRPr="00B36D85">
        <w:rPr>
          <w:i/>
        </w:rPr>
        <w:t>Id.</w:t>
      </w:r>
    </w:p>
  </w:footnote>
  <w:footnote w:id="36">
    <w:p w14:paraId="25FC7D85" w14:textId="69D124F7" w:rsidR="00EA3F7E" w:rsidRDefault="00EA3F7E">
      <w:pPr>
        <w:pStyle w:val="FootnoteText"/>
      </w:pPr>
      <w:r>
        <w:rPr>
          <w:rStyle w:val="FootnoteReference"/>
        </w:rPr>
        <w:footnoteRef/>
      </w:r>
      <w:r>
        <w:t xml:space="preserve"> Public Counsel Initial Brief ¶¶ 54-55; Ramas, Exh. No. DMR-1CTr at 20:20-22.</w:t>
      </w:r>
    </w:p>
  </w:footnote>
  <w:footnote w:id="37">
    <w:p w14:paraId="62682E28" w14:textId="21D1383F" w:rsidR="00EA3F7E" w:rsidRDefault="00EA3F7E">
      <w:pPr>
        <w:pStyle w:val="FootnoteText"/>
      </w:pPr>
      <w:r>
        <w:rPr>
          <w:rStyle w:val="FootnoteReference"/>
        </w:rPr>
        <w:footnoteRef/>
      </w:r>
      <w:r>
        <w:t xml:space="preserve"> Pacific Power Initial Brief ¶ 130 (citing </w:t>
      </w:r>
      <w:r>
        <w:rPr>
          <w:i/>
        </w:rPr>
        <w:t>WUTC v. PacifiCorp</w:t>
      </w:r>
      <w:r>
        <w:t>, Docket UE-100749, Order 06 ¶¶ 226-235 (Mar. 24, 2011)).</w:t>
      </w:r>
    </w:p>
  </w:footnote>
  <w:footnote w:id="38">
    <w:p w14:paraId="51BFA260" w14:textId="0ED011F2" w:rsidR="00EA3F7E" w:rsidRDefault="00EA3F7E">
      <w:pPr>
        <w:pStyle w:val="FootnoteText"/>
      </w:pPr>
      <w:r>
        <w:rPr>
          <w:rStyle w:val="FootnoteReference"/>
        </w:rPr>
        <w:footnoteRef/>
      </w:r>
      <w:r>
        <w:t xml:space="preserve"> </w:t>
      </w:r>
      <w:r>
        <w:rPr>
          <w:i/>
        </w:rPr>
        <w:t>WUTC v. PacifiCorp</w:t>
      </w:r>
      <w:r>
        <w:t>, Docket UE-100749, Order 06 ¶ 226 (Mar. 24, 2011).</w:t>
      </w:r>
    </w:p>
  </w:footnote>
  <w:footnote w:id="39">
    <w:p w14:paraId="7DBF84F0" w14:textId="50B8E51A" w:rsidR="00EA3F7E" w:rsidRDefault="00EA3F7E">
      <w:pPr>
        <w:pStyle w:val="FootnoteText"/>
      </w:pPr>
      <w:r>
        <w:rPr>
          <w:rStyle w:val="FootnoteReference"/>
        </w:rPr>
        <w:footnoteRef/>
      </w:r>
      <w:r>
        <w:t xml:space="preserve"> </w:t>
      </w:r>
      <w:r>
        <w:rPr>
          <w:i/>
        </w:rPr>
        <w:t>See</w:t>
      </w:r>
      <w:r w:rsidRPr="00624238">
        <w:rPr>
          <w:i/>
        </w:rPr>
        <w:t xml:space="preserve"> Id.</w:t>
      </w:r>
      <w:r>
        <w:t xml:space="preserve"> ¶ 228.</w:t>
      </w:r>
    </w:p>
  </w:footnote>
  <w:footnote w:id="40">
    <w:p w14:paraId="3FC521A7" w14:textId="6039FBE6" w:rsidR="00EA3F7E" w:rsidRDefault="00EA3F7E">
      <w:pPr>
        <w:pStyle w:val="FootnoteText"/>
      </w:pPr>
      <w:r>
        <w:rPr>
          <w:rStyle w:val="FootnoteReference"/>
        </w:rPr>
        <w:footnoteRef/>
      </w:r>
      <w:r>
        <w:t xml:space="preserve"> </w:t>
      </w:r>
      <w:r w:rsidRPr="00253189">
        <w:rPr>
          <w:i/>
        </w:rPr>
        <w:t>Id</w:t>
      </w:r>
      <w:r>
        <w:t>. ¶ 227.</w:t>
      </w:r>
    </w:p>
  </w:footnote>
  <w:footnote w:id="41">
    <w:p w14:paraId="08A8E946" w14:textId="0A06A703" w:rsidR="00EA3F7E" w:rsidRDefault="00EA3F7E">
      <w:pPr>
        <w:pStyle w:val="FootnoteText"/>
      </w:pPr>
      <w:r>
        <w:rPr>
          <w:rStyle w:val="FootnoteReference"/>
        </w:rPr>
        <w:footnoteRef/>
      </w:r>
      <w:r>
        <w:t xml:space="preserve"> Public Counsel Initial Brief ¶ 55 (citing Ramas, Exh. No. DMR-1CTr at 20:8-18.)</w:t>
      </w:r>
    </w:p>
  </w:footnote>
  <w:footnote w:id="42">
    <w:p w14:paraId="411654FC" w14:textId="76EEE0D8" w:rsidR="00EA3F7E" w:rsidRDefault="00EA3F7E">
      <w:pPr>
        <w:pStyle w:val="FootnoteText"/>
      </w:pPr>
      <w:r>
        <w:rPr>
          <w:rStyle w:val="FootnoteReference"/>
        </w:rPr>
        <w:footnoteRef/>
      </w:r>
      <w:r>
        <w:t xml:space="preserve"> </w:t>
      </w:r>
      <w:r w:rsidRPr="00A120A4">
        <w:rPr>
          <w:i/>
        </w:rPr>
        <w:t>Id.</w:t>
      </w:r>
      <w:r>
        <w:t xml:space="preserve"> </w:t>
      </w:r>
    </w:p>
  </w:footnote>
  <w:footnote w:id="43">
    <w:p w14:paraId="3D2062C7" w14:textId="4E391B84" w:rsidR="00EA3F7E" w:rsidRDefault="00EA3F7E">
      <w:pPr>
        <w:pStyle w:val="FootnoteText"/>
      </w:pPr>
      <w:r>
        <w:rPr>
          <w:rStyle w:val="FootnoteReference"/>
        </w:rPr>
        <w:footnoteRef/>
      </w:r>
      <w:r>
        <w:t xml:space="preserve"> </w:t>
      </w:r>
      <w:r w:rsidRPr="00A120A4">
        <w:rPr>
          <w:i/>
        </w:rPr>
        <w:t>Id.</w:t>
      </w:r>
      <w:r>
        <w:t xml:space="preserve"> ¶ 54.</w:t>
      </w:r>
    </w:p>
  </w:footnote>
  <w:footnote w:id="44">
    <w:p w14:paraId="553488C3" w14:textId="3B02EF47" w:rsidR="00EA3F7E" w:rsidRDefault="00EA3F7E">
      <w:pPr>
        <w:pStyle w:val="FootnoteText"/>
      </w:pPr>
      <w:r>
        <w:rPr>
          <w:rStyle w:val="FootnoteReference"/>
        </w:rPr>
        <w:footnoteRef/>
      </w:r>
      <w:r>
        <w:t xml:space="preserve"> </w:t>
      </w:r>
      <w:r w:rsidRPr="00E11029">
        <w:rPr>
          <w:i/>
        </w:rPr>
        <w:t>Id.</w:t>
      </w:r>
      <w:r w:rsidRPr="007959F2">
        <w:t xml:space="preserve"> </w:t>
      </w:r>
      <w:r>
        <w:t>¶ 56.  We note that parties and the Commission, in prior orders, sometimes refer to Pacific Power as PacifiCorp.</w:t>
      </w:r>
    </w:p>
  </w:footnote>
  <w:footnote w:id="45">
    <w:p w14:paraId="263F7881" w14:textId="6400E3B5" w:rsidR="00EA3F7E" w:rsidRDefault="00EA3F7E">
      <w:pPr>
        <w:pStyle w:val="FootnoteText"/>
      </w:pPr>
      <w:r>
        <w:rPr>
          <w:rStyle w:val="FootnoteReference"/>
        </w:rPr>
        <w:footnoteRef/>
      </w:r>
      <w:r>
        <w:t xml:space="preserve"> Pacific Power Initial Brief ¶ 131.</w:t>
      </w:r>
    </w:p>
  </w:footnote>
  <w:footnote w:id="46">
    <w:p w14:paraId="558340B6" w14:textId="77777777" w:rsidR="00EA3F7E" w:rsidRDefault="00EA3F7E" w:rsidP="00E4688C">
      <w:pPr>
        <w:pStyle w:val="FootnoteText"/>
      </w:pPr>
      <w:r>
        <w:rPr>
          <w:rStyle w:val="FootnoteReference"/>
        </w:rPr>
        <w:footnoteRef/>
      </w:r>
      <w:r>
        <w:t xml:space="preserve"> </w:t>
      </w:r>
      <w:r>
        <w:rPr>
          <w:i/>
        </w:rPr>
        <w:t>Id.</w:t>
      </w:r>
      <w:r>
        <w:t xml:space="preserve"> at 496:15-25, 497:1.</w:t>
      </w:r>
    </w:p>
  </w:footnote>
  <w:footnote w:id="47">
    <w:p w14:paraId="4D29F301" w14:textId="0B9009A2" w:rsidR="00EA3F7E" w:rsidRDefault="00EA3F7E">
      <w:pPr>
        <w:pStyle w:val="FootnoteText"/>
      </w:pPr>
      <w:r>
        <w:rPr>
          <w:rStyle w:val="FootnoteReference"/>
        </w:rPr>
        <w:footnoteRef/>
      </w:r>
      <w:r>
        <w:t xml:space="preserve"> Pacific Power Initial Brief ¶ 132 (emphasis added; internal citations to Mr. Stuver’s testimony omitted).</w:t>
      </w:r>
    </w:p>
  </w:footnote>
  <w:footnote w:id="48">
    <w:p w14:paraId="375BA390" w14:textId="40B630F6" w:rsidR="00EA3F7E" w:rsidRDefault="00EA3F7E">
      <w:pPr>
        <w:pStyle w:val="FootnoteText"/>
      </w:pPr>
      <w:r>
        <w:rPr>
          <w:rStyle w:val="FootnoteReference"/>
        </w:rPr>
        <w:footnoteRef/>
      </w:r>
      <w:r>
        <w:t xml:space="preserve"> Public Counsel Initial Brief ¶ 60.</w:t>
      </w:r>
    </w:p>
  </w:footnote>
  <w:footnote w:id="49">
    <w:p w14:paraId="330DAC7A" w14:textId="7C0F41D7" w:rsidR="00EA3F7E" w:rsidRDefault="00EA3F7E">
      <w:pPr>
        <w:pStyle w:val="FootnoteText"/>
      </w:pPr>
      <w:r>
        <w:rPr>
          <w:rStyle w:val="FootnoteReference"/>
        </w:rPr>
        <w:footnoteRef/>
      </w:r>
      <w:r>
        <w:t xml:space="preserve"> </w:t>
      </w:r>
      <w:r w:rsidRPr="00EA0810">
        <w:rPr>
          <w:i/>
        </w:rPr>
        <w:t xml:space="preserve">Id. </w:t>
      </w:r>
      <w:r>
        <w:t>¶ 65.</w:t>
      </w:r>
    </w:p>
  </w:footnote>
  <w:footnote w:id="50">
    <w:p w14:paraId="53A34671" w14:textId="25FB7F28" w:rsidR="00EA3F7E" w:rsidRDefault="00EA3F7E" w:rsidP="002B626C">
      <w:pPr>
        <w:pStyle w:val="FootnoteText"/>
      </w:pPr>
      <w:r>
        <w:rPr>
          <w:rStyle w:val="FootnoteReference"/>
        </w:rPr>
        <w:footnoteRef/>
      </w:r>
      <w:r>
        <w:t xml:space="preserve"> Ramas, Exh. No. DMR-1CTr at 26:8-19.</w:t>
      </w:r>
    </w:p>
  </w:footnote>
  <w:footnote w:id="51">
    <w:p w14:paraId="5E13CB64" w14:textId="21E7084F" w:rsidR="00EA3F7E" w:rsidRDefault="00EA3F7E">
      <w:pPr>
        <w:pStyle w:val="FootnoteText"/>
      </w:pPr>
      <w:r>
        <w:rPr>
          <w:rStyle w:val="FootnoteReference"/>
        </w:rPr>
        <w:footnoteRef/>
      </w:r>
      <w:r>
        <w:t xml:space="preserve"> Public Counsel Initial Brief ¶ 62 (citing </w:t>
      </w:r>
      <w:r w:rsidRPr="00041793">
        <w:rPr>
          <w:i/>
        </w:rPr>
        <w:t>id.</w:t>
      </w:r>
      <w:r>
        <w:t>)</w:t>
      </w:r>
    </w:p>
  </w:footnote>
  <w:footnote w:id="52">
    <w:p w14:paraId="067C80ED" w14:textId="77777777" w:rsidR="00EA3F7E" w:rsidRDefault="00EA3F7E" w:rsidP="00F25AF9">
      <w:pPr>
        <w:pStyle w:val="FootnoteText"/>
      </w:pPr>
      <w:r>
        <w:rPr>
          <w:rStyle w:val="FootnoteReference"/>
        </w:rPr>
        <w:footnoteRef/>
      </w:r>
      <w:r>
        <w:t xml:space="preserve"> </w:t>
      </w:r>
      <w:r>
        <w:rPr>
          <w:i/>
        </w:rPr>
        <w:t>WUTC v. PacifiCorp</w:t>
      </w:r>
      <w:r>
        <w:t>, Docket UE-100749, Order 06 ¶ 226 (Mar. 25, 2011).</w:t>
      </w:r>
    </w:p>
  </w:footnote>
  <w:footnote w:id="53">
    <w:p w14:paraId="13676EB4" w14:textId="2F52F421" w:rsidR="00EA3F7E" w:rsidRDefault="00EA3F7E">
      <w:pPr>
        <w:pStyle w:val="FootnoteText"/>
      </w:pPr>
      <w:r>
        <w:rPr>
          <w:rStyle w:val="FootnoteReference"/>
        </w:rPr>
        <w:footnoteRef/>
      </w:r>
      <w:r>
        <w:t xml:space="preserve"> </w:t>
      </w:r>
      <w:r>
        <w:rPr>
          <w:i/>
        </w:rPr>
        <w:t>WUTC v. PacifiCorp</w:t>
      </w:r>
      <w:r>
        <w:t>, Docket UE-100749, Order 06 ¶¶ 230-32 (Mar. 24, 2011).</w:t>
      </w:r>
    </w:p>
  </w:footnote>
  <w:footnote w:id="54">
    <w:p w14:paraId="79B34CA5" w14:textId="1BB9BAC2" w:rsidR="00EA3F7E" w:rsidRPr="00E63A5A" w:rsidRDefault="00EA3F7E">
      <w:pPr>
        <w:pStyle w:val="FootnoteText"/>
      </w:pPr>
      <w:r>
        <w:rPr>
          <w:rStyle w:val="FootnoteReference"/>
        </w:rPr>
        <w:footnoteRef/>
      </w:r>
      <w:r>
        <w:t xml:space="preserve"> </w:t>
      </w:r>
      <w:r w:rsidRPr="00E63A5A">
        <w:rPr>
          <w:i/>
        </w:rPr>
        <w:t>Id.</w:t>
      </w:r>
      <w:r>
        <w:rPr>
          <w:i/>
        </w:rPr>
        <w:t xml:space="preserve"> </w:t>
      </w:r>
      <w:r>
        <w:t>¶ 232, n. 334.</w:t>
      </w:r>
    </w:p>
  </w:footnote>
  <w:footnote w:id="55">
    <w:p w14:paraId="5568E573" w14:textId="743E8DAC" w:rsidR="00EA3F7E" w:rsidRDefault="00EA3F7E">
      <w:pPr>
        <w:pStyle w:val="FootnoteText"/>
      </w:pPr>
      <w:r>
        <w:rPr>
          <w:rStyle w:val="FootnoteReference"/>
        </w:rPr>
        <w:footnoteRef/>
      </w:r>
      <w:r>
        <w:t xml:space="preserve"> </w:t>
      </w:r>
      <w:r w:rsidRPr="00EA0810">
        <w:rPr>
          <w:i/>
        </w:rPr>
        <w:t>Id.</w:t>
      </w:r>
    </w:p>
  </w:footnote>
  <w:footnote w:id="56">
    <w:p w14:paraId="67502F21" w14:textId="70160858" w:rsidR="00EA3F7E" w:rsidRDefault="00EA3F7E">
      <w:pPr>
        <w:pStyle w:val="FootnoteText"/>
      </w:pPr>
      <w:r>
        <w:rPr>
          <w:rStyle w:val="FootnoteReference"/>
        </w:rPr>
        <w:footnoteRef/>
      </w:r>
      <w:r>
        <w:t xml:space="preserve"> </w:t>
      </w:r>
      <w:r w:rsidRPr="0007111B">
        <w:rPr>
          <w:i/>
        </w:rPr>
        <w:t>See</w:t>
      </w:r>
      <w:r>
        <w:t xml:space="preserve"> Revised Exh. No. DKS-3CX (Public Counsel cross-examination exhibit for Company witness Mr. Stuver).</w:t>
      </w:r>
    </w:p>
  </w:footnote>
  <w:footnote w:id="57">
    <w:p w14:paraId="16DBE20A" w14:textId="704645D4" w:rsidR="00EA3F7E" w:rsidRDefault="00EA3F7E">
      <w:pPr>
        <w:pStyle w:val="FootnoteText"/>
      </w:pPr>
      <w:r>
        <w:rPr>
          <w:rStyle w:val="FootnoteReference"/>
        </w:rPr>
        <w:footnoteRef/>
      </w:r>
      <w:r>
        <w:t xml:space="preserve"> </w:t>
      </w:r>
      <w:r w:rsidRPr="00C209DD">
        <w:rPr>
          <w:i/>
        </w:rPr>
        <w:t>See supra</w:t>
      </w:r>
      <w:r>
        <w:t xml:space="preserve"> ¶ 18. The only regular exception the Commission makes is for power costs, which are a very significant part of electric utility expense and which are updated with a very high level of analytical rigor and readily available market data concerning fuel costs, and other costs.</w:t>
      </w:r>
    </w:p>
  </w:footnote>
  <w:footnote w:id="58">
    <w:p w14:paraId="0FDF9847" w14:textId="39085EA1" w:rsidR="00EA3F7E" w:rsidRDefault="00EA3F7E">
      <w:pPr>
        <w:pStyle w:val="FootnoteText"/>
      </w:pPr>
      <w:r>
        <w:rPr>
          <w:rStyle w:val="FootnoteReference"/>
        </w:rPr>
        <w:footnoteRef/>
      </w:r>
      <w:r>
        <w:t xml:space="preserve"> We note that it is even exceptional for the Commission to allow </w:t>
      </w:r>
      <w:r w:rsidRPr="006670E0">
        <w:rPr>
          <w:i/>
        </w:rPr>
        <w:t>pro forma</w:t>
      </w:r>
      <w:r>
        <w:t xml:space="preserve"> adjustments beyond a few months after the end of the test year.  The Commission has relaxed this careful approach somewhat during recent years, risking violation of the matching principle, in an effort to address concerns that regulatory lag has been increasingly problematic during a period of unusually high capital investment.  The Commission also has used other approaches, such as use of EOP rate base instead of the preferred AMA approach, and allowance of attrition adjustments, to address this problem.  Nevertheless, companies we regulate continue to file regularly for general rate increases.  Pacific Power, for example, has filed one general rate case after another, year after year, as exemplified by its filing of this case only five months after the Commission authorized rate increases in Docket UE-130043 in 2013. </w:t>
      </w:r>
    </w:p>
  </w:footnote>
  <w:footnote w:id="59">
    <w:p w14:paraId="12021D61" w14:textId="64474D12" w:rsidR="00EA3F7E" w:rsidRDefault="00EA3F7E" w:rsidP="00C26C8E">
      <w:pPr>
        <w:pStyle w:val="FootnoteText"/>
      </w:pPr>
      <w:r>
        <w:rPr>
          <w:rStyle w:val="FootnoteReference"/>
        </w:rPr>
        <w:footnoteRef/>
      </w:r>
      <w:r>
        <w:t xml:space="preserve"> RCW 34.05.</w:t>
      </w:r>
    </w:p>
  </w:footnote>
  <w:footnote w:id="60">
    <w:p w14:paraId="5BB678F0" w14:textId="26445C64" w:rsidR="00EA3F7E" w:rsidRDefault="00EA3F7E">
      <w:pPr>
        <w:pStyle w:val="FootnoteText"/>
      </w:pPr>
      <w:r>
        <w:rPr>
          <w:rStyle w:val="FootnoteReference"/>
        </w:rPr>
        <w:footnoteRef/>
      </w:r>
      <w:r>
        <w:t xml:space="preserve"> </w:t>
      </w:r>
      <w:r w:rsidRPr="00A1415F">
        <w:t>Ramas, Exh. No. DMR-1CTr at</w:t>
      </w:r>
      <w:r>
        <w:t xml:space="preserve"> 27 (referencing Schedule 9).</w:t>
      </w:r>
    </w:p>
  </w:footnote>
  <w:footnote w:id="61">
    <w:p w14:paraId="343FF641" w14:textId="77777777" w:rsidR="00EA3F7E" w:rsidRDefault="00EA3F7E" w:rsidP="00A1415F">
      <w:pPr>
        <w:pStyle w:val="FootnoteText"/>
      </w:pPr>
      <w:r>
        <w:rPr>
          <w:rStyle w:val="FootnoteReference"/>
        </w:rPr>
        <w:footnoteRef/>
      </w:r>
      <w:r>
        <w:t xml:space="preserve"> </w:t>
      </w:r>
      <w:r w:rsidRPr="00D06B0A">
        <w:rPr>
          <w:i/>
        </w:rPr>
        <w:t>Id.</w:t>
      </w:r>
      <w:r>
        <w:t xml:space="preserve"> at 28:14-20 (referencing Schedule 10). </w:t>
      </w:r>
    </w:p>
  </w:footnote>
  <w:footnote w:id="62">
    <w:p w14:paraId="47E913D8" w14:textId="77777777" w:rsidR="00EA3F7E" w:rsidRPr="008E7150" w:rsidRDefault="00EA3F7E" w:rsidP="00A87BF5">
      <w:pPr>
        <w:pStyle w:val="FootnoteText"/>
        <w:rPr>
          <w:szCs w:val="22"/>
        </w:rPr>
      </w:pPr>
      <w:r w:rsidRPr="008E7150">
        <w:rPr>
          <w:rStyle w:val="FootnoteReference"/>
          <w:szCs w:val="22"/>
        </w:rPr>
        <w:footnoteRef/>
      </w:r>
      <w:r w:rsidRPr="008E7150">
        <w:rPr>
          <w:szCs w:val="22"/>
        </w:rPr>
        <w:t xml:space="preserve"> Siores, Exh</w:t>
      </w:r>
      <w:r>
        <w:rPr>
          <w:szCs w:val="22"/>
        </w:rPr>
        <w:t>.</w:t>
      </w:r>
      <w:r w:rsidRPr="008E7150">
        <w:rPr>
          <w:szCs w:val="22"/>
        </w:rPr>
        <w:t xml:space="preserve"> No. NCS-10T</w:t>
      </w:r>
      <w:r>
        <w:rPr>
          <w:szCs w:val="22"/>
        </w:rPr>
        <w:t>,</w:t>
      </w:r>
      <w:r w:rsidRPr="008E7150">
        <w:rPr>
          <w:szCs w:val="22"/>
        </w:rPr>
        <w:t xml:space="preserve"> at 8:18-20.</w:t>
      </w:r>
    </w:p>
  </w:footnote>
  <w:footnote w:id="63">
    <w:p w14:paraId="53AB272D" w14:textId="724D4422" w:rsidR="00EA3F7E" w:rsidRPr="008E7150" w:rsidRDefault="00EA3F7E" w:rsidP="00A87BF5">
      <w:pPr>
        <w:pStyle w:val="FootnoteText"/>
        <w:rPr>
          <w:szCs w:val="22"/>
        </w:rPr>
      </w:pPr>
      <w:r w:rsidRPr="008E7150">
        <w:rPr>
          <w:rStyle w:val="FootnoteReference"/>
          <w:szCs w:val="22"/>
        </w:rPr>
        <w:footnoteRef/>
      </w:r>
      <w:r w:rsidRPr="008E7150">
        <w:rPr>
          <w:szCs w:val="22"/>
        </w:rPr>
        <w:t xml:space="preserve"> </w:t>
      </w:r>
      <w:r w:rsidRPr="007A3FED">
        <w:rPr>
          <w:i/>
          <w:szCs w:val="22"/>
        </w:rPr>
        <w:t>WUTC</w:t>
      </w:r>
      <w:r w:rsidRPr="008E7150">
        <w:rPr>
          <w:szCs w:val="22"/>
        </w:rPr>
        <w:fldChar w:fldCharType="begin"/>
      </w:r>
      <w:r w:rsidRPr="008E7150">
        <w:rPr>
          <w:szCs w:val="22"/>
        </w:rPr>
        <w:instrText xml:space="preserve"> ADDIN BA \xc &lt;@$cs&gt; \xl 44 \s KBKQKB000015 \xhfl Rep </w:instrText>
      </w:r>
      <w:r w:rsidRPr="008E7150">
        <w:rPr>
          <w:szCs w:val="22"/>
        </w:rPr>
        <w:fldChar w:fldCharType="end"/>
      </w:r>
      <w:r w:rsidRPr="008E7150">
        <w:rPr>
          <w:i/>
          <w:szCs w:val="22"/>
        </w:rPr>
        <w:t xml:space="preserve"> v. PacifiCorp</w:t>
      </w:r>
      <w:r w:rsidRPr="008E7150">
        <w:rPr>
          <w:szCs w:val="22"/>
        </w:rPr>
        <w:t>, Docket UE-111190, Settlement Stipulation at 5 (Feb. 21, 2012).</w:t>
      </w:r>
      <w:r w:rsidRPr="008E7150">
        <w:rPr>
          <w:i/>
          <w:szCs w:val="22"/>
        </w:rPr>
        <w:t xml:space="preserve"> See</w:t>
      </w:r>
      <w:r w:rsidRPr="008E7150">
        <w:rPr>
          <w:szCs w:val="22"/>
        </w:rPr>
        <w:t xml:space="preserve"> </w:t>
      </w:r>
      <w:r>
        <w:rPr>
          <w:i/>
          <w:szCs w:val="22"/>
        </w:rPr>
        <w:t>WUTC</w:t>
      </w:r>
      <w:r w:rsidRPr="008E7150">
        <w:rPr>
          <w:i/>
          <w:szCs w:val="22"/>
        </w:rPr>
        <w:t xml:space="preserve"> v. PacifiCorp</w:t>
      </w:r>
      <w:r w:rsidRPr="008E7150">
        <w:rPr>
          <w:szCs w:val="22"/>
        </w:rPr>
        <w:t>, Docket UE-130043, Revised Final Issues List (Aug. 23, 2013)</w:t>
      </w:r>
    </w:p>
  </w:footnote>
  <w:footnote w:id="64">
    <w:p w14:paraId="680ABDCA" w14:textId="1F18E698" w:rsidR="00EA3F7E" w:rsidRPr="008E7150" w:rsidRDefault="00EA3F7E" w:rsidP="00A87BF5">
      <w:pPr>
        <w:pStyle w:val="FootnoteText"/>
        <w:rPr>
          <w:szCs w:val="22"/>
        </w:rPr>
      </w:pPr>
      <w:r w:rsidRPr="008E7150">
        <w:rPr>
          <w:rStyle w:val="FootnoteReference"/>
          <w:szCs w:val="22"/>
        </w:rPr>
        <w:footnoteRef/>
      </w:r>
      <w:r w:rsidRPr="008E7150">
        <w:rPr>
          <w:szCs w:val="22"/>
        </w:rPr>
        <w:t xml:space="preserve"> Ball, Exh. No.</w:t>
      </w:r>
      <w:r>
        <w:rPr>
          <w:szCs w:val="22"/>
        </w:rPr>
        <w:t xml:space="preserve"> </w:t>
      </w:r>
      <w:r w:rsidRPr="008E7150">
        <w:rPr>
          <w:szCs w:val="22"/>
        </w:rPr>
        <w:t>JLB-1T</w:t>
      </w:r>
      <w:r>
        <w:rPr>
          <w:szCs w:val="22"/>
        </w:rPr>
        <w:t>,</w:t>
      </w:r>
      <w:r w:rsidRPr="008E7150">
        <w:rPr>
          <w:szCs w:val="22"/>
        </w:rPr>
        <w:t xml:space="preserve"> at 14:1-3</w:t>
      </w:r>
      <w:r>
        <w:rPr>
          <w:szCs w:val="22"/>
        </w:rPr>
        <w:t>, 15-17</w:t>
      </w:r>
      <w:r w:rsidRPr="008E7150">
        <w:rPr>
          <w:szCs w:val="22"/>
        </w:rPr>
        <w:t>.</w:t>
      </w:r>
    </w:p>
  </w:footnote>
  <w:footnote w:id="65">
    <w:p w14:paraId="7F1FE36B" w14:textId="048C6AA1" w:rsidR="00EA3F7E" w:rsidRPr="008E7150" w:rsidRDefault="00EA3F7E" w:rsidP="00A87BF5">
      <w:pPr>
        <w:pStyle w:val="FootnoteText"/>
        <w:rPr>
          <w:szCs w:val="22"/>
        </w:rPr>
      </w:pPr>
      <w:r w:rsidRPr="008E7150">
        <w:rPr>
          <w:rStyle w:val="FootnoteReference"/>
          <w:szCs w:val="22"/>
        </w:rPr>
        <w:footnoteRef/>
      </w:r>
      <w:r w:rsidRPr="008E7150">
        <w:rPr>
          <w:szCs w:val="22"/>
        </w:rPr>
        <w:t xml:space="preserve"> </w:t>
      </w:r>
      <w:r w:rsidRPr="007A3FED">
        <w:rPr>
          <w:i/>
          <w:szCs w:val="22"/>
        </w:rPr>
        <w:t>Id</w:t>
      </w:r>
      <w:r>
        <w:rPr>
          <w:szCs w:val="22"/>
        </w:rPr>
        <w:t>. at</w:t>
      </w:r>
      <w:r w:rsidRPr="008E7150">
        <w:rPr>
          <w:szCs w:val="22"/>
        </w:rPr>
        <w:t xml:space="preserve"> 14:7-14.</w:t>
      </w:r>
    </w:p>
  </w:footnote>
  <w:footnote w:id="66">
    <w:p w14:paraId="79F9FD03" w14:textId="77777777" w:rsidR="00EA3F7E" w:rsidRPr="008E7150" w:rsidRDefault="00EA3F7E" w:rsidP="00A87BF5">
      <w:pPr>
        <w:pStyle w:val="FootnoteText"/>
        <w:rPr>
          <w:szCs w:val="22"/>
        </w:rPr>
      </w:pPr>
      <w:r w:rsidRPr="008E7150">
        <w:rPr>
          <w:rStyle w:val="FootnoteReference"/>
          <w:szCs w:val="22"/>
        </w:rPr>
        <w:footnoteRef/>
      </w:r>
      <w:r w:rsidRPr="008E7150">
        <w:rPr>
          <w:szCs w:val="22"/>
        </w:rPr>
        <w:t xml:space="preserve"> Ramas, Exh. No.</w:t>
      </w:r>
      <w:r>
        <w:rPr>
          <w:szCs w:val="22"/>
        </w:rPr>
        <w:t xml:space="preserve"> </w:t>
      </w:r>
      <w:r w:rsidRPr="008E7150">
        <w:rPr>
          <w:szCs w:val="22"/>
        </w:rPr>
        <w:t>DMR-1CT</w:t>
      </w:r>
      <w:r>
        <w:rPr>
          <w:szCs w:val="22"/>
        </w:rPr>
        <w:t>,</w:t>
      </w:r>
      <w:r w:rsidRPr="008E7150">
        <w:rPr>
          <w:szCs w:val="22"/>
        </w:rPr>
        <w:t xml:space="preserve"> at 34:1-2.</w:t>
      </w:r>
    </w:p>
  </w:footnote>
  <w:footnote w:id="67">
    <w:p w14:paraId="28126822" w14:textId="4A459253" w:rsidR="00EA3F7E" w:rsidRDefault="00EA3F7E" w:rsidP="00F52F6F">
      <w:pPr>
        <w:pStyle w:val="FootnoteText"/>
      </w:pPr>
      <w:r>
        <w:rPr>
          <w:rStyle w:val="FootnoteReference"/>
        </w:rPr>
        <w:footnoteRef/>
      </w:r>
      <w:r>
        <w:t xml:space="preserve"> </w:t>
      </w:r>
      <w:r w:rsidRPr="007A3FED">
        <w:rPr>
          <w:i/>
        </w:rPr>
        <w:t>Id.</w:t>
      </w:r>
      <w:r>
        <w:t xml:space="preserve"> at 32:7-15 (quoting from Pacific Power Response to Public Counsel Data Request No. 78).</w:t>
      </w:r>
    </w:p>
  </w:footnote>
  <w:footnote w:id="68">
    <w:p w14:paraId="06EFDC66" w14:textId="01DC20C5" w:rsidR="00EA3F7E" w:rsidRDefault="00EA3F7E">
      <w:pPr>
        <w:pStyle w:val="FootnoteText"/>
      </w:pPr>
      <w:r>
        <w:rPr>
          <w:rStyle w:val="FootnoteReference"/>
        </w:rPr>
        <w:footnoteRef/>
      </w:r>
      <w:r>
        <w:t xml:space="preserve"> </w:t>
      </w:r>
      <w:r w:rsidRPr="00D36B3B">
        <w:rPr>
          <w:i/>
        </w:rPr>
        <w:t>Id.</w:t>
      </w:r>
      <w:r>
        <w:t xml:space="preserve"> at 32:19-22.</w:t>
      </w:r>
    </w:p>
  </w:footnote>
  <w:footnote w:id="69">
    <w:p w14:paraId="67463540" w14:textId="77777777" w:rsidR="00EA3F7E" w:rsidRPr="008E7150" w:rsidRDefault="00EA3F7E" w:rsidP="00A87BF5">
      <w:pPr>
        <w:pStyle w:val="FootnoteText"/>
        <w:rPr>
          <w:szCs w:val="22"/>
        </w:rPr>
      </w:pPr>
      <w:r w:rsidRPr="008E7150">
        <w:rPr>
          <w:rStyle w:val="FootnoteReference"/>
          <w:szCs w:val="22"/>
        </w:rPr>
        <w:footnoteRef/>
      </w:r>
      <w:r w:rsidRPr="008E7150">
        <w:rPr>
          <w:szCs w:val="22"/>
        </w:rPr>
        <w:t xml:space="preserve"> Siores, Exh</w:t>
      </w:r>
      <w:r>
        <w:rPr>
          <w:szCs w:val="22"/>
        </w:rPr>
        <w:t>.</w:t>
      </w:r>
      <w:r w:rsidRPr="008E7150">
        <w:rPr>
          <w:szCs w:val="22"/>
        </w:rPr>
        <w:t xml:space="preserve"> No. NCS-10T</w:t>
      </w:r>
      <w:r>
        <w:rPr>
          <w:szCs w:val="22"/>
        </w:rPr>
        <w:t>,</w:t>
      </w:r>
      <w:r w:rsidRPr="008E7150">
        <w:rPr>
          <w:szCs w:val="22"/>
        </w:rPr>
        <w:t xml:space="preserve"> at 8:6-17. </w:t>
      </w:r>
    </w:p>
  </w:footnote>
  <w:footnote w:id="70">
    <w:p w14:paraId="0B75BE15" w14:textId="56284673" w:rsidR="00EA3F7E" w:rsidRDefault="00EA3F7E" w:rsidP="00A87BF5">
      <w:pPr>
        <w:pStyle w:val="FootnoteText"/>
      </w:pPr>
      <w:r w:rsidRPr="008E7150">
        <w:rPr>
          <w:rStyle w:val="FootnoteReference"/>
          <w:szCs w:val="22"/>
        </w:rPr>
        <w:footnoteRef/>
      </w:r>
      <w:r w:rsidRPr="008E7150">
        <w:rPr>
          <w:szCs w:val="22"/>
        </w:rPr>
        <w:t xml:space="preserve"> Siores, Exh</w:t>
      </w:r>
      <w:r>
        <w:rPr>
          <w:szCs w:val="22"/>
        </w:rPr>
        <w:t>.</w:t>
      </w:r>
      <w:r w:rsidRPr="008E7150">
        <w:rPr>
          <w:szCs w:val="22"/>
        </w:rPr>
        <w:t xml:space="preserve"> No. NCS-1T</w:t>
      </w:r>
      <w:r>
        <w:rPr>
          <w:szCs w:val="22"/>
        </w:rPr>
        <w:t>,</w:t>
      </w:r>
      <w:r w:rsidRPr="008E7150">
        <w:rPr>
          <w:szCs w:val="22"/>
        </w:rPr>
        <w:t xml:space="preserve"> at 9:1-3.</w:t>
      </w:r>
      <w:r>
        <w:rPr>
          <w:szCs w:val="22"/>
        </w:rPr>
        <w:t xml:space="preserve">  For a brief history of the WCA methodology, </w:t>
      </w:r>
      <w:r>
        <w:rPr>
          <w:i/>
          <w:szCs w:val="22"/>
        </w:rPr>
        <w:t>s</w:t>
      </w:r>
      <w:r w:rsidRPr="004258A2">
        <w:rPr>
          <w:i/>
          <w:szCs w:val="22"/>
        </w:rPr>
        <w:t>ee infra</w:t>
      </w:r>
      <w:r>
        <w:rPr>
          <w:szCs w:val="22"/>
        </w:rPr>
        <w:t xml:space="preserve"> ¶ 69, n. 94.</w:t>
      </w:r>
    </w:p>
  </w:footnote>
  <w:footnote w:id="71">
    <w:p w14:paraId="23767E89" w14:textId="124F2389" w:rsidR="00EA3F7E" w:rsidRDefault="00EA3F7E">
      <w:pPr>
        <w:pStyle w:val="FootnoteText"/>
      </w:pPr>
      <w:r>
        <w:rPr>
          <w:rStyle w:val="FootnoteReference"/>
        </w:rPr>
        <w:footnoteRef/>
      </w:r>
      <w:r>
        <w:t xml:space="preserve"> Exh. NCS-21-CX.  The Commission approved the WCA approach in 2007.  </w:t>
      </w:r>
      <w:r w:rsidRPr="00A120A4">
        <w:rPr>
          <w:i/>
        </w:rPr>
        <w:t>See</w:t>
      </w:r>
      <w:r>
        <w:t xml:space="preserve"> </w:t>
      </w:r>
      <w:r w:rsidRPr="00797F2B">
        <w:rPr>
          <w:i/>
          <w:iCs/>
        </w:rPr>
        <w:t>WUTC v. PacifiCorp</w:t>
      </w:r>
      <w:r w:rsidRPr="00797F2B">
        <w:rPr>
          <w:iCs/>
        </w:rPr>
        <w:t>, Dockets UE-061546 and UE-060817 (consolidated), Order 08, ¶¶ 56-57 (June 21, 2007).</w:t>
      </w:r>
    </w:p>
  </w:footnote>
  <w:footnote w:id="72">
    <w:p w14:paraId="32237694" w14:textId="3402902B" w:rsidR="00EA3F7E" w:rsidRDefault="00EA3F7E">
      <w:pPr>
        <w:pStyle w:val="FootnoteText"/>
      </w:pPr>
      <w:r>
        <w:rPr>
          <w:rStyle w:val="FootnoteReference"/>
        </w:rPr>
        <w:footnoteRef/>
      </w:r>
      <w:r>
        <w:t xml:space="preserve"> Stuver, TR. 483:7-8.</w:t>
      </w:r>
    </w:p>
  </w:footnote>
  <w:footnote w:id="73">
    <w:p w14:paraId="7EEB2AFF" w14:textId="6AF017A6" w:rsidR="00EA3F7E" w:rsidRDefault="00EA3F7E">
      <w:pPr>
        <w:pStyle w:val="FootnoteText"/>
      </w:pPr>
      <w:r>
        <w:rPr>
          <w:rStyle w:val="FootnoteReference"/>
        </w:rPr>
        <w:footnoteRef/>
      </w:r>
      <w:r>
        <w:t xml:space="preserve"> Stuver, TR. 483:1-6.  </w:t>
      </w:r>
      <w:r w:rsidRPr="00237699">
        <w:rPr>
          <w:i/>
        </w:rPr>
        <w:t>See also</w:t>
      </w:r>
      <w:r>
        <w:t xml:space="preserve"> Exh. No. NCS-22 C CX, a confidential exhibit that provides details concerning three incidents during 2012, including the two Public Counsel contests, that show them to be unresolved and subject to settlement negotiations. </w:t>
      </w:r>
    </w:p>
  </w:footnote>
  <w:footnote w:id="74">
    <w:p w14:paraId="0EB2A06D" w14:textId="387FBCA3" w:rsidR="00EA3F7E" w:rsidRDefault="00EA3F7E">
      <w:pPr>
        <w:pStyle w:val="FootnoteText"/>
      </w:pPr>
      <w:r>
        <w:rPr>
          <w:rStyle w:val="FootnoteReference"/>
        </w:rPr>
        <w:footnoteRef/>
      </w:r>
      <w:r>
        <w:t xml:space="preserve"> </w:t>
      </w:r>
      <w:r w:rsidRPr="00237699">
        <w:rPr>
          <w:i/>
        </w:rPr>
        <w:t>Id.</w:t>
      </w:r>
    </w:p>
  </w:footnote>
  <w:footnote w:id="75">
    <w:p w14:paraId="1E8E6509" w14:textId="77777777" w:rsidR="00EA3F7E" w:rsidRDefault="00EA3F7E" w:rsidP="00E271C4">
      <w:pPr>
        <w:pStyle w:val="FootnoteText"/>
      </w:pPr>
      <w:r>
        <w:rPr>
          <w:rStyle w:val="FootnoteReference"/>
        </w:rPr>
        <w:footnoteRef/>
      </w:r>
      <w:r>
        <w:t xml:space="preserve"> Exh. No. NCS-26CX; Stuver, TR. 481:3-20.</w:t>
      </w:r>
    </w:p>
  </w:footnote>
  <w:footnote w:id="76">
    <w:p w14:paraId="429F2AC3" w14:textId="579EC4F4" w:rsidR="00EA3F7E" w:rsidRDefault="00EA3F7E">
      <w:pPr>
        <w:pStyle w:val="FootnoteText"/>
      </w:pPr>
      <w:r>
        <w:rPr>
          <w:rStyle w:val="FootnoteReference"/>
        </w:rPr>
        <w:footnoteRef/>
      </w:r>
      <w:r>
        <w:t xml:space="preserve"> Stuver, TR. 483:18-25.</w:t>
      </w:r>
    </w:p>
  </w:footnote>
  <w:footnote w:id="77">
    <w:p w14:paraId="5B6F86AB" w14:textId="07303AE7" w:rsidR="00EA3F7E" w:rsidRDefault="00EA3F7E">
      <w:pPr>
        <w:pStyle w:val="FootnoteText"/>
      </w:pPr>
      <w:r>
        <w:rPr>
          <w:rStyle w:val="FootnoteReference"/>
        </w:rPr>
        <w:footnoteRef/>
      </w:r>
      <w:r>
        <w:t xml:space="preserve"> Utah and Oregon have approved the use of these escalation factors for forecasting future test period costs.  Wyoming, also a state that uses a future test year, has rejected their use.  </w:t>
      </w:r>
      <w:r w:rsidRPr="00674DF2">
        <w:rPr>
          <w:i/>
        </w:rPr>
        <w:t>See</w:t>
      </w:r>
      <w:r>
        <w:t xml:space="preserve"> Boise White Paper Initial Brief ¶ 62 (citing </w:t>
      </w:r>
      <w:r w:rsidRPr="00674DF2">
        <w:rPr>
          <w:i/>
        </w:rPr>
        <w:t>Re Application of Rocky Mountain Power for Approval of a General rate Increase,</w:t>
      </w:r>
      <w:r w:rsidRPr="003C3C16">
        <w:t xml:space="preserve"> Wyoming PSC Docket No. 20000-446-ER-14, Order </w:t>
      </w:r>
      <w:r>
        <w:t>¶</w:t>
      </w:r>
      <w:r w:rsidRPr="003C3C16">
        <w:t xml:space="preserve">¶ </w:t>
      </w:r>
      <w:r>
        <w:t>45, 174</w:t>
      </w:r>
      <w:r w:rsidRPr="003C3C16">
        <w:t xml:space="preserve"> (Dec. 30, 2014)</w:t>
      </w:r>
      <w:r>
        <w:t>).</w:t>
      </w:r>
    </w:p>
  </w:footnote>
  <w:footnote w:id="78">
    <w:p w14:paraId="608E2230" w14:textId="73D5A3CA" w:rsidR="00EA3F7E" w:rsidRDefault="00EA3F7E" w:rsidP="002809E9">
      <w:pPr>
        <w:pStyle w:val="FootnoteText"/>
      </w:pPr>
      <w:r>
        <w:rPr>
          <w:rStyle w:val="FootnoteReference"/>
        </w:rPr>
        <w:footnoteRef/>
      </w:r>
      <w:r>
        <w:t xml:space="preserve"> Pacific Power Initial Brief ¶134 (citing Dalley, Exh. No. RBD-1T 9:8-13, 10:20-22; Dalley, Exh. No. RBD-3T 7:11-23, 11:19-21).  </w:t>
      </w:r>
      <w:r w:rsidRPr="00A52D22">
        <w:t xml:space="preserve">IHS Global Insight is a national economic forecasting consulting company that is widely used to develop economic forecasts.  For the utility industry, IHS Global Insight provides industry-specific escalation indices, developed at the Federal Energy Regulatory Commission account functional level.  A description of the model used by IHS Global Insight to develop its O&amp;M and A&amp;G indices is attached </w:t>
      </w:r>
      <w:r>
        <w:t xml:space="preserve">to Mr. Dalley’s rebuttal testimony </w:t>
      </w:r>
      <w:r w:rsidRPr="00A52D22">
        <w:t>as Confidential Exh</w:t>
      </w:r>
      <w:r>
        <w:t>.</w:t>
      </w:r>
      <w:r w:rsidRPr="00A52D22">
        <w:t xml:space="preserve"> No. RBD-5C.</w:t>
      </w:r>
    </w:p>
  </w:footnote>
  <w:footnote w:id="79">
    <w:p w14:paraId="47C283FF" w14:textId="77777777" w:rsidR="00EA3F7E" w:rsidRDefault="00EA3F7E" w:rsidP="002809E9">
      <w:pPr>
        <w:pStyle w:val="FootnoteText"/>
      </w:pPr>
      <w:r>
        <w:rPr>
          <w:rStyle w:val="FootnoteReference"/>
        </w:rPr>
        <w:footnoteRef/>
      </w:r>
      <w:r>
        <w:t xml:space="preserve"> </w:t>
      </w:r>
      <w:r w:rsidRPr="00F846EA">
        <w:rPr>
          <w:i/>
        </w:rPr>
        <w:t>Id.</w:t>
      </w:r>
      <w:r>
        <w:t xml:space="preserve"> (citing Siores, Exh. No. NCS-1T 19:5-9).</w:t>
      </w:r>
    </w:p>
  </w:footnote>
  <w:footnote w:id="80">
    <w:p w14:paraId="0C4EB172" w14:textId="77777777" w:rsidR="00EA3F7E" w:rsidRDefault="00EA3F7E" w:rsidP="002809E9">
      <w:pPr>
        <w:pStyle w:val="FootnoteText"/>
      </w:pPr>
      <w:r>
        <w:rPr>
          <w:rStyle w:val="FootnoteReference"/>
        </w:rPr>
        <w:footnoteRef/>
      </w:r>
      <w:r>
        <w:t xml:space="preserve"> </w:t>
      </w:r>
      <w:r>
        <w:rPr>
          <w:i/>
        </w:rPr>
        <w:t>Id.</w:t>
      </w:r>
      <w:r>
        <w:t xml:space="preserve"> (citing </w:t>
      </w:r>
      <w:r w:rsidRPr="00F846EA">
        <w:rPr>
          <w:i/>
        </w:rPr>
        <w:t>Id.</w:t>
      </w:r>
      <w:r>
        <w:t xml:space="preserve"> at 19:9-11).</w:t>
      </w:r>
    </w:p>
  </w:footnote>
  <w:footnote w:id="81">
    <w:p w14:paraId="41FA13CB" w14:textId="6A0B5EEE" w:rsidR="00EA3F7E" w:rsidRDefault="00EA3F7E" w:rsidP="002809E9">
      <w:pPr>
        <w:pStyle w:val="FootnoteText"/>
      </w:pPr>
      <w:r>
        <w:rPr>
          <w:rStyle w:val="FootnoteReference"/>
        </w:rPr>
        <w:footnoteRef/>
      </w:r>
      <w:r>
        <w:t xml:space="preserve"> </w:t>
      </w:r>
      <w:r w:rsidRPr="00F846EA">
        <w:rPr>
          <w:i/>
        </w:rPr>
        <w:t>Id.</w:t>
      </w:r>
      <w:r w:rsidRPr="00F846EA">
        <w:t xml:space="preserve"> </w:t>
      </w:r>
      <w:r>
        <w:t>(citing Dalley, Exh. No. RBD-1T 10:22-23).</w:t>
      </w:r>
    </w:p>
  </w:footnote>
  <w:footnote w:id="82">
    <w:p w14:paraId="31D6211F" w14:textId="77777777" w:rsidR="00EA3F7E" w:rsidRDefault="00EA3F7E">
      <w:pPr>
        <w:pStyle w:val="FootnoteText"/>
      </w:pPr>
      <w:r>
        <w:rPr>
          <w:rStyle w:val="FootnoteReference"/>
        </w:rPr>
        <w:footnoteRef/>
      </w:r>
      <w:r>
        <w:t xml:space="preserve"> Staff Initial Brief ¶ 140.</w:t>
      </w:r>
    </w:p>
  </w:footnote>
  <w:footnote w:id="83">
    <w:p w14:paraId="7EC17BF3" w14:textId="77777777" w:rsidR="00EA3F7E" w:rsidRDefault="00EA3F7E">
      <w:pPr>
        <w:pStyle w:val="FootnoteText"/>
      </w:pPr>
      <w:r>
        <w:rPr>
          <w:rStyle w:val="FootnoteReference"/>
        </w:rPr>
        <w:footnoteRef/>
      </w:r>
      <w:r>
        <w:t xml:space="preserve"> </w:t>
      </w:r>
      <w:r w:rsidRPr="00384CC3">
        <w:rPr>
          <w:i/>
        </w:rPr>
        <w:t>Id.</w:t>
      </w:r>
    </w:p>
  </w:footnote>
  <w:footnote w:id="84">
    <w:p w14:paraId="5FBD0360" w14:textId="04AE5730" w:rsidR="00EA3F7E" w:rsidRPr="003B7DD9" w:rsidRDefault="00EA3F7E" w:rsidP="0062543F">
      <w:pPr>
        <w:pStyle w:val="FootnoteText"/>
      </w:pPr>
      <w:r>
        <w:rPr>
          <w:rStyle w:val="FootnoteReference"/>
        </w:rPr>
        <w:footnoteRef/>
      </w:r>
      <w:r>
        <w:t xml:space="preserve"> Public Counsel Initial Brief ¶69 (citing </w:t>
      </w:r>
      <w:r w:rsidRPr="003B7DD9">
        <w:rPr>
          <w:i/>
        </w:rPr>
        <w:t>PSE 2009 GRC</w:t>
      </w:r>
      <w:r>
        <w:t>, Order 11, ¶ 26).</w:t>
      </w:r>
    </w:p>
  </w:footnote>
  <w:footnote w:id="85">
    <w:p w14:paraId="71375B81" w14:textId="77777777" w:rsidR="00EA3F7E" w:rsidRDefault="00EA3F7E" w:rsidP="0062543F">
      <w:pPr>
        <w:pStyle w:val="FootnoteText"/>
      </w:pPr>
      <w:r>
        <w:rPr>
          <w:rStyle w:val="FootnoteReference"/>
        </w:rPr>
        <w:footnoteRef/>
      </w:r>
      <w:r>
        <w:t xml:space="preserve"> Public Counsel Initial Brief ¶ 68 (citing Dalley, TR. 383:21-385:14).</w:t>
      </w:r>
    </w:p>
  </w:footnote>
  <w:footnote w:id="86">
    <w:p w14:paraId="73BE57B3" w14:textId="754DA1AD" w:rsidR="00EA3F7E" w:rsidRPr="00DE7E2C" w:rsidRDefault="00EA3F7E" w:rsidP="00CA268C">
      <w:pPr>
        <w:pStyle w:val="FootnoteText"/>
      </w:pPr>
      <w:r>
        <w:rPr>
          <w:rStyle w:val="FootnoteReference"/>
        </w:rPr>
        <w:footnoteRef/>
      </w:r>
      <w:r>
        <w:t xml:space="preserve"> Dalley, Exh. No. RBD-3T, at 12:9-17. </w:t>
      </w:r>
    </w:p>
  </w:footnote>
  <w:footnote w:id="87">
    <w:p w14:paraId="68376756" w14:textId="230A92CD" w:rsidR="00EA3F7E" w:rsidRDefault="00EA3F7E" w:rsidP="0040054A">
      <w:pPr>
        <w:pStyle w:val="FootnoteText"/>
      </w:pPr>
      <w:r>
        <w:rPr>
          <w:rStyle w:val="FootnoteReference"/>
        </w:rPr>
        <w:footnoteRef/>
      </w:r>
      <w:r>
        <w:t xml:space="preserve"> Pacific Power Initial Brief ¶ 137 (citing Duvall, Exh. No. GND-1CT 16 Table 3).</w:t>
      </w:r>
    </w:p>
  </w:footnote>
  <w:footnote w:id="88">
    <w:p w14:paraId="6B839CF6" w14:textId="659D0081" w:rsidR="00EA3F7E" w:rsidRDefault="00EA3F7E">
      <w:pPr>
        <w:pStyle w:val="FootnoteText"/>
      </w:pPr>
      <w:r>
        <w:rPr>
          <w:rStyle w:val="FootnoteReference"/>
        </w:rPr>
        <w:footnoteRef/>
      </w:r>
      <w:r>
        <w:t xml:space="preserve"> </w:t>
      </w:r>
      <w:r w:rsidRPr="007306D5">
        <w:rPr>
          <w:i/>
        </w:rPr>
        <w:t>See</w:t>
      </w:r>
      <w:r>
        <w:t xml:space="preserve"> Ball, Exh. No. JLB-1T at 16:11-7:3.</w:t>
      </w:r>
    </w:p>
  </w:footnote>
  <w:footnote w:id="89">
    <w:p w14:paraId="4C4C837D" w14:textId="5F3F40E8" w:rsidR="00EA3F7E" w:rsidRDefault="00EA3F7E">
      <w:pPr>
        <w:pStyle w:val="FootnoteText"/>
      </w:pPr>
      <w:r>
        <w:rPr>
          <w:rStyle w:val="FootnoteReference"/>
        </w:rPr>
        <w:footnoteRef/>
      </w:r>
      <w:r>
        <w:t xml:space="preserve"> We note that Wyoming, a future test period state, has rejecting the use of these indices by Rocky Mountain Power, PacifiCorp’s operating division serving that state.  </w:t>
      </w:r>
      <w:r w:rsidRPr="004E4D8A">
        <w:rPr>
          <w:i/>
        </w:rPr>
        <w:t>Re Application of Rocky Mountain Power for Approval of a General rate Increase</w:t>
      </w:r>
      <w:r w:rsidRPr="004E4D8A">
        <w:t>, Wyoming PSC Docket No. 20000-446-ER-14, Order ¶¶ 172-173 (Dec. 30, 2014)</w:t>
      </w:r>
      <w:r>
        <w:t>.</w:t>
      </w:r>
    </w:p>
  </w:footnote>
  <w:footnote w:id="90">
    <w:p w14:paraId="4B692FA8" w14:textId="41B78A21" w:rsidR="00EA3F7E" w:rsidRDefault="00EA3F7E">
      <w:pPr>
        <w:pStyle w:val="FootnoteText"/>
      </w:pPr>
      <w:r>
        <w:rPr>
          <w:rStyle w:val="FootnoteReference"/>
        </w:rPr>
        <w:footnoteRef/>
      </w:r>
      <w:r>
        <w:t xml:space="preserve"> Pacific Power Initial Brief ¶¶ 61-86.</w:t>
      </w:r>
    </w:p>
  </w:footnote>
  <w:footnote w:id="91">
    <w:p w14:paraId="168A87B0" w14:textId="3C1F8C4F" w:rsidR="00EA3F7E" w:rsidRDefault="00EA3F7E">
      <w:pPr>
        <w:pStyle w:val="FootnoteText"/>
      </w:pPr>
      <w:r>
        <w:rPr>
          <w:rStyle w:val="FootnoteReference"/>
        </w:rPr>
        <w:footnoteRef/>
      </w:r>
      <w:r>
        <w:t xml:space="preserve"> QFs were created by Congress in the Public Utilities Regulatory Policy Act (PURPA).  </w:t>
      </w:r>
      <w:hyperlink r:id="rId7" w:history="1">
        <w:r w:rsidRPr="00FD3F04">
          <w:rPr>
            <w:rStyle w:val="Hyperlink"/>
            <w:lang w:val="en"/>
          </w:rPr>
          <w:t>Pub.L. 95–617</w:t>
        </w:r>
      </w:hyperlink>
      <w:r w:rsidRPr="00FD3F04">
        <w:rPr>
          <w:lang w:val="en"/>
        </w:rPr>
        <w:t>, 92 </w:t>
      </w:r>
      <w:hyperlink r:id="rId8" w:tooltip="United States Statutes at Large" w:history="1">
        <w:r w:rsidRPr="00FD3F04">
          <w:rPr>
            <w:rStyle w:val="Hyperlink"/>
            <w:lang w:val="en"/>
          </w:rPr>
          <w:t>Stat.</w:t>
        </w:r>
      </w:hyperlink>
      <w:r w:rsidRPr="00FD3F04">
        <w:rPr>
          <w:lang w:val="en"/>
        </w:rPr>
        <w:t> </w:t>
      </w:r>
      <w:hyperlink r:id="rId9" w:history="1">
        <w:r w:rsidRPr="00FD3F04">
          <w:rPr>
            <w:rStyle w:val="Hyperlink"/>
            <w:lang w:val="en"/>
          </w:rPr>
          <w:t>3117</w:t>
        </w:r>
      </w:hyperlink>
      <w:r w:rsidRPr="00FD3F04">
        <w:rPr>
          <w:lang w:val="en"/>
        </w:rPr>
        <w:t xml:space="preserve"> (enacted November 9, 1978). PURPA was part of the </w:t>
      </w:r>
      <w:hyperlink r:id="rId10" w:tooltip="National Energy Act" w:history="1">
        <w:r w:rsidRPr="00FD3F04">
          <w:rPr>
            <w:rStyle w:val="Hyperlink"/>
            <w:lang w:val="en"/>
          </w:rPr>
          <w:t>National Energy Act</w:t>
        </w:r>
      </w:hyperlink>
      <w:r w:rsidRPr="00FD3F04">
        <w:rPr>
          <w:lang w:val="en"/>
        </w:rPr>
        <w:t xml:space="preserve"> of 1978. </w:t>
      </w:r>
      <w:r>
        <w:rPr>
          <w:lang w:val="en"/>
        </w:rPr>
        <w:t xml:space="preserve"> </w:t>
      </w:r>
      <w:r w:rsidRPr="00FD3F04">
        <w:t xml:space="preserve">PURPA established </w:t>
      </w:r>
      <w:r>
        <w:t>this</w:t>
      </w:r>
      <w:r w:rsidRPr="00FD3F04">
        <w:t xml:space="preserve"> new class of generating facilities that receive special rate and regulatory treatment</w:t>
      </w:r>
      <w:r>
        <w:t xml:space="preserve"> and</w:t>
      </w:r>
      <w:r w:rsidRPr="00FD3F04">
        <w:rPr>
          <w:lang w:val="en"/>
        </w:rPr>
        <w:t xml:space="preserve"> </w:t>
      </w:r>
      <w:r>
        <w:rPr>
          <w:lang w:val="en"/>
        </w:rPr>
        <w:t>requires</w:t>
      </w:r>
      <w:r w:rsidRPr="00FD3F04">
        <w:rPr>
          <w:lang w:val="en"/>
        </w:rPr>
        <w:t xml:space="preserve"> regulated</w:t>
      </w:r>
      <w:r w:rsidRPr="00717231">
        <w:rPr>
          <w:lang w:val="en"/>
        </w:rPr>
        <w:t xml:space="preserve"> </w:t>
      </w:r>
      <w:hyperlink r:id="rId11" w:tooltip="Electric utility" w:history="1">
        <w:r w:rsidRPr="00717231">
          <w:rPr>
            <w:rStyle w:val="Hyperlink"/>
            <w:color w:val="auto"/>
            <w:u w:val="none"/>
            <w:lang w:val="en"/>
          </w:rPr>
          <w:t>electric utilities</w:t>
        </w:r>
      </w:hyperlink>
      <w:r w:rsidRPr="00FD3F04">
        <w:rPr>
          <w:lang w:val="en"/>
        </w:rPr>
        <w:t xml:space="preserve"> such as PacifiCorp to buy power from </w:t>
      </w:r>
      <w:r>
        <w:rPr>
          <w:lang w:val="en"/>
        </w:rPr>
        <w:t>them</w:t>
      </w:r>
      <w:r w:rsidRPr="00FD3F04">
        <w:rPr>
          <w:lang w:val="en"/>
        </w:rPr>
        <w:t xml:space="preserve">, if their cost </w:t>
      </w:r>
      <w:r>
        <w:rPr>
          <w:lang w:val="en"/>
        </w:rPr>
        <w:t>i</w:t>
      </w:r>
      <w:r w:rsidRPr="00FD3F04">
        <w:rPr>
          <w:lang w:val="en"/>
        </w:rPr>
        <w:t xml:space="preserve">s less than the utility's own "avoided cost" rate </w:t>
      </w:r>
      <w:r>
        <w:rPr>
          <w:lang w:val="en"/>
        </w:rPr>
        <w:t>determined by each state public utility commission</w:t>
      </w:r>
      <w:r w:rsidRPr="00FD3F04">
        <w:rPr>
          <w:lang w:val="en"/>
        </w:rPr>
        <w:t>.</w:t>
      </w:r>
      <w:r w:rsidRPr="00FD3F04">
        <w:t xml:space="preserve"> </w:t>
      </w:r>
    </w:p>
  </w:footnote>
  <w:footnote w:id="92">
    <w:p w14:paraId="6CEE2979" w14:textId="76C24F59" w:rsidR="00EA3F7E" w:rsidRDefault="00EA3F7E">
      <w:pPr>
        <w:pStyle w:val="FootnoteText"/>
      </w:pPr>
      <w:r>
        <w:rPr>
          <w:rStyle w:val="FootnoteReference"/>
        </w:rPr>
        <w:footnoteRef/>
      </w:r>
      <w:r>
        <w:t xml:space="preserve"> </w:t>
      </w:r>
      <w:r w:rsidRPr="00897AB3">
        <w:rPr>
          <w:i/>
          <w:iCs/>
        </w:rPr>
        <w:t>WUTC v. PacifiCorp</w:t>
      </w:r>
      <w:r w:rsidRPr="00897AB3">
        <w:rPr>
          <w:iCs/>
        </w:rPr>
        <w:t xml:space="preserve">, Dockets UE-061546 and UE-060817 (consolidated), Order 08, ¶¶ </w:t>
      </w:r>
      <w:r>
        <w:rPr>
          <w:iCs/>
        </w:rPr>
        <w:t>56-57</w:t>
      </w:r>
      <w:r w:rsidRPr="00897AB3">
        <w:rPr>
          <w:iCs/>
        </w:rPr>
        <w:t xml:space="preserve"> (June 21, 2007).</w:t>
      </w:r>
    </w:p>
  </w:footnote>
  <w:footnote w:id="93">
    <w:p w14:paraId="339E1FF6" w14:textId="1F521E31" w:rsidR="00EA3F7E" w:rsidRDefault="00EA3F7E">
      <w:pPr>
        <w:pStyle w:val="FootnoteText"/>
      </w:pPr>
      <w:r>
        <w:rPr>
          <w:rStyle w:val="FootnoteReference"/>
        </w:rPr>
        <w:footnoteRef/>
      </w:r>
      <w:r>
        <w:t xml:space="preserve"> Staff Initial Brief ¶¶ 25-70; Public Counsel Initial Brief ¶¶ 39-40; Boise White Paper Initial Brief ¶¶ 65-75.</w:t>
      </w:r>
    </w:p>
  </w:footnote>
  <w:footnote w:id="94">
    <w:p w14:paraId="6AA5EE44" w14:textId="0A887AA2" w:rsidR="00EA3F7E" w:rsidRDefault="00EA3F7E">
      <w:pPr>
        <w:pStyle w:val="FootnoteText"/>
      </w:pPr>
      <w:r>
        <w:rPr>
          <w:rStyle w:val="FootnoteReference"/>
        </w:rPr>
        <w:footnoteRef/>
      </w:r>
      <w:r>
        <w:t xml:space="preserve"> Boise White Paper Initial Brief ¶¶ 76-83.</w:t>
      </w:r>
    </w:p>
  </w:footnote>
  <w:footnote w:id="95">
    <w:p w14:paraId="5099FE86" w14:textId="0685F26A" w:rsidR="00EA3F7E" w:rsidRDefault="00EA3F7E">
      <w:pPr>
        <w:pStyle w:val="FootnoteText"/>
      </w:pPr>
      <w:r>
        <w:rPr>
          <w:rStyle w:val="FootnoteReference"/>
        </w:rPr>
        <w:footnoteRef/>
      </w:r>
      <w:r>
        <w:t xml:space="preserve"> </w:t>
      </w:r>
      <w:r w:rsidRPr="00A63EFE">
        <w:rPr>
          <w:i/>
        </w:rPr>
        <w:t>Id.</w:t>
      </w:r>
      <w:r>
        <w:t xml:space="preserve"> ¶ 84.</w:t>
      </w:r>
    </w:p>
  </w:footnote>
  <w:footnote w:id="96">
    <w:p w14:paraId="713409D4" w14:textId="04A68A10" w:rsidR="00EA3F7E" w:rsidRDefault="00EA3F7E">
      <w:pPr>
        <w:pStyle w:val="FootnoteText"/>
      </w:pPr>
      <w:r>
        <w:rPr>
          <w:rStyle w:val="FootnoteReference"/>
        </w:rPr>
        <w:footnoteRef/>
      </w:r>
      <w:r>
        <w:t xml:space="preserve"> </w:t>
      </w:r>
      <w:r w:rsidRPr="00A63EFE">
        <w:rPr>
          <w:i/>
        </w:rPr>
        <w:t>Id.</w:t>
      </w:r>
      <w:r w:rsidRPr="00A63EFE">
        <w:t xml:space="preserve"> ¶</w:t>
      </w:r>
      <w:r>
        <w:t>¶ 85-87.</w:t>
      </w:r>
    </w:p>
  </w:footnote>
  <w:footnote w:id="97">
    <w:p w14:paraId="65BE3114" w14:textId="2E6B25D0" w:rsidR="00EA3F7E" w:rsidRDefault="00EA3F7E">
      <w:pPr>
        <w:pStyle w:val="FootnoteText"/>
      </w:pPr>
      <w:r>
        <w:rPr>
          <w:rStyle w:val="FootnoteReference"/>
        </w:rPr>
        <w:footnoteRef/>
      </w:r>
      <w:r>
        <w:t xml:space="preserve"> </w:t>
      </w:r>
      <w:r w:rsidRPr="00A63EFE">
        <w:rPr>
          <w:i/>
        </w:rPr>
        <w:t>Id.</w:t>
      </w:r>
      <w:r w:rsidRPr="00A63EFE">
        <w:t xml:space="preserve"> ¶</w:t>
      </w:r>
      <w:r>
        <w:t>¶ 88-90.</w:t>
      </w:r>
    </w:p>
  </w:footnote>
  <w:footnote w:id="98">
    <w:p w14:paraId="2E1E8515" w14:textId="49AAC837" w:rsidR="00EA3F7E" w:rsidRDefault="00EA3F7E">
      <w:pPr>
        <w:pStyle w:val="FootnoteText"/>
      </w:pPr>
      <w:r>
        <w:rPr>
          <w:rStyle w:val="FootnoteReference"/>
        </w:rPr>
        <w:footnoteRef/>
      </w:r>
      <w:r w:rsidRPr="00B1628F">
        <w:rPr>
          <w:i/>
        </w:rPr>
        <w:t xml:space="preserve"> WUTC v. PacifiCorp</w:t>
      </w:r>
      <w:r>
        <w:t>, Docket UE-130043, Order 05 ¶¶ 74-94 (December 4, 2014).</w:t>
      </w:r>
    </w:p>
  </w:footnote>
  <w:footnote w:id="99">
    <w:p w14:paraId="0403346B" w14:textId="5B186DBF" w:rsidR="00EA3F7E" w:rsidRDefault="00EA3F7E">
      <w:pPr>
        <w:pStyle w:val="FootnoteText"/>
      </w:pPr>
      <w:r>
        <w:rPr>
          <w:rStyle w:val="FootnoteReference"/>
        </w:rPr>
        <w:footnoteRef/>
      </w:r>
      <w:r>
        <w:t xml:space="preserve"> PacifiCorp’s costs are allocated among five of the six states in which it does business as either Pacific Power (Oregon, Washington, and California) or Rocky Mountain Power (Idaho, Utah and Wyoming) using the so-called Revised Protocol.  The Commission rejected the use of this allocation methodology in 2006.  </w:t>
      </w:r>
      <w:r w:rsidRPr="00C517D1">
        <w:rPr>
          <w:i/>
          <w:iCs/>
        </w:rPr>
        <w:t>WUTC v. PacifiCorp,</w:t>
      </w:r>
      <w:r w:rsidRPr="00C517D1">
        <w:rPr>
          <w:iCs/>
        </w:rPr>
        <w:t xml:space="preserve"> Docket UE-050684, Order 04 ¶ 64 (April 17, 2006)</w:t>
      </w:r>
      <w:r>
        <w:rPr>
          <w:iCs/>
        </w:rPr>
        <w:t>.</w:t>
      </w:r>
      <w:r w:rsidRPr="00C517D1">
        <w:rPr>
          <w:sz w:val="25"/>
          <w:szCs w:val="25"/>
        </w:rPr>
        <w:t xml:space="preserve"> </w:t>
      </w:r>
      <w:r w:rsidRPr="00C517D1">
        <w:rPr>
          <w:iCs/>
        </w:rPr>
        <w:t>In the Company’s next general rate case the Commission approved PacifiCorp’s proposed WCA cost-allocation methodology for Washington</w:t>
      </w:r>
      <w:r>
        <w:rPr>
          <w:iCs/>
        </w:rPr>
        <w:t xml:space="preserve">.  </w:t>
      </w:r>
      <w:r w:rsidRPr="00C517D1">
        <w:rPr>
          <w:i/>
          <w:iCs/>
        </w:rPr>
        <w:t>WUTC v. PacifiCorp</w:t>
      </w:r>
      <w:r w:rsidRPr="00C517D1">
        <w:rPr>
          <w:iCs/>
        </w:rPr>
        <w:t>, Dockets UE-061546 and UE-060817 (consolidated), Order 08, ¶¶ 49-52 (June 21, 2007)</w:t>
      </w:r>
      <w:r>
        <w:rPr>
          <w:iCs/>
        </w:rPr>
        <w:t>.  Pacific Power</w:t>
      </w:r>
      <w:r w:rsidRPr="00D36E7C">
        <w:rPr>
          <w:iCs/>
        </w:rPr>
        <w:t xml:space="preserve"> used the approved WCA method in its 2008, 2009, 2010 and 2011 general rate cases in Dockets UE-080220, UE-090205, UE-100749, and UE-111190, respectively.  The Commission extended the WCA trial period in the 2011 procee</w:t>
      </w:r>
      <w:r>
        <w:rPr>
          <w:iCs/>
        </w:rPr>
        <w:t xml:space="preserve">ding, as the parties requested and, following an unsuccessful </w:t>
      </w:r>
      <w:r w:rsidRPr="00D36E7C">
        <w:rPr>
          <w:iCs/>
        </w:rPr>
        <w:t>collaborative process among interested stakeholders</w:t>
      </w:r>
      <w:r>
        <w:rPr>
          <w:iCs/>
        </w:rPr>
        <w:t xml:space="preserve">, Pacific Power again used the WCA, albeit unilaterally proposing to make several changes, including changing the allocation method for QF costs using the Revised Protocol approach.  </w:t>
      </w:r>
    </w:p>
  </w:footnote>
  <w:footnote w:id="100">
    <w:p w14:paraId="1D23CF38" w14:textId="2EDD9503" w:rsidR="00EA3F7E" w:rsidRDefault="00EA3F7E">
      <w:pPr>
        <w:pStyle w:val="FootnoteText"/>
      </w:pPr>
      <w:r>
        <w:rPr>
          <w:rStyle w:val="FootnoteReference"/>
        </w:rPr>
        <w:footnoteRef/>
      </w:r>
      <w:r>
        <w:t xml:space="preserve"> </w:t>
      </w:r>
      <w:r w:rsidRPr="00F32286">
        <w:t xml:space="preserve">Docket UE-130043, Order 05 </w:t>
      </w:r>
      <w:r>
        <w:t>¶¶ 95-114.</w:t>
      </w:r>
    </w:p>
  </w:footnote>
  <w:footnote w:id="101">
    <w:p w14:paraId="0DD93E84" w14:textId="5145B610" w:rsidR="00EA3F7E" w:rsidRDefault="00EA3F7E">
      <w:pPr>
        <w:pStyle w:val="FootnoteText"/>
      </w:pPr>
      <w:r>
        <w:rPr>
          <w:rStyle w:val="FootnoteReference"/>
        </w:rPr>
        <w:footnoteRef/>
      </w:r>
      <w:r>
        <w:t xml:space="preserve"> </w:t>
      </w:r>
      <w:r>
        <w:rPr>
          <w:i/>
        </w:rPr>
        <w:t xml:space="preserve">Id. </w:t>
      </w:r>
      <w:r>
        <w:t>¶¶ 92-94.</w:t>
      </w:r>
    </w:p>
  </w:footnote>
  <w:footnote w:id="102">
    <w:p w14:paraId="44B93B5E" w14:textId="17EDC641" w:rsidR="00EA3F7E" w:rsidRDefault="00EA3F7E">
      <w:pPr>
        <w:pStyle w:val="FootnoteText"/>
      </w:pPr>
      <w:r>
        <w:rPr>
          <w:rStyle w:val="FootnoteReference"/>
        </w:rPr>
        <w:footnoteRef/>
      </w:r>
      <w:r>
        <w:t xml:space="preserve"> </w:t>
      </w:r>
      <w:r>
        <w:rPr>
          <w:i/>
        </w:rPr>
        <w:t>Id.</w:t>
      </w:r>
      <w:r w:rsidRPr="00C954C6">
        <w:t xml:space="preserve"> ¶¶ 74-94.</w:t>
      </w:r>
    </w:p>
  </w:footnote>
  <w:footnote w:id="103">
    <w:p w14:paraId="30DB71D1" w14:textId="1AB89E55" w:rsidR="00EA3F7E" w:rsidRDefault="00EA3F7E" w:rsidP="00E0346A">
      <w:pPr>
        <w:pStyle w:val="FootnoteText"/>
      </w:pPr>
      <w:r>
        <w:rPr>
          <w:rStyle w:val="FootnoteReference"/>
        </w:rPr>
        <w:footnoteRef/>
      </w:r>
      <w:r>
        <w:t xml:space="preserve"> </w:t>
      </w:r>
      <w:r w:rsidRPr="00004E2E">
        <w:rPr>
          <w:i/>
        </w:rPr>
        <w:t>US West Communications, Inc. v WUTC</w:t>
      </w:r>
      <w:r>
        <w:rPr>
          <w:i/>
        </w:rPr>
        <w:t>,</w:t>
      </w:r>
      <w:r>
        <w:t xml:space="preserve"> 134 Wn.2d 74 (1997).  The Supreme Court’s Opinion relates that: </w:t>
      </w:r>
    </w:p>
    <w:p w14:paraId="518B812F" w14:textId="6DAA2EDF" w:rsidR="00EA3F7E" w:rsidRPr="00E0346A" w:rsidRDefault="00EA3F7E" w:rsidP="00E0346A">
      <w:pPr>
        <w:pStyle w:val="FootnoteText"/>
        <w:ind w:left="720" w:right="720"/>
      </w:pPr>
      <w:r w:rsidRPr="00A37AB9">
        <w:t>In May 1994, US West filed its petition in the depreciation case seeking adjustments of its depreciation rates and accounting methodology.</w:t>
      </w:r>
      <w:r>
        <w:t xml:space="preserve"> . . . </w:t>
      </w:r>
      <w:r w:rsidRPr="00A37AB9">
        <w:t>In February 1995, US West filed this rate case. In May 1995, the Commission filed its decision in the depreciation case.</w:t>
      </w:r>
      <w:r>
        <w:t xml:space="preserve"> . . . </w:t>
      </w:r>
      <w:r w:rsidRPr="00E0346A">
        <w:t>In January 1996, after motion, responses and argument, the Commission issued its Eleventh Supplemental Order in the rate case excluding the depreciation evidence from being heard again in the rate case.</w:t>
      </w:r>
      <w:r>
        <w:t xml:space="preserve"> . . .   </w:t>
      </w:r>
      <w:r w:rsidRPr="00E0346A">
        <w:t>US West appealed the rate case to the Superior Court, arguing that the Commission artificially separated the evidence in the depreciation case from the evidence in the rate case. The Superior Court held that it was not incumbent on the Commission to revisit the same issues in the rate case that had just been considered in the depreciation case.</w:t>
      </w:r>
    </w:p>
    <w:p w14:paraId="00E53D1A" w14:textId="5DEFD827" w:rsidR="00EA3F7E" w:rsidRPr="00004E2E" w:rsidRDefault="00EA3F7E">
      <w:pPr>
        <w:pStyle w:val="FootnoteText"/>
      </w:pPr>
      <w:r>
        <w:t>134 Wn. 2d at 103-04.  US West argued to the Supreme Court that the Commission “</w:t>
      </w:r>
      <w:r w:rsidRPr="00E0346A">
        <w:t>was required to consider the depreciation evidence again in the rate case</w:t>
      </w:r>
      <w:r>
        <w:t>” and “</w:t>
      </w:r>
      <w:r w:rsidRPr="00E0346A">
        <w:t>it had new and updated evidence to present on the depreciation issues not available in the depreciation case</w:t>
      </w:r>
      <w:r>
        <w:t xml:space="preserve">.”  </w:t>
      </w:r>
      <w:r w:rsidRPr="00E0346A">
        <w:rPr>
          <w:i/>
        </w:rPr>
        <w:t xml:space="preserve">Id. </w:t>
      </w:r>
      <w:r>
        <w:t>at 104.</w:t>
      </w:r>
    </w:p>
  </w:footnote>
  <w:footnote w:id="104">
    <w:p w14:paraId="4C4CD074" w14:textId="5B8FC286" w:rsidR="00EA3F7E" w:rsidRDefault="00EA3F7E">
      <w:pPr>
        <w:pStyle w:val="FootnoteText"/>
      </w:pPr>
      <w:r>
        <w:rPr>
          <w:rStyle w:val="FootnoteReference"/>
        </w:rPr>
        <w:footnoteRef/>
      </w:r>
      <w:r>
        <w:t xml:space="preserve"> </w:t>
      </w:r>
      <w:r w:rsidRPr="006D7FE5">
        <w:rPr>
          <w:i/>
        </w:rPr>
        <w:t>Id.</w:t>
      </w:r>
      <w:r>
        <w:t xml:space="preserve"> at 105.  The Court acknowledged that it is within the Commission’s discretion under RCW 80.04.200 to rehear issues within the two year stay-out period, and that “[d]iscretionary decisions of the Commission are only set aside on a clear showing of abuse.”  </w:t>
      </w:r>
      <w:r w:rsidRPr="006D7FE5">
        <w:rPr>
          <w:i/>
        </w:rPr>
        <w:t>Id.</w:t>
      </w:r>
    </w:p>
  </w:footnote>
  <w:footnote w:id="105">
    <w:p w14:paraId="7CD27B91" w14:textId="22D39192" w:rsidR="00EA3F7E" w:rsidRDefault="00EA3F7E">
      <w:pPr>
        <w:pStyle w:val="FootnoteText"/>
      </w:pPr>
      <w:r>
        <w:rPr>
          <w:rStyle w:val="FootnoteReference"/>
        </w:rPr>
        <w:footnoteRef/>
      </w:r>
      <w:r>
        <w:t xml:space="preserve"> Duvall, Exh. No. GND-1CT at 18:2-7.</w:t>
      </w:r>
    </w:p>
  </w:footnote>
  <w:footnote w:id="106">
    <w:p w14:paraId="7346CECE" w14:textId="571EC8B6" w:rsidR="00EA3F7E" w:rsidRDefault="00EA3F7E">
      <w:pPr>
        <w:pStyle w:val="FootnoteText"/>
      </w:pPr>
      <w:r>
        <w:rPr>
          <w:rStyle w:val="FootnoteReference"/>
        </w:rPr>
        <w:footnoteRef/>
      </w:r>
      <w:r>
        <w:t xml:space="preserve"> </w:t>
      </w:r>
      <w:r w:rsidRPr="001878E6">
        <w:rPr>
          <w:i/>
        </w:rPr>
        <w:t>Id.</w:t>
      </w:r>
      <w:r>
        <w:t xml:space="preserve"> at 19:17-20:4.</w:t>
      </w:r>
    </w:p>
  </w:footnote>
  <w:footnote w:id="107">
    <w:p w14:paraId="0F681E29" w14:textId="195D4822" w:rsidR="00EA3F7E" w:rsidRDefault="00EA3F7E">
      <w:pPr>
        <w:pStyle w:val="FootnoteText"/>
      </w:pPr>
      <w:r>
        <w:rPr>
          <w:rStyle w:val="FootnoteReference"/>
        </w:rPr>
        <w:footnoteRef/>
      </w:r>
      <w:r>
        <w:t xml:space="preserve"> </w:t>
      </w:r>
      <w:r w:rsidRPr="001878E6">
        <w:rPr>
          <w:i/>
        </w:rPr>
        <w:t>Id.</w:t>
      </w:r>
      <w:r>
        <w:t xml:space="preserve"> at 18:14-17.</w:t>
      </w:r>
    </w:p>
  </w:footnote>
  <w:footnote w:id="108">
    <w:p w14:paraId="1F2FDBC8" w14:textId="785A21E4" w:rsidR="00EA3F7E" w:rsidRPr="001D25A1" w:rsidRDefault="00EA3F7E" w:rsidP="00E73D54">
      <w:pPr>
        <w:pStyle w:val="FootnoteText"/>
        <w:rPr>
          <w:szCs w:val="22"/>
        </w:rPr>
      </w:pPr>
      <w:r w:rsidRPr="001D25A1">
        <w:rPr>
          <w:rStyle w:val="FootnoteReference"/>
          <w:szCs w:val="22"/>
        </w:rPr>
        <w:footnoteRef/>
      </w:r>
      <w:r w:rsidRPr="001D25A1">
        <w:rPr>
          <w:szCs w:val="22"/>
        </w:rPr>
        <w:t xml:space="preserve"> </w:t>
      </w:r>
      <w:r>
        <w:t>Crane, Exh. No. CAC-1CT 2:13-15; 3:6-12.</w:t>
      </w:r>
    </w:p>
  </w:footnote>
  <w:footnote w:id="109">
    <w:p w14:paraId="63120A78" w14:textId="31E9B7DD" w:rsidR="00EA3F7E" w:rsidRDefault="00EA3F7E">
      <w:pPr>
        <w:pStyle w:val="FootnoteText"/>
      </w:pPr>
      <w:r>
        <w:rPr>
          <w:rStyle w:val="FootnoteReference"/>
        </w:rPr>
        <w:footnoteRef/>
      </w:r>
      <w:r>
        <w:t xml:space="preserve"> </w:t>
      </w:r>
      <w:r>
        <w:rPr>
          <w:i/>
        </w:rPr>
        <w:t xml:space="preserve">Id. </w:t>
      </w:r>
      <w:r>
        <w:t>at 4:12-19.</w:t>
      </w:r>
    </w:p>
  </w:footnote>
  <w:footnote w:id="110">
    <w:p w14:paraId="5A1606DB" w14:textId="5306C2B6" w:rsidR="00EA3F7E" w:rsidRDefault="00EA3F7E">
      <w:pPr>
        <w:pStyle w:val="FootnoteText"/>
      </w:pPr>
      <w:r>
        <w:rPr>
          <w:rStyle w:val="FootnoteReference"/>
        </w:rPr>
        <w:footnoteRef/>
      </w:r>
      <w:r>
        <w:t xml:space="preserve"> </w:t>
      </w:r>
      <w:r>
        <w:rPr>
          <w:i/>
        </w:rPr>
        <w:t xml:space="preserve">Id. </w:t>
      </w:r>
      <w:r>
        <w:t xml:space="preserve">at 5:18-20; </w:t>
      </w:r>
      <w:r w:rsidRPr="00FD3BCD">
        <w:rPr>
          <w:i/>
        </w:rPr>
        <w:t>see also</w:t>
      </w:r>
      <w:r>
        <w:t xml:space="preserve"> </w:t>
      </w:r>
      <w:r>
        <w:rPr>
          <w:sz w:val="20"/>
        </w:rPr>
        <w:t xml:space="preserve">Declaration of Cindy A. Crane in Support of Pacific Power’s Response in Opposition to Motion to Strike [Ms. Crane’s rebuttal] Testimony at </w:t>
      </w:r>
      <w:r>
        <w:rPr>
          <w:rFonts w:cs="Times"/>
          <w:sz w:val="20"/>
        </w:rPr>
        <w:t xml:space="preserve">¶¶ </w:t>
      </w:r>
      <w:r>
        <w:rPr>
          <w:sz w:val="20"/>
        </w:rPr>
        <w:t>5-6.</w:t>
      </w:r>
    </w:p>
  </w:footnote>
  <w:footnote w:id="111">
    <w:p w14:paraId="6ED95A4F" w14:textId="77777777" w:rsidR="00EA3F7E" w:rsidRDefault="00EA3F7E" w:rsidP="00FB2703">
      <w:pPr>
        <w:pStyle w:val="FootnoteText"/>
      </w:pPr>
      <w:r>
        <w:rPr>
          <w:rStyle w:val="FootnoteReference"/>
        </w:rPr>
        <w:footnoteRef/>
      </w:r>
      <w:r>
        <w:t xml:space="preserve"> </w:t>
      </w:r>
      <w:r>
        <w:rPr>
          <w:i/>
        </w:rPr>
        <w:t xml:space="preserve">Id. </w:t>
      </w:r>
      <w:r>
        <w:t>at 11:6-13.</w:t>
      </w:r>
    </w:p>
  </w:footnote>
  <w:footnote w:id="112">
    <w:p w14:paraId="14728E04" w14:textId="69E2821A" w:rsidR="00EA3F7E" w:rsidRDefault="00EA3F7E">
      <w:pPr>
        <w:pStyle w:val="FootnoteText"/>
      </w:pPr>
      <w:r>
        <w:rPr>
          <w:rStyle w:val="FootnoteReference"/>
        </w:rPr>
        <w:footnoteRef/>
      </w:r>
      <w:r>
        <w:t xml:space="preserve"> The exact amount is confidential as shown in Crane, Exh. No. CAC-1CT at 11:11-13.</w:t>
      </w:r>
    </w:p>
  </w:footnote>
  <w:footnote w:id="113">
    <w:p w14:paraId="0A0F445A" w14:textId="77777777" w:rsidR="00EA3F7E" w:rsidRDefault="00EA3F7E" w:rsidP="00F43FB4">
      <w:pPr>
        <w:pStyle w:val="FootnoteText"/>
      </w:pPr>
      <w:r>
        <w:rPr>
          <w:rStyle w:val="FootnoteReference"/>
        </w:rPr>
        <w:footnoteRef/>
      </w:r>
      <w:r>
        <w:t xml:space="preserve"> Mullins, Exh. No. BGM-5CT, at 2.1.1.</w:t>
      </w:r>
    </w:p>
  </w:footnote>
  <w:footnote w:id="114">
    <w:p w14:paraId="06BDE91F" w14:textId="77777777" w:rsidR="00EA3F7E" w:rsidRDefault="00EA3F7E" w:rsidP="00F43FB4">
      <w:pPr>
        <w:pStyle w:val="FootnoteText"/>
      </w:pPr>
      <w:r>
        <w:rPr>
          <w:rStyle w:val="FootnoteReference"/>
        </w:rPr>
        <w:footnoteRef/>
      </w:r>
      <w:r>
        <w:t xml:space="preserve"> Duvall, Exh. No. GND-1CT, at 7:4-9.</w:t>
      </w:r>
    </w:p>
  </w:footnote>
  <w:footnote w:id="115">
    <w:p w14:paraId="3EA4F51F" w14:textId="56D2A020" w:rsidR="00EA3F7E" w:rsidRDefault="00EA3F7E" w:rsidP="00F43FB4">
      <w:pPr>
        <w:pStyle w:val="FootnoteText"/>
      </w:pPr>
      <w:r>
        <w:rPr>
          <w:rStyle w:val="FootnoteReference"/>
        </w:rPr>
        <w:footnoteRef/>
      </w:r>
      <w:r>
        <w:t xml:space="preserve"> </w:t>
      </w:r>
      <w:r>
        <w:rPr>
          <w:i/>
        </w:rPr>
        <w:t>Id.</w:t>
      </w:r>
      <w:r>
        <w:t xml:space="preserve"> at 7:12-15.</w:t>
      </w:r>
    </w:p>
  </w:footnote>
  <w:footnote w:id="116">
    <w:p w14:paraId="595C7C34" w14:textId="77777777" w:rsidR="00EA3F7E" w:rsidRDefault="00EA3F7E">
      <w:pPr>
        <w:pStyle w:val="FootnoteText"/>
      </w:pPr>
      <w:r>
        <w:rPr>
          <w:rStyle w:val="FootnoteReference"/>
        </w:rPr>
        <w:footnoteRef/>
      </w:r>
      <w:r>
        <w:t xml:space="preserve"> Mullins, Exh. No. BGM-1CT at 19:2-6.</w:t>
      </w:r>
    </w:p>
  </w:footnote>
  <w:footnote w:id="117">
    <w:p w14:paraId="4C15BDD7" w14:textId="77777777" w:rsidR="00EA3F7E" w:rsidRDefault="00EA3F7E">
      <w:pPr>
        <w:pStyle w:val="FootnoteText"/>
      </w:pPr>
      <w:r w:rsidRPr="00DB7471">
        <w:rPr>
          <w:rStyle w:val="FootnoteReference"/>
        </w:rPr>
        <w:footnoteRef/>
      </w:r>
      <w:r w:rsidRPr="00DB7471">
        <w:rPr>
          <w:i/>
        </w:rPr>
        <w:t xml:space="preserve"> Id.</w:t>
      </w:r>
      <w:r>
        <w:t xml:space="preserve"> at 19:16-23.</w:t>
      </w:r>
    </w:p>
  </w:footnote>
  <w:footnote w:id="118">
    <w:p w14:paraId="7920D0F8" w14:textId="77777777" w:rsidR="00EA3F7E" w:rsidRDefault="00EA3F7E" w:rsidP="00DB7471">
      <w:pPr>
        <w:pStyle w:val="FootnoteText"/>
      </w:pPr>
      <w:r>
        <w:rPr>
          <w:rStyle w:val="FootnoteReference"/>
        </w:rPr>
        <w:footnoteRef/>
      </w:r>
      <w:r>
        <w:t xml:space="preserve"> Mullins, Exh. No. BGM-5CT. </w:t>
      </w:r>
    </w:p>
  </w:footnote>
  <w:footnote w:id="119">
    <w:p w14:paraId="7AFDC190" w14:textId="55C1E7BF" w:rsidR="00EA3F7E" w:rsidRDefault="00EA3F7E" w:rsidP="00DB7471">
      <w:pPr>
        <w:pStyle w:val="FootnoteText"/>
      </w:pPr>
      <w:r>
        <w:rPr>
          <w:rStyle w:val="FootnoteReference"/>
        </w:rPr>
        <w:footnoteRef/>
      </w:r>
      <w:r>
        <w:t xml:space="preserve"> Mullins, Exh. No. BGM-1CT at 31:5-9.</w:t>
      </w:r>
    </w:p>
  </w:footnote>
  <w:footnote w:id="120">
    <w:p w14:paraId="73F79ABC" w14:textId="29E019B3" w:rsidR="00EA3F7E" w:rsidRDefault="00EA3F7E" w:rsidP="00DB7471">
      <w:pPr>
        <w:pStyle w:val="FootnoteText"/>
      </w:pPr>
      <w:r>
        <w:rPr>
          <w:rStyle w:val="FootnoteReference"/>
        </w:rPr>
        <w:footnoteRef/>
      </w:r>
      <w:r>
        <w:t xml:space="preserve"> </w:t>
      </w:r>
      <w:r>
        <w:rPr>
          <w:i/>
        </w:rPr>
        <w:t>Id.</w:t>
      </w:r>
      <w:r>
        <w:t xml:space="preserve"> at 21:3-7.</w:t>
      </w:r>
    </w:p>
  </w:footnote>
  <w:footnote w:id="121">
    <w:p w14:paraId="7CF80E03" w14:textId="0AE45BE0" w:rsidR="00EA3F7E" w:rsidRDefault="00EA3F7E" w:rsidP="00DB7471">
      <w:pPr>
        <w:pStyle w:val="FootnoteText"/>
      </w:pPr>
      <w:r>
        <w:rPr>
          <w:rStyle w:val="FootnoteReference"/>
        </w:rPr>
        <w:footnoteRef/>
      </w:r>
      <w:r>
        <w:t xml:space="preserve"> Duvall, Exh. No. GND-4CT at 30:21-23.</w:t>
      </w:r>
    </w:p>
  </w:footnote>
  <w:footnote w:id="122">
    <w:p w14:paraId="533E82B3" w14:textId="58AC622D" w:rsidR="00EA3F7E" w:rsidRDefault="00EA3F7E" w:rsidP="00DB7471">
      <w:pPr>
        <w:pStyle w:val="FootnoteText"/>
      </w:pPr>
      <w:r>
        <w:rPr>
          <w:rStyle w:val="FootnoteReference"/>
        </w:rPr>
        <w:footnoteRef/>
      </w:r>
      <w:r>
        <w:t xml:space="preserve"> </w:t>
      </w:r>
      <w:r>
        <w:rPr>
          <w:i/>
        </w:rPr>
        <w:t>Id.</w:t>
      </w:r>
      <w:r>
        <w:t xml:space="preserve"> at 30:23-31:3.</w:t>
      </w:r>
    </w:p>
  </w:footnote>
  <w:footnote w:id="123">
    <w:p w14:paraId="2028DF60" w14:textId="77777777" w:rsidR="00EA3F7E" w:rsidRDefault="00EA3F7E">
      <w:pPr>
        <w:pStyle w:val="FootnoteText"/>
      </w:pPr>
      <w:r>
        <w:rPr>
          <w:rStyle w:val="FootnoteReference"/>
        </w:rPr>
        <w:footnoteRef/>
      </w:r>
      <w:r>
        <w:t xml:space="preserve"> </w:t>
      </w:r>
      <w:r w:rsidRPr="009A66C8">
        <w:rPr>
          <w:i/>
        </w:rPr>
        <w:t xml:space="preserve">Id. </w:t>
      </w:r>
      <w:r>
        <w:t>at 31:18-23.</w:t>
      </w:r>
    </w:p>
  </w:footnote>
  <w:footnote w:id="124">
    <w:p w14:paraId="5B0E3140" w14:textId="77777777" w:rsidR="00EA3F7E" w:rsidRDefault="00EA3F7E">
      <w:pPr>
        <w:pStyle w:val="FootnoteText"/>
      </w:pPr>
      <w:r>
        <w:rPr>
          <w:rStyle w:val="FootnoteReference"/>
        </w:rPr>
        <w:footnoteRef/>
      </w:r>
      <w:r>
        <w:t xml:space="preserve"> </w:t>
      </w:r>
      <w:r w:rsidRPr="009A66C8">
        <w:rPr>
          <w:i/>
        </w:rPr>
        <w:t>Id.</w:t>
      </w:r>
    </w:p>
  </w:footnote>
  <w:footnote w:id="125">
    <w:p w14:paraId="4A845A1D" w14:textId="77777777" w:rsidR="00EA3F7E" w:rsidRDefault="00EA3F7E">
      <w:pPr>
        <w:pStyle w:val="FootnoteText"/>
      </w:pPr>
      <w:r>
        <w:rPr>
          <w:rStyle w:val="FootnoteReference"/>
        </w:rPr>
        <w:footnoteRef/>
      </w:r>
      <w:r>
        <w:t xml:space="preserve"> </w:t>
      </w:r>
      <w:r w:rsidRPr="00A15F55">
        <w:rPr>
          <w:i/>
        </w:rPr>
        <w:t xml:space="preserve">Id. </w:t>
      </w:r>
      <w:r w:rsidRPr="00A15F55">
        <w:t xml:space="preserve">at </w:t>
      </w:r>
      <w:r>
        <w:t>33:18-34:6.</w:t>
      </w:r>
    </w:p>
  </w:footnote>
  <w:footnote w:id="126">
    <w:p w14:paraId="5281D9A9" w14:textId="326DC0AD" w:rsidR="00EA3F7E" w:rsidRPr="00CE6250" w:rsidRDefault="00EA3F7E">
      <w:pPr>
        <w:pStyle w:val="FootnoteText"/>
      </w:pPr>
      <w:r>
        <w:rPr>
          <w:rStyle w:val="FootnoteReference"/>
        </w:rPr>
        <w:footnoteRef/>
      </w:r>
      <w:r>
        <w:t xml:space="preserve"> </w:t>
      </w:r>
      <w:r w:rsidRPr="00A15F55">
        <w:rPr>
          <w:i/>
        </w:rPr>
        <w:t>Id.</w:t>
      </w:r>
      <w:r>
        <w:t xml:space="preserve">  The Company’s proprietary power cost model is identified as GRID, the acronym for Generation Regulation Initiative Decision.</w:t>
      </w:r>
    </w:p>
  </w:footnote>
  <w:footnote w:id="127">
    <w:p w14:paraId="5A87FB0A" w14:textId="77777777" w:rsidR="00EA3F7E" w:rsidRDefault="00EA3F7E">
      <w:pPr>
        <w:pStyle w:val="FootnoteText"/>
      </w:pPr>
      <w:r>
        <w:rPr>
          <w:rStyle w:val="FootnoteReference"/>
        </w:rPr>
        <w:footnoteRef/>
      </w:r>
      <w:r>
        <w:t xml:space="preserve"> </w:t>
      </w:r>
      <w:r w:rsidRPr="00551F79">
        <w:rPr>
          <w:i/>
        </w:rPr>
        <w:t xml:space="preserve">Id. </w:t>
      </w:r>
      <w:r w:rsidRPr="00551F79">
        <w:t xml:space="preserve">at </w:t>
      </w:r>
      <w:r>
        <w:t>34:9-10.</w:t>
      </w:r>
    </w:p>
  </w:footnote>
  <w:footnote w:id="128">
    <w:p w14:paraId="2DB695E3" w14:textId="77777777" w:rsidR="00EA3F7E" w:rsidRDefault="00EA3F7E">
      <w:pPr>
        <w:pStyle w:val="FootnoteText"/>
      </w:pPr>
      <w:r>
        <w:rPr>
          <w:rStyle w:val="FootnoteReference"/>
        </w:rPr>
        <w:footnoteRef/>
      </w:r>
      <w:r>
        <w:t xml:space="preserve"> </w:t>
      </w:r>
      <w:r w:rsidRPr="00551F79">
        <w:rPr>
          <w:i/>
        </w:rPr>
        <w:t xml:space="preserve">Id. </w:t>
      </w:r>
      <w:r w:rsidRPr="00551F79">
        <w:t>at</w:t>
      </w:r>
      <w:r>
        <w:t xml:space="preserve"> 34:14-18.</w:t>
      </w:r>
    </w:p>
  </w:footnote>
  <w:footnote w:id="129">
    <w:p w14:paraId="2A44FB07" w14:textId="2990628D" w:rsidR="00EA3F7E" w:rsidRDefault="00EA3F7E">
      <w:pPr>
        <w:pStyle w:val="FootnoteText"/>
      </w:pPr>
      <w:r>
        <w:rPr>
          <w:rStyle w:val="FootnoteReference"/>
        </w:rPr>
        <w:footnoteRef/>
      </w:r>
      <w:r>
        <w:t xml:space="preserve"> Mullins, Exh. No. BGM-1CT at 45:1-9.</w:t>
      </w:r>
    </w:p>
  </w:footnote>
  <w:footnote w:id="130">
    <w:p w14:paraId="42EA1BC5" w14:textId="3A467B46" w:rsidR="00EA3F7E" w:rsidRDefault="00EA3F7E">
      <w:pPr>
        <w:pStyle w:val="FootnoteText"/>
      </w:pPr>
      <w:r>
        <w:rPr>
          <w:rStyle w:val="FootnoteReference"/>
        </w:rPr>
        <w:footnoteRef/>
      </w:r>
      <w:r>
        <w:t xml:space="preserve"> </w:t>
      </w:r>
      <w:r w:rsidRPr="001D60AF">
        <w:rPr>
          <w:i/>
        </w:rPr>
        <w:t>Id.</w:t>
      </w:r>
    </w:p>
  </w:footnote>
  <w:footnote w:id="131">
    <w:p w14:paraId="1113849C" w14:textId="19A27809" w:rsidR="00EA3F7E" w:rsidRDefault="00EA3F7E">
      <w:pPr>
        <w:pStyle w:val="FootnoteText"/>
      </w:pPr>
      <w:r>
        <w:rPr>
          <w:rStyle w:val="FootnoteReference"/>
        </w:rPr>
        <w:footnoteRef/>
      </w:r>
      <w:r>
        <w:t xml:space="preserve"> Duvall, Exh. No. GND-4T at 65:2-7.</w:t>
      </w:r>
    </w:p>
  </w:footnote>
  <w:footnote w:id="132">
    <w:p w14:paraId="5A4D812A" w14:textId="77777777" w:rsidR="00EA3F7E" w:rsidRDefault="00EA3F7E" w:rsidP="00394D09">
      <w:pPr>
        <w:pStyle w:val="FootnoteText"/>
      </w:pPr>
      <w:r>
        <w:rPr>
          <w:rStyle w:val="FootnoteReference"/>
        </w:rPr>
        <w:footnoteRef/>
      </w:r>
      <w:r>
        <w:t xml:space="preserve"> </w:t>
      </w:r>
      <w:r>
        <w:rPr>
          <w:i/>
        </w:rPr>
        <w:t>Id.</w:t>
      </w:r>
      <w:r>
        <w:t xml:space="preserve"> at 66:1-8.  </w:t>
      </w:r>
    </w:p>
  </w:footnote>
  <w:footnote w:id="133">
    <w:p w14:paraId="2AC991F2" w14:textId="77777777" w:rsidR="00EA3F7E" w:rsidRDefault="00EA3F7E" w:rsidP="00394D09">
      <w:pPr>
        <w:pStyle w:val="FootnoteText"/>
      </w:pPr>
      <w:r>
        <w:rPr>
          <w:rStyle w:val="FootnoteReference"/>
        </w:rPr>
        <w:footnoteRef/>
      </w:r>
      <w:r>
        <w:t xml:space="preserve"> </w:t>
      </w:r>
      <w:r>
        <w:rPr>
          <w:i/>
        </w:rPr>
        <w:t>Id.</w:t>
      </w:r>
      <w:r>
        <w:t xml:space="preserve"> at 65:9-15.</w:t>
      </w:r>
    </w:p>
  </w:footnote>
  <w:footnote w:id="134">
    <w:p w14:paraId="472423C8" w14:textId="44A54BDF" w:rsidR="00EA3F7E" w:rsidRDefault="00EA3F7E">
      <w:pPr>
        <w:pStyle w:val="FootnoteText"/>
      </w:pPr>
      <w:r>
        <w:rPr>
          <w:rStyle w:val="FootnoteReference"/>
        </w:rPr>
        <w:footnoteRef/>
      </w:r>
      <w:r>
        <w:t xml:space="preserve"> </w:t>
      </w:r>
      <w:r w:rsidRPr="00702C6E">
        <w:rPr>
          <w:i/>
        </w:rPr>
        <w:t>See generally</w:t>
      </w:r>
      <w:r>
        <w:t xml:space="preserve"> Duvall, Exh. No. GND-1CT at 26:3-29:9.</w:t>
      </w:r>
    </w:p>
  </w:footnote>
  <w:footnote w:id="135">
    <w:p w14:paraId="00083480" w14:textId="720F509A" w:rsidR="00EA3F7E" w:rsidRDefault="00EA3F7E" w:rsidP="00672520">
      <w:pPr>
        <w:pStyle w:val="FootnoteText"/>
      </w:pPr>
      <w:r>
        <w:rPr>
          <w:rStyle w:val="FootnoteReference"/>
        </w:rPr>
        <w:footnoteRef/>
      </w:r>
      <w:r>
        <w:t xml:space="preserve"> </w:t>
      </w:r>
      <w:r w:rsidRPr="002D4489">
        <w:t>Y. H. Wan</w:t>
      </w:r>
      <w:r>
        <w:t>,</w:t>
      </w:r>
      <w:r w:rsidRPr="002D4489">
        <w:t xml:space="preserve"> </w:t>
      </w:r>
      <w:r w:rsidRPr="00EB1853">
        <w:rPr>
          <w:i/>
        </w:rPr>
        <w:t>Long-Term Wind Power Variability</w:t>
      </w:r>
      <w:r w:rsidRPr="002D4489">
        <w:t>. Technical Report, NREL/TP-5500-53637</w:t>
      </w:r>
      <w:r>
        <w:t xml:space="preserve"> (Jan. 2012)</w:t>
      </w:r>
      <w:r w:rsidRPr="002D4489">
        <w:t xml:space="preserve">. </w:t>
      </w:r>
      <w:r>
        <w:t xml:space="preserve"> Available</w:t>
      </w:r>
      <w:r w:rsidRPr="002D4489">
        <w:t xml:space="preserve"> online at </w:t>
      </w:r>
      <w:hyperlink r:id="rId12" w:history="1">
        <w:r w:rsidRPr="001A235F">
          <w:rPr>
            <w:rStyle w:val="Hyperlink"/>
          </w:rPr>
          <w:t>http://www.nrel.gov/docs/fy12osti/53637.pdf</w:t>
        </w:r>
      </w:hyperlink>
      <w:r>
        <w:t xml:space="preserve">. </w:t>
      </w:r>
    </w:p>
  </w:footnote>
  <w:footnote w:id="136">
    <w:p w14:paraId="040FC2FC" w14:textId="5C76A68A" w:rsidR="00EA3F7E" w:rsidRDefault="00EA3F7E">
      <w:pPr>
        <w:pStyle w:val="FootnoteText"/>
      </w:pPr>
      <w:r>
        <w:rPr>
          <w:rStyle w:val="FootnoteReference"/>
        </w:rPr>
        <w:footnoteRef/>
      </w:r>
      <w:r>
        <w:t xml:space="preserve"> </w:t>
      </w:r>
      <w:r w:rsidRPr="00672520">
        <w:t>Duvall, Exh. No. GND-1CT at</w:t>
      </w:r>
      <w:r>
        <w:t xml:space="preserve"> </w:t>
      </w:r>
      <w:r w:rsidRPr="00672520">
        <w:t>28:16-29:</w:t>
      </w:r>
      <w:r>
        <w:t>2.</w:t>
      </w:r>
    </w:p>
  </w:footnote>
  <w:footnote w:id="137">
    <w:p w14:paraId="17347327" w14:textId="6326C9CA" w:rsidR="00EA3F7E" w:rsidRDefault="00EA3F7E">
      <w:pPr>
        <w:pStyle w:val="FootnoteText"/>
      </w:pPr>
      <w:r>
        <w:rPr>
          <w:rStyle w:val="FootnoteReference"/>
        </w:rPr>
        <w:footnoteRef/>
      </w:r>
      <w:r>
        <w:t xml:space="preserve"> </w:t>
      </w:r>
      <w:r w:rsidRPr="00672520">
        <w:rPr>
          <w:i/>
        </w:rPr>
        <w:t>Id.</w:t>
      </w:r>
      <w:r>
        <w:t xml:space="preserve"> at 29:3-29:9.</w:t>
      </w:r>
    </w:p>
  </w:footnote>
  <w:footnote w:id="138">
    <w:p w14:paraId="1C0B4C51" w14:textId="268B37F9" w:rsidR="00EA3F7E" w:rsidRDefault="00EA3F7E">
      <w:pPr>
        <w:pStyle w:val="FootnoteText"/>
      </w:pPr>
      <w:r>
        <w:rPr>
          <w:rStyle w:val="FootnoteReference"/>
        </w:rPr>
        <w:footnoteRef/>
      </w:r>
      <w:r>
        <w:t xml:space="preserve"> Mullins, Exh. No. BGM-1CTr at 46:18-47:9.</w:t>
      </w:r>
    </w:p>
  </w:footnote>
  <w:footnote w:id="139">
    <w:p w14:paraId="0E2185F6" w14:textId="793316F1" w:rsidR="00EA3F7E" w:rsidRDefault="00EA3F7E">
      <w:pPr>
        <w:pStyle w:val="FootnoteText"/>
      </w:pPr>
      <w:r>
        <w:rPr>
          <w:rStyle w:val="FootnoteReference"/>
        </w:rPr>
        <w:footnoteRef/>
      </w:r>
      <w:r>
        <w:t xml:space="preserve"> </w:t>
      </w:r>
      <w:r w:rsidRPr="00C40830">
        <w:rPr>
          <w:i/>
        </w:rPr>
        <w:t>See generally</w:t>
      </w:r>
      <w:r>
        <w:t xml:space="preserve"> Duvall, Exh. No. GND-4T at 48:18-51:15.</w:t>
      </w:r>
    </w:p>
  </w:footnote>
  <w:footnote w:id="140">
    <w:p w14:paraId="7755E48B" w14:textId="27639700" w:rsidR="00EA3F7E" w:rsidRDefault="00EA3F7E">
      <w:pPr>
        <w:pStyle w:val="FootnoteText"/>
      </w:pPr>
      <w:r>
        <w:rPr>
          <w:rStyle w:val="FootnoteReference"/>
        </w:rPr>
        <w:footnoteRef/>
      </w:r>
      <w:r>
        <w:t xml:space="preserve"> Mullins, Exh. No. BGM-1CTr at 49:6-16.</w:t>
      </w:r>
    </w:p>
  </w:footnote>
  <w:footnote w:id="141">
    <w:p w14:paraId="412D3F6E" w14:textId="69CC2BAF" w:rsidR="00EA3F7E" w:rsidRDefault="00EA3F7E">
      <w:pPr>
        <w:pStyle w:val="FootnoteText"/>
      </w:pPr>
      <w:r>
        <w:rPr>
          <w:rStyle w:val="FootnoteReference"/>
        </w:rPr>
        <w:footnoteRef/>
      </w:r>
      <w:r>
        <w:t xml:space="preserve"> </w:t>
      </w:r>
      <w:r w:rsidRPr="00BF4FA7">
        <w:t>Duvall, Exh. No. GND-4T at 51:4-15.</w:t>
      </w:r>
    </w:p>
  </w:footnote>
  <w:footnote w:id="142">
    <w:p w14:paraId="350FD8A3" w14:textId="02017617" w:rsidR="00EA3F7E" w:rsidRDefault="00EA3F7E">
      <w:pPr>
        <w:pStyle w:val="FootnoteText"/>
      </w:pPr>
      <w:r>
        <w:rPr>
          <w:rStyle w:val="FootnoteReference"/>
        </w:rPr>
        <w:footnoteRef/>
      </w:r>
      <w:r>
        <w:t xml:space="preserve"> </w:t>
      </w:r>
      <w:r w:rsidRPr="00EC3FCD">
        <w:rPr>
          <w:i/>
        </w:rPr>
        <w:t>Id.</w:t>
      </w:r>
    </w:p>
  </w:footnote>
  <w:footnote w:id="143">
    <w:p w14:paraId="051D6322" w14:textId="77777777" w:rsidR="00EA3F7E" w:rsidRDefault="00EA3F7E" w:rsidP="00A8123A">
      <w:pPr>
        <w:pStyle w:val="FootnoteText"/>
      </w:pPr>
      <w:r>
        <w:rPr>
          <w:rStyle w:val="FootnoteReference"/>
        </w:rPr>
        <w:footnoteRef/>
      </w:r>
      <w:r>
        <w:t xml:space="preserve"> </w:t>
      </w:r>
      <w:r w:rsidRPr="00A8123A">
        <w:t xml:space="preserve">Mullins, Exh. No. BGM-1CTr at 50:13-15.     </w:t>
      </w:r>
    </w:p>
  </w:footnote>
  <w:footnote w:id="144">
    <w:p w14:paraId="4684D8FE" w14:textId="2690DA35" w:rsidR="00EA3F7E" w:rsidRDefault="00EA3F7E" w:rsidP="00A8123A">
      <w:pPr>
        <w:pStyle w:val="FootnoteText"/>
      </w:pPr>
      <w:r>
        <w:rPr>
          <w:rStyle w:val="FootnoteReference"/>
        </w:rPr>
        <w:footnoteRef/>
      </w:r>
      <w:r>
        <w:t xml:space="preserve"> Pacific Power Initial Brief ¶ 114 (citing </w:t>
      </w:r>
      <w:r>
        <w:rPr>
          <w:i/>
        </w:rPr>
        <w:t>WUTC v. PacifiCorp</w:t>
      </w:r>
      <w:r>
        <w:t>, Docket UE-100749, Order 06 ¶ 139 (Mar. 25, 2011)).</w:t>
      </w:r>
    </w:p>
  </w:footnote>
  <w:footnote w:id="145">
    <w:p w14:paraId="718554EC" w14:textId="77777777" w:rsidR="00EA3F7E" w:rsidRDefault="00EA3F7E" w:rsidP="00A8123A">
      <w:pPr>
        <w:pStyle w:val="FootnoteText"/>
      </w:pPr>
      <w:r>
        <w:rPr>
          <w:rStyle w:val="FootnoteReference"/>
        </w:rPr>
        <w:footnoteRef/>
      </w:r>
      <w:r>
        <w:t xml:space="preserve"> Mullins, Exh. No. BGM-1CT 50:11-13.</w:t>
      </w:r>
    </w:p>
  </w:footnote>
  <w:footnote w:id="146">
    <w:p w14:paraId="232EBD35" w14:textId="1CA85200" w:rsidR="00EA3F7E" w:rsidRDefault="00EA3F7E">
      <w:pPr>
        <w:pStyle w:val="FootnoteText"/>
      </w:pPr>
      <w:r>
        <w:rPr>
          <w:rStyle w:val="FootnoteReference"/>
        </w:rPr>
        <w:footnoteRef/>
      </w:r>
      <w:r>
        <w:t xml:space="preserve"> </w:t>
      </w:r>
      <w:r w:rsidRPr="00831A49">
        <w:rPr>
          <w:i/>
        </w:rPr>
        <w:t>WUTC v. PacifiCorp</w:t>
      </w:r>
      <w:r>
        <w:t>, Docket UE-100749, Order 06 ¶ 141 (March 25, 2011) (emphasis added).</w:t>
      </w:r>
    </w:p>
  </w:footnote>
  <w:footnote w:id="147">
    <w:p w14:paraId="15772D6D" w14:textId="59AE7A02" w:rsidR="00EA3F7E" w:rsidRDefault="00EA3F7E">
      <w:pPr>
        <w:pStyle w:val="FootnoteText"/>
      </w:pPr>
      <w:r>
        <w:rPr>
          <w:rStyle w:val="FootnoteReference"/>
        </w:rPr>
        <w:footnoteRef/>
      </w:r>
      <w:r>
        <w:t xml:space="preserve"> Boise White Paper Reply Brief ¶ 55.</w:t>
      </w:r>
    </w:p>
  </w:footnote>
  <w:footnote w:id="148">
    <w:p w14:paraId="458C6044" w14:textId="3FD22CA5" w:rsidR="00EA3F7E" w:rsidRDefault="00EA3F7E">
      <w:pPr>
        <w:pStyle w:val="FootnoteText"/>
      </w:pPr>
      <w:r>
        <w:rPr>
          <w:rStyle w:val="FootnoteReference"/>
        </w:rPr>
        <w:footnoteRef/>
      </w:r>
      <w:r>
        <w:t xml:space="preserve"> Pacific Power did not own the Chehalis plant in 2006.</w:t>
      </w:r>
    </w:p>
  </w:footnote>
  <w:footnote w:id="149">
    <w:p w14:paraId="2D3A732C" w14:textId="3DD28429" w:rsidR="00EA3F7E" w:rsidRDefault="00EA3F7E">
      <w:pPr>
        <w:pStyle w:val="FootnoteText"/>
      </w:pPr>
      <w:r>
        <w:rPr>
          <w:rStyle w:val="FootnoteReference"/>
        </w:rPr>
        <w:footnoteRef/>
      </w:r>
      <w:r>
        <w:t xml:space="preserve"> Pacific Power Initial Brief ¶ 116 (citing </w:t>
      </w:r>
      <w:r w:rsidRPr="005B11E1">
        <w:t xml:space="preserve">Ralston, Exh. No. DMR-2T </w:t>
      </w:r>
      <w:r>
        <w:t xml:space="preserve">at </w:t>
      </w:r>
      <w:r w:rsidRPr="005B11E1">
        <w:t>4:20-5:5, 6:5-16, 6:21-7:22, 8:1-10</w:t>
      </w:r>
      <w:r>
        <w:t>)</w:t>
      </w:r>
      <w:r w:rsidRPr="005B11E1">
        <w:t>.</w:t>
      </w:r>
    </w:p>
  </w:footnote>
  <w:footnote w:id="150">
    <w:p w14:paraId="57DC2890" w14:textId="4C679BD8" w:rsidR="00EA3F7E" w:rsidRDefault="00EA3F7E">
      <w:pPr>
        <w:pStyle w:val="FootnoteText"/>
      </w:pPr>
      <w:r>
        <w:rPr>
          <w:rStyle w:val="FootnoteReference"/>
        </w:rPr>
        <w:footnoteRef/>
      </w:r>
      <w:r>
        <w:t xml:space="preserve"> </w:t>
      </w:r>
      <w:r w:rsidRPr="007F72C5">
        <w:rPr>
          <w:i/>
        </w:rPr>
        <w:t>Id.</w:t>
      </w:r>
      <w:r>
        <w:t xml:space="preserve"> (citing </w:t>
      </w:r>
      <w:r w:rsidRPr="007F72C5">
        <w:t>Ralston, Exh. No. DMR-2T at 4:18-5:5, 6:11-12</w:t>
      </w:r>
      <w:r>
        <w:t>)</w:t>
      </w:r>
      <w:r w:rsidRPr="007F72C5">
        <w:t>.</w:t>
      </w:r>
    </w:p>
  </w:footnote>
  <w:footnote w:id="151">
    <w:p w14:paraId="1DF671E1" w14:textId="6C81CCEB" w:rsidR="00EA3F7E" w:rsidRPr="007F72C5" w:rsidRDefault="00EA3F7E">
      <w:pPr>
        <w:pStyle w:val="FootnoteText"/>
      </w:pPr>
      <w:r>
        <w:rPr>
          <w:rStyle w:val="FootnoteReference"/>
        </w:rPr>
        <w:footnoteRef/>
      </w:r>
      <w:r>
        <w:t xml:space="preserve"> </w:t>
      </w:r>
      <w:r w:rsidRPr="007F72C5">
        <w:rPr>
          <w:i/>
        </w:rPr>
        <w:t>Id.</w:t>
      </w:r>
      <w:r>
        <w:t xml:space="preserve"> ¶ 117 (quoting Mullins, TR. 750:2-751:4).</w:t>
      </w:r>
    </w:p>
  </w:footnote>
  <w:footnote w:id="152">
    <w:p w14:paraId="52C0CA0C" w14:textId="5F8CCC8E" w:rsidR="00EA3F7E" w:rsidRDefault="00EA3F7E">
      <w:pPr>
        <w:pStyle w:val="FootnoteText"/>
      </w:pPr>
      <w:r>
        <w:rPr>
          <w:rStyle w:val="FootnoteReference"/>
        </w:rPr>
        <w:footnoteRef/>
      </w:r>
      <w:r>
        <w:t xml:space="preserve"> </w:t>
      </w:r>
      <w:r w:rsidRPr="00E76C08">
        <w:rPr>
          <w:i/>
        </w:rPr>
        <w:t>Id.</w:t>
      </w:r>
    </w:p>
  </w:footnote>
  <w:footnote w:id="153">
    <w:p w14:paraId="14A52BCB" w14:textId="3B1E846B" w:rsidR="00EA3F7E" w:rsidRDefault="00EA3F7E">
      <w:pPr>
        <w:pStyle w:val="FootnoteText"/>
      </w:pPr>
      <w:r>
        <w:rPr>
          <w:rStyle w:val="FootnoteReference"/>
        </w:rPr>
        <w:footnoteRef/>
      </w:r>
      <w:r>
        <w:t xml:space="preserve"> </w:t>
      </w:r>
      <w:r w:rsidRPr="00E76C08">
        <w:t>Ralston, Exh. No. DMR-2T at</w:t>
      </w:r>
      <w:r w:rsidRPr="00E76C08">
        <w:rPr>
          <w:i/>
        </w:rPr>
        <w:t xml:space="preserve"> </w:t>
      </w:r>
      <w:r w:rsidRPr="00E76C08">
        <w:t>5:6-</w:t>
      </w:r>
      <w:r>
        <w:t>21.</w:t>
      </w:r>
    </w:p>
  </w:footnote>
  <w:footnote w:id="154">
    <w:p w14:paraId="06D4B628" w14:textId="1024F3DD" w:rsidR="00EA3F7E" w:rsidRDefault="00EA3F7E">
      <w:pPr>
        <w:pStyle w:val="FootnoteText"/>
      </w:pPr>
      <w:r>
        <w:rPr>
          <w:rStyle w:val="FootnoteReference"/>
        </w:rPr>
        <w:footnoteRef/>
      </w:r>
      <w:r>
        <w:t xml:space="preserve"> </w:t>
      </w:r>
      <w:r w:rsidRPr="002A0944">
        <w:rPr>
          <w:i/>
        </w:rPr>
        <w:t>See WUTC v. PacifiCorp d/b/a Pacific Power and Light Co.,</w:t>
      </w:r>
      <w:r>
        <w:t xml:space="preserve"> Docket UE-061546, Order 08 ¶ 59 (June 21, 2007).  This was the Company’s second request for approval of a PCAM.  The first came in Pacific Power’s 2005/2006 GRC, Docket UE-050684.  The Commission rejected the Company’s tariff filing, including the PCAM proposal, based on its reliance on the Revised Protocol method for inter-jurisdictional cost allocation, which the Commission rejected as inappropriate for the determination of rates in Washington.  </w:t>
      </w:r>
      <w:r w:rsidRPr="00EB6BD4">
        <w:rPr>
          <w:i/>
        </w:rPr>
        <w:t>See WUTC v. PacifiCorp d/b/a Pacific Power and Light Co.,</w:t>
      </w:r>
      <w:r w:rsidRPr="00EB6BD4">
        <w:t xml:space="preserve"> Docket UE-0</w:t>
      </w:r>
      <w:r>
        <w:t xml:space="preserve">50684, Order 04 (April 17, 2006).  Order 04 includes discussion about the Company’s PCAM proposal and offered guidance for a future filing, including the Commission’s requirement for appropriate dead bands and sharing bands.   </w:t>
      </w:r>
    </w:p>
  </w:footnote>
  <w:footnote w:id="155">
    <w:p w14:paraId="3E81D478" w14:textId="084AAAE7" w:rsidR="00EA3F7E" w:rsidRPr="00704BF9" w:rsidRDefault="00EA3F7E">
      <w:pPr>
        <w:pStyle w:val="FootnoteText"/>
      </w:pPr>
      <w:r>
        <w:rPr>
          <w:rStyle w:val="FootnoteReference"/>
        </w:rPr>
        <w:footnoteRef/>
      </w:r>
      <w:r>
        <w:t xml:space="preserve"> </w:t>
      </w:r>
      <w:r w:rsidRPr="00BF4FA7">
        <w:rPr>
          <w:i/>
        </w:rPr>
        <w:t xml:space="preserve">WUTC v. PacifiCorp d/b/a Pacific Power and Light Co., </w:t>
      </w:r>
      <w:r w:rsidRPr="00BF4FA7">
        <w:t>Docket UE-061546, Order 08 ¶ 59 (June 21, 2007)</w:t>
      </w:r>
      <w:r>
        <w:rPr>
          <w:i/>
        </w:rPr>
        <w:t xml:space="preserve">; see also Id. </w:t>
      </w:r>
      <w:r>
        <w:t>¶¶ 83-87.</w:t>
      </w:r>
    </w:p>
  </w:footnote>
  <w:footnote w:id="156">
    <w:p w14:paraId="571C26CD" w14:textId="53326658" w:rsidR="00EA3F7E" w:rsidRPr="00190E6C" w:rsidRDefault="00EA3F7E">
      <w:pPr>
        <w:pStyle w:val="FootnoteText"/>
      </w:pPr>
      <w:r>
        <w:rPr>
          <w:rStyle w:val="FootnoteReference"/>
        </w:rPr>
        <w:footnoteRef/>
      </w:r>
      <w:r>
        <w:t xml:space="preserve"> </w:t>
      </w:r>
      <w:r w:rsidRPr="00190E6C">
        <w:rPr>
          <w:i/>
        </w:rPr>
        <w:t>Id.</w:t>
      </w:r>
      <w:r>
        <w:t xml:space="preserve"> ¶ 60.</w:t>
      </w:r>
    </w:p>
  </w:footnote>
  <w:footnote w:id="157">
    <w:p w14:paraId="42274051" w14:textId="2FD67A8D" w:rsidR="00EA3F7E" w:rsidRDefault="00EA3F7E">
      <w:pPr>
        <w:pStyle w:val="FootnoteText"/>
      </w:pPr>
      <w:r>
        <w:rPr>
          <w:rStyle w:val="FootnoteReference"/>
        </w:rPr>
        <w:footnoteRef/>
      </w:r>
      <w:r>
        <w:t xml:space="preserve"> </w:t>
      </w:r>
      <w:r w:rsidRPr="00584B46">
        <w:rPr>
          <w:i/>
        </w:rPr>
        <w:t>See</w:t>
      </w:r>
      <w:r>
        <w:t xml:space="preserve"> </w:t>
      </w:r>
      <w:r w:rsidRPr="00584B46">
        <w:rPr>
          <w:i/>
        </w:rPr>
        <w:t>Utilities &amp; Transp. Comm’n v. PacifiCorp d/b/a Pacific Power &amp; Light</w:t>
      </w:r>
      <w:r w:rsidRPr="00584B46">
        <w:t>, Docket UE-130043, Order 05 (December 4, 2013)</w:t>
      </w:r>
      <w:r>
        <w:t xml:space="preserve">.  The Company filed its first PCAM proposal in </w:t>
      </w:r>
      <w:r w:rsidRPr="00584B46">
        <w:t xml:space="preserve">2005.  </w:t>
      </w:r>
      <w:r w:rsidRPr="00584B46">
        <w:rPr>
          <w:i/>
        </w:rPr>
        <w:t>See WUTC v. PacifiCorp d/b/a Pacific Power and Light Co.,</w:t>
      </w:r>
      <w:r w:rsidRPr="00584B46">
        <w:t xml:space="preserve"> Docket UE-050684, Order 04 (April 17, 2006)</w:t>
      </w:r>
      <w:r>
        <w:t xml:space="preserve">, and its second a year later, in 2006.  </w:t>
      </w:r>
      <w:r w:rsidRPr="00584B46">
        <w:rPr>
          <w:i/>
        </w:rPr>
        <w:t>See</w:t>
      </w:r>
      <w:r>
        <w:t xml:space="preserve"> </w:t>
      </w:r>
      <w:r w:rsidRPr="00584B46">
        <w:rPr>
          <w:i/>
        </w:rPr>
        <w:t>WUTC v. PacifiCorp d/b/a Pacific Power and Light Co.,</w:t>
      </w:r>
      <w:r w:rsidRPr="00584B46">
        <w:t xml:space="preserve"> Docket UE-061546, Order 08 (June 21, 2007)</w:t>
      </w:r>
      <w:r>
        <w:t xml:space="preserve">. </w:t>
      </w:r>
    </w:p>
  </w:footnote>
  <w:footnote w:id="158">
    <w:p w14:paraId="5C815B71" w14:textId="00E0AD48" w:rsidR="00EA3F7E" w:rsidRDefault="00EA3F7E">
      <w:pPr>
        <w:pStyle w:val="FootnoteText"/>
      </w:pPr>
      <w:r>
        <w:rPr>
          <w:rStyle w:val="FootnoteReference"/>
        </w:rPr>
        <w:footnoteRef/>
      </w:r>
      <w:r>
        <w:t xml:space="preserve"> </w:t>
      </w:r>
      <w:r w:rsidRPr="00D94F1C">
        <w:rPr>
          <w:i/>
        </w:rPr>
        <w:t>WUTC v. PacifiCorp d/b/a Pacific Power &amp; Light Co.</w:t>
      </w:r>
      <w:r>
        <w:t>, Docket UE-130043, Order 05 ¶ 170.</w:t>
      </w:r>
    </w:p>
  </w:footnote>
  <w:footnote w:id="159">
    <w:p w14:paraId="57F7DAF1" w14:textId="4667C4E0" w:rsidR="00EA3F7E" w:rsidRPr="009B5E40" w:rsidRDefault="00EA3F7E">
      <w:pPr>
        <w:pStyle w:val="FootnoteText"/>
      </w:pPr>
      <w:r>
        <w:rPr>
          <w:rStyle w:val="FootnoteReference"/>
        </w:rPr>
        <w:footnoteRef/>
      </w:r>
      <w:r>
        <w:t xml:space="preserve"> </w:t>
      </w:r>
      <w:r>
        <w:rPr>
          <w:i/>
        </w:rPr>
        <w:t>Id.</w:t>
      </w:r>
      <w:r>
        <w:t xml:space="preserve"> ¶¶ 171-72.</w:t>
      </w:r>
    </w:p>
  </w:footnote>
  <w:footnote w:id="160">
    <w:p w14:paraId="3F0FD36A" w14:textId="041585C9" w:rsidR="00EA3F7E" w:rsidRPr="009B5E40" w:rsidRDefault="00EA3F7E">
      <w:pPr>
        <w:pStyle w:val="FootnoteText"/>
      </w:pPr>
      <w:r>
        <w:rPr>
          <w:rStyle w:val="FootnoteReference"/>
        </w:rPr>
        <w:footnoteRef/>
      </w:r>
      <w:r>
        <w:t xml:space="preserve"> </w:t>
      </w:r>
      <w:r w:rsidRPr="009B5E40">
        <w:rPr>
          <w:i/>
        </w:rPr>
        <w:t>Id.</w:t>
      </w:r>
      <w:r>
        <w:t xml:space="preserve"> ¶ 173.</w:t>
      </w:r>
    </w:p>
  </w:footnote>
  <w:footnote w:id="161">
    <w:p w14:paraId="3D0479B7" w14:textId="269CA5FC" w:rsidR="00EA3F7E" w:rsidRDefault="00EA3F7E">
      <w:pPr>
        <w:pStyle w:val="FootnoteText"/>
      </w:pPr>
      <w:r>
        <w:rPr>
          <w:rStyle w:val="FootnoteReference"/>
        </w:rPr>
        <w:footnoteRef/>
      </w:r>
      <w:r>
        <w:t xml:space="preserve"> Gomez, Exh. No. DCG-1CT at 19:13-16.</w:t>
      </w:r>
    </w:p>
  </w:footnote>
  <w:footnote w:id="162">
    <w:p w14:paraId="35A47DB1" w14:textId="74AC2532" w:rsidR="00EA3F7E" w:rsidRDefault="00EA3F7E">
      <w:pPr>
        <w:pStyle w:val="FootnoteText"/>
      </w:pPr>
      <w:r>
        <w:rPr>
          <w:rStyle w:val="FootnoteReference"/>
        </w:rPr>
        <w:footnoteRef/>
      </w:r>
      <w:r>
        <w:t xml:space="preserve"> </w:t>
      </w:r>
      <w:r w:rsidRPr="00576042">
        <w:rPr>
          <w:i/>
        </w:rPr>
        <w:t>WUTC v. PacifiCorp</w:t>
      </w:r>
      <w:r w:rsidRPr="00576042">
        <w:t>, Docket UE-061546, Order 08 ¶</w:t>
      </w:r>
      <w:r>
        <w:t>¶ 59-111</w:t>
      </w:r>
      <w:r w:rsidRPr="00576042">
        <w:t xml:space="preserve"> (June 21, 2007).</w:t>
      </w:r>
    </w:p>
  </w:footnote>
  <w:footnote w:id="163">
    <w:p w14:paraId="38D00B5C" w14:textId="5D324952" w:rsidR="00EA3F7E" w:rsidRDefault="00EA3F7E">
      <w:pPr>
        <w:pStyle w:val="FootnoteText"/>
      </w:pPr>
      <w:r>
        <w:rPr>
          <w:rStyle w:val="FootnoteReference"/>
        </w:rPr>
        <w:footnoteRef/>
      </w:r>
      <w:r>
        <w:t xml:space="preserve"> </w:t>
      </w:r>
      <w:r w:rsidRPr="00EF4435">
        <w:rPr>
          <w:i/>
        </w:rPr>
        <w:t xml:space="preserve">Id. </w:t>
      </w:r>
      <w:r>
        <w:t>¶¶ 76-77.</w:t>
      </w:r>
    </w:p>
  </w:footnote>
  <w:footnote w:id="164">
    <w:p w14:paraId="67D2017E" w14:textId="37D45D54" w:rsidR="00EA3F7E" w:rsidRDefault="00EA3F7E">
      <w:pPr>
        <w:pStyle w:val="FootnoteText"/>
      </w:pPr>
      <w:r>
        <w:rPr>
          <w:rStyle w:val="FootnoteReference"/>
        </w:rPr>
        <w:footnoteRef/>
      </w:r>
      <w:r>
        <w:t xml:space="preserve"> Gomez, Exh. No. DCG-1CT at 20:13-14.</w:t>
      </w:r>
    </w:p>
  </w:footnote>
  <w:footnote w:id="165">
    <w:p w14:paraId="72AA4164" w14:textId="5BE62A09" w:rsidR="00EA3F7E" w:rsidRDefault="00EA3F7E" w:rsidP="00EF4435">
      <w:pPr>
        <w:pStyle w:val="FootnoteText"/>
      </w:pPr>
      <w:r>
        <w:rPr>
          <w:rStyle w:val="FootnoteReference"/>
        </w:rPr>
        <w:footnoteRef/>
      </w:r>
      <w:r>
        <w:t xml:space="preserve"> </w:t>
      </w:r>
      <w:r w:rsidRPr="00040AD2">
        <w:rPr>
          <w:i/>
        </w:rPr>
        <w:t xml:space="preserve">WUTC v. PacifiCorp, </w:t>
      </w:r>
      <w:r w:rsidRPr="00A120A4">
        <w:t>Docket UE-061546, Order 08 ¶ 66 (June 21, 2007)</w:t>
      </w:r>
      <w:r>
        <w:t>.</w:t>
      </w:r>
    </w:p>
  </w:footnote>
  <w:footnote w:id="166">
    <w:p w14:paraId="089B92CA" w14:textId="77777777" w:rsidR="00EA3F7E" w:rsidRDefault="00EA3F7E" w:rsidP="00EF4435">
      <w:pPr>
        <w:pStyle w:val="FootnoteText"/>
      </w:pPr>
      <w:r>
        <w:rPr>
          <w:rStyle w:val="FootnoteReference"/>
        </w:rPr>
        <w:footnoteRef/>
      </w:r>
      <w:r>
        <w:t xml:space="preserve"> </w:t>
      </w:r>
      <w:r w:rsidRPr="007B0CA2">
        <w:rPr>
          <w:i/>
        </w:rPr>
        <w:t xml:space="preserve">Id. </w:t>
      </w:r>
      <w:r w:rsidRPr="007B0CA2">
        <w:t>¶</w:t>
      </w:r>
      <w:r>
        <w:t xml:space="preserve"> 85.  </w:t>
      </w:r>
    </w:p>
  </w:footnote>
  <w:footnote w:id="167">
    <w:p w14:paraId="535B13CB" w14:textId="77777777" w:rsidR="00EA3F7E" w:rsidRDefault="00EA3F7E" w:rsidP="00EF4435">
      <w:pPr>
        <w:pStyle w:val="FootnoteText"/>
      </w:pPr>
      <w:r>
        <w:rPr>
          <w:rStyle w:val="FootnoteReference"/>
        </w:rPr>
        <w:footnoteRef/>
      </w:r>
      <w:r>
        <w:t xml:space="preserve"> </w:t>
      </w:r>
      <w:r w:rsidRPr="007B0CA2">
        <w:rPr>
          <w:i/>
        </w:rPr>
        <w:t xml:space="preserve">Id. </w:t>
      </w:r>
      <w:r w:rsidRPr="007B0CA2">
        <w:t>¶</w:t>
      </w:r>
      <w:r>
        <w:t xml:space="preserve"> 86.</w:t>
      </w:r>
    </w:p>
  </w:footnote>
  <w:footnote w:id="168">
    <w:p w14:paraId="18DB8AC9" w14:textId="6CD3E6A2" w:rsidR="00EA3F7E" w:rsidRDefault="00EA3F7E">
      <w:pPr>
        <w:pStyle w:val="FootnoteText"/>
      </w:pPr>
      <w:r>
        <w:rPr>
          <w:rStyle w:val="FootnoteReference"/>
        </w:rPr>
        <w:footnoteRef/>
      </w:r>
      <w:r>
        <w:t xml:space="preserve"> Gomez, Exh. No. DCG-1CT at 22:16-22.</w:t>
      </w:r>
    </w:p>
  </w:footnote>
  <w:footnote w:id="169">
    <w:p w14:paraId="44318134" w14:textId="591144A1" w:rsidR="00EA3F7E" w:rsidRDefault="00EA3F7E">
      <w:pPr>
        <w:pStyle w:val="FootnoteText"/>
      </w:pPr>
      <w:r>
        <w:rPr>
          <w:rStyle w:val="FootnoteReference"/>
        </w:rPr>
        <w:footnoteRef/>
      </w:r>
      <w:r>
        <w:t xml:space="preserve"> </w:t>
      </w:r>
      <w:r w:rsidRPr="00790541">
        <w:rPr>
          <w:i/>
        </w:rPr>
        <w:t>Id.</w:t>
      </w:r>
      <w:r>
        <w:t xml:space="preserve"> at 20:15-20 (refer</w:t>
      </w:r>
      <w:r w:rsidR="00E00494">
        <w:t>r</w:t>
      </w:r>
      <w:r>
        <w:t>ing to Exh. No. DCG-5C).</w:t>
      </w:r>
    </w:p>
  </w:footnote>
  <w:footnote w:id="170">
    <w:p w14:paraId="0D729F19" w14:textId="261162B1" w:rsidR="00EA3F7E" w:rsidRDefault="00EA3F7E">
      <w:pPr>
        <w:pStyle w:val="FootnoteText"/>
      </w:pPr>
      <w:r>
        <w:rPr>
          <w:rStyle w:val="FootnoteReference"/>
        </w:rPr>
        <w:footnoteRef/>
      </w:r>
      <w:r>
        <w:t xml:space="preserve"> </w:t>
      </w:r>
      <w:r w:rsidRPr="00790541">
        <w:rPr>
          <w:i/>
        </w:rPr>
        <w:t>Id.</w:t>
      </w:r>
      <w:r w:rsidRPr="00790541">
        <w:t xml:space="preserve"> at</w:t>
      </w:r>
      <w:r>
        <w:t xml:space="preserve"> 21:3-5.</w:t>
      </w:r>
    </w:p>
  </w:footnote>
  <w:footnote w:id="171">
    <w:p w14:paraId="05118BE1" w14:textId="3FFD9EB5" w:rsidR="00EA3F7E" w:rsidRDefault="00EA3F7E">
      <w:pPr>
        <w:pStyle w:val="FootnoteText"/>
      </w:pPr>
      <w:r>
        <w:rPr>
          <w:rStyle w:val="FootnoteReference"/>
        </w:rPr>
        <w:footnoteRef/>
      </w:r>
      <w:r>
        <w:t xml:space="preserve"> </w:t>
      </w:r>
      <w:r w:rsidRPr="00790541">
        <w:rPr>
          <w:i/>
        </w:rPr>
        <w:t>Id.</w:t>
      </w:r>
      <w:r w:rsidRPr="00790541">
        <w:t xml:space="preserve"> at</w:t>
      </w:r>
      <w:r>
        <w:t xml:space="preserve"> 21:5-16.</w:t>
      </w:r>
    </w:p>
  </w:footnote>
  <w:footnote w:id="172">
    <w:p w14:paraId="34740DBB" w14:textId="41C29FD3" w:rsidR="00EA3F7E" w:rsidRDefault="00EA3F7E">
      <w:pPr>
        <w:pStyle w:val="FootnoteText"/>
      </w:pPr>
      <w:r>
        <w:rPr>
          <w:rStyle w:val="FootnoteReference"/>
        </w:rPr>
        <w:footnoteRef/>
      </w:r>
      <w:r>
        <w:t xml:space="preserve"> </w:t>
      </w:r>
      <w:r w:rsidRPr="00436215">
        <w:rPr>
          <w:i/>
        </w:rPr>
        <w:t>Id.</w:t>
      </w:r>
      <w:r w:rsidRPr="00436215">
        <w:t xml:space="preserve"> at</w:t>
      </w:r>
      <w:r>
        <w:t xml:space="preserve"> 21:17-19.</w:t>
      </w:r>
    </w:p>
  </w:footnote>
  <w:footnote w:id="173">
    <w:p w14:paraId="33B0AC92" w14:textId="73A26F4D" w:rsidR="00EA3F7E" w:rsidRDefault="00EA3F7E">
      <w:pPr>
        <w:pStyle w:val="FootnoteText"/>
      </w:pPr>
      <w:r>
        <w:rPr>
          <w:rStyle w:val="FootnoteReference"/>
        </w:rPr>
        <w:footnoteRef/>
      </w:r>
      <w:r>
        <w:t xml:space="preserve"> </w:t>
      </w:r>
      <w:r w:rsidRPr="00436215">
        <w:rPr>
          <w:i/>
        </w:rPr>
        <w:t>Id.</w:t>
      </w:r>
      <w:r w:rsidRPr="00436215">
        <w:t xml:space="preserve"> at</w:t>
      </w:r>
      <w:r>
        <w:t xml:space="preserve"> 22:1-10.</w:t>
      </w:r>
    </w:p>
  </w:footnote>
  <w:footnote w:id="174">
    <w:p w14:paraId="12DB35C6" w14:textId="0692739F" w:rsidR="00EA3F7E" w:rsidRDefault="00EA3F7E">
      <w:pPr>
        <w:pStyle w:val="FootnoteText"/>
      </w:pPr>
      <w:r>
        <w:rPr>
          <w:rStyle w:val="FootnoteReference"/>
        </w:rPr>
        <w:footnoteRef/>
      </w:r>
      <w:r>
        <w:t xml:space="preserve"> </w:t>
      </w:r>
      <w:r w:rsidRPr="00447F3D">
        <w:rPr>
          <w:i/>
        </w:rPr>
        <w:t>Id.</w:t>
      </w:r>
      <w:r>
        <w:t xml:space="preserve"> at 23:5-10.</w:t>
      </w:r>
    </w:p>
  </w:footnote>
  <w:footnote w:id="175">
    <w:p w14:paraId="5E9C617E" w14:textId="79643839" w:rsidR="00EA3F7E" w:rsidRDefault="00EA3F7E">
      <w:pPr>
        <w:pStyle w:val="FootnoteText"/>
      </w:pPr>
      <w:r>
        <w:rPr>
          <w:rStyle w:val="FootnoteReference"/>
        </w:rPr>
        <w:footnoteRef/>
      </w:r>
      <w:r>
        <w:t xml:space="preserve"> </w:t>
      </w:r>
      <w:r w:rsidRPr="00447F3D">
        <w:rPr>
          <w:i/>
        </w:rPr>
        <w:t>Id.</w:t>
      </w:r>
      <w:r w:rsidRPr="00447F3D">
        <w:t xml:space="preserve"> at</w:t>
      </w:r>
      <w:r>
        <w:t xml:space="preserve"> 23:13-19.</w:t>
      </w:r>
    </w:p>
  </w:footnote>
  <w:footnote w:id="176">
    <w:p w14:paraId="30B57581" w14:textId="4EFED284" w:rsidR="00EA3F7E" w:rsidRDefault="00EA3F7E">
      <w:pPr>
        <w:pStyle w:val="FootnoteText"/>
      </w:pPr>
      <w:r>
        <w:rPr>
          <w:rStyle w:val="FootnoteReference"/>
        </w:rPr>
        <w:footnoteRef/>
      </w:r>
      <w:r>
        <w:t xml:space="preserve"> </w:t>
      </w:r>
      <w:r w:rsidRPr="00447F3D">
        <w:rPr>
          <w:i/>
        </w:rPr>
        <w:t>Id.</w:t>
      </w:r>
      <w:r w:rsidRPr="00447F3D">
        <w:t xml:space="preserve"> at</w:t>
      </w:r>
      <w:r>
        <w:t xml:space="preserve"> 23:20-24:5.</w:t>
      </w:r>
    </w:p>
  </w:footnote>
  <w:footnote w:id="177">
    <w:p w14:paraId="74AE4A08" w14:textId="2142004A" w:rsidR="00EA3F7E" w:rsidRDefault="00EA3F7E" w:rsidP="00D21E31">
      <w:pPr>
        <w:pStyle w:val="FootnoteText"/>
      </w:pPr>
      <w:r>
        <w:rPr>
          <w:rStyle w:val="FootnoteReference"/>
        </w:rPr>
        <w:footnoteRef/>
      </w:r>
      <w:r>
        <w:t xml:space="preserve"> </w:t>
      </w:r>
      <w:r w:rsidRPr="00D21E31">
        <w:rPr>
          <w:i/>
        </w:rPr>
        <w:t>WUTC v. Puget Sound Energy, Inc</w:t>
      </w:r>
      <w:r>
        <w:t>., Dockets UE-011570 and UG-011571, Twelfth Supp. Order (June 20, 2002).</w:t>
      </w:r>
    </w:p>
  </w:footnote>
  <w:footnote w:id="178">
    <w:p w14:paraId="36D3F456" w14:textId="6BBE20C2" w:rsidR="00EA3F7E" w:rsidRDefault="00EA3F7E">
      <w:pPr>
        <w:pStyle w:val="FootnoteText"/>
      </w:pPr>
      <w:r>
        <w:rPr>
          <w:rStyle w:val="FootnoteReference"/>
        </w:rPr>
        <w:footnoteRef/>
      </w:r>
      <w:r>
        <w:t xml:space="preserve"> </w:t>
      </w:r>
      <w:r w:rsidRPr="00D21E31">
        <w:rPr>
          <w:i/>
        </w:rPr>
        <w:t>WUTC v. Avista Corporation</w:t>
      </w:r>
      <w:r>
        <w:t>, Docket UE-011595, Fifth Supp. Order (June 18, 2002).</w:t>
      </w:r>
    </w:p>
  </w:footnote>
  <w:footnote w:id="179">
    <w:p w14:paraId="73C92492" w14:textId="3FB49A8A" w:rsidR="00EA3F7E" w:rsidRDefault="00EA3F7E">
      <w:pPr>
        <w:pStyle w:val="FootnoteText"/>
      </w:pPr>
      <w:r>
        <w:rPr>
          <w:rStyle w:val="FootnoteReference"/>
        </w:rPr>
        <w:footnoteRef/>
      </w:r>
      <w:r>
        <w:t xml:space="preserve"> </w:t>
      </w:r>
      <w:r w:rsidRPr="00445332">
        <w:rPr>
          <w:i/>
        </w:rPr>
        <w:t>See</w:t>
      </w:r>
      <w:r>
        <w:t xml:space="preserve"> Docket UE-061546, Order 08 ¶ 82, which we find worthy of quotation as a means to provide guidance to Pacific Power, and others, with respect to the basis for our thinking vis-à-vis a potential PCORC filing:</w:t>
      </w:r>
    </w:p>
    <w:p w14:paraId="19807FED" w14:textId="5E110756" w:rsidR="00EA3F7E" w:rsidRDefault="00EA3F7E" w:rsidP="00445332">
      <w:pPr>
        <w:pStyle w:val="FootnoteText"/>
        <w:ind w:left="720" w:right="720"/>
      </w:pPr>
      <w:r w:rsidRPr="00445332">
        <w:t xml:space="preserve">The Company and Staff agree that the variable cost of new resources less than 50 MW and with a term less than 2-years should be included in the PCAM, but disagree on whether fixed costs should be included.  The Company argues that including these fixed costs is necessary to accommodate its need to acquire renewable resources in the future to comply with </w:t>
      </w:r>
      <w:smartTag w:uri="urn:schemas-microsoft-com:office:smarttags" w:element="place">
        <w:smartTag w:uri="urn:schemas-microsoft-com:office:smarttags" w:element="State">
          <w:r w:rsidRPr="00445332">
            <w:t>Washington</w:t>
          </w:r>
        </w:smartTag>
      </w:smartTag>
      <w:r w:rsidRPr="00445332">
        <w:t>’s Renewable Portfolio Standard.</w:t>
      </w:r>
      <w:r w:rsidRPr="00445332">
        <w:rPr>
          <w:vertAlign w:val="superscript"/>
        </w:rPr>
        <w:footnoteRef/>
      </w:r>
      <w:r w:rsidRPr="00445332">
        <w:t xml:space="preserve">  PacifiCorp agrees to exclude these fixed costs from the PCAM, however, if the Commission authorizes it to file for approval of PCORC mechanism that accommodates an annual adjustment.</w:t>
      </w:r>
      <w:r w:rsidRPr="00445332">
        <w:rPr>
          <w:vertAlign w:val="superscript"/>
        </w:rPr>
        <w:footnoteRef/>
      </w:r>
      <w:r w:rsidRPr="00445332">
        <w:t xml:space="preserve">  In general, we find it appropriate to include in the PCAM the variable costs of smaller, short-term resource additions, but to exclude the fixed costs.  There has never been any barrier to the Company filing for approval of a PCORC mechanism.  Indeed, it could have done so in this docket, but did not raise the idea until late in the proceeding.  Even then, the Company did not make a specific, detailed proposal.  The Commission will certainly give any such proposal fair consideration if and when filed.</w:t>
      </w:r>
    </w:p>
  </w:footnote>
  <w:footnote w:id="180">
    <w:p w14:paraId="14B1C486" w14:textId="77777777" w:rsidR="00EA3F7E" w:rsidRDefault="00EA3F7E" w:rsidP="00A5424B">
      <w:pPr>
        <w:pStyle w:val="FootnoteText"/>
      </w:pPr>
      <w:r>
        <w:rPr>
          <w:rStyle w:val="FootnoteReference"/>
        </w:rPr>
        <w:footnoteRef/>
      </w:r>
      <w:r>
        <w:t xml:space="preserve"> Pacific Power Initial Brief ¶¶ 104-05 (citing Duvall, Exh. No. GND-1CT at 38:5-18).</w:t>
      </w:r>
    </w:p>
  </w:footnote>
  <w:footnote w:id="181">
    <w:p w14:paraId="02CD13FD" w14:textId="77777777" w:rsidR="00EA3F7E" w:rsidRDefault="00EA3F7E" w:rsidP="00A5424B">
      <w:pPr>
        <w:pStyle w:val="FootnoteText"/>
      </w:pPr>
      <w:r>
        <w:rPr>
          <w:rStyle w:val="FootnoteReference"/>
        </w:rPr>
        <w:footnoteRef/>
      </w:r>
      <w:r>
        <w:t xml:space="preserve"> Twitchell, Exh. No. JBT-1T at 7:3-8.</w:t>
      </w:r>
    </w:p>
  </w:footnote>
  <w:footnote w:id="182">
    <w:p w14:paraId="10847315" w14:textId="0E9963DF" w:rsidR="00EA3F7E" w:rsidRDefault="00EA3F7E" w:rsidP="00A5424B">
      <w:pPr>
        <w:pStyle w:val="FootnoteText"/>
      </w:pPr>
      <w:r>
        <w:rPr>
          <w:rStyle w:val="FootnoteReference"/>
        </w:rPr>
        <w:footnoteRef/>
      </w:r>
      <w:r>
        <w:t xml:space="preserve"> Pacific Power Initial Brief ¶ 105 (internal citations omitted).</w:t>
      </w:r>
    </w:p>
  </w:footnote>
  <w:footnote w:id="183">
    <w:p w14:paraId="443F9983" w14:textId="77777777" w:rsidR="00EA3F7E" w:rsidRDefault="00EA3F7E" w:rsidP="00A5424B">
      <w:pPr>
        <w:pStyle w:val="FootnoteText"/>
      </w:pPr>
      <w:r>
        <w:rPr>
          <w:rStyle w:val="FootnoteReference"/>
        </w:rPr>
        <w:footnoteRef/>
      </w:r>
      <w:r>
        <w:t xml:space="preserve"> </w:t>
      </w:r>
      <w:r w:rsidRPr="008C1CE6">
        <w:rPr>
          <w:i/>
        </w:rPr>
        <w:t>Id.</w:t>
      </w:r>
      <w:r>
        <w:t xml:space="preserve"> ¶ 106.</w:t>
      </w:r>
    </w:p>
  </w:footnote>
  <w:footnote w:id="184">
    <w:p w14:paraId="56F11FDD" w14:textId="77777777" w:rsidR="00EA3F7E" w:rsidRDefault="00EA3F7E" w:rsidP="00A5424B">
      <w:pPr>
        <w:pStyle w:val="FootnoteText"/>
      </w:pPr>
      <w:r>
        <w:rPr>
          <w:rStyle w:val="FootnoteReference"/>
        </w:rPr>
        <w:footnoteRef/>
      </w:r>
      <w:r>
        <w:t xml:space="preserve"> Mullins, Exh. No. BGM-1CT at 53:19-54:3.</w:t>
      </w:r>
    </w:p>
  </w:footnote>
  <w:footnote w:id="185">
    <w:p w14:paraId="7B6042FD" w14:textId="77777777" w:rsidR="00EA3F7E" w:rsidRPr="001B2B58" w:rsidRDefault="00EA3F7E" w:rsidP="00A5424B">
      <w:pPr>
        <w:pStyle w:val="FootnoteText"/>
      </w:pPr>
      <w:r>
        <w:rPr>
          <w:rStyle w:val="FootnoteReference"/>
        </w:rPr>
        <w:footnoteRef/>
      </w:r>
      <w:r>
        <w:t xml:space="preserve"> </w:t>
      </w:r>
      <w:r w:rsidRPr="001B2B58">
        <w:rPr>
          <w:i/>
        </w:rPr>
        <w:t>Id.</w:t>
      </w:r>
      <w:r>
        <w:t xml:space="preserve"> at 55:4-56:5.</w:t>
      </w:r>
    </w:p>
  </w:footnote>
  <w:footnote w:id="186">
    <w:p w14:paraId="36F6DEB8" w14:textId="77777777" w:rsidR="00EA3F7E" w:rsidRDefault="00EA3F7E" w:rsidP="00A5424B">
      <w:pPr>
        <w:pStyle w:val="FootnoteText"/>
      </w:pPr>
      <w:r>
        <w:rPr>
          <w:rStyle w:val="FootnoteReference"/>
        </w:rPr>
        <w:footnoteRef/>
      </w:r>
      <w:r>
        <w:t xml:space="preserve"> Staff Initial Brief ¶ 101.</w:t>
      </w:r>
    </w:p>
  </w:footnote>
  <w:footnote w:id="187">
    <w:p w14:paraId="37CB0798" w14:textId="77777777" w:rsidR="00EA3F7E" w:rsidRDefault="00EA3F7E" w:rsidP="00A5424B">
      <w:pPr>
        <w:pStyle w:val="FootnoteText"/>
      </w:pPr>
      <w:r>
        <w:rPr>
          <w:rStyle w:val="FootnoteReference"/>
        </w:rPr>
        <w:footnoteRef/>
      </w:r>
      <w:r>
        <w:t xml:space="preserve"> </w:t>
      </w:r>
      <w:r w:rsidRPr="00645CD9">
        <w:rPr>
          <w:i/>
        </w:rPr>
        <w:t>Id.</w:t>
      </w:r>
      <w:r>
        <w:rPr>
          <w:i/>
        </w:rPr>
        <w:t xml:space="preserve"> ¶ </w:t>
      </w:r>
      <w:r w:rsidRPr="00645CD9">
        <w:t>102.</w:t>
      </w:r>
    </w:p>
  </w:footnote>
  <w:footnote w:id="188">
    <w:p w14:paraId="02EF2864" w14:textId="77777777" w:rsidR="00EA3F7E" w:rsidRDefault="00EA3F7E" w:rsidP="00A5424B">
      <w:pPr>
        <w:pStyle w:val="FootnoteText"/>
      </w:pPr>
      <w:r>
        <w:rPr>
          <w:rStyle w:val="FootnoteReference"/>
        </w:rPr>
        <w:footnoteRef/>
      </w:r>
      <w:r>
        <w:t xml:space="preserve"> Twitchell, Exh. No. JBT-1T at 13:12-15.</w:t>
      </w:r>
    </w:p>
  </w:footnote>
  <w:footnote w:id="189">
    <w:p w14:paraId="2BED3376" w14:textId="77777777" w:rsidR="00EA3F7E" w:rsidRDefault="00EA3F7E" w:rsidP="00A5424B">
      <w:pPr>
        <w:pStyle w:val="FootnoteText"/>
      </w:pPr>
      <w:r>
        <w:rPr>
          <w:rStyle w:val="FootnoteReference"/>
        </w:rPr>
        <w:footnoteRef/>
      </w:r>
      <w:r>
        <w:t xml:space="preserve"> Mullins, Exh. No. BGM-1CT at 57:21-22 and 58:1-2.</w:t>
      </w:r>
    </w:p>
  </w:footnote>
  <w:footnote w:id="190">
    <w:p w14:paraId="45DBF303" w14:textId="77777777" w:rsidR="00EA3F7E" w:rsidRDefault="00EA3F7E" w:rsidP="00A5424B">
      <w:pPr>
        <w:pStyle w:val="FootnoteText"/>
      </w:pPr>
      <w:r>
        <w:rPr>
          <w:rStyle w:val="FootnoteReference"/>
        </w:rPr>
        <w:footnoteRef/>
      </w:r>
      <w:r>
        <w:t xml:space="preserve"> Staff Initial Brief ¶ 104.</w:t>
      </w:r>
    </w:p>
  </w:footnote>
  <w:footnote w:id="191">
    <w:p w14:paraId="22068CF6" w14:textId="660520A1" w:rsidR="00EA3F7E" w:rsidRDefault="00EA3F7E" w:rsidP="00A5424B">
      <w:pPr>
        <w:pStyle w:val="FootnoteText"/>
      </w:pPr>
      <w:r>
        <w:rPr>
          <w:rStyle w:val="FootnoteReference"/>
        </w:rPr>
        <w:footnoteRef/>
      </w:r>
      <w:r>
        <w:t xml:space="preserve"> </w:t>
      </w:r>
      <w:r w:rsidRPr="00A20548">
        <w:t>Pacific Power Initial Brief ¶ 104</w:t>
      </w:r>
      <w:r>
        <w:t>.</w:t>
      </w:r>
    </w:p>
  </w:footnote>
  <w:footnote w:id="192">
    <w:p w14:paraId="705A8F28" w14:textId="77777777" w:rsidR="00EA3F7E" w:rsidRDefault="00EA3F7E" w:rsidP="00A5424B">
      <w:pPr>
        <w:pStyle w:val="FootnoteText"/>
      </w:pPr>
      <w:r>
        <w:rPr>
          <w:rStyle w:val="FootnoteReference"/>
        </w:rPr>
        <w:footnoteRef/>
      </w:r>
      <w:r>
        <w:t xml:space="preserve"> </w:t>
      </w:r>
      <w:r w:rsidRPr="00A20548">
        <w:rPr>
          <w:i/>
        </w:rPr>
        <w:t>Id.</w:t>
      </w:r>
    </w:p>
  </w:footnote>
  <w:footnote w:id="193">
    <w:p w14:paraId="5D32F0E8" w14:textId="523622E0" w:rsidR="00EA3F7E" w:rsidRDefault="00EA3F7E" w:rsidP="00A5424B">
      <w:pPr>
        <w:pStyle w:val="FootnoteText"/>
      </w:pPr>
      <w:r>
        <w:rPr>
          <w:rStyle w:val="FootnoteReference"/>
        </w:rPr>
        <w:footnoteRef/>
      </w:r>
      <w:r w:rsidRPr="00ED46A7">
        <w:rPr>
          <w:i/>
        </w:rPr>
        <w:t xml:space="preserve"> See</w:t>
      </w:r>
      <w:r>
        <w:t xml:space="preserve"> Docket UE-130043, Order 05 ¶ 164 (citing and quoting in part </w:t>
      </w:r>
      <w:r w:rsidRPr="00ED46A7">
        <w:t>Duvall, Exh. No. GND-1CT at 31:20-32:5</w:t>
      </w:r>
      <w:r>
        <w:t>).</w:t>
      </w:r>
    </w:p>
  </w:footnote>
  <w:footnote w:id="194">
    <w:p w14:paraId="0650EC65" w14:textId="4AD06382" w:rsidR="00EA3F7E" w:rsidRDefault="00EA3F7E" w:rsidP="00A5424B">
      <w:pPr>
        <w:pStyle w:val="FootnoteText"/>
      </w:pPr>
      <w:r>
        <w:rPr>
          <w:rStyle w:val="FootnoteReference"/>
        </w:rPr>
        <w:footnoteRef/>
      </w:r>
      <w:r>
        <w:t xml:space="preserve"> California is the only exception.  </w:t>
      </w:r>
      <w:r w:rsidRPr="003467AC">
        <w:rPr>
          <w:i/>
        </w:rPr>
        <w:t>See</w:t>
      </w:r>
      <w:r>
        <w:t xml:space="preserve"> TR 391:16-392:3 (Cross-examination of Mr. Dalley by Ms. Davison for Boise White Paper).</w:t>
      </w:r>
    </w:p>
  </w:footnote>
  <w:footnote w:id="195">
    <w:p w14:paraId="5EB3620A" w14:textId="77777777" w:rsidR="00EA3F7E" w:rsidRDefault="00EA3F7E" w:rsidP="00A5424B">
      <w:pPr>
        <w:pStyle w:val="FootnoteText"/>
      </w:pPr>
      <w:r>
        <w:rPr>
          <w:rStyle w:val="FootnoteReference"/>
        </w:rPr>
        <w:footnoteRef/>
      </w:r>
      <w:r>
        <w:t xml:space="preserve"> We note that both PSE and Avista seem to have little difficulty managing their power portfolios and power costs operating</w:t>
      </w:r>
      <w:r w:rsidRPr="004E28FD">
        <w:rPr>
          <w:sz w:val="26"/>
          <w:szCs w:val="26"/>
        </w:rPr>
        <w:t xml:space="preserve"> </w:t>
      </w:r>
      <w:r w:rsidRPr="004E28FD">
        <w:t>similarly diverse portfolios of power</w:t>
      </w:r>
      <w:r>
        <w:t xml:space="preserve"> sources in the same power markets, under the same RPS standards, and subject to the same Integrated Resource Planning requirements as apply to Pacific Power in Washington.  Both have power cost recovery mechanisms that have been in place for some years and that have worked quite satisfactorily over the term of their operation.</w:t>
      </w:r>
    </w:p>
  </w:footnote>
  <w:footnote w:id="196">
    <w:p w14:paraId="50A0E47B" w14:textId="77777777" w:rsidR="00EA3F7E" w:rsidRDefault="00EA3F7E">
      <w:pPr>
        <w:pStyle w:val="FootnoteText"/>
      </w:pPr>
      <w:r>
        <w:rPr>
          <w:rStyle w:val="FootnoteReference"/>
        </w:rPr>
        <w:footnoteRef/>
      </w:r>
      <w:r>
        <w:t xml:space="preserve"> Exh. No. NCS-11 at 1.16, cols. 8.12 – 8.12.6; </w:t>
      </w:r>
      <w:r w:rsidRPr="004D323D">
        <w:rPr>
          <w:i/>
        </w:rPr>
        <w:t xml:space="preserve">see also </w:t>
      </w:r>
      <w:r>
        <w:t xml:space="preserve">Exh. No. </w:t>
      </w:r>
      <w:r w:rsidRPr="004D323D">
        <w:t>N</w:t>
      </w:r>
      <w:r>
        <w:t>CS</w:t>
      </w:r>
      <w:r w:rsidRPr="004D323D">
        <w:t>-3, Page 8.0.2</w:t>
      </w:r>
      <w:r>
        <w:t>, ln. 57 (</w:t>
      </w:r>
      <w:r w:rsidRPr="004D323D">
        <w:t>Total</w:t>
      </w:r>
      <w:r>
        <w:t>)</w:t>
      </w:r>
      <w:r w:rsidRPr="004D323D">
        <w:t>.</w:t>
      </w:r>
    </w:p>
  </w:footnote>
  <w:footnote w:id="197">
    <w:p w14:paraId="476A134E" w14:textId="769AD4AE" w:rsidR="00EA3F7E" w:rsidRDefault="00EA3F7E">
      <w:pPr>
        <w:pStyle w:val="FootnoteText"/>
      </w:pPr>
      <w:r>
        <w:rPr>
          <w:rStyle w:val="FootnoteReference"/>
        </w:rPr>
        <w:footnoteRef/>
      </w:r>
      <w:r>
        <w:t xml:space="preserve"> Exh. No. NCS-11 at 1.11, cols. 6.2 – 6.2.2.  We note that this is very significantly different than what the Company originally calculated (</w:t>
      </w:r>
      <w:r w:rsidRPr="004D323D">
        <w:rPr>
          <w:i/>
        </w:rPr>
        <w:t>i.e.,</w:t>
      </w:r>
      <w:r>
        <w:t xml:space="preserve"> </w:t>
      </w:r>
      <w:r w:rsidRPr="004D323D">
        <w:t>$6,526,993</w:t>
      </w:r>
      <w:r>
        <w:t>) and express our concern that no other party apparently audited the Company’s numbers with sufficient care to catch the “formula error” and bring it to our attention in response testimony.  Ms. Siores corrects this adjustment to the Company’s depreciation and amortization reserve account in her rebuttal testimony for Pacific Power.</w:t>
      </w:r>
    </w:p>
  </w:footnote>
  <w:footnote w:id="198">
    <w:p w14:paraId="6E5E82D5" w14:textId="2CDE013D" w:rsidR="00EA3F7E" w:rsidRDefault="00EA3F7E" w:rsidP="002B505F">
      <w:pPr>
        <w:pStyle w:val="FootnoteText"/>
      </w:pPr>
      <w:r>
        <w:rPr>
          <w:rStyle w:val="FootnoteReference"/>
        </w:rPr>
        <w:footnoteRef/>
      </w:r>
      <w:r>
        <w:t xml:space="preserve"> Order 05 ¶184.</w:t>
      </w:r>
    </w:p>
  </w:footnote>
  <w:footnote w:id="199">
    <w:p w14:paraId="3AF392E0" w14:textId="3863F827" w:rsidR="00EA3F7E" w:rsidRDefault="00EA3F7E">
      <w:pPr>
        <w:pStyle w:val="FootnoteText"/>
      </w:pPr>
      <w:r>
        <w:rPr>
          <w:rStyle w:val="FootnoteReference"/>
        </w:rPr>
        <w:footnoteRef/>
      </w:r>
      <w:r>
        <w:t xml:space="preserve"> </w:t>
      </w:r>
      <w:r w:rsidRPr="00B26C2A">
        <w:t>Siores, Exh. No. NCS-1T at 21:13-22:2.</w:t>
      </w:r>
    </w:p>
  </w:footnote>
  <w:footnote w:id="200">
    <w:p w14:paraId="4A625640" w14:textId="5BF75408" w:rsidR="00EA3F7E" w:rsidRDefault="00EA3F7E">
      <w:pPr>
        <w:pStyle w:val="FootnoteText"/>
      </w:pPr>
      <w:r>
        <w:rPr>
          <w:rStyle w:val="FootnoteReference"/>
        </w:rPr>
        <w:footnoteRef/>
      </w:r>
      <w:r>
        <w:t xml:space="preserve"> </w:t>
      </w:r>
      <w:r w:rsidRPr="00B26C2A">
        <w:rPr>
          <w:i/>
        </w:rPr>
        <w:t>Id.</w:t>
      </w:r>
      <w:r w:rsidRPr="00B26C2A">
        <w:t xml:space="preserve"> at 29:1-7.</w:t>
      </w:r>
    </w:p>
  </w:footnote>
  <w:footnote w:id="201">
    <w:p w14:paraId="4127AF27" w14:textId="3CECFC7B" w:rsidR="00EA3F7E" w:rsidRPr="008B6153" w:rsidRDefault="00EA3F7E" w:rsidP="00B26C2A">
      <w:pPr>
        <w:pStyle w:val="FootnoteText"/>
        <w:rPr>
          <w:b/>
        </w:rPr>
      </w:pPr>
      <w:r w:rsidRPr="007A2D76">
        <w:rPr>
          <w:rStyle w:val="FootnoteReference"/>
        </w:rPr>
        <w:footnoteRef/>
      </w:r>
      <w:r w:rsidRPr="007A2D76">
        <w:t xml:space="preserve"> </w:t>
      </w:r>
      <w:r>
        <w:t xml:space="preserve">Dalley, Exh. No. RBD3-T at 11:4-5 (citing </w:t>
      </w:r>
      <w:r w:rsidRPr="000D7DD4">
        <w:t xml:space="preserve">Mullins, Exhibit No. BGM-1T </w:t>
      </w:r>
      <w:r w:rsidRPr="008B6153">
        <w:t>at 17</w:t>
      </w:r>
      <w:r>
        <w:t>)</w:t>
      </w:r>
      <w:r w:rsidRPr="008B6153">
        <w:t>.</w:t>
      </w:r>
      <w:r w:rsidRPr="008B6153">
        <w:rPr>
          <w:b/>
        </w:rPr>
        <w:t xml:space="preserve"> </w:t>
      </w:r>
    </w:p>
  </w:footnote>
  <w:footnote w:id="202">
    <w:p w14:paraId="0753DB8B" w14:textId="22924A4E" w:rsidR="00EA3F7E" w:rsidRDefault="00EA3F7E">
      <w:pPr>
        <w:pStyle w:val="FootnoteText"/>
      </w:pPr>
      <w:r>
        <w:rPr>
          <w:rStyle w:val="FootnoteReference"/>
        </w:rPr>
        <w:footnoteRef/>
      </w:r>
      <w:r>
        <w:t xml:space="preserve"> </w:t>
      </w:r>
      <w:r w:rsidRPr="00F8259A">
        <w:rPr>
          <w:i/>
        </w:rPr>
        <w:t xml:space="preserve">Id. </w:t>
      </w:r>
      <w:r>
        <w:t>at 11:8-15.</w:t>
      </w:r>
    </w:p>
  </w:footnote>
  <w:footnote w:id="203">
    <w:p w14:paraId="5D8805DD" w14:textId="32F340E1" w:rsidR="00EA3F7E" w:rsidRDefault="00EA3F7E">
      <w:pPr>
        <w:pStyle w:val="FootnoteText"/>
      </w:pPr>
      <w:r>
        <w:rPr>
          <w:rStyle w:val="FootnoteReference"/>
        </w:rPr>
        <w:footnoteRef/>
      </w:r>
      <w:r>
        <w:t xml:space="preserve"> Ball, Exh. No. JLB-1T at 10:9-13.</w:t>
      </w:r>
    </w:p>
  </w:footnote>
  <w:footnote w:id="204">
    <w:p w14:paraId="4BF4C5BB" w14:textId="261D0409" w:rsidR="00EA3F7E" w:rsidRDefault="00EA3F7E">
      <w:pPr>
        <w:pStyle w:val="FootnoteText"/>
      </w:pPr>
      <w:r>
        <w:rPr>
          <w:rStyle w:val="FootnoteReference"/>
        </w:rPr>
        <w:footnoteRef/>
      </w:r>
      <w:r>
        <w:t xml:space="preserve"> Ramas, Exh. No. DMR-1CT at 12:8-13.</w:t>
      </w:r>
    </w:p>
  </w:footnote>
  <w:footnote w:id="205">
    <w:p w14:paraId="2DA3369B" w14:textId="41E81211" w:rsidR="00EA3F7E" w:rsidRDefault="00EA3F7E">
      <w:pPr>
        <w:pStyle w:val="FootnoteText"/>
      </w:pPr>
      <w:r>
        <w:rPr>
          <w:rStyle w:val="FootnoteReference"/>
        </w:rPr>
        <w:footnoteRef/>
      </w:r>
      <w:r>
        <w:t xml:space="preserve"> Mullins, Exh. No. BGM-1T at 16:11-17:2.</w:t>
      </w:r>
    </w:p>
  </w:footnote>
  <w:footnote w:id="206">
    <w:p w14:paraId="1AAFD58E" w14:textId="5BE24113" w:rsidR="00EA3F7E" w:rsidRDefault="00EA3F7E">
      <w:pPr>
        <w:pStyle w:val="FootnoteText"/>
      </w:pPr>
      <w:r>
        <w:rPr>
          <w:rStyle w:val="FootnoteReference"/>
        </w:rPr>
        <w:footnoteRef/>
      </w:r>
      <w:r>
        <w:t xml:space="preserve"> Mullins, Exh. No. BGM-8T.</w:t>
      </w:r>
    </w:p>
  </w:footnote>
  <w:footnote w:id="207">
    <w:p w14:paraId="30ED0420" w14:textId="65F1D926" w:rsidR="00EA3F7E" w:rsidRDefault="00EA3F7E">
      <w:pPr>
        <w:pStyle w:val="FootnoteText"/>
      </w:pPr>
      <w:r>
        <w:rPr>
          <w:rStyle w:val="FootnoteReference"/>
        </w:rPr>
        <w:footnoteRef/>
      </w:r>
      <w:r>
        <w:t xml:space="preserve"> </w:t>
      </w:r>
      <w:r w:rsidRPr="00C1123D">
        <w:rPr>
          <w:i/>
        </w:rPr>
        <w:t>Id.</w:t>
      </w:r>
      <w:r>
        <w:t xml:space="preserve"> at 9:19-21 (quoting </w:t>
      </w:r>
      <w:r w:rsidRPr="00C1123D">
        <w:rPr>
          <w:i/>
        </w:rPr>
        <w:t>WUTC v. Wash. Nat. Gas Co.,</w:t>
      </w:r>
      <w:r w:rsidRPr="00C1123D">
        <w:t xml:space="preserve"> Cause No. U-80-111, 44 P.U.R.4th 435 (Sept. 24, 1981)</w:t>
      </w:r>
      <w:r>
        <w:t>).</w:t>
      </w:r>
    </w:p>
  </w:footnote>
  <w:footnote w:id="208">
    <w:p w14:paraId="093CDE77" w14:textId="33AD5D9E" w:rsidR="00EA3F7E" w:rsidRDefault="00EA3F7E">
      <w:pPr>
        <w:pStyle w:val="FootnoteText"/>
      </w:pPr>
      <w:r>
        <w:rPr>
          <w:rStyle w:val="FootnoteReference"/>
        </w:rPr>
        <w:footnoteRef/>
      </w:r>
      <w:r>
        <w:t xml:space="preserve"> </w:t>
      </w:r>
      <w:r w:rsidRPr="00C1123D">
        <w:rPr>
          <w:i/>
        </w:rPr>
        <w:t>Id.</w:t>
      </w:r>
      <w:r>
        <w:t xml:space="preserve"> at 9:21-10:2.</w:t>
      </w:r>
    </w:p>
  </w:footnote>
  <w:footnote w:id="209">
    <w:p w14:paraId="37EF3176" w14:textId="1B033083" w:rsidR="00EA3F7E" w:rsidRDefault="00EA3F7E">
      <w:pPr>
        <w:pStyle w:val="FootnoteText"/>
      </w:pPr>
      <w:r>
        <w:rPr>
          <w:rStyle w:val="FootnoteReference"/>
        </w:rPr>
        <w:footnoteRef/>
      </w:r>
      <w:r>
        <w:t xml:space="preserve"> </w:t>
      </w:r>
      <w:r w:rsidRPr="00C90827">
        <w:rPr>
          <w:i/>
        </w:rPr>
        <w:t>Id.</w:t>
      </w:r>
      <w:r w:rsidRPr="00C90827">
        <w:t xml:space="preserve"> at</w:t>
      </w:r>
      <w:r>
        <w:t xml:space="preserve"> 10:3-12.</w:t>
      </w:r>
    </w:p>
  </w:footnote>
  <w:footnote w:id="210">
    <w:p w14:paraId="7479FCBB" w14:textId="7897899D" w:rsidR="00EA3F7E" w:rsidRDefault="00EA3F7E" w:rsidP="00C90827">
      <w:pPr>
        <w:pStyle w:val="FootnoteText"/>
        <w:rPr>
          <w:i/>
        </w:rPr>
      </w:pPr>
      <w:r>
        <w:rPr>
          <w:rStyle w:val="FootnoteReference"/>
        </w:rPr>
        <w:footnoteRef/>
      </w:r>
      <w:r>
        <w:t xml:space="preserve">  Pacific Power Initial Brief ¶ 145 (citing</w:t>
      </w:r>
      <w:r>
        <w:fldChar w:fldCharType="begin"/>
      </w:r>
      <w:r>
        <w:instrText xml:space="preserve"> ADDIN BA \xc &lt;@$id&gt; \xl 8 \s ID </w:instrText>
      </w:r>
      <w:r>
        <w:fldChar w:fldCharType="end"/>
      </w:r>
      <w:r>
        <w:t xml:space="preserve"> </w:t>
      </w:r>
      <w:r>
        <w:fldChar w:fldCharType="begin"/>
      </w:r>
      <w:r>
        <w:instrText xml:space="preserve"> ADDIN BA \xc &lt;@$cs&gt; \xl 66 \s KBKQKB000003 \xhfl Rep \xqt \xpl 1 </w:instrText>
      </w:r>
      <w:r>
        <w:fldChar w:fldCharType="end"/>
      </w:r>
      <w:r>
        <w:rPr>
          <w:i/>
        </w:rPr>
        <w:t>WUTC v. Wash. Nat. Gas Co.,</w:t>
      </w:r>
      <w:r>
        <w:t xml:space="preserve"> Cause No. U-80-111, 44 P.U.R.4th 435, 438 (Sept. 24, 1981); </w:t>
      </w:r>
      <w:r>
        <w:rPr>
          <w:i/>
        </w:rPr>
        <w:t xml:space="preserve">see also </w:t>
      </w:r>
      <w:r>
        <w:rPr>
          <w:i/>
          <w:iCs/>
        </w:rPr>
        <w:t>WUTC</w:t>
      </w:r>
      <w:r>
        <w:rPr>
          <w:i/>
        </w:rPr>
        <w:t xml:space="preserve"> v. Puget Sound Energy</w:t>
      </w:r>
      <w:r>
        <w:t xml:space="preserve">, Dockets UE-111048, </w:t>
      </w:r>
      <w:r>
        <w:rPr>
          <w:i/>
        </w:rPr>
        <w:t>et al.</w:t>
      </w:r>
      <w:r>
        <w:t xml:space="preserve">, </w:t>
      </w:r>
      <w:r>
        <w:fldChar w:fldCharType="begin"/>
      </w:r>
      <w:r>
        <w:instrText xml:space="preserve"> ADDIN BA \xc &lt;@reg&gt; \xl 29 \s KBKQKB000086 \l "</w:instrText>
      </w:r>
      <w:r>
        <w:rPr>
          <w:sz w:val="24"/>
        </w:rPr>
        <w:instrText>Order 08 ¶ 97 (May 7, 2012)</w:instrText>
      </w:r>
      <w:r>
        <w:instrText xml:space="preserve">" </w:instrText>
      </w:r>
      <w:r>
        <w:fldChar w:fldCharType="end"/>
      </w:r>
      <w:r>
        <w:t>Order 08 ¶ 97 (May 7, 2012)).</w:t>
      </w:r>
    </w:p>
  </w:footnote>
  <w:footnote w:id="211">
    <w:p w14:paraId="7D81A156" w14:textId="6D7A773C" w:rsidR="00EA3F7E" w:rsidRDefault="00EA3F7E">
      <w:pPr>
        <w:pStyle w:val="FootnoteText"/>
      </w:pPr>
      <w:r>
        <w:rPr>
          <w:rStyle w:val="FootnoteReference"/>
        </w:rPr>
        <w:footnoteRef/>
      </w:r>
      <w:r>
        <w:t xml:space="preserve"> </w:t>
      </w:r>
      <w:r w:rsidRPr="007A3AB4">
        <w:rPr>
          <w:i/>
        </w:rPr>
        <w:t>Id.</w:t>
      </w:r>
      <w:r>
        <w:t xml:space="preserve"> ¶ 146.</w:t>
      </w:r>
    </w:p>
  </w:footnote>
  <w:footnote w:id="212">
    <w:p w14:paraId="49E015CE" w14:textId="77777777" w:rsidR="00EA3F7E" w:rsidRDefault="00EA3F7E" w:rsidP="009C5871">
      <w:pPr>
        <w:pStyle w:val="FootnoteText"/>
      </w:pPr>
      <w:r>
        <w:rPr>
          <w:rStyle w:val="FootnoteReference"/>
        </w:rPr>
        <w:footnoteRef/>
      </w:r>
      <w:r>
        <w:t xml:space="preserve"> </w:t>
      </w:r>
      <w:r w:rsidRPr="00BB1B61">
        <w:rPr>
          <w:i/>
        </w:rPr>
        <w:t>See, e.g.,</w:t>
      </w:r>
      <w:r>
        <w:t xml:space="preserve"> </w:t>
      </w:r>
      <w:r w:rsidRPr="00BB1B61">
        <w:rPr>
          <w:i/>
        </w:rPr>
        <w:t>WUTC v. Olympic Pipeline Company</w:t>
      </w:r>
      <w:r>
        <w:rPr>
          <w:i/>
        </w:rPr>
        <w:t>,</w:t>
      </w:r>
      <w:r>
        <w:t xml:space="preserve"> </w:t>
      </w:r>
      <w:r w:rsidRPr="00590BB4">
        <w:t>Docket TO-011472, Twentieth Supp. Order, ¶</w:t>
      </w:r>
      <w:r>
        <w:t>¶</w:t>
      </w:r>
      <w:r w:rsidRPr="00590BB4">
        <w:t xml:space="preserve"> </w:t>
      </w:r>
      <w:r>
        <w:t>158-160 and 370</w:t>
      </w:r>
      <w:r w:rsidRPr="00590BB4">
        <w:t xml:space="preserve"> (September 27, 2002)</w:t>
      </w:r>
      <w:r>
        <w:t xml:space="preserve">.  In an earlier case involving PSE’s predecessor on the electric side of its operations, the Commission stated that: </w:t>
      </w:r>
    </w:p>
    <w:p w14:paraId="34B1672A" w14:textId="77777777" w:rsidR="00EA3F7E" w:rsidRDefault="00EA3F7E" w:rsidP="009C5871">
      <w:pPr>
        <w:pStyle w:val="FootnoteText"/>
        <w:ind w:left="720" w:right="720"/>
      </w:pPr>
      <w:r w:rsidRPr="002740F5">
        <w:t>Historically, the commission has accepted the average rate base concept as being an appropriate tool in the measurement of earning levels. It has not, however, discounted the validity of year-end rate base where special conditions exist, such as unusual growth in plant at a faster pace than customer growth and customer rate-making treatment is deficient.</w:t>
      </w:r>
    </w:p>
    <w:p w14:paraId="14CF7C3E" w14:textId="220632BE" w:rsidR="00EA3F7E" w:rsidRPr="00BB1B61" w:rsidRDefault="00EA3F7E" w:rsidP="009C5871">
      <w:pPr>
        <w:pStyle w:val="FootnoteText"/>
      </w:pPr>
      <w:r w:rsidRPr="0011601E">
        <w:rPr>
          <w:i/>
        </w:rPr>
        <w:t>Washington Utilities &amp; Transp. Commission v</w:t>
      </w:r>
      <w:r>
        <w:rPr>
          <w:i/>
        </w:rPr>
        <w:t>.</w:t>
      </w:r>
      <w:r w:rsidRPr="0011601E">
        <w:rPr>
          <w:i/>
        </w:rPr>
        <w:t xml:space="preserve"> Puget Sound Power &amp; Light Co.</w:t>
      </w:r>
      <w:r>
        <w:t>,</w:t>
      </w:r>
      <w:r w:rsidRPr="00590BB4">
        <w:t xml:space="preserve"> 7 PUR4th 44</w:t>
      </w:r>
      <w:r>
        <w:t xml:space="preserve">, 50 </w:t>
      </w:r>
      <w:r w:rsidRPr="00590BB4">
        <w:t>(</w:t>
      </w:r>
      <w:r>
        <w:t xml:space="preserve">September 27, </w:t>
      </w:r>
      <w:r w:rsidRPr="00590BB4">
        <w:t>1974)</w:t>
      </w:r>
      <w:r>
        <w:t>.  (rejecting end of test period rate base).</w:t>
      </w:r>
    </w:p>
  </w:footnote>
  <w:footnote w:id="213">
    <w:p w14:paraId="76DE2306" w14:textId="138CF0BD" w:rsidR="00EA3F7E" w:rsidRPr="00217946" w:rsidRDefault="00EA3F7E" w:rsidP="009C5871">
      <w:pPr>
        <w:pStyle w:val="FootnoteText"/>
      </w:pPr>
      <w:r w:rsidRPr="009C5871">
        <w:rPr>
          <w:rStyle w:val="FootnoteReference"/>
          <w:i/>
        </w:rPr>
        <w:footnoteRef/>
      </w:r>
      <w:r w:rsidRPr="009C5871">
        <w:rPr>
          <w:i/>
        </w:rPr>
        <w:t xml:space="preserve"> Petition of Puget Sound Energy and NWEC for Decoupling Authority</w:t>
      </w:r>
      <w:r>
        <w:t xml:space="preserve">, Dockets UE-12167 and UG-121705 (consolidated) and </w:t>
      </w:r>
      <w:r w:rsidRPr="009C5871">
        <w:rPr>
          <w:i/>
        </w:rPr>
        <w:t>WUTC v. Puget Sound Energy</w:t>
      </w:r>
      <w:r>
        <w:t xml:space="preserve">, Dockets UE-130037 and UG-130138 (consolidated), Order 07 ¶ 45 (citing </w:t>
      </w:r>
      <w:r w:rsidRPr="00440B9E">
        <w:rPr>
          <w:i/>
        </w:rPr>
        <w:t>WUTC v.</w:t>
      </w:r>
      <w:r>
        <w:rPr>
          <w:i/>
        </w:rPr>
        <w:t xml:space="preserve"> </w:t>
      </w:r>
      <w:r w:rsidRPr="00440B9E">
        <w:rPr>
          <w:i/>
        </w:rPr>
        <w:t xml:space="preserve">Wash. Nat. Gas Co., </w:t>
      </w:r>
      <w:r w:rsidRPr="00440B9E">
        <w:t>44 P.U.R. 4th 435, 438 (Sept. 24, 1981)</w:t>
      </w:r>
      <w:r>
        <w:t>)</w:t>
      </w:r>
      <w:r w:rsidRPr="00440B9E">
        <w:t>.</w:t>
      </w:r>
    </w:p>
  </w:footnote>
  <w:footnote w:id="214">
    <w:p w14:paraId="13D271AB" w14:textId="786E1FD7" w:rsidR="00EA3F7E" w:rsidRPr="009C5871" w:rsidRDefault="00EA3F7E">
      <w:pPr>
        <w:pStyle w:val="FootnoteText"/>
        <w:rPr>
          <w:i/>
        </w:rPr>
      </w:pPr>
      <w:r>
        <w:rPr>
          <w:rStyle w:val="FootnoteReference"/>
        </w:rPr>
        <w:footnoteRef/>
      </w:r>
      <w:r>
        <w:t xml:space="preserve"> </w:t>
      </w:r>
      <w:r>
        <w:rPr>
          <w:i/>
        </w:rPr>
        <w:t>Id.</w:t>
      </w:r>
    </w:p>
  </w:footnote>
  <w:footnote w:id="215">
    <w:p w14:paraId="65B0B39F" w14:textId="2B0168CD" w:rsidR="00EA3F7E" w:rsidRDefault="00EA3F7E">
      <w:pPr>
        <w:pStyle w:val="FootnoteText"/>
      </w:pPr>
      <w:r>
        <w:rPr>
          <w:rStyle w:val="FootnoteReference"/>
        </w:rPr>
        <w:footnoteRef/>
      </w:r>
      <w:r>
        <w:t xml:space="preserve"> </w:t>
      </w:r>
      <w:r w:rsidRPr="008565C0">
        <w:rPr>
          <w:i/>
        </w:rPr>
        <w:t>Id.</w:t>
      </w:r>
      <w:r>
        <w:t xml:space="preserve"> at ¶ 45.</w:t>
      </w:r>
    </w:p>
  </w:footnote>
  <w:footnote w:id="216">
    <w:p w14:paraId="39AC0D10" w14:textId="3AC0B58B" w:rsidR="00EA3F7E" w:rsidRDefault="00EA3F7E">
      <w:pPr>
        <w:pStyle w:val="FootnoteText"/>
      </w:pPr>
      <w:r>
        <w:rPr>
          <w:rStyle w:val="FootnoteReference"/>
        </w:rPr>
        <w:footnoteRef/>
      </w:r>
      <w:r>
        <w:t xml:space="preserve"> Docket UE-130043, Order 05 ¶ 181 (quoting </w:t>
      </w:r>
      <w:r w:rsidRPr="0045711D">
        <w:rPr>
          <w:i/>
        </w:rPr>
        <w:t>WUTC v. Puget Sound Energy, Inc.</w:t>
      </w:r>
      <w:r w:rsidRPr="0045711D">
        <w:t>, Dockets UE-111048 and UG-111049 (consolidated), Order 08 ¶ 507 (May 7, 2012)</w:t>
      </w:r>
      <w:r>
        <w:t>).</w:t>
      </w:r>
    </w:p>
  </w:footnote>
  <w:footnote w:id="217">
    <w:p w14:paraId="64632592" w14:textId="619A0D48" w:rsidR="00EA3F7E" w:rsidRDefault="00EA3F7E">
      <w:pPr>
        <w:pStyle w:val="FootnoteText"/>
      </w:pPr>
      <w:r>
        <w:rPr>
          <w:rStyle w:val="FootnoteReference"/>
        </w:rPr>
        <w:footnoteRef/>
      </w:r>
      <w:r>
        <w:t xml:space="preserve"> </w:t>
      </w:r>
      <w:r w:rsidRPr="009501B4">
        <w:rPr>
          <w:i/>
        </w:rPr>
        <w:t xml:space="preserve">See </w:t>
      </w:r>
      <w:r w:rsidRPr="001D25A1">
        <w:rPr>
          <w:i/>
          <w:szCs w:val="22"/>
        </w:rPr>
        <w:t>WUTC v. Wash. Nat. Gas Co.</w:t>
      </w:r>
      <w:r w:rsidRPr="008C7428">
        <w:rPr>
          <w:szCs w:val="22"/>
        </w:rPr>
        <w:t>,</w:t>
      </w:r>
      <w:r w:rsidRPr="009009D1">
        <w:t xml:space="preserve"> </w:t>
      </w:r>
      <w:r w:rsidRPr="009009D1">
        <w:rPr>
          <w:szCs w:val="22"/>
        </w:rPr>
        <w:t>Cause No. U-80-111</w:t>
      </w:r>
      <w:r w:rsidRPr="008C7428">
        <w:rPr>
          <w:szCs w:val="22"/>
        </w:rPr>
        <w:t xml:space="preserve"> 44 P.U.R. 4th 435, 437 (Sept. 24, 1981)</w:t>
      </w:r>
      <w:r w:rsidRPr="001D25A1">
        <w:rPr>
          <w:i/>
          <w:szCs w:val="22"/>
        </w:rPr>
        <w:t xml:space="preserve"> (“</w:t>
      </w:r>
      <w:r w:rsidRPr="001D25A1">
        <w:rPr>
          <w:szCs w:val="22"/>
        </w:rPr>
        <w:t>We have in the past decade witnessed a proliferation of rate filings and most filings have brought the differences over rate base into sharp focus.”)</w:t>
      </w:r>
      <w:r>
        <w:rPr>
          <w:szCs w:val="22"/>
        </w:rPr>
        <w:t>.</w:t>
      </w:r>
    </w:p>
  </w:footnote>
  <w:footnote w:id="218">
    <w:p w14:paraId="19343B92" w14:textId="1CD246FC" w:rsidR="00EA3F7E" w:rsidRDefault="00EA3F7E">
      <w:pPr>
        <w:pStyle w:val="FootnoteText"/>
      </w:pPr>
      <w:r>
        <w:rPr>
          <w:rStyle w:val="FootnoteReference"/>
        </w:rPr>
        <w:footnoteRef/>
      </w:r>
      <w:r>
        <w:t xml:space="preserve"> </w:t>
      </w:r>
      <w:r w:rsidRPr="001D25A1">
        <w:rPr>
          <w:i/>
          <w:szCs w:val="22"/>
        </w:rPr>
        <w:t>WUTC v. Puget Sound Energy, Inc.</w:t>
      </w:r>
      <w:r>
        <w:rPr>
          <w:szCs w:val="22"/>
        </w:rPr>
        <w:t>, Docket UE-130043, Order 05, ¶ 184 (December 4, 2013).</w:t>
      </w:r>
    </w:p>
  </w:footnote>
  <w:footnote w:id="219">
    <w:p w14:paraId="1022E1B6" w14:textId="1A8123B6" w:rsidR="00EA3F7E" w:rsidRDefault="00EA3F7E">
      <w:pPr>
        <w:pStyle w:val="FootnoteText"/>
      </w:pPr>
      <w:r>
        <w:rPr>
          <w:rStyle w:val="FootnoteReference"/>
        </w:rPr>
        <w:footnoteRef/>
      </w:r>
      <w:r>
        <w:t xml:space="preserve"> </w:t>
      </w:r>
      <w:r w:rsidRPr="00F92246">
        <w:rPr>
          <w:i/>
        </w:rPr>
        <w:t>Id.</w:t>
      </w:r>
      <w:r>
        <w:t xml:space="preserve"> ¶ 185.</w:t>
      </w:r>
    </w:p>
  </w:footnote>
  <w:footnote w:id="220">
    <w:p w14:paraId="6B2847E7" w14:textId="60FB903F" w:rsidR="00EA3F7E" w:rsidRDefault="00EA3F7E">
      <w:pPr>
        <w:pStyle w:val="FootnoteText"/>
      </w:pPr>
      <w:r>
        <w:rPr>
          <w:rStyle w:val="FootnoteReference"/>
        </w:rPr>
        <w:footnoteRef/>
      </w:r>
      <w:r>
        <w:t xml:space="preserve"> </w:t>
      </w:r>
      <w:r w:rsidRPr="00F92246">
        <w:rPr>
          <w:i/>
        </w:rPr>
        <w:t>Id.</w:t>
      </w:r>
    </w:p>
  </w:footnote>
  <w:footnote w:id="221">
    <w:p w14:paraId="53E807B5" w14:textId="77777777" w:rsidR="00EA3F7E" w:rsidRDefault="00EA3F7E">
      <w:pPr>
        <w:pStyle w:val="FootnoteText"/>
      </w:pPr>
      <w:r>
        <w:rPr>
          <w:rStyle w:val="FootnoteReference"/>
        </w:rPr>
        <w:footnoteRef/>
      </w:r>
      <w:r>
        <w:t xml:space="preserve"> Siores, </w:t>
      </w:r>
      <w:r w:rsidRPr="00E47509">
        <w:t>Exh. No. NCS</w:t>
      </w:r>
      <w:r>
        <w:t>-1T</w:t>
      </w:r>
      <w:r w:rsidRPr="00E47509">
        <w:t xml:space="preserve"> at 26:8-13.</w:t>
      </w:r>
    </w:p>
  </w:footnote>
  <w:footnote w:id="222">
    <w:p w14:paraId="43767CE4" w14:textId="75837CED" w:rsidR="00EA3F7E" w:rsidRDefault="00EA3F7E" w:rsidP="00B520B0">
      <w:pPr>
        <w:pStyle w:val="FootnoteText"/>
      </w:pPr>
      <w:r>
        <w:rPr>
          <w:rStyle w:val="FootnoteReference"/>
        </w:rPr>
        <w:footnoteRef/>
      </w:r>
      <w:r>
        <w:t xml:space="preserve"> The Commission rejected the Merwin Project as a capital plant addition in Docket UE-130043 because it was not shown to be used and useful during the time period of the case.  Docket UE-130043, Order 05 ¶¶ 203-06.</w:t>
      </w:r>
    </w:p>
  </w:footnote>
  <w:footnote w:id="223">
    <w:p w14:paraId="4D7383AB" w14:textId="5000BC28" w:rsidR="00EA3F7E" w:rsidRDefault="00EA3F7E">
      <w:pPr>
        <w:pStyle w:val="FootnoteText"/>
      </w:pPr>
      <w:r>
        <w:rPr>
          <w:rStyle w:val="FootnoteReference"/>
        </w:rPr>
        <w:footnoteRef/>
      </w:r>
      <w:r>
        <w:t xml:space="preserve"> There is no directly applicable legal standard for what is a “major” project except in WAC 480-140-040, which establishes $3 million in total project costs as the minimum size for a project to be considered “major”.</w:t>
      </w:r>
    </w:p>
  </w:footnote>
  <w:footnote w:id="224">
    <w:p w14:paraId="077C9F92" w14:textId="77777777" w:rsidR="00EA3F7E" w:rsidRDefault="00EA3F7E">
      <w:pPr>
        <w:pStyle w:val="FootnoteText"/>
      </w:pPr>
      <w:r>
        <w:rPr>
          <w:rStyle w:val="FootnoteReference"/>
        </w:rPr>
        <w:footnoteRef/>
      </w:r>
      <w:r>
        <w:t xml:space="preserve"> Mullins, Exh. No. BGM-1CT at 2:18-22.</w:t>
      </w:r>
    </w:p>
  </w:footnote>
  <w:footnote w:id="225">
    <w:p w14:paraId="53025E55" w14:textId="0F2A2B9B" w:rsidR="00EA3F7E" w:rsidRDefault="00EA3F7E">
      <w:pPr>
        <w:pStyle w:val="FootnoteText"/>
      </w:pPr>
      <w:r>
        <w:rPr>
          <w:rStyle w:val="FootnoteReference"/>
        </w:rPr>
        <w:footnoteRef/>
      </w:r>
      <w:r>
        <w:t xml:space="preserve"> </w:t>
      </w:r>
      <w:r w:rsidRPr="006B2829">
        <w:rPr>
          <w:i/>
        </w:rPr>
        <w:t>Id.</w:t>
      </w:r>
      <w:r>
        <w:t xml:space="preserve"> at 11:2-3 (citing</w:t>
      </w:r>
      <w:r w:rsidRPr="00552B8F">
        <w:rPr>
          <w:sz w:val="24"/>
        </w:rPr>
        <w:t xml:space="preserve"> </w:t>
      </w:r>
      <w:r>
        <w:rPr>
          <w:sz w:val="24"/>
        </w:rPr>
        <w:t xml:space="preserve">Siores, </w:t>
      </w:r>
      <w:r w:rsidRPr="00552B8F">
        <w:t xml:space="preserve">Exh. NCS-1T at 6:1-8; Exh. </w:t>
      </w:r>
      <w:r>
        <w:t xml:space="preserve">No. </w:t>
      </w:r>
      <w:r w:rsidRPr="00552B8F">
        <w:t>NCS-3 at 8.4.4-9.</w:t>
      </w:r>
      <w:r>
        <w:t>)</w:t>
      </w:r>
    </w:p>
  </w:footnote>
  <w:footnote w:id="226">
    <w:p w14:paraId="1CE9C8DC" w14:textId="77777777" w:rsidR="00EA3F7E" w:rsidRDefault="00EA3F7E">
      <w:pPr>
        <w:pStyle w:val="FootnoteText"/>
      </w:pPr>
      <w:r>
        <w:rPr>
          <w:rStyle w:val="FootnoteReference"/>
        </w:rPr>
        <w:footnoteRef/>
      </w:r>
      <w:r>
        <w:t xml:space="preserve"> </w:t>
      </w:r>
      <w:r w:rsidRPr="0004295E">
        <w:rPr>
          <w:i/>
        </w:rPr>
        <w:t xml:space="preserve">Id. </w:t>
      </w:r>
      <w:r>
        <w:t>at 11:6-8.</w:t>
      </w:r>
    </w:p>
  </w:footnote>
  <w:footnote w:id="227">
    <w:p w14:paraId="2CBAA3F8" w14:textId="4CE557F7" w:rsidR="00EA3F7E" w:rsidRDefault="00EA3F7E">
      <w:pPr>
        <w:pStyle w:val="FootnoteText"/>
      </w:pPr>
      <w:r>
        <w:rPr>
          <w:rStyle w:val="FootnoteReference"/>
        </w:rPr>
        <w:footnoteRef/>
      </w:r>
      <w:r>
        <w:t xml:space="preserve"> </w:t>
      </w:r>
      <w:r w:rsidRPr="003A1389">
        <w:rPr>
          <w:i/>
        </w:rPr>
        <w:t xml:space="preserve">Id. </w:t>
      </w:r>
      <w:r w:rsidRPr="003A1389">
        <w:t xml:space="preserve">at </w:t>
      </w:r>
      <w:r>
        <w:t>11:8-11.</w:t>
      </w:r>
    </w:p>
  </w:footnote>
  <w:footnote w:id="228">
    <w:p w14:paraId="4FCB5B90" w14:textId="5FD78690" w:rsidR="00EA3F7E" w:rsidRDefault="00EA3F7E">
      <w:pPr>
        <w:pStyle w:val="FootnoteText"/>
      </w:pPr>
      <w:r>
        <w:rPr>
          <w:rStyle w:val="FootnoteReference"/>
        </w:rPr>
        <w:footnoteRef/>
      </w:r>
      <w:r>
        <w:t xml:space="preserve"> </w:t>
      </w:r>
      <w:r w:rsidRPr="0004295E">
        <w:rPr>
          <w:i/>
        </w:rPr>
        <w:t>Id.</w:t>
      </w:r>
      <w:r>
        <w:t xml:space="preserve"> (citing </w:t>
      </w:r>
      <w:r w:rsidRPr="0004295E">
        <w:t xml:space="preserve">Exh. </w:t>
      </w:r>
      <w:r>
        <w:t xml:space="preserve">No. </w:t>
      </w:r>
      <w:r w:rsidRPr="0004295E">
        <w:t>NCS-3 at 8.4.2</w:t>
      </w:r>
      <w:r>
        <w:t>)</w:t>
      </w:r>
      <w:r w:rsidRPr="0004295E">
        <w:t>.</w:t>
      </w:r>
    </w:p>
  </w:footnote>
  <w:footnote w:id="229">
    <w:p w14:paraId="478493A1" w14:textId="6A52376C" w:rsidR="00EA3F7E" w:rsidRDefault="00EA3F7E">
      <w:pPr>
        <w:pStyle w:val="FootnoteText"/>
      </w:pPr>
      <w:r>
        <w:rPr>
          <w:rStyle w:val="FootnoteReference"/>
        </w:rPr>
        <w:footnoteRef/>
      </w:r>
      <w:r>
        <w:t xml:space="preserve"> </w:t>
      </w:r>
      <w:r w:rsidRPr="0004295E">
        <w:t xml:space="preserve">Exh. </w:t>
      </w:r>
      <w:r>
        <w:t xml:space="preserve">No. </w:t>
      </w:r>
      <w:r w:rsidRPr="0004295E">
        <w:t>BGM-4C (</w:t>
      </w:r>
      <w:r>
        <w:t>Pacific Power’s</w:t>
      </w:r>
      <w:r w:rsidRPr="0004295E">
        <w:t xml:space="preserve"> 1</w:t>
      </w:r>
      <w:r w:rsidRPr="0004295E">
        <w:rPr>
          <w:vertAlign w:val="superscript"/>
        </w:rPr>
        <w:t>st</w:t>
      </w:r>
      <w:r w:rsidRPr="0004295E">
        <w:t xml:space="preserve"> Revised Response to Public Counsel (“PC”) DR 54, Attachment PC 54-1 1</w:t>
      </w:r>
      <w:r w:rsidRPr="0004295E">
        <w:rPr>
          <w:vertAlign w:val="superscript"/>
        </w:rPr>
        <w:t>st</w:t>
      </w:r>
      <w:r w:rsidRPr="0004295E">
        <w:t xml:space="preserve"> Revised).</w:t>
      </w:r>
    </w:p>
  </w:footnote>
  <w:footnote w:id="230">
    <w:p w14:paraId="57F23006" w14:textId="77777777" w:rsidR="00EA3F7E" w:rsidRDefault="00EA3F7E">
      <w:pPr>
        <w:pStyle w:val="FootnoteText"/>
      </w:pPr>
      <w:r>
        <w:rPr>
          <w:rStyle w:val="FootnoteReference"/>
        </w:rPr>
        <w:footnoteRef/>
      </w:r>
      <w:r>
        <w:t xml:space="preserve"> </w:t>
      </w:r>
      <w:r>
        <w:rPr>
          <w:i/>
        </w:rPr>
        <w:t>Compare</w:t>
      </w:r>
      <w:r w:rsidRPr="00876F1C">
        <w:t xml:space="preserve"> Siores, Exh. No. NCS-3 at</w:t>
      </w:r>
      <w:r>
        <w:t xml:space="preserve"> 8.4.2 and</w:t>
      </w:r>
      <w:r w:rsidRPr="00876F1C">
        <w:t xml:space="preserve"> Siores Exh. No. NCS-11 at 8.4.2 (</w:t>
      </w:r>
      <w:r>
        <w:t>showing</w:t>
      </w:r>
      <w:r w:rsidRPr="00876F1C">
        <w:t xml:space="preserve"> revisions </w:t>
      </w:r>
      <w:r>
        <w:t>to</w:t>
      </w:r>
      <w:r w:rsidRPr="00876F1C">
        <w:t xml:space="preserve"> all </w:t>
      </w:r>
      <w:r>
        <w:t xml:space="preserve">proposed </w:t>
      </w:r>
      <w:r w:rsidRPr="00876F1C">
        <w:t>capital addition costs, including significant changes</w:t>
      </w:r>
      <w:r>
        <w:t xml:space="preserve"> on some projects, and changed in-service dates for many projects</w:t>
      </w:r>
      <w:r w:rsidRPr="00876F1C">
        <w:t>).</w:t>
      </w:r>
      <w:r>
        <w:t xml:space="preserve">  See also Public Counsel Initial Brief ¶ 52 </w:t>
      </w:r>
    </w:p>
    <w:p w14:paraId="44206C0B" w14:textId="6EF950E7" w:rsidR="00EA3F7E" w:rsidRDefault="00EA3F7E" w:rsidP="00222DBD">
      <w:pPr>
        <w:pStyle w:val="FootnoteText"/>
        <w:ind w:left="720" w:right="720"/>
      </w:pPr>
      <w:r>
        <w:t>[N]</w:t>
      </w:r>
      <w:r w:rsidRPr="00222DBD">
        <w:t>ot only did Pacific Power’s case materially change after the initial filing, but its rebuttal contained numerous errors and required further corrections, updates which were finalized only days before hearing.  In general, the later in the case information is provided, the less opportunity there is to confirm it.  Rather than allowing plant additions 10½ months after the end of the test year, Public Counsel believes a more reasonable compromise is to restrict additions to those before August 31, 2014, which helps ensure that the most reliable data is being used.  Approving additions up to the time of rebuttal, and with even later revisions, reduces confidence in the reliability of the data.</w:t>
      </w:r>
    </w:p>
  </w:footnote>
  <w:footnote w:id="231">
    <w:p w14:paraId="2ADDB2B2" w14:textId="77777777" w:rsidR="00EA3F7E" w:rsidRDefault="00EA3F7E">
      <w:pPr>
        <w:pStyle w:val="FootnoteText"/>
      </w:pPr>
      <w:r>
        <w:rPr>
          <w:rStyle w:val="FootnoteReference"/>
        </w:rPr>
        <w:footnoteRef/>
      </w:r>
      <w:r>
        <w:t xml:space="preserve"> </w:t>
      </w:r>
      <w:r w:rsidRPr="004B1080">
        <w:rPr>
          <w:i/>
        </w:rPr>
        <w:t xml:space="preserve">Id. </w:t>
      </w:r>
      <w:r w:rsidRPr="004B1080">
        <w:t xml:space="preserve">at </w:t>
      </w:r>
      <w:r>
        <w:t>12:6-8.</w:t>
      </w:r>
    </w:p>
  </w:footnote>
  <w:footnote w:id="232">
    <w:p w14:paraId="161D2232" w14:textId="77777777" w:rsidR="00EA3F7E" w:rsidRDefault="00EA3F7E">
      <w:pPr>
        <w:pStyle w:val="FootnoteText"/>
      </w:pPr>
      <w:r>
        <w:rPr>
          <w:rStyle w:val="FootnoteReference"/>
        </w:rPr>
        <w:footnoteRef/>
      </w:r>
      <w:r>
        <w:t xml:space="preserve"> Ralston, Exh. No. DMR-1T at 4:4-9.</w:t>
      </w:r>
    </w:p>
  </w:footnote>
  <w:footnote w:id="233">
    <w:p w14:paraId="76B58F3C" w14:textId="77777777" w:rsidR="00EA3F7E" w:rsidRDefault="00EA3F7E">
      <w:pPr>
        <w:pStyle w:val="FootnoteText"/>
      </w:pPr>
      <w:r>
        <w:rPr>
          <w:rStyle w:val="FootnoteReference"/>
        </w:rPr>
        <w:footnoteRef/>
      </w:r>
      <w:r>
        <w:t xml:space="preserve"> Exh. No. BGM-4C (Pacific Power</w:t>
      </w:r>
      <w:r w:rsidRPr="00AA1B04">
        <w:t>’s Response to PC DR 54, Attachment 54-1</w:t>
      </w:r>
      <w:r>
        <w:t>).</w:t>
      </w:r>
    </w:p>
  </w:footnote>
  <w:footnote w:id="234">
    <w:p w14:paraId="63290702" w14:textId="472003A3" w:rsidR="00EA3F7E" w:rsidRDefault="00EA3F7E" w:rsidP="0060528C">
      <w:pPr>
        <w:pStyle w:val="FootnoteText"/>
      </w:pPr>
      <w:r w:rsidRPr="005763B1">
        <w:rPr>
          <w:rStyle w:val="FootnoteReference"/>
          <w:szCs w:val="22"/>
        </w:rPr>
        <w:footnoteRef/>
      </w:r>
      <w:r w:rsidRPr="005763B1">
        <w:rPr>
          <w:szCs w:val="22"/>
        </w:rPr>
        <w:t xml:space="preserve"> </w:t>
      </w:r>
      <w:r w:rsidRPr="00403D3C">
        <w:rPr>
          <w:i/>
          <w:szCs w:val="22"/>
        </w:rPr>
        <w:t>See generally</w:t>
      </w:r>
      <w:r>
        <w:rPr>
          <w:szCs w:val="22"/>
        </w:rPr>
        <w:t xml:space="preserve"> </w:t>
      </w:r>
      <w:r w:rsidRPr="005763B1">
        <w:rPr>
          <w:szCs w:val="22"/>
        </w:rPr>
        <w:t>Ramas, Exh. No. DMR-1CT at 12</w:t>
      </w:r>
      <w:r>
        <w:rPr>
          <w:szCs w:val="22"/>
        </w:rPr>
        <w:t>:20</w:t>
      </w:r>
      <w:r w:rsidRPr="005763B1">
        <w:rPr>
          <w:szCs w:val="22"/>
        </w:rPr>
        <w:t>-17</w:t>
      </w:r>
      <w:r>
        <w:rPr>
          <w:szCs w:val="22"/>
        </w:rPr>
        <w:t>:18</w:t>
      </w:r>
      <w:r w:rsidRPr="005763B1">
        <w:rPr>
          <w:szCs w:val="22"/>
        </w:rPr>
        <w:t>.  In direct testimony Ms. Ramas agree</w:t>
      </w:r>
      <w:r>
        <w:rPr>
          <w:szCs w:val="22"/>
        </w:rPr>
        <w:t>s</w:t>
      </w:r>
      <w:r w:rsidRPr="005763B1">
        <w:rPr>
          <w:szCs w:val="22"/>
        </w:rPr>
        <w:t xml:space="preserve"> to 11 </w:t>
      </w:r>
      <w:r w:rsidRPr="00A120A4">
        <w:rPr>
          <w:i/>
          <w:szCs w:val="22"/>
        </w:rPr>
        <w:t>pro forma</w:t>
      </w:r>
      <w:r w:rsidRPr="005763B1">
        <w:rPr>
          <w:szCs w:val="22"/>
        </w:rPr>
        <w:t xml:space="preserve"> major plant additions in service by June 30, 2014</w:t>
      </w:r>
      <w:r>
        <w:rPr>
          <w:szCs w:val="22"/>
        </w:rPr>
        <w:t>,</w:t>
      </w:r>
      <w:r w:rsidRPr="005763B1">
        <w:rPr>
          <w:szCs w:val="22"/>
        </w:rPr>
        <w:t xml:space="preserve"> if based on actual costs (Ramas, Exh. No. DMR-1T</w:t>
      </w:r>
      <w:r>
        <w:rPr>
          <w:szCs w:val="22"/>
        </w:rPr>
        <w:t>,</w:t>
      </w:r>
      <w:r w:rsidRPr="005763B1">
        <w:rPr>
          <w:szCs w:val="22"/>
        </w:rPr>
        <w:t xml:space="preserve"> at 13:25-14:2</w:t>
      </w:r>
      <w:r>
        <w:rPr>
          <w:szCs w:val="22"/>
        </w:rPr>
        <w:t>,</w:t>
      </w:r>
      <w:r w:rsidRPr="005763B1">
        <w:rPr>
          <w:szCs w:val="22"/>
        </w:rPr>
        <w:t xml:space="preserve"> 15:7-8</w:t>
      </w:r>
      <w:r>
        <w:rPr>
          <w:szCs w:val="22"/>
        </w:rPr>
        <w:t>,</w:t>
      </w:r>
      <w:r w:rsidRPr="005763B1">
        <w:rPr>
          <w:szCs w:val="22"/>
        </w:rPr>
        <w:t xml:space="preserve"> and 16:17-21.).</w:t>
      </w:r>
      <w:r>
        <w:t xml:space="preserve"> </w:t>
      </w:r>
    </w:p>
  </w:footnote>
  <w:footnote w:id="235">
    <w:p w14:paraId="4C6255C4" w14:textId="73341696" w:rsidR="00EA3F7E" w:rsidRDefault="00EA3F7E">
      <w:pPr>
        <w:pStyle w:val="FootnoteText"/>
      </w:pPr>
      <w:r>
        <w:rPr>
          <w:rStyle w:val="FootnoteReference"/>
        </w:rPr>
        <w:footnoteRef/>
      </w:r>
      <w:r>
        <w:t xml:space="preserve"> Public Counsel Initial Brief ¶ 51.</w:t>
      </w:r>
    </w:p>
  </w:footnote>
  <w:footnote w:id="236">
    <w:p w14:paraId="37FEC798" w14:textId="77777777" w:rsidR="00EA3F7E" w:rsidRPr="00DE071D" w:rsidRDefault="00EA3F7E" w:rsidP="0060528C">
      <w:pPr>
        <w:pStyle w:val="FootnoteText"/>
        <w:rPr>
          <w:szCs w:val="22"/>
        </w:rPr>
      </w:pPr>
      <w:r w:rsidRPr="00DE071D">
        <w:rPr>
          <w:rStyle w:val="FootnoteReference"/>
          <w:szCs w:val="22"/>
        </w:rPr>
        <w:footnoteRef/>
      </w:r>
      <w:r w:rsidRPr="00DE071D">
        <w:rPr>
          <w:szCs w:val="22"/>
        </w:rPr>
        <w:t xml:space="preserve"> Ramas, Exh. No. DMR-1T, at 17:18- 18:3. The June 30 date is the same in-service cutoff date Public Counsel proposed for major plant additions in its initial testimony.</w:t>
      </w:r>
    </w:p>
  </w:footnote>
  <w:footnote w:id="237">
    <w:p w14:paraId="2040B5B5" w14:textId="08A830A5" w:rsidR="00EA3F7E" w:rsidRPr="005763B1" w:rsidRDefault="00EA3F7E" w:rsidP="00A76F50">
      <w:pPr>
        <w:pStyle w:val="FootnoteText"/>
        <w:rPr>
          <w:szCs w:val="22"/>
        </w:rPr>
      </w:pPr>
      <w:r w:rsidRPr="005763B1">
        <w:rPr>
          <w:rStyle w:val="FootnoteReference"/>
          <w:szCs w:val="22"/>
        </w:rPr>
        <w:footnoteRef/>
      </w:r>
      <w:r w:rsidRPr="005763B1">
        <w:rPr>
          <w:szCs w:val="22"/>
        </w:rPr>
        <w:t xml:space="preserve"> Erdahl, Exh. No. BAE-1T</w:t>
      </w:r>
      <w:r>
        <w:rPr>
          <w:szCs w:val="22"/>
        </w:rPr>
        <w:t>, at 8:4-8; 9:1-4.</w:t>
      </w:r>
    </w:p>
  </w:footnote>
  <w:footnote w:id="238">
    <w:p w14:paraId="574968CA" w14:textId="67F15CA1" w:rsidR="00EA3F7E" w:rsidRPr="0059640A" w:rsidRDefault="00EA3F7E" w:rsidP="00A76F50">
      <w:pPr>
        <w:pStyle w:val="FootnoteText"/>
      </w:pPr>
      <w:r w:rsidRPr="00321BDA">
        <w:rPr>
          <w:rStyle w:val="FootnoteReference"/>
        </w:rPr>
        <w:footnoteRef/>
      </w:r>
      <w:r w:rsidRPr="00321BDA">
        <w:t xml:space="preserve"> </w:t>
      </w:r>
      <w:r w:rsidRPr="00A76F50">
        <w:rPr>
          <w:i/>
        </w:rPr>
        <w:t>Id.</w:t>
      </w:r>
      <w:r>
        <w:t xml:space="preserve"> (citing </w:t>
      </w:r>
      <w:r w:rsidRPr="00321BDA">
        <w:t>Docket</w:t>
      </w:r>
      <w:r w:rsidRPr="0059640A">
        <w:t xml:space="preserve"> UE-130043, Order 05 </w:t>
      </w:r>
      <w:r>
        <w:t>¶¶ 198-202</w:t>
      </w:r>
      <w:r>
        <w:rPr>
          <w:rFonts w:eastAsia="Calibri"/>
        </w:rPr>
        <w:t>)</w:t>
      </w:r>
      <w:r w:rsidRPr="0059640A">
        <w:rPr>
          <w:rFonts w:eastAsia="Calibri"/>
        </w:rPr>
        <w:t>.</w:t>
      </w:r>
    </w:p>
  </w:footnote>
  <w:footnote w:id="239">
    <w:p w14:paraId="1336571A" w14:textId="22EEDF03" w:rsidR="00EA3F7E" w:rsidRPr="0059640A" w:rsidRDefault="00EA3F7E" w:rsidP="00A76F50">
      <w:pPr>
        <w:pStyle w:val="FootnoteText"/>
      </w:pPr>
      <w:r w:rsidRPr="0059640A">
        <w:rPr>
          <w:rStyle w:val="FootnoteReference"/>
        </w:rPr>
        <w:footnoteRef/>
      </w:r>
      <w:r w:rsidRPr="0059640A">
        <w:t xml:space="preserve"> </w:t>
      </w:r>
      <w:r w:rsidRPr="0059640A">
        <w:rPr>
          <w:i/>
        </w:rPr>
        <w:t>Id.</w:t>
      </w:r>
      <w:r w:rsidRPr="0059640A">
        <w:t xml:space="preserve"> </w:t>
      </w:r>
      <w:r>
        <w:t xml:space="preserve">(citing </w:t>
      </w:r>
      <w:r w:rsidRPr="00A76F50">
        <w:t>Docket UE-130043, Order 05</w:t>
      </w:r>
      <w:r w:rsidRPr="0059640A">
        <w:t xml:space="preserve"> </w:t>
      </w:r>
      <w:r>
        <w:t>¶ 201).</w:t>
      </w:r>
    </w:p>
  </w:footnote>
  <w:footnote w:id="240">
    <w:p w14:paraId="017B2E0A" w14:textId="77777777" w:rsidR="00EA3F7E" w:rsidRPr="00DE071D" w:rsidRDefault="00EA3F7E" w:rsidP="00A76F50">
      <w:pPr>
        <w:pStyle w:val="FootnoteText"/>
        <w:rPr>
          <w:szCs w:val="22"/>
        </w:rPr>
      </w:pPr>
      <w:r w:rsidRPr="00DE071D">
        <w:rPr>
          <w:rStyle w:val="FootnoteReference"/>
          <w:szCs w:val="22"/>
        </w:rPr>
        <w:footnoteRef/>
      </w:r>
      <w:r w:rsidRPr="00DE071D">
        <w:rPr>
          <w:szCs w:val="22"/>
        </w:rPr>
        <w:t xml:space="preserve"> </w:t>
      </w:r>
      <w:r>
        <w:rPr>
          <w:szCs w:val="22"/>
        </w:rPr>
        <w:t xml:space="preserve">Dalley, </w:t>
      </w:r>
      <w:r w:rsidRPr="00DE071D">
        <w:rPr>
          <w:szCs w:val="22"/>
        </w:rPr>
        <w:t xml:space="preserve">Exh. No. RBD-10CX, TR. 386:18-390:2.  </w:t>
      </w:r>
    </w:p>
  </w:footnote>
  <w:footnote w:id="241">
    <w:p w14:paraId="3F26926E" w14:textId="058FB53A" w:rsidR="00EA3F7E" w:rsidRDefault="00EA3F7E">
      <w:pPr>
        <w:pStyle w:val="FootnoteText"/>
      </w:pPr>
      <w:r>
        <w:rPr>
          <w:rStyle w:val="FootnoteReference"/>
        </w:rPr>
        <w:footnoteRef/>
      </w:r>
      <w:r>
        <w:t xml:space="preserve"> </w:t>
      </w:r>
      <w:r w:rsidRPr="00A36D33">
        <w:t>Mullins, Exh. No. BGM-1CTr at 14:1-8.</w:t>
      </w:r>
    </w:p>
  </w:footnote>
  <w:footnote w:id="242">
    <w:p w14:paraId="2B75AC75" w14:textId="1141F2E6" w:rsidR="00EA3F7E" w:rsidRDefault="00EA3F7E">
      <w:pPr>
        <w:pStyle w:val="FootnoteText"/>
      </w:pPr>
      <w:r>
        <w:rPr>
          <w:rStyle w:val="FootnoteReference"/>
        </w:rPr>
        <w:footnoteRef/>
      </w:r>
      <w:r>
        <w:t xml:space="preserve"> Vail, Exh. No. RAV-2T at 2:14-15.</w:t>
      </w:r>
    </w:p>
  </w:footnote>
  <w:footnote w:id="243">
    <w:p w14:paraId="7F431104" w14:textId="5510F3FD" w:rsidR="00EA3F7E" w:rsidRDefault="00EA3F7E">
      <w:pPr>
        <w:pStyle w:val="FootnoteText"/>
      </w:pPr>
      <w:r>
        <w:rPr>
          <w:rStyle w:val="FootnoteReference"/>
        </w:rPr>
        <w:footnoteRef/>
      </w:r>
      <w:r>
        <w:t xml:space="preserve"> </w:t>
      </w:r>
      <w:r w:rsidRPr="00A80B69">
        <w:rPr>
          <w:i/>
        </w:rPr>
        <w:t>Id.</w:t>
      </w:r>
      <w:r>
        <w:t xml:space="preserve"> at 5:13-15.</w:t>
      </w:r>
    </w:p>
  </w:footnote>
  <w:footnote w:id="244">
    <w:p w14:paraId="6037ECCF" w14:textId="69D94E8E" w:rsidR="00EA3F7E" w:rsidRDefault="00EA3F7E">
      <w:pPr>
        <w:pStyle w:val="FootnoteText"/>
      </w:pPr>
      <w:r>
        <w:rPr>
          <w:rStyle w:val="FootnoteReference"/>
        </w:rPr>
        <w:footnoteRef/>
      </w:r>
      <w:r>
        <w:t xml:space="preserve"> </w:t>
      </w:r>
      <w:r w:rsidRPr="00A80B69">
        <w:rPr>
          <w:i/>
        </w:rPr>
        <w:t>Id.</w:t>
      </w:r>
      <w:r w:rsidRPr="00A80B69">
        <w:t xml:space="preserve"> at</w:t>
      </w:r>
      <w:r>
        <w:t xml:space="preserve"> 2:23-3:4.</w:t>
      </w:r>
    </w:p>
  </w:footnote>
  <w:footnote w:id="245">
    <w:p w14:paraId="517038AB" w14:textId="05E42584" w:rsidR="00EA3F7E" w:rsidRDefault="00EA3F7E">
      <w:pPr>
        <w:pStyle w:val="FootnoteText"/>
      </w:pPr>
      <w:r>
        <w:rPr>
          <w:rStyle w:val="FootnoteReference"/>
        </w:rPr>
        <w:footnoteRef/>
      </w:r>
      <w:r>
        <w:t xml:space="preserve"> Boise White Paper Initial Brief ¶ 57 (citing Docket UE-130043, </w:t>
      </w:r>
      <w:r w:rsidRPr="004259AB">
        <w:t>Order 05 ¶ 205 (quoting Docket Nos. UE-090704 and UG-090705 (consolidated), Order 11 ¶ 26)</w:t>
      </w:r>
      <w:r>
        <w:t>)</w:t>
      </w:r>
      <w:r w:rsidRPr="004259AB">
        <w:t>.</w:t>
      </w:r>
    </w:p>
  </w:footnote>
  <w:footnote w:id="246">
    <w:p w14:paraId="0F205B91" w14:textId="5786EFB9" w:rsidR="00EA3F7E" w:rsidRDefault="00EA3F7E">
      <w:pPr>
        <w:pStyle w:val="FootnoteText"/>
      </w:pPr>
      <w:r>
        <w:rPr>
          <w:rStyle w:val="FootnoteReference"/>
        </w:rPr>
        <w:footnoteRef/>
      </w:r>
      <w:r>
        <w:t xml:space="preserve"> Mullins, Exh. No. BGM-1Tr at 13:1-9.</w:t>
      </w:r>
    </w:p>
  </w:footnote>
  <w:footnote w:id="247">
    <w:p w14:paraId="75E5AE5E" w14:textId="32A264CC" w:rsidR="00EA3F7E" w:rsidRDefault="00EA3F7E">
      <w:pPr>
        <w:pStyle w:val="FootnoteText"/>
      </w:pPr>
      <w:r>
        <w:rPr>
          <w:rStyle w:val="FootnoteReference"/>
        </w:rPr>
        <w:footnoteRef/>
      </w:r>
      <w:r>
        <w:t xml:space="preserve"> </w:t>
      </w:r>
      <w:r w:rsidRPr="00955E42">
        <w:rPr>
          <w:i/>
        </w:rPr>
        <w:t>Id.</w:t>
      </w:r>
    </w:p>
  </w:footnote>
  <w:footnote w:id="248">
    <w:p w14:paraId="3835BA86" w14:textId="79AABEAA" w:rsidR="00EA3F7E" w:rsidRDefault="00EA3F7E">
      <w:pPr>
        <w:pStyle w:val="FootnoteText"/>
      </w:pPr>
      <w:r>
        <w:rPr>
          <w:rStyle w:val="FootnoteReference"/>
        </w:rPr>
        <w:footnoteRef/>
      </w:r>
      <w:r>
        <w:t xml:space="preserve"> Pacific Power Initial Brief ¶ 126 (citing </w:t>
      </w:r>
      <w:r w:rsidRPr="00955E42">
        <w:t xml:space="preserve">Ralston, Exh. No. DMR-1T </w:t>
      </w:r>
      <w:r>
        <w:t xml:space="preserve">at </w:t>
      </w:r>
      <w:r w:rsidRPr="00955E42">
        <w:t>4:7-9; Sior</w:t>
      </w:r>
      <w:r>
        <w:t>es, Exh. No. NCS-10T at 18:19-19:3).</w:t>
      </w:r>
    </w:p>
  </w:footnote>
  <w:footnote w:id="249">
    <w:p w14:paraId="52D52C15" w14:textId="266180B6" w:rsidR="00EA3F7E" w:rsidRDefault="00EA3F7E" w:rsidP="00454752">
      <w:pPr>
        <w:pStyle w:val="FootnoteText"/>
      </w:pPr>
      <w:r>
        <w:rPr>
          <w:rStyle w:val="FootnoteReference"/>
        </w:rPr>
        <w:footnoteRef/>
      </w:r>
      <w:r>
        <w:t xml:space="preserve"> Id. (citing </w:t>
      </w:r>
      <w:r w:rsidRPr="00454752">
        <w:t>Si</w:t>
      </w:r>
      <w:r>
        <w:t>ores, Exh. No. NCS-10T at 18:19-23).</w:t>
      </w:r>
    </w:p>
  </w:footnote>
  <w:footnote w:id="250">
    <w:p w14:paraId="2E44DE0B" w14:textId="109179BE" w:rsidR="00EA3F7E" w:rsidRDefault="00EA3F7E">
      <w:pPr>
        <w:pStyle w:val="FootnoteText"/>
      </w:pPr>
      <w:r>
        <w:rPr>
          <w:rStyle w:val="FootnoteReference"/>
        </w:rPr>
        <w:footnoteRef/>
      </w:r>
      <w:r>
        <w:t xml:space="preserve"> </w:t>
      </w:r>
      <w:r w:rsidRPr="00844E9F">
        <w:rPr>
          <w:i/>
        </w:rPr>
        <w:t xml:space="preserve">See </w:t>
      </w:r>
      <w:r>
        <w:t>Docket UE-130043, Order 05 ¶ 198.</w:t>
      </w:r>
    </w:p>
  </w:footnote>
  <w:footnote w:id="251">
    <w:p w14:paraId="23071F8B" w14:textId="40EE49C9" w:rsidR="00EA3F7E" w:rsidRDefault="00EA3F7E">
      <w:pPr>
        <w:pStyle w:val="FootnoteText"/>
      </w:pPr>
      <w:r>
        <w:rPr>
          <w:rStyle w:val="FootnoteReference"/>
        </w:rPr>
        <w:footnoteRef/>
      </w:r>
      <w:r>
        <w:t xml:space="preserve"> </w:t>
      </w:r>
      <w:r w:rsidRPr="00844E9F">
        <w:rPr>
          <w:i/>
        </w:rPr>
        <w:t>Id.</w:t>
      </w:r>
      <w:r>
        <w:t xml:space="preserve"> ¶¶ 198-99.</w:t>
      </w:r>
    </w:p>
  </w:footnote>
  <w:footnote w:id="252">
    <w:p w14:paraId="6351DF47" w14:textId="77777777" w:rsidR="00EA3F7E" w:rsidRPr="00844E9F" w:rsidRDefault="00EA3F7E">
      <w:pPr>
        <w:pStyle w:val="FootnoteText"/>
      </w:pPr>
      <w:r>
        <w:rPr>
          <w:rStyle w:val="FootnoteReference"/>
        </w:rPr>
        <w:footnoteRef/>
      </w:r>
      <w:r>
        <w:t xml:space="preserve"> </w:t>
      </w:r>
      <w:r w:rsidRPr="00844E9F">
        <w:rPr>
          <w:i/>
        </w:rPr>
        <w:t>See WUTC v. PacifiCorp,</w:t>
      </w:r>
      <w:r w:rsidRPr="00844E9F">
        <w:rPr>
          <w:sz w:val="26"/>
          <w:szCs w:val="26"/>
        </w:rPr>
        <w:t xml:space="preserve"> </w:t>
      </w:r>
      <w:r w:rsidRPr="00844E9F">
        <w:t xml:space="preserve">Docket </w:t>
      </w:r>
      <w:r>
        <w:t>U</w:t>
      </w:r>
      <w:r w:rsidRPr="00844E9F">
        <w:t>E-050684, Order 04 ¶ 49 (Apr</w:t>
      </w:r>
      <w:r>
        <w:t>il</w:t>
      </w:r>
      <w:r w:rsidRPr="00844E9F">
        <w:t xml:space="preserve"> 17, 2006).</w:t>
      </w:r>
    </w:p>
  </w:footnote>
  <w:footnote w:id="253">
    <w:p w14:paraId="56EF8115" w14:textId="03C01AA9" w:rsidR="00EA3F7E" w:rsidRDefault="00EA3F7E">
      <w:pPr>
        <w:pStyle w:val="FootnoteText"/>
      </w:pPr>
      <w:r>
        <w:rPr>
          <w:rStyle w:val="FootnoteReference"/>
        </w:rPr>
        <w:footnoteRef/>
      </w:r>
      <w:r>
        <w:t xml:space="preserve"> </w:t>
      </w:r>
      <w:r w:rsidRPr="00844E9F">
        <w:rPr>
          <w:i/>
        </w:rPr>
        <w:t>Id.</w:t>
      </w:r>
      <w:r>
        <w:t xml:space="preserve"> ¶ 51.</w:t>
      </w:r>
    </w:p>
  </w:footnote>
  <w:footnote w:id="254">
    <w:p w14:paraId="3D37D7BF" w14:textId="3D542BCC" w:rsidR="00EA3F7E" w:rsidRDefault="00EA3F7E">
      <w:pPr>
        <w:pStyle w:val="FootnoteText"/>
      </w:pPr>
      <w:r>
        <w:rPr>
          <w:rStyle w:val="FootnoteReference"/>
        </w:rPr>
        <w:footnoteRef/>
      </w:r>
      <w:r>
        <w:t xml:space="preserve"> </w:t>
      </w:r>
      <w:r w:rsidRPr="00552B8F">
        <w:t>Docket UE-130043, Order 05 ¶</w:t>
      </w:r>
      <w:r>
        <w:t xml:space="preserve"> 205</w:t>
      </w:r>
      <w:r w:rsidRPr="00552B8F">
        <w:t xml:space="preserve"> (December 4, 2013)</w:t>
      </w:r>
      <w:r w:rsidRPr="00552B8F">
        <w:rPr>
          <w:sz w:val="26"/>
          <w:szCs w:val="22"/>
        </w:rPr>
        <w:t xml:space="preserve"> </w:t>
      </w:r>
      <w:r w:rsidRPr="00552B8F">
        <w:t>(</w:t>
      </w:r>
      <w:r w:rsidRPr="00972E3A">
        <w:t>quoting</w:t>
      </w:r>
      <w:r w:rsidRPr="00552B8F">
        <w:t xml:space="preserve"> </w:t>
      </w:r>
      <w:r w:rsidRPr="00552B8F">
        <w:rPr>
          <w:i/>
        </w:rPr>
        <w:t>WUTC v. PSE</w:t>
      </w:r>
      <w:r w:rsidRPr="00552B8F">
        <w:t>, Docket</w:t>
      </w:r>
      <w:r>
        <w:t xml:space="preserve">s </w:t>
      </w:r>
      <w:r w:rsidRPr="00552B8F">
        <w:t xml:space="preserve">UE-090704 </w:t>
      </w:r>
      <w:r>
        <w:t>and UG-090705</w:t>
      </w:r>
      <w:r w:rsidRPr="00552B8F">
        <w:t xml:space="preserve">, </w:t>
      </w:r>
      <w:r w:rsidRPr="00552B8F">
        <w:fldChar w:fldCharType="begin"/>
      </w:r>
      <w:r w:rsidRPr="00552B8F">
        <w:instrText xml:space="preserve"> ADDIN BA \xc &lt;@reg&gt; \xl 29 \s KBKQKB000059 \l "Order 11 ¶ 154 (Apr. 2, 2010)" </w:instrText>
      </w:r>
      <w:r w:rsidRPr="00552B8F">
        <w:fldChar w:fldCharType="end"/>
      </w:r>
      <w:r w:rsidRPr="00552B8F">
        <w:t>Order 11 ¶</w:t>
      </w:r>
      <w:r>
        <w:t xml:space="preserve"> </w:t>
      </w:r>
      <w:r w:rsidRPr="00552B8F">
        <w:t>26 (Apr. 2, 2010)).</w:t>
      </w:r>
    </w:p>
  </w:footnote>
  <w:footnote w:id="255">
    <w:p w14:paraId="06254438" w14:textId="1005128D" w:rsidR="00EA3F7E" w:rsidRDefault="00EA3F7E">
      <w:pPr>
        <w:pStyle w:val="FootnoteText"/>
      </w:pPr>
      <w:r>
        <w:rPr>
          <w:rStyle w:val="FootnoteReference"/>
        </w:rPr>
        <w:footnoteRef/>
      </w:r>
      <w:r>
        <w:t xml:space="preserve"> </w:t>
      </w:r>
      <w:r>
        <w:rPr>
          <w:i/>
        </w:rPr>
        <w:t>Id.</w:t>
      </w:r>
      <w:r>
        <w:t>, Order 05 ¶¶ 199-200.</w:t>
      </w:r>
    </w:p>
  </w:footnote>
  <w:footnote w:id="256">
    <w:p w14:paraId="730AEFD9" w14:textId="1757491F" w:rsidR="00EA3F7E" w:rsidRDefault="00EA3F7E">
      <w:pPr>
        <w:pStyle w:val="FootnoteText"/>
      </w:pPr>
      <w:r>
        <w:rPr>
          <w:rStyle w:val="FootnoteReference"/>
        </w:rPr>
        <w:footnoteRef/>
      </w:r>
      <w:r>
        <w:t xml:space="preserve"> </w:t>
      </w:r>
      <w:r w:rsidRPr="00E94188">
        <w:rPr>
          <w:i/>
        </w:rPr>
        <w:t xml:space="preserve">See </w:t>
      </w:r>
      <w:r>
        <w:t>Exh. No. NCS-3 at 8.4.4 – 8.4.9.</w:t>
      </w:r>
    </w:p>
  </w:footnote>
  <w:footnote w:id="257">
    <w:p w14:paraId="18D59B8B" w14:textId="36C9DE16" w:rsidR="00EA3F7E" w:rsidRDefault="00EA3F7E">
      <w:pPr>
        <w:pStyle w:val="FootnoteText"/>
      </w:pPr>
      <w:r>
        <w:rPr>
          <w:rStyle w:val="FootnoteReference"/>
        </w:rPr>
        <w:footnoteRef/>
      </w:r>
      <w:r>
        <w:t xml:space="preserve"> </w:t>
      </w:r>
      <w:r w:rsidRPr="00B83C5A">
        <w:rPr>
          <w:i/>
        </w:rPr>
        <w:t>See</w:t>
      </w:r>
      <w:r>
        <w:t xml:space="preserve"> Exh. No. RBD-10CX; TR 386:18-390:2.</w:t>
      </w:r>
    </w:p>
  </w:footnote>
  <w:footnote w:id="258">
    <w:p w14:paraId="2E0B7365" w14:textId="59E094F9" w:rsidR="00EA3F7E" w:rsidRDefault="00EA3F7E" w:rsidP="00757FA5">
      <w:pPr>
        <w:pStyle w:val="FootnoteText"/>
      </w:pPr>
      <w:r>
        <w:rPr>
          <w:rStyle w:val="FootnoteReference"/>
        </w:rPr>
        <w:footnoteRef/>
      </w:r>
      <w:r>
        <w:t xml:space="preserve"> Ramas, Exhibit No. DMR-1CT at 17:19-19:8.</w:t>
      </w:r>
    </w:p>
  </w:footnote>
  <w:footnote w:id="259">
    <w:p w14:paraId="0856AF4E" w14:textId="77777777" w:rsidR="00EA3F7E" w:rsidRDefault="00EA3F7E" w:rsidP="00757FA5">
      <w:pPr>
        <w:pStyle w:val="FootnoteText"/>
      </w:pPr>
      <w:r>
        <w:rPr>
          <w:rStyle w:val="FootnoteReference"/>
        </w:rPr>
        <w:footnoteRef/>
      </w:r>
      <w:r>
        <w:t xml:space="preserve"> Siores, Exh. No. NCS-10T at 11:16-12:3.</w:t>
      </w:r>
    </w:p>
  </w:footnote>
  <w:footnote w:id="260">
    <w:p w14:paraId="008FED00" w14:textId="77777777" w:rsidR="00EA3F7E" w:rsidRDefault="00EA3F7E" w:rsidP="00757FA5">
      <w:pPr>
        <w:pStyle w:val="FootnoteText"/>
      </w:pPr>
      <w:r>
        <w:rPr>
          <w:rStyle w:val="FootnoteReference"/>
        </w:rPr>
        <w:footnoteRef/>
      </w:r>
      <w:r>
        <w:t xml:space="preserve"> </w:t>
      </w:r>
      <w:r w:rsidRPr="00113EB1">
        <w:rPr>
          <w:i/>
        </w:rPr>
        <w:t>Id.</w:t>
      </w:r>
      <w:r>
        <w:t xml:space="preserve"> at 12:4-7.</w:t>
      </w:r>
    </w:p>
  </w:footnote>
  <w:footnote w:id="261">
    <w:p w14:paraId="0C5465CE" w14:textId="6FF7D949" w:rsidR="00EA3F7E" w:rsidRDefault="00EA3F7E">
      <w:pPr>
        <w:pStyle w:val="FootnoteText"/>
      </w:pPr>
      <w:r>
        <w:rPr>
          <w:rStyle w:val="FootnoteReference"/>
        </w:rPr>
        <w:footnoteRef/>
      </w:r>
      <w:r>
        <w:t xml:space="preserve"> </w:t>
      </w:r>
      <w:r w:rsidRPr="003E41D8">
        <w:t>Docket UE-130043, Order 05 ¶</w:t>
      </w:r>
      <w:r>
        <w:t>¶ 22-73. The Commission devoted 21 pages to the analysis and discussion of cost of capital issues, more than 20 percent of the 97 pages of substantive discussion included in Order 05.</w:t>
      </w:r>
    </w:p>
  </w:footnote>
  <w:footnote w:id="262">
    <w:p w14:paraId="01BF0498" w14:textId="049CE85F" w:rsidR="00EA3F7E" w:rsidRDefault="00EA3F7E" w:rsidP="008103EF">
      <w:pPr>
        <w:pStyle w:val="FootnoteText"/>
      </w:pPr>
      <w:r>
        <w:rPr>
          <w:rStyle w:val="FootnoteReference"/>
        </w:rPr>
        <w:footnoteRef/>
      </w:r>
      <w:r>
        <w:t xml:space="preserve"> TR. 178:2-7 (cross-examination of</w:t>
      </w:r>
      <w:r w:rsidRPr="00BA728A">
        <w:rPr>
          <w:sz w:val="26"/>
          <w:szCs w:val="26"/>
        </w:rPr>
        <w:t xml:space="preserve"> </w:t>
      </w:r>
      <w:r w:rsidRPr="00BA728A">
        <w:t>Mr. Williams</w:t>
      </w:r>
      <w:r>
        <w:t xml:space="preserve"> by Public Counsel).  We note Mr. Williams’ testimony that “</w:t>
      </w:r>
      <w:r w:rsidRPr="008103EF">
        <w:t>it's not an apt comparison to compare the</w:t>
      </w:r>
      <w:r>
        <w:t xml:space="preserve"> </w:t>
      </w:r>
      <w:r w:rsidRPr="008103EF">
        <w:t>holding company</w:t>
      </w:r>
      <w:r>
        <w:t xml:space="preserve"> [Berkshire Hathaway Energy or BHE]</w:t>
      </w:r>
      <w:r w:rsidRPr="008103EF">
        <w:t xml:space="preserve"> to PacifiCorp</w:t>
      </w:r>
      <w:r>
        <w:t>” because “</w:t>
      </w:r>
      <w:r w:rsidRPr="008103EF">
        <w:t>much of the</w:t>
      </w:r>
      <w:r>
        <w:t xml:space="preserve"> </w:t>
      </w:r>
      <w:r w:rsidRPr="008103EF">
        <w:t>financing that Berkshire Hathaway, the ultimate parent</w:t>
      </w:r>
      <w:r>
        <w:t xml:space="preserve"> </w:t>
      </w:r>
      <w:r w:rsidRPr="008103EF">
        <w:t>company, has provided to BHE is in the form of debt that's</w:t>
      </w:r>
      <w:r>
        <w:t xml:space="preserve"> </w:t>
      </w:r>
      <w:r w:rsidRPr="008103EF">
        <w:t>structured to receive equity credit from</w:t>
      </w:r>
      <w:r>
        <w:t xml:space="preserve"> the rating agencies.”  The Commission will explore in the Company’s next case whether it is also true that some part of the capital that BHE has provided to PacifiCorp is actually debt yet reflected in PacifiCorp’s capital structure as equity.</w:t>
      </w:r>
    </w:p>
  </w:footnote>
  <w:footnote w:id="263">
    <w:p w14:paraId="2318D029" w14:textId="2D52FE64" w:rsidR="00EA3F7E" w:rsidRDefault="00EA3F7E">
      <w:pPr>
        <w:pStyle w:val="FootnoteText"/>
      </w:pPr>
      <w:r>
        <w:rPr>
          <w:rStyle w:val="FootnoteReference"/>
        </w:rPr>
        <w:footnoteRef/>
      </w:r>
      <w:r>
        <w:t xml:space="preserve"> Williams, Exh. No. BNW-1T at 4:17-18.</w:t>
      </w:r>
    </w:p>
  </w:footnote>
  <w:footnote w:id="264">
    <w:p w14:paraId="66708602" w14:textId="2F6F1727" w:rsidR="00EA3F7E" w:rsidRDefault="00EA3F7E">
      <w:pPr>
        <w:pStyle w:val="FootnoteText"/>
      </w:pPr>
      <w:r>
        <w:rPr>
          <w:rStyle w:val="FootnoteReference"/>
        </w:rPr>
        <w:footnoteRef/>
      </w:r>
      <w:r>
        <w:t xml:space="preserve"> Docket UE-130043, Order 05 ¶ 35 (quoting Williams, </w:t>
      </w:r>
      <w:r w:rsidRPr="005C013C">
        <w:t>Exh. No. BNW-1T at 12:12-19</w:t>
      </w:r>
      <w:r>
        <w:t xml:space="preserve">). </w:t>
      </w:r>
    </w:p>
  </w:footnote>
  <w:footnote w:id="265">
    <w:p w14:paraId="178441B3" w14:textId="5D6B1358" w:rsidR="00EA3F7E" w:rsidRDefault="00EA3F7E">
      <w:pPr>
        <w:pStyle w:val="FootnoteText"/>
      </w:pPr>
      <w:r>
        <w:rPr>
          <w:rStyle w:val="FootnoteReference"/>
        </w:rPr>
        <w:footnoteRef/>
      </w:r>
      <w:r>
        <w:t xml:space="preserve"> </w:t>
      </w:r>
      <w:r w:rsidRPr="005E0475">
        <w:rPr>
          <w:i/>
        </w:rPr>
        <w:t>Id.</w:t>
      </w:r>
      <w:r w:rsidRPr="005E0475">
        <w:t xml:space="preserve"> ¶</w:t>
      </w:r>
      <w:r>
        <w:t xml:space="preserve"> 43.</w:t>
      </w:r>
    </w:p>
  </w:footnote>
  <w:footnote w:id="266">
    <w:p w14:paraId="66346B94" w14:textId="374B438C" w:rsidR="00EA3F7E" w:rsidRDefault="00EA3F7E">
      <w:pPr>
        <w:pStyle w:val="FootnoteText"/>
      </w:pPr>
      <w:r>
        <w:rPr>
          <w:rStyle w:val="FootnoteReference"/>
        </w:rPr>
        <w:footnoteRef/>
      </w:r>
      <w:r>
        <w:t xml:space="preserve"> </w:t>
      </w:r>
      <w:r w:rsidRPr="00237464">
        <w:rPr>
          <w:i/>
        </w:rPr>
        <w:t>Id.</w:t>
      </w:r>
      <w:r>
        <w:t xml:space="preserve"> ¶¶ 63, 70.</w:t>
      </w:r>
    </w:p>
  </w:footnote>
  <w:footnote w:id="267">
    <w:p w14:paraId="50356C5A" w14:textId="58C13C55" w:rsidR="00EA3F7E" w:rsidRDefault="00EA3F7E">
      <w:pPr>
        <w:pStyle w:val="FootnoteText"/>
      </w:pPr>
      <w:r>
        <w:rPr>
          <w:rStyle w:val="FootnoteReference"/>
        </w:rPr>
        <w:footnoteRef/>
      </w:r>
      <w:r>
        <w:t xml:space="preserve"> </w:t>
      </w:r>
      <w:r w:rsidRPr="005E0475">
        <w:t>Williams, Exh. No. BNW-1T at</w:t>
      </w:r>
      <w:r>
        <w:t xml:space="preserve"> 5:9-22.</w:t>
      </w:r>
    </w:p>
  </w:footnote>
  <w:footnote w:id="268">
    <w:p w14:paraId="12B74A9E" w14:textId="5947742C" w:rsidR="00EA3F7E" w:rsidRDefault="00EA3F7E">
      <w:pPr>
        <w:pStyle w:val="FootnoteText"/>
      </w:pPr>
      <w:r>
        <w:rPr>
          <w:rStyle w:val="FootnoteReference"/>
        </w:rPr>
        <w:footnoteRef/>
      </w:r>
      <w:r>
        <w:t xml:space="preserve"> </w:t>
      </w:r>
      <w:r w:rsidRPr="00E45ACD">
        <w:rPr>
          <w:i/>
        </w:rPr>
        <w:t>See Id.</w:t>
      </w:r>
      <w:r>
        <w:t xml:space="preserve"> at 23, Table 8.</w:t>
      </w:r>
    </w:p>
  </w:footnote>
  <w:footnote w:id="269">
    <w:p w14:paraId="49B2D617" w14:textId="6AA9F66A" w:rsidR="00EA3F7E" w:rsidRDefault="00EA3F7E">
      <w:pPr>
        <w:pStyle w:val="FootnoteText"/>
      </w:pPr>
      <w:r>
        <w:rPr>
          <w:rStyle w:val="FootnoteReference"/>
        </w:rPr>
        <w:footnoteRef/>
      </w:r>
      <w:r>
        <w:t xml:space="preserve"> </w:t>
      </w:r>
      <w:r w:rsidRPr="00257042">
        <w:rPr>
          <w:i/>
        </w:rPr>
        <w:t>US West Communications, Inc. v WUTC,</w:t>
      </w:r>
      <w:r w:rsidRPr="00257042">
        <w:t xml:space="preserve"> 134 Wn.2d 74 (1997)</w:t>
      </w:r>
      <w:r>
        <w:t xml:space="preserve">; </w:t>
      </w:r>
      <w:r w:rsidRPr="00257042">
        <w:rPr>
          <w:i/>
        </w:rPr>
        <w:t>see supra</w:t>
      </w:r>
      <w:r>
        <w:t xml:space="preserve"> ¶ 75, n. 98.</w:t>
      </w:r>
    </w:p>
  </w:footnote>
  <w:footnote w:id="270">
    <w:p w14:paraId="6BAF7809" w14:textId="50CD7458" w:rsidR="00EA3F7E" w:rsidRDefault="00EA3F7E" w:rsidP="00B83458">
      <w:pPr>
        <w:pStyle w:val="FootnoteText"/>
      </w:pPr>
      <w:r>
        <w:rPr>
          <w:rStyle w:val="FootnoteReference"/>
        </w:rPr>
        <w:footnoteRef/>
      </w:r>
      <w:r>
        <w:t xml:space="preserve"> Goodman, in his treatise, observes that “[t]he adopted capital structure is the ‘glue’ that holds together the overall cost of capital and resulting rate of return.”  </w:t>
      </w:r>
      <w:r w:rsidRPr="001110E2">
        <w:t xml:space="preserve">Leonard Saul </w:t>
      </w:r>
      <w:r>
        <w:t xml:space="preserve">Goodman, </w:t>
      </w:r>
      <w:r w:rsidRPr="00025111">
        <w:rPr>
          <w:u w:val="single"/>
        </w:rPr>
        <w:t>The Process of Ratemaking</w:t>
      </w:r>
      <w:r>
        <w:t xml:space="preserve">, 648 (1998).  We disagree with Mr. Williams’ testimony that rejection of the Company’s parent corporation’s capital structure means the Commission should put a hypothetical cost of debt into that structure in lieu of the Company’s actual costs of debt.  His testimony, however, illustrates the point that different equity ratios included in the capital structure </w:t>
      </w:r>
      <w:r w:rsidRPr="00A120A4">
        <w:rPr>
          <w:i/>
        </w:rPr>
        <w:t>may</w:t>
      </w:r>
      <w:r>
        <w:t xml:space="preserve"> affect the Commission’s determination of the cost of equity, which is arrived at indirectly, in contrast to debt costs that are observed directly.  </w:t>
      </w:r>
      <w:r w:rsidRPr="00EF3610">
        <w:rPr>
          <w:i/>
        </w:rPr>
        <w:t>See</w:t>
      </w:r>
      <w:r>
        <w:t xml:space="preserve"> Williams, Exh. No. BNW-1T at 10:14-17: “</w:t>
      </w:r>
      <w:r w:rsidRPr="00A469FC">
        <w:t>While the Company’s primary recommendation is based on its actual capital structure, the Company is also proposing an alternative hypothetical capital structure that includes a reduced equity component, but also reflects the impact of that change on the costs of debt and equity.</w:t>
      </w:r>
      <w:r>
        <w:t>”</w:t>
      </w:r>
    </w:p>
  </w:footnote>
  <w:footnote w:id="271">
    <w:p w14:paraId="459CDCCB" w14:textId="77777777" w:rsidR="00EA3F7E" w:rsidRDefault="00EA3F7E" w:rsidP="00B83458">
      <w:pPr>
        <w:pStyle w:val="FootnoteText"/>
      </w:pPr>
      <w:r>
        <w:rPr>
          <w:rStyle w:val="FootnoteReference"/>
        </w:rPr>
        <w:footnoteRef/>
      </w:r>
      <w:r>
        <w:t xml:space="preserve"> </w:t>
      </w:r>
      <w:r w:rsidRPr="00025111">
        <w:rPr>
          <w:i/>
        </w:rPr>
        <w:t>See</w:t>
      </w:r>
      <w:r w:rsidRPr="00E96068">
        <w:rPr>
          <w:i/>
          <w:sz w:val="26"/>
          <w:szCs w:val="26"/>
        </w:rPr>
        <w:t xml:space="preserve"> </w:t>
      </w:r>
      <w:r w:rsidRPr="00E96068">
        <w:rPr>
          <w:i/>
        </w:rPr>
        <w:t>Fed. Power Comm 'n v. Hope Nat. Gas Co.</w:t>
      </w:r>
      <w:r w:rsidRPr="00E96068">
        <w:t>, 320 U.S. 591, 602-03 (1944)</w:t>
      </w:r>
      <w:r>
        <w:t>.</w:t>
      </w:r>
    </w:p>
  </w:footnote>
  <w:footnote w:id="272">
    <w:p w14:paraId="79487664" w14:textId="505C83A3" w:rsidR="00EA3F7E" w:rsidRDefault="00EA3F7E">
      <w:pPr>
        <w:pStyle w:val="FootnoteText"/>
      </w:pPr>
      <w:r>
        <w:rPr>
          <w:rStyle w:val="FootnoteReference"/>
        </w:rPr>
        <w:footnoteRef/>
      </w:r>
      <w:r>
        <w:t xml:space="preserve"> We note</w:t>
      </w:r>
      <w:r w:rsidRPr="00901343">
        <w:t xml:space="preserve"> that in Pacifi</w:t>
      </w:r>
      <w:r>
        <w:t>c Power</w:t>
      </w:r>
      <w:r w:rsidRPr="00901343">
        <w:t xml:space="preserve">’s </w:t>
      </w:r>
      <w:r>
        <w:t>2013 general</w:t>
      </w:r>
      <w:r w:rsidRPr="00901343">
        <w:t xml:space="preserve"> rate case, the Company referred to this</w:t>
      </w:r>
      <w:r>
        <w:t xml:space="preserve"> methodology</w:t>
      </w:r>
      <w:r w:rsidRPr="00901343">
        <w:t xml:space="preserve"> as a “Revised Peak Credit” method. </w:t>
      </w:r>
      <w:r>
        <w:t xml:space="preserve"> </w:t>
      </w:r>
      <w:r w:rsidRPr="00901343">
        <w:t>The P&amp;A method was adopted as part of a partial settlement in that proceeding.</w:t>
      </w:r>
      <w:r w:rsidRPr="00901343">
        <w:rPr>
          <w:vertAlign w:val="superscript"/>
        </w:rPr>
        <w:footnoteRef/>
      </w:r>
    </w:p>
  </w:footnote>
  <w:footnote w:id="273">
    <w:p w14:paraId="27CB39A7" w14:textId="636CAE11" w:rsidR="00EA3F7E" w:rsidRDefault="00EA3F7E">
      <w:pPr>
        <w:pStyle w:val="FootnoteText"/>
      </w:pPr>
      <w:r>
        <w:rPr>
          <w:rStyle w:val="FootnoteReference"/>
        </w:rPr>
        <w:footnoteRef/>
      </w:r>
      <w:r>
        <w:t xml:space="preserve"> Watkins, Exh. No. GAW-1T at 9:1-7.</w:t>
      </w:r>
    </w:p>
  </w:footnote>
  <w:footnote w:id="274">
    <w:p w14:paraId="7C5E7AB4" w14:textId="0832E1A7" w:rsidR="00EA3F7E" w:rsidRDefault="00EA3F7E">
      <w:pPr>
        <w:pStyle w:val="FootnoteText"/>
      </w:pPr>
      <w:r>
        <w:rPr>
          <w:rStyle w:val="FootnoteReference"/>
        </w:rPr>
        <w:footnoteRef/>
      </w:r>
      <w:r>
        <w:t xml:space="preserve"> Docket UE-130043, Order 05 ¶ 251; </w:t>
      </w:r>
      <w:r w:rsidRPr="00027512">
        <w:rPr>
          <w:i/>
        </w:rPr>
        <w:t xml:space="preserve">see generally </w:t>
      </w:r>
      <w:r>
        <w:rPr>
          <w:i/>
        </w:rPr>
        <w:t>I</w:t>
      </w:r>
      <w:r w:rsidRPr="00027512">
        <w:rPr>
          <w:i/>
        </w:rPr>
        <w:t>d.</w:t>
      </w:r>
      <w:r>
        <w:t xml:space="preserve"> ¶¶ 242-251.</w:t>
      </w:r>
    </w:p>
  </w:footnote>
  <w:footnote w:id="275">
    <w:p w14:paraId="255B7284" w14:textId="247246A3" w:rsidR="00EA3F7E" w:rsidRPr="00170160" w:rsidRDefault="00EA3F7E" w:rsidP="00B72D74">
      <w:pPr>
        <w:pStyle w:val="FootnoteText"/>
        <w:rPr>
          <w:szCs w:val="22"/>
        </w:rPr>
      </w:pPr>
      <w:r w:rsidRPr="00170160">
        <w:rPr>
          <w:rStyle w:val="FootnoteReference"/>
          <w:szCs w:val="22"/>
        </w:rPr>
        <w:footnoteRef/>
      </w:r>
      <w:r w:rsidRPr="00170160">
        <w:rPr>
          <w:szCs w:val="22"/>
        </w:rPr>
        <w:t xml:space="preserve"> </w:t>
      </w:r>
      <w:r>
        <w:rPr>
          <w:szCs w:val="22"/>
        </w:rPr>
        <w:t xml:space="preserve">Watkins, </w:t>
      </w:r>
      <w:r w:rsidRPr="006E13D7">
        <w:rPr>
          <w:szCs w:val="22"/>
        </w:rPr>
        <w:t>Exh. No. GAW-1T at</w:t>
      </w:r>
      <w:r w:rsidRPr="006E13D7">
        <w:rPr>
          <w:i/>
          <w:szCs w:val="22"/>
        </w:rPr>
        <w:t xml:space="preserve"> </w:t>
      </w:r>
      <w:r w:rsidRPr="00170160">
        <w:rPr>
          <w:szCs w:val="22"/>
        </w:rPr>
        <w:t>11:10-15</w:t>
      </w:r>
      <w:r>
        <w:rPr>
          <w:szCs w:val="22"/>
        </w:rPr>
        <w:t>.</w:t>
      </w:r>
    </w:p>
  </w:footnote>
  <w:footnote w:id="276">
    <w:p w14:paraId="4044ED26" w14:textId="7318D53E" w:rsidR="00EA3F7E" w:rsidRPr="00170160" w:rsidRDefault="00EA3F7E" w:rsidP="00B72D74">
      <w:pPr>
        <w:pStyle w:val="FootnoteText"/>
        <w:rPr>
          <w:szCs w:val="22"/>
        </w:rPr>
      </w:pPr>
      <w:r w:rsidRPr="00170160">
        <w:rPr>
          <w:rStyle w:val="FootnoteReference"/>
          <w:szCs w:val="22"/>
        </w:rPr>
        <w:footnoteRef/>
      </w:r>
      <w:r w:rsidRPr="00170160">
        <w:rPr>
          <w:szCs w:val="22"/>
        </w:rPr>
        <w:t xml:space="preserve"> </w:t>
      </w:r>
      <w:r w:rsidRPr="00D55877">
        <w:rPr>
          <w:i/>
          <w:szCs w:val="22"/>
        </w:rPr>
        <w:t>Id.</w:t>
      </w:r>
      <w:r w:rsidRPr="00D55877">
        <w:rPr>
          <w:szCs w:val="22"/>
        </w:rPr>
        <w:t xml:space="preserve"> at </w:t>
      </w:r>
      <w:r w:rsidRPr="00170160">
        <w:rPr>
          <w:szCs w:val="22"/>
        </w:rPr>
        <w:t>12</w:t>
      </w:r>
      <w:r>
        <w:rPr>
          <w:szCs w:val="22"/>
        </w:rPr>
        <w:t>:12-18</w:t>
      </w:r>
      <w:r w:rsidRPr="00170160">
        <w:rPr>
          <w:szCs w:val="22"/>
        </w:rPr>
        <w:t>.</w:t>
      </w:r>
    </w:p>
  </w:footnote>
  <w:footnote w:id="277">
    <w:p w14:paraId="0021EBA3" w14:textId="77777777" w:rsidR="00EA3F7E" w:rsidRPr="00170160" w:rsidRDefault="00EA3F7E" w:rsidP="00B72D74">
      <w:pPr>
        <w:pStyle w:val="FootnoteText"/>
        <w:rPr>
          <w:szCs w:val="22"/>
        </w:rPr>
      </w:pPr>
      <w:r w:rsidRPr="00170160">
        <w:rPr>
          <w:rStyle w:val="FootnoteReference"/>
          <w:szCs w:val="22"/>
        </w:rPr>
        <w:footnoteRef/>
      </w:r>
      <w:r w:rsidRPr="00170160">
        <w:rPr>
          <w:szCs w:val="22"/>
        </w:rPr>
        <w:t xml:space="preserve"> Steward, Exh. No. JRS-13T, 6:15-22.</w:t>
      </w:r>
    </w:p>
  </w:footnote>
  <w:footnote w:id="278">
    <w:p w14:paraId="5F2C112A" w14:textId="36A10697" w:rsidR="00EA3F7E" w:rsidRDefault="00EA3F7E">
      <w:pPr>
        <w:pStyle w:val="FootnoteText"/>
      </w:pPr>
      <w:r>
        <w:rPr>
          <w:rStyle w:val="FootnoteReference"/>
        </w:rPr>
        <w:footnoteRef/>
      </w:r>
      <w:r>
        <w:t xml:space="preserve"> </w:t>
      </w:r>
      <w:r w:rsidRPr="00BE15D8">
        <w:rPr>
          <w:i/>
        </w:rPr>
        <w:t>Id.</w:t>
      </w:r>
    </w:p>
  </w:footnote>
  <w:footnote w:id="279">
    <w:p w14:paraId="65817F85" w14:textId="3F3B2110" w:rsidR="00EA3F7E" w:rsidRDefault="00EA3F7E">
      <w:pPr>
        <w:pStyle w:val="FootnoteText"/>
      </w:pPr>
      <w:r>
        <w:rPr>
          <w:rStyle w:val="FootnoteReference"/>
        </w:rPr>
        <w:footnoteRef/>
      </w:r>
      <w:r>
        <w:t xml:space="preserve"> </w:t>
      </w:r>
      <w:r w:rsidRPr="00C716F4">
        <w:rPr>
          <w:i/>
        </w:rPr>
        <w:t>Id</w:t>
      </w:r>
      <w:r>
        <w:t>. at 7:1-9.</w:t>
      </w:r>
    </w:p>
  </w:footnote>
  <w:footnote w:id="280">
    <w:p w14:paraId="758A0F34" w14:textId="32AAC93B" w:rsidR="00EA3F7E" w:rsidRPr="00170160" w:rsidRDefault="00EA3F7E" w:rsidP="00B72D74">
      <w:pPr>
        <w:pStyle w:val="FootnoteText"/>
        <w:rPr>
          <w:szCs w:val="22"/>
        </w:rPr>
      </w:pPr>
      <w:r w:rsidRPr="00170160">
        <w:rPr>
          <w:rStyle w:val="FootnoteReference"/>
          <w:szCs w:val="22"/>
        </w:rPr>
        <w:footnoteRef/>
      </w:r>
      <w:r w:rsidRPr="00170160">
        <w:rPr>
          <w:szCs w:val="22"/>
        </w:rPr>
        <w:t xml:space="preserve"> </w:t>
      </w:r>
      <w:r w:rsidRPr="00B11E9B">
        <w:rPr>
          <w:szCs w:val="22"/>
        </w:rPr>
        <w:t>Stephens, Exh. No.RRS-1T</w:t>
      </w:r>
      <w:r w:rsidRPr="00B11E9B">
        <w:rPr>
          <w:i/>
          <w:szCs w:val="22"/>
        </w:rPr>
        <w:t xml:space="preserve"> </w:t>
      </w:r>
      <w:r>
        <w:rPr>
          <w:szCs w:val="22"/>
        </w:rPr>
        <w:t>at</w:t>
      </w:r>
      <w:r w:rsidRPr="00170160">
        <w:rPr>
          <w:szCs w:val="22"/>
        </w:rPr>
        <w:t xml:space="preserve"> </w:t>
      </w:r>
      <w:r>
        <w:rPr>
          <w:szCs w:val="22"/>
        </w:rPr>
        <w:t>17:1-</w:t>
      </w:r>
      <w:r w:rsidRPr="00170160">
        <w:rPr>
          <w:szCs w:val="22"/>
        </w:rPr>
        <w:t>18</w:t>
      </w:r>
      <w:r>
        <w:rPr>
          <w:szCs w:val="22"/>
        </w:rPr>
        <w:t>:2</w:t>
      </w:r>
      <w:r w:rsidRPr="00170160">
        <w:rPr>
          <w:szCs w:val="22"/>
        </w:rPr>
        <w:t>.</w:t>
      </w:r>
    </w:p>
  </w:footnote>
  <w:footnote w:id="281">
    <w:p w14:paraId="61951737" w14:textId="26467465" w:rsidR="00EA3F7E" w:rsidRDefault="00EA3F7E">
      <w:pPr>
        <w:pStyle w:val="FootnoteText"/>
      </w:pPr>
      <w:r>
        <w:rPr>
          <w:rStyle w:val="FootnoteReference"/>
        </w:rPr>
        <w:footnoteRef/>
      </w:r>
      <w:r>
        <w:t xml:space="preserve"> </w:t>
      </w:r>
      <w:r w:rsidRPr="00B11E9B">
        <w:rPr>
          <w:i/>
        </w:rPr>
        <w:t>Id.</w:t>
      </w:r>
      <w:r w:rsidRPr="00B11E9B">
        <w:t xml:space="preserve"> at </w:t>
      </w:r>
      <w:r>
        <w:t>19:5-8.</w:t>
      </w:r>
    </w:p>
  </w:footnote>
  <w:footnote w:id="282">
    <w:p w14:paraId="3AB46EFA" w14:textId="4DB5A3B4" w:rsidR="00EA3F7E" w:rsidRDefault="00EA3F7E">
      <w:pPr>
        <w:pStyle w:val="FootnoteText"/>
      </w:pPr>
      <w:r>
        <w:rPr>
          <w:rStyle w:val="FootnoteReference"/>
        </w:rPr>
        <w:footnoteRef/>
      </w:r>
      <w:r>
        <w:t xml:space="preserve"> According to Mr. Watkins:</w:t>
      </w:r>
    </w:p>
    <w:p w14:paraId="1432122B" w14:textId="77777777" w:rsidR="00EA3F7E" w:rsidRDefault="00EA3F7E" w:rsidP="007A1A8D">
      <w:pPr>
        <w:pStyle w:val="FootnoteText"/>
        <w:ind w:left="720" w:right="720"/>
      </w:pPr>
      <w:r w:rsidRPr="007A1A8D">
        <w:t xml:space="preserve">The current National Association of Regulatory Utility Commissioners (“NARUC”) </w:t>
      </w:r>
      <w:r w:rsidRPr="007A1A8D">
        <w:rPr>
          <w:i/>
        </w:rPr>
        <w:t>Electric Utility Cost Allocation Manual</w:t>
      </w:r>
      <w:r w:rsidRPr="007A1A8D">
        <w:t xml:space="preserve"> discusses at least 13 embedded demand allocation methods, while Dr. James Bonbright notes the existence of at least 29 demand allocation methods in his treatise </w:t>
      </w:r>
      <w:r w:rsidRPr="007A1A8D">
        <w:rPr>
          <w:i/>
        </w:rPr>
        <w:t>Principles of Public Utilities Rates</w:t>
      </w:r>
      <w:r w:rsidRPr="007A1A8D">
        <w:t>.</w:t>
      </w:r>
    </w:p>
    <w:p w14:paraId="38965AA8" w14:textId="087F22A7" w:rsidR="00EA3F7E" w:rsidRDefault="00EA3F7E" w:rsidP="007A1A8D">
      <w:pPr>
        <w:pStyle w:val="FootnoteText"/>
        <w:ind w:right="720"/>
      </w:pPr>
      <w:r>
        <w:t>Watkins, Exh. No. GAW-1T at 6:13-18.</w:t>
      </w:r>
    </w:p>
  </w:footnote>
  <w:footnote w:id="283">
    <w:p w14:paraId="3F1187EC" w14:textId="02038A49" w:rsidR="00EA3F7E" w:rsidRPr="00170160" w:rsidRDefault="00EA3F7E" w:rsidP="00B72D74">
      <w:pPr>
        <w:pStyle w:val="FootnoteText"/>
        <w:rPr>
          <w:szCs w:val="22"/>
        </w:rPr>
      </w:pPr>
      <w:r w:rsidRPr="00170160">
        <w:rPr>
          <w:rStyle w:val="FootnoteReference"/>
          <w:szCs w:val="22"/>
        </w:rPr>
        <w:footnoteRef/>
      </w:r>
      <w:r w:rsidRPr="00170160">
        <w:rPr>
          <w:szCs w:val="22"/>
        </w:rPr>
        <w:t xml:space="preserve"> Stephens, Exh. No.RRS-1T</w:t>
      </w:r>
      <w:r>
        <w:rPr>
          <w:szCs w:val="22"/>
        </w:rPr>
        <w:t xml:space="preserve"> at</w:t>
      </w:r>
      <w:r w:rsidRPr="00170160">
        <w:rPr>
          <w:szCs w:val="22"/>
        </w:rPr>
        <w:t xml:space="preserve"> 9:7-14.  </w:t>
      </w:r>
    </w:p>
  </w:footnote>
  <w:footnote w:id="284">
    <w:p w14:paraId="1E985143" w14:textId="03AF7ABF" w:rsidR="00EA3F7E" w:rsidRPr="00170160" w:rsidRDefault="00EA3F7E" w:rsidP="00B72D74">
      <w:pPr>
        <w:pStyle w:val="FootnoteText"/>
        <w:rPr>
          <w:szCs w:val="22"/>
        </w:rPr>
      </w:pPr>
      <w:r w:rsidRPr="00170160">
        <w:rPr>
          <w:rStyle w:val="FootnoteReference"/>
          <w:szCs w:val="22"/>
        </w:rPr>
        <w:footnoteRef/>
      </w:r>
      <w:r w:rsidRPr="00170160">
        <w:rPr>
          <w:szCs w:val="22"/>
        </w:rPr>
        <w:t xml:space="preserve"> </w:t>
      </w:r>
      <w:r>
        <w:rPr>
          <w:i/>
          <w:szCs w:val="22"/>
        </w:rPr>
        <w:t>Id. at</w:t>
      </w:r>
      <w:r w:rsidRPr="00170160">
        <w:rPr>
          <w:szCs w:val="22"/>
        </w:rPr>
        <w:t xml:space="preserve"> 11-12.</w:t>
      </w:r>
    </w:p>
  </w:footnote>
  <w:footnote w:id="285">
    <w:p w14:paraId="771354FC" w14:textId="105B3B86" w:rsidR="00EA3F7E" w:rsidRDefault="00EA3F7E">
      <w:pPr>
        <w:pStyle w:val="FootnoteText"/>
      </w:pPr>
      <w:r>
        <w:rPr>
          <w:rStyle w:val="FootnoteReference"/>
        </w:rPr>
        <w:footnoteRef/>
      </w:r>
      <w:r>
        <w:t xml:space="preserve"> Watkins, Exh. No. GAW-6T at 13:7-14:3.</w:t>
      </w:r>
    </w:p>
  </w:footnote>
  <w:footnote w:id="286">
    <w:p w14:paraId="2CBFC837" w14:textId="6CCA0839" w:rsidR="00EA3F7E" w:rsidRPr="00476C50" w:rsidRDefault="00EA3F7E" w:rsidP="00B72D74">
      <w:pPr>
        <w:pStyle w:val="FootnoteText"/>
        <w:rPr>
          <w:szCs w:val="22"/>
        </w:rPr>
      </w:pPr>
      <w:r w:rsidRPr="00170160">
        <w:rPr>
          <w:rStyle w:val="FootnoteReference"/>
          <w:szCs w:val="22"/>
        </w:rPr>
        <w:footnoteRef/>
      </w:r>
      <w:r w:rsidRPr="00170160">
        <w:rPr>
          <w:szCs w:val="22"/>
        </w:rPr>
        <w:t xml:space="preserve"> </w:t>
      </w:r>
      <w:r w:rsidRPr="00247B7E">
        <w:rPr>
          <w:i/>
          <w:szCs w:val="22"/>
        </w:rPr>
        <w:t>Id</w:t>
      </w:r>
      <w:r>
        <w:rPr>
          <w:i/>
          <w:szCs w:val="22"/>
        </w:rPr>
        <w:t>.</w:t>
      </w:r>
      <w:r w:rsidRPr="00247B7E">
        <w:rPr>
          <w:i/>
          <w:szCs w:val="22"/>
        </w:rPr>
        <w:t xml:space="preserve"> </w:t>
      </w:r>
      <w:r>
        <w:rPr>
          <w:szCs w:val="22"/>
        </w:rPr>
        <w:t>at 2 (note 1).</w:t>
      </w:r>
    </w:p>
  </w:footnote>
  <w:footnote w:id="287">
    <w:p w14:paraId="5470B208" w14:textId="1E04530C" w:rsidR="00EA3F7E" w:rsidRPr="00170160" w:rsidRDefault="00EA3F7E" w:rsidP="00B72D74">
      <w:pPr>
        <w:pStyle w:val="FootnoteText"/>
        <w:rPr>
          <w:szCs w:val="22"/>
        </w:rPr>
      </w:pPr>
      <w:r w:rsidRPr="00170160">
        <w:rPr>
          <w:rStyle w:val="FootnoteReference"/>
          <w:szCs w:val="22"/>
        </w:rPr>
        <w:footnoteRef/>
      </w:r>
      <w:r w:rsidRPr="00170160">
        <w:rPr>
          <w:szCs w:val="22"/>
        </w:rPr>
        <w:t xml:space="preserve"> </w:t>
      </w:r>
      <w:r>
        <w:rPr>
          <w:i/>
          <w:szCs w:val="22"/>
        </w:rPr>
        <w:t>WUTC</w:t>
      </w:r>
      <w:r w:rsidRPr="00170160">
        <w:rPr>
          <w:i/>
          <w:szCs w:val="22"/>
        </w:rPr>
        <w:t xml:space="preserve"> v. PacifiCorp</w:t>
      </w:r>
      <w:r w:rsidRPr="00170160">
        <w:rPr>
          <w:szCs w:val="22"/>
        </w:rPr>
        <w:t xml:space="preserve">, Docket UE-100749, Order No. 06 </w:t>
      </w:r>
      <w:r>
        <w:rPr>
          <w:szCs w:val="22"/>
        </w:rPr>
        <w:t xml:space="preserve">¶¶ </w:t>
      </w:r>
      <w:r w:rsidRPr="00170160">
        <w:rPr>
          <w:szCs w:val="22"/>
        </w:rPr>
        <w:t xml:space="preserve">104-105 (Mar. 25, 2011). </w:t>
      </w:r>
    </w:p>
  </w:footnote>
  <w:footnote w:id="288">
    <w:p w14:paraId="3E1B0A76" w14:textId="07872DC4" w:rsidR="00EA3F7E" w:rsidRPr="00170160" w:rsidRDefault="00EA3F7E" w:rsidP="008C367C">
      <w:pPr>
        <w:pStyle w:val="FootnoteText"/>
        <w:rPr>
          <w:szCs w:val="22"/>
        </w:rPr>
      </w:pPr>
      <w:r w:rsidRPr="00170160">
        <w:rPr>
          <w:rStyle w:val="FootnoteReference"/>
          <w:szCs w:val="22"/>
        </w:rPr>
        <w:footnoteRef/>
      </w:r>
      <w:r w:rsidRPr="00170160">
        <w:rPr>
          <w:szCs w:val="22"/>
        </w:rPr>
        <w:t xml:space="preserve"> Watkins, Exh. No. GAW-1T at 15</w:t>
      </w:r>
      <w:r>
        <w:rPr>
          <w:szCs w:val="22"/>
        </w:rPr>
        <w:t>:8-20</w:t>
      </w:r>
      <w:r w:rsidRPr="00170160">
        <w:rPr>
          <w:szCs w:val="22"/>
        </w:rPr>
        <w:t>.</w:t>
      </w:r>
    </w:p>
  </w:footnote>
  <w:footnote w:id="289">
    <w:p w14:paraId="2E6D15E1" w14:textId="3EE951FE" w:rsidR="00EA3F7E" w:rsidRPr="00170160" w:rsidRDefault="00EA3F7E" w:rsidP="008C367C">
      <w:pPr>
        <w:pStyle w:val="FootnoteText"/>
        <w:rPr>
          <w:szCs w:val="22"/>
        </w:rPr>
      </w:pPr>
      <w:r w:rsidRPr="00170160">
        <w:rPr>
          <w:rStyle w:val="FootnoteReference"/>
          <w:szCs w:val="22"/>
        </w:rPr>
        <w:footnoteRef/>
      </w:r>
      <w:r w:rsidRPr="00170160">
        <w:rPr>
          <w:szCs w:val="22"/>
        </w:rPr>
        <w:t xml:space="preserve"> Steward, Exh. No. JRS-1T at 12</w:t>
      </w:r>
      <w:r>
        <w:rPr>
          <w:szCs w:val="22"/>
        </w:rPr>
        <w:t>:9-13:1</w:t>
      </w:r>
      <w:r w:rsidRPr="00170160">
        <w:rPr>
          <w:szCs w:val="22"/>
        </w:rPr>
        <w:t>.</w:t>
      </w:r>
    </w:p>
  </w:footnote>
  <w:footnote w:id="290">
    <w:p w14:paraId="29ED1761" w14:textId="0D3DFC65" w:rsidR="00EA3F7E" w:rsidRPr="00170160" w:rsidRDefault="00EA3F7E" w:rsidP="008C367C">
      <w:pPr>
        <w:pStyle w:val="FootnoteText"/>
        <w:rPr>
          <w:szCs w:val="22"/>
        </w:rPr>
      </w:pPr>
      <w:r w:rsidRPr="00170160">
        <w:rPr>
          <w:rStyle w:val="FootnoteReference"/>
          <w:szCs w:val="22"/>
        </w:rPr>
        <w:footnoteRef/>
      </w:r>
      <w:r w:rsidRPr="00170160">
        <w:rPr>
          <w:szCs w:val="22"/>
        </w:rPr>
        <w:t xml:space="preserve"> Stephens, Exh. No.</w:t>
      </w:r>
      <w:r>
        <w:rPr>
          <w:szCs w:val="22"/>
        </w:rPr>
        <w:t xml:space="preserve"> </w:t>
      </w:r>
      <w:r w:rsidRPr="00170160">
        <w:rPr>
          <w:szCs w:val="22"/>
        </w:rPr>
        <w:t>RRS-9T</w:t>
      </w:r>
      <w:r>
        <w:rPr>
          <w:szCs w:val="22"/>
        </w:rPr>
        <w:t xml:space="preserve"> </w:t>
      </w:r>
      <w:r w:rsidRPr="00170160">
        <w:rPr>
          <w:szCs w:val="22"/>
        </w:rPr>
        <w:t>at 5</w:t>
      </w:r>
      <w:r>
        <w:rPr>
          <w:szCs w:val="22"/>
        </w:rPr>
        <w:t>:13</w:t>
      </w:r>
      <w:r w:rsidRPr="00170160">
        <w:rPr>
          <w:szCs w:val="22"/>
        </w:rPr>
        <w:t>-6</w:t>
      </w:r>
      <w:r>
        <w:rPr>
          <w:szCs w:val="22"/>
        </w:rPr>
        <w:t>:12</w:t>
      </w:r>
      <w:r w:rsidRPr="00170160">
        <w:rPr>
          <w:szCs w:val="22"/>
        </w:rPr>
        <w:t>.</w:t>
      </w:r>
    </w:p>
  </w:footnote>
  <w:footnote w:id="291">
    <w:p w14:paraId="062FD2D3" w14:textId="01F62133" w:rsidR="00EA3F7E" w:rsidRPr="00170160" w:rsidRDefault="00EA3F7E" w:rsidP="008C367C">
      <w:pPr>
        <w:pStyle w:val="FootnoteText"/>
        <w:rPr>
          <w:szCs w:val="22"/>
        </w:rPr>
      </w:pPr>
      <w:r w:rsidRPr="00170160">
        <w:rPr>
          <w:rStyle w:val="FootnoteReference"/>
          <w:szCs w:val="22"/>
        </w:rPr>
        <w:footnoteRef/>
      </w:r>
      <w:r w:rsidRPr="00170160">
        <w:rPr>
          <w:szCs w:val="22"/>
        </w:rPr>
        <w:t xml:space="preserve"> </w:t>
      </w:r>
      <w:r w:rsidRPr="00F339BA">
        <w:rPr>
          <w:szCs w:val="22"/>
        </w:rPr>
        <w:t xml:space="preserve">A parity ratio </w:t>
      </w:r>
      <w:r>
        <w:rPr>
          <w:szCs w:val="22"/>
        </w:rPr>
        <w:t>is</w:t>
      </w:r>
      <w:r w:rsidRPr="00F339BA">
        <w:rPr>
          <w:szCs w:val="22"/>
        </w:rPr>
        <w:t xml:space="preserve"> </w:t>
      </w:r>
      <w:r>
        <w:rPr>
          <w:szCs w:val="22"/>
        </w:rPr>
        <w:t>one</w:t>
      </w:r>
      <w:r w:rsidRPr="00F339BA">
        <w:rPr>
          <w:szCs w:val="22"/>
        </w:rPr>
        <w:t xml:space="preserve"> </w:t>
      </w:r>
      <w:r>
        <w:rPr>
          <w:szCs w:val="22"/>
        </w:rPr>
        <w:t>measure of whether a</w:t>
      </w:r>
      <w:r w:rsidRPr="00F339BA">
        <w:rPr>
          <w:szCs w:val="22"/>
        </w:rPr>
        <w:t xml:space="preserve"> c</w:t>
      </w:r>
      <w:r>
        <w:rPr>
          <w:szCs w:val="22"/>
        </w:rPr>
        <w:t xml:space="preserve">ustomer class is paying the approximate </w:t>
      </w:r>
      <w:r w:rsidRPr="00F339BA">
        <w:rPr>
          <w:szCs w:val="22"/>
        </w:rPr>
        <w:t>amount needed to cover its share of costs.</w:t>
      </w:r>
      <w:r>
        <w:rPr>
          <w:szCs w:val="22"/>
        </w:rPr>
        <w:t xml:space="preserve">  A parity value of one means that a customer class is paying the approximate amount to cover its share of costs. </w:t>
      </w:r>
      <w:r w:rsidRPr="00170160">
        <w:rPr>
          <w:szCs w:val="22"/>
        </w:rPr>
        <w:t xml:space="preserve">  </w:t>
      </w:r>
    </w:p>
  </w:footnote>
  <w:footnote w:id="292">
    <w:p w14:paraId="73B79DD9" w14:textId="77777777" w:rsidR="00EA3F7E" w:rsidRPr="00170160" w:rsidRDefault="00EA3F7E" w:rsidP="008C367C">
      <w:pPr>
        <w:pStyle w:val="FootnoteText"/>
      </w:pPr>
      <w:r w:rsidRPr="00170160">
        <w:rPr>
          <w:rStyle w:val="FootnoteReference"/>
          <w:szCs w:val="22"/>
        </w:rPr>
        <w:footnoteRef/>
      </w:r>
      <w:r w:rsidRPr="00170160">
        <w:t xml:space="preserve"> </w:t>
      </w:r>
      <w:r w:rsidRPr="00170160">
        <w:rPr>
          <w:i/>
        </w:rPr>
        <w:t>WUTC v. Puget Sound Energy, Inc.</w:t>
      </w:r>
      <w:r w:rsidRPr="00170160">
        <w:t>, Dockets UE-111048 and UG-111049, Order 08, ¶</w:t>
      </w:r>
      <w:r>
        <w:t xml:space="preserve"> </w:t>
      </w:r>
      <w:r w:rsidRPr="00170160">
        <w:t>350 (May 7, 2012).</w:t>
      </w:r>
    </w:p>
  </w:footnote>
  <w:footnote w:id="293">
    <w:p w14:paraId="055CD2D4" w14:textId="3A713288" w:rsidR="00EA3F7E" w:rsidRDefault="00EA3F7E">
      <w:pPr>
        <w:pStyle w:val="FootnoteText"/>
      </w:pPr>
      <w:r>
        <w:rPr>
          <w:rStyle w:val="FootnoteReference"/>
        </w:rPr>
        <w:footnoteRef/>
      </w:r>
      <w:r>
        <w:t xml:space="preserve"> Steward, Exh. No. JRS-1T at 13:8-15:9; Exh. No. JRS-13T at 17:1-19:14.</w:t>
      </w:r>
    </w:p>
  </w:footnote>
  <w:footnote w:id="294">
    <w:p w14:paraId="42A0217E" w14:textId="57E8916D" w:rsidR="00EA3F7E" w:rsidRDefault="00EA3F7E" w:rsidP="00E93357">
      <w:pPr>
        <w:pStyle w:val="FootnoteText"/>
      </w:pPr>
      <w:r>
        <w:rPr>
          <w:rStyle w:val="FootnoteReference"/>
        </w:rPr>
        <w:footnoteRef/>
      </w:r>
      <w:r>
        <w:t xml:space="preserve"> Public Counsel Initial Brief ¶ 102 (noting that at the Company’s original revenue requirement of $27.2 million, t</w:t>
      </w:r>
      <w:r w:rsidRPr="00D0295A">
        <w:t>his would result in the Residential class rece</w:t>
      </w:r>
      <w:r>
        <w:t>iving an increase of 9.5 percent</w:t>
      </w:r>
      <w:r w:rsidRPr="00D0295A">
        <w:t xml:space="preserve"> and the Small Gen</w:t>
      </w:r>
      <w:r>
        <w:t>eral class receiving 4.2 percent</w:t>
      </w:r>
      <w:r w:rsidRPr="00D0295A">
        <w:t>.</w:t>
      </w:r>
      <w:r>
        <w:t xml:space="preserve">  At the Company’s final revenue requirement number of $31.9 million, the Residential class increase would be 11.2 percent, and 13 percent if deferral requests are included. Steward, Exh. No. JRS-16 at 3).</w:t>
      </w:r>
    </w:p>
  </w:footnote>
  <w:footnote w:id="295">
    <w:p w14:paraId="549D8B6A" w14:textId="5061EAFB" w:rsidR="00EA3F7E" w:rsidRDefault="00EA3F7E">
      <w:pPr>
        <w:pStyle w:val="FootnoteText"/>
      </w:pPr>
      <w:r>
        <w:rPr>
          <w:rStyle w:val="FootnoteReference"/>
        </w:rPr>
        <w:footnoteRef/>
      </w:r>
      <w:r>
        <w:t xml:space="preserve"> </w:t>
      </w:r>
      <w:r w:rsidRPr="00E93357">
        <w:rPr>
          <w:i/>
        </w:rPr>
        <w:t>Id.</w:t>
      </w:r>
    </w:p>
  </w:footnote>
  <w:footnote w:id="296">
    <w:p w14:paraId="7F30D805" w14:textId="06D4C30F" w:rsidR="00EA3F7E" w:rsidRDefault="00EA3F7E">
      <w:pPr>
        <w:pStyle w:val="FootnoteText"/>
      </w:pPr>
      <w:r>
        <w:rPr>
          <w:rStyle w:val="FootnoteReference"/>
        </w:rPr>
        <w:footnoteRef/>
      </w:r>
      <w:r>
        <w:t xml:space="preserve"> </w:t>
      </w:r>
      <w:r>
        <w:rPr>
          <w:i/>
        </w:rPr>
        <w:t>WUTC</w:t>
      </w:r>
      <w:r w:rsidRPr="00921B34">
        <w:t xml:space="preserve"> </w:t>
      </w:r>
      <w:r w:rsidRPr="00921B34">
        <w:rPr>
          <w:i/>
        </w:rPr>
        <w:t xml:space="preserve">v. PacifiCorp, </w:t>
      </w:r>
      <w:r w:rsidRPr="00921B34">
        <w:t>Docket UE-100749, Order 06, ¶ 315</w:t>
      </w:r>
      <w:r>
        <w:t xml:space="preserve"> (March 25, 2011).</w:t>
      </w:r>
    </w:p>
  </w:footnote>
  <w:footnote w:id="297">
    <w:p w14:paraId="305BAB9E" w14:textId="77CB0FDA" w:rsidR="00EA3F7E" w:rsidRPr="00590D05" w:rsidRDefault="00EA3F7E" w:rsidP="00BB415A">
      <w:pPr>
        <w:pStyle w:val="FootnoteText"/>
      </w:pPr>
      <w:r w:rsidRPr="00590D05">
        <w:rPr>
          <w:rStyle w:val="FootnoteReference"/>
        </w:rPr>
        <w:footnoteRef/>
      </w:r>
      <w:r w:rsidRPr="00590D05">
        <w:t xml:space="preserve"> Steward, Exh. No. JRS-1T at 19:1-18.</w:t>
      </w:r>
    </w:p>
  </w:footnote>
  <w:footnote w:id="298">
    <w:p w14:paraId="47D38A24" w14:textId="5E2CCD41" w:rsidR="00EA3F7E" w:rsidRPr="00590D05" w:rsidRDefault="00EA3F7E" w:rsidP="00BB415A">
      <w:pPr>
        <w:pStyle w:val="FootnoteText"/>
      </w:pPr>
      <w:r w:rsidRPr="00590D05">
        <w:rPr>
          <w:rStyle w:val="FootnoteReference"/>
        </w:rPr>
        <w:footnoteRef/>
      </w:r>
      <w:r w:rsidRPr="00590D05">
        <w:t xml:space="preserve"> </w:t>
      </w:r>
      <w:r w:rsidRPr="00BB415A">
        <w:rPr>
          <w:i/>
        </w:rPr>
        <w:t>Id.</w:t>
      </w:r>
      <w:r w:rsidRPr="00590D05">
        <w:t xml:space="preserve"> at 19:1-18.</w:t>
      </w:r>
    </w:p>
  </w:footnote>
  <w:footnote w:id="299">
    <w:p w14:paraId="2C1AFEC5" w14:textId="4CA07DAB" w:rsidR="00EA3F7E" w:rsidRPr="00590D05" w:rsidRDefault="00EA3F7E" w:rsidP="00BB415A">
      <w:pPr>
        <w:pStyle w:val="FootnoteText"/>
      </w:pPr>
      <w:r w:rsidRPr="00590D05">
        <w:rPr>
          <w:rStyle w:val="FootnoteReference"/>
        </w:rPr>
        <w:footnoteRef/>
      </w:r>
      <w:r w:rsidRPr="00590D05">
        <w:t xml:space="preserve"> </w:t>
      </w:r>
      <w:r w:rsidRPr="00BB415A">
        <w:rPr>
          <w:i/>
        </w:rPr>
        <w:t>Id.</w:t>
      </w:r>
      <w:r w:rsidRPr="00BB415A">
        <w:t xml:space="preserve"> at </w:t>
      </w:r>
      <w:r w:rsidRPr="00590D05">
        <w:t>19:7</w:t>
      </w:r>
      <w:r>
        <w:t>-9</w:t>
      </w:r>
      <w:r w:rsidRPr="00590D05">
        <w:t>.</w:t>
      </w:r>
    </w:p>
  </w:footnote>
  <w:footnote w:id="300">
    <w:p w14:paraId="1FFE1CB0" w14:textId="2259C856" w:rsidR="00EA3F7E" w:rsidRDefault="00EA3F7E">
      <w:pPr>
        <w:pStyle w:val="FootnoteText"/>
      </w:pPr>
      <w:r>
        <w:rPr>
          <w:rStyle w:val="FootnoteReference"/>
        </w:rPr>
        <w:footnoteRef/>
      </w:r>
      <w:r>
        <w:t xml:space="preserve"> Twitchell, Exh. No. JBT-1T at 4:10-19.</w:t>
      </w:r>
    </w:p>
  </w:footnote>
  <w:footnote w:id="301">
    <w:p w14:paraId="615A94C8" w14:textId="3F5E0457" w:rsidR="00EA3F7E" w:rsidRPr="00590D05" w:rsidRDefault="00EA3F7E" w:rsidP="00BB415A">
      <w:pPr>
        <w:pStyle w:val="FootnoteText"/>
      </w:pPr>
      <w:r w:rsidRPr="00590D05">
        <w:rPr>
          <w:rStyle w:val="FootnoteReference"/>
        </w:rPr>
        <w:footnoteRef/>
      </w:r>
      <w:r w:rsidRPr="00590D05">
        <w:t xml:space="preserve"> </w:t>
      </w:r>
      <w:r w:rsidRPr="000A0045">
        <w:rPr>
          <w:i/>
        </w:rPr>
        <w:t>Id.</w:t>
      </w:r>
      <w:r>
        <w:t xml:space="preserve"> at 26:21-27:7</w:t>
      </w:r>
      <w:r w:rsidRPr="00590D05">
        <w:t>.</w:t>
      </w:r>
    </w:p>
  </w:footnote>
  <w:footnote w:id="302">
    <w:p w14:paraId="5FB8E0A5" w14:textId="05B7C6E0" w:rsidR="00EA3F7E" w:rsidRPr="00590D05" w:rsidRDefault="00EA3F7E" w:rsidP="003062CB">
      <w:pPr>
        <w:pStyle w:val="FootnoteText"/>
      </w:pPr>
      <w:r w:rsidRPr="00590D05">
        <w:rPr>
          <w:rStyle w:val="FootnoteReference"/>
        </w:rPr>
        <w:footnoteRef/>
      </w:r>
      <w:r w:rsidRPr="00590D05">
        <w:t xml:space="preserve"> Watkins, Exh. No. GAW-1T at 27</w:t>
      </w:r>
      <w:r>
        <w:t>:1-30:22</w:t>
      </w:r>
      <w:r w:rsidRPr="00590D05">
        <w:t>; Fulmer, Exh. No. MEF-1T at 6</w:t>
      </w:r>
      <w:r>
        <w:t>:1-8:2</w:t>
      </w:r>
      <w:r w:rsidRPr="00590D05">
        <w:t xml:space="preserve">; </w:t>
      </w:r>
      <w:r w:rsidRPr="00590D05">
        <w:rPr>
          <w:szCs w:val="22"/>
        </w:rPr>
        <w:t>Eberdt, Exh. No. CME-13 at 10.</w:t>
      </w:r>
    </w:p>
  </w:footnote>
  <w:footnote w:id="303">
    <w:p w14:paraId="42E2C987" w14:textId="7D2C2AD5" w:rsidR="00EA3F7E" w:rsidRPr="00E53992" w:rsidRDefault="00EA3F7E" w:rsidP="003062CB">
      <w:pPr>
        <w:pStyle w:val="FootnoteText"/>
      </w:pPr>
      <w:r w:rsidRPr="00590D05">
        <w:rPr>
          <w:rStyle w:val="FootnoteReference"/>
        </w:rPr>
        <w:footnoteRef/>
      </w:r>
      <w:r w:rsidRPr="00590D05">
        <w:t xml:space="preserve"> Fulmer, Exh. No. MEF-1T at 9</w:t>
      </w:r>
      <w:r>
        <w:t>:17-21</w:t>
      </w:r>
      <w:r w:rsidRPr="00590D05">
        <w:t xml:space="preserve"> (note 9) </w:t>
      </w:r>
      <w:r>
        <w:t>(</w:t>
      </w:r>
      <w:r w:rsidRPr="00590D05">
        <w:rPr>
          <w:i/>
        </w:rPr>
        <w:t>citing</w:t>
      </w:r>
      <w:r w:rsidRPr="00590D05">
        <w:t xml:space="preserve"> Weston, Frederick, “Charging For Distribution Utility Services: Issues In Rate Design,” the Regulatory Assistance Project. (December 2000)</w:t>
      </w:r>
      <w:r>
        <w:t>)</w:t>
      </w:r>
      <w:r w:rsidRPr="00590D05">
        <w:t>.</w:t>
      </w:r>
    </w:p>
  </w:footnote>
  <w:footnote w:id="304">
    <w:p w14:paraId="702F088F" w14:textId="51FF1D01" w:rsidR="00EA3F7E" w:rsidRPr="00590D05" w:rsidRDefault="00EA3F7E" w:rsidP="003062CB">
      <w:pPr>
        <w:pStyle w:val="FootnoteText"/>
      </w:pPr>
      <w:r w:rsidRPr="00590D05">
        <w:rPr>
          <w:rStyle w:val="FootnoteReference"/>
        </w:rPr>
        <w:footnoteRef/>
      </w:r>
      <w:r w:rsidRPr="00590D05">
        <w:t xml:space="preserve"> Watkins</w:t>
      </w:r>
      <w:r>
        <w:t>,</w:t>
      </w:r>
      <w:r w:rsidRPr="00590D05">
        <w:t xml:space="preserve"> Exh. No. GAW-1T at 17</w:t>
      </w:r>
      <w:r>
        <w:t>:17-21</w:t>
      </w:r>
      <w:r w:rsidRPr="00590D05">
        <w:t>; Fulmer Exh. No. MEF-1T at 10</w:t>
      </w:r>
      <w:r>
        <w:t>:3</w:t>
      </w:r>
      <w:r w:rsidRPr="00590D05">
        <w:t>-12</w:t>
      </w:r>
      <w:r>
        <w:t>:16</w:t>
      </w:r>
      <w:r w:rsidRPr="00590D05">
        <w:t>.</w:t>
      </w:r>
    </w:p>
  </w:footnote>
  <w:footnote w:id="305">
    <w:p w14:paraId="1FDDE9E9" w14:textId="3941548D" w:rsidR="00EA3F7E" w:rsidRDefault="00EA3F7E">
      <w:pPr>
        <w:pStyle w:val="FootnoteText"/>
      </w:pPr>
      <w:r>
        <w:rPr>
          <w:rStyle w:val="FootnoteReference"/>
        </w:rPr>
        <w:footnoteRef/>
      </w:r>
      <w:r>
        <w:t xml:space="preserve"> </w:t>
      </w:r>
      <w:r w:rsidRPr="006C0807">
        <w:t>Watkins, Exh. No. GAW-1T</w:t>
      </w:r>
      <w:r>
        <w:t xml:space="preserve"> at 27:15-20.</w:t>
      </w:r>
    </w:p>
  </w:footnote>
  <w:footnote w:id="306">
    <w:p w14:paraId="528F1499" w14:textId="6780E301" w:rsidR="00EA3F7E" w:rsidRPr="00590D05" w:rsidRDefault="00EA3F7E" w:rsidP="003062CB">
      <w:pPr>
        <w:pStyle w:val="FootnoteText"/>
      </w:pPr>
      <w:r w:rsidRPr="00590D05">
        <w:rPr>
          <w:rStyle w:val="FootnoteReference"/>
        </w:rPr>
        <w:footnoteRef/>
      </w:r>
      <w:r w:rsidRPr="00590D05">
        <w:t xml:space="preserve"> Fulmer, Exh. No. MEF-1T at 3</w:t>
      </w:r>
      <w:r>
        <w:t>:3-4</w:t>
      </w:r>
      <w:r w:rsidRPr="00590D05">
        <w:t>.</w:t>
      </w:r>
    </w:p>
  </w:footnote>
  <w:footnote w:id="307">
    <w:p w14:paraId="561618AF" w14:textId="36626FDC" w:rsidR="00EA3F7E" w:rsidRPr="00590D05" w:rsidRDefault="00EA3F7E" w:rsidP="003062CB">
      <w:pPr>
        <w:pStyle w:val="FootnoteText"/>
      </w:pPr>
      <w:r w:rsidRPr="00590D05">
        <w:rPr>
          <w:rStyle w:val="FootnoteReference"/>
        </w:rPr>
        <w:footnoteRef/>
      </w:r>
      <w:r w:rsidRPr="00590D05">
        <w:t xml:space="preserve"> Eberdt, Exh. No. CME-1T at 21</w:t>
      </w:r>
      <w:r>
        <w:t>:17</w:t>
      </w:r>
      <w:r w:rsidRPr="00590D05">
        <w:t>-22</w:t>
      </w:r>
      <w:r>
        <w:t>:16</w:t>
      </w:r>
      <w:r w:rsidRPr="00590D05">
        <w:t>.</w:t>
      </w:r>
    </w:p>
  </w:footnote>
  <w:footnote w:id="308">
    <w:p w14:paraId="3769C2F5" w14:textId="2089AB20" w:rsidR="00EA3F7E" w:rsidRPr="00590D05" w:rsidRDefault="00EA3F7E" w:rsidP="003062CB">
      <w:pPr>
        <w:pStyle w:val="FootnoteText"/>
      </w:pPr>
      <w:r w:rsidRPr="00590D05">
        <w:rPr>
          <w:rStyle w:val="FootnoteReference"/>
        </w:rPr>
        <w:footnoteRef/>
      </w:r>
      <w:r w:rsidRPr="00590D05">
        <w:t xml:space="preserve"> Twitchell</w:t>
      </w:r>
      <w:r>
        <w:t>,</w:t>
      </w:r>
      <w:r w:rsidRPr="00590D05">
        <w:t xml:space="preserve"> Exh. No. JBT-1T at 26:15-18. Pacific Power provides a similar argument in support of revenue stability. </w:t>
      </w:r>
      <w:r>
        <w:t xml:space="preserve"> </w:t>
      </w:r>
      <w:r w:rsidRPr="00A120A4">
        <w:rPr>
          <w:i/>
        </w:rPr>
        <w:t>See</w:t>
      </w:r>
      <w:r>
        <w:t xml:space="preserve"> </w:t>
      </w:r>
      <w:r w:rsidRPr="00590D05">
        <w:t xml:space="preserve">Steward Exh. No. JRS-1T at </w:t>
      </w:r>
      <w:r>
        <w:t>19:19-21:17</w:t>
      </w:r>
      <w:r w:rsidRPr="00590D05">
        <w:t>.</w:t>
      </w:r>
    </w:p>
  </w:footnote>
  <w:footnote w:id="309">
    <w:p w14:paraId="6F690AD7" w14:textId="76CF2CFE" w:rsidR="00EA3F7E" w:rsidRPr="00590D05" w:rsidRDefault="00EA3F7E" w:rsidP="003062CB">
      <w:pPr>
        <w:pStyle w:val="FootnoteText"/>
      </w:pPr>
      <w:r w:rsidRPr="00590D05">
        <w:rPr>
          <w:rStyle w:val="FootnoteReference"/>
        </w:rPr>
        <w:footnoteRef/>
      </w:r>
      <w:r w:rsidRPr="00590D05">
        <w:t xml:space="preserve"> Fulmer</w:t>
      </w:r>
      <w:r>
        <w:t>,</w:t>
      </w:r>
      <w:r w:rsidRPr="00590D05">
        <w:t xml:space="preserve"> Exh. No. MEF-1T at 12:20-28.</w:t>
      </w:r>
    </w:p>
  </w:footnote>
  <w:footnote w:id="310">
    <w:p w14:paraId="23C7C1B3" w14:textId="59E30291" w:rsidR="00EA3F7E" w:rsidRPr="002038E6" w:rsidRDefault="00EA3F7E" w:rsidP="0011142E">
      <w:pPr>
        <w:pStyle w:val="FootnoteText"/>
      </w:pPr>
      <w:r w:rsidRPr="002038E6">
        <w:rPr>
          <w:rStyle w:val="FootnoteReference"/>
        </w:rPr>
        <w:footnoteRef/>
      </w:r>
      <w:r w:rsidRPr="002038E6">
        <w:t xml:space="preserve"> </w:t>
      </w:r>
      <w:r>
        <w:t xml:space="preserve">Staff Initial Brief ¶ 117 (citing Twitchell, </w:t>
      </w:r>
      <w:r w:rsidRPr="002038E6">
        <w:t>Exh</w:t>
      </w:r>
      <w:r>
        <w:t>. No. JBT-1T</w:t>
      </w:r>
      <w:r w:rsidRPr="002038E6">
        <w:t xml:space="preserve"> </w:t>
      </w:r>
      <w:r>
        <w:t>at 24:</w:t>
      </w:r>
      <w:r w:rsidRPr="002038E6">
        <w:t>5-11</w:t>
      </w:r>
      <w:r>
        <w:t xml:space="preserve">; </w:t>
      </w:r>
      <w:r>
        <w:rPr>
          <w:i/>
        </w:rPr>
        <w:t>s</w:t>
      </w:r>
      <w:r w:rsidRPr="00931FC4">
        <w:rPr>
          <w:i/>
        </w:rPr>
        <w:t>ee</w:t>
      </w:r>
      <w:r w:rsidRPr="00AC39F3">
        <w:t xml:space="preserve"> </w:t>
      </w:r>
      <w:r>
        <w:t>Dockets</w:t>
      </w:r>
      <w:r w:rsidRPr="00AC39F3">
        <w:rPr>
          <w:i/>
        </w:rPr>
        <w:t xml:space="preserve"> </w:t>
      </w:r>
      <w:r w:rsidRPr="00AC39F3">
        <w:t>UE-140188</w:t>
      </w:r>
      <w:r>
        <w:t xml:space="preserve"> and </w:t>
      </w:r>
      <w:r w:rsidRPr="00AC39F3">
        <w:t>UG-140189</w:t>
      </w:r>
      <w:r>
        <w:t>, Order 05).</w:t>
      </w:r>
    </w:p>
  </w:footnote>
  <w:footnote w:id="311">
    <w:p w14:paraId="2033FEA2" w14:textId="77777777" w:rsidR="00EA3F7E" w:rsidRPr="00590D05" w:rsidRDefault="00EA3F7E" w:rsidP="005E4D2C">
      <w:pPr>
        <w:pStyle w:val="FootnoteText"/>
      </w:pPr>
      <w:r w:rsidRPr="00590D05">
        <w:rPr>
          <w:rStyle w:val="FootnoteReference"/>
        </w:rPr>
        <w:footnoteRef/>
      </w:r>
      <w:r w:rsidRPr="00590D05">
        <w:t xml:space="preserve"> Twitchell, Exh. No. JBT-1T</w:t>
      </w:r>
      <w:r>
        <w:t>,</w:t>
      </w:r>
      <w:r w:rsidRPr="00590D05">
        <w:t xml:space="preserve"> at 12:28-29.</w:t>
      </w:r>
    </w:p>
  </w:footnote>
  <w:footnote w:id="312">
    <w:p w14:paraId="05BC4C2B" w14:textId="1D04C0A8" w:rsidR="00EA3F7E" w:rsidRPr="00590D05" w:rsidRDefault="00EA3F7E" w:rsidP="005E4D2C">
      <w:pPr>
        <w:pStyle w:val="FootnoteText"/>
        <w:rPr>
          <w:szCs w:val="22"/>
        </w:rPr>
      </w:pPr>
      <w:r w:rsidRPr="00590D05">
        <w:rPr>
          <w:rStyle w:val="FootnoteReference"/>
          <w:szCs w:val="22"/>
        </w:rPr>
        <w:footnoteRef/>
      </w:r>
      <w:r w:rsidRPr="00590D05">
        <w:rPr>
          <w:szCs w:val="22"/>
        </w:rPr>
        <w:t xml:space="preserve"> </w:t>
      </w:r>
      <w:r>
        <w:rPr>
          <w:i/>
        </w:rPr>
        <w:t>Id.</w:t>
      </w:r>
      <w:r w:rsidRPr="00590D05">
        <w:t xml:space="preserve"> at 28:1-13.</w:t>
      </w:r>
    </w:p>
  </w:footnote>
  <w:footnote w:id="313">
    <w:p w14:paraId="23C2D3C2" w14:textId="1AE0C33B" w:rsidR="00EA3F7E" w:rsidRPr="00590D05" w:rsidRDefault="00EA3F7E" w:rsidP="005E4D2C">
      <w:pPr>
        <w:pStyle w:val="FootnoteText"/>
        <w:rPr>
          <w:szCs w:val="22"/>
        </w:rPr>
      </w:pPr>
      <w:r w:rsidRPr="00590D05">
        <w:rPr>
          <w:rStyle w:val="FootnoteReference"/>
          <w:szCs w:val="22"/>
        </w:rPr>
        <w:footnoteRef/>
      </w:r>
      <w:r w:rsidRPr="00590D05">
        <w:rPr>
          <w:szCs w:val="22"/>
        </w:rPr>
        <w:t xml:space="preserve"> </w:t>
      </w:r>
      <w:r w:rsidRPr="0011142E">
        <w:rPr>
          <w:i/>
        </w:rPr>
        <w:t>Id.</w:t>
      </w:r>
      <w:r w:rsidRPr="0011142E">
        <w:t xml:space="preserve"> </w:t>
      </w:r>
    </w:p>
  </w:footnote>
  <w:footnote w:id="314">
    <w:p w14:paraId="04426D8E" w14:textId="1C2F1E37" w:rsidR="00EA3F7E" w:rsidRDefault="00EA3F7E" w:rsidP="005E4D2C">
      <w:pPr>
        <w:pStyle w:val="FootnoteText"/>
      </w:pPr>
      <w:r w:rsidRPr="00590D05">
        <w:rPr>
          <w:rStyle w:val="FootnoteReference"/>
        </w:rPr>
        <w:footnoteRef/>
      </w:r>
      <w:r w:rsidRPr="00590D05">
        <w:t xml:space="preserve"> Steward, Exh. No. JRS-13T at 44</w:t>
      </w:r>
      <w:r>
        <w:t>:15</w:t>
      </w:r>
      <w:r w:rsidRPr="00590D05">
        <w:t>-</w:t>
      </w:r>
      <w:r>
        <w:t>20</w:t>
      </w:r>
      <w:r w:rsidRPr="00590D05">
        <w:t>.</w:t>
      </w:r>
    </w:p>
  </w:footnote>
  <w:footnote w:id="315">
    <w:p w14:paraId="03719D48" w14:textId="1F46390F" w:rsidR="00EA3F7E" w:rsidRPr="00590D05" w:rsidRDefault="00EA3F7E" w:rsidP="005E4D2C">
      <w:pPr>
        <w:pStyle w:val="FootnoteText"/>
      </w:pPr>
      <w:r w:rsidRPr="00590D05">
        <w:rPr>
          <w:rStyle w:val="FootnoteReference"/>
        </w:rPr>
        <w:footnoteRef/>
      </w:r>
      <w:r w:rsidRPr="00590D05">
        <w:t xml:space="preserve"> </w:t>
      </w:r>
      <w:r>
        <w:rPr>
          <w:i/>
        </w:rPr>
        <w:t>Id.</w:t>
      </w:r>
      <w:r w:rsidRPr="00590D05">
        <w:t xml:space="preserve"> at 45 (Table 14).</w:t>
      </w:r>
    </w:p>
  </w:footnote>
  <w:footnote w:id="316">
    <w:p w14:paraId="38AB8B94" w14:textId="36E279EC" w:rsidR="00EA3F7E" w:rsidRPr="00590D05" w:rsidRDefault="00EA3F7E" w:rsidP="005E4D2C">
      <w:pPr>
        <w:pStyle w:val="FootnoteText"/>
      </w:pPr>
      <w:r w:rsidRPr="00590D05">
        <w:rPr>
          <w:rStyle w:val="FootnoteReference"/>
        </w:rPr>
        <w:footnoteRef/>
      </w:r>
      <w:r w:rsidRPr="00590D05">
        <w:t xml:space="preserve"> Twitchell</w:t>
      </w:r>
      <w:r>
        <w:t>,</w:t>
      </w:r>
      <w:r w:rsidRPr="00590D05">
        <w:t xml:space="preserve"> Exh. No. JBT-1T at 33</w:t>
      </w:r>
      <w:r>
        <w:t>:8-11</w:t>
      </w:r>
      <w:r w:rsidRPr="00590D05">
        <w:t xml:space="preserve">.  The estimate was developed using state-specific price elasticity data from a 2006 National Renewable Energy Lab study.  </w:t>
      </w:r>
      <w:r w:rsidRPr="00590D05">
        <w:rPr>
          <w:i/>
        </w:rPr>
        <w:t>Id</w:t>
      </w:r>
      <w:r w:rsidRPr="00590D05">
        <w:t>.</w:t>
      </w:r>
    </w:p>
  </w:footnote>
  <w:footnote w:id="317">
    <w:p w14:paraId="28167DFD" w14:textId="296C1C04" w:rsidR="00EA3F7E" w:rsidRPr="00590D05" w:rsidRDefault="00EA3F7E" w:rsidP="005E4D2C">
      <w:pPr>
        <w:pStyle w:val="FootnoteText"/>
      </w:pPr>
      <w:r w:rsidRPr="00590D05">
        <w:rPr>
          <w:rStyle w:val="FootnoteReference"/>
        </w:rPr>
        <w:footnoteRef/>
      </w:r>
      <w:r w:rsidRPr="00590D05">
        <w:t xml:space="preserve"> Steward</w:t>
      </w:r>
      <w:r>
        <w:t>,</w:t>
      </w:r>
      <w:r w:rsidRPr="00590D05">
        <w:t xml:space="preserve"> Exh. No. JRS-21; Steward Exh. No. JRS-13T at 39:9-12.</w:t>
      </w:r>
    </w:p>
  </w:footnote>
  <w:footnote w:id="318">
    <w:p w14:paraId="619FB657" w14:textId="337B91A8" w:rsidR="00EA3F7E" w:rsidRPr="00590D05" w:rsidRDefault="00EA3F7E" w:rsidP="003062CB">
      <w:pPr>
        <w:pStyle w:val="FootnoteText"/>
      </w:pPr>
      <w:r w:rsidRPr="00590D05">
        <w:rPr>
          <w:rStyle w:val="FootnoteReference"/>
        </w:rPr>
        <w:footnoteRef/>
      </w:r>
      <w:r w:rsidRPr="00590D05">
        <w:t xml:space="preserve"> Steward, Exh. No. JRS-13T at 39:23-40:2.</w:t>
      </w:r>
    </w:p>
  </w:footnote>
  <w:footnote w:id="319">
    <w:p w14:paraId="47231706" w14:textId="45DF6AEC" w:rsidR="00EA3F7E" w:rsidRPr="00590D05" w:rsidRDefault="00EA3F7E" w:rsidP="003062CB">
      <w:pPr>
        <w:pStyle w:val="FootnoteText"/>
      </w:pPr>
      <w:r w:rsidRPr="00590D05">
        <w:rPr>
          <w:rStyle w:val="FootnoteReference"/>
        </w:rPr>
        <w:footnoteRef/>
      </w:r>
      <w:r w:rsidRPr="00590D05">
        <w:t xml:space="preserve"> </w:t>
      </w:r>
      <w:r>
        <w:rPr>
          <w:i/>
        </w:rPr>
        <w:t>Id.</w:t>
      </w:r>
      <w:r w:rsidRPr="00590D05">
        <w:t xml:space="preserve"> at 40:3-17.</w:t>
      </w:r>
    </w:p>
  </w:footnote>
  <w:footnote w:id="320">
    <w:p w14:paraId="72FC2623" w14:textId="557B4846" w:rsidR="00EA3F7E" w:rsidRDefault="00EA3F7E">
      <w:pPr>
        <w:pStyle w:val="FootnoteText"/>
      </w:pPr>
      <w:r>
        <w:rPr>
          <w:rStyle w:val="FootnoteReference"/>
        </w:rPr>
        <w:footnoteRef/>
      </w:r>
      <w:r>
        <w:t xml:space="preserve"> </w:t>
      </w:r>
      <w:r w:rsidRPr="0033070A">
        <w:t>Eber</w:t>
      </w:r>
      <w:r>
        <w:t>d</w:t>
      </w:r>
      <w:r w:rsidRPr="0033070A">
        <w:t>t, Exh. No. CME-1T at 24:2-5.</w:t>
      </w:r>
    </w:p>
  </w:footnote>
  <w:footnote w:id="321">
    <w:p w14:paraId="725B91F2" w14:textId="42DF9234" w:rsidR="00EA3F7E" w:rsidRDefault="00EA3F7E">
      <w:pPr>
        <w:pStyle w:val="FootnoteText"/>
      </w:pPr>
      <w:r>
        <w:rPr>
          <w:rStyle w:val="FootnoteReference"/>
        </w:rPr>
        <w:footnoteRef/>
      </w:r>
      <w:r>
        <w:t xml:space="preserve"> Energy Project Initial Brief at 7. </w:t>
      </w:r>
    </w:p>
  </w:footnote>
  <w:footnote w:id="322">
    <w:p w14:paraId="555D6EC2" w14:textId="2ABC1459" w:rsidR="00EA3F7E" w:rsidRPr="00590D05" w:rsidRDefault="00EA3F7E" w:rsidP="006B633C">
      <w:pPr>
        <w:pStyle w:val="FootnoteText"/>
      </w:pPr>
      <w:r w:rsidRPr="00590D05">
        <w:rPr>
          <w:rStyle w:val="FootnoteReference"/>
        </w:rPr>
        <w:footnoteRef/>
      </w:r>
      <w:r w:rsidRPr="00590D05">
        <w:t xml:space="preserve"> </w:t>
      </w:r>
      <w:r w:rsidRPr="00590D05">
        <w:rPr>
          <w:szCs w:val="22"/>
        </w:rPr>
        <w:t>Eberdt, Exh. No. CME-8T</w:t>
      </w:r>
      <w:r>
        <w:rPr>
          <w:szCs w:val="22"/>
        </w:rPr>
        <w:t xml:space="preserve"> at</w:t>
      </w:r>
      <w:r w:rsidRPr="00590D05">
        <w:rPr>
          <w:szCs w:val="22"/>
        </w:rPr>
        <w:t xml:space="preserve"> 3</w:t>
      </w:r>
      <w:r>
        <w:rPr>
          <w:szCs w:val="22"/>
        </w:rPr>
        <w:t>:14-17</w:t>
      </w:r>
      <w:r w:rsidRPr="00590D05">
        <w:rPr>
          <w:szCs w:val="22"/>
        </w:rPr>
        <w:t xml:space="preserve">.  This is because low-income households rely on electric resistance for space and hot water heating more than other customers. </w:t>
      </w:r>
      <w:r w:rsidRPr="00590D05">
        <w:rPr>
          <w:i/>
          <w:szCs w:val="22"/>
        </w:rPr>
        <w:t>Id</w:t>
      </w:r>
      <w:r w:rsidRPr="00590D05">
        <w:rPr>
          <w:szCs w:val="22"/>
        </w:rPr>
        <w:t>., 4:1-13.</w:t>
      </w:r>
    </w:p>
  </w:footnote>
  <w:footnote w:id="323">
    <w:p w14:paraId="7C6EE289" w14:textId="264705C9" w:rsidR="00EA3F7E" w:rsidRPr="00590D05" w:rsidRDefault="00EA3F7E" w:rsidP="006B633C">
      <w:pPr>
        <w:pStyle w:val="FootnoteText"/>
      </w:pPr>
      <w:r w:rsidRPr="00590D05">
        <w:rPr>
          <w:rStyle w:val="FootnoteReference"/>
        </w:rPr>
        <w:footnoteRef/>
      </w:r>
      <w:r w:rsidRPr="00590D05">
        <w:t xml:space="preserve"> </w:t>
      </w:r>
      <w:r w:rsidRPr="00590D05">
        <w:rPr>
          <w:szCs w:val="22"/>
        </w:rPr>
        <w:t>Eberdt, Exh. No. CME-13.</w:t>
      </w:r>
    </w:p>
  </w:footnote>
  <w:footnote w:id="324">
    <w:p w14:paraId="69A5C64E" w14:textId="75907B85" w:rsidR="00EA3F7E" w:rsidRDefault="00EA3F7E">
      <w:pPr>
        <w:pStyle w:val="FootnoteText"/>
      </w:pPr>
      <w:r>
        <w:rPr>
          <w:rStyle w:val="FootnoteReference"/>
        </w:rPr>
        <w:footnoteRef/>
      </w:r>
      <w:r>
        <w:t xml:space="preserve"> </w:t>
      </w:r>
      <w:r w:rsidRPr="00024F13">
        <w:rPr>
          <w:i/>
        </w:rPr>
        <w:t>See</w:t>
      </w:r>
      <w:r>
        <w:t xml:space="preserve"> Eberdt, Exh. No. CME-1T at </w:t>
      </w:r>
      <w:r w:rsidRPr="00A120A4">
        <w:t>22:4-13</w:t>
      </w:r>
      <w:r>
        <w:t>.</w:t>
      </w:r>
    </w:p>
  </w:footnote>
  <w:footnote w:id="325">
    <w:p w14:paraId="17B59CF8" w14:textId="521CFDB2" w:rsidR="00EA3F7E" w:rsidRDefault="00EA3F7E">
      <w:pPr>
        <w:pStyle w:val="FootnoteText"/>
      </w:pPr>
      <w:r>
        <w:rPr>
          <w:rStyle w:val="FootnoteReference"/>
        </w:rPr>
        <w:footnoteRef/>
      </w:r>
      <w:r>
        <w:t xml:space="preserve"> Energy Project Initial Brief at 3; </w:t>
      </w:r>
      <w:r w:rsidRPr="00A120A4">
        <w:rPr>
          <w:i/>
        </w:rPr>
        <w:t>See</w:t>
      </w:r>
      <w:r>
        <w:t xml:space="preserve"> Kouchi, Exh. No. RK-1T at 9:1-4.  These figures refer only to customers who are at 150 percent or less of the federal poverty threshold, the qualifying criterion for the Company’s low-income programs.  The percentages of low-income customers at 200 percent of the federal poverty level, a threshold used by some utility companies, range even higher from 31 to 49 percent.  </w:t>
      </w:r>
      <w:r w:rsidRPr="00F953D9">
        <w:rPr>
          <w:i/>
        </w:rPr>
        <w:t>Id.</w:t>
      </w:r>
      <w:r w:rsidRPr="00F953D9">
        <w:t xml:space="preserve"> at</w:t>
      </w:r>
      <w:r>
        <w:t xml:space="preserve"> 9:10-15.</w:t>
      </w:r>
    </w:p>
  </w:footnote>
  <w:footnote w:id="326">
    <w:p w14:paraId="2D538886" w14:textId="77777777" w:rsidR="00EA3F7E" w:rsidRDefault="00EA3F7E">
      <w:pPr>
        <w:pStyle w:val="FootnoteText"/>
      </w:pPr>
      <w:r>
        <w:rPr>
          <w:rStyle w:val="FootnoteReference"/>
        </w:rPr>
        <w:footnoteRef/>
      </w:r>
      <w:r>
        <w:t xml:space="preserve"> </w:t>
      </w:r>
      <w:r w:rsidRPr="00F953D9">
        <w:t>Energy Project Initial Brief at</w:t>
      </w:r>
      <w:r>
        <w:t xml:space="preserve"> 3.</w:t>
      </w:r>
    </w:p>
  </w:footnote>
  <w:footnote w:id="327">
    <w:p w14:paraId="589AEADB" w14:textId="34314BE4" w:rsidR="00EA3F7E" w:rsidRDefault="00EA3F7E" w:rsidP="006B633C">
      <w:pPr>
        <w:pStyle w:val="FootnoteText"/>
      </w:pPr>
      <w:r>
        <w:rPr>
          <w:rStyle w:val="FootnoteReference"/>
        </w:rPr>
        <w:footnoteRef/>
      </w:r>
      <w:r>
        <w:t xml:space="preserve"> </w:t>
      </w:r>
      <w:r>
        <w:rPr>
          <w:szCs w:val="22"/>
        </w:rPr>
        <w:t>Eberdt, Exh. No. CME-9T at 13:12-14:5.</w:t>
      </w:r>
    </w:p>
  </w:footnote>
  <w:footnote w:id="328">
    <w:p w14:paraId="4A30C0A7" w14:textId="58C28CC8" w:rsidR="00EA3F7E" w:rsidRDefault="00EA3F7E" w:rsidP="006B633C">
      <w:pPr>
        <w:pStyle w:val="FootnoteText"/>
      </w:pPr>
      <w:r>
        <w:rPr>
          <w:rStyle w:val="FootnoteReference"/>
        </w:rPr>
        <w:footnoteRef/>
      </w:r>
      <w:r>
        <w:t xml:space="preserve"> </w:t>
      </w:r>
      <w:r>
        <w:rPr>
          <w:i/>
          <w:szCs w:val="22"/>
        </w:rPr>
        <w:t>Id.</w:t>
      </w:r>
      <w:r>
        <w:rPr>
          <w:szCs w:val="22"/>
        </w:rPr>
        <w:t xml:space="preserve"> at 14:7-15:3.</w:t>
      </w:r>
    </w:p>
  </w:footnote>
  <w:footnote w:id="329">
    <w:p w14:paraId="5876958D" w14:textId="645AC8B1" w:rsidR="00EA3F7E" w:rsidRDefault="00EA3F7E">
      <w:pPr>
        <w:pStyle w:val="FootnoteText"/>
      </w:pPr>
      <w:r>
        <w:rPr>
          <w:rStyle w:val="FootnoteReference"/>
        </w:rPr>
        <w:footnoteRef/>
      </w:r>
      <w:r>
        <w:t xml:space="preserve"> Twitchell, Exh. No. JBT-1T at 30:12-33:11.</w:t>
      </w:r>
    </w:p>
  </w:footnote>
  <w:footnote w:id="330">
    <w:p w14:paraId="0DA8A17C" w14:textId="65A0A62A" w:rsidR="00EA3F7E" w:rsidRDefault="00EA3F7E">
      <w:pPr>
        <w:pStyle w:val="FootnoteText"/>
      </w:pPr>
      <w:r>
        <w:rPr>
          <w:rStyle w:val="FootnoteReference"/>
        </w:rPr>
        <w:footnoteRef/>
      </w:r>
      <w:r>
        <w:t xml:space="preserve"> </w:t>
      </w:r>
      <w:r w:rsidRPr="00A120A4">
        <w:rPr>
          <w:i/>
        </w:rPr>
        <w:t>Id.</w:t>
      </w:r>
      <w:r>
        <w:t xml:space="preserve"> at 33:12-15.</w:t>
      </w:r>
    </w:p>
  </w:footnote>
  <w:footnote w:id="331">
    <w:p w14:paraId="079A3E20" w14:textId="317D5CF5" w:rsidR="00EA3F7E" w:rsidRDefault="00EA3F7E" w:rsidP="00DC00DA">
      <w:pPr>
        <w:pStyle w:val="FootnoteText"/>
      </w:pPr>
      <w:r>
        <w:rPr>
          <w:rStyle w:val="FootnoteReference"/>
        </w:rPr>
        <w:footnoteRef/>
      </w:r>
      <w:r>
        <w:t xml:space="preserve"> Staff Initial Brief ¶ 130.</w:t>
      </w:r>
    </w:p>
  </w:footnote>
  <w:footnote w:id="332">
    <w:p w14:paraId="26B8A2D4" w14:textId="0264F5D0" w:rsidR="00EA3F7E" w:rsidRDefault="00EA3F7E">
      <w:pPr>
        <w:pStyle w:val="FootnoteText"/>
      </w:pPr>
      <w:r>
        <w:rPr>
          <w:rStyle w:val="FootnoteReference"/>
        </w:rPr>
        <w:footnoteRef/>
      </w:r>
      <w:r>
        <w:t xml:space="preserve"> We note the Commission’s approval of such a rate design for </w:t>
      </w:r>
      <w:r w:rsidRPr="00CA4D5C">
        <w:t>Avista</w:t>
      </w:r>
      <w:r>
        <w:t xml:space="preserve"> </w:t>
      </w:r>
      <w:r w:rsidRPr="00CA4D5C">
        <w:t xml:space="preserve">and </w:t>
      </w:r>
      <w:r>
        <w:t>the Commission’s recent approval of</w:t>
      </w:r>
      <w:r w:rsidRPr="00CA4D5C">
        <w:t xml:space="preserve"> a settlement adding a third block to PSE’s residential rates.</w:t>
      </w:r>
      <w:r>
        <w:t xml:space="preserve">  </w:t>
      </w:r>
      <w:r w:rsidRPr="00A120A4">
        <w:rPr>
          <w:i/>
        </w:rPr>
        <w:t>See</w:t>
      </w:r>
      <w:r>
        <w:rPr>
          <w:i/>
        </w:rPr>
        <w:t xml:space="preserve"> WUTC v. Avista Corp., </w:t>
      </w:r>
      <w:r>
        <w:t>Docket UE-140188 and UG-140189, Order 05 (November 25, 2014);</w:t>
      </w:r>
      <w:r w:rsidRPr="00A120A4">
        <w:rPr>
          <w:i/>
        </w:rPr>
        <w:t xml:space="preserve"> WUTC v. Puget Sound Energy, Inc.,</w:t>
      </w:r>
      <w:r>
        <w:t xml:space="preserve"> Docket UE-141368, Order 03 (January 29, 2015).</w:t>
      </w:r>
      <w:r w:rsidRPr="00CA4D5C">
        <w:t xml:space="preserve">  </w:t>
      </w:r>
    </w:p>
  </w:footnote>
  <w:footnote w:id="333">
    <w:p w14:paraId="6E730BCA" w14:textId="7636E894" w:rsidR="00EA3F7E" w:rsidRPr="00741ACB" w:rsidRDefault="00EA3F7E" w:rsidP="006629F0">
      <w:pPr>
        <w:pStyle w:val="FootnoteText"/>
      </w:pPr>
      <w:r>
        <w:rPr>
          <w:rStyle w:val="FootnoteReference"/>
        </w:rPr>
        <w:footnoteRef/>
      </w:r>
      <w:r>
        <w:t xml:space="preserve"> </w:t>
      </w:r>
      <w:r>
        <w:rPr>
          <w:i/>
        </w:rPr>
        <w:t>WUTC v. Puget Sound Power &amp; Light Company</w:t>
      </w:r>
      <w:r>
        <w:t xml:space="preserve">, Docket UE-901183-T and </w:t>
      </w:r>
      <w:r>
        <w:rPr>
          <w:i/>
        </w:rPr>
        <w:t xml:space="preserve">In the Matter of the Petition of </w:t>
      </w:r>
      <w:r w:rsidRPr="00741ACB">
        <w:rPr>
          <w:i/>
        </w:rPr>
        <w:t>Puget Sound Power &amp; Light Company</w:t>
      </w:r>
      <w:r>
        <w:rPr>
          <w:i/>
        </w:rPr>
        <w:t xml:space="preserve"> for an Order Approving a Periodic Rate Adjustment Mechanism and Related Accounting,</w:t>
      </w:r>
      <w:r>
        <w:t xml:space="preserve"> Docket UE-901184-P, Third Supp. Order (April 1, 1991.</w:t>
      </w:r>
      <w:r w:rsidRPr="00E5010B">
        <w:rPr>
          <w:sz w:val="25"/>
          <w:szCs w:val="25"/>
        </w:rPr>
        <w:t xml:space="preserve"> </w:t>
      </w:r>
      <w:r w:rsidRPr="00E5010B">
        <w:t>This program was referred to as Periodic Rate Adjustment Mechanism or PRAM.  The Commission monitored the program closely and, in 1993, determined it was achieving its primary goal of removing disincentives to the Company’s acquisition of energy efficiency</w:t>
      </w:r>
      <w:r>
        <w:t xml:space="preserve">.  </w:t>
      </w:r>
      <w:r w:rsidRPr="00A120A4">
        <w:rPr>
          <w:i/>
        </w:rPr>
        <w:t>See</w:t>
      </w:r>
      <w:r>
        <w:t xml:space="preserve"> </w:t>
      </w:r>
      <w:r w:rsidRPr="00E5010B">
        <w:rPr>
          <w:i/>
        </w:rPr>
        <w:t>Petition of Puget Sound Power &amp; Light Company for an Order Regarding the Accounting Treatment of Residential Exchange Credits, Docket UE-920433, WUTC v. Puget Sound Power &amp; Light Company</w:t>
      </w:r>
      <w:r w:rsidRPr="00E5010B">
        <w:t xml:space="preserve">, Docket UE-920499 and </w:t>
      </w:r>
      <w:r w:rsidRPr="00E5010B">
        <w:rPr>
          <w:i/>
        </w:rPr>
        <w:t>WUTC v. Puget Sound Power &amp; Light Company</w:t>
      </w:r>
      <w:r w:rsidRPr="00E5010B">
        <w:t>, Docket UE-921262 (consolidated), Eleventh Supp. Order at 10 (September 21, 1993).</w:t>
      </w:r>
      <w:r w:rsidRPr="00E5010B">
        <w:rPr>
          <w:sz w:val="25"/>
          <w:szCs w:val="25"/>
        </w:rPr>
        <w:t xml:space="preserve"> </w:t>
      </w:r>
      <w:r>
        <w:rPr>
          <w:sz w:val="25"/>
          <w:szCs w:val="25"/>
        </w:rPr>
        <w:t xml:space="preserve"> </w:t>
      </w:r>
      <w:r w:rsidRPr="00E5010B">
        <w:t>However, in 1995, at the Company’s request, the Commission approved discontinuance of the PRAM.</w:t>
      </w:r>
      <w:r w:rsidRPr="00E5010B">
        <w:rPr>
          <w:i/>
          <w:sz w:val="26"/>
          <w:szCs w:val="26"/>
        </w:rPr>
        <w:t xml:space="preserve"> </w:t>
      </w:r>
      <w:r>
        <w:rPr>
          <w:i/>
          <w:sz w:val="26"/>
          <w:szCs w:val="26"/>
        </w:rPr>
        <w:t xml:space="preserve"> </w:t>
      </w:r>
      <w:r w:rsidRPr="00E5010B">
        <w:rPr>
          <w:i/>
        </w:rPr>
        <w:t>See WUTC v. Puget Sound Power &amp; Light Co.</w:t>
      </w:r>
      <w:r w:rsidRPr="00E5010B">
        <w:t xml:space="preserve">, </w:t>
      </w:r>
      <w:r w:rsidRPr="00E5010B">
        <w:rPr>
          <w:i/>
        </w:rPr>
        <w:t>Third Supp. Order Approving Stipulations; Rejecting Tariff Filing; Authorizing Refiling</w:t>
      </w:r>
      <w:r w:rsidRPr="00E5010B">
        <w:t>, Docket UE-950618, at 6 (Sept. 21, 1995)</w:t>
      </w:r>
      <w:r>
        <w:t>.</w:t>
      </w:r>
    </w:p>
  </w:footnote>
  <w:footnote w:id="334">
    <w:p w14:paraId="593BB572" w14:textId="77777777" w:rsidR="00EA3F7E" w:rsidRPr="00784552" w:rsidRDefault="00EA3F7E" w:rsidP="006629F0">
      <w:pPr>
        <w:pStyle w:val="FootnoteText"/>
        <w:rPr>
          <w:szCs w:val="22"/>
        </w:rPr>
      </w:pPr>
      <w:r w:rsidRPr="00784552">
        <w:rPr>
          <w:rStyle w:val="FootnoteReference"/>
          <w:szCs w:val="22"/>
        </w:rPr>
        <w:footnoteRef/>
      </w:r>
      <w:r w:rsidRPr="00784552">
        <w:rPr>
          <w:szCs w:val="22"/>
        </w:rPr>
        <w:t xml:space="preserve"> Rulemaking to Review N</w:t>
      </w:r>
      <w:r>
        <w:rPr>
          <w:szCs w:val="22"/>
        </w:rPr>
        <w:t xml:space="preserve">atural Gas Decoupling, Docket </w:t>
      </w:r>
      <w:r w:rsidRPr="00784552">
        <w:rPr>
          <w:szCs w:val="22"/>
        </w:rPr>
        <w:t>UG-050369, Notice of Withdrawal of Rulemaking (October 17, 2005).</w:t>
      </w:r>
    </w:p>
  </w:footnote>
  <w:footnote w:id="335">
    <w:p w14:paraId="1EA2A937" w14:textId="650005EE" w:rsidR="00EA3F7E" w:rsidRDefault="00EA3F7E">
      <w:pPr>
        <w:pStyle w:val="FootnoteText"/>
      </w:pPr>
      <w:r>
        <w:rPr>
          <w:rStyle w:val="FootnoteReference"/>
        </w:rPr>
        <w:footnoteRef/>
      </w:r>
      <w:r>
        <w:t xml:space="preserve"> </w:t>
      </w:r>
      <w:r w:rsidRPr="004F7B45">
        <w:rPr>
          <w:i/>
        </w:rPr>
        <w:t>See</w:t>
      </w:r>
      <w:r w:rsidRPr="004F7B45">
        <w:t xml:space="preserve"> W</w:t>
      </w:r>
      <w:r w:rsidRPr="004F7B45">
        <w:rPr>
          <w:i/>
        </w:rPr>
        <w:t>UTC v. PacifiCorp</w:t>
      </w:r>
      <w:r w:rsidRPr="004F7B45">
        <w:t xml:space="preserve">, Docket UE-050684, Order 04, ¶¶ 108-110 (April 17, 2006); </w:t>
      </w:r>
      <w:r w:rsidRPr="004F7B45">
        <w:rPr>
          <w:i/>
        </w:rPr>
        <w:t>In re Petition of Avista Corp. for an Order Authorizing Implementation of a Natural Gas Decoupling Mechanism and to Record Accounting Entries Associated with the Mechanism,</w:t>
      </w:r>
      <w:r w:rsidRPr="004F7B45">
        <w:t xml:space="preserve"> Docket UG-060518, Order 04 (February 1, 2007); </w:t>
      </w:r>
      <w:r w:rsidRPr="001244C9">
        <w:rPr>
          <w:i/>
        </w:rPr>
        <w:t>W</w:t>
      </w:r>
      <w:r w:rsidRPr="004F7B45">
        <w:rPr>
          <w:i/>
        </w:rPr>
        <w:t>UTC v. Puget Sound Energy, Inc.</w:t>
      </w:r>
      <w:r w:rsidRPr="004F7B45">
        <w:t xml:space="preserve">, Dockets UE-060266 &amp; UG-060267, Order 08, ¶¶ 53-69 (January 5, 2007); and </w:t>
      </w:r>
      <w:r>
        <w:t>W</w:t>
      </w:r>
      <w:r w:rsidRPr="004F7B45">
        <w:rPr>
          <w:i/>
        </w:rPr>
        <w:t>UTC v. Cascade Natural Gas Corp.</w:t>
      </w:r>
      <w:r w:rsidRPr="004F7B45">
        <w:t>, Docket UG-060256, Order 05, ¶¶ 67-85 (January 12, 2007).</w:t>
      </w:r>
    </w:p>
  </w:footnote>
  <w:footnote w:id="336">
    <w:p w14:paraId="702579C7" w14:textId="0FB8BC7B" w:rsidR="00EA3F7E" w:rsidRDefault="00EA3F7E" w:rsidP="006629F0">
      <w:pPr>
        <w:pStyle w:val="FootnoteText"/>
      </w:pPr>
      <w:r>
        <w:rPr>
          <w:rStyle w:val="FootnoteReference"/>
        </w:rPr>
        <w:footnoteRef/>
      </w:r>
      <w:r>
        <w:t xml:space="preserve"> </w:t>
      </w:r>
      <w:r w:rsidRPr="00AF2837">
        <w:rPr>
          <w:i/>
        </w:rPr>
        <w:t>See</w:t>
      </w:r>
      <w:r>
        <w:t xml:space="preserve"> </w:t>
      </w:r>
      <w:r w:rsidRPr="00AF2837">
        <w:rPr>
          <w:i/>
        </w:rPr>
        <w:t>In re WUTC Investigation into Energy Conservation Incentives,</w:t>
      </w:r>
      <w:r w:rsidRPr="00AF2837">
        <w:t xml:space="preserve"> Docket U-100522, Report and Policy Statement on Regulatory Mechanisms, including Decoupling, To Encourage Utilities </w:t>
      </w:r>
      <w:r>
        <w:t>t</w:t>
      </w:r>
      <w:r w:rsidRPr="00AF2837">
        <w:t>o Meet or Exceed Their Conservat</w:t>
      </w:r>
      <w:r>
        <w:t>ion Targets at (Nov. 4, 2010) (Decoupling Policy Statement</w:t>
      </w:r>
      <w:r w:rsidRPr="00AF2837">
        <w:t>).</w:t>
      </w:r>
    </w:p>
  </w:footnote>
  <w:footnote w:id="337">
    <w:p w14:paraId="68BDAB52" w14:textId="1F231557" w:rsidR="00EA3F7E" w:rsidRDefault="00EA3F7E" w:rsidP="006629F0">
      <w:pPr>
        <w:pStyle w:val="FootnoteText"/>
      </w:pPr>
      <w:r>
        <w:rPr>
          <w:rStyle w:val="FootnoteReference"/>
        </w:rPr>
        <w:footnoteRef/>
      </w:r>
      <w:r>
        <w:t xml:space="preserve"> Decoupling Policy Statement ¶ 27.</w:t>
      </w:r>
    </w:p>
  </w:footnote>
  <w:footnote w:id="338">
    <w:p w14:paraId="4F625582" w14:textId="3667C10A" w:rsidR="00EA3F7E" w:rsidRDefault="00EA3F7E" w:rsidP="006629F0">
      <w:pPr>
        <w:pStyle w:val="FootnoteText"/>
      </w:pPr>
      <w:r>
        <w:rPr>
          <w:rStyle w:val="FootnoteReference"/>
        </w:rPr>
        <w:footnoteRef/>
      </w:r>
      <w:r>
        <w:t xml:space="preserve"> </w:t>
      </w:r>
      <w:r w:rsidRPr="00582D8E">
        <w:rPr>
          <w:i/>
        </w:rPr>
        <w:t>See</w:t>
      </w:r>
      <w:r>
        <w:t xml:space="preserve"> </w:t>
      </w:r>
      <w:r w:rsidRPr="001F0BAF">
        <w:t xml:space="preserve">Regulatory Assistance Project, </w:t>
      </w:r>
      <w:r w:rsidRPr="001F0BAF">
        <w:rPr>
          <w:i/>
        </w:rPr>
        <w:t>Revenue Regulation and Decoupling:  A Guide to Theory and Application</w:t>
      </w:r>
      <w:r>
        <w:rPr>
          <w:i/>
        </w:rPr>
        <w:t>.</w:t>
      </w:r>
    </w:p>
  </w:footnote>
  <w:footnote w:id="339">
    <w:p w14:paraId="27433AD9" w14:textId="06383C23" w:rsidR="00EA3F7E" w:rsidRDefault="00EA3F7E">
      <w:pPr>
        <w:pStyle w:val="FootnoteText"/>
      </w:pPr>
      <w:r>
        <w:rPr>
          <w:rStyle w:val="FootnoteReference"/>
        </w:rPr>
        <w:footnoteRef/>
      </w:r>
      <w:r>
        <w:t xml:space="preserve"> </w:t>
      </w:r>
      <w:r w:rsidRPr="00DE0D1A">
        <w:rPr>
          <w:bCs/>
          <w:i/>
          <w:iCs/>
        </w:rPr>
        <w:t xml:space="preserve">In the Matter of the Petition of Puget Sound Energy, Inc. and NW Energy Coalition For an Order Authorizing PSE to Implement Electric and Natural Gas Decoupling Mechanisms and to Record Accounting Entries Associated with the Mechanisms, </w:t>
      </w:r>
      <w:r w:rsidRPr="00DE0D1A">
        <w:rPr>
          <w:bCs/>
          <w:iCs/>
        </w:rPr>
        <w:t>Dockets UE-121697 and UG-121705,</w:t>
      </w:r>
      <w:r>
        <w:rPr>
          <w:bCs/>
          <w:iCs/>
        </w:rPr>
        <w:t xml:space="preserve"> Order 06 (June 25, 2013).</w:t>
      </w:r>
    </w:p>
  </w:footnote>
  <w:footnote w:id="340">
    <w:p w14:paraId="0D482540" w14:textId="0FF3B180" w:rsidR="00EA3F7E" w:rsidRDefault="00EA3F7E">
      <w:pPr>
        <w:pStyle w:val="FootnoteText"/>
      </w:pPr>
      <w:r>
        <w:rPr>
          <w:rStyle w:val="FootnoteReference"/>
        </w:rPr>
        <w:footnoteRef/>
      </w:r>
      <w:r>
        <w:t xml:space="preserve"> WUTC v. Avista Corporation, Dockets UE-140188 and UG-140189, Order 05 (November 25, 2014).</w:t>
      </w:r>
    </w:p>
  </w:footnote>
  <w:footnote w:id="341">
    <w:p w14:paraId="69A8F174" w14:textId="0411090F" w:rsidR="00EA3F7E" w:rsidRPr="00DA655C" w:rsidRDefault="00EA3F7E" w:rsidP="00132A1E">
      <w:pPr>
        <w:pStyle w:val="FootnoteText"/>
        <w:rPr>
          <w:szCs w:val="22"/>
        </w:rPr>
      </w:pPr>
      <w:r w:rsidRPr="00DA655C">
        <w:rPr>
          <w:rStyle w:val="FootnoteReference"/>
          <w:szCs w:val="22"/>
        </w:rPr>
        <w:footnoteRef/>
      </w:r>
      <w:r w:rsidRPr="00DA655C">
        <w:rPr>
          <w:szCs w:val="22"/>
        </w:rPr>
        <w:t xml:space="preserve"> Steward, Exh. No. JRS-1T at 29.</w:t>
      </w:r>
    </w:p>
  </w:footnote>
  <w:footnote w:id="342">
    <w:p w14:paraId="489BAE0A" w14:textId="16F802EC" w:rsidR="00EA3F7E" w:rsidRDefault="00EA3F7E">
      <w:pPr>
        <w:pStyle w:val="FootnoteText"/>
      </w:pPr>
      <w:r>
        <w:rPr>
          <w:rStyle w:val="FootnoteReference"/>
        </w:rPr>
        <w:footnoteRef/>
      </w:r>
      <w:r>
        <w:t xml:space="preserve"> Walmart Initial Brief ¶ 11 (citing </w:t>
      </w:r>
      <w:r w:rsidRPr="00792B63">
        <w:rPr>
          <w:i/>
        </w:rPr>
        <w:t xml:space="preserve">See </w:t>
      </w:r>
      <w:r w:rsidRPr="00781A4F">
        <w:t>Chriss, Exh. No. SWC-1T at</w:t>
      </w:r>
      <w:r>
        <w:t xml:space="preserve"> </w:t>
      </w:r>
      <w:r w:rsidRPr="00792B63">
        <w:t>11</w:t>
      </w:r>
      <w:r>
        <w:t>:</w:t>
      </w:r>
      <w:r w:rsidRPr="00792B63">
        <w:t>10-18</w:t>
      </w:r>
      <w:r>
        <w:t>)</w:t>
      </w:r>
      <w:r w:rsidRPr="00792B63">
        <w:t>.</w:t>
      </w:r>
    </w:p>
  </w:footnote>
  <w:footnote w:id="343">
    <w:p w14:paraId="3FC8A008" w14:textId="72E0170B" w:rsidR="00EA3F7E" w:rsidRDefault="00EA3F7E">
      <w:pPr>
        <w:pStyle w:val="FootnoteText"/>
      </w:pPr>
      <w:r>
        <w:rPr>
          <w:rStyle w:val="FootnoteReference"/>
        </w:rPr>
        <w:footnoteRef/>
      </w:r>
      <w:r>
        <w:t xml:space="preserve"> </w:t>
      </w:r>
      <w:r w:rsidRPr="00792B63">
        <w:rPr>
          <w:i/>
        </w:rPr>
        <w:t xml:space="preserve">Id. </w:t>
      </w:r>
      <w:r>
        <w:t>¶ 12.</w:t>
      </w:r>
    </w:p>
  </w:footnote>
  <w:footnote w:id="344">
    <w:p w14:paraId="1C399272" w14:textId="77777777" w:rsidR="00EA3F7E" w:rsidRDefault="00EA3F7E" w:rsidP="00A26940">
      <w:pPr>
        <w:pStyle w:val="FootnoteText"/>
      </w:pPr>
      <w:r>
        <w:rPr>
          <w:rStyle w:val="FootnoteReference"/>
        </w:rPr>
        <w:footnoteRef/>
      </w:r>
      <w:r>
        <w:t xml:space="preserve"> We discuss and reject the Company’s unbundling proposal in the next section of this Order. </w:t>
      </w:r>
    </w:p>
  </w:footnote>
  <w:footnote w:id="345">
    <w:p w14:paraId="67B3D510" w14:textId="77777777" w:rsidR="00EA3F7E" w:rsidRDefault="00EA3F7E" w:rsidP="00A26940">
      <w:pPr>
        <w:pStyle w:val="FootnoteText"/>
      </w:pPr>
      <w:r>
        <w:rPr>
          <w:rStyle w:val="FootnoteReference"/>
        </w:rPr>
        <w:footnoteRef/>
      </w:r>
      <w:r>
        <w:t xml:space="preserve"> Id. ¶ 13 (citing Chriss, Exh. No. SWC-1T at 15:18-17:5).</w:t>
      </w:r>
    </w:p>
  </w:footnote>
  <w:footnote w:id="346">
    <w:p w14:paraId="63F8DFC5" w14:textId="07C951BA" w:rsidR="00EA3F7E" w:rsidRDefault="00EA3F7E">
      <w:pPr>
        <w:pStyle w:val="FootnoteText"/>
      </w:pPr>
      <w:r>
        <w:rPr>
          <w:rStyle w:val="FootnoteReference"/>
        </w:rPr>
        <w:footnoteRef/>
      </w:r>
      <w:r>
        <w:t xml:space="preserve"> Steward, Exh. No. JRS-13T at 49:19-50:3.</w:t>
      </w:r>
    </w:p>
  </w:footnote>
  <w:footnote w:id="347">
    <w:p w14:paraId="30F9FB6B" w14:textId="53029E3C" w:rsidR="00EA3F7E" w:rsidRDefault="00EA3F7E">
      <w:pPr>
        <w:pStyle w:val="FootnoteText"/>
      </w:pPr>
      <w:r>
        <w:rPr>
          <w:rStyle w:val="FootnoteReference"/>
        </w:rPr>
        <w:footnoteRef/>
      </w:r>
      <w:r>
        <w:t xml:space="preserve"> Steward, Exh. No. JRS-1T at 2:13-16.</w:t>
      </w:r>
    </w:p>
  </w:footnote>
  <w:footnote w:id="348">
    <w:p w14:paraId="486D9887" w14:textId="18F1C06F" w:rsidR="00EA3F7E" w:rsidRPr="00DA655C" w:rsidRDefault="00EA3F7E" w:rsidP="00482C15">
      <w:pPr>
        <w:pStyle w:val="FootnoteText"/>
        <w:rPr>
          <w:szCs w:val="22"/>
        </w:rPr>
      </w:pPr>
      <w:r w:rsidRPr="00DA655C">
        <w:rPr>
          <w:rStyle w:val="FootnoteReference"/>
          <w:szCs w:val="22"/>
        </w:rPr>
        <w:footnoteRef/>
      </w:r>
      <w:r w:rsidRPr="00DA655C">
        <w:rPr>
          <w:szCs w:val="22"/>
        </w:rPr>
        <w:t xml:space="preserve"> </w:t>
      </w:r>
      <w:r>
        <w:rPr>
          <w:szCs w:val="22"/>
        </w:rPr>
        <w:t>Walmart Initial Brief ¶ 10.</w:t>
      </w:r>
    </w:p>
  </w:footnote>
  <w:footnote w:id="349">
    <w:p w14:paraId="01BBFA16" w14:textId="7A309FB9" w:rsidR="00EA3F7E" w:rsidRDefault="00EA3F7E">
      <w:pPr>
        <w:pStyle w:val="FootnoteText"/>
      </w:pPr>
      <w:r>
        <w:rPr>
          <w:rStyle w:val="FootnoteReference"/>
        </w:rPr>
        <w:footnoteRef/>
      </w:r>
      <w:r>
        <w:t xml:space="preserve"> Steward, Exh. No. JRS-13T at 20:10-16.</w:t>
      </w:r>
    </w:p>
  </w:footnote>
  <w:footnote w:id="350">
    <w:p w14:paraId="43653480" w14:textId="25A7B0E6" w:rsidR="00EA3F7E" w:rsidRDefault="00EA3F7E">
      <w:pPr>
        <w:pStyle w:val="FootnoteText"/>
      </w:pPr>
      <w:r>
        <w:rPr>
          <w:rStyle w:val="FootnoteReference"/>
        </w:rPr>
        <w:footnoteRef/>
      </w:r>
      <w:r>
        <w:t xml:space="preserve"> Steward, Exh. No. JRS-1T at 15:23-16:2.</w:t>
      </w:r>
    </w:p>
  </w:footnote>
  <w:footnote w:id="351">
    <w:p w14:paraId="0DD2E675" w14:textId="17B735D0" w:rsidR="00EA3F7E" w:rsidRDefault="00EA3F7E">
      <w:pPr>
        <w:pStyle w:val="FootnoteText"/>
      </w:pPr>
      <w:r>
        <w:rPr>
          <w:rStyle w:val="FootnoteReference"/>
        </w:rPr>
        <w:footnoteRef/>
      </w:r>
      <w:r>
        <w:t xml:space="preserve"> </w:t>
      </w:r>
      <w:r w:rsidRPr="004D4B97">
        <w:rPr>
          <w:i/>
        </w:rPr>
        <w:t>Id</w:t>
      </w:r>
      <w:r>
        <w:t>. at 16:12-14.</w:t>
      </w:r>
    </w:p>
  </w:footnote>
  <w:footnote w:id="352">
    <w:p w14:paraId="02C6E55A" w14:textId="693EB7D9" w:rsidR="00EA3F7E" w:rsidRDefault="00EA3F7E">
      <w:pPr>
        <w:pStyle w:val="FootnoteText"/>
      </w:pPr>
      <w:r>
        <w:rPr>
          <w:rStyle w:val="FootnoteReference"/>
        </w:rPr>
        <w:footnoteRef/>
      </w:r>
      <w:r>
        <w:t xml:space="preserve"> Coughlin, Exh. No. BAC-1T at 4:6-26.</w:t>
      </w:r>
    </w:p>
  </w:footnote>
  <w:footnote w:id="353">
    <w:p w14:paraId="6A86213C" w14:textId="54DC4DAA" w:rsidR="00EA3F7E" w:rsidRDefault="00EA3F7E">
      <w:pPr>
        <w:pStyle w:val="FootnoteText"/>
      </w:pPr>
      <w:r>
        <w:rPr>
          <w:rStyle w:val="FootnoteReference"/>
        </w:rPr>
        <w:footnoteRef/>
      </w:r>
      <w:r>
        <w:t xml:space="preserve"> </w:t>
      </w:r>
      <w:r w:rsidRPr="002A4D41">
        <w:rPr>
          <w:i/>
        </w:rPr>
        <w:t>Id.</w:t>
      </w:r>
      <w:r>
        <w:t xml:space="preserve"> at 11:16-21.</w:t>
      </w:r>
    </w:p>
  </w:footnote>
  <w:footnote w:id="354">
    <w:p w14:paraId="4760E014" w14:textId="4BF6E80D" w:rsidR="00EA3F7E" w:rsidRDefault="00EA3F7E" w:rsidP="008F4EB7">
      <w:pPr>
        <w:pStyle w:val="FootnoteText"/>
      </w:pPr>
      <w:r>
        <w:rPr>
          <w:rStyle w:val="FootnoteReference"/>
        </w:rPr>
        <w:footnoteRef/>
      </w:r>
      <w:r>
        <w:t xml:space="preserve"> Steward, Exh. No. 13T at 51:8-13.  We note that this is the actual decrease in </w:t>
      </w:r>
      <w:r w:rsidRPr="00A120A4">
        <w:rPr>
          <w:i/>
        </w:rPr>
        <w:t>pro forma</w:t>
      </w:r>
      <w:r>
        <w:t xml:space="preserve"> revenue, which must be adjusted by applying a conversion factor to arrive at the revenue requirement impact, $87,440.  </w:t>
      </w:r>
      <w:r w:rsidRPr="00CF5F0B">
        <w:rPr>
          <w:i/>
        </w:rPr>
        <w:t>Compare</w:t>
      </w:r>
      <w:r>
        <w:t xml:space="preserve"> Siores, Exh. No. 10T at 3 (Table showing adjustments to revenue requirement indicates increases of $87,440 for withdrawal of proposed Schedule 300 changes and $44,138 for withdrawal of Collection Agency Fees).</w:t>
      </w:r>
    </w:p>
  </w:footnote>
  <w:footnote w:id="355">
    <w:p w14:paraId="6A814AEF" w14:textId="00A3E8D3" w:rsidR="00EA3F7E" w:rsidRDefault="00EA3F7E" w:rsidP="008F4EB7">
      <w:pPr>
        <w:pStyle w:val="FootnoteText"/>
      </w:pPr>
      <w:r>
        <w:rPr>
          <w:rStyle w:val="FootnoteReference"/>
        </w:rPr>
        <w:footnoteRef/>
      </w:r>
      <w:r>
        <w:t xml:space="preserve"> Steward, Exh. No. JRS 13-T at 52:9-10.  Ms. Steward also identifies the Company’s proposed change in the description of the “Returned Check Charge”, designating it instead as the “</w:t>
      </w:r>
      <w:r w:rsidRPr="007D108D">
        <w:t>Returned Payment Charge</w:t>
      </w:r>
      <w:r>
        <w:t xml:space="preserve">” to be consistent with an earlier change in Rule 10, </w:t>
      </w:r>
      <w:r w:rsidRPr="002A4D41">
        <w:rPr>
          <w:i/>
        </w:rPr>
        <w:t>Billing</w:t>
      </w:r>
      <w:r>
        <w:t>.</w:t>
      </w:r>
    </w:p>
  </w:footnote>
  <w:footnote w:id="356">
    <w:p w14:paraId="7D24B3B3" w14:textId="080C2D1C" w:rsidR="00EA3F7E" w:rsidRDefault="00EA3F7E" w:rsidP="008F4EB7">
      <w:pPr>
        <w:pStyle w:val="FootnoteText"/>
      </w:pPr>
      <w:r>
        <w:rPr>
          <w:rStyle w:val="FootnoteReference"/>
        </w:rPr>
        <w:footnoteRef/>
      </w:r>
      <w:r>
        <w:t xml:space="preserve"> Coughlin, Exh. No. BAC-1T at 3:2-9.</w:t>
      </w:r>
    </w:p>
  </w:footnote>
  <w:footnote w:id="357">
    <w:p w14:paraId="040EC40E" w14:textId="2A35C77F" w:rsidR="00EA3F7E" w:rsidRDefault="00EA3F7E" w:rsidP="008F4EB7">
      <w:pPr>
        <w:pStyle w:val="FootnoteText"/>
      </w:pPr>
      <w:r>
        <w:rPr>
          <w:rStyle w:val="FootnoteReference"/>
        </w:rPr>
        <w:footnoteRef/>
      </w:r>
      <w:r>
        <w:t xml:space="preserve"> </w:t>
      </w:r>
      <w:r>
        <w:rPr>
          <w:i/>
        </w:rPr>
        <w:t xml:space="preserve">Id. </w:t>
      </w:r>
      <w:r>
        <w:t>at 17:12-23, 18:1-3.</w:t>
      </w:r>
    </w:p>
  </w:footnote>
  <w:footnote w:id="358">
    <w:p w14:paraId="45840176" w14:textId="229C5D15" w:rsidR="00EA3F7E" w:rsidRDefault="00EA3F7E" w:rsidP="008F4EB7">
      <w:pPr>
        <w:pStyle w:val="FootnoteText"/>
      </w:pPr>
      <w:r>
        <w:rPr>
          <w:rStyle w:val="FootnoteReference"/>
        </w:rPr>
        <w:footnoteRef/>
      </w:r>
      <w:r>
        <w:t xml:space="preserve"> </w:t>
      </w:r>
      <w:r>
        <w:rPr>
          <w:i/>
        </w:rPr>
        <w:t xml:space="preserve">Id. </w:t>
      </w:r>
      <w:r>
        <w:t>at 18:12-19:19.</w:t>
      </w:r>
    </w:p>
  </w:footnote>
  <w:footnote w:id="359">
    <w:p w14:paraId="3EDE6DF2" w14:textId="645601EB" w:rsidR="00EA3F7E" w:rsidRDefault="00EA3F7E" w:rsidP="007D108D">
      <w:pPr>
        <w:pStyle w:val="FootnoteText"/>
      </w:pPr>
      <w:r>
        <w:rPr>
          <w:rStyle w:val="FootnoteReference"/>
        </w:rPr>
        <w:footnoteRef/>
      </w:r>
      <w:r>
        <w:t xml:space="preserve"> Kouchi, Exh. No. RK-1T, at 28:6, Johnson, Exh. No. SAJ-1T at 12:7-9. </w:t>
      </w:r>
    </w:p>
  </w:footnote>
  <w:footnote w:id="360">
    <w:p w14:paraId="52B1A783" w14:textId="77777777" w:rsidR="00EA3F7E" w:rsidRDefault="00EA3F7E" w:rsidP="00DF1609">
      <w:pPr>
        <w:pStyle w:val="FootnoteText"/>
      </w:pPr>
      <w:r>
        <w:rPr>
          <w:rStyle w:val="FootnoteReference"/>
        </w:rPr>
        <w:footnoteRef/>
      </w:r>
      <w:r>
        <w:t xml:space="preserve"> The current unauthorized reconnection / tampering charge is $75 in all of the Company’s service areas.</w:t>
      </w:r>
    </w:p>
  </w:footnote>
  <w:footnote w:id="361">
    <w:p w14:paraId="66E08806" w14:textId="52947122" w:rsidR="00EA3F7E" w:rsidRDefault="00EA3F7E" w:rsidP="000016C1">
      <w:pPr>
        <w:pStyle w:val="FootnoteText"/>
      </w:pPr>
      <w:r>
        <w:rPr>
          <w:rStyle w:val="FootnoteReference"/>
        </w:rPr>
        <w:footnoteRef/>
      </w:r>
      <w:r>
        <w:t xml:space="preserve"> Coughlin, Exh. No. BAC-1T at 18:12-23.  </w:t>
      </w:r>
    </w:p>
  </w:footnote>
  <w:footnote w:id="362">
    <w:p w14:paraId="4ECF2D7D" w14:textId="77777777" w:rsidR="00EA3F7E" w:rsidRDefault="00EA3F7E" w:rsidP="000016C1">
      <w:pPr>
        <w:pStyle w:val="FootnoteText"/>
      </w:pPr>
      <w:r>
        <w:rPr>
          <w:rStyle w:val="FootnoteReference"/>
        </w:rPr>
        <w:footnoteRef/>
      </w:r>
      <w:r>
        <w:t xml:space="preserve"> Coughlin, Exh. No. BAC-5.</w:t>
      </w:r>
    </w:p>
  </w:footnote>
  <w:footnote w:id="363">
    <w:p w14:paraId="0941685E" w14:textId="756C6DF0" w:rsidR="00EA3F7E" w:rsidRDefault="00EA3F7E" w:rsidP="008F4EB7">
      <w:pPr>
        <w:pStyle w:val="FootnoteText"/>
      </w:pPr>
      <w:r>
        <w:rPr>
          <w:rStyle w:val="FootnoteReference"/>
        </w:rPr>
        <w:footnoteRef/>
      </w:r>
      <w:r>
        <w:t xml:space="preserve"> TR. 515:8-12.</w:t>
      </w:r>
    </w:p>
  </w:footnote>
  <w:footnote w:id="364">
    <w:p w14:paraId="2D4D9BD1" w14:textId="01214BFA" w:rsidR="00EA3F7E" w:rsidRDefault="00EA3F7E" w:rsidP="008F4EB7">
      <w:pPr>
        <w:pStyle w:val="FootnoteText"/>
      </w:pPr>
      <w:r>
        <w:rPr>
          <w:rStyle w:val="FootnoteReference"/>
        </w:rPr>
        <w:footnoteRef/>
      </w:r>
      <w:r>
        <w:t xml:space="preserve"> TR. 505:6-7.</w:t>
      </w:r>
    </w:p>
  </w:footnote>
  <w:footnote w:id="365">
    <w:p w14:paraId="78A93985" w14:textId="77777777" w:rsidR="00EA3F7E" w:rsidRPr="001D25A1" w:rsidRDefault="00EA3F7E">
      <w:pPr>
        <w:pStyle w:val="FootnoteText"/>
        <w:rPr>
          <w:szCs w:val="22"/>
        </w:rPr>
      </w:pPr>
      <w:r w:rsidRPr="001D25A1">
        <w:rPr>
          <w:rStyle w:val="FootnoteReference"/>
          <w:szCs w:val="22"/>
        </w:rPr>
        <w:footnoteRef/>
      </w:r>
      <w:r w:rsidRPr="001D25A1">
        <w:rPr>
          <w:szCs w:val="22"/>
        </w:rPr>
        <w:t xml:space="preserve"> </w:t>
      </w:r>
      <w:r w:rsidRPr="001D25A1">
        <w:rPr>
          <w:i/>
          <w:szCs w:val="22"/>
        </w:rPr>
        <w:t>See</w:t>
      </w:r>
      <w:r w:rsidRPr="001D25A1">
        <w:rPr>
          <w:szCs w:val="22"/>
        </w:rPr>
        <w:t xml:space="preserve"> </w:t>
      </w:r>
      <w:r w:rsidRPr="001D25A1">
        <w:rPr>
          <w:i/>
          <w:szCs w:val="22"/>
        </w:rPr>
        <w:t xml:space="preserve">WUTC v. </w:t>
      </w:r>
      <w:r>
        <w:rPr>
          <w:i/>
          <w:szCs w:val="22"/>
        </w:rPr>
        <w:t>Pacific Power</w:t>
      </w:r>
      <w:r w:rsidRPr="001D25A1">
        <w:rPr>
          <w:szCs w:val="22"/>
        </w:rPr>
        <w:t xml:space="preserve">, Docket UE-111190, </w:t>
      </w:r>
      <w:proofErr w:type="gramStart"/>
      <w:r w:rsidRPr="001D25A1">
        <w:rPr>
          <w:szCs w:val="22"/>
        </w:rPr>
        <w:t>Order</w:t>
      </w:r>
      <w:proofErr w:type="gramEnd"/>
      <w:r w:rsidRPr="001D25A1">
        <w:rPr>
          <w:szCs w:val="22"/>
        </w:rPr>
        <w:t xml:space="preserve"> 07 ¶¶ 17-18 and 40-44 (March 30, 2012).</w:t>
      </w:r>
    </w:p>
  </w:footnote>
  <w:footnote w:id="366">
    <w:p w14:paraId="0F10900A" w14:textId="2AFE842C" w:rsidR="00EA3F7E" w:rsidRDefault="00EA3F7E">
      <w:pPr>
        <w:pStyle w:val="FootnoteText"/>
      </w:pPr>
      <w:r>
        <w:rPr>
          <w:rStyle w:val="FootnoteReference"/>
        </w:rPr>
        <w:footnoteRef/>
      </w:r>
      <w:r>
        <w:t xml:space="preserve"> </w:t>
      </w:r>
      <w:r w:rsidRPr="00BE2165">
        <w:t>E</w:t>
      </w:r>
      <w:r>
        <w:t>berdt, Exh. No. CME-1T at 3; 16-23.</w:t>
      </w:r>
    </w:p>
  </w:footnote>
  <w:footnote w:id="367">
    <w:p w14:paraId="097298B1" w14:textId="77777777" w:rsidR="00EA3F7E" w:rsidRPr="001D25A1" w:rsidRDefault="00EA3F7E" w:rsidP="000C07A5">
      <w:pPr>
        <w:pStyle w:val="FootnoteText"/>
        <w:rPr>
          <w:szCs w:val="22"/>
        </w:rPr>
      </w:pPr>
      <w:r w:rsidRPr="001D25A1">
        <w:rPr>
          <w:rStyle w:val="FootnoteReference"/>
          <w:szCs w:val="22"/>
        </w:rPr>
        <w:footnoteRef/>
      </w:r>
      <w:r w:rsidRPr="001D25A1">
        <w:rPr>
          <w:szCs w:val="22"/>
        </w:rPr>
        <w:t xml:space="preserve"> </w:t>
      </w:r>
      <w:r>
        <w:rPr>
          <w:szCs w:val="22"/>
        </w:rPr>
        <w:t xml:space="preserve">Energy Project Initial Brief at 2; </w:t>
      </w:r>
      <w:r w:rsidRPr="001D25A1">
        <w:rPr>
          <w:szCs w:val="22"/>
        </w:rPr>
        <w:t>Eber</w:t>
      </w:r>
      <w:r>
        <w:rPr>
          <w:szCs w:val="22"/>
        </w:rPr>
        <w:t>d</w:t>
      </w:r>
      <w:r w:rsidRPr="001D25A1">
        <w:rPr>
          <w:szCs w:val="22"/>
        </w:rPr>
        <w:t>t, Exh</w:t>
      </w:r>
      <w:r>
        <w:rPr>
          <w:szCs w:val="22"/>
        </w:rPr>
        <w:t>.</w:t>
      </w:r>
      <w:r w:rsidRPr="001D25A1">
        <w:rPr>
          <w:szCs w:val="22"/>
        </w:rPr>
        <w:t xml:space="preserve"> No. CME-1T at 4:1</w:t>
      </w:r>
      <w:r>
        <w:rPr>
          <w:szCs w:val="22"/>
        </w:rPr>
        <w:t>3</w:t>
      </w:r>
      <w:r w:rsidRPr="001D25A1">
        <w:rPr>
          <w:szCs w:val="22"/>
        </w:rPr>
        <w:t>-</w:t>
      </w:r>
      <w:r>
        <w:rPr>
          <w:szCs w:val="22"/>
        </w:rPr>
        <w:t>5:2</w:t>
      </w:r>
      <w:r w:rsidRPr="001D25A1">
        <w:rPr>
          <w:szCs w:val="22"/>
        </w:rPr>
        <w:t>.</w:t>
      </w:r>
    </w:p>
  </w:footnote>
  <w:footnote w:id="368">
    <w:p w14:paraId="0C58759A" w14:textId="77777777" w:rsidR="00EA3F7E" w:rsidRPr="001D25A1" w:rsidRDefault="00EA3F7E">
      <w:pPr>
        <w:pStyle w:val="FootnoteText"/>
        <w:rPr>
          <w:szCs w:val="22"/>
        </w:rPr>
      </w:pPr>
      <w:r w:rsidRPr="001D25A1">
        <w:rPr>
          <w:rStyle w:val="FootnoteReference"/>
          <w:szCs w:val="22"/>
        </w:rPr>
        <w:footnoteRef/>
      </w:r>
      <w:r w:rsidRPr="001D25A1">
        <w:rPr>
          <w:szCs w:val="22"/>
        </w:rPr>
        <w:t xml:space="preserve"> </w:t>
      </w:r>
      <w:r w:rsidRPr="001D25A1">
        <w:rPr>
          <w:i/>
          <w:szCs w:val="22"/>
        </w:rPr>
        <w:t xml:space="preserve">WUTC v. </w:t>
      </w:r>
      <w:r>
        <w:rPr>
          <w:i/>
          <w:szCs w:val="22"/>
        </w:rPr>
        <w:t>Pacific Power</w:t>
      </w:r>
      <w:r w:rsidRPr="001D25A1">
        <w:rPr>
          <w:szCs w:val="22"/>
        </w:rPr>
        <w:t>, Docket UE-111190, Order 07 ¶ 42 (March 30, 2012).</w:t>
      </w:r>
    </w:p>
  </w:footnote>
  <w:footnote w:id="369">
    <w:p w14:paraId="0A330A95" w14:textId="04ED1DB6" w:rsidR="00EA3F7E" w:rsidRDefault="00EA3F7E" w:rsidP="003C4B8A">
      <w:pPr>
        <w:pStyle w:val="FootnoteText"/>
      </w:pPr>
      <w:r>
        <w:rPr>
          <w:rStyle w:val="FootnoteReference"/>
        </w:rPr>
        <w:footnoteRef/>
      </w:r>
      <w:r>
        <w:t xml:space="preserve"> Docket UE-130043, Order 05 ¶¶ 200, 203.  </w:t>
      </w:r>
    </w:p>
  </w:footnote>
  <w:footnote w:id="370">
    <w:p w14:paraId="4182AD12" w14:textId="001A6EBF" w:rsidR="00EA3F7E" w:rsidRDefault="00EA3F7E">
      <w:pPr>
        <w:pStyle w:val="FootnoteText"/>
      </w:pPr>
      <w:r>
        <w:rPr>
          <w:rStyle w:val="FootnoteReference"/>
        </w:rPr>
        <w:footnoteRef/>
      </w:r>
      <w:r>
        <w:t xml:space="preserve"> </w:t>
      </w:r>
      <w:r w:rsidRPr="003C4B8A">
        <w:rPr>
          <w:i/>
        </w:rPr>
        <w:t>Id.</w:t>
      </w:r>
      <w:r>
        <w:t xml:space="preserve"> ¶ 205.</w:t>
      </w:r>
    </w:p>
  </w:footnote>
  <w:footnote w:id="371">
    <w:p w14:paraId="6329BE6F" w14:textId="5B6CF382" w:rsidR="00EA3F7E" w:rsidRDefault="00EA3F7E" w:rsidP="003C4B8A">
      <w:pPr>
        <w:pStyle w:val="FootnoteText"/>
      </w:pPr>
      <w:r>
        <w:rPr>
          <w:rStyle w:val="FootnoteReference"/>
        </w:rPr>
        <w:footnoteRef/>
      </w:r>
      <w:r>
        <w:t xml:space="preserve"> </w:t>
      </w:r>
      <w:r w:rsidRPr="00D41BE8">
        <w:t>Siores, Exh. No. NCS-10T 24:9-12.</w:t>
      </w:r>
    </w:p>
  </w:footnote>
  <w:footnote w:id="372">
    <w:p w14:paraId="761EBBFE" w14:textId="3374C77B" w:rsidR="00EA3F7E" w:rsidRPr="00BC50E0" w:rsidRDefault="00EA3F7E" w:rsidP="003C4B8A">
      <w:pPr>
        <w:pStyle w:val="FootnoteText"/>
      </w:pPr>
      <w:r>
        <w:rPr>
          <w:rStyle w:val="FootnoteReference"/>
        </w:rPr>
        <w:footnoteRef/>
      </w:r>
      <w:r>
        <w:t xml:space="preserve"> </w:t>
      </w:r>
      <w:r w:rsidRPr="00D41BE8">
        <w:rPr>
          <w:i/>
        </w:rPr>
        <w:t xml:space="preserve">WUTC v. Pacific Power &amp; Light Co., </w:t>
      </w:r>
      <w:r w:rsidRPr="00BC50E0">
        <w:t xml:space="preserve">Docket UE-140762, Order 03 (Order 01 of Docket UE-140617) (May 29, 2014). </w:t>
      </w:r>
    </w:p>
  </w:footnote>
  <w:footnote w:id="373">
    <w:p w14:paraId="0D8135F6" w14:textId="177A355D" w:rsidR="00EA3F7E" w:rsidRDefault="00EA3F7E">
      <w:pPr>
        <w:pStyle w:val="FootnoteText"/>
      </w:pPr>
      <w:r>
        <w:rPr>
          <w:rStyle w:val="FootnoteReference"/>
        </w:rPr>
        <w:footnoteRef/>
      </w:r>
      <w:r>
        <w:t xml:space="preserve"> The Commission’s approval of Pacific Power’s deferral petition establishes an exception to the matching principle and the Company, when seeking recovery, thus avoids the prohibition against retroactive ratemaking for the costs authorized for deferral treatment.</w:t>
      </w:r>
    </w:p>
  </w:footnote>
  <w:footnote w:id="374">
    <w:p w14:paraId="556AAD02" w14:textId="77777777" w:rsidR="00EA3F7E" w:rsidRPr="000A7BBA" w:rsidRDefault="00EA3F7E" w:rsidP="00F519C6">
      <w:pPr>
        <w:pStyle w:val="FootnoteText"/>
        <w:rPr>
          <w:szCs w:val="22"/>
        </w:rPr>
      </w:pPr>
      <w:r w:rsidRPr="000A7BBA">
        <w:rPr>
          <w:rStyle w:val="FootnoteReference"/>
          <w:szCs w:val="22"/>
        </w:rPr>
        <w:footnoteRef/>
      </w:r>
      <w:r w:rsidRPr="000A7BBA">
        <w:rPr>
          <w:szCs w:val="22"/>
        </w:rPr>
        <w:t xml:space="preserve"> Siores, Exh. No. NCS-14, at 5.</w:t>
      </w:r>
    </w:p>
  </w:footnote>
  <w:footnote w:id="375">
    <w:p w14:paraId="294C27D5" w14:textId="77777777" w:rsidR="00EA3F7E" w:rsidRDefault="00EA3F7E" w:rsidP="00F519C6">
      <w:pPr>
        <w:pStyle w:val="FootnoteText"/>
      </w:pPr>
      <w:r>
        <w:rPr>
          <w:rStyle w:val="FootnoteReference"/>
        </w:rPr>
        <w:footnoteRef/>
      </w:r>
      <w:r>
        <w:t xml:space="preserve"> Ball, Exh. No. JLB-1T at 25:13-19.</w:t>
      </w:r>
    </w:p>
  </w:footnote>
  <w:footnote w:id="376">
    <w:p w14:paraId="6B85631D" w14:textId="38E7EEAF" w:rsidR="00EA3F7E" w:rsidRDefault="00EA3F7E">
      <w:pPr>
        <w:pStyle w:val="FootnoteText"/>
      </w:pPr>
      <w:r>
        <w:rPr>
          <w:rStyle w:val="FootnoteReference"/>
        </w:rPr>
        <w:footnoteRef/>
      </w:r>
      <w:r>
        <w:t xml:space="preserve"> Staff Initial Brief ¶ 145.  Mr. Ball testifies that</w:t>
      </w:r>
      <w:r w:rsidRPr="009259CA">
        <w:rPr>
          <w:rFonts w:eastAsiaTheme="minorHAnsi" w:cstheme="minorBidi"/>
          <w:sz w:val="24"/>
        </w:rPr>
        <w:t xml:space="preserve"> </w:t>
      </w:r>
      <w:r>
        <w:rPr>
          <w:rFonts w:eastAsiaTheme="minorHAnsi" w:cstheme="minorBidi"/>
          <w:sz w:val="24"/>
        </w:rPr>
        <w:t>“</w:t>
      </w:r>
      <w:r>
        <w:t>[t]</w:t>
      </w:r>
      <w:r w:rsidRPr="009259CA">
        <w:t>he Commission has previously expressed concern with inter-period adjustments to rate base and Staff shares those concerns.</w:t>
      </w:r>
      <w:r>
        <w:t xml:space="preserve">”  Ball, Exh. No. JLB-1T at 27:13-14.  The Commission’s primary concern is that granting such adjustments provides an incentive for frequent deferral accounting petitions. </w:t>
      </w:r>
    </w:p>
  </w:footnote>
  <w:footnote w:id="377">
    <w:p w14:paraId="276ACE4E" w14:textId="0448DDAA" w:rsidR="00EA3F7E" w:rsidRDefault="00EA3F7E">
      <w:pPr>
        <w:pStyle w:val="FootnoteText"/>
      </w:pPr>
      <w:r>
        <w:rPr>
          <w:rStyle w:val="FootnoteReference"/>
        </w:rPr>
        <w:footnoteRef/>
      </w:r>
      <w:r>
        <w:t xml:space="preserve"> Mullins, Exh. BGM-1CTr at 70:21-71:2 (quoting </w:t>
      </w:r>
      <w:r w:rsidRPr="00005DAD">
        <w:t>ICNU Comments on Petition of PacifiCorp</w:t>
      </w:r>
      <w:r>
        <w:t>,</w:t>
      </w:r>
      <w:r w:rsidRPr="00005DAD">
        <w:rPr>
          <w:lang w:val="x-none"/>
        </w:rPr>
        <w:t xml:space="preserve"> </w:t>
      </w:r>
      <w:r w:rsidRPr="00005DAD">
        <w:t xml:space="preserve">Docket No. UE-140617 </w:t>
      </w:r>
      <w:r w:rsidRPr="00005DAD">
        <w:rPr>
          <w:lang w:val="x-none"/>
        </w:rPr>
        <w:t>at 4</w:t>
      </w:r>
      <w:r w:rsidRPr="00005DAD">
        <w:t xml:space="preserve"> (May 27, 2014))</w:t>
      </w:r>
      <w:r w:rsidRPr="00005DAD">
        <w:rPr>
          <w:lang w:val="x-none"/>
        </w:rPr>
        <w:t>.</w:t>
      </w:r>
    </w:p>
  </w:footnote>
  <w:footnote w:id="378">
    <w:p w14:paraId="21BCC122" w14:textId="78A8F195" w:rsidR="00EA3F7E" w:rsidRDefault="00EA3F7E">
      <w:pPr>
        <w:pStyle w:val="FootnoteText"/>
      </w:pPr>
      <w:r>
        <w:rPr>
          <w:rStyle w:val="FootnoteReference"/>
        </w:rPr>
        <w:footnoteRef/>
      </w:r>
      <w:r>
        <w:t xml:space="preserve"> Boise White Paper Initial Brief ¶ 105.</w:t>
      </w:r>
    </w:p>
  </w:footnote>
  <w:footnote w:id="379">
    <w:p w14:paraId="1BE4A09E" w14:textId="77AC2FF0" w:rsidR="00EA3F7E" w:rsidRDefault="00EA3F7E">
      <w:pPr>
        <w:pStyle w:val="FootnoteText"/>
      </w:pPr>
      <w:r>
        <w:rPr>
          <w:rStyle w:val="FootnoteReference"/>
        </w:rPr>
        <w:footnoteRef/>
      </w:r>
      <w:r>
        <w:t xml:space="preserve"> Public Counsel Initial Brief ¶ 79.</w:t>
      </w:r>
    </w:p>
  </w:footnote>
  <w:footnote w:id="380">
    <w:p w14:paraId="20803323" w14:textId="492C856B" w:rsidR="00EA3F7E" w:rsidRDefault="00EA3F7E">
      <w:pPr>
        <w:pStyle w:val="FootnoteText"/>
      </w:pPr>
      <w:r>
        <w:rPr>
          <w:rStyle w:val="FootnoteReference"/>
        </w:rPr>
        <w:footnoteRef/>
      </w:r>
      <w:r>
        <w:t xml:space="preserve"> </w:t>
      </w:r>
      <w:r w:rsidRPr="00144297">
        <w:rPr>
          <w:i/>
        </w:rPr>
        <w:t>Id.</w:t>
      </w:r>
      <w:r>
        <w:t xml:space="preserve"> ¶ 80.</w:t>
      </w:r>
    </w:p>
  </w:footnote>
  <w:footnote w:id="381">
    <w:p w14:paraId="2A453B19" w14:textId="488CED4F" w:rsidR="00EA3F7E" w:rsidRDefault="00EA3F7E">
      <w:pPr>
        <w:pStyle w:val="FootnoteText"/>
      </w:pPr>
      <w:r>
        <w:rPr>
          <w:rStyle w:val="FootnoteReference"/>
        </w:rPr>
        <w:footnoteRef/>
      </w:r>
      <w:r>
        <w:t xml:space="preserve"> Docket UE-130043, Order 05 ¶ 196.</w:t>
      </w:r>
    </w:p>
  </w:footnote>
  <w:footnote w:id="382">
    <w:p w14:paraId="17FB8335" w14:textId="553AD01D" w:rsidR="00EA3F7E" w:rsidRDefault="00EA3F7E">
      <w:pPr>
        <w:pStyle w:val="FootnoteText"/>
      </w:pPr>
      <w:r>
        <w:rPr>
          <w:rStyle w:val="FootnoteReference"/>
        </w:rPr>
        <w:footnoteRef/>
      </w:r>
      <w:r>
        <w:t xml:space="preserve"> </w:t>
      </w:r>
      <w:r w:rsidRPr="009168C4">
        <w:rPr>
          <w:i/>
        </w:rPr>
        <w:t>Id.</w:t>
      </w:r>
    </w:p>
  </w:footnote>
  <w:footnote w:id="383">
    <w:p w14:paraId="785C1465" w14:textId="2DBE2EB5" w:rsidR="00EA3F7E" w:rsidRDefault="00EA3F7E">
      <w:pPr>
        <w:pStyle w:val="FootnoteText"/>
      </w:pPr>
      <w:r>
        <w:rPr>
          <w:rStyle w:val="FootnoteReference"/>
        </w:rPr>
        <w:footnoteRef/>
      </w:r>
      <w:r>
        <w:t xml:space="preserve"> </w:t>
      </w:r>
      <w:r w:rsidRPr="009168C4">
        <w:rPr>
          <w:i/>
        </w:rPr>
        <w:t xml:space="preserve">Id. </w:t>
      </w:r>
    </w:p>
  </w:footnote>
  <w:footnote w:id="384">
    <w:p w14:paraId="5AECCD41" w14:textId="6AA34D81" w:rsidR="00EA3F7E" w:rsidRDefault="00EA3F7E">
      <w:pPr>
        <w:pStyle w:val="FootnoteText"/>
      </w:pPr>
      <w:r>
        <w:rPr>
          <w:rStyle w:val="FootnoteReference"/>
        </w:rPr>
        <w:footnoteRef/>
      </w:r>
      <w:r>
        <w:t xml:space="preserve"> Petition of Avista Corporation, Docket UE-131576, Order 01 ¶ 1.</w:t>
      </w:r>
    </w:p>
  </w:footnote>
  <w:footnote w:id="385">
    <w:p w14:paraId="1000F43D" w14:textId="15D720BC" w:rsidR="00EA3F7E" w:rsidRDefault="00EA3F7E">
      <w:pPr>
        <w:pStyle w:val="FootnoteText"/>
      </w:pPr>
      <w:r>
        <w:rPr>
          <w:rStyle w:val="FootnoteReference"/>
        </w:rPr>
        <w:footnoteRef/>
      </w:r>
      <w:r>
        <w:t xml:space="preserve"> </w:t>
      </w:r>
      <w:r w:rsidRPr="00463D74">
        <w:rPr>
          <w:i/>
        </w:rPr>
        <w:t>Id.</w:t>
      </w:r>
      <w:r>
        <w:t xml:space="preserve"> ¶ 5.</w:t>
      </w:r>
    </w:p>
  </w:footnote>
  <w:footnote w:id="386">
    <w:p w14:paraId="0970EE10" w14:textId="6A50B49A" w:rsidR="00EA3F7E" w:rsidRDefault="00EA3F7E">
      <w:pPr>
        <w:pStyle w:val="FootnoteText"/>
      </w:pPr>
      <w:r>
        <w:rPr>
          <w:rStyle w:val="FootnoteReference"/>
        </w:rPr>
        <w:footnoteRef/>
      </w:r>
      <w:r>
        <w:t xml:space="preserve"> </w:t>
      </w:r>
      <w:r w:rsidRPr="00463D74">
        <w:rPr>
          <w:i/>
        </w:rPr>
        <w:t>Id.</w:t>
      </w:r>
    </w:p>
  </w:footnote>
  <w:footnote w:id="387">
    <w:p w14:paraId="7C871C67" w14:textId="46D3BF66" w:rsidR="00EA3F7E" w:rsidRPr="00E70DF3" w:rsidRDefault="00EA3F7E" w:rsidP="008B3C72">
      <w:pPr>
        <w:pStyle w:val="FootnoteText"/>
        <w:rPr>
          <w:szCs w:val="22"/>
        </w:rPr>
      </w:pPr>
      <w:r w:rsidRPr="00E70DF3">
        <w:rPr>
          <w:rStyle w:val="FootnoteReference"/>
          <w:szCs w:val="22"/>
        </w:rPr>
        <w:footnoteRef/>
      </w:r>
      <w:r w:rsidRPr="00E70DF3">
        <w:rPr>
          <w:szCs w:val="22"/>
        </w:rPr>
        <w:t xml:space="preserve"> Petition for an Accounting Order, Docket </w:t>
      </w:r>
      <w:r>
        <w:rPr>
          <w:szCs w:val="22"/>
        </w:rPr>
        <w:t>UE-</w:t>
      </w:r>
      <w:r w:rsidRPr="00E70DF3">
        <w:rPr>
          <w:szCs w:val="22"/>
        </w:rPr>
        <w:t>131384, (July 23, 2013) at ¶</w:t>
      </w:r>
      <w:r>
        <w:rPr>
          <w:szCs w:val="22"/>
        </w:rPr>
        <w:t xml:space="preserve"> </w:t>
      </w:r>
      <w:r w:rsidRPr="00E70DF3">
        <w:rPr>
          <w:szCs w:val="22"/>
        </w:rPr>
        <w:t>1.</w:t>
      </w:r>
      <w:r>
        <w:rPr>
          <w:szCs w:val="22"/>
        </w:rPr>
        <w:t xml:space="preserve">  </w:t>
      </w:r>
    </w:p>
  </w:footnote>
  <w:footnote w:id="388">
    <w:p w14:paraId="66598F41" w14:textId="76B445BD" w:rsidR="00EA3F7E" w:rsidRPr="00E70DF3" w:rsidRDefault="00EA3F7E" w:rsidP="008B3C72">
      <w:pPr>
        <w:pStyle w:val="FootnoteText"/>
        <w:rPr>
          <w:szCs w:val="22"/>
        </w:rPr>
      </w:pPr>
      <w:r w:rsidRPr="00E70DF3">
        <w:rPr>
          <w:rStyle w:val="FootnoteReference"/>
          <w:szCs w:val="22"/>
        </w:rPr>
        <w:footnoteRef/>
      </w:r>
      <w:r w:rsidRPr="00E70DF3">
        <w:rPr>
          <w:szCs w:val="22"/>
        </w:rPr>
        <w:t xml:space="preserve"> </w:t>
      </w:r>
      <w:r w:rsidRPr="00E70DF3">
        <w:rPr>
          <w:i/>
          <w:szCs w:val="22"/>
        </w:rPr>
        <w:t>Id</w:t>
      </w:r>
      <w:r w:rsidRPr="00E70DF3">
        <w:rPr>
          <w:szCs w:val="22"/>
        </w:rPr>
        <w:t>. ¶</w:t>
      </w:r>
      <w:r>
        <w:rPr>
          <w:szCs w:val="22"/>
        </w:rPr>
        <w:t xml:space="preserve"> </w:t>
      </w:r>
      <w:r w:rsidRPr="00E70DF3">
        <w:rPr>
          <w:szCs w:val="22"/>
        </w:rPr>
        <w:t>4.</w:t>
      </w:r>
    </w:p>
  </w:footnote>
  <w:footnote w:id="389">
    <w:p w14:paraId="4C61C98A" w14:textId="2C0E8BB2" w:rsidR="00EA3F7E" w:rsidRDefault="00EA3F7E">
      <w:pPr>
        <w:pStyle w:val="FootnoteText"/>
      </w:pPr>
      <w:r>
        <w:rPr>
          <w:rStyle w:val="FootnoteReference"/>
        </w:rPr>
        <w:footnoteRef/>
      </w:r>
      <w:r>
        <w:t xml:space="preserve"> Compare Exh. No. NCS-9 at 1-3 to NCS-14 1-2.</w:t>
      </w:r>
    </w:p>
  </w:footnote>
  <w:footnote w:id="390">
    <w:p w14:paraId="14D9A9ED" w14:textId="28EA4A84" w:rsidR="00EA3F7E" w:rsidRPr="00E70DF3" w:rsidRDefault="00EA3F7E" w:rsidP="008B3C72">
      <w:pPr>
        <w:pStyle w:val="FootnoteText"/>
        <w:rPr>
          <w:szCs w:val="22"/>
        </w:rPr>
      </w:pPr>
      <w:r w:rsidRPr="00E70DF3">
        <w:rPr>
          <w:rStyle w:val="FootnoteReference"/>
          <w:szCs w:val="22"/>
        </w:rPr>
        <w:footnoteRef/>
      </w:r>
      <w:r w:rsidRPr="00E70DF3">
        <w:rPr>
          <w:szCs w:val="22"/>
        </w:rPr>
        <w:t xml:space="preserve"> </w:t>
      </w:r>
      <w:r w:rsidRPr="00E70DF3">
        <w:rPr>
          <w:i/>
          <w:szCs w:val="22"/>
        </w:rPr>
        <w:t>Id</w:t>
      </w:r>
      <w:r w:rsidRPr="00E70DF3">
        <w:rPr>
          <w:szCs w:val="22"/>
        </w:rPr>
        <w:t>. ¶</w:t>
      </w:r>
      <w:r>
        <w:rPr>
          <w:szCs w:val="22"/>
        </w:rPr>
        <w:t xml:space="preserve"> </w:t>
      </w:r>
      <w:r w:rsidRPr="00E70DF3">
        <w:rPr>
          <w:szCs w:val="22"/>
        </w:rPr>
        <w:t>5.</w:t>
      </w:r>
    </w:p>
  </w:footnote>
  <w:footnote w:id="391">
    <w:p w14:paraId="1ABB5116" w14:textId="164930A5" w:rsidR="00EA3F7E" w:rsidRDefault="00EA3F7E">
      <w:pPr>
        <w:pStyle w:val="FootnoteText"/>
      </w:pPr>
      <w:r>
        <w:rPr>
          <w:rStyle w:val="FootnoteReference"/>
        </w:rPr>
        <w:footnoteRef/>
      </w:r>
      <w:r>
        <w:t xml:space="preserve"> Docket UE-140672, Order 01 (June 24, 2014).</w:t>
      </w:r>
    </w:p>
  </w:footnote>
  <w:footnote w:id="392">
    <w:p w14:paraId="7D589F7E" w14:textId="3F39691E" w:rsidR="00EA3F7E" w:rsidRPr="00E70DF3" w:rsidRDefault="00EA3F7E" w:rsidP="008B3C72">
      <w:pPr>
        <w:pStyle w:val="FootnoteText"/>
        <w:rPr>
          <w:szCs w:val="22"/>
        </w:rPr>
      </w:pPr>
      <w:r w:rsidRPr="00E70DF3">
        <w:rPr>
          <w:rStyle w:val="FootnoteReference"/>
          <w:szCs w:val="22"/>
        </w:rPr>
        <w:footnoteRef/>
      </w:r>
      <w:r w:rsidRPr="00E70DF3">
        <w:rPr>
          <w:szCs w:val="22"/>
        </w:rPr>
        <w:t xml:space="preserve"> Dalley, Exh. No. RBD-1T at 7:5-11.</w:t>
      </w:r>
    </w:p>
  </w:footnote>
  <w:footnote w:id="393">
    <w:p w14:paraId="4BEBA008" w14:textId="18828276" w:rsidR="00EA3F7E" w:rsidRPr="00E70DF3" w:rsidRDefault="00EA3F7E" w:rsidP="008B3C72">
      <w:pPr>
        <w:pStyle w:val="FootnoteText"/>
        <w:rPr>
          <w:szCs w:val="22"/>
        </w:rPr>
      </w:pPr>
      <w:r w:rsidRPr="00E70DF3">
        <w:rPr>
          <w:rStyle w:val="FootnoteReference"/>
          <w:szCs w:val="22"/>
        </w:rPr>
        <w:footnoteRef/>
      </w:r>
      <w:r w:rsidRPr="00E70DF3">
        <w:rPr>
          <w:szCs w:val="22"/>
        </w:rPr>
        <w:t xml:space="preserve"> Erdahl, Exh. No. BAE-1T at 11:10-16.</w:t>
      </w:r>
    </w:p>
  </w:footnote>
  <w:footnote w:id="394">
    <w:p w14:paraId="2967251B" w14:textId="2721A016" w:rsidR="00EA3F7E" w:rsidRDefault="00EA3F7E" w:rsidP="008B3C72">
      <w:pPr>
        <w:pStyle w:val="FootnoteText"/>
      </w:pPr>
      <w:r w:rsidRPr="00E70DF3">
        <w:rPr>
          <w:rStyle w:val="FootnoteReference"/>
          <w:szCs w:val="22"/>
        </w:rPr>
        <w:footnoteRef/>
      </w:r>
      <w:r w:rsidRPr="00E70DF3">
        <w:rPr>
          <w:szCs w:val="22"/>
        </w:rPr>
        <w:t xml:space="preserve"> </w:t>
      </w:r>
      <w:r w:rsidRPr="008B3C72">
        <w:rPr>
          <w:i/>
          <w:szCs w:val="22"/>
        </w:rPr>
        <w:t>Id.</w:t>
      </w:r>
      <w:r w:rsidRPr="00E70DF3">
        <w:rPr>
          <w:szCs w:val="22"/>
        </w:rPr>
        <w:t xml:space="preserve"> at 11:1-7.</w:t>
      </w:r>
    </w:p>
  </w:footnote>
  <w:footnote w:id="395">
    <w:p w14:paraId="315280FE" w14:textId="5230C6D3" w:rsidR="00EA3F7E" w:rsidRPr="00AA35CB" w:rsidRDefault="00EA3F7E" w:rsidP="008B3C72">
      <w:pPr>
        <w:pStyle w:val="FootnoteText"/>
        <w:rPr>
          <w:szCs w:val="22"/>
        </w:rPr>
      </w:pPr>
      <w:r w:rsidRPr="00AA35CB">
        <w:rPr>
          <w:rStyle w:val="FootnoteReference"/>
          <w:szCs w:val="22"/>
        </w:rPr>
        <w:footnoteRef/>
      </w:r>
      <w:r w:rsidRPr="00AA35CB">
        <w:rPr>
          <w:szCs w:val="22"/>
        </w:rPr>
        <w:t xml:space="preserve"> Siores, Exh. No. NCS-10T</w:t>
      </w:r>
      <w:r>
        <w:rPr>
          <w:szCs w:val="22"/>
        </w:rPr>
        <w:t xml:space="preserve"> </w:t>
      </w:r>
      <w:r w:rsidRPr="00AA35CB">
        <w:rPr>
          <w:szCs w:val="22"/>
        </w:rPr>
        <w:t>at 21:16-19.</w:t>
      </w:r>
    </w:p>
  </w:footnote>
  <w:footnote w:id="396">
    <w:p w14:paraId="452B5EB9" w14:textId="47F79344" w:rsidR="00EA3F7E" w:rsidRPr="00AA35CB" w:rsidRDefault="00EA3F7E" w:rsidP="008B3C72">
      <w:pPr>
        <w:pStyle w:val="FootnoteText"/>
        <w:rPr>
          <w:szCs w:val="22"/>
        </w:rPr>
      </w:pPr>
      <w:r w:rsidRPr="00AA35CB">
        <w:rPr>
          <w:rStyle w:val="FootnoteReference"/>
          <w:szCs w:val="22"/>
        </w:rPr>
        <w:footnoteRef/>
      </w:r>
      <w:r w:rsidRPr="00AA35CB">
        <w:rPr>
          <w:szCs w:val="22"/>
        </w:rPr>
        <w:t xml:space="preserve"> </w:t>
      </w:r>
      <w:r>
        <w:rPr>
          <w:i/>
          <w:szCs w:val="22"/>
        </w:rPr>
        <w:t>Id.</w:t>
      </w:r>
      <w:r w:rsidRPr="00AA35CB">
        <w:rPr>
          <w:szCs w:val="22"/>
        </w:rPr>
        <w:t xml:space="preserve"> at 21:20-22:2.</w:t>
      </w:r>
    </w:p>
  </w:footnote>
  <w:footnote w:id="397">
    <w:p w14:paraId="2BDDBFDE" w14:textId="49704AE2" w:rsidR="00EA3F7E" w:rsidRPr="00AA35CB" w:rsidRDefault="00EA3F7E" w:rsidP="008B3C72">
      <w:pPr>
        <w:pStyle w:val="FootnoteText"/>
        <w:rPr>
          <w:szCs w:val="22"/>
        </w:rPr>
      </w:pPr>
      <w:r w:rsidRPr="00AA35CB">
        <w:rPr>
          <w:rStyle w:val="FootnoteReference"/>
          <w:szCs w:val="22"/>
        </w:rPr>
        <w:footnoteRef/>
      </w:r>
      <w:r w:rsidRPr="00AA35CB">
        <w:rPr>
          <w:szCs w:val="22"/>
        </w:rPr>
        <w:t xml:space="preserve"> Mullins, Exh</w:t>
      </w:r>
      <w:r>
        <w:rPr>
          <w:szCs w:val="22"/>
        </w:rPr>
        <w:t>.</w:t>
      </w:r>
      <w:r w:rsidRPr="00AA35CB">
        <w:rPr>
          <w:szCs w:val="22"/>
        </w:rPr>
        <w:t xml:space="preserve"> No. BGM-1CT at 62</w:t>
      </w:r>
      <w:r>
        <w:rPr>
          <w:szCs w:val="22"/>
        </w:rPr>
        <w:t>:11-66:18</w:t>
      </w:r>
      <w:r w:rsidRPr="00AA35CB">
        <w:rPr>
          <w:szCs w:val="22"/>
        </w:rPr>
        <w:t>.</w:t>
      </w:r>
    </w:p>
  </w:footnote>
  <w:footnote w:id="398">
    <w:p w14:paraId="75166742" w14:textId="5A682C3C" w:rsidR="00EA3F7E" w:rsidRPr="00AA35CB" w:rsidRDefault="00EA3F7E" w:rsidP="008B3C72">
      <w:pPr>
        <w:pStyle w:val="FootnoteText"/>
        <w:rPr>
          <w:szCs w:val="22"/>
        </w:rPr>
      </w:pPr>
      <w:r w:rsidRPr="00AA35CB">
        <w:rPr>
          <w:rStyle w:val="FootnoteReference"/>
          <w:szCs w:val="22"/>
        </w:rPr>
        <w:footnoteRef/>
      </w:r>
      <w:r w:rsidRPr="00AA35CB">
        <w:rPr>
          <w:szCs w:val="22"/>
        </w:rPr>
        <w:t xml:space="preserve"> Siores, Exh. No. NCS-10T at 22:</w:t>
      </w:r>
      <w:r>
        <w:rPr>
          <w:szCs w:val="22"/>
        </w:rPr>
        <w:t>7-11</w:t>
      </w:r>
      <w:r w:rsidRPr="00AA35CB">
        <w:rPr>
          <w:szCs w:val="22"/>
        </w:rPr>
        <w:t>.</w:t>
      </w:r>
    </w:p>
  </w:footnote>
  <w:footnote w:id="399">
    <w:p w14:paraId="77845758" w14:textId="6975E1DF" w:rsidR="00EA3F7E" w:rsidRPr="00AA35CB" w:rsidRDefault="00EA3F7E" w:rsidP="008B3C72">
      <w:pPr>
        <w:pStyle w:val="FootnoteText"/>
        <w:rPr>
          <w:szCs w:val="22"/>
        </w:rPr>
      </w:pPr>
      <w:r w:rsidRPr="00AA35CB">
        <w:rPr>
          <w:rStyle w:val="FootnoteReference"/>
          <w:szCs w:val="22"/>
        </w:rPr>
        <w:footnoteRef/>
      </w:r>
      <w:r w:rsidRPr="00AA35CB">
        <w:rPr>
          <w:szCs w:val="22"/>
        </w:rPr>
        <w:t xml:space="preserve"> Mullins, Exh</w:t>
      </w:r>
      <w:r>
        <w:rPr>
          <w:szCs w:val="22"/>
        </w:rPr>
        <w:t>.</w:t>
      </w:r>
      <w:r w:rsidRPr="00AA35CB">
        <w:rPr>
          <w:szCs w:val="22"/>
        </w:rPr>
        <w:t xml:space="preserve"> No. BGM-1T at 62:12-63:5.</w:t>
      </w:r>
    </w:p>
  </w:footnote>
  <w:footnote w:id="400">
    <w:p w14:paraId="5C09BD78" w14:textId="67170FE3" w:rsidR="00EA3F7E" w:rsidRPr="00AA35CB" w:rsidRDefault="00EA3F7E" w:rsidP="008B3C72">
      <w:pPr>
        <w:pStyle w:val="FootnoteText"/>
        <w:rPr>
          <w:szCs w:val="22"/>
        </w:rPr>
      </w:pPr>
      <w:r w:rsidRPr="00AA35CB">
        <w:rPr>
          <w:rStyle w:val="FootnoteReference"/>
          <w:szCs w:val="22"/>
        </w:rPr>
        <w:footnoteRef/>
      </w:r>
      <w:r w:rsidRPr="00AA35CB">
        <w:rPr>
          <w:szCs w:val="22"/>
        </w:rPr>
        <w:t xml:space="preserve"> </w:t>
      </w:r>
      <w:r>
        <w:rPr>
          <w:i/>
          <w:szCs w:val="22"/>
        </w:rPr>
        <w:t>Id.</w:t>
      </w:r>
      <w:r w:rsidRPr="00AA35CB">
        <w:rPr>
          <w:szCs w:val="22"/>
        </w:rPr>
        <w:t xml:space="preserve"> at 64:16-66:18.</w:t>
      </w:r>
    </w:p>
  </w:footnote>
  <w:footnote w:id="401">
    <w:p w14:paraId="5E4C8BE8" w14:textId="248ABA94" w:rsidR="00EA3F7E" w:rsidRDefault="00EA3F7E">
      <w:pPr>
        <w:pStyle w:val="FootnoteText"/>
      </w:pPr>
      <w:r>
        <w:rPr>
          <w:rStyle w:val="FootnoteReference"/>
        </w:rPr>
        <w:footnoteRef/>
      </w:r>
      <w:r>
        <w:t xml:space="preserve"> </w:t>
      </w:r>
      <w:r w:rsidRPr="00211525">
        <w:t>Ralston, Exh. No. DMR-2T</w:t>
      </w:r>
      <w:r>
        <w:t xml:space="preserve"> at 8:15-17.</w:t>
      </w:r>
    </w:p>
  </w:footnote>
  <w:footnote w:id="402">
    <w:p w14:paraId="7F379B21" w14:textId="26058B0B" w:rsidR="00EA3F7E" w:rsidRDefault="00EA3F7E">
      <w:pPr>
        <w:pStyle w:val="FootnoteText"/>
      </w:pPr>
      <w:r>
        <w:rPr>
          <w:rStyle w:val="FootnoteReference"/>
        </w:rPr>
        <w:footnoteRef/>
      </w:r>
      <w:r>
        <w:t xml:space="preserve"> </w:t>
      </w:r>
      <w:r w:rsidRPr="00A120A4">
        <w:rPr>
          <w:i/>
        </w:rPr>
        <w:t>Id.</w:t>
      </w:r>
      <w:r>
        <w:t xml:space="preserve"> at 9:1-13.</w:t>
      </w:r>
    </w:p>
  </w:footnote>
  <w:footnote w:id="403">
    <w:p w14:paraId="0319D799" w14:textId="23B1BAAE" w:rsidR="00EA3F7E" w:rsidRDefault="00EA3F7E" w:rsidP="008B3C72">
      <w:pPr>
        <w:pStyle w:val="FootnoteText"/>
      </w:pPr>
      <w:r w:rsidRPr="00AA35CB">
        <w:rPr>
          <w:rStyle w:val="FootnoteReference"/>
          <w:szCs w:val="22"/>
        </w:rPr>
        <w:footnoteRef/>
      </w:r>
      <w:r w:rsidRPr="00AA35CB">
        <w:rPr>
          <w:szCs w:val="22"/>
        </w:rPr>
        <w:t xml:space="preserve"> </w:t>
      </w:r>
      <w:r w:rsidRPr="00AB1DB8">
        <w:rPr>
          <w:i/>
          <w:szCs w:val="22"/>
        </w:rPr>
        <w:t>Id.</w:t>
      </w:r>
      <w:r w:rsidRPr="00AA35CB">
        <w:rPr>
          <w:szCs w:val="22"/>
        </w:rPr>
        <w:t xml:space="preserve"> at 10:1-2.</w:t>
      </w:r>
    </w:p>
  </w:footnote>
  <w:footnote w:id="404">
    <w:p w14:paraId="4949CAE4" w14:textId="77777777" w:rsidR="00EA3F7E" w:rsidRDefault="00EA3F7E" w:rsidP="008961A6">
      <w:pPr>
        <w:pStyle w:val="FootnoteText"/>
      </w:pPr>
      <w:r>
        <w:rPr>
          <w:rStyle w:val="FootnoteReference"/>
        </w:rPr>
        <w:footnoteRef/>
      </w:r>
      <w:r>
        <w:t xml:space="preserve"> Docket UE-140672, Order 01 (June 24, 2014).</w:t>
      </w:r>
    </w:p>
  </w:footnote>
  <w:footnote w:id="405">
    <w:p w14:paraId="01E0C9F3" w14:textId="02C49C22" w:rsidR="00EA3F7E" w:rsidRDefault="00EA3F7E">
      <w:pPr>
        <w:pStyle w:val="FootnoteText"/>
      </w:pPr>
      <w:r>
        <w:rPr>
          <w:rStyle w:val="FootnoteReference"/>
        </w:rPr>
        <w:footnoteRef/>
      </w:r>
      <w:r>
        <w:t xml:space="preserve"> Duvall, Exh. No. GND-4T at 62:8-10.</w:t>
      </w:r>
    </w:p>
  </w:footnote>
  <w:footnote w:id="406">
    <w:p w14:paraId="0671D2D7" w14:textId="0786D6E4" w:rsidR="00EA3F7E" w:rsidRDefault="00EA3F7E" w:rsidP="00FB17DE">
      <w:pPr>
        <w:pStyle w:val="FootnoteText"/>
      </w:pPr>
      <w:r>
        <w:rPr>
          <w:rStyle w:val="FootnoteReference"/>
        </w:rPr>
        <w:footnoteRef/>
      </w:r>
      <w:r>
        <w:t xml:space="preserve"> Dalley, Exh. No. RBD-1T at 7:10-11 (citing </w:t>
      </w:r>
      <w:r>
        <w:rPr>
          <w:i/>
          <w:iCs/>
        </w:rPr>
        <w:t>Wash. Utils. &amp; Transp. Comm’</w:t>
      </w:r>
      <w:r w:rsidRPr="00C10632">
        <w:rPr>
          <w:i/>
          <w:iCs/>
        </w:rPr>
        <w:t>n v. Pacifi</w:t>
      </w:r>
      <w:r>
        <w:rPr>
          <w:i/>
          <w:iCs/>
        </w:rPr>
        <w:t>c Power &amp; Light Co.</w:t>
      </w:r>
      <w:r w:rsidRPr="00C10632">
        <w:t xml:space="preserve">, </w:t>
      </w:r>
      <w:r>
        <w:t xml:space="preserve">Docket </w:t>
      </w:r>
      <w:r w:rsidRPr="00C10632">
        <w:t>UE-08</w:t>
      </w:r>
      <w:r>
        <w:t>0220, Order 05 (Oct. 8, 2008) (approving a settlement allowing amortization of a portion of the Company’s 2005 hydro deferral).</w:t>
      </w:r>
    </w:p>
  </w:footnote>
  <w:footnote w:id="407">
    <w:p w14:paraId="4ECD0975" w14:textId="3A3DA019" w:rsidR="00EA3F7E" w:rsidRDefault="00EA3F7E">
      <w:pPr>
        <w:pStyle w:val="FootnoteText"/>
      </w:pPr>
      <w:r>
        <w:rPr>
          <w:rStyle w:val="FootnoteReference"/>
        </w:rPr>
        <w:footnoteRef/>
      </w:r>
      <w:r>
        <w:t xml:space="preserve"> The Settlement Stipulation, attached to, and made part of, Order 05 provides in Section L.6. that the agreement is entered into “to avoid further expense, inconvenience, uncertainty and delay.”  This provision continues with the statement that:</w:t>
      </w:r>
    </w:p>
    <w:p w14:paraId="0CBC98C6" w14:textId="66C659A1" w:rsidR="00EA3F7E" w:rsidRDefault="00EA3F7E" w:rsidP="00CB04DC">
      <w:pPr>
        <w:pStyle w:val="FootnoteText"/>
        <w:ind w:left="720" w:right="720"/>
      </w:pPr>
      <w:r>
        <w:t xml:space="preserve">By executing this Stipulation, no Party shall be deemed to have approved, admitted or consented to the facts, principles, methods or theories employed in arriving at the terms of this Stipulation, </w:t>
      </w:r>
      <w:r w:rsidRPr="00CB04DC">
        <w:rPr>
          <w:i/>
        </w:rPr>
        <w:t>nor shall any Party be deemed to have agreed that any provision of this Stipulation is appropriate for resolving issues in any other proceeding</w:t>
      </w:r>
      <w:r>
        <w:t>.”</w:t>
      </w:r>
    </w:p>
    <w:p w14:paraId="62696129" w14:textId="35D1EA04" w:rsidR="00EA3F7E" w:rsidRDefault="00EA3F7E" w:rsidP="00CB04DC">
      <w:pPr>
        <w:pStyle w:val="FootnoteText"/>
        <w:ind w:right="720"/>
      </w:pPr>
      <w:r w:rsidRPr="00CB04DC">
        <w:rPr>
          <w:i/>
          <w:iCs/>
        </w:rPr>
        <w:t>Wash. Utils. &amp; Transp. Comm’n v. Pacific Power &amp; Light Co.</w:t>
      </w:r>
      <w:r w:rsidRPr="00CB04DC">
        <w:t>, Docket UE-080220, Order 05</w:t>
      </w:r>
      <w:r>
        <w:t>, Attachment ¶ 33</w:t>
      </w:r>
      <w:r w:rsidRPr="00CB04DC">
        <w:t xml:space="preserve"> (Oct. 8, 2008)</w:t>
      </w:r>
      <w:r>
        <w:t xml:space="preserve"> (</w:t>
      </w:r>
      <w:r w:rsidRPr="00CB04DC">
        <w:rPr>
          <w:i/>
        </w:rPr>
        <w:t>emphasis added</w:t>
      </w:r>
      <w:r>
        <w:t>).</w:t>
      </w:r>
    </w:p>
  </w:footnote>
  <w:footnote w:id="408">
    <w:p w14:paraId="6A92A021" w14:textId="77777777" w:rsidR="00EA3F7E" w:rsidRDefault="00EA3F7E" w:rsidP="00730303">
      <w:pPr>
        <w:pStyle w:val="FootnoteText"/>
      </w:pPr>
      <w:r>
        <w:rPr>
          <w:rStyle w:val="FootnoteReference"/>
        </w:rPr>
        <w:footnoteRef/>
      </w:r>
      <w:r>
        <w:t xml:space="preserve"> Gomez, Exh. No. DCG-1CT at 17:6-7 and 10-12.</w:t>
      </w:r>
    </w:p>
  </w:footnote>
  <w:footnote w:id="409">
    <w:p w14:paraId="7CDDA965" w14:textId="3F24F0F4" w:rsidR="00EA3F7E" w:rsidRDefault="00EA3F7E" w:rsidP="00730303">
      <w:pPr>
        <w:pStyle w:val="FootnoteText"/>
      </w:pPr>
      <w:r>
        <w:rPr>
          <w:rStyle w:val="FootnoteReference"/>
        </w:rPr>
        <w:footnoteRef/>
      </w:r>
      <w:r>
        <w:t xml:space="preserve"> Staff Initial Brief ¶ 85 (citing Gomez, Exh. No. DCG-1CT at 17:6-10).</w:t>
      </w:r>
    </w:p>
  </w:footnote>
  <w:footnote w:id="410">
    <w:p w14:paraId="5EB88DE3" w14:textId="1343845D" w:rsidR="00EA3F7E" w:rsidRDefault="00EA3F7E" w:rsidP="00730303">
      <w:pPr>
        <w:pStyle w:val="FootnoteText"/>
      </w:pPr>
      <w:r>
        <w:rPr>
          <w:rStyle w:val="FootnoteReference"/>
        </w:rPr>
        <w:footnoteRef/>
      </w:r>
      <w:r>
        <w:t xml:space="preserve"> </w:t>
      </w:r>
      <w:r w:rsidRPr="007F136B">
        <w:rPr>
          <w:i/>
        </w:rPr>
        <w:t>Id.</w:t>
      </w:r>
      <w:r>
        <w:t xml:space="preserve"> (citing </w:t>
      </w:r>
      <w:r w:rsidRPr="007F136B">
        <w:t>Gomez, Exh. No. DCG-1CT</w:t>
      </w:r>
      <w:r w:rsidRPr="007F136B">
        <w:rPr>
          <w:i/>
        </w:rPr>
        <w:t xml:space="preserve"> </w:t>
      </w:r>
      <w:r>
        <w:t xml:space="preserve">at 17, see Footnote 28). </w:t>
      </w:r>
    </w:p>
  </w:footnote>
  <w:footnote w:id="411">
    <w:p w14:paraId="69282397" w14:textId="3FDD4B00" w:rsidR="00EA3F7E" w:rsidRDefault="00EA3F7E" w:rsidP="00730303">
      <w:pPr>
        <w:pStyle w:val="FootnoteText"/>
      </w:pPr>
      <w:r>
        <w:rPr>
          <w:rStyle w:val="FootnoteReference"/>
        </w:rPr>
        <w:footnoteRef/>
      </w:r>
      <w:r>
        <w:t xml:space="preserve"> </w:t>
      </w:r>
      <w:r w:rsidRPr="007F136B">
        <w:t>Gomez, Exh. No. DCG-1CT</w:t>
      </w:r>
      <w:r w:rsidRPr="007F136B">
        <w:rPr>
          <w:i/>
        </w:rPr>
        <w:t xml:space="preserve"> </w:t>
      </w:r>
      <w:r>
        <w:t>at 17:10-11.</w:t>
      </w:r>
    </w:p>
  </w:footnote>
  <w:footnote w:id="412">
    <w:p w14:paraId="080BA54F" w14:textId="55A1B199" w:rsidR="00EA3F7E" w:rsidRDefault="00EA3F7E">
      <w:pPr>
        <w:pStyle w:val="FootnoteText"/>
      </w:pPr>
      <w:r>
        <w:rPr>
          <w:rStyle w:val="FootnoteReference"/>
        </w:rPr>
        <w:footnoteRef/>
      </w:r>
      <w:r>
        <w:t xml:space="preserve"> Staff Initial Brief ¶ 85.</w:t>
      </w:r>
    </w:p>
  </w:footnote>
  <w:footnote w:id="413">
    <w:p w14:paraId="6B91CE7F" w14:textId="6D5A8556" w:rsidR="00EA3F7E" w:rsidRDefault="00EA3F7E">
      <w:pPr>
        <w:pStyle w:val="FootnoteText"/>
      </w:pPr>
      <w:r>
        <w:rPr>
          <w:rStyle w:val="FootnoteReference"/>
        </w:rPr>
        <w:footnoteRef/>
      </w:r>
      <w:r>
        <w:t xml:space="preserve"> Mullins, Exh. No. BGM-1CT at 67:5-12.</w:t>
      </w:r>
    </w:p>
  </w:footnote>
  <w:footnote w:id="414">
    <w:p w14:paraId="38FFEDAF" w14:textId="7F9E2396" w:rsidR="00EA3F7E" w:rsidRDefault="00EA3F7E">
      <w:pPr>
        <w:pStyle w:val="FootnoteText"/>
      </w:pPr>
      <w:r>
        <w:rPr>
          <w:rStyle w:val="FootnoteReference"/>
        </w:rPr>
        <w:footnoteRef/>
      </w:r>
      <w:r>
        <w:t xml:space="preserve"> </w:t>
      </w:r>
      <w:r w:rsidRPr="004C34BF">
        <w:rPr>
          <w:i/>
        </w:rPr>
        <w:t>Id.</w:t>
      </w:r>
      <w:r>
        <w:t xml:space="preserve"> at 67:16.</w:t>
      </w:r>
    </w:p>
  </w:footnote>
  <w:footnote w:id="415">
    <w:p w14:paraId="0F4389A0" w14:textId="6F65D2BB" w:rsidR="00EA3F7E" w:rsidRDefault="00EA3F7E">
      <w:pPr>
        <w:pStyle w:val="FootnoteText"/>
      </w:pPr>
      <w:r>
        <w:rPr>
          <w:rStyle w:val="FootnoteReference"/>
        </w:rPr>
        <w:footnoteRef/>
      </w:r>
      <w:r>
        <w:t xml:space="preserve"> </w:t>
      </w:r>
      <w:r w:rsidRPr="004C34BF">
        <w:rPr>
          <w:i/>
        </w:rPr>
        <w:t>Id.</w:t>
      </w:r>
      <w:r>
        <w:t xml:space="preserve"> at 67:17-22.</w:t>
      </w:r>
    </w:p>
  </w:footnote>
  <w:footnote w:id="416">
    <w:p w14:paraId="2D265EE8" w14:textId="6E209F1E" w:rsidR="00EA3F7E" w:rsidRDefault="00EA3F7E">
      <w:pPr>
        <w:pStyle w:val="FootnoteText"/>
      </w:pPr>
      <w:r>
        <w:rPr>
          <w:rStyle w:val="FootnoteReference"/>
        </w:rPr>
        <w:footnoteRef/>
      </w:r>
      <w:r>
        <w:t xml:space="preserve"> </w:t>
      </w:r>
      <w:r w:rsidRPr="004C34BF">
        <w:rPr>
          <w:i/>
        </w:rPr>
        <w:t>Id.</w:t>
      </w:r>
      <w:r w:rsidRPr="004C34BF">
        <w:t xml:space="preserve"> at</w:t>
      </w:r>
      <w:r>
        <w:t xml:space="preserve"> 67:22-24.</w:t>
      </w:r>
    </w:p>
  </w:footnote>
  <w:footnote w:id="417">
    <w:p w14:paraId="2BFC72CA" w14:textId="552717AD" w:rsidR="00EA3F7E" w:rsidRDefault="00EA3F7E">
      <w:pPr>
        <w:pStyle w:val="FootnoteText"/>
      </w:pPr>
      <w:r>
        <w:rPr>
          <w:rStyle w:val="FootnoteReference"/>
        </w:rPr>
        <w:footnoteRef/>
      </w:r>
      <w:r>
        <w:t xml:space="preserve"> Staff Initial Brief ¶ 89 (citing</w:t>
      </w:r>
      <w:r w:rsidRPr="00D645B3">
        <w:rPr>
          <w:color w:val="000000"/>
          <w:sz w:val="24"/>
        </w:rPr>
        <w:t xml:space="preserve"> </w:t>
      </w:r>
      <w:r w:rsidRPr="00D645B3">
        <w:t>Gomez, Exh. No. DC</w:t>
      </w:r>
      <w:r>
        <w:t>G-1CT at 17:17-20 and at 18:1-3).</w:t>
      </w:r>
    </w:p>
  </w:footnote>
  <w:footnote w:id="418">
    <w:p w14:paraId="75B056A7" w14:textId="5725FA5A" w:rsidR="00EA3F7E" w:rsidRDefault="00EA3F7E" w:rsidP="00BC2D5F">
      <w:pPr>
        <w:pStyle w:val="FootnoteText"/>
      </w:pPr>
      <w:r>
        <w:rPr>
          <w:rStyle w:val="FootnoteReference"/>
        </w:rPr>
        <w:footnoteRef/>
      </w:r>
      <w:r>
        <w:t xml:space="preserve"> </w:t>
      </w:r>
      <w:r w:rsidRPr="00BC2D5F">
        <w:t>Docket UE-130043, Order 05 ¶172.</w:t>
      </w:r>
      <w:r>
        <w:t xml:space="preserve"> </w:t>
      </w:r>
    </w:p>
  </w:footnote>
  <w:footnote w:id="419">
    <w:p w14:paraId="3407AC7F" w14:textId="7B68C2BD" w:rsidR="00EA3F7E" w:rsidRDefault="00EA3F7E">
      <w:pPr>
        <w:pStyle w:val="FootnoteText"/>
      </w:pPr>
      <w:r>
        <w:rPr>
          <w:rStyle w:val="FootnoteReference"/>
        </w:rPr>
        <w:footnoteRef/>
      </w:r>
      <w:r>
        <w:t xml:space="preserve"> Siores, Exh. No. NCS-14 at 3.</w:t>
      </w:r>
    </w:p>
  </w:footnote>
  <w:footnote w:id="420">
    <w:p w14:paraId="39672977" w14:textId="637B4CFD" w:rsidR="00EA3F7E" w:rsidRDefault="00EA3F7E">
      <w:pPr>
        <w:pStyle w:val="FootnoteText"/>
      </w:pPr>
      <w:r>
        <w:rPr>
          <w:rStyle w:val="FootnoteReference"/>
        </w:rPr>
        <w:footnoteRef/>
      </w:r>
      <w:r>
        <w:t xml:space="preserve"> Erdahl, Exh. No. BAE-1T at 11:3-8.</w:t>
      </w:r>
    </w:p>
  </w:footnote>
  <w:footnote w:id="421">
    <w:p w14:paraId="69D6F960" w14:textId="77777777" w:rsidR="00EA3F7E" w:rsidRDefault="00EA3F7E" w:rsidP="008B3318">
      <w:pPr>
        <w:pStyle w:val="FootnoteText"/>
      </w:pPr>
      <w:r>
        <w:rPr>
          <w:rStyle w:val="FootnoteReference"/>
        </w:rPr>
        <w:footnoteRef/>
      </w:r>
      <w:r>
        <w:t xml:space="preserve"> Siores, Exh. No. NCS-10T at 22:3-7.</w:t>
      </w:r>
    </w:p>
  </w:footnote>
  <w:footnote w:id="422">
    <w:p w14:paraId="01192912" w14:textId="77777777" w:rsidR="001A7DD7" w:rsidRPr="009B5D99" w:rsidRDefault="001A7DD7" w:rsidP="001A7DD7">
      <w:pPr>
        <w:pStyle w:val="FootnoteText"/>
        <w:rPr>
          <w:szCs w:val="22"/>
        </w:rPr>
      </w:pPr>
      <w:r>
        <w:rPr>
          <w:rStyle w:val="FootnoteReference"/>
        </w:rPr>
        <w:footnoteRef/>
      </w:r>
      <w:r>
        <w:t xml:space="preserve"> </w:t>
      </w:r>
      <w:r w:rsidRPr="00AA7CC2">
        <w:rPr>
          <w:i/>
          <w:szCs w:val="22"/>
        </w:rPr>
        <w:t>Study of the Potential for Distributed Energy in Washington State,</w:t>
      </w:r>
      <w:r w:rsidRPr="00AA7CC2">
        <w:rPr>
          <w:szCs w:val="22"/>
        </w:rPr>
        <w:t xml:space="preserve"> Docket </w:t>
      </w:r>
      <w:r w:rsidRPr="00AA7CC2">
        <w:rPr>
          <w:color w:val="000000"/>
          <w:szCs w:val="22"/>
        </w:rPr>
        <w:t>UE-110667</w:t>
      </w:r>
      <w:r w:rsidRPr="00AA7CC2">
        <w:rPr>
          <w:szCs w:val="22"/>
        </w:rPr>
        <w:t xml:space="preserve">, Report on the Potential for Cost-Effective Distributed Generation </w:t>
      </w:r>
      <w:r w:rsidRPr="00AA7CC2">
        <w:rPr>
          <w:color w:val="000000"/>
          <w:szCs w:val="22"/>
        </w:rPr>
        <w:t>in Areas Ser</w:t>
      </w:r>
      <w:r w:rsidRPr="00AA7CC2">
        <w:rPr>
          <w:szCs w:val="22"/>
        </w:rPr>
        <w:t xml:space="preserve">ved by Investor-Owned Utilities </w:t>
      </w:r>
      <w:r w:rsidRPr="00AA7CC2">
        <w:rPr>
          <w:color w:val="000000"/>
          <w:szCs w:val="22"/>
        </w:rPr>
        <w:t>in Washington State</w:t>
      </w:r>
      <w:r w:rsidRPr="00AA7CC2">
        <w:rPr>
          <w:szCs w:val="22"/>
        </w:rPr>
        <w:t xml:space="preserve"> </w:t>
      </w:r>
      <w:r w:rsidRPr="00AA7CC2">
        <w:rPr>
          <w:color w:val="000000"/>
          <w:szCs w:val="22"/>
        </w:rPr>
        <w:t>(October 7, 2011)</w:t>
      </w:r>
      <w:r>
        <w:rPr>
          <w:szCs w:val="22"/>
        </w:rPr>
        <w:t xml:space="preserve">; </w:t>
      </w:r>
      <w:r w:rsidRPr="00CC5097">
        <w:rPr>
          <w:i/>
          <w:szCs w:val="22"/>
        </w:rPr>
        <w:t>In the Matter of Amending and Repealing Rules in WAC 480-108 Relating to Electric Companies-Interconnection With Electric Generators</w:t>
      </w:r>
      <w:r>
        <w:rPr>
          <w:szCs w:val="22"/>
        </w:rPr>
        <w:t xml:space="preserve">, </w:t>
      </w:r>
      <w:r w:rsidRPr="00BA58DA">
        <w:rPr>
          <w:szCs w:val="22"/>
        </w:rPr>
        <w:t>D</w:t>
      </w:r>
      <w:r>
        <w:rPr>
          <w:szCs w:val="22"/>
        </w:rPr>
        <w:t xml:space="preserve">ocket </w:t>
      </w:r>
      <w:r w:rsidRPr="00BA58DA">
        <w:rPr>
          <w:szCs w:val="22"/>
        </w:rPr>
        <w:t>UE-112133</w:t>
      </w:r>
      <w:r>
        <w:rPr>
          <w:szCs w:val="22"/>
        </w:rPr>
        <w:t xml:space="preserve">, </w:t>
      </w:r>
      <w:r w:rsidRPr="00CC5097">
        <w:rPr>
          <w:szCs w:val="22"/>
        </w:rPr>
        <w:t>Interpretive Statement Concerning Commission Jurisdiction and Regulation of Third-Party Owners of Net Metering Facilities</w:t>
      </w:r>
      <w:r>
        <w:rPr>
          <w:szCs w:val="22"/>
        </w:rPr>
        <w:t xml:space="preserve"> (July 30, 2014).</w:t>
      </w:r>
    </w:p>
  </w:footnote>
  <w:footnote w:id="423">
    <w:p w14:paraId="3D495116" w14:textId="77777777" w:rsidR="001A7DD7" w:rsidRDefault="001A7DD7" w:rsidP="001A7DD7">
      <w:pPr>
        <w:pStyle w:val="FootnoteText"/>
      </w:pPr>
      <w:r>
        <w:rPr>
          <w:rStyle w:val="FootnoteReference"/>
        </w:rPr>
        <w:footnoteRef/>
      </w:r>
      <w:r>
        <w:t xml:space="preserve"> </w:t>
      </w:r>
      <w:r w:rsidRPr="00AF2837">
        <w:rPr>
          <w:i/>
        </w:rPr>
        <w:t>In re WUTC Investigation into Energy Conservation Incentives,</w:t>
      </w:r>
      <w:r w:rsidRPr="00AF2837">
        <w:t xml:space="preserve"> Docket U-100522, </w:t>
      </w:r>
      <w:r>
        <w:t>Comments of Pacific Power (July 14, 2010)</w:t>
      </w:r>
      <w:r w:rsidRPr="00AF2837">
        <w:t>.</w:t>
      </w:r>
    </w:p>
  </w:footnote>
  <w:footnote w:id="424">
    <w:p w14:paraId="40B87FA7" w14:textId="77777777" w:rsidR="001A7DD7" w:rsidRDefault="001A7DD7" w:rsidP="001A7DD7">
      <w:pPr>
        <w:pStyle w:val="FootnoteText"/>
      </w:pPr>
      <w:r>
        <w:rPr>
          <w:rStyle w:val="FootnoteReference"/>
        </w:rPr>
        <w:footnoteRef/>
      </w:r>
      <w:r>
        <w:t xml:space="preserve"> Steward, Exh. No. JRS-1T, at 19:1-14, and JRS-</w:t>
      </w:r>
      <w:proofErr w:type="spellStart"/>
      <w:r>
        <w:t>13T</w:t>
      </w:r>
      <w:proofErr w:type="spellEnd"/>
      <w:r>
        <w:t>, at 22, 15-23, and 23, 1-6.  She asserts that its estimate of the costs for what the Company defines as “local distribution and retail service costs” to be $28 per month, of which the Company argues about one-half, or $14, should be included in the basic charge.</w:t>
      </w:r>
    </w:p>
  </w:footnote>
  <w:footnote w:id="425">
    <w:p w14:paraId="71763285" w14:textId="77777777" w:rsidR="00EA3F7E" w:rsidRDefault="00EA3F7E" w:rsidP="00323CCC">
      <w:pPr>
        <w:pStyle w:val="FootnoteText"/>
      </w:pPr>
      <w:r>
        <w:rPr>
          <w:rStyle w:val="FootnoteReference"/>
        </w:rPr>
        <w:footnoteRef/>
      </w:r>
      <w:r>
        <w:t xml:space="preserve"> Sum of </w:t>
      </w:r>
      <w:r w:rsidRPr="00A22C9A">
        <w:t>Appendix A (</w:t>
      </w:r>
      <w:r w:rsidRPr="00A22C9A">
        <w:rPr>
          <w:bCs/>
        </w:rPr>
        <w:t>Sub-total</w:t>
      </w:r>
      <w:r w:rsidRPr="00A22C9A">
        <w:rPr>
          <w:b/>
          <w:bCs/>
        </w:rPr>
        <w:t xml:space="preserve"> </w:t>
      </w:r>
      <w:r w:rsidRPr="00A22C9A">
        <w:t>Contested Adjustments)</w:t>
      </w:r>
      <w:r>
        <w:t xml:space="preserve"> and Appendix B (</w:t>
      </w:r>
      <w:r w:rsidRPr="00A120A4">
        <w:rPr>
          <w:bCs/>
        </w:rPr>
        <w:t>Sub-total Uncontested Adjustments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A6B32" w14:textId="07BF103E" w:rsidR="00EA3F7E" w:rsidRPr="004A53E4" w:rsidRDefault="00EA3F7E" w:rsidP="00AD096A">
    <w:pPr>
      <w:pStyle w:val="Header"/>
      <w:tabs>
        <w:tab w:val="clear" w:pos="4320"/>
        <w:tab w:val="clear" w:pos="8640"/>
        <w:tab w:val="left" w:pos="0"/>
        <w:tab w:val="right" w:pos="8460"/>
      </w:tabs>
      <w:rPr>
        <w:rStyle w:val="PageNumber"/>
        <w:b/>
        <w:sz w:val="20"/>
        <w:szCs w:val="20"/>
      </w:rPr>
    </w:pPr>
    <w:r w:rsidRPr="004A53E4">
      <w:rPr>
        <w:rStyle w:val="PageNumber"/>
        <w:b/>
        <w:sz w:val="20"/>
        <w:szCs w:val="20"/>
      </w:rPr>
      <w:t>DOCKET</w:t>
    </w:r>
    <w:r w:rsidR="00CF389D">
      <w:rPr>
        <w:rStyle w:val="PageNumber"/>
        <w:b/>
        <w:sz w:val="20"/>
        <w:szCs w:val="20"/>
      </w:rPr>
      <w:t>S</w:t>
    </w:r>
    <w:r w:rsidRPr="004A53E4">
      <w:rPr>
        <w:rStyle w:val="PageNumber"/>
        <w:b/>
        <w:sz w:val="20"/>
        <w:szCs w:val="20"/>
      </w:rPr>
      <w:t xml:space="preserve"> UE-</w:t>
    </w:r>
    <w:r>
      <w:rPr>
        <w:rStyle w:val="PageNumber"/>
        <w:b/>
        <w:sz w:val="20"/>
        <w:szCs w:val="20"/>
      </w:rPr>
      <w:t xml:space="preserve">140762 et al. </w:t>
    </w:r>
    <w:r w:rsidRPr="00892CAA">
      <w:rPr>
        <w:rStyle w:val="PageNumber"/>
        <w:b/>
        <w:i/>
        <w:sz w:val="20"/>
        <w:szCs w:val="20"/>
      </w:rPr>
      <w:t>(Consolidated)</w:t>
    </w:r>
    <w:r w:rsidRPr="004A53E4">
      <w:rPr>
        <w:rStyle w:val="PageNumber"/>
        <w:b/>
        <w:sz w:val="20"/>
        <w:szCs w:val="20"/>
      </w:rPr>
      <w:tab/>
      <w:t xml:space="preserve">PAGE </w:t>
    </w:r>
    <w:r w:rsidRPr="004A53E4">
      <w:rPr>
        <w:rStyle w:val="PageNumber"/>
        <w:b/>
        <w:sz w:val="20"/>
        <w:szCs w:val="20"/>
      </w:rPr>
      <w:fldChar w:fldCharType="begin"/>
    </w:r>
    <w:r w:rsidRPr="004A53E4">
      <w:rPr>
        <w:rStyle w:val="PageNumber"/>
        <w:b/>
        <w:sz w:val="20"/>
        <w:szCs w:val="20"/>
      </w:rPr>
      <w:instrText xml:space="preserve"> PAGE </w:instrText>
    </w:r>
    <w:r w:rsidRPr="004A53E4">
      <w:rPr>
        <w:rStyle w:val="PageNumber"/>
        <w:b/>
        <w:sz w:val="20"/>
        <w:szCs w:val="20"/>
      </w:rPr>
      <w:fldChar w:fldCharType="separate"/>
    </w:r>
    <w:r w:rsidR="000C34D0">
      <w:rPr>
        <w:rStyle w:val="PageNumber"/>
        <w:b/>
        <w:noProof/>
        <w:sz w:val="20"/>
        <w:szCs w:val="20"/>
      </w:rPr>
      <w:t>15</w:t>
    </w:r>
    <w:r w:rsidRPr="004A53E4">
      <w:rPr>
        <w:rStyle w:val="PageNumber"/>
        <w:b/>
        <w:sz w:val="20"/>
        <w:szCs w:val="20"/>
      </w:rPr>
      <w:fldChar w:fldCharType="end"/>
    </w:r>
  </w:p>
  <w:p w14:paraId="527F283E" w14:textId="7944DE7B" w:rsidR="00EA3F7E" w:rsidRDefault="00EA3F7E">
    <w:pPr>
      <w:rPr>
        <w:b/>
        <w:sz w:val="20"/>
        <w:szCs w:val="20"/>
      </w:rPr>
    </w:pPr>
    <w:r w:rsidRPr="004A53E4">
      <w:rPr>
        <w:b/>
        <w:sz w:val="20"/>
        <w:szCs w:val="20"/>
      </w:rPr>
      <w:t xml:space="preserve">ORDER </w:t>
    </w:r>
    <w:r>
      <w:rPr>
        <w:b/>
        <w:sz w:val="20"/>
        <w:szCs w:val="20"/>
      </w:rPr>
      <w:t>08</w:t>
    </w:r>
  </w:p>
  <w:p w14:paraId="7337C383" w14:textId="77777777" w:rsidR="00EA3F7E" w:rsidRPr="004A53E4" w:rsidRDefault="00EA3F7E">
    <w:pP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C5B2E" w14:textId="194CE8ED" w:rsidR="00EA3F7E" w:rsidRPr="00B6537E" w:rsidRDefault="00EA3F7E" w:rsidP="00ED7CF8">
    <w:pPr>
      <w:pStyle w:val="Header"/>
      <w:tabs>
        <w:tab w:val="clear" w:pos="4320"/>
        <w:tab w:val="clear" w:pos="8640"/>
        <w:tab w:val="right" w:pos="8460"/>
      </w:tabs>
      <w:rPr>
        <w:b/>
        <w:sz w:val="20"/>
        <w:szCs w:val="20"/>
      </w:rPr>
    </w:pPr>
    <w:r>
      <w:rPr>
        <w:b/>
        <w:sz w:val="20"/>
        <w:szCs w:val="20"/>
      </w:rPr>
      <w:tab/>
    </w:r>
    <w:r w:rsidR="00081A4A">
      <w:rPr>
        <w:b/>
        <w:sz w:val="20"/>
        <w:szCs w:val="20"/>
      </w:rPr>
      <w:t>[Service Date March 25,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0000002"/>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472488F"/>
    <w:multiLevelType w:val="hybridMultilevel"/>
    <w:tmpl w:val="A4DCF4CE"/>
    <w:lvl w:ilvl="0" w:tplc="934A2B92">
      <w:start w:val="1"/>
      <w:numFmt w:val="lowerLetter"/>
      <w:pStyle w:val="Heading8"/>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DD32F8"/>
    <w:multiLevelType w:val="multilevel"/>
    <w:tmpl w:val="EC52CB24"/>
    <w:lvl w:ilvl="0">
      <w:start w:val="1"/>
      <w:numFmt w:val="decimal"/>
      <w:lvlText w:val="%1."/>
      <w:lvlJc w:val="left"/>
      <w:pPr>
        <w:ind w:left="2700" w:hanging="360"/>
      </w:pPr>
      <w:rPr>
        <w:rFonts w:hint="default"/>
      </w:rPr>
    </w:lvl>
    <w:lvl w:ilvl="1">
      <w:start w:val="1"/>
      <w:numFmt w:val="lowerLetter"/>
      <w:lvlText w:val="%2."/>
      <w:lvlJc w:val="left"/>
      <w:pPr>
        <w:ind w:left="3420" w:hanging="360"/>
      </w:pPr>
      <w:rPr>
        <w:rFonts w:hint="default"/>
      </w:rPr>
    </w:lvl>
    <w:lvl w:ilvl="2">
      <w:start w:val="1"/>
      <w:numFmt w:val="lowerRoman"/>
      <w:lvlText w:val="%3."/>
      <w:lvlJc w:val="right"/>
      <w:pPr>
        <w:ind w:left="4140" w:hanging="180"/>
      </w:pPr>
      <w:rPr>
        <w:rFonts w:hint="default"/>
      </w:rPr>
    </w:lvl>
    <w:lvl w:ilvl="3">
      <w:start w:val="1"/>
      <w:numFmt w:val="decimal"/>
      <w:lvlText w:val="%4."/>
      <w:lvlJc w:val="left"/>
      <w:pPr>
        <w:ind w:left="4860" w:hanging="360"/>
      </w:pPr>
      <w:rPr>
        <w:rFonts w:hint="default"/>
      </w:rPr>
    </w:lvl>
    <w:lvl w:ilvl="4">
      <w:start w:val="1"/>
      <w:numFmt w:val="lowerLetter"/>
      <w:lvlText w:val="%5."/>
      <w:lvlJc w:val="left"/>
      <w:pPr>
        <w:ind w:left="5580" w:hanging="360"/>
      </w:pPr>
      <w:rPr>
        <w:rFonts w:hint="default"/>
      </w:rPr>
    </w:lvl>
    <w:lvl w:ilvl="5">
      <w:start w:val="1"/>
      <w:numFmt w:val="lowerRoman"/>
      <w:lvlText w:val="%6."/>
      <w:lvlJc w:val="right"/>
      <w:pPr>
        <w:ind w:left="6300" w:hanging="180"/>
      </w:pPr>
      <w:rPr>
        <w:rFonts w:hint="default"/>
      </w:rPr>
    </w:lvl>
    <w:lvl w:ilvl="6">
      <w:start w:val="1"/>
      <w:numFmt w:val="decimal"/>
      <w:lvlText w:val="%7."/>
      <w:lvlJc w:val="left"/>
      <w:pPr>
        <w:ind w:left="7020" w:hanging="360"/>
      </w:pPr>
      <w:rPr>
        <w:rFonts w:hint="default"/>
      </w:rPr>
    </w:lvl>
    <w:lvl w:ilvl="7">
      <w:start w:val="1"/>
      <w:numFmt w:val="lowerLetter"/>
      <w:lvlText w:val="%8."/>
      <w:lvlJc w:val="left"/>
      <w:pPr>
        <w:ind w:left="7740" w:hanging="360"/>
      </w:pPr>
      <w:rPr>
        <w:rFonts w:hint="default"/>
      </w:rPr>
    </w:lvl>
    <w:lvl w:ilvl="8">
      <w:start w:val="1"/>
      <w:numFmt w:val="lowerRoman"/>
      <w:lvlText w:val="%9."/>
      <w:lvlJc w:val="right"/>
      <w:pPr>
        <w:ind w:left="8460" w:hanging="180"/>
      </w:pPr>
      <w:rPr>
        <w:rFonts w:hint="default"/>
      </w:rPr>
    </w:lvl>
  </w:abstractNum>
  <w:abstractNum w:abstractNumId="4">
    <w:nsid w:val="0C275A5D"/>
    <w:multiLevelType w:val="hybridMultilevel"/>
    <w:tmpl w:val="C6EE53AE"/>
    <w:lvl w:ilvl="0" w:tplc="8E34C99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B864C2"/>
    <w:multiLevelType w:val="hybridMultilevel"/>
    <w:tmpl w:val="D80282F6"/>
    <w:lvl w:ilvl="0" w:tplc="53ECEAD6">
      <w:start w:val="1"/>
      <w:numFmt w:val="lowerLetter"/>
      <w:pStyle w:val="Heading5"/>
      <w:lvlText w:val="%1)"/>
      <w:lvlJc w:val="left"/>
      <w:pPr>
        <w:ind w:left="720" w:hanging="360"/>
      </w:pPr>
      <w:rPr>
        <w:rFonts w:hint="default"/>
        <w:b/>
        <w:sz w:val="25"/>
        <w:szCs w:val="2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E0774D"/>
    <w:multiLevelType w:val="hybridMultilevel"/>
    <w:tmpl w:val="20CA3CD6"/>
    <w:lvl w:ilvl="0" w:tplc="299A422E">
      <w:start w:val="32"/>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3807AF"/>
    <w:multiLevelType w:val="hybridMultilevel"/>
    <w:tmpl w:val="923CA380"/>
    <w:lvl w:ilvl="0" w:tplc="4F12E548">
      <w:start w:val="1"/>
      <w:numFmt w:val="lowerRoman"/>
      <w:pStyle w:val="Heading7"/>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D55EC0"/>
    <w:multiLevelType w:val="hybridMultilevel"/>
    <w:tmpl w:val="4BCE9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7B3E8E"/>
    <w:multiLevelType w:val="hybridMultilevel"/>
    <w:tmpl w:val="F4CA9314"/>
    <w:lvl w:ilvl="0" w:tplc="8B301124">
      <w:start w:val="1"/>
      <w:numFmt w:val="lowerRoman"/>
      <w:pStyle w:val="Heading9"/>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68C1410"/>
    <w:multiLevelType w:val="hybridMultilevel"/>
    <w:tmpl w:val="BCB88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85044FE"/>
    <w:multiLevelType w:val="hybridMultilevel"/>
    <w:tmpl w:val="F0603242"/>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3">
    <w:nsid w:val="2D3A4233"/>
    <w:multiLevelType w:val="hybridMultilevel"/>
    <w:tmpl w:val="1B62CF66"/>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A5A66B1A">
      <w:start w:val="1"/>
      <w:numFmt w:val="upperLetter"/>
      <w:lvlText w:val="%2."/>
      <w:lvlJc w:val="left"/>
      <w:pPr>
        <w:tabs>
          <w:tab w:val="num" w:pos="1620"/>
        </w:tabs>
        <w:ind w:left="1620" w:hanging="360"/>
      </w:pPr>
      <w:rPr>
        <w:rFonts w:hint="default"/>
      </w:rPr>
    </w:lvl>
    <w:lvl w:ilvl="2" w:tplc="0409000F">
      <w:start w:val="1"/>
      <w:numFmt w:val="decimal"/>
      <w:lvlText w:val="%3."/>
      <w:lvlJc w:val="left"/>
      <w:pPr>
        <w:tabs>
          <w:tab w:val="num" w:pos="2340"/>
        </w:tabs>
        <w:ind w:left="2340" w:hanging="360"/>
      </w:pPr>
      <w:rPr>
        <w:rFonts w:hint="default"/>
      </w:rPr>
    </w:lvl>
    <w:lvl w:ilvl="3" w:tplc="3F9826F0">
      <w:start w:val="1"/>
      <w:numFmt w:val="lowerLetter"/>
      <w:lvlText w:val="%4."/>
      <w:lvlJc w:val="left"/>
      <w:pPr>
        <w:tabs>
          <w:tab w:val="num" w:pos="2880"/>
        </w:tabs>
        <w:ind w:left="2880" w:hanging="360"/>
      </w:pPr>
      <w:rPr>
        <w:rFonts w:hint="default"/>
      </w:rPr>
    </w:lvl>
    <w:lvl w:ilvl="4" w:tplc="6F86D32A">
      <w:start w:val="1"/>
      <w:numFmt w:val="lowerLetter"/>
      <w:lvlText w:val="%5."/>
      <w:lvlJc w:val="left"/>
      <w:pPr>
        <w:tabs>
          <w:tab w:val="num" w:pos="3600"/>
        </w:tabs>
        <w:ind w:left="3600" w:hanging="360"/>
      </w:pPr>
      <w:rPr>
        <w:rFonts w:hint="default"/>
      </w:rPr>
    </w:lvl>
    <w:lvl w:ilvl="5" w:tplc="1ECA6D5E">
      <w:start w:val="1"/>
      <w:numFmt w:val="lowerRoman"/>
      <w:lvlText w:val="(%6)"/>
      <w:lvlJc w:val="left"/>
      <w:pPr>
        <w:ind w:left="4860" w:hanging="720"/>
      </w:pPr>
      <w:rPr>
        <w:rFonts w:hint="default"/>
      </w:rPr>
    </w:lvl>
    <w:lvl w:ilvl="6" w:tplc="FEC6B172">
      <w:start w:val="1"/>
      <w:numFmt w:val="lowerRoman"/>
      <w:lvlText w:val="%7)"/>
      <w:lvlJc w:val="left"/>
      <w:pPr>
        <w:ind w:left="5400" w:hanging="720"/>
      </w:pPr>
      <w:rPr>
        <w:rFonts w:hint="default"/>
      </w:rPr>
    </w:lvl>
    <w:lvl w:ilvl="7" w:tplc="5C1032FC">
      <w:start w:val="1"/>
      <w:numFmt w:val="decimal"/>
      <w:lvlText w:val="(%8)"/>
      <w:lvlJc w:val="left"/>
      <w:pPr>
        <w:ind w:left="5820" w:hanging="420"/>
      </w:pPr>
      <w:rPr>
        <w:rFonts w:hint="default"/>
      </w:rPr>
    </w:lvl>
    <w:lvl w:ilvl="8" w:tplc="0409001B" w:tentative="1">
      <w:start w:val="1"/>
      <w:numFmt w:val="lowerRoman"/>
      <w:lvlText w:val="%9."/>
      <w:lvlJc w:val="right"/>
      <w:pPr>
        <w:tabs>
          <w:tab w:val="num" w:pos="6480"/>
        </w:tabs>
        <w:ind w:left="6480" w:hanging="180"/>
      </w:pPr>
    </w:lvl>
  </w:abstractNum>
  <w:abstractNum w:abstractNumId="14">
    <w:nsid w:val="367557D3"/>
    <w:multiLevelType w:val="hybridMultilevel"/>
    <w:tmpl w:val="F72AB648"/>
    <w:lvl w:ilvl="0" w:tplc="46221E30">
      <w:start w:val="10"/>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C32764"/>
    <w:multiLevelType w:val="hybridMultilevel"/>
    <w:tmpl w:val="BA20F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FE041F3"/>
    <w:multiLevelType w:val="hybridMultilevel"/>
    <w:tmpl w:val="7098E50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nsid w:val="4233647A"/>
    <w:multiLevelType w:val="hybridMultilevel"/>
    <w:tmpl w:val="E0329EB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nsid w:val="44F64257"/>
    <w:multiLevelType w:val="hybridMultilevel"/>
    <w:tmpl w:val="091611F6"/>
    <w:lvl w:ilvl="0" w:tplc="97340AD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7873E1A"/>
    <w:multiLevelType w:val="hybridMultilevel"/>
    <w:tmpl w:val="7BB07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D00CD1"/>
    <w:multiLevelType w:val="multilevel"/>
    <w:tmpl w:val="A3F8FE32"/>
    <w:lvl w:ilvl="0">
      <w:start w:val="1"/>
      <w:numFmt w:val="decimal"/>
      <w:pStyle w:val="PSENum"/>
      <w:lvlText w:val="%1)"/>
      <w:lvlJc w:val="left"/>
      <w:pPr>
        <w:tabs>
          <w:tab w:val="num" w:pos="810"/>
        </w:tabs>
        <w:ind w:left="1242" w:hanging="432"/>
      </w:pPr>
      <w:rPr>
        <w:rFonts w:hint="default"/>
      </w:rPr>
    </w:lvl>
    <w:lvl w:ilvl="1">
      <w:start w:val="1"/>
      <w:numFmt w:val="lowerLetter"/>
      <w:lvlText w:val="%2)"/>
      <w:lvlJc w:val="left"/>
      <w:pPr>
        <w:ind w:left="1584" w:hanging="432"/>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EEF744A"/>
    <w:multiLevelType w:val="hybridMultilevel"/>
    <w:tmpl w:val="F6687F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4F0115D2"/>
    <w:multiLevelType w:val="hybridMultilevel"/>
    <w:tmpl w:val="B3F65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675E1E"/>
    <w:multiLevelType w:val="hybridMultilevel"/>
    <w:tmpl w:val="FB6AC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0F47CB"/>
    <w:multiLevelType w:val="hybridMultilevel"/>
    <w:tmpl w:val="AEF22364"/>
    <w:lvl w:ilvl="0" w:tplc="0CE2754C">
      <w:start w:val="1"/>
      <w:numFmt w:val="upperLetter"/>
      <w:pStyle w:val="Heading3"/>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63029DE"/>
    <w:multiLevelType w:val="hybridMultilevel"/>
    <w:tmpl w:val="FFC26FA4"/>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E1548D"/>
    <w:multiLevelType w:val="hybridMultilevel"/>
    <w:tmpl w:val="F23699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nsid w:val="62A23556"/>
    <w:multiLevelType w:val="hybridMultilevel"/>
    <w:tmpl w:val="FA1E1BAA"/>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4A50BA"/>
    <w:multiLevelType w:val="hybridMultilevel"/>
    <w:tmpl w:val="4E12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C42705"/>
    <w:multiLevelType w:val="multilevel"/>
    <w:tmpl w:val="AF422406"/>
    <w:lvl w:ilvl="0">
      <w:start w:val="1"/>
      <w:numFmt w:val="decimal"/>
      <w:pStyle w:val="Int3ATMText"/>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nsid w:val="67FD0F6D"/>
    <w:multiLevelType w:val="multilevel"/>
    <w:tmpl w:val="30FEEC8E"/>
    <w:lvl w:ilvl="0">
      <w:start w:val="1"/>
      <w:numFmt w:val="decimal"/>
      <w:pStyle w:val="Tab5Data-EnDash"/>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1">
    <w:nsid w:val="68832729"/>
    <w:multiLevelType w:val="hybridMultilevel"/>
    <w:tmpl w:val="381E65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nsid w:val="68931D5B"/>
    <w:multiLevelType w:val="hybridMultilevel"/>
    <w:tmpl w:val="A24CDA98"/>
    <w:lvl w:ilvl="0" w:tplc="F5E014C2">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69360A0E"/>
    <w:multiLevelType w:val="hybridMultilevel"/>
    <w:tmpl w:val="FEB2B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AA32DC"/>
    <w:multiLevelType w:val="hybridMultilevel"/>
    <w:tmpl w:val="BEDC8A10"/>
    <w:lvl w:ilvl="0" w:tplc="B05076C0">
      <w:start w:val="9"/>
      <w:numFmt w:val="upperLetter"/>
      <w:lvlText w:val="%1."/>
      <w:lvlJc w:val="left"/>
      <w:pPr>
        <w:tabs>
          <w:tab w:val="num" w:pos="720"/>
        </w:tabs>
        <w:ind w:left="720" w:hanging="360"/>
      </w:pPr>
      <w:rPr>
        <w:rFonts w:hint="default"/>
      </w:rPr>
    </w:lvl>
    <w:lvl w:ilvl="1" w:tplc="2D742844">
      <w:start w:val="1"/>
      <w:numFmt w:val="upperLetter"/>
      <w:lvlText w:val="%2."/>
      <w:lvlJc w:val="left"/>
      <w:pPr>
        <w:tabs>
          <w:tab w:val="num" w:pos="450"/>
        </w:tabs>
        <w:ind w:left="450" w:hanging="360"/>
      </w:pPr>
      <w:rPr>
        <w:rFonts w:ascii="Times New Roman" w:eastAsia="Times New Roman" w:hAnsi="Times New Roman" w:cs="Times New Roman"/>
      </w:rPr>
    </w:lvl>
    <w:lvl w:ilvl="2" w:tplc="39640320">
      <w:start w:val="1"/>
      <w:numFmt w:val="decimal"/>
      <w:lvlText w:val="%3."/>
      <w:lvlJc w:val="right"/>
      <w:pPr>
        <w:tabs>
          <w:tab w:val="num" w:pos="180"/>
        </w:tabs>
        <w:ind w:left="18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0F">
      <w:start w:val="1"/>
      <w:numFmt w:val="decimal"/>
      <w:lvlText w:val="%6."/>
      <w:lvlJc w:val="left"/>
      <w:pPr>
        <w:tabs>
          <w:tab w:val="num" w:pos="4500"/>
        </w:tabs>
        <w:ind w:left="4500" w:hanging="360"/>
      </w:pPr>
      <w:rPr>
        <w:rFonts w:hint="default"/>
        <w:i w:val="0"/>
      </w:rPr>
    </w:lvl>
    <w:lvl w:ilvl="6" w:tplc="9A8A3250">
      <w:start w:val="2"/>
      <w:numFmt w:val="lowerLetter"/>
      <w:lvlText w:val="%7."/>
      <w:lvlJc w:val="left"/>
      <w:pPr>
        <w:ind w:left="5040" w:hanging="360"/>
      </w:pPr>
      <w:rPr>
        <w:rFonts w:hint="default"/>
      </w:rPr>
    </w:lvl>
    <w:lvl w:ilvl="7" w:tplc="59E6484E">
      <w:start w:val="7"/>
      <w:numFmt w:val="bullet"/>
      <w:lvlText w:val=""/>
      <w:lvlJc w:val="left"/>
      <w:pPr>
        <w:ind w:left="5760" w:hanging="360"/>
      </w:pPr>
      <w:rPr>
        <w:rFonts w:ascii="Symbol" w:eastAsia="Times New Roman" w:hAnsi="Symbol" w:cs="Times New Roman" w:hint="default"/>
      </w:rPr>
    </w:lvl>
    <w:lvl w:ilvl="8" w:tplc="36B29752">
      <w:start w:val="1"/>
      <w:numFmt w:val="decimal"/>
      <w:lvlText w:val="%9)"/>
      <w:lvlJc w:val="left"/>
      <w:pPr>
        <w:ind w:left="6660" w:hanging="360"/>
      </w:pPr>
      <w:rPr>
        <w:rFonts w:hint="default"/>
      </w:rPr>
    </w:lvl>
  </w:abstractNum>
  <w:abstractNum w:abstractNumId="35">
    <w:nsid w:val="7688171C"/>
    <w:multiLevelType w:val="multilevel"/>
    <w:tmpl w:val="0CAC5ECC"/>
    <w:lvl w:ilvl="0">
      <w:start w:val="1"/>
      <w:numFmt w:val="decimal"/>
      <w:pStyle w:val="Heading4"/>
      <w:lvlText w:val="%1."/>
      <w:lvlJc w:val="left"/>
      <w:pPr>
        <w:ind w:left="2700" w:hanging="360"/>
      </w:pPr>
      <w:rPr>
        <w:rFonts w:hint="default"/>
      </w:rPr>
    </w:lvl>
    <w:lvl w:ilvl="1">
      <w:start w:val="1"/>
      <w:numFmt w:val="lowerLetter"/>
      <w:lvlText w:val="%2."/>
      <w:lvlJc w:val="left"/>
      <w:pPr>
        <w:ind w:left="3420" w:hanging="360"/>
      </w:pPr>
      <w:rPr>
        <w:rFonts w:hint="default"/>
      </w:rPr>
    </w:lvl>
    <w:lvl w:ilvl="2">
      <w:start w:val="1"/>
      <w:numFmt w:val="lowerRoman"/>
      <w:lvlText w:val="%3."/>
      <w:lvlJc w:val="right"/>
      <w:pPr>
        <w:ind w:left="4140" w:hanging="180"/>
      </w:pPr>
      <w:rPr>
        <w:rFonts w:hint="default"/>
      </w:rPr>
    </w:lvl>
    <w:lvl w:ilvl="3">
      <w:start w:val="1"/>
      <w:numFmt w:val="decimal"/>
      <w:lvlText w:val="%4."/>
      <w:lvlJc w:val="left"/>
      <w:pPr>
        <w:ind w:left="4860" w:hanging="360"/>
      </w:pPr>
      <w:rPr>
        <w:rFonts w:hint="default"/>
      </w:rPr>
    </w:lvl>
    <w:lvl w:ilvl="4">
      <w:start w:val="1"/>
      <w:numFmt w:val="lowerLetter"/>
      <w:lvlText w:val="%5."/>
      <w:lvlJc w:val="left"/>
      <w:pPr>
        <w:ind w:left="5580" w:hanging="360"/>
      </w:pPr>
      <w:rPr>
        <w:rFonts w:hint="default"/>
      </w:rPr>
    </w:lvl>
    <w:lvl w:ilvl="5">
      <w:start w:val="1"/>
      <w:numFmt w:val="lowerRoman"/>
      <w:lvlText w:val="%6."/>
      <w:lvlJc w:val="right"/>
      <w:pPr>
        <w:ind w:left="6300" w:hanging="180"/>
      </w:pPr>
      <w:rPr>
        <w:rFonts w:hint="default"/>
      </w:rPr>
    </w:lvl>
    <w:lvl w:ilvl="6">
      <w:start w:val="1"/>
      <w:numFmt w:val="decimal"/>
      <w:lvlText w:val="%7."/>
      <w:lvlJc w:val="left"/>
      <w:pPr>
        <w:ind w:left="7020" w:hanging="360"/>
      </w:pPr>
      <w:rPr>
        <w:rFonts w:hint="default"/>
      </w:rPr>
    </w:lvl>
    <w:lvl w:ilvl="7">
      <w:start w:val="1"/>
      <w:numFmt w:val="lowerLetter"/>
      <w:lvlText w:val="%8."/>
      <w:lvlJc w:val="left"/>
      <w:pPr>
        <w:ind w:left="7740" w:hanging="360"/>
      </w:pPr>
      <w:rPr>
        <w:rFonts w:hint="default"/>
      </w:rPr>
    </w:lvl>
    <w:lvl w:ilvl="8">
      <w:start w:val="1"/>
      <w:numFmt w:val="lowerRoman"/>
      <w:lvlText w:val="%9."/>
      <w:lvlJc w:val="right"/>
      <w:pPr>
        <w:ind w:left="8460" w:hanging="180"/>
      </w:pPr>
      <w:rPr>
        <w:rFonts w:hint="default"/>
      </w:rPr>
    </w:lvl>
  </w:abstractNum>
  <w:abstractNum w:abstractNumId="36">
    <w:nsid w:val="7A9A2A82"/>
    <w:multiLevelType w:val="hybridMultilevel"/>
    <w:tmpl w:val="C270D33C"/>
    <w:lvl w:ilvl="0" w:tplc="97AE799E">
      <w:start w:val="1"/>
      <w:numFmt w:val="lowerRoman"/>
      <w:pStyle w:val="Heading6"/>
      <w:lvlText w:val="%1."/>
      <w:lvlJc w:val="right"/>
      <w:pPr>
        <w:ind w:left="900" w:hanging="360"/>
      </w:pPr>
      <w:rPr>
        <w:rFonts w:hint="default"/>
        <w:sz w:val="25"/>
        <w:szCs w:val="25"/>
      </w:rPr>
    </w:lvl>
    <w:lvl w:ilvl="1" w:tplc="04090019">
      <w:start w:val="1"/>
      <w:numFmt w:val="lowerLetter"/>
      <w:lvlText w:val="%2."/>
      <w:lvlJc w:val="left"/>
      <w:pPr>
        <w:ind w:left="1710" w:hanging="360"/>
      </w:pPr>
    </w:lvl>
    <w:lvl w:ilvl="2" w:tplc="0409001B">
      <w:start w:val="1"/>
      <w:numFmt w:val="lowerRoman"/>
      <w:lvlText w:val="%3."/>
      <w:lvlJc w:val="right"/>
      <w:pPr>
        <w:ind w:left="225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nsid w:val="7B001003"/>
    <w:multiLevelType w:val="singleLevel"/>
    <w:tmpl w:val="330CD6D4"/>
    <w:lvl w:ilvl="0">
      <w:start w:val="1"/>
      <w:numFmt w:val="decimal"/>
      <w:pStyle w:val="ParNumber"/>
      <w:lvlText w:val="%1."/>
      <w:lvlJc w:val="left"/>
      <w:pPr>
        <w:tabs>
          <w:tab w:val="num" w:pos="360"/>
        </w:tabs>
        <w:ind w:left="360" w:hanging="360"/>
      </w:pPr>
      <w:rPr>
        <w:rFonts w:ascii="Times New Roman" w:hAnsi="Times New Roman" w:cs="Times New Roman" w:hint="default"/>
        <w:b w:val="0"/>
      </w:rPr>
    </w:lvl>
  </w:abstractNum>
  <w:num w:numId="1">
    <w:abstractNumId w:val="13"/>
  </w:num>
  <w:num w:numId="2">
    <w:abstractNumId w:val="34"/>
  </w:num>
  <w:num w:numId="3">
    <w:abstractNumId w:val="37"/>
  </w:num>
  <w:num w:numId="4">
    <w:abstractNumId w:val="10"/>
  </w:num>
  <w:num w:numId="5">
    <w:abstractNumId w:val="32"/>
  </w:num>
  <w:num w:numId="6">
    <w:abstractNumId w:val="29"/>
  </w:num>
  <w:num w:numId="7">
    <w:abstractNumId w:val="5"/>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30"/>
  </w:num>
  <w:num w:numId="11">
    <w:abstractNumId w:val="0"/>
  </w:num>
  <w:num w:numId="12">
    <w:abstractNumId w:val="7"/>
  </w:num>
  <w:num w:numId="13">
    <w:abstractNumId w:val="2"/>
  </w:num>
  <w:num w:numId="14">
    <w:abstractNumId w:val="9"/>
  </w:num>
  <w:num w:numId="15">
    <w:abstractNumId w:val="16"/>
  </w:num>
  <w:num w:numId="16">
    <w:abstractNumId w:val="24"/>
  </w:num>
  <w:num w:numId="17">
    <w:abstractNumId w:val="35"/>
  </w:num>
  <w:num w:numId="18">
    <w:abstractNumId w:val="35"/>
    <w:lvlOverride w:ilvl="0">
      <w:startOverride w:val="1"/>
    </w:lvlOverride>
  </w:num>
  <w:num w:numId="19">
    <w:abstractNumId w:val="35"/>
    <w:lvlOverride w:ilvl="0">
      <w:startOverride w:val="1"/>
    </w:lvlOverride>
  </w:num>
  <w:num w:numId="20">
    <w:abstractNumId w:val="35"/>
    <w:lvlOverride w:ilvl="0">
      <w:startOverride w:val="1"/>
    </w:lvlOverride>
  </w:num>
  <w:num w:numId="21">
    <w:abstractNumId w:val="35"/>
    <w:lvlOverride w:ilvl="0">
      <w:startOverride w:val="1"/>
    </w:lvlOverride>
  </w:num>
  <w:num w:numId="22">
    <w:abstractNumId w:val="28"/>
  </w:num>
  <w:num w:numId="23">
    <w:abstractNumId w:val="31"/>
  </w:num>
  <w:num w:numId="24">
    <w:abstractNumId w:val="12"/>
  </w:num>
  <w:num w:numId="25">
    <w:abstractNumId w:val="23"/>
  </w:num>
  <w:num w:numId="26">
    <w:abstractNumId w:val="21"/>
  </w:num>
  <w:num w:numId="27">
    <w:abstractNumId w:val="14"/>
  </w:num>
  <w:num w:numId="28">
    <w:abstractNumId w:val="27"/>
  </w:num>
  <w:num w:numId="29">
    <w:abstractNumId w:val="17"/>
  </w:num>
  <w:num w:numId="30">
    <w:abstractNumId w:val="8"/>
  </w:num>
  <w:num w:numId="31">
    <w:abstractNumId w:val="26"/>
  </w:num>
  <w:num w:numId="32">
    <w:abstractNumId w:val="33"/>
  </w:num>
  <w:num w:numId="33">
    <w:abstractNumId w:val="4"/>
  </w:num>
  <w:num w:numId="34">
    <w:abstractNumId w:val="5"/>
    <w:lvlOverride w:ilvl="0">
      <w:startOverride w:val="1"/>
    </w:lvlOverride>
  </w:num>
  <w:num w:numId="35">
    <w:abstractNumId w:val="19"/>
  </w:num>
  <w:num w:numId="36">
    <w:abstractNumId w:val="25"/>
  </w:num>
  <w:num w:numId="37">
    <w:abstractNumId w:val="15"/>
  </w:num>
  <w:num w:numId="38">
    <w:abstractNumId w:val="11"/>
  </w:num>
  <w:num w:numId="39">
    <w:abstractNumId w:val="22"/>
  </w:num>
  <w:num w:numId="40">
    <w:abstractNumId w:val="6"/>
  </w:num>
  <w:num w:numId="41">
    <w:abstractNumId w:val="35"/>
  </w:num>
  <w:num w:numId="42">
    <w:abstractNumId w:val="35"/>
    <w:lvlOverride w:ilvl="0">
      <w:startOverride w:val="1"/>
    </w:lvlOverride>
  </w:num>
  <w:num w:numId="43">
    <w:abstractNumId w:val="3"/>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B60"/>
    <w:rsid w:val="0000055C"/>
    <w:rsid w:val="0000063B"/>
    <w:rsid w:val="00001461"/>
    <w:rsid w:val="0000149F"/>
    <w:rsid w:val="000016C1"/>
    <w:rsid w:val="00001717"/>
    <w:rsid w:val="000019A5"/>
    <w:rsid w:val="00001D79"/>
    <w:rsid w:val="00001ECE"/>
    <w:rsid w:val="00001F28"/>
    <w:rsid w:val="00002093"/>
    <w:rsid w:val="00002B74"/>
    <w:rsid w:val="00002E52"/>
    <w:rsid w:val="0000301B"/>
    <w:rsid w:val="00003AEF"/>
    <w:rsid w:val="00003C66"/>
    <w:rsid w:val="00003C68"/>
    <w:rsid w:val="0000458C"/>
    <w:rsid w:val="000049DC"/>
    <w:rsid w:val="00004E2E"/>
    <w:rsid w:val="00004EEA"/>
    <w:rsid w:val="000054FA"/>
    <w:rsid w:val="00005619"/>
    <w:rsid w:val="00005DAD"/>
    <w:rsid w:val="00005E34"/>
    <w:rsid w:val="00005FE0"/>
    <w:rsid w:val="00006413"/>
    <w:rsid w:val="000065F7"/>
    <w:rsid w:val="000066B3"/>
    <w:rsid w:val="00006D86"/>
    <w:rsid w:val="00007518"/>
    <w:rsid w:val="00007896"/>
    <w:rsid w:val="00011BF8"/>
    <w:rsid w:val="00012B13"/>
    <w:rsid w:val="00012F38"/>
    <w:rsid w:val="00013407"/>
    <w:rsid w:val="000136B0"/>
    <w:rsid w:val="00013A00"/>
    <w:rsid w:val="00013CD2"/>
    <w:rsid w:val="000141D8"/>
    <w:rsid w:val="000144C9"/>
    <w:rsid w:val="000144F3"/>
    <w:rsid w:val="000159DB"/>
    <w:rsid w:val="00016122"/>
    <w:rsid w:val="0001628B"/>
    <w:rsid w:val="00016377"/>
    <w:rsid w:val="00016895"/>
    <w:rsid w:val="00017DD7"/>
    <w:rsid w:val="000205B4"/>
    <w:rsid w:val="000207D7"/>
    <w:rsid w:val="00020A36"/>
    <w:rsid w:val="00020B52"/>
    <w:rsid w:val="00020B9E"/>
    <w:rsid w:val="00020E45"/>
    <w:rsid w:val="00021388"/>
    <w:rsid w:val="0002150A"/>
    <w:rsid w:val="00022409"/>
    <w:rsid w:val="00022884"/>
    <w:rsid w:val="00022895"/>
    <w:rsid w:val="0002400F"/>
    <w:rsid w:val="000240BB"/>
    <w:rsid w:val="0002430C"/>
    <w:rsid w:val="00024543"/>
    <w:rsid w:val="00024F13"/>
    <w:rsid w:val="000250A0"/>
    <w:rsid w:val="00025108"/>
    <w:rsid w:val="0002520E"/>
    <w:rsid w:val="000263BC"/>
    <w:rsid w:val="00026B82"/>
    <w:rsid w:val="00026FE2"/>
    <w:rsid w:val="00027512"/>
    <w:rsid w:val="00027A95"/>
    <w:rsid w:val="00027BA4"/>
    <w:rsid w:val="000301FB"/>
    <w:rsid w:val="000302A8"/>
    <w:rsid w:val="0003056D"/>
    <w:rsid w:val="000309D2"/>
    <w:rsid w:val="00030A5F"/>
    <w:rsid w:val="00031370"/>
    <w:rsid w:val="000318DA"/>
    <w:rsid w:val="00031FFB"/>
    <w:rsid w:val="00032009"/>
    <w:rsid w:val="0003231D"/>
    <w:rsid w:val="0003238F"/>
    <w:rsid w:val="00032D89"/>
    <w:rsid w:val="00033618"/>
    <w:rsid w:val="0003437A"/>
    <w:rsid w:val="00034710"/>
    <w:rsid w:val="000347E1"/>
    <w:rsid w:val="0003494A"/>
    <w:rsid w:val="00034AF0"/>
    <w:rsid w:val="000352E6"/>
    <w:rsid w:val="00035BD3"/>
    <w:rsid w:val="000371DC"/>
    <w:rsid w:val="00037778"/>
    <w:rsid w:val="00037B5E"/>
    <w:rsid w:val="000406B3"/>
    <w:rsid w:val="00040925"/>
    <w:rsid w:val="00040AD2"/>
    <w:rsid w:val="00040EAC"/>
    <w:rsid w:val="00041793"/>
    <w:rsid w:val="00041977"/>
    <w:rsid w:val="0004235A"/>
    <w:rsid w:val="000427FA"/>
    <w:rsid w:val="0004295E"/>
    <w:rsid w:val="00042F28"/>
    <w:rsid w:val="000431A0"/>
    <w:rsid w:val="00043801"/>
    <w:rsid w:val="00043CA6"/>
    <w:rsid w:val="00043D03"/>
    <w:rsid w:val="000441E3"/>
    <w:rsid w:val="000455AC"/>
    <w:rsid w:val="00045A31"/>
    <w:rsid w:val="0004628A"/>
    <w:rsid w:val="0004709E"/>
    <w:rsid w:val="000479CB"/>
    <w:rsid w:val="00047A74"/>
    <w:rsid w:val="00047ABB"/>
    <w:rsid w:val="000505B8"/>
    <w:rsid w:val="00050622"/>
    <w:rsid w:val="00050E3A"/>
    <w:rsid w:val="00050ED5"/>
    <w:rsid w:val="0005159D"/>
    <w:rsid w:val="00051B56"/>
    <w:rsid w:val="00051C9E"/>
    <w:rsid w:val="00051F82"/>
    <w:rsid w:val="000533A3"/>
    <w:rsid w:val="00053B83"/>
    <w:rsid w:val="00053C3F"/>
    <w:rsid w:val="00054142"/>
    <w:rsid w:val="000542E9"/>
    <w:rsid w:val="0005523A"/>
    <w:rsid w:val="000552A7"/>
    <w:rsid w:val="0005533A"/>
    <w:rsid w:val="00056483"/>
    <w:rsid w:val="000569C5"/>
    <w:rsid w:val="00056C7D"/>
    <w:rsid w:val="000576C4"/>
    <w:rsid w:val="000579A6"/>
    <w:rsid w:val="00057B86"/>
    <w:rsid w:val="00060DE0"/>
    <w:rsid w:val="0006157F"/>
    <w:rsid w:val="000615A1"/>
    <w:rsid w:val="00061E50"/>
    <w:rsid w:val="00062AD4"/>
    <w:rsid w:val="00062C06"/>
    <w:rsid w:val="00062F25"/>
    <w:rsid w:val="00063B88"/>
    <w:rsid w:val="00064151"/>
    <w:rsid w:val="00064619"/>
    <w:rsid w:val="00064639"/>
    <w:rsid w:val="00064744"/>
    <w:rsid w:val="000647A2"/>
    <w:rsid w:val="00064952"/>
    <w:rsid w:val="00064DFC"/>
    <w:rsid w:val="00064ECF"/>
    <w:rsid w:val="00064F03"/>
    <w:rsid w:val="00065BAA"/>
    <w:rsid w:val="00065EA1"/>
    <w:rsid w:val="00067105"/>
    <w:rsid w:val="000671C2"/>
    <w:rsid w:val="000702E3"/>
    <w:rsid w:val="000705E3"/>
    <w:rsid w:val="00070727"/>
    <w:rsid w:val="00070E69"/>
    <w:rsid w:val="0007111B"/>
    <w:rsid w:val="0007174A"/>
    <w:rsid w:val="00071DD5"/>
    <w:rsid w:val="0007226C"/>
    <w:rsid w:val="00073037"/>
    <w:rsid w:val="00073550"/>
    <w:rsid w:val="00073E49"/>
    <w:rsid w:val="00073E8B"/>
    <w:rsid w:val="0007410A"/>
    <w:rsid w:val="0007426A"/>
    <w:rsid w:val="00074C2D"/>
    <w:rsid w:val="00074C8D"/>
    <w:rsid w:val="00076C29"/>
    <w:rsid w:val="00077EC9"/>
    <w:rsid w:val="00081A4A"/>
    <w:rsid w:val="000820CE"/>
    <w:rsid w:val="000827AD"/>
    <w:rsid w:val="000829BF"/>
    <w:rsid w:val="00082E2F"/>
    <w:rsid w:val="0008521D"/>
    <w:rsid w:val="00086EDC"/>
    <w:rsid w:val="000871C9"/>
    <w:rsid w:val="00087620"/>
    <w:rsid w:val="00087860"/>
    <w:rsid w:val="00087D7B"/>
    <w:rsid w:val="00087F01"/>
    <w:rsid w:val="00087F4B"/>
    <w:rsid w:val="00090C0D"/>
    <w:rsid w:val="000913E6"/>
    <w:rsid w:val="00091D49"/>
    <w:rsid w:val="000925F4"/>
    <w:rsid w:val="00093918"/>
    <w:rsid w:val="00093A94"/>
    <w:rsid w:val="00093C20"/>
    <w:rsid w:val="0009498B"/>
    <w:rsid w:val="00094AD3"/>
    <w:rsid w:val="00094B97"/>
    <w:rsid w:val="00094CF0"/>
    <w:rsid w:val="00095690"/>
    <w:rsid w:val="0009665F"/>
    <w:rsid w:val="00096773"/>
    <w:rsid w:val="0009760A"/>
    <w:rsid w:val="000A0045"/>
    <w:rsid w:val="000A0894"/>
    <w:rsid w:val="000A0A26"/>
    <w:rsid w:val="000A0E5C"/>
    <w:rsid w:val="000A1068"/>
    <w:rsid w:val="000A30D7"/>
    <w:rsid w:val="000A4BD7"/>
    <w:rsid w:val="000A5108"/>
    <w:rsid w:val="000A515B"/>
    <w:rsid w:val="000A5567"/>
    <w:rsid w:val="000A6570"/>
    <w:rsid w:val="000A6632"/>
    <w:rsid w:val="000A6729"/>
    <w:rsid w:val="000A675C"/>
    <w:rsid w:val="000A6968"/>
    <w:rsid w:val="000A69D1"/>
    <w:rsid w:val="000A6DE3"/>
    <w:rsid w:val="000A7C04"/>
    <w:rsid w:val="000B036E"/>
    <w:rsid w:val="000B037B"/>
    <w:rsid w:val="000B0A50"/>
    <w:rsid w:val="000B10F9"/>
    <w:rsid w:val="000B120E"/>
    <w:rsid w:val="000B209F"/>
    <w:rsid w:val="000B2100"/>
    <w:rsid w:val="000B2144"/>
    <w:rsid w:val="000B2405"/>
    <w:rsid w:val="000B305A"/>
    <w:rsid w:val="000B3526"/>
    <w:rsid w:val="000B36D5"/>
    <w:rsid w:val="000B372A"/>
    <w:rsid w:val="000B38E3"/>
    <w:rsid w:val="000B5B97"/>
    <w:rsid w:val="000B5EAA"/>
    <w:rsid w:val="000B645E"/>
    <w:rsid w:val="000B7867"/>
    <w:rsid w:val="000B7A57"/>
    <w:rsid w:val="000C05D9"/>
    <w:rsid w:val="000C0601"/>
    <w:rsid w:val="000C07A5"/>
    <w:rsid w:val="000C0E45"/>
    <w:rsid w:val="000C146B"/>
    <w:rsid w:val="000C14B7"/>
    <w:rsid w:val="000C1A1C"/>
    <w:rsid w:val="000C1C7E"/>
    <w:rsid w:val="000C23A8"/>
    <w:rsid w:val="000C2813"/>
    <w:rsid w:val="000C33BA"/>
    <w:rsid w:val="000C34D0"/>
    <w:rsid w:val="000C4330"/>
    <w:rsid w:val="000C45D8"/>
    <w:rsid w:val="000C4F53"/>
    <w:rsid w:val="000C5B92"/>
    <w:rsid w:val="000C5D75"/>
    <w:rsid w:val="000C5F1A"/>
    <w:rsid w:val="000C697D"/>
    <w:rsid w:val="000C6C47"/>
    <w:rsid w:val="000C7261"/>
    <w:rsid w:val="000C7607"/>
    <w:rsid w:val="000C7885"/>
    <w:rsid w:val="000D0515"/>
    <w:rsid w:val="000D0A89"/>
    <w:rsid w:val="000D0C8E"/>
    <w:rsid w:val="000D0CE2"/>
    <w:rsid w:val="000D0F7B"/>
    <w:rsid w:val="000D1501"/>
    <w:rsid w:val="000D1538"/>
    <w:rsid w:val="000D17F5"/>
    <w:rsid w:val="000D2457"/>
    <w:rsid w:val="000D27FC"/>
    <w:rsid w:val="000D3047"/>
    <w:rsid w:val="000D3258"/>
    <w:rsid w:val="000D4785"/>
    <w:rsid w:val="000D487A"/>
    <w:rsid w:val="000D4D8B"/>
    <w:rsid w:val="000D5489"/>
    <w:rsid w:val="000D5636"/>
    <w:rsid w:val="000D5702"/>
    <w:rsid w:val="000D6221"/>
    <w:rsid w:val="000D6288"/>
    <w:rsid w:val="000D63B4"/>
    <w:rsid w:val="000D6418"/>
    <w:rsid w:val="000D7602"/>
    <w:rsid w:val="000D7ABC"/>
    <w:rsid w:val="000E0035"/>
    <w:rsid w:val="000E15AC"/>
    <w:rsid w:val="000E16F4"/>
    <w:rsid w:val="000E21F9"/>
    <w:rsid w:val="000E2634"/>
    <w:rsid w:val="000E2838"/>
    <w:rsid w:val="000E2CA2"/>
    <w:rsid w:val="000E2D91"/>
    <w:rsid w:val="000E3B63"/>
    <w:rsid w:val="000E3BED"/>
    <w:rsid w:val="000E3F57"/>
    <w:rsid w:val="000E4040"/>
    <w:rsid w:val="000E4D40"/>
    <w:rsid w:val="000E4E6C"/>
    <w:rsid w:val="000E4F15"/>
    <w:rsid w:val="000E54C7"/>
    <w:rsid w:val="000E6127"/>
    <w:rsid w:val="000E6F8C"/>
    <w:rsid w:val="000E70F9"/>
    <w:rsid w:val="000E7790"/>
    <w:rsid w:val="000E7B6C"/>
    <w:rsid w:val="000F0ADC"/>
    <w:rsid w:val="000F0CF6"/>
    <w:rsid w:val="000F17A3"/>
    <w:rsid w:val="000F207F"/>
    <w:rsid w:val="000F3D54"/>
    <w:rsid w:val="000F3E86"/>
    <w:rsid w:val="000F5093"/>
    <w:rsid w:val="000F5304"/>
    <w:rsid w:val="000F5764"/>
    <w:rsid w:val="000F585F"/>
    <w:rsid w:val="000F5B90"/>
    <w:rsid w:val="000F62B8"/>
    <w:rsid w:val="000F6D47"/>
    <w:rsid w:val="000F6E48"/>
    <w:rsid w:val="000F7991"/>
    <w:rsid w:val="000F79F1"/>
    <w:rsid w:val="000F7A93"/>
    <w:rsid w:val="000F7BCB"/>
    <w:rsid w:val="000F7E01"/>
    <w:rsid w:val="0010018A"/>
    <w:rsid w:val="00100C85"/>
    <w:rsid w:val="00100DDE"/>
    <w:rsid w:val="00100FAA"/>
    <w:rsid w:val="00101012"/>
    <w:rsid w:val="00101393"/>
    <w:rsid w:val="00101576"/>
    <w:rsid w:val="00103753"/>
    <w:rsid w:val="00103AB6"/>
    <w:rsid w:val="00103B81"/>
    <w:rsid w:val="00103C10"/>
    <w:rsid w:val="00105A73"/>
    <w:rsid w:val="00105F4A"/>
    <w:rsid w:val="00106420"/>
    <w:rsid w:val="001067B2"/>
    <w:rsid w:val="001078A1"/>
    <w:rsid w:val="00107A74"/>
    <w:rsid w:val="00107A84"/>
    <w:rsid w:val="00107E3E"/>
    <w:rsid w:val="001102C4"/>
    <w:rsid w:val="001103F0"/>
    <w:rsid w:val="00110620"/>
    <w:rsid w:val="001110E2"/>
    <w:rsid w:val="0011142E"/>
    <w:rsid w:val="00111736"/>
    <w:rsid w:val="001129C7"/>
    <w:rsid w:val="00112A37"/>
    <w:rsid w:val="0011303E"/>
    <w:rsid w:val="00113EB1"/>
    <w:rsid w:val="00113FFD"/>
    <w:rsid w:val="0011554B"/>
    <w:rsid w:val="00115973"/>
    <w:rsid w:val="00116353"/>
    <w:rsid w:val="00116709"/>
    <w:rsid w:val="00116898"/>
    <w:rsid w:val="00116D78"/>
    <w:rsid w:val="001170F4"/>
    <w:rsid w:val="001172F9"/>
    <w:rsid w:val="00117FFA"/>
    <w:rsid w:val="00120248"/>
    <w:rsid w:val="00121236"/>
    <w:rsid w:val="00121EB4"/>
    <w:rsid w:val="00123560"/>
    <w:rsid w:val="0012363E"/>
    <w:rsid w:val="001244C9"/>
    <w:rsid w:val="00124A7A"/>
    <w:rsid w:val="00124F32"/>
    <w:rsid w:val="001251C6"/>
    <w:rsid w:val="001254A1"/>
    <w:rsid w:val="00125EFD"/>
    <w:rsid w:val="00126185"/>
    <w:rsid w:val="00126F4D"/>
    <w:rsid w:val="00127079"/>
    <w:rsid w:val="00127B39"/>
    <w:rsid w:val="00127B6B"/>
    <w:rsid w:val="00127C47"/>
    <w:rsid w:val="00127E59"/>
    <w:rsid w:val="00127F6D"/>
    <w:rsid w:val="0013050E"/>
    <w:rsid w:val="001305D8"/>
    <w:rsid w:val="0013141C"/>
    <w:rsid w:val="00132A1E"/>
    <w:rsid w:val="00132A61"/>
    <w:rsid w:val="001335C6"/>
    <w:rsid w:val="00133F09"/>
    <w:rsid w:val="0013403F"/>
    <w:rsid w:val="001349C0"/>
    <w:rsid w:val="0013524C"/>
    <w:rsid w:val="00135775"/>
    <w:rsid w:val="001358CE"/>
    <w:rsid w:val="00135CA1"/>
    <w:rsid w:val="00135CB8"/>
    <w:rsid w:val="00135D1A"/>
    <w:rsid w:val="00136042"/>
    <w:rsid w:val="0013661B"/>
    <w:rsid w:val="00137041"/>
    <w:rsid w:val="001372F1"/>
    <w:rsid w:val="00137631"/>
    <w:rsid w:val="00137816"/>
    <w:rsid w:val="00137F3F"/>
    <w:rsid w:val="0014004E"/>
    <w:rsid w:val="0014022B"/>
    <w:rsid w:val="0014023A"/>
    <w:rsid w:val="00140AAD"/>
    <w:rsid w:val="00141181"/>
    <w:rsid w:val="00141463"/>
    <w:rsid w:val="001414D2"/>
    <w:rsid w:val="0014199C"/>
    <w:rsid w:val="00141FD7"/>
    <w:rsid w:val="00142D98"/>
    <w:rsid w:val="0014339D"/>
    <w:rsid w:val="00144110"/>
    <w:rsid w:val="00144297"/>
    <w:rsid w:val="00144BEC"/>
    <w:rsid w:val="00144D06"/>
    <w:rsid w:val="00147883"/>
    <w:rsid w:val="001478D7"/>
    <w:rsid w:val="00147AD0"/>
    <w:rsid w:val="0015182C"/>
    <w:rsid w:val="001519AF"/>
    <w:rsid w:val="00151BA9"/>
    <w:rsid w:val="00152B83"/>
    <w:rsid w:val="00153129"/>
    <w:rsid w:val="00153D6F"/>
    <w:rsid w:val="00154667"/>
    <w:rsid w:val="00154AAA"/>
    <w:rsid w:val="00154C28"/>
    <w:rsid w:val="00155D9C"/>
    <w:rsid w:val="00155EC0"/>
    <w:rsid w:val="0015602B"/>
    <w:rsid w:val="0015780D"/>
    <w:rsid w:val="0016029F"/>
    <w:rsid w:val="00160A54"/>
    <w:rsid w:val="00160D8B"/>
    <w:rsid w:val="00161220"/>
    <w:rsid w:val="0016141B"/>
    <w:rsid w:val="001615FD"/>
    <w:rsid w:val="0016208B"/>
    <w:rsid w:val="00163143"/>
    <w:rsid w:val="00163DD5"/>
    <w:rsid w:val="001641A4"/>
    <w:rsid w:val="001642B1"/>
    <w:rsid w:val="001643E2"/>
    <w:rsid w:val="001644CF"/>
    <w:rsid w:val="001646F7"/>
    <w:rsid w:val="00164760"/>
    <w:rsid w:val="001647FE"/>
    <w:rsid w:val="00164F78"/>
    <w:rsid w:val="00165112"/>
    <w:rsid w:val="001651C9"/>
    <w:rsid w:val="00165416"/>
    <w:rsid w:val="0016596B"/>
    <w:rsid w:val="00165A32"/>
    <w:rsid w:val="00166260"/>
    <w:rsid w:val="001669FE"/>
    <w:rsid w:val="00166E3C"/>
    <w:rsid w:val="00167B25"/>
    <w:rsid w:val="00170040"/>
    <w:rsid w:val="00170102"/>
    <w:rsid w:val="0017010F"/>
    <w:rsid w:val="001701BA"/>
    <w:rsid w:val="00170418"/>
    <w:rsid w:val="001710EF"/>
    <w:rsid w:val="00171124"/>
    <w:rsid w:val="001712DE"/>
    <w:rsid w:val="001715C7"/>
    <w:rsid w:val="001717BE"/>
    <w:rsid w:val="001722CC"/>
    <w:rsid w:val="00173070"/>
    <w:rsid w:val="00173461"/>
    <w:rsid w:val="00174256"/>
    <w:rsid w:val="00174738"/>
    <w:rsid w:val="00174905"/>
    <w:rsid w:val="00174A49"/>
    <w:rsid w:val="00174C23"/>
    <w:rsid w:val="0017607E"/>
    <w:rsid w:val="001761E1"/>
    <w:rsid w:val="00176BC5"/>
    <w:rsid w:val="00177236"/>
    <w:rsid w:val="00177886"/>
    <w:rsid w:val="00177CBC"/>
    <w:rsid w:val="001803B4"/>
    <w:rsid w:val="0018048E"/>
    <w:rsid w:val="00180A53"/>
    <w:rsid w:val="001811A8"/>
    <w:rsid w:val="00181390"/>
    <w:rsid w:val="00181D75"/>
    <w:rsid w:val="00181ED2"/>
    <w:rsid w:val="00182600"/>
    <w:rsid w:val="0018306F"/>
    <w:rsid w:val="001833C0"/>
    <w:rsid w:val="00183952"/>
    <w:rsid w:val="00183A3B"/>
    <w:rsid w:val="00184FB4"/>
    <w:rsid w:val="00185297"/>
    <w:rsid w:val="00185778"/>
    <w:rsid w:val="00185CE6"/>
    <w:rsid w:val="001863DF"/>
    <w:rsid w:val="0018642C"/>
    <w:rsid w:val="00186E18"/>
    <w:rsid w:val="00186FC1"/>
    <w:rsid w:val="001878E6"/>
    <w:rsid w:val="00187A79"/>
    <w:rsid w:val="00187E8B"/>
    <w:rsid w:val="00190524"/>
    <w:rsid w:val="001909D2"/>
    <w:rsid w:val="00190E6C"/>
    <w:rsid w:val="00191050"/>
    <w:rsid w:val="0019164A"/>
    <w:rsid w:val="001917E4"/>
    <w:rsid w:val="001918E1"/>
    <w:rsid w:val="001919FA"/>
    <w:rsid w:val="001923F2"/>
    <w:rsid w:val="00192447"/>
    <w:rsid w:val="001928F3"/>
    <w:rsid w:val="00193E66"/>
    <w:rsid w:val="00194A9B"/>
    <w:rsid w:val="00194B00"/>
    <w:rsid w:val="00194B11"/>
    <w:rsid w:val="00194B62"/>
    <w:rsid w:val="00194C17"/>
    <w:rsid w:val="00194FB7"/>
    <w:rsid w:val="001951DF"/>
    <w:rsid w:val="00195887"/>
    <w:rsid w:val="001966A7"/>
    <w:rsid w:val="00196931"/>
    <w:rsid w:val="0019702F"/>
    <w:rsid w:val="001975C9"/>
    <w:rsid w:val="00197E67"/>
    <w:rsid w:val="00197EAF"/>
    <w:rsid w:val="001A041E"/>
    <w:rsid w:val="001A04C7"/>
    <w:rsid w:val="001A07BB"/>
    <w:rsid w:val="001A0B5C"/>
    <w:rsid w:val="001A0E3C"/>
    <w:rsid w:val="001A0F9D"/>
    <w:rsid w:val="001A2764"/>
    <w:rsid w:val="001A2CC3"/>
    <w:rsid w:val="001A2EDD"/>
    <w:rsid w:val="001A2FF6"/>
    <w:rsid w:val="001A3660"/>
    <w:rsid w:val="001A384B"/>
    <w:rsid w:val="001A4327"/>
    <w:rsid w:val="001A4B00"/>
    <w:rsid w:val="001A4B2B"/>
    <w:rsid w:val="001A4C98"/>
    <w:rsid w:val="001A67D5"/>
    <w:rsid w:val="001A68FE"/>
    <w:rsid w:val="001A7105"/>
    <w:rsid w:val="001A77F4"/>
    <w:rsid w:val="001A7DD7"/>
    <w:rsid w:val="001A7FC2"/>
    <w:rsid w:val="001B0883"/>
    <w:rsid w:val="001B0900"/>
    <w:rsid w:val="001B1911"/>
    <w:rsid w:val="001B1EA3"/>
    <w:rsid w:val="001B2138"/>
    <w:rsid w:val="001B2B58"/>
    <w:rsid w:val="001B2E63"/>
    <w:rsid w:val="001B3699"/>
    <w:rsid w:val="001B3B5D"/>
    <w:rsid w:val="001B3C71"/>
    <w:rsid w:val="001B43BE"/>
    <w:rsid w:val="001B4F6A"/>
    <w:rsid w:val="001B660F"/>
    <w:rsid w:val="001B675C"/>
    <w:rsid w:val="001B7D75"/>
    <w:rsid w:val="001C03EE"/>
    <w:rsid w:val="001C0600"/>
    <w:rsid w:val="001C0999"/>
    <w:rsid w:val="001C0D99"/>
    <w:rsid w:val="001C104C"/>
    <w:rsid w:val="001C1181"/>
    <w:rsid w:val="001C1389"/>
    <w:rsid w:val="001C2074"/>
    <w:rsid w:val="001C34BE"/>
    <w:rsid w:val="001C4560"/>
    <w:rsid w:val="001C470C"/>
    <w:rsid w:val="001C4962"/>
    <w:rsid w:val="001C5562"/>
    <w:rsid w:val="001C5781"/>
    <w:rsid w:val="001C5AEA"/>
    <w:rsid w:val="001C5E03"/>
    <w:rsid w:val="001C6ECD"/>
    <w:rsid w:val="001C7199"/>
    <w:rsid w:val="001C7B75"/>
    <w:rsid w:val="001D04E3"/>
    <w:rsid w:val="001D0EC5"/>
    <w:rsid w:val="001D0F4B"/>
    <w:rsid w:val="001D18AE"/>
    <w:rsid w:val="001D1C37"/>
    <w:rsid w:val="001D2209"/>
    <w:rsid w:val="001D25A1"/>
    <w:rsid w:val="001D2BE2"/>
    <w:rsid w:val="001D2D37"/>
    <w:rsid w:val="001D3002"/>
    <w:rsid w:val="001D3570"/>
    <w:rsid w:val="001D36B5"/>
    <w:rsid w:val="001D3B64"/>
    <w:rsid w:val="001D3FA8"/>
    <w:rsid w:val="001D40FB"/>
    <w:rsid w:val="001D51F4"/>
    <w:rsid w:val="001D5C66"/>
    <w:rsid w:val="001D60AF"/>
    <w:rsid w:val="001D64EB"/>
    <w:rsid w:val="001D69FA"/>
    <w:rsid w:val="001D6F87"/>
    <w:rsid w:val="001D72EE"/>
    <w:rsid w:val="001D7B5B"/>
    <w:rsid w:val="001E0077"/>
    <w:rsid w:val="001E0341"/>
    <w:rsid w:val="001E0530"/>
    <w:rsid w:val="001E0923"/>
    <w:rsid w:val="001E0B3F"/>
    <w:rsid w:val="001E0DF3"/>
    <w:rsid w:val="001E1355"/>
    <w:rsid w:val="001E4638"/>
    <w:rsid w:val="001E48A0"/>
    <w:rsid w:val="001E4E38"/>
    <w:rsid w:val="001E52A5"/>
    <w:rsid w:val="001E5AE0"/>
    <w:rsid w:val="001E5C26"/>
    <w:rsid w:val="001E5E0B"/>
    <w:rsid w:val="001E5F76"/>
    <w:rsid w:val="001E5F89"/>
    <w:rsid w:val="001E6238"/>
    <w:rsid w:val="001E763C"/>
    <w:rsid w:val="001E7F28"/>
    <w:rsid w:val="001F01E5"/>
    <w:rsid w:val="001F0432"/>
    <w:rsid w:val="001F0615"/>
    <w:rsid w:val="001F0AA8"/>
    <w:rsid w:val="001F11A3"/>
    <w:rsid w:val="001F1A09"/>
    <w:rsid w:val="001F1A73"/>
    <w:rsid w:val="001F2326"/>
    <w:rsid w:val="001F23F7"/>
    <w:rsid w:val="001F2B1E"/>
    <w:rsid w:val="001F2B7B"/>
    <w:rsid w:val="001F2C79"/>
    <w:rsid w:val="001F31D0"/>
    <w:rsid w:val="001F34D2"/>
    <w:rsid w:val="001F3A37"/>
    <w:rsid w:val="001F400A"/>
    <w:rsid w:val="001F44A0"/>
    <w:rsid w:val="001F4C1D"/>
    <w:rsid w:val="001F52E6"/>
    <w:rsid w:val="001F54A8"/>
    <w:rsid w:val="001F5D4D"/>
    <w:rsid w:val="001F5F9A"/>
    <w:rsid w:val="001F61AE"/>
    <w:rsid w:val="001F67CB"/>
    <w:rsid w:val="001F6BF9"/>
    <w:rsid w:val="001F6E66"/>
    <w:rsid w:val="001F6ED4"/>
    <w:rsid w:val="001F7A2C"/>
    <w:rsid w:val="002010BC"/>
    <w:rsid w:val="002016A8"/>
    <w:rsid w:val="0020188D"/>
    <w:rsid w:val="00202298"/>
    <w:rsid w:val="002022A6"/>
    <w:rsid w:val="0020233A"/>
    <w:rsid w:val="002023F6"/>
    <w:rsid w:val="00202A2D"/>
    <w:rsid w:val="00202F93"/>
    <w:rsid w:val="00205681"/>
    <w:rsid w:val="00205D61"/>
    <w:rsid w:val="0020757F"/>
    <w:rsid w:val="002075DA"/>
    <w:rsid w:val="00210644"/>
    <w:rsid w:val="00210959"/>
    <w:rsid w:val="00210F12"/>
    <w:rsid w:val="00211525"/>
    <w:rsid w:val="00211690"/>
    <w:rsid w:val="002125E3"/>
    <w:rsid w:val="002127A0"/>
    <w:rsid w:val="002128D5"/>
    <w:rsid w:val="00212BAC"/>
    <w:rsid w:val="00212CDA"/>
    <w:rsid w:val="00212D62"/>
    <w:rsid w:val="00213E2A"/>
    <w:rsid w:val="00213EC0"/>
    <w:rsid w:val="00214210"/>
    <w:rsid w:val="00214498"/>
    <w:rsid w:val="0021471D"/>
    <w:rsid w:val="00214A2D"/>
    <w:rsid w:val="002164F1"/>
    <w:rsid w:val="00216906"/>
    <w:rsid w:val="002170AE"/>
    <w:rsid w:val="00217978"/>
    <w:rsid w:val="0022090C"/>
    <w:rsid w:val="00220C58"/>
    <w:rsid w:val="00221FC5"/>
    <w:rsid w:val="002228DE"/>
    <w:rsid w:val="00222CA5"/>
    <w:rsid w:val="00222DBD"/>
    <w:rsid w:val="002234E1"/>
    <w:rsid w:val="00224581"/>
    <w:rsid w:val="002247D8"/>
    <w:rsid w:val="002249F1"/>
    <w:rsid w:val="00225940"/>
    <w:rsid w:val="0022626D"/>
    <w:rsid w:val="002266C3"/>
    <w:rsid w:val="002266F2"/>
    <w:rsid w:val="00227087"/>
    <w:rsid w:val="0022732D"/>
    <w:rsid w:val="002275F0"/>
    <w:rsid w:val="00227ABC"/>
    <w:rsid w:val="00230706"/>
    <w:rsid w:val="002307F4"/>
    <w:rsid w:val="00230D61"/>
    <w:rsid w:val="002310E6"/>
    <w:rsid w:val="002312CA"/>
    <w:rsid w:val="00231819"/>
    <w:rsid w:val="00231B0E"/>
    <w:rsid w:val="00231D6B"/>
    <w:rsid w:val="002321AD"/>
    <w:rsid w:val="00232DC0"/>
    <w:rsid w:val="00232E2A"/>
    <w:rsid w:val="00233173"/>
    <w:rsid w:val="00234074"/>
    <w:rsid w:val="00234595"/>
    <w:rsid w:val="0023482E"/>
    <w:rsid w:val="002348DB"/>
    <w:rsid w:val="002358EF"/>
    <w:rsid w:val="00235B0B"/>
    <w:rsid w:val="00236665"/>
    <w:rsid w:val="00236A1D"/>
    <w:rsid w:val="00236B45"/>
    <w:rsid w:val="00237464"/>
    <w:rsid w:val="00237699"/>
    <w:rsid w:val="00237F13"/>
    <w:rsid w:val="00241014"/>
    <w:rsid w:val="002419DC"/>
    <w:rsid w:val="002422D4"/>
    <w:rsid w:val="00243624"/>
    <w:rsid w:val="00243A01"/>
    <w:rsid w:val="00243AB0"/>
    <w:rsid w:val="00244096"/>
    <w:rsid w:val="00244755"/>
    <w:rsid w:val="00244B34"/>
    <w:rsid w:val="00244DEF"/>
    <w:rsid w:val="002454C6"/>
    <w:rsid w:val="00245C7C"/>
    <w:rsid w:val="00246590"/>
    <w:rsid w:val="002467A2"/>
    <w:rsid w:val="002472FB"/>
    <w:rsid w:val="002473E6"/>
    <w:rsid w:val="00247B7E"/>
    <w:rsid w:val="00247F0C"/>
    <w:rsid w:val="00250B6C"/>
    <w:rsid w:val="00250C73"/>
    <w:rsid w:val="00253189"/>
    <w:rsid w:val="002533F8"/>
    <w:rsid w:val="00253471"/>
    <w:rsid w:val="002535DA"/>
    <w:rsid w:val="00253F1D"/>
    <w:rsid w:val="002547BB"/>
    <w:rsid w:val="00254E3A"/>
    <w:rsid w:val="00254EA1"/>
    <w:rsid w:val="002555CE"/>
    <w:rsid w:val="00255A68"/>
    <w:rsid w:val="00255DE2"/>
    <w:rsid w:val="00256264"/>
    <w:rsid w:val="00256EE0"/>
    <w:rsid w:val="00257042"/>
    <w:rsid w:val="00257A9D"/>
    <w:rsid w:val="00260140"/>
    <w:rsid w:val="00260366"/>
    <w:rsid w:val="00260AD9"/>
    <w:rsid w:val="00260C75"/>
    <w:rsid w:val="00260CD0"/>
    <w:rsid w:val="002618B2"/>
    <w:rsid w:val="00261FCA"/>
    <w:rsid w:val="002620C9"/>
    <w:rsid w:val="00262416"/>
    <w:rsid w:val="00263174"/>
    <w:rsid w:val="0026345D"/>
    <w:rsid w:val="00263484"/>
    <w:rsid w:val="00263897"/>
    <w:rsid w:val="0026389C"/>
    <w:rsid w:val="00264307"/>
    <w:rsid w:val="0026480E"/>
    <w:rsid w:val="002656B1"/>
    <w:rsid w:val="0026657D"/>
    <w:rsid w:val="0026675B"/>
    <w:rsid w:val="00267383"/>
    <w:rsid w:val="00267466"/>
    <w:rsid w:val="00267760"/>
    <w:rsid w:val="00270F0B"/>
    <w:rsid w:val="00271268"/>
    <w:rsid w:val="0027161E"/>
    <w:rsid w:val="002719FE"/>
    <w:rsid w:val="00271A22"/>
    <w:rsid w:val="00271DC2"/>
    <w:rsid w:val="00271FF5"/>
    <w:rsid w:val="002725D1"/>
    <w:rsid w:val="00272C9C"/>
    <w:rsid w:val="00273ECC"/>
    <w:rsid w:val="0027446F"/>
    <w:rsid w:val="00274F7A"/>
    <w:rsid w:val="00275CA0"/>
    <w:rsid w:val="00275EA8"/>
    <w:rsid w:val="0027626A"/>
    <w:rsid w:val="002764D4"/>
    <w:rsid w:val="00276B93"/>
    <w:rsid w:val="002771E3"/>
    <w:rsid w:val="00277EB7"/>
    <w:rsid w:val="002800AA"/>
    <w:rsid w:val="002809E9"/>
    <w:rsid w:val="00281F76"/>
    <w:rsid w:val="0028301A"/>
    <w:rsid w:val="002832AC"/>
    <w:rsid w:val="00283575"/>
    <w:rsid w:val="002843DC"/>
    <w:rsid w:val="002848C9"/>
    <w:rsid w:val="0028498C"/>
    <w:rsid w:val="00284F80"/>
    <w:rsid w:val="00285FE8"/>
    <w:rsid w:val="00287297"/>
    <w:rsid w:val="00287645"/>
    <w:rsid w:val="002878B2"/>
    <w:rsid w:val="00287A86"/>
    <w:rsid w:val="00287AC6"/>
    <w:rsid w:val="00287BC3"/>
    <w:rsid w:val="00287DF1"/>
    <w:rsid w:val="00287FEE"/>
    <w:rsid w:val="00290646"/>
    <w:rsid w:val="0029076F"/>
    <w:rsid w:val="0029094B"/>
    <w:rsid w:val="00290EE8"/>
    <w:rsid w:val="00290FE6"/>
    <w:rsid w:val="00292A7C"/>
    <w:rsid w:val="00292C08"/>
    <w:rsid w:val="00292FBD"/>
    <w:rsid w:val="002930AE"/>
    <w:rsid w:val="002936E1"/>
    <w:rsid w:val="00293BB3"/>
    <w:rsid w:val="002946D1"/>
    <w:rsid w:val="0029502A"/>
    <w:rsid w:val="00295812"/>
    <w:rsid w:val="0029646C"/>
    <w:rsid w:val="0029699C"/>
    <w:rsid w:val="002970FD"/>
    <w:rsid w:val="002972D0"/>
    <w:rsid w:val="002A090A"/>
    <w:rsid w:val="002A0944"/>
    <w:rsid w:val="002A0C7C"/>
    <w:rsid w:val="002A1F6C"/>
    <w:rsid w:val="002A2347"/>
    <w:rsid w:val="002A23CE"/>
    <w:rsid w:val="002A2492"/>
    <w:rsid w:val="002A393F"/>
    <w:rsid w:val="002A4066"/>
    <w:rsid w:val="002A4B00"/>
    <w:rsid w:val="002A4D41"/>
    <w:rsid w:val="002A4EFD"/>
    <w:rsid w:val="002A62BA"/>
    <w:rsid w:val="002A7142"/>
    <w:rsid w:val="002A7C95"/>
    <w:rsid w:val="002B0340"/>
    <w:rsid w:val="002B0E02"/>
    <w:rsid w:val="002B124F"/>
    <w:rsid w:val="002B1B9F"/>
    <w:rsid w:val="002B1E75"/>
    <w:rsid w:val="002B2018"/>
    <w:rsid w:val="002B232F"/>
    <w:rsid w:val="002B23C6"/>
    <w:rsid w:val="002B24D4"/>
    <w:rsid w:val="002B2CCA"/>
    <w:rsid w:val="002B2ED2"/>
    <w:rsid w:val="002B3047"/>
    <w:rsid w:val="002B3134"/>
    <w:rsid w:val="002B32F9"/>
    <w:rsid w:val="002B3661"/>
    <w:rsid w:val="002B3A89"/>
    <w:rsid w:val="002B41E4"/>
    <w:rsid w:val="002B505F"/>
    <w:rsid w:val="002B553D"/>
    <w:rsid w:val="002B5AFC"/>
    <w:rsid w:val="002B626C"/>
    <w:rsid w:val="002B633D"/>
    <w:rsid w:val="002B639C"/>
    <w:rsid w:val="002B64E1"/>
    <w:rsid w:val="002B6D76"/>
    <w:rsid w:val="002B71D4"/>
    <w:rsid w:val="002B763C"/>
    <w:rsid w:val="002B79CD"/>
    <w:rsid w:val="002B7BC0"/>
    <w:rsid w:val="002B7E60"/>
    <w:rsid w:val="002B7F7C"/>
    <w:rsid w:val="002C027C"/>
    <w:rsid w:val="002C0FC3"/>
    <w:rsid w:val="002C1F75"/>
    <w:rsid w:val="002C22AA"/>
    <w:rsid w:val="002C3CEE"/>
    <w:rsid w:val="002C4141"/>
    <w:rsid w:val="002C427B"/>
    <w:rsid w:val="002C4633"/>
    <w:rsid w:val="002C4810"/>
    <w:rsid w:val="002C5C0F"/>
    <w:rsid w:val="002C6117"/>
    <w:rsid w:val="002C6A38"/>
    <w:rsid w:val="002C6A75"/>
    <w:rsid w:val="002C77BE"/>
    <w:rsid w:val="002C7B1C"/>
    <w:rsid w:val="002C7B93"/>
    <w:rsid w:val="002C7D55"/>
    <w:rsid w:val="002D00E3"/>
    <w:rsid w:val="002D094B"/>
    <w:rsid w:val="002D1755"/>
    <w:rsid w:val="002D1DE9"/>
    <w:rsid w:val="002D2391"/>
    <w:rsid w:val="002D2F29"/>
    <w:rsid w:val="002D37BB"/>
    <w:rsid w:val="002D37E4"/>
    <w:rsid w:val="002D3936"/>
    <w:rsid w:val="002D45F4"/>
    <w:rsid w:val="002D4C8F"/>
    <w:rsid w:val="002D6AC0"/>
    <w:rsid w:val="002D744D"/>
    <w:rsid w:val="002D755D"/>
    <w:rsid w:val="002D7561"/>
    <w:rsid w:val="002D7CBF"/>
    <w:rsid w:val="002E0076"/>
    <w:rsid w:val="002E06A0"/>
    <w:rsid w:val="002E0713"/>
    <w:rsid w:val="002E0E31"/>
    <w:rsid w:val="002E1524"/>
    <w:rsid w:val="002E1AE6"/>
    <w:rsid w:val="002E1B2A"/>
    <w:rsid w:val="002E1DE7"/>
    <w:rsid w:val="002E22D9"/>
    <w:rsid w:val="002E2843"/>
    <w:rsid w:val="002E298E"/>
    <w:rsid w:val="002E336C"/>
    <w:rsid w:val="002E3399"/>
    <w:rsid w:val="002E4292"/>
    <w:rsid w:val="002E48C2"/>
    <w:rsid w:val="002E4BA6"/>
    <w:rsid w:val="002E4E67"/>
    <w:rsid w:val="002E59D0"/>
    <w:rsid w:val="002E5B88"/>
    <w:rsid w:val="002E5D29"/>
    <w:rsid w:val="002E67BA"/>
    <w:rsid w:val="002E6C28"/>
    <w:rsid w:val="002E6DAA"/>
    <w:rsid w:val="002E720E"/>
    <w:rsid w:val="002E774F"/>
    <w:rsid w:val="002E7E7E"/>
    <w:rsid w:val="002F0703"/>
    <w:rsid w:val="002F10FE"/>
    <w:rsid w:val="002F15E8"/>
    <w:rsid w:val="002F1C3C"/>
    <w:rsid w:val="002F2058"/>
    <w:rsid w:val="002F34E3"/>
    <w:rsid w:val="002F3883"/>
    <w:rsid w:val="002F3AC3"/>
    <w:rsid w:val="002F40B0"/>
    <w:rsid w:val="002F4734"/>
    <w:rsid w:val="002F49C3"/>
    <w:rsid w:val="002F4A6C"/>
    <w:rsid w:val="002F4CDE"/>
    <w:rsid w:val="002F4FB3"/>
    <w:rsid w:val="002F5571"/>
    <w:rsid w:val="002F5E6F"/>
    <w:rsid w:val="002F5E91"/>
    <w:rsid w:val="002F6200"/>
    <w:rsid w:val="002F6959"/>
    <w:rsid w:val="002F6C13"/>
    <w:rsid w:val="002F7525"/>
    <w:rsid w:val="002F785C"/>
    <w:rsid w:val="002F7C27"/>
    <w:rsid w:val="003004A4"/>
    <w:rsid w:val="003005D9"/>
    <w:rsid w:val="00300AC4"/>
    <w:rsid w:val="00300D4C"/>
    <w:rsid w:val="00300D9B"/>
    <w:rsid w:val="00301303"/>
    <w:rsid w:val="003019AD"/>
    <w:rsid w:val="00301E6E"/>
    <w:rsid w:val="003023F7"/>
    <w:rsid w:val="00302C99"/>
    <w:rsid w:val="00302E31"/>
    <w:rsid w:val="00302EF5"/>
    <w:rsid w:val="003031E0"/>
    <w:rsid w:val="0030387D"/>
    <w:rsid w:val="00303889"/>
    <w:rsid w:val="00303E32"/>
    <w:rsid w:val="00303F9D"/>
    <w:rsid w:val="00304025"/>
    <w:rsid w:val="00304A04"/>
    <w:rsid w:val="003058A2"/>
    <w:rsid w:val="00306037"/>
    <w:rsid w:val="003062CB"/>
    <w:rsid w:val="003074A9"/>
    <w:rsid w:val="00307C87"/>
    <w:rsid w:val="00310288"/>
    <w:rsid w:val="0031053F"/>
    <w:rsid w:val="00311A7F"/>
    <w:rsid w:val="00311DDF"/>
    <w:rsid w:val="00311EF6"/>
    <w:rsid w:val="00312379"/>
    <w:rsid w:val="003136D7"/>
    <w:rsid w:val="00313DFB"/>
    <w:rsid w:val="00313F30"/>
    <w:rsid w:val="00313FC1"/>
    <w:rsid w:val="003145A4"/>
    <w:rsid w:val="00314B78"/>
    <w:rsid w:val="00314CC7"/>
    <w:rsid w:val="00315B5E"/>
    <w:rsid w:val="00315DA4"/>
    <w:rsid w:val="00316105"/>
    <w:rsid w:val="00317CFD"/>
    <w:rsid w:val="00317DE7"/>
    <w:rsid w:val="003201A7"/>
    <w:rsid w:val="00320252"/>
    <w:rsid w:val="003215F8"/>
    <w:rsid w:val="00321A02"/>
    <w:rsid w:val="00323CCC"/>
    <w:rsid w:val="00323D41"/>
    <w:rsid w:val="00323EBB"/>
    <w:rsid w:val="00324A07"/>
    <w:rsid w:val="00324A2E"/>
    <w:rsid w:val="00324F0F"/>
    <w:rsid w:val="00325176"/>
    <w:rsid w:val="00325490"/>
    <w:rsid w:val="0032579B"/>
    <w:rsid w:val="00326C7F"/>
    <w:rsid w:val="003272FA"/>
    <w:rsid w:val="00327545"/>
    <w:rsid w:val="0032779F"/>
    <w:rsid w:val="0033070A"/>
    <w:rsid w:val="00330BE7"/>
    <w:rsid w:val="003317A6"/>
    <w:rsid w:val="0033247F"/>
    <w:rsid w:val="00332BCF"/>
    <w:rsid w:val="00332D57"/>
    <w:rsid w:val="00333660"/>
    <w:rsid w:val="00333F71"/>
    <w:rsid w:val="00334416"/>
    <w:rsid w:val="003345BE"/>
    <w:rsid w:val="003345C3"/>
    <w:rsid w:val="0033466B"/>
    <w:rsid w:val="0033478C"/>
    <w:rsid w:val="00334888"/>
    <w:rsid w:val="00335377"/>
    <w:rsid w:val="003354AB"/>
    <w:rsid w:val="00335A26"/>
    <w:rsid w:val="00335A71"/>
    <w:rsid w:val="00335C23"/>
    <w:rsid w:val="00336CA2"/>
    <w:rsid w:val="003370FB"/>
    <w:rsid w:val="00337170"/>
    <w:rsid w:val="00337720"/>
    <w:rsid w:val="00340268"/>
    <w:rsid w:val="0034090D"/>
    <w:rsid w:val="0034092B"/>
    <w:rsid w:val="00340FA6"/>
    <w:rsid w:val="0034139D"/>
    <w:rsid w:val="00341CCB"/>
    <w:rsid w:val="00342BDB"/>
    <w:rsid w:val="00342C2C"/>
    <w:rsid w:val="003433B0"/>
    <w:rsid w:val="003433E8"/>
    <w:rsid w:val="0034341A"/>
    <w:rsid w:val="00343703"/>
    <w:rsid w:val="0034377E"/>
    <w:rsid w:val="0034480D"/>
    <w:rsid w:val="00344826"/>
    <w:rsid w:val="0034528F"/>
    <w:rsid w:val="00345870"/>
    <w:rsid w:val="00346619"/>
    <w:rsid w:val="003467AC"/>
    <w:rsid w:val="00346870"/>
    <w:rsid w:val="003477EA"/>
    <w:rsid w:val="00347B17"/>
    <w:rsid w:val="0035003C"/>
    <w:rsid w:val="00350303"/>
    <w:rsid w:val="0035036D"/>
    <w:rsid w:val="00350626"/>
    <w:rsid w:val="00350C45"/>
    <w:rsid w:val="00350CF0"/>
    <w:rsid w:val="00350D22"/>
    <w:rsid w:val="00351613"/>
    <w:rsid w:val="00351F0F"/>
    <w:rsid w:val="00352089"/>
    <w:rsid w:val="003524FA"/>
    <w:rsid w:val="00352789"/>
    <w:rsid w:val="00352994"/>
    <w:rsid w:val="00352DD5"/>
    <w:rsid w:val="00353730"/>
    <w:rsid w:val="0035373C"/>
    <w:rsid w:val="00354053"/>
    <w:rsid w:val="0035420C"/>
    <w:rsid w:val="00355E83"/>
    <w:rsid w:val="003560A3"/>
    <w:rsid w:val="00356844"/>
    <w:rsid w:val="00356F37"/>
    <w:rsid w:val="00357658"/>
    <w:rsid w:val="003578DE"/>
    <w:rsid w:val="00357D22"/>
    <w:rsid w:val="003604AA"/>
    <w:rsid w:val="003616BD"/>
    <w:rsid w:val="00362307"/>
    <w:rsid w:val="00362BC1"/>
    <w:rsid w:val="00362CF9"/>
    <w:rsid w:val="003634A2"/>
    <w:rsid w:val="00363E8A"/>
    <w:rsid w:val="003645E7"/>
    <w:rsid w:val="00364F6F"/>
    <w:rsid w:val="00365098"/>
    <w:rsid w:val="003654B7"/>
    <w:rsid w:val="0036567D"/>
    <w:rsid w:val="00365A39"/>
    <w:rsid w:val="00365B35"/>
    <w:rsid w:val="00366642"/>
    <w:rsid w:val="00366852"/>
    <w:rsid w:val="0036716D"/>
    <w:rsid w:val="003674E2"/>
    <w:rsid w:val="00367FBD"/>
    <w:rsid w:val="00370A09"/>
    <w:rsid w:val="00371445"/>
    <w:rsid w:val="00371E42"/>
    <w:rsid w:val="00372062"/>
    <w:rsid w:val="00372143"/>
    <w:rsid w:val="00372D2F"/>
    <w:rsid w:val="00373036"/>
    <w:rsid w:val="003730E7"/>
    <w:rsid w:val="00374721"/>
    <w:rsid w:val="00374D07"/>
    <w:rsid w:val="0037520D"/>
    <w:rsid w:val="00375621"/>
    <w:rsid w:val="00375E94"/>
    <w:rsid w:val="0037631B"/>
    <w:rsid w:val="00376ED5"/>
    <w:rsid w:val="00376F7E"/>
    <w:rsid w:val="00380FCE"/>
    <w:rsid w:val="0038124C"/>
    <w:rsid w:val="003817FB"/>
    <w:rsid w:val="00381B8E"/>
    <w:rsid w:val="0038238F"/>
    <w:rsid w:val="0038283D"/>
    <w:rsid w:val="003849F7"/>
    <w:rsid w:val="00384CC3"/>
    <w:rsid w:val="00384DD6"/>
    <w:rsid w:val="0038513C"/>
    <w:rsid w:val="00385591"/>
    <w:rsid w:val="00386529"/>
    <w:rsid w:val="00387436"/>
    <w:rsid w:val="0038790B"/>
    <w:rsid w:val="00387AE1"/>
    <w:rsid w:val="00387F39"/>
    <w:rsid w:val="003901B5"/>
    <w:rsid w:val="003908E3"/>
    <w:rsid w:val="003909BB"/>
    <w:rsid w:val="00390B4C"/>
    <w:rsid w:val="00390E83"/>
    <w:rsid w:val="0039105D"/>
    <w:rsid w:val="0039137C"/>
    <w:rsid w:val="00391809"/>
    <w:rsid w:val="00391890"/>
    <w:rsid w:val="00392317"/>
    <w:rsid w:val="0039298E"/>
    <w:rsid w:val="00393279"/>
    <w:rsid w:val="0039359B"/>
    <w:rsid w:val="00393621"/>
    <w:rsid w:val="00393D51"/>
    <w:rsid w:val="00393D73"/>
    <w:rsid w:val="00394B41"/>
    <w:rsid w:val="00394B9A"/>
    <w:rsid w:val="00394D09"/>
    <w:rsid w:val="00395088"/>
    <w:rsid w:val="0039509F"/>
    <w:rsid w:val="00396418"/>
    <w:rsid w:val="003978A9"/>
    <w:rsid w:val="0039799A"/>
    <w:rsid w:val="00397D82"/>
    <w:rsid w:val="003A005B"/>
    <w:rsid w:val="003A07AC"/>
    <w:rsid w:val="003A123C"/>
    <w:rsid w:val="003A1389"/>
    <w:rsid w:val="003A1EEF"/>
    <w:rsid w:val="003A2366"/>
    <w:rsid w:val="003A2673"/>
    <w:rsid w:val="003A26B9"/>
    <w:rsid w:val="003A28B0"/>
    <w:rsid w:val="003A29BC"/>
    <w:rsid w:val="003A2A9C"/>
    <w:rsid w:val="003A35A2"/>
    <w:rsid w:val="003A37ED"/>
    <w:rsid w:val="003A3D42"/>
    <w:rsid w:val="003A4405"/>
    <w:rsid w:val="003A4AAE"/>
    <w:rsid w:val="003A506E"/>
    <w:rsid w:val="003A68A8"/>
    <w:rsid w:val="003A693A"/>
    <w:rsid w:val="003A69FF"/>
    <w:rsid w:val="003A7100"/>
    <w:rsid w:val="003A71A1"/>
    <w:rsid w:val="003A7B79"/>
    <w:rsid w:val="003A7C13"/>
    <w:rsid w:val="003A7D87"/>
    <w:rsid w:val="003A7F60"/>
    <w:rsid w:val="003B0185"/>
    <w:rsid w:val="003B04C8"/>
    <w:rsid w:val="003B057D"/>
    <w:rsid w:val="003B066F"/>
    <w:rsid w:val="003B13CD"/>
    <w:rsid w:val="003B1571"/>
    <w:rsid w:val="003B2087"/>
    <w:rsid w:val="003B22AF"/>
    <w:rsid w:val="003B26D1"/>
    <w:rsid w:val="003B292F"/>
    <w:rsid w:val="003B30AC"/>
    <w:rsid w:val="003B3C40"/>
    <w:rsid w:val="003B40C2"/>
    <w:rsid w:val="003B41F6"/>
    <w:rsid w:val="003B4224"/>
    <w:rsid w:val="003B43A6"/>
    <w:rsid w:val="003B4B56"/>
    <w:rsid w:val="003B4E66"/>
    <w:rsid w:val="003B662B"/>
    <w:rsid w:val="003B675B"/>
    <w:rsid w:val="003B7180"/>
    <w:rsid w:val="003B7428"/>
    <w:rsid w:val="003B7CCE"/>
    <w:rsid w:val="003C0022"/>
    <w:rsid w:val="003C0475"/>
    <w:rsid w:val="003C15DE"/>
    <w:rsid w:val="003C1B40"/>
    <w:rsid w:val="003C1BC8"/>
    <w:rsid w:val="003C256C"/>
    <w:rsid w:val="003C37D5"/>
    <w:rsid w:val="003C4B8A"/>
    <w:rsid w:val="003C502A"/>
    <w:rsid w:val="003C517B"/>
    <w:rsid w:val="003C5A70"/>
    <w:rsid w:val="003C5BAF"/>
    <w:rsid w:val="003C5BC6"/>
    <w:rsid w:val="003C5DA7"/>
    <w:rsid w:val="003C604D"/>
    <w:rsid w:val="003C70B9"/>
    <w:rsid w:val="003C7501"/>
    <w:rsid w:val="003D013A"/>
    <w:rsid w:val="003D09C5"/>
    <w:rsid w:val="003D0F15"/>
    <w:rsid w:val="003D1721"/>
    <w:rsid w:val="003D1B85"/>
    <w:rsid w:val="003D21F7"/>
    <w:rsid w:val="003D2648"/>
    <w:rsid w:val="003D2D82"/>
    <w:rsid w:val="003D3188"/>
    <w:rsid w:val="003D35AD"/>
    <w:rsid w:val="003D36E6"/>
    <w:rsid w:val="003D3E19"/>
    <w:rsid w:val="003D4253"/>
    <w:rsid w:val="003D4370"/>
    <w:rsid w:val="003D45E2"/>
    <w:rsid w:val="003D48D5"/>
    <w:rsid w:val="003D5702"/>
    <w:rsid w:val="003D5A11"/>
    <w:rsid w:val="003D676A"/>
    <w:rsid w:val="003D678A"/>
    <w:rsid w:val="003D70E6"/>
    <w:rsid w:val="003D7393"/>
    <w:rsid w:val="003D79DD"/>
    <w:rsid w:val="003D7CC8"/>
    <w:rsid w:val="003E17C2"/>
    <w:rsid w:val="003E21F2"/>
    <w:rsid w:val="003E2DAF"/>
    <w:rsid w:val="003E2F3C"/>
    <w:rsid w:val="003E36CF"/>
    <w:rsid w:val="003E3D3B"/>
    <w:rsid w:val="003E3D5F"/>
    <w:rsid w:val="003E3FF7"/>
    <w:rsid w:val="003E41D8"/>
    <w:rsid w:val="003E4561"/>
    <w:rsid w:val="003E5A42"/>
    <w:rsid w:val="003E66A9"/>
    <w:rsid w:val="003E6A7D"/>
    <w:rsid w:val="003E741C"/>
    <w:rsid w:val="003E7D03"/>
    <w:rsid w:val="003F0C62"/>
    <w:rsid w:val="003F0C87"/>
    <w:rsid w:val="003F11DE"/>
    <w:rsid w:val="003F137C"/>
    <w:rsid w:val="003F24E8"/>
    <w:rsid w:val="003F27E9"/>
    <w:rsid w:val="003F2CE4"/>
    <w:rsid w:val="003F2F3F"/>
    <w:rsid w:val="003F32C6"/>
    <w:rsid w:val="003F36AB"/>
    <w:rsid w:val="003F39CC"/>
    <w:rsid w:val="003F4263"/>
    <w:rsid w:val="003F50D7"/>
    <w:rsid w:val="003F5755"/>
    <w:rsid w:val="003F5B7F"/>
    <w:rsid w:val="003F5CA9"/>
    <w:rsid w:val="003F60CC"/>
    <w:rsid w:val="003F66AC"/>
    <w:rsid w:val="003F6786"/>
    <w:rsid w:val="003F68A8"/>
    <w:rsid w:val="003F7067"/>
    <w:rsid w:val="003F792B"/>
    <w:rsid w:val="003F7EAE"/>
    <w:rsid w:val="0040011B"/>
    <w:rsid w:val="0040054A"/>
    <w:rsid w:val="004009A6"/>
    <w:rsid w:val="00400C1F"/>
    <w:rsid w:val="00402A7A"/>
    <w:rsid w:val="00402F74"/>
    <w:rsid w:val="004034A2"/>
    <w:rsid w:val="00403C87"/>
    <w:rsid w:val="00403D34"/>
    <w:rsid w:val="00403D3C"/>
    <w:rsid w:val="0040495B"/>
    <w:rsid w:val="00405616"/>
    <w:rsid w:val="004057D9"/>
    <w:rsid w:val="00405FBE"/>
    <w:rsid w:val="00406BBF"/>
    <w:rsid w:val="00406CD9"/>
    <w:rsid w:val="00407639"/>
    <w:rsid w:val="00410D96"/>
    <w:rsid w:val="00412401"/>
    <w:rsid w:val="004131A6"/>
    <w:rsid w:val="0041337D"/>
    <w:rsid w:val="00413513"/>
    <w:rsid w:val="00413BD6"/>
    <w:rsid w:val="004145A4"/>
    <w:rsid w:val="0041485B"/>
    <w:rsid w:val="00414C0B"/>
    <w:rsid w:val="004155CB"/>
    <w:rsid w:val="00415886"/>
    <w:rsid w:val="004158EC"/>
    <w:rsid w:val="00415F9A"/>
    <w:rsid w:val="00415F9E"/>
    <w:rsid w:val="004165D1"/>
    <w:rsid w:val="00417113"/>
    <w:rsid w:val="004179C8"/>
    <w:rsid w:val="00417AAB"/>
    <w:rsid w:val="00420754"/>
    <w:rsid w:val="00420CAC"/>
    <w:rsid w:val="00420DC3"/>
    <w:rsid w:val="00420FEB"/>
    <w:rsid w:val="004215EB"/>
    <w:rsid w:val="00421F3A"/>
    <w:rsid w:val="00422084"/>
    <w:rsid w:val="004220BF"/>
    <w:rsid w:val="0042259F"/>
    <w:rsid w:val="00422CA8"/>
    <w:rsid w:val="00422D49"/>
    <w:rsid w:val="00422E56"/>
    <w:rsid w:val="004238D6"/>
    <w:rsid w:val="004238F8"/>
    <w:rsid w:val="00423F0C"/>
    <w:rsid w:val="00424728"/>
    <w:rsid w:val="00424BE7"/>
    <w:rsid w:val="00424CE2"/>
    <w:rsid w:val="004258A2"/>
    <w:rsid w:val="004258D4"/>
    <w:rsid w:val="004259AB"/>
    <w:rsid w:val="00425B52"/>
    <w:rsid w:val="00425FE3"/>
    <w:rsid w:val="004264D7"/>
    <w:rsid w:val="00426769"/>
    <w:rsid w:val="00426CD2"/>
    <w:rsid w:val="00426FA3"/>
    <w:rsid w:val="00427BFB"/>
    <w:rsid w:val="004301DF"/>
    <w:rsid w:val="00430A8B"/>
    <w:rsid w:val="00430D8B"/>
    <w:rsid w:val="0043169E"/>
    <w:rsid w:val="00431919"/>
    <w:rsid w:val="00431F25"/>
    <w:rsid w:val="00432156"/>
    <w:rsid w:val="004324F3"/>
    <w:rsid w:val="0043286A"/>
    <w:rsid w:val="0043390B"/>
    <w:rsid w:val="0043394C"/>
    <w:rsid w:val="00433BBC"/>
    <w:rsid w:val="00433BF7"/>
    <w:rsid w:val="004346B8"/>
    <w:rsid w:val="00434808"/>
    <w:rsid w:val="00435BA2"/>
    <w:rsid w:val="00436215"/>
    <w:rsid w:val="00436866"/>
    <w:rsid w:val="00436A0D"/>
    <w:rsid w:val="00436A89"/>
    <w:rsid w:val="00436D97"/>
    <w:rsid w:val="0043764E"/>
    <w:rsid w:val="00437BB1"/>
    <w:rsid w:val="00440753"/>
    <w:rsid w:val="00440A1D"/>
    <w:rsid w:val="00441128"/>
    <w:rsid w:val="00441B3D"/>
    <w:rsid w:val="00442008"/>
    <w:rsid w:val="004421B2"/>
    <w:rsid w:val="004422B3"/>
    <w:rsid w:val="00442D8F"/>
    <w:rsid w:val="00443036"/>
    <w:rsid w:val="00444358"/>
    <w:rsid w:val="00444DF7"/>
    <w:rsid w:val="00445332"/>
    <w:rsid w:val="00445632"/>
    <w:rsid w:val="004458BB"/>
    <w:rsid w:val="00446593"/>
    <w:rsid w:val="0044663A"/>
    <w:rsid w:val="00446818"/>
    <w:rsid w:val="004476E1"/>
    <w:rsid w:val="0044789D"/>
    <w:rsid w:val="00447F3D"/>
    <w:rsid w:val="00450187"/>
    <w:rsid w:val="004504F6"/>
    <w:rsid w:val="00450D93"/>
    <w:rsid w:val="00450F6A"/>
    <w:rsid w:val="00451061"/>
    <w:rsid w:val="00451368"/>
    <w:rsid w:val="00451A16"/>
    <w:rsid w:val="004520BE"/>
    <w:rsid w:val="004536EC"/>
    <w:rsid w:val="0045373B"/>
    <w:rsid w:val="00453CEC"/>
    <w:rsid w:val="004543C8"/>
    <w:rsid w:val="00454752"/>
    <w:rsid w:val="004550DB"/>
    <w:rsid w:val="00455A54"/>
    <w:rsid w:val="0045711D"/>
    <w:rsid w:val="004577E3"/>
    <w:rsid w:val="00457A47"/>
    <w:rsid w:val="00460D72"/>
    <w:rsid w:val="004615BC"/>
    <w:rsid w:val="00461D64"/>
    <w:rsid w:val="00462132"/>
    <w:rsid w:val="00462715"/>
    <w:rsid w:val="00463666"/>
    <w:rsid w:val="00463A2D"/>
    <w:rsid w:val="00463D74"/>
    <w:rsid w:val="0046508C"/>
    <w:rsid w:val="00465FE9"/>
    <w:rsid w:val="00467446"/>
    <w:rsid w:val="00467C32"/>
    <w:rsid w:val="0047002F"/>
    <w:rsid w:val="0047019F"/>
    <w:rsid w:val="0047130E"/>
    <w:rsid w:val="00472B04"/>
    <w:rsid w:val="00472BB7"/>
    <w:rsid w:val="004731F5"/>
    <w:rsid w:val="0047350D"/>
    <w:rsid w:val="004735E2"/>
    <w:rsid w:val="0047397E"/>
    <w:rsid w:val="00473A22"/>
    <w:rsid w:val="004740A3"/>
    <w:rsid w:val="004741E3"/>
    <w:rsid w:val="00474A7A"/>
    <w:rsid w:val="00474EC9"/>
    <w:rsid w:val="004754D8"/>
    <w:rsid w:val="0047558C"/>
    <w:rsid w:val="004756A1"/>
    <w:rsid w:val="0047606F"/>
    <w:rsid w:val="004769CE"/>
    <w:rsid w:val="004776A8"/>
    <w:rsid w:val="00477E43"/>
    <w:rsid w:val="00480476"/>
    <w:rsid w:val="00480562"/>
    <w:rsid w:val="004805DE"/>
    <w:rsid w:val="00480C1C"/>
    <w:rsid w:val="00480C33"/>
    <w:rsid w:val="00481993"/>
    <w:rsid w:val="00481A6B"/>
    <w:rsid w:val="00481ADE"/>
    <w:rsid w:val="00482339"/>
    <w:rsid w:val="0048291B"/>
    <w:rsid w:val="00482C15"/>
    <w:rsid w:val="004843CE"/>
    <w:rsid w:val="00484AC0"/>
    <w:rsid w:val="004851AC"/>
    <w:rsid w:val="00485404"/>
    <w:rsid w:val="00485F7E"/>
    <w:rsid w:val="004865DF"/>
    <w:rsid w:val="004867D6"/>
    <w:rsid w:val="004868B9"/>
    <w:rsid w:val="00487A47"/>
    <w:rsid w:val="00487B05"/>
    <w:rsid w:val="004909E8"/>
    <w:rsid w:val="0049199A"/>
    <w:rsid w:val="00491D01"/>
    <w:rsid w:val="0049281B"/>
    <w:rsid w:val="00493EB6"/>
    <w:rsid w:val="00494096"/>
    <w:rsid w:val="00494393"/>
    <w:rsid w:val="00494406"/>
    <w:rsid w:val="004945C2"/>
    <w:rsid w:val="004946E6"/>
    <w:rsid w:val="00494820"/>
    <w:rsid w:val="0049595B"/>
    <w:rsid w:val="00495A50"/>
    <w:rsid w:val="00495DAE"/>
    <w:rsid w:val="004967F7"/>
    <w:rsid w:val="00496BC6"/>
    <w:rsid w:val="00497216"/>
    <w:rsid w:val="00497345"/>
    <w:rsid w:val="00497A2C"/>
    <w:rsid w:val="00497A82"/>
    <w:rsid w:val="004A06E0"/>
    <w:rsid w:val="004A17A5"/>
    <w:rsid w:val="004A202A"/>
    <w:rsid w:val="004A27CB"/>
    <w:rsid w:val="004A27E5"/>
    <w:rsid w:val="004A2907"/>
    <w:rsid w:val="004A2A72"/>
    <w:rsid w:val="004A2AD6"/>
    <w:rsid w:val="004A2FFC"/>
    <w:rsid w:val="004A419D"/>
    <w:rsid w:val="004A4C74"/>
    <w:rsid w:val="004A4EE5"/>
    <w:rsid w:val="004A519E"/>
    <w:rsid w:val="004A53E4"/>
    <w:rsid w:val="004A5547"/>
    <w:rsid w:val="004A63E6"/>
    <w:rsid w:val="004A6D36"/>
    <w:rsid w:val="004A7BF1"/>
    <w:rsid w:val="004A7C5B"/>
    <w:rsid w:val="004A7EB3"/>
    <w:rsid w:val="004B0841"/>
    <w:rsid w:val="004B1080"/>
    <w:rsid w:val="004B1BA9"/>
    <w:rsid w:val="004B2424"/>
    <w:rsid w:val="004B2587"/>
    <w:rsid w:val="004B3275"/>
    <w:rsid w:val="004B37B8"/>
    <w:rsid w:val="004B44DA"/>
    <w:rsid w:val="004B475E"/>
    <w:rsid w:val="004B47D4"/>
    <w:rsid w:val="004B52F0"/>
    <w:rsid w:val="004B59B7"/>
    <w:rsid w:val="004B5A80"/>
    <w:rsid w:val="004B5B40"/>
    <w:rsid w:val="004B6E60"/>
    <w:rsid w:val="004B7260"/>
    <w:rsid w:val="004B766E"/>
    <w:rsid w:val="004B7F29"/>
    <w:rsid w:val="004C01D5"/>
    <w:rsid w:val="004C04E6"/>
    <w:rsid w:val="004C0698"/>
    <w:rsid w:val="004C0766"/>
    <w:rsid w:val="004C0BAC"/>
    <w:rsid w:val="004C0E57"/>
    <w:rsid w:val="004C102D"/>
    <w:rsid w:val="004C1E6E"/>
    <w:rsid w:val="004C2026"/>
    <w:rsid w:val="004C2170"/>
    <w:rsid w:val="004C21AC"/>
    <w:rsid w:val="004C2782"/>
    <w:rsid w:val="004C2C56"/>
    <w:rsid w:val="004C2D63"/>
    <w:rsid w:val="004C2E34"/>
    <w:rsid w:val="004C2EDA"/>
    <w:rsid w:val="004C32A6"/>
    <w:rsid w:val="004C34BF"/>
    <w:rsid w:val="004C35C1"/>
    <w:rsid w:val="004C3626"/>
    <w:rsid w:val="004C3FC8"/>
    <w:rsid w:val="004C401E"/>
    <w:rsid w:val="004C40A7"/>
    <w:rsid w:val="004C4256"/>
    <w:rsid w:val="004C569E"/>
    <w:rsid w:val="004C5832"/>
    <w:rsid w:val="004C5977"/>
    <w:rsid w:val="004C5A29"/>
    <w:rsid w:val="004C5BB2"/>
    <w:rsid w:val="004C6121"/>
    <w:rsid w:val="004C6935"/>
    <w:rsid w:val="004C6C6B"/>
    <w:rsid w:val="004C74AA"/>
    <w:rsid w:val="004C7D29"/>
    <w:rsid w:val="004D0668"/>
    <w:rsid w:val="004D09C4"/>
    <w:rsid w:val="004D0D59"/>
    <w:rsid w:val="004D2AE8"/>
    <w:rsid w:val="004D323D"/>
    <w:rsid w:val="004D3251"/>
    <w:rsid w:val="004D3AB0"/>
    <w:rsid w:val="004D3C60"/>
    <w:rsid w:val="004D4B97"/>
    <w:rsid w:val="004D529B"/>
    <w:rsid w:val="004D56B9"/>
    <w:rsid w:val="004D595D"/>
    <w:rsid w:val="004D6154"/>
    <w:rsid w:val="004D62D0"/>
    <w:rsid w:val="004D6BE0"/>
    <w:rsid w:val="004D6FCF"/>
    <w:rsid w:val="004D72EE"/>
    <w:rsid w:val="004D7496"/>
    <w:rsid w:val="004D7909"/>
    <w:rsid w:val="004E126B"/>
    <w:rsid w:val="004E1A76"/>
    <w:rsid w:val="004E23DB"/>
    <w:rsid w:val="004E24AB"/>
    <w:rsid w:val="004E28FD"/>
    <w:rsid w:val="004E2C77"/>
    <w:rsid w:val="004E38DF"/>
    <w:rsid w:val="004E3C4E"/>
    <w:rsid w:val="004E46AE"/>
    <w:rsid w:val="004E4BAE"/>
    <w:rsid w:val="004E4C78"/>
    <w:rsid w:val="004E4D8A"/>
    <w:rsid w:val="004E4F36"/>
    <w:rsid w:val="004E4FD4"/>
    <w:rsid w:val="004E6182"/>
    <w:rsid w:val="004E63B5"/>
    <w:rsid w:val="004E6AEB"/>
    <w:rsid w:val="004E6FBC"/>
    <w:rsid w:val="004E7256"/>
    <w:rsid w:val="004E774D"/>
    <w:rsid w:val="004E7947"/>
    <w:rsid w:val="004F0395"/>
    <w:rsid w:val="004F055E"/>
    <w:rsid w:val="004F0C75"/>
    <w:rsid w:val="004F0FB3"/>
    <w:rsid w:val="004F1A06"/>
    <w:rsid w:val="004F1DF5"/>
    <w:rsid w:val="004F3185"/>
    <w:rsid w:val="004F385E"/>
    <w:rsid w:val="004F41DA"/>
    <w:rsid w:val="004F4437"/>
    <w:rsid w:val="004F450C"/>
    <w:rsid w:val="004F4DBF"/>
    <w:rsid w:val="004F5B23"/>
    <w:rsid w:val="004F5C27"/>
    <w:rsid w:val="004F6248"/>
    <w:rsid w:val="004F699B"/>
    <w:rsid w:val="004F6D7A"/>
    <w:rsid w:val="004F74BD"/>
    <w:rsid w:val="004F788F"/>
    <w:rsid w:val="004F7B45"/>
    <w:rsid w:val="004F7DD5"/>
    <w:rsid w:val="00500195"/>
    <w:rsid w:val="0050019E"/>
    <w:rsid w:val="0050043C"/>
    <w:rsid w:val="0050047D"/>
    <w:rsid w:val="005006B3"/>
    <w:rsid w:val="005008D3"/>
    <w:rsid w:val="00500E3F"/>
    <w:rsid w:val="00502300"/>
    <w:rsid w:val="00503E3E"/>
    <w:rsid w:val="005048C8"/>
    <w:rsid w:val="005065B4"/>
    <w:rsid w:val="00506BCB"/>
    <w:rsid w:val="00506DB4"/>
    <w:rsid w:val="005076E2"/>
    <w:rsid w:val="00507B05"/>
    <w:rsid w:val="00507C74"/>
    <w:rsid w:val="00507CE5"/>
    <w:rsid w:val="00507E06"/>
    <w:rsid w:val="00512696"/>
    <w:rsid w:val="0051271F"/>
    <w:rsid w:val="00512720"/>
    <w:rsid w:val="00512E76"/>
    <w:rsid w:val="00513783"/>
    <w:rsid w:val="00513A6C"/>
    <w:rsid w:val="00513FBF"/>
    <w:rsid w:val="0051445A"/>
    <w:rsid w:val="00514951"/>
    <w:rsid w:val="00514A0D"/>
    <w:rsid w:val="005156D6"/>
    <w:rsid w:val="00515779"/>
    <w:rsid w:val="0051596E"/>
    <w:rsid w:val="005159FD"/>
    <w:rsid w:val="005162AD"/>
    <w:rsid w:val="00516334"/>
    <w:rsid w:val="005166CF"/>
    <w:rsid w:val="00516B78"/>
    <w:rsid w:val="00516B84"/>
    <w:rsid w:val="005170BC"/>
    <w:rsid w:val="005170EF"/>
    <w:rsid w:val="00517DE6"/>
    <w:rsid w:val="0052003C"/>
    <w:rsid w:val="005207F8"/>
    <w:rsid w:val="00521CAB"/>
    <w:rsid w:val="00522293"/>
    <w:rsid w:val="00522913"/>
    <w:rsid w:val="0052331A"/>
    <w:rsid w:val="00523412"/>
    <w:rsid w:val="00523683"/>
    <w:rsid w:val="005244B4"/>
    <w:rsid w:val="00525175"/>
    <w:rsid w:val="005252E8"/>
    <w:rsid w:val="005253A8"/>
    <w:rsid w:val="00525583"/>
    <w:rsid w:val="005266A6"/>
    <w:rsid w:val="0052678F"/>
    <w:rsid w:val="00526847"/>
    <w:rsid w:val="00526E67"/>
    <w:rsid w:val="00526E89"/>
    <w:rsid w:val="0052799A"/>
    <w:rsid w:val="00527B42"/>
    <w:rsid w:val="00527C7C"/>
    <w:rsid w:val="00527E0A"/>
    <w:rsid w:val="00530327"/>
    <w:rsid w:val="00530CB1"/>
    <w:rsid w:val="0053195F"/>
    <w:rsid w:val="00532549"/>
    <w:rsid w:val="00533066"/>
    <w:rsid w:val="005333BC"/>
    <w:rsid w:val="00534078"/>
    <w:rsid w:val="005347C0"/>
    <w:rsid w:val="00534B3A"/>
    <w:rsid w:val="005358A5"/>
    <w:rsid w:val="0053671E"/>
    <w:rsid w:val="00536728"/>
    <w:rsid w:val="00536FBA"/>
    <w:rsid w:val="005373EF"/>
    <w:rsid w:val="005401CC"/>
    <w:rsid w:val="00540272"/>
    <w:rsid w:val="0054060E"/>
    <w:rsid w:val="00540629"/>
    <w:rsid w:val="005407A8"/>
    <w:rsid w:val="00540B80"/>
    <w:rsid w:val="005411D1"/>
    <w:rsid w:val="005416F4"/>
    <w:rsid w:val="005419D3"/>
    <w:rsid w:val="00541E6C"/>
    <w:rsid w:val="005421F1"/>
    <w:rsid w:val="005423E8"/>
    <w:rsid w:val="00542A6B"/>
    <w:rsid w:val="005434B5"/>
    <w:rsid w:val="00543D7C"/>
    <w:rsid w:val="00544645"/>
    <w:rsid w:val="0054489C"/>
    <w:rsid w:val="00544B3C"/>
    <w:rsid w:val="0054545A"/>
    <w:rsid w:val="005454AC"/>
    <w:rsid w:val="005457AA"/>
    <w:rsid w:val="00545AA5"/>
    <w:rsid w:val="0054657E"/>
    <w:rsid w:val="005467DD"/>
    <w:rsid w:val="00546FDA"/>
    <w:rsid w:val="00547F37"/>
    <w:rsid w:val="00550DD6"/>
    <w:rsid w:val="00550FEB"/>
    <w:rsid w:val="00551F79"/>
    <w:rsid w:val="00552B8F"/>
    <w:rsid w:val="00552D1D"/>
    <w:rsid w:val="005532F4"/>
    <w:rsid w:val="00553A40"/>
    <w:rsid w:val="005542F5"/>
    <w:rsid w:val="005544A9"/>
    <w:rsid w:val="005546FA"/>
    <w:rsid w:val="0055479B"/>
    <w:rsid w:val="00554B2D"/>
    <w:rsid w:val="00555133"/>
    <w:rsid w:val="0055539A"/>
    <w:rsid w:val="00555658"/>
    <w:rsid w:val="00555900"/>
    <w:rsid w:val="00555E65"/>
    <w:rsid w:val="0055695B"/>
    <w:rsid w:val="00556CCC"/>
    <w:rsid w:val="00556D17"/>
    <w:rsid w:val="00557264"/>
    <w:rsid w:val="005573E3"/>
    <w:rsid w:val="00557717"/>
    <w:rsid w:val="00560747"/>
    <w:rsid w:val="00560CA9"/>
    <w:rsid w:val="005615EE"/>
    <w:rsid w:val="00561EBC"/>
    <w:rsid w:val="00561F72"/>
    <w:rsid w:val="00562016"/>
    <w:rsid w:val="00562BB3"/>
    <w:rsid w:val="00562FAF"/>
    <w:rsid w:val="0056330A"/>
    <w:rsid w:val="0056375C"/>
    <w:rsid w:val="00564301"/>
    <w:rsid w:val="00564736"/>
    <w:rsid w:val="00565B11"/>
    <w:rsid w:val="00565BE6"/>
    <w:rsid w:val="00566638"/>
    <w:rsid w:val="00566B16"/>
    <w:rsid w:val="00567641"/>
    <w:rsid w:val="00567C50"/>
    <w:rsid w:val="00570498"/>
    <w:rsid w:val="00570CDF"/>
    <w:rsid w:val="00570CF1"/>
    <w:rsid w:val="005710B9"/>
    <w:rsid w:val="00571141"/>
    <w:rsid w:val="0057187C"/>
    <w:rsid w:val="00573730"/>
    <w:rsid w:val="00573F73"/>
    <w:rsid w:val="005746C4"/>
    <w:rsid w:val="00576042"/>
    <w:rsid w:val="005760D9"/>
    <w:rsid w:val="005767E8"/>
    <w:rsid w:val="005769EF"/>
    <w:rsid w:val="00576F48"/>
    <w:rsid w:val="00576F6B"/>
    <w:rsid w:val="005776B3"/>
    <w:rsid w:val="00577B76"/>
    <w:rsid w:val="00577D99"/>
    <w:rsid w:val="005806ED"/>
    <w:rsid w:val="00580A06"/>
    <w:rsid w:val="00580D3A"/>
    <w:rsid w:val="005814C6"/>
    <w:rsid w:val="00581737"/>
    <w:rsid w:val="005819E8"/>
    <w:rsid w:val="005825CA"/>
    <w:rsid w:val="00582AA2"/>
    <w:rsid w:val="00582CBE"/>
    <w:rsid w:val="00582E8C"/>
    <w:rsid w:val="00584069"/>
    <w:rsid w:val="005843E1"/>
    <w:rsid w:val="0058478C"/>
    <w:rsid w:val="00584B46"/>
    <w:rsid w:val="00584CBA"/>
    <w:rsid w:val="005850B5"/>
    <w:rsid w:val="0058562B"/>
    <w:rsid w:val="005857CB"/>
    <w:rsid w:val="00585B87"/>
    <w:rsid w:val="00585BEF"/>
    <w:rsid w:val="005860C8"/>
    <w:rsid w:val="0058626F"/>
    <w:rsid w:val="005864D4"/>
    <w:rsid w:val="00586935"/>
    <w:rsid w:val="00586D31"/>
    <w:rsid w:val="00587F99"/>
    <w:rsid w:val="00587FC1"/>
    <w:rsid w:val="005902C9"/>
    <w:rsid w:val="005902DB"/>
    <w:rsid w:val="005904F3"/>
    <w:rsid w:val="0059052E"/>
    <w:rsid w:val="005909A0"/>
    <w:rsid w:val="00590D1F"/>
    <w:rsid w:val="00590E8B"/>
    <w:rsid w:val="00591766"/>
    <w:rsid w:val="0059275E"/>
    <w:rsid w:val="00592FAD"/>
    <w:rsid w:val="0059332C"/>
    <w:rsid w:val="00593425"/>
    <w:rsid w:val="005938D1"/>
    <w:rsid w:val="00593D67"/>
    <w:rsid w:val="00594DDC"/>
    <w:rsid w:val="00594EB1"/>
    <w:rsid w:val="00594FD0"/>
    <w:rsid w:val="005962D8"/>
    <w:rsid w:val="005964D7"/>
    <w:rsid w:val="00596B5A"/>
    <w:rsid w:val="005976B7"/>
    <w:rsid w:val="0059799C"/>
    <w:rsid w:val="005A0012"/>
    <w:rsid w:val="005A0013"/>
    <w:rsid w:val="005A04BB"/>
    <w:rsid w:val="005A0595"/>
    <w:rsid w:val="005A091F"/>
    <w:rsid w:val="005A093E"/>
    <w:rsid w:val="005A0F1B"/>
    <w:rsid w:val="005A0F83"/>
    <w:rsid w:val="005A156A"/>
    <w:rsid w:val="005A15A4"/>
    <w:rsid w:val="005A1939"/>
    <w:rsid w:val="005A3206"/>
    <w:rsid w:val="005A3FA3"/>
    <w:rsid w:val="005A47AF"/>
    <w:rsid w:val="005A4AB4"/>
    <w:rsid w:val="005A4D2E"/>
    <w:rsid w:val="005A4FA3"/>
    <w:rsid w:val="005A558E"/>
    <w:rsid w:val="005A56C3"/>
    <w:rsid w:val="005A579D"/>
    <w:rsid w:val="005A5FA7"/>
    <w:rsid w:val="005A69CA"/>
    <w:rsid w:val="005A6A69"/>
    <w:rsid w:val="005A6B2A"/>
    <w:rsid w:val="005A7F2C"/>
    <w:rsid w:val="005B04E4"/>
    <w:rsid w:val="005B095A"/>
    <w:rsid w:val="005B11E1"/>
    <w:rsid w:val="005B1BCA"/>
    <w:rsid w:val="005B2598"/>
    <w:rsid w:val="005B38A9"/>
    <w:rsid w:val="005B3EA9"/>
    <w:rsid w:val="005B3EE9"/>
    <w:rsid w:val="005B4623"/>
    <w:rsid w:val="005B4CE3"/>
    <w:rsid w:val="005B5B60"/>
    <w:rsid w:val="005B5C10"/>
    <w:rsid w:val="005B6235"/>
    <w:rsid w:val="005B7482"/>
    <w:rsid w:val="005B74E2"/>
    <w:rsid w:val="005B7699"/>
    <w:rsid w:val="005B7777"/>
    <w:rsid w:val="005B7833"/>
    <w:rsid w:val="005B7A78"/>
    <w:rsid w:val="005B7ED3"/>
    <w:rsid w:val="005C013C"/>
    <w:rsid w:val="005C043D"/>
    <w:rsid w:val="005C10F2"/>
    <w:rsid w:val="005C1543"/>
    <w:rsid w:val="005C1715"/>
    <w:rsid w:val="005C1B57"/>
    <w:rsid w:val="005C1D4D"/>
    <w:rsid w:val="005C235B"/>
    <w:rsid w:val="005C2714"/>
    <w:rsid w:val="005C2AF5"/>
    <w:rsid w:val="005C3481"/>
    <w:rsid w:val="005C39F2"/>
    <w:rsid w:val="005C4733"/>
    <w:rsid w:val="005C48C1"/>
    <w:rsid w:val="005C52A0"/>
    <w:rsid w:val="005C5A79"/>
    <w:rsid w:val="005C5F67"/>
    <w:rsid w:val="005C6A74"/>
    <w:rsid w:val="005C6BD3"/>
    <w:rsid w:val="005C7648"/>
    <w:rsid w:val="005C79B7"/>
    <w:rsid w:val="005C7C77"/>
    <w:rsid w:val="005C7DEA"/>
    <w:rsid w:val="005C7FB1"/>
    <w:rsid w:val="005C7FCF"/>
    <w:rsid w:val="005D0E6B"/>
    <w:rsid w:val="005D1392"/>
    <w:rsid w:val="005D1783"/>
    <w:rsid w:val="005D1A83"/>
    <w:rsid w:val="005D1AAC"/>
    <w:rsid w:val="005D29EB"/>
    <w:rsid w:val="005D37FD"/>
    <w:rsid w:val="005D48DC"/>
    <w:rsid w:val="005D4C7F"/>
    <w:rsid w:val="005D4F01"/>
    <w:rsid w:val="005D4F7B"/>
    <w:rsid w:val="005D55DD"/>
    <w:rsid w:val="005D5DE6"/>
    <w:rsid w:val="005D5F3F"/>
    <w:rsid w:val="005D6248"/>
    <w:rsid w:val="005D6582"/>
    <w:rsid w:val="005D6697"/>
    <w:rsid w:val="005D6B6E"/>
    <w:rsid w:val="005D73BF"/>
    <w:rsid w:val="005D74D6"/>
    <w:rsid w:val="005E0475"/>
    <w:rsid w:val="005E0600"/>
    <w:rsid w:val="005E0807"/>
    <w:rsid w:val="005E0DF4"/>
    <w:rsid w:val="005E121B"/>
    <w:rsid w:val="005E1574"/>
    <w:rsid w:val="005E1868"/>
    <w:rsid w:val="005E1D9B"/>
    <w:rsid w:val="005E1DC9"/>
    <w:rsid w:val="005E2360"/>
    <w:rsid w:val="005E2B74"/>
    <w:rsid w:val="005E2EFD"/>
    <w:rsid w:val="005E2FE5"/>
    <w:rsid w:val="005E3301"/>
    <w:rsid w:val="005E34C6"/>
    <w:rsid w:val="005E35BA"/>
    <w:rsid w:val="005E370E"/>
    <w:rsid w:val="005E44BD"/>
    <w:rsid w:val="005E4D2C"/>
    <w:rsid w:val="005E4E33"/>
    <w:rsid w:val="005E5782"/>
    <w:rsid w:val="005E5CA1"/>
    <w:rsid w:val="005E5D28"/>
    <w:rsid w:val="005E652E"/>
    <w:rsid w:val="005E7A5F"/>
    <w:rsid w:val="005F09BF"/>
    <w:rsid w:val="005F0E44"/>
    <w:rsid w:val="005F0F7B"/>
    <w:rsid w:val="005F1A7C"/>
    <w:rsid w:val="005F1C28"/>
    <w:rsid w:val="005F260D"/>
    <w:rsid w:val="005F2A19"/>
    <w:rsid w:val="005F2CAD"/>
    <w:rsid w:val="005F2DE9"/>
    <w:rsid w:val="005F2E8F"/>
    <w:rsid w:val="005F3222"/>
    <w:rsid w:val="005F34B1"/>
    <w:rsid w:val="005F4270"/>
    <w:rsid w:val="005F43A6"/>
    <w:rsid w:val="005F4ACC"/>
    <w:rsid w:val="005F4DEA"/>
    <w:rsid w:val="005F55C4"/>
    <w:rsid w:val="005F5D18"/>
    <w:rsid w:val="005F666F"/>
    <w:rsid w:val="005F7069"/>
    <w:rsid w:val="005F70C1"/>
    <w:rsid w:val="005F71E6"/>
    <w:rsid w:val="006004FA"/>
    <w:rsid w:val="00600FE7"/>
    <w:rsid w:val="0060126C"/>
    <w:rsid w:val="0060198A"/>
    <w:rsid w:val="0060234E"/>
    <w:rsid w:val="00602B26"/>
    <w:rsid w:val="00603116"/>
    <w:rsid w:val="006039DF"/>
    <w:rsid w:val="00603C4F"/>
    <w:rsid w:val="0060497E"/>
    <w:rsid w:val="00604B0E"/>
    <w:rsid w:val="0060528C"/>
    <w:rsid w:val="00605765"/>
    <w:rsid w:val="0060594A"/>
    <w:rsid w:val="00605C67"/>
    <w:rsid w:val="00605CAA"/>
    <w:rsid w:val="00606AED"/>
    <w:rsid w:val="00606C9E"/>
    <w:rsid w:val="00607AE3"/>
    <w:rsid w:val="006115D9"/>
    <w:rsid w:val="006120B6"/>
    <w:rsid w:val="006126D6"/>
    <w:rsid w:val="00612EDC"/>
    <w:rsid w:val="00613336"/>
    <w:rsid w:val="006135B9"/>
    <w:rsid w:val="006135E6"/>
    <w:rsid w:val="0061399A"/>
    <w:rsid w:val="00613D93"/>
    <w:rsid w:val="0061563A"/>
    <w:rsid w:val="0061570C"/>
    <w:rsid w:val="00615FAE"/>
    <w:rsid w:val="0061672A"/>
    <w:rsid w:val="00616B3F"/>
    <w:rsid w:val="00616ED1"/>
    <w:rsid w:val="006171CB"/>
    <w:rsid w:val="00617A3A"/>
    <w:rsid w:val="006201C4"/>
    <w:rsid w:val="00620E20"/>
    <w:rsid w:val="00621306"/>
    <w:rsid w:val="00621C54"/>
    <w:rsid w:val="00622A64"/>
    <w:rsid w:val="00622A88"/>
    <w:rsid w:val="00622AF4"/>
    <w:rsid w:val="00623154"/>
    <w:rsid w:val="006231C7"/>
    <w:rsid w:val="006235ED"/>
    <w:rsid w:val="00624053"/>
    <w:rsid w:val="0062406D"/>
    <w:rsid w:val="00624238"/>
    <w:rsid w:val="0062543F"/>
    <w:rsid w:val="00625ACB"/>
    <w:rsid w:val="00626590"/>
    <w:rsid w:val="00626760"/>
    <w:rsid w:val="006269EC"/>
    <w:rsid w:val="00626E2B"/>
    <w:rsid w:val="00630468"/>
    <w:rsid w:val="006309E7"/>
    <w:rsid w:val="00630B93"/>
    <w:rsid w:val="006320A7"/>
    <w:rsid w:val="006326DE"/>
    <w:rsid w:val="0063356A"/>
    <w:rsid w:val="00633744"/>
    <w:rsid w:val="0063384D"/>
    <w:rsid w:val="00633BB6"/>
    <w:rsid w:val="00633D0E"/>
    <w:rsid w:val="00633DE6"/>
    <w:rsid w:val="00634D1A"/>
    <w:rsid w:val="006351F9"/>
    <w:rsid w:val="0063559E"/>
    <w:rsid w:val="00635640"/>
    <w:rsid w:val="00635CAD"/>
    <w:rsid w:val="00635D4D"/>
    <w:rsid w:val="00635DEF"/>
    <w:rsid w:val="00636A89"/>
    <w:rsid w:val="00636DAF"/>
    <w:rsid w:val="00637333"/>
    <w:rsid w:val="00637553"/>
    <w:rsid w:val="0063755E"/>
    <w:rsid w:val="0063769D"/>
    <w:rsid w:val="00637A2D"/>
    <w:rsid w:val="00640120"/>
    <w:rsid w:val="0064014E"/>
    <w:rsid w:val="00640D40"/>
    <w:rsid w:val="00641440"/>
    <w:rsid w:val="00641611"/>
    <w:rsid w:val="00641D12"/>
    <w:rsid w:val="00641D4D"/>
    <w:rsid w:val="006425F8"/>
    <w:rsid w:val="006427AD"/>
    <w:rsid w:val="0064287D"/>
    <w:rsid w:val="00642A51"/>
    <w:rsid w:val="00642DEB"/>
    <w:rsid w:val="00642F01"/>
    <w:rsid w:val="006432CD"/>
    <w:rsid w:val="00643EF9"/>
    <w:rsid w:val="00644398"/>
    <w:rsid w:val="00644B9B"/>
    <w:rsid w:val="00645CD9"/>
    <w:rsid w:val="00646B0C"/>
    <w:rsid w:val="00646E44"/>
    <w:rsid w:val="0064755E"/>
    <w:rsid w:val="006500F1"/>
    <w:rsid w:val="00650C83"/>
    <w:rsid w:val="00651F8A"/>
    <w:rsid w:val="006520F7"/>
    <w:rsid w:val="00654B2A"/>
    <w:rsid w:val="00656777"/>
    <w:rsid w:val="00660196"/>
    <w:rsid w:val="006601F0"/>
    <w:rsid w:val="006603DC"/>
    <w:rsid w:val="006603E5"/>
    <w:rsid w:val="00660FCB"/>
    <w:rsid w:val="006619D1"/>
    <w:rsid w:val="00661E37"/>
    <w:rsid w:val="006629F0"/>
    <w:rsid w:val="00662A31"/>
    <w:rsid w:val="00662EE4"/>
    <w:rsid w:val="0066364B"/>
    <w:rsid w:val="0066386C"/>
    <w:rsid w:val="006642F5"/>
    <w:rsid w:val="00665036"/>
    <w:rsid w:val="0066591B"/>
    <w:rsid w:val="00665A38"/>
    <w:rsid w:val="00665DD8"/>
    <w:rsid w:val="00665ED4"/>
    <w:rsid w:val="00666312"/>
    <w:rsid w:val="006665DA"/>
    <w:rsid w:val="006670E0"/>
    <w:rsid w:val="006671C0"/>
    <w:rsid w:val="00667280"/>
    <w:rsid w:val="006673FF"/>
    <w:rsid w:val="006675E7"/>
    <w:rsid w:val="006701FD"/>
    <w:rsid w:val="006702E3"/>
    <w:rsid w:val="0067051F"/>
    <w:rsid w:val="006709CE"/>
    <w:rsid w:val="006716F2"/>
    <w:rsid w:val="00672520"/>
    <w:rsid w:val="0067305D"/>
    <w:rsid w:val="0067382D"/>
    <w:rsid w:val="006738BE"/>
    <w:rsid w:val="006739FC"/>
    <w:rsid w:val="00674C99"/>
    <w:rsid w:val="00674DF2"/>
    <w:rsid w:val="00675110"/>
    <w:rsid w:val="006753C9"/>
    <w:rsid w:val="0067556E"/>
    <w:rsid w:val="00675FB2"/>
    <w:rsid w:val="006760BC"/>
    <w:rsid w:val="006762F1"/>
    <w:rsid w:val="006765EC"/>
    <w:rsid w:val="00676954"/>
    <w:rsid w:val="0067757E"/>
    <w:rsid w:val="00677718"/>
    <w:rsid w:val="006779E2"/>
    <w:rsid w:val="00677F65"/>
    <w:rsid w:val="00680087"/>
    <w:rsid w:val="006800BA"/>
    <w:rsid w:val="006806C3"/>
    <w:rsid w:val="006821E6"/>
    <w:rsid w:val="006826C2"/>
    <w:rsid w:val="00682988"/>
    <w:rsid w:val="00682FD3"/>
    <w:rsid w:val="00683B7D"/>
    <w:rsid w:val="0068475C"/>
    <w:rsid w:val="0068494C"/>
    <w:rsid w:val="00684BF8"/>
    <w:rsid w:val="00684C11"/>
    <w:rsid w:val="00685630"/>
    <w:rsid w:val="00685689"/>
    <w:rsid w:val="00685D17"/>
    <w:rsid w:val="00685DB5"/>
    <w:rsid w:val="00686325"/>
    <w:rsid w:val="00686502"/>
    <w:rsid w:val="006865F0"/>
    <w:rsid w:val="00687396"/>
    <w:rsid w:val="00687883"/>
    <w:rsid w:val="00687E87"/>
    <w:rsid w:val="0069040A"/>
    <w:rsid w:val="00690468"/>
    <w:rsid w:val="00690DF6"/>
    <w:rsid w:val="00691CD1"/>
    <w:rsid w:val="0069258F"/>
    <w:rsid w:val="00692FB3"/>
    <w:rsid w:val="00693175"/>
    <w:rsid w:val="00693499"/>
    <w:rsid w:val="00693513"/>
    <w:rsid w:val="00694249"/>
    <w:rsid w:val="0069426F"/>
    <w:rsid w:val="00694297"/>
    <w:rsid w:val="006957A1"/>
    <w:rsid w:val="00696BDB"/>
    <w:rsid w:val="00696D83"/>
    <w:rsid w:val="006973ED"/>
    <w:rsid w:val="0069744D"/>
    <w:rsid w:val="0069782A"/>
    <w:rsid w:val="006A09EA"/>
    <w:rsid w:val="006A0B20"/>
    <w:rsid w:val="006A1A0B"/>
    <w:rsid w:val="006A2EA7"/>
    <w:rsid w:val="006A3223"/>
    <w:rsid w:val="006A32F2"/>
    <w:rsid w:val="006A366D"/>
    <w:rsid w:val="006A376D"/>
    <w:rsid w:val="006A40CA"/>
    <w:rsid w:val="006A50AA"/>
    <w:rsid w:val="006A51B1"/>
    <w:rsid w:val="006A551A"/>
    <w:rsid w:val="006A5A29"/>
    <w:rsid w:val="006A6188"/>
    <w:rsid w:val="006A66E4"/>
    <w:rsid w:val="006A733A"/>
    <w:rsid w:val="006A7935"/>
    <w:rsid w:val="006A7993"/>
    <w:rsid w:val="006A7B78"/>
    <w:rsid w:val="006B0264"/>
    <w:rsid w:val="006B02AF"/>
    <w:rsid w:val="006B1557"/>
    <w:rsid w:val="006B1840"/>
    <w:rsid w:val="006B1B4B"/>
    <w:rsid w:val="006B1EEE"/>
    <w:rsid w:val="006B2829"/>
    <w:rsid w:val="006B298E"/>
    <w:rsid w:val="006B30F9"/>
    <w:rsid w:val="006B33BF"/>
    <w:rsid w:val="006B3C97"/>
    <w:rsid w:val="006B3D2B"/>
    <w:rsid w:val="006B4074"/>
    <w:rsid w:val="006B4E37"/>
    <w:rsid w:val="006B5C70"/>
    <w:rsid w:val="006B5D6F"/>
    <w:rsid w:val="006B6035"/>
    <w:rsid w:val="006B633C"/>
    <w:rsid w:val="006B6715"/>
    <w:rsid w:val="006B67A0"/>
    <w:rsid w:val="006B6D0D"/>
    <w:rsid w:val="006B7520"/>
    <w:rsid w:val="006B79C8"/>
    <w:rsid w:val="006C0068"/>
    <w:rsid w:val="006C0807"/>
    <w:rsid w:val="006C0968"/>
    <w:rsid w:val="006C0B53"/>
    <w:rsid w:val="006C1329"/>
    <w:rsid w:val="006C1D42"/>
    <w:rsid w:val="006C32D1"/>
    <w:rsid w:val="006C3DF1"/>
    <w:rsid w:val="006C4122"/>
    <w:rsid w:val="006C45EE"/>
    <w:rsid w:val="006C64CE"/>
    <w:rsid w:val="006C6A74"/>
    <w:rsid w:val="006C6AD8"/>
    <w:rsid w:val="006C76B4"/>
    <w:rsid w:val="006D055F"/>
    <w:rsid w:val="006D10C9"/>
    <w:rsid w:val="006D1A47"/>
    <w:rsid w:val="006D23FF"/>
    <w:rsid w:val="006D2E4C"/>
    <w:rsid w:val="006D2E98"/>
    <w:rsid w:val="006D42A2"/>
    <w:rsid w:val="006D42AD"/>
    <w:rsid w:val="006D4A50"/>
    <w:rsid w:val="006D4FF9"/>
    <w:rsid w:val="006D557D"/>
    <w:rsid w:val="006D5AFA"/>
    <w:rsid w:val="006D65DD"/>
    <w:rsid w:val="006D6B27"/>
    <w:rsid w:val="006D6D1E"/>
    <w:rsid w:val="006D7027"/>
    <w:rsid w:val="006D776F"/>
    <w:rsid w:val="006D7990"/>
    <w:rsid w:val="006D799C"/>
    <w:rsid w:val="006D7FE5"/>
    <w:rsid w:val="006E008F"/>
    <w:rsid w:val="006E0724"/>
    <w:rsid w:val="006E0758"/>
    <w:rsid w:val="006E0905"/>
    <w:rsid w:val="006E13D7"/>
    <w:rsid w:val="006E1B34"/>
    <w:rsid w:val="006E20C6"/>
    <w:rsid w:val="006E22BB"/>
    <w:rsid w:val="006E2A06"/>
    <w:rsid w:val="006E2DCE"/>
    <w:rsid w:val="006E362F"/>
    <w:rsid w:val="006E36F2"/>
    <w:rsid w:val="006E4400"/>
    <w:rsid w:val="006E4670"/>
    <w:rsid w:val="006E47F2"/>
    <w:rsid w:val="006E49F1"/>
    <w:rsid w:val="006E5626"/>
    <w:rsid w:val="006E65B5"/>
    <w:rsid w:val="006E66F1"/>
    <w:rsid w:val="006E6BFD"/>
    <w:rsid w:val="006E78C2"/>
    <w:rsid w:val="006F0273"/>
    <w:rsid w:val="006F0526"/>
    <w:rsid w:val="006F09D6"/>
    <w:rsid w:val="006F0A48"/>
    <w:rsid w:val="006F0DE5"/>
    <w:rsid w:val="006F12E4"/>
    <w:rsid w:val="006F14A7"/>
    <w:rsid w:val="006F1569"/>
    <w:rsid w:val="006F1F74"/>
    <w:rsid w:val="006F26EF"/>
    <w:rsid w:val="006F28E3"/>
    <w:rsid w:val="006F2F12"/>
    <w:rsid w:val="006F33F4"/>
    <w:rsid w:val="006F39EB"/>
    <w:rsid w:val="006F3F4E"/>
    <w:rsid w:val="006F40B9"/>
    <w:rsid w:val="006F440C"/>
    <w:rsid w:val="006F50C3"/>
    <w:rsid w:val="006F53E8"/>
    <w:rsid w:val="006F555C"/>
    <w:rsid w:val="006F5BEF"/>
    <w:rsid w:val="006F5DAB"/>
    <w:rsid w:val="006F61C4"/>
    <w:rsid w:val="006F6508"/>
    <w:rsid w:val="006F69B6"/>
    <w:rsid w:val="006F7121"/>
    <w:rsid w:val="00700C09"/>
    <w:rsid w:val="00701D8E"/>
    <w:rsid w:val="00702C6E"/>
    <w:rsid w:val="00704451"/>
    <w:rsid w:val="00704A4A"/>
    <w:rsid w:val="00704B8B"/>
    <w:rsid w:val="00704BF9"/>
    <w:rsid w:val="00704F96"/>
    <w:rsid w:val="00705033"/>
    <w:rsid w:val="00705047"/>
    <w:rsid w:val="00705294"/>
    <w:rsid w:val="007052B8"/>
    <w:rsid w:val="007053B4"/>
    <w:rsid w:val="00705840"/>
    <w:rsid w:val="00706114"/>
    <w:rsid w:val="0070623F"/>
    <w:rsid w:val="00706566"/>
    <w:rsid w:val="0070656D"/>
    <w:rsid w:val="00706F82"/>
    <w:rsid w:val="00707328"/>
    <w:rsid w:val="00707518"/>
    <w:rsid w:val="007079F3"/>
    <w:rsid w:val="00707D8C"/>
    <w:rsid w:val="0071072D"/>
    <w:rsid w:val="00710D21"/>
    <w:rsid w:val="00710E2A"/>
    <w:rsid w:val="00711308"/>
    <w:rsid w:val="00711A77"/>
    <w:rsid w:val="00711CB2"/>
    <w:rsid w:val="00711DEB"/>
    <w:rsid w:val="0071246E"/>
    <w:rsid w:val="00713239"/>
    <w:rsid w:val="00713A7F"/>
    <w:rsid w:val="007140ED"/>
    <w:rsid w:val="007143EA"/>
    <w:rsid w:val="00714F4B"/>
    <w:rsid w:val="00715919"/>
    <w:rsid w:val="00715BD7"/>
    <w:rsid w:val="00715C46"/>
    <w:rsid w:val="0071606C"/>
    <w:rsid w:val="00716207"/>
    <w:rsid w:val="00716419"/>
    <w:rsid w:val="007168E6"/>
    <w:rsid w:val="00717231"/>
    <w:rsid w:val="007176D9"/>
    <w:rsid w:val="007208A4"/>
    <w:rsid w:val="007209E9"/>
    <w:rsid w:val="00721B4A"/>
    <w:rsid w:val="007222E8"/>
    <w:rsid w:val="00722603"/>
    <w:rsid w:val="0072289E"/>
    <w:rsid w:val="00723DD4"/>
    <w:rsid w:val="00724354"/>
    <w:rsid w:val="007243CA"/>
    <w:rsid w:val="007246FB"/>
    <w:rsid w:val="00724C1F"/>
    <w:rsid w:val="00725744"/>
    <w:rsid w:val="00725F33"/>
    <w:rsid w:val="007265C7"/>
    <w:rsid w:val="00726A84"/>
    <w:rsid w:val="00726D77"/>
    <w:rsid w:val="00727774"/>
    <w:rsid w:val="00727A4C"/>
    <w:rsid w:val="00730303"/>
    <w:rsid w:val="007306D5"/>
    <w:rsid w:val="0073096D"/>
    <w:rsid w:val="00730D40"/>
    <w:rsid w:val="00730DC5"/>
    <w:rsid w:val="007311E1"/>
    <w:rsid w:val="00731517"/>
    <w:rsid w:val="0073178D"/>
    <w:rsid w:val="00731BE2"/>
    <w:rsid w:val="00731E16"/>
    <w:rsid w:val="00731EF2"/>
    <w:rsid w:val="007320DA"/>
    <w:rsid w:val="00732C45"/>
    <w:rsid w:val="00732EBE"/>
    <w:rsid w:val="0073384A"/>
    <w:rsid w:val="00734186"/>
    <w:rsid w:val="00734C18"/>
    <w:rsid w:val="00734FD0"/>
    <w:rsid w:val="00735745"/>
    <w:rsid w:val="007368F4"/>
    <w:rsid w:val="0073699E"/>
    <w:rsid w:val="00736A75"/>
    <w:rsid w:val="00737BF5"/>
    <w:rsid w:val="00737F24"/>
    <w:rsid w:val="007400AC"/>
    <w:rsid w:val="00740419"/>
    <w:rsid w:val="007410A6"/>
    <w:rsid w:val="0074166B"/>
    <w:rsid w:val="00741702"/>
    <w:rsid w:val="00741DC9"/>
    <w:rsid w:val="007421F3"/>
    <w:rsid w:val="007423A9"/>
    <w:rsid w:val="00742475"/>
    <w:rsid w:val="00742B32"/>
    <w:rsid w:val="00742E41"/>
    <w:rsid w:val="00743183"/>
    <w:rsid w:val="00743F27"/>
    <w:rsid w:val="007448FD"/>
    <w:rsid w:val="00744C80"/>
    <w:rsid w:val="00744D57"/>
    <w:rsid w:val="0074534F"/>
    <w:rsid w:val="007461AD"/>
    <w:rsid w:val="00747139"/>
    <w:rsid w:val="00747488"/>
    <w:rsid w:val="00747695"/>
    <w:rsid w:val="007502C2"/>
    <w:rsid w:val="007502D6"/>
    <w:rsid w:val="007504C9"/>
    <w:rsid w:val="007508F2"/>
    <w:rsid w:val="00750D9C"/>
    <w:rsid w:val="00751292"/>
    <w:rsid w:val="00751369"/>
    <w:rsid w:val="00751573"/>
    <w:rsid w:val="00751D57"/>
    <w:rsid w:val="007528EC"/>
    <w:rsid w:val="00752AA2"/>
    <w:rsid w:val="00752F25"/>
    <w:rsid w:val="0075391C"/>
    <w:rsid w:val="00753C06"/>
    <w:rsid w:val="0075548F"/>
    <w:rsid w:val="00755805"/>
    <w:rsid w:val="00755AA4"/>
    <w:rsid w:val="007560D5"/>
    <w:rsid w:val="007564FB"/>
    <w:rsid w:val="007577E8"/>
    <w:rsid w:val="007577F3"/>
    <w:rsid w:val="00757A2E"/>
    <w:rsid w:val="00757C51"/>
    <w:rsid w:val="00757E5B"/>
    <w:rsid w:val="00757FA5"/>
    <w:rsid w:val="007600A0"/>
    <w:rsid w:val="007606C4"/>
    <w:rsid w:val="00761096"/>
    <w:rsid w:val="007614A0"/>
    <w:rsid w:val="00761887"/>
    <w:rsid w:val="007619DF"/>
    <w:rsid w:val="007637D5"/>
    <w:rsid w:val="00763C61"/>
    <w:rsid w:val="00764199"/>
    <w:rsid w:val="00764268"/>
    <w:rsid w:val="00764996"/>
    <w:rsid w:val="00765563"/>
    <w:rsid w:val="007663EB"/>
    <w:rsid w:val="00767442"/>
    <w:rsid w:val="007674B1"/>
    <w:rsid w:val="00767D64"/>
    <w:rsid w:val="00770889"/>
    <w:rsid w:val="00772D05"/>
    <w:rsid w:val="007738E9"/>
    <w:rsid w:val="00773A3F"/>
    <w:rsid w:val="00774160"/>
    <w:rsid w:val="0077465D"/>
    <w:rsid w:val="007747AD"/>
    <w:rsid w:val="00774D15"/>
    <w:rsid w:val="007752B3"/>
    <w:rsid w:val="0077550D"/>
    <w:rsid w:val="00775635"/>
    <w:rsid w:val="00775975"/>
    <w:rsid w:val="007768A2"/>
    <w:rsid w:val="00777F20"/>
    <w:rsid w:val="0078077F"/>
    <w:rsid w:val="007809ED"/>
    <w:rsid w:val="00781A4F"/>
    <w:rsid w:val="007823B7"/>
    <w:rsid w:val="00782CF1"/>
    <w:rsid w:val="00782D21"/>
    <w:rsid w:val="00782E95"/>
    <w:rsid w:val="007832A7"/>
    <w:rsid w:val="0078337B"/>
    <w:rsid w:val="0078459C"/>
    <w:rsid w:val="007849E7"/>
    <w:rsid w:val="00785650"/>
    <w:rsid w:val="007857D6"/>
    <w:rsid w:val="00786696"/>
    <w:rsid w:val="00786834"/>
    <w:rsid w:val="0078692B"/>
    <w:rsid w:val="0078786E"/>
    <w:rsid w:val="00787C25"/>
    <w:rsid w:val="00787ED6"/>
    <w:rsid w:val="00790017"/>
    <w:rsid w:val="00790412"/>
    <w:rsid w:val="00790541"/>
    <w:rsid w:val="0079075D"/>
    <w:rsid w:val="007912ED"/>
    <w:rsid w:val="0079177D"/>
    <w:rsid w:val="00791E9C"/>
    <w:rsid w:val="00792B63"/>
    <w:rsid w:val="00792DFD"/>
    <w:rsid w:val="007951A1"/>
    <w:rsid w:val="00795836"/>
    <w:rsid w:val="007959F2"/>
    <w:rsid w:val="00795C0D"/>
    <w:rsid w:val="007968CA"/>
    <w:rsid w:val="00797873"/>
    <w:rsid w:val="007979CF"/>
    <w:rsid w:val="00797F2B"/>
    <w:rsid w:val="007A00B0"/>
    <w:rsid w:val="007A02DA"/>
    <w:rsid w:val="007A0EB2"/>
    <w:rsid w:val="007A13FF"/>
    <w:rsid w:val="007A160D"/>
    <w:rsid w:val="007A18B8"/>
    <w:rsid w:val="007A1924"/>
    <w:rsid w:val="007A1A8D"/>
    <w:rsid w:val="007A1ADF"/>
    <w:rsid w:val="007A2004"/>
    <w:rsid w:val="007A235D"/>
    <w:rsid w:val="007A2E3A"/>
    <w:rsid w:val="007A334A"/>
    <w:rsid w:val="007A35B7"/>
    <w:rsid w:val="007A36A8"/>
    <w:rsid w:val="007A3797"/>
    <w:rsid w:val="007A3AB4"/>
    <w:rsid w:val="007A3FED"/>
    <w:rsid w:val="007A461A"/>
    <w:rsid w:val="007A4D73"/>
    <w:rsid w:val="007A4F32"/>
    <w:rsid w:val="007A5013"/>
    <w:rsid w:val="007A522F"/>
    <w:rsid w:val="007A55AB"/>
    <w:rsid w:val="007A56D7"/>
    <w:rsid w:val="007A585E"/>
    <w:rsid w:val="007A5E45"/>
    <w:rsid w:val="007A7555"/>
    <w:rsid w:val="007A7842"/>
    <w:rsid w:val="007A78F7"/>
    <w:rsid w:val="007A7981"/>
    <w:rsid w:val="007A7F25"/>
    <w:rsid w:val="007B01B2"/>
    <w:rsid w:val="007B0BBB"/>
    <w:rsid w:val="007B0CA2"/>
    <w:rsid w:val="007B157F"/>
    <w:rsid w:val="007B168E"/>
    <w:rsid w:val="007B189B"/>
    <w:rsid w:val="007B22F4"/>
    <w:rsid w:val="007B289A"/>
    <w:rsid w:val="007B2C49"/>
    <w:rsid w:val="007B3802"/>
    <w:rsid w:val="007B46FA"/>
    <w:rsid w:val="007B4E04"/>
    <w:rsid w:val="007B4F63"/>
    <w:rsid w:val="007B4FF6"/>
    <w:rsid w:val="007B54C8"/>
    <w:rsid w:val="007B6296"/>
    <w:rsid w:val="007B6A55"/>
    <w:rsid w:val="007B6ED9"/>
    <w:rsid w:val="007B73D9"/>
    <w:rsid w:val="007B746B"/>
    <w:rsid w:val="007C0B07"/>
    <w:rsid w:val="007C0E2B"/>
    <w:rsid w:val="007C11BB"/>
    <w:rsid w:val="007C13F8"/>
    <w:rsid w:val="007C1925"/>
    <w:rsid w:val="007C1D7A"/>
    <w:rsid w:val="007C2125"/>
    <w:rsid w:val="007C2E56"/>
    <w:rsid w:val="007C311C"/>
    <w:rsid w:val="007C3AE6"/>
    <w:rsid w:val="007C3E6E"/>
    <w:rsid w:val="007C43E3"/>
    <w:rsid w:val="007C4697"/>
    <w:rsid w:val="007C495C"/>
    <w:rsid w:val="007C4D58"/>
    <w:rsid w:val="007C5387"/>
    <w:rsid w:val="007C55A9"/>
    <w:rsid w:val="007C56D3"/>
    <w:rsid w:val="007C76D4"/>
    <w:rsid w:val="007D0426"/>
    <w:rsid w:val="007D0580"/>
    <w:rsid w:val="007D108D"/>
    <w:rsid w:val="007D1128"/>
    <w:rsid w:val="007D1881"/>
    <w:rsid w:val="007D19E8"/>
    <w:rsid w:val="007D22F2"/>
    <w:rsid w:val="007D2CC0"/>
    <w:rsid w:val="007D2ED4"/>
    <w:rsid w:val="007D3986"/>
    <w:rsid w:val="007D3B83"/>
    <w:rsid w:val="007D416A"/>
    <w:rsid w:val="007D4272"/>
    <w:rsid w:val="007D51B0"/>
    <w:rsid w:val="007D540D"/>
    <w:rsid w:val="007D5E33"/>
    <w:rsid w:val="007D6136"/>
    <w:rsid w:val="007D6AD8"/>
    <w:rsid w:val="007D7964"/>
    <w:rsid w:val="007D7DE7"/>
    <w:rsid w:val="007E07A0"/>
    <w:rsid w:val="007E0B0E"/>
    <w:rsid w:val="007E1600"/>
    <w:rsid w:val="007E1BC0"/>
    <w:rsid w:val="007E256D"/>
    <w:rsid w:val="007E322C"/>
    <w:rsid w:val="007E355C"/>
    <w:rsid w:val="007E3658"/>
    <w:rsid w:val="007E3A01"/>
    <w:rsid w:val="007E44DE"/>
    <w:rsid w:val="007E4954"/>
    <w:rsid w:val="007E4BCC"/>
    <w:rsid w:val="007E4EC6"/>
    <w:rsid w:val="007E53EC"/>
    <w:rsid w:val="007E543E"/>
    <w:rsid w:val="007E66D9"/>
    <w:rsid w:val="007E6BD1"/>
    <w:rsid w:val="007E6D54"/>
    <w:rsid w:val="007E70FE"/>
    <w:rsid w:val="007F0162"/>
    <w:rsid w:val="007F06D6"/>
    <w:rsid w:val="007F071F"/>
    <w:rsid w:val="007F136B"/>
    <w:rsid w:val="007F1E04"/>
    <w:rsid w:val="007F250D"/>
    <w:rsid w:val="007F2624"/>
    <w:rsid w:val="007F2A17"/>
    <w:rsid w:val="007F425A"/>
    <w:rsid w:val="007F47B8"/>
    <w:rsid w:val="007F4A04"/>
    <w:rsid w:val="007F5648"/>
    <w:rsid w:val="007F5E0B"/>
    <w:rsid w:val="007F6562"/>
    <w:rsid w:val="007F69AC"/>
    <w:rsid w:val="007F72C5"/>
    <w:rsid w:val="007F7364"/>
    <w:rsid w:val="007F7898"/>
    <w:rsid w:val="008000BA"/>
    <w:rsid w:val="008000D4"/>
    <w:rsid w:val="00800223"/>
    <w:rsid w:val="00800B3F"/>
    <w:rsid w:val="0080150F"/>
    <w:rsid w:val="008017CA"/>
    <w:rsid w:val="00802284"/>
    <w:rsid w:val="008022DD"/>
    <w:rsid w:val="00802488"/>
    <w:rsid w:val="0080265A"/>
    <w:rsid w:val="00803082"/>
    <w:rsid w:val="00803882"/>
    <w:rsid w:val="00804304"/>
    <w:rsid w:val="008045EF"/>
    <w:rsid w:val="00804948"/>
    <w:rsid w:val="00804C59"/>
    <w:rsid w:val="008059F2"/>
    <w:rsid w:val="008060C1"/>
    <w:rsid w:val="00806604"/>
    <w:rsid w:val="0080691D"/>
    <w:rsid w:val="00806B2B"/>
    <w:rsid w:val="00806B56"/>
    <w:rsid w:val="00810198"/>
    <w:rsid w:val="008103EF"/>
    <w:rsid w:val="0081045F"/>
    <w:rsid w:val="008107E5"/>
    <w:rsid w:val="00811AF6"/>
    <w:rsid w:val="00811B5E"/>
    <w:rsid w:val="00811BA2"/>
    <w:rsid w:val="00811F32"/>
    <w:rsid w:val="00812218"/>
    <w:rsid w:val="00812337"/>
    <w:rsid w:val="00812842"/>
    <w:rsid w:val="00812F94"/>
    <w:rsid w:val="008137B2"/>
    <w:rsid w:val="008138E6"/>
    <w:rsid w:val="0081397F"/>
    <w:rsid w:val="0081516E"/>
    <w:rsid w:val="00815740"/>
    <w:rsid w:val="00815C0B"/>
    <w:rsid w:val="0081624F"/>
    <w:rsid w:val="008163FE"/>
    <w:rsid w:val="00816587"/>
    <w:rsid w:val="00816A69"/>
    <w:rsid w:val="00816ED4"/>
    <w:rsid w:val="00817734"/>
    <w:rsid w:val="008178FA"/>
    <w:rsid w:val="00817E51"/>
    <w:rsid w:val="00820306"/>
    <w:rsid w:val="008203AE"/>
    <w:rsid w:val="00820413"/>
    <w:rsid w:val="0082043E"/>
    <w:rsid w:val="00820556"/>
    <w:rsid w:val="00820A0C"/>
    <w:rsid w:val="00820EE5"/>
    <w:rsid w:val="008212C3"/>
    <w:rsid w:val="008212EB"/>
    <w:rsid w:val="00822361"/>
    <w:rsid w:val="008225FD"/>
    <w:rsid w:val="0082275A"/>
    <w:rsid w:val="00822909"/>
    <w:rsid w:val="00822D41"/>
    <w:rsid w:val="00824F7B"/>
    <w:rsid w:val="00825120"/>
    <w:rsid w:val="00825144"/>
    <w:rsid w:val="008251B7"/>
    <w:rsid w:val="008254A0"/>
    <w:rsid w:val="00826B1C"/>
    <w:rsid w:val="008274EB"/>
    <w:rsid w:val="00827595"/>
    <w:rsid w:val="008277AB"/>
    <w:rsid w:val="00827B1A"/>
    <w:rsid w:val="00827F96"/>
    <w:rsid w:val="008305A2"/>
    <w:rsid w:val="00830AA0"/>
    <w:rsid w:val="00831A49"/>
    <w:rsid w:val="008321A0"/>
    <w:rsid w:val="00833789"/>
    <w:rsid w:val="00833BBE"/>
    <w:rsid w:val="00833F45"/>
    <w:rsid w:val="008345A8"/>
    <w:rsid w:val="00834F61"/>
    <w:rsid w:val="0083569A"/>
    <w:rsid w:val="008363E7"/>
    <w:rsid w:val="00836E79"/>
    <w:rsid w:val="0083787F"/>
    <w:rsid w:val="008401FB"/>
    <w:rsid w:val="00840D1F"/>
    <w:rsid w:val="008413C7"/>
    <w:rsid w:val="0084206A"/>
    <w:rsid w:val="00843B79"/>
    <w:rsid w:val="00843CBA"/>
    <w:rsid w:val="00844D34"/>
    <w:rsid w:val="00844E9F"/>
    <w:rsid w:val="0084644C"/>
    <w:rsid w:val="00846994"/>
    <w:rsid w:val="00846D71"/>
    <w:rsid w:val="00847B4F"/>
    <w:rsid w:val="0085026C"/>
    <w:rsid w:val="008521BF"/>
    <w:rsid w:val="008522C9"/>
    <w:rsid w:val="008522EB"/>
    <w:rsid w:val="00852D7C"/>
    <w:rsid w:val="0085312C"/>
    <w:rsid w:val="008537EF"/>
    <w:rsid w:val="00853B84"/>
    <w:rsid w:val="00855F35"/>
    <w:rsid w:val="00855F86"/>
    <w:rsid w:val="00856288"/>
    <w:rsid w:val="008565C0"/>
    <w:rsid w:val="00856898"/>
    <w:rsid w:val="00856E8D"/>
    <w:rsid w:val="0085766C"/>
    <w:rsid w:val="00857B29"/>
    <w:rsid w:val="00857B33"/>
    <w:rsid w:val="00860344"/>
    <w:rsid w:val="00860545"/>
    <w:rsid w:val="008606EB"/>
    <w:rsid w:val="008608B0"/>
    <w:rsid w:val="00861F3B"/>
    <w:rsid w:val="00862A9C"/>
    <w:rsid w:val="00863593"/>
    <w:rsid w:val="00863F78"/>
    <w:rsid w:val="008640D8"/>
    <w:rsid w:val="00864845"/>
    <w:rsid w:val="008656F9"/>
    <w:rsid w:val="00865847"/>
    <w:rsid w:val="008664B4"/>
    <w:rsid w:val="008675BB"/>
    <w:rsid w:val="00867BA8"/>
    <w:rsid w:val="008708BE"/>
    <w:rsid w:val="00870A28"/>
    <w:rsid w:val="00870EB7"/>
    <w:rsid w:val="008711A2"/>
    <w:rsid w:val="0087124E"/>
    <w:rsid w:val="00871525"/>
    <w:rsid w:val="008717B1"/>
    <w:rsid w:val="00871840"/>
    <w:rsid w:val="00872A2A"/>
    <w:rsid w:val="00872AA7"/>
    <w:rsid w:val="00872DB2"/>
    <w:rsid w:val="0087300A"/>
    <w:rsid w:val="00873B3C"/>
    <w:rsid w:val="00873CBA"/>
    <w:rsid w:val="00873D2A"/>
    <w:rsid w:val="00873DD2"/>
    <w:rsid w:val="008750DE"/>
    <w:rsid w:val="00875453"/>
    <w:rsid w:val="00875718"/>
    <w:rsid w:val="00875C68"/>
    <w:rsid w:val="00876591"/>
    <w:rsid w:val="008766D6"/>
    <w:rsid w:val="00876F1C"/>
    <w:rsid w:val="00877007"/>
    <w:rsid w:val="00877107"/>
    <w:rsid w:val="008775D7"/>
    <w:rsid w:val="008779AA"/>
    <w:rsid w:val="00877BF9"/>
    <w:rsid w:val="00880F89"/>
    <w:rsid w:val="00881364"/>
    <w:rsid w:val="00881569"/>
    <w:rsid w:val="00881AC8"/>
    <w:rsid w:val="00881CC2"/>
    <w:rsid w:val="00882789"/>
    <w:rsid w:val="00882BAB"/>
    <w:rsid w:val="00883010"/>
    <w:rsid w:val="0088324B"/>
    <w:rsid w:val="008836B4"/>
    <w:rsid w:val="00883714"/>
    <w:rsid w:val="00883A54"/>
    <w:rsid w:val="00884213"/>
    <w:rsid w:val="0088433C"/>
    <w:rsid w:val="00884383"/>
    <w:rsid w:val="008844C4"/>
    <w:rsid w:val="00885281"/>
    <w:rsid w:val="00885CC7"/>
    <w:rsid w:val="008863BD"/>
    <w:rsid w:val="0088669F"/>
    <w:rsid w:val="0088677C"/>
    <w:rsid w:val="00887287"/>
    <w:rsid w:val="00887460"/>
    <w:rsid w:val="00887492"/>
    <w:rsid w:val="00890BF3"/>
    <w:rsid w:val="008910E5"/>
    <w:rsid w:val="0089144D"/>
    <w:rsid w:val="008915B7"/>
    <w:rsid w:val="00892CAA"/>
    <w:rsid w:val="008932C5"/>
    <w:rsid w:val="00893641"/>
    <w:rsid w:val="008937AA"/>
    <w:rsid w:val="00893E25"/>
    <w:rsid w:val="008946EE"/>
    <w:rsid w:val="00896156"/>
    <w:rsid w:val="008961A6"/>
    <w:rsid w:val="00896CB4"/>
    <w:rsid w:val="008971C0"/>
    <w:rsid w:val="008974F8"/>
    <w:rsid w:val="0089769A"/>
    <w:rsid w:val="00897772"/>
    <w:rsid w:val="00897AB3"/>
    <w:rsid w:val="008A04BD"/>
    <w:rsid w:val="008A0FB5"/>
    <w:rsid w:val="008A0FB6"/>
    <w:rsid w:val="008A1990"/>
    <w:rsid w:val="008A2D3C"/>
    <w:rsid w:val="008A2F36"/>
    <w:rsid w:val="008A317F"/>
    <w:rsid w:val="008A4C0F"/>
    <w:rsid w:val="008A50B6"/>
    <w:rsid w:val="008A56E2"/>
    <w:rsid w:val="008A5A93"/>
    <w:rsid w:val="008A5DFC"/>
    <w:rsid w:val="008A6F30"/>
    <w:rsid w:val="008B0098"/>
    <w:rsid w:val="008B06B7"/>
    <w:rsid w:val="008B0952"/>
    <w:rsid w:val="008B0BC7"/>
    <w:rsid w:val="008B14F3"/>
    <w:rsid w:val="008B1530"/>
    <w:rsid w:val="008B30EE"/>
    <w:rsid w:val="008B3318"/>
    <w:rsid w:val="008B3AF6"/>
    <w:rsid w:val="008B3C72"/>
    <w:rsid w:val="008B3CBD"/>
    <w:rsid w:val="008B414E"/>
    <w:rsid w:val="008B5C08"/>
    <w:rsid w:val="008B60EF"/>
    <w:rsid w:val="008B718C"/>
    <w:rsid w:val="008B7347"/>
    <w:rsid w:val="008C083B"/>
    <w:rsid w:val="008C0E14"/>
    <w:rsid w:val="008C1155"/>
    <w:rsid w:val="008C1CE6"/>
    <w:rsid w:val="008C2393"/>
    <w:rsid w:val="008C2CA5"/>
    <w:rsid w:val="008C367C"/>
    <w:rsid w:val="008C4C2D"/>
    <w:rsid w:val="008C5098"/>
    <w:rsid w:val="008C57B8"/>
    <w:rsid w:val="008C5A4E"/>
    <w:rsid w:val="008C609B"/>
    <w:rsid w:val="008C642C"/>
    <w:rsid w:val="008C7068"/>
    <w:rsid w:val="008C7428"/>
    <w:rsid w:val="008C7636"/>
    <w:rsid w:val="008C77B9"/>
    <w:rsid w:val="008C7829"/>
    <w:rsid w:val="008C7845"/>
    <w:rsid w:val="008D0011"/>
    <w:rsid w:val="008D0271"/>
    <w:rsid w:val="008D08BC"/>
    <w:rsid w:val="008D17F3"/>
    <w:rsid w:val="008D1901"/>
    <w:rsid w:val="008D1AB5"/>
    <w:rsid w:val="008D1E7A"/>
    <w:rsid w:val="008D2467"/>
    <w:rsid w:val="008D26AD"/>
    <w:rsid w:val="008D2A5B"/>
    <w:rsid w:val="008D3150"/>
    <w:rsid w:val="008D3410"/>
    <w:rsid w:val="008D48BC"/>
    <w:rsid w:val="008D4C88"/>
    <w:rsid w:val="008D4CC3"/>
    <w:rsid w:val="008D4F55"/>
    <w:rsid w:val="008D568C"/>
    <w:rsid w:val="008D5784"/>
    <w:rsid w:val="008D6896"/>
    <w:rsid w:val="008D6CB5"/>
    <w:rsid w:val="008D7459"/>
    <w:rsid w:val="008D7598"/>
    <w:rsid w:val="008D75BC"/>
    <w:rsid w:val="008D7A62"/>
    <w:rsid w:val="008E0071"/>
    <w:rsid w:val="008E0461"/>
    <w:rsid w:val="008E0BD4"/>
    <w:rsid w:val="008E0CE3"/>
    <w:rsid w:val="008E0F94"/>
    <w:rsid w:val="008E1041"/>
    <w:rsid w:val="008E1081"/>
    <w:rsid w:val="008E1256"/>
    <w:rsid w:val="008E1326"/>
    <w:rsid w:val="008E1C02"/>
    <w:rsid w:val="008E283D"/>
    <w:rsid w:val="008E2B20"/>
    <w:rsid w:val="008E2B8F"/>
    <w:rsid w:val="008E30C4"/>
    <w:rsid w:val="008E3563"/>
    <w:rsid w:val="008E5085"/>
    <w:rsid w:val="008E5AF1"/>
    <w:rsid w:val="008E6DC7"/>
    <w:rsid w:val="008E7093"/>
    <w:rsid w:val="008E7100"/>
    <w:rsid w:val="008E7167"/>
    <w:rsid w:val="008E74A1"/>
    <w:rsid w:val="008E7529"/>
    <w:rsid w:val="008E757C"/>
    <w:rsid w:val="008E7677"/>
    <w:rsid w:val="008E79F7"/>
    <w:rsid w:val="008E7B8D"/>
    <w:rsid w:val="008E7E71"/>
    <w:rsid w:val="008F0CE3"/>
    <w:rsid w:val="008F1213"/>
    <w:rsid w:val="008F20F4"/>
    <w:rsid w:val="008F22C2"/>
    <w:rsid w:val="008F2B50"/>
    <w:rsid w:val="008F2D58"/>
    <w:rsid w:val="008F2D5F"/>
    <w:rsid w:val="008F2F93"/>
    <w:rsid w:val="008F3379"/>
    <w:rsid w:val="008F356F"/>
    <w:rsid w:val="008F3781"/>
    <w:rsid w:val="008F3DEB"/>
    <w:rsid w:val="008F49C8"/>
    <w:rsid w:val="008F4A65"/>
    <w:rsid w:val="008F4D73"/>
    <w:rsid w:val="008F4EB7"/>
    <w:rsid w:val="008F5128"/>
    <w:rsid w:val="008F513A"/>
    <w:rsid w:val="008F5533"/>
    <w:rsid w:val="008F5EB7"/>
    <w:rsid w:val="008F6070"/>
    <w:rsid w:val="008F6838"/>
    <w:rsid w:val="008F6CDF"/>
    <w:rsid w:val="008F6F3D"/>
    <w:rsid w:val="008F6F73"/>
    <w:rsid w:val="008F72F3"/>
    <w:rsid w:val="008F7621"/>
    <w:rsid w:val="008F7D49"/>
    <w:rsid w:val="00900708"/>
    <w:rsid w:val="009009D1"/>
    <w:rsid w:val="00900E13"/>
    <w:rsid w:val="00901343"/>
    <w:rsid w:val="0090152B"/>
    <w:rsid w:val="00901BE4"/>
    <w:rsid w:val="00901BF0"/>
    <w:rsid w:val="00901EB5"/>
    <w:rsid w:val="009020DF"/>
    <w:rsid w:val="009033FC"/>
    <w:rsid w:val="009034B6"/>
    <w:rsid w:val="009036D0"/>
    <w:rsid w:val="00903743"/>
    <w:rsid w:val="009040D0"/>
    <w:rsid w:val="009043A0"/>
    <w:rsid w:val="00906077"/>
    <w:rsid w:val="009062C1"/>
    <w:rsid w:val="009064BE"/>
    <w:rsid w:val="00906737"/>
    <w:rsid w:val="00906936"/>
    <w:rsid w:val="00906BA9"/>
    <w:rsid w:val="00907302"/>
    <w:rsid w:val="0090775E"/>
    <w:rsid w:val="009104A1"/>
    <w:rsid w:val="0091137A"/>
    <w:rsid w:val="009118E2"/>
    <w:rsid w:val="00911FEA"/>
    <w:rsid w:val="0091289A"/>
    <w:rsid w:val="00912A87"/>
    <w:rsid w:val="00914A48"/>
    <w:rsid w:val="00915205"/>
    <w:rsid w:val="00915FC0"/>
    <w:rsid w:val="009161F6"/>
    <w:rsid w:val="0091665E"/>
    <w:rsid w:val="009168C4"/>
    <w:rsid w:val="0091796A"/>
    <w:rsid w:val="00917E79"/>
    <w:rsid w:val="0092038B"/>
    <w:rsid w:val="00920BF5"/>
    <w:rsid w:val="009215A5"/>
    <w:rsid w:val="00921907"/>
    <w:rsid w:val="00921B34"/>
    <w:rsid w:val="009222FB"/>
    <w:rsid w:val="00922DF3"/>
    <w:rsid w:val="00923625"/>
    <w:rsid w:val="00923CDD"/>
    <w:rsid w:val="0092421B"/>
    <w:rsid w:val="009259CA"/>
    <w:rsid w:val="00925B60"/>
    <w:rsid w:val="00925E2B"/>
    <w:rsid w:val="00925F6E"/>
    <w:rsid w:val="00925FEE"/>
    <w:rsid w:val="0092686F"/>
    <w:rsid w:val="00926C21"/>
    <w:rsid w:val="00926C80"/>
    <w:rsid w:val="00926E91"/>
    <w:rsid w:val="009277AA"/>
    <w:rsid w:val="00927A52"/>
    <w:rsid w:val="00931C92"/>
    <w:rsid w:val="00932669"/>
    <w:rsid w:val="00932A5D"/>
    <w:rsid w:val="00932F14"/>
    <w:rsid w:val="0093357B"/>
    <w:rsid w:val="0093380E"/>
    <w:rsid w:val="00933B03"/>
    <w:rsid w:val="00933DF3"/>
    <w:rsid w:val="009340A1"/>
    <w:rsid w:val="009344CE"/>
    <w:rsid w:val="00935467"/>
    <w:rsid w:val="00935AD5"/>
    <w:rsid w:val="009368C5"/>
    <w:rsid w:val="00936E3C"/>
    <w:rsid w:val="009402FF"/>
    <w:rsid w:val="00940B81"/>
    <w:rsid w:val="00941186"/>
    <w:rsid w:val="009411A0"/>
    <w:rsid w:val="00941238"/>
    <w:rsid w:val="00941405"/>
    <w:rsid w:val="0094145B"/>
    <w:rsid w:val="00942341"/>
    <w:rsid w:val="00942392"/>
    <w:rsid w:val="00942408"/>
    <w:rsid w:val="00942696"/>
    <w:rsid w:val="00942855"/>
    <w:rsid w:val="00942980"/>
    <w:rsid w:val="00942F86"/>
    <w:rsid w:val="00943D78"/>
    <w:rsid w:val="009440B2"/>
    <w:rsid w:val="009445F5"/>
    <w:rsid w:val="00945183"/>
    <w:rsid w:val="00945CED"/>
    <w:rsid w:val="0094657A"/>
    <w:rsid w:val="00946812"/>
    <w:rsid w:val="00947275"/>
    <w:rsid w:val="009472E5"/>
    <w:rsid w:val="00947666"/>
    <w:rsid w:val="009501B4"/>
    <w:rsid w:val="00950DC8"/>
    <w:rsid w:val="009510E1"/>
    <w:rsid w:val="00951148"/>
    <w:rsid w:val="009518A7"/>
    <w:rsid w:val="009519CB"/>
    <w:rsid w:val="00951F80"/>
    <w:rsid w:val="009531B1"/>
    <w:rsid w:val="00953991"/>
    <w:rsid w:val="00954A81"/>
    <w:rsid w:val="00954DAF"/>
    <w:rsid w:val="00955032"/>
    <w:rsid w:val="00955435"/>
    <w:rsid w:val="009555CC"/>
    <w:rsid w:val="00955621"/>
    <w:rsid w:val="00955798"/>
    <w:rsid w:val="00955B8D"/>
    <w:rsid w:val="00955E42"/>
    <w:rsid w:val="00956B4B"/>
    <w:rsid w:val="00956E44"/>
    <w:rsid w:val="0095760D"/>
    <w:rsid w:val="009576B1"/>
    <w:rsid w:val="00957C9F"/>
    <w:rsid w:val="009603FE"/>
    <w:rsid w:val="0096060C"/>
    <w:rsid w:val="00961061"/>
    <w:rsid w:val="00961276"/>
    <w:rsid w:val="009619E4"/>
    <w:rsid w:val="00962466"/>
    <w:rsid w:val="0096286B"/>
    <w:rsid w:val="009629F3"/>
    <w:rsid w:val="00962A00"/>
    <w:rsid w:val="00962A65"/>
    <w:rsid w:val="009634FB"/>
    <w:rsid w:val="00963711"/>
    <w:rsid w:val="009638E2"/>
    <w:rsid w:val="00963969"/>
    <w:rsid w:val="009639E5"/>
    <w:rsid w:val="00963C14"/>
    <w:rsid w:val="00963E33"/>
    <w:rsid w:val="009644ED"/>
    <w:rsid w:val="00964C73"/>
    <w:rsid w:val="00965B59"/>
    <w:rsid w:val="0096603C"/>
    <w:rsid w:val="009666CD"/>
    <w:rsid w:val="009666E8"/>
    <w:rsid w:val="009668DD"/>
    <w:rsid w:val="00966F13"/>
    <w:rsid w:val="00967655"/>
    <w:rsid w:val="009677AB"/>
    <w:rsid w:val="00967DEC"/>
    <w:rsid w:val="009700A6"/>
    <w:rsid w:val="009702F8"/>
    <w:rsid w:val="00970E9E"/>
    <w:rsid w:val="00971759"/>
    <w:rsid w:val="00971CB8"/>
    <w:rsid w:val="00971E22"/>
    <w:rsid w:val="00971FAD"/>
    <w:rsid w:val="00972D30"/>
    <w:rsid w:val="00972E3A"/>
    <w:rsid w:val="009734C5"/>
    <w:rsid w:val="00973706"/>
    <w:rsid w:val="00973D43"/>
    <w:rsid w:val="00973F92"/>
    <w:rsid w:val="00974939"/>
    <w:rsid w:val="00975182"/>
    <w:rsid w:val="0097525B"/>
    <w:rsid w:val="00975889"/>
    <w:rsid w:val="00976157"/>
    <w:rsid w:val="009772A6"/>
    <w:rsid w:val="00977586"/>
    <w:rsid w:val="00977857"/>
    <w:rsid w:val="00977FA0"/>
    <w:rsid w:val="00980408"/>
    <w:rsid w:val="00980825"/>
    <w:rsid w:val="0098138E"/>
    <w:rsid w:val="0098213A"/>
    <w:rsid w:val="0098282D"/>
    <w:rsid w:val="00982CBB"/>
    <w:rsid w:val="009831C2"/>
    <w:rsid w:val="009835C9"/>
    <w:rsid w:val="00983CE7"/>
    <w:rsid w:val="009840C1"/>
    <w:rsid w:val="00984918"/>
    <w:rsid w:val="00985444"/>
    <w:rsid w:val="00985D4A"/>
    <w:rsid w:val="00986177"/>
    <w:rsid w:val="009863A0"/>
    <w:rsid w:val="00986622"/>
    <w:rsid w:val="00986D0D"/>
    <w:rsid w:val="00987BC4"/>
    <w:rsid w:val="00987C0C"/>
    <w:rsid w:val="00987E6D"/>
    <w:rsid w:val="0099093A"/>
    <w:rsid w:val="00990BE6"/>
    <w:rsid w:val="009910A4"/>
    <w:rsid w:val="00993234"/>
    <w:rsid w:val="009934D1"/>
    <w:rsid w:val="00993EB1"/>
    <w:rsid w:val="00994888"/>
    <w:rsid w:val="00994FFC"/>
    <w:rsid w:val="009953B9"/>
    <w:rsid w:val="00995E42"/>
    <w:rsid w:val="00995EAA"/>
    <w:rsid w:val="00995F9E"/>
    <w:rsid w:val="009963EC"/>
    <w:rsid w:val="009965EB"/>
    <w:rsid w:val="00996637"/>
    <w:rsid w:val="009967C7"/>
    <w:rsid w:val="00996AF5"/>
    <w:rsid w:val="00996B40"/>
    <w:rsid w:val="00996FBA"/>
    <w:rsid w:val="00996FBE"/>
    <w:rsid w:val="00997633"/>
    <w:rsid w:val="00997E97"/>
    <w:rsid w:val="009A0021"/>
    <w:rsid w:val="009A0AB2"/>
    <w:rsid w:val="009A0CD1"/>
    <w:rsid w:val="009A0F8D"/>
    <w:rsid w:val="009A105A"/>
    <w:rsid w:val="009A16E8"/>
    <w:rsid w:val="009A20F6"/>
    <w:rsid w:val="009A210C"/>
    <w:rsid w:val="009A28E8"/>
    <w:rsid w:val="009A34E9"/>
    <w:rsid w:val="009A3A9E"/>
    <w:rsid w:val="009A3F98"/>
    <w:rsid w:val="009A404F"/>
    <w:rsid w:val="009A42A4"/>
    <w:rsid w:val="009A507C"/>
    <w:rsid w:val="009A52A3"/>
    <w:rsid w:val="009A5C1C"/>
    <w:rsid w:val="009A60B4"/>
    <w:rsid w:val="009A657B"/>
    <w:rsid w:val="009A66C8"/>
    <w:rsid w:val="009B0E3A"/>
    <w:rsid w:val="009B0EB2"/>
    <w:rsid w:val="009B129B"/>
    <w:rsid w:val="009B1A9E"/>
    <w:rsid w:val="009B1D78"/>
    <w:rsid w:val="009B27DB"/>
    <w:rsid w:val="009B2ABE"/>
    <w:rsid w:val="009B4EFA"/>
    <w:rsid w:val="009B4F41"/>
    <w:rsid w:val="009B5164"/>
    <w:rsid w:val="009B56B7"/>
    <w:rsid w:val="009B5E40"/>
    <w:rsid w:val="009B62E3"/>
    <w:rsid w:val="009B6461"/>
    <w:rsid w:val="009B6594"/>
    <w:rsid w:val="009B6C66"/>
    <w:rsid w:val="009B6D1A"/>
    <w:rsid w:val="009B7D4B"/>
    <w:rsid w:val="009C05FD"/>
    <w:rsid w:val="009C0B18"/>
    <w:rsid w:val="009C0B58"/>
    <w:rsid w:val="009C109A"/>
    <w:rsid w:val="009C13EB"/>
    <w:rsid w:val="009C184A"/>
    <w:rsid w:val="009C2911"/>
    <w:rsid w:val="009C2B4B"/>
    <w:rsid w:val="009C2B4E"/>
    <w:rsid w:val="009C2D27"/>
    <w:rsid w:val="009C3E70"/>
    <w:rsid w:val="009C43F3"/>
    <w:rsid w:val="009C49B9"/>
    <w:rsid w:val="009C4AAC"/>
    <w:rsid w:val="009C4D44"/>
    <w:rsid w:val="009C51A0"/>
    <w:rsid w:val="009C5627"/>
    <w:rsid w:val="009C5871"/>
    <w:rsid w:val="009C5C19"/>
    <w:rsid w:val="009C6145"/>
    <w:rsid w:val="009C671B"/>
    <w:rsid w:val="009C6C5F"/>
    <w:rsid w:val="009C6DD1"/>
    <w:rsid w:val="009C702A"/>
    <w:rsid w:val="009C737D"/>
    <w:rsid w:val="009C780A"/>
    <w:rsid w:val="009D23B2"/>
    <w:rsid w:val="009D24E0"/>
    <w:rsid w:val="009D2AC9"/>
    <w:rsid w:val="009D2B54"/>
    <w:rsid w:val="009D3BC4"/>
    <w:rsid w:val="009D4077"/>
    <w:rsid w:val="009D415D"/>
    <w:rsid w:val="009D4353"/>
    <w:rsid w:val="009D70AF"/>
    <w:rsid w:val="009D7163"/>
    <w:rsid w:val="009E0B16"/>
    <w:rsid w:val="009E0C82"/>
    <w:rsid w:val="009E0DB9"/>
    <w:rsid w:val="009E0DEA"/>
    <w:rsid w:val="009E1106"/>
    <w:rsid w:val="009E135A"/>
    <w:rsid w:val="009E13A6"/>
    <w:rsid w:val="009E19B3"/>
    <w:rsid w:val="009E2004"/>
    <w:rsid w:val="009E20D8"/>
    <w:rsid w:val="009E2145"/>
    <w:rsid w:val="009E2A29"/>
    <w:rsid w:val="009E3661"/>
    <w:rsid w:val="009E3800"/>
    <w:rsid w:val="009E3E8D"/>
    <w:rsid w:val="009E49FC"/>
    <w:rsid w:val="009E66EE"/>
    <w:rsid w:val="009E6A15"/>
    <w:rsid w:val="009E6B6B"/>
    <w:rsid w:val="009E7DCA"/>
    <w:rsid w:val="009F049C"/>
    <w:rsid w:val="009F0962"/>
    <w:rsid w:val="009F17E7"/>
    <w:rsid w:val="009F1AC6"/>
    <w:rsid w:val="009F1CCB"/>
    <w:rsid w:val="009F1D7C"/>
    <w:rsid w:val="009F2273"/>
    <w:rsid w:val="009F234A"/>
    <w:rsid w:val="009F2993"/>
    <w:rsid w:val="009F2AB5"/>
    <w:rsid w:val="009F34C9"/>
    <w:rsid w:val="009F34F6"/>
    <w:rsid w:val="009F37C4"/>
    <w:rsid w:val="009F37F7"/>
    <w:rsid w:val="009F4873"/>
    <w:rsid w:val="009F48E8"/>
    <w:rsid w:val="009F4CA8"/>
    <w:rsid w:val="009F4CE5"/>
    <w:rsid w:val="009F4FD2"/>
    <w:rsid w:val="009F59FF"/>
    <w:rsid w:val="009F6292"/>
    <w:rsid w:val="009F6569"/>
    <w:rsid w:val="009F71BD"/>
    <w:rsid w:val="009F7685"/>
    <w:rsid w:val="00A00565"/>
    <w:rsid w:val="00A00A2E"/>
    <w:rsid w:val="00A01889"/>
    <w:rsid w:val="00A01AEA"/>
    <w:rsid w:val="00A01B8A"/>
    <w:rsid w:val="00A01EF6"/>
    <w:rsid w:val="00A020AB"/>
    <w:rsid w:val="00A02608"/>
    <w:rsid w:val="00A02757"/>
    <w:rsid w:val="00A028F7"/>
    <w:rsid w:val="00A02CAA"/>
    <w:rsid w:val="00A03512"/>
    <w:rsid w:val="00A03B5C"/>
    <w:rsid w:val="00A04659"/>
    <w:rsid w:val="00A04E0C"/>
    <w:rsid w:val="00A0508E"/>
    <w:rsid w:val="00A0513D"/>
    <w:rsid w:val="00A0545A"/>
    <w:rsid w:val="00A066A7"/>
    <w:rsid w:val="00A066D9"/>
    <w:rsid w:val="00A06B9A"/>
    <w:rsid w:val="00A07060"/>
    <w:rsid w:val="00A07153"/>
    <w:rsid w:val="00A071E6"/>
    <w:rsid w:val="00A1007F"/>
    <w:rsid w:val="00A104D8"/>
    <w:rsid w:val="00A11237"/>
    <w:rsid w:val="00A11551"/>
    <w:rsid w:val="00A116B1"/>
    <w:rsid w:val="00A11E7B"/>
    <w:rsid w:val="00A120A4"/>
    <w:rsid w:val="00A1275F"/>
    <w:rsid w:val="00A128C5"/>
    <w:rsid w:val="00A12991"/>
    <w:rsid w:val="00A129F5"/>
    <w:rsid w:val="00A12B15"/>
    <w:rsid w:val="00A12D41"/>
    <w:rsid w:val="00A13DB8"/>
    <w:rsid w:val="00A1415F"/>
    <w:rsid w:val="00A15C3B"/>
    <w:rsid w:val="00A15D9A"/>
    <w:rsid w:val="00A15D9E"/>
    <w:rsid w:val="00A15F55"/>
    <w:rsid w:val="00A1694E"/>
    <w:rsid w:val="00A16CAF"/>
    <w:rsid w:val="00A1727C"/>
    <w:rsid w:val="00A20281"/>
    <w:rsid w:val="00A20548"/>
    <w:rsid w:val="00A207F7"/>
    <w:rsid w:val="00A20A2C"/>
    <w:rsid w:val="00A20A81"/>
    <w:rsid w:val="00A214C1"/>
    <w:rsid w:val="00A218C7"/>
    <w:rsid w:val="00A21F42"/>
    <w:rsid w:val="00A221ED"/>
    <w:rsid w:val="00A223E9"/>
    <w:rsid w:val="00A22522"/>
    <w:rsid w:val="00A22C9A"/>
    <w:rsid w:val="00A239EF"/>
    <w:rsid w:val="00A24AF8"/>
    <w:rsid w:val="00A24B1C"/>
    <w:rsid w:val="00A24D47"/>
    <w:rsid w:val="00A257D5"/>
    <w:rsid w:val="00A25B94"/>
    <w:rsid w:val="00A25BD2"/>
    <w:rsid w:val="00A26940"/>
    <w:rsid w:val="00A269E1"/>
    <w:rsid w:val="00A27269"/>
    <w:rsid w:val="00A2737F"/>
    <w:rsid w:val="00A30FB8"/>
    <w:rsid w:val="00A30FF1"/>
    <w:rsid w:val="00A31319"/>
    <w:rsid w:val="00A31C2D"/>
    <w:rsid w:val="00A31F1F"/>
    <w:rsid w:val="00A32590"/>
    <w:rsid w:val="00A327B2"/>
    <w:rsid w:val="00A32901"/>
    <w:rsid w:val="00A33160"/>
    <w:rsid w:val="00A33F9E"/>
    <w:rsid w:val="00A341A7"/>
    <w:rsid w:val="00A34749"/>
    <w:rsid w:val="00A34E2C"/>
    <w:rsid w:val="00A352FC"/>
    <w:rsid w:val="00A353C8"/>
    <w:rsid w:val="00A358C1"/>
    <w:rsid w:val="00A35DE5"/>
    <w:rsid w:val="00A362E5"/>
    <w:rsid w:val="00A36D33"/>
    <w:rsid w:val="00A37193"/>
    <w:rsid w:val="00A37A53"/>
    <w:rsid w:val="00A37AB9"/>
    <w:rsid w:val="00A37FC8"/>
    <w:rsid w:val="00A409DE"/>
    <w:rsid w:val="00A40E63"/>
    <w:rsid w:val="00A4188C"/>
    <w:rsid w:val="00A418EB"/>
    <w:rsid w:val="00A41C02"/>
    <w:rsid w:val="00A42898"/>
    <w:rsid w:val="00A430ED"/>
    <w:rsid w:val="00A43389"/>
    <w:rsid w:val="00A441C2"/>
    <w:rsid w:val="00A447E1"/>
    <w:rsid w:val="00A44A40"/>
    <w:rsid w:val="00A458E8"/>
    <w:rsid w:val="00A45F5F"/>
    <w:rsid w:val="00A46715"/>
    <w:rsid w:val="00A46997"/>
    <w:rsid w:val="00A46AB9"/>
    <w:rsid w:val="00A46C61"/>
    <w:rsid w:val="00A46CD9"/>
    <w:rsid w:val="00A46D03"/>
    <w:rsid w:val="00A46F2E"/>
    <w:rsid w:val="00A4715E"/>
    <w:rsid w:val="00A4734B"/>
    <w:rsid w:val="00A4741F"/>
    <w:rsid w:val="00A50346"/>
    <w:rsid w:val="00A50B23"/>
    <w:rsid w:val="00A5123F"/>
    <w:rsid w:val="00A51264"/>
    <w:rsid w:val="00A51678"/>
    <w:rsid w:val="00A51803"/>
    <w:rsid w:val="00A51A23"/>
    <w:rsid w:val="00A51DFF"/>
    <w:rsid w:val="00A5217D"/>
    <w:rsid w:val="00A524D1"/>
    <w:rsid w:val="00A52D22"/>
    <w:rsid w:val="00A5312D"/>
    <w:rsid w:val="00A53F7D"/>
    <w:rsid w:val="00A5424B"/>
    <w:rsid w:val="00A54871"/>
    <w:rsid w:val="00A54CE2"/>
    <w:rsid w:val="00A55C62"/>
    <w:rsid w:val="00A55D50"/>
    <w:rsid w:val="00A56377"/>
    <w:rsid w:val="00A5644F"/>
    <w:rsid w:val="00A565EB"/>
    <w:rsid w:val="00A56648"/>
    <w:rsid w:val="00A5673E"/>
    <w:rsid w:val="00A56846"/>
    <w:rsid w:val="00A569C6"/>
    <w:rsid w:val="00A56A0B"/>
    <w:rsid w:val="00A56A3A"/>
    <w:rsid w:val="00A56C9F"/>
    <w:rsid w:val="00A56D99"/>
    <w:rsid w:val="00A56E71"/>
    <w:rsid w:val="00A57F24"/>
    <w:rsid w:val="00A6063D"/>
    <w:rsid w:val="00A6076B"/>
    <w:rsid w:val="00A60868"/>
    <w:rsid w:val="00A61182"/>
    <w:rsid w:val="00A61BB6"/>
    <w:rsid w:val="00A62087"/>
    <w:rsid w:val="00A62891"/>
    <w:rsid w:val="00A63928"/>
    <w:rsid w:val="00A63A97"/>
    <w:rsid w:val="00A63EFE"/>
    <w:rsid w:val="00A64038"/>
    <w:rsid w:val="00A644C6"/>
    <w:rsid w:val="00A648DA"/>
    <w:rsid w:val="00A64AFC"/>
    <w:rsid w:val="00A65616"/>
    <w:rsid w:val="00A656C4"/>
    <w:rsid w:val="00A65D4C"/>
    <w:rsid w:val="00A6663E"/>
    <w:rsid w:val="00A674DE"/>
    <w:rsid w:val="00A67DDE"/>
    <w:rsid w:val="00A70841"/>
    <w:rsid w:val="00A70C16"/>
    <w:rsid w:val="00A70F22"/>
    <w:rsid w:val="00A71402"/>
    <w:rsid w:val="00A715FC"/>
    <w:rsid w:val="00A71EA2"/>
    <w:rsid w:val="00A720E8"/>
    <w:rsid w:val="00A72156"/>
    <w:rsid w:val="00A72503"/>
    <w:rsid w:val="00A72773"/>
    <w:rsid w:val="00A72D52"/>
    <w:rsid w:val="00A734F2"/>
    <w:rsid w:val="00A737F1"/>
    <w:rsid w:val="00A7441A"/>
    <w:rsid w:val="00A74A26"/>
    <w:rsid w:val="00A74BE5"/>
    <w:rsid w:val="00A75193"/>
    <w:rsid w:val="00A763A8"/>
    <w:rsid w:val="00A76F50"/>
    <w:rsid w:val="00A7714A"/>
    <w:rsid w:val="00A77563"/>
    <w:rsid w:val="00A7798B"/>
    <w:rsid w:val="00A77A80"/>
    <w:rsid w:val="00A77C7F"/>
    <w:rsid w:val="00A80634"/>
    <w:rsid w:val="00A80B69"/>
    <w:rsid w:val="00A8123A"/>
    <w:rsid w:val="00A81310"/>
    <w:rsid w:val="00A825B9"/>
    <w:rsid w:val="00A82C94"/>
    <w:rsid w:val="00A83462"/>
    <w:rsid w:val="00A85AA1"/>
    <w:rsid w:val="00A86331"/>
    <w:rsid w:val="00A8683E"/>
    <w:rsid w:val="00A86993"/>
    <w:rsid w:val="00A87254"/>
    <w:rsid w:val="00A87BF5"/>
    <w:rsid w:val="00A90C97"/>
    <w:rsid w:val="00A90CE8"/>
    <w:rsid w:val="00A9122F"/>
    <w:rsid w:val="00A91399"/>
    <w:rsid w:val="00A913C9"/>
    <w:rsid w:val="00A9156B"/>
    <w:rsid w:val="00A91DEA"/>
    <w:rsid w:val="00A9259E"/>
    <w:rsid w:val="00A925A8"/>
    <w:rsid w:val="00A929C3"/>
    <w:rsid w:val="00A92C5A"/>
    <w:rsid w:val="00A93B58"/>
    <w:rsid w:val="00A93D46"/>
    <w:rsid w:val="00A93EB9"/>
    <w:rsid w:val="00A94089"/>
    <w:rsid w:val="00A94949"/>
    <w:rsid w:val="00A94D49"/>
    <w:rsid w:val="00A95708"/>
    <w:rsid w:val="00A9587F"/>
    <w:rsid w:val="00A9605E"/>
    <w:rsid w:val="00A96810"/>
    <w:rsid w:val="00A96B5A"/>
    <w:rsid w:val="00A96BBB"/>
    <w:rsid w:val="00A96C0C"/>
    <w:rsid w:val="00A97261"/>
    <w:rsid w:val="00A97968"/>
    <w:rsid w:val="00AA064F"/>
    <w:rsid w:val="00AA0EDE"/>
    <w:rsid w:val="00AA1B04"/>
    <w:rsid w:val="00AA2344"/>
    <w:rsid w:val="00AA25F9"/>
    <w:rsid w:val="00AA2F96"/>
    <w:rsid w:val="00AA3103"/>
    <w:rsid w:val="00AA3D29"/>
    <w:rsid w:val="00AA446E"/>
    <w:rsid w:val="00AA5A1A"/>
    <w:rsid w:val="00AA5A76"/>
    <w:rsid w:val="00AA5C15"/>
    <w:rsid w:val="00AA5C79"/>
    <w:rsid w:val="00AA625F"/>
    <w:rsid w:val="00AA62CA"/>
    <w:rsid w:val="00AA630D"/>
    <w:rsid w:val="00AA7093"/>
    <w:rsid w:val="00AB0192"/>
    <w:rsid w:val="00AB1DB8"/>
    <w:rsid w:val="00AB20ED"/>
    <w:rsid w:val="00AB2E3E"/>
    <w:rsid w:val="00AB3004"/>
    <w:rsid w:val="00AB381E"/>
    <w:rsid w:val="00AB4619"/>
    <w:rsid w:val="00AB5665"/>
    <w:rsid w:val="00AB5888"/>
    <w:rsid w:val="00AB5AEB"/>
    <w:rsid w:val="00AB6894"/>
    <w:rsid w:val="00AB710B"/>
    <w:rsid w:val="00AB72F6"/>
    <w:rsid w:val="00AB7607"/>
    <w:rsid w:val="00AB770A"/>
    <w:rsid w:val="00AC1410"/>
    <w:rsid w:val="00AC1549"/>
    <w:rsid w:val="00AC2A02"/>
    <w:rsid w:val="00AC2C4C"/>
    <w:rsid w:val="00AC2E87"/>
    <w:rsid w:val="00AC425E"/>
    <w:rsid w:val="00AC49E1"/>
    <w:rsid w:val="00AC4D8C"/>
    <w:rsid w:val="00AC4FBB"/>
    <w:rsid w:val="00AC509A"/>
    <w:rsid w:val="00AC5558"/>
    <w:rsid w:val="00AC5640"/>
    <w:rsid w:val="00AC56DD"/>
    <w:rsid w:val="00AC6172"/>
    <w:rsid w:val="00AC642A"/>
    <w:rsid w:val="00AC79BF"/>
    <w:rsid w:val="00AC7AB7"/>
    <w:rsid w:val="00AC7C84"/>
    <w:rsid w:val="00AD00B0"/>
    <w:rsid w:val="00AD02AA"/>
    <w:rsid w:val="00AD05D3"/>
    <w:rsid w:val="00AD096A"/>
    <w:rsid w:val="00AD0E45"/>
    <w:rsid w:val="00AD29F1"/>
    <w:rsid w:val="00AD32CB"/>
    <w:rsid w:val="00AD3346"/>
    <w:rsid w:val="00AD3F1A"/>
    <w:rsid w:val="00AD40E9"/>
    <w:rsid w:val="00AD44BC"/>
    <w:rsid w:val="00AD4C8D"/>
    <w:rsid w:val="00AD4DC9"/>
    <w:rsid w:val="00AD4E72"/>
    <w:rsid w:val="00AD51A3"/>
    <w:rsid w:val="00AD58C5"/>
    <w:rsid w:val="00AD5946"/>
    <w:rsid w:val="00AD5DA4"/>
    <w:rsid w:val="00AD5E3F"/>
    <w:rsid w:val="00AD630E"/>
    <w:rsid w:val="00AD6F0D"/>
    <w:rsid w:val="00AE0537"/>
    <w:rsid w:val="00AE12B9"/>
    <w:rsid w:val="00AE141B"/>
    <w:rsid w:val="00AE19A2"/>
    <w:rsid w:val="00AE1C4F"/>
    <w:rsid w:val="00AE22AF"/>
    <w:rsid w:val="00AE27C1"/>
    <w:rsid w:val="00AE2963"/>
    <w:rsid w:val="00AE389D"/>
    <w:rsid w:val="00AE3989"/>
    <w:rsid w:val="00AE3E1B"/>
    <w:rsid w:val="00AE4ACA"/>
    <w:rsid w:val="00AE590D"/>
    <w:rsid w:val="00AE5D22"/>
    <w:rsid w:val="00AE5D42"/>
    <w:rsid w:val="00AE6A7B"/>
    <w:rsid w:val="00AE73B7"/>
    <w:rsid w:val="00AE7722"/>
    <w:rsid w:val="00AE7C78"/>
    <w:rsid w:val="00AF0DCF"/>
    <w:rsid w:val="00AF35E2"/>
    <w:rsid w:val="00AF3A4F"/>
    <w:rsid w:val="00AF505C"/>
    <w:rsid w:val="00AF5A30"/>
    <w:rsid w:val="00AF63E1"/>
    <w:rsid w:val="00AF71FD"/>
    <w:rsid w:val="00AF7C18"/>
    <w:rsid w:val="00AF7F8F"/>
    <w:rsid w:val="00B008D2"/>
    <w:rsid w:val="00B00919"/>
    <w:rsid w:val="00B0139E"/>
    <w:rsid w:val="00B01414"/>
    <w:rsid w:val="00B01445"/>
    <w:rsid w:val="00B02268"/>
    <w:rsid w:val="00B022F3"/>
    <w:rsid w:val="00B02614"/>
    <w:rsid w:val="00B03139"/>
    <w:rsid w:val="00B0335D"/>
    <w:rsid w:val="00B03B85"/>
    <w:rsid w:val="00B041CB"/>
    <w:rsid w:val="00B04491"/>
    <w:rsid w:val="00B04893"/>
    <w:rsid w:val="00B04B46"/>
    <w:rsid w:val="00B04EA8"/>
    <w:rsid w:val="00B04F9B"/>
    <w:rsid w:val="00B0526D"/>
    <w:rsid w:val="00B053AA"/>
    <w:rsid w:val="00B0595D"/>
    <w:rsid w:val="00B05996"/>
    <w:rsid w:val="00B05C95"/>
    <w:rsid w:val="00B0671C"/>
    <w:rsid w:val="00B067E9"/>
    <w:rsid w:val="00B070FE"/>
    <w:rsid w:val="00B0720E"/>
    <w:rsid w:val="00B077E3"/>
    <w:rsid w:val="00B07A49"/>
    <w:rsid w:val="00B07B49"/>
    <w:rsid w:val="00B10752"/>
    <w:rsid w:val="00B1090D"/>
    <w:rsid w:val="00B11672"/>
    <w:rsid w:val="00B119E6"/>
    <w:rsid w:val="00B11A2A"/>
    <w:rsid w:val="00B11E9B"/>
    <w:rsid w:val="00B124A8"/>
    <w:rsid w:val="00B124C9"/>
    <w:rsid w:val="00B125EA"/>
    <w:rsid w:val="00B12793"/>
    <w:rsid w:val="00B12A80"/>
    <w:rsid w:val="00B12E74"/>
    <w:rsid w:val="00B13026"/>
    <w:rsid w:val="00B13259"/>
    <w:rsid w:val="00B13803"/>
    <w:rsid w:val="00B13A0D"/>
    <w:rsid w:val="00B13BF6"/>
    <w:rsid w:val="00B14BFA"/>
    <w:rsid w:val="00B15197"/>
    <w:rsid w:val="00B15349"/>
    <w:rsid w:val="00B15414"/>
    <w:rsid w:val="00B1551F"/>
    <w:rsid w:val="00B1628F"/>
    <w:rsid w:val="00B16D67"/>
    <w:rsid w:val="00B17BE4"/>
    <w:rsid w:val="00B17D9C"/>
    <w:rsid w:val="00B17E4B"/>
    <w:rsid w:val="00B20071"/>
    <w:rsid w:val="00B205E3"/>
    <w:rsid w:val="00B20C6B"/>
    <w:rsid w:val="00B20E80"/>
    <w:rsid w:val="00B21446"/>
    <w:rsid w:val="00B2149D"/>
    <w:rsid w:val="00B217AF"/>
    <w:rsid w:val="00B218EC"/>
    <w:rsid w:val="00B228DA"/>
    <w:rsid w:val="00B23AFC"/>
    <w:rsid w:val="00B23F55"/>
    <w:rsid w:val="00B243BA"/>
    <w:rsid w:val="00B2466C"/>
    <w:rsid w:val="00B24BA3"/>
    <w:rsid w:val="00B24EBD"/>
    <w:rsid w:val="00B24F41"/>
    <w:rsid w:val="00B25290"/>
    <w:rsid w:val="00B253A6"/>
    <w:rsid w:val="00B2559A"/>
    <w:rsid w:val="00B25F6D"/>
    <w:rsid w:val="00B262AA"/>
    <w:rsid w:val="00B262F0"/>
    <w:rsid w:val="00B26610"/>
    <w:rsid w:val="00B26C2A"/>
    <w:rsid w:val="00B27004"/>
    <w:rsid w:val="00B301A9"/>
    <w:rsid w:val="00B309E1"/>
    <w:rsid w:val="00B31074"/>
    <w:rsid w:val="00B31133"/>
    <w:rsid w:val="00B3183F"/>
    <w:rsid w:val="00B31A57"/>
    <w:rsid w:val="00B320F3"/>
    <w:rsid w:val="00B3226D"/>
    <w:rsid w:val="00B325A0"/>
    <w:rsid w:val="00B3268D"/>
    <w:rsid w:val="00B32826"/>
    <w:rsid w:val="00B3299F"/>
    <w:rsid w:val="00B32B5B"/>
    <w:rsid w:val="00B33298"/>
    <w:rsid w:val="00B341E2"/>
    <w:rsid w:val="00B34F94"/>
    <w:rsid w:val="00B353F3"/>
    <w:rsid w:val="00B35509"/>
    <w:rsid w:val="00B356E9"/>
    <w:rsid w:val="00B36163"/>
    <w:rsid w:val="00B36253"/>
    <w:rsid w:val="00B363BC"/>
    <w:rsid w:val="00B36D85"/>
    <w:rsid w:val="00B3740E"/>
    <w:rsid w:val="00B37921"/>
    <w:rsid w:val="00B37AE6"/>
    <w:rsid w:val="00B37FB3"/>
    <w:rsid w:val="00B401F6"/>
    <w:rsid w:val="00B40FEF"/>
    <w:rsid w:val="00B415EE"/>
    <w:rsid w:val="00B421AC"/>
    <w:rsid w:val="00B422C0"/>
    <w:rsid w:val="00B4343E"/>
    <w:rsid w:val="00B435BA"/>
    <w:rsid w:val="00B43DB8"/>
    <w:rsid w:val="00B44152"/>
    <w:rsid w:val="00B44676"/>
    <w:rsid w:val="00B44DF5"/>
    <w:rsid w:val="00B451C4"/>
    <w:rsid w:val="00B45267"/>
    <w:rsid w:val="00B452DB"/>
    <w:rsid w:val="00B45B9C"/>
    <w:rsid w:val="00B45F68"/>
    <w:rsid w:val="00B4684D"/>
    <w:rsid w:val="00B46BC1"/>
    <w:rsid w:val="00B46E3A"/>
    <w:rsid w:val="00B46EDF"/>
    <w:rsid w:val="00B472B6"/>
    <w:rsid w:val="00B47506"/>
    <w:rsid w:val="00B4764F"/>
    <w:rsid w:val="00B47AD5"/>
    <w:rsid w:val="00B47C24"/>
    <w:rsid w:val="00B47D7F"/>
    <w:rsid w:val="00B50E57"/>
    <w:rsid w:val="00B51953"/>
    <w:rsid w:val="00B51B25"/>
    <w:rsid w:val="00B51D45"/>
    <w:rsid w:val="00B520B0"/>
    <w:rsid w:val="00B52550"/>
    <w:rsid w:val="00B52622"/>
    <w:rsid w:val="00B528FE"/>
    <w:rsid w:val="00B532EA"/>
    <w:rsid w:val="00B53714"/>
    <w:rsid w:val="00B53803"/>
    <w:rsid w:val="00B53876"/>
    <w:rsid w:val="00B541F6"/>
    <w:rsid w:val="00B54D86"/>
    <w:rsid w:val="00B573BC"/>
    <w:rsid w:val="00B573D8"/>
    <w:rsid w:val="00B60075"/>
    <w:rsid w:val="00B60236"/>
    <w:rsid w:val="00B604E2"/>
    <w:rsid w:val="00B60E24"/>
    <w:rsid w:val="00B61110"/>
    <w:rsid w:val="00B61A17"/>
    <w:rsid w:val="00B6237B"/>
    <w:rsid w:val="00B62920"/>
    <w:rsid w:val="00B63105"/>
    <w:rsid w:val="00B636F4"/>
    <w:rsid w:val="00B63C5A"/>
    <w:rsid w:val="00B642BE"/>
    <w:rsid w:val="00B644A3"/>
    <w:rsid w:val="00B6459F"/>
    <w:rsid w:val="00B647FB"/>
    <w:rsid w:val="00B65128"/>
    <w:rsid w:val="00B6537E"/>
    <w:rsid w:val="00B65663"/>
    <w:rsid w:val="00B6640F"/>
    <w:rsid w:val="00B6681F"/>
    <w:rsid w:val="00B66CDE"/>
    <w:rsid w:val="00B67DA0"/>
    <w:rsid w:val="00B702C7"/>
    <w:rsid w:val="00B70914"/>
    <w:rsid w:val="00B70CA0"/>
    <w:rsid w:val="00B7174B"/>
    <w:rsid w:val="00B71C2A"/>
    <w:rsid w:val="00B727C4"/>
    <w:rsid w:val="00B72C48"/>
    <w:rsid w:val="00B72D74"/>
    <w:rsid w:val="00B74B14"/>
    <w:rsid w:val="00B74BE8"/>
    <w:rsid w:val="00B74DB4"/>
    <w:rsid w:val="00B74E57"/>
    <w:rsid w:val="00B7635A"/>
    <w:rsid w:val="00B7671E"/>
    <w:rsid w:val="00B76779"/>
    <w:rsid w:val="00B7693A"/>
    <w:rsid w:val="00B76FC3"/>
    <w:rsid w:val="00B7704A"/>
    <w:rsid w:val="00B777D9"/>
    <w:rsid w:val="00B801BE"/>
    <w:rsid w:val="00B80272"/>
    <w:rsid w:val="00B8039C"/>
    <w:rsid w:val="00B806FE"/>
    <w:rsid w:val="00B80E9E"/>
    <w:rsid w:val="00B81DA8"/>
    <w:rsid w:val="00B81EC5"/>
    <w:rsid w:val="00B825E6"/>
    <w:rsid w:val="00B82B81"/>
    <w:rsid w:val="00B83067"/>
    <w:rsid w:val="00B83458"/>
    <w:rsid w:val="00B836E8"/>
    <w:rsid w:val="00B83C5A"/>
    <w:rsid w:val="00B83FDB"/>
    <w:rsid w:val="00B848BB"/>
    <w:rsid w:val="00B84B31"/>
    <w:rsid w:val="00B84C10"/>
    <w:rsid w:val="00B85073"/>
    <w:rsid w:val="00B871C7"/>
    <w:rsid w:val="00B87C80"/>
    <w:rsid w:val="00B9004C"/>
    <w:rsid w:val="00B902C1"/>
    <w:rsid w:val="00B907F0"/>
    <w:rsid w:val="00B9099A"/>
    <w:rsid w:val="00B91431"/>
    <w:rsid w:val="00B91804"/>
    <w:rsid w:val="00B92687"/>
    <w:rsid w:val="00B929B4"/>
    <w:rsid w:val="00B929F4"/>
    <w:rsid w:val="00B92E5F"/>
    <w:rsid w:val="00B9320B"/>
    <w:rsid w:val="00B93466"/>
    <w:rsid w:val="00B93CFC"/>
    <w:rsid w:val="00B93E60"/>
    <w:rsid w:val="00B93F93"/>
    <w:rsid w:val="00B94DB6"/>
    <w:rsid w:val="00B94DD1"/>
    <w:rsid w:val="00B9547A"/>
    <w:rsid w:val="00B9653C"/>
    <w:rsid w:val="00B96B6E"/>
    <w:rsid w:val="00B96C89"/>
    <w:rsid w:val="00B96EDB"/>
    <w:rsid w:val="00B97779"/>
    <w:rsid w:val="00B97854"/>
    <w:rsid w:val="00BA0084"/>
    <w:rsid w:val="00BA0770"/>
    <w:rsid w:val="00BA07C8"/>
    <w:rsid w:val="00BA0B21"/>
    <w:rsid w:val="00BA0C9C"/>
    <w:rsid w:val="00BA0DB2"/>
    <w:rsid w:val="00BA1C3D"/>
    <w:rsid w:val="00BA40D9"/>
    <w:rsid w:val="00BA47CF"/>
    <w:rsid w:val="00BA4860"/>
    <w:rsid w:val="00BA4AAB"/>
    <w:rsid w:val="00BA51F6"/>
    <w:rsid w:val="00BA6433"/>
    <w:rsid w:val="00BA6A21"/>
    <w:rsid w:val="00BA6BDD"/>
    <w:rsid w:val="00BA7081"/>
    <w:rsid w:val="00BA728A"/>
    <w:rsid w:val="00BA7596"/>
    <w:rsid w:val="00BA77DC"/>
    <w:rsid w:val="00BB04FC"/>
    <w:rsid w:val="00BB05DF"/>
    <w:rsid w:val="00BB0B97"/>
    <w:rsid w:val="00BB1B73"/>
    <w:rsid w:val="00BB28F6"/>
    <w:rsid w:val="00BB2B17"/>
    <w:rsid w:val="00BB2CBF"/>
    <w:rsid w:val="00BB2E89"/>
    <w:rsid w:val="00BB415A"/>
    <w:rsid w:val="00BB4363"/>
    <w:rsid w:val="00BB45B9"/>
    <w:rsid w:val="00BB47A7"/>
    <w:rsid w:val="00BB496E"/>
    <w:rsid w:val="00BB5499"/>
    <w:rsid w:val="00BB63B4"/>
    <w:rsid w:val="00BB6EEE"/>
    <w:rsid w:val="00BB7F0A"/>
    <w:rsid w:val="00BC00AF"/>
    <w:rsid w:val="00BC0A3E"/>
    <w:rsid w:val="00BC0AF7"/>
    <w:rsid w:val="00BC1B73"/>
    <w:rsid w:val="00BC1DBE"/>
    <w:rsid w:val="00BC1E3D"/>
    <w:rsid w:val="00BC2555"/>
    <w:rsid w:val="00BC2560"/>
    <w:rsid w:val="00BC2AB9"/>
    <w:rsid w:val="00BC2D5F"/>
    <w:rsid w:val="00BC3172"/>
    <w:rsid w:val="00BC33E6"/>
    <w:rsid w:val="00BC3555"/>
    <w:rsid w:val="00BC37AC"/>
    <w:rsid w:val="00BC3B6F"/>
    <w:rsid w:val="00BC3F2D"/>
    <w:rsid w:val="00BC50E0"/>
    <w:rsid w:val="00BC5E39"/>
    <w:rsid w:val="00BC6066"/>
    <w:rsid w:val="00BC63A8"/>
    <w:rsid w:val="00BC6B6E"/>
    <w:rsid w:val="00BC7BD4"/>
    <w:rsid w:val="00BD04F2"/>
    <w:rsid w:val="00BD1489"/>
    <w:rsid w:val="00BD2003"/>
    <w:rsid w:val="00BD2550"/>
    <w:rsid w:val="00BD3150"/>
    <w:rsid w:val="00BD328B"/>
    <w:rsid w:val="00BD3293"/>
    <w:rsid w:val="00BD34D6"/>
    <w:rsid w:val="00BD398E"/>
    <w:rsid w:val="00BD40E7"/>
    <w:rsid w:val="00BD42CD"/>
    <w:rsid w:val="00BD4402"/>
    <w:rsid w:val="00BD4D4B"/>
    <w:rsid w:val="00BD562E"/>
    <w:rsid w:val="00BD5FDC"/>
    <w:rsid w:val="00BD6145"/>
    <w:rsid w:val="00BD6A2B"/>
    <w:rsid w:val="00BD714F"/>
    <w:rsid w:val="00BD7CF4"/>
    <w:rsid w:val="00BE06BA"/>
    <w:rsid w:val="00BE07D7"/>
    <w:rsid w:val="00BE1557"/>
    <w:rsid w:val="00BE15D8"/>
    <w:rsid w:val="00BE1A78"/>
    <w:rsid w:val="00BE1E8E"/>
    <w:rsid w:val="00BE2165"/>
    <w:rsid w:val="00BE2351"/>
    <w:rsid w:val="00BE2FE1"/>
    <w:rsid w:val="00BE31A3"/>
    <w:rsid w:val="00BE37B7"/>
    <w:rsid w:val="00BE3A18"/>
    <w:rsid w:val="00BE40CC"/>
    <w:rsid w:val="00BE4150"/>
    <w:rsid w:val="00BE45D3"/>
    <w:rsid w:val="00BE47B1"/>
    <w:rsid w:val="00BE4831"/>
    <w:rsid w:val="00BE590B"/>
    <w:rsid w:val="00BE5F8C"/>
    <w:rsid w:val="00BE604C"/>
    <w:rsid w:val="00BE644E"/>
    <w:rsid w:val="00BE6C4C"/>
    <w:rsid w:val="00BE6CC4"/>
    <w:rsid w:val="00BE7495"/>
    <w:rsid w:val="00BF06CB"/>
    <w:rsid w:val="00BF0707"/>
    <w:rsid w:val="00BF0900"/>
    <w:rsid w:val="00BF0F3B"/>
    <w:rsid w:val="00BF1208"/>
    <w:rsid w:val="00BF163C"/>
    <w:rsid w:val="00BF16D2"/>
    <w:rsid w:val="00BF1A2A"/>
    <w:rsid w:val="00BF2523"/>
    <w:rsid w:val="00BF26C0"/>
    <w:rsid w:val="00BF2D14"/>
    <w:rsid w:val="00BF2E9A"/>
    <w:rsid w:val="00BF3536"/>
    <w:rsid w:val="00BF3719"/>
    <w:rsid w:val="00BF3B6B"/>
    <w:rsid w:val="00BF42E5"/>
    <w:rsid w:val="00BF4684"/>
    <w:rsid w:val="00BF4FA7"/>
    <w:rsid w:val="00BF5603"/>
    <w:rsid w:val="00BF6D39"/>
    <w:rsid w:val="00BF6D74"/>
    <w:rsid w:val="00BF6E60"/>
    <w:rsid w:val="00BF79C2"/>
    <w:rsid w:val="00BF7AA0"/>
    <w:rsid w:val="00BF7B6F"/>
    <w:rsid w:val="00C00174"/>
    <w:rsid w:val="00C00761"/>
    <w:rsid w:val="00C00826"/>
    <w:rsid w:val="00C00A4F"/>
    <w:rsid w:val="00C01918"/>
    <w:rsid w:val="00C01CD4"/>
    <w:rsid w:val="00C02359"/>
    <w:rsid w:val="00C02B5C"/>
    <w:rsid w:val="00C03984"/>
    <w:rsid w:val="00C0405A"/>
    <w:rsid w:val="00C04137"/>
    <w:rsid w:val="00C0475C"/>
    <w:rsid w:val="00C05379"/>
    <w:rsid w:val="00C06081"/>
    <w:rsid w:val="00C07A3F"/>
    <w:rsid w:val="00C101AF"/>
    <w:rsid w:val="00C102FF"/>
    <w:rsid w:val="00C105F3"/>
    <w:rsid w:val="00C10A6E"/>
    <w:rsid w:val="00C10FF4"/>
    <w:rsid w:val="00C1123D"/>
    <w:rsid w:val="00C1179F"/>
    <w:rsid w:val="00C11DAB"/>
    <w:rsid w:val="00C11EE2"/>
    <w:rsid w:val="00C12354"/>
    <w:rsid w:val="00C12762"/>
    <w:rsid w:val="00C13AD1"/>
    <w:rsid w:val="00C13B1D"/>
    <w:rsid w:val="00C14AA5"/>
    <w:rsid w:val="00C1604E"/>
    <w:rsid w:val="00C1624F"/>
    <w:rsid w:val="00C16671"/>
    <w:rsid w:val="00C169D6"/>
    <w:rsid w:val="00C16BFE"/>
    <w:rsid w:val="00C17B65"/>
    <w:rsid w:val="00C209DD"/>
    <w:rsid w:val="00C20A07"/>
    <w:rsid w:val="00C20A9F"/>
    <w:rsid w:val="00C22367"/>
    <w:rsid w:val="00C22664"/>
    <w:rsid w:val="00C23A81"/>
    <w:rsid w:val="00C23C05"/>
    <w:rsid w:val="00C23D61"/>
    <w:rsid w:val="00C23EC9"/>
    <w:rsid w:val="00C24507"/>
    <w:rsid w:val="00C24A7B"/>
    <w:rsid w:val="00C24AB5"/>
    <w:rsid w:val="00C24CCE"/>
    <w:rsid w:val="00C2553A"/>
    <w:rsid w:val="00C25D23"/>
    <w:rsid w:val="00C25E0B"/>
    <w:rsid w:val="00C260B4"/>
    <w:rsid w:val="00C260B7"/>
    <w:rsid w:val="00C26172"/>
    <w:rsid w:val="00C262CD"/>
    <w:rsid w:val="00C262FE"/>
    <w:rsid w:val="00C263C7"/>
    <w:rsid w:val="00C263DC"/>
    <w:rsid w:val="00C2661E"/>
    <w:rsid w:val="00C26663"/>
    <w:rsid w:val="00C26C8E"/>
    <w:rsid w:val="00C27130"/>
    <w:rsid w:val="00C27556"/>
    <w:rsid w:val="00C30163"/>
    <w:rsid w:val="00C30B41"/>
    <w:rsid w:val="00C32B14"/>
    <w:rsid w:val="00C34012"/>
    <w:rsid w:val="00C34482"/>
    <w:rsid w:val="00C34A9B"/>
    <w:rsid w:val="00C35170"/>
    <w:rsid w:val="00C354A3"/>
    <w:rsid w:val="00C354C0"/>
    <w:rsid w:val="00C35B96"/>
    <w:rsid w:val="00C35DFA"/>
    <w:rsid w:val="00C360F9"/>
    <w:rsid w:val="00C36622"/>
    <w:rsid w:val="00C366B0"/>
    <w:rsid w:val="00C36DDB"/>
    <w:rsid w:val="00C3738D"/>
    <w:rsid w:val="00C37B33"/>
    <w:rsid w:val="00C37E9E"/>
    <w:rsid w:val="00C37EE6"/>
    <w:rsid w:val="00C40156"/>
    <w:rsid w:val="00C40830"/>
    <w:rsid w:val="00C40840"/>
    <w:rsid w:val="00C40C35"/>
    <w:rsid w:val="00C40DDC"/>
    <w:rsid w:val="00C410BE"/>
    <w:rsid w:val="00C415B4"/>
    <w:rsid w:val="00C41ADE"/>
    <w:rsid w:val="00C43188"/>
    <w:rsid w:val="00C43474"/>
    <w:rsid w:val="00C4348D"/>
    <w:rsid w:val="00C4445F"/>
    <w:rsid w:val="00C44AEB"/>
    <w:rsid w:val="00C45120"/>
    <w:rsid w:val="00C46037"/>
    <w:rsid w:val="00C461B8"/>
    <w:rsid w:val="00C4623F"/>
    <w:rsid w:val="00C465B5"/>
    <w:rsid w:val="00C46CE3"/>
    <w:rsid w:val="00C46E47"/>
    <w:rsid w:val="00C4700E"/>
    <w:rsid w:val="00C475E1"/>
    <w:rsid w:val="00C50BB0"/>
    <w:rsid w:val="00C51424"/>
    <w:rsid w:val="00C517D1"/>
    <w:rsid w:val="00C51DA9"/>
    <w:rsid w:val="00C52153"/>
    <w:rsid w:val="00C52296"/>
    <w:rsid w:val="00C52EEC"/>
    <w:rsid w:val="00C53366"/>
    <w:rsid w:val="00C533D0"/>
    <w:rsid w:val="00C53421"/>
    <w:rsid w:val="00C542A9"/>
    <w:rsid w:val="00C5441A"/>
    <w:rsid w:val="00C5497C"/>
    <w:rsid w:val="00C54998"/>
    <w:rsid w:val="00C54AF6"/>
    <w:rsid w:val="00C5539F"/>
    <w:rsid w:val="00C55DB3"/>
    <w:rsid w:val="00C565CB"/>
    <w:rsid w:val="00C56BAA"/>
    <w:rsid w:val="00C56C66"/>
    <w:rsid w:val="00C571C6"/>
    <w:rsid w:val="00C57730"/>
    <w:rsid w:val="00C5785C"/>
    <w:rsid w:val="00C57897"/>
    <w:rsid w:val="00C57C18"/>
    <w:rsid w:val="00C60833"/>
    <w:rsid w:val="00C60C80"/>
    <w:rsid w:val="00C60E57"/>
    <w:rsid w:val="00C60F85"/>
    <w:rsid w:val="00C618BF"/>
    <w:rsid w:val="00C6196A"/>
    <w:rsid w:val="00C62CBE"/>
    <w:rsid w:val="00C638D2"/>
    <w:rsid w:val="00C6480B"/>
    <w:rsid w:val="00C6526B"/>
    <w:rsid w:val="00C65DC0"/>
    <w:rsid w:val="00C65E5C"/>
    <w:rsid w:val="00C66264"/>
    <w:rsid w:val="00C6632D"/>
    <w:rsid w:val="00C66A84"/>
    <w:rsid w:val="00C67DAA"/>
    <w:rsid w:val="00C67F02"/>
    <w:rsid w:val="00C7013B"/>
    <w:rsid w:val="00C7099E"/>
    <w:rsid w:val="00C70A5E"/>
    <w:rsid w:val="00C70E73"/>
    <w:rsid w:val="00C716F4"/>
    <w:rsid w:val="00C71FDC"/>
    <w:rsid w:val="00C7227D"/>
    <w:rsid w:val="00C72E19"/>
    <w:rsid w:val="00C73604"/>
    <w:rsid w:val="00C737C6"/>
    <w:rsid w:val="00C73A29"/>
    <w:rsid w:val="00C73A8F"/>
    <w:rsid w:val="00C73B6E"/>
    <w:rsid w:val="00C746DB"/>
    <w:rsid w:val="00C74D59"/>
    <w:rsid w:val="00C74DA0"/>
    <w:rsid w:val="00C75949"/>
    <w:rsid w:val="00C75BC3"/>
    <w:rsid w:val="00C75CEE"/>
    <w:rsid w:val="00C761B3"/>
    <w:rsid w:val="00C76910"/>
    <w:rsid w:val="00C76B74"/>
    <w:rsid w:val="00C76C59"/>
    <w:rsid w:val="00C7740E"/>
    <w:rsid w:val="00C77440"/>
    <w:rsid w:val="00C77601"/>
    <w:rsid w:val="00C77A48"/>
    <w:rsid w:val="00C8046D"/>
    <w:rsid w:val="00C80ABA"/>
    <w:rsid w:val="00C80C5F"/>
    <w:rsid w:val="00C8109B"/>
    <w:rsid w:val="00C811FD"/>
    <w:rsid w:val="00C814EC"/>
    <w:rsid w:val="00C818A2"/>
    <w:rsid w:val="00C81A84"/>
    <w:rsid w:val="00C8259A"/>
    <w:rsid w:val="00C829E9"/>
    <w:rsid w:val="00C829F1"/>
    <w:rsid w:val="00C833AA"/>
    <w:rsid w:val="00C83DF5"/>
    <w:rsid w:val="00C84049"/>
    <w:rsid w:val="00C84130"/>
    <w:rsid w:val="00C843B7"/>
    <w:rsid w:val="00C84AD8"/>
    <w:rsid w:val="00C8552F"/>
    <w:rsid w:val="00C85D03"/>
    <w:rsid w:val="00C85F60"/>
    <w:rsid w:val="00C869FD"/>
    <w:rsid w:val="00C86E22"/>
    <w:rsid w:val="00C87454"/>
    <w:rsid w:val="00C877C8"/>
    <w:rsid w:val="00C87A28"/>
    <w:rsid w:val="00C87B73"/>
    <w:rsid w:val="00C87CF0"/>
    <w:rsid w:val="00C9073F"/>
    <w:rsid w:val="00C90827"/>
    <w:rsid w:val="00C91D7A"/>
    <w:rsid w:val="00C91E9A"/>
    <w:rsid w:val="00C92313"/>
    <w:rsid w:val="00C92D7D"/>
    <w:rsid w:val="00C93094"/>
    <w:rsid w:val="00C93314"/>
    <w:rsid w:val="00C93603"/>
    <w:rsid w:val="00C93DF4"/>
    <w:rsid w:val="00C941C7"/>
    <w:rsid w:val="00C943E4"/>
    <w:rsid w:val="00C94513"/>
    <w:rsid w:val="00C945C1"/>
    <w:rsid w:val="00C948E4"/>
    <w:rsid w:val="00C95413"/>
    <w:rsid w:val="00C954C6"/>
    <w:rsid w:val="00C965E9"/>
    <w:rsid w:val="00C96A2B"/>
    <w:rsid w:val="00C96D3B"/>
    <w:rsid w:val="00C97315"/>
    <w:rsid w:val="00C97B57"/>
    <w:rsid w:val="00C97CF6"/>
    <w:rsid w:val="00C97E4A"/>
    <w:rsid w:val="00CA05E4"/>
    <w:rsid w:val="00CA071D"/>
    <w:rsid w:val="00CA102B"/>
    <w:rsid w:val="00CA1348"/>
    <w:rsid w:val="00CA268C"/>
    <w:rsid w:val="00CA2922"/>
    <w:rsid w:val="00CA36B6"/>
    <w:rsid w:val="00CA4777"/>
    <w:rsid w:val="00CA4780"/>
    <w:rsid w:val="00CA4D5C"/>
    <w:rsid w:val="00CA5BC3"/>
    <w:rsid w:val="00CA5CA3"/>
    <w:rsid w:val="00CA6160"/>
    <w:rsid w:val="00CA62CC"/>
    <w:rsid w:val="00CA64BE"/>
    <w:rsid w:val="00CA68C8"/>
    <w:rsid w:val="00CA6BD0"/>
    <w:rsid w:val="00CB031F"/>
    <w:rsid w:val="00CB04DC"/>
    <w:rsid w:val="00CB0520"/>
    <w:rsid w:val="00CB0A0A"/>
    <w:rsid w:val="00CB0E7E"/>
    <w:rsid w:val="00CB137A"/>
    <w:rsid w:val="00CB376A"/>
    <w:rsid w:val="00CB401E"/>
    <w:rsid w:val="00CB4A1E"/>
    <w:rsid w:val="00CB5237"/>
    <w:rsid w:val="00CB6418"/>
    <w:rsid w:val="00CB673B"/>
    <w:rsid w:val="00CB6A5E"/>
    <w:rsid w:val="00CB7306"/>
    <w:rsid w:val="00CB7624"/>
    <w:rsid w:val="00CB793D"/>
    <w:rsid w:val="00CB798F"/>
    <w:rsid w:val="00CB7F15"/>
    <w:rsid w:val="00CB7FFB"/>
    <w:rsid w:val="00CC03BA"/>
    <w:rsid w:val="00CC0DD4"/>
    <w:rsid w:val="00CC0F06"/>
    <w:rsid w:val="00CC0F7A"/>
    <w:rsid w:val="00CC106F"/>
    <w:rsid w:val="00CC1A4F"/>
    <w:rsid w:val="00CC20EE"/>
    <w:rsid w:val="00CC2A88"/>
    <w:rsid w:val="00CC3822"/>
    <w:rsid w:val="00CC3B61"/>
    <w:rsid w:val="00CC3D72"/>
    <w:rsid w:val="00CC42F0"/>
    <w:rsid w:val="00CC44A8"/>
    <w:rsid w:val="00CC451E"/>
    <w:rsid w:val="00CC4A24"/>
    <w:rsid w:val="00CC4DB9"/>
    <w:rsid w:val="00CC51E8"/>
    <w:rsid w:val="00CC53EB"/>
    <w:rsid w:val="00CC55C1"/>
    <w:rsid w:val="00CC5B19"/>
    <w:rsid w:val="00CC5E7F"/>
    <w:rsid w:val="00CC696B"/>
    <w:rsid w:val="00CC6E8B"/>
    <w:rsid w:val="00CC7D3C"/>
    <w:rsid w:val="00CD0111"/>
    <w:rsid w:val="00CD09C8"/>
    <w:rsid w:val="00CD0B32"/>
    <w:rsid w:val="00CD135E"/>
    <w:rsid w:val="00CD1BA3"/>
    <w:rsid w:val="00CD21F6"/>
    <w:rsid w:val="00CD223E"/>
    <w:rsid w:val="00CD2655"/>
    <w:rsid w:val="00CD367C"/>
    <w:rsid w:val="00CD4482"/>
    <w:rsid w:val="00CD4519"/>
    <w:rsid w:val="00CD4DDE"/>
    <w:rsid w:val="00CD52E5"/>
    <w:rsid w:val="00CD7762"/>
    <w:rsid w:val="00CD7A06"/>
    <w:rsid w:val="00CD7BB3"/>
    <w:rsid w:val="00CE05BA"/>
    <w:rsid w:val="00CE08AA"/>
    <w:rsid w:val="00CE0DE0"/>
    <w:rsid w:val="00CE1460"/>
    <w:rsid w:val="00CE158E"/>
    <w:rsid w:val="00CE198F"/>
    <w:rsid w:val="00CE2102"/>
    <w:rsid w:val="00CE2934"/>
    <w:rsid w:val="00CE3C4D"/>
    <w:rsid w:val="00CE4245"/>
    <w:rsid w:val="00CE499F"/>
    <w:rsid w:val="00CE4FDD"/>
    <w:rsid w:val="00CE5619"/>
    <w:rsid w:val="00CE5839"/>
    <w:rsid w:val="00CE5AA4"/>
    <w:rsid w:val="00CE5FDC"/>
    <w:rsid w:val="00CE6250"/>
    <w:rsid w:val="00CE66EE"/>
    <w:rsid w:val="00CE72E4"/>
    <w:rsid w:val="00CE7947"/>
    <w:rsid w:val="00CE7C15"/>
    <w:rsid w:val="00CE7CED"/>
    <w:rsid w:val="00CF01CE"/>
    <w:rsid w:val="00CF0ECD"/>
    <w:rsid w:val="00CF0ED7"/>
    <w:rsid w:val="00CF0ED8"/>
    <w:rsid w:val="00CF0F7C"/>
    <w:rsid w:val="00CF1187"/>
    <w:rsid w:val="00CF389D"/>
    <w:rsid w:val="00CF4775"/>
    <w:rsid w:val="00CF4985"/>
    <w:rsid w:val="00CF50BD"/>
    <w:rsid w:val="00CF53C9"/>
    <w:rsid w:val="00CF5594"/>
    <w:rsid w:val="00CF5E24"/>
    <w:rsid w:val="00CF5F0B"/>
    <w:rsid w:val="00CF607D"/>
    <w:rsid w:val="00CF6651"/>
    <w:rsid w:val="00CF6A40"/>
    <w:rsid w:val="00CF7601"/>
    <w:rsid w:val="00CF7C2E"/>
    <w:rsid w:val="00D012F3"/>
    <w:rsid w:val="00D01763"/>
    <w:rsid w:val="00D01A32"/>
    <w:rsid w:val="00D01A7F"/>
    <w:rsid w:val="00D01BCB"/>
    <w:rsid w:val="00D01BD4"/>
    <w:rsid w:val="00D01D1D"/>
    <w:rsid w:val="00D02746"/>
    <w:rsid w:val="00D02CB2"/>
    <w:rsid w:val="00D02FAC"/>
    <w:rsid w:val="00D030CB"/>
    <w:rsid w:val="00D03997"/>
    <w:rsid w:val="00D03A46"/>
    <w:rsid w:val="00D03C67"/>
    <w:rsid w:val="00D0481D"/>
    <w:rsid w:val="00D04E1B"/>
    <w:rsid w:val="00D05051"/>
    <w:rsid w:val="00D050F8"/>
    <w:rsid w:val="00D0555F"/>
    <w:rsid w:val="00D05D77"/>
    <w:rsid w:val="00D05FAE"/>
    <w:rsid w:val="00D0630B"/>
    <w:rsid w:val="00D063D9"/>
    <w:rsid w:val="00D076C5"/>
    <w:rsid w:val="00D07875"/>
    <w:rsid w:val="00D07A87"/>
    <w:rsid w:val="00D07CDA"/>
    <w:rsid w:val="00D108CE"/>
    <w:rsid w:val="00D10CE6"/>
    <w:rsid w:val="00D11B73"/>
    <w:rsid w:val="00D11D89"/>
    <w:rsid w:val="00D125DD"/>
    <w:rsid w:val="00D131D9"/>
    <w:rsid w:val="00D13F84"/>
    <w:rsid w:val="00D1408D"/>
    <w:rsid w:val="00D1518C"/>
    <w:rsid w:val="00D15EE8"/>
    <w:rsid w:val="00D166BC"/>
    <w:rsid w:val="00D16D8A"/>
    <w:rsid w:val="00D206EB"/>
    <w:rsid w:val="00D21656"/>
    <w:rsid w:val="00D21E31"/>
    <w:rsid w:val="00D21E6C"/>
    <w:rsid w:val="00D22B55"/>
    <w:rsid w:val="00D2303B"/>
    <w:rsid w:val="00D23180"/>
    <w:rsid w:val="00D23442"/>
    <w:rsid w:val="00D23788"/>
    <w:rsid w:val="00D23912"/>
    <w:rsid w:val="00D23A7B"/>
    <w:rsid w:val="00D2408A"/>
    <w:rsid w:val="00D241C0"/>
    <w:rsid w:val="00D24479"/>
    <w:rsid w:val="00D24619"/>
    <w:rsid w:val="00D251B2"/>
    <w:rsid w:val="00D25638"/>
    <w:rsid w:val="00D25902"/>
    <w:rsid w:val="00D25AF0"/>
    <w:rsid w:val="00D27100"/>
    <w:rsid w:val="00D2725E"/>
    <w:rsid w:val="00D27605"/>
    <w:rsid w:val="00D27D69"/>
    <w:rsid w:val="00D308BA"/>
    <w:rsid w:val="00D30D36"/>
    <w:rsid w:val="00D30EA3"/>
    <w:rsid w:val="00D31548"/>
    <w:rsid w:val="00D315BC"/>
    <w:rsid w:val="00D31B37"/>
    <w:rsid w:val="00D31E19"/>
    <w:rsid w:val="00D32148"/>
    <w:rsid w:val="00D3242A"/>
    <w:rsid w:val="00D32853"/>
    <w:rsid w:val="00D33172"/>
    <w:rsid w:val="00D33718"/>
    <w:rsid w:val="00D33796"/>
    <w:rsid w:val="00D33C5E"/>
    <w:rsid w:val="00D34350"/>
    <w:rsid w:val="00D35B65"/>
    <w:rsid w:val="00D3658A"/>
    <w:rsid w:val="00D36B3B"/>
    <w:rsid w:val="00D36E7C"/>
    <w:rsid w:val="00D40418"/>
    <w:rsid w:val="00D404E2"/>
    <w:rsid w:val="00D40AAD"/>
    <w:rsid w:val="00D40CB3"/>
    <w:rsid w:val="00D41160"/>
    <w:rsid w:val="00D413C4"/>
    <w:rsid w:val="00D41BE8"/>
    <w:rsid w:val="00D41DBF"/>
    <w:rsid w:val="00D41E64"/>
    <w:rsid w:val="00D42315"/>
    <w:rsid w:val="00D42F8E"/>
    <w:rsid w:val="00D43354"/>
    <w:rsid w:val="00D43415"/>
    <w:rsid w:val="00D435DE"/>
    <w:rsid w:val="00D43908"/>
    <w:rsid w:val="00D43E6F"/>
    <w:rsid w:val="00D449C7"/>
    <w:rsid w:val="00D454C9"/>
    <w:rsid w:val="00D45D40"/>
    <w:rsid w:val="00D46455"/>
    <w:rsid w:val="00D46CE4"/>
    <w:rsid w:val="00D505BC"/>
    <w:rsid w:val="00D5091B"/>
    <w:rsid w:val="00D50948"/>
    <w:rsid w:val="00D50BD6"/>
    <w:rsid w:val="00D50E04"/>
    <w:rsid w:val="00D50F7B"/>
    <w:rsid w:val="00D51911"/>
    <w:rsid w:val="00D51929"/>
    <w:rsid w:val="00D53971"/>
    <w:rsid w:val="00D54378"/>
    <w:rsid w:val="00D5487A"/>
    <w:rsid w:val="00D549B4"/>
    <w:rsid w:val="00D55008"/>
    <w:rsid w:val="00D55877"/>
    <w:rsid w:val="00D56E36"/>
    <w:rsid w:val="00D56F41"/>
    <w:rsid w:val="00D5733C"/>
    <w:rsid w:val="00D578DC"/>
    <w:rsid w:val="00D60008"/>
    <w:rsid w:val="00D613DF"/>
    <w:rsid w:val="00D62A2B"/>
    <w:rsid w:val="00D62EF6"/>
    <w:rsid w:val="00D632CB"/>
    <w:rsid w:val="00D63B1A"/>
    <w:rsid w:val="00D642CF"/>
    <w:rsid w:val="00D645B3"/>
    <w:rsid w:val="00D64ACC"/>
    <w:rsid w:val="00D64B20"/>
    <w:rsid w:val="00D65B49"/>
    <w:rsid w:val="00D6620B"/>
    <w:rsid w:val="00D665F5"/>
    <w:rsid w:val="00D66D8F"/>
    <w:rsid w:val="00D66F06"/>
    <w:rsid w:val="00D66F11"/>
    <w:rsid w:val="00D67B88"/>
    <w:rsid w:val="00D67C7A"/>
    <w:rsid w:val="00D702E6"/>
    <w:rsid w:val="00D70451"/>
    <w:rsid w:val="00D707DF"/>
    <w:rsid w:val="00D70A06"/>
    <w:rsid w:val="00D70CD8"/>
    <w:rsid w:val="00D710BB"/>
    <w:rsid w:val="00D71523"/>
    <w:rsid w:val="00D71E55"/>
    <w:rsid w:val="00D73A11"/>
    <w:rsid w:val="00D73CDF"/>
    <w:rsid w:val="00D7443D"/>
    <w:rsid w:val="00D74615"/>
    <w:rsid w:val="00D747DA"/>
    <w:rsid w:val="00D752E1"/>
    <w:rsid w:val="00D755C4"/>
    <w:rsid w:val="00D75E57"/>
    <w:rsid w:val="00D75F90"/>
    <w:rsid w:val="00D76105"/>
    <w:rsid w:val="00D7684D"/>
    <w:rsid w:val="00D76AA5"/>
    <w:rsid w:val="00D76C05"/>
    <w:rsid w:val="00D76E42"/>
    <w:rsid w:val="00D7791B"/>
    <w:rsid w:val="00D77B55"/>
    <w:rsid w:val="00D8025D"/>
    <w:rsid w:val="00D8148E"/>
    <w:rsid w:val="00D81972"/>
    <w:rsid w:val="00D82123"/>
    <w:rsid w:val="00D823B8"/>
    <w:rsid w:val="00D835B0"/>
    <w:rsid w:val="00D84290"/>
    <w:rsid w:val="00D843E5"/>
    <w:rsid w:val="00D84EED"/>
    <w:rsid w:val="00D85671"/>
    <w:rsid w:val="00D866CD"/>
    <w:rsid w:val="00D86836"/>
    <w:rsid w:val="00D86A6A"/>
    <w:rsid w:val="00D86DB6"/>
    <w:rsid w:val="00D87049"/>
    <w:rsid w:val="00D875B8"/>
    <w:rsid w:val="00D87BB4"/>
    <w:rsid w:val="00D90011"/>
    <w:rsid w:val="00D90300"/>
    <w:rsid w:val="00D90433"/>
    <w:rsid w:val="00D909CD"/>
    <w:rsid w:val="00D90A61"/>
    <w:rsid w:val="00D90E07"/>
    <w:rsid w:val="00D920D9"/>
    <w:rsid w:val="00D9271E"/>
    <w:rsid w:val="00D9287A"/>
    <w:rsid w:val="00D92B18"/>
    <w:rsid w:val="00D92F0D"/>
    <w:rsid w:val="00D93438"/>
    <w:rsid w:val="00D9446F"/>
    <w:rsid w:val="00D94CA1"/>
    <w:rsid w:val="00D94DF5"/>
    <w:rsid w:val="00D94F1C"/>
    <w:rsid w:val="00D95224"/>
    <w:rsid w:val="00D957F8"/>
    <w:rsid w:val="00D95D08"/>
    <w:rsid w:val="00D96166"/>
    <w:rsid w:val="00D963E9"/>
    <w:rsid w:val="00D969F7"/>
    <w:rsid w:val="00D9718C"/>
    <w:rsid w:val="00D97EB1"/>
    <w:rsid w:val="00DA0E71"/>
    <w:rsid w:val="00DA1248"/>
    <w:rsid w:val="00DA1A9B"/>
    <w:rsid w:val="00DA2199"/>
    <w:rsid w:val="00DA246D"/>
    <w:rsid w:val="00DA2CF8"/>
    <w:rsid w:val="00DA30BC"/>
    <w:rsid w:val="00DA3F0D"/>
    <w:rsid w:val="00DA419F"/>
    <w:rsid w:val="00DA43B5"/>
    <w:rsid w:val="00DA549C"/>
    <w:rsid w:val="00DA625A"/>
    <w:rsid w:val="00DA6698"/>
    <w:rsid w:val="00DA6C05"/>
    <w:rsid w:val="00DA738F"/>
    <w:rsid w:val="00DB0875"/>
    <w:rsid w:val="00DB0CFD"/>
    <w:rsid w:val="00DB11D0"/>
    <w:rsid w:val="00DB1410"/>
    <w:rsid w:val="00DB1B9F"/>
    <w:rsid w:val="00DB2166"/>
    <w:rsid w:val="00DB231F"/>
    <w:rsid w:val="00DB244A"/>
    <w:rsid w:val="00DB2636"/>
    <w:rsid w:val="00DB27FD"/>
    <w:rsid w:val="00DB31EE"/>
    <w:rsid w:val="00DB372F"/>
    <w:rsid w:val="00DB3F91"/>
    <w:rsid w:val="00DB44E5"/>
    <w:rsid w:val="00DB4809"/>
    <w:rsid w:val="00DB5B8B"/>
    <w:rsid w:val="00DB647B"/>
    <w:rsid w:val="00DB68BD"/>
    <w:rsid w:val="00DB6B9E"/>
    <w:rsid w:val="00DB6E3D"/>
    <w:rsid w:val="00DB7471"/>
    <w:rsid w:val="00DB7BC1"/>
    <w:rsid w:val="00DC00DA"/>
    <w:rsid w:val="00DC0882"/>
    <w:rsid w:val="00DC1444"/>
    <w:rsid w:val="00DC2E39"/>
    <w:rsid w:val="00DC31EE"/>
    <w:rsid w:val="00DC34D5"/>
    <w:rsid w:val="00DC3E56"/>
    <w:rsid w:val="00DC402C"/>
    <w:rsid w:val="00DC4322"/>
    <w:rsid w:val="00DC4811"/>
    <w:rsid w:val="00DC4973"/>
    <w:rsid w:val="00DC5942"/>
    <w:rsid w:val="00DC6715"/>
    <w:rsid w:val="00DC6A00"/>
    <w:rsid w:val="00DC6B7C"/>
    <w:rsid w:val="00DD12FC"/>
    <w:rsid w:val="00DD1DC6"/>
    <w:rsid w:val="00DD3255"/>
    <w:rsid w:val="00DD4830"/>
    <w:rsid w:val="00DD57A2"/>
    <w:rsid w:val="00DD5AB6"/>
    <w:rsid w:val="00DD5F0B"/>
    <w:rsid w:val="00DD60EB"/>
    <w:rsid w:val="00DD64A2"/>
    <w:rsid w:val="00DD65D2"/>
    <w:rsid w:val="00DD6767"/>
    <w:rsid w:val="00DD7339"/>
    <w:rsid w:val="00DD7DB3"/>
    <w:rsid w:val="00DD7E13"/>
    <w:rsid w:val="00DE051F"/>
    <w:rsid w:val="00DE0D1A"/>
    <w:rsid w:val="00DE0F3C"/>
    <w:rsid w:val="00DE13EB"/>
    <w:rsid w:val="00DE17AE"/>
    <w:rsid w:val="00DE1FCF"/>
    <w:rsid w:val="00DE2923"/>
    <w:rsid w:val="00DE3D61"/>
    <w:rsid w:val="00DE3D8D"/>
    <w:rsid w:val="00DE4E34"/>
    <w:rsid w:val="00DE5898"/>
    <w:rsid w:val="00DE5DA1"/>
    <w:rsid w:val="00DE70B5"/>
    <w:rsid w:val="00DE78CC"/>
    <w:rsid w:val="00DE7F70"/>
    <w:rsid w:val="00DF112A"/>
    <w:rsid w:val="00DF1609"/>
    <w:rsid w:val="00DF2226"/>
    <w:rsid w:val="00DF22A4"/>
    <w:rsid w:val="00DF2337"/>
    <w:rsid w:val="00DF2A4A"/>
    <w:rsid w:val="00DF3B85"/>
    <w:rsid w:val="00DF3C3D"/>
    <w:rsid w:val="00DF4B6A"/>
    <w:rsid w:val="00DF4FB3"/>
    <w:rsid w:val="00DF5500"/>
    <w:rsid w:val="00DF608C"/>
    <w:rsid w:val="00DF666D"/>
    <w:rsid w:val="00DF679B"/>
    <w:rsid w:val="00DF71D1"/>
    <w:rsid w:val="00DF7CCE"/>
    <w:rsid w:val="00E003EF"/>
    <w:rsid w:val="00E00494"/>
    <w:rsid w:val="00E0066B"/>
    <w:rsid w:val="00E007D5"/>
    <w:rsid w:val="00E010D7"/>
    <w:rsid w:val="00E015C0"/>
    <w:rsid w:val="00E01BA9"/>
    <w:rsid w:val="00E033E3"/>
    <w:rsid w:val="00E0346A"/>
    <w:rsid w:val="00E03951"/>
    <w:rsid w:val="00E03A94"/>
    <w:rsid w:val="00E03AE6"/>
    <w:rsid w:val="00E03E5E"/>
    <w:rsid w:val="00E049B3"/>
    <w:rsid w:val="00E0533F"/>
    <w:rsid w:val="00E05A86"/>
    <w:rsid w:val="00E0603C"/>
    <w:rsid w:val="00E06438"/>
    <w:rsid w:val="00E074B0"/>
    <w:rsid w:val="00E07556"/>
    <w:rsid w:val="00E07BCC"/>
    <w:rsid w:val="00E1075E"/>
    <w:rsid w:val="00E1089F"/>
    <w:rsid w:val="00E1096F"/>
    <w:rsid w:val="00E10CDE"/>
    <w:rsid w:val="00E11029"/>
    <w:rsid w:val="00E112D5"/>
    <w:rsid w:val="00E11579"/>
    <w:rsid w:val="00E126D5"/>
    <w:rsid w:val="00E12C14"/>
    <w:rsid w:val="00E1303E"/>
    <w:rsid w:val="00E1397B"/>
    <w:rsid w:val="00E14184"/>
    <w:rsid w:val="00E141A0"/>
    <w:rsid w:val="00E14938"/>
    <w:rsid w:val="00E14B5A"/>
    <w:rsid w:val="00E15ED6"/>
    <w:rsid w:val="00E161AD"/>
    <w:rsid w:val="00E162A9"/>
    <w:rsid w:val="00E16696"/>
    <w:rsid w:val="00E172D4"/>
    <w:rsid w:val="00E17633"/>
    <w:rsid w:val="00E17B99"/>
    <w:rsid w:val="00E216E0"/>
    <w:rsid w:val="00E21E41"/>
    <w:rsid w:val="00E22581"/>
    <w:rsid w:val="00E23234"/>
    <w:rsid w:val="00E238B0"/>
    <w:rsid w:val="00E23A7A"/>
    <w:rsid w:val="00E23F99"/>
    <w:rsid w:val="00E245A0"/>
    <w:rsid w:val="00E249B3"/>
    <w:rsid w:val="00E255F8"/>
    <w:rsid w:val="00E25ED4"/>
    <w:rsid w:val="00E260A6"/>
    <w:rsid w:val="00E2707F"/>
    <w:rsid w:val="00E271C4"/>
    <w:rsid w:val="00E2725C"/>
    <w:rsid w:val="00E2739D"/>
    <w:rsid w:val="00E276F4"/>
    <w:rsid w:val="00E27D47"/>
    <w:rsid w:val="00E300BD"/>
    <w:rsid w:val="00E307CB"/>
    <w:rsid w:val="00E313E5"/>
    <w:rsid w:val="00E3154D"/>
    <w:rsid w:val="00E3237C"/>
    <w:rsid w:val="00E33338"/>
    <w:rsid w:val="00E33726"/>
    <w:rsid w:val="00E33842"/>
    <w:rsid w:val="00E33FC0"/>
    <w:rsid w:val="00E34400"/>
    <w:rsid w:val="00E34404"/>
    <w:rsid w:val="00E3474B"/>
    <w:rsid w:val="00E34F50"/>
    <w:rsid w:val="00E36183"/>
    <w:rsid w:val="00E36E93"/>
    <w:rsid w:val="00E36F68"/>
    <w:rsid w:val="00E40078"/>
    <w:rsid w:val="00E40638"/>
    <w:rsid w:val="00E40C46"/>
    <w:rsid w:val="00E40E83"/>
    <w:rsid w:val="00E40FD2"/>
    <w:rsid w:val="00E410F1"/>
    <w:rsid w:val="00E416AF"/>
    <w:rsid w:val="00E429F8"/>
    <w:rsid w:val="00E43AF7"/>
    <w:rsid w:val="00E43E14"/>
    <w:rsid w:val="00E441DA"/>
    <w:rsid w:val="00E44232"/>
    <w:rsid w:val="00E4449C"/>
    <w:rsid w:val="00E44EF0"/>
    <w:rsid w:val="00E45589"/>
    <w:rsid w:val="00E45A97"/>
    <w:rsid w:val="00E45ACD"/>
    <w:rsid w:val="00E45ED3"/>
    <w:rsid w:val="00E4632F"/>
    <w:rsid w:val="00E4688C"/>
    <w:rsid w:val="00E474D7"/>
    <w:rsid w:val="00E47509"/>
    <w:rsid w:val="00E478B5"/>
    <w:rsid w:val="00E5010B"/>
    <w:rsid w:val="00E50799"/>
    <w:rsid w:val="00E508DC"/>
    <w:rsid w:val="00E508DE"/>
    <w:rsid w:val="00E509D0"/>
    <w:rsid w:val="00E50E22"/>
    <w:rsid w:val="00E518D6"/>
    <w:rsid w:val="00E51F06"/>
    <w:rsid w:val="00E5227A"/>
    <w:rsid w:val="00E52DCE"/>
    <w:rsid w:val="00E538BD"/>
    <w:rsid w:val="00E53905"/>
    <w:rsid w:val="00E54091"/>
    <w:rsid w:val="00E54201"/>
    <w:rsid w:val="00E55015"/>
    <w:rsid w:val="00E55026"/>
    <w:rsid w:val="00E558BD"/>
    <w:rsid w:val="00E55976"/>
    <w:rsid w:val="00E55E91"/>
    <w:rsid w:val="00E565F7"/>
    <w:rsid w:val="00E567B6"/>
    <w:rsid w:val="00E57A33"/>
    <w:rsid w:val="00E57BFF"/>
    <w:rsid w:val="00E57C44"/>
    <w:rsid w:val="00E60185"/>
    <w:rsid w:val="00E60230"/>
    <w:rsid w:val="00E60448"/>
    <w:rsid w:val="00E60F47"/>
    <w:rsid w:val="00E614C3"/>
    <w:rsid w:val="00E62B48"/>
    <w:rsid w:val="00E62CA6"/>
    <w:rsid w:val="00E63A5A"/>
    <w:rsid w:val="00E647EE"/>
    <w:rsid w:val="00E64988"/>
    <w:rsid w:val="00E653A5"/>
    <w:rsid w:val="00E65EA9"/>
    <w:rsid w:val="00E66181"/>
    <w:rsid w:val="00E66585"/>
    <w:rsid w:val="00E67291"/>
    <w:rsid w:val="00E674FB"/>
    <w:rsid w:val="00E675D2"/>
    <w:rsid w:val="00E67815"/>
    <w:rsid w:val="00E7013E"/>
    <w:rsid w:val="00E7023B"/>
    <w:rsid w:val="00E709C9"/>
    <w:rsid w:val="00E712BA"/>
    <w:rsid w:val="00E71430"/>
    <w:rsid w:val="00E71C4C"/>
    <w:rsid w:val="00E72B12"/>
    <w:rsid w:val="00E72E67"/>
    <w:rsid w:val="00E7333E"/>
    <w:rsid w:val="00E733FC"/>
    <w:rsid w:val="00E73D54"/>
    <w:rsid w:val="00E74A42"/>
    <w:rsid w:val="00E75E32"/>
    <w:rsid w:val="00E75EF3"/>
    <w:rsid w:val="00E762FB"/>
    <w:rsid w:val="00E76354"/>
    <w:rsid w:val="00E766CE"/>
    <w:rsid w:val="00E76B7F"/>
    <w:rsid w:val="00E76C08"/>
    <w:rsid w:val="00E76E9A"/>
    <w:rsid w:val="00E76FE2"/>
    <w:rsid w:val="00E77233"/>
    <w:rsid w:val="00E776F1"/>
    <w:rsid w:val="00E776FE"/>
    <w:rsid w:val="00E8060E"/>
    <w:rsid w:val="00E810C3"/>
    <w:rsid w:val="00E8148A"/>
    <w:rsid w:val="00E818AD"/>
    <w:rsid w:val="00E81A9D"/>
    <w:rsid w:val="00E81ACF"/>
    <w:rsid w:val="00E8253E"/>
    <w:rsid w:val="00E82853"/>
    <w:rsid w:val="00E83F16"/>
    <w:rsid w:val="00E84365"/>
    <w:rsid w:val="00E84793"/>
    <w:rsid w:val="00E85A81"/>
    <w:rsid w:val="00E86CCA"/>
    <w:rsid w:val="00E86ED1"/>
    <w:rsid w:val="00E87103"/>
    <w:rsid w:val="00E8755E"/>
    <w:rsid w:val="00E9010C"/>
    <w:rsid w:val="00E901D2"/>
    <w:rsid w:val="00E90526"/>
    <w:rsid w:val="00E91CDC"/>
    <w:rsid w:val="00E91FFF"/>
    <w:rsid w:val="00E92B14"/>
    <w:rsid w:val="00E93349"/>
    <w:rsid w:val="00E93357"/>
    <w:rsid w:val="00E9335B"/>
    <w:rsid w:val="00E93A78"/>
    <w:rsid w:val="00E93B26"/>
    <w:rsid w:val="00E94188"/>
    <w:rsid w:val="00E94A41"/>
    <w:rsid w:val="00E957C5"/>
    <w:rsid w:val="00E9598B"/>
    <w:rsid w:val="00E95D70"/>
    <w:rsid w:val="00E96068"/>
    <w:rsid w:val="00E9676D"/>
    <w:rsid w:val="00E96C70"/>
    <w:rsid w:val="00E97185"/>
    <w:rsid w:val="00EA0810"/>
    <w:rsid w:val="00EA18F6"/>
    <w:rsid w:val="00EA1E8F"/>
    <w:rsid w:val="00EA2519"/>
    <w:rsid w:val="00EA2C69"/>
    <w:rsid w:val="00EA2CCC"/>
    <w:rsid w:val="00EA3F7E"/>
    <w:rsid w:val="00EA4266"/>
    <w:rsid w:val="00EA433C"/>
    <w:rsid w:val="00EA437C"/>
    <w:rsid w:val="00EA4620"/>
    <w:rsid w:val="00EA4E69"/>
    <w:rsid w:val="00EA59A3"/>
    <w:rsid w:val="00EA618F"/>
    <w:rsid w:val="00EA66AE"/>
    <w:rsid w:val="00EA6C4C"/>
    <w:rsid w:val="00EA706A"/>
    <w:rsid w:val="00EA7293"/>
    <w:rsid w:val="00EA7C4A"/>
    <w:rsid w:val="00EA7E0B"/>
    <w:rsid w:val="00EB0641"/>
    <w:rsid w:val="00EB0654"/>
    <w:rsid w:val="00EB0782"/>
    <w:rsid w:val="00EB091B"/>
    <w:rsid w:val="00EB13F5"/>
    <w:rsid w:val="00EB1A2D"/>
    <w:rsid w:val="00EB26A6"/>
    <w:rsid w:val="00EB2771"/>
    <w:rsid w:val="00EB277A"/>
    <w:rsid w:val="00EB3F0E"/>
    <w:rsid w:val="00EB459B"/>
    <w:rsid w:val="00EB4BEA"/>
    <w:rsid w:val="00EB55D8"/>
    <w:rsid w:val="00EB5CAF"/>
    <w:rsid w:val="00EB6BD4"/>
    <w:rsid w:val="00EB730D"/>
    <w:rsid w:val="00EB765C"/>
    <w:rsid w:val="00EB7A4A"/>
    <w:rsid w:val="00EB7F9E"/>
    <w:rsid w:val="00EC0402"/>
    <w:rsid w:val="00EC0867"/>
    <w:rsid w:val="00EC0B73"/>
    <w:rsid w:val="00EC19A3"/>
    <w:rsid w:val="00EC24E3"/>
    <w:rsid w:val="00EC29D5"/>
    <w:rsid w:val="00EC2B2D"/>
    <w:rsid w:val="00EC2EC8"/>
    <w:rsid w:val="00EC2FB2"/>
    <w:rsid w:val="00EC3CF9"/>
    <w:rsid w:val="00EC3FCD"/>
    <w:rsid w:val="00EC441E"/>
    <w:rsid w:val="00EC4FDE"/>
    <w:rsid w:val="00EC517C"/>
    <w:rsid w:val="00EC5554"/>
    <w:rsid w:val="00EC5932"/>
    <w:rsid w:val="00EC60A1"/>
    <w:rsid w:val="00EC6538"/>
    <w:rsid w:val="00EC6D95"/>
    <w:rsid w:val="00EC7656"/>
    <w:rsid w:val="00EC7866"/>
    <w:rsid w:val="00EC7C63"/>
    <w:rsid w:val="00EC7DF5"/>
    <w:rsid w:val="00ED043A"/>
    <w:rsid w:val="00ED04E8"/>
    <w:rsid w:val="00ED0E42"/>
    <w:rsid w:val="00ED11E7"/>
    <w:rsid w:val="00ED141B"/>
    <w:rsid w:val="00ED1C21"/>
    <w:rsid w:val="00ED2038"/>
    <w:rsid w:val="00ED24B9"/>
    <w:rsid w:val="00ED27D6"/>
    <w:rsid w:val="00ED2C13"/>
    <w:rsid w:val="00ED2F93"/>
    <w:rsid w:val="00ED351B"/>
    <w:rsid w:val="00ED35AE"/>
    <w:rsid w:val="00ED416E"/>
    <w:rsid w:val="00ED435A"/>
    <w:rsid w:val="00ED44DC"/>
    <w:rsid w:val="00ED46A7"/>
    <w:rsid w:val="00ED4796"/>
    <w:rsid w:val="00ED4B05"/>
    <w:rsid w:val="00ED5204"/>
    <w:rsid w:val="00ED5A4A"/>
    <w:rsid w:val="00ED5F0D"/>
    <w:rsid w:val="00ED658F"/>
    <w:rsid w:val="00ED6DE6"/>
    <w:rsid w:val="00ED6EB3"/>
    <w:rsid w:val="00ED7CF8"/>
    <w:rsid w:val="00ED7D56"/>
    <w:rsid w:val="00EE081F"/>
    <w:rsid w:val="00EE0DA5"/>
    <w:rsid w:val="00EE27AE"/>
    <w:rsid w:val="00EE33AB"/>
    <w:rsid w:val="00EE3466"/>
    <w:rsid w:val="00EE37AF"/>
    <w:rsid w:val="00EE388D"/>
    <w:rsid w:val="00EE3A6A"/>
    <w:rsid w:val="00EE3EC6"/>
    <w:rsid w:val="00EE46E2"/>
    <w:rsid w:val="00EE48E2"/>
    <w:rsid w:val="00EE4B2E"/>
    <w:rsid w:val="00EE4CF9"/>
    <w:rsid w:val="00EE57B9"/>
    <w:rsid w:val="00EE69EC"/>
    <w:rsid w:val="00EE6BC6"/>
    <w:rsid w:val="00EE70FD"/>
    <w:rsid w:val="00EE73C3"/>
    <w:rsid w:val="00EE766D"/>
    <w:rsid w:val="00EE79D6"/>
    <w:rsid w:val="00EE7DB6"/>
    <w:rsid w:val="00EF03A7"/>
    <w:rsid w:val="00EF05FA"/>
    <w:rsid w:val="00EF0CE8"/>
    <w:rsid w:val="00EF11A8"/>
    <w:rsid w:val="00EF1917"/>
    <w:rsid w:val="00EF2743"/>
    <w:rsid w:val="00EF27B3"/>
    <w:rsid w:val="00EF2A4C"/>
    <w:rsid w:val="00EF338F"/>
    <w:rsid w:val="00EF34A1"/>
    <w:rsid w:val="00EF3FBC"/>
    <w:rsid w:val="00EF4435"/>
    <w:rsid w:val="00EF4D8F"/>
    <w:rsid w:val="00EF54DF"/>
    <w:rsid w:val="00EF5E0E"/>
    <w:rsid w:val="00EF5E88"/>
    <w:rsid w:val="00EF612B"/>
    <w:rsid w:val="00EF6E8B"/>
    <w:rsid w:val="00EF6F97"/>
    <w:rsid w:val="00EF712C"/>
    <w:rsid w:val="00F00481"/>
    <w:rsid w:val="00F00893"/>
    <w:rsid w:val="00F00E4C"/>
    <w:rsid w:val="00F0138A"/>
    <w:rsid w:val="00F0210F"/>
    <w:rsid w:val="00F028A6"/>
    <w:rsid w:val="00F02DB4"/>
    <w:rsid w:val="00F02E97"/>
    <w:rsid w:val="00F02F91"/>
    <w:rsid w:val="00F037C9"/>
    <w:rsid w:val="00F03D03"/>
    <w:rsid w:val="00F03D48"/>
    <w:rsid w:val="00F046C1"/>
    <w:rsid w:val="00F0491B"/>
    <w:rsid w:val="00F049B0"/>
    <w:rsid w:val="00F04BC6"/>
    <w:rsid w:val="00F04DF9"/>
    <w:rsid w:val="00F04E6E"/>
    <w:rsid w:val="00F05052"/>
    <w:rsid w:val="00F0518D"/>
    <w:rsid w:val="00F051BE"/>
    <w:rsid w:val="00F05325"/>
    <w:rsid w:val="00F053F6"/>
    <w:rsid w:val="00F0581E"/>
    <w:rsid w:val="00F058B0"/>
    <w:rsid w:val="00F05A66"/>
    <w:rsid w:val="00F05C8E"/>
    <w:rsid w:val="00F06335"/>
    <w:rsid w:val="00F0658E"/>
    <w:rsid w:val="00F06B89"/>
    <w:rsid w:val="00F07121"/>
    <w:rsid w:val="00F07863"/>
    <w:rsid w:val="00F07E7E"/>
    <w:rsid w:val="00F07F25"/>
    <w:rsid w:val="00F10F4D"/>
    <w:rsid w:val="00F1118C"/>
    <w:rsid w:val="00F111B8"/>
    <w:rsid w:val="00F11340"/>
    <w:rsid w:val="00F11516"/>
    <w:rsid w:val="00F11E59"/>
    <w:rsid w:val="00F12138"/>
    <w:rsid w:val="00F12BDF"/>
    <w:rsid w:val="00F12DA0"/>
    <w:rsid w:val="00F13241"/>
    <w:rsid w:val="00F13779"/>
    <w:rsid w:val="00F13F2E"/>
    <w:rsid w:val="00F142CE"/>
    <w:rsid w:val="00F14F9E"/>
    <w:rsid w:val="00F1504D"/>
    <w:rsid w:val="00F16FA6"/>
    <w:rsid w:val="00F17106"/>
    <w:rsid w:val="00F172BF"/>
    <w:rsid w:val="00F17AA9"/>
    <w:rsid w:val="00F17CE6"/>
    <w:rsid w:val="00F17EB6"/>
    <w:rsid w:val="00F20F1A"/>
    <w:rsid w:val="00F21090"/>
    <w:rsid w:val="00F210C6"/>
    <w:rsid w:val="00F2149B"/>
    <w:rsid w:val="00F215BE"/>
    <w:rsid w:val="00F2162B"/>
    <w:rsid w:val="00F21775"/>
    <w:rsid w:val="00F218E7"/>
    <w:rsid w:val="00F21D22"/>
    <w:rsid w:val="00F221B5"/>
    <w:rsid w:val="00F2240A"/>
    <w:rsid w:val="00F22675"/>
    <w:rsid w:val="00F22B8F"/>
    <w:rsid w:val="00F231AE"/>
    <w:rsid w:val="00F233A1"/>
    <w:rsid w:val="00F233D9"/>
    <w:rsid w:val="00F2342A"/>
    <w:rsid w:val="00F23E4E"/>
    <w:rsid w:val="00F24C74"/>
    <w:rsid w:val="00F2537F"/>
    <w:rsid w:val="00F25AF9"/>
    <w:rsid w:val="00F26167"/>
    <w:rsid w:val="00F26456"/>
    <w:rsid w:val="00F26C00"/>
    <w:rsid w:val="00F26CA0"/>
    <w:rsid w:val="00F26F57"/>
    <w:rsid w:val="00F26F71"/>
    <w:rsid w:val="00F2730E"/>
    <w:rsid w:val="00F2799B"/>
    <w:rsid w:val="00F279AB"/>
    <w:rsid w:val="00F279C4"/>
    <w:rsid w:val="00F279F3"/>
    <w:rsid w:val="00F27D90"/>
    <w:rsid w:val="00F30187"/>
    <w:rsid w:val="00F30B32"/>
    <w:rsid w:val="00F3101C"/>
    <w:rsid w:val="00F314F3"/>
    <w:rsid w:val="00F31ED3"/>
    <w:rsid w:val="00F31F84"/>
    <w:rsid w:val="00F32286"/>
    <w:rsid w:val="00F33976"/>
    <w:rsid w:val="00F34534"/>
    <w:rsid w:val="00F34628"/>
    <w:rsid w:val="00F34678"/>
    <w:rsid w:val="00F34815"/>
    <w:rsid w:val="00F349A6"/>
    <w:rsid w:val="00F34E05"/>
    <w:rsid w:val="00F352E6"/>
    <w:rsid w:val="00F353AD"/>
    <w:rsid w:val="00F35857"/>
    <w:rsid w:val="00F35898"/>
    <w:rsid w:val="00F36005"/>
    <w:rsid w:val="00F36235"/>
    <w:rsid w:val="00F37502"/>
    <w:rsid w:val="00F37D3D"/>
    <w:rsid w:val="00F37DEC"/>
    <w:rsid w:val="00F401E4"/>
    <w:rsid w:val="00F40466"/>
    <w:rsid w:val="00F40AEF"/>
    <w:rsid w:val="00F40AFD"/>
    <w:rsid w:val="00F40D1F"/>
    <w:rsid w:val="00F41107"/>
    <w:rsid w:val="00F415D5"/>
    <w:rsid w:val="00F41D81"/>
    <w:rsid w:val="00F428F8"/>
    <w:rsid w:val="00F4292A"/>
    <w:rsid w:val="00F42BF4"/>
    <w:rsid w:val="00F42C2A"/>
    <w:rsid w:val="00F43896"/>
    <w:rsid w:val="00F43A92"/>
    <w:rsid w:val="00F43FB4"/>
    <w:rsid w:val="00F440E0"/>
    <w:rsid w:val="00F441D8"/>
    <w:rsid w:val="00F4436A"/>
    <w:rsid w:val="00F452A9"/>
    <w:rsid w:val="00F457EF"/>
    <w:rsid w:val="00F45D9E"/>
    <w:rsid w:val="00F47119"/>
    <w:rsid w:val="00F47E01"/>
    <w:rsid w:val="00F504B0"/>
    <w:rsid w:val="00F51247"/>
    <w:rsid w:val="00F51471"/>
    <w:rsid w:val="00F517B7"/>
    <w:rsid w:val="00F5181F"/>
    <w:rsid w:val="00F51848"/>
    <w:rsid w:val="00F519C6"/>
    <w:rsid w:val="00F51FCE"/>
    <w:rsid w:val="00F52B27"/>
    <w:rsid w:val="00F52F6F"/>
    <w:rsid w:val="00F5353D"/>
    <w:rsid w:val="00F539E0"/>
    <w:rsid w:val="00F54CB2"/>
    <w:rsid w:val="00F54FDF"/>
    <w:rsid w:val="00F5571C"/>
    <w:rsid w:val="00F5628F"/>
    <w:rsid w:val="00F56759"/>
    <w:rsid w:val="00F567B2"/>
    <w:rsid w:val="00F568CE"/>
    <w:rsid w:val="00F56BA3"/>
    <w:rsid w:val="00F56E44"/>
    <w:rsid w:val="00F56FC4"/>
    <w:rsid w:val="00F57402"/>
    <w:rsid w:val="00F57431"/>
    <w:rsid w:val="00F579E5"/>
    <w:rsid w:val="00F607C0"/>
    <w:rsid w:val="00F60B46"/>
    <w:rsid w:val="00F61332"/>
    <w:rsid w:val="00F62AF6"/>
    <w:rsid w:val="00F6306A"/>
    <w:rsid w:val="00F631ED"/>
    <w:rsid w:val="00F6336B"/>
    <w:rsid w:val="00F64040"/>
    <w:rsid w:val="00F64CB3"/>
    <w:rsid w:val="00F651CE"/>
    <w:rsid w:val="00F65B69"/>
    <w:rsid w:val="00F65CCE"/>
    <w:rsid w:val="00F6760B"/>
    <w:rsid w:val="00F70333"/>
    <w:rsid w:val="00F705F9"/>
    <w:rsid w:val="00F70650"/>
    <w:rsid w:val="00F70991"/>
    <w:rsid w:val="00F70A11"/>
    <w:rsid w:val="00F7117E"/>
    <w:rsid w:val="00F71397"/>
    <w:rsid w:val="00F715FA"/>
    <w:rsid w:val="00F7320B"/>
    <w:rsid w:val="00F73869"/>
    <w:rsid w:val="00F73F27"/>
    <w:rsid w:val="00F74184"/>
    <w:rsid w:val="00F7437C"/>
    <w:rsid w:val="00F746C9"/>
    <w:rsid w:val="00F748EA"/>
    <w:rsid w:val="00F75C59"/>
    <w:rsid w:val="00F75EA8"/>
    <w:rsid w:val="00F75FB3"/>
    <w:rsid w:val="00F76522"/>
    <w:rsid w:val="00F76A82"/>
    <w:rsid w:val="00F76DC3"/>
    <w:rsid w:val="00F7702E"/>
    <w:rsid w:val="00F80BDF"/>
    <w:rsid w:val="00F81418"/>
    <w:rsid w:val="00F81B0F"/>
    <w:rsid w:val="00F81DA0"/>
    <w:rsid w:val="00F820E5"/>
    <w:rsid w:val="00F82307"/>
    <w:rsid w:val="00F8259A"/>
    <w:rsid w:val="00F82B09"/>
    <w:rsid w:val="00F83FA1"/>
    <w:rsid w:val="00F84426"/>
    <w:rsid w:val="00F846EA"/>
    <w:rsid w:val="00F84945"/>
    <w:rsid w:val="00F84AA3"/>
    <w:rsid w:val="00F84C3E"/>
    <w:rsid w:val="00F84E38"/>
    <w:rsid w:val="00F852C0"/>
    <w:rsid w:val="00F8569F"/>
    <w:rsid w:val="00F8597F"/>
    <w:rsid w:val="00F85A69"/>
    <w:rsid w:val="00F86751"/>
    <w:rsid w:val="00F86976"/>
    <w:rsid w:val="00F869E3"/>
    <w:rsid w:val="00F86F57"/>
    <w:rsid w:val="00F86FFA"/>
    <w:rsid w:val="00F87493"/>
    <w:rsid w:val="00F90483"/>
    <w:rsid w:val="00F90996"/>
    <w:rsid w:val="00F910BE"/>
    <w:rsid w:val="00F91130"/>
    <w:rsid w:val="00F91398"/>
    <w:rsid w:val="00F9166B"/>
    <w:rsid w:val="00F92119"/>
    <w:rsid w:val="00F9214A"/>
    <w:rsid w:val="00F92246"/>
    <w:rsid w:val="00F922AE"/>
    <w:rsid w:val="00F9302A"/>
    <w:rsid w:val="00F93035"/>
    <w:rsid w:val="00F943B6"/>
    <w:rsid w:val="00F947F7"/>
    <w:rsid w:val="00F9487F"/>
    <w:rsid w:val="00F9493C"/>
    <w:rsid w:val="00F94A00"/>
    <w:rsid w:val="00F94A22"/>
    <w:rsid w:val="00F953D9"/>
    <w:rsid w:val="00F953DD"/>
    <w:rsid w:val="00F9592D"/>
    <w:rsid w:val="00F959B8"/>
    <w:rsid w:val="00F961F9"/>
    <w:rsid w:val="00F96CAE"/>
    <w:rsid w:val="00F97D78"/>
    <w:rsid w:val="00FA040D"/>
    <w:rsid w:val="00FA0A6D"/>
    <w:rsid w:val="00FA0C4E"/>
    <w:rsid w:val="00FA1513"/>
    <w:rsid w:val="00FA1672"/>
    <w:rsid w:val="00FA1B57"/>
    <w:rsid w:val="00FA1B6D"/>
    <w:rsid w:val="00FA2C56"/>
    <w:rsid w:val="00FA30C0"/>
    <w:rsid w:val="00FA380F"/>
    <w:rsid w:val="00FA3A1B"/>
    <w:rsid w:val="00FA3D70"/>
    <w:rsid w:val="00FA3FCC"/>
    <w:rsid w:val="00FA4688"/>
    <w:rsid w:val="00FA4FB7"/>
    <w:rsid w:val="00FA52EB"/>
    <w:rsid w:val="00FA5B6D"/>
    <w:rsid w:val="00FA5E44"/>
    <w:rsid w:val="00FA6223"/>
    <w:rsid w:val="00FA694F"/>
    <w:rsid w:val="00FA6AF4"/>
    <w:rsid w:val="00FA7775"/>
    <w:rsid w:val="00FA7ACF"/>
    <w:rsid w:val="00FB035C"/>
    <w:rsid w:val="00FB0BE8"/>
    <w:rsid w:val="00FB0CBB"/>
    <w:rsid w:val="00FB17DE"/>
    <w:rsid w:val="00FB18BF"/>
    <w:rsid w:val="00FB2328"/>
    <w:rsid w:val="00FB2703"/>
    <w:rsid w:val="00FB28DD"/>
    <w:rsid w:val="00FB29C8"/>
    <w:rsid w:val="00FB366B"/>
    <w:rsid w:val="00FB45D3"/>
    <w:rsid w:val="00FB52E5"/>
    <w:rsid w:val="00FB622D"/>
    <w:rsid w:val="00FB629C"/>
    <w:rsid w:val="00FB6614"/>
    <w:rsid w:val="00FB6D60"/>
    <w:rsid w:val="00FB6F05"/>
    <w:rsid w:val="00FB71DA"/>
    <w:rsid w:val="00FB76BD"/>
    <w:rsid w:val="00FB76C8"/>
    <w:rsid w:val="00FC051C"/>
    <w:rsid w:val="00FC0EDF"/>
    <w:rsid w:val="00FC1310"/>
    <w:rsid w:val="00FC19A4"/>
    <w:rsid w:val="00FC24A4"/>
    <w:rsid w:val="00FC2E01"/>
    <w:rsid w:val="00FC356F"/>
    <w:rsid w:val="00FC3F36"/>
    <w:rsid w:val="00FC421A"/>
    <w:rsid w:val="00FC45C6"/>
    <w:rsid w:val="00FC5360"/>
    <w:rsid w:val="00FC5DF5"/>
    <w:rsid w:val="00FC74B3"/>
    <w:rsid w:val="00FC7840"/>
    <w:rsid w:val="00FC7F9E"/>
    <w:rsid w:val="00FD00D3"/>
    <w:rsid w:val="00FD05D8"/>
    <w:rsid w:val="00FD19AE"/>
    <w:rsid w:val="00FD1DA1"/>
    <w:rsid w:val="00FD1E69"/>
    <w:rsid w:val="00FD2128"/>
    <w:rsid w:val="00FD22B4"/>
    <w:rsid w:val="00FD27C1"/>
    <w:rsid w:val="00FD36E0"/>
    <w:rsid w:val="00FD3BCD"/>
    <w:rsid w:val="00FD3D5B"/>
    <w:rsid w:val="00FD3F04"/>
    <w:rsid w:val="00FD413E"/>
    <w:rsid w:val="00FD477A"/>
    <w:rsid w:val="00FD4D47"/>
    <w:rsid w:val="00FD6382"/>
    <w:rsid w:val="00FD6919"/>
    <w:rsid w:val="00FD6C6F"/>
    <w:rsid w:val="00FD71B2"/>
    <w:rsid w:val="00FD771A"/>
    <w:rsid w:val="00FE0A9E"/>
    <w:rsid w:val="00FE138C"/>
    <w:rsid w:val="00FE158B"/>
    <w:rsid w:val="00FE1626"/>
    <w:rsid w:val="00FE1709"/>
    <w:rsid w:val="00FE1A6C"/>
    <w:rsid w:val="00FE1B1A"/>
    <w:rsid w:val="00FE1E24"/>
    <w:rsid w:val="00FE202F"/>
    <w:rsid w:val="00FE2BB5"/>
    <w:rsid w:val="00FE317D"/>
    <w:rsid w:val="00FE3280"/>
    <w:rsid w:val="00FE37C8"/>
    <w:rsid w:val="00FE565F"/>
    <w:rsid w:val="00FE5BEE"/>
    <w:rsid w:val="00FE5EEC"/>
    <w:rsid w:val="00FE607C"/>
    <w:rsid w:val="00FE61DD"/>
    <w:rsid w:val="00FE640F"/>
    <w:rsid w:val="00FE7485"/>
    <w:rsid w:val="00FE7FD3"/>
    <w:rsid w:val="00FF09C4"/>
    <w:rsid w:val="00FF0BC2"/>
    <w:rsid w:val="00FF17D6"/>
    <w:rsid w:val="00FF1886"/>
    <w:rsid w:val="00FF210C"/>
    <w:rsid w:val="00FF281D"/>
    <w:rsid w:val="00FF2BED"/>
    <w:rsid w:val="00FF31ED"/>
    <w:rsid w:val="00FF32FA"/>
    <w:rsid w:val="00FF3FB7"/>
    <w:rsid w:val="00FF4659"/>
    <w:rsid w:val="00FF4DFF"/>
    <w:rsid w:val="00FF55CE"/>
    <w:rsid w:val="00FF60C9"/>
    <w:rsid w:val="00FF6704"/>
    <w:rsid w:val="00FF6EA9"/>
    <w:rsid w:val="00FF7270"/>
    <w:rsid w:val="00FF72DB"/>
    <w:rsid w:val="00FF734B"/>
    <w:rsid w:val="00FF7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4817"/>
    <o:shapelayout v:ext="edit">
      <o:idmap v:ext="edit" data="1"/>
    </o:shapelayout>
  </w:shapeDefaults>
  <w:decimalSymbol w:val="."/>
  <w:listSeparator w:val=","/>
  <w14:docId w14:val="60BB2A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uiPriority="11" w:qFormat="1"/>
    <w:lsdException w:name="Hyperlink" w:uiPriority="99"/>
    <w:lsdException w:name="Strong"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2AD"/>
    <w:rPr>
      <w:sz w:val="26"/>
      <w:szCs w:val="26"/>
    </w:rPr>
  </w:style>
  <w:style w:type="paragraph" w:styleId="Heading1">
    <w:name w:val="heading 1"/>
    <w:basedOn w:val="Normal"/>
    <w:next w:val="Normal"/>
    <w:link w:val="Heading1Char"/>
    <w:qFormat/>
    <w:rsid w:val="000C2813"/>
    <w:pPr>
      <w:keepNext/>
      <w:spacing w:before="240" w:after="60"/>
      <w:outlineLvl w:val="0"/>
    </w:pPr>
    <w:rPr>
      <w:rFonts w:cs="Arial"/>
      <w:b/>
      <w:bCs/>
      <w:kern w:val="32"/>
      <w:sz w:val="25"/>
      <w:szCs w:val="32"/>
    </w:rPr>
  </w:style>
  <w:style w:type="paragraph" w:styleId="Heading2">
    <w:name w:val="heading 2"/>
    <w:basedOn w:val="Normal"/>
    <w:next w:val="Normal"/>
    <w:qFormat/>
    <w:rsid w:val="00925B6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autoRedefine/>
    <w:qFormat/>
    <w:rsid w:val="00A70C16"/>
    <w:pPr>
      <w:keepNext/>
      <w:keepLines/>
      <w:numPr>
        <w:numId w:val="16"/>
      </w:numPr>
      <w:spacing w:before="240" w:after="60" w:line="264" w:lineRule="auto"/>
      <w:outlineLvl w:val="2"/>
    </w:pPr>
    <w:rPr>
      <w:rFonts w:cs="Arial"/>
      <w:b/>
      <w:sz w:val="25"/>
      <w:szCs w:val="25"/>
    </w:rPr>
  </w:style>
  <w:style w:type="paragraph" w:styleId="Heading4">
    <w:name w:val="heading 4"/>
    <w:basedOn w:val="Normal"/>
    <w:next w:val="Normal"/>
    <w:link w:val="Heading4Char"/>
    <w:autoRedefine/>
    <w:qFormat/>
    <w:rsid w:val="00883A54"/>
    <w:pPr>
      <w:keepNext/>
      <w:numPr>
        <w:numId w:val="17"/>
      </w:numPr>
      <w:tabs>
        <w:tab w:val="left" w:pos="1800"/>
      </w:tabs>
      <w:spacing w:line="264" w:lineRule="auto"/>
      <w:ind w:left="1800"/>
      <w:outlineLvl w:val="3"/>
    </w:pPr>
    <w:rPr>
      <w:rFonts w:ascii="Times New Roman Bold" w:hAnsi="Times New Roman Bold"/>
      <w:b/>
      <w:bCs/>
      <w:sz w:val="25"/>
      <w:szCs w:val="28"/>
    </w:rPr>
  </w:style>
  <w:style w:type="paragraph" w:styleId="Heading5">
    <w:name w:val="heading 5"/>
    <w:basedOn w:val="Normal"/>
    <w:next w:val="Normal"/>
    <w:qFormat/>
    <w:rsid w:val="00544645"/>
    <w:pPr>
      <w:numPr>
        <w:numId w:val="7"/>
      </w:numPr>
      <w:spacing w:before="240" w:after="60"/>
      <w:outlineLvl w:val="4"/>
    </w:pPr>
    <w:rPr>
      <w:b/>
      <w:bCs/>
      <w:i/>
      <w:iCs/>
      <w:sz w:val="25"/>
    </w:rPr>
  </w:style>
  <w:style w:type="paragraph" w:styleId="Heading6">
    <w:name w:val="heading 6"/>
    <w:basedOn w:val="Normal"/>
    <w:next w:val="Normal"/>
    <w:link w:val="Heading6Char"/>
    <w:qFormat/>
    <w:rsid w:val="00827F96"/>
    <w:pPr>
      <w:numPr>
        <w:numId w:val="9"/>
      </w:numPr>
      <w:spacing w:before="240" w:after="60"/>
      <w:outlineLvl w:val="5"/>
    </w:pPr>
    <w:rPr>
      <w:b/>
      <w:bCs/>
      <w:sz w:val="25"/>
      <w:szCs w:val="22"/>
    </w:rPr>
  </w:style>
  <w:style w:type="paragraph" w:styleId="Heading7">
    <w:name w:val="heading 7"/>
    <w:basedOn w:val="Normal"/>
    <w:next w:val="Normal"/>
    <w:qFormat/>
    <w:rsid w:val="0056330A"/>
    <w:pPr>
      <w:numPr>
        <w:numId w:val="12"/>
      </w:numPr>
      <w:spacing w:before="240" w:after="60"/>
      <w:outlineLvl w:val="6"/>
    </w:pPr>
    <w:rPr>
      <w:b/>
      <w:i/>
      <w:sz w:val="25"/>
      <w:szCs w:val="24"/>
      <w:u w:val="single"/>
    </w:rPr>
  </w:style>
  <w:style w:type="paragraph" w:styleId="Heading8">
    <w:name w:val="heading 8"/>
    <w:basedOn w:val="Normal"/>
    <w:next w:val="Normal"/>
    <w:link w:val="Heading8Char"/>
    <w:qFormat/>
    <w:rsid w:val="00BC1E3D"/>
    <w:pPr>
      <w:numPr>
        <w:numId w:val="13"/>
      </w:numPr>
      <w:spacing w:before="240" w:after="60"/>
      <w:outlineLvl w:val="7"/>
    </w:pPr>
    <w:rPr>
      <w:rFonts w:ascii="Times New Roman Bold" w:hAnsi="Times New Roman Bold"/>
      <w:b/>
      <w:iCs/>
      <w:sz w:val="25"/>
      <w:szCs w:val="24"/>
      <w:u w:val="single"/>
    </w:rPr>
  </w:style>
  <w:style w:type="paragraph" w:styleId="Heading9">
    <w:name w:val="heading 9"/>
    <w:basedOn w:val="Normal"/>
    <w:next w:val="Normal"/>
    <w:qFormat/>
    <w:rsid w:val="006760BC"/>
    <w:pPr>
      <w:numPr>
        <w:numId w:val="14"/>
      </w:numPr>
      <w:spacing w:before="240" w:after="60"/>
      <w:outlineLvl w:val="8"/>
    </w:pPr>
    <w:rPr>
      <w:rFonts w:cs="Arial"/>
      <w:i/>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fn"/>
    <w:basedOn w:val="Normal"/>
    <w:link w:val="FootnoteTextChar1"/>
    <w:uiPriority w:val="99"/>
    <w:qFormat/>
    <w:rsid w:val="007A235D"/>
    <w:pPr>
      <w:spacing w:after="120"/>
    </w:pPr>
    <w:rPr>
      <w:sz w:val="22"/>
      <w:szCs w:val="20"/>
    </w:rPr>
  </w:style>
  <w:style w:type="character" w:styleId="FootnoteReference">
    <w:name w:val="footnote reference"/>
    <w:aliases w:val="o,fr,Style 3,Style 13,Style 12,Style 15,Style 17,Style 9,o1,fr1,o2,fr2,o3,fr3,Style 18,(NECG) Footnote Reference,Style 20,Style 7,Style 8,Style 19,Style 28,Style 11,Style 16,Styl,Style 6"/>
    <w:uiPriority w:val="99"/>
    <w:qFormat/>
    <w:rsid w:val="00BD6A2B"/>
    <w:rPr>
      <w:vertAlign w:val="superscript"/>
    </w:rPr>
  </w:style>
  <w:style w:type="character" w:customStyle="1" w:styleId="RCWSLText">
    <w:name w:val="RCWSLText"/>
    <w:rsid w:val="00BD6A2B"/>
    <w:rPr>
      <w:rFonts w:ascii="Courier New" w:hAnsi="Courier New" w:cs="Courier New"/>
      <w:sz w:val="24"/>
      <w:szCs w:val="24"/>
      <w:lang w:val="en-US"/>
    </w:rPr>
  </w:style>
  <w:style w:type="paragraph" w:customStyle="1" w:styleId="ParNumber">
    <w:name w:val="ParNumber"/>
    <w:basedOn w:val="Normal"/>
    <w:rsid w:val="00DE3D8D"/>
    <w:pPr>
      <w:numPr>
        <w:numId w:val="3"/>
      </w:numPr>
      <w:tabs>
        <w:tab w:val="clear" w:pos="360"/>
        <w:tab w:val="left" w:pos="720"/>
      </w:tabs>
      <w:ind w:left="0" w:hanging="720"/>
    </w:pPr>
    <w:rPr>
      <w:sz w:val="24"/>
      <w:szCs w:val="24"/>
    </w:rPr>
  </w:style>
  <w:style w:type="paragraph" w:styleId="Header">
    <w:name w:val="header"/>
    <w:basedOn w:val="Normal"/>
    <w:link w:val="HeaderChar"/>
    <w:rsid w:val="006D5AFA"/>
    <w:pPr>
      <w:tabs>
        <w:tab w:val="center" w:pos="4320"/>
        <w:tab w:val="right" w:pos="8640"/>
      </w:tabs>
    </w:pPr>
    <w:rPr>
      <w:sz w:val="24"/>
      <w:szCs w:val="24"/>
    </w:rPr>
  </w:style>
  <w:style w:type="paragraph" w:styleId="TOC2">
    <w:name w:val="toc 2"/>
    <w:basedOn w:val="Normal"/>
    <w:next w:val="Normal"/>
    <w:autoRedefine/>
    <w:uiPriority w:val="39"/>
    <w:qFormat/>
    <w:rsid w:val="00190524"/>
    <w:pPr>
      <w:tabs>
        <w:tab w:val="left" w:leader="dot" w:pos="360"/>
        <w:tab w:val="left" w:pos="612"/>
        <w:tab w:val="right" w:leader="dot" w:pos="8630"/>
      </w:tabs>
      <w:ind w:left="72"/>
    </w:pPr>
    <w:rPr>
      <w:b/>
      <w:noProof/>
      <w:szCs w:val="24"/>
    </w:rPr>
  </w:style>
  <w:style w:type="paragraph" w:styleId="TOC3">
    <w:name w:val="toc 3"/>
    <w:basedOn w:val="Normal"/>
    <w:next w:val="Normal"/>
    <w:autoRedefine/>
    <w:uiPriority w:val="39"/>
    <w:qFormat/>
    <w:rsid w:val="00D45D40"/>
    <w:pPr>
      <w:tabs>
        <w:tab w:val="left" w:pos="720"/>
        <w:tab w:val="right" w:leader="dot" w:pos="8640"/>
      </w:tabs>
      <w:ind w:left="619" w:hanging="187"/>
    </w:pPr>
    <w:rPr>
      <w:b/>
      <w:noProof/>
      <w:szCs w:val="24"/>
    </w:rPr>
  </w:style>
  <w:style w:type="table" w:styleId="TableGrid">
    <w:name w:val="Table Grid"/>
    <w:basedOn w:val="TableNormal"/>
    <w:uiPriority w:val="59"/>
    <w:rsid w:val="006D5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614C3"/>
    <w:rPr>
      <w:color w:val="0000FF"/>
      <w:u w:val="single"/>
    </w:rPr>
  </w:style>
  <w:style w:type="paragraph" w:styleId="BodyTextIndent">
    <w:name w:val="Body Text Indent"/>
    <w:basedOn w:val="Normal"/>
    <w:link w:val="BodyTextIndentChar"/>
    <w:rsid w:val="002022A6"/>
    <w:pPr>
      <w:ind w:left="3600" w:hanging="3600"/>
    </w:pPr>
    <w:rPr>
      <w:sz w:val="24"/>
      <w:szCs w:val="24"/>
    </w:rPr>
  </w:style>
  <w:style w:type="paragraph" w:styleId="BodyText">
    <w:name w:val="Body Text"/>
    <w:basedOn w:val="Normal"/>
    <w:rsid w:val="00321A02"/>
    <w:pPr>
      <w:spacing w:after="120"/>
    </w:pPr>
  </w:style>
  <w:style w:type="paragraph" w:styleId="TOC1">
    <w:name w:val="toc 1"/>
    <w:basedOn w:val="Normal"/>
    <w:next w:val="Normal"/>
    <w:autoRedefine/>
    <w:uiPriority w:val="39"/>
    <w:qFormat/>
    <w:rsid w:val="005244B4"/>
    <w:pPr>
      <w:tabs>
        <w:tab w:val="right" w:leader="dot" w:pos="8630"/>
      </w:tabs>
      <w:spacing w:line="264" w:lineRule="auto"/>
    </w:pPr>
  </w:style>
  <w:style w:type="paragraph" w:styleId="TOC4">
    <w:name w:val="toc 4"/>
    <w:basedOn w:val="Normal"/>
    <w:next w:val="Normal"/>
    <w:autoRedefine/>
    <w:uiPriority w:val="39"/>
    <w:rsid w:val="00190524"/>
    <w:pPr>
      <w:tabs>
        <w:tab w:val="left" w:pos="1080"/>
        <w:tab w:val="right" w:leader="dot" w:pos="8630"/>
      </w:tabs>
      <w:ind w:left="778"/>
    </w:pPr>
  </w:style>
  <w:style w:type="paragraph" w:styleId="TOC5">
    <w:name w:val="toc 5"/>
    <w:basedOn w:val="Normal"/>
    <w:next w:val="Normal"/>
    <w:autoRedefine/>
    <w:uiPriority w:val="39"/>
    <w:rsid w:val="00F05C8E"/>
    <w:pPr>
      <w:tabs>
        <w:tab w:val="left" w:pos="1440"/>
        <w:tab w:val="left" w:pos="1800"/>
        <w:tab w:val="right" w:leader="dot" w:pos="8630"/>
      </w:tabs>
      <w:ind w:left="1040"/>
    </w:pPr>
  </w:style>
  <w:style w:type="paragraph" w:styleId="TOC6">
    <w:name w:val="toc 6"/>
    <w:basedOn w:val="Normal"/>
    <w:next w:val="Normal"/>
    <w:autoRedefine/>
    <w:uiPriority w:val="39"/>
    <w:rsid w:val="00BF4684"/>
    <w:pPr>
      <w:tabs>
        <w:tab w:val="left" w:pos="900"/>
        <w:tab w:val="right" w:leader="dot" w:pos="8630"/>
      </w:tabs>
      <w:ind w:left="900"/>
    </w:pPr>
  </w:style>
  <w:style w:type="paragraph" w:styleId="TOC7">
    <w:name w:val="toc 7"/>
    <w:basedOn w:val="Normal"/>
    <w:next w:val="Normal"/>
    <w:autoRedefine/>
    <w:uiPriority w:val="39"/>
    <w:rsid w:val="006120B6"/>
    <w:pPr>
      <w:ind w:left="1560"/>
    </w:pPr>
  </w:style>
  <w:style w:type="paragraph" w:customStyle="1" w:styleId="Default">
    <w:name w:val="Default"/>
    <w:rsid w:val="004E24AB"/>
    <w:pPr>
      <w:autoSpaceDE w:val="0"/>
      <w:autoSpaceDN w:val="0"/>
      <w:adjustRightInd w:val="0"/>
    </w:pPr>
    <w:rPr>
      <w:color w:val="000000"/>
      <w:sz w:val="24"/>
      <w:szCs w:val="24"/>
    </w:rPr>
  </w:style>
  <w:style w:type="paragraph" w:customStyle="1" w:styleId="plain">
    <w:name w:val="plain"/>
    <w:basedOn w:val="Normal"/>
    <w:rsid w:val="00DA43B5"/>
    <w:pPr>
      <w:spacing w:line="240" w:lineRule="atLeast"/>
    </w:pPr>
    <w:rPr>
      <w:rFonts w:eastAsia="SimSun"/>
      <w:szCs w:val="24"/>
      <w:lang w:eastAsia="zh-CN"/>
    </w:rPr>
  </w:style>
  <w:style w:type="paragraph" w:customStyle="1" w:styleId="normalblock">
    <w:name w:val="normal block"/>
    <w:basedOn w:val="Normal"/>
    <w:rsid w:val="00DA43B5"/>
    <w:rPr>
      <w:szCs w:val="24"/>
    </w:rPr>
  </w:style>
  <w:style w:type="character" w:styleId="CommentReference">
    <w:name w:val="annotation reference"/>
    <w:uiPriority w:val="99"/>
    <w:semiHidden/>
    <w:rsid w:val="00DA43B5"/>
    <w:rPr>
      <w:sz w:val="16"/>
      <w:szCs w:val="16"/>
    </w:rPr>
  </w:style>
  <w:style w:type="paragraph" w:styleId="NormalIndent">
    <w:name w:val="Normal Indent"/>
    <w:basedOn w:val="Normal"/>
    <w:link w:val="NormalIndentChar"/>
    <w:rsid w:val="00552D1D"/>
    <w:pPr>
      <w:spacing w:after="240"/>
      <w:ind w:left="1080" w:right="720"/>
    </w:pPr>
    <w:rPr>
      <w:sz w:val="24"/>
      <w:szCs w:val="20"/>
      <w:lang w:eastAsia="zh-CN"/>
    </w:rPr>
  </w:style>
  <w:style w:type="paragraph" w:styleId="Footer">
    <w:name w:val="footer"/>
    <w:basedOn w:val="Normal"/>
    <w:link w:val="FooterChar"/>
    <w:uiPriority w:val="99"/>
    <w:rsid w:val="00F715FA"/>
    <w:pPr>
      <w:tabs>
        <w:tab w:val="center" w:pos="4320"/>
        <w:tab w:val="right" w:pos="8640"/>
      </w:tabs>
    </w:pPr>
  </w:style>
  <w:style w:type="character" w:styleId="PageNumber">
    <w:name w:val="page number"/>
    <w:basedOn w:val="DefaultParagraphFont"/>
    <w:rsid w:val="00F715FA"/>
  </w:style>
  <w:style w:type="paragraph" w:styleId="BodyTextIndent2">
    <w:name w:val="Body Text Indent 2"/>
    <w:basedOn w:val="Normal"/>
    <w:rsid w:val="006E0724"/>
    <w:pPr>
      <w:spacing w:after="120" w:line="480" w:lineRule="auto"/>
      <w:ind w:left="360"/>
    </w:pPr>
  </w:style>
  <w:style w:type="paragraph" w:styleId="PlainText">
    <w:name w:val="Plain Text"/>
    <w:basedOn w:val="Normal"/>
    <w:link w:val="PlainTextChar"/>
    <w:uiPriority w:val="99"/>
    <w:rsid w:val="006E0724"/>
    <w:rPr>
      <w:rFonts w:ascii="Courier New" w:hAnsi="Courier New" w:cs="Courier New"/>
      <w:sz w:val="20"/>
      <w:szCs w:val="20"/>
    </w:rPr>
  </w:style>
  <w:style w:type="paragraph" w:styleId="CommentText">
    <w:name w:val="annotation text"/>
    <w:basedOn w:val="Normal"/>
    <w:link w:val="CommentTextChar"/>
    <w:uiPriority w:val="99"/>
    <w:rsid w:val="005A0F1B"/>
    <w:rPr>
      <w:sz w:val="20"/>
      <w:szCs w:val="20"/>
    </w:rPr>
  </w:style>
  <w:style w:type="paragraph" w:styleId="CommentSubject">
    <w:name w:val="annotation subject"/>
    <w:basedOn w:val="CommentText"/>
    <w:next w:val="CommentText"/>
    <w:semiHidden/>
    <w:rsid w:val="005A0F1B"/>
    <w:rPr>
      <w:b/>
      <w:bCs/>
    </w:rPr>
  </w:style>
  <w:style w:type="paragraph" w:styleId="BalloonText">
    <w:name w:val="Balloon Text"/>
    <w:basedOn w:val="Normal"/>
    <w:semiHidden/>
    <w:rsid w:val="005A0F1B"/>
    <w:rPr>
      <w:rFonts w:ascii="Tahoma" w:hAnsi="Tahoma" w:cs="Tahoma"/>
      <w:sz w:val="16"/>
      <w:szCs w:val="16"/>
    </w:rPr>
  </w:style>
  <w:style w:type="paragraph" w:styleId="ListParagraph">
    <w:name w:val="List Paragraph"/>
    <w:basedOn w:val="Normal"/>
    <w:uiPriority w:val="34"/>
    <w:qFormat/>
    <w:rsid w:val="009C5627"/>
    <w:pPr>
      <w:ind w:left="720"/>
    </w:pPr>
    <w:rPr>
      <w:sz w:val="24"/>
      <w:szCs w:val="24"/>
    </w:rPr>
  </w:style>
  <w:style w:type="paragraph" w:styleId="TOCHeading">
    <w:name w:val="TOC Heading"/>
    <w:basedOn w:val="Heading1"/>
    <w:next w:val="Normal"/>
    <w:uiPriority w:val="39"/>
    <w:semiHidden/>
    <w:unhideWhenUsed/>
    <w:qFormat/>
    <w:rsid w:val="00977FA0"/>
    <w:pPr>
      <w:keepLines/>
      <w:spacing w:before="480" w:after="0" w:line="276" w:lineRule="auto"/>
      <w:outlineLvl w:val="9"/>
    </w:pPr>
    <w:rPr>
      <w:rFonts w:ascii="Cambria" w:hAnsi="Cambria" w:cs="Times New Roman"/>
      <w:color w:val="365F91"/>
      <w:kern w:val="0"/>
      <w:sz w:val="28"/>
      <w:szCs w:val="28"/>
    </w:rPr>
  </w:style>
  <w:style w:type="paragraph" w:customStyle="1" w:styleId="FindingsConclusions">
    <w:name w:val="Findings &amp; Conclusions"/>
    <w:basedOn w:val="Normal"/>
    <w:rsid w:val="00AB710B"/>
    <w:pPr>
      <w:numPr>
        <w:numId w:val="4"/>
      </w:numPr>
    </w:pPr>
    <w:rPr>
      <w:sz w:val="24"/>
      <w:szCs w:val="24"/>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
    <w:link w:val="FootnoteText"/>
    <w:uiPriority w:val="99"/>
    <w:locked/>
    <w:rsid w:val="00AB710B"/>
    <w:rPr>
      <w:sz w:val="22"/>
    </w:rPr>
  </w:style>
  <w:style w:type="character" w:customStyle="1" w:styleId="FooterChar">
    <w:name w:val="Footer Char"/>
    <w:link w:val="Footer"/>
    <w:uiPriority w:val="99"/>
    <w:rsid w:val="003C5BAF"/>
    <w:rPr>
      <w:sz w:val="26"/>
      <w:szCs w:val="26"/>
    </w:rPr>
  </w:style>
  <w:style w:type="paragraph" w:customStyle="1" w:styleId="WUTCParagraph">
    <w:name w:val="WUTC Paragraph"/>
    <w:basedOn w:val="Normal"/>
    <w:rsid w:val="003C5BAF"/>
    <w:pPr>
      <w:numPr>
        <w:numId w:val="5"/>
      </w:numPr>
      <w:tabs>
        <w:tab w:val="left" w:pos="1440"/>
      </w:tabs>
      <w:spacing w:line="480" w:lineRule="auto"/>
    </w:pPr>
    <w:rPr>
      <w:sz w:val="24"/>
      <w:szCs w:val="24"/>
    </w:rPr>
  </w:style>
  <w:style w:type="character" w:customStyle="1" w:styleId="HeaderChar">
    <w:name w:val="Header Char"/>
    <w:link w:val="Header"/>
    <w:rsid w:val="003C5BAF"/>
    <w:rPr>
      <w:sz w:val="24"/>
      <w:szCs w:val="24"/>
    </w:rPr>
  </w:style>
  <w:style w:type="paragraph" w:customStyle="1" w:styleId="SingleSpacing">
    <w:name w:val="Single Spacing"/>
    <w:basedOn w:val="Normal"/>
    <w:rsid w:val="003C5BAF"/>
    <w:pPr>
      <w:spacing w:line="254" w:lineRule="exact"/>
    </w:pPr>
    <w:rPr>
      <w:sz w:val="24"/>
      <w:szCs w:val="20"/>
    </w:rPr>
  </w:style>
  <w:style w:type="paragraph" w:customStyle="1" w:styleId="answer">
    <w:name w:val="answer"/>
    <w:basedOn w:val="Normal"/>
    <w:link w:val="answerChar"/>
    <w:uiPriority w:val="99"/>
    <w:rsid w:val="00C43188"/>
    <w:pPr>
      <w:spacing w:before="120" w:after="120" w:line="480" w:lineRule="auto"/>
      <w:ind w:left="720" w:hanging="720"/>
    </w:pPr>
    <w:rPr>
      <w:rFonts w:eastAsia="SimSun"/>
      <w:sz w:val="24"/>
      <w:szCs w:val="24"/>
      <w:lang w:eastAsia="zh-CN"/>
    </w:rPr>
  </w:style>
  <w:style w:type="character" w:customStyle="1" w:styleId="answerChar">
    <w:name w:val="answer Char"/>
    <w:link w:val="answer"/>
    <w:uiPriority w:val="99"/>
    <w:rsid w:val="00C43188"/>
    <w:rPr>
      <w:rFonts w:eastAsia="SimSun"/>
      <w:sz w:val="24"/>
      <w:szCs w:val="24"/>
      <w:lang w:eastAsia="zh-CN"/>
    </w:rPr>
  </w:style>
  <w:style w:type="paragraph" w:customStyle="1" w:styleId="Int3ATMText">
    <w:name w:val="Int3/ATM Text"/>
    <w:basedOn w:val="Normal"/>
    <w:rsid w:val="00C43188"/>
    <w:pPr>
      <w:numPr>
        <w:numId w:val="6"/>
      </w:numPr>
      <w:tabs>
        <w:tab w:val="clear" w:pos="360"/>
      </w:tabs>
      <w:spacing w:after="260"/>
      <w:ind w:left="0" w:firstLine="0"/>
    </w:pPr>
    <w:rPr>
      <w:rFonts w:ascii="Times" w:hAnsi="Times"/>
      <w:sz w:val="30"/>
      <w:szCs w:val="24"/>
    </w:rPr>
  </w:style>
  <w:style w:type="character" w:customStyle="1" w:styleId="T11">
    <w:name w:val="T11"/>
    <w:hidden/>
    <w:rsid w:val="001F52E6"/>
    <w:rPr>
      <w:b/>
    </w:rPr>
  </w:style>
  <w:style w:type="paragraph" w:styleId="NoSpacing">
    <w:name w:val="No Spacing"/>
    <w:uiPriority w:val="1"/>
    <w:qFormat/>
    <w:rsid w:val="00942408"/>
    <w:rPr>
      <w:rFonts w:eastAsia="Calibri"/>
      <w:sz w:val="24"/>
      <w:szCs w:val="22"/>
    </w:rPr>
  </w:style>
  <w:style w:type="character" w:customStyle="1" w:styleId="PlainTextChar">
    <w:name w:val="Plain Text Char"/>
    <w:link w:val="PlainText"/>
    <w:uiPriority w:val="99"/>
    <w:rsid w:val="00A644C6"/>
    <w:rPr>
      <w:rFonts w:ascii="Courier New" w:hAnsi="Courier New" w:cs="Courier New"/>
    </w:rPr>
  </w:style>
  <w:style w:type="character" w:customStyle="1" w:styleId="FootnoteTextChar1CharChar1">
    <w:name w:val="Footnote Text Char1 Char Char1"/>
    <w:aliases w:val="Footnote Text Char Char Char Char1,Footnote Text Char1 Char Char Char Char1,Footnote Text Char Char Char Char Char Char1,Footnote Text Char Char1 Char Char1,Footnote Text Char1 Char1 Char Char,Footnote Text Char2"/>
    <w:uiPriority w:val="99"/>
    <w:rsid w:val="005A3206"/>
    <w:rPr>
      <w:rFonts w:ascii="Courier" w:eastAsia="Times New Roman" w:hAnsi="Courier" w:cs="Times New Roman"/>
      <w:sz w:val="20"/>
      <w:szCs w:val="20"/>
    </w:rPr>
  </w:style>
  <w:style w:type="paragraph" w:customStyle="1" w:styleId="question">
    <w:name w:val="question"/>
    <w:basedOn w:val="Normal"/>
    <w:next w:val="answer"/>
    <w:link w:val="questionChar"/>
    <w:rsid w:val="00E3237C"/>
    <w:pPr>
      <w:spacing w:before="240" w:after="120" w:line="480" w:lineRule="auto"/>
      <w:ind w:left="720" w:hanging="720"/>
    </w:pPr>
    <w:rPr>
      <w:rFonts w:eastAsia="SimSun"/>
      <w:b/>
      <w:bCs/>
      <w:sz w:val="24"/>
      <w:szCs w:val="24"/>
      <w:lang w:eastAsia="zh-CN"/>
    </w:rPr>
  </w:style>
  <w:style w:type="character" w:customStyle="1" w:styleId="questionChar">
    <w:name w:val="question Char"/>
    <w:link w:val="question"/>
    <w:rsid w:val="00E3237C"/>
    <w:rPr>
      <w:rFonts w:eastAsia="SimSun"/>
      <w:b/>
      <w:bCs/>
      <w:sz w:val="24"/>
      <w:szCs w:val="24"/>
      <w:lang w:eastAsia="zh-CN"/>
    </w:rPr>
  </w:style>
  <w:style w:type="character" w:customStyle="1" w:styleId="answerchar0">
    <w:name w:val="answerchar"/>
    <w:basedOn w:val="DefaultParagraphFont"/>
    <w:rsid w:val="00CE08AA"/>
  </w:style>
  <w:style w:type="character" w:customStyle="1" w:styleId="NormalIndentChar">
    <w:name w:val="Normal Indent Char"/>
    <w:link w:val="NormalIndent"/>
    <w:rsid w:val="008C609B"/>
    <w:rPr>
      <w:sz w:val="24"/>
      <w:lang w:eastAsia="zh-CN"/>
    </w:rPr>
  </w:style>
  <w:style w:type="paragraph" w:styleId="Revision">
    <w:name w:val="Revision"/>
    <w:hidden/>
    <w:uiPriority w:val="99"/>
    <w:semiHidden/>
    <w:rsid w:val="00B647FB"/>
    <w:rPr>
      <w:sz w:val="26"/>
      <w:szCs w:val="26"/>
    </w:rPr>
  </w:style>
  <w:style w:type="character" w:customStyle="1" w:styleId="Heading1Char">
    <w:name w:val="Heading 1 Char"/>
    <w:link w:val="Heading1"/>
    <w:rsid w:val="000C2813"/>
    <w:rPr>
      <w:rFonts w:cs="Arial"/>
      <w:b/>
      <w:bCs/>
      <w:kern w:val="32"/>
      <w:sz w:val="25"/>
      <w:szCs w:val="32"/>
    </w:rPr>
  </w:style>
  <w:style w:type="character" w:customStyle="1" w:styleId="body1">
    <w:name w:val="body1"/>
    <w:rsid w:val="00AE7722"/>
    <w:rPr>
      <w:rFonts w:ascii="Arial" w:hAnsi="Arial" w:cs="Arial" w:hint="default"/>
      <w:sz w:val="18"/>
      <w:szCs w:val="18"/>
    </w:rPr>
  </w:style>
  <w:style w:type="character" w:customStyle="1" w:styleId="CommentTextChar">
    <w:name w:val="Comment Text Char"/>
    <w:basedOn w:val="DefaultParagraphFont"/>
    <w:link w:val="CommentText"/>
    <w:uiPriority w:val="99"/>
    <w:rsid w:val="00FC74B3"/>
  </w:style>
  <w:style w:type="paragraph" w:customStyle="1" w:styleId="PSEA">
    <w:name w:val="PSE A"/>
    <w:basedOn w:val="answer"/>
    <w:next w:val="Normal"/>
    <w:link w:val="PSEAChar"/>
    <w:qFormat/>
    <w:rsid w:val="00B32826"/>
    <w:rPr>
      <w:rFonts w:eastAsia="Times New Roman"/>
      <w:szCs w:val="20"/>
    </w:rPr>
  </w:style>
  <w:style w:type="character" w:customStyle="1" w:styleId="PSEAChar">
    <w:name w:val="PSE A Char"/>
    <w:link w:val="PSEA"/>
    <w:rsid w:val="00B32826"/>
    <w:rPr>
      <w:sz w:val="24"/>
      <w:lang w:eastAsia="zh-CN"/>
    </w:rPr>
  </w:style>
  <w:style w:type="paragraph" w:customStyle="1" w:styleId="PSENum">
    <w:name w:val="PSE Num"/>
    <w:basedOn w:val="answer"/>
    <w:link w:val="PSENumChar"/>
    <w:qFormat/>
    <w:rsid w:val="00B32826"/>
    <w:pPr>
      <w:numPr>
        <w:numId w:val="8"/>
      </w:numPr>
      <w:ind w:hanging="522"/>
    </w:pPr>
    <w:rPr>
      <w:rFonts w:eastAsia="Times New Roman"/>
      <w:szCs w:val="20"/>
    </w:rPr>
  </w:style>
  <w:style w:type="character" w:customStyle="1" w:styleId="PSENumChar">
    <w:name w:val="PSE Num Char"/>
    <w:link w:val="PSENum"/>
    <w:rsid w:val="00B32826"/>
    <w:rPr>
      <w:sz w:val="24"/>
      <w:lang w:eastAsia="zh-CN"/>
    </w:rPr>
  </w:style>
  <w:style w:type="paragraph" w:customStyle="1" w:styleId="Answer-Testimony">
    <w:name w:val="Answer - Testimony"/>
    <w:basedOn w:val="Normal"/>
    <w:link w:val="Answer-TestimonyChar"/>
    <w:qFormat/>
    <w:rsid w:val="000049DC"/>
    <w:pPr>
      <w:spacing w:line="480" w:lineRule="auto"/>
      <w:ind w:left="720" w:hanging="720"/>
    </w:pPr>
    <w:rPr>
      <w:sz w:val="24"/>
      <w:szCs w:val="24"/>
    </w:rPr>
  </w:style>
  <w:style w:type="character" w:customStyle="1" w:styleId="Answer-TestimonyChar">
    <w:name w:val="Answer - Testimony Char"/>
    <w:link w:val="Answer-Testimony"/>
    <w:rsid w:val="000049DC"/>
    <w:rPr>
      <w:sz w:val="24"/>
      <w:szCs w:val="24"/>
    </w:rPr>
  </w:style>
  <w:style w:type="paragraph" w:styleId="BodyTextIndent3">
    <w:name w:val="Body Text Indent 3"/>
    <w:basedOn w:val="Normal"/>
    <w:link w:val="BodyTextIndent3Char"/>
    <w:rsid w:val="00EB4BEA"/>
    <w:pPr>
      <w:spacing w:after="120"/>
      <w:ind w:left="360"/>
    </w:pPr>
    <w:rPr>
      <w:sz w:val="16"/>
      <w:szCs w:val="16"/>
    </w:rPr>
  </w:style>
  <w:style w:type="character" w:customStyle="1" w:styleId="BodyTextIndent3Char">
    <w:name w:val="Body Text Indent 3 Char"/>
    <w:link w:val="BodyTextIndent3"/>
    <w:rsid w:val="00EB4BEA"/>
    <w:rPr>
      <w:sz w:val="16"/>
      <w:szCs w:val="16"/>
    </w:rPr>
  </w:style>
  <w:style w:type="character" w:customStyle="1" w:styleId="BodyTextIn">
    <w:name w:val="Body Text In"/>
    <w:rsid w:val="00C366B0"/>
    <w:rPr>
      <w:rFonts w:ascii="Times New Roman" w:hAnsi="Times New Roman" w:cs="Times New Roman"/>
      <w:sz w:val="24"/>
      <w:szCs w:val="24"/>
    </w:rPr>
  </w:style>
  <w:style w:type="paragraph" w:styleId="Subtitle">
    <w:name w:val="Subtitle"/>
    <w:basedOn w:val="NoSpacing"/>
    <w:next w:val="Normal"/>
    <w:link w:val="SubtitleChar"/>
    <w:uiPriority w:val="11"/>
    <w:qFormat/>
    <w:rsid w:val="00F0491B"/>
    <w:rPr>
      <w:b/>
      <w:sz w:val="25"/>
      <w:szCs w:val="25"/>
    </w:rPr>
  </w:style>
  <w:style w:type="character" w:customStyle="1" w:styleId="SubtitleChar">
    <w:name w:val="Subtitle Char"/>
    <w:link w:val="Subtitle"/>
    <w:uiPriority w:val="11"/>
    <w:rsid w:val="00F0491B"/>
    <w:rPr>
      <w:rFonts w:eastAsia="Calibri"/>
      <w:b/>
      <w:sz w:val="25"/>
      <w:szCs w:val="25"/>
    </w:rPr>
  </w:style>
  <w:style w:type="paragraph" w:customStyle="1" w:styleId="PSEB">
    <w:name w:val="PSE B"/>
    <w:basedOn w:val="answer"/>
    <w:next w:val="Normal"/>
    <w:link w:val="PSEBChar"/>
    <w:qFormat/>
    <w:rsid w:val="00676954"/>
    <w:pPr>
      <w:ind w:firstLine="720"/>
    </w:pPr>
    <w:rPr>
      <w:rFonts w:eastAsia="Times New Roman"/>
      <w:szCs w:val="20"/>
    </w:rPr>
  </w:style>
  <w:style w:type="character" w:customStyle="1" w:styleId="PSEBChar">
    <w:name w:val="PSE B Char"/>
    <w:link w:val="PSEB"/>
    <w:rsid w:val="00676954"/>
    <w:rPr>
      <w:sz w:val="24"/>
      <w:lang w:eastAsia="zh-CN"/>
    </w:rPr>
  </w:style>
  <w:style w:type="paragraph" w:customStyle="1" w:styleId="Tab5Data-EnDash">
    <w:name w:val="Tab5/Data-EnDash"/>
    <w:basedOn w:val="Normal"/>
    <w:rsid w:val="00154C28"/>
    <w:pPr>
      <w:numPr>
        <w:numId w:val="10"/>
      </w:numPr>
      <w:tabs>
        <w:tab w:val="clear" w:pos="360"/>
        <w:tab w:val="left" w:pos="706"/>
      </w:tabs>
      <w:ind w:left="706" w:hanging="202"/>
    </w:pPr>
    <w:rPr>
      <w:rFonts w:ascii="Times" w:hAnsi="Times"/>
      <w:sz w:val="20"/>
      <w:szCs w:val="24"/>
    </w:rPr>
  </w:style>
  <w:style w:type="character" w:customStyle="1" w:styleId="answerChar1">
    <w:name w:val="answer Char1"/>
    <w:rsid w:val="002E1B2A"/>
    <w:rPr>
      <w:rFonts w:eastAsia="SimSun"/>
      <w:sz w:val="24"/>
      <w:szCs w:val="24"/>
      <w:lang w:val="en-US" w:eastAsia="zh-CN" w:bidi="ar-SA"/>
    </w:rPr>
  </w:style>
  <w:style w:type="paragraph" w:styleId="ListBullet2">
    <w:name w:val="List Bullet 2"/>
    <w:basedOn w:val="Normal"/>
    <w:autoRedefine/>
    <w:rsid w:val="00F028A6"/>
    <w:pPr>
      <w:numPr>
        <w:numId w:val="11"/>
      </w:numPr>
    </w:pPr>
    <w:rPr>
      <w:sz w:val="24"/>
      <w:szCs w:val="24"/>
    </w:rPr>
  </w:style>
  <w:style w:type="paragraph" w:customStyle="1" w:styleId="footnoteblock">
    <w:name w:val="footnote block"/>
    <w:basedOn w:val="FootnoteText"/>
    <w:rsid w:val="00FE7FD3"/>
    <w:pPr>
      <w:spacing w:before="240" w:after="0" w:line="240" w:lineRule="atLeast"/>
    </w:pPr>
    <w:rPr>
      <w:rFonts w:eastAsia="SimSun"/>
      <w:szCs w:val="24"/>
      <w:lang w:eastAsia="zh-CN"/>
    </w:rPr>
  </w:style>
  <w:style w:type="paragraph" w:styleId="TOC8">
    <w:name w:val="toc 8"/>
    <w:basedOn w:val="Normal"/>
    <w:next w:val="Normal"/>
    <w:autoRedefine/>
    <w:uiPriority w:val="39"/>
    <w:rsid w:val="00016122"/>
    <w:pPr>
      <w:ind w:left="1820"/>
    </w:pPr>
  </w:style>
  <w:style w:type="paragraph" w:styleId="TOC9">
    <w:name w:val="toc 9"/>
    <w:basedOn w:val="Normal"/>
    <w:next w:val="Normal"/>
    <w:autoRedefine/>
    <w:uiPriority w:val="39"/>
    <w:rsid w:val="00016122"/>
    <w:pPr>
      <w:ind w:left="2080"/>
    </w:pPr>
  </w:style>
  <w:style w:type="table" w:styleId="MediumShading2-Accent1">
    <w:name w:val="Medium Shading 2 Accent 1"/>
    <w:basedOn w:val="TableNormal"/>
    <w:uiPriority w:val="64"/>
    <w:rsid w:val="009B6C66"/>
    <w:rPr>
      <w:rFonts w:ascii="Calibri" w:eastAsia="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7F7898"/>
    <w:pPr>
      <w:spacing w:before="100" w:beforeAutospacing="1" w:after="100" w:afterAutospacing="1"/>
    </w:pPr>
    <w:rPr>
      <w:sz w:val="24"/>
      <w:szCs w:val="24"/>
    </w:rPr>
  </w:style>
  <w:style w:type="character" w:styleId="Emphasis">
    <w:name w:val="Emphasis"/>
    <w:uiPriority w:val="20"/>
    <w:qFormat/>
    <w:rsid w:val="00BC6B6E"/>
    <w:rPr>
      <w:i/>
      <w:iCs/>
    </w:rPr>
  </w:style>
  <w:style w:type="character" w:customStyle="1" w:styleId="Heading8Char">
    <w:name w:val="Heading 8 Char"/>
    <w:link w:val="Heading8"/>
    <w:rsid w:val="004D0668"/>
    <w:rPr>
      <w:rFonts w:ascii="Times New Roman Bold" w:hAnsi="Times New Roman Bold"/>
      <w:b/>
      <w:iCs/>
      <w:sz w:val="25"/>
      <w:szCs w:val="24"/>
      <w:u w:val="single"/>
    </w:rPr>
  </w:style>
  <w:style w:type="character" w:customStyle="1" w:styleId="Heading3Char">
    <w:name w:val="Heading 3 Char"/>
    <w:link w:val="Heading3"/>
    <w:rsid w:val="00A70C16"/>
    <w:rPr>
      <w:rFonts w:cs="Arial"/>
      <w:b/>
      <w:sz w:val="25"/>
      <w:szCs w:val="25"/>
    </w:rPr>
  </w:style>
  <w:style w:type="table" w:customStyle="1" w:styleId="TableGrid1">
    <w:name w:val="Table Grid1"/>
    <w:basedOn w:val="TableNormal"/>
    <w:next w:val="TableGrid"/>
    <w:uiPriority w:val="59"/>
    <w:rsid w:val="000E4D40"/>
    <w:pPr>
      <w:ind w:left="720" w:hanging="720"/>
      <w:jc w:val="both"/>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827F96"/>
    <w:rPr>
      <w:b/>
      <w:bCs/>
      <w:sz w:val="25"/>
      <w:szCs w:val="22"/>
    </w:rPr>
  </w:style>
  <w:style w:type="character" w:customStyle="1" w:styleId="BodyTextIndentChar">
    <w:name w:val="Body Text Indent Char"/>
    <w:link w:val="BodyTextIndent"/>
    <w:rsid w:val="004B475E"/>
    <w:rPr>
      <w:sz w:val="24"/>
      <w:szCs w:val="24"/>
    </w:rPr>
  </w:style>
  <w:style w:type="table" w:customStyle="1" w:styleId="TableGrid2">
    <w:name w:val="Table Grid2"/>
    <w:basedOn w:val="TableNormal"/>
    <w:next w:val="TableGrid"/>
    <w:uiPriority w:val="59"/>
    <w:rsid w:val="004E4F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883A54"/>
    <w:rPr>
      <w:rFonts w:ascii="Times New Roman Bold" w:hAnsi="Times New Roman Bold"/>
      <w:b/>
      <w:bCs/>
      <w:sz w:val="25"/>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79154">
      <w:bodyDiv w:val="1"/>
      <w:marLeft w:val="0"/>
      <w:marRight w:val="0"/>
      <w:marTop w:val="0"/>
      <w:marBottom w:val="0"/>
      <w:divBdr>
        <w:top w:val="none" w:sz="0" w:space="0" w:color="auto"/>
        <w:left w:val="none" w:sz="0" w:space="0" w:color="auto"/>
        <w:bottom w:val="none" w:sz="0" w:space="0" w:color="auto"/>
        <w:right w:val="none" w:sz="0" w:space="0" w:color="auto"/>
      </w:divBdr>
    </w:div>
    <w:div w:id="231157064">
      <w:bodyDiv w:val="1"/>
      <w:marLeft w:val="0"/>
      <w:marRight w:val="0"/>
      <w:marTop w:val="0"/>
      <w:marBottom w:val="0"/>
      <w:divBdr>
        <w:top w:val="none" w:sz="0" w:space="0" w:color="auto"/>
        <w:left w:val="none" w:sz="0" w:space="0" w:color="auto"/>
        <w:bottom w:val="none" w:sz="0" w:space="0" w:color="auto"/>
        <w:right w:val="none" w:sz="0" w:space="0" w:color="auto"/>
      </w:divBdr>
    </w:div>
    <w:div w:id="302198293">
      <w:bodyDiv w:val="1"/>
      <w:marLeft w:val="0"/>
      <w:marRight w:val="0"/>
      <w:marTop w:val="0"/>
      <w:marBottom w:val="0"/>
      <w:divBdr>
        <w:top w:val="none" w:sz="0" w:space="0" w:color="auto"/>
        <w:left w:val="none" w:sz="0" w:space="0" w:color="auto"/>
        <w:bottom w:val="none" w:sz="0" w:space="0" w:color="auto"/>
        <w:right w:val="none" w:sz="0" w:space="0" w:color="auto"/>
      </w:divBdr>
    </w:div>
    <w:div w:id="471335463">
      <w:bodyDiv w:val="1"/>
      <w:marLeft w:val="0"/>
      <w:marRight w:val="0"/>
      <w:marTop w:val="0"/>
      <w:marBottom w:val="0"/>
      <w:divBdr>
        <w:top w:val="none" w:sz="0" w:space="0" w:color="auto"/>
        <w:left w:val="none" w:sz="0" w:space="0" w:color="auto"/>
        <w:bottom w:val="none" w:sz="0" w:space="0" w:color="auto"/>
        <w:right w:val="none" w:sz="0" w:space="0" w:color="auto"/>
      </w:divBdr>
    </w:div>
    <w:div w:id="471563146">
      <w:bodyDiv w:val="1"/>
      <w:marLeft w:val="0"/>
      <w:marRight w:val="0"/>
      <w:marTop w:val="0"/>
      <w:marBottom w:val="0"/>
      <w:divBdr>
        <w:top w:val="none" w:sz="0" w:space="0" w:color="auto"/>
        <w:left w:val="none" w:sz="0" w:space="0" w:color="auto"/>
        <w:bottom w:val="none" w:sz="0" w:space="0" w:color="auto"/>
        <w:right w:val="none" w:sz="0" w:space="0" w:color="auto"/>
      </w:divBdr>
    </w:div>
    <w:div w:id="547763229">
      <w:bodyDiv w:val="1"/>
      <w:marLeft w:val="0"/>
      <w:marRight w:val="0"/>
      <w:marTop w:val="0"/>
      <w:marBottom w:val="0"/>
      <w:divBdr>
        <w:top w:val="none" w:sz="0" w:space="0" w:color="auto"/>
        <w:left w:val="none" w:sz="0" w:space="0" w:color="auto"/>
        <w:bottom w:val="none" w:sz="0" w:space="0" w:color="auto"/>
        <w:right w:val="none" w:sz="0" w:space="0" w:color="auto"/>
      </w:divBdr>
    </w:div>
    <w:div w:id="640423669">
      <w:bodyDiv w:val="1"/>
      <w:marLeft w:val="0"/>
      <w:marRight w:val="0"/>
      <w:marTop w:val="0"/>
      <w:marBottom w:val="0"/>
      <w:divBdr>
        <w:top w:val="none" w:sz="0" w:space="0" w:color="auto"/>
        <w:left w:val="none" w:sz="0" w:space="0" w:color="auto"/>
        <w:bottom w:val="none" w:sz="0" w:space="0" w:color="auto"/>
        <w:right w:val="none" w:sz="0" w:space="0" w:color="auto"/>
      </w:divBdr>
    </w:div>
    <w:div w:id="642851501">
      <w:bodyDiv w:val="1"/>
      <w:marLeft w:val="0"/>
      <w:marRight w:val="0"/>
      <w:marTop w:val="0"/>
      <w:marBottom w:val="0"/>
      <w:divBdr>
        <w:top w:val="none" w:sz="0" w:space="0" w:color="auto"/>
        <w:left w:val="none" w:sz="0" w:space="0" w:color="auto"/>
        <w:bottom w:val="none" w:sz="0" w:space="0" w:color="auto"/>
        <w:right w:val="none" w:sz="0" w:space="0" w:color="auto"/>
      </w:divBdr>
    </w:div>
    <w:div w:id="656110462">
      <w:bodyDiv w:val="1"/>
      <w:marLeft w:val="0"/>
      <w:marRight w:val="0"/>
      <w:marTop w:val="0"/>
      <w:marBottom w:val="0"/>
      <w:divBdr>
        <w:top w:val="none" w:sz="0" w:space="0" w:color="auto"/>
        <w:left w:val="none" w:sz="0" w:space="0" w:color="auto"/>
        <w:bottom w:val="none" w:sz="0" w:space="0" w:color="auto"/>
        <w:right w:val="none" w:sz="0" w:space="0" w:color="auto"/>
      </w:divBdr>
    </w:div>
    <w:div w:id="678582565">
      <w:bodyDiv w:val="1"/>
      <w:marLeft w:val="0"/>
      <w:marRight w:val="0"/>
      <w:marTop w:val="0"/>
      <w:marBottom w:val="0"/>
      <w:divBdr>
        <w:top w:val="none" w:sz="0" w:space="0" w:color="auto"/>
        <w:left w:val="none" w:sz="0" w:space="0" w:color="auto"/>
        <w:bottom w:val="none" w:sz="0" w:space="0" w:color="auto"/>
        <w:right w:val="none" w:sz="0" w:space="0" w:color="auto"/>
      </w:divBdr>
    </w:div>
    <w:div w:id="973365533">
      <w:bodyDiv w:val="1"/>
      <w:marLeft w:val="0"/>
      <w:marRight w:val="0"/>
      <w:marTop w:val="0"/>
      <w:marBottom w:val="0"/>
      <w:divBdr>
        <w:top w:val="none" w:sz="0" w:space="0" w:color="auto"/>
        <w:left w:val="none" w:sz="0" w:space="0" w:color="auto"/>
        <w:bottom w:val="none" w:sz="0" w:space="0" w:color="auto"/>
        <w:right w:val="none" w:sz="0" w:space="0" w:color="auto"/>
      </w:divBdr>
    </w:div>
    <w:div w:id="1051463526">
      <w:bodyDiv w:val="1"/>
      <w:marLeft w:val="0"/>
      <w:marRight w:val="0"/>
      <w:marTop w:val="0"/>
      <w:marBottom w:val="0"/>
      <w:divBdr>
        <w:top w:val="none" w:sz="0" w:space="0" w:color="auto"/>
        <w:left w:val="none" w:sz="0" w:space="0" w:color="auto"/>
        <w:bottom w:val="none" w:sz="0" w:space="0" w:color="auto"/>
        <w:right w:val="none" w:sz="0" w:space="0" w:color="auto"/>
      </w:divBdr>
    </w:div>
    <w:div w:id="1054085565">
      <w:bodyDiv w:val="1"/>
      <w:marLeft w:val="0"/>
      <w:marRight w:val="0"/>
      <w:marTop w:val="0"/>
      <w:marBottom w:val="0"/>
      <w:divBdr>
        <w:top w:val="none" w:sz="0" w:space="0" w:color="auto"/>
        <w:left w:val="none" w:sz="0" w:space="0" w:color="auto"/>
        <w:bottom w:val="none" w:sz="0" w:space="0" w:color="auto"/>
        <w:right w:val="none" w:sz="0" w:space="0" w:color="auto"/>
      </w:divBdr>
    </w:div>
    <w:div w:id="1225919088">
      <w:bodyDiv w:val="1"/>
      <w:marLeft w:val="0"/>
      <w:marRight w:val="0"/>
      <w:marTop w:val="0"/>
      <w:marBottom w:val="0"/>
      <w:divBdr>
        <w:top w:val="none" w:sz="0" w:space="0" w:color="auto"/>
        <w:left w:val="none" w:sz="0" w:space="0" w:color="auto"/>
        <w:bottom w:val="none" w:sz="0" w:space="0" w:color="auto"/>
        <w:right w:val="none" w:sz="0" w:space="0" w:color="auto"/>
      </w:divBdr>
    </w:div>
    <w:div w:id="1244298492">
      <w:bodyDiv w:val="1"/>
      <w:marLeft w:val="0"/>
      <w:marRight w:val="0"/>
      <w:marTop w:val="0"/>
      <w:marBottom w:val="0"/>
      <w:divBdr>
        <w:top w:val="none" w:sz="0" w:space="0" w:color="auto"/>
        <w:left w:val="none" w:sz="0" w:space="0" w:color="auto"/>
        <w:bottom w:val="none" w:sz="0" w:space="0" w:color="auto"/>
        <w:right w:val="none" w:sz="0" w:space="0" w:color="auto"/>
      </w:divBdr>
    </w:div>
    <w:div w:id="1276212865">
      <w:bodyDiv w:val="1"/>
      <w:marLeft w:val="0"/>
      <w:marRight w:val="0"/>
      <w:marTop w:val="0"/>
      <w:marBottom w:val="0"/>
      <w:divBdr>
        <w:top w:val="none" w:sz="0" w:space="0" w:color="auto"/>
        <w:left w:val="none" w:sz="0" w:space="0" w:color="auto"/>
        <w:bottom w:val="none" w:sz="0" w:space="0" w:color="auto"/>
        <w:right w:val="none" w:sz="0" w:space="0" w:color="auto"/>
      </w:divBdr>
    </w:div>
    <w:div w:id="1301348567">
      <w:bodyDiv w:val="1"/>
      <w:marLeft w:val="0"/>
      <w:marRight w:val="0"/>
      <w:marTop w:val="0"/>
      <w:marBottom w:val="0"/>
      <w:divBdr>
        <w:top w:val="none" w:sz="0" w:space="0" w:color="auto"/>
        <w:left w:val="none" w:sz="0" w:space="0" w:color="auto"/>
        <w:bottom w:val="none" w:sz="0" w:space="0" w:color="auto"/>
        <w:right w:val="none" w:sz="0" w:space="0" w:color="auto"/>
      </w:divBdr>
    </w:div>
    <w:div w:id="1394694303">
      <w:bodyDiv w:val="1"/>
      <w:marLeft w:val="0"/>
      <w:marRight w:val="0"/>
      <w:marTop w:val="0"/>
      <w:marBottom w:val="0"/>
      <w:divBdr>
        <w:top w:val="none" w:sz="0" w:space="0" w:color="auto"/>
        <w:left w:val="none" w:sz="0" w:space="0" w:color="auto"/>
        <w:bottom w:val="none" w:sz="0" w:space="0" w:color="auto"/>
        <w:right w:val="none" w:sz="0" w:space="0" w:color="auto"/>
      </w:divBdr>
    </w:div>
    <w:div w:id="1425146152">
      <w:bodyDiv w:val="1"/>
      <w:marLeft w:val="0"/>
      <w:marRight w:val="0"/>
      <w:marTop w:val="0"/>
      <w:marBottom w:val="0"/>
      <w:divBdr>
        <w:top w:val="none" w:sz="0" w:space="0" w:color="auto"/>
        <w:left w:val="none" w:sz="0" w:space="0" w:color="auto"/>
        <w:bottom w:val="none" w:sz="0" w:space="0" w:color="auto"/>
        <w:right w:val="none" w:sz="0" w:space="0" w:color="auto"/>
      </w:divBdr>
    </w:div>
    <w:div w:id="1438988798">
      <w:bodyDiv w:val="1"/>
      <w:marLeft w:val="0"/>
      <w:marRight w:val="0"/>
      <w:marTop w:val="0"/>
      <w:marBottom w:val="0"/>
      <w:divBdr>
        <w:top w:val="none" w:sz="0" w:space="0" w:color="auto"/>
        <w:left w:val="none" w:sz="0" w:space="0" w:color="auto"/>
        <w:bottom w:val="none" w:sz="0" w:space="0" w:color="auto"/>
        <w:right w:val="none" w:sz="0" w:space="0" w:color="auto"/>
      </w:divBdr>
    </w:div>
    <w:div w:id="1535651196">
      <w:bodyDiv w:val="1"/>
      <w:marLeft w:val="0"/>
      <w:marRight w:val="0"/>
      <w:marTop w:val="0"/>
      <w:marBottom w:val="0"/>
      <w:divBdr>
        <w:top w:val="none" w:sz="0" w:space="0" w:color="auto"/>
        <w:left w:val="none" w:sz="0" w:space="0" w:color="auto"/>
        <w:bottom w:val="none" w:sz="0" w:space="0" w:color="auto"/>
        <w:right w:val="none" w:sz="0" w:space="0" w:color="auto"/>
      </w:divBdr>
    </w:div>
    <w:div w:id="1552033723">
      <w:bodyDiv w:val="1"/>
      <w:marLeft w:val="0"/>
      <w:marRight w:val="0"/>
      <w:marTop w:val="0"/>
      <w:marBottom w:val="0"/>
      <w:divBdr>
        <w:top w:val="none" w:sz="0" w:space="0" w:color="auto"/>
        <w:left w:val="none" w:sz="0" w:space="0" w:color="auto"/>
        <w:bottom w:val="none" w:sz="0" w:space="0" w:color="auto"/>
        <w:right w:val="none" w:sz="0" w:space="0" w:color="auto"/>
      </w:divBdr>
    </w:div>
    <w:div w:id="1562863497">
      <w:bodyDiv w:val="1"/>
      <w:marLeft w:val="0"/>
      <w:marRight w:val="0"/>
      <w:marTop w:val="0"/>
      <w:marBottom w:val="0"/>
      <w:divBdr>
        <w:top w:val="none" w:sz="0" w:space="0" w:color="auto"/>
        <w:left w:val="none" w:sz="0" w:space="0" w:color="auto"/>
        <w:bottom w:val="none" w:sz="0" w:space="0" w:color="auto"/>
        <w:right w:val="none" w:sz="0" w:space="0" w:color="auto"/>
      </w:divBdr>
    </w:div>
    <w:div w:id="1591311767">
      <w:bodyDiv w:val="1"/>
      <w:marLeft w:val="0"/>
      <w:marRight w:val="0"/>
      <w:marTop w:val="0"/>
      <w:marBottom w:val="0"/>
      <w:divBdr>
        <w:top w:val="none" w:sz="0" w:space="0" w:color="auto"/>
        <w:left w:val="none" w:sz="0" w:space="0" w:color="auto"/>
        <w:bottom w:val="none" w:sz="0" w:space="0" w:color="auto"/>
        <w:right w:val="none" w:sz="0" w:space="0" w:color="auto"/>
      </w:divBdr>
    </w:div>
    <w:div w:id="1603763758">
      <w:bodyDiv w:val="1"/>
      <w:marLeft w:val="0"/>
      <w:marRight w:val="0"/>
      <w:marTop w:val="0"/>
      <w:marBottom w:val="0"/>
      <w:divBdr>
        <w:top w:val="none" w:sz="0" w:space="0" w:color="auto"/>
        <w:left w:val="none" w:sz="0" w:space="0" w:color="auto"/>
        <w:bottom w:val="none" w:sz="0" w:space="0" w:color="auto"/>
        <w:right w:val="none" w:sz="0" w:space="0" w:color="auto"/>
      </w:divBdr>
    </w:div>
    <w:div w:id="1663315908">
      <w:bodyDiv w:val="1"/>
      <w:marLeft w:val="0"/>
      <w:marRight w:val="0"/>
      <w:marTop w:val="0"/>
      <w:marBottom w:val="0"/>
      <w:divBdr>
        <w:top w:val="none" w:sz="0" w:space="0" w:color="auto"/>
        <w:left w:val="none" w:sz="0" w:space="0" w:color="auto"/>
        <w:bottom w:val="none" w:sz="0" w:space="0" w:color="auto"/>
        <w:right w:val="none" w:sz="0" w:space="0" w:color="auto"/>
      </w:divBdr>
    </w:div>
    <w:div w:id="1664892862">
      <w:bodyDiv w:val="1"/>
      <w:marLeft w:val="0"/>
      <w:marRight w:val="0"/>
      <w:marTop w:val="0"/>
      <w:marBottom w:val="0"/>
      <w:divBdr>
        <w:top w:val="none" w:sz="0" w:space="0" w:color="auto"/>
        <w:left w:val="none" w:sz="0" w:space="0" w:color="auto"/>
        <w:bottom w:val="none" w:sz="0" w:space="0" w:color="auto"/>
        <w:right w:val="none" w:sz="0" w:space="0" w:color="auto"/>
      </w:divBdr>
      <w:divsChild>
        <w:div w:id="1585645521">
          <w:marLeft w:val="0"/>
          <w:marRight w:val="0"/>
          <w:marTop w:val="0"/>
          <w:marBottom w:val="0"/>
          <w:divBdr>
            <w:top w:val="none" w:sz="0" w:space="0" w:color="auto"/>
            <w:left w:val="none" w:sz="0" w:space="0" w:color="auto"/>
            <w:bottom w:val="none" w:sz="0" w:space="0" w:color="auto"/>
            <w:right w:val="none" w:sz="0" w:space="0" w:color="auto"/>
          </w:divBdr>
          <w:divsChild>
            <w:div w:id="1684822932">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816216539">
      <w:bodyDiv w:val="1"/>
      <w:marLeft w:val="0"/>
      <w:marRight w:val="0"/>
      <w:marTop w:val="0"/>
      <w:marBottom w:val="0"/>
      <w:divBdr>
        <w:top w:val="none" w:sz="0" w:space="0" w:color="auto"/>
        <w:left w:val="none" w:sz="0" w:space="0" w:color="auto"/>
        <w:bottom w:val="none" w:sz="0" w:space="0" w:color="auto"/>
        <w:right w:val="none" w:sz="0" w:space="0" w:color="auto"/>
      </w:divBdr>
    </w:div>
    <w:div w:id="1843277922">
      <w:bodyDiv w:val="1"/>
      <w:marLeft w:val="0"/>
      <w:marRight w:val="0"/>
      <w:marTop w:val="0"/>
      <w:marBottom w:val="0"/>
      <w:divBdr>
        <w:top w:val="none" w:sz="0" w:space="0" w:color="auto"/>
        <w:left w:val="none" w:sz="0" w:space="0" w:color="auto"/>
        <w:bottom w:val="none" w:sz="0" w:space="0" w:color="auto"/>
        <w:right w:val="none" w:sz="0" w:space="0" w:color="auto"/>
      </w:divBdr>
    </w:div>
    <w:div w:id="1870878170">
      <w:bodyDiv w:val="1"/>
      <w:marLeft w:val="0"/>
      <w:marRight w:val="0"/>
      <w:marTop w:val="0"/>
      <w:marBottom w:val="0"/>
      <w:divBdr>
        <w:top w:val="none" w:sz="0" w:space="0" w:color="auto"/>
        <w:left w:val="none" w:sz="0" w:space="0" w:color="auto"/>
        <w:bottom w:val="none" w:sz="0" w:space="0" w:color="auto"/>
        <w:right w:val="none" w:sz="0" w:space="0" w:color="auto"/>
      </w:divBdr>
    </w:div>
    <w:div w:id="1907378470">
      <w:bodyDiv w:val="1"/>
      <w:marLeft w:val="0"/>
      <w:marRight w:val="0"/>
      <w:marTop w:val="0"/>
      <w:marBottom w:val="0"/>
      <w:divBdr>
        <w:top w:val="none" w:sz="0" w:space="0" w:color="auto"/>
        <w:left w:val="none" w:sz="0" w:space="0" w:color="auto"/>
        <w:bottom w:val="none" w:sz="0" w:space="0" w:color="auto"/>
        <w:right w:val="none" w:sz="0" w:space="0" w:color="auto"/>
      </w:divBdr>
    </w:div>
    <w:div w:id="1914581138">
      <w:bodyDiv w:val="1"/>
      <w:marLeft w:val="0"/>
      <w:marRight w:val="0"/>
      <w:marTop w:val="0"/>
      <w:marBottom w:val="0"/>
      <w:divBdr>
        <w:top w:val="none" w:sz="0" w:space="0" w:color="auto"/>
        <w:left w:val="none" w:sz="0" w:space="0" w:color="auto"/>
        <w:bottom w:val="none" w:sz="0" w:space="0" w:color="auto"/>
        <w:right w:val="none" w:sz="0" w:space="0" w:color="auto"/>
      </w:divBdr>
    </w:div>
    <w:div w:id="1928882596">
      <w:bodyDiv w:val="1"/>
      <w:marLeft w:val="0"/>
      <w:marRight w:val="0"/>
      <w:marTop w:val="0"/>
      <w:marBottom w:val="0"/>
      <w:divBdr>
        <w:top w:val="none" w:sz="0" w:space="0" w:color="auto"/>
        <w:left w:val="none" w:sz="0" w:space="0" w:color="auto"/>
        <w:bottom w:val="none" w:sz="0" w:space="0" w:color="auto"/>
        <w:right w:val="none" w:sz="0" w:space="0" w:color="auto"/>
      </w:divBdr>
    </w:div>
    <w:div w:id="210344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n.wikipedia.org/wiki/United_States_Statutes_at_Large" TargetMode="External"/><Relationship Id="rId3" Type="http://schemas.openxmlformats.org/officeDocument/2006/relationships/hyperlink" Target="http://www.gpo.gov/fdsys/granule/STATUTE-92/STATUTE-92-Pg3117/content-detail.html" TargetMode="External"/><Relationship Id="rId7" Type="http://schemas.openxmlformats.org/officeDocument/2006/relationships/hyperlink" Target="http://www.law.cornell.edu/jureeka/index.php?doc=USPubLaws&amp;cong=95&amp;no=617" TargetMode="External"/><Relationship Id="rId12" Type="http://schemas.openxmlformats.org/officeDocument/2006/relationships/hyperlink" Target="http://www.nrel.gov/docs/fy12osti/53637.pdf" TargetMode="External"/><Relationship Id="rId2" Type="http://schemas.openxmlformats.org/officeDocument/2006/relationships/hyperlink" Target="http://en.wikipedia.org/wiki/United_States_Statutes_at_Large" TargetMode="External"/><Relationship Id="rId1" Type="http://schemas.openxmlformats.org/officeDocument/2006/relationships/hyperlink" Target="http://www.law.cornell.edu/jureeka/index.php?doc=USPubLaws&amp;cong=95&amp;no=617" TargetMode="External"/><Relationship Id="rId6" Type="http://schemas.openxmlformats.org/officeDocument/2006/relationships/hyperlink" Target="http://www.gpo.gov/fdsys/granule/STATUTE-92/STATUTE-92-Pg3117/content-detail.html" TargetMode="External"/><Relationship Id="rId11" Type="http://schemas.openxmlformats.org/officeDocument/2006/relationships/hyperlink" Target="http://en.wikipedia.org/wiki/Electric_utility" TargetMode="External"/><Relationship Id="rId5" Type="http://schemas.openxmlformats.org/officeDocument/2006/relationships/hyperlink" Target="http://en.wikipedia.org/wiki/United_States_Statutes_at_Large" TargetMode="External"/><Relationship Id="rId10" Type="http://schemas.openxmlformats.org/officeDocument/2006/relationships/hyperlink" Target="http://en.wikipedia.org/wiki/National_Energy_Act" TargetMode="External"/><Relationship Id="rId4" Type="http://schemas.openxmlformats.org/officeDocument/2006/relationships/hyperlink" Target="http://www.law.cornell.edu/jureeka/index.php?doc=USPubLaws&amp;cong=95&amp;no=617" TargetMode="External"/><Relationship Id="rId9" Type="http://schemas.openxmlformats.org/officeDocument/2006/relationships/hyperlink" Target="http://www.gpo.gov/fdsys/granule/STATUTE-92/STATUTE-92-Pg3117/content-detai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2014-05-01T07:00:00+00:00</OpenedDate>
    <Date1 xmlns="dc463f71-b30c-4ab2-9473-d307f9d35888">2015-03-25T07:00:00+00:00</Date1>
    <IsDocumentOrder xmlns="dc463f71-b30c-4ab2-9473-d307f9d35888">true</IsDocumentOrder>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A7CCD9-CDF5-4B05-BDC8-AFA712096809}"/>
</file>

<file path=customXml/itemProps2.xml><?xml version="1.0" encoding="utf-8"?>
<ds:datastoreItem xmlns:ds="http://schemas.openxmlformats.org/officeDocument/2006/customXml" ds:itemID="{E797B59B-B6DE-4DFA-B6F4-94402F613C0A}"/>
</file>

<file path=customXml/itemProps3.xml><?xml version="1.0" encoding="utf-8"?>
<ds:datastoreItem xmlns:ds="http://schemas.openxmlformats.org/officeDocument/2006/customXml" ds:itemID="{C988B3CB-9C79-40EE-BE56-11608D8D3370}"/>
</file>

<file path=customXml/itemProps4.xml><?xml version="1.0" encoding="utf-8"?>
<ds:datastoreItem xmlns:ds="http://schemas.openxmlformats.org/officeDocument/2006/customXml" ds:itemID="{B166F9AF-8B50-4612-AB3F-7C9AA6697A89}"/>
</file>

<file path=customXml/itemProps5.xml><?xml version="1.0" encoding="utf-8"?>
<ds:datastoreItem xmlns:ds="http://schemas.openxmlformats.org/officeDocument/2006/customXml" ds:itemID="{82CFABFD-F9FA-41CB-B00B-B02BCB5EE032}"/>
</file>

<file path=docProps/app.xml><?xml version="1.0" encoding="utf-8"?>
<Properties xmlns="http://schemas.openxmlformats.org/officeDocument/2006/extended-properties" xmlns:vt="http://schemas.openxmlformats.org/officeDocument/2006/docPropsVTypes">
  <Template>Normal</Template>
  <TotalTime>0</TotalTime>
  <Pages>137</Pages>
  <Words>37422</Words>
  <Characters>205192</Characters>
  <Application>Microsoft Office Word</Application>
  <DocSecurity>0</DocSecurity>
  <Lines>1709</Lines>
  <Paragraphs>484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242130</CharactersWithSpaces>
  <SharedDoc>false</SharedDoc>
  <HLinks>
    <vt:vector size="306" baseType="variant">
      <vt:variant>
        <vt:i4>1900605</vt:i4>
      </vt:variant>
      <vt:variant>
        <vt:i4>266</vt:i4>
      </vt:variant>
      <vt:variant>
        <vt:i4>0</vt:i4>
      </vt:variant>
      <vt:variant>
        <vt:i4>5</vt:i4>
      </vt:variant>
      <vt:variant>
        <vt:lpwstr/>
      </vt:variant>
      <vt:variant>
        <vt:lpwstr>_Toc408219013</vt:lpwstr>
      </vt:variant>
      <vt:variant>
        <vt:i4>1900605</vt:i4>
      </vt:variant>
      <vt:variant>
        <vt:i4>260</vt:i4>
      </vt:variant>
      <vt:variant>
        <vt:i4>0</vt:i4>
      </vt:variant>
      <vt:variant>
        <vt:i4>5</vt:i4>
      </vt:variant>
      <vt:variant>
        <vt:lpwstr/>
      </vt:variant>
      <vt:variant>
        <vt:lpwstr>_Toc408219012</vt:lpwstr>
      </vt:variant>
      <vt:variant>
        <vt:i4>1900605</vt:i4>
      </vt:variant>
      <vt:variant>
        <vt:i4>254</vt:i4>
      </vt:variant>
      <vt:variant>
        <vt:i4>0</vt:i4>
      </vt:variant>
      <vt:variant>
        <vt:i4>5</vt:i4>
      </vt:variant>
      <vt:variant>
        <vt:lpwstr/>
      </vt:variant>
      <vt:variant>
        <vt:lpwstr>_Toc408219011</vt:lpwstr>
      </vt:variant>
      <vt:variant>
        <vt:i4>1900605</vt:i4>
      </vt:variant>
      <vt:variant>
        <vt:i4>248</vt:i4>
      </vt:variant>
      <vt:variant>
        <vt:i4>0</vt:i4>
      </vt:variant>
      <vt:variant>
        <vt:i4>5</vt:i4>
      </vt:variant>
      <vt:variant>
        <vt:lpwstr/>
      </vt:variant>
      <vt:variant>
        <vt:lpwstr>_Toc408219010</vt:lpwstr>
      </vt:variant>
      <vt:variant>
        <vt:i4>1835069</vt:i4>
      </vt:variant>
      <vt:variant>
        <vt:i4>242</vt:i4>
      </vt:variant>
      <vt:variant>
        <vt:i4>0</vt:i4>
      </vt:variant>
      <vt:variant>
        <vt:i4>5</vt:i4>
      </vt:variant>
      <vt:variant>
        <vt:lpwstr/>
      </vt:variant>
      <vt:variant>
        <vt:lpwstr>_Toc408219009</vt:lpwstr>
      </vt:variant>
      <vt:variant>
        <vt:i4>1835069</vt:i4>
      </vt:variant>
      <vt:variant>
        <vt:i4>236</vt:i4>
      </vt:variant>
      <vt:variant>
        <vt:i4>0</vt:i4>
      </vt:variant>
      <vt:variant>
        <vt:i4>5</vt:i4>
      </vt:variant>
      <vt:variant>
        <vt:lpwstr/>
      </vt:variant>
      <vt:variant>
        <vt:lpwstr>_Toc408219008</vt:lpwstr>
      </vt:variant>
      <vt:variant>
        <vt:i4>1835069</vt:i4>
      </vt:variant>
      <vt:variant>
        <vt:i4>230</vt:i4>
      </vt:variant>
      <vt:variant>
        <vt:i4>0</vt:i4>
      </vt:variant>
      <vt:variant>
        <vt:i4>5</vt:i4>
      </vt:variant>
      <vt:variant>
        <vt:lpwstr/>
      </vt:variant>
      <vt:variant>
        <vt:lpwstr>_Toc408219007</vt:lpwstr>
      </vt:variant>
      <vt:variant>
        <vt:i4>1835069</vt:i4>
      </vt:variant>
      <vt:variant>
        <vt:i4>224</vt:i4>
      </vt:variant>
      <vt:variant>
        <vt:i4>0</vt:i4>
      </vt:variant>
      <vt:variant>
        <vt:i4>5</vt:i4>
      </vt:variant>
      <vt:variant>
        <vt:lpwstr/>
      </vt:variant>
      <vt:variant>
        <vt:lpwstr>_Toc408219006</vt:lpwstr>
      </vt:variant>
      <vt:variant>
        <vt:i4>1835069</vt:i4>
      </vt:variant>
      <vt:variant>
        <vt:i4>218</vt:i4>
      </vt:variant>
      <vt:variant>
        <vt:i4>0</vt:i4>
      </vt:variant>
      <vt:variant>
        <vt:i4>5</vt:i4>
      </vt:variant>
      <vt:variant>
        <vt:lpwstr/>
      </vt:variant>
      <vt:variant>
        <vt:lpwstr>_Toc408219005</vt:lpwstr>
      </vt:variant>
      <vt:variant>
        <vt:i4>1835069</vt:i4>
      </vt:variant>
      <vt:variant>
        <vt:i4>212</vt:i4>
      </vt:variant>
      <vt:variant>
        <vt:i4>0</vt:i4>
      </vt:variant>
      <vt:variant>
        <vt:i4>5</vt:i4>
      </vt:variant>
      <vt:variant>
        <vt:lpwstr/>
      </vt:variant>
      <vt:variant>
        <vt:lpwstr>_Toc408219004</vt:lpwstr>
      </vt:variant>
      <vt:variant>
        <vt:i4>1835069</vt:i4>
      </vt:variant>
      <vt:variant>
        <vt:i4>206</vt:i4>
      </vt:variant>
      <vt:variant>
        <vt:i4>0</vt:i4>
      </vt:variant>
      <vt:variant>
        <vt:i4>5</vt:i4>
      </vt:variant>
      <vt:variant>
        <vt:lpwstr/>
      </vt:variant>
      <vt:variant>
        <vt:lpwstr>_Toc408219003</vt:lpwstr>
      </vt:variant>
      <vt:variant>
        <vt:i4>1835069</vt:i4>
      </vt:variant>
      <vt:variant>
        <vt:i4>200</vt:i4>
      </vt:variant>
      <vt:variant>
        <vt:i4>0</vt:i4>
      </vt:variant>
      <vt:variant>
        <vt:i4>5</vt:i4>
      </vt:variant>
      <vt:variant>
        <vt:lpwstr/>
      </vt:variant>
      <vt:variant>
        <vt:lpwstr>_Toc408219002</vt:lpwstr>
      </vt:variant>
      <vt:variant>
        <vt:i4>1835069</vt:i4>
      </vt:variant>
      <vt:variant>
        <vt:i4>194</vt:i4>
      </vt:variant>
      <vt:variant>
        <vt:i4>0</vt:i4>
      </vt:variant>
      <vt:variant>
        <vt:i4>5</vt:i4>
      </vt:variant>
      <vt:variant>
        <vt:lpwstr/>
      </vt:variant>
      <vt:variant>
        <vt:lpwstr>_Toc408219001</vt:lpwstr>
      </vt:variant>
      <vt:variant>
        <vt:i4>1835069</vt:i4>
      </vt:variant>
      <vt:variant>
        <vt:i4>188</vt:i4>
      </vt:variant>
      <vt:variant>
        <vt:i4>0</vt:i4>
      </vt:variant>
      <vt:variant>
        <vt:i4>5</vt:i4>
      </vt:variant>
      <vt:variant>
        <vt:lpwstr/>
      </vt:variant>
      <vt:variant>
        <vt:lpwstr>_Toc408219000</vt:lpwstr>
      </vt:variant>
      <vt:variant>
        <vt:i4>1310772</vt:i4>
      </vt:variant>
      <vt:variant>
        <vt:i4>182</vt:i4>
      </vt:variant>
      <vt:variant>
        <vt:i4>0</vt:i4>
      </vt:variant>
      <vt:variant>
        <vt:i4>5</vt:i4>
      </vt:variant>
      <vt:variant>
        <vt:lpwstr/>
      </vt:variant>
      <vt:variant>
        <vt:lpwstr>_Toc408218999</vt:lpwstr>
      </vt:variant>
      <vt:variant>
        <vt:i4>1310772</vt:i4>
      </vt:variant>
      <vt:variant>
        <vt:i4>176</vt:i4>
      </vt:variant>
      <vt:variant>
        <vt:i4>0</vt:i4>
      </vt:variant>
      <vt:variant>
        <vt:i4>5</vt:i4>
      </vt:variant>
      <vt:variant>
        <vt:lpwstr/>
      </vt:variant>
      <vt:variant>
        <vt:lpwstr>_Toc408218998</vt:lpwstr>
      </vt:variant>
      <vt:variant>
        <vt:i4>1310772</vt:i4>
      </vt:variant>
      <vt:variant>
        <vt:i4>170</vt:i4>
      </vt:variant>
      <vt:variant>
        <vt:i4>0</vt:i4>
      </vt:variant>
      <vt:variant>
        <vt:i4>5</vt:i4>
      </vt:variant>
      <vt:variant>
        <vt:lpwstr/>
      </vt:variant>
      <vt:variant>
        <vt:lpwstr>_Toc408218997</vt:lpwstr>
      </vt:variant>
      <vt:variant>
        <vt:i4>1310772</vt:i4>
      </vt:variant>
      <vt:variant>
        <vt:i4>164</vt:i4>
      </vt:variant>
      <vt:variant>
        <vt:i4>0</vt:i4>
      </vt:variant>
      <vt:variant>
        <vt:i4>5</vt:i4>
      </vt:variant>
      <vt:variant>
        <vt:lpwstr/>
      </vt:variant>
      <vt:variant>
        <vt:lpwstr>_Toc408218996</vt:lpwstr>
      </vt:variant>
      <vt:variant>
        <vt:i4>1310772</vt:i4>
      </vt:variant>
      <vt:variant>
        <vt:i4>158</vt:i4>
      </vt:variant>
      <vt:variant>
        <vt:i4>0</vt:i4>
      </vt:variant>
      <vt:variant>
        <vt:i4>5</vt:i4>
      </vt:variant>
      <vt:variant>
        <vt:lpwstr/>
      </vt:variant>
      <vt:variant>
        <vt:lpwstr>_Toc408218995</vt:lpwstr>
      </vt:variant>
      <vt:variant>
        <vt:i4>1310772</vt:i4>
      </vt:variant>
      <vt:variant>
        <vt:i4>152</vt:i4>
      </vt:variant>
      <vt:variant>
        <vt:i4>0</vt:i4>
      </vt:variant>
      <vt:variant>
        <vt:i4>5</vt:i4>
      </vt:variant>
      <vt:variant>
        <vt:lpwstr/>
      </vt:variant>
      <vt:variant>
        <vt:lpwstr>_Toc408218994</vt:lpwstr>
      </vt:variant>
      <vt:variant>
        <vt:i4>1310772</vt:i4>
      </vt:variant>
      <vt:variant>
        <vt:i4>146</vt:i4>
      </vt:variant>
      <vt:variant>
        <vt:i4>0</vt:i4>
      </vt:variant>
      <vt:variant>
        <vt:i4>5</vt:i4>
      </vt:variant>
      <vt:variant>
        <vt:lpwstr/>
      </vt:variant>
      <vt:variant>
        <vt:lpwstr>_Toc408218993</vt:lpwstr>
      </vt:variant>
      <vt:variant>
        <vt:i4>1310772</vt:i4>
      </vt:variant>
      <vt:variant>
        <vt:i4>140</vt:i4>
      </vt:variant>
      <vt:variant>
        <vt:i4>0</vt:i4>
      </vt:variant>
      <vt:variant>
        <vt:i4>5</vt:i4>
      </vt:variant>
      <vt:variant>
        <vt:lpwstr/>
      </vt:variant>
      <vt:variant>
        <vt:lpwstr>_Toc408218992</vt:lpwstr>
      </vt:variant>
      <vt:variant>
        <vt:i4>1310772</vt:i4>
      </vt:variant>
      <vt:variant>
        <vt:i4>134</vt:i4>
      </vt:variant>
      <vt:variant>
        <vt:i4>0</vt:i4>
      </vt:variant>
      <vt:variant>
        <vt:i4>5</vt:i4>
      </vt:variant>
      <vt:variant>
        <vt:lpwstr/>
      </vt:variant>
      <vt:variant>
        <vt:lpwstr>_Toc408218991</vt:lpwstr>
      </vt:variant>
      <vt:variant>
        <vt:i4>1310772</vt:i4>
      </vt:variant>
      <vt:variant>
        <vt:i4>128</vt:i4>
      </vt:variant>
      <vt:variant>
        <vt:i4>0</vt:i4>
      </vt:variant>
      <vt:variant>
        <vt:i4>5</vt:i4>
      </vt:variant>
      <vt:variant>
        <vt:lpwstr/>
      </vt:variant>
      <vt:variant>
        <vt:lpwstr>_Toc408218990</vt:lpwstr>
      </vt:variant>
      <vt:variant>
        <vt:i4>1376308</vt:i4>
      </vt:variant>
      <vt:variant>
        <vt:i4>122</vt:i4>
      </vt:variant>
      <vt:variant>
        <vt:i4>0</vt:i4>
      </vt:variant>
      <vt:variant>
        <vt:i4>5</vt:i4>
      </vt:variant>
      <vt:variant>
        <vt:lpwstr/>
      </vt:variant>
      <vt:variant>
        <vt:lpwstr>_Toc408218989</vt:lpwstr>
      </vt:variant>
      <vt:variant>
        <vt:i4>1376308</vt:i4>
      </vt:variant>
      <vt:variant>
        <vt:i4>116</vt:i4>
      </vt:variant>
      <vt:variant>
        <vt:i4>0</vt:i4>
      </vt:variant>
      <vt:variant>
        <vt:i4>5</vt:i4>
      </vt:variant>
      <vt:variant>
        <vt:lpwstr/>
      </vt:variant>
      <vt:variant>
        <vt:lpwstr>_Toc408218988</vt:lpwstr>
      </vt:variant>
      <vt:variant>
        <vt:i4>1376308</vt:i4>
      </vt:variant>
      <vt:variant>
        <vt:i4>110</vt:i4>
      </vt:variant>
      <vt:variant>
        <vt:i4>0</vt:i4>
      </vt:variant>
      <vt:variant>
        <vt:i4>5</vt:i4>
      </vt:variant>
      <vt:variant>
        <vt:lpwstr/>
      </vt:variant>
      <vt:variant>
        <vt:lpwstr>_Toc408218987</vt:lpwstr>
      </vt:variant>
      <vt:variant>
        <vt:i4>1376308</vt:i4>
      </vt:variant>
      <vt:variant>
        <vt:i4>104</vt:i4>
      </vt:variant>
      <vt:variant>
        <vt:i4>0</vt:i4>
      </vt:variant>
      <vt:variant>
        <vt:i4>5</vt:i4>
      </vt:variant>
      <vt:variant>
        <vt:lpwstr/>
      </vt:variant>
      <vt:variant>
        <vt:lpwstr>_Toc408218986</vt:lpwstr>
      </vt:variant>
      <vt:variant>
        <vt:i4>1376308</vt:i4>
      </vt:variant>
      <vt:variant>
        <vt:i4>98</vt:i4>
      </vt:variant>
      <vt:variant>
        <vt:i4>0</vt:i4>
      </vt:variant>
      <vt:variant>
        <vt:i4>5</vt:i4>
      </vt:variant>
      <vt:variant>
        <vt:lpwstr/>
      </vt:variant>
      <vt:variant>
        <vt:lpwstr>_Toc408218985</vt:lpwstr>
      </vt:variant>
      <vt:variant>
        <vt:i4>1376308</vt:i4>
      </vt:variant>
      <vt:variant>
        <vt:i4>92</vt:i4>
      </vt:variant>
      <vt:variant>
        <vt:i4>0</vt:i4>
      </vt:variant>
      <vt:variant>
        <vt:i4>5</vt:i4>
      </vt:variant>
      <vt:variant>
        <vt:lpwstr/>
      </vt:variant>
      <vt:variant>
        <vt:lpwstr>_Toc408218984</vt:lpwstr>
      </vt:variant>
      <vt:variant>
        <vt:i4>1376308</vt:i4>
      </vt:variant>
      <vt:variant>
        <vt:i4>86</vt:i4>
      </vt:variant>
      <vt:variant>
        <vt:i4>0</vt:i4>
      </vt:variant>
      <vt:variant>
        <vt:i4>5</vt:i4>
      </vt:variant>
      <vt:variant>
        <vt:lpwstr/>
      </vt:variant>
      <vt:variant>
        <vt:lpwstr>_Toc408218983</vt:lpwstr>
      </vt:variant>
      <vt:variant>
        <vt:i4>1376308</vt:i4>
      </vt:variant>
      <vt:variant>
        <vt:i4>80</vt:i4>
      </vt:variant>
      <vt:variant>
        <vt:i4>0</vt:i4>
      </vt:variant>
      <vt:variant>
        <vt:i4>5</vt:i4>
      </vt:variant>
      <vt:variant>
        <vt:lpwstr/>
      </vt:variant>
      <vt:variant>
        <vt:lpwstr>_Toc408218982</vt:lpwstr>
      </vt:variant>
      <vt:variant>
        <vt:i4>1376308</vt:i4>
      </vt:variant>
      <vt:variant>
        <vt:i4>74</vt:i4>
      </vt:variant>
      <vt:variant>
        <vt:i4>0</vt:i4>
      </vt:variant>
      <vt:variant>
        <vt:i4>5</vt:i4>
      </vt:variant>
      <vt:variant>
        <vt:lpwstr/>
      </vt:variant>
      <vt:variant>
        <vt:lpwstr>_Toc408218981</vt:lpwstr>
      </vt:variant>
      <vt:variant>
        <vt:i4>1376308</vt:i4>
      </vt:variant>
      <vt:variant>
        <vt:i4>68</vt:i4>
      </vt:variant>
      <vt:variant>
        <vt:i4>0</vt:i4>
      </vt:variant>
      <vt:variant>
        <vt:i4>5</vt:i4>
      </vt:variant>
      <vt:variant>
        <vt:lpwstr/>
      </vt:variant>
      <vt:variant>
        <vt:lpwstr>_Toc408218980</vt:lpwstr>
      </vt:variant>
      <vt:variant>
        <vt:i4>1703988</vt:i4>
      </vt:variant>
      <vt:variant>
        <vt:i4>62</vt:i4>
      </vt:variant>
      <vt:variant>
        <vt:i4>0</vt:i4>
      </vt:variant>
      <vt:variant>
        <vt:i4>5</vt:i4>
      </vt:variant>
      <vt:variant>
        <vt:lpwstr/>
      </vt:variant>
      <vt:variant>
        <vt:lpwstr>_Toc408218979</vt:lpwstr>
      </vt:variant>
      <vt:variant>
        <vt:i4>1703988</vt:i4>
      </vt:variant>
      <vt:variant>
        <vt:i4>56</vt:i4>
      </vt:variant>
      <vt:variant>
        <vt:i4>0</vt:i4>
      </vt:variant>
      <vt:variant>
        <vt:i4>5</vt:i4>
      </vt:variant>
      <vt:variant>
        <vt:lpwstr/>
      </vt:variant>
      <vt:variant>
        <vt:lpwstr>_Toc408218978</vt:lpwstr>
      </vt:variant>
      <vt:variant>
        <vt:i4>1703988</vt:i4>
      </vt:variant>
      <vt:variant>
        <vt:i4>50</vt:i4>
      </vt:variant>
      <vt:variant>
        <vt:i4>0</vt:i4>
      </vt:variant>
      <vt:variant>
        <vt:i4>5</vt:i4>
      </vt:variant>
      <vt:variant>
        <vt:lpwstr/>
      </vt:variant>
      <vt:variant>
        <vt:lpwstr>_Toc408218977</vt:lpwstr>
      </vt:variant>
      <vt:variant>
        <vt:i4>1703988</vt:i4>
      </vt:variant>
      <vt:variant>
        <vt:i4>44</vt:i4>
      </vt:variant>
      <vt:variant>
        <vt:i4>0</vt:i4>
      </vt:variant>
      <vt:variant>
        <vt:i4>5</vt:i4>
      </vt:variant>
      <vt:variant>
        <vt:lpwstr/>
      </vt:variant>
      <vt:variant>
        <vt:lpwstr>_Toc408218976</vt:lpwstr>
      </vt:variant>
      <vt:variant>
        <vt:i4>1703988</vt:i4>
      </vt:variant>
      <vt:variant>
        <vt:i4>38</vt:i4>
      </vt:variant>
      <vt:variant>
        <vt:i4>0</vt:i4>
      </vt:variant>
      <vt:variant>
        <vt:i4>5</vt:i4>
      </vt:variant>
      <vt:variant>
        <vt:lpwstr/>
      </vt:variant>
      <vt:variant>
        <vt:lpwstr>_Toc408218975</vt:lpwstr>
      </vt:variant>
      <vt:variant>
        <vt:i4>1703988</vt:i4>
      </vt:variant>
      <vt:variant>
        <vt:i4>32</vt:i4>
      </vt:variant>
      <vt:variant>
        <vt:i4>0</vt:i4>
      </vt:variant>
      <vt:variant>
        <vt:i4>5</vt:i4>
      </vt:variant>
      <vt:variant>
        <vt:lpwstr/>
      </vt:variant>
      <vt:variant>
        <vt:lpwstr>_Toc408218974</vt:lpwstr>
      </vt:variant>
      <vt:variant>
        <vt:i4>1703988</vt:i4>
      </vt:variant>
      <vt:variant>
        <vt:i4>26</vt:i4>
      </vt:variant>
      <vt:variant>
        <vt:i4>0</vt:i4>
      </vt:variant>
      <vt:variant>
        <vt:i4>5</vt:i4>
      </vt:variant>
      <vt:variant>
        <vt:lpwstr/>
      </vt:variant>
      <vt:variant>
        <vt:lpwstr>_Toc408218973</vt:lpwstr>
      </vt:variant>
      <vt:variant>
        <vt:i4>1703988</vt:i4>
      </vt:variant>
      <vt:variant>
        <vt:i4>20</vt:i4>
      </vt:variant>
      <vt:variant>
        <vt:i4>0</vt:i4>
      </vt:variant>
      <vt:variant>
        <vt:i4>5</vt:i4>
      </vt:variant>
      <vt:variant>
        <vt:lpwstr/>
      </vt:variant>
      <vt:variant>
        <vt:lpwstr>_Toc408218972</vt:lpwstr>
      </vt:variant>
      <vt:variant>
        <vt:i4>1703988</vt:i4>
      </vt:variant>
      <vt:variant>
        <vt:i4>14</vt:i4>
      </vt:variant>
      <vt:variant>
        <vt:i4>0</vt:i4>
      </vt:variant>
      <vt:variant>
        <vt:i4>5</vt:i4>
      </vt:variant>
      <vt:variant>
        <vt:lpwstr/>
      </vt:variant>
      <vt:variant>
        <vt:lpwstr>_Toc408218971</vt:lpwstr>
      </vt:variant>
      <vt:variant>
        <vt:i4>1703988</vt:i4>
      </vt:variant>
      <vt:variant>
        <vt:i4>8</vt:i4>
      </vt:variant>
      <vt:variant>
        <vt:i4>0</vt:i4>
      </vt:variant>
      <vt:variant>
        <vt:i4>5</vt:i4>
      </vt:variant>
      <vt:variant>
        <vt:lpwstr/>
      </vt:variant>
      <vt:variant>
        <vt:lpwstr>_Toc408218970</vt:lpwstr>
      </vt:variant>
      <vt:variant>
        <vt:i4>1769524</vt:i4>
      </vt:variant>
      <vt:variant>
        <vt:i4>2</vt:i4>
      </vt:variant>
      <vt:variant>
        <vt:i4>0</vt:i4>
      </vt:variant>
      <vt:variant>
        <vt:i4>5</vt:i4>
      </vt:variant>
      <vt:variant>
        <vt:lpwstr/>
      </vt:variant>
      <vt:variant>
        <vt:lpwstr>_Toc408218969</vt:lpwstr>
      </vt:variant>
      <vt:variant>
        <vt:i4>3211358</vt:i4>
      </vt:variant>
      <vt:variant>
        <vt:i4>15</vt:i4>
      </vt:variant>
      <vt:variant>
        <vt:i4>0</vt:i4>
      </vt:variant>
      <vt:variant>
        <vt:i4>5</vt:i4>
      </vt:variant>
      <vt:variant>
        <vt:lpwstr>http://en.wikipedia.org/wiki/Electric_utility</vt:lpwstr>
      </vt:variant>
      <vt:variant>
        <vt:lpwstr/>
      </vt:variant>
      <vt:variant>
        <vt:i4>1310843</vt:i4>
      </vt:variant>
      <vt:variant>
        <vt:i4>12</vt:i4>
      </vt:variant>
      <vt:variant>
        <vt:i4>0</vt:i4>
      </vt:variant>
      <vt:variant>
        <vt:i4>5</vt:i4>
      </vt:variant>
      <vt:variant>
        <vt:lpwstr>http://en.wikipedia.org/wiki/Renewable_energy</vt:lpwstr>
      </vt:variant>
      <vt:variant>
        <vt:lpwstr/>
      </vt:variant>
      <vt:variant>
        <vt:i4>2359396</vt:i4>
      </vt:variant>
      <vt:variant>
        <vt:i4>9</vt:i4>
      </vt:variant>
      <vt:variant>
        <vt:i4>0</vt:i4>
      </vt:variant>
      <vt:variant>
        <vt:i4>5</vt:i4>
      </vt:variant>
      <vt:variant>
        <vt:lpwstr>http://en.wikipedia.org/wiki/National_Energy_Act</vt:lpwstr>
      </vt:variant>
      <vt:variant>
        <vt:lpwstr/>
      </vt:variant>
      <vt:variant>
        <vt:i4>5570560</vt:i4>
      </vt:variant>
      <vt:variant>
        <vt:i4>6</vt:i4>
      </vt:variant>
      <vt:variant>
        <vt:i4>0</vt:i4>
      </vt:variant>
      <vt:variant>
        <vt:i4>5</vt:i4>
      </vt:variant>
      <vt:variant>
        <vt:lpwstr>http://www.gpo.gov/fdsys/granule/STATUTE-92/STATUTE-92-Pg3117/content-detail.html</vt:lpwstr>
      </vt:variant>
      <vt:variant>
        <vt:lpwstr/>
      </vt:variant>
      <vt:variant>
        <vt:i4>1572956</vt:i4>
      </vt:variant>
      <vt:variant>
        <vt:i4>3</vt:i4>
      </vt:variant>
      <vt:variant>
        <vt:i4>0</vt:i4>
      </vt:variant>
      <vt:variant>
        <vt:i4>5</vt:i4>
      </vt:variant>
      <vt:variant>
        <vt:lpwstr>http://en.wikipedia.org/wiki/United_States_Statutes_at_Large</vt:lpwstr>
      </vt:variant>
      <vt:variant>
        <vt:lpwstr/>
      </vt:variant>
      <vt:variant>
        <vt:i4>4456470</vt:i4>
      </vt:variant>
      <vt:variant>
        <vt:i4>0</vt:i4>
      </vt:variant>
      <vt:variant>
        <vt:i4>0</vt:i4>
      </vt:variant>
      <vt:variant>
        <vt:i4>5</vt:i4>
      </vt:variant>
      <vt:variant>
        <vt:lpwstr>http://www.law.cornell.edu/jureeka/index.php?doc=USPubLaws&amp;cong=95&amp;no=617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2015-03-25T17:37:00Z</dcterms:created>
  <dcterms:modified xsi:type="dcterms:W3CDTF">2015-03-25T17:37:00Z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