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06" w:rsidRDefault="00533106">
      <w:pPr>
        <w:suppressLineNumbers/>
        <w:jc w:val="center"/>
        <w:rPr>
          <w:rFonts w:ascii="Times New Roman" w:eastAsia="Calibri" w:hAnsi="Times New Roman" w:cs="Times New Roman"/>
          <w:b/>
          <w:sz w:val="24"/>
          <w:szCs w:val="24"/>
        </w:rPr>
      </w:pPr>
      <w:bookmarkStart w:id="0" w:name="_GoBack"/>
      <w:bookmarkEnd w:id="0"/>
    </w:p>
    <w:p w:rsidR="00533106" w:rsidRDefault="00AC5D88">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BEFORE THE </w:t>
      </w:r>
    </w:p>
    <w:p w:rsidR="00533106" w:rsidRDefault="00AC5D88">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WASHINGTON UTLITIES AND TRANSPORTATION COMMISSION</w:t>
      </w:r>
    </w:p>
    <w:p w:rsidR="00533106" w:rsidRDefault="00533106">
      <w:pPr>
        <w:suppressLineNumbers/>
        <w:jc w:val="center"/>
        <w:rPr>
          <w:rFonts w:ascii="Times New Roman" w:eastAsia="Calibri" w:hAnsi="Times New Roman" w:cs="Times New Roman"/>
          <w:b/>
          <w:sz w:val="24"/>
          <w:szCs w:val="24"/>
        </w:rPr>
      </w:pPr>
    </w:p>
    <w:p w:rsidR="00533106" w:rsidRDefault="00AC5D88">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 Matter of Frontier Communications</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Northwest Inc.’s Petition to be Regulated</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r>
      <w:r>
        <w:rPr>
          <w:rFonts w:ascii="Times New Roman" w:eastAsia="Calibri" w:hAnsi="Times New Roman" w:cs="Times New Roman"/>
          <w:sz w:val="24"/>
          <w:szCs w:val="24"/>
        </w:rPr>
        <w:t xml:space="preserve">as a Competitive Telecommunications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Docket No. UT-121994</w:t>
      </w:r>
      <w:r>
        <w:rPr>
          <w:rFonts w:ascii="Times New Roman" w:eastAsia="Calibri" w:hAnsi="Times New Roman" w:cs="Times New Roman"/>
          <w:sz w:val="24"/>
          <w:szCs w:val="24"/>
        </w:rPr>
        <w:br/>
        <w:t>Company Pursuant to RCW 80.26.320</w:t>
      </w:r>
      <w:r>
        <w:rPr>
          <w:rFonts w:ascii="Times New Roman" w:eastAsia="Calibri" w:hAnsi="Times New Roman" w:cs="Times New Roman"/>
          <w:sz w:val="24"/>
          <w:szCs w:val="24"/>
        </w:rPr>
        <w:tab/>
        <w:t>)</w:t>
      </w:r>
    </w:p>
    <w:p w:rsidR="00533106" w:rsidRDefault="00AC5D88">
      <w:pPr>
        <w:suppressLineNumbers/>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br/>
      </w:r>
    </w:p>
    <w:p w:rsidR="00533106" w:rsidRDefault="00533106">
      <w:pPr>
        <w:suppressLineNumbers/>
      </w:pPr>
    </w:p>
    <w:p w:rsidR="00533106" w:rsidRDefault="00533106">
      <w:pPr>
        <w:suppressLineNumbers/>
        <w:jc w:val="center"/>
        <w:rPr>
          <w:rFonts w:ascii="Times New Roman" w:hAnsi="Times New Roman" w:cs="Times New Roman"/>
          <w:b/>
          <w:sz w:val="24"/>
          <w:szCs w:val="24"/>
        </w:rPr>
      </w:pPr>
    </w:p>
    <w:p w:rsidR="00533106" w:rsidRDefault="00533106">
      <w:pPr>
        <w:suppressLineNumbers/>
        <w:jc w:val="center"/>
        <w:rPr>
          <w:rFonts w:ascii="Times New Roman" w:hAnsi="Times New Roman" w:cs="Times New Roman"/>
          <w:b/>
          <w:sz w:val="24"/>
          <w:szCs w:val="24"/>
        </w:rPr>
      </w:pPr>
    </w:p>
    <w:p w:rsidR="00533106" w:rsidRDefault="00533106">
      <w:pPr>
        <w:suppressLineNumbers/>
        <w:jc w:val="center"/>
        <w:rPr>
          <w:rFonts w:ascii="Times New Roman" w:hAnsi="Times New Roman" w:cs="Times New Roman"/>
          <w:b/>
          <w:sz w:val="24"/>
          <w:szCs w:val="24"/>
        </w:rPr>
      </w:pPr>
    </w:p>
    <w:p w:rsidR="00533106" w:rsidRDefault="00AC5D88">
      <w:pPr>
        <w:suppressLineNumbers/>
        <w:jc w:val="center"/>
        <w:rPr>
          <w:rFonts w:ascii="Times New Roman" w:hAnsi="Times New Roman" w:cs="Times New Roman"/>
          <w:b/>
          <w:sz w:val="24"/>
          <w:szCs w:val="24"/>
        </w:rPr>
      </w:pPr>
      <w:r>
        <w:rPr>
          <w:rFonts w:ascii="Times New Roman" w:hAnsi="Times New Roman" w:cs="Times New Roman"/>
          <w:b/>
          <w:sz w:val="24"/>
          <w:szCs w:val="24"/>
        </w:rPr>
        <w:t>DIRECT TESTIMONY</w:t>
      </w:r>
    </w:p>
    <w:p w:rsidR="00533106" w:rsidRDefault="00AC5D88">
      <w:pPr>
        <w:suppressLineNumbers/>
        <w:jc w:val="center"/>
        <w:rPr>
          <w:rFonts w:ascii="Times New Roman" w:hAnsi="Times New Roman" w:cs="Times New Roman"/>
          <w:b/>
          <w:sz w:val="24"/>
          <w:szCs w:val="24"/>
        </w:rPr>
      </w:pPr>
      <w:r>
        <w:rPr>
          <w:rFonts w:ascii="Times New Roman" w:hAnsi="Times New Roman" w:cs="Times New Roman"/>
          <w:b/>
          <w:sz w:val="24"/>
          <w:szCs w:val="24"/>
        </w:rPr>
        <w:t>OF</w:t>
      </w:r>
    </w:p>
    <w:p w:rsidR="00533106" w:rsidRDefault="00AC5D88">
      <w:pPr>
        <w:suppressLineNumbers/>
        <w:jc w:val="center"/>
        <w:rPr>
          <w:rFonts w:ascii="Times New Roman" w:hAnsi="Times New Roman" w:cs="Times New Roman"/>
          <w:b/>
          <w:sz w:val="24"/>
          <w:szCs w:val="24"/>
        </w:rPr>
      </w:pPr>
      <w:r>
        <w:rPr>
          <w:rFonts w:ascii="Times New Roman" w:hAnsi="Times New Roman" w:cs="Times New Roman"/>
          <w:b/>
          <w:sz w:val="24"/>
          <w:szCs w:val="24"/>
        </w:rPr>
        <w:t>BILLY JACK GREGG</w:t>
      </w:r>
    </w:p>
    <w:p w:rsidR="00533106" w:rsidRDefault="00533106">
      <w:pPr>
        <w:suppressLineNumbers/>
        <w:jc w:val="center"/>
        <w:rPr>
          <w:rFonts w:ascii="Times New Roman" w:hAnsi="Times New Roman" w:cs="Times New Roman"/>
          <w:b/>
          <w:sz w:val="24"/>
          <w:szCs w:val="24"/>
        </w:rPr>
      </w:pPr>
    </w:p>
    <w:p w:rsidR="00533106" w:rsidRDefault="00AC5D88">
      <w:pPr>
        <w:suppressLineNumbers/>
        <w:jc w:val="center"/>
        <w:rPr>
          <w:rFonts w:ascii="Times New Roman" w:hAnsi="Times New Roman" w:cs="Times New Roman"/>
          <w:b/>
          <w:sz w:val="24"/>
          <w:szCs w:val="24"/>
        </w:rPr>
      </w:pPr>
      <w:r>
        <w:rPr>
          <w:rFonts w:ascii="Times New Roman" w:hAnsi="Times New Roman" w:cs="Times New Roman"/>
          <w:b/>
          <w:sz w:val="24"/>
          <w:szCs w:val="24"/>
        </w:rPr>
        <w:t>FRONTIER COMMUNICATIONS NORTHWEST INC.</w:t>
      </w:r>
    </w:p>
    <w:p w:rsidR="00533106" w:rsidRDefault="00533106">
      <w:pPr>
        <w:suppressLineNumbers/>
        <w:jc w:val="center"/>
        <w:rPr>
          <w:rFonts w:ascii="Times New Roman" w:hAnsi="Times New Roman" w:cs="Times New Roman"/>
          <w:b/>
          <w:sz w:val="24"/>
          <w:szCs w:val="24"/>
        </w:rPr>
      </w:pPr>
    </w:p>
    <w:p w:rsidR="00533106" w:rsidRDefault="00533106">
      <w:pPr>
        <w:suppressLineNumbers/>
        <w:jc w:val="center"/>
        <w:rPr>
          <w:rFonts w:ascii="Times New Roman" w:hAnsi="Times New Roman" w:cs="Times New Roman"/>
          <w:b/>
          <w:sz w:val="24"/>
          <w:szCs w:val="24"/>
        </w:rPr>
      </w:pPr>
    </w:p>
    <w:p w:rsidR="00533106" w:rsidRDefault="00533106">
      <w:pPr>
        <w:suppressLineNumbers/>
        <w:jc w:val="center"/>
        <w:rPr>
          <w:rFonts w:ascii="Times New Roman" w:hAnsi="Times New Roman" w:cs="Times New Roman"/>
          <w:b/>
          <w:sz w:val="24"/>
          <w:szCs w:val="24"/>
        </w:rPr>
      </w:pPr>
    </w:p>
    <w:p w:rsidR="00533106" w:rsidRDefault="00533106">
      <w:pPr>
        <w:suppressLineNumbers/>
        <w:jc w:val="center"/>
        <w:rPr>
          <w:rFonts w:ascii="Times New Roman" w:hAnsi="Times New Roman" w:cs="Times New Roman"/>
          <w:b/>
          <w:sz w:val="24"/>
          <w:szCs w:val="24"/>
        </w:rPr>
      </w:pPr>
    </w:p>
    <w:p w:rsidR="00533106" w:rsidRDefault="00AC5D88">
      <w:pPr>
        <w:suppressLineNumbers/>
        <w:jc w:val="center"/>
        <w:rPr>
          <w:rFonts w:ascii="Times New Roman" w:hAnsi="Times New Roman" w:cs="Times New Roman"/>
          <w:b/>
          <w:sz w:val="24"/>
          <w:szCs w:val="24"/>
        </w:rPr>
      </w:pPr>
      <w:r>
        <w:rPr>
          <w:rFonts w:ascii="Times New Roman" w:hAnsi="Times New Roman" w:cs="Times New Roman"/>
          <w:b/>
          <w:sz w:val="24"/>
          <w:szCs w:val="24"/>
        </w:rPr>
        <w:t>FEBRUARY 28, 2013</w:t>
      </w:r>
    </w:p>
    <w:p w:rsidR="00533106" w:rsidRDefault="00533106">
      <w:pPr>
        <w:pStyle w:val="Default"/>
        <w:suppressLineNumbers/>
        <w:spacing w:line="480" w:lineRule="auto"/>
        <w:rPr>
          <w:b/>
          <w:bCs/>
        </w:rPr>
      </w:pPr>
    </w:p>
    <w:p w:rsidR="00533106" w:rsidRDefault="00AC5D88">
      <w:pPr>
        <w:suppressLineNumbers/>
        <w:rPr>
          <w:rFonts w:ascii="Times New Roman" w:hAnsi="Times New Roman" w:cs="Times New Roman"/>
          <w:b/>
          <w:bCs/>
          <w:color w:val="000000"/>
          <w:sz w:val="24"/>
          <w:szCs w:val="24"/>
        </w:rPr>
      </w:pPr>
      <w:r>
        <w:rPr>
          <w:b/>
          <w:bCs/>
        </w:rPr>
        <w:br w:type="page"/>
      </w:r>
    </w:p>
    <w:p w:rsidR="00533106" w:rsidRDefault="00AC5D88">
      <w:pPr>
        <w:pStyle w:val="Default"/>
        <w:spacing w:line="480" w:lineRule="auto"/>
        <w:rPr>
          <w:b/>
          <w:bCs/>
        </w:rPr>
      </w:pPr>
      <w:r>
        <w:rPr>
          <w:b/>
          <w:bCs/>
        </w:rPr>
        <w:lastRenderedPageBreak/>
        <w:t xml:space="preserve">I.  </w:t>
      </w:r>
      <w:r>
        <w:rPr>
          <w:b/>
          <w:bCs/>
        </w:rPr>
        <w:tab/>
      </w:r>
      <w:r>
        <w:rPr>
          <w:b/>
          <w:bCs/>
          <w:u w:val="single"/>
        </w:rPr>
        <w:t>INTRODUCTION</w:t>
      </w:r>
    </w:p>
    <w:p w:rsidR="00533106" w:rsidRDefault="00AC5D88">
      <w:pPr>
        <w:pStyle w:val="Default"/>
        <w:spacing w:line="480" w:lineRule="auto"/>
      </w:pPr>
      <w:r>
        <w:rPr>
          <w:b/>
          <w:bCs/>
        </w:rPr>
        <w:t xml:space="preserve">Q. </w:t>
      </w:r>
      <w:r>
        <w:rPr>
          <w:b/>
          <w:bCs/>
        </w:rPr>
        <w:tab/>
        <w:t xml:space="preserve">WHAT IS YOUR NAME AND BUSINESS ADDRESS? </w:t>
      </w:r>
      <w:r>
        <w:t xml:space="preserve"> </w:t>
      </w:r>
    </w:p>
    <w:p w:rsidR="00533106" w:rsidRDefault="00AC5D88">
      <w:pPr>
        <w:pStyle w:val="Default"/>
        <w:spacing w:line="480" w:lineRule="auto"/>
        <w:ind w:left="720" w:hanging="720"/>
      </w:pPr>
      <w:r>
        <w:t xml:space="preserve">A. </w:t>
      </w:r>
      <w:r>
        <w:tab/>
        <w:t xml:space="preserve">My name is Billy Jack Gregg. I am an independent consultant and the principal in the firm Billy Jack Gregg Universal Consulting.  My business address is P.O. Box 107, Hurricane, West Virginia. </w:t>
      </w:r>
      <w:r>
        <w:t xml:space="preserve"> </w:t>
      </w:r>
    </w:p>
    <w:p w:rsidR="00533106" w:rsidRDefault="00533106">
      <w:pPr>
        <w:pStyle w:val="Default"/>
        <w:spacing w:line="480" w:lineRule="auto"/>
        <w:rPr>
          <w:b/>
          <w:bCs/>
        </w:rPr>
      </w:pPr>
    </w:p>
    <w:p w:rsidR="00533106" w:rsidRDefault="00AC5D88">
      <w:pPr>
        <w:pStyle w:val="Default"/>
        <w:spacing w:line="480" w:lineRule="auto"/>
      </w:pPr>
      <w:r>
        <w:rPr>
          <w:b/>
          <w:bCs/>
        </w:rPr>
        <w:t xml:space="preserve">Q. </w:t>
      </w:r>
      <w:r>
        <w:rPr>
          <w:b/>
          <w:bCs/>
        </w:rPr>
        <w:tab/>
        <w:t>FOR WHOM ARE YOU TESTIFYING IN THIS HEARING?</w:t>
      </w:r>
      <w:r>
        <w:t xml:space="preserve"> </w:t>
      </w:r>
    </w:p>
    <w:p w:rsidR="00533106" w:rsidRDefault="00AC5D88">
      <w:pPr>
        <w:pStyle w:val="Default"/>
        <w:spacing w:line="480" w:lineRule="auto"/>
        <w:ind w:left="720" w:hanging="720"/>
      </w:pPr>
      <w:r>
        <w:t xml:space="preserve">A. </w:t>
      </w:r>
      <w:r>
        <w:tab/>
        <w:t xml:space="preserve">I am testifying on behalf of the Frontier Communications Northwest Inc. (“Frontier”). </w:t>
      </w:r>
    </w:p>
    <w:p w:rsidR="00533106" w:rsidRDefault="00AC5D88">
      <w:pPr>
        <w:pStyle w:val="Default"/>
        <w:spacing w:line="480" w:lineRule="auto"/>
      </w:pPr>
      <w:r>
        <w:t xml:space="preserve"> </w:t>
      </w:r>
    </w:p>
    <w:p w:rsidR="00533106" w:rsidRDefault="00AC5D88">
      <w:pPr>
        <w:pStyle w:val="Default"/>
        <w:spacing w:line="480" w:lineRule="auto"/>
        <w:ind w:left="720" w:hanging="720"/>
      </w:pPr>
      <w:r>
        <w:rPr>
          <w:b/>
          <w:bCs/>
        </w:rPr>
        <w:t xml:space="preserve">Q. </w:t>
      </w:r>
      <w:r>
        <w:rPr>
          <w:b/>
          <w:bCs/>
        </w:rPr>
        <w:tab/>
        <w:t xml:space="preserve">PLEASE DESCRIBE YOUR BACKGROUND IN THE AREA OF TELECOMMUNICATIONS. </w:t>
      </w:r>
      <w:r>
        <w:t xml:space="preserve"> </w:t>
      </w:r>
    </w:p>
    <w:p w:rsidR="00533106" w:rsidRDefault="00AC5D88">
      <w:pPr>
        <w:pStyle w:val="Default"/>
        <w:spacing w:line="480" w:lineRule="auto"/>
        <w:ind w:left="720" w:hanging="720"/>
      </w:pPr>
      <w:r>
        <w:t xml:space="preserve">A. </w:t>
      </w:r>
      <w:r>
        <w:tab/>
        <w:t>Billy Jack Gregg Universal Consul</w:t>
      </w:r>
      <w:r>
        <w:t>ting provides consulting services on issues involving energy and telecommunications.  In telecommunications my areas of specialization are universal service, intercarrier compensation and broadband deployment, among other matters.  I began Billy Jack Gregg</w:t>
      </w:r>
      <w:r>
        <w:t xml:space="preserve"> Universal Consulting following my retirement as Director of the Consumer Advocate Division of the Public Service Commission of West Virginia (“WVCAD”) in October 2007.  I served as Director of the WVCAD for 26 years.  In that position I was actively invol</w:t>
      </w:r>
      <w:r>
        <w:t>ved in local and national telecommunications issues.  Nationally, I served as a member of the Rural Task Force, the Federal-State Joint Board on Universal Service, NARUC’s Intercarrier Compensation Task Force, the Board of Directors of the Universal Servic</w:t>
      </w:r>
      <w:r>
        <w:t xml:space="preserve">e Administrative Company (“USAC”), and the Board of Directors of the National Regulatory Research Institute (“NRRI”).  Locally, I served as Chair of the West Virginia Advanced Services Task Force, Chair of the West Virginia </w:t>
      </w:r>
      <w:r>
        <w:lastRenderedPageBreak/>
        <w:t>Payphone Task Force, and Chair o</w:t>
      </w:r>
      <w:r>
        <w:t>f the West Virginia 271 Workshop Process which reviewed the provision of wholesale telecommunications services in West Virginia.  I have submitted testimony or appeared before the Federal Communications Commission; regulatory bodies in the states of West V</w:t>
      </w:r>
      <w:r>
        <w:t>irginia, Washington, Georgia, Alaska, Ohio and Illinois; legislative committees in the states of West Virginia, Virginia, Pennsylvania and  Tennessee; and committees of both houses of Congress.  I hold a B.A. from Austin College in Sherman, Texas, and J.D.</w:t>
      </w:r>
      <w:r>
        <w:t xml:space="preserve"> from the University of Texas School of Law.  My complete education and job experience are set out in Appendix A.</w:t>
      </w:r>
    </w:p>
    <w:p w:rsidR="00533106" w:rsidRDefault="00AC5D88">
      <w:pPr>
        <w:pStyle w:val="Default"/>
        <w:spacing w:line="480" w:lineRule="auto"/>
        <w:ind w:left="720" w:hanging="720"/>
      </w:pPr>
      <w:r>
        <w:t xml:space="preserve">  </w:t>
      </w:r>
    </w:p>
    <w:p w:rsidR="00533106" w:rsidRDefault="00AC5D88">
      <w:pPr>
        <w:pStyle w:val="Default"/>
        <w:spacing w:line="480" w:lineRule="auto"/>
      </w:pPr>
      <w:r>
        <w:rPr>
          <w:b/>
          <w:bCs/>
        </w:rPr>
        <w:t xml:space="preserve">Q. </w:t>
      </w:r>
      <w:r>
        <w:rPr>
          <w:b/>
          <w:bCs/>
        </w:rPr>
        <w:tab/>
        <w:t xml:space="preserve">WHAT IS THE PURPOSE OF YOUR TESTIMONY? </w:t>
      </w:r>
      <w:r>
        <w:t xml:space="preserve"> </w:t>
      </w:r>
    </w:p>
    <w:p w:rsidR="00533106" w:rsidRDefault="00AC5D88">
      <w:pPr>
        <w:pStyle w:val="Default"/>
        <w:spacing w:line="480" w:lineRule="auto"/>
        <w:ind w:left="720" w:hanging="720"/>
      </w:pPr>
      <w:r>
        <w:t xml:space="preserve">A. </w:t>
      </w:r>
      <w:r>
        <w:tab/>
      </w:r>
      <w:r>
        <w:t>Frontier has petitioned the Commission to be reclassified under Washington law as a competitive telecommunications company.  I have been asked by Frontier to discuss the impacts on wholesale services provided by Frontier that will result if Frontier’s peti</w:t>
      </w:r>
      <w:r>
        <w:t>tion is granted.  I will also discuss the impacts of reclassification on Frontier’s obligations as an eligible telecommunications carrier (“ETC”) and as a provider of telecommunications services to low-income customers under Washington Telephone Assistance</w:t>
      </w:r>
      <w:r>
        <w:t xml:space="preserve"> Program (“WTAP”) and the federal Lifeline program.  Impacts on retail services and other obligations under State law are covered by Frontier witness Jack Phillips. </w:t>
      </w:r>
    </w:p>
    <w:p w:rsidR="00533106" w:rsidRDefault="00AC5D88">
      <w:pPr>
        <w:pStyle w:val="Default"/>
        <w:spacing w:line="480" w:lineRule="auto"/>
      </w:pPr>
      <w:r>
        <w:t xml:space="preserve"> </w:t>
      </w:r>
    </w:p>
    <w:p w:rsidR="00533106" w:rsidRDefault="00AC5D88">
      <w:pPr>
        <w:pStyle w:val="Default"/>
        <w:spacing w:line="480" w:lineRule="auto"/>
      </w:pPr>
      <w:r>
        <w:rPr>
          <w:b/>
          <w:bCs/>
        </w:rPr>
        <w:t xml:space="preserve">Q. </w:t>
      </w:r>
      <w:r>
        <w:rPr>
          <w:b/>
          <w:bCs/>
        </w:rPr>
        <w:tab/>
        <w:t xml:space="preserve">PLEASE SUMMARIZE YOUR TESTIMONY. </w:t>
      </w:r>
      <w:r>
        <w:t xml:space="preserve"> </w:t>
      </w:r>
    </w:p>
    <w:p w:rsidR="00533106" w:rsidRDefault="00AC5D88">
      <w:pPr>
        <w:pStyle w:val="Default"/>
        <w:spacing w:line="480" w:lineRule="auto"/>
        <w:ind w:left="720" w:hanging="720"/>
      </w:pPr>
      <w:r>
        <w:t xml:space="preserve">A. </w:t>
      </w:r>
      <w:r>
        <w:tab/>
        <w:t xml:space="preserve">The wholesale services currently provided by </w:t>
      </w:r>
      <w:r>
        <w:t xml:space="preserve">Frontier should not be affected by Frontier’s reclassification as a competitive telecommunications company.  Federal law already requires Frontier to interconnect with other carriers and delegates to the </w:t>
      </w:r>
      <w:r>
        <w:lastRenderedPageBreak/>
        <w:t>Commission the authority to arbitrate any disputes t</w:t>
      </w:r>
      <w:r>
        <w:t>hat may arise concerning the provision of wholesale services.  There are other providers of wholesale services in Frontier’s Washington service territory and Frontier has every incentive to keep wholesale customers on its network.  Likewise, Frontier’s ETC</w:t>
      </w:r>
      <w:r>
        <w:t xml:space="preserve"> obligations should not be affected by its change in classification to a competitive telecommunications company, nor should its obligation to provide service to low-income customers under the WTAP and Lifeline programs.  The bases for my conclusions are se</w:t>
      </w:r>
      <w:r>
        <w:t xml:space="preserve">t forth below. </w:t>
      </w:r>
    </w:p>
    <w:p w:rsidR="00533106" w:rsidRDefault="00533106">
      <w:pPr>
        <w:pStyle w:val="Default"/>
        <w:spacing w:line="480" w:lineRule="auto"/>
        <w:ind w:left="720" w:hanging="720"/>
      </w:pPr>
    </w:p>
    <w:p w:rsidR="00533106" w:rsidRDefault="00AC5D88">
      <w:pPr>
        <w:spacing w:after="0" w:line="480" w:lineRule="auto"/>
        <w:ind w:left="720" w:hanging="720"/>
        <w:rPr>
          <w:rFonts w:ascii="Times New Roman" w:hAnsi="Times New Roman" w:cs="Times New Roman"/>
          <w:b/>
          <w:sz w:val="24"/>
          <w:szCs w:val="24"/>
          <w:u w:val="single"/>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u w:val="single"/>
        </w:rPr>
        <w:t>IMPACT OF RECLASSIFICATION ON WHOLESALE SERVICES</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ab/>
        <w:t xml:space="preserve">A.  </w:t>
      </w:r>
      <w:r>
        <w:rPr>
          <w:rFonts w:ascii="Times New Roman" w:hAnsi="Times New Roman" w:cs="Times New Roman"/>
          <w:b/>
          <w:sz w:val="24"/>
          <w:szCs w:val="24"/>
          <w:u w:val="single"/>
        </w:rPr>
        <w:t>Interconnection and Arbitration</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PLEASE DESCRIBE WHAT IMPACT, IF ANY, FRONTIER’S RECLASSIFICATION AS A COMPETITIVE TELECOMMUNICATIONS COMPANY WOULD HAVE WITH RESPECT TO WHOLESALE </w:t>
      </w:r>
      <w:r>
        <w:rPr>
          <w:rFonts w:ascii="Times New Roman" w:hAnsi="Times New Roman" w:cs="Times New Roman"/>
          <w:b/>
          <w:sz w:val="24"/>
          <w:szCs w:val="24"/>
        </w:rPr>
        <w:t>SERVICES CURRENTLY PROVIDED BY FRONTIER TO OTHER COMPETITIVE LOCAL EXCHANGE CARRIERS?</w:t>
      </w:r>
    </w:p>
    <w:p w:rsidR="00533106" w:rsidRDefault="00AC5D8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Because federal law, specifically the 1996 Telecommunications Act (“the Act”),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imposes federal requirements on Frontier that the Washington Commission cannot eliminate, reduce or change by classifying Frontier as a competitive carrier, its classification as a competitive carrier will not have any adverse impact on competitive carrie</w:t>
      </w:r>
      <w:r>
        <w:rPr>
          <w:rFonts w:ascii="Times New Roman" w:hAnsi="Times New Roman" w:cs="Times New Roman"/>
          <w:sz w:val="24"/>
          <w:szCs w:val="24"/>
        </w:rPr>
        <w:t>rs in Washington.</w:t>
      </w:r>
    </w:p>
    <w:p w:rsidR="00533106" w:rsidRDefault="00533106">
      <w:pPr>
        <w:spacing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PLEASE DESCRIBE THE FEDERAL OBLIGATIONS THAT WOULD CONTINUE TO APPLY WITH RESPECT TO FRONTIER PROVIDING SERVICE TO COMPETITIVE CARRIERS IN WASHINGTON?</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Under Sections 251(h) and 252(j) of the Act, Frontier is defined as an “incumben</w:t>
      </w:r>
      <w:r>
        <w:rPr>
          <w:rFonts w:ascii="Times New Roman" w:hAnsi="Times New Roman" w:cs="Times New Roman"/>
          <w:sz w:val="24"/>
          <w:szCs w:val="24"/>
        </w:rPr>
        <w:t xml:space="preserve">t local exchange carrier” (“incumbent LEC”).  No action of the Washington Commission can change that fact.  Section 251 of the Act imposes on incumbent LECs three key and separate duties.  Incumbent LECs like Frontier must make available to competitors in </w:t>
      </w:r>
      <w:r>
        <w:rPr>
          <w:rFonts w:ascii="Times New Roman" w:hAnsi="Times New Roman" w:cs="Times New Roman"/>
          <w:sz w:val="24"/>
          <w:szCs w:val="24"/>
        </w:rPr>
        <w:t>local telecommunications markets interconnection services and unbundled network elements, and offer for resale at wholesale rates any telecommunications service that the incumbent LEC provides at retail to subscribers.  Under Section 252 of the Act, incumb</w:t>
      </w:r>
      <w:r>
        <w:rPr>
          <w:rFonts w:ascii="Times New Roman" w:hAnsi="Times New Roman" w:cs="Times New Roman"/>
          <w:sz w:val="24"/>
          <w:szCs w:val="24"/>
        </w:rPr>
        <w:t xml:space="preserve">ent LECs and competitive local exchange carriers (“CLECs”) may agree on the terms under which incumbent LEC facilities and services are made available to the CLEC.  If an incumbent LEC and CLEC are unable to reach a negotiated agreement, Section 252(c) of </w:t>
      </w:r>
      <w:r>
        <w:rPr>
          <w:rFonts w:ascii="Times New Roman" w:hAnsi="Times New Roman" w:cs="Times New Roman"/>
          <w:sz w:val="24"/>
          <w:szCs w:val="24"/>
        </w:rPr>
        <w:t>the Act authorizes a state commission to resolve disputed issues by arbitration and requires the state commission to "ensure that such resolution and conditions meet the requirements of section 251, including the regulations prescribed by the Commission pu</w:t>
      </w:r>
      <w:r>
        <w:rPr>
          <w:rFonts w:ascii="Times New Roman" w:hAnsi="Times New Roman" w:cs="Times New Roman"/>
          <w:sz w:val="24"/>
          <w:szCs w:val="24"/>
        </w:rPr>
        <w:t xml:space="preserve">rsuant to section 251."  </w:t>
      </w:r>
    </w:p>
    <w:p w:rsidR="00533106" w:rsidRDefault="00533106">
      <w:pPr>
        <w:spacing w:after="0" w:line="480" w:lineRule="auto"/>
        <w:ind w:left="720" w:hanging="720"/>
        <w:rPr>
          <w:rFonts w:ascii="Times New Roman" w:hAnsi="Times New Roman" w:cs="Times New Roman"/>
          <w:b/>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WOULD RECLASSIFYINGING FRONTIER AS A COMPETITIVE TELECOMMUNICATIONS COMPANY UNDER WASHINGTON LAW IMPACT ANY OF ITS SECTION 251 OR 252 OBLIGATIONS UNDER THE 1996 TELECOMMUNICATIONS ACT?</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No.  Granting Frontier reclassificatio</w:t>
      </w:r>
      <w:r>
        <w:rPr>
          <w:rFonts w:ascii="Times New Roman" w:hAnsi="Times New Roman" w:cs="Times New Roman"/>
          <w:sz w:val="24"/>
          <w:szCs w:val="24"/>
        </w:rPr>
        <w:t>n as a competitive telecommunications company does not in any way impact its interconnection obligations under federal law.  These obligations would remain irrespective of Frontier’s classification under state law.</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sz w:val="24"/>
          <w:szCs w:val="24"/>
        </w:rPr>
        <w:tab/>
      </w:r>
    </w:p>
    <w:p w:rsidR="00533106" w:rsidRDefault="00AC5D88">
      <w:pPr>
        <w:spacing w:after="0" w:line="480" w:lineRule="auto"/>
        <w:ind w:left="1080" w:hanging="360"/>
        <w:rPr>
          <w:rFonts w:ascii="Times New Roman" w:hAnsi="Times New Roman" w:cs="Times New Roman"/>
          <w:b/>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u w:val="single"/>
        </w:rPr>
        <w:t>Interconnection Agreements</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WILL </w:t>
      </w:r>
      <w:r>
        <w:rPr>
          <w:rFonts w:ascii="Times New Roman" w:hAnsi="Times New Roman" w:cs="Times New Roman"/>
          <w:b/>
          <w:sz w:val="24"/>
          <w:szCs w:val="24"/>
        </w:rPr>
        <w:t>THE INTERCONNECTION AGREEMENTS, WHICH CONTAIN FRONTIER RATES, TERMS AND CONDITIONS ASSOCIATED WITH WHOLESALE SERVICES, CONTINUE TO APPLY?</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Frontier would continue to honor all existing and effective interconnection agreements with competitive carri</w:t>
      </w:r>
      <w:r>
        <w:rPr>
          <w:rFonts w:ascii="Times New Roman" w:hAnsi="Times New Roman" w:cs="Times New Roman"/>
          <w:sz w:val="24"/>
          <w:szCs w:val="24"/>
        </w:rPr>
        <w:t>ers in Washington.</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WILL FRONTIER CONTINUE TO FILE NEW INTERCONNECTION AGREEMENTS WITH THE COMMISSION?</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Just as it does today, Frontier will continue to file new interconnection agreements with the Commission.  </w:t>
      </w:r>
    </w:p>
    <w:p w:rsidR="00533106" w:rsidRDefault="00533106">
      <w:pPr>
        <w:spacing w:after="0" w:line="480" w:lineRule="auto"/>
        <w:ind w:left="720" w:hanging="720"/>
        <w:rPr>
          <w:rFonts w:ascii="Times New Roman" w:hAnsi="Times New Roman" w:cs="Times New Roman"/>
          <w:b/>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WILL NEW ENTRANTS BE ABLE TO </w:t>
      </w:r>
      <w:r>
        <w:rPr>
          <w:rFonts w:ascii="Times New Roman" w:hAnsi="Times New Roman" w:cs="Times New Roman"/>
          <w:b/>
          <w:sz w:val="24"/>
          <w:szCs w:val="24"/>
        </w:rPr>
        <w:t>NEGOTIATE AND ENTER INTO NEW INTERCONNECTION AGREEMENTS OR ADOPT EXISTING INTERCONNECTION AGREEMENTS ON FILE WITH THE COMMISSION?</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Yes.  Frontier would continue to be subject to and comply with the obligations that require it to negotiate and enter into </w:t>
      </w:r>
      <w:r>
        <w:rPr>
          <w:rFonts w:ascii="Times New Roman" w:hAnsi="Times New Roman" w:cs="Times New Roman"/>
          <w:sz w:val="24"/>
          <w:szCs w:val="24"/>
        </w:rPr>
        <w:t>new interconnection agreements and to allow carriers to opt into existing effective interconnection agreements, all under the supervision of the Commission.</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C.  </w:t>
      </w:r>
      <w:r>
        <w:rPr>
          <w:rFonts w:ascii="Times New Roman" w:hAnsi="Times New Roman" w:cs="Times New Roman"/>
          <w:b/>
          <w:sz w:val="24"/>
          <w:szCs w:val="24"/>
          <w:u w:val="single"/>
        </w:rPr>
        <w:t>Switched and Special Access</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TYPES OF INTRASTATE ACCESS SERVICES DOES FRONTIER PROVIDE </w:t>
      </w:r>
      <w:r>
        <w:rPr>
          <w:rFonts w:ascii="Times New Roman" w:hAnsi="Times New Roman" w:cs="Times New Roman"/>
          <w:b/>
          <w:sz w:val="24"/>
          <w:szCs w:val="24"/>
        </w:rPr>
        <w:t>TO WHOLESALE CUSTOMERS IN WASHINGTON?</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Frontier provides both switched access and special access services on an intrastate basis.  Switched access services provide general network access and are usually used to originate or terminate long distance calls </w:t>
      </w:r>
      <w:r>
        <w:rPr>
          <w:rFonts w:ascii="Times New Roman" w:hAnsi="Times New Roman" w:cs="Times New Roman"/>
          <w:sz w:val="24"/>
          <w:szCs w:val="24"/>
        </w:rPr>
        <w:t>over a standard telephone line.  Special access consists of a dedicated line and other facilities which provide access between two or more specified points on Frontier’s network for the customer’s exclusive use.  Intrastate switched access rates apply on l</w:t>
      </w:r>
      <w:r>
        <w:rPr>
          <w:rFonts w:ascii="Times New Roman" w:hAnsi="Times New Roman" w:cs="Times New Roman"/>
          <w:sz w:val="24"/>
          <w:szCs w:val="24"/>
        </w:rPr>
        <w:t>ong distance calls that originate and terminate within the State of Washington.  Intrastate special access rates apply to dedicated access that begins and ends within the State of Washington, although under FCC rules, interstate special access rates may ap</w:t>
      </w:r>
      <w:r>
        <w:rPr>
          <w:rFonts w:ascii="Times New Roman" w:hAnsi="Times New Roman" w:cs="Times New Roman"/>
          <w:sz w:val="24"/>
          <w:szCs w:val="24"/>
        </w:rPr>
        <w:t xml:space="preserve">ply if more than 10% of the traffic on the dedicated facility is interstate in nature.  As a practical matter, the choice of jurisdiction of special access facilities is left to the customer, and the vast majority of special access services are classified </w:t>
      </w:r>
      <w:r>
        <w:rPr>
          <w:rFonts w:ascii="Times New Roman" w:hAnsi="Times New Roman" w:cs="Times New Roman"/>
          <w:sz w:val="24"/>
          <w:szCs w:val="24"/>
        </w:rPr>
        <w:t xml:space="preserve">as interstate. </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WHAT IMPACT WOULD THE COMMISSION’S RECLASSIFICATION OF FRONTIER AS A COMPETITIVE CARRIER HAVE ON INTRASTATE SWITCHED ACCESS RATES IN WASHINGTON?</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There would be no impact.  </w:t>
      </w:r>
      <w:r>
        <w:rPr>
          <w:rFonts w:ascii="Times New Roman" w:eastAsiaTheme="minorEastAsia" w:hAnsi="Times New Roman" w:cs="Times New Roman"/>
          <w:color w:val="000000" w:themeColor="text1"/>
          <w:sz w:val="24"/>
          <w:szCs w:val="24"/>
        </w:rPr>
        <w:t>The FCC’s Connect America Fund Order (“CAF Order”)</w:t>
      </w:r>
      <w:r>
        <w:rPr>
          <w:rStyle w:val="FootnoteReference"/>
          <w:rFonts w:ascii="Times New Roman" w:eastAsiaTheme="minorEastAsia" w:hAnsi="Times New Roman" w:cs="Times New Roman"/>
          <w:color w:val="000000" w:themeColor="text1"/>
          <w:sz w:val="24"/>
          <w:szCs w:val="24"/>
        </w:rPr>
        <w:footnoteReference w:id="2"/>
      </w:r>
      <w:r>
        <w:rPr>
          <w:rFonts w:ascii="Times New Roman" w:hAnsi="Times New Roman" w:cs="Times New Roman"/>
          <w:sz w:val="24"/>
          <w:szCs w:val="24"/>
        </w:rPr>
        <w:t xml:space="preserve"> addressed,</w:t>
      </w:r>
      <w:r>
        <w:rPr>
          <w:rFonts w:ascii="Times New Roman" w:hAnsi="Times New Roman" w:cs="Times New Roman"/>
          <w:sz w:val="24"/>
          <w:szCs w:val="24"/>
        </w:rPr>
        <w:t xml:space="preserve"> among other things, intrastate switched access rates.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The CAF Order became effective December 29, 2011, and the requirements in the Order regarding caps on, and </w:t>
      </w:r>
      <w:r>
        <w:rPr>
          <w:rFonts w:ascii="Times New Roman" w:hAnsi="Times New Roman" w:cs="Times New Roman"/>
          <w:color w:val="000000" w:themeColor="text1"/>
          <w:sz w:val="24"/>
          <w:szCs w:val="24"/>
        </w:rPr>
        <w:lastRenderedPageBreak/>
        <w:t>reductions of, intrastate access rates remain in effect despite multiple pending challenges.</w:t>
      </w:r>
      <w:r>
        <w:rPr>
          <w:rFonts w:ascii="Times New Roman" w:hAnsi="Times New Roman" w:cs="Times New Roman"/>
          <w:color w:val="000000" w:themeColor="text1"/>
          <w:sz w:val="24"/>
          <w:szCs w:val="24"/>
        </w:rPr>
        <w:t xml:space="preserve">  Frontier is classified by the FCC as a price cap carrier.  Under the CAF Order, a</w:t>
      </w:r>
      <w:r>
        <w:rPr>
          <w:rFonts w:ascii="Times New Roman" w:hAnsi="Times New Roman" w:cs="Times New Roman"/>
          <w:sz w:val="24"/>
          <w:szCs w:val="24"/>
        </w:rPr>
        <w:t>ll intrastate switched access charges of price cap carriers were capped as of December 29, 2011, and terminating access rates are being transitioned toward bill &amp; keep (</w:t>
      </w:r>
      <w:r>
        <w:rPr>
          <w:rFonts w:ascii="Times New Roman" w:hAnsi="Times New Roman" w:cs="Times New Roman"/>
          <w:i/>
          <w:sz w:val="24"/>
          <w:szCs w:val="24"/>
        </w:rPr>
        <w:t>i.e.</w:t>
      </w:r>
      <w:r>
        <w:rPr>
          <w:rFonts w:ascii="Times New Roman" w:hAnsi="Times New Roman" w:cs="Times New Roman"/>
          <w:sz w:val="24"/>
          <w:szCs w:val="24"/>
        </w:rPr>
        <w:t>, zero) over a nine-year period.</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other words, Frontier, as a price cap carrier, cannot increase either its intrastate terminating switched access or its intrastate originating switched access rates, and Frontier’s terminating access rates are being r</w:t>
      </w:r>
      <w:r>
        <w:rPr>
          <w:rFonts w:ascii="Times New Roman" w:hAnsi="Times New Roman" w:cs="Times New Roman"/>
          <w:sz w:val="24"/>
          <w:szCs w:val="24"/>
        </w:rPr>
        <w:t>educed to zero over a transition period established by the FCC.</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WOULD THE COMMISSION’S RECLASSIFICATION OF FRONTIER AS A COMPETITIVE CARRIER LIMIT OR IMPACT THE COMMISSION’S AUTHORITY TO MONITOR FRONTIER’S IMPLEMENTATION OF THE REDUCTION IN INTRASTATE </w:t>
      </w:r>
      <w:r>
        <w:rPr>
          <w:rFonts w:ascii="Times New Roman" w:hAnsi="Times New Roman" w:cs="Times New Roman"/>
          <w:b/>
          <w:sz w:val="24"/>
          <w:szCs w:val="24"/>
        </w:rPr>
        <w:t>SWITCHED ACCESS RATES IN WASHINGTON?</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The CAF Order makes clear that States can review intrastate switched access reductions through the transition to ensure compliance with the FCC rules for default intrastate switched access charges.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Accordingly</w:t>
      </w:r>
      <w:r>
        <w:rPr>
          <w:rFonts w:ascii="Times New Roman" w:hAnsi="Times New Roman" w:cs="Times New Roman"/>
          <w:sz w:val="24"/>
          <w:szCs w:val="24"/>
        </w:rPr>
        <w:t>, the Commission would still retain oversight to monitor Frontier implementation of the FCC-mandated intrastate access reductions.</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 xml:space="preserve">Q. </w:t>
      </w:r>
      <w:r>
        <w:rPr>
          <w:rFonts w:ascii="Times New Roman" w:hAnsi="Times New Roman" w:cs="Times New Roman"/>
          <w:b/>
          <w:sz w:val="24"/>
          <w:szCs w:val="24"/>
        </w:rPr>
        <w:tab/>
        <w:t>WHAT EFFECT WILL RECLASSIFICATION OF FRONTIER AS A COMPETITIVE TELECOMMUNICATIONS COMPANY HAVE ON SPECIAL ACCESS RATES?</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Reclassifying Frontier would give it flexibility to offer special access services tailored to the needs of individual customers, just as its competitors do today.</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WHY DOES FRONTIER NEED FLEXIBILITY WITH RESPECT TO SPECIAL ACCESS SERVICES?</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At the </w:t>
      </w:r>
      <w:r>
        <w:rPr>
          <w:rFonts w:ascii="Times New Roman" w:hAnsi="Times New Roman" w:cs="Times New Roman"/>
          <w:sz w:val="24"/>
          <w:szCs w:val="24"/>
        </w:rPr>
        <w:t>present time, Frontier can only offer special access services to its retail customers at its tariffed rates.  It does not have the ability to offer different rates to different customers to respond to competition.  In other words, Frontier has no ability t</w:t>
      </w:r>
      <w:r>
        <w:rPr>
          <w:rFonts w:ascii="Times New Roman" w:hAnsi="Times New Roman" w:cs="Times New Roman"/>
          <w:sz w:val="24"/>
          <w:szCs w:val="24"/>
        </w:rPr>
        <w:t>o change special access rates without going through the tariff change process, and it has no ability to reduce its rates to respond to competition in certain highly competitive markets where competitive providers are either using their own facilities to pr</w:t>
      </w:r>
      <w:r>
        <w:rPr>
          <w:rFonts w:ascii="Times New Roman" w:hAnsi="Times New Roman" w:cs="Times New Roman"/>
          <w:sz w:val="24"/>
          <w:szCs w:val="24"/>
        </w:rPr>
        <w:t>ovide these high capacity circuits or purchasing UNEs from Frontier and selling access services below the rate specified in Frontier’s tariff.  Eliminating the requirement to tariff special access services will allow Frontier to tailor its special access o</w:t>
      </w:r>
      <w:r>
        <w:rPr>
          <w:rFonts w:ascii="Times New Roman" w:hAnsi="Times New Roman" w:cs="Times New Roman"/>
          <w:sz w:val="24"/>
          <w:szCs w:val="24"/>
        </w:rPr>
        <w:t>fferings to the needs of individual customers just as its competitors do now.  This should enhance competitive pressures within the special access market to the benefit of customers.</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b/>
          <w:sz w:val="24"/>
          <w:szCs w:val="24"/>
          <w:u w:val="single"/>
        </w:rPr>
        <w:t>Detariffing</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WOULD FRONTIER RETAIN, ON FILE, THE TARIFFS </w:t>
      </w:r>
      <w:r>
        <w:rPr>
          <w:rFonts w:ascii="Times New Roman" w:hAnsi="Times New Roman" w:cs="Times New Roman"/>
          <w:b/>
          <w:sz w:val="24"/>
          <w:szCs w:val="24"/>
        </w:rPr>
        <w:t>CONTAINING UNES, COLLOCATION AND RESALE SERVICES?</w:t>
      </w:r>
    </w:p>
    <w:p w:rsidR="00533106" w:rsidRDefault="00AC5D88">
      <w:pPr>
        <w:spacing w:after="0"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 xml:space="preserve">No.  </w:t>
      </w:r>
      <w:r>
        <w:rPr>
          <w:rFonts w:ascii="Times New Roman" w:eastAsia="Times New Roman" w:hAnsi="Times New Roman" w:cs="Times New Roman"/>
          <w:sz w:val="24"/>
          <w:szCs w:val="24"/>
        </w:rPr>
        <w:t xml:space="preserve">Frontier will detariff and move the wholesale services in the following four tariffs into a Service Catalog that Frontier will maintain on its website: </w:t>
      </w:r>
    </w:p>
    <w:p w:rsidR="00533106" w:rsidRDefault="00AC5D88">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Tariff No. 18 – Network Interconnection A</w:t>
      </w:r>
      <w:r>
        <w:rPr>
          <w:rFonts w:ascii="Times New Roman" w:eastAsia="Times New Roman" w:hAnsi="Times New Roman" w:cs="Times New Roman"/>
          <w:sz w:val="24"/>
          <w:szCs w:val="24"/>
        </w:rPr>
        <w:t xml:space="preserve">ccess Service; </w:t>
      </w:r>
    </w:p>
    <w:p w:rsidR="00533106" w:rsidRDefault="00AC5D88">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Tariff No. 20- Collocation Services; </w:t>
      </w:r>
    </w:p>
    <w:p w:rsidR="00533106" w:rsidRDefault="00AC5D88">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Tariff No. 21- Unbundled Network Elements; and </w:t>
      </w:r>
    </w:p>
    <w:p w:rsidR="00533106" w:rsidRDefault="00AC5D88">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Tariff No. 22- Resale Local Exchange Service.  </w:t>
      </w:r>
    </w:p>
    <w:p w:rsidR="00533106" w:rsidRDefault="00AC5D88">
      <w:pPr>
        <w:spacing w:after="0" w:line="480" w:lineRule="auto"/>
        <w:ind w:left="720"/>
        <w:rPr>
          <w:rFonts w:ascii="Times New Roman" w:eastAsia="Times New Roman" w:hAnsi="Times New Roman" w:cs="Times New Roman"/>
          <w:sz w:val="24"/>
          <w:szCs w:val="24"/>
        </w:rPr>
      </w:pPr>
      <w:r>
        <w:rPr>
          <w:rFonts w:ascii="Times New Roman" w:hAnsi="Times New Roman" w:cs="Times New Roman"/>
          <w:sz w:val="24"/>
          <w:szCs w:val="24"/>
        </w:rPr>
        <w:t>Only carriers certified as a long distance or telecommunications provider with the Commiss</w:t>
      </w:r>
      <w:r>
        <w:rPr>
          <w:rFonts w:ascii="Times New Roman" w:hAnsi="Times New Roman" w:cs="Times New Roman"/>
          <w:sz w:val="24"/>
          <w:szCs w:val="24"/>
        </w:rPr>
        <w:t>ion would be allowed to order services included in this newly established Service Catalog.</w:t>
      </w:r>
      <w:r>
        <w:t xml:space="preserve">  </w:t>
      </w:r>
      <w:r>
        <w:rPr>
          <w:rFonts w:ascii="Times New Roman" w:eastAsia="Times New Roman" w:hAnsi="Times New Roman" w:cs="Times New Roman"/>
          <w:sz w:val="24"/>
          <w:szCs w:val="24"/>
        </w:rPr>
        <w:t>To the extent that an existing Interconnection Agreement currently references these tariffs, Frontier will agree to enter into a standard amendment to any Interconn</w:t>
      </w:r>
      <w:r>
        <w:rPr>
          <w:rFonts w:ascii="Times New Roman" w:eastAsia="Times New Roman" w:hAnsi="Times New Roman" w:cs="Times New Roman"/>
          <w:sz w:val="24"/>
          <w:szCs w:val="24"/>
        </w:rPr>
        <w:t>ection Agreement to incorporate or cross reference the rates, terms and conditions in the Service Catalog.  </w:t>
      </w:r>
    </w:p>
    <w:p w:rsidR="00533106" w:rsidRDefault="00AC5D88">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IF THESE SERVICES ARE NO LONGER INCLUDED IN THE EXISTING TARIFFS, WILL FRONTIER BE ABLE TO UNILATERALLY CHANGE THE RATES, TERMS AND CONDITIONS</w:t>
      </w:r>
      <w:r>
        <w:rPr>
          <w:rFonts w:ascii="Times New Roman" w:hAnsi="Times New Roman" w:cs="Times New Roman"/>
          <w:b/>
          <w:sz w:val="24"/>
          <w:szCs w:val="24"/>
        </w:rPr>
        <w:t xml:space="preserve"> ASSOCIATED WITH PROVIDING THESE SERVICES?</w:t>
      </w:r>
    </w:p>
    <w:p w:rsidR="00533106" w:rsidRDefault="00AC5D88">
      <w:pPr>
        <w:pStyle w:val="PlainText"/>
        <w:spacing w:line="48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No.  Federal law, specifically Sections 251 and 252 of the Act, requires Frontier to offer UNEs, collocation and resale with</w:t>
      </w:r>
      <w:r>
        <w:rPr>
          <w:rFonts w:ascii="Times New Roman" w:hAnsi="Times New Roman" w:cs="Times New Roman"/>
          <w:sz w:val="24"/>
          <w:szCs w:val="24"/>
        </w:rPr>
        <w:t xml:space="preserve"> rates, terms, and conditions that are "just, reasonable, and nondiscriminatory."  Sec</w:t>
      </w:r>
      <w:r>
        <w:rPr>
          <w:rFonts w:ascii="Times New Roman" w:hAnsi="Times New Roman" w:cs="Times New Roman"/>
          <w:sz w:val="24"/>
          <w:szCs w:val="24"/>
        </w:rPr>
        <w:t xml:space="preserve">tion 252(d) provides that state commissions will make the determination of whether rates for the interconnection of facilities, network elements and resale are just and reasonable.  </w:t>
      </w:r>
    </w:p>
    <w:p w:rsidR="00533106" w:rsidRDefault="00533106">
      <w:pPr>
        <w:pStyle w:val="PlainText"/>
        <w:spacing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Q.</w:t>
      </w:r>
      <w:r>
        <w:rPr>
          <w:rFonts w:ascii="Times New Roman" w:hAnsi="Times New Roman" w:cs="Times New Roman"/>
          <w:b/>
          <w:sz w:val="24"/>
          <w:szCs w:val="24"/>
        </w:rPr>
        <w:tab/>
        <w:t>WOULD THIS DETARIFFING OF UNES, RESALE AND COLLOCATION SERVICES ADVER</w:t>
      </w:r>
      <w:r>
        <w:rPr>
          <w:rFonts w:ascii="Times New Roman" w:hAnsi="Times New Roman" w:cs="Times New Roman"/>
          <w:b/>
          <w:sz w:val="24"/>
          <w:szCs w:val="24"/>
        </w:rPr>
        <w:t>SELY IMPACT COMPETITIVE CARRIERS?</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There is no requirement under federal law that the terms, conditions and prices of UNEs, resale, collocation or other wholesale services be maintained in tariffs on file with state commissions.  Frontier’s affiliat</w:t>
      </w:r>
      <w:r>
        <w:rPr>
          <w:rFonts w:ascii="Times New Roman" w:hAnsi="Times New Roman" w:cs="Times New Roman"/>
          <w:sz w:val="24"/>
          <w:szCs w:val="24"/>
        </w:rPr>
        <w:t>e companies operate in 26 other states besides Washington, and Frontier’s affiliates only file and maintain wholesale tariffs for UNE rates in three other states (New York, Oregon and Illinois), and stand-alone tariffs for collocation in one other state (I</w:t>
      </w:r>
      <w:r>
        <w:rPr>
          <w:rFonts w:ascii="Times New Roman" w:hAnsi="Times New Roman" w:cs="Times New Roman"/>
          <w:sz w:val="24"/>
          <w:szCs w:val="24"/>
        </w:rPr>
        <w:t>llinois).  The lack of tariffs in the remaining states has apparently not adversely affected CLECs in those states, who continue to order wholesale services from Frontier and conduct other wholesale business on a daily basis.  As stated above, all of the t</w:t>
      </w:r>
      <w:r>
        <w:rPr>
          <w:rFonts w:ascii="Times New Roman" w:hAnsi="Times New Roman" w:cs="Times New Roman"/>
          <w:sz w:val="24"/>
          <w:szCs w:val="24"/>
        </w:rPr>
        <w:t xml:space="preserve">erms, conditions and prices for UNEs, resale, collocation and other wholesale services will continue to be available to CLECs in Frontier’s on-line Service Catalog.  </w:t>
      </w:r>
    </w:p>
    <w:p w:rsidR="00533106" w:rsidRDefault="00533106">
      <w:pPr>
        <w:spacing w:after="0" w:line="480" w:lineRule="auto"/>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WOULD FRONTIER RETAIN, ON FILE, THE TARIFFS CONTAINING INTRASTATE SWITCHED AND </w:t>
      </w:r>
      <w:r>
        <w:rPr>
          <w:rFonts w:ascii="Times New Roman" w:hAnsi="Times New Roman" w:cs="Times New Roman"/>
          <w:b/>
          <w:sz w:val="24"/>
          <w:szCs w:val="24"/>
        </w:rPr>
        <w:t>SPECIAL ACCESS SERVICES?</w:t>
      </w:r>
    </w:p>
    <w:p w:rsidR="00533106" w:rsidRDefault="00AC5D88">
      <w:pPr>
        <w:pStyle w:val="ListParagraph"/>
        <w:numPr>
          <w:ilvl w:val="0"/>
          <w:numId w:val="6"/>
        </w:numPr>
        <w:spacing w:line="480" w:lineRule="auto"/>
        <w:ind w:hanging="720"/>
        <w:contextualSpacing w:val="0"/>
      </w:pPr>
      <w:r>
        <w:t xml:space="preserve">No.  Frontier would propose to detariff and include in the Service Catalog the switched and special access rates, terms and conditions which are currently included in Tariff No. 16 - Facilities for Intrastate Access.  As discussed </w:t>
      </w:r>
      <w:r>
        <w:t>above, subject to and in accordance with the FCC’s CAF Order, Frontier will cap and continue to maintain the existing service rates for intrastate originating switched access, and transition terminating switched access services as provided in the CAF Order</w:t>
      </w:r>
      <w:r>
        <w:t xml:space="preserve">.  To the extent the FCC or a court allows companies to restructure or increase certain intrastate switched access rate </w:t>
      </w:r>
      <w:r>
        <w:lastRenderedPageBreak/>
        <w:t>elements as part of the CAF Order or further proceedings associated with that Order, Frontier will implement rate element increases or r</w:t>
      </w:r>
      <w:r>
        <w:t>estructuring consistent with the FCC or court order in its Service Catalog.   With respect to special access services, as noted above, wholesale providers, like other customers, will have the option to purchase interstate special access services from Front</w:t>
      </w:r>
      <w:r>
        <w:t>ier’s FCC tariff or to purchase intrastate special access services from the newly established Service Catalog.  Frontier has every incentive to continue to provide these services at competitive rates to ensure the ongoing utilization of Frontier’s network.</w:t>
      </w:r>
    </w:p>
    <w:p w:rsidR="00533106" w:rsidRDefault="00533106">
      <w:pPr>
        <w:spacing w:after="0" w:line="480" w:lineRule="auto"/>
        <w:ind w:left="1080" w:hanging="360"/>
        <w:rPr>
          <w:rFonts w:ascii="Times New Roman" w:hAnsi="Times New Roman" w:cs="Times New Roman"/>
          <w:b/>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  </w:t>
      </w:r>
      <w:r>
        <w:rPr>
          <w:rFonts w:ascii="Times New Roman" w:hAnsi="Times New Roman" w:cs="Times New Roman"/>
          <w:b/>
          <w:sz w:val="24"/>
          <w:szCs w:val="24"/>
          <w:u w:val="single"/>
        </w:rPr>
        <w:t>Other Wholesale Service Providers</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UP UNTIL NOW YOU HAVE BEEN DISCUSSING HOW THE CHANGE IN CLASSIFICATION WOULD AFFECT FRONTIER’S OFFERING OF WHOLESALE SERVICES TO ITS WHOLESALE CUSTOMERS.  IS FRONTIER THE ONLY CARRIER THAT OFFERS WHOLESALE SERVIC</w:t>
      </w:r>
      <w:r>
        <w:rPr>
          <w:rFonts w:ascii="Times New Roman" w:hAnsi="Times New Roman" w:cs="Times New Roman"/>
          <w:b/>
          <w:sz w:val="24"/>
          <w:szCs w:val="24"/>
        </w:rPr>
        <w:t>ES WITHIN FRONTIER’S WASHINGTON SERVICE AREA?</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Just as there are other providers of retail services within Frontier’s Washington service area, there are also other providers of wholesale facilities and services, such as transport. These wholesale pr</w:t>
      </w:r>
      <w:r>
        <w:rPr>
          <w:rFonts w:ascii="Times New Roman" w:hAnsi="Times New Roman" w:cs="Times New Roman"/>
          <w:sz w:val="24"/>
          <w:szCs w:val="24"/>
        </w:rPr>
        <w:t>oviders are discussed by Frontier witness Phillips and include companies such as Comcast, Integra and Level 3.  In addition, wholesale telecommunications services are provided by Public Utility Districts (PUDs) throughout Washington.  Like all wholesale ca</w:t>
      </w:r>
      <w:r>
        <w:rPr>
          <w:rFonts w:ascii="Times New Roman" w:hAnsi="Times New Roman" w:cs="Times New Roman"/>
          <w:sz w:val="24"/>
          <w:szCs w:val="24"/>
        </w:rPr>
        <w:t xml:space="preserve">rriers, these companies make their money by maximizing the use of their facilities.  In other words, these wholesale carriers provide competitive alternatives to Frontier today and will continue to have every incentive to </w:t>
      </w:r>
      <w:r>
        <w:rPr>
          <w:rFonts w:ascii="Times New Roman" w:hAnsi="Times New Roman" w:cs="Times New Roman"/>
          <w:sz w:val="24"/>
          <w:szCs w:val="24"/>
        </w:rPr>
        <w:lastRenderedPageBreak/>
        <w:t>compete with Frontier for wholesal</w:t>
      </w:r>
      <w:r>
        <w:rPr>
          <w:rFonts w:ascii="Times New Roman" w:hAnsi="Times New Roman" w:cs="Times New Roman"/>
          <w:sz w:val="24"/>
          <w:szCs w:val="24"/>
        </w:rPr>
        <w:t xml:space="preserve">e business in the future, regardless of what regulatory classification is applied to Frontier. </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DO COMPETITIVE TELECOMMUNICATIONS PROVIDERS WITHIN FRONTIER’S WASHINGTON SERVICE AREA UTILIZE NETWORK FACILITIES NOT OWNED OR CONTROLLED BY FRONTIER TO GAIN</w:t>
      </w:r>
      <w:r>
        <w:rPr>
          <w:rFonts w:ascii="Times New Roman" w:hAnsi="Times New Roman" w:cs="Times New Roman"/>
          <w:b/>
          <w:sz w:val="24"/>
          <w:szCs w:val="24"/>
        </w:rPr>
        <w:t xml:space="preserve"> ACCESS TO RETAIL CUSTOMERS?</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Providers of cable telephony and wireless services have their own last-mile connections to customers, and as described by Frontier witness Phillips, compete directly with Frontier for retail customers.  Because of the </w:t>
      </w:r>
      <w:r>
        <w:rPr>
          <w:rFonts w:ascii="Times New Roman" w:hAnsi="Times New Roman" w:cs="Times New Roman"/>
          <w:sz w:val="24"/>
          <w:szCs w:val="24"/>
        </w:rPr>
        <w:t>presence of this inter-modal retail competition, Frontier has every incentive to maintain wholesale customers on its network and encourage full use of its network.  To the extent that Frontier loses a retail customer to a cable provider or wireless carrier</w:t>
      </w:r>
      <w:r>
        <w:rPr>
          <w:rFonts w:ascii="Times New Roman" w:hAnsi="Times New Roman" w:cs="Times New Roman"/>
          <w:sz w:val="24"/>
          <w:szCs w:val="24"/>
        </w:rPr>
        <w:t>, it loses all revenue from that customer.  On the other hand, if Frontier loses a retail customer to a competitive telecommunications provider that uses Frontier’s wholesale services, Frontier will continue to receive a portion of the revenue associated w</w:t>
      </w:r>
      <w:r>
        <w:rPr>
          <w:rFonts w:ascii="Times New Roman" w:hAnsi="Times New Roman" w:cs="Times New Roman"/>
          <w:sz w:val="24"/>
          <w:szCs w:val="24"/>
        </w:rPr>
        <w:t xml:space="preserve">ith that customer. </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Pr>
          <w:rFonts w:ascii="Times New Roman" w:hAnsi="Times New Roman" w:cs="Times New Roman"/>
          <w:b/>
          <w:sz w:val="24"/>
          <w:szCs w:val="24"/>
          <w:u w:val="single"/>
        </w:rPr>
        <w:t>IMPACT OF RECLASSIFICATION ON FRONTIER’S ETC OBLIGATIONS</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WOULD FRONTIER’S OBLIGATIONS AS AN ETC UNDER FEDERAL LAW BE IMPACTED AS A RESULT OF THE COMPANY BEING RECLASSIFIED AS A COMPETITIVE CARRIER?</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sz w:val="24"/>
          <w:szCs w:val="24"/>
        </w:rPr>
        <w:t>No.  Frontier’s obligation</w:t>
      </w:r>
      <w:r>
        <w:rPr>
          <w:rFonts w:ascii="Times New Roman" w:hAnsi="Times New Roman" w:cs="Times New Roman"/>
          <w:sz w:val="24"/>
          <w:szCs w:val="24"/>
        </w:rPr>
        <w:t xml:space="preserve">s as an ETC under Section 214 of the Telecommunications Act of 1996 would be unaffected by its reclassification as a competitive telecommunications </w:t>
      </w:r>
      <w:r>
        <w:rPr>
          <w:rFonts w:ascii="Times New Roman" w:hAnsi="Times New Roman" w:cs="Times New Roman"/>
          <w:sz w:val="24"/>
          <w:szCs w:val="24"/>
        </w:rPr>
        <w:lastRenderedPageBreak/>
        <w:t>company.  In order to continue to receive support from the federal Universal Service Fund for providing serv</w:t>
      </w:r>
      <w:r>
        <w:rPr>
          <w:rFonts w:ascii="Times New Roman" w:hAnsi="Times New Roman" w:cs="Times New Roman"/>
          <w:sz w:val="24"/>
          <w:szCs w:val="24"/>
        </w:rPr>
        <w:t>ice in high-cost areas and to low-income customers, Frontier must be designated as an ETC by the Commission and must continue to meet its obligations as an ETC.  Frontier and its predecessor incumbent LEC companies in Washington have been ETCs since the Te</w:t>
      </w:r>
      <w:r>
        <w:rPr>
          <w:rFonts w:ascii="Times New Roman" w:hAnsi="Times New Roman" w:cs="Times New Roman"/>
          <w:sz w:val="24"/>
          <w:szCs w:val="24"/>
        </w:rPr>
        <w:t>lecommunications Act of 1996 was passed.  In addition, the Commission has granted ETC status to numerous competitive carriers providing service within Frontier’s Washington service area.  These competitive carriers have voluntarily accepted the ETC respons</w:t>
      </w:r>
      <w:r>
        <w:rPr>
          <w:rFonts w:ascii="Times New Roman" w:hAnsi="Times New Roman" w:cs="Times New Roman"/>
          <w:sz w:val="24"/>
          <w:szCs w:val="24"/>
        </w:rPr>
        <w:t>ibility to offer and advertise supported services throughout the carrier’s designated service area within Washington in compliance with federal requirements.  After reclassification as a competitive telecommunications company, Frontier must continue to mee</w:t>
      </w:r>
      <w:r>
        <w:rPr>
          <w:rFonts w:ascii="Times New Roman" w:hAnsi="Times New Roman" w:cs="Times New Roman"/>
          <w:sz w:val="24"/>
          <w:szCs w:val="24"/>
        </w:rPr>
        <w:t>t all of these requirements in order to maintain its status as an ETC, just as other competitive ETCs in Washington do today.  It should also be noted that as an ETC, Frontier’s extensive annual reporting and certification obligations under the FCC’s CAF O</w:t>
      </w:r>
      <w:r>
        <w:rPr>
          <w:rFonts w:ascii="Times New Roman" w:hAnsi="Times New Roman" w:cs="Times New Roman"/>
          <w:sz w:val="24"/>
          <w:szCs w:val="24"/>
        </w:rPr>
        <w:t>rder</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will be unaffected by reclassification as a competitive telecommunications company.</w:t>
      </w:r>
    </w:p>
    <w:p w:rsidR="00533106" w:rsidRDefault="00533106">
      <w:pPr>
        <w:spacing w:after="0" w:line="480" w:lineRule="auto"/>
        <w:ind w:left="720" w:hanging="720"/>
        <w:rPr>
          <w:rFonts w:ascii="Times New Roman" w:hAnsi="Times New Roman" w:cs="Times New Roman"/>
          <w:b/>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WOULD FRONTIER’S OBLIGATIONS TO PROVIDE SERVICE TO LOW-INCOME CUSTOMERS UNDER THE FEDERAL LIFELINE PROGRAM AND WASHINGTON’S TELEPHONE ASSISTANCE PROGRAM (WTAP) BE</w:t>
      </w:r>
      <w:r>
        <w:rPr>
          <w:rFonts w:ascii="Times New Roman" w:hAnsi="Times New Roman" w:cs="Times New Roman"/>
          <w:b/>
          <w:sz w:val="24"/>
          <w:szCs w:val="24"/>
        </w:rPr>
        <w:t xml:space="preserve"> AFFECTED BY RECLASSIFICATION OF FRONTIER AS A COMPETITIVE TELECOMMUNICATIONS COMPANY?</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No.  As with Frontier’s other obligations as an ETC, the obligation to provide service to low-income customers under the Federal Lifeline program and the WTAP would b</w:t>
      </w:r>
      <w:r>
        <w:rPr>
          <w:rFonts w:ascii="Times New Roman" w:hAnsi="Times New Roman" w:cs="Times New Roman"/>
          <w:sz w:val="24"/>
          <w:szCs w:val="24"/>
        </w:rPr>
        <w:t xml:space="preserve">e </w:t>
      </w:r>
      <w:r>
        <w:rPr>
          <w:rFonts w:ascii="Times New Roman" w:hAnsi="Times New Roman" w:cs="Times New Roman"/>
          <w:sz w:val="24"/>
          <w:szCs w:val="24"/>
        </w:rPr>
        <w:lastRenderedPageBreak/>
        <w:t>unaffected.  Frontier will continue to offer subsidized service to designated low-income customers as required by State law and will continue to offer Native American Lifeline and Tribal Link-Up services to qualified customers on tribal lands within Wash</w:t>
      </w:r>
      <w:r>
        <w:rPr>
          <w:rFonts w:ascii="Times New Roman" w:hAnsi="Times New Roman" w:cs="Times New Roman"/>
          <w:sz w:val="24"/>
          <w:szCs w:val="24"/>
        </w:rPr>
        <w:t>ington.  Frontier would also continue to collect and remit all universal service fees and WTAP excise taxes.</w:t>
      </w:r>
    </w:p>
    <w:p w:rsidR="00533106" w:rsidRDefault="00533106">
      <w:pPr>
        <w:spacing w:after="0" w:line="480" w:lineRule="auto"/>
        <w:ind w:left="720" w:hanging="720"/>
        <w:rPr>
          <w:rFonts w:ascii="Times New Roman" w:hAnsi="Times New Roman" w:cs="Times New Roman"/>
          <w:sz w:val="24"/>
          <w:szCs w:val="24"/>
        </w:rPr>
      </w:pP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u w:val="single"/>
        </w:rPr>
        <w:t>CONCLUSION</w:t>
      </w:r>
    </w:p>
    <w:p w:rsidR="00533106" w:rsidRDefault="00AC5D88">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DOES THIS CONCLUDE YOUR TESTIMONY?</w:t>
      </w:r>
    </w:p>
    <w:p w:rsidR="00533106" w:rsidRDefault="00AC5D8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ab/>
      </w:r>
      <w:r>
        <w:rPr>
          <w:rFonts w:ascii="Times New Roman" w:hAnsi="Times New Roman" w:cs="Times New Roman"/>
          <w:sz w:val="24"/>
          <w:szCs w:val="24"/>
        </w:rPr>
        <w:t>Yes.</w:t>
      </w:r>
    </w:p>
    <w:p w:rsidR="00533106" w:rsidRDefault="00AC5D88">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rsidR="00533106" w:rsidRDefault="00AC5D88">
      <w:pPr>
        <w:widowControl w:val="0"/>
        <w:spacing w:line="480" w:lineRule="auto"/>
        <w:ind w:left="720" w:hanging="720"/>
        <w:jc w:val="right"/>
        <w:rPr>
          <w:rFonts w:ascii="Times New Roman" w:hAnsi="Times New Roman" w:cs="Times New Roman"/>
          <w:b/>
          <w:bCs/>
          <w:sz w:val="24"/>
          <w:szCs w:val="24"/>
        </w:rPr>
      </w:pPr>
      <w:r>
        <w:rPr>
          <w:rFonts w:ascii="Times New Roman" w:hAnsi="Times New Roman" w:cs="Times New Roman"/>
          <w:b/>
          <w:bCs/>
          <w:sz w:val="24"/>
          <w:szCs w:val="24"/>
        </w:rPr>
        <w:lastRenderedPageBreak/>
        <w:t>APPENDIX A</w:t>
      </w:r>
    </w:p>
    <w:p w:rsidR="00533106" w:rsidRDefault="00AC5D88">
      <w:pPr>
        <w:pStyle w:val="NoSpacing"/>
        <w:jc w:val="center"/>
        <w:rPr>
          <w:rFonts w:ascii="Times New Roman" w:hAnsi="Times New Roman" w:cs="Times New Roman"/>
          <w:b/>
          <w:sz w:val="24"/>
          <w:szCs w:val="24"/>
        </w:rPr>
      </w:pPr>
      <w:r>
        <w:rPr>
          <w:rFonts w:ascii="Times New Roman" w:hAnsi="Times New Roman" w:cs="Times New Roman"/>
          <w:b/>
          <w:sz w:val="24"/>
          <w:szCs w:val="24"/>
        </w:rPr>
        <w:t>BACKGROUND AND QUALIFICATIONS OF</w:t>
      </w:r>
    </w:p>
    <w:p w:rsidR="00533106" w:rsidRDefault="00AC5D88">
      <w:pPr>
        <w:pStyle w:val="NoSpacing"/>
        <w:jc w:val="center"/>
        <w:rPr>
          <w:rFonts w:ascii="Times New Roman" w:hAnsi="Times New Roman" w:cs="Times New Roman"/>
          <w:b/>
          <w:sz w:val="24"/>
          <w:szCs w:val="24"/>
        </w:rPr>
      </w:pPr>
      <w:r>
        <w:rPr>
          <w:rFonts w:ascii="Times New Roman" w:hAnsi="Times New Roman" w:cs="Times New Roman"/>
          <w:b/>
          <w:sz w:val="24"/>
          <w:szCs w:val="24"/>
        </w:rPr>
        <w:t>BILLY JACK GREGG</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jc w:val="right"/>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WHAT IS YOUR </w:t>
      </w:r>
      <w:r>
        <w:rPr>
          <w:rFonts w:ascii="Times New Roman" w:hAnsi="Times New Roman" w:cs="Times New Roman"/>
          <w:sz w:val="24"/>
          <w:szCs w:val="24"/>
        </w:rPr>
        <w:t>EDUCATION BACKGROUND?</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As an undergraduate I attended Austin College in Sherman, Texas, and the University of Glasgow, Scotland.  I received my B.A. degree in history and government from Austin College in 1971.  I attended the University of Texas School </w:t>
      </w:r>
      <w:r>
        <w:rPr>
          <w:rFonts w:ascii="Times New Roman" w:hAnsi="Times New Roman" w:cs="Times New Roman"/>
          <w:sz w:val="24"/>
          <w:szCs w:val="24"/>
        </w:rPr>
        <w:t>of Law in Austin, Texas and received a J.D. degree from that institution in 1974.  I was admitted to the West Virginia Bar the same year.</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WHAT IS YOUR JOB EXPERIENCE?</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From 1974 to 1977 I was employed as an assistant attorney general assigned to the West Virginia Human Rights Commission.  From 1977 to 1978 I was in private practice in Hurricane, West Virginia.  From 1978 to 1981 I was senior staff attorney for the U.S. D</w:t>
      </w:r>
      <w:r>
        <w:rPr>
          <w:rFonts w:ascii="Times New Roman" w:hAnsi="Times New Roman" w:cs="Times New Roman"/>
          <w:sz w:val="24"/>
          <w:szCs w:val="24"/>
        </w:rPr>
        <w:t>epartment of Interior Field Solicitor's Office in Charleston, West Virginia, assigned the primary duty of enforcing the Surface Mining Control and Reclamation Act of 1977 in the states of West Virginia, Virginia, Maryland and Pennsylvania.  In 1981 I was a</w:t>
      </w:r>
      <w:r>
        <w:rPr>
          <w:rFonts w:ascii="Times New Roman" w:hAnsi="Times New Roman" w:cs="Times New Roman"/>
          <w:sz w:val="24"/>
          <w:szCs w:val="24"/>
        </w:rPr>
        <w:t>ppointed first director of the Consumer Advocate Division, charged with the responsibility of representing residential utility ratepayers in West Virginia.  In this capacity I became familiar with virtually every aspect of electric, gas, telephone and wate</w:t>
      </w:r>
      <w:r>
        <w:rPr>
          <w:rFonts w:ascii="Times New Roman" w:hAnsi="Times New Roman" w:cs="Times New Roman"/>
          <w:sz w:val="24"/>
          <w:szCs w:val="24"/>
        </w:rPr>
        <w:t>r service in the State, as well as with Federal actions which affect State regulation of utility service.  In 2007 I retired from the Consumer Advocate Division and became an independent consultant and principal in the firm Billy Jack Gregg Universal Consu</w:t>
      </w:r>
      <w:r>
        <w:rPr>
          <w:rFonts w:ascii="Times New Roman" w:hAnsi="Times New Roman" w:cs="Times New Roman"/>
          <w:sz w:val="24"/>
          <w:szCs w:val="24"/>
        </w:rPr>
        <w:t xml:space="preserve">lting.  </w:t>
      </w:r>
      <w:r>
        <w:rPr>
          <w:rFonts w:ascii="Times New Roman" w:hAnsi="Times New Roman" w:cs="Times New Roman"/>
          <w:sz w:val="24"/>
          <w:szCs w:val="24"/>
        </w:rPr>
        <w:lastRenderedPageBreak/>
        <w:t xml:space="preserve">I offer consulting services in the areas of energy and telecommunications, with emphasis in the areas of universal service, intercarrier compensation and broadband.   </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HAVE YOU HELD ANY POSITIONS IN NATIONAL ORGANIZATIONS?</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I served as </w:t>
      </w:r>
      <w:r>
        <w:rPr>
          <w:rFonts w:ascii="Times New Roman" w:hAnsi="Times New Roman" w:cs="Times New Roman"/>
          <w:sz w:val="24"/>
          <w:szCs w:val="24"/>
        </w:rPr>
        <w:t>the Treasurer of the National Association of State Utility Consumer Advocates from 1996 to 2000, and served on the Executive Committee of that organization from 1992 to 2000.  In 1998 I was appointed to the Rural Task Force of the Federal-State Joint Board</w:t>
      </w:r>
      <w:r>
        <w:rPr>
          <w:rFonts w:ascii="Times New Roman" w:hAnsi="Times New Roman" w:cs="Times New Roman"/>
          <w:sz w:val="24"/>
          <w:szCs w:val="24"/>
        </w:rPr>
        <w:t xml:space="preserve"> on Universal Service, and served on that body until its work was completed in 2001.  I served on the Board of Directors of the Universal Service Administrative Company in 2001 and 2002.  From March 2002 until my retirement in 2007 I served as a member of </w:t>
      </w:r>
      <w:r>
        <w:rPr>
          <w:rFonts w:ascii="Times New Roman" w:hAnsi="Times New Roman" w:cs="Times New Roman"/>
          <w:sz w:val="24"/>
          <w:szCs w:val="24"/>
        </w:rPr>
        <w:t xml:space="preserve">the Federal-State Joint Board on Universal Service.  From 2000 to 2009 I served on the Board of Directors of the National Regulatory Research Institute (NRRI), serving as Treasurer from 2006 until 2009.  </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HAVE YOU EVER CHAIRED ANY REGULATORY COMMITTEES</w:t>
      </w:r>
      <w:r>
        <w:rPr>
          <w:rFonts w:ascii="Times New Roman" w:hAnsi="Times New Roman" w:cs="Times New Roman"/>
          <w:sz w:val="24"/>
          <w:szCs w:val="24"/>
        </w:rPr>
        <w:t>?</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From 2000 to 2007 I served as Chair of the West Virginia Advanced Services Task Force.  From 1997 to 2007 I served as Chair of the West Virginia Payphone Task Force.  In 2002 I served as Chair of the West Virginia 271 Workshops which investigate</w:t>
      </w:r>
      <w:r>
        <w:rPr>
          <w:rFonts w:ascii="Times New Roman" w:hAnsi="Times New Roman" w:cs="Times New Roman"/>
          <w:sz w:val="24"/>
          <w:szCs w:val="24"/>
        </w:rPr>
        <w:t xml:space="preserve">d Verizon West Virginia’s provision of wholesale services and compliance with the competitive checklist contained in Section 271 of the Telecommunications Act of 1996. </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HAVE YOU EVER TESTIFIED BEFORE LEGISLATIVE BODIES?</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Yes.  I have testified numero</w:t>
      </w:r>
      <w:r>
        <w:rPr>
          <w:rFonts w:ascii="Times New Roman" w:hAnsi="Times New Roman" w:cs="Times New Roman"/>
          <w:sz w:val="24"/>
          <w:szCs w:val="24"/>
        </w:rPr>
        <w:t>us times over the years before the West Virginia Legislature, and before committees of both houses of Congress.  In addition, I have testified before committees of the legislatures of Virginia, Pennsylvania and Tennessee.</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HAVE YOU EVER TESTIFIED BEFORE</w:t>
      </w:r>
      <w:r>
        <w:rPr>
          <w:rFonts w:ascii="Times New Roman" w:hAnsi="Times New Roman" w:cs="Times New Roman"/>
          <w:sz w:val="24"/>
          <w:szCs w:val="24"/>
        </w:rPr>
        <w:t xml:space="preserve"> UTILITY REGULATORY AGENCIES?</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 I have testified in the following cases:</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Public Service Commission of West Virginia</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General Telephone of the Southeast</w:t>
      </w:r>
      <w:r>
        <w:rPr>
          <w:rFonts w:ascii="Times New Roman" w:hAnsi="Times New Roman" w:cs="Times New Roman"/>
          <w:sz w:val="24"/>
          <w:szCs w:val="24"/>
        </w:rPr>
        <w:t>, Case No. 81-612</w:t>
      </w:r>
      <w:r>
        <w:rPr>
          <w:rFonts w:ascii="Times New Roman" w:hAnsi="Times New Roman" w:cs="Times New Roman"/>
          <w:sz w:val="24"/>
          <w:szCs w:val="24"/>
        </w:rPr>
        <w:softHyphen/>
        <w:t>-T-42T;  (Rate Case Settlement)</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C&amp;P Telephone Co. of W.Va.</w:t>
      </w:r>
      <w:r>
        <w:rPr>
          <w:rFonts w:ascii="Times New Roman" w:hAnsi="Times New Roman" w:cs="Times New Roman"/>
          <w:sz w:val="24"/>
          <w:szCs w:val="24"/>
        </w:rPr>
        <w:t xml:space="preserve">, Case No. </w:t>
      </w:r>
      <w:r>
        <w:rPr>
          <w:rFonts w:ascii="Times New Roman" w:hAnsi="Times New Roman" w:cs="Times New Roman"/>
          <w:sz w:val="24"/>
          <w:szCs w:val="24"/>
        </w:rPr>
        <w:t>83-383-T-42T;   (Rate Case Settlement)</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Wheeling Electric Company</w:t>
      </w:r>
      <w:r>
        <w:rPr>
          <w:rFonts w:ascii="Times New Roman" w:hAnsi="Times New Roman" w:cs="Times New Roman"/>
          <w:sz w:val="24"/>
          <w:szCs w:val="24"/>
        </w:rPr>
        <w:t>, Case No. 84-191-E-42T;   (Rate Case Settlement)</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C&amp;P Telephone Company of W. Va</w:t>
      </w:r>
      <w:r>
        <w:rPr>
          <w:rFonts w:ascii="Times New Roman" w:hAnsi="Times New Roman" w:cs="Times New Roman"/>
          <w:sz w:val="24"/>
          <w:szCs w:val="24"/>
        </w:rPr>
        <w:t>., Case No. 84-755-T-T; (Party-line Elimination)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Monongahela Power Co.</w:t>
      </w:r>
      <w:r>
        <w:rPr>
          <w:rFonts w:ascii="Times New Roman" w:hAnsi="Times New Roman" w:cs="Times New Roman"/>
          <w:sz w:val="24"/>
          <w:szCs w:val="24"/>
        </w:rPr>
        <w:t>, Case No. 87-072-E-GI et al. (ENEC);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Hope Gas, Inc.</w:t>
      </w:r>
      <w:r>
        <w:rPr>
          <w:rFonts w:ascii="Times New Roman" w:hAnsi="Times New Roman" w:cs="Times New Roman"/>
          <w:sz w:val="24"/>
          <w:szCs w:val="24"/>
        </w:rPr>
        <w:t>, Case No. 87</w:t>
      </w:r>
      <w:r>
        <w:rPr>
          <w:rFonts w:ascii="Times New Roman" w:hAnsi="Times New Roman" w:cs="Times New Roman"/>
          <w:sz w:val="24"/>
          <w:szCs w:val="24"/>
        </w:rPr>
        <w:softHyphen/>
        <w:t>-434-G-30C (Purchased Gas Adjustment);</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MCI Telecommunications Co.</w:t>
      </w:r>
      <w:r>
        <w:rPr>
          <w:rFonts w:ascii="Times New Roman" w:hAnsi="Times New Roman" w:cs="Times New Roman"/>
          <w:sz w:val="24"/>
          <w:szCs w:val="24"/>
        </w:rPr>
        <w:t xml:space="preserve">, Case No. 83-259-T-SC </w:t>
      </w:r>
      <w:r>
        <w:rPr>
          <w:rFonts w:ascii="Times New Roman" w:hAnsi="Times New Roman" w:cs="Times New Roman"/>
          <w:i/>
          <w:iCs/>
          <w:sz w:val="24"/>
          <w:szCs w:val="24"/>
        </w:rPr>
        <w:t>et al</w:t>
      </w:r>
      <w:r>
        <w:rPr>
          <w:rFonts w:ascii="Times New Roman" w:hAnsi="Times New Roman" w:cs="Times New Roman"/>
          <w:sz w:val="24"/>
          <w:szCs w:val="24"/>
        </w:rPr>
        <w:t xml:space="preserve">. (Flexible Regulation Plan);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lang w:val="nb-NO"/>
        </w:rPr>
      </w:pPr>
      <w:r>
        <w:rPr>
          <w:rFonts w:ascii="Times New Roman" w:hAnsi="Times New Roman" w:cs="Times New Roman"/>
          <w:sz w:val="24"/>
          <w:szCs w:val="24"/>
        </w:rPr>
        <w:tab/>
      </w:r>
      <w:r>
        <w:rPr>
          <w:rFonts w:ascii="Times New Roman" w:hAnsi="Times New Roman" w:cs="Times New Roman"/>
          <w:sz w:val="24"/>
          <w:szCs w:val="24"/>
          <w:u w:val="single"/>
        </w:rPr>
        <w:t>Monongahela Power Co.</w:t>
      </w:r>
      <w:r>
        <w:rPr>
          <w:rFonts w:ascii="Times New Roman" w:hAnsi="Times New Roman" w:cs="Times New Roman"/>
          <w:sz w:val="24"/>
          <w:szCs w:val="24"/>
        </w:rPr>
        <w:t xml:space="preserve">., Case No.  </w:t>
      </w:r>
      <w:r>
        <w:rPr>
          <w:rFonts w:ascii="Times New Roman" w:hAnsi="Times New Roman" w:cs="Times New Roman"/>
          <w:sz w:val="24"/>
          <w:szCs w:val="24"/>
          <w:lang w:val="nb-NO"/>
        </w:rPr>
        <w:t xml:space="preserve">88-082-E-GI, </w:t>
      </w:r>
      <w:r>
        <w:rPr>
          <w:rFonts w:ascii="Times New Roman" w:hAnsi="Times New Roman" w:cs="Times New Roman"/>
          <w:i/>
          <w:iCs/>
          <w:sz w:val="24"/>
          <w:szCs w:val="24"/>
          <w:lang w:val="nb-NO"/>
        </w:rPr>
        <w:t>et al.</w:t>
      </w:r>
      <w:r>
        <w:rPr>
          <w:rFonts w:ascii="Times New Roman" w:hAnsi="Times New Roman" w:cs="Times New Roman"/>
          <w:sz w:val="24"/>
          <w:szCs w:val="24"/>
          <w:lang w:val="nb-NO"/>
        </w:rPr>
        <w:t xml:space="preserve">  (ENEC);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sz w:val="24"/>
          <w:szCs w:val="24"/>
          <w:u w:val="single"/>
        </w:rPr>
        <w:t>C&amp;P Telephone Co. of W.Va.</w:t>
      </w:r>
      <w:r>
        <w:rPr>
          <w:rFonts w:ascii="Times New Roman" w:hAnsi="Times New Roman" w:cs="Times New Roman"/>
          <w:sz w:val="24"/>
          <w:szCs w:val="24"/>
        </w:rPr>
        <w:t>, Case No. 8</w:t>
      </w:r>
      <w:r>
        <w:rPr>
          <w:rFonts w:ascii="Times New Roman" w:hAnsi="Times New Roman" w:cs="Times New Roman"/>
          <w:sz w:val="24"/>
          <w:szCs w:val="24"/>
        </w:rPr>
        <w:t xml:space="preserve">8-589-T-A (Winfield Plan);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C&amp;P Telephone Co. of W.Va.</w:t>
      </w:r>
      <w:r>
        <w:rPr>
          <w:rFonts w:ascii="Times New Roman" w:hAnsi="Times New Roman" w:cs="Times New Roman"/>
          <w:sz w:val="24"/>
          <w:szCs w:val="24"/>
        </w:rPr>
        <w:t xml:space="preserve">, Case No. 89-041-T-PC (Exemption Petition);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U.S. Sprint Communications Company LP</w:t>
      </w:r>
      <w:r>
        <w:rPr>
          <w:rFonts w:ascii="Times New Roman" w:hAnsi="Times New Roman" w:cs="Times New Roman"/>
          <w:sz w:val="24"/>
          <w:szCs w:val="24"/>
        </w:rPr>
        <w:t>, Case No. 89-596-T-P</w:t>
      </w:r>
      <w:r>
        <w:rPr>
          <w:rFonts w:ascii="Times New Roman" w:hAnsi="Times New Roman" w:cs="Times New Roman"/>
          <w:i/>
          <w:iCs/>
          <w:sz w:val="24"/>
          <w:szCs w:val="24"/>
        </w:rPr>
        <w:t xml:space="preserve"> et al</w:t>
      </w:r>
      <w:r>
        <w:rPr>
          <w:rFonts w:ascii="Times New Roman" w:hAnsi="Times New Roman" w:cs="Times New Roman"/>
          <w:sz w:val="24"/>
          <w:szCs w:val="24"/>
        </w:rPr>
        <w:t>.(Annual Reports);</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In the Matter of Certification of Competitive Telecommunications </w:t>
      </w:r>
      <w:r>
        <w:rPr>
          <w:rFonts w:ascii="Times New Roman" w:hAnsi="Times New Roman" w:cs="Times New Roman"/>
          <w:sz w:val="24"/>
          <w:szCs w:val="24"/>
          <w:u w:val="single"/>
        </w:rPr>
        <w:t>Services</w:t>
      </w:r>
      <w:r>
        <w:rPr>
          <w:rFonts w:ascii="Times New Roman" w:hAnsi="Times New Roman" w:cs="Times New Roman"/>
          <w:sz w:val="24"/>
          <w:szCs w:val="24"/>
        </w:rPr>
        <w:t xml:space="preserve">,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Case No. 90-477-T-GI;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C&amp;P Telephone Co. of W. Va.</w:t>
      </w:r>
      <w:r>
        <w:rPr>
          <w:rFonts w:ascii="Times New Roman" w:hAnsi="Times New Roman" w:cs="Times New Roman"/>
          <w:sz w:val="24"/>
          <w:szCs w:val="24"/>
        </w:rPr>
        <w:t xml:space="preserve">, Case No. 90-424-T-PC; (Cost Allocation Manual)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C&amp;P Telephone Co. of W.Va.</w:t>
      </w:r>
      <w:r>
        <w:rPr>
          <w:rFonts w:ascii="Times New Roman" w:hAnsi="Times New Roman" w:cs="Times New Roman"/>
          <w:sz w:val="24"/>
          <w:szCs w:val="24"/>
        </w:rPr>
        <w:t xml:space="preserve">, Case No. 90-613-T-PC, (Incentive Regulation Plan);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West Virginia Cellular Telephone Co.</w:t>
      </w:r>
      <w:r>
        <w:rPr>
          <w:rFonts w:ascii="Times New Roman" w:hAnsi="Times New Roman" w:cs="Times New Roman"/>
          <w:sz w:val="24"/>
          <w:szCs w:val="24"/>
        </w:rPr>
        <w:t>, Case No. 90-659-C-PC (</w:t>
      </w:r>
      <w:r>
        <w:rPr>
          <w:rFonts w:ascii="Times New Roman" w:hAnsi="Times New Roman" w:cs="Times New Roman"/>
          <w:sz w:val="24"/>
          <w:szCs w:val="24"/>
        </w:rPr>
        <w:t xml:space="preserve">Deregulation Petition);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Monongahela Power Co.</w:t>
      </w:r>
      <w:r>
        <w:rPr>
          <w:rFonts w:ascii="Times New Roman" w:hAnsi="Times New Roman" w:cs="Times New Roman"/>
          <w:sz w:val="24"/>
          <w:szCs w:val="24"/>
        </w:rPr>
        <w:t xml:space="preserve">, Case No. 91-213-E-GI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(ENEC);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GTE South, Inc. and Contel of West Virginia,</w:t>
      </w:r>
      <w:r>
        <w:rPr>
          <w:rFonts w:ascii="Times New Roman" w:hAnsi="Times New Roman" w:cs="Times New Roman"/>
          <w:sz w:val="24"/>
          <w:szCs w:val="24"/>
        </w:rPr>
        <w:t xml:space="preserve"> Case No. 93-0425-T-PC (Incentive Plan);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C&amp;P Telephone Company of W.Va</w:t>
      </w:r>
      <w:r>
        <w:rPr>
          <w:rFonts w:ascii="Times New Roman" w:hAnsi="Times New Roman" w:cs="Times New Roman"/>
          <w:sz w:val="24"/>
          <w:szCs w:val="24"/>
        </w:rPr>
        <w:t>., Case No. 93-0957-T-GI (Seven Digit Dialing Plan);</w:t>
      </w:r>
      <w:r>
        <w:rPr>
          <w:rFonts w:ascii="Times New Roman" w:hAnsi="Times New Roman" w:cs="Times New Roman"/>
          <w:sz w:val="24"/>
          <w:szCs w:val="24"/>
        </w:rPr>
        <w:t xml:space="preserve">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Bell Atlantic-West Virginia, Inc.</w:t>
      </w:r>
      <w:r>
        <w:rPr>
          <w:rFonts w:ascii="Times New Roman" w:hAnsi="Times New Roman" w:cs="Times New Roman"/>
          <w:sz w:val="24"/>
          <w:szCs w:val="24"/>
        </w:rPr>
        <w:t xml:space="preserve">, Case No. 94-0725-T-PC (Incentive Regulation Plan);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General Investigation into IntraLATA Competition in West Virginia</w:t>
      </w:r>
      <w:r>
        <w:rPr>
          <w:rFonts w:ascii="Times New Roman" w:hAnsi="Times New Roman" w:cs="Times New Roman"/>
          <w:sz w:val="24"/>
          <w:szCs w:val="24"/>
        </w:rPr>
        <w:t xml:space="preserve">,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Case No. 94-1103-T-GI;</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West Virginia-American Water</w:t>
      </w:r>
      <w:r>
        <w:rPr>
          <w:rFonts w:ascii="Times New Roman" w:hAnsi="Times New Roman" w:cs="Times New Roman"/>
          <w:sz w:val="24"/>
          <w:szCs w:val="24"/>
        </w:rPr>
        <w:t xml:space="preserve">, Case No. 95-1202-W-CN (Plant Certificate </w:t>
      </w:r>
      <w:r>
        <w:rPr>
          <w:rFonts w:ascii="Times New Roman" w:hAnsi="Times New Roman" w:cs="Times New Roman"/>
          <w:sz w:val="24"/>
          <w:szCs w:val="24"/>
        </w:rPr>
        <w:tab/>
      </w:r>
      <w:r>
        <w:rPr>
          <w:rFonts w:ascii="Times New Roman" w:hAnsi="Times New Roman" w:cs="Times New Roman"/>
          <w:sz w:val="24"/>
          <w:szCs w:val="24"/>
        </w:rPr>
        <w:t>Application);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Monongahela Power Company</w:t>
      </w:r>
      <w:r>
        <w:rPr>
          <w:rFonts w:ascii="Times New Roman" w:hAnsi="Times New Roman" w:cs="Times New Roman"/>
          <w:sz w:val="24"/>
          <w:szCs w:val="24"/>
        </w:rPr>
        <w:t xml:space="preserve">, Case No. 97-0183-E-GI </w:t>
      </w:r>
      <w:r>
        <w:rPr>
          <w:rFonts w:ascii="Times New Roman" w:hAnsi="Times New Roman" w:cs="Times New Roman"/>
          <w:i/>
          <w:iCs/>
          <w:sz w:val="24"/>
          <w:szCs w:val="24"/>
        </w:rPr>
        <w:t>et al</w:t>
      </w:r>
      <w:r>
        <w:rPr>
          <w:rFonts w:ascii="Times New Roman" w:hAnsi="Times New Roman" w:cs="Times New Roman"/>
          <w:sz w:val="24"/>
          <w:szCs w:val="24"/>
        </w:rPr>
        <w:t>. (ENEC);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Bell Atlantic-West Virginia, Inc.</w:t>
      </w:r>
      <w:r>
        <w:rPr>
          <w:rFonts w:ascii="Times New Roman" w:hAnsi="Times New Roman" w:cs="Times New Roman"/>
          <w:sz w:val="24"/>
          <w:szCs w:val="24"/>
        </w:rPr>
        <w:t>, Case No. 97-1461-T-PC (Incentive Regulation Plan);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Monongahela Power Company</w:t>
      </w:r>
      <w:r>
        <w:rPr>
          <w:rFonts w:ascii="Times New Roman" w:hAnsi="Times New Roman" w:cs="Times New Roman"/>
          <w:sz w:val="24"/>
          <w:szCs w:val="24"/>
        </w:rPr>
        <w:t xml:space="preserve">, Case No. 98-0101-E-GI </w:t>
      </w:r>
      <w:r>
        <w:rPr>
          <w:rFonts w:ascii="Times New Roman" w:hAnsi="Times New Roman" w:cs="Times New Roman"/>
          <w:i/>
          <w:iCs/>
          <w:sz w:val="24"/>
          <w:szCs w:val="24"/>
        </w:rPr>
        <w:t>et al</w:t>
      </w:r>
      <w:r>
        <w:rPr>
          <w:rFonts w:ascii="Times New Roman" w:hAnsi="Times New Roman" w:cs="Times New Roman"/>
          <w:sz w:val="24"/>
          <w:szCs w:val="24"/>
        </w:rPr>
        <w:t>. (ENEC);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West Virginia Power Gas </w:t>
      </w:r>
      <w:r>
        <w:rPr>
          <w:rFonts w:ascii="Times New Roman" w:hAnsi="Times New Roman" w:cs="Times New Roman"/>
          <w:sz w:val="24"/>
          <w:szCs w:val="24"/>
          <w:u w:val="single"/>
        </w:rPr>
        <w:t>Company</w:t>
      </w:r>
      <w:r>
        <w:rPr>
          <w:rFonts w:ascii="Times New Roman" w:hAnsi="Times New Roman" w:cs="Times New Roman"/>
          <w:sz w:val="24"/>
          <w:szCs w:val="24"/>
        </w:rPr>
        <w:t xml:space="preserve">, Case No. 98-0448-G-PC (Safety Related </w:t>
      </w:r>
      <w:r>
        <w:rPr>
          <w:rFonts w:ascii="Times New Roman" w:hAnsi="Times New Roman" w:cs="Times New Roman"/>
          <w:sz w:val="24"/>
          <w:szCs w:val="24"/>
        </w:rPr>
        <w:tab/>
        <w:t xml:space="preserve">Surcharge);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Bell Atlantic-West Virginia, Inc</w:t>
      </w:r>
      <w:r>
        <w:rPr>
          <w:rFonts w:ascii="Times New Roman" w:hAnsi="Times New Roman" w:cs="Times New Roman"/>
          <w:sz w:val="24"/>
          <w:szCs w:val="24"/>
        </w:rPr>
        <w:t>. Case No. 98-1091-T-T (National Directory Assistance);</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General Investigation</w:t>
      </w:r>
      <w:r>
        <w:rPr>
          <w:rFonts w:ascii="Times New Roman" w:hAnsi="Times New Roman" w:cs="Times New Roman"/>
          <w:sz w:val="24"/>
          <w:szCs w:val="24"/>
        </w:rPr>
        <w:t>, Case No.  98-1531-T-GI (Cross-LATA Local Calling);</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Monongahela Power Company</w:t>
      </w:r>
      <w:r>
        <w:rPr>
          <w:rFonts w:ascii="Times New Roman" w:hAnsi="Times New Roman" w:cs="Times New Roman"/>
          <w:sz w:val="24"/>
          <w:szCs w:val="24"/>
        </w:rPr>
        <w:t xml:space="preserve">, Case No. 99-0261-E-GI </w:t>
      </w:r>
      <w:r>
        <w:rPr>
          <w:rFonts w:ascii="Times New Roman" w:hAnsi="Times New Roman" w:cs="Times New Roman"/>
          <w:i/>
          <w:iCs/>
          <w:sz w:val="24"/>
          <w:szCs w:val="24"/>
        </w:rPr>
        <w:t>et al</w:t>
      </w:r>
      <w:r>
        <w:rPr>
          <w:rFonts w:ascii="Times New Roman" w:hAnsi="Times New Roman" w:cs="Times New Roman"/>
          <w:sz w:val="24"/>
          <w:szCs w:val="24"/>
        </w:rPr>
        <w:t>. (ENEC);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Citizens Telecommunications</w:t>
      </w:r>
      <w:r>
        <w:rPr>
          <w:rFonts w:ascii="Times New Roman" w:hAnsi="Times New Roman" w:cs="Times New Roman"/>
          <w:sz w:val="24"/>
          <w:szCs w:val="24"/>
        </w:rPr>
        <w:t>, Case No. 99-1530-T-PC, (Incentive Regulation Plan);</w:t>
      </w:r>
    </w:p>
    <w:p w:rsidR="00533106" w:rsidRDefault="00AC5D88">
      <w:pPr>
        <w:tabs>
          <w:tab w:val="left" w:pos="-1080"/>
          <w:tab w:val="left" w:pos="-720"/>
          <w:tab w:val="left" w:pos="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Bell Atlantic-West Virginia,</w:t>
      </w:r>
      <w:r>
        <w:rPr>
          <w:rFonts w:ascii="Times New Roman" w:hAnsi="Times New Roman" w:cs="Times New Roman"/>
          <w:sz w:val="24"/>
          <w:szCs w:val="24"/>
        </w:rPr>
        <w:t xml:space="preserve"> Case No. 99-1620-T-GI, (Disposition of Additional </w:t>
      </w:r>
      <w:r>
        <w:rPr>
          <w:rFonts w:ascii="Times New Roman" w:hAnsi="Times New Roman" w:cs="Times New Roman"/>
          <w:sz w:val="24"/>
          <w:szCs w:val="24"/>
        </w:rPr>
        <w:tab/>
        <w:t>Universal Service Funds);</w:t>
      </w:r>
    </w:p>
    <w:p w:rsidR="00533106" w:rsidRDefault="00AC5D88">
      <w:pPr>
        <w:tabs>
          <w:tab w:val="left" w:pos="0"/>
          <w:tab w:val="left" w:pos="72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Bell Atlantic-West Virg</w:t>
      </w:r>
      <w:r>
        <w:rPr>
          <w:rFonts w:ascii="Times New Roman" w:hAnsi="Times New Roman" w:cs="Times New Roman"/>
          <w:sz w:val="24"/>
          <w:szCs w:val="24"/>
          <w:u w:val="single"/>
        </w:rPr>
        <w:t>inia</w:t>
      </w:r>
      <w:r>
        <w:rPr>
          <w:rFonts w:ascii="Times New Roman" w:hAnsi="Times New Roman" w:cs="Times New Roman"/>
          <w:sz w:val="24"/>
          <w:szCs w:val="24"/>
        </w:rPr>
        <w:t>, Case No. 99-1633-T-PC, (Cross-LATA Local Calling);</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Verizon-West Virginia, Inc.</w:t>
      </w:r>
      <w:r>
        <w:rPr>
          <w:rFonts w:ascii="Times New Roman" w:hAnsi="Times New Roman" w:cs="Times New Roman"/>
          <w:sz w:val="24"/>
          <w:szCs w:val="24"/>
        </w:rPr>
        <w:t>, Case No. 00-0705-T-PC, (Incentive Regulation Plan);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Easterbrooke Cellular Corp</w:t>
      </w:r>
      <w:r>
        <w:rPr>
          <w:rFonts w:ascii="Times New Roman" w:hAnsi="Times New Roman" w:cs="Times New Roman"/>
          <w:sz w:val="24"/>
          <w:szCs w:val="24"/>
        </w:rPr>
        <w:t xml:space="preserve">., Case No.  03-0935-T-PC (Eligible telecommunications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Carrier);</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Verizon-West Virginia,</w:t>
      </w:r>
      <w:r>
        <w:rPr>
          <w:rFonts w:ascii="Times New Roman" w:hAnsi="Times New Roman" w:cs="Times New Roman"/>
          <w:sz w:val="24"/>
          <w:szCs w:val="24"/>
          <w:u w:val="single"/>
        </w:rPr>
        <w:t xml:space="preserve"> Inc.,</w:t>
      </w:r>
      <w:r>
        <w:rPr>
          <w:rFonts w:ascii="Times New Roman" w:hAnsi="Times New Roman" w:cs="Times New Roman"/>
          <w:sz w:val="24"/>
          <w:szCs w:val="24"/>
        </w:rPr>
        <w:t xml:space="preserve"> Case No. 04-0292-T-PC (Petition to Cease Regulation);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MCI Communications Services, Inc</w:t>
      </w:r>
      <w:r>
        <w:rPr>
          <w:rFonts w:ascii="Times New Roman" w:hAnsi="Times New Roman" w:cs="Times New Roman"/>
          <w:sz w:val="24"/>
          <w:szCs w:val="24"/>
        </w:rPr>
        <w:t xml:space="preserve">., Case No. 05-1233-T-GI (Line Items);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Verizon-West Virginia, Inc.,</w:t>
      </w:r>
      <w:r>
        <w:rPr>
          <w:rFonts w:ascii="Times New Roman" w:hAnsi="Times New Roman" w:cs="Times New Roman"/>
          <w:sz w:val="24"/>
          <w:szCs w:val="24"/>
        </w:rPr>
        <w:t xml:space="preserve"> Case No. 06-0481-T-PC (Petition to Cease Regulation);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General Investigation</w:t>
      </w:r>
      <w:r>
        <w:rPr>
          <w:rFonts w:ascii="Times New Roman" w:hAnsi="Times New Roman" w:cs="Times New Roman"/>
          <w:sz w:val="24"/>
          <w:szCs w:val="24"/>
        </w:rPr>
        <w:t>, Case No. 06-07</w:t>
      </w:r>
      <w:r>
        <w:rPr>
          <w:rFonts w:ascii="Times New Roman" w:hAnsi="Times New Roman" w:cs="Times New Roman"/>
          <w:sz w:val="24"/>
          <w:szCs w:val="24"/>
        </w:rPr>
        <w:t xml:space="preserve">08-E-GI (Electric net metering and interconnection </w:t>
      </w:r>
      <w:r>
        <w:rPr>
          <w:rFonts w:ascii="Times New Roman" w:hAnsi="Times New Roman" w:cs="Times New Roman"/>
          <w:sz w:val="24"/>
          <w:szCs w:val="24"/>
        </w:rPr>
        <w:tab/>
        <w:t xml:space="preserve">standards);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Appalachian Power Company and Wheeling Power Company</w:t>
      </w:r>
      <w:r>
        <w:rPr>
          <w:rFonts w:ascii="Times New Roman" w:hAnsi="Times New Roman" w:cs="Times New Roman"/>
          <w:sz w:val="24"/>
          <w:szCs w:val="24"/>
        </w:rPr>
        <w:t xml:space="preserve">, Case No. 08-0278-E-GI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 xml:space="preserve">(ENEC);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jc w:val="both"/>
        <w:rPr>
          <w:rFonts w:ascii="Times New Roman" w:hAnsi="Times New Roman" w:cs="Times New Roman"/>
          <w:sz w:val="24"/>
          <w:szCs w:val="24"/>
        </w:rPr>
      </w:pPr>
      <w:r>
        <w:rPr>
          <w:rFonts w:ascii="Times New Roman" w:hAnsi="Times New Roman" w:cs="Times New Roman"/>
          <w:sz w:val="24"/>
          <w:szCs w:val="24"/>
          <w:u w:val="single"/>
        </w:rPr>
        <w:t>Monongahela Power Company and The Potomac Edison Company</w:t>
      </w:r>
      <w:r>
        <w:rPr>
          <w:rFonts w:ascii="Times New Roman" w:hAnsi="Times New Roman" w:cs="Times New Roman"/>
          <w:sz w:val="24"/>
          <w:szCs w:val="24"/>
        </w:rPr>
        <w:t>, 08-1511-E-GI</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Appalachian Power C</w:t>
      </w:r>
      <w:r>
        <w:rPr>
          <w:rFonts w:ascii="Times New Roman" w:hAnsi="Times New Roman" w:cs="Times New Roman"/>
          <w:sz w:val="24"/>
          <w:szCs w:val="24"/>
          <w:u w:val="single"/>
        </w:rPr>
        <w:t>ompany and Wheeling Power Company</w:t>
      </w:r>
      <w:r>
        <w:rPr>
          <w:rFonts w:ascii="Times New Roman" w:hAnsi="Times New Roman" w:cs="Times New Roman"/>
          <w:sz w:val="24"/>
          <w:szCs w:val="24"/>
        </w:rPr>
        <w:t xml:space="preserve">, 09-0177-E-GI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(ENEC); and</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 xml:space="preserve">Frontier Communications Corp., Verizon West Virginia Inc., </w:t>
      </w:r>
      <w:r>
        <w:rPr>
          <w:rFonts w:ascii="Times New Roman" w:hAnsi="Times New Roman" w:cs="Times New Roman"/>
          <w:i/>
          <w:sz w:val="24"/>
          <w:szCs w:val="24"/>
          <w:u w:val="single"/>
        </w:rPr>
        <w:t>et al</w:t>
      </w:r>
      <w:r>
        <w:rPr>
          <w:rFonts w:ascii="Times New Roman" w:hAnsi="Times New Roman" w:cs="Times New Roman"/>
          <w:sz w:val="24"/>
          <w:szCs w:val="24"/>
        </w:rPr>
        <w:t xml:space="preserve">, 09-0871-T-PC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(Transfer of Assets).</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Monongahela Power Company and The Potomac Edison Company</w:t>
      </w:r>
      <w:r>
        <w:rPr>
          <w:rFonts w:ascii="Times New Roman" w:hAnsi="Times New Roman" w:cs="Times New Roman"/>
          <w:sz w:val="24"/>
          <w:szCs w:val="24"/>
        </w:rPr>
        <w:t>, Case No. 09-1485-E-</w:t>
      </w:r>
      <w:r>
        <w:rPr>
          <w:rFonts w:ascii="Times New Roman" w:hAnsi="Times New Roman" w:cs="Times New Roman"/>
          <w:sz w:val="24"/>
          <w:szCs w:val="24"/>
        </w:rPr>
        <w:t>GI (ENEC);</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Appalachian Power Company and Wheeling Power Company</w:t>
      </w:r>
      <w:r>
        <w:rPr>
          <w:rFonts w:ascii="Times New Roman" w:hAnsi="Times New Roman" w:cs="Times New Roman"/>
          <w:sz w:val="24"/>
          <w:szCs w:val="24"/>
        </w:rPr>
        <w:t>, Case No. 10-0261-E-P (ENEC);</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Emergency Operations Center of Kanawha County v. YMAX Communications Corp. and</w:t>
      </w:r>
      <w:r>
        <w:rPr>
          <w:rFonts w:ascii="Times New Roman" w:hAnsi="Times New Roman" w:cs="Times New Roman"/>
          <w:sz w:val="24"/>
          <w:szCs w:val="24"/>
        </w:rPr>
        <w:t xml:space="preserve"> </w:t>
      </w:r>
      <w:r>
        <w:rPr>
          <w:rFonts w:ascii="Times New Roman" w:hAnsi="Times New Roman" w:cs="Times New Roman"/>
          <w:sz w:val="24"/>
          <w:szCs w:val="24"/>
          <w:u w:val="single"/>
        </w:rPr>
        <w:t>magicJack, LP</w:t>
      </w:r>
      <w:r>
        <w:rPr>
          <w:rFonts w:ascii="Times New Roman" w:hAnsi="Times New Roman" w:cs="Times New Roman"/>
          <w:sz w:val="24"/>
          <w:szCs w:val="24"/>
        </w:rPr>
        <w:t xml:space="preserve">, Case No. 10-0383-T-C (Complaint concerning failure to collect and </w:t>
      </w:r>
      <w:r>
        <w:rPr>
          <w:rFonts w:ascii="Times New Roman" w:hAnsi="Times New Roman" w:cs="Times New Roman"/>
          <w:sz w:val="24"/>
          <w:szCs w:val="24"/>
        </w:rPr>
        <w:t>remit 911 fees);</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Appalachian Power Company and Wheeling Power Company</w:t>
      </w:r>
      <w:r>
        <w:rPr>
          <w:rFonts w:ascii="Times New Roman" w:hAnsi="Times New Roman" w:cs="Times New Roman"/>
          <w:sz w:val="24"/>
          <w:szCs w:val="24"/>
        </w:rPr>
        <w:t>, Case No. 11-0274-E-GI (ENEC);</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Cebridge Acquisition, LLC, dba Suddenlink Communications v. FiberNet LLC &amp; Ntelos Inc.</w:t>
      </w:r>
      <w:r>
        <w:rPr>
          <w:rFonts w:ascii="Times New Roman" w:hAnsi="Times New Roman" w:cs="Times New Roman"/>
          <w:sz w:val="24"/>
          <w:szCs w:val="24"/>
        </w:rPr>
        <w:t>, Case No. 10-1886-T-C (Complaint concerning Early Termination Fees</w:t>
      </w:r>
      <w:r>
        <w:rPr>
          <w:rFonts w:ascii="Times New Roman" w:hAnsi="Times New Roman" w:cs="Times New Roman"/>
          <w:sz w:val="24"/>
          <w:szCs w:val="24"/>
        </w:rPr>
        <w:t>).</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Monongahela Power Company and The Potomac Edison Company</w:t>
      </w:r>
      <w:r>
        <w:rPr>
          <w:rFonts w:ascii="Times New Roman" w:hAnsi="Times New Roman" w:cs="Times New Roman"/>
          <w:sz w:val="24"/>
          <w:szCs w:val="24"/>
        </w:rPr>
        <w:t>, Case No. 11-1274-E-P (ENEC);</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Appalachian Power Company and Wheeling Power Company</w:t>
      </w:r>
      <w:r>
        <w:rPr>
          <w:rFonts w:ascii="Times New Roman" w:hAnsi="Times New Roman" w:cs="Times New Roman"/>
          <w:sz w:val="24"/>
          <w:szCs w:val="24"/>
        </w:rPr>
        <w:t>, Case No. 12-0399-E-P (ENEC); and</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jc w:val="both"/>
        <w:rPr>
          <w:rFonts w:ascii="Times New Roman" w:hAnsi="Times New Roman" w:cs="Times New Roman"/>
          <w:sz w:val="24"/>
          <w:szCs w:val="24"/>
        </w:rPr>
      </w:pPr>
      <w:r>
        <w:rPr>
          <w:rFonts w:ascii="Times New Roman" w:hAnsi="Times New Roman" w:cs="Times New Roman"/>
          <w:sz w:val="24"/>
          <w:szCs w:val="24"/>
          <w:u w:val="single"/>
        </w:rPr>
        <w:t>Monongahela Power Company and The Potomac Edison Company</w:t>
      </w:r>
      <w:r>
        <w:rPr>
          <w:rFonts w:ascii="Times New Roman" w:hAnsi="Times New Roman" w:cs="Times New Roman"/>
          <w:sz w:val="24"/>
          <w:szCs w:val="24"/>
        </w:rPr>
        <w:t>, Case No. 12-1238-E-</w:t>
      </w:r>
      <w:r>
        <w:rPr>
          <w:rFonts w:ascii="Times New Roman" w:hAnsi="Times New Roman" w:cs="Times New Roman"/>
          <w:sz w:val="24"/>
          <w:szCs w:val="24"/>
        </w:rPr>
        <w:t>P (ENEC).</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Federal Communications Commission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In the Matter of Federal-State Joint Board on Universal Service</w:t>
      </w:r>
      <w:r>
        <w:rPr>
          <w:rFonts w:ascii="Times New Roman" w:hAnsi="Times New Roman" w:cs="Times New Roman"/>
          <w:sz w:val="24"/>
          <w:szCs w:val="24"/>
        </w:rPr>
        <w:t xml:space="preserve">, CC Docket No. 96-45,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 xml:space="preserve">(1998 </w:t>
      </w:r>
      <w:r>
        <w:rPr>
          <w:rFonts w:ascii="Times New Roman" w:hAnsi="Times New Roman" w:cs="Times New Roman"/>
          <w:i/>
          <w:iCs/>
          <w:sz w:val="24"/>
          <w:szCs w:val="24"/>
        </w:rPr>
        <w:t>en banc</w:t>
      </w:r>
      <w:r>
        <w:rPr>
          <w:rFonts w:ascii="Times New Roman" w:hAnsi="Times New Roman" w:cs="Times New Roman"/>
          <w:sz w:val="24"/>
          <w:szCs w:val="24"/>
        </w:rPr>
        <w:t xml:space="preserve"> panel of the Federal-State Joint Board on Universal Service on the issues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of affordability and consumer</w:t>
      </w:r>
      <w:r>
        <w:rPr>
          <w:rFonts w:ascii="Times New Roman" w:hAnsi="Times New Roman" w:cs="Times New Roman"/>
          <w:sz w:val="24"/>
          <w:szCs w:val="24"/>
        </w:rPr>
        <w:t xml:space="preserve"> issues);</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In the Matter of Implementation of Section 224 of the Act</w:t>
      </w:r>
      <w:r>
        <w:rPr>
          <w:rFonts w:ascii="Times New Roman" w:hAnsi="Times New Roman" w:cs="Times New Roman"/>
          <w:sz w:val="24"/>
          <w:szCs w:val="24"/>
        </w:rPr>
        <w:t xml:space="preserve">, WC Docket No. 07-245 (2008 </w:t>
      </w:r>
      <w:r>
        <w:rPr>
          <w:rFonts w:ascii="Times New Roman" w:hAnsi="Times New Roman" w:cs="Times New Roman"/>
          <w:sz w:val="24"/>
          <w:szCs w:val="24"/>
        </w:rPr>
        <w:tab/>
        <w:t>declaration on the issue of pole attachment rates);</w:t>
      </w:r>
    </w:p>
    <w:p w:rsidR="00533106" w:rsidRDefault="00AC5D88">
      <w:pPr>
        <w:tabs>
          <w:tab w:val="left" w:pos="-108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In the Matter of the Connect America Fund</w:t>
      </w:r>
      <w:r>
        <w:rPr>
          <w:rFonts w:ascii="Times New Roman" w:hAnsi="Times New Roman" w:cs="Times New Roman"/>
          <w:sz w:val="24"/>
          <w:szCs w:val="24"/>
        </w:rPr>
        <w:t xml:space="preserve">, WC Docket No. 10-90 (2011 </w:t>
      </w:r>
      <w:r>
        <w:rPr>
          <w:rFonts w:ascii="Times New Roman" w:hAnsi="Times New Roman" w:cs="Times New Roman"/>
          <w:i/>
          <w:sz w:val="24"/>
          <w:szCs w:val="24"/>
        </w:rPr>
        <w:t>en banc</w:t>
      </w:r>
      <w:r>
        <w:rPr>
          <w:rFonts w:ascii="Times New Roman" w:hAnsi="Times New Roman" w:cs="Times New Roman"/>
          <w:sz w:val="24"/>
          <w:szCs w:val="24"/>
        </w:rPr>
        <w:t xml:space="preserve"> panel of the Federal-State Joint Board on Universal Service on proposed reforms of intercarrier compensation and the federal universal service fund).</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Alaska Public Service Commission</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In the Matter of Investigation into the Impact on Alaska Consumers an</w:t>
      </w:r>
      <w:r>
        <w:rPr>
          <w:rFonts w:ascii="Times New Roman" w:hAnsi="Times New Roman" w:cs="Times New Roman"/>
          <w:sz w:val="24"/>
          <w:szCs w:val="24"/>
          <w:u w:val="single"/>
        </w:rPr>
        <w:t>d Carriers of Intercarrier Compensation Reform by the Federal Communications Commission</w:t>
      </w:r>
      <w:r>
        <w:rPr>
          <w:rFonts w:ascii="Times New Roman" w:hAnsi="Times New Roman" w:cs="Times New Roman"/>
          <w:sz w:val="24"/>
          <w:szCs w:val="24"/>
        </w:rPr>
        <w:t>, Case No. R-06-6 (2006 testimony on Missoula Plan).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Georgia Public Service Commission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Universal Service Proceeding</w:t>
      </w:r>
      <w:r>
        <w:rPr>
          <w:rFonts w:ascii="Times New Roman" w:hAnsi="Times New Roman" w:cs="Times New Roman"/>
          <w:sz w:val="24"/>
          <w:szCs w:val="24"/>
        </w:rPr>
        <w:t>, Case No. 5825-U (2000 testimony on structure of s</w:t>
      </w:r>
      <w:r>
        <w:rPr>
          <w:rFonts w:ascii="Times New Roman" w:hAnsi="Times New Roman" w:cs="Times New Roman"/>
          <w:sz w:val="24"/>
          <w:szCs w:val="24"/>
        </w:rPr>
        <w:t xml:space="preserve">tate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universal service fund).</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Illinois Commerce Commission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 xml:space="preserve">Frontier Communications Corporation, Verizon Communications, Inc., </w:t>
      </w:r>
      <w:r>
        <w:rPr>
          <w:rFonts w:ascii="Times New Roman" w:hAnsi="Times New Roman" w:cs="Times New Roman"/>
          <w:i/>
          <w:sz w:val="24"/>
          <w:szCs w:val="24"/>
          <w:u w:val="single"/>
        </w:rPr>
        <w:t>et al</w:t>
      </w:r>
      <w:r>
        <w:rPr>
          <w:rFonts w:ascii="Times New Roman" w:hAnsi="Times New Roman" w:cs="Times New Roman"/>
          <w:sz w:val="24"/>
          <w:szCs w:val="24"/>
        </w:rPr>
        <w:t xml:space="preserve">, Docket No.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ab/>
        <w:t>09-0268 (2009 testimony on transfer of control).</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Ohio Public Utilities Commission</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 xml:space="preserve">Frontier </w:t>
      </w:r>
      <w:r>
        <w:rPr>
          <w:rFonts w:ascii="Times New Roman" w:hAnsi="Times New Roman" w:cs="Times New Roman"/>
          <w:sz w:val="24"/>
          <w:szCs w:val="24"/>
          <w:u w:val="single"/>
        </w:rPr>
        <w:t>Communications Corporation, New Communications Holding Company, Inc.,</w:t>
      </w:r>
      <w:r>
        <w:rPr>
          <w:rFonts w:ascii="Times New Roman" w:hAnsi="Times New Roman" w:cs="Times New Roman"/>
          <w:sz w:val="24"/>
          <w:szCs w:val="24"/>
        </w:rPr>
        <w:t xml:space="preserve"> </w:t>
      </w:r>
      <w:r>
        <w:rPr>
          <w:rFonts w:ascii="Times New Roman" w:hAnsi="Times New Roman" w:cs="Times New Roman"/>
          <w:sz w:val="24"/>
          <w:szCs w:val="24"/>
        </w:rPr>
        <w:tab/>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jc w:val="both"/>
        <w:rPr>
          <w:rFonts w:ascii="Times New Roman" w:hAnsi="Times New Roman" w:cs="Times New Roman"/>
          <w:sz w:val="24"/>
          <w:szCs w:val="24"/>
        </w:rPr>
      </w:pPr>
      <w:r>
        <w:rPr>
          <w:rFonts w:ascii="Times New Roman" w:hAnsi="Times New Roman" w:cs="Times New Roman"/>
          <w:sz w:val="24"/>
          <w:szCs w:val="24"/>
          <w:u w:val="single"/>
        </w:rPr>
        <w:t xml:space="preserve">and Verizon Communications, Inc., </w:t>
      </w:r>
      <w:r>
        <w:rPr>
          <w:rFonts w:ascii="Times New Roman" w:hAnsi="Times New Roman" w:cs="Times New Roman"/>
          <w:i/>
          <w:sz w:val="24"/>
          <w:szCs w:val="24"/>
          <w:u w:val="single"/>
        </w:rPr>
        <w:t>et al</w:t>
      </w:r>
      <w:r>
        <w:rPr>
          <w:rFonts w:ascii="Times New Roman" w:hAnsi="Times New Roman" w:cs="Times New Roman"/>
          <w:sz w:val="24"/>
          <w:szCs w:val="24"/>
        </w:rPr>
        <w:t>, Docket No. 09-454-TP-ACO (2009 testimony on transfer of control).</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Washington Utilities and Transportation Commission</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u w:val="single"/>
        </w:rPr>
        <w:t xml:space="preserve">In the matter of the </w:t>
      </w:r>
      <w:r>
        <w:rPr>
          <w:rFonts w:ascii="Times New Roman" w:hAnsi="Times New Roman" w:cs="Times New Roman"/>
          <w:sz w:val="24"/>
          <w:szCs w:val="24"/>
          <w:u w:val="single"/>
        </w:rPr>
        <w:t>Joint Application of Verizon Communications Inc. and Frontier Communications Corporation</w:t>
      </w:r>
      <w:r>
        <w:rPr>
          <w:rFonts w:ascii="Times New Roman" w:hAnsi="Times New Roman" w:cs="Times New Roman"/>
          <w:sz w:val="24"/>
          <w:szCs w:val="24"/>
        </w:rPr>
        <w:t>, Docket No. UT-090842 (2009 testimony on transfer of control).</w:t>
      </w:r>
    </w:p>
    <w:p w:rsidR="00533106" w:rsidRDefault="00533106">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 xml:space="preserve">BESIDES CASES IN WHICH YOU HAVE TESTIFIED, HAVE YOU </w:t>
      </w:r>
      <w:r>
        <w:rPr>
          <w:rFonts w:ascii="Times New Roman" w:hAnsi="Times New Roman" w:cs="Times New Roman"/>
          <w:sz w:val="24"/>
          <w:szCs w:val="24"/>
        </w:rPr>
        <w:tab/>
        <w:t>PARTICIPATED IN REGULATORY CASES AS AN ATTORNEY</w:t>
      </w:r>
      <w:r>
        <w:rPr>
          <w:rFonts w:ascii="Times New Roman" w:hAnsi="Times New Roman" w:cs="Times New Roman"/>
          <w:sz w:val="24"/>
          <w:szCs w:val="24"/>
        </w:rPr>
        <w:t>?</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Yes, as Director of the West Virginia Consumer Advocate Division and as Senior Attorney in the Field Solicitor’s Office, I handled hundreds of regulatory cases as an attorney.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HAVE YOU DONE UTILITY CONSULTING IN OTHER COUNTRIES?</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In 2003 </w:t>
      </w:r>
      <w:r>
        <w:rPr>
          <w:rFonts w:ascii="Times New Roman" w:hAnsi="Times New Roman" w:cs="Times New Roman"/>
          <w:sz w:val="24"/>
          <w:szCs w:val="24"/>
        </w:rPr>
        <w:t>I participated in utility regulatory training in Abuja, Nigeria, for the West African Telecommunications Regulators Association (WATRA) as part of NetTel@Africa.  In 2008 I completed a contract with the International Telecommunications Union (ITU) in Banju</w:t>
      </w:r>
      <w:r>
        <w:rPr>
          <w:rFonts w:ascii="Times New Roman" w:hAnsi="Times New Roman" w:cs="Times New Roman"/>
          <w:sz w:val="24"/>
          <w:szCs w:val="24"/>
        </w:rPr>
        <w:t>l, Gambia, to review and make recommendations concerning interconnection rates for telecommunications in the nation of Gambia.</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33106" w:rsidRDefault="00AC5D88">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Q.  </w:t>
      </w:r>
      <w:r>
        <w:rPr>
          <w:rFonts w:ascii="Times New Roman" w:hAnsi="Times New Roman" w:cs="Times New Roman"/>
          <w:sz w:val="24"/>
          <w:szCs w:val="24"/>
        </w:rPr>
        <w:tab/>
        <w:t xml:space="preserve">DO YOU HAVE ANY PUBLICATIONS?  </w:t>
      </w:r>
    </w:p>
    <w:p w:rsidR="00533106" w:rsidRDefault="00AC5D88">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Yes.  From April 2001 to March 2006 I published semi-annually through the National Re</w:t>
      </w:r>
      <w:r>
        <w:rPr>
          <w:rFonts w:ascii="Times New Roman" w:hAnsi="Times New Roman" w:cs="Times New Roman"/>
          <w:sz w:val="24"/>
          <w:szCs w:val="24"/>
        </w:rPr>
        <w:t xml:space="preserve">gulatory Research Institute </w:t>
      </w:r>
      <w:r>
        <w:rPr>
          <w:rFonts w:ascii="Times New Roman" w:hAnsi="Times New Roman" w:cs="Times New Roman"/>
          <w:i/>
          <w:sz w:val="24"/>
          <w:szCs w:val="24"/>
        </w:rPr>
        <w:t>A Survey of Unbundled Network Element Prices in the United States</w:t>
      </w:r>
      <w:r>
        <w:rPr>
          <w:rFonts w:ascii="Times New Roman" w:hAnsi="Times New Roman" w:cs="Times New Roman"/>
          <w:sz w:val="24"/>
          <w:szCs w:val="24"/>
        </w:rPr>
        <w:t xml:space="preserve">.  In 1996 I co-authored </w:t>
      </w:r>
      <w:r>
        <w:rPr>
          <w:rFonts w:ascii="Times New Roman" w:hAnsi="Times New Roman" w:cs="Times New Roman"/>
          <w:i/>
          <w:sz w:val="24"/>
          <w:szCs w:val="24"/>
        </w:rPr>
        <w:t>The Telecommunications Act of 1996:  A Guide for Educators</w:t>
      </w:r>
      <w:r>
        <w:rPr>
          <w:rFonts w:ascii="Times New Roman" w:hAnsi="Times New Roman" w:cs="Times New Roman"/>
          <w:sz w:val="24"/>
          <w:szCs w:val="24"/>
        </w:rPr>
        <w:t xml:space="preserve">, through Appalachia Education Laboratory, Inc.  </w:t>
      </w:r>
    </w:p>
    <w:p w:rsidR="00533106" w:rsidRDefault="00533106">
      <w:pPr>
        <w:tabs>
          <w:tab w:val="left" w:pos="-1080"/>
          <w:tab w:val="left" w:pos="-72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s>
        <w:spacing w:line="480" w:lineRule="atLeast"/>
        <w:ind w:left="720" w:hanging="720"/>
        <w:jc w:val="both"/>
        <w:rPr>
          <w:rFonts w:ascii="Times New Roman" w:hAnsi="Times New Roman" w:cs="Times New Roman"/>
          <w:sz w:val="24"/>
          <w:szCs w:val="24"/>
        </w:rPr>
      </w:pPr>
    </w:p>
    <w:p w:rsidR="00533106" w:rsidRDefault="00AC5D88">
      <w:pPr>
        <w:spacing w:line="480" w:lineRule="auto"/>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HAVE YOU RECEIVED ANY AWAR</w:t>
      </w:r>
      <w:r>
        <w:rPr>
          <w:rFonts w:ascii="Times New Roman" w:hAnsi="Times New Roman" w:cs="Times New Roman"/>
          <w:sz w:val="24"/>
          <w:szCs w:val="24"/>
        </w:rPr>
        <w:t>DS?</w:t>
      </w:r>
    </w:p>
    <w:p w:rsidR="00533106" w:rsidRDefault="00AC5D8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In 2007 I received the </w:t>
      </w:r>
      <w:r>
        <w:rPr>
          <w:rFonts w:ascii="Times New Roman" w:hAnsi="Times New Roman" w:cs="Times New Roman"/>
          <w:i/>
          <w:sz w:val="24"/>
          <w:szCs w:val="24"/>
        </w:rPr>
        <w:t>Robert F. Manifold Lifetime Service Award</w:t>
      </w:r>
      <w:r>
        <w:rPr>
          <w:rFonts w:ascii="Times New Roman" w:hAnsi="Times New Roman" w:cs="Times New Roman"/>
          <w:sz w:val="24"/>
          <w:szCs w:val="24"/>
        </w:rPr>
        <w:t xml:space="preserve"> from the National Association of State Utility Consumer Advocates. </w:t>
      </w:r>
    </w:p>
    <w:sectPr w:rsidR="005331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06" w:rsidRDefault="00AC5D88">
      <w:pPr>
        <w:spacing w:after="0" w:line="240" w:lineRule="auto"/>
      </w:pPr>
      <w:r>
        <w:separator/>
      </w:r>
    </w:p>
  </w:endnote>
  <w:endnote w:type="continuationSeparator" w:id="0">
    <w:p w:rsidR="00533106" w:rsidRDefault="00AC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6" w:rsidRDefault="00533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27762"/>
      <w:docPartObj>
        <w:docPartGallery w:val="Page Numbers (Bottom of Page)"/>
        <w:docPartUnique/>
      </w:docPartObj>
    </w:sdtPr>
    <w:sdtEndPr>
      <w:rPr>
        <w:rFonts w:ascii="Times New Roman" w:hAnsi="Times New Roman" w:cs="Times New Roman"/>
        <w:noProof/>
      </w:rPr>
    </w:sdtEndPr>
    <w:sdtContent>
      <w:p w:rsidR="00533106" w:rsidRDefault="00AC5D8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23</w:t>
        </w:r>
        <w:r>
          <w:rPr>
            <w:rFonts w:ascii="Times New Roman" w:hAnsi="Times New Roman" w:cs="Times New Roman"/>
            <w:noProof/>
          </w:rPr>
          <w:fldChar w:fldCharType="end"/>
        </w:r>
      </w:p>
    </w:sdtContent>
  </w:sdt>
  <w:p w:rsidR="00533106" w:rsidRDefault="00533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6" w:rsidRDefault="00533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06" w:rsidRDefault="00AC5D88">
      <w:pPr>
        <w:spacing w:after="0" w:line="240" w:lineRule="auto"/>
      </w:pPr>
      <w:r>
        <w:separator/>
      </w:r>
    </w:p>
  </w:footnote>
  <w:footnote w:type="continuationSeparator" w:id="0">
    <w:p w:rsidR="00533106" w:rsidRDefault="00AC5D88">
      <w:pPr>
        <w:spacing w:after="0" w:line="240" w:lineRule="auto"/>
      </w:pPr>
      <w:r>
        <w:continuationSeparator/>
      </w:r>
    </w:p>
  </w:footnote>
  <w:footnote w:id="1">
    <w:p w:rsidR="00533106" w:rsidRDefault="00AC5D88">
      <w:pPr>
        <w:pStyle w:val="FootnoteText"/>
      </w:pPr>
      <w:r>
        <w:rPr>
          <w:rStyle w:val="FootnoteReference"/>
        </w:rPr>
        <w:footnoteRef/>
      </w:r>
      <w:r>
        <w:t xml:space="preserve"> </w:t>
      </w:r>
      <w:r>
        <w:rPr>
          <w:rFonts w:ascii="Times New Roman" w:hAnsi="Times New Roman" w:cs="Times New Roman"/>
        </w:rPr>
        <w:t xml:space="preserve">P.L. 104-104; 47 U.S.C. 153 </w:t>
      </w:r>
      <w:r>
        <w:rPr>
          <w:rFonts w:ascii="Times New Roman" w:hAnsi="Times New Roman" w:cs="Times New Roman"/>
          <w:i/>
        </w:rPr>
        <w:t>et seq</w:t>
      </w:r>
      <w:r>
        <w:rPr>
          <w:rFonts w:ascii="Times New Roman" w:hAnsi="Times New Roman" w:cs="Times New Roman"/>
        </w:rPr>
        <w:t>.</w:t>
      </w:r>
    </w:p>
  </w:footnote>
  <w:footnote w:id="2">
    <w:p w:rsidR="00533106" w:rsidRDefault="00AC5D88">
      <w:pPr>
        <w:pStyle w:val="FootnoteText"/>
      </w:pPr>
      <w:r>
        <w:rPr>
          <w:rStyle w:val="FootnoteReference"/>
        </w:rPr>
        <w:footnoteRef/>
      </w:r>
      <w:r>
        <w:t xml:space="preserve"> </w:t>
      </w:r>
      <w:r>
        <w:rPr>
          <w:rFonts w:ascii="Times New Roman" w:hAnsi="Times New Roman" w:cs="Times New Roman"/>
          <w:i/>
        </w:rPr>
        <w:t>Connect America Fund</w:t>
      </w:r>
      <w:r>
        <w:rPr>
          <w:rFonts w:ascii="Times New Roman" w:hAnsi="Times New Roman" w:cs="Times New Roman"/>
        </w:rPr>
        <w:t>, Report and Order and Further Notice of Proposed Rulemaking, 26 FCC Rcd 17663, (2011).</w:t>
      </w:r>
    </w:p>
  </w:footnote>
  <w:footnote w:id="3">
    <w:p w:rsidR="00533106" w:rsidRDefault="00AC5D8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CAF Order, ¶¶798-805; 817-820.</w:t>
      </w:r>
    </w:p>
  </w:footnote>
  <w:footnote w:id="4">
    <w:p w:rsidR="00533106" w:rsidRDefault="00AC5D8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CAF Order, ¶¶801; 805.</w:t>
      </w:r>
    </w:p>
  </w:footnote>
  <w:footnote w:id="5">
    <w:p w:rsidR="00533106" w:rsidRDefault="00AC5D88">
      <w:pPr>
        <w:pStyle w:val="FootnoteText"/>
      </w:pPr>
      <w:r>
        <w:rPr>
          <w:rStyle w:val="FootnoteReference"/>
        </w:rPr>
        <w:footnoteRef/>
      </w:r>
      <w:r>
        <w:t xml:space="preserve"> </w:t>
      </w:r>
      <w:r>
        <w:rPr>
          <w:rFonts w:ascii="Times New Roman" w:hAnsi="Times New Roman" w:cs="Times New Roman"/>
        </w:rPr>
        <w:t>CAF Order, ¶813.</w:t>
      </w:r>
    </w:p>
  </w:footnote>
  <w:footnote w:id="6">
    <w:p w:rsidR="00533106" w:rsidRDefault="00AC5D88">
      <w:pPr>
        <w:pStyle w:val="FootnoteText"/>
      </w:pPr>
      <w:r>
        <w:rPr>
          <w:rStyle w:val="FootnoteReference"/>
        </w:rPr>
        <w:footnoteRef/>
      </w:r>
      <w:r>
        <w:t xml:space="preserve"> </w:t>
      </w:r>
      <w:r>
        <w:rPr>
          <w:rFonts w:ascii="Times New Roman" w:hAnsi="Times New Roman" w:cs="Times New Roman"/>
        </w:rPr>
        <w:t>See, CAF Order, ¶¶568-621; 47 C.F.R. §54.313, 54.314, 54.318 &amp; 54.320</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6" w:rsidRDefault="00533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6" w:rsidRDefault="00533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6" w:rsidRDefault="00AC5D88">
    <w:pPr>
      <w:pStyle w:val="Header"/>
      <w:jc w:val="right"/>
      <w:rPr>
        <w:rFonts w:ascii="Times New Roman" w:hAnsi="Times New Roman" w:cs="Times New Roman"/>
      </w:rPr>
    </w:pPr>
    <w:r>
      <w:rPr>
        <w:rFonts w:ascii="Times New Roman" w:hAnsi="Times New Roman" w:cs="Times New Roman"/>
      </w:rPr>
      <w:t>EXHIBIT NO.__ (BJG-2T)</w:t>
    </w:r>
  </w:p>
  <w:p w:rsidR="00533106" w:rsidRDefault="00533106">
    <w:pPr>
      <w:pStyle w:val="Header"/>
      <w:jc w:val="right"/>
    </w:pPr>
  </w:p>
  <w:p w:rsidR="00533106" w:rsidRDefault="0053310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EC4"/>
    <w:multiLevelType w:val="hybridMultilevel"/>
    <w:tmpl w:val="FD56544A"/>
    <w:lvl w:ilvl="0" w:tplc="209A2BCE">
      <w:start w:val="1"/>
      <w:numFmt w:val="bullet"/>
      <w:lvlText w:val="•"/>
      <w:lvlJc w:val="left"/>
      <w:pPr>
        <w:tabs>
          <w:tab w:val="num" w:pos="720"/>
        </w:tabs>
        <w:ind w:left="720" w:hanging="360"/>
      </w:pPr>
      <w:rPr>
        <w:rFonts w:ascii="Times New Roman" w:hAnsi="Times New Roman" w:hint="default"/>
      </w:rPr>
    </w:lvl>
    <w:lvl w:ilvl="1" w:tplc="01D46DD4" w:tentative="1">
      <w:start w:val="1"/>
      <w:numFmt w:val="bullet"/>
      <w:lvlText w:val="•"/>
      <w:lvlJc w:val="left"/>
      <w:pPr>
        <w:tabs>
          <w:tab w:val="num" w:pos="1440"/>
        </w:tabs>
        <w:ind w:left="1440" w:hanging="360"/>
      </w:pPr>
      <w:rPr>
        <w:rFonts w:ascii="Times New Roman" w:hAnsi="Times New Roman" w:hint="default"/>
      </w:rPr>
    </w:lvl>
    <w:lvl w:ilvl="2" w:tplc="F0408D22" w:tentative="1">
      <w:start w:val="1"/>
      <w:numFmt w:val="bullet"/>
      <w:lvlText w:val="•"/>
      <w:lvlJc w:val="left"/>
      <w:pPr>
        <w:tabs>
          <w:tab w:val="num" w:pos="2160"/>
        </w:tabs>
        <w:ind w:left="2160" w:hanging="360"/>
      </w:pPr>
      <w:rPr>
        <w:rFonts w:ascii="Times New Roman" w:hAnsi="Times New Roman" w:hint="default"/>
      </w:rPr>
    </w:lvl>
    <w:lvl w:ilvl="3" w:tplc="C1C8C534" w:tentative="1">
      <w:start w:val="1"/>
      <w:numFmt w:val="bullet"/>
      <w:lvlText w:val="•"/>
      <w:lvlJc w:val="left"/>
      <w:pPr>
        <w:tabs>
          <w:tab w:val="num" w:pos="2880"/>
        </w:tabs>
        <w:ind w:left="2880" w:hanging="360"/>
      </w:pPr>
      <w:rPr>
        <w:rFonts w:ascii="Times New Roman" w:hAnsi="Times New Roman" w:hint="default"/>
      </w:rPr>
    </w:lvl>
    <w:lvl w:ilvl="4" w:tplc="0CB86870" w:tentative="1">
      <w:start w:val="1"/>
      <w:numFmt w:val="bullet"/>
      <w:lvlText w:val="•"/>
      <w:lvlJc w:val="left"/>
      <w:pPr>
        <w:tabs>
          <w:tab w:val="num" w:pos="3600"/>
        </w:tabs>
        <w:ind w:left="3600" w:hanging="360"/>
      </w:pPr>
      <w:rPr>
        <w:rFonts w:ascii="Times New Roman" w:hAnsi="Times New Roman" w:hint="default"/>
      </w:rPr>
    </w:lvl>
    <w:lvl w:ilvl="5" w:tplc="21A07F60" w:tentative="1">
      <w:start w:val="1"/>
      <w:numFmt w:val="bullet"/>
      <w:lvlText w:val="•"/>
      <w:lvlJc w:val="left"/>
      <w:pPr>
        <w:tabs>
          <w:tab w:val="num" w:pos="4320"/>
        </w:tabs>
        <w:ind w:left="4320" w:hanging="360"/>
      </w:pPr>
      <w:rPr>
        <w:rFonts w:ascii="Times New Roman" w:hAnsi="Times New Roman" w:hint="default"/>
      </w:rPr>
    </w:lvl>
    <w:lvl w:ilvl="6" w:tplc="11B00D60" w:tentative="1">
      <w:start w:val="1"/>
      <w:numFmt w:val="bullet"/>
      <w:lvlText w:val="•"/>
      <w:lvlJc w:val="left"/>
      <w:pPr>
        <w:tabs>
          <w:tab w:val="num" w:pos="5040"/>
        </w:tabs>
        <w:ind w:left="5040" w:hanging="360"/>
      </w:pPr>
      <w:rPr>
        <w:rFonts w:ascii="Times New Roman" w:hAnsi="Times New Roman" w:hint="default"/>
      </w:rPr>
    </w:lvl>
    <w:lvl w:ilvl="7" w:tplc="68AE6820" w:tentative="1">
      <w:start w:val="1"/>
      <w:numFmt w:val="bullet"/>
      <w:lvlText w:val="•"/>
      <w:lvlJc w:val="left"/>
      <w:pPr>
        <w:tabs>
          <w:tab w:val="num" w:pos="5760"/>
        </w:tabs>
        <w:ind w:left="5760" w:hanging="360"/>
      </w:pPr>
      <w:rPr>
        <w:rFonts w:ascii="Times New Roman" w:hAnsi="Times New Roman" w:hint="default"/>
      </w:rPr>
    </w:lvl>
    <w:lvl w:ilvl="8" w:tplc="101EA3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870C23"/>
    <w:multiLevelType w:val="hybridMultilevel"/>
    <w:tmpl w:val="769A6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F433A"/>
    <w:multiLevelType w:val="hybridMultilevel"/>
    <w:tmpl w:val="7DDE17FC"/>
    <w:lvl w:ilvl="0" w:tplc="82C2F17E">
      <w:start w:val="1"/>
      <w:numFmt w:val="bullet"/>
      <w:lvlText w:val="•"/>
      <w:lvlJc w:val="left"/>
      <w:pPr>
        <w:tabs>
          <w:tab w:val="num" w:pos="720"/>
        </w:tabs>
        <w:ind w:left="720" w:hanging="360"/>
      </w:pPr>
      <w:rPr>
        <w:rFonts w:ascii="Times New Roman" w:hAnsi="Times New Roman" w:hint="default"/>
      </w:rPr>
    </w:lvl>
    <w:lvl w:ilvl="1" w:tplc="081A0766">
      <w:start w:val="1067"/>
      <w:numFmt w:val="bullet"/>
      <w:lvlText w:val="–"/>
      <w:lvlJc w:val="left"/>
      <w:pPr>
        <w:tabs>
          <w:tab w:val="num" w:pos="1440"/>
        </w:tabs>
        <w:ind w:left="1440" w:hanging="360"/>
      </w:pPr>
      <w:rPr>
        <w:rFonts w:ascii="Times New Roman" w:hAnsi="Times New Roman" w:hint="default"/>
      </w:rPr>
    </w:lvl>
    <w:lvl w:ilvl="2" w:tplc="299C8E26" w:tentative="1">
      <w:start w:val="1"/>
      <w:numFmt w:val="bullet"/>
      <w:lvlText w:val="•"/>
      <w:lvlJc w:val="left"/>
      <w:pPr>
        <w:tabs>
          <w:tab w:val="num" w:pos="2160"/>
        </w:tabs>
        <w:ind w:left="2160" w:hanging="360"/>
      </w:pPr>
      <w:rPr>
        <w:rFonts w:ascii="Times New Roman" w:hAnsi="Times New Roman" w:hint="default"/>
      </w:rPr>
    </w:lvl>
    <w:lvl w:ilvl="3" w:tplc="DB4A267C" w:tentative="1">
      <w:start w:val="1"/>
      <w:numFmt w:val="bullet"/>
      <w:lvlText w:val="•"/>
      <w:lvlJc w:val="left"/>
      <w:pPr>
        <w:tabs>
          <w:tab w:val="num" w:pos="2880"/>
        </w:tabs>
        <w:ind w:left="2880" w:hanging="360"/>
      </w:pPr>
      <w:rPr>
        <w:rFonts w:ascii="Times New Roman" w:hAnsi="Times New Roman" w:hint="default"/>
      </w:rPr>
    </w:lvl>
    <w:lvl w:ilvl="4" w:tplc="D1E833B6" w:tentative="1">
      <w:start w:val="1"/>
      <w:numFmt w:val="bullet"/>
      <w:lvlText w:val="•"/>
      <w:lvlJc w:val="left"/>
      <w:pPr>
        <w:tabs>
          <w:tab w:val="num" w:pos="3600"/>
        </w:tabs>
        <w:ind w:left="3600" w:hanging="360"/>
      </w:pPr>
      <w:rPr>
        <w:rFonts w:ascii="Times New Roman" w:hAnsi="Times New Roman" w:hint="default"/>
      </w:rPr>
    </w:lvl>
    <w:lvl w:ilvl="5" w:tplc="3FCE5036" w:tentative="1">
      <w:start w:val="1"/>
      <w:numFmt w:val="bullet"/>
      <w:lvlText w:val="•"/>
      <w:lvlJc w:val="left"/>
      <w:pPr>
        <w:tabs>
          <w:tab w:val="num" w:pos="4320"/>
        </w:tabs>
        <w:ind w:left="4320" w:hanging="360"/>
      </w:pPr>
      <w:rPr>
        <w:rFonts w:ascii="Times New Roman" w:hAnsi="Times New Roman" w:hint="default"/>
      </w:rPr>
    </w:lvl>
    <w:lvl w:ilvl="6" w:tplc="86A28E66" w:tentative="1">
      <w:start w:val="1"/>
      <w:numFmt w:val="bullet"/>
      <w:lvlText w:val="•"/>
      <w:lvlJc w:val="left"/>
      <w:pPr>
        <w:tabs>
          <w:tab w:val="num" w:pos="5040"/>
        </w:tabs>
        <w:ind w:left="5040" w:hanging="360"/>
      </w:pPr>
      <w:rPr>
        <w:rFonts w:ascii="Times New Roman" w:hAnsi="Times New Roman" w:hint="default"/>
      </w:rPr>
    </w:lvl>
    <w:lvl w:ilvl="7" w:tplc="68A4D7E6" w:tentative="1">
      <w:start w:val="1"/>
      <w:numFmt w:val="bullet"/>
      <w:lvlText w:val="•"/>
      <w:lvlJc w:val="left"/>
      <w:pPr>
        <w:tabs>
          <w:tab w:val="num" w:pos="5760"/>
        </w:tabs>
        <w:ind w:left="5760" w:hanging="360"/>
      </w:pPr>
      <w:rPr>
        <w:rFonts w:ascii="Times New Roman" w:hAnsi="Times New Roman" w:hint="default"/>
      </w:rPr>
    </w:lvl>
    <w:lvl w:ilvl="8" w:tplc="3F5AD4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64525A"/>
    <w:multiLevelType w:val="hybridMultilevel"/>
    <w:tmpl w:val="5FDC1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8F5DF2"/>
    <w:multiLevelType w:val="hybridMultilevel"/>
    <w:tmpl w:val="C164A0D8"/>
    <w:lvl w:ilvl="0" w:tplc="2014F996">
      <w:start w:val="1"/>
      <w:numFmt w:val="bullet"/>
      <w:lvlText w:val="•"/>
      <w:lvlJc w:val="left"/>
      <w:pPr>
        <w:tabs>
          <w:tab w:val="num" w:pos="720"/>
        </w:tabs>
        <w:ind w:left="720" w:hanging="360"/>
      </w:pPr>
      <w:rPr>
        <w:rFonts w:ascii="Times New Roman" w:hAnsi="Times New Roman" w:hint="default"/>
      </w:rPr>
    </w:lvl>
    <w:lvl w:ilvl="1" w:tplc="8F30B29E">
      <w:start w:val="397"/>
      <w:numFmt w:val="bullet"/>
      <w:lvlText w:val="–"/>
      <w:lvlJc w:val="left"/>
      <w:pPr>
        <w:tabs>
          <w:tab w:val="num" w:pos="1440"/>
        </w:tabs>
        <w:ind w:left="1440" w:hanging="360"/>
      </w:pPr>
      <w:rPr>
        <w:rFonts w:ascii="Times New Roman" w:hAnsi="Times New Roman" w:hint="default"/>
      </w:rPr>
    </w:lvl>
    <w:lvl w:ilvl="2" w:tplc="CD18BF92" w:tentative="1">
      <w:start w:val="1"/>
      <w:numFmt w:val="bullet"/>
      <w:lvlText w:val="•"/>
      <w:lvlJc w:val="left"/>
      <w:pPr>
        <w:tabs>
          <w:tab w:val="num" w:pos="2160"/>
        </w:tabs>
        <w:ind w:left="2160" w:hanging="360"/>
      </w:pPr>
      <w:rPr>
        <w:rFonts w:ascii="Times New Roman" w:hAnsi="Times New Roman" w:hint="default"/>
      </w:rPr>
    </w:lvl>
    <w:lvl w:ilvl="3" w:tplc="D59684A0" w:tentative="1">
      <w:start w:val="1"/>
      <w:numFmt w:val="bullet"/>
      <w:lvlText w:val="•"/>
      <w:lvlJc w:val="left"/>
      <w:pPr>
        <w:tabs>
          <w:tab w:val="num" w:pos="2880"/>
        </w:tabs>
        <w:ind w:left="2880" w:hanging="360"/>
      </w:pPr>
      <w:rPr>
        <w:rFonts w:ascii="Times New Roman" w:hAnsi="Times New Roman" w:hint="default"/>
      </w:rPr>
    </w:lvl>
    <w:lvl w:ilvl="4" w:tplc="675834AA" w:tentative="1">
      <w:start w:val="1"/>
      <w:numFmt w:val="bullet"/>
      <w:lvlText w:val="•"/>
      <w:lvlJc w:val="left"/>
      <w:pPr>
        <w:tabs>
          <w:tab w:val="num" w:pos="3600"/>
        </w:tabs>
        <w:ind w:left="3600" w:hanging="360"/>
      </w:pPr>
      <w:rPr>
        <w:rFonts w:ascii="Times New Roman" w:hAnsi="Times New Roman" w:hint="default"/>
      </w:rPr>
    </w:lvl>
    <w:lvl w:ilvl="5" w:tplc="C1A0BDFE" w:tentative="1">
      <w:start w:val="1"/>
      <w:numFmt w:val="bullet"/>
      <w:lvlText w:val="•"/>
      <w:lvlJc w:val="left"/>
      <w:pPr>
        <w:tabs>
          <w:tab w:val="num" w:pos="4320"/>
        </w:tabs>
        <w:ind w:left="4320" w:hanging="360"/>
      </w:pPr>
      <w:rPr>
        <w:rFonts w:ascii="Times New Roman" w:hAnsi="Times New Roman" w:hint="default"/>
      </w:rPr>
    </w:lvl>
    <w:lvl w:ilvl="6" w:tplc="4B1619F4" w:tentative="1">
      <w:start w:val="1"/>
      <w:numFmt w:val="bullet"/>
      <w:lvlText w:val="•"/>
      <w:lvlJc w:val="left"/>
      <w:pPr>
        <w:tabs>
          <w:tab w:val="num" w:pos="5040"/>
        </w:tabs>
        <w:ind w:left="5040" w:hanging="360"/>
      </w:pPr>
      <w:rPr>
        <w:rFonts w:ascii="Times New Roman" w:hAnsi="Times New Roman" w:hint="default"/>
      </w:rPr>
    </w:lvl>
    <w:lvl w:ilvl="7" w:tplc="21287AF0" w:tentative="1">
      <w:start w:val="1"/>
      <w:numFmt w:val="bullet"/>
      <w:lvlText w:val="•"/>
      <w:lvlJc w:val="left"/>
      <w:pPr>
        <w:tabs>
          <w:tab w:val="num" w:pos="5760"/>
        </w:tabs>
        <w:ind w:left="5760" w:hanging="360"/>
      </w:pPr>
      <w:rPr>
        <w:rFonts w:ascii="Times New Roman" w:hAnsi="Times New Roman" w:hint="default"/>
      </w:rPr>
    </w:lvl>
    <w:lvl w:ilvl="8" w:tplc="CBA6229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06"/>
    <w:rsid w:val="00533106"/>
    <w:rsid w:val="00AC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9B"/>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A699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699F"/>
    <w:rPr>
      <w:rFonts w:ascii="Consolas" w:hAnsi="Consolas" w:cs="Consolas"/>
      <w:sz w:val="21"/>
      <w:szCs w:val="21"/>
    </w:rPr>
  </w:style>
  <w:style w:type="paragraph" w:styleId="BalloonText">
    <w:name w:val="Balloon Text"/>
    <w:basedOn w:val="Normal"/>
    <w:link w:val="BalloonTextChar"/>
    <w:uiPriority w:val="99"/>
    <w:semiHidden/>
    <w:unhideWhenUsed/>
    <w:rsid w:val="00F3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E4B"/>
    <w:rPr>
      <w:rFonts w:ascii="Tahoma" w:hAnsi="Tahoma" w:cs="Tahoma"/>
      <w:sz w:val="16"/>
      <w:szCs w:val="16"/>
    </w:rPr>
  </w:style>
  <w:style w:type="paragraph" w:customStyle="1" w:styleId="Default">
    <w:name w:val="Default"/>
    <w:rsid w:val="004A433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B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2A9"/>
  </w:style>
  <w:style w:type="paragraph" w:styleId="Footer">
    <w:name w:val="footer"/>
    <w:basedOn w:val="Normal"/>
    <w:link w:val="FooterChar"/>
    <w:uiPriority w:val="99"/>
    <w:unhideWhenUsed/>
    <w:rsid w:val="005B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2A9"/>
  </w:style>
  <w:style w:type="paragraph" w:styleId="FootnoteText">
    <w:name w:val="footnote text"/>
    <w:basedOn w:val="Normal"/>
    <w:link w:val="FootnoteTextChar"/>
    <w:uiPriority w:val="99"/>
    <w:semiHidden/>
    <w:unhideWhenUsed/>
    <w:rsid w:val="00BD6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C06"/>
    <w:rPr>
      <w:sz w:val="20"/>
      <w:szCs w:val="20"/>
    </w:rPr>
  </w:style>
  <w:style w:type="character" w:styleId="FootnoteReference">
    <w:name w:val="footnote reference"/>
    <w:basedOn w:val="DefaultParagraphFont"/>
    <w:uiPriority w:val="99"/>
    <w:semiHidden/>
    <w:unhideWhenUsed/>
    <w:rsid w:val="00BD6C06"/>
    <w:rPr>
      <w:vertAlign w:val="superscript"/>
    </w:rPr>
  </w:style>
  <w:style w:type="paragraph" w:styleId="NoSpacing">
    <w:name w:val="No Spacing"/>
    <w:link w:val="NoSpacingChar"/>
    <w:uiPriority w:val="1"/>
    <w:qFormat/>
    <w:rsid w:val="00C94F57"/>
    <w:pPr>
      <w:spacing w:after="0" w:line="240" w:lineRule="auto"/>
    </w:pPr>
  </w:style>
  <w:style w:type="character" w:styleId="LineNumber">
    <w:name w:val="line number"/>
    <w:basedOn w:val="DefaultParagraphFont"/>
    <w:uiPriority w:val="99"/>
    <w:semiHidden/>
    <w:unhideWhenUsed/>
    <w:rsid w:val="00CB1A0A"/>
  </w:style>
  <w:style w:type="character" w:customStyle="1" w:styleId="NoSpacingChar">
    <w:name w:val="No Spacing Char"/>
    <w:basedOn w:val="DefaultParagraphFont"/>
    <w:link w:val="NoSpacing"/>
    <w:uiPriority w:val="1"/>
    <w:rsid w:val="00C83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09B"/>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A699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699F"/>
    <w:rPr>
      <w:rFonts w:ascii="Consolas" w:hAnsi="Consolas" w:cs="Consolas"/>
      <w:sz w:val="21"/>
      <w:szCs w:val="21"/>
    </w:rPr>
  </w:style>
  <w:style w:type="paragraph" w:styleId="BalloonText">
    <w:name w:val="Balloon Text"/>
    <w:basedOn w:val="Normal"/>
    <w:link w:val="BalloonTextChar"/>
    <w:uiPriority w:val="99"/>
    <w:semiHidden/>
    <w:unhideWhenUsed/>
    <w:rsid w:val="00F3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E4B"/>
    <w:rPr>
      <w:rFonts w:ascii="Tahoma" w:hAnsi="Tahoma" w:cs="Tahoma"/>
      <w:sz w:val="16"/>
      <w:szCs w:val="16"/>
    </w:rPr>
  </w:style>
  <w:style w:type="paragraph" w:customStyle="1" w:styleId="Default">
    <w:name w:val="Default"/>
    <w:rsid w:val="004A433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B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2A9"/>
  </w:style>
  <w:style w:type="paragraph" w:styleId="Footer">
    <w:name w:val="footer"/>
    <w:basedOn w:val="Normal"/>
    <w:link w:val="FooterChar"/>
    <w:uiPriority w:val="99"/>
    <w:unhideWhenUsed/>
    <w:rsid w:val="005B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2A9"/>
  </w:style>
  <w:style w:type="paragraph" w:styleId="FootnoteText">
    <w:name w:val="footnote text"/>
    <w:basedOn w:val="Normal"/>
    <w:link w:val="FootnoteTextChar"/>
    <w:uiPriority w:val="99"/>
    <w:semiHidden/>
    <w:unhideWhenUsed/>
    <w:rsid w:val="00BD6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6C06"/>
    <w:rPr>
      <w:sz w:val="20"/>
      <w:szCs w:val="20"/>
    </w:rPr>
  </w:style>
  <w:style w:type="character" w:styleId="FootnoteReference">
    <w:name w:val="footnote reference"/>
    <w:basedOn w:val="DefaultParagraphFont"/>
    <w:uiPriority w:val="99"/>
    <w:semiHidden/>
    <w:unhideWhenUsed/>
    <w:rsid w:val="00BD6C06"/>
    <w:rPr>
      <w:vertAlign w:val="superscript"/>
    </w:rPr>
  </w:style>
  <w:style w:type="paragraph" w:styleId="NoSpacing">
    <w:name w:val="No Spacing"/>
    <w:link w:val="NoSpacingChar"/>
    <w:uiPriority w:val="1"/>
    <w:qFormat/>
    <w:rsid w:val="00C94F57"/>
    <w:pPr>
      <w:spacing w:after="0" w:line="240" w:lineRule="auto"/>
    </w:pPr>
  </w:style>
  <w:style w:type="character" w:styleId="LineNumber">
    <w:name w:val="line number"/>
    <w:basedOn w:val="DefaultParagraphFont"/>
    <w:uiPriority w:val="99"/>
    <w:semiHidden/>
    <w:unhideWhenUsed/>
    <w:rsid w:val="00CB1A0A"/>
  </w:style>
  <w:style w:type="character" w:customStyle="1" w:styleId="NoSpacingChar">
    <w:name w:val="No Spacing Char"/>
    <w:basedOn w:val="DefaultParagraphFont"/>
    <w:link w:val="NoSpacing"/>
    <w:uiPriority w:val="1"/>
    <w:rsid w:val="00C8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3738">
      <w:bodyDiv w:val="1"/>
      <w:marLeft w:val="0"/>
      <w:marRight w:val="0"/>
      <w:marTop w:val="0"/>
      <w:marBottom w:val="0"/>
      <w:divBdr>
        <w:top w:val="none" w:sz="0" w:space="0" w:color="auto"/>
        <w:left w:val="none" w:sz="0" w:space="0" w:color="auto"/>
        <w:bottom w:val="none" w:sz="0" w:space="0" w:color="auto"/>
        <w:right w:val="none" w:sz="0" w:space="0" w:color="auto"/>
      </w:divBdr>
      <w:divsChild>
        <w:div w:id="1044982970">
          <w:marLeft w:val="547"/>
          <w:marRight w:val="0"/>
          <w:marTop w:val="96"/>
          <w:marBottom w:val="0"/>
          <w:divBdr>
            <w:top w:val="none" w:sz="0" w:space="0" w:color="auto"/>
            <w:left w:val="none" w:sz="0" w:space="0" w:color="auto"/>
            <w:bottom w:val="none" w:sz="0" w:space="0" w:color="auto"/>
            <w:right w:val="none" w:sz="0" w:space="0" w:color="auto"/>
          </w:divBdr>
        </w:div>
        <w:div w:id="557594957">
          <w:marLeft w:val="547"/>
          <w:marRight w:val="0"/>
          <w:marTop w:val="96"/>
          <w:marBottom w:val="0"/>
          <w:divBdr>
            <w:top w:val="none" w:sz="0" w:space="0" w:color="auto"/>
            <w:left w:val="none" w:sz="0" w:space="0" w:color="auto"/>
            <w:bottom w:val="none" w:sz="0" w:space="0" w:color="auto"/>
            <w:right w:val="none" w:sz="0" w:space="0" w:color="auto"/>
          </w:divBdr>
        </w:div>
        <w:div w:id="382144555">
          <w:marLeft w:val="547"/>
          <w:marRight w:val="0"/>
          <w:marTop w:val="96"/>
          <w:marBottom w:val="0"/>
          <w:divBdr>
            <w:top w:val="none" w:sz="0" w:space="0" w:color="auto"/>
            <w:left w:val="none" w:sz="0" w:space="0" w:color="auto"/>
            <w:bottom w:val="none" w:sz="0" w:space="0" w:color="auto"/>
            <w:right w:val="none" w:sz="0" w:space="0" w:color="auto"/>
          </w:divBdr>
        </w:div>
        <w:div w:id="1000814986">
          <w:marLeft w:val="547"/>
          <w:marRight w:val="0"/>
          <w:marTop w:val="96"/>
          <w:marBottom w:val="0"/>
          <w:divBdr>
            <w:top w:val="none" w:sz="0" w:space="0" w:color="auto"/>
            <w:left w:val="none" w:sz="0" w:space="0" w:color="auto"/>
            <w:bottom w:val="none" w:sz="0" w:space="0" w:color="auto"/>
            <w:right w:val="none" w:sz="0" w:space="0" w:color="auto"/>
          </w:divBdr>
        </w:div>
      </w:divsChild>
    </w:div>
    <w:div w:id="295064319">
      <w:bodyDiv w:val="1"/>
      <w:marLeft w:val="0"/>
      <w:marRight w:val="0"/>
      <w:marTop w:val="0"/>
      <w:marBottom w:val="0"/>
      <w:divBdr>
        <w:top w:val="none" w:sz="0" w:space="0" w:color="auto"/>
        <w:left w:val="none" w:sz="0" w:space="0" w:color="auto"/>
        <w:bottom w:val="none" w:sz="0" w:space="0" w:color="auto"/>
        <w:right w:val="none" w:sz="0" w:space="0" w:color="auto"/>
      </w:divBdr>
    </w:div>
    <w:div w:id="693775512">
      <w:bodyDiv w:val="1"/>
      <w:marLeft w:val="0"/>
      <w:marRight w:val="0"/>
      <w:marTop w:val="0"/>
      <w:marBottom w:val="0"/>
      <w:divBdr>
        <w:top w:val="none" w:sz="0" w:space="0" w:color="auto"/>
        <w:left w:val="none" w:sz="0" w:space="0" w:color="auto"/>
        <w:bottom w:val="none" w:sz="0" w:space="0" w:color="auto"/>
        <w:right w:val="none" w:sz="0" w:space="0" w:color="auto"/>
      </w:divBdr>
      <w:divsChild>
        <w:div w:id="392777068">
          <w:marLeft w:val="547"/>
          <w:marRight w:val="0"/>
          <w:marTop w:val="96"/>
          <w:marBottom w:val="0"/>
          <w:divBdr>
            <w:top w:val="none" w:sz="0" w:space="0" w:color="auto"/>
            <w:left w:val="none" w:sz="0" w:space="0" w:color="auto"/>
            <w:bottom w:val="none" w:sz="0" w:space="0" w:color="auto"/>
            <w:right w:val="none" w:sz="0" w:space="0" w:color="auto"/>
          </w:divBdr>
        </w:div>
        <w:div w:id="1571963331">
          <w:marLeft w:val="547"/>
          <w:marRight w:val="0"/>
          <w:marTop w:val="96"/>
          <w:marBottom w:val="0"/>
          <w:divBdr>
            <w:top w:val="none" w:sz="0" w:space="0" w:color="auto"/>
            <w:left w:val="none" w:sz="0" w:space="0" w:color="auto"/>
            <w:bottom w:val="none" w:sz="0" w:space="0" w:color="auto"/>
            <w:right w:val="none" w:sz="0" w:space="0" w:color="auto"/>
          </w:divBdr>
        </w:div>
        <w:div w:id="64180812">
          <w:marLeft w:val="547"/>
          <w:marRight w:val="0"/>
          <w:marTop w:val="96"/>
          <w:marBottom w:val="0"/>
          <w:divBdr>
            <w:top w:val="none" w:sz="0" w:space="0" w:color="auto"/>
            <w:left w:val="none" w:sz="0" w:space="0" w:color="auto"/>
            <w:bottom w:val="none" w:sz="0" w:space="0" w:color="auto"/>
            <w:right w:val="none" w:sz="0" w:space="0" w:color="auto"/>
          </w:divBdr>
        </w:div>
        <w:div w:id="1670911885">
          <w:marLeft w:val="1166"/>
          <w:marRight w:val="0"/>
          <w:marTop w:val="96"/>
          <w:marBottom w:val="0"/>
          <w:divBdr>
            <w:top w:val="none" w:sz="0" w:space="0" w:color="auto"/>
            <w:left w:val="none" w:sz="0" w:space="0" w:color="auto"/>
            <w:bottom w:val="none" w:sz="0" w:space="0" w:color="auto"/>
            <w:right w:val="none" w:sz="0" w:space="0" w:color="auto"/>
          </w:divBdr>
        </w:div>
        <w:div w:id="1623147578">
          <w:marLeft w:val="547"/>
          <w:marRight w:val="0"/>
          <w:marTop w:val="96"/>
          <w:marBottom w:val="0"/>
          <w:divBdr>
            <w:top w:val="none" w:sz="0" w:space="0" w:color="auto"/>
            <w:left w:val="none" w:sz="0" w:space="0" w:color="auto"/>
            <w:bottom w:val="none" w:sz="0" w:space="0" w:color="auto"/>
            <w:right w:val="none" w:sz="0" w:space="0" w:color="auto"/>
          </w:divBdr>
        </w:div>
        <w:div w:id="555774798">
          <w:marLeft w:val="547"/>
          <w:marRight w:val="0"/>
          <w:marTop w:val="96"/>
          <w:marBottom w:val="0"/>
          <w:divBdr>
            <w:top w:val="none" w:sz="0" w:space="0" w:color="auto"/>
            <w:left w:val="none" w:sz="0" w:space="0" w:color="auto"/>
            <w:bottom w:val="none" w:sz="0" w:space="0" w:color="auto"/>
            <w:right w:val="none" w:sz="0" w:space="0" w:color="auto"/>
          </w:divBdr>
        </w:div>
      </w:divsChild>
    </w:div>
    <w:div w:id="1491403620">
      <w:bodyDiv w:val="1"/>
      <w:marLeft w:val="0"/>
      <w:marRight w:val="0"/>
      <w:marTop w:val="0"/>
      <w:marBottom w:val="0"/>
      <w:divBdr>
        <w:top w:val="none" w:sz="0" w:space="0" w:color="auto"/>
        <w:left w:val="none" w:sz="0" w:space="0" w:color="auto"/>
        <w:bottom w:val="none" w:sz="0" w:space="0" w:color="auto"/>
        <w:right w:val="none" w:sz="0" w:space="0" w:color="auto"/>
      </w:divBdr>
      <w:divsChild>
        <w:div w:id="810630959">
          <w:marLeft w:val="547"/>
          <w:marRight w:val="0"/>
          <w:marTop w:val="115"/>
          <w:marBottom w:val="0"/>
          <w:divBdr>
            <w:top w:val="none" w:sz="0" w:space="0" w:color="auto"/>
            <w:left w:val="none" w:sz="0" w:space="0" w:color="auto"/>
            <w:bottom w:val="none" w:sz="0" w:space="0" w:color="auto"/>
            <w:right w:val="none" w:sz="0" w:space="0" w:color="auto"/>
          </w:divBdr>
        </w:div>
        <w:div w:id="129428757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2013-02-28T08:00:00+00:00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9433EA1-0E6C-4DF1-AAF3-47044BB60C86}"/>
</file>

<file path=customXml/itemProps2.xml><?xml version="1.0" encoding="utf-8"?>
<ds:datastoreItem xmlns:ds="http://schemas.openxmlformats.org/officeDocument/2006/customXml" ds:itemID="{775A7706-D433-44F6-A08C-9BC61FE89046}"/>
</file>

<file path=customXml/itemProps3.xml><?xml version="1.0" encoding="utf-8"?>
<ds:datastoreItem xmlns:ds="http://schemas.openxmlformats.org/officeDocument/2006/customXml" ds:itemID="{404DAE69-216E-40C1-B4D0-C15380F36B08}"/>
</file>

<file path=customXml/itemProps4.xml><?xml version="1.0" encoding="utf-8"?>
<ds:datastoreItem xmlns:ds="http://schemas.openxmlformats.org/officeDocument/2006/customXml" ds:itemID="{22E7F92C-23C6-466F-8241-519C75F8588A}"/>
</file>

<file path=docProps/app.xml><?xml version="1.0" encoding="utf-8"?>
<Properties xmlns="http://schemas.openxmlformats.org/officeDocument/2006/extended-properties" xmlns:vt="http://schemas.openxmlformats.org/officeDocument/2006/docPropsVTypes">
  <Template>Normal.dotm</Template>
  <TotalTime>0</TotalTime>
  <Pages>24</Pages>
  <Words>4578</Words>
  <Characters>26098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2013-02-28T18:21:00Z</cp:lastPrinted>
  <dcterms:created xsi:type="dcterms:W3CDTF">2013-02-28T22:59:00Z</dcterms:created>
  <dcterms:modified xsi:type="dcterms:W3CDTF">2013-02-28T22:59:00Z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