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4A058" w14:textId="77777777" w:rsidR="001D5CEE" w:rsidRPr="00C276ED" w:rsidRDefault="001D5CEE" w:rsidP="001D5CEE">
      <w:pPr>
        <w:tabs>
          <w:tab w:val="left" w:pos="-1440"/>
          <w:tab w:val="left" w:pos="-720"/>
          <w:tab w:val="left" w:pos="0"/>
          <w:tab w:val="left" w:pos="1080"/>
          <w:tab w:val="left" w:pos="1440"/>
        </w:tabs>
        <w:suppressAutoHyphens/>
        <w:overflowPunct w:val="0"/>
        <w:autoSpaceDE w:val="0"/>
        <w:autoSpaceDN w:val="0"/>
        <w:adjustRightInd w:val="0"/>
        <w:spacing w:before="0" w:after="0" w:line="240" w:lineRule="auto"/>
        <w:jc w:val="center"/>
        <w:textAlignment w:val="baseline"/>
        <w:rPr>
          <w:rFonts w:ascii="Arial" w:eastAsia="Times New Roman" w:hAnsi="Arial" w:cs="Times New Roman"/>
          <w:color w:val="auto"/>
          <w:spacing w:val="-3"/>
          <w:sz w:val="24"/>
          <w:lang w:eastAsia="en-US"/>
        </w:rPr>
      </w:pPr>
      <w:bookmarkStart w:id="0" w:name="_Toc321147149"/>
      <w:bookmarkStart w:id="1" w:name="_Toc318188227"/>
      <w:bookmarkStart w:id="2" w:name="_Toc318188327"/>
      <w:bookmarkStart w:id="3" w:name="_Toc318189312"/>
      <w:bookmarkStart w:id="4" w:name="_Toc321147011"/>
    </w:p>
    <w:p w14:paraId="4400DE04" w14:textId="77777777" w:rsidR="005D3722" w:rsidRDefault="005D3722" w:rsidP="00C8631A">
      <w:pPr>
        <w:tabs>
          <w:tab w:val="center" w:pos="4680"/>
        </w:tabs>
        <w:suppressAutoHyphens/>
        <w:overflowPunct w:val="0"/>
        <w:autoSpaceDE w:val="0"/>
        <w:autoSpaceDN w:val="0"/>
        <w:adjustRightInd w:val="0"/>
        <w:spacing w:before="0" w:after="0" w:line="240" w:lineRule="auto"/>
        <w:textAlignment w:val="baseline"/>
        <w:rPr>
          <w:rFonts w:ascii="Arial" w:eastAsia="Times New Roman" w:hAnsi="Arial" w:cs="Times New Roman"/>
          <w:b/>
          <w:color w:val="auto"/>
          <w:spacing w:val="-4"/>
          <w:sz w:val="24"/>
          <w:szCs w:val="24"/>
          <w:lang w:eastAsia="en-US"/>
        </w:rPr>
      </w:pPr>
    </w:p>
    <w:p w14:paraId="667FA015" w14:textId="77777777" w:rsidR="00C12503" w:rsidRDefault="00C12503" w:rsidP="00C8631A">
      <w:pPr>
        <w:tabs>
          <w:tab w:val="center" w:pos="4680"/>
        </w:tabs>
        <w:suppressAutoHyphens/>
        <w:overflowPunct w:val="0"/>
        <w:autoSpaceDE w:val="0"/>
        <w:autoSpaceDN w:val="0"/>
        <w:adjustRightInd w:val="0"/>
        <w:spacing w:before="0" w:after="0" w:line="240" w:lineRule="auto"/>
        <w:textAlignment w:val="baseline"/>
        <w:rPr>
          <w:rFonts w:ascii="Arial" w:eastAsia="Times New Roman" w:hAnsi="Arial" w:cs="Times New Roman"/>
          <w:b/>
          <w:color w:val="auto"/>
          <w:spacing w:val="-4"/>
          <w:sz w:val="24"/>
          <w:szCs w:val="24"/>
          <w:lang w:eastAsia="en-US"/>
        </w:rPr>
      </w:pPr>
    </w:p>
    <w:p w14:paraId="492D3725" w14:textId="77777777" w:rsidR="00C12503" w:rsidRDefault="00C12503" w:rsidP="00C8631A">
      <w:pPr>
        <w:tabs>
          <w:tab w:val="center" w:pos="4680"/>
        </w:tabs>
        <w:suppressAutoHyphens/>
        <w:overflowPunct w:val="0"/>
        <w:autoSpaceDE w:val="0"/>
        <w:autoSpaceDN w:val="0"/>
        <w:adjustRightInd w:val="0"/>
        <w:spacing w:before="0" w:after="0" w:line="240" w:lineRule="auto"/>
        <w:textAlignment w:val="baseline"/>
        <w:rPr>
          <w:rFonts w:ascii="Arial" w:eastAsia="Times New Roman" w:hAnsi="Arial" w:cs="Times New Roman"/>
          <w:b/>
          <w:color w:val="auto"/>
          <w:spacing w:val="-4"/>
          <w:sz w:val="24"/>
          <w:szCs w:val="24"/>
          <w:lang w:eastAsia="en-US"/>
        </w:rPr>
      </w:pPr>
    </w:p>
    <w:p w14:paraId="66A972DC" w14:textId="77777777" w:rsidR="00C12503" w:rsidRDefault="00C12503" w:rsidP="00C8631A">
      <w:pPr>
        <w:tabs>
          <w:tab w:val="center" w:pos="4680"/>
        </w:tabs>
        <w:suppressAutoHyphens/>
        <w:overflowPunct w:val="0"/>
        <w:autoSpaceDE w:val="0"/>
        <w:autoSpaceDN w:val="0"/>
        <w:adjustRightInd w:val="0"/>
        <w:spacing w:before="0" w:after="0" w:line="240" w:lineRule="auto"/>
        <w:textAlignment w:val="baseline"/>
        <w:rPr>
          <w:rFonts w:ascii="Arial" w:eastAsia="Times New Roman" w:hAnsi="Arial" w:cs="Times New Roman"/>
          <w:b/>
          <w:color w:val="auto"/>
          <w:spacing w:val="-4"/>
          <w:sz w:val="24"/>
          <w:szCs w:val="24"/>
          <w:lang w:eastAsia="en-US"/>
        </w:rPr>
      </w:pPr>
    </w:p>
    <w:p w14:paraId="0DA85BC2" w14:textId="77777777" w:rsidR="00C12503" w:rsidRDefault="00C12503" w:rsidP="00C8631A">
      <w:pPr>
        <w:tabs>
          <w:tab w:val="center" w:pos="4680"/>
        </w:tabs>
        <w:suppressAutoHyphens/>
        <w:overflowPunct w:val="0"/>
        <w:autoSpaceDE w:val="0"/>
        <w:autoSpaceDN w:val="0"/>
        <w:adjustRightInd w:val="0"/>
        <w:spacing w:before="0" w:after="0" w:line="240" w:lineRule="auto"/>
        <w:textAlignment w:val="baseline"/>
        <w:rPr>
          <w:rFonts w:ascii="Arial" w:eastAsia="Times New Roman" w:hAnsi="Arial" w:cs="Times New Roman"/>
          <w:b/>
          <w:color w:val="auto"/>
          <w:spacing w:val="-4"/>
          <w:sz w:val="24"/>
          <w:szCs w:val="24"/>
          <w:lang w:eastAsia="en-US"/>
        </w:rPr>
      </w:pPr>
    </w:p>
    <w:p w14:paraId="0ED4E24B" w14:textId="77777777" w:rsidR="00C12503" w:rsidRDefault="00C12503" w:rsidP="00C8631A">
      <w:pPr>
        <w:tabs>
          <w:tab w:val="center" w:pos="4680"/>
        </w:tabs>
        <w:suppressAutoHyphens/>
        <w:overflowPunct w:val="0"/>
        <w:autoSpaceDE w:val="0"/>
        <w:autoSpaceDN w:val="0"/>
        <w:adjustRightInd w:val="0"/>
        <w:spacing w:before="0" w:after="0" w:line="240" w:lineRule="auto"/>
        <w:textAlignment w:val="baseline"/>
        <w:rPr>
          <w:rFonts w:ascii="Arial" w:eastAsia="Times New Roman" w:hAnsi="Arial" w:cs="Times New Roman"/>
          <w:b/>
          <w:color w:val="auto"/>
          <w:spacing w:val="-4"/>
          <w:sz w:val="24"/>
          <w:szCs w:val="24"/>
          <w:lang w:eastAsia="en-US"/>
        </w:rPr>
      </w:pPr>
    </w:p>
    <w:p w14:paraId="17FA0F4C" w14:textId="77777777" w:rsidR="00C12503" w:rsidRDefault="00C12503" w:rsidP="00C8631A">
      <w:pPr>
        <w:tabs>
          <w:tab w:val="center" w:pos="4680"/>
        </w:tabs>
        <w:suppressAutoHyphens/>
        <w:overflowPunct w:val="0"/>
        <w:autoSpaceDE w:val="0"/>
        <w:autoSpaceDN w:val="0"/>
        <w:adjustRightInd w:val="0"/>
        <w:spacing w:before="0" w:after="0" w:line="240" w:lineRule="auto"/>
        <w:textAlignment w:val="baseline"/>
        <w:rPr>
          <w:rFonts w:ascii="Arial" w:eastAsia="Times New Roman" w:hAnsi="Arial" w:cs="Times New Roman"/>
          <w:b/>
          <w:color w:val="auto"/>
          <w:spacing w:val="-4"/>
          <w:sz w:val="24"/>
          <w:szCs w:val="24"/>
          <w:lang w:eastAsia="en-US"/>
        </w:rPr>
      </w:pPr>
    </w:p>
    <w:p w14:paraId="6F2984FD" w14:textId="77777777" w:rsidR="00C12503" w:rsidRDefault="00C12503" w:rsidP="00C8631A">
      <w:pPr>
        <w:tabs>
          <w:tab w:val="center" w:pos="4680"/>
        </w:tabs>
        <w:suppressAutoHyphens/>
        <w:overflowPunct w:val="0"/>
        <w:autoSpaceDE w:val="0"/>
        <w:autoSpaceDN w:val="0"/>
        <w:adjustRightInd w:val="0"/>
        <w:spacing w:before="0" w:after="0" w:line="240" w:lineRule="auto"/>
        <w:textAlignment w:val="baseline"/>
        <w:rPr>
          <w:rFonts w:ascii="Arial" w:eastAsia="Times New Roman" w:hAnsi="Arial" w:cs="Times New Roman"/>
          <w:b/>
          <w:color w:val="auto"/>
          <w:spacing w:val="-4"/>
          <w:sz w:val="24"/>
          <w:szCs w:val="24"/>
          <w:lang w:eastAsia="en-US"/>
        </w:rPr>
      </w:pPr>
    </w:p>
    <w:p w14:paraId="26DFC876" w14:textId="77777777" w:rsidR="00C12503" w:rsidRDefault="00C12503" w:rsidP="00C8631A">
      <w:pPr>
        <w:tabs>
          <w:tab w:val="center" w:pos="4680"/>
        </w:tabs>
        <w:suppressAutoHyphens/>
        <w:overflowPunct w:val="0"/>
        <w:autoSpaceDE w:val="0"/>
        <w:autoSpaceDN w:val="0"/>
        <w:adjustRightInd w:val="0"/>
        <w:spacing w:before="0" w:after="0" w:line="240" w:lineRule="auto"/>
        <w:textAlignment w:val="baseline"/>
        <w:rPr>
          <w:rFonts w:ascii="Arial" w:eastAsia="Times New Roman" w:hAnsi="Arial" w:cs="Times New Roman"/>
          <w:b/>
          <w:color w:val="auto"/>
          <w:spacing w:val="-4"/>
          <w:sz w:val="24"/>
          <w:szCs w:val="24"/>
          <w:lang w:eastAsia="en-US"/>
        </w:rPr>
      </w:pPr>
    </w:p>
    <w:p w14:paraId="721A15BB" w14:textId="77777777" w:rsidR="00C12503" w:rsidRDefault="00C12503" w:rsidP="00C8631A">
      <w:pPr>
        <w:tabs>
          <w:tab w:val="center" w:pos="4680"/>
        </w:tabs>
        <w:suppressAutoHyphens/>
        <w:overflowPunct w:val="0"/>
        <w:autoSpaceDE w:val="0"/>
        <w:autoSpaceDN w:val="0"/>
        <w:adjustRightInd w:val="0"/>
        <w:spacing w:before="0" w:after="0" w:line="240" w:lineRule="auto"/>
        <w:textAlignment w:val="baseline"/>
        <w:rPr>
          <w:rFonts w:ascii="Arial" w:eastAsia="Times New Roman" w:hAnsi="Arial" w:cs="Times New Roman"/>
          <w:b/>
          <w:color w:val="auto"/>
          <w:spacing w:val="-4"/>
          <w:sz w:val="24"/>
          <w:szCs w:val="24"/>
          <w:lang w:eastAsia="en-US"/>
        </w:rPr>
      </w:pPr>
    </w:p>
    <w:p w14:paraId="6DC08FFB" w14:textId="77777777" w:rsidR="00C12503" w:rsidRDefault="00C12503" w:rsidP="00C8631A">
      <w:pPr>
        <w:tabs>
          <w:tab w:val="center" w:pos="4680"/>
        </w:tabs>
        <w:suppressAutoHyphens/>
        <w:overflowPunct w:val="0"/>
        <w:autoSpaceDE w:val="0"/>
        <w:autoSpaceDN w:val="0"/>
        <w:adjustRightInd w:val="0"/>
        <w:spacing w:before="0" w:after="0" w:line="240" w:lineRule="auto"/>
        <w:textAlignment w:val="baseline"/>
        <w:rPr>
          <w:rFonts w:ascii="Arial" w:eastAsia="Times New Roman" w:hAnsi="Arial" w:cs="Times New Roman"/>
          <w:b/>
          <w:color w:val="auto"/>
          <w:spacing w:val="-4"/>
          <w:sz w:val="24"/>
          <w:szCs w:val="24"/>
          <w:lang w:eastAsia="en-US"/>
        </w:rPr>
      </w:pPr>
    </w:p>
    <w:p w14:paraId="0F608380" w14:textId="77777777" w:rsidR="00C12503" w:rsidRDefault="00C12503" w:rsidP="00C8631A">
      <w:pPr>
        <w:tabs>
          <w:tab w:val="center" w:pos="4680"/>
        </w:tabs>
        <w:suppressAutoHyphens/>
        <w:overflowPunct w:val="0"/>
        <w:autoSpaceDE w:val="0"/>
        <w:autoSpaceDN w:val="0"/>
        <w:adjustRightInd w:val="0"/>
        <w:spacing w:before="0" w:after="0" w:line="240" w:lineRule="auto"/>
        <w:textAlignment w:val="baseline"/>
        <w:rPr>
          <w:rFonts w:ascii="Arial" w:eastAsia="Times New Roman" w:hAnsi="Arial" w:cs="Times New Roman"/>
          <w:b/>
          <w:color w:val="auto"/>
          <w:spacing w:val="-4"/>
          <w:sz w:val="24"/>
          <w:szCs w:val="24"/>
          <w:lang w:eastAsia="en-US"/>
        </w:rPr>
      </w:pPr>
    </w:p>
    <w:p w14:paraId="04A18DF6" w14:textId="77777777" w:rsidR="00C12503" w:rsidRDefault="00C12503" w:rsidP="00C8631A">
      <w:pPr>
        <w:tabs>
          <w:tab w:val="center" w:pos="4680"/>
        </w:tabs>
        <w:suppressAutoHyphens/>
        <w:overflowPunct w:val="0"/>
        <w:autoSpaceDE w:val="0"/>
        <w:autoSpaceDN w:val="0"/>
        <w:adjustRightInd w:val="0"/>
        <w:spacing w:before="0" w:after="0" w:line="240" w:lineRule="auto"/>
        <w:textAlignment w:val="baseline"/>
        <w:rPr>
          <w:rFonts w:ascii="Arial" w:eastAsia="Times New Roman" w:hAnsi="Arial" w:cs="Times New Roman"/>
          <w:b/>
          <w:color w:val="auto"/>
          <w:spacing w:val="-4"/>
          <w:sz w:val="24"/>
          <w:szCs w:val="24"/>
          <w:lang w:eastAsia="en-US"/>
        </w:rPr>
      </w:pPr>
    </w:p>
    <w:p w14:paraId="44CFBC48" w14:textId="77777777" w:rsidR="00C12503" w:rsidRDefault="00C12503" w:rsidP="00C8631A">
      <w:pPr>
        <w:tabs>
          <w:tab w:val="center" w:pos="4680"/>
        </w:tabs>
        <w:suppressAutoHyphens/>
        <w:overflowPunct w:val="0"/>
        <w:autoSpaceDE w:val="0"/>
        <w:autoSpaceDN w:val="0"/>
        <w:adjustRightInd w:val="0"/>
        <w:spacing w:before="0" w:after="0" w:line="240" w:lineRule="auto"/>
        <w:textAlignment w:val="baseline"/>
        <w:rPr>
          <w:rFonts w:ascii="Arial" w:eastAsia="Times New Roman" w:hAnsi="Arial" w:cs="Times New Roman"/>
          <w:b/>
          <w:color w:val="auto"/>
          <w:spacing w:val="-4"/>
          <w:sz w:val="24"/>
          <w:szCs w:val="24"/>
          <w:lang w:eastAsia="en-US"/>
        </w:rPr>
      </w:pPr>
    </w:p>
    <w:p w14:paraId="7076EC8C" w14:textId="77777777" w:rsidR="00C12503" w:rsidRDefault="00C12503" w:rsidP="00C8631A">
      <w:pPr>
        <w:tabs>
          <w:tab w:val="center" w:pos="4680"/>
        </w:tabs>
        <w:suppressAutoHyphens/>
        <w:overflowPunct w:val="0"/>
        <w:autoSpaceDE w:val="0"/>
        <w:autoSpaceDN w:val="0"/>
        <w:adjustRightInd w:val="0"/>
        <w:spacing w:before="0" w:after="0" w:line="240" w:lineRule="auto"/>
        <w:textAlignment w:val="baseline"/>
        <w:rPr>
          <w:rFonts w:ascii="Arial" w:eastAsia="Times New Roman" w:hAnsi="Arial" w:cs="Times New Roman"/>
          <w:b/>
          <w:color w:val="auto"/>
          <w:spacing w:val="-4"/>
          <w:sz w:val="24"/>
          <w:szCs w:val="24"/>
          <w:lang w:eastAsia="en-US"/>
        </w:rPr>
      </w:pPr>
    </w:p>
    <w:p w14:paraId="1D5DA143" w14:textId="77777777" w:rsidR="00C12503" w:rsidRPr="00C12503" w:rsidRDefault="00C12503" w:rsidP="00C8631A">
      <w:pPr>
        <w:tabs>
          <w:tab w:val="center" w:pos="4680"/>
        </w:tabs>
        <w:suppressAutoHyphens/>
        <w:overflowPunct w:val="0"/>
        <w:autoSpaceDE w:val="0"/>
        <w:autoSpaceDN w:val="0"/>
        <w:adjustRightInd w:val="0"/>
        <w:spacing w:before="0" w:after="0" w:line="240" w:lineRule="auto"/>
        <w:textAlignment w:val="baseline"/>
        <w:rPr>
          <w:rFonts w:ascii="Arial" w:eastAsia="Times New Roman" w:hAnsi="Arial" w:cs="Times New Roman"/>
          <w:b/>
          <w:color w:val="auto"/>
          <w:spacing w:val="-4"/>
          <w:sz w:val="24"/>
          <w:szCs w:val="24"/>
          <w:lang w:eastAsia="en-US"/>
        </w:rPr>
      </w:pPr>
    </w:p>
    <w:p w14:paraId="4BA81CD8" w14:textId="77777777" w:rsidR="001D5CEE" w:rsidRPr="00C276ED" w:rsidRDefault="001D5CEE" w:rsidP="00C8631A">
      <w:pPr>
        <w:tabs>
          <w:tab w:val="center" w:pos="4680"/>
        </w:tabs>
        <w:suppressAutoHyphens/>
        <w:overflowPunct w:val="0"/>
        <w:autoSpaceDE w:val="0"/>
        <w:autoSpaceDN w:val="0"/>
        <w:adjustRightInd w:val="0"/>
        <w:spacing w:before="0" w:after="0" w:line="240" w:lineRule="auto"/>
        <w:textAlignment w:val="baseline"/>
        <w:rPr>
          <w:rFonts w:ascii="Arial" w:eastAsia="Times New Roman" w:hAnsi="Arial" w:cs="Times New Roman"/>
          <w:b/>
          <w:color w:val="auto"/>
          <w:spacing w:val="-4"/>
          <w:sz w:val="36"/>
          <w:lang w:eastAsia="en-US"/>
        </w:rPr>
      </w:pPr>
      <w:r w:rsidRPr="00C276ED">
        <w:rPr>
          <w:rFonts w:ascii="Arial" w:eastAsia="Times New Roman" w:hAnsi="Arial" w:cs="Times New Roman"/>
          <w:b/>
          <w:color w:val="auto"/>
          <w:spacing w:val="-4"/>
          <w:sz w:val="36"/>
          <w:lang w:eastAsia="en-US"/>
        </w:rPr>
        <w:t>SECTION 5</w:t>
      </w:r>
    </w:p>
    <w:p w14:paraId="0B67723F" w14:textId="77777777" w:rsidR="001D5CEE" w:rsidRPr="00C276ED" w:rsidRDefault="001D5CEE" w:rsidP="00C8631A">
      <w:pPr>
        <w:tabs>
          <w:tab w:val="left" w:pos="-1440"/>
          <w:tab w:val="left" w:pos="-720"/>
          <w:tab w:val="left" w:pos="0"/>
          <w:tab w:val="left" w:pos="1080"/>
          <w:tab w:val="left" w:pos="1440"/>
        </w:tabs>
        <w:suppressAutoHyphens/>
        <w:overflowPunct w:val="0"/>
        <w:autoSpaceDE w:val="0"/>
        <w:autoSpaceDN w:val="0"/>
        <w:adjustRightInd w:val="0"/>
        <w:spacing w:before="0" w:after="0" w:line="240" w:lineRule="auto"/>
        <w:textAlignment w:val="baseline"/>
        <w:rPr>
          <w:rFonts w:ascii="Arial" w:eastAsia="Times New Roman" w:hAnsi="Arial" w:cs="Times New Roman"/>
          <w:b/>
          <w:color w:val="auto"/>
          <w:spacing w:val="-4"/>
          <w:sz w:val="36"/>
          <w:lang w:eastAsia="en-US"/>
        </w:rPr>
      </w:pPr>
    </w:p>
    <w:p w14:paraId="1A96A452" w14:textId="77777777" w:rsidR="001D5CEE" w:rsidRPr="00C276ED" w:rsidRDefault="001D5CEE" w:rsidP="00C8631A">
      <w:pPr>
        <w:tabs>
          <w:tab w:val="center" w:pos="4680"/>
        </w:tabs>
        <w:suppressAutoHyphens/>
        <w:overflowPunct w:val="0"/>
        <w:autoSpaceDE w:val="0"/>
        <w:autoSpaceDN w:val="0"/>
        <w:adjustRightInd w:val="0"/>
        <w:spacing w:before="0" w:after="0" w:line="240" w:lineRule="auto"/>
        <w:textAlignment w:val="baseline"/>
        <w:rPr>
          <w:rFonts w:ascii="Arial" w:eastAsia="Times New Roman" w:hAnsi="Arial" w:cs="Times New Roman"/>
          <w:b/>
          <w:color w:val="auto"/>
          <w:spacing w:val="-4"/>
          <w:sz w:val="36"/>
          <w:lang w:eastAsia="en-US"/>
        </w:rPr>
      </w:pPr>
      <w:r w:rsidRPr="00C276ED">
        <w:rPr>
          <w:rFonts w:ascii="Arial" w:eastAsia="Times New Roman" w:hAnsi="Arial" w:cs="Times New Roman"/>
          <w:b/>
          <w:color w:val="auto"/>
          <w:spacing w:val="-4"/>
          <w:sz w:val="36"/>
          <w:lang w:eastAsia="en-US"/>
        </w:rPr>
        <w:t>ENVIRONMENTAL CONSIDERATONS</w:t>
      </w:r>
    </w:p>
    <w:p w14:paraId="202A9191" w14:textId="77777777" w:rsidR="000715A9" w:rsidRPr="00C276ED" w:rsidRDefault="000715A9" w:rsidP="00CC0840">
      <w:pPr>
        <w:pStyle w:val="NoSpacing"/>
        <w:jc w:val="both"/>
        <w:rPr>
          <w:rFonts w:ascii="Arial" w:hAnsi="Arial" w:cs="Arial"/>
          <w:sz w:val="24"/>
          <w:szCs w:val="24"/>
        </w:rPr>
      </w:pPr>
    </w:p>
    <w:p w14:paraId="1C1F2EDC" w14:textId="77777777" w:rsidR="000715A9" w:rsidRPr="00C276ED" w:rsidRDefault="000715A9" w:rsidP="00CC0840">
      <w:pPr>
        <w:pStyle w:val="NoSpacing"/>
        <w:jc w:val="both"/>
        <w:rPr>
          <w:rFonts w:ascii="Arial" w:hAnsi="Arial" w:cs="Arial"/>
          <w:sz w:val="24"/>
          <w:szCs w:val="24"/>
        </w:rPr>
      </w:pPr>
    </w:p>
    <w:p w14:paraId="735576D3" w14:textId="5E1AADF5" w:rsidR="000715A9" w:rsidRPr="00C276ED" w:rsidRDefault="0047523F" w:rsidP="00CC0840">
      <w:pPr>
        <w:pStyle w:val="NoSpacing"/>
        <w:jc w:val="both"/>
        <w:rPr>
          <w:rFonts w:ascii="Arial" w:hAnsi="Arial" w:cs="Arial"/>
          <w:sz w:val="24"/>
          <w:szCs w:val="24"/>
        </w:rPr>
      </w:pPr>
      <w:r w:rsidRPr="00C276ED">
        <w:rPr>
          <w:noProof/>
          <w:lang w:eastAsia="en-US"/>
        </w:rPr>
        <w:t xml:space="preserve"> </w:t>
      </w:r>
    </w:p>
    <w:p w14:paraId="30BC72BE" w14:textId="0DB8FD44" w:rsidR="000715A9" w:rsidRPr="00C276ED" w:rsidRDefault="0047523F" w:rsidP="00CC0840">
      <w:pPr>
        <w:pStyle w:val="NoSpacing"/>
        <w:jc w:val="both"/>
        <w:rPr>
          <w:rFonts w:ascii="Arial" w:hAnsi="Arial" w:cs="Arial"/>
          <w:sz w:val="24"/>
          <w:szCs w:val="24"/>
        </w:rPr>
      </w:pPr>
      <w:r w:rsidRPr="00C276ED">
        <w:rPr>
          <w:noProof/>
          <w:lang w:eastAsia="en-US"/>
        </w:rPr>
        <w:t xml:space="preserve"> </w:t>
      </w:r>
    </w:p>
    <w:p w14:paraId="488AA0B0" w14:textId="77777777" w:rsidR="000715A9" w:rsidRPr="00C276ED" w:rsidRDefault="000715A9" w:rsidP="00CC0840">
      <w:pPr>
        <w:pStyle w:val="NoSpacing"/>
        <w:jc w:val="both"/>
        <w:rPr>
          <w:rFonts w:ascii="Arial" w:hAnsi="Arial" w:cs="Arial"/>
          <w:sz w:val="24"/>
          <w:szCs w:val="24"/>
        </w:rPr>
      </w:pPr>
    </w:p>
    <w:p w14:paraId="09436C96" w14:textId="77777777" w:rsidR="000715A9" w:rsidRPr="00C276ED" w:rsidRDefault="000715A9" w:rsidP="00CC0840">
      <w:pPr>
        <w:pStyle w:val="NoSpacing"/>
        <w:jc w:val="both"/>
        <w:rPr>
          <w:rFonts w:ascii="Arial" w:hAnsi="Arial" w:cs="Arial"/>
          <w:sz w:val="24"/>
          <w:szCs w:val="24"/>
        </w:rPr>
      </w:pPr>
    </w:p>
    <w:p w14:paraId="7AA97880" w14:textId="77777777" w:rsidR="000715A9" w:rsidRPr="00C276ED" w:rsidRDefault="000715A9" w:rsidP="00CC0840">
      <w:pPr>
        <w:pStyle w:val="NoSpacing"/>
        <w:jc w:val="both"/>
        <w:rPr>
          <w:rFonts w:ascii="Arial" w:hAnsi="Arial" w:cs="Arial"/>
          <w:sz w:val="24"/>
          <w:szCs w:val="24"/>
        </w:rPr>
      </w:pPr>
    </w:p>
    <w:p w14:paraId="5280C7AD" w14:textId="77777777" w:rsidR="000715A9" w:rsidRPr="00C276ED" w:rsidRDefault="000715A9" w:rsidP="00CC0840">
      <w:pPr>
        <w:pStyle w:val="NoSpacing"/>
        <w:jc w:val="both"/>
        <w:rPr>
          <w:rFonts w:ascii="Arial" w:hAnsi="Arial" w:cs="Arial"/>
          <w:sz w:val="24"/>
          <w:szCs w:val="24"/>
        </w:rPr>
      </w:pPr>
    </w:p>
    <w:p w14:paraId="31791762" w14:textId="77777777" w:rsidR="000715A9" w:rsidRPr="00C276ED" w:rsidRDefault="000715A9" w:rsidP="00CC0840">
      <w:pPr>
        <w:pStyle w:val="NoSpacing"/>
        <w:jc w:val="both"/>
        <w:rPr>
          <w:rFonts w:ascii="Arial" w:hAnsi="Arial" w:cs="Arial"/>
          <w:sz w:val="24"/>
          <w:szCs w:val="24"/>
        </w:rPr>
      </w:pPr>
    </w:p>
    <w:p w14:paraId="0D82D4C9" w14:textId="77777777" w:rsidR="000715A9" w:rsidRPr="00C276ED" w:rsidRDefault="000715A9" w:rsidP="00CC0840">
      <w:pPr>
        <w:pStyle w:val="NoSpacing"/>
        <w:jc w:val="both"/>
        <w:rPr>
          <w:rFonts w:ascii="Arial" w:hAnsi="Arial" w:cs="Arial"/>
          <w:sz w:val="24"/>
          <w:szCs w:val="24"/>
        </w:rPr>
      </w:pPr>
    </w:p>
    <w:p w14:paraId="1D0F3E75" w14:textId="77777777" w:rsidR="00992012" w:rsidRPr="00C276ED" w:rsidRDefault="00992012" w:rsidP="00CC0840">
      <w:pPr>
        <w:pStyle w:val="Heading1"/>
        <w:jc w:val="both"/>
        <w:rPr>
          <w:rFonts w:ascii="Arial" w:hAnsi="Arial" w:cs="Arial"/>
          <w:b/>
          <w:color w:val="auto"/>
          <w:sz w:val="28"/>
          <w:szCs w:val="28"/>
        </w:rPr>
      </w:pPr>
      <w:bookmarkStart w:id="5" w:name="_Toc459622863"/>
      <w:bookmarkEnd w:id="0"/>
      <w:bookmarkEnd w:id="1"/>
      <w:bookmarkEnd w:id="2"/>
      <w:bookmarkEnd w:id="3"/>
      <w:bookmarkEnd w:id="4"/>
    </w:p>
    <w:p w14:paraId="68278F78" w14:textId="77777777" w:rsidR="00C8631A" w:rsidRPr="00C276ED" w:rsidRDefault="00C8631A" w:rsidP="00C8631A">
      <w:pPr>
        <w:rPr>
          <w:color w:val="auto"/>
        </w:rPr>
      </w:pPr>
    </w:p>
    <w:p w14:paraId="50B7D03A" w14:textId="77777777" w:rsidR="00C8631A" w:rsidRPr="00C276ED" w:rsidRDefault="00C8631A" w:rsidP="00C8631A">
      <w:pPr>
        <w:rPr>
          <w:color w:val="auto"/>
        </w:rPr>
      </w:pPr>
    </w:p>
    <w:p w14:paraId="36BC0E8C" w14:textId="77777777" w:rsidR="00C8631A" w:rsidRPr="00C276ED" w:rsidRDefault="00C8631A" w:rsidP="00C8631A">
      <w:pPr>
        <w:rPr>
          <w:color w:val="auto"/>
        </w:rPr>
      </w:pPr>
    </w:p>
    <w:p w14:paraId="6786E3A7" w14:textId="77777777" w:rsidR="00C8631A" w:rsidRPr="00C276ED" w:rsidRDefault="00C8631A" w:rsidP="00C8631A">
      <w:pPr>
        <w:rPr>
          <w:color w:val="auto"/>
        </w:rPr>
      </w:pPr>
    </w:p>
    <w:p w14:paraId="3CD872DB" w14:textId="77777777" w:rsidR="00C8631A" w:rsidRPr="00C276ED" w:rsidRDefault="00C8631A" w:rsidP="00C8631A">
      <w:pPr>
        <w:rPr>
          <w:color w:val="auto"/>
        </w:rPr>
      </w:pPr>
    </w:p>
    <w:bookmarkEnd w:id="5"/>
    <w:p w14:paraId="705227C0" w14:textId="666BC5DE" w:rsidR="00D31EEA" w:rsidRDefault="00D31EEA">
      <w:pPr>
        <w:rPr>
          <w:rFonts w:ascii="Arial" w:eastAsiaTheme="majorEastAsia" w:hAnsi="Arial" w:cs="Arial"/>
          <w:b/>
          <w:color w:val="auto"/>
          <w:sz w:val="28"/>
          <w:szCs w:val="28"/>
        </w:rPr>
      </w:pPr>
      <w:r>
        <w:rPr>
          <w:rFonts w:ascii="Arial" w:eastAsiaTheme="majorEastAsia" w:hAnsi="Arial" w:cs="Arial"/>
          <w:b/>
          <w:sz w:val="28"/>
          <w:szCs w:val="28"/>
        </w:rPr>
        <w:br w:type="page"/>
      </w:r>
    </w:p>
    <w:p w14:paraId="4F92D207" w14:textId="77777777" w:rsidR="005D3722" w:rsidRPr="000E3B62" w:rsidRDefault="005D3722" w:rsidP="00CC0840">
      <w:pPr>
        <w:pStyle w:val="NoSpacing"/>
        <w:jc w:val="both"/>
        <w:rPr>
          <w:rFonts w:ascii="Arial" w:eastAsiaTheme="majorEastAsia" w:hAnsi="Arial" w:cs="Arial"/>
          <w:b/>
          <w:sz w:val="24"/>
          <w:szCs w:val="24"/>
        </w:rPr>
      </w:pPr>
    </w:p>
    <w:p w14:paraId="22952177" w14:textId="7CE612D8" w:rsidR="00C8631A" w:rsidRPr="000E3B62" w:rsidRDefault="00C8631A" w:rsidP="00CC0840">
      <w:pPr>
        <w:pStyle w:val="NoSpacing"/>
        <w:jc w:val="both"/>
        <w:rPr>
          <w:rFonts w:ascii="Arial" w:hAnsi="Arial" w:cs="Arial"/>
          <w:b/>
          <w:sz w:val="24"/>
          <w:szCs w:val="24"/>
        </w:rPr>
      </w:pPr>
      <w:r w:rsidRPr="000E3B62">
        <w:rPr>
          <w:rFonts w:ascii="Arial" w:hAnsi="Arial" w:cs="Arial"/>
          <w:b/>
          <w:sz w:val="24"/>
          <w:szCs w:val="24"/>
        </w:rPr>
        <w:t>Overview</w:t>
      </w:r>
    </w:p>
    <w:p w14:paraId="4E31A88C" w14:textId="7FE4B02E" w:rsidR="00C8631A" w:rsidRPr="00C276ED" w:rsidRDefault="00C8631A" w:rsidP="00CC0840">
      <w:pPr>
        <w:pStyle w:val="NoSpacing"/>
        <w:jc w:val="both"/>
        <w:rPr>
          <w:rFonts w:ascii="Arial" w:hAnsi="Arial" w:cs="Arial"/>
          <w:sz w:val="24"/>
          <w:szCs w:val="24"/>
        </w:rPr>
      </w:pPr>
    </w:p>
    <w:p w14:paraId="40097F6E" w14:textId="3D21CFCB" w:rsidR="00D85FB7" w:rsidRPr="00C276ED" w:rsidRDefault="00C8631A" w:rsidP="00CC0840">
      <w:pPr>
        <w:pStyle w:val="NoSpacing"/>
        <w:jc w:val="both"/>
        <w:rPr>
          <w:rFonts w:ascii="Arial" w:hAnsi="Arial" w:cs="Arial"/>
          <w:sz w:val="24"/>
          <w:szCs w:val="24"/>
        </w:rPr>
      </w:pPr>
      <w:r w:rsidRPr="00C276ED">
        <w:rPr>
          <w:rFonts w:ascii="Arial" w:hAnsi="Arial" w:cs="Arial"/>
          <w:b/>
          <w:noProof/>
          <w:sz w:val="28"/>
          <w:szCs w:val="28"/>
          <w:lang w:eastAsia="en-US"/>
        </w:rPr>
        <mc:AlternateContent>
          <mc:Choice Requires="wps">
            <w:drawing>
              <wp:anchor distT="45720" distB="45720" distL="114300" distR="114300" simplePos="0" relativeHeight="251659264" behindDoc="0" locked="0" layoutInCell="1" allowOverlap="1" wp14:anchorId="53DE55FE" wp14:editId="49BA658C">
                <wp:simplePos x="0" y="0"/>
                <wp:positionH relativeFrom="margin">
                  <wp:align>right</wp:align>
                </wp:positionH>
                <wp:positionV relativeFrom="paragraph">
                  <wp:posOffset>10795</wp:posOffset>
                </wp:positionV>
                <wp:extent cx="2333625" cy="3869690"/>
                <wp:effectExtent l="0" t="0" r="2857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3869690"/>
                        </a:xfrm>
                        <a:prstGeom prst="rect">
                          <a:avLst/>
                        </a:prstGeom>
                        <a:solidFill>
                          <a:srgbClr val="C2E088"/>
                        </a:solidFill>
                        <a:ln w="9525">
                          <a:solidFill>
                            <a:srgbClr val="000000"/>
                          </a:solidFill>
                          <a:miter lim="800000"/>
                          <a:headEnd/>
                          <a:tailEnd/>
                        </a:ln>
                      </wps:spPr>
                      <wps:txbx>
                        <w:txbxContent>
                          <w:p w14:paraId="2BF48014" w14:textId="57761953" w:rsidR="00C8631A" w:rsidRPr="00C8631A" w:rsidRDefault="00C8631A" w:rsidP="00C8631A">
                            <w:pPr>
                              <w:tabs>
                                <w:tab w:val="left" w:pos="-1440"/>
                                <w:tab w:val="left" w:pos="-720"/>
                                <w:tab w:val="left" w:pos="0"/>
                                <w:tab w:val="left" w:pos="1080"/>
                                <w:tab w:val="left" w:pos="1440"/>
                                <w:tab w:val="center" w:pos="4320"/>
                              </w:tabs>
                              <w:suppressAutoHyphens/>
                              <w:overflowPunct w:val="0"/>
                              <w:autoSpaceDE w:val="0"/>
                              <w:autoSpaceDN w:val="0"/>
                              <w:adjustRightInd w:val="0"/>
                              <w:spacing w:before="0" w:after="0" w:line="240" w:lineRule="auto"/>
                              <w:jc w:val="both"/>
                              <w:textAlignment w:val="baseline"/>
                              <w:rPr>
                                <w:rFonts w:ascii="Arial" w:hAnsi="Arial"/>
                                <w:b/>
                                <w:color w:val="auto"/>
                                <w:spacing w:val="-3"/>
                                <w:sz w:val="24"/>
                                <w:szCs w:val="24"/>
                              </w:rPr>
                            </w:pPr>
                            <w:r w:rsidRPr="00C8631A">
                              <w:rPr>
                                <w:rFonts w:ascii="Arial" w:hAnsi="Arial"/>
                                <w:b/>
                                <w:color w:val="auto"/>
                                <w:spacing w:val="-3"/>
                                <w:sz w:val="24"/>
                                <w:szCs w:val="24"/>
                              </w:rPr>
                              <w:t>Key Points</w:t>
                            </w:r>
                            <w:r w:rsidRPr="00C8631A">
                              <w:rPr>
                                <w:rFonts w:ascii="Arial" w:hAnsi="Arial"/>
                                <w:b/>
                                <w:color w:val="auto"/>
                                <w:spacing w:val="-3"/>
                                <w:sz w:val="24"/>
                                <w:szCs w:val="24"/>
                              </w:rPr>
                              <w:tab/>
                            </w:r>
                          </w:p>
                          <w:p w14:paraId="5DE23A3C" w14:textId="5CAE77B3" w:rsidR="00C8631A" w:rsidRPr="00F22F18" w:rsidRDefault="00C8631A" w:rsidP="00C8631A">
                            <w:pPr>
                              <w:pStyle w:val="ListParagraph"/>
                              <w:numPr>
                                <w:ilvl w:val="0"/>
                                <w:numId w:val="13"/>
                              </w:numPr>
                              <w:tabs>
                                <w:tab w:val="left" w:pos="-1440"/>
                                <w:tab w:val="left" w:pos="-720"/>
                                <w:tab w:val="left" w:pos="0"/>
                                <w:tab w:val="left" w:pos="1080"/>
                                <w:tab w:val="left" w:pos="1440"/>
                              </w:tabs>
                              <w:suppressAutoHyphens/>
                              <w:jc w:val="both"/>
                              <w:rPr>
                                <w:rFonts w:ascii="Arial" w:hAnsi="Arial"/>
                                <w:b/>
                                <w:spacing w:val="-3"/>
                                <w:sz w:val="22"/>
                                <w:szCs w:val="22"/>
                              </w:rPr>
                            </w:pPr>
                            <w:r w:rsidRPr="00F22F18">
                              <w:rPr>
                                <w:rFonts w:ascii="Arial" w:hAnsi="Arial"/>
                                <w:spacing w:val="-3"/>
                                <w:sz w:val="22"/>
                                <w:szCs w:val="22"/>
                              </w:rPr>
                              <w:t>State and federal agencies are proposing greenhouse gas (GHG) emission reduction regulations, which must be considered in the 2016 IRP.</w:t>
                            </w:r>
                          </w:p>
                          <w:p w14:paraId="1DC0850C" w14:textId="67E92489" w:rsidR="00F22F18" w:rsidRPr="00F22F18" w:rsidRDefault="00F22F18" w:rsidP="00F22F18">
                            <w:pPr>
                              <w:pStyle w:val="ListParagraph"/>
                              <w:numPr>
                                <w:ilvl w:val="0"/>
                                <w:numId w:val="13"/>
                              </w:numPr>
                              <w:tabs>
                                <w:tab w:val="left" w:pos="-1440"/>
                                <w:tab w:val="left" w:pos="-720"/>
                                <w:tab w:val="left" w:pos="0"/>
                                <w:tab w:val="left" w:pos="1080"/>
                                <w:tab w:val="left" w:pos="1440"/>
                              </w:tabs>
                              <w:suppressAutoHyphens/>
                              <w:jc w:val="both"/>
                              <w:rPr>
                                <w:rFonts w:ascii="Arial" w:hAnsi="Arial"/>
                                <w:b/>
                                <w:spacing w:val="-3"/>
                                <w:sz w:val="22"/>
                                <w:szCs w:val="22"/>
                              </w:rPr>
                            </w:pPr>
                            <w:r w:rsidRPr="00F22F18">
                              <w:rPr>
                                <w:rFonts w:ascii="Arial" w:hAnsi="Arial" w:cs="Arial"/>
                                <w:sz w:val="22"/>
                                <w:szCs w:val="22"/>
                              </w:rPr>
                              <w:t xml:space="preserve">On September 15, 2016, the Washington Department of Ecology (Ecology) issued the final Washington Clean Air Act (CAA) Clean Air Rule (CAR) WAC-173-442. Preliminary </w:t>
                            </w:r>
                            <w:proofErr w:type="spellStart"/>
                            <w:r w:rsidRPr="00F22F18">
                              <w:rPr>
                                <w:rFonts w:ascii="Arial" w:hAnsi="Arial" w:cs="Arial"/>
                                <w:sz w:val="22"/>
                                <w:szCs w:val="22"/>
                              </w:rPr>
                              <w:t>im</w:t>
                            </w:r>
                            <w:proofErr w:type="spellEnd"/>
                            <w:r>
                              <w:rPr>
                                <w:rFonts w:ascii="Arial" w:hAnsi="Arial" w:cs="Arial"/>
                                <w:sz w:val="22"/>
                                <w:szCs w:val="22"/>
                              </w:rPr>
                              <w:t>-</w:t>
                            </w:r>
                            <w:r w:rsidRPr="00F22F18">
                              <w:rPr>
                                <w:rFonts w:ascii="Arial" w:hAnsi="Arial" w:cs="Arial"/>
                                <w:sz w:val="22"/>
                                <w:szCs w:val="22"/>
                              </w:rPr>
                              <w:t>pacts are still being discussed.</w:t>
                            </w:r>
                          </w:p>
                          <w:p w14:paraId="07287690" w14:textId="3A5EF4FB" w:rsidR="00F22F18" w:rsidRPr="00F22F18" w:rsidRDefault="00C8631A" w:rsidP="00F22F18">
                            <w:pPr>
                              <w:pStyle w:val="ListParagraph"/>
                              <w:numPr>
                                <w:ilvl w:val="0"/>
                                <w:numId w:val="13"/>
                              </w:numPr>
                              <w:tabs>
                                <w:tab w:val="left" w:pos="-1440"/>
                                <w:tab w:val="left" w:pos="-720"/>
                                <w:tab w:val="left" w:pos="0"/>
                                <w:tab w:val="left" w:pos="1080"/>
                                <w:tab w:val="left" w:pos="1440"/>
                              </w:tabs>
                              <w:suppressAutoHyphens/>
                              <w:jc w:val="both"/>
                              <w:rPr>
                                <w:rFonts w:ascii="Arial" w:hAnsi="Arial"/>
                                <w:b/>
                                <w:spacing w:val="-3"/>
                                <w:sz w:val="22"/>
                                <w:szCs w:val="22"/>
                              </w:rPr>
                            </w:pPr>
                            <w:r w:rsidRPr="00F22F18">
                              <w:rPr>
                                <w:rFonts w:ascii="Arial" w:hAnsi="Arial"/>
                                <w:spacing w:val="-3"/>
                                <w:sz w:val="22"/>
                                <w:szCs w:val="22"/>
                              </w:rPr>
                              <w:t>The Northwest Power and</w:t>
                            </w:r>
                            <w:r w:rsidR="00F22F18">
                              <w:rPr>
                                <w:rFonts w:ascii="Arial" w:hAnsi="Arial"/>
                                <w:spacing w:val="-3"/>
                                <w:sz w:val="22"/>
                                <w:szCs w:val="22"/>
                              </w:rPr>
                              <w:t xml:space="preserve"> Conservation Council analyzes eight</w:t>
                            </w:r>
                            <w:r w:rsidRPr="00F22F18">
                              <w:rPr>
                                <w:rFonts w:ascii="Arial" w:hAnsi="Arial"/>
                                <w:spacing w:val="-3"/>
                                <w:sz w:val="22"/>
                                <w:szCs w:val="22"/>
                              </w:rPr>
                              <w:t xml:space="preserve"> analytical approaches for future carbon costs.</w:t>
                            </w:r>
                          </w:p>
                          <w:p w14:paraId="3128071F" w14:textId="2BA53C78" w:rsidR="00C8631A" w:rsidRPr="00F22F18" w:rsidRDefault="00F22F18" w:rsidP="00C8631A">
                            <w:pPr>
                              <w:pStyle w:val="ListParagraph"/>
                              <w:numPr>
                                <w:ilvl w:val="0"/>
                                <w:numId w:val="13"/>
                              </w:numPr>
                              <w:tabs>
                                <w:tab w:val="left" w:pos="-1440"/>
                                <w:tab w:val="left" w:pos="-720"/>
                                <w:tab w:val="left" w:pos="0"/>
                                <w:tab w:val="left" w:pos="1080"/>
                                <w:tab w:val="left" w:pos="1440"/>
                              </w:tabs>
                              <w:suppressAutoHyphens/>
                              <w:jc w:val="both"/>
                              <w:rPr>
                                <w:rFonts w:ascii="Arial" w:hAnsi="Arial"/>
                                <w:b/>
                                <w:spacing w:val="-3"/>
                                <w:sz w:val="22"/>
                                <w:szCs w:val="22"/>
                              </w:rPr>
                            </w:pPr>
                            <w:r w:rsidRPr="00F22F18">
                              <w:rPr>
                                <w:rFonts w:ascii="Arial" w:hAnsi="Arial"/>
                                <w:spacing w:val="-3"/>
                                <w:sz w:val="22"/>
                                <w:szCs w:val="22"/>
                              </w:rPr>
                              <w:t xml:space="preserve">Of these, the Council </w:t>
                            </w:r>
                            <w:proofErr w:type="spellStart"/>
                            <w:r w:rsidRPr="00F22F18">
                              <w:rPr>
                                <w:rFonts w:ascii="Arial" w:hAnsi="Arial"/>
                                <w:spacing w:val="-3"/>
                                <w:sz w:val="22"/>
                                <w:szCs w:val="22"/>
                              </w:rPr>
                              <w:t>recom</w:t>
                            </w:r>
                            <w:proofErr w:type="spellEnd"/>
                            <w:r>
                              <w:rPr>
                                <w:rFonts w:ascii="Arial" w:hAnsi="Arial"/>
                                <w:spacing w:val="-3"/>
                                <w:sz w:val="22"/>
                                <w:szCs w:val="22"/>
                              </w:rPr>
                              <w:t>-</w:t>
                            </w:r>
                            <w:r w:rsidRPr="00F22F18">
                              <w:rPr>
                                <w:rFonts w:ascii="Arial" w:hAnsi="Arial"/>
                                <w:spacing w:val="-3"/>
                                <w:sz w:val="22"/>
                                <w:szCs w:val="22"/>
                              </w:rPr>
                              <w:t>mends the Carbon Cost Risk approach.</w:t>
                            </w:r>
                          </w:p>
                          <w:p w14:paraId="67A5FD96" w14:textId="16F47B77" w:rsidR="00C8631A" w:rsidRPr="00F22F18" w:rsidRDefault="00F22F18" w:rsidP="00C8631A">
                            <w:pPr>
                              <w:pStyle w:val="ListParagraph"/>
                              <w:numPr>
                                <w:ilvl w:val="0"/>
                                <w:numId w:val="13"/>
                              </w:numPr>
                              <w:tabs>
                                <w:tab w:val="left" w:pos="-1440"/>
                                <w:tab w:val="left" w:pos="-720"/>
                                <w:tab w:val="left" w:pos="0"/>
                                <w:tab w:val="left" w:pos="1080"/>
                                <w:tab w:val="left" w:pos="1440"/>
                              </w:tabs>
                              <w:suppressAutoHyphens/>
                              <w:jc w:val="both"/>
                              <w:rPr>
                                <w:rFonts w:ascii="Arial" w:hAnsi="Arial"/>
                                <w:b/>
                                <w:spacing w:val="-3"/>
                                <w:sz w:val="22"/>
                                <w:szCs w:val="22"/>
                              </w:rPr>
                            </w:pPr>
                            <w:r w:rsidRPr="00F22F18">
                              <w:rPr>
                                <w:rFonts w:ascii="Arial" w:hAnsi="Arial"/>
                                <w:spacing w:val="-3"/>
                                <w:sz w:val="22"/>
                                <w:szCs w:val="22"/>
                              </w:rPr>
                              <w:t>Cascade models high and low ranges to examine carbon cost impacts on prices.</w:t>
                            </w:r>
                          </w:p>
                          <w:p w14:paraId="65FE4EB6" w14:textId="4A1E4ACD" w:rsidR="00C8631A" w:rsidRPr="00C847E6" w:rsidRDefault="00C8631A" w:rsidP="00F22F18">
                            <w:pPr>
                              <w:pStyle w:val="ListParagraph"/>
                              <w:tabs>
                                <w:tab w:val="left" w:pos="-1440"/>
                                <w:tab w:val="left" w:pos="-720"/>
                                <w:tab w:val="left" w:pos="0"/>
                                <w:tab w:val="left" w:pos="1080"/>
                                <w:tab w:val="left" w:pos="1440"/>
                              </w:tabs>
                              <w:suppressAutoHyphens/>
                              <w:ind w:left="360"/>
                              <w:jc w:val="both"/>
                              <w:rPr>
                                <w:rFonts w:ascii="Arial" w:hAnsi="Arial"/>
                                <w:b/>
                                <w:spacing w:val="-3"/>
                                <w:sz w:val="22"/>
                                <w:szCs w:val="22"/>
                              </w:rPr>
                            </w:pPr>
                            <w:r w:rsidRPr="00C847E6">
                              <w:rPr>
                                <w:rFonts w:ascii="Arial" w:hAnsi="Arial"/>
                                <w:spacing w:val="-3"/>
                                <w:sz w:val="22"/>
                                <w:szCs w:val="22"/>
                              </w:rPr>
                              <w:t xml:space="preserve">  </w:t>
                            </w:r>
                          </w:p>
                          <w:p w14:paraId="0C3DD1AA" w14:textId="6037CB10" w:rsidR="00C8631A" w:rsidRDefault="00C863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DE55FE" id="_x0000_t202" coordsize="21600,21600" o:spt="202" path="m,l,21600r21600,l21600,xe">
                <v:stroke joinstyle="miter"/>
                <v:path gradientshapeok="t" o:connecttype="rect"/>
              </v:shapetype>
              <v:shape id="Text Box 2" o:spid="_x0000_s1026" type="#_x0000_t202" style="position:absolute;left:0;text-align:left;margin-left:132.55pt;margin-top:.85pt;width:183.75pt;height:304.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" fillcolor="#c2e088">
                <v:textbox>
                  <w:txbxContent>
                    <w:p w14:paraId="2BF48014" w14:textId="57761953" w:rsidR="00C8631A" w:rsidRPr="00C8631A" w:rsidRDefault="00C8631A" w:rsidP="00C8631A">
                      <w:pPr>
                        <w:tabs>
                          <w:tab w:val="left" w:pos="-1440"/>
                          <w:tab w:val="left" w:pos="-720"/>
                          <w:tab w:val="left" w:pos="0"/>
                          <w:tab w:val="left" w:pos="1080"/>
                          <w:tab w:val="left" w:pos="1440"/>
                          <w:tab w:val="center" w:pos="4320"/>
                        </w:tabs>
                        <w:suppressAutoHyphens/>
                        <w:overflowPunct w:val="0"/>
                        <w:autoSpaceDE w:val="0"/>
                        <w:autoSpaceDN w:val="0"/>
                        <w:adjustRightInd w:val="0"/>
                        <w:spacing w:before="0" w:after="0" w:line="240" w:lineRule="auto"/>
                        <w:jc w:val="both"/>
                        <w:textAlignment w:val="baseline"/>
                        <w:rPr>
                          <w:rFonts w:ascii="Arial" w:hAnsi="Arial"/>
                          <w:b/>
                          <w:color w:val="auto"/>
                          <w:spacing w:val="-3"/>
                          <w:sz w:val="24"/>
                          <w:szCs w:val="24"/>
                        </w:rPr>
                      </w:pPr>
                      <w:r w:rsidRPr="00C8631A">
                        <w:rPr>
                          <w:rFonts w:ascii="Arial" w:hAnsi="Arial"/>
                          <w:b/>
                          <w:color w:val="auto"/>
                          <w:spacing w:val="-3"/>
                          <w:sz w:val="24"/>
                          <w:szCs w:val="24"/>
                        </w:rPr>
                        <w:t>Key Points</w:t>
                      </w:r>
                      <w:r w:rsidRPr="00C8631A">
                        <w:rPr>
                          <w:rFonts w:ascii="Arial" w:hAnsi="Arial"/>
                          <w:b/>
                          <w:color w:val="auto"/>
                          <w:spacing w:val="-3"/>
                          <w:sz w:val="24"/>
                          <w:szCs w:val="24"/>
                        </w:rPr>
                        <w:tab/>
                      </w:r>
                    </w:p>
                    <w:p w14:paraId="5DE23A3C" w14:textId="5CAE77B3" w:rsidR="00C8631A" w:rsidRPr="00F22F18" w:rsidRDefault="00C8631A" w:rsidP="00C8631A">
                      <w:pPr>
                        <w:pStyle w:val="ListParagraph"/>
                        <w:numPr>
                          <w:ilvl w:val="0"/>
                          <w:numId w:val="13"/>
                        </w:numPr>
                        <w:tabs>
                          <w:tab w:val="left" w:pos="-1440"/>
                          <w:tab w:val="left" w:pos="-720"/>
                          <w:tab w:val="left" w:pos="0"/>
                          <w:tab w:val="left" w:pos="1080"/>
                          <w:tab w:val="left" w:pos="1440"/>
                        </w:tabs>
                        <w:suppressAutoHyphens/>
                        <w:jc w:val="both"/>
                        <w:rPr>
                          <w:rFonts w:ascii="Arial" w:hAnsi="Arial"/>
                          <w:b/>
                          <w:spacing w:val="-3"/>
                          <w:sz w:val="22"/>
                          <w:szCs w:val="22"/>
                        </w:rPr>
                      </w:pPr>
                      <w:r w:rsidRPr="00F22F18">
                        <w:rPr>
                          <w:rFonts w:ascii="Arial" w:hAnsi="Arial"/>
                          <w:spacing w:val="-3"/>
                          <w:sz w:val="22"/>
                          <w:szCs w:val="22"/>
                        </w:rPr>
                        <w:t>State and federal agencies are proposing greenhouse gas (GHG) emission reduction regulations, which must be considered in the 2016 IRP.</w:t>
                      </w:r>
                    </w:p>
                    <w:p w14:paraId="1DC0850C" w14:textId="67E92489" w:rsidR="00F22F18" w:rsidRPr="00F22F18" w:rsidRDefault="00F22F18" w:rsidP="00F22F18">
                      <w:pPr>
                        <w:pStyle w:val="ListParagraph"/>
                        <w:numPr>
                          <w:ilvl w:val="0"/>
                          <w:numId w:val="13"/>
                        </w:numPr>
                        <w:tabs>
                          <w:tab w:val="left" w:pos="-1440"/>
                          <w:tab w:val="left" w:pos="-720"/>
                          <w:tab w:val="left" w:pos="0"/>
                          <w:tab w:val="left" w:pos="1080"/>
                          <w:tab w:val="left" w:pos="1440"/>
                        </w:tabs>
                        <w:suppressAutoHyphens/>
                        <w:jc w:val="both"/>
                        <w:rPr>
                          <w:rFonts w:ascii="Arial" w:hAnsi="Arial"/>
                          <w:b/>
                          <w:spacing w:val="-3"/>
                          <w:sz w:val="22"/>
                          <w:szCs w:val="22"/>
                        </w:rPr>
                      </w:pPr>
                      <w:r w:rsidRPr="00F22F18">
                        <w:rPr>
                          <w:rFonts w:ascii="Arial" w:hAnsi="Arial" w:cs="Arial"/>
                          <w:sz w:val="22"/>
                          <w:szCs w:val="22"/>
                        </w:rPr>
                        <w:t xml:space="preserve">On September 15, 2016, the Washington Department of Ecology (Ecology) issued the final Washington Clean Air Act (CAA) Clean Air Rule (CAR) WAC-173-442. Preliminary </w:t>
                      </w:r>
                      <w:proofErr w:type="spellStart"/>
                      <w:r w:rsidRPr="00F22F18">
                        <w:rPr>
                          <w:rFonts w:ascii="Arial" w:hAnsi="Arial" w:cs="Arial"/>
                          <w:sz w:val="22"/>
                          <w:szCs w:val="22"/>
                        </w:rPr>
                        <w:t>im</w:t>
                      </w:r>
                      <w:proofErr w:type="spellEnd"/>
                      <w:r>
                        <w:rPr>
                          <w:rFonts w:ascii="Arial" w:hAnsi="Arial" w:cs="Arial"/>
                          <w:sz w:val="22"/>
                          <w:szCs w:val="22"/>
                        </w:rPr>
                        <w:t>-</w:t>
                      </w:r>
                      <w:r w:rsidRPr="00F22F18">
                        <w:rPr>
                          <w:rFonts w:ascii="Arial" w:hAnsi="Arial" w:cs="Arial"/>
                          <w:sz w:val="22"/>
                          <w:szCs w:val="22"/>
                        </w:rPr>
                        <w:t>pacts are still being discussed.</w:t>
                      </w:r>
                    </w:p>
                    <w:p w14:paraId="07287690" w14:textId="3A5EF4FB" w:rsidR="00F22F18" w:rsidRPr="00F22F18" w:rsidRDefault="00C8631A" w:rsidP="00F22F18">
                      <w:pPr>
                        <w:pStyle w:val="ListParagraph"/>
                        <w:numPr>
                          <w:ilvl w:val="0"/>
                          <w:numId w:val="13"/>
                        </w:numPr>
                        <w:tabs>
                          <w:tab w:val="left" w:pos="-1440"/>
                          <w:tab w:val="left" w:pos="-720"/>
                          <w:tab w:val="left" w:pos="0"/>
                          <w:tab w:val="left" w:pos="1080"/>
                          <w:tab w:val="left" w:pos="1440"/>
                        </w:tabs>
                        <w:suppressAutoHyphens/>
                        <w:jc w:val="both"/>
                        <w:rPr>
                          <w:rFonts w:ascii="Arial" w:hAnsi="Arial"/>
                          <w:b/>
                          <w:spacing w:val="-3"/>
                          <w:sz w:val="22"/>
                          <w:szCs w:val="22"/>
                        </w:rPr>
                      </w:pPr>
                      <w:r w:rsidRPr="00F22F18">
                        <w:rPr>
                          <w:rFonts w:ascii="Arial" w:hAnsi="Arial"/>
                          <w:spacing w:val="-3"/>
                          <w:sz w:val="22"/>
                          <w:szCs w:val="22"/>
                        </w:rPr>
                        <w:t>The Northwest Power and</w:t>
                      </w:r>
                      <w:r w:rsidR="00F22F18">
                        <w:rPr>
                          <w:rFonts w:ascii="Arial" w:hAnsi="Arial"/>
                          <w:spacing w:val="-3"/>
                          <w:sz w:val="22"/>
                          <w:szCs w:val="22"/>
                        </w:rPr>
                        <w:t xml:space="preserve"> Conservation Council analyzes eight</w:t>
                      </w:r>
                      <w:r w:rsidRPr="00F22F18">
                        <w:rPr>
                          <w:rFonts w:ascii="Arial" w:hAnsi="Arial"/>
                          <w:spacing w:val="-3"/>
                          <w:sz w:val="22"/>
                          <w:szCs w:val="22"/>
                        </w:rPr>
                        <w:t xml:space="preserve"> analytical approaches for future carbon costs.</w:t>
                      </w:r>
                    </w:p>
                    <w:p w14:paraId="3128071F" w14:textId="2BA53C78" w:rsidR="00C8631A" w:rsidRPr="00F22F18" w:rsidRDefault="00F22F18" w:rsidP="00C8631A">
                      <w:pPr>
                        <w:pStyle w:val="ListParagraph"/>
                        <w:numPr>
                          <w:ilvl w:val="0"/>
                          <w:numId w:val="13"/>
                        </w:numPr>
                        <w:tabs>
                          <w:tab w:val="left" w:pos="-1440"/>
                          <w:tab w:val="left" w:pos="-720"/>
                          <w:tab w:val="left" w:pos="0"/>
                          <w:tab w:val="left" w:pos="1080"/>
                          <w:tab w:val="left" w:pos="1440"/>
                        </w:tabs>
                        <w:suppressAutoHyphens/>
                        <w:jc w:val="both"/>
                        <w:rPr>
                          <w:rFonts w:ascii="Arial" w:hAnsi="Arial"/>
                          <w:b/>
                          <w:spacing w:val="-3"/>
                          <w:sz w:val="22"/>
                          <w:szCs w:val="22"/>
                        </w:rPr>
                      </w:pPr>
                      <w:r w:rsidRPr="00F22F18">
                        <w:rPr>
                          <w:rFonts w:ascii="Arial" w:hAnsi="Arial"/>
                          <w:spacing w:val="-3"/>
                          <w:sz w:val="22"/>
                          <w:szCs w:val="22"/>
                        </w:rPr>
                        <w:t xml:space="preserve">Of these, the Council </w:t>
                      </w:r>
                      <w:proofErr w:type="spellStart"/>
                      <w:r w:rsidRPr="00F22F18">
                        <w:rPr>
                          <w:rFonts w:ascii="Arial" w:hAnsi="Arial"/>
                          <w:spacing w:val="-3"/>
                          <w:sz w:val="22"/>
                          <w:szCs w:val="22"/>
                        </w:rPr>
                        <w:t>recom</w:t>
                      </w:r>
                      <w:proofErr w:type="spellEnd"/>
                      <w:r>
                        <w:rPr>
                          <w:rFonts w:ascii="Arial" w:hAnsi="Arial"/>
                          <w:spacing w:val="-3"/>
                          <w:sz w:val="22"/>
                          <w:szCs w:val="22"/>
                        </w:rPr>
                        <w:t>-</w:t>
                      </w:r>
                      <w:r w:rsidRPr="00F22F18">
                        <w:rPr>
                          <w:rFonts w:ascii="Arial" w:hAnsi="Arial"/>
                          <w:spacing w:val="-3"/>
                          <w:sz w:val="22"/>
                          <w:szCs w:val="22"/>
                        </w:rPr>
                        <w:t>mends the Carbon Cost Risk approach.</w:t>
                      </w:r>
                    </w:p>
                    <w:p w14:paraId="67A5FD96" w14:textId="16F47B77" w:rsidR="00C8631A" w:rsidRPr="00F22F18" w:rsidRDefault="00F22F18" w:rsidP="00C8631A">
                      <w:pPr>
                        <w:pStyle w:val="ListParagraph"/>
                        <w:numPr>
                          <w:ilvl w:val="0"/>
                          <w:numId w:val="13"/>
                        </w:numPr>
                        <w:tabs>
                          <w:tab w:val="left" w:pos="-1440"/>
                          <w:tab w:val="left" w:pos="-720"/>
                          <w:tab w:val="left" w:pos="0"/>
                          <w:tab w:val="left" w:pos="1080"/>
                          <w:tab w:val="left" w:pos="1440"/>
                        </w:tabs>
                        <w:suppressAutoHyphens/>
                        <w:jc w:val="both"/>
                        <w:rPr>
                          <w:rFonts w:ascii="Arial" w:hAnsi="Arial"/>
                          <w:b/>
                          <w:spacing w:val="-3"/>
                          <w:sz w:val="22"/>
                          <w:szCs w:val="22"/>
                        </w:rPr>
                      </w:pPr>
                      <w:r w:rsidRPr="00F22F18">
                        <w:rPr>
                          <w:rFonts w:ascii="Arial" w:hAnsi="Arial"/>
                          <w:spacing w:val="-3"/>
                          <w:sz w:val="22"/>
                          <w:szCs w:val="22"/>
                        </w:rPr>
                        <w:t>Cascade models high and low ranges to examine carbon cost impacts on prices.</w:t>
                      </w:r>
                    </w:p>
                    <w:p w14:paraId="65FE4EB6" w14:textId="4A1E4ACD" w:rsidR="00C8631A" w:rsidRPr="00C847E6" w:rsidRDefault="00C8631A" w:rsidP="00F22F18">
                      <w:pPr>
                        <w:pStyle w:val="ListParagraph"/>
                        <w:tabs>
                          <w:tab w:val="left" w:pos="-1440"/>
                          <w:tab w:val="left" w:pos="-720"/>
                          <w:tab w:val="left" w:pos="0"/>
                          <w:tab w:val="left" w:pos="1080"/>
                          <w:tab w:val="left" w:pos="1440"/>
                        </w:tabs>
                        <w:suppressAutoHyphens/>
                        <w:ind w:left="360"/>
                        <w:jc w:val="both"/>
                        <w:rPr>
                          <w:rFonts w:ascii="Arial" w:hAnsi="Arial"/>
                          <w:b/>
                          <w:spacing w:val="-3"/>
                          <w:sz w:val="22"/>
                          <w:szCs w:val="22"/>
                        </w:rPr>
                      </w:pPr>
                      <w:r w:rsidRPr="00C847E6">
                        <w:rPr>
                          <w:rFonts w:ascii="Arial" w:hAnsi="Arial"/>
                          <w:spacing w:val="-3"/>
                          <w:sz w:val="22"/>
                          <w:szCs w:val="22"/>
                        </w:rPr>
                        <w:t xml:space="preserve">  </w:t>
                      </w:r>
                    </w:p>
                    <w:p w14:paraId="0C3DD1AA" w14:textId="6037CB10" w:rsidR="00C8631A" w:rsidRDefault="00C8631A"/>
                  </w:txbxContent>
                </v:textbox>
                <w10:wrap type="square" anchorx="margin"/>
              </v:shape>
            </w:pict>
          </mc:Fallback>
        </mc:AlternateContent>
      </w:r>
      <w:r w:rsidR="0031421C" w:rsidRPr="00C276ED">
        <w:rPr>
          <w:rFonts w:ascii="Arial" w:hAnsi="Arial" w:cs="Arial"/>
          <w:sz w:val="24"/>
          <w:szCs w:val="24"/>
        </w:rPr>
        <w:t xml:space="preserve">New environmental regulations and policies are being proposed at the Washington, Oregon and </w:t>
      </w:r>
      <w:r w:rsidR="006A7A4B" w:rsidRPr="00C276ED">
        <w:rPr>
          <w:rFonts w:ascii="Arial" w:hAnsi="Arial" w:cs="Arial"/>
          <w:sz w:val="24"/>
          <w:szCs w:val="24"/>
        </w:rPr>
        <w:t>f</w:t>
      </w:r>
      <w:r w:rsidR="0031421C" w:rsidRPr="00C276ED">
        <w:rPr>
          <w:rFonts w:ascii="Arial" w:hAnsi="Arial" w:cs="Arial"/>
          <w:sz w:val="24"/>
          <w:szCs w:val="24"/>
        </w:rPr>
        <w:t>ederal levels.   The purpose of these rules is to address greenhouse gas (GHG) emissions resulting from the use of fossil fuels.</w:t>
      </w:r>
      <w:r w:rsidR="009D3E58">
        <w:rPr>
          <w:rFonts w:ascii="Arial" w:hAnsi="Arial" w:cs="Arial"/>
          <w:sz w:val="24"/>
          <w:szCs w:val="24"/>
        </w:rPr>
        <w:t xml:space="preserve"> </w:t>
      </w:r>
      <w:r w:rsidR="006F7C5E">
        <w:rPr>
          <w:rFonts w:ascii="Arial" w:hAnsi="Arial" w:cs="Arial"/>
          <w:sz w:val="24"/>
          <w:szCs w:val="24"/>
        </w:rPr>
        <w:t xml:space="preserve">Considering Cascade is </w:t>
      </w:r>
      <w:r w:rsidR="009D3E58">
        <w:rPr>
          <w:rFonts w:ascii="Arial" w:hAnsi="Arial" w:cs="Arial"/>
          <w:sz w:val="24"/>
          <w:szCs w:val="24"/>
        </w:rPr>
        <w:t>a natural gas distribution c</w:t>
      </w:r>
      <w:r w:rsidR="0031421C" w:rsidRPr="00C276ED">
        <w:rPr>
          <w:rFonts w:ascii="Arial" w:hAnsi="Arial" w:cs="Arial"/>
          <w:sz w:val="24"/>
          <w:szCs w:val="24"/>
        </w:rPr>
        <w:t xml:space="preserve">ompany, </w:t>
      </w:r>
      <w:r w:rsidR="006F7C5E">
        <w:rPr>
          <w:rFonts w:ascii="Arial" w:hAnsi="Arial" w:cs="Arial"/>
          <w:sz w:val="24"/>
          <w:szCs w:val="24"/>
        </w:rPr>
        <w:t xml:space="preserve">some of </w:t>
      </w:r>
      <w:r w:rsidR="0031421C" w:rsidRPr="00C276ED">
        <w:rPr>
          <w:rFonts w:ascii="Arial" w:hAnsi="Arial" w:cs="Arial"/>
          <w:sz w:val="24"/>
          <w:szCs w:val="24"/>
        </w:rPr>
        <w:t xml:space="preserve">these regulations </w:t>
      </w:r>
      <w:r w:rsidR="006F7C5E">
        <w:rPr>
          <w:rFonts w:ascii="Arial" w:hAnsi="Arial" w:cs="Arial"/>
          <w:sz w:val="24"/>
          <w:szCs w:val="24"/>
        </w:rPr>
        <w:t xml:space="preserve">could </w:t>
      </w:r>
      <w:r w:rsidR="0031421C" w:rsidRPr="00C276ED">
        <w:rPr>
          <w:rFonts w:ascii="Arial" w:hAnsi="Arial" w:cs="Arial"/>
          <w:sz w:val="24"/>
          <w:szCs w:val="24"/>
        </w:rPr>
        <w:t xml:space="preserve">have the potential to significantly increase Cascade’s operating costs. </w:t>
      </w:r>
    </w:p>
    <w:p w14:paraId="476A71D5" w14:textId="77777777" w:rsidR="00D85FB7" w:rsidRPr="00C276ED" w:rsidRDefault="00D85FB7" w:rsidP="00CC0840">
      <w:pPr>
        <w:pStyle w:val="NoSpacing"/>
        <w:jc w:val="both"/>
        <w:rPr>
          <w:rFonts w:ascii="Arial" w:hAnsi="Arial" w:cs="Arial"/>
          <w:sz w:val="24"/>
          <w:szCs w:val="24"/>
        </w:rPr>
      </w:pPr>
    </w:p>
    <w:p w14:paraId="5FAF263B" w14:textId="671599FC" w:rsidR="00592AF3" w:rsidRPr="00C276ED" w:rsidRDefault="00592AF3" w:rsidP="00CC0840">
      <w:pPr>
        <w:pStyle w:val="NoSpacing"/>
        <w:jc w:val="both"/>
        <w:rPr>
          <w:rFonts w:ascii="Arial" w:hAnsi="Arial" w:cs="Arial"/>
          <w:sz w:val="24"/>
          <w:szCs w:val="24"/>
        </w:rPr>
      </w:pPr>
      <w:r w:rsidRPr="00C276ED">
        <w:rPr>
          <w:rFonts w:ascii="Arial" w:hAnsi="Arial" w:cs="Arial"/>
          <w:sz w:val="24"/>
          <w:szCs w:val="24"/>
        </w:rPr>
        <w:t>On October 23, 2015, the EPA published the final Clean Power Plan (CPP) rule that requires existing fossil fuel-fired electric generation facilities to reduce CO</w:t>
      </w:r>
      <w:r w:rsidRPr="00C276ED">
        <w:rPr>
          <w:rFonts w:ascii="Arial" w:hAnsi="Arial" w:cs="Arial"/>
          <w:sz w:val="24"/>
          <w:szCs w:val="24"/>
          <w:vertAlign w:val="subscript"/>
        </w:rPr>
        <w:t>2</w:t>
      </w:r>
      <w:r w:rsidRPr="00C276ED">
        <w:rPr>
          <w:rFonts w:ascii="Arial" w:hAnsi="Arial" w:cs="Arial"/>
          <w:sz w:val="24"/>
          <w:szCs w:val="24"/>
        </w:rPr>
        <w:t xml:space="preserve"> emissions. On February 9, 2016, however, the United States Supreme Court granted an application for a stay of the Clean Power Plan pending disposition of the applicants' petition for review in the D.C. Circuit Court and disposition of the applicants' petition for a writ of certiorari if such a writ is sought.  The rule requires that states must, by September 6, 2016, either submit to the EPA a request for a two-year extension to submit a final state plan, or submit a plan demonstrating how emissions reductions will be achieved and include emission limits in the form of an annual emission cap or an emission rate that will be applied to each fossil fuel-fired electric generating facility within the state starting in 2022. Emission limits become more stringent from 2022 to 2030, with the 2030 emission limits applying thereafter. The effective date and compliance dates in the rule are expected to be addressed in a future decision made by the United States Supreme Court.  However, Cascade does not own or operate any fossil-fired electric generation facilities and is not subject to the CPP. </w:t>
      </w:r>
    </w:p>
    <w:p w14:paraId="1D93FA47" w14:textId="77777777" w:rsidR="00592AF3" w:rsidRPr="00C276ED" w:rsidRDefault="00592AF3" w:rsidP="00CC0840">
      <w:pPr>
        <w:pStyle w:val="NoSpacing"/>
        <w:jc w:val="both"/>
        <w:rPr>
          <w:rFonts w:ascii="Arial" w:hAnsi="Arial" w:cs="Arial"/>
          <w:sz w:val="24"/>
          <w:szCs w:val="24"/>
        </w:rPr>
      </w:pPr>
    </w:p>
    <w:p w14:paraId="599DCE2C" w14:textId="5B5542F2" w:rsidR="00D85FB7" w:rsidRPr="00C276ED" w:rsidRDefault="00D85FB7" w:rsidP="00CC0840">
      <w:pPr>
        <w:pStyle w:val="NoSpacing"/>
        <w:jc w:val="both"/>
        <w:rPr>
          <w:rFonts w:ascii="Arial" w:hAnsi="Arial" w:cs="Arial"/>
          <w:sz w:val="24"/>
          <w:szCs w:val="24"/>
        </w:rPr>
      </w:pPr>
      <w:r w:rsidRPr="00C276ED">
        <w:rPr>
          <w:rFonts w:ascii="Arial" w:hAnsi="Arial" w:cs="Arial"/>
          <w:sz w:val="24"/>
          <w:szCs w:val="24"/>
        </w:rPr>
        <w:t xml:space="preserve">The 2016 Oregon Legislature adopted “Coal to Clean” </w:t>
      </w:r>
      <w:r w:rsidR="004567F0" w:rsidRPr="00C276ED">
        <w:rPr>
          <w:rFonts w:ascii="Arial" w:hAnsi="Arial" w:cs="Arial"/>
          <w:sz w:val="24"/>
          <w:szCs w:val="24"/>
        </w:rPr>
        <w:t>(</w:t>
      </w:r>
      <w:r w:rsidR="00CC0840" w:rsidRPr="00C276ED">
        <w:rPr>
          <w:rFonts w:ascii="Arial" w:hAnsi="Arial" w:cs="Arial"/>
          <w:sz w:val="24"/>
          <w:szCs w:val="24"/>
        </w:rPr>
        <w:t>SB 1547</w:t>
      </w:r>
      <w:r w:rsidR="004567F0" w:rsidRPr="00C276ED">
        <w:rPr>
          <w:rFonts w:ascii="Arial" w:hAnsi="Arial" w:cs="Arial"/>
          <w:sz w:val="24"/>
          <w:szCs w:val="24"/>
        </w:rPr>
        <w:t xml:space="preserve">) </w:t>
      </w:r>
      <w:r w:rsidRPr="00C276ED">
        <w:rPr>
          <w:rFonts w:ascii="Arial" w:hAnsi="Arial" w:cs="Arial"/>
          <w:sz w:val="24"/>
          <w:szCs w:val="24"/>
        </w:rPr>
        <w:t>legislation effectively removing coal in the state by 2030 (</w:t>
      </w:r>
      <w:r w:rsidR="00CD77B5" w:rsidRPr="00C276ED">
        <w:rPr>
          <w:rFonts w:ascii="Arial" w:hAnsi="Arial" w:cs="Arial"/>
          <w:sz w:val="24"/>
          <w:szCs w:val="24"/>
        </w:rPr>
        <w:t>by disallowing</w:t>
      </w:r>
      <w:r w:rsidRPr="00C276ED">
        <w:rPr>
          <w:rFonts w:ascii="Arial" w:hAnsi="Arial" w:cs="Arial"/>
          <w:sz w:val="24"/>
          <w:szCs w:val="24"/>
        </w:rPr>
        <w:t xml:space="preserve"> any coal</w:t>
      </w:r>
      <w:r w:rsidR="00CD77B5" w:rsidRPr="00C276ED">
        <w:rPr>
          <w:rFonts w:ascii="Arial" w:hAnsi="Arial" w:cs="Arial"/>
          <w:sz w:val="24"/>
          <w:szCs w:val="24"/>
        </w:rPr>
        <w:t>-related</w:t>
      </w:r>
      <w:r w:rsidR="004567F0" w:rsidRPr="00C276ED">
        <w:rPr>
          <w:rFonts w:ascii="Arial" w:hAnsi="Arial" w:cs="Arial"/>
          <w:sz w:val="24"/>
          <w:szCs w:val="24"/>
        </w:rPr>
        <w:t xml:space="preserve"> costs in retail </w:t>
      </w:r>
      <w:r w:rsidR="00CD77B5" w:rsidRPr="00C276ED">
        <w:rPr>
          <w:rFonts w:ascii="Arial" w:hAnsi="Arial" w:cs="Arial"/>
          <w:sz w:val="24"/>
          <w:szCs w:val="24"/>
        </w:rPr>
        <w:t xml:space="preserve">electricity </w:t>
      </w:r>
      <w:r w:rsidR="004567F0" w:rsidRPr="00C276ED">
        <w:rPr>
          <w:rFonts w:ascii="Arial" w:hAnsi="Arial" w:cs="Arial"/>
          <w:sz w:val="24"/>
          <w:szCs w:val="24"/>
        </w:rPr>
        <w:t xml:space="preserve">rates) and </w:t>
      </w:r>
      <w:r w:rsidR="00CD77B5" w:rsidRPr="00C276ED">
        <w:rPr>
          <w:rFonts w:ascii="Arial" w:hAnsi="Arial" w:cs="Arial"/>
          <w:sz w:val="24"/>
          <w:szCs w:val="24"/>
        </w:rPr>
        <w:t>also adopt</w:t>
      </w:r>
      <w:r w:rsidR="00D31EEA">
        <w:rPr>
          <w:rFonts w:ascii="Arial" w:hAnsi="Arial" w:cs="Arial"/>
          <w:sz w:val="24"/>
          <w:szCs w:val="24"/>
        </w:rPr>
        <w:t>ed</w:t>
      </w:r>
      <w:r w:rsidR="00CD77B5" w:rsidRPr="00C276ED">
        <w:rPr>
          <w:rFonts w:ascii="Arial" w:hAnsi="Arial" w:cs="Arial"/>
          <w:sz w:val="24"/>
          <w:szCs w:val="24"/>
        </w:rPr>
        <w:t xml:space="preserve"> </w:t>
      </w:r>
      <w:r w:rsidR="004567F0" w:rsidRPr="00C276ED">
        <w:rPr>
          <w:rFonts w:ascii="Arial" w:hAnsi="Arial" w:cs="Arial"/>
          <w:sz w:val="24"/>
          <w:szCs w:val="24"/>
        </w:rPr>
        <w:t xml:space="preserve">a </w:t>
      </w:r>
      <w:r w:rsidR="00CD77B5" w:rsidRPr="00C276ED">
        <w:rPr>
          <w:rFonts w:ascii="Arial" w:hAnsi="Arial" w:cs="Arial"/>
          <w:sz w:val="24"/>
          <w:szCs w:val="24"/>
        </w:rPr>
        <w:t xml:space="preserve">standard that requires </w:t>
      </w:r>
      <w:r w:rsidR="004567F0" w:rsidRPr="00C276ED">
        <w:rPr>
          <w:rFonts w:ascii="Arial" w:hAnsi="Arial" w:cs="Arial"/>
          <w:sz w:val="24"/>
          <w:szCs w:val="24"/>
        </w:rPr>
        <w:t>50</w:t>
      </w:r>
      <w:r w:rsidRPr="00C276ED">
        <w:rPr>
          <w:rFonts w:ascii="Arial" w:hAnsi="Arial" w:cs="Arial"/>
          <w:sz w:val="24"/>
          <w:szCs w:val="24"/>
        </w:rPr>
        <w:t xml:space="preserve">% </w:t>
      </w:r>
      <w:r w:rsidR="00CD77B5" w:rsidRPr="00C276ED">
        <w:rPr>
          <w:rFonts w:ascii="Arial" w:hAnsi="Arial" w:cs="Arial"/>
          <w:sz w:val="24"/>
          <w:szCs w:val="24"/>
        </w:rPr>
        <w:t xml:space="preserve">of all electricity used in Oregon to be from </w:t>
      </w:r>
      <w:r w:rsidRPr="00C276ED">
        <w:rPr>
          <w:rFonts w:ascii="Arial" w:hAnsi="Arial" w:cs="Arial"/>
          <w:sz w:val="24"/>
          <w:szCs w:val="24"/>
        </w:rPr>
        <w:t xml:space="preserve">renewable </w:t>
      </w:r>
      <w:r w:rsidR="00CD77B5" w:rsidRPr="00C276ED">
        <w:rPr>
          <w:rFonts w:ascii="Arial" w:hAnsi="Arial" w:cs="Arial"/>
          <w:sz w:val="24"/>
          <w:szCs w:val="24"/>
        </w:rPr>
        <w:t xml:space="preserve">sources starting in </w:t>
      </w:r>
      <w:r w:rsidR="004567F0" w:rsidRPr="00C276ED">
        <w:rPr>
          <w:rFonts w:ascii="Arial" w:hAnsi="Arial" w:cs="Arial"/>
          <w:sz w:val="24"/>
          <w:szCs w:val="24"/>
        </w:rPr>
        <w:t>2040</w:t>
      </w:r>
      <w:r w:rsidRPr="00C276ED">
        <w:rPr>
          <w:rFonts w:ascii="Arial" w:hAnsi="Arial" w:cs="Arial"/>
          <w:sz w:val="24"/>
          <w:szCs w:val="24"/>
        </w:rPr>
        <w:t xml:space="preserve">.  </w:t>
      </w:r>
    </w:p>
    <w:p w14:paraId="4139A841" w14:textId="77777777" w:rsidR="0045672F" w:rsidRPr="00C276ED" w:rsidRDefault="0045672F" w:rsidP="00CC0840">
      <w:pPr>
        <w:pStyle w:val="NoSpacing"/>
        <w:jc w:val="both"/>
        <w:rPr>
          <w:rFonts w:ascii="Arial" w:hAnsi="Arial" w:cs="Arial"/>
          <w:sz w:val="24"/>
          <w:szCs w:val="24"/>
        </w:rPr>
      </w:pPr>
    </w:p>
    <w:p w14:paraId="51F6DF64" w14:textId="6CC63F35" w:rsidR="00BD595E" w:rsidRPr="00C276ED" w:rsidRDefault="00BD595E" w:rsidP="00CC0840">
      <w:pPr>
        <w:pStyle w:val="NoSpacing"/>
        <w:jc w:val="both"/>
        <w:rPr>
          <w:rFonts w:ascii="Arial" w:hAnsi="Arial" w:cs="Arial"/>
          <w:sz w:val="24"/>
          <w:szCs w:val="24"/>
        </w:rPr>
      </w:pPr>
      <w:r w:rsidRPr="00C276ED">
        <w:rPr>
          <w:rFonts w:ascii="Arial" w:hAnsi="Arial" w:cs="Arial"/>
          <w:sz w:val="24"/>
          <w:szCs w:val="24"/>
        </w:rPr>
        <w:t xml:space="preserve">On September 15, 2016, the Washington Department of Ecology (Ecology) issued the final Washington Clean Air Act (CAA) Clean Air Rule (CAR) WAC-173-442 requiring greenhouse gas emission reductions from various industries in the state, </w:t>
      </w:r>
      <w:r w:rsidRPr="00C276ED">
        <w:rPr>
          <w:rFonts w:ascii="Arial" w:hAnsi="Arial" w:cs="Arial"/>
          <w:sz w:val="24"/>
          <w:szCs w:val="24"/>
        </w:rPr>
        <w:lastRenderedPageBreak/>
        <w:t xml:space="preserve">including emissions from the combustion of natural gas supplied to end-use customers by natural gas distribution companies, such as Cascade.  In 2017, Cascade must maintain emission of carbon dioxide equivalent </w:t>
      </w:r>
      <w:r w:rsidR="007A48B8" w:rsidRPr="00C276ED">
        <w:rPr>
          <w:rFonts w:ascii="Arial" w:hAnsi="Arial" w:cs="Arial"/>
          <w:sz w:val="24"/>
          <w:szCs w:val="24"/>
        </w:rPr>
        <w:t>(CO</w:t>
      </w:r>
      <w:r w:rsidR="007A48B8" w:rsidRPr="00C276ED">
        <w:rPr>
          <w:rFonts w:ascii="Arial" w:hAnsi="Arial" w:cs="Arial"/>
          <w:sz w:val="24"/>
          <w:szCs w:val="24"/>
          <w:vertAlign w:val="subscript"/>
        </w:rPr>
        <w:t>2</w:t>
      </w:r>
      <w:r w:rsidR="007A48B8" w:rsidRPr="00C276ED">
        <w:rPr>
          <w:rFonts w:ascii="Arial" w:hAnsi="Arial" w:cs="Arial"/>
          <w:sz w:val="24"/>
          <w:szCs w:val="24"/>
        </w:rPr>
        <w:t xml:space="preserve">e) </w:t>
      </w:r>
      <w:r w:rsidRPr="00C276ED">
        <w:rPr>
          <w:rFonts w:ascii="Arial" w:hAnsi="Arial" w:cs="Arial"/>
          <w:sz w:val="24"/>
          <w:szCs w:val="24"/>
        </w:rPr>
        <w:t xml:space="preserve">less than or equal to its baseline emissions.  Preliminary impacts from the rule are discussed in detail further below.  </w:t>
      </w:r>
    </w:p>
    <w:p w14:paraId="1A349F31" w14:textId="77777777" w:rsidR="00823408" w:rsidRPr="00C276ED" w:rsidRDefault="00823408" w:rsidP="00CC0840">
      <w:pPr>
        <w:pStyle w:val="NoSpacing"/>
        <w:jc w:val="both"/>
        <w:rPr>
          <w:rFonts w:ascii="Arial" w:hAnsi="Arial" w:cs="Arial"/>
          <w:sz w:val="24"/>
          <w:szCs w:val="24"/>
        </w:rPr>
      </w:pPr>
    </w:p>
    <w:p w14:paraId="6FCBCE93" w14:textId="3399AB0D" w:rsidR="00823408" w:rsidRPr="00C276ED" w:rsidRDefault="00823408" w:rsidP="00CC0840">
      <w:pPr>
        <w:pStyle w:val="NoSpacing"/>
        <w:jc w:val="both"/>
        <w:rPr>
          <w:rFonts w:ascii="Arial" w:hAnsi="Arial" w:cs="Arial"/>
          <w:sz w:val="24"/>
          <w:szCs w:val="24"/>
        </w:rPr>
      </w:pPr>
      <w:r w:rsidRPr="00C276ED">
        <w:rPr>
          <w:rFonts w:ascii="Arial" w:hAnsi="Arial" w:cs="Arial"/>
          <w:sz w:val="24"/>
          <w:szCs w:val="24"/>
        </w:rPr>
        <w:t xml:space="preserve">It is possible that other state or federal regulations and legislation may potentially be adopted in </w:t>
      </w:r>
      <w:r w:rsidR="009C4F67">
        <w:rPr>
          <w:rFonts w:ascii="Arial" w:hAnsi="Arial" w:cs="Arial"/>
          <w:sz w:val="24"/>
          <w:szCs w:val="24"/>
        </w:rPr>
        <w:t xml:space="preserve">the </w:t>
      </w:r>
      <w:r w:rsidRPr="00C276ED">
        <w:rPr>
          <w:rFonts w:ascii="Arial" w:hAnsi="Arial" w:cs="Arial"/>
          <w:sz w:val="24"/>
          <w:szCs w:val="24"/>
        </w:rPr>
        <w:t>future that could require Cascade to address GHG emissions.  Cascade will continue to monitor GHG regulation</w:t>
      </w:r>
      <w:r w:rsidR="009C4F67">
        <w:rPr>
          <w:rFonts w:ascii="Arial" w:hAnsi="Arial" w:cs="Arial"/>
          <w:sz w:val="24"/>
          <w:szCs w:val="24"/>
        </w:rPr>
        <w:t>s</w:t>
      </w:r>
      <w:r w:rsidRPr="00C276ED">
        <w:rPr>
          <w:rFonts w:ascii="Arial" w:hAnsi="Arial" w:cs="Arial"/>
          <w:sz w:val="24"/>
          <w:szCs w:val="24"/>
        </w:rPr>
        <w:t xml:space="preserve"> and legislation for potential impacts to its operations and cost</w:t>
      </w:r>
      <w:r w:rsidR="009C4F67">
        <w:rPr>
          <w:rFonts w:ascii="Arial" w:hAnsi="Arial" w:cs="Arial"/>
          <w:sz w:val="24"/>
          <w:szCs w:val="24"/>
        </w:rPr>
        <w:t>s</w:t>
      </w:r>
      <w:r w:rsidRPr="00C276ED">
        <w:rPr>
          <w:rFonts w:ascii="Arial" w:hAnsi="Arial" w:cs="Arial"/>
          <w:sz w:val="24"/>
          <w:szCs w:val="24"/>
        </w:rPr>
        <w:t xml:space="preserve"> to customers.   </w:t>
      </w:r>
    </w:p>
    <w:p w14:paraId="06E4E190" w14:textId="77777777" w:rsidR="00BD595E" w:rsidRPr="00C276ED" w:rsidRDefault="00BD595E" w:rsidP="00CC0840">
      <w:pPr>
        <w:pStyle w:val="NoSpacing"/>
        <w:jc w:val="both"/>
        <w:rPr>
          <w:rFonts w:ascii="Arial" w:hAnsi="Arial" w:cs="Arial"/>
          <w:sz w:val="24"/>
          <w:szCs w:val="24"/>
        </w:rPr>
      </w:pPr>
    </w:p>
    <w:p w14:paraId="75E7D028" w14:textId="713411F4" w:rsidR="0045672F" w:rsidRPr="00C276ED" w:rsidRDefault="0045672F" w:rsidP="00CC0840">
      <w:pPr>
        <w:pStyle w:val="NoSpacing"/>
        <w:jc w:val="both"/>
        <w:rPr>
          <w:rFonts w:ascii="Arial" w:hAnsi="Arial" w:cs="Arial"/>
          <w:sz w:val="24"/>
          <w:szCs w:val="24"/>
        </w:rPr>
      </w:pPr>
      <w:r w:rsidRPr="00C276ED">
        <w:rPr>
          <w:rFonts w:ascii="Arial" w:hAnsi="Arial" w:cs="Arial"/>
          <w:sz w:val="24"/>
          <w:szCs w:val="24"/>
        </w:rPr>
        <w:t>While focused on the Pacific Northwest electric industry, the Northwest Power and Conservation Council (NP</w:t>
      </w:r>
      <w:r w:rsidR="00BC62C5" w:rsidRPr="00C276ED">
        <w:rPr>
          <w:rFonts w:ascii="Arial" w:hAnsi="Arial" w:cs="Arial"/>
          <w:sz w:val="24"/>
          <w:szCs w:val="24"/>
        </w:rPr>
        <w:t>C</w:t>
      </w:r>
      <w:r w:rsidRPr="00C276ED">
        <w:rPr>
          <w:rFonts w:ascii="Arial" w:hAnsi="Arial" w:cs="Arial"/>
          <w:sz w:val="24"/>
          <w:szCs w:val="24"/>
        </w:rPr>
        <w:t>C or Council) exhaustively examined CO</w:t>
      </w:r>
      <w:r w:rsidRPr="00C276ED">
        <w:rPr>
          <w:rFonts w:ascii="Arial" w:hAnsi="Arial" w:cs="Arial"/>
          <w:sz w:val="24"/>
          <w:szCs w:val="24"/>
          <w:vertAlign w:val="subscript"/>
        </w:rPr>
        <w:t>2</w:t>
      </w:r>
      <w:r w:rsidRPr="00C276ED">
        <w:rPr>
          <w:rFonts w:ascii="Arial" w:hAnsi="Arial" w:cs="Arial"/>
          <w:sz w:val="24"/>
          <w:szCs w:val="24"/>
        </w:rPr>
        <w:t xml:space="preserve"> in its Seventh Power Plan (</w:t>
      </w:r>
      <w:r w:rsidR="009C4F67">
        <w:rPr>
          <w:rFonts w:ascii="Arial" w:hAnsi="Arial" w:cs="Arial"/>
          <w:sz w:val="24"/>
          <w:szCs w:val="24"/>
        </w:rPr>
        <w:t>The 7</w:t>
      </w:r>
      <w:r w:rsidR="009C4F67" w:rsidRPr="009C4F67">
        <w:rPr>
          <w:rFonts w:ascii="Arial" w:hAnsi="Arial" w:cs="Arial"/>
          <w:sz w:val="24"/>
          <w:szCs w:val="24"/>
          <w:vertAlign w:val="superscript"/>
        </w:rPr>
        <w:t>th</w:t>
      </w:r>
      <w:r w:rsidR="009C4F67">
        <w:rPr>
          <w:rFonts w:ascii="Arial" w:hAnsi="Arial" w:cs="Arial"/>
          <w:sz w:val="24"/>
          <w:szCs w:val="24"/>
        </w:rPr>
        <w:t xml:space="preserve"> </w:t>
      </w:r>
      <w:r w:rsidRPr="00C276ED">
        <w:rPr>
          <w:rFonts w:ascii="Arial" w:hAnsi="Arial" w:cs="Arial"/>
          <w:sz w:val="24"/>
          <w:szCs w:val="24"/>
        </w:rPr>
        <w:t>Plan) released in May, 2016.</w:t>
      </w:r>
      <w:r w:rsidRPr="00C276ED">
        <w:rPr>
          <w:rStyle w:val="FootnoteReference"/>
          <w:rFonts w:ascii="Arial" w:hAnsi="Arial" w:cs="Arial"/>
          <w:sz w:val="24"/>
          <w:szCs w:val="24"/>
        </w:rPr>
        <w:footnoteReference w:id="1"/>
      </w:r>
      <w:r w:rsidR="009C4F67">
        <w:rPr>
          <w:rFonts w:ascii="Arial" w:hAnsi="Arial" w:cs="Arial"/>
          <w:sz w:val="24"/>
          <w:szCs w:val="24"/>
        </w:rPr>
        <w:t xml:space="preserve">  The 7</w:t>
      </w:r>
      <w:r w:rsidR="009C4F67" w:rsidRPr="009C4F67">
        <w:rPr>
          <w:rFonts w:ascii="Arial" w:hAnsi="Arial" w:cs="Arial"/>
          <w:sz w:val="24"/>
          <w:szCs w:val="24"/>
          <w:vertAlign w:val="superscript"/>
        </w:rPr>
        <w:t>th</w:t>
      </w:r>
      <w:r w:rsidRPr="00C276ED">
        <w:rPr>
          <w:rFonts w:ascii="Arial" w:hAnsi="Arial" w:cs="Arial"/>
          <w:sz w:val="24"/>
          <w:szCs w:val="24"/>
        </w:rPr>
        <w:t xml:space="preserve"> Plan builds on the Council’s previous work and has become the recognized standard for carbon analysis</w:t>
      </w:r>
      <w:r w:rsidR="00D101BF" w:rsidRPr="00C276ED">
        <w:rPr>
          <w:rFonts w:ascii="Arial" w:hAnsi="Arial" w:cs="Arial"/>
          <w:sz w:val="24"/>
          <w:szCs w:val="24"/>
        </w:rPr>
        <w:t xml:space="preserve"> in the Pacific Northwest</w:t>
      </w:r>
      <w:r w:rsidRPr="00C276ED">
        <w:rPr>
          <w:rFonts w:ascii="Arial" w:hAnsi="Arial" w:cs="Arial"/>
          <w:sz w:val="24"/>
          <w:szCs w:val="24"/>
        </w:rPr>
        <w:t xml:space="preserve">.  </w:t>
      </w:r>
      <w:r w:rsidR="002C4AA6" w:rsidRPr="00C276ED">
        <w:rPr>
          <w:rFonts w:ascii="Arial" w:hAnsi="Arial" w:cs="Arial"/>
          <w:sz w:val="24"/>
          <w:szCs w:val="24"/>
        </w:rPr>
        <w:t xml:space="preserve">Cascade believes the </w:t>
      </w:r>
      <w:r w:rsidR="009C4F67">
        <w:rPr>
          <w:rFonts w:ascii="Arial" w:hAnsi="Arial" w:cs="Arial"/>
          <w:sz w:val="24"/>
          <w:szCs w:val="24"/>
        </w:rPr>
        <w:t>7</w:t>
      </w:r>
      <w:r w:rsidR="009C4F67" w:rsidRPr="009C4F67">
        <w:rPr>
          <w:rFonts w:ascii="Arial" w:hAnsi="Arial" w:cs="Arial"/>
          <w:sz w:val="24"/>
          <w:szCs w:val="24"/>
          <w:vertAlign w:val="superscript"/>
        </w:rPr>
        <w:t>th</w:t>
      </w:r>
      <w:r w:rsidR="009C4F67">
        <w:rPr>
          <w:rFonts w:ascii="Arial" w:hAnsi="Arial" w:cs="Arial"/>
          <w:sz w:val="24"/>
          <w:szCs w:val="24"/>
        </w:rPr>
        <w:t xml:space="preserve"> </w:t>
      </w:r>
      <w:r w:rsidR="002C4AA6" w:rsidRPr="00C276ED">
        <w:rPr>
          <w:rFonts w:ascii="Arial" w:hAnsi="Arial" w:cs="Arial"/>
          <w:sz w:val="24"/>
          <w:szCs w:val="24"/>
        </w:rPr>
        <w:t xml:space="preserve">Plan </w:t>
      </w:r>
      <w:r w:rsidR="00BF1801" w:rsidRPr="00C276ED">
        <w:rPr>
          <w:rFonts w:ascii="Arial" w:hAnsi="Arial" w:cs="Arial"/>
          <w:sz w:val="24"/>
          <w:szCs w:val="24"/>
        </w:rPr>
        <w:t>contains</w:t>
      </w:r>
      <w:r w:rsidR="002C4AA6" w:rsidRPr="00C276ED">
        <w:rPr>
          <w:rFonts w:ascii="Arial" w:hAnsi="Arial" w:cs="Arial"/>
          <w:sz w:val="24"/>
          <w:szCs w:val="24"/>
        </w:rPr>
        <w:t xml:space="preserve"> relevant CO</w:t>
      </w:r>
      <w:r w:rsidR="002C4AA6" w:rsidRPr="00C276ED">
        <w:rPr>
          <w:rFonts w:ascii="Arial" w:hAnsi="Arial" w:cs="Arial"/>
          <w:sz w:val="24"/>
          <w:szCs w:val="24"/>
          <w:vertAlign w:val="subscript"/>
        </w:rPr>
        <w:t>2</w:t>
      </w:r>
      <w:r w:rsidR="002C4AA6" w:rsidRPr="00C276ED">
        <w:rPr>
          <w:rFonts w:ascii="Arial" w:hAnsi="Arial" w:cs="Arial"/>
          <w:sz w:val="24"/>
          <w:szCs w:val="24"/>
        </w:rPr>
        <w:t xml:space="preserve"> costs for </w:t>
      </w:r>
      <w:r w:rsidR="00BF1801" w:rsidRPr="00C276ED">
        <w:rPr>
          <w:rFonts w:ascii="Arial" w:hAnsi="Arial" w:cs="Arial"/>
          <w:sz w:val="24"/>
          <w:szCs w:val="24"/>
        </w:rPr>
        <w:t xml:space="preserve">use in modeling cost impacts to </w:t>
      </w:r>
      <w:r w:rsidR="002C4AA6" w:rsidRPr="00C276ED">
        <w:rPr>
          <w:rFonts w:ascii="Arial" w:hAnsi="Arial" w:cs="Arial"/>
          <w:sz w:val="24"/>
          <w:szCs w:val="24"/>
        </w:rPr>
        <w:t>natural gas distribution utilities.</w:t>
      </w:r>
    </w:p>
    <w:p w14:paraId="15FB4701" w14:textId="77777777" w:rsidR="00D85FB7" w:rsidRPr="00C276ED" w:rsidRDefault="00D85FB7" w:rsidP="00CC0840">
      <w:pPr>
        <w:pStyle w:val="NoSpacing"/>
        <w:jc w:val="both"/>
        <w:rPr>
          <w:rFonts w:ascii="Arial" w:hAnsi="Arial" w:cs="Arial"/>
          <w:sz w:val="24"/>
          <w:szCs w:val="24"/>
        </w:rPr>
      </w:pPr>
    </w:p>
    <w:p w14:paraId="6E37700F" w14:textId="77777777" w:rsidR="00BC62C5" w:rsidRPr="00C276ED" w:rsidRDefault="00D85FB7" w:rsidP="00CC0840">
      <w:pPr>
        <w:pStyle w:val="NoSpacing"/>
        <w:jc w:val="both"/>
        <w:rPr>
          <w:rFonts w:ascii="Arial" w:hAnsi="Arial" w:cs="Arial"/>
          <w:sz w:val="24"/>
          <w:szCs w:val="24"/>
        </w:rPr>
      </w:pPr>
      <w:r w:rsidRPr="00C276ED">
        <w:rPr>
          <w:rFonts w:ascii="Arial" w:hAnsi="Arial" w:cs="Arial"/>
          <w:sz w:val="24"/>
          <w:szCs w:val="24"/>
        </w:rPr>
        <w:t>The Council considered eight analytical approaches to establish future carbon costs.</w:t>
      </w:r>
      <w:r w:rsidR="004567F0" w:rsidRPr="00C276ED">
        <w:rPr>
          <w:rStyle w:val="FootnoteReference"/>
          <w:rFonts w:ascii="Arial" w:hAnsi="Arial" w:cs="Arial"/>
          <w:sz w:val="24"/>
          <w:szCs w:val="24"/>
        </w:rPr>
        <w:footnoteReference w:id="2"/>
      </w:r>
      <w:r w:rsidRPr="00C276ED">
        <w:rPr>
          <w:rFonts w:ascii="Arial" w:hAnsi="Arial" w:cs="Arial"/>
          <w:sz w:val="24"/>
          <w:szCs w:val="24"/>
        </w:rPr>
        <w:t xml:space="preserve">  These are:  </w:t>
      </w:r>
    </w:p>
    <w:p w14:paraId="6224FA55" w14:textId="77777777" w:rsidR="00BC62C5" w:rsidRPr="00C276ED" w:rsidRDefault="00D85FB7" w:rsidP="00992012">
      <w:pPr>
        <w:pStyle w:val="NoSpacing"/>
        <w:numPr>
          <w:ilvl w:val="0"/>
          <w:numId w:val="10"/>
        </w:numPr>
        <w:jc w:val="both"/>
        <w:rPr>
          <w:rFonts w:ascii="Arial" w:hAnsi="Arial" w:cs="Arial"/>
          <w:sz w:val="24"/>
          <w:szCs w:val="24"/>
        </w:rPr>
      </w:pPr>
      <w:r w:rsidRPr="00C276ED">
        <w:rPr>
          <w:rFonts w:ascii="Arial" w:hAnsi="Arial" w:cs="Arial"/>
          <w:sz w:val="24"/>
          <w:szCs w:val="24"/>
        </w:rPr>
        <w:t xml:space="preserve">Social Cost of Carbon (Mid-Range and High); </w:t>
      </w:r>
    </w:p>
    <w:p w14:paraId="39383750" w14:textId="3FA47BFA" w:rsidR="00BC62C5" w:rsidRPr="00C276ED" w:rsidRDefault="00D85FB7" w:rsidP="00992012">
      <w:pPr>
        <w:pStyle w:val="NoSpacing"/>
        <w:numPr>
          <w:ilvl w:val="0"/>
          <w:numId w:val="10"/>
        </w:numPr>
        <w:jc w:val="both"/>
        <w:rPr>
          <w:rFonts w:ascii="Arial" w:hAnsi="Arial" w:cs="Arial"/>
          <w:sz w:val="24"/>
          <w:szCs w:val="24"/>
        </w:rPr>
      </w:pPr>
      <w:r w:rsidRPr="00C276ED">
        <w:rPr>
          <w:rFonts w:ascii="Arial" w:hAnsi="Arial" w:cs="Arial"/>
          <w:sz w:val="24"/>
          <w:szCs w:val="24"/>
        </w:rPr>
        <w:t xml:space="preserve">Carbon Cost Risk (e.g., $0 - $110/ton); </w:t>
      </w:r>
    </w:p>
    <w:p w14:paraId="1A04F91A" w14:textId="026753C0" w:rsidR="00BC62C5" w:rsidRPr="00C276ED" w:rsidRDefault="00D85FB7" w:rsidP="00992012">
      <w:pPr>
        <w:pStyle w:val="NoSpacing"/>
        <w:numPr>
          <w:ilvl w:val="0"/>
          <w:numId w:val="10"/>
        </w:numPr>
        <w:jc w:val="both"/>
        <w:rPr>
          <w:rFonts w:ascii="Arial" w:hAnsi="Arial" w:cs="Arial"/>
          <w:sz w:val="24"/>
          <w:szCs w:val="24"/>
        </w:rPr>
      </w:pPr>
      <w:r w:rsidRPr="00C276ED">
        <w:rPr>
          <w:rFonts w:ascii="Arial" w:hAnsi="Arial" w:cs="Arial"/>
          <w:sz w:val="24"/>
          <w:szCs w:val="24"/>
        </w:rPr>
        <w:t xml:space="preserve">Regional Renewable Portfolio Standards at 35%; </w:t>
      </w:r>
      <w:r w:rsidR="005A5ED6" w:rsidRPr="00C276ED">
        <w:rPr>
          <w:rFonts w:ascii="Arial" w:hAnsi="Arial" w:cs="Arial"/>
          <w:sz w:val="24"/>
          <w:szCs w:val="24"/>
        </w:rPr>
        <w:t>and</w:t>
      </w:r>
    </w:p>
    <w:p w14:paraId="48054296" w14:textId="49C3E61A" w:rsidR="00BC62C5" w:rsidRPr="00C276ED" w:rsidRDefault="003834E5" w:rsidP="00992012">
      <w:pPr>
        <w:pStyle w:val="NoSpacing"/>
        <w:numPr>
          <w:ilvl w:val="0"/>
          <w:numId w:val="10"/>
        </w:numPr>
        <w:jc w:val="both"/>
        <w:rPr>
          <w:rFonts w:ascii="Arial" w:hAnsi="Arial" w:cs="Arial"/>
          <w:sz w:val="24"/>
          <w:szCs w:val="24"/>
        </w:rPr>
      </w:pPr>
      <w:r w:rsidRPr="00C276ED">
        <w:rPr>
          <w:rFonts w:ascii="Arial" w:hAnsi="Arial" w:cs="Arial"/>
          <w:sz w:val="24"/>
          <w:szCs w:val="24"/>
        </w:rPr>
        <w:t xml:space="preserve">Five </w:t>
      </w:r>
      <w:r w:rsidR="00BE453C">
        <w:rPr>
          <w:rFonts w:ascii="Arial" w:hAnsi="Arial" w:cs="Arial"/>
          <w:sz w:val="24"/>
          <w:szCs w:val="24"/>
        </w:rPr>
        <w:t xml:space="preserve">Approaches:  </w:t>
      </w:r>
      <w:r w:rsidR="009C4F67">
        <w:rPr>
          <w:rFonts w:ascii="Arial" w:hAnsi="Arial" w:cs="Arial"/>
          <w:sz w:val="24"/>
          <w:szCs w:val="24"/>
        </w:rPr>
        <w:t xml:space="preserve">1) </w:t>
      </w:r>
      <w:r w:rsidR="00BE453C">
        <w:rPr>
          <w:rFonts w:ascii="Arial" w:hAnsi="Arial" w:cs="Arial"/>
          <w:sz w:val="24"/>
          <w:szCs w:val="24"/>
        </w:rPr>
        <w:t>Maximum Carbon Reduction-Existing Technology</w:t>
      </w:r>
      <w:r w:rsidR="009C4F67">
        <w:rPr>
          <w:rFonts w:ascii="Arial" w:hAnsi="Arial" w:cs="Arial"/>
          <w:sz w:val="24"/>
          <w:szCs w:val="24"/>
        </w:rPr>
        <w:t xml:space="preserve">, 2) </w:t>
      </w:r>
      <w:r w:rsidR="00BE453C">
        <w:rPr>
          <w:rFonts w:ascii="Arial" w:hAnsi="Arial" w:cs="Arial"/>
          <w:sz w:val="24"/>
          <w:szCs w:val="24"/>
        </w:rPr>
        <w:t xml:space="preserve">Maximum Carbon reduction-Emerging </w:t>
      </w:r>
      <w:r w:rsidR="00D85FB7" w:rsidRPr="00C276ED">
        <w:rPr>
          <w:rFonts w:ascii="Arial" w:hAnsi="Arial" w:cs="Arial"/>
          <w:sz w:val="24"/>
          <w:szCs w:val="24"/>
        </w:rPr>
        <w:t xml:space="preserve">Technology, </w:t>
      </w:r>
      <w:r w:rsidR="009C4F67">
        <w:rPr>
          <w:rFonts w:ascii="Arial" w:hAnsi="Arial" w:cs="Arial"/>
          <w:sz w:val="24"/>
          <w:szCs w:val="24"/>
        </w:rPr>
        <w:t xml:space="preserve">3) </w:t>
      </w:r>
      <w:r w:rsidR="00D85FB7" w:rsidRPr="00C276ED">
        <w:rPr>
          <w:rFonts w:ascii="Arial" w:hAnsi="Arial" w:cs="Arial"/>
          <w:sz w:val="24"/>
          <w:szCs w:val="24"/>
        </w:rPr>
        <w:t xml:space="preserve">Coal Retirement, </w:t>
      </w:r>
      <w:r w:rsidR="00BE453C">
        <w:rPr>
          <w:rFonts w:ascii="Arial" w:hAnsi="Arial" w:cs="Arial"/>
          <w:sz w:val="24"/>
          <w:szCs w:val="24"/>
        </w:rPr>
        <w:t>4</w:t>
      </w:r>
      <w:r w:rsidR="009C4F67">
        <w:rPr>
          <w:rFonts w:ascii="Arial" w:hAnsi="Arial" w:cs="Arial"/>
          <w:sz w:val="24"/>
          <w:szCs w:val="24"/>
        </w:rPr>
        <w:t xml:space="preserve">) </w:t>
      </w:r>
      <w:r w:rsidR="00D85FB7" w:rsidRPr="00C276ED">
        <w:rPr>
          <w:rFonts w:ascii="Arial" w:hAnsi="Arial" w:cs="Arial"/>
          <w:sz w:val="24"/>
          <w:szCs w:val="24"/>
        </w:rPr>
        <w:t xml:space="preserve">Coal Retirement with the Social Cost of Carbon, </w:t>
      </w:r>
      <w:r w:rsidR="009C4F67">
        <w:rPr>
          <w:rFonts w:ascii="Arial" w:hAnsi="Arial" w:cs="Arial"/>
          <w:sz w:val="24"/>
          <w:szCs w:val="24"/>
        </w:rPr>
        <w:t xml:space="preserve">and </w:t>
      </w:r>
      <w:r w:rsidR="00BE453C">
        <w:rPr>
          <w:rFonts w:ascii="Arial" w:hAnsi="Arial" w:cs="Arial"/>
          <w:sz w:val="24"/>
          <w:szCs w:val="24"/>
        </w:rPr>
        <w:t>5</w:t>
      </w:r>
      <w:r w:rsidR="009C4F67">
        <w:rPr>
          <w:rFonts w:ascii="Arial" w:hAnsi="Arial" w:cs="Arial"/>
          <w:sz w:val="24"/>
          <w:szCs w:val="24"/>
        </w:rPr>
        <w:t xml:space="preserve">) </w:t>
      </w:r>
      <w:r w:rsidR="00D85FB7" w:rsidRPr="00C276ED">
        <w:rPr>
          <w:rFonts w:ascii="Arial" w:hAnsi="Arial" w:cs="Arial"/>
          <w:sz w:val="24"/>
          <w:szCs w:val="24"/>
        </w:rPr>
        <w:t>Coal Retirement with the Social Cost of Carbon</w:t>
      </w:r>
      <w:r w:rsidR="00BE453C">
        <w:rPr>
          <w:rFonts w:ascii="Arial" w:hAnsi="Arial" w:cs="Arial"/>
          <w:sz w:val="24"/>
          <w:szCs w:val="24"/>
        </w:rPr>
        <w:t xml:space="preserve"> and No New Gas</w:t>
      </w:r>
      <w:r w:rsidR="00D85FB7" w:rsidRPr="00C276ED">
        <w:rPr>
          <w:rFonts w:ascii="Arial" w:hAnsi="Arial" w:cs="Arial"/>
          <w:sz w:val="24"/>
          <w:szCs w:val="24"/>
        </w:rPr>
        <w:t xml:space="preserve">.  </w:t>
      </w:r>
    </w:p>
    <w:p w14:paraId="0C678287" w14:textId="77777777" w:rsidR="003834E5" w:rsidRPr="00C276ED" w:rsidRDefault="003834E5" w:rsidP="003834E5">
      <w:pPr>
        <w:pStyle w:val="NoSpacing"/>
        <w:jc w:val="both"/>
        <w:rPr>
          <w:rFonts w:ascii="Arial" w:hAnsi="Arial" w:cs="Arial"/>
          <w:sz w:val="24"/>
          <w:szCs w:val="24"/>
        </w:rPr>
      </w:pPr>
    </w:p>
    <w:p w14:paraId="47A2E0A2" w14:textId="77777777" w:rsidR="00C12503" w:rsidRDefault="00D85FB7" w:rsidP="003834E5">
      <w:pPr>
        <w:pStyle w:val="NoSpacing"/>
        <w:jc w:val="both"/>
        <w:rPr>
          <w:rFonts w:ascii="Arial" w:hAnsi="Arial" w:cs="Arial"/>
          <w:sz w:val="24"/>
          <w:szCs w:val="24"/>
        </w:rPr>
      </w:pPr>
      <w:r w:rsidRPr="00C276ED">
        <w:rPr>
          <w:rFonts w:ascii="Arial" w:hAnsi="Arial" w:cs="Arial"/>
          <w:sz w:val="24"/>
          <w:szCs w:val="24"/>
        </w:rPr>
        <w:t xml:space="preserve">Four additional scenarios </w:t>
      </w:r>
      <w:r w:rsidR="001D5CEE" w:rsidRPr="00C276ED">
        <w:rPr>
          <w:rFonts w:ascii="Arial" w:hAnsi="Arial" w:cs="Arial"/>
          <w:sz w:val="24"/>
          <w:szCs w:val="24"/>
        </w:rPr>
        <w:t xml:space="preserve">were </w:t>
      </w:r>
      <w:r w:rsidRPr="00C276ED">
        <w:rPr>
          <w:rFonts w:ascii="Arial" w:hAnsi="Arial" w:cs="Arial"/>
          <w:sz w:val="24"/>
          <w:szCs w:val="24"/>
        </w:rPr>
        <w:t xml:space="preserve">included: </w:t>
      </w:r>
    </w:p>
    <w:p w14:paraId="182D1D68" w14:textId="4095D2F8" w:rsidR="00C12503" w:rsidRDefault="00BC62C5" w:rsidP="00C12503">
      <w:pPr>
        <w:pStyle w:val="NoSpacing"/>
        <w:tabs>
          <w:tab w:val="left" w:pos="450"/>
        </w:tabs>
        <w:ind w:left="450" w:hanging="450"/>
        <w:jc w:val="both"/>
        <w:rPr>
          <w:rFonts w:ascii="Arial" w:hAnsi="Arial" w:cs="Arial"/>
          <w:sz w:val="24"/>
          <w:szCs w:val="24"/>
        </w:rPr>
      </w:pPr>
      <w:r w:rsidRPr="00C276ED">
        <w:rPr>
          <w:rFonts w:ascii="Arial" w:hAnsi="Arial" w:cs="Arial"/>
          <w:sz w:val="24"/>
          <w:szCs w:val="24"/>
        </w:rPr>
        <w:t xml:space="preserve">1) </w:t>
      </w:r>
      <w:r w:rsidR="00C12503">
        <w:rPr>
          <w:rFonts w:ascii="Arial" w:hAnsi="Arial" w:cs="Arial"/>
          <w:sz w:val="24"/>
          <w:szCs w:val="24"/>
        </w:rPr>
        <w:tab/>
      </w:r>
      <w:r w:rsidR="00D85FB7" w:rsidRPr="00C276ED">
        <w:rPr>
          <w:rFonts w:ascii="Arial" w:hAnsi="Arial" w:cs="Arial"/>
          <w:sz w:val="24"/>
          <w:szCs w:val="24"/>
        </w:rPr>
        <w:t xml:space="preserve">Planned Loss of a Major Non-GHG Emitting Resource (i.e., 1,000 </w:t>
      </w:r>
      <w:proofErr w:type="spellStart"/>
      <w:r w:rsidR="00D85FB7" w:rsidRPr="00C276ED">
        <w:rPr>
          <w:rFonts w:ascii="Arial" w:hAnsi="Arial" w:cs="Arial"/>
          <w:sz w:val="24"/>
          <w:szCs w:val="24"/>
        </w:rPr>
        <w:t>aMW</w:t>
      </w:r>
      <w:proofErr w:type="spellEnd"/>
      <w:r w:rsidR="00D85FB7" w:rsidRPr="00C276ED">
        <w:rPr>
          <w:rFonts w:ascii="Arial" w:hAnsi="Arial" w:cs="Arial"/>
          <w:sz w:val="24"/>
          <w:szCs w:val="24"/>
        </w:rPr>
        <w:t xml:space="preserve"> of hydro); </w:t>
      </w:r>
    </w:p>
    <w:p w14:paraId="16E7DE8B" w14:textId="0E1249C0" w:rsidR="00C12503" w:rsidRDefault="00BC62C5" w:rsidP="00C12503">
      <w:pPr>
        <w:pStyle w:val="NoSpacing"/>
        <w:tabs>
          <w:tab w:val="left" w:pos="450"/>
        </w:tabs>
        <w:jc w:val="both"/>
        <w:rPr>
          <w:rFonts w:ascii="Arial" w:hAnsi="Arial" w:cs="Arial"/>
          <w:sz w:val="24"/>
          <w:szCs w:val="24"/>
        </w:rPr>
      </w:pPr>
      <w:r w:rsidRPr="00C276ED">
        <w:rPr>
          <w:rFonts w:ascii="Arial" w:hAnsi="Arial" w:cs="Arial"/>
          <w:sz w:val="24"/>
          <w:szCs w:val="24"/>
        </w:rPr>
        <w:t xml:space="preserve">2) </w:t>
      </w:r>
      <w:r w:rsidR="00C12503">
        <w:rPr>
          <w:rFonts w:ascii="Arial" w:hAnsi="Arial" w:cs="Arial"/>
          <w:sz w:val="24"/>
          <w:szCs w:val="24"/>
        </w:rPr>
        <w:tab/>
      </w:r>
      <w:r w:rsidR="00D85FB7" w:rsidRPr="00C276ED">
        <w:rPr>
          <w:rFonts w:ascii="Arial" w:hAnsi="Arial" w:cs="Arial"/>
          <w:sz w:val="24"/>
          <w:szCs w:val="24"/>
        </w:rPr>
        <w:t xml:space="preserve">Unplanned Loss of a Major Non- GHG Emitting Resource; </w:t>
      </w:r>
    </w:p>
    <w:p w14:paraId="402C1ACC" w14:textId="6EA3FFB9" w:rsidR="00C12503" w:rsidRDefault="00BC62C5" w:rsidP="00C12503">
      <w:pPr>
        <w:pStyle w:val="NoSpacing"/>
        <w:tabs>
          <w:tab w:val="left" w:pos="450"/>
        </w:tabs>
        <w:jc w:val="both"/>
        <w:rPr>
          <w:rFonts w:ascii="Arial" w:hAnsi="Arial" w:cs="Arial"/>
          <w:sz w:val="24"/>
          <w:szCs w:val="24"/>
        </w:rPr>
      </w:pPr>
      <w:r w:rsidRPr="00C276ED">
        <w:rPr>
          <w:rFonts w:ascii="Arial" w:hAnsi="Arial" w:cs="Arial"/>
          <w:sz w:val="24"/>
          <w:szCs w:val="24"/>
        </w:rPr>
        <w:t xml:space="preserve">3) </w:t>
      </w:r>
      <w:r w:rsidR="00C12503">
        <w:rPr>
          <w:rFonts w:ascii="Arial" w:hAnsi="Arial" w:cs="Arial"/>
          <w:sz w:val="24"/>
          <w:szCs w:val="24"/>
        </w:rPr>
        <w:tab/>
      </w:r>
      <w:r w:rsidR="00D85FB7" w:rsidRPr="00C276ED">
        <w:rPr>
          <w:rFonts w:ascii="Arial" w:hAnsi="Arial" w:cs="Arial"/>
          <w:sz w:val="24"/>
          <w:szCs w:val="24"/>
        </w:rPr>
        <w:t xml:space="preserve">Faster Conservation Deployment; and </w:t>
      </w:r>
    </w:p>
    <w:p w14:paraId="446EFC28" w14:textId="24964628" w:rsidR="00C12503" w:rsidRDefault="00BC62C5" w:rsidP="00C12503">
      <w:pPr>
        <w:pStyle w:val="NoSpacing"/>
        <w:tabs>
          <w:tab w:val="left" w:pos="450"/>
        </w:tabs>
        <w:ind w:left="450" w:hanging="450"/>
        <w:jc w:val="both"/>
        <w:rPr>
          <w:rFonts w:ascii="Arial" w:hAnsi="Arial" w:cs="Arial"/>
          <w:sz w:val="24"/>
          <w:szCs w:val="24"/>
        </w:rPr>
      </w:pPr>
      <w:r w:rsidRPr="00C276ED">
        <w:rPr>
          <w:rFonts w:ascii="Arial" w:hAnsi="Arial" w:cs="Arial"/>
          <w:sz w:val="24"/>
          <w:szCs w:val="24"/>
        </w:rPr>
        <w:t xml:space="preserve">4) </w:t>
      </w:r>
      <w:r w:rsidR="00C12503">
        <w:rPr>
          <w:rFonts w:ascii="Arial" w:hAnsi="Arial" w:cs="Arial"/>
          <w:sz w:val="24"/>
          <w:szCs w:val="24"/>
        </w:rPr>
        <w:tab/>
      </w:r>
      <w:r w:rsidR="00D85FB7" w:rsidRPr="00C276ED">
        <w:rPr>
          <w:rFonts w:ascii="Arial" w:hAnsi="Arial" w:cs="Arial"/>
          <w:sz w:val="24"/>
          <w:szCs w:val="24"/>
        </w:rPr>
        <w:t xml:space="preserve">Slower Conservation Deployment.  Further, four sensitivity analyses were performed:  </w:t>
      </w:r>
    </w:p>
    <w:p w14:paraId="6A6776E0" w14:textId="1ADEACCC" w:rsidR="00C12503" w:rsidRDefault="00C12503" w:rsidP="00C12503">
      <w:pPr>
        <w:pStyle w:val="NoSpacing"/>
        <w:ind w:left="900" w:hanging="450"/>
        <w:jc w:val="both"/>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r>
      <w:r w:rsidR="00D85FB7" w:rsidRPr="00C276ED">
        <w:rPr>
          <w:rFonts w:ascii="Arial" w:hAnsi="Arial" w:cs="Arial"/>
          <w:sz w:val="24"/>
          <w:szCs w:val="24"/>
        </w:rPr>
        <w:t xml:space="preserve">No Demand Response; </w:t>
      </w:r>
    </w:p>
    <w:p w14:paraId="573608C1" w14:textId="30A55C3D" w:rsidR="00C12503" w:rsidRDefault="00C12503" w:rsidP="00C12503">
      <w:pPr>
        <w:pStyle w:val="NoSpacing"/>
        <w:ind w:left="900" w:hanging="450"/>
        <w:jc w:val="both"/>
        <w:rPr>
          <w:rFonts w:ascii="Arial" w:hAnsi="Arial" w:cs="Arial"/>
          <w:sz w:val="24"/>
          <w:szCs w:val="24"/>
        </w:rPr>
      </w:pPr>
      <w:proofErr w:type="gramStart"/>
      <w:r>
        <w:rPr>
          <w:rFonts w:ascii="Arial" w:hAnsi="Arial" w:cs="Arial"/>
          <w:sz w:val="24"/>
          <w:szCs w:val="24"/>
        </w:rPr>
        <w:t>ii.</w:t>
      </w:r>
      <w:r>
        <w:rPr>
          <w:rFonts w:ascii="Arial" w:hAnsi="Arial" w:cs="Arial"/>
          <w:sz w:val="24"/>
          <w:szCs w:val="24"/>
        </w:rPr>
        <w:tab/>
      </w:r>
      <w:r w:rsidR="00D85FB7" w:rsidRPr="00C276ED">
        <w:rPr>
          <w:rFonts w:ascii="Arial" w:hAnsi="Arial" w:cs="Arial"/>
          <w:sz w:val="24"/>
          <w:szCs w:val="24"/>
        </w:rPr>
        <w:t>Low</w:t>
      </w:r>
      <w:proofErr w:type="gramEnd"/>
      <w:r w:rsidR="00D85FB7" w:rsidRPr="00C276ED">
        <w:rPr>
          <w:rFonts w:ascii="Arial" w:hAnsi="Arial" w:cs="Arial"/>
          <w:sz w:val="24"/>
          <w:szCs w:val="24"/>
        </w:rPr>
        <w:t xml:space="preserve"> Natural Gas and Wholesale Electricity Prices; </w:t>
      </w:r>
    </w:p>
    <w:p w14:paraId="028B7455" w14:textId="7BF1F75F" w:rsidR="00C12503" w:rsidRDefault="00C12503" w:rsidP="00C12503">
      <w:pPr>
        <w:pStyle w:val="NoSpacing"/>
        <w:ind w:left="900" w:hanging="450"/>
        <w:jc w:val="both"/>
        <w:rPr>
          <w:rFonts w:ascii="Arial" w:hAnsi="Arial" w:cs="Arial"/>
          <w:sz w:val="24"/>
          <w:szCs w:val="24"/>
        </w:rPr>
      </w:pPr>
      <w:r>
        <w:rPr>
          <w:rFonts w:ascii="Arial" w:hAnsi="Arial" w:cs="Arial"/>
          <w:sz w:val="24"/>
          <w:szCs w:val="24"/>
        </w:rPr>
        <w:t>iii.</w:t>
      </w:r>
      <w:r>
        <w:rPr>
          <w:rFonts w:ascii="Arial" w:hAnsi="Arial" w:cs="Arial"/>
          <w:sz w:val="24"/>
          <w:szCs w:val="24"/>
        </w:rPr>
        <w:tab/>
        <w:t>I</w:t>
      </w:r>
      <w:r w:rsidR="002E2672" w:rsidRPr="00C276ED">
        <w:rPr>
          <w:rFonts w:ascii="Arial" w:hAnsi="Arial" w:cs="Arial"/>
          <w:sz w:val="24"/>
          <w:szCs w:val="24"/>
        </w:rPr>
        <w:t>ncreased Market Reliance</w:t>
      </w:r>
      <w:r w:rsidR="00E00E67">
        <w:rPr>
          <w:rFonts w:ascii="Arial" w:hAnsi="Arial" w:cs="Arial"/>
          <w:sz w:val="24"/>
          <w:szCs w:val="24"/>
        </w:rPr>
        <w:t>;</w:t>
      </w:r>
      <w:r w:rsidR="002E2672" w:rsidRPr="00C276ED">
        <w:rPr>
          <w:rFonts w:ascii="Arial" w:hAnsi="Arial" w:cs="Arial"/>
          <w:sz w:val="24"/>
          <w:szCs w:val="24"/>
        </w:rPr>
        <w:t xml:space="preserve"> and </w:t>
      </w:r>
    </w:p>
    <w:p w14:paraId="63DF9CBF" w14:textId="0CAC00B5" w:rsidR="00D85FB7" w:rsidRPr="00C276ED" w:rsidRDefault="00C12503" w:rsidP="00C12503">
      <w:pPr>
        <w:pStyle w:val="NoSpacing"/>
        <w:ind w:left="900" w:hanging="450"/>
        <w:jc w:val="both"/>
        <w:rPr>
          <w:rFonts w:ascii="Arial" w:hAnsi="Arial" w:cs="Arial"/>
          <w:sz w:val="24"/>
          <w:szCs w:val="24"/>
        </w:rPr>
      </w:pPr>
      <w:r>
        <w:rPr>
          <w:rFonts w:ascii="Arial" w:hAnsi="Arial" w:cs="Arial"/>
          <w:sz w:val="24"/>
          <w:szCs w:val="24"/>
        </w:rPr>
        <w:t>iv.</w:t>
      </w:r>
      <w:r>
        <w:rPr>
          <w:rFonts w:ascii="Arial" w:hAnsi="Arial" w:cs="Arial"/>
          <w:sz w:val="24"/>
          <w:szCs w:val="24"/>
        </w:rPr>
        <w:tab/>
      </w:r>
      <w:r w:rsidR="00D85FB7" w:rsidRPr="00C276ED">
        <w:rPr>
          <w:rFonts w:ascii="Arial" w:hAnsi="Arial" w:cs="Arial"/>
          <w:sz w:val="24"/>
          <w:szCs w:val="24"/>
        </w:rPr>
        <w:t>Lower Conservation.</w:t>
      </w:r>
    </w:p>
    <w:p w14:paraId="148D2BBF" w14:textId="77777777" w:rsidR="00D85FB7" w:rsidRPr="00C276ED" w:rsidRDefault="00D85FB7" w:rsidP="00CC0840">
      <w:pPr>
        <w:pStyle w:val="NoSpacing"/>
        <w:jc w:val="both"/>
        <w:rPr>
          <w:rFonts w:ascii="Arial" w:hAnsi="Arial" w:cs="Arial"/>
          <w:sz w:val="24"/>
          <w:szCs w:val="24"/>
        </w:rPr>
      </w:pPr>
    </w:p>
    <w:p w14:paraId="06D4087F" w14:textId="20AF7EB3" w:rsidR="00D85FB7" w:rsidRPr="00C276ED" w:rsidRDefault="005436E6" w:rsidP="00CC0840">
      <w:pPr>
        <w:pStyle w:val="NoSpacing"/>
        <w:jc w:val="both"/>
        <w:rPr>
          <w:rFonts w:ascii="Arial" w:hAnsi="Arial" w:cs="Arial"/>
          <w:sz w:val="24"/>
          <w:szCs w:val="24"/>
        </w:rPr>
      </w:pPr>
      <w:r w:rsidRPr="00C276ED">
        <w:rPr>
          <w:rFonts w:ascii="Arial" w:hAnsi="Arial" w:cs="Arial"/>
          <w:sz w:val="24"/>
          <w:szCs w:val="24"/>
        </w:rPr>
        <w:lastRenderedPageBreak/>
        <w:t xml:space="preserve">The Council also </w:t>
      </w:r>
      <w:r w:rsidR="0040784F" w:rsidRPr="00C276ED">
        <w:rPr>
          <w:rFonts w:ascii="Arial" w:hAnsi="Arial" w:cs="Arial"/>
          <w:sz w:val="24"/>
          <w:szCs w:val="24"/>
        </w:rPr>
        <w:t xml:space="preserve">discusses </w:t>
      </w:r>
      <w:r w:rsidRPr="00C276ED">
        <w:rPr>
          <w:rFonts w:ascii="Arial" w:hAnsi="Arial" w:cs="Arial"/>
          <w:sz w:val="24"/>
          <w:szCs w:val="24"/>
        </w:rPr>
        <w:t>fugitive natural gas emissions</w:t>
      </w:r>
      <w:r w:rsidR="0040784F" w:rsidRPr="00C276ED">
        <w:rPr>
          <w:rFonts w:ascii="Arial" w:hAnsi="Arial" w:cs="Arial"/>
          <w:sz w:val="24"/>
          <w:szCs w:val="24"/>
        </w:rPr>
        <w:t xml:space="preserve"> in the Plan</w:t>
      </w:r>
      <w:r w:rsidRPr="00C276ED">
        <w:rPr>
          <w:rFonts w:ascii="Arial" w:hAnsi="Arial" w:cs="Arial"/>
          <w:sz w:val="24"/>
          <w:szCs w:val="24"/>
        </w:rPr>
        <w:t xml:space="preserve">. </w:t>
      </w:r>
      <w:r w:rsidR="00D85FB7" w:rsidRPr="00C276ED">
        <w:rPr>
          <w:rFonts w:ascii="Arial" w:hAnsi="Arial" w:cs="Arial"/>
          <w:sz w:val="24"/>
          <w:szCs w:val="24"/>
        </w:rPr>
        <w:t xml:space="preserve">Some studies </w:t>
      </w:r>
      <w:r w:rsidR="002E2672" w:rsidRPr="00C276ED">
        <w:rPr>
          <w:rFonts w:ascii="Arial" w:hAnsi="Arial" w:cs="Arial"/>
          <w:sz w:val="24"/>
          <w:szCs w:val="24"/>
        </w:rPr>
        <w:t>suggest</w:t>
      </w:r>
      <w:r w:rsidR="00D85FB7" w:rsidRPr="00C276ED">
        <w:rPr>
          <w:rFonts w:ascii="Arial" w:hAnsi="Arial" w:cs="Arial"/>
          <w:sz w:val="24"/>
          <w:szCs w:val="24"/>
        </w:rPr>
        <w:t xml:space="preserve"> “fugitive methane” emissions can be more impactful to the natural gas industry than CO</w:t>
      </w:r>
      <w:r w:rsidR="00D85FB7" w:rsidRPr="00C276ED">
        <w:rPr>
          <w:rFonts w:ascii="Arial" w:hAnsi="Arial" w:cs="Arial"/>
          <w:sz w:val="24"/>
          <w:szCs w:val="24"/>
          <w:vertAlign w:val="subscript"/>
        </w:rPr>
        <w:t>2</w:t>
      </w:r>
      <w:r w:rsidR="00D85FB7" w:rsidRPr="00C276ED">
        <w:rPr>
          <w:rFonts w:ascii="Arial" w:hAnsi="Arial" w:cs="Arial"/>
          <w:sz w:val="24"/>
          <w:szCs w:val="24"/>
        </w:rPr>
        <w:t xml:space="preserve"> emissions from using natural gas at the end-use or to generate electricity.</w:t>
      </w:r>
      <w:r w:rsidR="002E2672" w:rsidRPr="00C276ED">
        <w:rPr>
          <w:rStyle w:val="FootnoteReference"/>
          <w:rFonts w:ascii="Arial" w:hAnsi="Arial" w:cs="Arial"/>
          <w:sz w:val="24"/>
          <w:szCs w:val="24"/>
        </w:rPr>
        <w:footnoteReference w:id="3"/>
      </w:r>
      <w:r w:rsidR="00D85FB7" w:rsidRPr="00C276ED">
        <w:rPr>
          <w:rFonts w:ascii="Arial" w:hAnsi="Arial" w:cs="Arial"/>
          <w:sz w:val="24"/>
          <w:szCs w:val="24"/>
        </w:rPr>
        <w:t xml:space="preserve">  Fugitive methane emissions </w:t>
      </w:r>
      <w:r w:rsidR="0040784F" w:rsidRPr="00C276ED">
        <w:rPr>
          <w:rFonts w:ascii="Arial" w:hAnsi="Arial" w:cs="Arial"/>
          <w:sz w:val="24"/>
          <w:szCs w:val="24"/>
        </w:rPr>
        <w:t xml:space="preserve">may </w:t>
      </w:r>
      <w:r w:rsidR="00D85FB7" w:rsidRPr="00C276ED">
        <w:rPr>
          <w:rFonts w:ascii="Arial" w:hAnsi="Arial" w:cs="Arial"/>
          <w:sz w:val="24"/>
          <w:szCs w:val="24"/>
        </w:rPr>
        <w:t>occur at all points of the extraction, gathering, transportation, storage, and distribution of natural gas.  The Council notes the actual amount of fugitive natural gas</w:t>
      </w:r>
      <w:r w:rsidR="00C473A4" w:rsidRPr="00C276ED">
        <w:rPr>
          <w:rFonts w:ascii="Arial" w:hAnsi="Arial" w:cs="Arial"/>
          <w:sz w:val="24"/>
          <w:szCs w:val="24"/>
        </w:rPr>
        <w:t xml:space="preserve"> emitted is </w:t>
      </w:r>
      <w:r w:rsidR="00D85FB7" w:rsidRPr="00C276ED">
        <w:rPr>
          <w:rFonts w:ascii="Arial" w:hAnsi="Arial" w:cs="Arial"/>
          <w:sz w:val="24"/>
          <w:szCs w:val="24"/>
        </w:rPr>
        <w:t>uncertain and that its contribution to greenhouse gas emissions is less than that of the electric industry.</w:t>
      </w:r>
    </w:p>
    <w:p w14:paraId="0F5695E7" w14:textId="77777777" w:rsidR="00D85FB7" w:rsidRPr="00C276ED" w:rsidRDefault="00D85FB7" w:rsidP="00CC0840">
      <w:pPr>
        <w:pStyle w:val="NoSpacing"/>
        <w:jc w:val="both"/>
        <w:rPr>
          <w:rFonts w:ascii="Arial" w:hAnsi="Arial" w:cs="Arial"/>
          <w:sz w:val="24"/>
          <w:szCs w:val="24"/>
        </w:rPr>
      </w:pPr>
    </w:p>
    <w:p w14:paraId="3E12D526" w14:textId="60D77EC5" w:rsidR="005436E6" w:rsidRPr="00C276ED" w:rsidRDefault="00BE1040" w:rsidP="00CC0840">
      <w:pPr>
        <w:pStyle w:val="NoSpacing"/>
        <w:jc w:val="both"/>
        <w:rPr>
          <w:rFonts w:ascii="Arial" w:hAnsi="Arial" w:cs="Arial"/>
          <w:sz w:val="24"/>
          <w:szCs w:val="24"/>
        </w:rPr>
      </w:pPr>
      <w:r w:rsidRPr="00C276ED">
        <w:rPr>
          <w:rFonts w:ascii="Arial" w:hAnsi="Arial" w:cs="Arial"/>
          <w:sz w:val="24"/>
          <w:szCs w:val="24"/>
        </w:rPr>
        <w:t>Casc</w:t>
      </w:r>
      <w:r w:rsidR="00985A0D">
        <w:rPr>
          <w:rFonts w:ascii="Arial" w:hAnsi="Arial" w:cs="Arial"/>
          <w:sz w:val="24"/>
          <w:szCs w:val="24"/>
        </w:rPr>
        <w:t xml:space="preserve">ade’s </w:t>
      </w:r>
      <w:r w:rsidRPr="00C276ED">
        <w:rPr>
          <w:rFonts w:ascii="Arial" w:hAnsi="Arial" w:cs="Arial"/>
          <w:sz w:val="24"/>
          <w:szCs w:val="24"/>
        </w:rPr>
        <w:t xml:space="preserve">IRP has been heavily informed by the Council’s </w:t>
      </w:r>
      <w:r w:rsidR="005436E6" w:rsidRPr="00C276ED">
        <w:rPr>
          <w:rFonts w:ascii="Arial" w:hAnsi="Arial" w:cs="Arial"/>
          <w:sz w:val="24"/>
          <w:szCs w:val="24"/>
        </w:rPr>
        <w:t xml:space="preserve">Seventh Power Plan and has carefully incorporated its </w:t>
      </w:r>
      <w:r w:rsidRPr="00C276ED">
        <w:rPr>
          <w:rFonts w:ascii="Arial" w:hAnsi="Arial" w:cs="Arial"/>
          <w:sz w:val="24"/>
          <w:szCs w:val="24"/>
        </w:rPr>
        <w:t>survey of approaches, sensitivity analyses, and scenarios. C</w:t>
      </w:r>
      <w:r w:rsidR="0089058C" w:rsidRPr="00C276ED">
        <w:rPr>
          <w:rFonts w:ascii="Arial" w:hAnsi="Arial" w:cs="Arial"/>
          <w:sz w:val="24"/>
          <w:szCs w:val="24"/>
        </w:rPr>
        <w:t>onsideration has also b</w:t>
      </w:r>
      <w:r w:rsidR="00195251" w:rsidRPr="00C276ED">
        <w:rPr>
          <w:rFonts w:ascii="Arial" w:hAnsi="Arial" w:cs="Arial"/>
          <w:sz w:val="24"/>
          <w:szCs w:val="24"/>
        </w:rPr>
        <w:t>e</w:t>
      </w:r>
      <w:r w:rsidR="0089058C" w:rsidRPr="00C276ED">
        <w:rPr>
          <w:rFonts w:ascii="Arial" w:hAnsi="Arial" w:cs="Arial"/>
          <w:sz w:val="24"/>
          <w:szCs w:val="24"/>
        </w:rPr>
        <w:t>e</w:t>
      </w:r>
      <w:r w:rsidR="00195251" w:rsidRPr="00C276ED">
        <w:rPr>
          <w:rFonts w:ascii="Arial" w:hAnsi="Arial" w:cs="Arial"/>
          <w:sz w:val="24"/>
          <w:szCs w:val="24"/>
        </w:rPr>
        <w:t>n</w:t>
      </w:r>
      <w:r w:rsidR="0089058C" w:rsidRPr="00C276ED">
        <w:rPr>
          <w:rFonts w:ascii="Arial" w:hAnsi="Arial" w:cs="Arial"/>
          <w:sz w:val="24"/>
          <w:szCs w:val="24"/>
        </w:rPr>
        <w:t xml:space="preserve"> given to c</w:t>
      </w:r>
      <w:r w:rsidRPr="00C276ED">
        <w:rPr>
          <w:rFonts w:ascii="Arial" w:hAnsi="Arial" w:cs="Arial"/>
          <w:sz w:val="24"/>
          <w:szCs w:val="24"/>
        </w:rPr>
        <w:t>ost-effectiveness, customer value, and the results of other local distribution companies (LDC</w:t>
      </w:r>
      <w:r w:rsidR="005A5ED6" w:rsidRPr="00C276ED">
        <w:rPr>
          <w:rFonts w:ascii="Arial" w:hAnsi="Arial" w:cs="Arial"/>
          <w:sz w:val="24"/>
          <w:szCs w:val="24"/>
        </w:rPr>
        <w:t>s</w:t>
      </w:r>
      <w:r w:rsidRPr="00C276ED">
        <w:rPr>
          <w:rFonts w:ascii="Arial" w:hAnsi="Arial" w:cs="Arial"/>
          <w:sz w:val="24"/>
          <w:szCs w:val="24"/>
        </w:rPr>
        <w:t>)</w:t>
      </w:r>
      <w:r w:rsidR="0089058C" w:rsidRPr="00C276ED">
        <w:rPr>
          <w:rFonts w:ascii="Arial" w:hAnsi="Arial" w:cs="Arial"/>
          <w:sz w:val="24"/>
          <w:szCs w:val="24"/>
        </w:rPr>
        <w:t>.</w:t>
      </w:r>
    </w:p>
    <w:p w14:paraId="0636F996" w14:textId="77777777" w:rsidR="005436E6" w:rsidRPr="00C276ED" w:rsidRDefault="005436E6" w:rsidP="00CC0840">
      <w:pPr>
        <w:pStyle w:val="NoSpacing"/>
        <w:jc w:val="both"/>
        <w:rPr>
          <w:rFonts w:ascii="Arial" w:hAnsi="Arial" w:cs="Arial"/>
          <w:sz w:val="24"/>
          <w:szCs w:val="24"/>
        </w:rPr>
      </w:pPr>
    </w:p>
    <w:p w14:paraId="56DD4814" w14:textId="487EB440" w:rsidR="00DC6F21" w:rsidRPr="00C276ED" w:rsidRDefault="00D85FB7" w:rsidP="00CC0840">
      <w:pPr>
        <w:pStyle w:val="NoSpacing"/>
        <w:jc w:val="both"/>
        <w:rPr>
          <w:rFonts w:ascii="Arial" w:hAnsi="Arial" w:cs="Arial"/>
          <w:sz w:val="24"/>
          <w:szCs w:val="24"/>
        </w:rPr>
      </w:pPr>
      <w:r w:rsidRPr="00C276ED">
        <w:rPr>
          <w:rFonts w:ascii="Arial" w:hAnsi="Arial" w:cs="Arial"/>
          <w:sz w:val="24"/>
          <w:szCs w:val="24"/>
        </w:rPr>
        <w:t>Of the eight approaches examined by the NP</w:t>
      </w:r>
      <w:r w:rsidR="005A5ED6" w:rsidRPr="00C276ED">
        <w:rPr>
          <w:rFonts w:ascii="Arial" w:hAnsi="Arial" w:cs="Arial"/>
          <w:sz w:val="24"/>
          <w:szCs w:val="24"/>
        </w:rPr>
        <w:t>C</w:t>
      </w:r>
      <w:r w:rsidRPr="00C276ED">
        <w:rPr>
          <w:rFonts w:ascii="Arial" w:hAnsi="Arial" w:cs="Arial"/>
          <w:sz w:val="24"/>
          <w:szCs w:val="24"/>
        </w:rPr>
        <w:t>C, virtually a</w:t>
      </w:r>
      <w:r w:rsidR="002E2672" w:rsidRPr="00C276ED">
        <w:rPr>
          <w:rFonts w:ascii="Arial" w:hAnsi="Arial" w:cs="Arial"/>
          <w:sz w:val="24"/>
          <w:szCs w:val="24"/>
        </w:rPr>
        <w:t>ll LDCs and electric utilities—a</w:t>
      </w:r>
      <w:r w:rsidRPr="00C276ED">
        <w:rPr>
          <w:rFonts w:ascii="Arial" w:hAnsi="Arial" w:cs="Arial"/>
          <w:sz w:val="24"/>
          <w:szCs w:val="24"/>
        </w:rPr>
        <w:t xml:space="preserve">s well as the Council—have centered on the Carbon Cost Risk approach.  This </w:t>
      </w:r>
      <w:r w:rsidR="0040784F" w:rsidRPr="00C276ED">
        <w:rPr>
          <w:rFonts w:ascii="Arial" w:hAnsi="Arial" w:cs="Arial"/>
          <w:sz w:val="24"/>
          <w:szCs w:val="24"/>
        </w:rPr>
        <w:t xml:space="preserve">approach </w:t>
      </w:r>
      <w:r w:rsidR="00F14079">
        <w:rPr>
          <w:rFonts w:ascii="Arial" w:hAnsi="Arial" w:cs="Arial"/>
          <w:sz w:val="24"/>
          <w:szCs w:val="24"/>
        </w:rPr>
        <w:t>results in a $10/</w:t>
      </w:r>
      <w:r w:rsidRPr="00C276ED">
        <w:rPr>
          <w:rFonts w:ascii="Arial" w:hAnsi="Arial" w:cs="Arial"/>
          <w:sz w:val="24"/>
          <w:szCs w:val="24"/>
        </w:rPr>
        <w:t>ton carbon cost adder to Cascade’</w:t>
      </w:r>
      <w:r w:rsidR="00F14079">
        <w:rPr>
          <w:rFonts w:ascii="Arial" w:hAnsi="Arial" w:cs="Arial"/>
          <w:sz w:val="24"/>
          <w:szCs w:val="24"/>
        </w:rPr>
        <w:t>s avoided costs in 2018 and $30/</w:t>
      </w:r>
      <w:r w:rsidRPr="00C276ED">
        <w:rPr>
          <w:rFonts w:ascii="Arial" w:hAnsi="Arial" w:cs="Arial"/>
          <w:sz w:val="24"/>
          <w:szCs w:val="24"/>
        </w:rPr>
        <w:t xml:space="preserve">ton in 2035. </w:t>
      </w:r>
      <w:r w:rsidR="005436E6" w:rsidRPr="00C276ED">
        <w:rPr>
          <w:rFonts w:ascii="Arial" w:hAnsi="Arial" w:cs="Arial"/>
          <w:sz w:val="24"/>
          <w:szCs w:val="24"/>
        </w:rPr>
        <w:t xml:space="preserve">Therefore, the question is not whether carbon adders should be included in Washington and Oregon but, rather, how and at what amount. </w:t>
      </w:r>
      <w:r w:rsidR="00E94892" w:rsidRPr="00C276ED">
        <w:rPr>
          <w:rFonts w:ascii="Arial" w:hAnsi="Arial" w:cs="Arial"/>
          <w:sz w:val="24"/>
          <w:szCs w:val="24"/>
        </w:rPr>
        <w:t>This IRP</w:t>
      </w:r>
      <w:r w:rsidRPr="00C276ED">
        <w:rPr>
          <w:rFonts w:ascii="Arial" w:hAnsi="Arial" w:cs="Arial"/>
          <w:sz w:val="24"/>
          <w:szCs w:val="24"/>
        </w:rPr>
        <w:t xml:space="preserve"> </w:t>
      </w:r>
      <w:r w:rsidR="00E94892" w:rsidRPr="00C276ED">
        <w:rPr>
          <w:rFonts w:ascii="Arial" w:hAnsi="Arial" w:cs="Arial"/>
          <w:sz w:val="24"/>
          <w:szCs w:val="24"/>
        </w:rPr>
        <w:t xml:space="preserve">models </w:t>
      </w:r>
      <w:r w:rsidRPr="00C276ED">
        <w:rPr>
          <w:rFonts w:ascii="Arial" w:hAnsi="Arial" w:cs="Arial"/>
          <w:sz w:val="24"/>
          <w:szCs w:val="24"/>
        </w:rPr>
        <w:t>these assumptions and analyze</w:t>
      </w:r>
      <w:r w:rsidR="00E94892" w:rsidRPr="00C276ED">
        <w:rPr>
          <w:rFonts w:ascii="Arial" w:hAnsi="Arial" w:cs="Arial"/>
          <w:sz w:val="24"/>
          <w:szCs w:val="24"/>
        </w:rPr>
        <w:t>s cost</w:t>
      </w:r>
      <w:r w:rsidRPr="00C276ED">
        <w:rPr>
          <w:rFonts w:ascii="Arial" w:hAnsi="Arial" w:cs="Arial"/>
          <w:sz w:val="24"/>
          <w:szCs w:val="24"/>
        </w:rPr>
        <w:t xml:space="preserve"> ranges </w:t>
      </w:r>
      <w:r w:rsidR="00E94892" w:rsidRPr="00C276ED">
        <w:rPr>
          <w:rFonts w:ascii="Arial" w:hAnsi="Arial" w:cs="Arial"/>
          <w:sz w:val="24"/>
          <w:szCs w:val="24"/>
        </w:rPr>
        <w:t>for various</w:t>
      </w:r>
      <w:r w:rsidRPr="00C276ED">
        <w:rPr>
          <w:rFonts w:ascii="Arial" w:hAnsi="Arial" w:cs="Arial"/>
          <w:sz w:val="24"/>
          <w:szCs w:val="24"/>
        </w:rPr>
        <w:t xml:space="preserve"> sensitivities and several related scenarios.</w:t>
      </w:r>
      <w:r w:rsidR="00546A8D" w:rsidRPr="00C276ED">
        <w:rPr>
          <w:rFonts w:ascii="Arial" w:hAnsi="Arial" w:cs="Arial"/>
          <w:sz w:val="24"/>
          <w:szCs w:val="24"/>
        </w:rPr>
        <w:t xml:space="preserve">  </w:t>
      </w:r>
    </w:p>
    <w:p w14:paraId="176392A7" w14:textId="77777777" w:rsidR="00DC6F21" w:rsidRPr="00C276ED" w:rsidRDefault="00DC6F21" w:rsidP="00CC0840">
      <w:pPr>
        <w:pStyle w:val="NoSpacing"/>
        <w:jc w:val="both"/>
        <w:rPr>
          <w:rFonts w:ascii="Arial" w:hAnsi="Arial" w:cs="Arial"/>
          <w:sz w:val="24"/>
          <w:szCs w:val="24"/>
        </w:rPr>
      </w:pPr>
    </w:p>
    <w:p w14:paraId="07C18761" w14:textId="325D3D32" w:rsidR="00D85FB7" w:rsidRPr="00C276ED" w:rsidRDefault="00DC6F21" w:rsidP="00CC0840">
      <w:pPr>
        <w:pStyle w:val="NoSpacing"/>
        <w:jc w:val="both"/>
        <w:rPr>
          <w:rFonts w:ascii="Arial" w:hAnsi="Arial" w:cs="Arial"/>
          <w:sz w:val="24"/>
          <w:szCs w:val="24"/>
        </w:rPr>
      </w:pPr>
      <w:r w:rsidRPr="00C276ED">
        <w:rPr>
          <w:rFonts w:ascii="Arial" w:hAnsi="Arial" w:cs="Arial"/>
          <w:sz w:val="24"/>
          <w:szCs w:val="24"/>
        </w:rPr>
        <w:t xml:space="preserve">In addition, Ecology’s constraints on emission reduction units (ERUs) for </w:t>
      </w:r>
      <w:r w:rsidR="00985A0D">
        <w:rPr>
          <w:rFonts w:ascii="Arial" w:hAnsi="Arial" w:cs="Arial"/>
          <w:sz w:val="24"/>
          <w:szCs w:val="24"/>
        </w:rPr>
        <w:t xml:space="preserve">compliance with CAR makes it </w:t>
      </w:r>
      <w:r w:rsidRPr="00C276ED">
        <w:rPr>
          <w:rFonts w:ascii="Arial" w:hAnsi="Arial" w:cs="Arial"/>
          <w:sz w:val="24"/>
          <w:szCs w:val="24"/>
        </w:rPr>
        <w:t xml:space="preserve">difficult to project their cost.  Since Cascade has not conducted an analysis of ERU costs, the </w:t>
      </w:r>
      <w:r w:rsidR="00E346A2" w:rsidRPr="00C276ED">
        <w:rPr>
          <w:rFonts w:ascii="Arial" w:hAnsi="Arial" w:cs="Arial"/>
          <w:sz w:val="24"/>
          <w:szCs w:val="24"/>
        </w:rPr>
        <w:t>Company</w:t>
      </w:r>
      <w:r w:rsidRPr="00C276ED">
        <w:rPr>
          <w:rFonts w:ascii="Arial" w:hAnsi="Arial" w:cs="Arial"/>
          <w:sz w:val="24"/>
          <w:szCs w:val="24"/>
        </w:rPr>
        <w:t xml:space="preserve"> has applied NPCC’s prices to model preliminary cost impacts from CAR. Cascade expects the total cost projected in its modeling to be conservative since the model applies a price of CO</w:t>
      </w:r>
      <w:r w:rsidRPr="00C276ED">
        <w:rPr>
          <w:rFonts w:ascii="Arial" w:hAnsi="Arial" w:cs="Arial"/>
          <w:sz w:val="24"/>
          <w:szCs w:val="24"/>
          <w:vertAlign w:val="subscript"/>
        </w:rPr>
        <w:t>2</w:t>
      </w:r>
      <w:r w:rsidRPr="00C276ED">
        <w:rPr>
          <w:rFonts w:ascii="Arial" w:hAnsi="Arial" w:cs="Arial"/>
          <w:sz w:val="24"/>
          <w:szCs w:val="24"/>
        </w:rPr>
        <w:t xml:space="preserve">e to emissions from natural gas delivered to all customers, whereas CAR requires ERUs to be purchased for a portion of emissions from gas delivered to customers. Cascade will further evaluate ERU costs and compliance costs in </w:t>
      </w:r>
      <w:r w:rsidR="00985A0D">
        <w:rPr>
          <w:rFonts w:ascii="Arial" w:hAnsi="Arial" w:cs="Arial"/>
          <w:sz w:val="24"/>
          <w:szCs w:val="24"/>
        </w:rPr>
        <w:t xml:space="preserve">the </w:t>
      </w:r>
      <w:r w:rsidRPr="00C276ED">
        <w:rPr>
          <w:rFonts w:ascii="Arial" w:hAnsi="Arial" w:cs="Arial"/>
          <w:sz w:val="24"/>
          <w:szCs w:val="24"/>
        </w:rPr>
        <w:t>future as Ecology establishes Cascade’s baseline emissions value and emission re</w:t>
      </w:r>
      <w:r w:rsidR="00985A0D">
        <w:rPr>
          <w:rFonts w:ascii="Arial" w:hAnsi="Arial" w:cs="Arial"/>
          <w:sz w:val="24"/>
          <w:szCs w:val="24"/>
        </w:rPr>
        <w:t>duction pathway, and considers the</w:t>
      </w:r>
      <w:r w:rsidRPr="00C276ED">
        <w:rPr>
          <w:rFonts w:ascii="Arial" w:hAnsi="Arial" w:cs="Arial"/>
          <w:sz w:val="24"/>
          <w:szCs w:val="24"/>
        </w:rPr>
        <w:t xml:space="preserve"> timing of a decision by the Washington Superior Court for Thurston Count</w:t>
      </w:r>
      <w:r w:rsidR="00985A0D">
        <w:rPr>
          <w:rFonts w:ascii="Arial" w:hAnsi="Arial" w:cs="Arial"/>
          <w:sz w:val="24"/>
          <w:szCs w:val="24"/>
        </w:rPr>
        <w:t xml:space="preserve">y on the legality of CAR. </w:t>
      </w:r>
    </w:p>
    <w:p w14:paraId="576DB4D6" w14:textId="77777777" w:rsidR="00546A8D" w:rsidRPr="00C276ED" w:rsidRDefault="00546A8D" w:rsidP="00CC0840">
      <w:pPr>
        <w:pStyle w:val="NoSpacing"/>
        <w:jc w:val="both"/>
        <w:rPr>
          <w:rFonts w:ascii="Arial" w:hAnsi="Arial" w:cs="Arial"/>
          <w:sz w:val="24"/>
          <w:szCs w:val="24"/>
        </w:rPr>
      </w:pPr>
    </w:p>
    <w:p w14:paraId="13CD1F45" w14:textId="0DACAFE2" w:rsidR="00C12503" w:rsidRDefault="00546A8D" w:rsidP="00CC0840">
      <w:pPr>
        <w:pStyle w:val="NoSpacing"/>
        <w:jc w:val="both"/>
        <w:rPr>
          <w:rFonts w:ascii="Arial" w:hAnsi="Arial" w:cs="Arial"/>
          <w:sz w:val="24"/>
          <w:szCs w:val="24"/>
        </w:rPr>
      </w:pPr>
      <w:r w:rsidRPr="00C276ED">
        <w:rPr>
          <w:rFonts w:ascii="Arial" w:hAnsi="Arial" w:cs="Arial"/>
          <w:sz w:val="24"/>
          <w:szCs w:val="24"/>
        </w:rPr>
        <w:t>Additionally, Cascade has undertaken GHG emission reductions through its energy efficiency programs</w:t>
      </w:r>
      <w:r w:rsidR="0040784F" w:rsidRPr="00C276ED">
        <w:rPr>
          <w:rFonts w:ascii="Arial" w:hAnsi="Arial" w:cs="Arial"/>
          <w:sz w:val="24"/>
          <w:szCs w:val="24"/>
        </w:rPr>
        <w:t>,</w:t>
      </w:r>
      <w:r w:rsidRPr="00C276ED">
        <w:rPr>
          <w:rFonts w:ascii="Arial" w:hAnsi="Arial" w:cs="Arial"/>
          <w:sz w:val="24"/>
          <w:szCs w:val="24"/>
        </w:rPr>
        <w:t xml:space="preserve"> </w:t>
      </w:r>
      <w:r w:rsidR="0040784F" w:rsidRPr="00C276ED">
        <w:rPr>
          <w:rFonts w:ascii="Arial" w:hAnsi="Arial" w:cs="Arial"/>
          <w:sz w:val="24"/>
          <w:szCs w:val="24"/>
        </w:rPr>
        <w:t xml:space="preserve">as well as voluntary efforts, </w:t>
      </w:r>
      <w:r w:rsidRPr="00C276ED">
        <w:rPr>
          <w:rFonts w:ascii="Arial" w:hAnsi="Arial" w:cs="Arial"/>
          <w:sz w:val="24"/>
          <w:szCs w:val="24"/>
        </w:rPr>
        <w:t>and continues to monitor other options, as described at t</w:t>
      </w:r>
      <w:r w:rsidR="007F20AF">
        <w:rPr>
          <w:rFonts w:ascii="Arial" w:hAnsi="Arial" w:cs="Arial"/>
          <w:sz w:val="24"/>
          <w:szCs w:val="24"/>
        </w:rPr>
        <w:t>he end of this section</w:t>
      </w:r>
      <w:r w:rsidRPr="00C276ED">
        <w:rPr>
          <w:rFonts w:ascii="Arial" w:hAnsi="Arial" w:cs="Arial"/>
          <w:sz w:val="24"/>
          <w:szCs w:val="24"/>
        </w:rPr>
        <w:t>.</w:t>
      </w:r>
    </w:p>
    <w:p w14:paraId="34E41F2F" w14:textId="77777777" w:rsidR="00C12503" w:rsidRDefault="00C12503">
      <w:pPr>
        <w:rPr>
          <w:rFonts w:ascii="Arial" w:hAnsi="Arial" w:cs="Arial"/>
          <w:color w:val="auto"/>
          <w:sz w:val="24"/>
          <w:szCs w:val="24"/>
        </w:rPr>
      </w:pPr>
      <w:r>
        <w:rPr>
          <w:rFonts w:ascii="Arial" w:hAnsi="Arial" w:cs="Arial"/>
          <w:sz w:val="24"/>
          <w:szCs w:val="24"/>
        </w:rPr>
        <w:br w:type="page"/>
      </w:r>
    </w:p>
    <w:p w14:paraId="26733A27" w14:textId="77777777" w:rsidR="00D85FB7" w:rsidRPr="00C276ED" w:rsidRDefault="00D85FB7" w:rsidP="00C12503">
      <w:pPr>
        <w:pStyle w:val="Heading1"/>
        <w:spacing w:before="0" w:after="0" w:line="240" w:lineRule="auto"/>
        <w:jc w:val="both"/>
        <w:rPr>
          <w:rFonts w:ascii="Arial" w:hAnsi="Arial" w:cs="Arial"/>
          <w:b/>
          <w:color w:val="auto"/>
          <w:sz w:val="24"/>
          <w:szCs w:val="24"/>
        </w:rPr>
      </w:pPr>
      <w:bookmarkStart w:id="6" w:name="_Toc459622864"/>
      <w:r w:rsidRPr="00C276ED">
        <w:rPr>
          <w:rFonts w:ascii="Arial" w:hAnsi="Arial" w:cs="Arial"/>
          <w:b/>
          <w:color w:val="auto"/>
          <w:sz w:val="24"/>
          <w:szCs w:val="24"/>
        </w:rPr>
        <w:lastRenderedPageBreak/>
        <w:t>Purpose</w:t>
      </w:r>
      <w:bookmarkEnd w:id="6"/>
      <w:r w:rsidRPr="00C276ED">
        <w:rPr>
          <w:rFonts w:ascii="Arial" w:hAnsi="Arial" w:cs="Arial"/>
          <w:b/>
          <w:color w:val="auto"/>
          <w:sz w:val="24"/>
          <w:szCs w:val="24"/>
        </w:rPr>
        <w:t xml:space="preserve"> </w:t>
      </w:r>
    </w:p>
    <w:p w14:paraId="2D8AC090" w14:textId="77777777" w:rsidR="00D85FB7" w:rsidRPr="00C276ED" w:rsidRDefault="00D85FB7" w:rsidP="00C12503">
      <w:pPr>
        <w:pStyle w:val="NoSpacing"/>
        <w:jc w:val="both"/>
        <w:rPr>
          <w:rFonts w:ascii="Arial" w:hAnsi="Arial" w:cs="Arial"/>
          <w:sz w:val="24"/>
          <w:szCs w:val="24"/>
        </w:rPr>
      </w:pPr>
    </w:p>
    <w:p w14:paraId="3F0A1859" w14:textId="6DCF4A08" w:rsidR="00D85FB7" w:rsidRPr="00C276ED" w:rsidRDefault="00985A0D" w:rsidP="00C12503">
      <w:pPr>
        <w:pStyle w:val="NoSpacing"/>
        <w:jc w:val="both"/>
        <w:rPr>
          <w:rFonts w:ascii="Arial" w:hAnsi="Arial" w:cs="Arial"/>
          <w:sz w:val="24"/>
          <w:szCs w:val="24"/>
        </w:rPr>
      </w:pPr>
      <w:r>
        <w:rPr>
          <w:rFonts w:ascii="Arial" w:hAnsi="Arial" w:cs="Arial"/>
          <w:sz w:val="24"/>
          <w:szCs w:val="24"/>
        </w:rPr>
        <w:t>This section</w:t>
      </w:r>
      <w:r w:rsidR="00D85FB7" w:rsidRPr="00C276ED">
        <w:rPr>
          <w:rFonts w:ascii="Arial" w:hAnsi="Arial" w:cs="Arial"/>
          <w:sz w:val="24"/>
          <w:szCs w:val="24"/>
        </w:rPr>
        <w:t xml:space="preserve"> consider</w:t>
      </w:r>
      <w:r w:rsidR="00E94892" w:rsidRPr="00C276ED">
        <w:rPr>
          <w:rFonts w:ascii="Arial" w:hAnsi="Arial" w:cs="Arial"/>
          <w:sz w:val="24"/>
          <w:szCs w:val="24"/>
        </w:rPr>
        <w:t>s</w:t>
      </w:r>
      <w:r w:rsidR="00D85FB7" w:rsidRPr="00C276ED">
        <w:rPr>
          <w:rFonts w:ascii="Arial" w:hAnsi="Arial" w:cs="Arial"/>
          <w:sz w:val="24"/>
          <w:szCs w:val="24"/>
        </w:rPr>
        <w:t xml:space="preserve"> </w:t>
      </w:r>
      <w:r w:rsidR="00F75572" w:rsidRPr="00C276ED">
        <w:rPr>
          <w:rFonts w:ascii="Arial" w:hAnsi="Arial" w:cs="Arial"/>
          <w:sz w:val="24"/>
          <w:szCs w:val="24"/>
        </w:rPr>
        <w:t xml:space="preserve">mandated </w:t>
      </w:r>
      <w:r w:rsidR="00D85FB7" w:rsidRPr="00C276ED">
        <w:rPr>
          <w:rFonts w:ascii="Arial" w:hAnsi="Arial" w:cs="Arial"/>
          <w:sz w:val="24"/>
          <w:szCs w:val="24"/>
        </w:rPr>
        <w:t xml:space="preserve">state and federal </w:t>
      </w:r>
      <w:r w:rsidR="00897F9D" w:rsidRPr="00C276ED">
        <w:rPr>
          <w:rFonts w:ascii="Arial" w:hAnsi="Arial" w:cs="Arial"/>
          <w:sz w:val="24"/>
          <w:szCs w:val="24"/>
        </w:rPr>
        <w:t xml:space="preserve">GHG </w:t>
      </w:r>
      <w:r w:rsidR="00D85FB7" w:rsidRPr="00C276ED">
        <w:rPr>
          <w:rFonts w:ascii="Arial" w:hAnsi="Arial" w:cs="Arial"/>
          <w:sz w:val="24"/>
          <w:szCs w:val="24"/>
        </w:rPr>
        <w:t>emission reduction policies and regulations</w:t>
      </w:r>
      <w:r w:rsidR="00785D9C" w:rsidRPr="00C276ED">
        <w:rPr>
          <w:rFonts w:ascii="Arial" w:hAnsi="Arial" w:cs="Arial"/>
          <w:sz w:val="24"/>
          <w:szCs w:val="24"/>
        </w:rPr>
        <w:t xml:space="preserve"> directly impacting natural gas distribution companies</w:t>
      </w:r>
      <w:r w:rsidR="00D85FB7" w:rsidRPr="00C276ED">
        <w:rPr>
          <w:rFonts w:ascii="Arial" w:hAnsi="Arial" w:cs="Arial"/>
          <w:sz w:val="24"/>
          <w:szCs w:val="24"/>
        </w:rPr>
        <w:t xml:space="preserve">.  </w:t>
      </w:r>
      <w:r w:rsidR="00785D9C" w:rsidRPr="00C276ED">
        <w:rPr>
          <w:rFonts w:ascii="Arial" w:hAnsi="Arial" w:cs="Arial"/>
          <w:sz w:val="24"/>
          <w:szCs w:val="24"/>
        </w:rPr>
        <w:t>In addition</w:t>
      </w:r>
      <w:r w:rsidR="00D85FB7" w:rsidRPr="00C276ED">
        <w:rPr>
          <w:rFonts w:ascii="Arial" w:hAnsi="Arial" w:cs="Arial"/>
          <w:sz w:val="24"/>
          <w:szCs w:val="24"/>
        </w:rPr>
        <w:t xml:space="preserve">, </w:t>
      </w:r>
      <w:r w:rsidR="00BF53A5" w:rsidRPr="00C276ED">
        <w:rPr>
          <w:rFonts w:ascii="Arial" w:hAnsi="Arial" w:cs="Arial"/>
          <w:sz w:val="24"/>
          <w:szCs w:val="24"/>
        </w:rPr>
        <w:t xml:space="preserve">this section examines </w:t>
      </w:r>
      <w:r w:rsidR="00D85FB7" w:rsidRPr="00C276ED">
        <w:rPr>
          <w:rFonts w:ascii="Arial" w:hAnsi="Arial" w:cs="Arial"/>
          <w:sz w:val="24"/>
          <w:szCs w:val="24"/>
        </w:rPr>
        <w:t xml:space="preserve">methodologies </w:t>
      </w:r>
      <w:r w:rsidR="00785D9C" w:rsidRPr="00C276ED">
        <w:rPr>
          <w:rFonts w:ascii="Arial" w:hAnsi="Arial" w:cs="Arial"/>
          <w:sz w:val="24"/>
          <w:szCs w:val="24"/>
        </w:rPr>
        <w:t xml:space="preserve">for applying a cost of carbon to natural gas distribution companies </w:t>
      </w:r>
      <w:r w:rsidR="00D85FB7" w:rsidRPr="00C276ED">
        <w:rPr>
          <w:rFonts w:ascii="Arial" w:hAnsi="Arial" w:cs="Arial"/>
          <w:sz w:val="24"/>
          <w:szCs w:val="24"/>
        </w:rPr>
        <w:t xml:space="preserve">and </w:t>
      </w:r>
      <w:r w:rsidR="00785D9C" w:rsidRPr="00C276ED">
        <w:rPr>
          <w:rFonts w:ascii="Arial" w:hAnsi="Arial" w:cs="Arial"/>
          <w:sz w:val="24"/>
          <w:szCs w:val="24"/>
        </w:rPr>
        <w:t xml:space="preserve">identifies the </w:t>
      </w:r>
      <w:r w:rsidR="00D85FB7" w:rsidRPr="00C276ED">
        <w:rPr>
          <w:rFonts w:ascii="Arial" w:hAnsi="Arial" w:cs="Arial"/>
          <w:sz w:val="24"/>
          <w:szCs w:val="24"/>
        </w:rPr>
        <w:t xml:space="preserve">assumptions </w:t>
      </w:r>
      <w:r w:rsidR="00785D9C" w:rsidRPr="00C276ED">
        <w:rPr>
          <w:rFonts w:ascii="Arial" w:hAnsi="Arial" w:cs="Arial"/>
          <w:sz w:val="24"/>
          <w:szCs w:val="24"/>
        </w:rPr>
        <w:t xml:space="preserve">made in determining </w:t>
      </w:r>
      <w:r>
        <w:rPr>
          <w:rFonts w:ascii="Arial" w:hAnsi="Arial" w:cs="Arial"/>
          <w:sz w:val="24"/>
          <w:szCs w:val="24"/>
        </w:rPr>
        <w:t>a 20-</w:t>
      </w:r>
      <w:r w:rsidR="00D85FB7" w:rsidRPr="00C276ED">
        <w:rPr>
          <w:rFonts w:ascii="Arial" w:hAnsi="Arial" w:cs="Arial"/>
          <w:sz w:val="24"/>
          <w:szCs w:val="24"/>
        </w:rPr>
        <w:t xml:space="preserve">year avoided cost of natural gas, </w:t>
      </w:r>
      <w:r w:rsidR="00BF53A5" w:rsidRPr="00C276ED">
        <w:rPr>
          <w:rFonts w:ascii="Arial" w:hAnsi="Arial" w:cs="Arial"/>
          <w:sz w:val="24"/>
          <w:szCs w:val="24"/>
        </w:rPr>
        <w:t>and pair</w:t>
      </w:r>
      <w:r w:rsidR="00033B16" w:rsidRPr="00C276ED">
        <w:rPr>
          <w:rFonts w:ascii="Arial" w:hAnsi="Arial" w:cs="Arial"/>
          <w:sz w:val="24"/>
          <w:szCs w:val="24"/>
        </w:rPr>
        <w:t>s</w:t>
      </w:r>
      <w:r w:rsidR="00BF53A5" w:rsidRPr="00C276ED">
        <w:rPr>
          <w:rFonts w:ascii="Arial" w:hAnsi="Arial" w:cs="Arial"/>
          <w:sz w:val="24"/>
          <w:szCs w:val="24"/>
        </w:rPr>
        <w:t xml:space="preserve"> these </w:t>
      </w:r>
      <w:r w:rsidR="00033B16" w:rsidRPr="00C276ED">
        <w:rPr>
          <w:rFonts w:ascii="Arial" w:hAnsi="Arial" w:cs="Arial"/>
          <w:sz w:val="24"/>
          <w:szCs w:val="24"/>
        </w:rPr>
        <w:t xml:space="preserve">costs </w:t>
      </w:r>
      <w:r w:rsidR="00D85FB7" w:rsidRPr="00C276ED">
        <w:rPr>
          <w:rFonts w:ascii="Arial" w:hAnsi="Arial" w:cs="Arial"/>
          <w:sz w:val="24"/>
          <w:szCs w:val="24"/>
        </w:rPr>
        <w:t>with associated two-year action items.</w:t>
      </w:r>
    </w:p>
    <w:p w14:paraId="0154E57A" w14:textId="77777777" w:rsidR="00D85FB7" w:rsidRPr="00C276ED" w:rsidRDefault="00D85FB7" w:rsidP="00CC0840">
      <w:pPr>
        <w:pStyle w:val="NoSpacing"/>
        <w:jc w:val="both"/>
        <w:rPr>
          <w:rFonts w:ascii="Arial" w:hAnsi="Arial" w:cs="Arial"/>
          <w:sz w:val="24"/>
          <w:szCs w:val="24"/>
        </w:rPr>
      </w:pPr>
    </w:p>
    <w:p w14:paraId="03B8C535" w14:textId="21A740D0" w:rsidR="00FF19E0" w:rsidRPr="00C276ED" w:rsidRDefault="001A5AB6" w:rsidP="00CC0840">
      <w:pPr>
        <w:pStyle w:val="NoSpacing"/>
        <w:jc w:val="both"/>
        <w:rPr>
          <w:rFonts w:ascii="Arial" w:hAnsi="Arial" w:cs="Arial"/>
          <w:sz w:val="24"/>
          <w:szCs w:val="24"/>
        </w:rPr>
      </w:pPr>
      <w:r w:rsidRPr="00C276ED">
        <w:rPr>
          <w:rFonts w:ascii="Arial" w:hAnsi="Arial" w:cs="Arial"/>
          <w:sz w:val="24"/>
          <w:szCs w:val="24"/>
        </w:rPr>
        <w:t>Significant emission policies—proposed or adopted—have</w:t>
      </w:r>
      <w:r w:rsidR="00D85FB7" w:rsidRPr="00C276ED">
        <w:rPr>
          <w:rFonts w:ascii="Arial" w:hAnsi="Arial" w:cs="Arial"/>
          <w:sz w:val="24"/>
          <w:szCs w:val="24"/>
        </w:rPr>
        <w:t xml:space="preserve"> occurred since Cascade’s last IRP.  The Federal government as well as policy-makers in Washington and Oregon have actively pursued GHG</w:t>
      </w:r>
      <w:r w:rsidRPr="00C276ED">
        <w:rPr>
          <w:rFonts w:ascii="Arial" w:hAnsi="Arial" w:cs="Arial"/>
          <w:sz w:val="24"/>
          <w:szCs w:val="24"/>
        </w:rPr>
        <w:t xml:space="preserve"> emission reductions</w:t>
      </w:r>
      <w:r w:rsidR="00E01F8C" w:rsidRPr="00C276ED">
        <w:rPr>
          <w:rFonts w:ascii="Arial" w:hAnsi="Arial" w:cs="Arial"/>
          <w:sz w:val="24"/>
          <w:szCs w:val="24"/>
        </w:rPr>
        <w:t>,</w:t>
      </w:r>
      <w:r w:rsidR="00D85FB7" w:rsidRPr="00C276ED">
        <w:rPr>
          <w:rFonts w:ascii="Arial" w:hAnsi="Arial" w:cs="Arial"/>
          <w:sz w:val="24"/>
          <w:szCs w:val="24"/>
        </w:rPr>
        <w:t xml:space="preserve"> and </w:t>
      </w:r>
      <w:r w:rsidR="00E01F8C" w:rsidRPr="00C276ED">
        <w:rPr>
          <w:rFonts w:ascii="Arial" w:hAnsi="Arial" w:cs="Arial"/>
          <w:sz w:val="24"/>
          <w:szCs w:val="24"/>
        </w:rPr>
        <w:t>primarily</w:t>
      </w:r>
      <w:r w:rsidRPr="00C276ED">
        <w:rPr>
          <w:rFonts w:ascii="Arial" w:hAnsi="Arial" w:cs="Arial"/>
          <w:sz w:val="24"/>
          <w:szCs w:val="24"/>
        </w:rPr>
        <w:t xml:space="preserve"> </w:t>
      </w:r>
      <w:r w:rsidR="00D85FB7" w:rsidRPr="00C276ED">
        <w:rPr>
          <w:rFonts w:ascii="Arial" w:hAnsi="Arial" w:cs="Arial"/>
          <w:sz w:val="24"/>
          <w:szCs w:val="24"/>
        </w:rPr>
        <w:t>CO</w:t>
      </w:r>
      <w:r w:rsidR="00D85FB7" w:rsidRPr="00C276ED">
        <w:rPr>
          <w:rFonts w:ascii="Arial" w:hAnsi="Arial" w:cs="Arial"/>
          <w:sz w:val="24"/>
          <w:szCs w:val="24"/>
          <w:vertAlign w:val="subscript"/>
        </w:rPr>
        <w:t>2</w:t>
      </w:r>
      <w:r w:rsidR="00D85FB7" w:rsidRPr="00C276ED">
        <w:rPr>
          <w:rFonts w:ascii="Arial" w:hAnsi="Arial" w:cs="Arial"/>
          <w:sz w:val="24"/>
          <w:szCs w:val="24"/>
        </w:rPr>
        <w:t xml:space="preserve"> </w:t>
      </w:r>
      <w:r w:rsidRPr="00C276ED">
        <w:rPr>
          <w:rFonts w:ascii="Arial" w:hAnsi="Arial" w:cs="Arial"/>
          <w:sz w:val="24"/>
          <w:szCs w:val="24"/>
        </w:rPr>
        <w:t>emission</w:t>
      </w:r>
      <w:r w:rsidR="00D85FB7" w:rsidRPr="00C276ED">
        <w:rPr>
          <w:rFonts w:ascii="Arial" w:hAnsi="Arial" w:cs="Arial"/>
          <w:sz w:val="24"/>
          <w:szCs w:val="24"/>
        </w:rPr>
        <w:t xml:space="preserve"> reductions</w:t>
      </w:r>
      <w:r w:rsidR="00033B16" w:rsidRPr="00C276ED">
        <w:rPr>
          <w:rFonts w:ascii="Arial" w:hAnsi="Arial" w:cs="Arial"/>
          <w:sz w:val="24"/>
          <w:szCs w:val="24"/>
        </w:rPr>
        <w:t xml:space="preserve">. </w:t>
      </w:r>
      <w:r w:rsidRPr="00C276ED">
        <w:rPr>
          <w:rFonts w:ascii="Arial" w:hAnsi="Arial" w:cs="Arial"/>
          <w:sz w:val="24"/>
          <w:szCs w:val="24"/>
        </w:rPr>
        <w:t xml:space="preserve"> </w:t>
      </w:r>
      <w:r w:rsidR="00D85FB7" w:rsidRPr="00C276ED">
        <w:rPr>
          <w:rFonts w:ascii="Arial" w:hAnsi="Arial" w:cs="Arial"/>
          <w:sz w:val="24"/>
          <w:szCs w:val="24"/>
        </w:rPr>
        <w:t xml:space="preserve">  </w:t>
      </w:r>
    </w:p>
    <w:p w14:paraId="4CB09146" w14:textId="77777777" w:rsidR="00FF19E0" w:rsidRPr="00C276ED" w:rsidRDefault="00FF19E0" w:rsidP="00CC0840">
      <w:pPr>
        <w:pStyle w:val="NoSpacing"/>
        <w:jc w:val="both"/>
        <w:rPr>
          <w:rFonts w:ascii="Arial" w:hAnsi="Arial" w:cs="Arial"/>
          <w:sz w:val="24"/>
          <w:szCs w:val="24"/>
        </w:rPr>
      </w:pPr>
    </w:p>
    <w:p w14:paraId="714652A8" w14:textId="30F31301" w:rsidR="00FF19E0" w:rsidRDefault="00D85FB7" w:rsidP="00C12503">
      <w:pPr>
        <w:pStyle w:val="NoSpacing"/>
        <w:jc w:val="both"/>
        <w:rPr>
          <w:rFonts w:ascii="Arial" w:hAnsi="Arial" w:cs="Arial"/>
          <w:sz w:val="24"/>
          <w:szCs w:val="24"/>
        </w:rPr>
      </w:pPr>
      <w:r w:rsidRPr="00C276ED">
        <w:rPr>
          <w:rFonts w:ascii="Arial" w:hAnsi="Arial" w:cs="Arial"/>
          <w:sz w:val="24"/>
          <w:szCs w:val="24"/>
        </w:rPr>
        <w:t>The following summarizes the salient aspects of this at the national, regional, and state levels</w:t>
      </w:r>
      <w:r w:rsidR="00546A8D" w:rsidRPr="00C276ED">
        <w:rPr>
          <w:rFonts w:ascii="Arial" w:hAnsi="Arial" w:cs="Arial"/>
          <w:sz w:val="24"/>
          <w:szCs w:val="24"/>
        </w:rPr>
        <w:t>.</w:t>
      </w:r>
      <w:bookmarkStart w:id="7" w:name="_Toc459622866"/>
    </w:p>
    <w:p w14:paraId="488A8537" w14:textId="77777777" w:rsidR="009D3E58" w:rsidRDefault="009D3E58" w:rsidP="00C12503">
      <w:pPr>
        <w:pStyle w:val="NoSpacing"/>
        <w:jc w:val="both"/>
        <w:rPr>
          <w:rFonts w:ascii="Arial" w:hAnsi="Arial" w:cs="Arial"/>
          <w:sz w:val="24"/>
          <w:szCs w:val="24"/>
        </w:rPr>
      </w:pPr>
    </w:p>
    <w:p w14:paraId="4BA59928" w14:textId="77777777" w:rsidR="00C12503" w:rsidRPr="009D3E58" w:rsidRDefault="00C12503" w:rsidP="00C12503">
      <w:pPr>
        <w:pStyle w:val="NoSpacing"/>
        <w:jc w:val="both"/>
        <w:rPr>
          <w:rFonts w:ascii="Arial" w:hAnsi="Arial" w:cs="Arial"/>
          <w:sz w:val="24"/>
          <w:szCs w:val="24"/>
        </w:rPr>
      </w:pPr>
    </w:p>
    <w:p w14:paraId="27C0E8AA" w14:textId="77777777" w:rsidR="00D85FB7" w:rsidRPr="00C276ED" w:rsidRDefault="00CC0840" w:rsidP="00C12503">
      <w:pPr>
        <w:pStyle w:val="Heading2"/>
        <w:spacing w:before="0" w:line="240" w:lineRule="auto"/>
        <w:jc w:val="both"/>
        <w:rPr>
          <w:rFonts w:ascii="Arial" w:hAnsi="Arial" w:cs="Arial"/>
          <w:b/>
          <w:color w:val="auto"/>
          <w:sz w:val="24"/>
          <w:szCs w:val="24"/>
        </w:rPr>
      </w:pPr>
      <w:r w:rsidRPr="00C276ED">
        <w:rPr>
          <w:rFonts w:ascii="Arial" w:hAnsi="Arial" w:cs="Arial"/>
          <w:b/>
          <w:caps w:val="0"/>
          <w:color w:val="auto"/>
          <w:sz w:val="24"/>
          <w:szCs w:val="24"/>
        </w:rPr>
        <w:t>The National Focus</w:t>
      </w:r>
      <w:bookmarkEnd w:id="7"/>
    </w:p>
    <w:p w14:paraId="2EAA817C" w14:textId="77777777" w:rsidR="00D85FB7" w:rsidRPr="00C276ED" w:rsidRDefault="00D85FB7" w:rsidP="00CC0840">
      <w:pPr>
        <w:pStyle w:val="NoSpacing"/>
        <w:jc w:val="both"/>
        <w:rPr>
          <w:rFonts w:ascii="Arial" w:hAnsi="Arial" w:cs="Arial"/>
          <w:sz w:val="24"/>
          <w:szCs w:val="24"/>
        </w:rPr>
      </w:pPr>
    </w:p>
    <w:p w14:paraId="63F4861B" w14:textId="73F59D6A" w:rsidR="00D85FB7" w:rsidRPr="00C276ED" w:rsidRDefault="00504BE3" w:rsidP="00CC0840">
      <w:pPr>
        <w:pStyle w:val="NoSpacing"/>
        <w:jc w:val="both"/>
        <w:rPr>
          <w:rFonts w:ascii="Arial" w:hAnsi="Arial" w:cs="Arial"/>
          <w:sz w:val="24"/>
          <w:szCs w:val="24"/>
        </w:rPr>
      </w:pPr>
      <w:r>
        <w:rPr>
          <w:rFonts w:ascii="Arial" w:hAnsi="Arial" w:cs="Arial"/>
          <w:sz w:val="24"/>
          <w:szCs w:val="24"/>
        </w:rPr>
        <w:t xml:space="preserve">The </w:t>
      </w:r>
      <w:r w:rsidR="00B82391" w:rsidRPr="00C276ED">
        <w:rPr>
          <w:rFonts w:ascii="Arial" w:hAnsi="Arial" w:cs="Arial"/>
          <w:sz w:val="24"/>
          <w:szCs w:val="24"/>
        </w:rPr>
        <w:t xml:space="preserve">EPA has applied </w:t>
      </w:r>
      <w:r w:rsidR="00D85FB7" w:rsidRPr="00C276ED">
        <w:rPr>
          <w:rFonts w:ascii="Arial" w:hAnsi="Arial" w:cs="Arial"/>
          <w:sz w:val="24"/>
          <w:szCs w:val="24"/>
        </w:rPr>
        <w:t>Clean Air Act, Section 111(d) to promulgate state Clean Power Plan re</w:t>
      </w:r>
      <w:r w:rsidR="001A5AB6" w:rsidRPr="00C276ED">
        <w:rPr>
          <w:rFonts w:ascii="Arial" w:hAnsi="Arial" w:cs="Arial"/>
          <w:sz w:val="24"/>
          <w:szCs w:val="24"/>
        </w:rPr>
        <w:t>gulations, primarily directed</w:t>
      </w:r>
      <w:r w:rsidR="00D85FB7" w:rsidRPr="00C276ED">
        <w:rPr>
          <w:rFonts w:ascii="Arial" w:hAnsi="Arial" w:cs="Arial"/>
          <w:sz w:val="24"/>
          <w:szCs w:val="24"/>
        </w:rPr>
        <w:t xml:space="preserve"> towards electric generation.  The rules would require </w:t>
      </w:r>
      <w:r w:rsidR="00EF5418" w:rsidRPr="00C276ED">
        <w:rPr>
          <w:rFonts w:ascii="Arial" w:hAnsi="Arial" w:cs="Arial"/>
          <w:sz w:val="24"/>
          <w:szCs w:val="24"/>
        </w:rPr>
        <w:t>GHG</w:t>
      </w:r>
      <w:r w:rsidR="00D85FB7" w:rsidRPr="00C276ED">
        <w:rPr>
          <w:rFonts w:ascii="Arial" w:hAnsi="Arial" w:cs="Arial"/>
          <w:sz w:val="24"/>
          <w:szCs w:val="24"/>
        </w:rPr>
        <w:t xml:space="preserve"> emissions from </w:t>
      </w:r>
      <w:r w:rsidR="00EF5418" w:rsidRPr="00C276ED">
        <w:rPr>
          <w:rFonts w:ascii="Arial" w:hAnsi="Arial" w:cs="Arial"/>
          <w:sz w:val="24"/>
          <w:szCs w:val="24"/>
        </w:rPr>
        <w:t>specified</w:t>
      </w:r>
      <w:r w:rsidR="00992012" w:rsidRPr="00C276ED">
        <w:rPr>
          <w:rFonts w:ascii="Arial" w:hAnsi="Arial" w:cs="Arial"/>
          <w:sz w:val="24"/>
          <w:szCs w:val="24"/>
        </w:rPr>
        <w:t xml:space="preserve"> </w:t>
      </w:r>
      <w:r w:rsidR="00D85FB7" w:rsidRPr="00C276ED">
        <w:rPr>
          <w:rFonts w:ascii="Arial" w:hAnsi="Arial" w:cs="Arial"/>
          <w:sz w:val="24"/>
          <w:szCs w:val="24"/>
        </w:rPr>
        <w:t>power plants to be reduced by 32% from 2005 levels by 2030. The U</w:t>
      </w:r>
      <w:r w:rsidR="00930C8D">
        <w:rPr>
          <w:rFonts w:ascii="Arial" w:hAnsi="Arial" w:cs="Arial"/>
          <w:sz w:val="24"/>
          <w:szCs w:val="24"/>
        </w:rPr>
        <w:t>.</w:t>
      </w:r>
      <w:r w:rsidR="00D85FB7" w:rsidRPr="00C276ED">
        <w:rPr>
          <w:rFonts w:ascii="Arial" w:hAnsi="Arial" w:cs="Arial"/>
          <w:sz w:val="24"/>
          <w:szCs w:val="24"/>
        </w:rPr>
        <w:t>S</w:t>
      </w:r>
      <w:r w:rsidR="00930C8D">
        <w:rPr>
          <w:rFonts w:ascii="Arial" w:hAnsi="Arial" w:cs="Arial"/>
          <w:sz w:val="24"/>
          <w:szCs w:val="24"/>
        </w:rPr>
        <w:t>.</w:t>
      </w:r>
      <w:r w:rsidR="00D85FB7" w:rsidRPr="00C276ED">
        <w:rPr>
          <w:rFonts w:ascii="Arial" w:hAnsi="Arial" w:cs="Arial"/>
          <w:sz w:val="24"/>
          <w:szCs w:val="24"/>
        </w:rPr>
        <w:t xml:space="preserve"> Supreme Court stayed implementation of the proposed rules in February 2015 and oral arguments were heard </w:t>
      </w:r>
      <w:r w:rsidR="00B34655" w:rsidRPr="00C276ED">
        <w:rPr>
          <w:rFonts w:ascii="Arial" w:hAnsi="Arial" w:cs="Arial"/>
          <w:sz w:val="24"/>
          <w:szCs w:val="24"/>
        </w:rPr>
        <w:t xml:space="preserve">on September 27, </w:t>
      </w:r>
      <w:r w:rsidR="00D85FB7" w:rsidRPr="00C276ED">
        <w:rPr>
          <w:rFonts w:ascii="Arial" w:hAnsi="Arial" w:cs="Arial"/>
          <w:sz w:val="24"/>
          <w:szCs w:val="24"/>
        </w:rPr>
        <w:t>2016 in the District of Columbia Circuit Court of Appeals.</w:t>
      </w:r>
      <w:r w:rsidR="00546A8D" w:rsidRPr="00C276ED">
        <w:rPr>
          <w:rFonts w:ascii="Arial" w:hAnsi="Arial" w:cs="Arial"/>
          <w:sz w:val="24"/>
          <w:szCs w:val="24"/>
        </w:rPr>
        <w:t xml:space="preserve"> The timing of its findings is indeterminate.</w:t>
      </w:r>
    </w:p>
    <w:p w14:paraId="1E7D7DB4" w14:textId="2AC67B31" w:rsidR="00D85FB7" w:rsidRDefault="00D85FB7" w:rsidP="0043327B">
      <w:pPr>
        <w:pStyle w:val="NoSpacing"/>
        <w:ind w:left="720"/>
        <w:jc w:val="both"/>
        <w:rPr>
          <w:rFonts w:ascii="Arial" w:hAnsi="Arial" w:cs="Arial"/>
          <w:sz w:val="24"/>
          <w:szCs w:val="24"/>
        </w:rPr>
      </w:pPr>
    </w:p>
    <w:p w14:paraId="2AF17DC8" w14:textId="77777777" w:rsidR="00C12503" w:rsidRPr="00C276ED" w:rsidRDefault="00C12503" w:rsidP="0043327B">
      <w:pPr>
        <w:pStyle w:val="NoSpacing"/>
        <w:ind w:left="720"/>
        <w:jc w:val="both"/>
        <w:rPr>
          <w:rFonts w:ascii="Arial" w:hAnsi="Arial" w:cs="Arial"/>
          <w:sz w:val="24"/>
          <w:szCs w:val="24"/>
        </w:rPr>
      </w:pPr>
    </w:p>
    <w:p w14:paraId="4F7D9884" w14:textId="77777777" w:rsidR="00D85FB7" w:rsidRDefault="00CC0840" w:rsidP="00985A0D">
      <w:pPr>
        <w:pStyle w:val="Heading2"/>
        <w:spacing w:before="0" w:line="240" w:lineRule="auto"/>
        <w:jc w:val="both"/>
        <w:rPr>
          <w:rFonts w:ascii="Arial" w:hAnsi="Arial" w:cs="Arial"/>
          <w:b/>
          <w:caps w:val="0"/>
          <w:color w:val="auto"/>
          <w:sz w:val="24"/>
          <w:szCs w:val="24"/>
        </w:rPr>
      </w:pPr>
      <w:bookmarkStart w:id="8" w:name="_Toc459622868"/>
      <w:r w:rsidRPr="00C276ED">
        <w:rPr>
          <w:rFonts w:ascii="Arial" w:hAnsi="Arial" w:cs="Arial"/>
          <w:b/>
          <w:caps w:val="0"/>
          <w:color w:val="auto"/>
          <w:sz w:val="24"/>
          <w:szCs w:val="24"/>
        </w:rPr>
        <w:t>Washington</w:t>
      </w:r>
      <w:bookmarkEnd w:id="8"/>
      <w:r w:rsidRPr="00C276ED">
        <w:rPr>
          <w:rFonts w:ascii="Arial" w:hAnsi="Arial" w:cs="Arial"/>
          <w:b/>
          <w:caps w:val="0"/>
          <w:color w:val="auto"/>
          <w:sz w:val="24"/>
          <w:szCs w:val="24"/>
        </w:rPr>
        <w:t xml:space="preserve"> </w:t>
      </w:r>
    </w:p>
    <w:p w14:paraId="44580A18" w14:textId="77777777" w:rsidR="00985A0D" w:rsidRPr="00985A0D" w:rsidRDefault="00985A0D" w:rsidP="00985A0D">
      <w:pPr>
        <w:spacing w:before="0" w:after="0" w:line="240" w:lineRule="auto"/>
      </w:pPr>
    </w:p>
    <w:p w14:paraId="2791CACD" w14:textId="4DD5D8E5" w:rsidR="00B55B35" w:rsidRPr="009D3E58" w:rsidRDefault="00B55B35" w:rsidP="009D3E58">
      <w:pPr>
        <w:pStyle w:val="NoSpacing"/>
        <w:jc w:val="both"/>
        <w:rPr>
          <w:rFonts w:ascii="Arial" w:hAnsi="Arial" w:cs="Arial"/>
          <w:sz w:val="24"/>
          <w:szCs w:val="24"/>
        </w:rPr>
      </w:pPr>
      <w:r w:rsidRPr="00C276ED">
        <w:rPr>
          <w:rFonts w:ascii="Arial" w:hAnsi="Arial" w:cs="Arial"/>
          <w:bCs/>
          <w:sz w:val="24"/>
          <w:szCs w:val="24"/>
        </w:rPr>
        <w:t>On September 15, 2016, the Washington Department of Ecology (Ecology) issued the final Washington Clean Air Act (CAA) Clean Air Rule (CAR) WAC-173-442 requiring greenhouse gas emission reductions from various industries in the state, including emissions from the combustion of natural gas supplied to end-use customers by natural gas distribution companies, such as Cascade.  On the same date, Ecology finalized requirements for reporting GHG emissions from natural gas distributors under WAC 173-441.  In 2017, Cascade must maintain emission</w:t>
      </w:r>
      <w:r w:rsidR="00985A0D">
        <w:rPr>
          <w:rFonts w:ascii="Arial" w:hAnsi="Arial" w:cs="Arial"/>
          <w:bCs/>
          <w:sz w:val="24"/>
          <w:szCs w:val="24"/>
        </w:rPr>
        <w:t>s</w:t>
      </w:r>
      <w:r w:rsidRPr="00C276ED">
        <w:rPr>
          <w:rFonts w:ascii="Arial" w:hAnsi="Arial" w:cs="Arial"/>
          <w:bCs/>
          <w:sz w:val="24"/>
          <w:szCs w:val="24"/>
        </w:rPr>
        <w:t xml:space="preserve"> of </w:t>
      </w:r>
      <w:r w:rsidR="00985A0D">
        <w:rPr>
          <w:rFonts w:ascii="Arial" w:hAnsi="Arial" w:cs="Arial"/>
          <w:bCs/>
          <w:sz w:val="24"/>
          <w:szCs w:val="24"/>
        </w:rPr>
        <w:t>CO</w:t>
      </w:r>
      <w:r w:rsidR="00985A0D" w:rsidRPr="00985A0D">
        <w:rPr>
          <w:rFonts w:ascii="Arial" w:hAnsi="Arial" w:cs="Arial"/>
          <w:bCs/>
          <w:sz w:val="24"/>
          <w:szCs w:val="24"/>
          <w:vertAlign w:val="subscript"/>
        </w:rPr>
        <w:t>2</w:t>
      </w:r>
      <w:r w:rsidR="00985A0D" w:rsidRPr="00504BE3">
        <w:rPr>
          <w:rFonts w:ascii="Arial" w:hAnsi="Arial" w:cs="Arial"/>
          <w:bCs/>
          <w:sz w:val="24"/>
          <w:szCs w:val="24"/>
        </w:rPr>
        <w:t>e</w:t>
      </w:r>
      <w:r w:rsidRPr="00C276ED">
        <w:rPr>
          <w:rFonts w:ascii="Arial" w:hAnsi="Arial" w:cs="Arial"/>
          <w:bCs/>
          <w:sz w:val="24"/>
          <w:szCs w:val="24"/>
        </w:rPr>
        <w:t xml:space="preserve"> less than or equal to its baseline emissions.  Cascade’s baseline emissions will be set by Ecology using the average emissions from natural gas consumption by Cascade’s customers between 2012 and 2016.  Beginning in 2018, Cascade must meet an emissions reduction pathway that decreases 1.7% each year from its emissions baseline or must acquire emissions offsets equal to the amount of emissions in excess of Cascade’s emission </w:t>
      </w:r>
      <w:r w:rsidRPr="009D3E58">
        <w:rPr>
          <w:rFonts w:ascii="Arial" w:hAnsi="Arial" w:cs="Arial"/>
          <w:sz w:val="24"/>
          <w:szCs w:val="24"/>
        </w:rPr>
        <w:t xml:space="preserve">reduction pathway.  </w:t>
      </w:r>
    </w:p>
    <w:p w14:paraId="1A5BD1DF" w14:textId="77777777" w:rsidR="009D3E58" w:rsidRPr="009D3E58" w:rsidRDefault="009D3E58" w:rsidP="009D3E58">
      <w:pPr>
        <w:pStyle w:val="NoSpacing"/>
        <w:jc w:val="both"/>
        <w:rPr>
          <w:rFonts w:ascii="Arial" w:hAnsi="Arial" w:cs="Arial"/>
          <w:sz w:val="24"/>
          <w:szCs w:val="24"/>
        </w:rPr>
      </w:pPr>
    </w:p>
    <w:p w14:paraId="1F1DE627" w14:textId="77777777" w:rsidR="00B55B35" w:rsidRPr="009D3E58" w:rsidRDefault="00B55B35" w:rsidP="009D3E58">
      <w:pPr>
        <w:pStyle w:val="NoSpacing"/>
        <w:jc w:val="both"/>
        <w:rPr>
          <w:rFonts w:ascii="Arial" w:hAnsi="Arial" w:cs="Arial"/>
          <w:sz w:val="24"/>
          <w:szCs w:val="24"/>
        </w:rPr>
      </w:pPr>
      <w:r w:rsidRPr="009D3E58">
        <w:rPr>
          <w:rFonts w:ascii="Arial" w:hAnsi="Arial" w:cs="Arial"/>
          <w:sz w:val="24"/>
          <w:szCs w:val="24"/>
        </w:rPr>
        <w:t>Cascade</w:t>
      </w:r>
      <w:r w:rsidRPr="00C276ED">
        <w:rPr>
          <w:rFonts w:ascii="Arial" w:hAnsi="Arial" w:cs="Arial"/>
          <w:bCs/>
          <w:sz w:val="24"/>
          <w:szCs w:val="24"/>
        </w:rPr>
        <w:t xml:space="preserve"> plans to obtain emissions offsets to comply with CAR because natural gas delivery pipelines are not emission sources and Cascade has an obligation to meet the natural gas demand of its customers.  Emission offsets consist of either in-state emission reduction units (“ERUs”) or, to a limited and declining extent, out-of-state allowances from states or provinces that have established multi-sector greenhouse gas programs.  Under CAR, each metric ton (MT) of CO</w:t>
      </w:r>
      <w:r w:rsidRPr="00C276ED">
        <w:rPr>
          <w:rFonts w:ascii="Arial" w:hAnsi="Arial" w:cs="Arial"/>
          <w:bCs/>
          <w:sz w:val="24"/>
          <w:szCs w:val="24"/>
          <w:vertAlign w:val="subscript"/>
        </w:rPr>
        <w:t>2</w:t>
      </w:r>
      <w:r w:rsidRPr="00C276ED">
        <w:rPr>
          <w:rFonts w:ascii="Arial" w:hAnsi="Arial" w:cs="Arial"/>
          <w:bCs/>
          <w:sz w:val="24"/>
          <w:szCs w:val="24"/>
        </w:rPr>
        <w:t xml:space="preserve">e that a covered party emits that exceeds the covered party’s compliance obligation and is not covered by an emission offset is a separate violation of CAR. Thus, failure to obtain sufficient emissions offsets could subject Cascade to state CAA </w:t>
      </w:r>
      <w:r w:rsidRPr="009D3E58">
        <w:rPr>
          <w:rFonts w:ascii="Arial" w:hAnsi="Arial" w:cs="Arial"/>
          <w:sz w:val="24"/>
          <w:szCs w:val="24"/>
        </w:rPr>
        <w:t xml:space="preserve">enforcement. </w:t>
      </w:r>
    </w:p>
    <w:p w14:paraId="59132B2D" w14:textId="77777777" w:rsidR="00B55B35" w:rsidRPr="009D3E58" w:rsidRDefault="00B55B35" w:rsidP="009D3E58">
      <w:pPr>
        <w:pStyle w:val="NoSpacing"/>
        <w:jc w:val="both"/>
        <w:rPr>
          <w:rFonts w:ascii="Arial" w:hAnsi="Arial" w:cs="Arial"/>
          <w:sz w:val="24"/>
          <w:szCs w:val="24"/>
        </w:rPr>
      </w:pPr>
    </w:p>
    <w:p w14:paraId="4F6C425A" w14:textId="77777777" w:rsidR="00B55B35" w:rsidRPr="009D3E58" w:rsidRDefault="00B55B35" w:rsidP="009D3E58">
      <w:pPr>
        <w:pStyle w:val="NoSpacing"/>
        <w:jc w:val="both"/>
        <w:rPr>
          <w:rFonts w:ascii="Arial" w:hAnsi="Arial" w:cs="Arial"/>
          <w:sz w:val="24"/>
          <w:szCs w:val="24"/>
        </w:rPr>
      </w:pPr>
      <w:r w:rsidRPr="009D3E58">
        <w:rPr>
          <w:rFonts w:ascii="Arial" w:hAnsi="Arial" w:cs="Arial"/>
          <w:sz w:val="24"/>
          <w:szCs w:val="24"/>
        </w:rPr>
        <w:t>Cascade</w:t>
      </w:r>
      <w:r w:rsidRPr="00C276ED">
        <w:rPr>
          <w:rFonts w:ascii="Arial" w:hAnsi="Arial" w:cs="Arial"/>
          <w:bCs/>
          <w:sz w:val="24"/>
          <w:szCs w:val="24"/>
        </w:rPr>
        <w:t xml:space="preserve"> has significant concerns about the legal underpinnings of the CAR.  It is Cascade’s position that Ecology does not have authority to implement a program to limit statewide greenhouse gas emissions, particularly a trading program based on ERUs.  Cascade also maintains that Ecology does not have authority to regulate non-emitting sources for their customers’ emissions.  Cascade expressed these concerns in comments on the proposed rule that preceded CAR, which were submitted to Ecology on July 22, 2016.  Ecology failed to address Cascade’s </w:t>
      </w:r>
      <w:r w:rsidRPr="009D3E58">
        <w:rPr>
          <w:rFonts w:ascii="Arial" w:hAnsi="Arial" w:cs="Arial"/>
          <w:sz w:val="24"/>
          <w:szCs w:val="24"/>
        </w:rPr>
        <w:t>comments in the final CAR.</w:t>
      </w:r>
    </w:p>
    <w:p w14:paraId="073A4AD8" w14:textId="77777777" w:rsidR="00B55B35" w:rsidRPr="009D3E58" w:rsidRDefault="00B55B35" w:rsidP="009D3E58">
      <w:pPr>
        <w:pStyle w:val="NoSpacing"/>
        <w:jc w:val="both"/>
        <w:rPr>
          <w:rFonts w:ascii="Arial" w:hAnsi="Arial" w:cs="Arial"/>
          <w:sz w:val="24"/>
          <w:szCs w:val="24"/>
        </w:rPr>
      </w:pPr>
    </w:p>
    <w:p w14:paraId="582123A6" w14:textId="16627DC1" w:rsidR="008F299E" w:rsidRPr="00C276ED" w:rsidRDefault="00B55B35" w:rsidP="009D3E58">
      <w:pPr>
        <w:pStyle w:val="NoSpacing"/>
        <w:jc w:val="both"/>
        <w:rPr>
          <w:rFonts w:ascii="Arial" w:hAnsi="Arial" w:cs="Arial"/>
          <w:sz w:val="24"/>
          <w:szCs w:val="24"/>
        </w:rPr>
      </w:pPr>
      <w:r w:rsidRPr="009D3E58">
        <w:rPr>
          <w:rFonts w:ascii="Arial" w:hAnsi="Arial" w:cs="Arial"/>
          <w:sz w:val="24"/>
          <w:szCs w:val="24"/>
        </w:rPr>
        <w:t>On</w:t>
      </w:r>
      <w:r w:rsidRPr="00C276ED">
        <w:rPr>
          <w:rFonts w:ascii="Arial" w:hAnsi="Arial" w:cs="Arial"/>
          <w:bCs/>
          <w:sz w:val="24"/>
          <w:szCs w:val="24"/>
        </w:rPr>
        <w:t xml:space="preserve"> September 27, 2016 and September 30, 2016, Cascade and three other natural gas distribution utilities jointly filed complaints in the United States District Court for the Eastern District of Washington and the State of Washington Thurston County Superior Court, respectively, challenging the legal underpinnings of CAR.   While a decision from the state court may possibly be issued some time in 2017, CAR is final and remains in effect, Cascade must plan accordingly for compliance while the legal issues are resolved.</w:t>
      </w:r>
    </w:p>
    <w:p w14:paraId="5C984420" w14:textId="174E3F5A" w:rsidR="008F299E" w:rsidRPr="00C276ED" w:rsidRDefault="00504BE3" w:rsidP="0043327B">
      <w:pPr>
        <w:pStyle w:val="Heading1"/>
        <w:numPr>
          <w:ilvl w:val="0"/>
          <w:numId w:val="12"/>
        </w:numPr>
        <w:rPr>
          <w:rFonts w:ascii="Arial" w:hAnsi="Arial" w:cs="Arial"/>
          <w:color w:val="auto"/>
          <w:sz w:val="24"/>
          <w:szCs w:val="24"/>
        </w:rPr>
      </w:pPr>
      <w:r>
        <w:rPr>
          <w:rFonts w:ascii="Arial" w:hAnsi="Arial" w:cs="Arial"/>
          <w:b/>
          <w:color w:val="auto"/>
          <w:sz w:val="24"/>
          <w:szCs w:val="24"/>
        </w:rPr>
        <w:t xml:space="preserve">Compliance </w:t>
      </w:r>
      <w:r w:rsidR="000014FE">
        <w:rPr>
          <w:rFonts w:ascii="Arial" w:hAnsi="Arial" w:cs="Arial"/>
          <w:b/>
          <w:color w:val="auto"/>
          <w:sz w:val="24"/>
          <w:szCs w:val="24"/>
        </w:rPr>
        <w:t xml:space="preserve">Obligations </w:t>
      </w:r>
      <w:proofErr w:type="gramStart"/>
      <w:r w:rsidR="000014FE">
        <w:rPr>
          <w:rFonts w:ascii="Arial" w:hAnsi="Arial" w:cs="Arial"/>
          <w:b/>
          <w:color w:val="auto"/>
          <w:sz w:val="24"/>
          <w:szCs w:val="24"/>
        </w:rPr>
        <w:t>U</w:t>
      </w:r>
      <w:r w:rsidR="008F299E" w:rsidRPr="00C276ED">
        <w:rPr>
          <w:rFonts w:ascii="Arial" w:hAnsi="Arial" w:cs="Arial"/>
          <w:b/>
          <w:color w:val="auto"/>
          <w:sz w:val="24"/>
          <w:szCs w:val="24"/>
        </w:rPr>
        <w:t>nder</w:t>
      </w:r>
      <w:proofErr w:type="gramEnd"/>
      <w:r w:rsidR="008F299E" w:rsidRPr="00C276ED">
        <w:rPr>
          <w:rFonts w:ascii="Arial" w:hAnsi="Arial" w:cs="Arial"/>
          <w:b/>
          <w:color w:val="auto"/>
          <w:sz w:val="24"/>
          <w:szCs w:val="24"/>
        </w:rPr>
        <w:t xml:space="preserve"> CAR</w:t>
      </w:r>
      <w:r w:rsidR="008F299E" w:rsidRPr="00C276ED">
        <w:rPr>
          <w:rFonts w:ascii="Arial" w:hAnsi="Arial" w:cs="Arial"/>
          <w:b/>
          <w:color w:val="auto"/>
          <w:sz w:val="24"/>
          <w:szCs w:val="24"/>
        </w:rPr>
        <w:tab/>
      </w:r>
    </w:p>
    <w:p w14:paraId="6A39CB38" w14:textId="4E8FC400" w:rsidR="008F299E" w:rsidRPr="00C276ED" w:rsidRDefault="007A043C" w:rsidP="00504BE3">
      <w:pPr>
        <w:autoSpaceDE w:val="0"/>
        <w:autoSpaceDN w:val="0"/>
        <w:adjustRightInd w:val="0"/>
        <w:spacing w:after="0" w:line="240" w:lineRule="auto"/>
        <w:ind w:left="450"/>
        <w:jc w:val="both"/>
        <w:rPr>
          <w:rFonts w:ascii="Arial" w:hAnsi="Arial" w:cs="Arial"/>
          <w:color w:val="auto"/>
          <w:sz w:val="24"/>
          <w:szCs w:val="24"/>
        </w:rPr>
      </w:pPr>
      <w:r w:rsidRPr="00C276ED">
        <w:rPr>
          <w:rFonts w:ascii="Arial" w:hAnsi="Arial" w:cs="Arial"/>
          <w:color w:val="auto"/>
          <w:sz w:val="24"/>
          <w:szCs w:val="24"/>
        </w:rPr>
        <w:t xml:space="preserve">CAR includes natural gas distributors in the scope of required emissions reductions under WAC 173-442-010.  Cascade is a Covered Party under CAR as the </w:t>
      </w:r>
      <w:r w:rsidR="00E346A2" w:rsidRPr="00C276ED">
        <w:rPr>
          <w:rFonts w:ascii="Arial" w:hAnsi="Arial" w:cs="Arial"/>
          <w:color w:val="auto"/>
          <w:sz w:val="24"/>
          <w:szCs w:val="24"/>
        </w:rPr>
        <w:t>Company</w:t>
      </w:r>
      <w:r w:rsidRPr="00C276ED">
        <w:rPr>
          <w:rFonts w:ascii="Arial" w:hAnsi="Arial" w:cs="Arial"/>
          <w:color w:val="auto"/>
          <w:sz w:val="24"/>
          <w:szCs w:val="24"/>
        </w:rPr>
        <w:t xml:space="preserve"> is a natural gas distributor per WAC 173-442-020(k).  WAC 173-442-020(j</w:t>
      </w:r>
      <w:proofErr w:type="gramStart"/>
      <w:r w:rsidRPr="00C276ED">
        <w:rPr>
          <w:rFonts w:ascii="Arial" w:hAnsi="Arial" w:cs="Arial"/>
          <w:color w:val="auto"/>
          <w:sz w:val="24"/>
          <w:szCs w:val="24"/>
        </w:rPr>
        <w:t>)(</w:t>
      </w:r>
      <w:proofErr w:type="gramEnd"/>
      <w:r w:rsidRPr="00C276ED">
        <w:rPr>
          <w:rFonts w:ascii="Arial" w:hAnsi="Arial" w:cs="Arial"/>
          <w:color w:val="auto"/>
          <w:sz w:val="24"/>
          <w:szCs w:val="24"/>
        </w:rPr>
        <w:t>iii) then identifies CO</w:t>
      </w:r>
      <w:r w:rsidRPr="00C276ED">
        <w:rPr>
          <w:rFonts w:ascii="Arial" w:hAnsi="Arial" w:cs="Arial"/>
          <w:color w:val="auto"/>
          <w:sz w:val="24"/>
          <w:szCs w:val="24"/>
          <w:vertAlign w:val="subscript"/>
        </w:rPr>
        <w:t>2</w:t>
      </w:r>
      <w:r w:rsidRPr="00C276ED">
        <w:rPr>
          <w:rFonts w:ascii="Arial" w:hAnsi="Arial" w:cs="Arial"/>
          <w:color w:val="auto"/>
          <w:sz w:val="24"/>
          <w:szCs w:val="24"/>
        </w:rPr>
        <w:t xml:space="preserve"> emissions that are reported to EPA under 40 CFR 98 Subpart NN as the covered emissions for natural gas distributors.</w:t>
      </w:r>
    </w:p>
    <w:p w14:paraId="46360234" w14:textId="77777777" w:rsidR="008F299E" w:rsidRPr="00C276ED" w:rsidRDefault="008F299E" w:rsidP="00C12503">
      <w:pPr>
        <w:pStyle w:val="Heading2"/>
        <w:numPr>
          <w:ilvl w:val="1"/>
          <w:numId w:val="12"/>
        </w:numPr>
        <w:ind w:hanging="630"/>
        <w:rPr>
          <w:rFonts w:ascii="Arial" w:hAnsi="Arial" w:cs="Arial"/>
          <w:b/>
          <w:caps w:val="0"/>
          <w:color w:val="auto"/>
          <w:sz w:val="24"/>
          <w:szCs w:val="24"/>
        </w:rPr>
      </w:pPr>
      <w:r w:rsidRPr="00C276ED">
        <w:rPr>
          <w:rFonts w:ascii="Arial" w:hAnsi="Arial" w:cs="Arial"/>
          <w:b/>
          <w:caps w:val="0"/>
          <w:color w:val="auto"/>
          <w:sz w:val="24"/>
          <w:szCs w:val="24"/>
        </w:rPr>
        <w:t>Baseline Emissions</w:t>
      </w:r>
    </w:p>
    <w:p w14:paraId="7FA2C072" w14:textId="70E7A9E4" w:rsidR="00504BE3" w:rsidRDefault="00C12503" w:rsidP="00C12503">
      <w:pPr>
        <w:tabs>
          <w:tab w:val="left" w:pos="1080"/>
        </w:tabs>
        <w:autoSpaceDE w:val="0"/>
        <w:autoSpaceDN w:val="0"/>
        <w:adjustRightInd w:val="0"/>
        <w:spacing w:after="0" w:line="240" w:lineRule="auto"/>
        <w:ind w:left="1080" w:hanging="630"/>
        <w:jc w:val="both"/>
        <w:rPr>
          <w:rFonts w:ascii="Arial" w:hAnsi="Arial" w:cs="Arial"/>
          <w:color w:val="auto"/>
          <w:sz w:val="24"/>
          <w:szCs w:val="24"/>
        </w:rPr>
      </w:pPr>
      <w:r>
        <w:rPr>
          <w:rFonts w:ascii="Arial" w:hAnsi="Arial" w:cs="Arial"/>
          <w:color w:val="auto"/>
          <w:sz w:val="24"/>
          <w:szCs w:val="24"/>
        </w:rPr>
        <w:tab/>
      </w:r>
      <w:r w:rsidR="00627F37" w:rsidRPr="00C276ED">
        <w:rPr>
          <w:rFonts w:ascii="Arial" w:hAnsi="Arial" w:cs="Arial"/>
          <w:color w:val="auto"/>
          <w:sz w:val="24"/>
          <w:szCs w:val="24"/>
        </w:rPr>
        <w:t>First, Cascade reviewed previous GHG reporting reports it submitted to EPA according to 40 CFR 98 Subpart NN.  Using the data provided for those reports, Cascade estimated the approximate gas delivered to customers (</w:t>
      </w:r>
      <w:r w:rsidR="00624227">
        <w:rPr>
          <w:rFonts w:ascii="Arial" w:hAnsi="Arial" w:cs="Arial"/>
          <w:color w:val="auto"/>
          <w:sz w:val="24"/>
          <w:szCs w:val="24"/>
        </w:rPr>
        <w:t xml:space="preserve">assumed to be core customers and customers </w:t>
      </w:r>
      <w:r w:rsidR="00627F37" w:rsidRPr="00C276ED">
        <w:rPr>
          <w:rFonts w:ascii="Arial" w:hAnsi="Arial" w:cs="Arial"/>
          <w:color w:val="auto"/>
          <w:sz w:val="24"/>
          <w:szCs w:val="24"/>
        </w:rPr>
        <w:t xml:space="preserve">that are not </w:t>
      </w:r>
      <w:r w:rsidR="00627F37" w:rsidRPr="00C276ED">
        <w:rPr>
          <w:rFonts w:ascii="Arial" w:hAnsi="Arial" w:cs="Arial"/>
          <w:color w:val="auto"/>
          <w:sz w:val="24"/>
          <w:szCs w:val="24"/>
        </w:rPr>
        <w:lastRenderedPageBreak/>
        <w:t xml:space="preserve">considered covered parties themselves) for 2012 to 2016 and provides that data in Table </w:t>
      </w:r>
      <w:r w:rsidR="009D3E58">
        <w:rPr>
          <w:rFonts w:ascii="Arial" w:hAnsi="Arial" w:cs="Arial"/>
          <w:color w:val="auto"/>
          <w:sz w:val="24"/>
          <w:szCs w:val="24"/>
        </w:rPr>
        <w:t>5-</w:t>
      </w:r>
      <w:r w:rsidR="00627F37" w:rsidRPr="00C276ED">
        <w:rPr>
          <w:rFonts w:ascii="Arial" w:hAnsi="Arial" w:cs="Arial"/>
          <w:color w:val="auto"/>
          <w:sz w:val="24"/>
          <w:szCs w:val="24"/>
        </w:rPr>
        <w:t>1 below.  Cascade believes this would be the quantity of natural gas delivered to customers to be used in estimating Cascade’s baseline GHG emissions value according to the rule.</w:t>
      </w:r>
    </w:p>
    <w:p w14:paraId="091026CB" w14:textId="77777777" w:rsidR="008F299E" w:rsidRPr="00C276ED" w:rsidRDefault="008F299E" w:rsidP="00504BE3">
      <w:pPr>
        <w:autoSpaceDE w:val="0"/>
        <w:autoSpaceDN w:val="0"/>
        <w:adjustRightInd w:val="0"/>
        <w:spacing w:after="0" w:line="240" w:lineRule="auto"/>
        <w:ind w:left="1080"/>
        <w:jc w:val="both"/>
        <w:rPr>
          <w:rFonts w:ascii="Arial" w:hAnsi="Arial" w:cs="Arial"/>
          <w:color w:val="auto"/>
          <w:sz w:val="24"/>
          <w:szCs w:val="24"/>
        </w:rPr>
      </w:pPr>
    </w:p>
    <w:p w14:paraId="0CBE48DF" w14:textId="045BFB0E" w:rsidR="008F299E" w:rsidRPr="00504BE3" w:rsidRDefault="008F299E" w:rsidP="009D3E58">
      <w:pPr>
        <w:autoSpaceDE w:val="0"/>
        <w:autoSpaceDN w:val="0"/>
        <w:adjustRightInd w:val="0"/>
        <w:spacing w:after="0" w:line="240" w:lineRule="auto"/>
        <w:jc w:val="center"/>
        <w:rPr>
          <w:rFonts w:ascii="Arial" w:hAnsi="Arial" w:cs="Arial"/>
          <w:b/>
          <w:color w:val="auto"/>
          <w:sz w:val="16"/>
          <w:szCs w:val="16"/>
        </w:rPr>
      </w:pPr>
      <w:r w:rsidRPr="00504BE3">
        <w:rPr>
          <w:rFonts w:ascii="Arial" w:hAnsi="Arial" w:cs="Arial"/>
          <w:b/>
          <w:color w:val="auto"/>
          <w:sz w:val="16"/>
          <w:szCs w:val="16"/>
        </w:rPr>
        <w:t xml:space="preserve">Table </w:t>
      </w:r>
      <w:r w:rsidR="009D3E58" w:rsidRPr="00504BE3">
        <w:rPr>
          <w:rFonts w:ascii="Arial" w:hAnsi="Arial" w:cs="Arial"/>
          <w:b/>
          <w:color w:val="auto"/>
          <w:sz w:val="16"/>
          <w:szCs w:val="16"/>
        </w:rPr>
        <w:t>5-</w:t>
      </w:r>
      <w:r w:rsidRPr="00504BE3">
        <w:rPr>
          <w:rFonts w:ascii="Arial" w:hAnsi="Arial" w:cs="Arial"/>
          <w:b/>
          <w:color w:val="auto"/>
          <w:sz w:val="16"/>
          <w:szCs w:val="16"/>
        </w:rPr>
        <w:t>1</w:t>
      </w:r>
      <w:r w:rsidR="009D3E58" w:rsidRPr="00504BE3">
        <w:rPr>
          <w:rFonts w:ascii="Arial" w:hAnsi="Arial" w:cs="Arial"/>
          <w:b/>
          <w:color w:val="auto"/>
          <w:sz w:val="16"/>
          <w:szCs w:val="16"/>
        </w:rPr>
        <w:t xml:space="preserve">: </w:t>
      </w:r>
      <w:r w:rsidR="00627F37" w:rsidRPr="00504BE3">
        <w:rPr>
          <w:rFonts w:ascii="Arial" w:hAnsi="Arial" w:cs="Arial"/>
          <w:b/>
          <w:color w:val="auto"/>
          <w:sz w:val="16"/>
          <w:szCs w:val="16"/>
        </w:rPr>
        <w:t>Estimated Quantit</w:t>
      </w:r>
      <w:r w:rsidRPr="00504BE3">
        <w:rPr>
          <w:rFonts w:ascii="Arial" w:hAnsi="Arial" w:cs="Arial"/>
          <w:b/>
          <w:color w:val="auto"/>
          <w:sz w:val="16"/>
          <w:szCs w:val="16"/>
        </w:rPr>
        <w:t xml:space="preserve">y of Gas Delivered to Customers for Determining Cascade’s Baseline GHG Emissions </w:t>
      </w:r>
    </w:p>
    <w:p w14:paraId="7AFE401E" w14:textId="77777777" w:rsidR="008F299E" w:rsidRPr="00504BE3" w:rsidRDefault="008F299E" w:rsidP="00C12503">
      <w:pPr>
        <w:tabs>
          <w:tab w:val="left" w:pos="1080"/>
        </w:tabs>
        <w:autoSpaceDE w:val="0"/>
        <w:autoSpaceDN w:val="0"/>
        <w:adjustRightInd w:val="0"/>
        <w:spacing w:after="0" w:line="240" w:lineRule="auto"/>
        <w:jc w:val="center"/>
        <w:rPr>
          <w:color w:val="auto"/>
          <w:sz w:val="16"/>
          <w:szCs w:val="16"/>
        </w:rPr>
      </w:pPr>
      <w:r w:rsidRPr="00504BE3">
        <w:rPr>
          <w:rFonts w:ascii="Arial" w:hAnsi="Arial" w:cs="Arial"/>
          <w:color w:val="auto"/>
          <w:sz w:val="16"/>
          <w:szCs w:val="16"/>
        </w:rPr>
        <w:t>(</w:t>
      </w:r>
      <w:proofErr w:type="gramStart"/>
      <w:r w:rsidRPr="00504BE3">
        <w:rPr>
          <w:rFonts w:ascii="Arial" w:hAnsi="Arial" w:cs="Arial"/>
          <w:color w:val="auto"/>
          <w:sz w:val="16"/>
          <w:szCs w:val="16"/>
        </w:rPr>
        <w:t>pending</w:t>
      </w:r>
      <w:proofErr w:type="gramEnd"/>
      <w:r w:rsidRPr="00504BE3">
        <w:rPr>
          <w:rFonts w:ascii="Arial" w:hAnsi="Arial" w:cs="Arial"/>
          <w:color w:val="auto"/>
          <w:sz w:val="16"/>
          <w:szCs w:val="16"/>
        </w:rPr>
        <w:t xml:space="preserve"> consultation with Ecology in 2017)</w:t>
      </w:r>
    </w:p>
    <w:p w14:paraId="06EEA614" w14:textId="77777777" w:rsidR="008F299E" w:rsidRPr="00C276ED" w:rsidRDefault="008F299E" w:rsidP="008F299E">
      <w:pPr>
        <w:autoSpaceDE w:val="0"/>
        <w:autoSpaceDN w:val="0"/>
        <w:adjustRightInd w:val="0"/>
        <w:spacing w:after="0" w:line="240" w:lineRule="auto"/>
        <w:jc w:val="both"/>
        <w:rPr>
          <w:color w:val="auto"/>
        </w:rPr>
      </w:pPr>
    </w:p>
    <w:tbl>
      <w:tblPr>
        <w:tblStyle w:val="TableGrid"/>
        <w:tblW w:w="0" w:type="auto"/>
        <w:tblLook w:val="04A0" w:firstRow="1" w:lastRow="0" w:firstColumn="1" w:lastColumn="0" w:noHBand="0" w:noVBand="1"/>
      </w:tblPr>
      <w:tblGrid>
        <w:gridCol w:w="2137"/>
        <w:gridCol w:w="2147"/>
        <w:gridCol w:w="2173"/>
        <w:gridCol w:w="2173"/>
      </w:tblGrid>
      <w:tr w:rsidR="00C276ED" w:rsidRPr="00C276ED" w14:paraId="2B9B84B2" w14:textId="77777777" w:rsidTr="00C12503">
        <w:tc>
          <w:tcPr>
            <w:tcW w:w="2394" w:type="dxa"/>
            <w:shd w:val="clear" w:color="auto" w:fill="D6ECFF" w:themeFill="background2"/>
          </w:tcPr>
          <w:p w14:paraId="0C660564" w14:textId="77777777" w:rsidR="008F299E" w:rsidRPr="00C12503" w:rsidRDefault="008F299E" w:rsidP="00C12503">
            <w:pPr>
              <w:autoSpaceDE w:val="0"/>
              <w:autoSpaceDN w:val="0"/>
              <w:adjustRightInd w:val="0"/>
              <w:rPr>
                <w:rFonts w:ascii="Arial" w:hAnsi="Arial" w:cs="Arial"/>
                <w:color w:val="auto"/>
              </w:rPr>
            </w:pPr>
            <w:r w:rsidRPr="00C12503">
              <w:rPr>
                <w:rFonts w:ascii="Arial" w:hAnsi="Arial" w:cs="Arial"/>
                <w:color w:val="auto"/>
              </w:rPr>
              <w:t>Year</w:t>
            </w:r>
          </w:p>
        </w:tc>
        <w:tc>
          <w:tcPr>
            <w:tcW w:w="2394" w:type="dxa"/>
            <w:shd w:val="clear" w:color="auto" w:fill="D6ECFF" w:themeFill="background2"/>
          </w:tcPr>
          <w:p w14:paraId="40E982AD" w14:textId="77777777" w:rsidR="008F299E" w:rsidRPr="00C12503" w:rsidRDefault="008F299E" w:rsidP="00C12503">
            <w:pPr>
              <w:autoSpaceDE w:val="0"/>
              <w:autoSpaceDN w:val="0"/>
              <w:adjustRightInd w:val="0"/>
              <w:jc w:val="center"/>
              <w:rPr>
                <w:rFonts w:ascii="Arial" w:hAnsi="Arial" w:cs="Arial"/>
                <w:color w:val="auto"/>
              </w:rPr>
            </w:pPr>
            <w:r w:rsidRPr="00C12503">
              <w:rPr>
                <w:rFonts w:ascii="Arial" w:hAnsi="Arial" w:cs="Arial"/>
                <w:color w:val="auto"/>
              </w:rPr>
              <w:t>Total Gas Received by Cascade from Suppliers (</w:t>
            </w:r>
            <w:proofErr w:type="spellStart"/>
            <w:r w:rsidRPr="00C12503">
              <w:rPr>
                <w:rFonts w:ascii="Arial" w:hAnsi="Arial" w:cs="Arial"/>
                <w:color w:val="auto"/>
              </w:rPr>
              <w:t>Mscf</w:t>
            </w:r>
            <w:proofErr w:type="spellEnd"/>
            <w:r w:rsidRPr="00C12503">
              <w:rPr>
                <w:rFonts w:ascii="Arial" w:hAnsi="Arial" w:cs="Arial"/>
                <w:color w:val="auto"/>
              </w:rPr>
              <w:t>)</w:t>
            </w:r>
          </w:p>
        </w:tc>
        <w:tc>
          <w:tcPr>
            <w:tcW w:w="2394" w:type="dxa"/>
            <w:shd w:val="clear" w:color="auto" w:fill="D6ECFF" w:themeFill="background2"/>
          </w:tcPr>
          <w:p w14:paraId="59470D46" w14:textId="77777777" w:rsidR="008F299E" w:rsidRPr="00C12503" w:rsidRDefault="008F299E" w:rsidP="00C12503">
            <w:pPr>
              <w:autoSpaceDE w:val="0"/>
              <w:autoSpaceDN w:val="0"/>
              <w:adjustRightInd w:val="0"/>
              <w:jc w:val="center"/>
              <w:rPr>
                <w:rFonts w:ascii="Arial" w:hAnsi="Arial" w:cs="Arial"/>
                <w:color w:val="auto"/>
              </w:rPr>
            </w:pPr>
            <w:r w:rsidRPr="00C12503">
              <w:rPr>
                <w:rFonts w:ascii="Arial" w:hAnsi="Arial" w:cs="Arial"/>
                <w:color w:val="auto"/>
              </w:rPr>
              <w:t>Approximate Gas Delivered to Customers Considered Covered Parties Themselves (</w:t>
            </w:r>
            <w:proofErr w:type="spellStart"/>
            <w:r w:rsidRPr="00C12503">
              <w:rPr>
                <w:rFonts w:ascii="Arial" w:hAnsi="Arial" w:cs="Arial"/>
                <w:color w:val="auto"/>
              </w:rPr>
              <w:t>Mscf</w:t>
            </w:r>
            <w:proofErr w:type="spellEnd"/>
            <w:r w:rsidRPr="00C12503">
              <w:rPr>
                <w:rFonts w:ascii="Arial" w:hAnsi="Arial" w:cs="Arial"/>
                <w:color w:val="auto"/>
              </w:rPr>
              <w:t>)</w:t>
            </w:r>
          </w:p>
        </w:tc>
        <w:tc>
          <w:tcPr>
            <w:tcW w:w="2394" w:type="dxa"/>
            <w:shd w:val="clear" w:color="auto" w:fill="D6ECFF" w:themeFill="background2"/>
          </w:tcPr>
          <w:p w14:paraId="15D51BE3" w14:textId="65812B8A" w:rsidR="008F299E" w:rsidRPr="00C12503" w:rsidRDefault="008F299E" w:rsidP="00C12503">
            <w:pPr>
              <w:autoSpaceDE w:val="0"/>
              <w:autoSpaceDN w:val="0"/>
              <w:adjustRightInd w:val="0"/>
              <w:jc w:val="center"/>
              <w:rPr>
                <w:rFonts w:ascii="Arial" w:hAnsi="Arial" w:cs="Arial"/>
                <w:color w:val="auto"/>
              </w:rPr>
            </w:pPr>
            <w:r w:rsidRPr="00C12503">
              <w:rPr>
                <w:rFonts w:ascii="Arial" w:hAnsi="Arial" w:cs="Arial"/>
                <w:color w:val="auto"/>
              </w:rPr>
              <w:t>Approximate Gas Delivered to Customers to Establish Cascade’s Baseline (</w:t>
            </w:r>
            <w:proofErr w:type="spellStart"/>
            <w:r w:rsidRPr="00C12503">
              <w:rPr>
                <w:rFonts w:ascii="Arial" w:hAnsi="Arial" w:cs="Arial"/>
                <w:color w:val="auto"/>
              </w:rPr>
              <w:t>Mscf</w:t>
            </w:r>
            <w:proofErr w:type="spellEnd"/>
            <w:r w:rsidRPr="00C12503">
              <w:rPr>
                <w:rFonts w:ascii="Arial" w:hAnsi="Arial" w:cs="Arial"/>
                <w:color w:val="auto"/>
              </w:rPr>
              <w:t>)</w:t>
            </w:r>
          </w:p>
        </w:tc>
      </w:tr>
      <w:tr w:rsidR="00C276ED" w:rsidRPr="00C276ED" w14:paraId="604306EC" w14:textId="77777777" w:rsidTr="008F299E">
        <w:tc>
          <w:tcPr>
            <w:tcW w:w="2394" w:type="dxa"/>
          </w:tcPr>
          <w:p w14:paraId="083E611B" w14:textId="77777777" w:rsidR="008F299E" w:rsidRPr="00C12503" w:rsidRDefault="008F299E" w:rsidP="008F299E">
            <w:pPr>
              <w:autoSpaceDE w:val="0"/>
              <w:autoSpaceDN w:val="0"/>
              <w:adjustRightInd w:val="0"/>
              <w:rPr>
                <w:rFonts w:ascii="Arial" w:hAnsi="Arial" w:cs="Arial"/>
                <w:color w:val="auto"/>
              </w:rPr>
            </w:pPr>
            <w:r w:rsidRPr="00C12503">
              <w:rPr>
                <w:rFonts w:ascii="Arial" w:hAnsi="Arial" w:cs="Arial"/>
                <w:color w:val="auto"/>
              </w:rPr>
              <w:t>2012</w:t>
            </w:r>
          </w:p>
        </w:tc>
        <w:tc>
          <w:tcPr>
            <w:tcW w:w="2394" w:type="dxa"/>
          </w:tcPr>
          <w:p w14:paraId="5C200460" w14:textId="77777777" w:rsidR="008F299E" w:rsidRPr="00C12503" w:rsidRDefault="008F299E" w:rsidP="00C12503">
            <w:pPr>
              <w:autoSpaceDE w:val="0"/>
              <w:autoSpaceDN w:val="0"/>
              <w:adjustRightInd w:val="0"/>
              <w:jc w:val="right"/>
              <w:rPr>
                <w:rFonts w:ascii="Arial" w:hAnsi="Arial" w:cs="Arial"/>
                <w:color w:val="auto"/>
              </w:rPr>
            </w:pPr>
            <w:r w:rsidRPr="00C12503">
              <w:rPr>
                <w:rFonts w:ascii="Arial" w:hAnsi="Arial" w:cs="Arial"/>
                <w:color w:val="auto"/>
              </w:rPr>
              <w:t>80,068,497</w:t>
            </w:r>
          </w:p>
        </w:tc>
        <w:tc>
          <w:tcPr>
            <w:tcW w:w="2394" w:type="dxa"/>
          </w:tcPr>
          <w:p w14:paraId="5354C039" w14:textId="77777777" w:rsidR="008F299E" w:rsidRPr="00C12503" w:rsidRDefault="008F299E" w:rsidP="00C12503">
            <w:pPr>
              <w:autoSpaceDE w:val="0"/>
              <w:autoSpaceDN w:val="0"/>
              <w:adjustRightInd w:val="0"/>
              <w:jc w:val="right"/>
              <w:rPr>
                <w:rFonts w:ascii="Arial" w:hAnsi="Arial" w:cs="Arial"/>
                <w:color w:val="auto"/>
              </w:rPr>
            </w:pPr>
            <w:r w:rsidRPr="00C12503">
              <w:rPr>
                <w:rFonts w:ascii="Arial" w:hAnsi="Arial" w:cs="Arial"/>
                <w:color w:val="auto"/>
              </w:rPr>
              <w:t>38,009,461</w:t>
            </w:r>
          </w:p>
        </w:tc>
        <w:tc>
          <w:tcPr>
            <w:tcW w:w="2394" w:type="dxa"/>
          </w:tcPr>
          <w:p w14:paraId="755F3361" w14:textId="77777777" w:rsidR="008F299E" w:rsidRPr="00C12503" w:rsidRDefault="008F299E" w:rsidP="00C12503">
            <w:pPr>
              <w:autoSpaceDE w:val="0"/>
              <w:autoSpaceDN w:val="0"/>
              <w:adjustRightInd w:val="0"/>
              <w:jc w:val="right"/>
              <w:rPr>
                <w:rFonts w:ascii="Arial" w:hAnsi="Arial" w:cs="Arial"/>
                <w:color w:val="auto"/>
              </w:rPr>
            </w:pPr>
            <w:r w:rsidRPr="00C12503">
              <w:rPr>
                <w:rFonts w:ascii="Arial" w:hAnsi="Arial" w:cs="Arial"/>
                <w:color w:val="auto"/>
              </w:rPr>
              <w:t>42,059,036</w:t>
            </w:r>
          </w:p>
        </w:tc>
      </w:tr>
      <w:tr w:rsidR="00C276ED" w:rsidRPr="00C276ED" w14:paraId="2E97F880" w14:textId="77777777" w:rsidTr="008F299E">
        <w:tc>
          <w:tcPr>
            <w:tcW w:w="2394" w:type="dxa"/>
          </w:tcPr>
          <w:p w14:paraId="066D8127" w14:textId="77777777" w:rsidR="008F299E" w:rsidRPr="00C12503" w:rsidRDefault="008F299E" w:rsidP="008F299E">
            <w:pPr>
              <w:autoSpaceDE w:val="0"/>
              <w:autoSpaceDN w:val="0"/>
              <w:adjustRightInd w:val="0"/>
              <w:rPr>
                <w:rFonts w:ascii="Arial" w:hAnsi="Arial" w:cs="Arial"/>
                <w:color w:val="auto"/>
              </w:rPr>
            </w:pPr>
            <w:r w:rsidRPr="00C12503">
              <w:rPr>
                <w:rFonts w:ascii="Arial" w:hAnsi="Arial" w:cs="Arial"/>
                <w:color w:val="auto"/>
              </w:rPr>
              <w:t>2013</w:t>
            </w:r>
          </w:p>
        </w:tc>
        <w:tc>
          <w:tcPr>
            <w:tcW w:w="2394" w:type="dxa"/>
          </w:tcPr>
          <w:p w14:paraId="32005A7C" w14:textId="77777777" w:rsidR="008F299E" w:rsidRPr="00C12503" w:rsidRDefault="008F299E" w:rsidP="00C12503">
            <w:pPr>
              <w:autoSpaceDE w:val="0"/>
              <w:autoSpaceDN w:val="0"/>
              <w:adjustRightInd w:val="0"/>
              <w:jc w:val="right"/>
              <w:rPr>
                <w:rFonts w:ascii="Arial" w:hAnsi="Arial" w:cs="Arial"/>
                <w:color w:val="auto"/>
              </w:rPr>
            </w:pPr>
            <w:r w:rsidRPr="00C12503">
              <w:rPr>
                <w:rFonts w:ascii="Arial" w:hAnsi="Arial" w:cs="Arial"/>
                <w:color w:val="auto"/>
              </w:rPr>
              <w:t>94,336,926</w:t>
            </w:r>
          </w:p>
        </w:tc>
        <w:tc>
          <w:tcPr>
            <w:tcW w:w="2394" w:type="dxa"/>
          </w:tcPr>
          <w:p w14:paraId="529C0C0E" w14:textId="77777777" w:rsidR="008F299E" w:rsidRPr="00C12503" w:rsidRDefault="008F299E" w:rsidP="00C12503">
            <w:pPr>
              <w:autoSpaceDE w:val="0"/>
              <w:autoSpaceDN w:val="0"/>
              <w:adjustRightInd w:val="0"/>
              <w:jc w:val="right"/>
              <w:rPr>
                <w:rFonts w:ascii="Arial" w:hAnsi="Arial" w:cs="Arial"/>
                <w:color w:val="auto"/>
              </w:rPr>
            </w:pPr>
            <w:r w:rsidRPr="00C12503">
              <w:rPr>
                <w:rFonts w:ascii="Arial" w:hAnsi="Arial" w:cs="Arial"/>
                <w:color w:val="auto"/>
              </w:rPr>
              <w:t>52,968,305</w:t>
            </w:r>
          </w:p>
        </w:tc>
        <w:tc>
          <w:tcPr>
            <w:tcW w:w="2394" w:type="dxa"/>
          </w:tcPr>
          <w:p w14:paraId="47875A17" w14:textId="77777777" w:rsidR="008F299E" w:rsidRPr="00C12503" w:rsidRDefault="008F299E" w:rsidP="00C12503">
            <w:pPr>
              <w:autoSpaceDE w:val="0"/>
              <w:autoSpaceDN w:val="0"/>
              <w:adjustRightInd w:val="0"/>
              <w:jc w:val="right"/>
              <w:rPr>
                <w:rFonts w:ascii="Arial" w:hAnsi="Arial" w:cs="Arial"/>
                <w:color w:val="auto"/>
              </w:rPr>
            </w:pPr>
            <w:r w:rsidRPr="00C12503">
              <w:rPr>
                <w:rFonts w:ascii="Arial" w:hAnsi="Arial" w:cs="Arial"/>
                <w:color w:val="auto"/>
              </w:rPr>
              <w:t>41,368,621</w:t>
            </w:r>
          </w:p>
        </w:tc>
      </w:tr>
      <w:tr w:rsidR="00C276ED" w:rsidRPr="00C276ED" w14:paraId="185F2468" w14:textId="77777777" w:rsidTr="008F299E">
        <w:tc>
          <w:tcPr>
            <w:tcW w:w="2394" w:type="dxa"/>
          </w:tcPr>
          <w:p w14:paraId="17251FAB" w14:textId="77777777" w:rsidR="008F299E" w:rsidRPr="00C12503" w:rsidRDefault="008F299E" w:rsidP="008F299E">
            <w:pPr>
              <w:autoSpaceDE w:val="0"/>
              <w:autoSpaceDN w:val="0"/>
              <w:adjustRightInd w:val="0"/>
              <w:rPr>
                <w:rFonts w:ascii="Arial" w:hAnsi="Arial" w:cs="Arial"/>
                <w:color w:val="auto"/>
              </w:rPr>
            </w:pPr>
            <w:r w:rsidRPr="00C12503">
              <w:rPr>
                <w:rFonts w:ascii="Arial" w:hAnsi="Arial" w:cs="Arial"/>
                <w:color w:val="auto"/>
              </w:rPr>
              <w:t>2014</w:t>
            </w:r>
          </w:p>
        </w:tc>
        <w:tc>
          <w:tcPr>
            <w:tcW w:w="2394" w:type="dxa"/>
          </w:tcPr>
          <w:p w14:paraId="063C9C72" w14:textId="77777777" w:rsidR="008F299E" w:rsidRPr="00C12503" w:rsidRDefault="008F299E" w:rsidP="00C12503">
            <w:pPr>
              <w:autoSpaceDE w:val="0"/>
              <w:autoSpaceDN w:val="0"/>
              <w:adjustRightInd w:val="0"/>
              <w:jc w:val="right"/>
              <w:rPr>
                <w:rFonts w:ascii="Arial" w:hAnsi="Arial" w:cs="Arial"/>
                <w:color w:val="auto"/>
              </w:rPr>
            </w:pPr>
            <w:r w:rsidRPr="00C12503">
              <w:rPr>
                <w:rFonts w:ascii="Arial" w:hAnsi="Arial" w:cs="Arial"/>
                <w:color w:val="auto"/>
              </w:rPr>
              <w:t>91,569,922</w:t>
            </w:r>
          </w:p>
        </w:tc>
        <w:tc>
          <w:tcPr>
            <w:tcW w:w="2394" w:type="dxa"/>
          </w:tcPr>
          <w:p w14:paraId="5E4A732A" w14:textId="77777777" w:rsidR="008F299E" w:rsidRPr="00C12503" w:rsidRDefault="008F299E" w:rsidP="00C12503">
            <w:pPr>
              <w:autoSpaceDE w:val="0"/>
              <w:autoSpaceDN w:val="0"/>
              <w:adjustRightInd w:val="0"/>
              <w:jc w:val="right"/>
              <w:rPr>
                <w:rFonts w:ascii="Arial" w:hAnsi="Arial" w:cs="Arial"/>
                <w:color w:val="auto"/>
              </w:rPr>
            </w:pPr>
            <w:r w:rsidRPr="00C12503">
              <w:rPr>
                <w:rFonts w:ascii="Arial" w:hAnsi="Arial" w:cs="Arial"/>
                <w:color w:val="auto"/>
              </w:rPr>
              <w:t>45,956,078</w:t>
            </w:r>
          </w:p>
        </w:tc>
        <w:tc>
          <w:tcPr>
            <w:tcW w:w="2394" w:type="dxa"/>
          </w:tcPr>
          <w:p w14:paraId="69310379" w14:textId="77777777" w:rsidR="008F299E" w:rsidRPr="00C12503" w:rsidRDefault="008F299E" w:rsidP="00C12503">
            <w:pPr>
              <w:autoSpaceDE w:val="0"/>
              <w:autoSpaceDN w:val="0"/>
              <w:adjustRightInd w:val="0"/>
              <w:jc w:val="right"/>
              <w:rPr>
                <w:rFonts w:ascii="Arial" w:hAnsi="Arial" w:cs="Arial"/>
                <w:color w:val="auto"/>
              </w:rPr>
            </w:pPr>
            <w:r w:rsidRPr="00C12503">
              <w:rPr>
                <w:rFonts w:ascii="Arial" w:hAnsi="Arial" w:cs="Arial"/>
                <w:color w:val="auto"/>
              </w:rPr>
              <w:t>45,613,844</w:t>
            </w:r>
          </w:p>
        </w:tc>
      </w:tr>
      <w:tr w:rsidR="00C276ED" w:rsidRPr="00C276ED" w14:paraId="47B596E1" w14:textId="77777777" w:rsidTr="008F299E">
        <w:tc>
          <w:tcPr>
            <w:tcW w:w="2394" w:type="dxa"/>
          </w:tcPr>
          <w:p w14:paraId="15046F65" w14:textId="77777777" w:rsidR="008F299E" w:rsidRPr="00C12503" w:rsidRDefault="008F299E" w:rsidP="008F299E">
            <w:pPr>
              <w:autoSpaceDE w:val="0"/>
              <w:autoSpaceDN w:val="0"/>
              <w:adjustRightInd w:val="0"/>
              <w:rPr>
                <w:rFonts w:ascii="Arial" w:hAnsi="Arial" w:cs="Arial"/>
                <w:color w:val="auto"/>
              </w:rPr>
            </w:pPr>
            <w:r w:rsidRPr="00C12503">
              <w:rPr>
                <w:rFonts w:ascii="Arial" w:hAnsi="Arial" w:cs="Arial"/>
                <w:color w:val="auto"/>
              </w:rPr>
              <w:t>2015</w:t>
            </w:r>
          </w:p>
        </w:tc>
        <w:tc>
          <w:tcPr>
            <w:tcW w:w="2394" w:type="dxa"/>
          </w:tcPr>
          <w:p w14:paraId="66321F59" w14:textId="77777777" w:rsidR="008F299E" w:rsidRPr="00C12503" w:rsidRDefault="008F299E" w:rsidP="00C12503">
            <w:pPr>
              <w:autoSpaceDE w:val="0"/>
              <w:autoSpaceDN w:val="0"/>
              <w:adjustRightInd w:val="0"/>
              <w:jc w:val="right"/>
              <w:rPr>
                <w:rFonts w:ascii="Arial" w:hAnsi="Arial" w:cs="Arial"/>
                <w:color w:val="auto"/>
              </w:rPr>
            </w:pPr>
            <w:r w:rsidRPr="00C12503">
              <w:rPr>
                <w:rFonts w:ascii="Arial" w:hAnsi="Arial" w:cs="Arial"/>
                <w:color w:val="auto"/>
              </w:rPr>
              <w:t>90,932,690</w:t>
            </w:r>
          </w:p>
        </w:tc>
        <w:tc>
          <w:tcPr>
            <w:tcW w:w="2394" w:type="dxa"/>
          </w:tcPr>
          <w:p w14:paraId="2BE9993C" w14:textId="77777777" w:rsidR="008F299E" w:rsidRPr="00C12503" w:rsidRDefault="008F299E" w:rsidP="00C12503">
            <w:pPr>
              <w:autoSpaceDE w:val="0"/>
              <w:autoSpaceDN w:val="0"/>
              <w:adjustRightInd w:val="0"/>
              <w:jc w:val="right"/>
              <w:rPr>
                <w:rFonts w:ascii="Arial" w:hAnsi="Arial" w:cs="Arial"/>
                <w:color w:val="auto"/>
              </w:rPr>
            </w:pPr>
            <w:r w:rsidRPr="00C12503">
              <w:rPr>
                <w:rFonts w:ascii="Arial" w:hAnsi="Arial" w:cs="Arial"/>
                <w:color w:val="auto"/>
              </w:rPr>
              <w:t>52,301,573</w:t>
            </w:r>
          </w:p>
        </w:tc>
        <w:tc>
          <w:tcPr>
            <w:tcW w:w="2394" w:type="dxa"/>
          </w:tcPr>
          <w:p w14:paraId="3BA86EF6" w14:textId="77777777" w:rsidR="008F299E" w:rsidRPr="00C12503" w:rsidRDefault="008F299E" w:rsidP="00C12503">
            <w:pPr>
              <w:autoSpaceDE w:val="0"/>
              <w:autoSpaceDN w:val="0"/>
              <w:adjustRightInd w:val="0"/>
              <w:jc w:val="right"/>
              <w:rPr>
                <w:rFonts w:ascii="Arial" w:hAnsi="Arial" w:cs="Arial"/>
                <w:color w:val="auto"/>
              </w:rPr>
            </w:pPr>
            <w:r w:rsidRPr="00C12503">
              <w:rPr>
                <w:rFonts w:ascii="Arial" w:hAnsi="Arial" w:cs="Arial"/>
                <w:color w:val="auto"/>
              </w:rPr>
              <w:t>38,631,117</w:t>
            </w:r>
          </w:p>
        </w:tc>
      </w:tr>
      <w:tr w:rsidR="00C276ED" w:rsidRPr="00C276ED" w14:paraId="13BC58F4" w14:textId="77777777" w:rsidTr="008F299E">
        <w:tc>
          <w:tcPr>
            <w:tcW w:w="2394" w:type="dxa"/>
          </w:tcPr>
          <w:p w14:paraId="1C6A0278" w14:textId="6035512C" w:rsidR="008F299E" w:rsidRPr="00C12503" w:rsidRDefault="008F299E" w:rsidP="001669D6">
            <w:pPr>
              <w:autoSpaceDE w:val="0"/>
              <w:autoSpaceDN w:val="0"/>
              <w:adjustRightInd w:val="0"/>
              <w:rPr>
                <w:rFonts w:ascii="Arial" w:hAnsi="Arial" w:cs="Arial"/>
                <w:color w:val="auto"/>
              </w:rPr>
            </w:pPr>
            <w:r w:rsidRPr="00C12503">
              <w:rPr>
                <w:rFonts w:ascii="Arial" w:hAnsi="Arial" w:cs="Arial"/>
                <w:color w:val="auto"/>
              </w:rPr>
              <w:t>2016 (projected</w:t>
            </w:r>
            <w:r w:rsidR="001669D6" w:rsidRPr="00C12503">
              <w:rPr>
                <w:rFonts w:ascii="Arial" w:hAnsi="Arial" w:cs="Arial"/>
                <w:color w:val="auto"/>
              </w:rPr>
              <w:t>)</w:t>
            </w:r>
          </w:p>
        </w:tc>
        <w:tc>
          <w:tcPr>
            <w:tcW w:w="2394" w:type="dxa"/>
          </w:tcPr>
          <w:p w14:paraId="29ED6912" w14:textId="2E40E190" w:rsidR="008F299E" w:rsidRPr="00C12503" w:rsidRDefault="00B4404B" w:rsidP="00C12503">
            <w:pPr>
              <w:autoSpaceDE w:val="0"/>
              <w:autoSpaceDN w:val="0"/>
              <w:adjustRightInd w:val="0"/>
              <w:jc w:val="right"/>
              <w:rPr>
                <w:rFonts w:ascii="Arial" w:hAnsi="Arial" w:cs="Arial"/>
                <w:color w:val="auto"/>
              </w:rPr>
            </w:pPr>
            <w:r w:rsidRPr="00C12503">
              <w:rPr>
                <w:rFonts w:ascii="Arial" w:hAnsi="Arial" w:cs="Arial"/>
                <w:color w:val="auto"/>
              </w:rPr>
              <w:t>92,069,349</w:t>
            </w:r>
            <w:r w:rsidR="008F299E" w:rsidRPr="00C12503">
              <w:rPr>
                <w:rFonts w:ascii="Arial" w:hAnsi="Arial" w:cs="Arial"/>
                <w:color w:val="auto"/>
              </w:rPr>
              <w:t xml:space="preserve"> (1.</w:t>
            </w:r>
            <w:r w:rsidRPr="00C12503">
              <w:rPr>
                <w:rFonts w:ascii="Arial" w:hAnsi="Arial" w:cs="Arial"/>
                <w:color w:val="auto"/>
              </w:rPr>
              <w:t>25</w:t>
            </w:r>
            <w:r w:rsidR="008F299E" w:rsidRPr="00C12503">
              <w:rPr>
                <w:rFonts w:ascii="Arial" w:hAnsi="Arial" w:cs="Arial"/>
                <w:color w:val="auto"/>
              </w:rPr>
              <w:t>% projected growth from 2015)</w:t>
            </w:r>
          </w:p>
        </w:tc>
        <w:tc>
          <w:tcPr>
            <w:tcW w:w="2394" w:type="dxa"/>
          </w:tcPr>
          <w:p w14:paraId="13E4A937" w14:textId="77777777" w:rsidR="008F299E" w:rsidRPr="00C12503" w:rsidRDefault="008F299E" w:rsidP="00C12503">
            <w:pPr>
              <w:autoSpaceDE w:val="0"/>
              <w:autoSpaceDN w:val="0"/>
              <w:adjustRightInd w:val="0"/>
              <w:jc w:val="right"/>
              <w:rPr>
                <w:rFonts w:ascii="Arial" w:hAnsi="Arial" w:cs="Arial"/>
                <w:color w:val="auto"/>
              </w:rPr>
            </w:pPr>
            <w:r w:rsidRPr="00C12503">
              <w:rPr>
                <w:rFonts w:ascii="Arial" w:hAnsi="Arial" w:cs="Arial"/>
                <w:color w:val="auto"/>
              </w:rPr>
              <w:t>50,408,652 (average from 2013-2015)</w:t>
            </w:r>
          </w:p>
        </w:tc>
        <w:tc>
          <w:tcPr>
            <w:tcW w:w="2394" w:type="dxa"/>
          </w:tcPr>
          <w:p w14:paraId="463C5602" w14:textId="0A1A0B16" w:rsidR="008F299E" w:rsidRPr="00C12503" w:rsidRDefault="00B4404B" w:rsidP="00C12503">
            <w:pPr>
              <w:autoSpaceDE w:val="0"/>
              <w:autoSpaceDN w:val="0"/>
              <w:adjustRightInd w:val="0"/>
              <w:jc w:val="right"/>
              <w:rPr>
                <w:rFonts w:ascii="Arial" w:hAnsi="Arial" w:cs="Arial"/>
                <w:color w:val="auto"/>
              </w:rPr>
            </w:pPr>
            <w:r w:rsidRPr="00C12503">
              <w:rPr>
                <w:rFonts w:ascii="Arial" w:hAnsi="Arial" w:cs="Arial"/>
                <w:color w:val="auto"/>
              </w:rPr>
              <w:t>41,660,697</w:t>
            </w:r>
          </w:p>
        </w:tc>
      </w:tr>
      <w:tr w:rsidR="00C276ED" w:rsidRPr="00C276ED" w14:paraId="524308BE" w14:textId="77777777" w:rsidTr="008F299E">
        <w:tc>
          <w:tcPr>
            <w:tcW w:w="2394" w:type="dxa"/>
          </w:tcPr>
          <w:p w14:paraId="3BAD5465" w14:textId="77777777" w:rsidR="008F299E" w:rsidRPr="00C12503" w:rsidRDefault="008F299E" w:rsidP="008F299E">
            <w:pPr>
              <w:autoSpaceDE w:val="0"/>
              <w:autoSpaceDN w:val="0"/>
              <w:adjustRightInd w:val="0"/>
              <w:rPr>
                <w:rFonts w:ascii="Arial" w:hAnsi="Arial" w:cs="Arial"/>
                <w:color w:val="auto"/>
              </w:rPr>
            </w:pPr>
            <w:r w:rsidRPr="00C12503">
              <w:rPr>
                <w:rFonts w:ascii="Arial" w:hAnsi="Arial" w:cs="Arial"/>
                <w:color w:val="auto"/>
              </w:rPr>
              <w:t>2012-2016 Average</w:t>
            </w:r>
          </w:p>
        </w:tc>
        <w:tc>
          <w:tcPr>
            <w:tcW w:w="2394" w:type="dxa"/>
          </w:tcPr>
          <w:p w14:paraId="038B72AC" w14:textId="77777777" w:rsidR="008F299E" w:rsidRPr="00C12503" w:rsidRDefault="008F299E" w:rsidP="00C12503">
            <w:pPr>
              <w:autoSpaceDE w:val="0"/>
              <w:autoSpaceDN w:val="0"/>
              <w:adjustRightInd w:val="0"/>
              <w:jc w:val="right"/>
              <w:rPr>
                <w:rFonts w:ascii="Arial" w:hAnsi="Arial" w:cs="Arial"/>
                <w:color w:val="auto"/>
              </w:rPr>
            </w:pPr>
            <w:r w:rsidRPr="00C12503">
              <w:rPr>
                <w:rFonts w:ascii="Arial" w:hAnsi="Arial" w:cs="Arial"/>
                <w:color w:val="auto"/>
              </w:rPr>
              <w:t>89,786,383</w:t>
            </w:r>
          </w:p>
        </w:tc>
        <w:tc>
          <w:tcPr>
            <w:tcW w:w="2394" w:type="dxa"/>
          </w:tcPr>
          <w:p w14:paraId="17BAEB02" w14:textId="77777777" w:rsidR="008F299E" w:rsidRPr="00C12503" w:rsidRDefault="008F299E" w:rsidP="00C12503">
            <w:pPr>
              <w:autoSpaceDE w:val="0"/>
              <w:autoSpaceDN w:val="0"/>
              <w:adjustRightInd w:val="0"/>
              <w:jc w:val="right"/>
              <w:rPr>
                <w:rFonts w:ascii="Arial" w:hAnsi="Arial" w:cs="Arial"/>
                <w:color w:val="auto"/>
              </w:rPr>
            </w:pPr>
            <w:r w:rsidRPr="00C12503">
              <w:rPr>
                <w:rFonts w:ascii="Arial" w:hAnsi="Arial" w:cs="Arial"/>
                <w:color w:val="auto"/>
              </w:rPr>
              <w:t>47,928,814</w:t>
            </w:r>
          </w:p>
        </w:tc>
        <w:tc>
          <w:tcPr>
            <w:tcW w:w="2394" w:type="dxa"/>
          </w:tcPr>
          <w:p w14:paraId="78D659E1" w14:textId="24280031" w:rsidR="008F299E" w:rsidRPr="00C12503" w:rsidRDefault="00782CEB" w:rsidP="00C12503">
            <w:pPr>
              <w:autoSpaceDE w:val="0"/>
              <w:autoSpaceDN w:val="0"/>
              <w:adjustRightInd w:val="0"/>
              <w:jc w:val="right"/>
              <w:rPr>
                <w:rFonts w:ascii="Arial" w:hAnsi="Arial" w:cs="Arial"/>
                <w:color w:val="auto"/>
              </w:rPr>
            </w:pPr>
            <w:r w:rsidRPr="00C12503">
              <w:rPr>
                <w:rFonts w:ascii="Arial" w:hAnsi="Arial" w:cs="Arial"/>
                <w:color w:val="auto"/>
              </w:rPr>
              <w:t>41,866,663</w:t>
            </w:r>
          </w:p>
        </w:tc>
      </w:tr>
    </w:tbl>
    <w:p w14:paraId="0027BB39" w14:textId="71B31610" w:rsidR="004C67BC" w:rsidRPr="00C276ED" w:rsidRDefault="008F299E" w:rsidP="00504BE3">
      <w:pPr>
        <w:pStyle w:val="NoSpacing"/>
        <w:ind w:left="1170"/>
        <w:jc w:val="both"/>
        <w:rPr>
          <w:rFonts w:ascii="Arial" w:hAnsi="Arial" w:cs="Arial"/>
          <w:sz w:val="24"/>
          <w:szCs w:val="24"/>
        </w:rPr>
      </w:pPr>
      <w:r w:rsidRPr="00C276ED">
        <w:rPr>
          <w:rFonts w:ascii="Arial" w:hAnsi="Arial" w:cs="Arial"/>
          <w:sz w:val="24"/>
          <w:szCs w:val="24"/>
        </w:rPr>
        <w:br/>
      </w:r>
      <w:r w:rsidR="004C67BC" w:rsidRPr="00C276ED">
        <w:rPr>
          <w:rFonts w:ascii="Arial" w:hAnsi="Arial" w:cs="Arial"/>
          <w:sz w:val="24"/>
          <w:szCs w:val="24"/>
        </w:rPr>
        <w:t>Next, Cascade estimated the CO</w:t>
      </w:r>
      <w:r w:rsidR="004C67BC" w:rsidRPr="00C276ED">
        <w:rPr>
          <w:rFonts w:ascii="Arial" w:hAnsi="Arial" w:cs="Arial"/>
          <w:sz w:val="24"/>
          <w:szCs w:val="24"/>
          <w:vertAlign w:val="subscript"/>
        </w:rPr>
        <w:t>2</w:t>
      </w:r>
      <w:r w:rsidR="004C67BC" w:rsidRPr="00C276ED">
        <w:rPr>
          <w:rFonts w:ascii="Arial" w:hAnsi="Arial" w:cs="Arial"/>
          <w:sz w:val="24"/>
          <w:szCs w:val="24"/>
        </w:rPr>
        <w:t xml:space="preserve"> emissions resulting from Cascade’s delivery of gas to customers that would not be considered covered parties themselves and includes that data in Table </w:t>
      </w:r>
      <w:r w:rsidR="009D3E58">
        <w:rPr>
          <w:rFonts w:ascii="Arial" w:hAnsi="Arial" w:cs="Arial"/>
          <w:sz w:val="24"/>
          <w:szCs w:val="24"/>
        </w:rPr>
        <w:t>5-</w:t>
      </w:r>
      <w:r w:rsidR="00504BE3">
        <w:rPr>
          <w:rFonts w:ascii="Arial" w:hAnsi="Arial" w:cs="Arial"/>
          <w:sz w:val="24"/>
          <w:szCs w:val="24"/>
        </w:rPr>
        <w:t>2</w:t>
      </w:r>
      <w:r w:rsidR="004C67BC" w:rsidRPr="00C276ED">
        <w:rPr>
          <w:rFonts w:ascii="Arial" w:hAnsi="Arial" w:cs="Arial"/>
          <w:sz w:val="24"/>
          <w:szCs w:val="24"/>
        </w:rPr>
        <w:t>.  Ecology states in the rule that a baseline GHG emissions value will be calculated in metric tons (MT) of CO</w:t>
      </w:r>
      <w:r w:rsidR="004C67BC" w:rsidRPr="00C276ED">
        <w:rPr>
          <w:rFonts w:ascii="Arial" w:hAnsi="Arial" w:cs="Arial"/>
          <w:sz w:val="24"/>
          <w:szCs w:val="24"/>
          <w:vertAlign w:val="subscript"/>
        </w:rPr>
        <w:t>2</w:t>
      </w:r>
      <w:r w:rsidR="004C67BC" w:rsidRPr="00C276ED">
        <w:rPr>
          <w:rFonts w:ascii="Arial" w:hAnsi="Arial" w:cs="Arial"/>
          <w:sz w:val="24"/>
          <w:szCs w:val="24"/>
        </w:rPr>
        <w:t xml:space="preserve"> equivalent (CO</w:t>
      </w:r>
      <w:r w:rsidR="004C67BC" w:rsidRPr="00C276ED">
        <w:rPr>
          <w:rFonts w:ascii="Arial" w:hAnsi="Arial" w:cs="Arial"/>
          <w:sz w:val="24"/>
          <w:szCs w:val="24"/>
          <w:vertAlign w:val="subscript"/>
        </w:rPr>
        <w:t>2</w:t>
      </w:r>
      <w:r w:rsidR="004C67BC" w:rsidRPr="00C276ED">
        <w:rPr>
          <w:rFonts w:ascii="Arial" w:hAnsi="Arial" w:cs="Arial"/>
          <w:sz w:val="24"/>
          <w:szCs w:val="24"/>
        </w:rPr>
        <w:t>e).  Further discussion will be planned with Ecology at a future date on whether the CO</w:t>
      </w:r>
      <w:r w:rsidR="004C67BC" w:rsidRPr="00C276ED">
        <w:rPr>
          <w:rFonts w:ascii="Arial" w:hAnsi="Arial" w:cs="Arial"/>
          <w:sz w:val="24"/>
          <w:szCs w:val="24"/>
          <w:vertAlign w:val="subscript"/>
        </w:rPr>
        <w:t>2</w:t>
      </w:r>
      <w:r w:rsidR="004C67BC" w:rsidRPr="00C276ED">
        <w:rPr>
          <w:rFonts w:ascii="Arial" w:hAnsi="Arial" w:cs="Arial"/>
          <w:sz w:val="24"/>
          <w:szCs w:val="24"/>
        </w:rPr>
        <w:t xml:space="preserve"> emissions under 40 CFR 98 Subpart NN are different than what Ecology considers for CO</w:t>
      </w:r>
      <w:r w:rsidR="004C67BC" w:rsidRPr="00C276ED">
        <w:rPr>
          <w:rFonts w:ascii="Arial" w:hAnsi="Arial" w:cs="Arial"/>
          <w:sz w:val="24"/>
          <w:szCs w:val="24"/>
          <w:vertAlign w:val="subscript"/>
        </w:rPr>
        <w:t>2</w:t>
      </w:r>
      <w:r w:rsidR="004C67BC" w:rsidRPr="00C276ED">
        <w:rPr>
          <w:rFonts w:ascii="Arial" w:hAnsi="Arial" w:cs="Arial"/>
          <w:sz w:val="24"/>
          <w:szCs w:val="24"/>
        </w:rPr>
        <w:t>e emissions in this section of the rule for natural gas distribution companies.  At this time Cascade is using CO</w:t>
      </w:r>
      <w:r w:rsidR="004C67BC" w:rsidRPr="00C276ED">
        <w:rPr>
          <w:rFonts w:ascii="Arial" w:hAnsi="Arial" w:cs="Arial"/>
          <w:sz w:val="24"/>
          <w:szCs w:val="24"/>
          <w:vertAlign w:val="subscript"/>
        </w:rPr>
        <w:t>2</w:t>
      </w:r>
      <w:r w:rsidR="004C67BC" w:rsidRPr="00C276ED">
        <w:rPr>
          <w:rFonts w:ascii="Arial" w:hAnsi="Arial" w:cs="Arial"/>
          <w:sz w:val="24"/>
          <w:szCs w:val="24"/>
        </w:rPr>
        <w:t xml:space="preserve"> as calculated under Subpart NN for estimating CO</w:t>
      </w:r>
      <w:r w:rsidR="004C67BC" w:rsidRPr="007F20AF">
        <w:rPr>
          <w:rFonts w:ascii="Arial" w:hAnsi="Arial" w:cs="Arial"/>
          <w:sz w:val="24"/>
          <w:szCs w:val="24"/>
          <w:vertAlign w:val="subscript"/>
        </w:rPr>
        <w:t>2</w:t>
      </w:r>
      <w:r w:rsidR="004C67BC" w:rsidRPr="00C276ED">
        <w:rPr>
          <w:rFonts w:ascii="Arial" w:hAnsi="Arial" w:cs="Arial"/>
          <w:sz w:val="24"/>
          <w:szCs w:val="24"/>
        </w:rPr>
        <w:t>/CO</w:t>
      </w:r>
      <w:r w:rsidR="004C67BC" w:rsidRPr="007F20AF">
        <w:rPr>
          <w:rFonts w:ascii="Arial" w:hAnsi="Arial" w:cs="Arial"/>
          <w:sz w:val="24"/>
          <w:szCs w:val="24"/>
          <w:vertAlign w:val="subscript"/>
        </w:rPr>
        <w:t>2</w:t>
      </w:r>
      <w:r w:rsidR="004C67BC" w:rsidRPr="00C276ED">
        <w:rPr>
          <w:rFonts w:ascii="Arial" w:hAnsi="Arial" w:cs="Arial"/>
          <w:sz w:val="24"/>
          <w:szCs w:val="24"/>
        </w:rPr>
        <w:t xml:space="preserve">e per WAC 173-442-020(j)(iii).  </w:t>
      </w:r>
    </w:p>
    <w:p w14:paraId="0F4618CE" w14:textId="77777777" w:rsidR="004C67BC" w:rsidRPr="00C276ED" w:rsidRDefault="004C67BC" w:rsidP="00504BE3">
      <w:pPr>
        <w:pStyle w:val="NoSpacing"/>
        <w:ind w:left="1170"/>
        <w:jc w:val="both"/>
        <w:rPr>
          <w:rFonts w:ascii="Arial" w:hAnsi="Arial" w:cs="Arial"/>
          <w:sz w:val="24"/>
          <w:szCs w:val="24"/>
        </w:rPr>
      </w:pPr>
    </w:p>
    <w:p w14:paraId="092DAD58" w14:textId="2D9C304B" w:rsidR="00CD1136" w:rsidRPr="00C276ED" w:rsidRDefault="004C67BC" w:rsidP="00504BE3">
      <w:pPr>
        <w:pStyle w:val="NoSpacing"/>
        <w:ind w:left="1170"/>
        <w:jc w:val="both"/>
        <w:rPr>
          <w:rFonts w:ascii="Arial" w:hAnsi="Arial" w:cs="Arial"/>
          <w:sz w:val="24"/>
          <w:szCs w:val="24"/>
        </w:rPr>
      </w:pPr>
      <w:r w:rsidRPr="00C276ED">
        <w:rPr>
          <w:rFonts w:ascii="Arial" w:hAnsi="Arial" w:cs="Arial"/>
          <w:sz w:val="24"/>
          <w:szCs w:val="24"/>
        </w:rPr>
        <w:t xml:space="preserve">According to Table </w:t>
      </w:r>
      <w:r w:rsidR="00504BE3">
        <w:rPr>
          <w:rFonts w:ascii="Arial" w:hAnsi="Arial" w:cs="Arial"/>
          <w:sz w:val="24"/>
          <w:szCs w:val="24"/>
        </w:rPr>
        <w:t>5-</w:t>
      </w:r>
      <w:r w:rsidRPr="00C276ED">
        <w:rPr>
          <w:rFonts w:ascii="Arial" w:hAnsi="Arial" w:cs="Arial"/>
          <w:sz w:val="24"/>
          <w:szCs w:val="24"/>
        </w:rPr>
        <w:t>2, CO</w:t>
      </w:r>
      <w:r w:rsidRPr="00C276ED">
        <w:rPr>
          <w:rFonts w:ascii="Arial" w:hAnsi="Arial" w:cs="Arial"/>
          <w:sz w:val="24"/>
          <w:szCs w:val="24"/>
          <w:vertAlign w:val="subscript"/>
        </w:rPr>
        <w:t>2</w:t>
      </w:r>
      <w:r w:rsidRPr="00C276ED">
        <w:rPr>
          <w:rFonts w:ascii="Arial" w:hAnsi="Arial" w:cs="Arial"/>
          <w:sz w:val="24"/>
          <w:szCs w:val="24"/>
        </w:rPr>
        <w:t xml:space="preserve"> emissions from natural gas delivery to customers are greater than 70,000 MT per year and, thus, Cascade is considered a Category 1 covered party per WAC 173-442-50(1)(a).  For Category 1 covered parties, a baseline GHG emissions value is determined according to WAC 173-442-050(2</w:t>
      </w:r>
      <w:proofErr w:type="gramStart"/>
      <w:r w:rsidRPr="00C276ED">
        <w:rPr>
          <w:rFonts w:ascii="Arial" w:hAnsi="Arial" w:cs="Arial"/>
          <w:sz w:val="24"/>
          <w:szCs w:val="24"/>
        </w:rPr>
        <w:t>)(</w:t>
      </w:r>
      <w:proofErr w:type="gramEnd"/>
      <w:r w:rsidRPr="00C276ED">
        <w:rPr>
          <w:rFonts w:ascii="Arial" w:hAnsi="Arial" w:cs="Arial"/>
          <w:sz w:val="24"/>
          <w:szCs w:val="24"/>
        </w:rPr>
        <w:t>a) and (3).  From these requirements Cascade projects its approximate baseline emission value would be equivalent to the 2012 to 2016 average annual emissions from delivery of natural gas to customers that are not themselves covered parties under CAR.  This value is estimated at approximately 2,277,</w:t>
      </w:r>
      <w:r w:rsidR="00D96673">
        <w:rPr>
          <w:rFonts w:ascii="Arial" w:hAnsi="Arial" w:cs="Arial"/>
          <w:sz w:val="24"/>
          <w:szCs w:val="24"/>
        </w:rPr>
        <w:t>546</w:t>
      </w:r>
      <w:r w:rsidR="00D96673" w:rsidRPr="00C276ED">
        <w:rPr>
          <w:rFonts w:ascii="Arial" w:hAnsi="Arial" w:cs="Arial"/>
          <w:sz w:val="24"/>
          <w:szCs w:val="24"/>
        </w:rPr>
        <w:t xml:space="preserve"> </w:t>
      </w:r>
      <w:r w:rsidRPr="00C276ED">
        <w:rPr>
          <w:rFonts w:ascii="Arial" w:hAnsi="Arial" w:cs="Arial"/>
          <w:sz w:val="24"/>
          <w:szCs w:val="24"/>
        </w:rPr>
        <w:t>MT per year of CO</w:t>
      </w:r>
      <w:r w:rsidRPr="00C276ED">
        <w:rPr>
          <w:rFonts w:ascii="Arial" w:hAnsi="Arial" w:cs="Arial"/>
          <w:sz w:val="24"/>
          <w:szCs w:val="24"/>
          <w:vertAlign w:val="subscript"/>
        </w:rPr>
        <w:t>2</w:t>
      </w:r>
      <w:r w:rsidRPr="00C276ED">
        <w:rPr>
          <w:rFonts w:ascii="Arial" w:hAnsi="Arial" w:cs="Arial"/>
          <w:sz w:val="24"/>
          <w:szCs w:val="24"/>
        </w:rPr>
        <w:t xml:space="preserve">.  Cascade must submit emission calculations for 2012 to 2016 to Ecology as required by March </w:t>
      </w:r>
      <w:r w:rsidRPr="00C276ED">
        <w:rPr>
          <w:rFonts w:ascii="Arial" w:hAnsi="Arial" w:cs="Arial"/>
          <w:sz w:val="24"/>
          <w:szCs w:val="24"/>
        </w:rPr>
        <w:lastRenderedPageBreak/>
        <w:t xml:space="preserve">31, 2017 and will contact Ecology to discuss emission calculations before submitting.  Ecology must then establish a final baseline emissions value for Cascade through a regulatory order by January 30, 2018. </w:t>
      </w:r>
    </w:p>
    <w:p w14:paraId="7D7F46BF" w14:textId="4792CFF3" w:rsidR="008F299E" w:rsidRPr="00C276ED" w:rsidRDefault="00CD1136" w:rsidP="00CD1136">
      <w:pPr>
        <w:autoSpaceDE w:val="0"/>
        <w:autoSpaceDN w:val="0"/>
        <w:adjustRightInd w:val="0"/>
        <w:spacing w:after="0" w:line="240" w:lineRule="auto"/>
        <w:jc w:val="center"/>
        <w:rPr>
          <w:rFonts w:ascii="Arial" w:hAnsi="Arial" w:cs="Arial"/>
          <w:color w:val="auto"/>
          <w:sz w:val="24"/>
          <w:szCs w:val="24"/>
        </w:rPr>
      </w:pPr>
      <w:r w:rsidRPr="00F14079">
        <w:rPr>
          <w:rFonts w:ascii="Arial" w:hAnsi="Arial" w:cs="Arial"/>
          <w:b/>
          <w:color w:val="auto"/>
          <w:sz w:val="16"/>
          <w:szCs w:val="24"/>
        </w:rPr>
        <w:t xml:space="preserve">Table </w:t>
      </w:r>
      <w:r w:rsidR="009D3E58" w:rsidRPr="00F14079">
        <w:rPr>
          <w:rFonts w:ascii="Arial" w:hAnsi="Arial" w:cs="Arial"/>
          <w:b/>
          <w:color w:val="auto"/>
          <w:sz w:val="16"/>
          <w:szCs w:val="24"/>
        </w:rPr>
        <w:t>5-</w:t>
      </w:r>
      <w:r w:rsidRPr="00F14079">
        <w:rPr>
          <w:rFonts w:ascii="Arial" w:hAnsi="Arial" w:cs="Arial"/>
          <w:b/>
          <w:color w:val="auto"/>
          <w:sz w:val="16"/>
          <w:szCs w:val="24"/>
        </w:rPr>
        <w:t>2</w:t>
      </w:r>
      <w:r w:rsidR="009D3E58" w:rsidRPr="00F14079">
        <w:rPr>
          <w:rFonts w:ascii="Arial" w:hAnsi="Arial" w:cs="Arial"/>
          <w:b/>
          <w:color w:val="auto"/>
          <w:sz w:val="16"/>
          <w:szCs w:val="24"/>
        </w:rPr>
        <w:t xml:space="preserve">: </w:t>
      </w:r>
      <w:r w:rsidRPr="00F14079">
        <w:rPr>
          <w:rFonts w:ascii="Arial" w:hAnsi="Arial" w:cs="Arial"/>
          <w:b/>
          <w:color w:val="auto"/>
          <w:sz w:val="16"/>
          <w:szCs w:val="24"/>
        </w:rPr>
        <w:t xml:space="preserve">Estimated Baseline </w:t>
      </w:r>
      <w:r w:rsidR="00022634" w:rsidRPr="00F14079">
        <w:rPr>
          <w:rFonts w:ascii="Arial" w:hAnsi="Arial" w:cs="Arial"/>
          <w:b/>
          <w:color w:val="auto"/>
          <w:sz w:val="16"/>
          <w:szCs w:val="24"/>
        </w:rPr>
        <w:t xml:space="preserve">GHG </w:t>
      </w:r>
      <w:r w:rsidRPr="00F14079">
        <w:rPr>
          <w:rFonts w:ascii="Arial" w:hAnsi="Arial" w:cs="Arial"/>
          <w:b/>
          <w:color w:val="auto"/>
          <w:sz w:val="16"/>
          <w:szCs w:val="24"/>
        </w:rPr>
        <w:t xml:space="preserve">Emissions Value for </w:t>
      </w:r>
      <w:r w:rsidR="00F14079">
        <w:rPr>
          <w:rFonts w:ascii="Arial" w:hAnsi="Arial" w:cs="Arial"/>
          <w:b/>
          <w:color w:val="auto"/>
          <w:sz w:val="16"/>
          <w:szCs w:val="24"/>
        </w:rPr>
        <w:t xml:space="preserve">Cascade </w:t>
      </w:r>
      <w:r w:rsidRPr="00F14079">
        <w:rPr>
          <w:rFonts w:ascii="Arial" w:hAnsi="Arial" w:cs="Arial"/>
          <w:b/>
          <w:color w:val="auto"/>
          <w:sz w:val="16"/>
          <w:szCs w:val="24"/>
        </w:rPr>
        <w:br/>
      </w:r>
      <w:r w:rsidRPr="00F14079">
        <w:rPr>
          <w:rFonts w:ascii="Arial" w:hAnsi="Arial" w:cs="Arial"/>
          <w:color w:val="auto"/>
          <w:sz w:val="16"/>
          <w:szCs w:val="24"/>
        </w:rPr>
        <w:t>(pending consultation with Ecology in 2017)</w:t>
      </w:r>
      <w:r w:rsidR="008F299E" w:rsidRPr="00F14079">
        <w:rPr>
          <w:rFonts w:ascii="Arial" w:hAnsi="Arial" w:cs="Arial"/>
          <w:color w:val="auto"/>
          <w:sz w:val="16"/>
          <w:szCs w:val="24"/>
        </w:rPr>
        <w:t xml:space="preserve"> </w:t>
      </w:r>
    </w:p>
    <w:tbl>
      <w:tblPr>
        <w:tblStyle w:val="TableGrid"/>
        <w:tblpPr w:leftFromText="180" w:rightFromText="180" w:vertAnchor="text" w:horzAnchor="page" w:tblpX="2665" w:tblpY="202"/>
        <w:tblW w:w="0" w:type="auto"/>
        <w:tblLook w:val="04A0" w:firstRow="1" w:lastRow="0" w:firstColumn="1" w:lastColumn="0" w:noHBand="0" w:noVBand="1"/>
      </w:tblPr>
      <w:tblGrid>
        <w:gridCol w:w="2394"/>
        <w:gridCol w:w="2394"/>
        <w:gridCol w:w="2394"/>
      </w:tblGrid>
      <w:tr w:rsidR="00C276ED" w:rsidRPr="00C276ED" w14:paraId="43ED11E9" w14:textId="77777777" w:rsidTr="00C12503">
        <w:tc>
          <w:tcPr>
            <w:tcW w:w="2394" w:type="dxa"/>
            <w:shd w:val="clear" w:color="auto" w:fill="D6ECFF" w:themeFill="background2"/>
          </w:tcPr>
          <w:p w14:paraId="16CA1503" w14:textId="77777777" w:rsidR="008F299E" w:rsidRPr="00C12503" w:rsidRDefault="008F299E" w:rsidP="008F299E">
            <w:pPr>
              <w:autoSpaceDE w:val="0"/>
              <w:autoSpaceDN w:val="0"/>
              <w:adjustRightInd w:val="0"/>
              <w:rPr>
                <w:rFonts w:ascii="Arial" w:hAnsi="Arial" w:cs="Arial"/>
                <w:color w:val="auto"/>
              </w:rPr>
            </w:pPr>
            <w:r w:rsidRPr="00C12503">
              <w:rPr>
                <w:rFonts w:ascii="Arial" w:hAnsi="Arial" w:cs="Arial"/>
                <w:color w:val="auto"/>
              </w:rPr>
              <w:t>Year</w:t>
            </w:r>
          </w:p>
        </w:tc>
        <w:tc>
          <w:tcPr>
            <w:tcW w:w="2394" w:type="dxa"/>
            <w:shd w:val="clear" w:color="auto" w:fill="D6ECFF" w:themeFill="background2"/>
          </w:tcPr>
          <w:p w14:paraId="6194BEDF" w14:textId="27703FA0" w:rsidR="008F299E" w:rsidRPr="00C12503" w:rsidRDefault="008F299E" w:rsidP="00C12503">
            <w:pPr>
              <w:autoSpaceDE w:val="0"/>
              <w:autoSpaceDN w:val="0"/>
              <w:adjustRightInd w:val="0"/>
              <w:jc w:val="center"/>
              <w:rPr>
                <w:rFonts w:ascii="Arial" w:hAnsi="Arial" w:cs="Arial"/>
                <w:color w:val="auto"/>
              </w:rPr>
            </w:pPr>
            <w:r w:rsidRPr="00C12503">
              <w:rPr>
                <w:rFonts w:ascii="Arial" w:hAnsi="Arial" w:cs="Arial"/>
                <w:color w:val="auto"/>
              </w:rPr>
              <w:t>Approximate Gas Delivered to Customers to Establish Cascade’s Baseline (</w:t>
            </w:r>
            <w:proofErr w:type="spellStart"/>
            <w:r w:rsidRPr="00C12503">
              <w:rPr>
                <w:rFonts w:ascii="Arial" w:hAnsi="Arial" w:cs="Arial"/>
                <w:color w:val="auto"/>
              </w:rPr>
              <w:t>Mscf</w:t>
            </w:r>
            <w:proofErr w:type="spellEnd"/>
            <w:r w:rsidRPr="00C12503">
              <w:rPr>
                <w:rFonts w:ascii="Arial" w:hAnsi="Arial" w:cs="Arial"/>
                <w:color w:val="auto"/>
              </w:rPr>
              <w:t>)</w:t>
            </w:r>
          </w:p>
        </w:tc>
        <w:tc>
          <w:tcPr>
            <w:tcW w:w="2394" w:type="dxa"/>
            <w:shd w:val="clear" w:color="auto" w:fill="D6ECFF" w:themeFill="background2"/>
          </w:tcPr>
          <w:p w14:paraId="226B665A" w14:textId="23F9B90B" w:rsidR="008F299E" w:rsidRPr="00C12503" w:rsidRDefault="008F299E" w:rsidP="00C12503">
            <w:pPr>
              <w:autoSpaceDE w:val="0"/>
              <w:autoSpaceDN w:val="0"/>
              <w:adjustRightInd w:val="0"/>
              <w:jc w:val="center"/>
              <w:rPr>
                <w:rFonts w:ascii="Arial" w:hAnsi="Arial" w:cs="Arial"/>
                <w:color w:val="auto"/>
              </w:rPr>
            </w:pPr>
            <w:r w:rsidRPr="00C12503">
              <w:rPr>
                <w:rFonts w:ascii="Arial" w:hAnsi="Arial" w:cs="Arial"/>
                <w:color w:val="auto"/>
              </w:rPr>
              <w:t xml:space="preserve">Annual Emissions, (MT </w:t>
            </w:r>
            <w:r w:rsidR="005C17C3" w:rsidRPr="00C12503">
              <w:rPr>
                <w:rFonts w:ascii="Arial" w:hAnsi="Arial" w:cs="Arial"/>
                <w:color w:val="auto"/>
              </w:rPr>
              <w:t xml:space="preserve">of </w:t>
            </w:r>
            <w:r w:rsidRPr="00C12503">
              <w:rPr>
                <w:rFonts w:ascii="Arial" w:hAnsi="Arial" w:cs="Arial"/>
                <w:color w:val="auto"/>
              </w:rPr>
              <w:t>CO</w:t>
            </w:r>
            <w:r w:rsidRPr="00C12503">
              <w:rPr>
                <w:rFonts w:ascii="Arial" w:hAnsi="Arial" w:cs="Arial"/>
                <w:color w:val="auto"/>
                <w:vertAlign w:val="subscript"/>
              </w:rPr>
              <w:t>2</w:t>
            </w:r>
            <w:r w:rsidRPr="00C12503">
              <w:rPr>
                <w:rFonts w:ascii="Arial" w:hAnsi="Arial" w:cs="Arial"/>
                <w:color w:val="auto"/>
              </w:rPr>
              <w:t>)</w:t>
            </w:r>
          </w:p>
          <w:p w14:paraId="0D424F68" w14:textId="15E5293F" w:rsidR="008F299E" w:rsidRPr="00C12503" w:rsidRDefault="008F299E" w:rsidP="00C12503">
            <w:pPr>
              <w:autoSpaceDE w:val="0"/>
              <w:autoSpaceDN w:val="0"/>
              <w:adjustRightInd w:val="0"/>
              <w:jc w:val="center"/>
              <w:rPr>
                <w:rFonts w:ascii="Arial" w:hAnsi="Arial" w:cs="Arial"/>
                <w:color w:val="auto"/>
              </w:rPr>
            </w:pPr>
            <w:r w:rsidRPr="00C12503">
              <w:rPr>
                <w:rFonts w:ascii="Arial" w:hAnsi="Arial" w:cs="Arial"/>
                <w:color w:val="auto"/>
              </w:rPr>
              <w:t>[</w:t>
            </w:r>
            <w:proofErr w:type="spellStart"/>
            <w:r w:rsidRPr="00C12503">
              <w:rPr>
                <w:rFonts w:ascii="Arial" w:hAnsi="Arial" w:cs="Arial"/>
                <w:color w:val="auto"/>
              </w:rPr>
              <w:t>Mscf</w:t>
            </w:r>
            <w:proofErr w:type="spellEnd"/>
            <w:r w:rsidRPr="00C12503">
              <w:rPr>
                <w:rFonts w:ascii="Arial" w:hAnsi="Arial" w:cs="Arial"/>
                <w:color w:val="auto"/>
              </w:rPr>
              <w:t xml:space="preserve"> x 0.0544 </w:t>
            </w:r>
            <w:r w:rsidR="005C17C3" w:rsidRPr="00C12503">
              <w:rPr>
                <w:rFonts w:ascii="Arial" w:hAnsi="Arial" w:cs="Arial"/>
                <w:color w:val="auto"/>
              </w:rPr>
              <w:t>MT</w:t>
            </w:r>
            <w:r w:rsidRPr="00C12503">
              <w:rPr>
                <w:rFonts w:ascii="Arial" w:hAnsi="Arial" w:cs="Arial"/>
                <w:color w:val="auto"/>
              </w:rPr>
              <w:t xml:space="preserve"> CO</w:t>
            </w:r>
            <w:r w:rsidR="007F20AF" w:rsidRPr="00C12503">
              <w:rPr>
                <w:rFonts w:ascii="Arial" w:hAnsi="Arial" w:cs="Arial"/>
                <w:color w:val="auto"/>
                <w:vertAlign w:val="subscript"/>
              </w:rPr>
              <w:t>2</w:t>
            </w:r>
            <w:r w:rsidRPr="00C12503">
              <w:rPr>
                <w:rFonts w:ascii="Arial" w:hAnsi="Arial" w:cs="Arial"/>
                <w:color w:val="auto"/>
              </w:rPr>
              <w:t>/</w:t>
            </w:r>
            <w:proofErr w:type="spellStart"/>
            <w:r w:rsidRPr="00C12503">
              <w:rPr>
                <w:rFonts w:ascii="Arial" w:hAnsi="Arial" w:cs="Arial"/>
                <w:color w:val="auto"/>
              </w:rPr>
              <w:t>Mscf</w:t>
            </w:r>
            <w:proofErr w:type="spellEnd"/>
            <w:r w:rsidRPr="00C12503">
              <w:rPr>
                <w:rFonts w:ascii="Arial" w:hAnsi="Arial" w:cs="Arial"/>
                <w:color w:val="auto"/>
              </w:rPr>
              <w:t>]</w:t>
            </w:r>
          </w:p>
        </w:tc>
      </w:tr>
      <w:tr w:rsidR="00C276ED" w:rsidRPr="00C276ED" w14:paraId="4325AFF6" w14:textId="77777777" w:rsidTr="008F299E">
        <w:tc>
          <w:tcPr>
            <w:tcW w:w="2394" w:type="dxa"/>
          </w:tcPr>
          <w:p w14:paraId="78D4FC45" w14:textId="77777777" w:rsidR="008F299E" w:rsidRPr="00C12503" w:rsidRDefault="008F299E" w:rsidP="008F299E">
            <w:pPr>
              <w:autoSpaceDE w:val="0"/>
              <w:autoSpaceDN w:val="0"/>
              <w:adjustRightInd w:val="0"/>
              <w:rPr>
                <w:rFonts w:ascii="Arial" w:hAnsi="Arial" w:cs="Arial"/>
                <w:color w:val="auto"/>
              </w:rPr>
            </w:pPr>
            <w:r w:rsidRPr="00C12503">
              <w:rPr>
                <w:rFonts w:ascii="Arial" w:hAnsi="Arial" w:cs="Arial"/>
                <w:color w:val="auto"/>
              </w:rPr>
              <w:t>2012</w:t>
            </w:r>
          </w:p>
        </w:tc>
        <w:tc>
          <w:tcPr>
            <w:tcW w:w="2394" w:type="dxa"/>
          </w:tcPr>
          <w:p w14:paraId="1DDEE119" w14:textId="77777777" w:rsidR="008F299E" w:rsidRPr="00C12503" w:rsidRDefault="008F299E" w:rsidP="00C12503">
            <w:pPr>
              <w:autoSpaceDE w:val="0"/>
              <w:autoSpaceDN w:val="0"/>
              <w:adjustRightInd w:val="0"/>
              <w:jc w:val="right"/>
              <w:rPr>
                <w:rFonts w:ascii="Arial" w:hAnsi="Arial" w:cs="Arial"/>
                <w:color w:val="auto"/>
              </w:rPr>
            </w:pPr>
            <w:r w:rsidRPr="00C12503">
              <w:rPr>
                <w:rFonts w:ascii="Arial" w:hAnsi="Arial" w:cs="Arial"/>
                <w:color w:val="auto"/>
              </w:rPr>
              <w:t>42,059,036</w:t>
            </w:r>
          </w:p>
        </w:tc>
        <w:tc>
          <w:tcPr>
            <w:tcW w:w="2394" w:type="dxa"/>
          </w:tcPr>
          <w:p w14:paraId="0A6E43A4" w14:textId="77777777" w:rsidR="008F299E" w:rsidRPr="00C12503" w:rsidRDefault="008F299E" w:rsidP="00C12503">
            <w:pPr>
              <w:autoSpaceDE w:val="0"/>
              <w:autoSpaceDN w:val="0"/>
              <w:adjustRightInd w:val="0"/>
              <w:jc w:val="right"/>
              <w:rPr>
                <w:rFonts w:ascii="Arial" w:hAnsi="Arial" w:cs="Arial"/>
                <w:color w:val="auto"/>
              </w:rPr>
            </w:pPr>
            <w:r w:rsidRPr="00C12503">
              <w:rPr>
                <w:rFonts w:ascii="Arial" w:hAnsi="Arial" w:cs="Arial"/>
                <w:color w:val="auto"/>
              </w:rPr>
              <w:t>2,288,012</w:t>
            </w:r>
          </w:p>
        </w:tc>
      </w:tr>
      <w:tr w:rsidR="00C276ED" w:rsidRPr="00C276ED" w14:paraId="5D8B0B64" w14:textId="77777777" w:rsidTr="008F299E">
        <w:tc>
          <w:tcPr>
            <w:tcW w:w="2394" w:type="dxa"/>
          </w:tcPr>
          <w:p w14:paraId="17DC51DA" w14:textId="77777777" w:rsidR="008F299E" w:rsidRPr="00C12503" w:rsidRDefault="008F299E" w:rsidP="008F299E">
            <w:pPr>
              <w:autoSpaceDE w:val="0"/>
              <w:autoSpaceDN w:val="0"/>
              <w:adjustRightInd w:val="0"/>
              <w:rPr>
                <w:rFonts w:ascii="Arial" w:hAnsi="Arial" w:cs="Arial"/>
                <w:color w:val="auto"/>
              </w:rPr>
            </w:pPr>
            <w:r w:rsidRPr="00C12503">
              <w:rPr>
                <w:rFonts w:ascii="Arial" w:hAnsi="Arial" w:cs="Arial"/>
                <w:color w:val="auto"/>
              </w:rPr>
              <w:t>2013</w:t>
            </w:r>
          </w:p>
        </w:tc>
        <w:tc>
          <w:tcPr>
            <w:tcW w:w="2394" w:type="dxa"/>
          </w:tcPr>
          <w:p w14:paraId="7A3CD7BB" w14:textId="77777777" w:rsidR="008F299E" w:rsidRPr="00C12503" w:rsidRDefault="008F299E" w:rsidP="00C12503">
            <w:pPr>
              <w:autoSpaceDE w:val="0"/>
              <w:autoSpaceDN w:val="0"/>
              <w:adjustRightInd w:val="0"/>
              <w:jc w:val="right"/>
              <w:rPr>
                <w:rFonts w:ascii="Arial" w:hAnsi="Arial" w:cs="Arial"/>
                <w:color w:val="auto"/>
              </w:rPr>
            </w:pPr>
            <w:r w:rsidRPr="00C12503">
              <w:rPr>
                <w:rFonts w:ascii="Arial" w:hAnsi="Arial" w:cs="Arial"/>
                <w:color w:val="auto"/>
              </w:rPr>
              <w:t>41,368,621</w:t>
            </w:r>
          </w:p>
        </w:tc>
        <w:tc>
          <w:tcPr>
            <w:tcW w:w="2394" w:type="dxa"/>
          </w:tcPr>
          <w:p w14:paraId="0B2D2257" w14:textId="77777777" w:rsidR="008F299E" w:rsidRPr="00C12503" w:rsidRDefault="008F299E" w:rsidP="00C12503">
            <w:pPr>
              <w:autoSpaceDE w:val="0"/>
              <w:autoSpaceDN w:val="0"/>
              <w:adjustRightInd w:val="0"/>
              <w:jc w:val="right"/>
              <w:rPr>
                <w:rFonts w:ascii="Arial" w:hAnsi="Arial" w:cs="Arial"/>
                <w:color w:val="auto"/>
              </w:rPr>
            </w:pPr>
            <w:r w:rsidRPr="00C12503">
              <w:rPr>
                <w:rFonts w:ascii="Arial" w:hAnsi="Arial" w:cs="Arial"/>
                <w:color w:val="auto"/>
              </w:rPr>
              <w:t>2,250,453</w:t>
            </w:r>
          </w:p>
        </w:tc>
      </w:tr>
      <w:tr w:rsidR="00C276ED" w:rsidRPr="00C276ED" w14:paraId="50485C47" w14:textId="77777777" w:rsidTr="008F299E">
        <w:tc>
          <w:tcPr>
            <w:tcW w:w="2394" w:type="dxa"/>
          </w:tcPr>
          <w:p w14:paraId="3A40E67A" w14:textId="77777777" w:rsidR="008F299E" w:rsidRPr="00C12503" w:rsidRDefault="008F299E" w:rsidP="008F299E">
            <w:pPr>
              <w:autoSpaceDE w:val="0"/>
              <w:autoSpaceDN w:val="0"/>
              <w:adjustRightInd w:val="0"/>
              <w:rPr>
                <w:rFonts w:ascii="Arial" w:hAnsi="Arial" w:cs="Arial"/>
                <w:color w:val="auto"/>
              </w:rPr>
            </w:pPr>
            <w:r w:rsidRPr="00C12503">
              <w:rPr>
                <w:rFonts w:ascii="Arial" w:hAnsi="Arial" w:cs="Arial"/>
                <w:color w:val="auto"/>
              </w:rPr>
              <w:t>2014</w:t>
            </w:r>
          </w:p>
        </w:tc>
        <w:tc>
          <w:tcPr>
            <w:tcW w:w="2394" w:type="dxa"/>
          </w:tcPr>
          <w:p w14:paraId="66D6A66B" w14:textId="77777777" w:rsidR="008F299E" w:rsidRPr="00C12503" w:rsidRDefault="008F299E" w:rsidP="00C12503">
            <w:pPr>
              <w:autoSpaceDE w:val="0"/>
              <w:autoSpaceDN w:val="0"/>
              <w:adjustRightInd w:val="0"/>
              <w:jc w:val="right"/>
              <w:rPr>
                <w:rFonts w:ascii="Arial" w:hAnsi="Arial" w:cs="Arial"/>
                <w:color w:val="auto"/>
              </w:rPr>
            </w:pPr>
            <w:r w:rsidRPr="00C12503">
              <w:rPr>
                <w:rFonts w:ascii="Arial" w:hAnsi="Arial" w:cs="Arial"/>
                <w:color w:val="auto"/>
              </w:rPr>
              <w:t>45,613,844</w:t>
            </w:r>
          </w:p>
        </w:tc>
        <w:tc>
          <w:tcPr>
            <w:tcW w:w="2394" w:type="dxa"/>
          </w:tcPr>
          <w:p w14:paraId="53BB3761" w14:textId="77777777" w:rsidR="008F299E" w:rsidRPr="00C12503" w:rsidRDefault="008F299E" w:rsidP="00C12503">
            <w:pPr>
              <w:autoSpaceDE w:val="0"/>
              <w:autoSpaceDN w:val="0"/>
              <w:adjustRightInd w:val="0"/>
              <w:jc w:val="right"/>
              <w:rPr>
                <w:rFonts w:ascii="Arial" w:hAnsi="Arial" w:cs="Arial"/>
                <w:color w:val="auto"/>
              </w:rPr>
            </w:pPr>
            <w:r w:rsidRPr="00C12503">
              <w:rPr>
                <w:rFonts w:ascii="Arial" w:hAnsi="Arial" w:cs="Arial"/>
                <w:color w:val="auto"/>
              </w:rPr>
              <w:t>2,481,393</w:t>
            </w:r>
          </w:p>
        </w:tc>
      </w:tr>
      <w:tr w:rsidR="00C276ED" w:rsidRPr="00C276ED" w14:paraId="56AF0F2A" w14:textId="77777777" w:rsidTr="008F299E">
        <w:tc>
          <w:tcPr>
            <w:tcW w:w="2394" w:type="dxa"/>
          </w:tcPr>
          <w:p w14:paraId="0308FA0C" w14:textId="77777777" w:rsidR="008F299E" w:rsidRPr="00C12503" w:rsidRDefault="008F299E" w:rsidP="008F299E">
            <w:pPr>
              <w:autoSpaceDE w:val="0"/>
              <w:autoSpaceDN w:val="0"/>
              <w:adjustRightInd w:val="0"/>
              <w:rPr>
                <w:rFonts w:ascii="Arial" w:hAnsi="Arial" w:cs="Arial"/>
                <w:color w:val="auto"/>
              </w:rPr>
            </w:pPr>
            <w:r w:rsidRPr="00C12503">
              <w:rPr>
                <w:rFonts w:ascii="Arial" w:hAnsi="Arial" w:cs="Arial"/>
                <w:color w:val="auto"/>
              </w:rPr>
              <w:t>2015</w:t>
            </w:r>
          </w:p>
        </w:tc>
        <w:tc>
          <w:tcPr>
            <w:tcW w:w="2394" w:type="dxa"/>
          </w:tcPr>
          <w:p w14:paraId="0A6D4134" w14:textId="77777777" w:rsidR="008F299E" w:rsidRPr="00C12503" w:rsidRDefault="008F299E" w:rsidP="00C12503">
            <w:pPr>
              <w:autoSpaceDE w:val="0"/>
              <w:autoSpaceDN w:val="0"/>
              <w:adjustRightInd w:val="0"/>
              <w:jc w:val="right"/>
              <w:rPr>
                <w:rFonts w:ascii="Arial" w:hAnsi="Arial" w:cs="Arial"/>
                <w:color w:val="auto"/>
              </w:rPr>
            </w:pPr>
            <w:r w:rsidRPr="00C12503">
              <w:rPr>
                <w:rFonts w:ascii="Arial" w:hAnsi="Arial" w:cs="Arial"/>
                <w:color w:val="auto"/>
              </w:rPr>
              <w:t>38,631,117</w:t>
            </w:r>
          </w:p>
        </w:tc>
        <w:tc>
          <w:tcPr>
            <w:tcW w:w="2394" w:type="dxa"/>
          </w:tcPr>
          <w:p w14:paraId="1C6B2D21" w14:textId="77777777" w:rsidR="008F299E" w:rsidRPr="00C12503" w:rsidRDefault="008F299E" w:rsidP="00C12503">
            <w:pPr>
              <w:autoSpaceDE w:val="0"/>
              <w:autoSpaceDN w:val="0"/>
              <w:adjustRightInd w:val="0"/>
              <w:jc w:val="right"/>
              <w:rPr>
                <w:rFonts w:ascii="Arial" w:hAnsi="Arial" w:cs="Arial"/>
                <w:color w:val="auto"/>
              </w:rPr>
            </w:pPr>
            <w:r w:rsidRPr="00C12503">
              <w:rPr>
                <w:rFonts w:ascii="Arial" w:hAnsi="Arial" w:cs="Arial"/>
                <w:color w:val="auto"/>
              </w:rPr>
              <w:t>2,101,533</w:t>
            </w:r>
          </w:p>
        </w:tc>
      </w:tr>
      <w:tr w:rsidR="00485DE3" w:rsidRPr="00C276ED" w14:paraId="7E81C44B" w14:textId="77777777" w:rsidTr="008F299E">
        <w:tc>
          <w:tcPr>
            <w:tcW w:w="2394" w:type="dxa"/>
          </w:tcPr>
          <w:p w14:paraId="14E59417" w14:textId="77777777" w:rsidR="00485DE3" w:rsidRPr="00C12503" w:rsidRDefault="00485DE3" w:rsidP="00485DE3">
            <w:pPr>
              <w:autoSpaceDE w:val="0"/>
              <w:autoSpaceDN w:val="0"/>
              <w:adjustRightInd w:val="0"/>
              <w:rPr>
                <w:rFonts w:ascii="Arial" w:hAnsi="Arial" w:cs="Arial"/>
                <w:color w:val="auto"/>
              </w:rPr>
            </w:pPr>
            <w:r w:rsidRPr="00C12503">
              <w:rPr>
                <w:rFonts w:ascii="Arial" w:hAnsi="Arial" w:cs="Arial"/>
                <w:color w:val="auto"/>
              </w:rPr>
              <w:t>2016 (projection)</w:t>
            </w:r>
          </w:p>
        </w:tc>
        <w:tc>
          <w:tcPr>
            <w:tcW w:w="2394" w:type="dxa"/>
          </w:tcPr>
          <w:p w14:paraId="466EFFA3" w14:textId="5BF57494" w:rsidR="00485DE3" w:rsidRPr="00C12503" w:rsidRDefault="00485DE3" w:rsidP="00C12503">
            <w:pPr>
              <w:autoSpaceDE w:val="0"/>
              <w:autoSpaceDN w:val="0"/>
              <w:adjustRightInd w:val="0"/>
              <w:jc w:val="right"/>
              <w:rPr>
                <w:rFonts w:ascii="Arial" w:hAnsi="Arial" w:cs="Arial"/>
                <w:color w:val="auto"/>
              </w:rPr>
            </w:pPr>
            <w:r w:rsidRPr="00C12503">
              <w:rPr>
                <w:rFonts w:ascii="Arial" w:hAnsi="Arial" w:cs="Arial"/>
              </w:rPr>
              <w:t>41,660,697</w:t>
            </w:r>
          </w:p>
        </w:tc>
        <w:tc>
          <w:tcPr>
            <w:tcW w:w="2394" w:type="dxa"/>
          </w:tcPr>
          <w:p w14:paraId="2B51DC6B" w14:textId="7286289B" w:rsidR="00485DE3" w:rsidRPr="00C12503" w:rsidRDefault="00A45BF3" w:rsidP="00C12503">
            <w:pPr>
              <w:autoSpaceDE w:val="0"/>
              <w:autoSpaceDN w:val="0"/>
              <w:adjustRightInd w:val="0"/>
              <w:jc w:val="right"/>
              <w:rPr>
                <w:rFonts w:ascii="Arial" w:hAnsi="Arial" w:cs="Arial"/>
                <w:color w:val="auto"/>
              </w:rPr>
            </w:pPr>
            <w:r w:rsidRPr="00C12503">
              <w:rPr>
                <w:rFonts w:ascii="Arial" w:hAnsi="Arial" w:cs="Arial"/>
                <w:color w:val="auto"/>
              </w:rPr>
              <w:t>2,266,342</w:t>
            </w:r>
          </w:p>
        </w:tc>
      </w:tr>
      <w:tr w:rsidR="00485DE3" w:rsidRPr="00C276ED" w14:paraId="392AC4E2" w14:textId="77777777" w:rsidTr="008F299E">
        <w:tc>
          <w:tcPr>
            <w:tcW w:w="2394" w:type="dxa"/>
          </w:tcPr>
          <w:p w14:paraId="53545FC4" w14:textId="622307E9" w:rsidR="00485DE3" w:rsidRPr="00C12503" w:rsidRDefault="00485DE3" w:rsidP="00485DE3">
            <w:pPr>
              <w:autoSpaceDE w:val="0"/>
              <w:autoSpaceDN w:val="0"/>
              <w:adjustRightInd w:val="0"/>
              <w:rPr>
                <w:rFonts w:ascii="Arial" w:hAnsi="Arial" w:cs="Arial"/>
                <w:color w:val="auto"/>
              </w:rPr>
            </w:pPr>
            <w:r w:rsidRPr="00C12503">
              <w:rPr>
                <w:rFonts w:ascii="Arial" w:hAnsi="Arial" w:cs="Arial"/>
                <w:color w:val="auto"/>
              </w:rPr>
              <w:t xml:space="preserve">2012-2016 Average </w:t>
            </w:r>
            <w:r w:rsidR="00E549DE" w:rsidRPr="00C12503">
              <w:rPr>
                <w:rFonts w:ascii="Arial" w:hAnsi="Arial" w:cs="Arial"/>
                <w:color w:val="auto"/>
              </w:rPr>
              <w:t xml:space="preserve">Delivery to Customers </w:t>
            </w:r>
            <w:r w:rsidRPr="00C12503">
              <w:rPr>
                <w:rFonts w:ascii="Arial" w:hAnsi="Arial" w:cs="Arial"/>
                <w:color w:val="auto"/>
              </w:rPr>
              <w:t>and Estimated Baseline GHG Emissions Value</w:t>
            </w:r>
          </w:p>
        </w:tc>
        <w:tc>
          <w:tcPr>
            <w:tcW w:w="2394" w:type="dxa"/>
          </w:tcPr>
          <w:p w14:paraId="74F35FE4" w14:textId="77777777" w:rsidR="00E549DE" w:rsidRPr="00C12503" w:rsidRDefault="00E549DE" w:rsidP="00C12503">
            <w:pPr>
              <w:autoSpaceDE w:val="0"/>
              <w:autoSpaceDN w:val="0"/>
              <w:adjustRightInd w:val="0"/>
              <w:jc w:val="right"/>
              <w:rPr>
                <w:rFonts w:ascii="Arial" w:hAnsi="Arial" w:cs="Arial"/>
              </w:rPr>
            </w:pPr>
          </w:p>
          <w:p w14:paraId="66EAB90B" w14:textId="1FD0B028" w:rsidR="00485DE3" w:rsidRPr="00C12503" w:rsidRDefault="00485DE3" w:rsidP="00C12503">
            <w:pPr>
              <w:autoSpaceDE w:val="0"/>
              <w:autoSpaceDN w:val="0"/>
              <w:adjustRightInd w:val="0"/>
              <w:jc w:val="right"/>
              <w:rPr>
                <w:rFonts w:ascii="Arial" w:hAnsi="Arial" w:cs="Arial"/>
                <w:color w:val="auto"/>
              </w:rPr>
            </w:pPr>
            <w:r w:rsidRPr="00C12503">
              <w:rPr>
                <w:rFonts w:ascii="Arial" w:hAnsi="Arial" w:cs="Arial"/>
              </w:rPr>
              <w:t>41,866,663</w:t>
            </w:r>
          </w:p>
        </w:tc>
        <w:tc>
          <w:tcPr>
            <w:tcW w:w="2394" w:type="dxa"/>
          </w:tcPr>
          <w:p w14:paraId="0F8E536C" w14:textId="77777777" w:rsidR="00E549DE" w:rsidRPr="00C12503" w:rsidRDefault="00E549DE" w:rsidP="00C12503">
            <w:pPr>
              <w:autoSpaceDE w:val="0"/>
              <w:autoSpaceDN w:val="0"/>
              <w:adjustRightInd w:val="0"/>
              <w:jc w:val="right"/>
              <w:rPr>
                <w:rFonts w:ascii="Arial" w:hAnsi="Arial" w:cs="Arial"/>
                <w:b/>
                <w:color w:val="auto"/>
              </w:rPr>
            </w:pPr>
          </w:p>
          <w:p w14:paraId="55C9C8D7" w14:textId="2402AD19" w:rsidR="00485DE3" w:rsidRPr="00C12503" w:rsidRDefault="00A45BF3" w:rsidP="00C12503">
            <w:pPr>
              <w:autoSpaceDE w:val="0"/>
              <w:autoSpaceDN w:val="0"/>
              <w:adjustRightInd w:val="0"/>
              <w:jc w:val="right"/>
              <w:rPr>
                <w:rFonts w:ascii="Arial" w:hAnsi="Arial" w:cs="Arial"/>
                <w:b/>
                <w:color w:val="auto"/>
              </w:rPr>
            </w:pPr>
            <w:r w:rsidRPr="00C12503">
              <w:rPr>
                <w:rFonts w:ascii="Arial" w:hAnsi="Arial" w:cs="Arial"/>
                <w:b/>
                <w:color w:val="auto"/>
              </w:rPr>
              <w:t>2,277,546</w:t>
            </w:r>
          </w:p>
        </w:tc>
      </w:tr>
    </w:tbl>
    <w:p w14:paraId="38CFF7B5" w14:textId="77777777" w:rsidR="008F299E" w:rsidRPr="00C276ED" w:rsidRDefault="008F299E" w:rsidP="008F299E">
      <w:pPr>
        <w:autoSpaceDE w:val="0"/>
        <w:autoSpaceDN w:val="0"/>
        <w:adjustRightInd w:val="0"/>
        <w:spacing w:after="0" w:line="240" w:lineRule="auto"/>
        <w:rPr>
          <w:color w:val="auto"/>
        </w:rPr>
      </w:pPr>
    </w:p>
    <w:p w14:paraId="1D5E99EC" w14:textId="77777777" w:rsidR="008F299E" w:rsidRPr="00C276ED" w:rsidRDefault="008F299E" w:rsidP="008F299E">
      <w:pPr>
        <w:autoSpaceDE w:val="0"/>
        <w:autoSpaceDN w:val="0"/>
        <w:adjustRightInd w:val="0"/>
        <w:spacing w:after="0" w:line="240" w:lineRule="auto"/>
        <w:rPr>
          <w:color w:val="auto"/>
        </w:rPr>
      </w:pPr>
      <w:r w:rsidRPr="00C276ED">
        <w:rPr>
          <w:color w:val="auto"/>
        </w:rPr>
        <w:br/>
      </w:r>
      <w:r w:rsidRPr="00C276ED">
        <w:rPr>
          <w:color w:val="auto"/>
        </w:rPr>
        <w:br/>
      </w:r>
      <w:r w:rsidRPr="00C276ED">
        <w:rPr>
          <w:color w:val="auto"/>
        </w:rPr>
        <w:br/>
      </w:r>
      <w:r w:rsidRPr="00C276ED">
        <w:rPr>
          <w:color w:val="auto"/>
        </w:rPr>
        <w:br/>
      </w:r>
      <w:r w:rsidRPr="00C276ED">
        <w:rPr>
          <w:color w:val="auto"/>
        </w:rPr>
        <w:br/>
      </w:r>
      <w:r w:rsidRPr="00C276ED">
        <w:rPr>
          <w:color w:val="auto"/>
        </w:rPr>
        <w:br/>
      </w:r>
      <w:r w:rsidRPr="00C276ED">
        <w:rPr>
          <w:color w:val="auto"/>
        </w:rPr>
        <w:br/>
      </w:r>
      <w:r w:rsidRPr="00C276ED">
        <w:rPr>
          <w:color w:val="auto"/>
        </w:rPr>
        <w:br/>
      </w:r>
    </w:p>
    <w:p w14:paraId="5143AAEE" w14:textId="77777777" w:rsidR="008F299E" w:rsidRPr="00C276ED" w:rsidRDefault="008F299E" w:rsidP="00C12503">
      <w:pPr>
        <w:pStyle w:val="Heading2"/>
        <w:numPr>
          <w:ilvl w:val="1"/>
          <w:numId w:val="12"/>
        </w:numPr>
        <w:ind w:hanging="540"/>
        <w:rPr>
          <w:rFonts w:ascii="Arial" w:hAnsi="Arial" w:cs="Arial"/>
          <w:b/>
          <w:caps w:val="0"/>
          <w:color w:val="auto"/>
          <w:sz w:val="24"/>
          <w:szCs w:val="24"/>
        </w:rPr>
      </w:pPr>
      <w:r w:rsidRPr="00C276ED">
        <w:rPr>
          <w:rFonts w:ascii="Arial" w:hAnsi="Arial" w:cs="Arial"/>
          <w:b/>
          <w:caps w:val="0"/>
          <w:color w:val="auto"/>
          <w:sz w:val="24"/>
          <w:szCs w:val="24"/>
        </w:rPr>
        <w:t>Compliance Pathway</w:t>
      </w:r>
    </w:p>
    <w:p w14:paraId="45481A69" w14:textId="246D7C96" w:rsidR="00504BE3" w:rsidRDefault="002C0C9A" w:rsidP="00504BE3">
      <w:pPr>
        <w:keepLines/>
        <w:autoSpaceDE w:val="0"/>
        <w:autoSpaceDN w:val="0"/>
        <w:adjustRightInd w:val="0"/>
        <w:spacing w:before="0" w:after="0" w:line="240" w:lineRule="auto"/>
        <w:ind w:left="1080"/>
        <w:jc w:val="both"/>
        <w:rPr>
          <w:rFonts w:ascii="Arial" w:hAnsi="Arial" w:cs="Arial"/>
          <w:color w:val="auto"/>
          <w:sz w:val="24"/>
          <w:szCs w:val="24"/>
        </w:rPr>
      </w:pPr>
      <w:r w:rsidRPr="00C276ED">
        <w:rPr>
          <w:rFonts w:ascii="Arial" w:hAnsi="Arial" w:cs="Arial"/>
          <w:color w:val="auto"/>
          <w:sz w:val="24"/>
          <w:szCs w:val="24"/>
        </w:rPr>
        <w:t>In 2017, the GHG reduction pathway for Cascade is equivalent to the baseline emissions of approximately 2,277,</w:t>
      </w:r>
      <w:r w:rsidR="00BA6D60">
        <w:rPr>
          <w:rFonts w:ascii="Arial" w:hAnsi="Arial" w:cs="Arial"/>
          <w:color w:val="auto"/>
          <w:sz w:val="24"/>
          <w:szCs w:val="24"/>
        </w:rPr>
        <w:t>546</w:t>
      </w:r>
      <w:r w:rsidR="00BA6D60" w:rsidRPr="00C276ED">
        <w:rPr>
          <w:rFonts w:ascii="Arial" w:hAnsi="Arial" w:cs="Arial"/>
          <w:color w:val="auto"/>
          <w:sz w:val="24"/>
          <w:szCs w:val="24"/>
        </w:rPr>
        <w:t xml:space="preserve"> </w:t>
      </w:r>
      <w:r w:rsidRPr="00C276ED">
        <w:rPr>
          <w:rFonts w:ascii="Arial" w:hAnsi="Arial" w:cs="Arial"/>
          <w:color w:val="auto"/>
          <w:sz w:val="24"/>
          <w:szCs w:val="24"/>
        </w:rPr>
        <w:t>metric tons (MT) of CO</w:t>
      </w:r>
      <w:r w:rsidRPr="00504BE3">
        <w:rPr>
          <w:rFonts w:ascii="Arial" w:hAnsi="Arial" w:cs="Arial"/>
          <w:color w:val="auto"/>
          <w:sz w:val="24"/>
          <w:szCs w:val="24"/>
          <w:vertAlign w:val="subscript"/>
        </w:rPr>
        <w:t>2</w:t>
      </w:r>
      <w:r w:rsidRPr="00C276ED">
        <w:rPr>
          <w:rFonts w:ascii="Arial" w:hAnsi="Arial" w:cs="Arial"/>
          <w:color w:val="auto"/>
          <w:sz w:val="24"/>
          <w:szCs w:val="24"/>
        </w:rPr>
        <w:t>.  As mentioned above, the emission reduction pathway decreases annually by an additional 1.7</w:t>
      </w:r>
      <w:r w:rsidR="007F20AF">
        <w:rPr>
          <w:rFonts w:ascii="Arial" w:hAnsi="Arial" w:cs="Arial"/>
          <w:color w:val="auto"/>
          <w:sz w:val="24"/>
          <w:szCs w:val="24"/>
        </w:rPr>
        <w:t>%</w:t>
      </w:r>
      <w:r w:rsidRPr="00C276ED">
        <w:rPr>
          <w:rFonts w:ascii="Arial" w:hAnsi="Arial" w:cs="Arial"/>
          <w:color w:val="auto"/>
          <w:sz w:val="24"/>
          <w:szCs w:val="24"/>
        </w:rPr>
        <w:t xml:space="preserve"> of Cascade’s baseline emissions value.  In calendar year 2036, the emission reduction pathway remains constant at the value </w:t>
      </w:r>
      <w:r w:rsidR="00352385">
        <w:rPr>
          <w:rFonts w:ascii="Arial" w:hAnsi="Arial" w:cs="Arial"/>
          <w:color w:val="auto"/>
          <w:sz w:val="24"/>
          <w:szCs w:val="24"/>
        </w:rPr>
        <w:t>calculated for 2035.</w:t>
      </w:r>
    </w:p>
    <w:p w14:paraId="00D54D94" w14:textId="3B640A7E" w:rsidR="002C0C9A" w:rsidRPr="00C276ED" w:rsidRDefault="002C0C9A" w:rsidP="00504BE3">
      <w:pPr>
        <w:keepLines/>
        <w:autoSpaceDE w:val="0"/>
        <w:autoSpaceDN w:val="0"/>
        <w:adjustRightInd w:val="0"/>
        <w:spacing w:before="0" w:after="0" w:line="240" w:lineRule="auto"/>
        <w:ind w:left="1080"/>
        <w:jc w:val="both"/>
        <w:rPr>
          <w:rFonts w:ascii="Arial" w:hAnsi="Arial" w:cs="Arial"/>
          <w:color w:val="auto"/>
          <w:sz w:val="24"/>
          <w:szCs w:val="24"/>
        </w:rPr>
      </w:pPr>
    </w:p>
    <w:p w14:paraId="14E966FB" w14:textId="3184365E" w:rsidR="002C0C9A" w:rsidRPr="00C276ED" w:rsidRDefault="002C0C9A" w:rsidP="00504BE3">
      <w:pPr>
        <w:autoSpaceDE w:val="0"/>
        <w:autoSpaceDN w:val="0"/>
        <w:adjustRightInd w:val="0"/>
        <w:spacing w:before="0" w:after="0" w:line="240" w:lineRule="auto"/>
        <w:ind w:left="1080"/>
        <w:jc w:val="both"/>
        <w:rPr>
          <w:rFonts w:ascii="Arial" w:hAnsi="Arial" w:cs="Arial"/>
          <w:color w:val="auto"/>
          <w:sz w:val="24"/>
          <w:szCs w:val="24"/>
        </w:rPr>
      </w:pPr>
      <w:r w:rsidRPr="00C276ED">
        <w:rPr>
          <w:rFonts w:ascii="Arial" w:hAnsi="Arial" w:cs="Arial"/>
          <w:color w:val="auto"/>
          <w:sz w:val="24"/>
          <w:szCs w:val="24"/>
        </w:rPr>
        <w:t xml:space="preserve">Table </w:t>
      </w:r>
      <w:r w:rsidR="009D3E58">
        <w:rPr>
          <w:rFonts w:ascii="Arial" w:hAnsi="Arial" w:cs="Arial"/>
          <w:color w:val="auto"/>
          <w:sz w:val="24"/>
          <w:szCs w:val="24"/>
        </w:rPr>
        <w:t>5-</w:t>
      </w:r>
      <w:r w:rsidRPr="00C276ED">
        <w:rPr>
          <w:rFonts w:ascii="Arial" w:hAnsi="Arial" w:cs="Arial"/>
          <w:color w:val="auto"/>
          <w:sz w:val="24"/>
          <w:szCs w:val="24"/>
        </w:rPr>
        <w:t xml:space="preserve">3 represents Cascade’s preliminary estimated baseline emissions value and emission reduction pathway from 2017 to 2035, showing emissions allowed each year.    </w:t>
      </w:r>
    </w:p>
    <w:p w14:paraId="4D1DE590" w14:textId="76F2B840" w:rsidR="00504BE3" w:rsidRDefault="00504BE3">
      <w:pPr>
        <w:rPr>
          <w:rFonts w:ascii="Arial" w:hAnsi="Arial" w:cs="Arial"/>
          <w:color w:val="auto"/>
          <w:sz w:val="24"/>
          <w:szCs w:val="24"/>
        </w:rPr>
      </w:pPr>
      <w:r>
        <w:rPr>
          <w:rFonts w:ascii="Arial" w:hAnsi="Arial" w:cs="Arial"/>
          <w:color w:val="auto"/>
          <w:sz w:val="24"/>
          <w:szCs w:val="24"/>
        </w:rPr>
        <w:br w:type="page"/>
      </w:r>
    </w:p>
    <w:p w14:paraId="3EA36D40" w14:textId="359006A6" w:rsidR="008F299E" w:rsidRPr="00F14079" w:rsidRDefault="008F299E" w:rsidP="002C0C9A">
      <w:pPr>
        <w:autoSpaceDE w:val="0"/>
        <w:autoSpaceDN w:val="0"/>
        <w:adjustRightInd w:val="0"/>
        <w:spacing w:after="0" w:line="240" w:lineRule="auto"/>
        <w:jc w:val="center"/>
        <w:rPr>
          <w:rFonts w:ascii="Arial" w:hAnsi="Arial" w:cs="Arial"/>
          <w:b/>
          <w:color w:val="auto"/>
          <w:sz w:val="16"/>
          <w:szCs w:val="24"/>
        </w:rPr>
      </w:pPr>
      <w:r w:rsidRPr="00F14079">
        <w:rPr>
          <w:rFonts w:ascii="Arial" w:hAnsi="Arial" w:cs="Arial"/>
          <w:b/>
          <w:color w:val="auto"/>
          <w:sz w:val="16"/>
          <w:szCs w:val="24"/>
        </w:rPr>
        <w:lastRenderedPageBreak/>
        <w:t xml:space="preserve">Table </w:t>
      </w:r>
      <w:r w:rsidR="009D3E58" w:rsidRPr="00F14079">
        <w:rPr>
          <w:rFonts w:ascii="Arial" w:hAnsi="Arial" w:cs="Arial"/>
          <w:b/>
          <w:color w:val="auto"/>
          <w:sz w:val="16"/>
          <w:szCs w:val="24"/>
        </w:rPr>
        <w:t>5-</w:t>
      </w:r>
      <w:r w:rsidRPr="00F14079">
        <w:rPr>
          <w:rFonts w:ascii="Arial" w:hAnsi="Arial" w:cs="Arial"/>
          <w:b/>
          <w:color w:val="auto"/>
          <w:sz w:val="16"/>
          <w:szCs w:val="24"/>
        </w:rPr>
        <w:t>3</w:t>
      </w:r>
      <w:r w:rsidR="009D3E58" w:rsidRPr="00F14079">
        <w:rPr>
          <w:rFonts w:ascii="Arial" w:hAnsi="Arial" w:cs="Arial"/>
          <w:b/>
          <w:color w:val="auto"/>
          <w:sz w:val="16"/>
          <w:szCs w:val="24"/>
        </w:rPr>
        <w:t xml:space="preserve">: </w:t>
      </w:r>
      <w:r w:rsidR="002C0C9A" w:rsidRPr="00F14079">
        <w:rPr>
          <w:rFonts w:ascii="Arial" w:hAnsi="Arial" w:cs="Arial"/>
          <w:b/>
          <w:color w:val="auto"/>
          <w:sz w:val="16"/>
          <w:szCs w:val="24"/>
        </w:rPr>
        <w:t xml:space="preserve">Preliminary </w:t>
      </w:r>
      <w:r w:rsidRPr="00F14079">
        <w:rPr>
          <w:rFonts w:ascii="Arial" w:hAnsi="Arial" w:cs="Arial"/>
          <w:b/>
          <w:color w:val="auto"/>
          <w:sz w:val="16"/>
          <w:szCs w:val="24"/>
        </w:rPr>
        <w:t xml:space="preserve">Baseline </w:t>
      </w:r>
      <w:r w:rsidR="002C0C9A" w:rsidRPr="00F14079">
        <w:rPr>
          <w:rFonts w:ascii="Arial" w:hAnsi="Arial" w:cs="Arial"/>
          <w:b/>
          <w:color w:val="auto"/>
          <w:sz w:val="16"/>
          <w:szCs w:val="24"/>
        </w:rPr>
        <w:t xml:space="preserve">GHG </w:t>
      </w:r>
      <w:r w:rsidRPr="00F14079">
        <w:rPr>
          <w:rFonts w:ascii="Arial" w:hAnsi="Arial" w:cs="Arial"/>
          <w:b/>
          <w:color w:val="auto"/>
          <w:sz w:val="16"/>
          <w:szCs w:val="24"/>
        </w:rPr>
        <w:t>Emission Value and Projected Emission Reduction Pathway for Cascade</w:t>
      </w:r>
    </w:p>
    <w:p w14:paraId="1EA307FE" w14:textId="77777777" w:rsidR="008F299E" w:rsidRPr="00C276ED" w:rsidRDefault="008F299E" w:rsidP="008F299E">
      <w:pPr>
        <w:autoSpaceDE w:val="0"/>
        <w:autoSpaceDN w:val="0"/>
        <w:adjustRightInd w:val="0"/>
        <w:spacing w:after="0" w:line="240" w:lineRule="auto"/>
        <w:jc w:val="both"/>
        <w:rPr>
          <w:rFonts w:ascii="Arial" w:hAnsi="Arial" w:cs="Arial"/>
          <w:color w:val="auto"/>
          <w:sz w:val="24"/>
          <w:szCs w:val="24"/>
        </w:rPr>
      </w:pPr>
    </w:p>
    <w:tbl>
      <w:tblPr>
        <w:tblStyle w:val="TableGrid"/>
        <w:tblW w:w="0" w:type="auto"/>
        <w:tblInd w:w="1423" w:type="dxa"/>
        <w:tblLook w:val="04A0" w:firstRow="1" w:lastRow="0" w:firstColumn="1" w:lastColumn="0" w:noHBand="0" w:noVBand="1"/>
      </w:tblPr>
      <w:tblGrid>
        <w:gridCol w:w="1435"/>
        <w:gridCol w:w="1997"/>
        <w:gridCol w:w="2610"/>
      </w:tblGrid>
      <w:tr w:rsidR="00C276ED" w:rsidRPr="00C276ED" w14:paraId="794A1E03" w14:textId="77777777" w:rsidTr="00C12503">
        <w:tc>
          <w:tcPr>
            <w:tcW w:w="1435" w:type="dxa"/>
            <w:shd w:val="clear" w:color="auto" w:fill="D6ECFF" w:themeFill="background2"/>
          </w:tcPr>
          <w:p w14:paraId="6F7669A5" w14:textId="77777777" w:rsidR="008F299E" w:rsidRPr="00504BE3" w:rsidRDefault="008F299E" w:rsidP="00504BE3">
            <w:pPr>
              <w:autoSpaceDE w:val="0"/>
              <w:autoSpaceDN w:val="0"/>
              <w:adjustRightInd w:val="0"/>
              <w:jc w:val="center"/>
              <w:rPr>
                <w:rFonts w:ascii="Arial" w:hAnsi="Arial" w:cs="Arial"/>
                <w:color w:val="auto"/>
                <w:sz w:val="16"/>
                <w:szCs w:val="16"/>
              </w:rPr>
            </w:pPr>
            <w:r w:rsidRPr="00504BE3">
              <w:rPr>
                <w:rFonts w:ascii="Arial" w:hAnsi="Arial" w:cs="Arial"/>
                <w:color w:val="auto"/>
                <w:sz w:val="16"/>
                <w:szCs w:val="16"/>
              </w:rPr>
              <w:t>Year</w:t>
            </w:r>
          </w:p>
        </w:tc>
        <w:tc>
          <w:tcPr>
            <w:tcW w:w="1997" w:type="dxa"/>
            <w:shd w:val="clear" w:color="auto" w:fill="D6ECFF" w:themeFill="background2"/>
          </w:tcPr>
          <w:p w14:paraId="2CBFDEFF" w14:textId="0FF27436" w:rsidR="008F299E" w:rsidRPr="00504BE3" w:rsidRDefault="008F299E" w:rsidP="000C533C">
            <w:pPr>
              <w:autoSpaceDE w:val="0"/>
              <w:autoSpaceDN w:val="0"/>
              <w:adjustRightInd w:val="0"/>
              <w:rPr>
                <w:rFonts w:ascii="Arial" w:hAnsi="Arial" w:cs="Arial"/>
                <w:color w:val="auto"/>
                <w:sz w:val="16"/>
                <w:szCs w:val="16"/>
              </w:rPr>
            </w:pPr>
            <w:r w:rsidRPr="00504BE3">
              <w:rPr>
                <w:rFonts w:ascii="Arial" w:hAnsi="Arial" w:cs="Arial"/>
                <w:color w:val="auto"/>
                <w:sz w:val="16"/>
                <w:szCs w:val="16"/>
              </w:rPr>
              <w:t>Cascade’s Baseline Emissions Value (</w:t>
            </w:r>
            <w:r w:rsidR="000C533C" w:rsidRPr="00504BE3">
              <w:rPr>
                <w:rFonts w:ascii="Arial" w:hAnsi="Arial" w:cs="Arial"/>
                <w:color w:val="auto"/>
                <w:sz w:val="16"/>
                <w:szCs w:val="16"/>
              </w:rPr>
              <w:t xml:space="preserve">MT </w:t>
            </w:r>
            <w:r w:rsidRPr="00504BE3">
              <w:rPr>
                <w:rFonts w:ascii="Arial" w:hAnsi="Arial" w:cs="Arial"/>
                <w:color w:val="auto"/>
                <w:sz w:val="16"/>
                <w:szCs w:val="16"/>
              </w:rPr>
              <w:t>of CO</w:t>
            </w:r>
            <w:r w:rsidRPr="00504BE3">
              <w:rPr>
                <w:rFonts w:ascii="Arial" w:hAnsi="Arial" w:cs="Arial"/>
                <w:color w:val="auto"/>
                <w:sz w:val="16"/>
                <w:szCs w:val="16"/>
                <w:vertAlign w:val="subscript"/>
              </w:rPr>
              <w:t>2</w:t>
            </w:r>
            <w:r w:rsidRPr="00504BE3">
              <w:rPr>
                <w:rFonts w:ascii="Arial" w:hAnsi="Arial" w:cs="Arial"/>
                <w:color w:val="auto"/>
                <w:sz w:val="16"/>
                <w:szCs w:val="16"/>
              </w:rPr>
              <w:t>)</w:t>
            </w:r>
          </w:p>
        </w:tc>
        <w:tc>
          <w:tcPr>
            <w:tcW w:w="2610" w:type="dxa"/>
            <w:shd w:val="clear" w:color="auto" w:fill="D6ECFF" w:themeFill="background2"/>
          </w:tcPr>
          <w:p w14:paraId="57DAA072" w14:textId="3646114A" w:rsidR="008F299E" w:rsidRPr="00504BE3" w:rsidRDefault="008F299E" w:rsidP="000C533C">
            <w:pPr>
              <w:autoSpaceDE w:val="0"/>
              <w:autoSpaceDN w:val="0"/>
              <w:adjustRightInd w:val="0"/>
              <w:rPr>
                <w:rFonts w:ascii="Arial" w:hAnsi="Arial" w:cs="Arial"/>
                <w:color w:val="auto"/>
                <w:sz w:val="16"/>
                <w:szCs w:val="16"/>
              </w:rPr>
            </w:pPr>
            <w:r w:rsidRPr="00504BE3">
              <w:rPr>
                <w:rFonts w:ascii="Arial" w:hAnsi="Arial" w:cs="Arial"/>
                <w:color w:val="auto"/>
                <w:sz w:val="16"/>
                <w:szCs w:val="16"/>
              </w:rPr>
              <w:t>Potential Emission Reduction Pathway or Emissions Allowed Each Year (</w:t>
            </w:r>
            <w:r w:rsidR="000C533C" w:rsidRPr="00504BE3">
              <w:rPr>
                <w:rFonts w:ascii="Arial" w:hAnsi="Arial" w:cs="Arial"/>
                <w:color w:val="auto"/>
                <w:sz w:val="16"/>
                <w:szCs w:val="16"/>
              </w:rPr>
              <w:t>MT</w:t>
            </w:r>
            <w:r w:rsidRPr="00504BE3">
              <w:rPr>
                <w:rFonts w:ascii="Arial" w:hAnsi="Arial" w:cs="Arial"/>
                <w:color w:val="auto"/>
                <w:sz w:val="16"/>
                <w:szCs w:val="16"/>
              </w:rPr>
              <w:t xml:space="preserve"> of CO</w:t>
            </w:r>
            <w:r w:rsidRPr="00504BE3">
              <w:rPr>
                <w:rFonts w:ascii="Arial" w:hAnsi="Arial" w:cs="Arial"/>
                <w:color w:val="auto"/>
                <w:sz w:val="16"/>
                <w:szCs w:val="16"/>
                <w:vertAlign w:val="subscript"/>
              </w:rPr>
              <w:t>2</w:t>
            </w:r>
            <w:r w:rsidRPr="00504BE3">
              <w:rPr>
                <w:rFonts w:ascii="Arial" w:hAnsi="Arial" w:cs="Arial"/>
                <w:color w:val="auto"/>
                <w:sz w:val="16"/>
                <w:szCs w:val="16"/>
              </w:rPr>
              <w:t>)</w:t>
            </w:r>
          </w:p>
        </w:tc>
      </w:tr>
      <w:tr w:rsidR="00AA3200" w:rsidRPr="00C276ED" w14:paraId="1A9A0F5A" w14:textId="77777777" w:rsidTr="00504BE3">
        <w:tc>
          <w:tcPr>
            <w:tcW w:w="1435" w:type="dxa"/>
          </w:tcPr>
          <w:p w14:paraId="2B6E48CF" w14:textId="77777777" w:rsidR="00AA3200" w:rsidRPr="00504BE3" w:rsidRDefault="00AA3200" w:rsidP="00504BE3">
            <w:pPr>
              <w:autoSpaceDE w:val="0"/>
              <w:autoSpaceDN w:val="0"/>
              <w:adjustRightInd w:val="0"/>
              <w:jc w:val="center"/>
              <w:rPr>
                <w:rFonts w:ascii="Arial" w:hAnsi="Arial" w:cs="Arial"/>
                <w:color w:val="auto"/>
                <w:sz w:val="16"/>
                <w:szCs w:val="16"/>
              </w:rPr>
            </w:pPr>
            <w:r w:rsidRPr="00504BE3">
              <w:rPr>
                <w:rFonts w:ascii="Arial" w:hAnsi="Arial" w:cs="Arial"/>
                <w:color w:val="auto"/>
                <w:sz w:val="16"/>
                <w:szCs w:val="16"/>
              </w:rPr>
              <w:t>2017</w:t>
            </w:r>
          </w:p>
        </w:tc>
        <w:tc>
          <w:tcPr>
            <w:tcW w:w="1997" w:type="dxa"/>
          </w:tcPr>
          <w:p w14:paraId="40EC0072" w14:textId="7CAE4D28" w:rsidR="00AA3200" w:rsidRPr="00504BE3" w:rsidRDefault="00AA3200" w:rsidP="00504BE3">
            <w:pPr>
              <w:autoSpaceDE w:val="0"/>
              <w:autoSpaceDN w:val="0"/>
              <w:adjustRightInd w:val="0"/>
              <w:jc w:val="right"/>
              <w:rPr>
                <w:rFonts w:ascii="Arial" w:hAnsi="Arial" w:cs="Arial"/>
                <w:color w:val="auto"/>
                <w:sz w:val="16"/>
                <w:szCs w:val="16"/>
              </w:rPr>
            </w:pPr>
            <w:r w:rsidRPr="00504BE3">
              <w:rPr>
                <w:rFonts w:ascii="Arial" w:hAnsi="Arial" w:cs="Arial"/>
                <w:sz w:val="16"/>
                <w:szCs w:val="16"/>
              </w:rPr>
              <w:t>2,277,546</w:t>
            </w:r>
          </w:p>
        </w:tc>
        <w:tc>
          <w:tcPr>
            <w:tcW w:w="2610" w:type="dxa"/>
          </w:tcPr>
          <w:p w14:paraId="38D9E7B0" w14:textId="45D2E826" w:rsidR="00AA3200" w:rsidRPr="00504BE3" w:rsidRDefault="00AA3200" w:rsidP="00504BE3">
            <w:pPr>
              <w:autoSpaceDE w:val="0"/>
              <w:autoSpaceDN w:val="0"/>
              <w:adjustRightInd w:val="0"/>
              <w:jc w:val="right"/>
              <w:rPr>
                <w:rFonts w:ascii="Arial" w:hAnsi="Arial" w:cs="Arial"/>
                <w:color w:val="auto"/>
                <w:sz w:val="16"/>
                <w:szCs w:val="16"/>
              </w:rPr>
            </w:pPr>
            <w:r w:rsidRPr="00504BE3">
              <w:rPr>
                <w:rFonts w:ascii="Arial" w:hAnsi="Arial" w:cs="Arial"/>
                <w:sz w:val="16"/>
                <w:szCs w:val="16"/>
              </w:rPr>
              <w:t>2,277,546</w:t>
            </w:r>
          </w:p>
        </w:tc>
      </w:tr>
      <w:tr w:rsidR="00AA3200" w:rsidRPr="00C276ED" w14:paraId="19A7CAA2" w14:textId="77777777" w:rsidTr="00504BE3">
        <w:tc>
          <w:tcPr>
            <w:tcW w:w="1435" w:type="dxa"/>
          </w:tcPr>
          <w:p w14:paraId="234B9CF4" w14:textId="77777777" w:rsidR="00AA3200" w:rsidRPr="00504BE3" w:rsidRDefault="00AA3200" w:rsidP="00504BE3">
            <w:pPr>
              <w:autoSpaceDE w:val="0"/>
              <w:autoSpaceDN w:val="0"/>
              <w:adjustRightInd w:val="0"/>
              <w:jc w:val="center"/>
              <w:rPr>
                <w:rFonts w:ascii="Arial" w:hAnsi="Arial" w:cs="Arial"/>
                <w:color w:val="auto"/>
                <w:sz w:val="16"/>
                <w:szCs w:val="16"/>
              </w:rPr>
            </w:pPr>
            <w:r w:rsidRPr="00504BE3">
              <w:rPr>
                <w:rFonts w:ascii="Arial" w:hAnsi="Arial" w:cs="Arial"/>
                <w:color w:val="auto"/>
                <w:sz w:val="16"/>
                <w:szCs w:val="16"/>
              </w:rPr>
              <w:t>2018</w:t>
            </w:r>
          </w:p>
        </w:tc>
        <w:tc>
          <w:tcPr>
            <w:tcW w:w="1997" w:type="dxa"/>
          </w:tcPr>
          <w:p w14:paraId="26D10B64" w14:textId="4720D3F1" w:rsidR="00AA3200" w:rsidRPr="00504BE3" w:rsidRDefault="00AA3200" w:rsidP="00504BE3">
            <w:pPr>
              <w:autoSpaceDE w:val="0"/>
              <w:autoSpaceDN w:val="0"/>
              <w:adjustRightInd w:val="0"/>
              <w:jc w:val="right"/>
              <w:rPr>
                <w:rFonts w:ascii="Arial" w:hAnsi="Arial" w:cs="Arial"/>
                <w:color w:val="auto"/>
                <w:sz w:val="16"/>
                <w:szCs w:val="16"/>
              </w:rPr>
            </w:pPr>
            <w:r w:rsidRPr="00504BE3">
              <w:rPr>
                <w:rFonts w:ascii="Arial" w:hAnsi="Arial" w:cs="Arial"/>
                <w:sz w:val="16"/>
                <w:szCs w:val="16"/>
              </w:rPr>
              <w:t>2,277,546</w:t>
            </w:r>
          </w:p>
        </w:tc>
        <w:tc>
          <w:tcPr>
            <w:tcW w:w="2610" w:type="dxa"/>
          </w:tcPr>
          <w:p w14:paraId="3CAED17F" w14:textId="516FB218" w:rsidR="00AA3200" w:rsidRPr="00504BE3" w:rsidRDefault="00AA3200" w:rsidP="00504BE3">
            <w:pPr>
              <w:autoSpaceDE w:val="0"/>
              <w:autoSpaceDN w:val="0"/>
              <w:adjustRightInd w:val="0"/>
              <w:jc w:val="right"/>
              <w:rPr>
                <w:rFonts w:ascii="Arial" w:hAnsi="Arial" w:cs="Arial"/>
                <w:color w:val="auto"/>
                <w:sz w:val="16"/>
                <w:szCs w:val="16"/>
              </w:rPr>
            </w:pPr>
            <w:r w:rsidRPr="00504BE3">
              <w:rPr>
                <w:rFonts w:ascii="Arial" w:hAnsi="Arial" w:cs="Arial"/>
                <w:sz w:val="16"/>
                <w:szCs w:val="16"/>
              </w:rPr>
              <w:t>2,238,828</w:t>
            </w:r>
          </w:p>
        </w:tc>
      </w:tr>
      <w:tr w:rsidR="00AA3200" w:rsidRPr="00C276ED" w14:paraId="626A1365" w14:textId="77777777" w:rsidTr="00504BE3">
        <w:tc>
          <w:tcPr>
            <w:tcW w:w="1435" w:type="dxa"/>
          </w:tcPr>
          <w:p w14:paraId="551565FE" w14:textId="77777777" w:rsidR="00AA3200" w:rsidRPr="00504BE3" w:rsidRDefault="00AA3200" w:rsidP="00504BE3">
            <w:pPr>
              <w:autoSpaceDE w:val="0"/>
              <w:autoSpaceDN w:val="0"/>
              <w:adjustRightInd w:val="0"/>
              <w:jc w:val="center"/>
              <w:rPr>
                <w:rFonts w:ascii="Arial" w:hAnsi="Arial" w:cs="Arial"/>
                <w:color w:val="auto"/>
                <w:sz w:val="16"/>
                <w:szCs w:val="16"/>
              </w:rPr>
            </w:pPr>
            <w:r w:rsidRPr="00504BE3">
              <w:rPr>
                <w:rFonts w:ascii="Arial" w:hAnsi="Arial" w:cs="Arial"/>
                <w:color w:val="auto"/>
                <w:sz w:val="16"/>
                <w:szCs w:val="16"/>
              </w:rPr>
              <w:t>2019</w:t>
            </w:r>
          </w:p>
        </w:tc>
        <w:tc>
          <w:tcPr>
            <w:tcW w:w="1997" w:type="dxa"/>
          </w:tcPr>
          <w:p w14:paraId="30F6A381" w14:textId="451031FD" w:rsidR="00AA3200" w:rsidRPr="00504BE3" w:rsidRDefault="00AA3200" w:rsidP="00504BE3">
            <w:pPr>
              <w:autoSpaceDE w:val="0"/>
              <w:autoSpaceDN w:val="0"/>
              <w:adjustRightInd w:val="0"/>
              <w:jc w:val="right"/>
              <w:rPr>
                <w:rFonts w:ascii="Arial" w:hAnsi="Arial" w:cs="Arial"/>
                <w:color w:val="auto"/>
                <w:sz w:val="16"/>
                <w:szCs w:val="16"/>
              </w:rPr>
            </w:pPr>
            <w:r w:rsidRPr="00504BE3">
              <w:rPr>
                <w:rFonts w:ascii="Arial" w:hAnsi="Arial" w:cs="Arial"/>
                <w:sz w:val="16"/>
                <w:szCs w:val="16"/>
              </w:rPr>
              <w:t>2,277,546</w:t>
            </w:r>
          </w:p>
        </w:tc>
        <w:tc>
          <w:tcPr>
            <w:tcW w:w="2610" w:type="dxa"/>
          </w:tcPr>
          <w:p w14:paraId="00EB6ABA" w14:textId="195A86A3" w:rsidR="00AA3200" w:rsidRPr="00504BE3" w:rsidRDefault="00AA3200" w:rsidP="00504BE3">
            <w:pPr>
              <w:autoSpaceDE w:val="0"/>
              <w:autoSpaceDN w:val="0"/>
              <w:adjustRightInd w:val="0"/>
              <w:jc w:val="right"/>
              <w:rPr>
                <w:rFonts w:ascii="Arial" w:hAnsi="Arial" w:cs="Arial"/>
                <w:color w:val="auto"/>
                <w:sz w:val="16"/>
                <w:szCs w:val="16"/>
              </w:rPr>
            </w:pPr>
            <w:r w:rsidRPr="00504BE3">
              <w:rPr>
                <w:rFonts w:ascii="Arial" w:hAnsi="Arial" w:cs="Arial"/>
                <w:sz w:val="16"/>
                <w:szCs w:val="16"/>
              </w:rPr>
              <w:t>2,200,110</w:t>
            </w:r>
          </w:p>
        </w:tc>
      </w:tr>
      <w:tr w:rsidR="00AA3200" w:rsidRPr="00C276ED" w14:paraId="452A18A6" w14:textId="77777777" w:rsidTr="00504BE3">
        <w:tc>
          <w:tcPr>
            <w:tcW w:w="1435" w:type="dxa"/>
          </w:tcPr>
          <w:p w14:paraId="1A7701E1" w14:textId="77777777" w:rsidR="00AA3200" w:rsidRPr="00504BE3" w:rsidRDefault="00AA3200" w:rsidP="00504BE3">
            <w:pPr>
              <w:autoSpaceDE w:val="0"/>
              <w:autoSpaceDN w:val="0"/>
              <w:adjustRightInd w:val="0"/>
              <w:jc w:val="center"/>
              <w:rPr>
                <w:rFonts w:ascii="Arial" w:hAnsi="Arial" w:cs="Arial"/>
                <w:color w:val="auto"/>
                <w:sz w:val="16"/>
                <w:szCs w:val="16"/>
              </w:rPr>
            </w:pPr>
            <w:r w:rsidRPr="00504BE3">
              <w:rPr>
                <w:rFonts w:ascii="Arial" w:hAnsi="Arial" w:cs="Arial"/>
                <w:color w:val="auto"/>
                <w:sz w:val="16"/>
                <w:szCs w:val="16"/>
              </w:rPr>
              <w:t>2020</w:t>
            </w:r>
          </w:p>
        </w:tc>
        <w:tc>
          <w:tcPr>
            <w:tcW w:w="1997" w:type="dxa"/>
          </w:tcPr>
          <w:p w14:paraId="628FE12A" w14:textId="40EBD8E2" w:rsidR="00AA3200" w:rsidRPr="00504BE3" w:rsidRDefault="00AA3200" w:rsidP="00504BE3">
            <w:pPr>
              <w:autoSpaceDE w:val="0"/>
              <w:autoSpaceDN w:val="0"/>
              <w:adjustRightInd w:val="0"/>
              <w:jc w:val="right"/>
              <w:rPr>
                <w:rFonts w:ascii="Arial" w:hAnsi="Arial" w:cs="Arial"/>
                <w:color w:val="auto"/>
                <w:sz w:val="16"/>
                <w:szCs w:val="16"/>
              </w:rPr>
            </w:pPr>
            <w:r w:rsidRPr="00504BE3">
              <w:rPr>
                <w:rFonts w:ascii="Arial" w:hAnsi="Arial" w:cs="Arial"/>
                <w:sz w:val="16"/>
                <w:szCs w:val="16"/>
              </w:rPr>
              <w:t>2,277,546</w:t>
            </w:r>
          </w:p>
        </w:tc>
        <w:tc>
          <w:tcPr>
            <w:tcW w:w="2610" w:type="dxa"/>
          </w:tcPr>
          <w:p w14:paraId="44BDEC96" w14:textId="32EC1C63" w:rsidR="00AA3200" w:rsidRPr="00504BE3" w:rsidRDefault="00AA3200" w:rsidP="00504BE3">
            <w:pPr>
              <w:autoSpaceDE w:val="0"/>
              <w:autoSpaceDN w:val="0"/>
              <w:adjustRightInd w:val="0"/>
              <w:jc w:val="right"/>
              <w:rPr>
                <w:rFonts w:ascii="Arial" w:hAnsi="Arial" w:cs="Arial"/>
                <w:color w:val="auto"/>
                <w:sz w:val="16"/>
                <w:szCs w:val="16"/>
              </w:rPr>
            </w:pPr>
            <w:r w:rsidRPr="00504BE3">
              <w:rPr>
                <w:rFonts w:ascii="Arial" w:hAnsi="Arial" w:cs="Arial"/>
                <w:sz w:val="16"/>
                <w:szCs w:val="16"/>
              </w:rPr>
              <w:t>2,161,392</w:t>
            </w:r>
          </w:p>
        </w:tc>
      </w:tr>
      <w:tr w:rsidR="00AA3200" w:rsidRPr="00C276ED" w14:paraId="111B390E" w14:textId="77777777" w:rsidTr="00504BE3">
        <w:tc>
          <w:tcPr>
            <w:tcW w:w="1435" w:type="dxa"/>
          </w:tcPr>
          <w:p w14:paraId="7B007031" w14:textId="77777777" w:rsidR="00AA3200" w:rsidRPr="00504BE3" w:rsidRDefault="00AA3200" w:rsidP="00504BE3">
            <w:pPr>
              <w:autoSpaceDE w:val="0"/>
              <w:autoSpaceDN w:val="0"/>
              <w:adjustRightInd w:val="0"/>
              <w:jc w:val="center"/>
              <w:rPr>
                <w:rFonts w:ascii="Arial" w:hAnsi="Arial" w:cs="Arial"/>
                <w:color w:val="auto"/>
                <w:sz w:val="16"/>
                <w:szCs w:val="16"/>
              </w:rPr>
            </w:pPr>
            <w:r w:rsidRPr="00504BE3">
              <w:rPr>
                <w:rFonts w:ascii="Arial" w:hAnsi="Arial" w:cs="Arial"/>
                <w:color w:val="auto"/>
                <w:sz w:val="16"/>
                <w:szCs w:val="16"/>
              </w:rPr>
              <w:t>2021</w:t>
            </w:r>
          </w:p>
        </w:tc>
        <w:tc>
          <w:tcPr>
            <w:tcW w:w="1997" w:type="dxa"/>
          </w:tcPr>
          <w:p w14:paraId="5ADD0A79" w14:textId="2709C3FB" w:rsidR="00AA3200" w:rsidRPr="00504BE3" w:rsidRDefault="00AA3200" w:rsidP="00504BE3">
            <w:pPr>
              <w:autoSpaceDE w:val="0"/>
              <w:autoSpaceDN w:val="0"/>
              <w:adjustRightInd w:val="0"/>
              <w:jc w:val="right"/>
              <w:rPr>
                <w:rFonts w:ascii="Arial" w:hAnsi="Arial" w:cs="Arial"/>
                <w:color w:val="auto"/>
                <w:sz w:val="16"/>
                <w:szCs w:val="16"/>
              </w:rPr>
            </w:pPr>
            <w:r w:rsidRPr="00504BE3">
              <w:rPr>
                <w:rFonts w:ascii="Arial" w:hAnsi="Arial" w:cs="Arial"/>
                <w:sz w:val="16"/>
                <w:szCs w:val="16"/>
              </w:rPr>
              <w:t>2,277,546</w:t>
            </w:r>
          </w:p>
        </w:tc>
        <w:tc>
          <w:tcPr>
            <w:tcW w:w="2610" w:type="dxa"/>
          </w:tcPr>
          <w:p w14:paraId="6CE7BBC4" w14:textId="3CB028A2" w:rsidR="00AA3200" w:rsidRPr="00504BE3" w:rsidRDefault="00AA3200" w:rsidP="00504BE3">
            <w:pPr>
              <w:autoSpaceDE w:val="0"/>
              <w:autoSpaceDN w:val="0"/>
              <w:adjustRightInd w:val="0"/>
              <w:jc w:val="right"/>
              <w:rPr>
                <w:rFonts w:ascii="Arial" w:hAnsi="Arial" w:cs="Arial"/>
                <w:color w:val="auto"/>
                <w:sz w:val="16"/>
                <w:szCs w:val="16"/>
              </w:rPr>
            </w:pPr>
            <w:r w:rsidRPr="00504BE3">
              <w:rPr>
                <w:rFonts w:ascii="Arial" w:hAnsi="Arial" w:cs="Arial"/>
                <w:sz w:val="16"/>
                <w:szCs w:val="16"/>
              </w:rPr>
              <w:t>2,122,673</w:t>
            </w:r>
          </w:p>
        </w:tc>
      </w:tr>
      <w:tr w:rsidR="00AA3200" w:rsidRPr="00C276ED" w14:paraId="7AB405D8" w14:textId="77777777" w:rsidTr="00504BE3">
        <w:tc>
          <w:tcPr>
            <w:tcW w:w="1435" w:type="dxa"/>
          </w:tcPr>
          <w:p w14:paraId="5C688276" w14:textId="77777777" w:rsidR="00AA3200" w:rsidRPr="00504BE3" w:rsidRDefault="00AA3200" w:rsidP="00504BE3">
            <w:pPr>
              <w:autoSpaceDE w:val="0"/>
              <w:autoSpaceDN w:val="0"/>
              <w:adjustRightInd w:val="0"/>
              <w:jc w:val="center"/>
              <w:rPr>
                <w:rFonts w:ascii="Arial" w:hAnsi="Arial" w:cs="Arial"/>
                <w:color w:val="auto"/>
                <w:sz w:val="16"/>
                <w:szCs w:val="16"/>
              </w:rPr>
            </w:pPr>
            <w:r w:rsidRPr="00504BE3">
              <w:rPr>
                <w:rFonts w:ascii="Arial" w:hAnsi="Arial" w:cs="Arial"/>
                <w:color w:val="auto"/>
                <w:sz w:val="16"/>
                <w:szCs w:val="16"/>
              </w:rPr>
              <w:t>2022</w:t>
            </w:r>
          </w:p>
        </w:tc>
        <w:tc>
          <w:tcPr>
            <w:tcW w:w="1997" w:type="dxa"/>
          </w:tcPr>
          <w:p w14:paraId="3061C16F" w14:textId="4D13AE62" w:rsidR="00AA3200" w:rsidRPr="00504BE3" w:rsidRDefault="00AA3200" w:rsidP="00504BE3">
            <w:pPr>
              <w:autoSpaceDE w:val="0"/>
              <w:autoSpaceDN w:val="0"/>
              <w:adjustRightInd w:val="0"/>
              <w:jc w:val="right"/>
              <w:rPr>
                <w:rFonts w:ascii="Arial" w:hAnsi="Arial" w:cs="Arial"/>
                <w:color w:val="auto"/>
                <w:sz w:val="16"/>
                <w:szCs w:val="16"/>
              </w:rPr>
            </w:pPr>
            <w:r w:rsidRPr="00504BE3">
              <w:rPr>
                <w:rFonts w:ascii="Arial" w:hAnsi="Arial" w:cs="Arial"/>
                <w:sz w:val="16"/>
                <w:szCs w:val="16"/>
              </w:rPr>
              <w:t>2,277,546</w:t>
            </w:r>
          </w:p>
        </w:tc>
        <w:tc>
          <w:tcPr>
            <w:tcW w:w="2610" w:type="dxa"/>
          </w:tcPr>
          <w:p w14:paraId="31468DA0" w14:textId="0715D626" w:rsidR="00AA3200" w:rsidRPr="00504BE3" w:rsidRDefault="00AA3200" w:rsidP="00504BE3">
            <w:pPr>
              <w:autoSpaceDE w:val="0"/>
              <w:autoSpaceDN w:val="0"/>
              <w:adjustRightInd w:val="0"/>
              <w:jc w:val="right"/>
              <w:rPr>
                <w:rFonts w:ascii="Arial" w:hAnsi="Arial" w:cs="Arial"/>
                <w:color w:val="auto"/>
                <w:sz w:val="16"/>
                <w:szCs w:val="16"/>
              </w:rPr>
            </w:pPr>
            <w:r w:rsidRPr="00504BE3">
              <w:rPr>
                <w:rFonts w:ascii="Arial" w:hAnsi="Arial" w:cs="Arial"/>
                <w:sz w:val="16"/>
                <w:szCs w:val="16"/>
              </w:rPr>
              <w:t>2,083,955</w:t>
            </w:r>
          </w:p>
        </w:tc>
      </w:tr>
      <w:tr w:rsidR="00AA3200" w:rsidRPr="00C276ED" w14:paraId="7980C32F" w14:textId="77777777" w:rsidTr="00504BE3">
        <w:tc>
          <w:tcPr>
            <w:tcW w:w="1435" w:type="dxa"/>
          </w:tcPr>
          <w:p w14:paraId="67511DB0" w14:textId="77777777" w:rsidR="00AA3200" w:rsidRPr="00504BE3" w:rsidRDefault="00AA3200" w:rsidP="00504BE3">
            <w:pPr>
              <w:autoSpaceDE w:val="0"/>
              <w:autoSpaceDN w:val="0"/>
              <w:adjustRightInd w:val="0"/>
              <w:jc w:val="center"/>
              <w:rPr>
                <w:rFonts w:ascii="Arial" w:hAnsi="Arial" w:cs="Arial"/>
                <w:color w:val="auto"/>
                <w:sz w:val="16"/>
                <w:szCs w:val="16"/>
              </w:rPr>
            </w:pPr>
            <w:r w:rsidRPr="00504BE3">
              <w:rPr>
                <w:rFonts w:ascii="Arial" w:hAnsi="Arial" w:cs="Arial"/>
                <w:color w:val="auto"/>
                <w:sz w:val="16"/>
                <w:szCs w:val="16"/>
              </w:rPr>
              <w:t>2023</w:t>
            </w:r>
          </w:p>
        </w:tc>
        <w:tc>
          <w:tcPr>
            <w:tcW w:w="1997" w:type="dxa"/>
          </w:tcPr>
          <w:p w14:paraId="2DECCA45" w14:textId="6BC51C89" w:rsidR="00AA3200" w:rsidRPr="00504BE3" w:rsidRDefault="00AA3200" w:rsidP="00504BE3">
            <w:pPr>
              <w:autoSpaceDE w:val="0"/>
              <w:autoSpaceDN w:val="0"/>
              <w:adjustRightInd w:val="0"/>
              <w:jc w:val="right"/>
              <w:rPr>
                <w:rFonts w:ascii="Arial" w:hAnsi="Arial" w:cs="Arial"/>
                <w:color w:val="auto"/>
                <w:sz w:val="16"/>
                <w:szCs w:val="16"/>
              </w:rPr>
            </w:pPr>
            <w:r w:rsidRPr="00504BE3">
              <w:rPr>
                <w:rFonts w:ascii="Arial" w:hAnsi="Arial" w:cs="Arial"/>
                <w:sz w:val="16"/>
                <w:szCs w:val="16"/>
              </w:rPr>
              <w:t>2,277,546</w:t>
            </w:r>
          </w:p>
        </w:tc>
        <w:tc>
          <w:tcPr>
            <w:tcW w:w="2610" w:type="dxa"/>
          </w:tcPr>
          <w:p w14:paraId="70189108" w14:textId="03E49E79" w:rsidR="00AA3200" w:rsidRPr="00504BE3" w:rsidRDefault="00AA3200" w:rsidP="00504BE3">
            <w:pPr>
              <w:autoSpaceDE w:val="0"/>
              <w:autoSpaceDN w:val="0"/>
              <w:adjustRightInd w:val="0"/>
              <w:jc w:val="right"/>
              <w:rPr>
                <w:rFonts w:ascii="Arial" w:hAnsi="Arial" w:cs="Arial"/>
                <w:color w:val="auto"/>
                <w:sz w:val="16"/>
                <w:szCs w:val="16"/>
              </w:rPr>
            </w:pPr>
            <w:r w:rsidRPr="00504BE3">
              <w:rPr>
                <w:rFonts w:ascii="Arial" w:hAnsi="Arial" w:cs="Arial"/>
                <w:sz w:val="16"/>
                <w:szCs w:val="16"/>
              </w:rPr>
              <w:t>2,045,237</w:t>
            </w:r>
          </w:p>
        </w:tc>
      </w:tr>
      <w:tr w:rsidR="00AA3200" w:rsidRPr="00C276ED" w14:paraId="51448738" w14:textId="77777777" w:rsidTr="00504BE3">
        <w:tc>
          <w:tcPr>
            <w:tcW w:w="1435" w:type="dxa"/>
          </w:tcPr>
          <w:p w14:paraId="5BCCD5D6" w14:textId="77777777" w:rsidR="00AA3200" w:rsidRPr="00504BE3" w:rsidRDefault="00AA3200" w:rsidP="00504BE3">
            <w:pPr>
              <w:autoSpaceDE w:val="0"/>
              <w:autoSpaceDN w:val="0"/>
              <w:adjustRightInd w:val="0"/>
              <w:jc w:val="center"/>
              <w:rPr>
                <w:rFonts w:ascii="Arial" w:hAnsi="Arial" w:cs="Arial"/>
                <w:color w:val="auto"/>
                <w:sz w:val="16"/>
                <w:szCs w:val="16"/>
              </w:rPr>
            </w:pPr>
            <w:r w:rsidRPr="00504BE3">
              <w:rPr>
                <w:rFonts w:ascii="Arial" w:hAnsi="Arial" w:cs="Arial"/>
                <w:color w:val="auto"/>
                <w:sz w:val="16"/>
                <w:szCs w:val="16"/>
              </w:rPr>
              <w:t>2024</w:t>
            </w:r>
          </w:p>
        </w:tc>
        <w:tc>
          <w:tcPr>
            <w:tcW w:w="1997" w:type="dxa"/>
          </w:tcPr>
          <w:p w14:paraId="5C346502" w14:textId="74A02E3E" w:rsidR="00AA3200" w:rsidRPr="00504BE3" w:rsidRDefault="00AA3200" w:rsidP="00504BE3">
            <w:pPr>
              <w:autoSpaceDE w:val="0"/>
              <w:autoSpaceDN w:val="0"/>
              <w:adjustRightInd w:val="0"/>
              <w:jc w:val="right"/>
              <w:rPr>
                <w:rFonts w:ascii="Arial" w:hAnsi="Arial" w:cs="Arial"/>
                <w:color w:val="auto"/>
                <w:sz w:val="16"/>
                <w:szCs w:val="16"/>
              </w:rPr>
            </w:pPr>
            <w:r w:rsidRPr="00504BE3">
              <w:rPr>
                <w:rFonts w:ascii="Arial" w:hAnsi="Arial" w:cs="Arial"/>
                <w:sz w:val="16"/>
                <w:szCs w:val="16"/>
              </w:rPr>
              <w:t>2,277,546</w:t>
            </w:r>
          </w:p>
        </w:tc>
        <w:tc>
          <w:tcPr>
            <w:tcW w:w="2610" w:type="dxa"/>
          </w:tcPr>
          <w:p w14:paraId="6113D7A4" w14:textId="401AF9C2" w:rsidR="00AA3200" w:rsidRPr="00504BE3" w:rsidRDefault="00AA3200" w:rsidP="00504BE3">
            <w:pPr>
              <w:autoSpaceDE w:val="0"/>
              <w:autoSpaceDN w:val="0"/>
              <w:adjustRightInd w:val="0"/>
              <w:jc w:val="right"/>
              <w:rPr>
                <w:rFonts w:ascii="Arial" w:hAnsi="Arial" w:cs="Arial"/>
                <w:color w:val="auto"/>
                <w:sz w:val="16"/>
                <w:szCs w:val="16"/>
              </w:rPr>
            </w:pPr>
            <w:r w:rsidRPr="00504BE3">
              <w:rPr>
                <w:rFonts w:ascii="Arial" w:hAnsi="Arial" w:cs="Arial"/>
                <w:sz w:val="16"/>
                <w:szCs w:val="16"/>
              </w:rPr>
              <w:t>2,006,518</w:t>
            </w:r>
          </w:p>
        </w:tc>
      </w:tr>
      <w:tr w:rsidR="00AA3200" w:rsidRPr="00C276ED" w14:paraId="6CFD4526" w14:textId="77777777" w:rsidTr="00504BE3">
        <w:tc>
          <w:tcPr>
            <w:tcW w:w="1435" w:type="dxa"/>
          </w:tcPr>
          <w:p w14:paraId="4D04449D" w14:textId="77777777" w:rsidR="00AA3200" w:rsidRPr="00504BE3" w:rsidRDefault="00AA3200" w:rsidP="00504BE3">
            <w:pPr>
              <w:autoSpaceDE w:val="0"/>
              <w:autoSpaceDN w:val="0"/>
              <w:adjustRightInd w:val="0"/>
              <w:jc w:val="center"/>
              <w:rPr>
                <w:rFonts w:ascii="Arial" w:hAnsi="Arial" w:cs="Arial"/>
                <w:color w:val="auto"/>
                <w:sz w:val="16"/>
                <w:szCs w:val="16"/>
              </w:rPr>
            </w:pPr>
            <w:r w:rsidRPr="00504BE3">
              <w:rPr>
                <w:rFonts w:ascii="Arial" w:hAnsi="Arial" w:cs="Arial"/>
                <w:color w:val="auto"/>
                <w:sz w:val="16"/>
                <w:szCs w:val="16"/>
              </w:rPr>
              <w:t>2025</w:t>
            </w:r>
          </w:p>
        </w:tc>
        <w:tc>
          <w:tcPr>
            <w:tcW w:w="1997" w:type="dxa"/>
          </w:tcPr>
          <w:p w14:paraId="37C909A3" w14:textId="65EC5D6B" w:rsidR="00AA3200" w:rsidRPr="00504BE3" w:rsidRDefault="00AA3200" w:rsidP="00504BE3">
            <w:pPr>
              <w:autoSpaceDE w:val="0"/>
              <w:autoSpaceDN w:val="0"/>
              <w:adjustRightInd w:val="0"/>
              <w:jc w:val="right"/>
              <w:rPr>
                <w:rFonts w:ascii="Arial" w:hAnsi="Arial" w:cs="Arial"/>
                <w:color w:val="auto"/>
                <w:sz w:val="16"/>
                <w:szCs w:val="16"/>
              </w:rPr>
            </w:pPr>
            <w:r w:rsidRPr="00504BE3">
              <w:rPr>
                <w:rFonts w:ascii="Arial" w:hAnsi="Arial" w:cs="Arial"/>
                <w:sz w:val="16"/>
                <w:szCs w:val="16"/>
              </w:rPr>
              <w:t>2,277,546</w:t>
            </w:r>
          </w:p>
        </w:tc>
        <w:tc>
          <w:tcPr>
            <w:tcW w:w="2610" w:type="dxa"/>
          </w:tcPr>
          <w:p w14:paraId="36837A72" w14:textId="37C8B8D3" w:rsidR="00AA3200" w:rsidRPr="00504BE3" w:rsidRDefault="00AA3200" w:rsidP="00504BE3">
            <w:pPr>
              <w:autoSpaceDE w:val="0"/>
              <w:autoSpaceDN w:val="0"/>
              <w:adjustRightInd w:val="0"/>
              <w:jc w:val="right"/>
              <w:rPr>
                <w:rFonts w:ascii="Arial" w:hAnsi="Arial" w:cs="Arial"/>
                <w:color w:val="auto"/>
                <w:sz w:val="16"/>
                <w:szCs w:val="16"/>
              </w:rPr>
            </w:pPr>
            <w:r w:rsidRPr="00504BE3">
              <w:rPr>
                <w:rFonts w:ascii="Arial" w:hAnsi="Arial" w:cs="Arial"/>
                <w:sz w:val="16"/>
                <w:szCs w:val="16"/>
              </w:rPr>
              <w:t>1,967,800</w:t>
            </w:r>
          </w:p>
        </w:tc>
      </w:tr>
      <w:tr w:rsidR="00AA3200" w:rsidRPr="00C276ED" w14:paraId="16304EBC" w14:textId="77777777" w:rsidTr="00504BE3">
        <w:tc>
          <w:tcPr>
            <w:tcW w:w="1435" w:type="dxa"/>
          </w:tcPr>
          <w:p w14:paraId="4B52A58F" w14:textId="77777777" w:rsidR="00AA3200" w:rsidRPr="00504BE3" w:rsidRDefault="00AA3200" w:rsidP="00504BE3">
            <w:pPr>
              <w:autoSpaceDE w:val="0"/>
              <w:autoSpaceDN w:val="0"/>
              <w:adjustRightInd w:val="0"/>
              <w:jc w:val="center"/>
              <w:rPr>
                <w:rFonts w:ascii="Arial" w:hAnsi="Arial" w:cs="Arial"/>
                <w:color w:val="auto"/>
                <w:sz w:val="16"/>
                <w:szCs w:val="16"/>
              </w:rPr>
            </w:pPr>
            <w:r w:rsidRPr="00504BE3">
              <w:rPr>
                <w:rFonts w:ascii="Arial" w:hAnsi="Arial" w:cs="Arial"/>
                <w:color w:val="auto"/>
                <w:sz w:val="16"/>
                <w:szCs w:val="16"/>
              </w:rPr>
              <w:t>2026</w:t>
            </w:r>
          </w:p>
        </w:tc>
        <w:tc>
          <w:tcPr>
            <w:tcW w:w="1997" w:type="dxa"/>
          </w:tcPr>
          <w:p w14:paraId="3CA64860" w14:textId="2A674029" w:rsidR="00AA3200" w:rsidRPr="00504BE3" w:rsidRDefault="00AA3200" w:rsidP="00504BE3">
            <w:pPr>
              <w:autoSpaceDE w:val="0"/>
              <w:autoSpaceDN w:val="0"/>
              <w:adjustRightInd w:val="0"/>
              <w:jc w:val="right"/>
              <w:rPr>
                <w:rFonts w:ascii="Arial" w:hAnsi="Arial" w:cs="Arial"/>
                <w:color w:val="auto"/>
                <w:sz w:val="16"/>
                <w:szCs w:val="16"/>
              </w:rPr>
            </w:pPr>
            <w:r w:rsidRPr="00504BE3">
              <w:rPr>
                <w:rFonts w:ascii="Arial" w:hAnsi="Arial" w:cs="Arial"/>
                <w:sz w:val="16"/>
                <w:szCs w:val="16"/>
              </w:rPr>
              <w:t>2,277,546</w:t>
            </w:r>
          </w:p>
        </w:tc>
        <w:tc>
          <w:tcPr>
            <w:tcW w:w="2610" w:type="dxa"/>
          </w:tcPr>
          <w:p w14:paraId="52335427" w14:textId="56151FA3" w:rsidR="00AA3200" w:rsidRPr="00504BE3" w:rsidRDefault="00AA3200" w:rsidP="00504BE3">
            <w:pPr>
              <w:autoSpaceDE w:val="0"/>
              <w:autoSpaceDN w:val="0"/>
              <w:adjustRightInd w:val="0"/>
              <w:jc w:val="right"/>
              <w:rPr>
                <w:rFonts w:ascii="Arial" w:hAnsi="Arial" w:cs="Arial"/>
                <w:color w:val="auto"/>
                <w:sz w:val="16"/>
                <w:szCs w:val="16"/>
              </w:rPr>
            </w:pPr>
            <w:r w:rsidRPr="00504BE3">
              <w:rPr>
                <w:rFonts w:ascii="Arial" w:hAnsi="Arial" w:cs="Arial"/>
                <w:sz w:val="16"/>
                <w:szCs w:val="16"/>
              </w:rPr>
              <w:t>1,929,082</w:t>
            </w:r>
          </w:p>
        </w:tc>
      </w:tr>
      <w:tr w:rsidR="00AA3200" w:rsidRPr="00C276ED" w14:paraId="2000D41A" w14:textId="77777777" w:rsidTr="00504BE3">
        <w:tc>
          <w:tcPr>
            <w:tcW w:w="1435" w:type="dxa"/>
          </w:tcPr>
          <w:p w14:paraId="564951B8" w14:textId="77777777" w:rsidR="00AA3200" w:rsidRPr="00504BE3" w:rsidRDefault="00AA3200" w:rsidP="00504BE3">
            <w:pPr>
              <w:autoSpaceDE w:val="0"/>
              <w:autoSpaceDN w:val="0"/>
              <w:adjustRightInd w:val="0"/>
              <w:jc w:val="center"/>
              <w:rPr>
                <w:rFonts w:ascii="Arial" w:hAnsi="Arial" w:cs="Arial"/>
                <w:color w:val="auto"/>
                <w:sz w:val="16"/>
                <w:szCs w:val="16"/>
              </w:rPr>
            </w:pPr>
            <w:r w:rsidRPr="00504BE3">
              <w:rPr>
                <w:rFonts w:ascii="Arial" w:hAnsi="Arial" w:cs="Arial"/>
                <w:color w:val="auto"/>
                <w:sz w:val="16"/>
                <w:szCs w:val="16"/>
              </w:rPr>
              <w:t>2027</w:t>
            </w:r>
          </w:p>
        </w:tc>
        <w:tc>
          <w:tcPr>
            <w:tcW w:w="1997" w:type="dxa"/>
          </w:tcPr>
          <w:p w14:paraId="55D0EE5D" w14:textId="036B99A5" w:rsidR="00AA3200" w:rsidRPr="00504BE3" w:rsidRDefault="00AA3200" w:rsidP="00504BE3">
            <w:pPr>
              <w:autoSpaceDE w:val="0"/>
              <w:autoSpaceDN w:val="0"/>
              <w:adjustRightInd w:val="0"/>
              <w:jc w:val="right"/>
              <w:rPr>
                <w:rFonts w:ascii="Arial" w:hAnsi="Arial" w:cs="Arial"/>
                <w:color w:val="auto"/>
                <w:sz w:val="16"/>
                <w:szCs w:val="16"/>
              </w:rPr>
            </w:pPr>
            <w:r w:rsidRPr="00504BE3">
              <w:rPr>
                <w:rFonts w:ascii="Arial" w:hAnsi="Arial" w:cs="Arial"/>
                <w:sz w:val="16"/>
                <w:szCs w:val="16"/>
              </w:rPr>
              <w:t>2,277,546</w:t>
            </w:r>
          </w:p>
        </w:tc>
        <w:tc>
          <w:tcPr>
            <w:tcW w:w="2610" w:type="dxa"/>
          </w:tcPr>
          <w:p w14:paraId="4B553C8D" w14:textId="51F1F1DB" w:rsidR="00AA3200" w:rsidRPr="00504BE3" w:rsidRDefault="00AA3200" w:rsidP="00504BE3">
            <w:pPr>
              <w:autoSpaceDE w:val="0"/>
              <w:autoSpaceDN w:val="0"/>
              <w:adjustRightInd w:val="0"/>
              <w:jc w:val="right"/>
              <w:rPr>
                <w:rFonts w:ascii="Arial" w:hAnsi="Arial" w:cs="Arial"/>
                <w:color w:val="auto"/>
                <w:sz w:val="16"/>
                <w:szCs w:val="16"/>
              </w:rPr>
            </w:pPr>
            <w:r w:rsidRPr="00504BE3">
              <w:rPr>
                <w:rFonts w:ascii="Arial" w:hAnsi="Arial" w:cs="Arial"/>
                <w:sz w:val="16"/>
                <w:szCs w:val="16"/>
              </w:rPr>
              <w:t>1,890,364</w:t>
            </w:r>
          </w:p>
        </w:tc>
      </w:tr>
      <w:tr w:rsidR="00AA3200" w:rsidRPr="00C276ED" w14:paraId="7C60A4F6" w14:textId="77777777" w:rsidTr="00504BE3">
        <w:tc>
          <w:tcPr>
            <w:tcW w:w="1435" w:type="dxa"/>
          </w:tcPr>
          <w:p w14:paraId="5AD5ABFB" w14:textId="77777777" w:rsidR="00AA3200" w:rsidRPr="00504BE3" w:rsidRDefault="00AA3200" w:rsidP="00504BE3">
            <w:pPr>
              <w:autoSpaceDE w:val="0"/>
              <w:autoSpaceDN w:val="0"/>
              <w:adjustRightInd w:val="0"/>
              <w:jc w:val="center"/>
              <w:rPr>
                <w:rFonts w:ascii="Arial" w:hAnsi="Arial" w:cs="Arial"/>
                <w:color w:val="auto"/>
                <w:sz w:val="16"/>
                <w:szCs w:val="16"/>
              </w:rPr>
            </w:pPr>
            <w:r w:rsidRPr="00504BE3">
              <w:rPr>
                <w:rFonts w:ascii="Arial" w:hAnsi="Arial" w:cs="Arial"/>
                <w:color w:val="auto"/>
                <w:sz w:val="16"/>
                <w:szCs w:val="16"/>
              </w:rPr>
              <w:t>2028</w:t>
            </w:r>
          </w:p>
        </w:tc>
        <w:tc>
          <w:tcPr>
            <w:tcW w:w="1997" w:type="dxa"/>
          </w:tcPr>
          <w:p w14:paraId="5233A169" w14:textId="49D85120" w:rsidR="00AA3200" w:rsidRPr="00504BE3" w:rsidRDefault="00AA3200" w:rsidP="00504BE3">
            <w:pPr>
              <w:autoSpaceDE w:val="0"/>
              <w:autoSpaceDN w:val="0"/>
              <w:adjustRightInd w:val="0"/>
              <w:jc w:val="right"/>
              <w:rPr>
                <w:rFonts w:ascii="Arial" w:hAnsi="Arial" w:cs="Arial"/>
                <w:color w:val="auto"/>
                <w:sz w:val="16"/>
                <w:szCs w:val="16"/>
              </w:rPr>
            </w:pPr>
            <w:r w:rsidRPr="00504BE3">
              <w:rPr>
                <w:rFonts w:ascii="Arial" w:hAnsi="Arial" w:cs="Arial"/>
                <w:sz w:val="16"/>
                <w:szCs w:val="16"/>
              </w:rPr>
              <w:t>2,277,546</w:t>
            </w:r>
          </w:p>
        </w:tc>
        <w:tc>
          <w:tcPr>
            <w:tcW w:w="2610" w:type="dxa"/>
          </w:tcPr>
          <w:p w14:paraId="21C42232" w14:textId="0AAD080D" w:rsidR="00AA3200" w:rsidRPr="00504BE3" w:rsidRDefault="00AA3200" w:rsidP="00504BE3">
            <w:pPr>
              <w:autoSpaceDE w:val="0"/>
              <w:autoSpaceDN w:val="0"/>
              <w:adjustRightInd w:val="0"/>
              <w:jc w:val="right"/>
              <w:rPr>
                <w:rFonts w:ascii="Arial" w:hAnsi="Arial" w:cs="Arial"/>
                <w:color w:val="auto"/>
                <w:sz w:val="16"/>
                <w:szCs w:val="16"/>
              </w:rPr>
            </w:pPr>
            <w:r w:rsidRPr="00504BE3">
              <w:rPr>
                <w:rFonts w:ascii="Arial" w:hAnsi="Arial" w:cs="Arial"/>
                <w:sz w:val="16"/>
                <w:szCs w:val="16"/>
              </w:rPr>
              <w:t>1,851,645</w:t>
            </w:r>
          </w:p>
        </w:tc>
      </w:tr>
      <w:tr w:rsidR="00AA3200" w:rsidRPr="00C276ED" w14:paraId="6A31A64F" w14:textId="77777777" w:rsidTr="00504BE3">
        <w:tc>
          <w:tcPr>
            <w:tcW w:w="1435" w:type="dxa"/>
          </w:tcPr>
          <w:p w14:paraId="22A5788A" w14:textId="77777777" w:rsidR="00AA3200" w:rsidRPr="00504BE3" w:rsidRDefault="00AA3200" w:rsidP="00504BE3">
            <w:pPr>
              <w:autoSpaceDE w:val="0"/>
              <w:autoSpaceDN w:val="0"/>
              <w:adjustRightInd w:val="0"/>
              <w:jc w:val="center"/>
              <w:rPr>
                <w:rFonts w:ascii="Arial" w:hAnsi="Arial" w:cs="Arial"/>
                <w:color w:val="auto"/>
                <w:sz w:val="16"/>
                <w:szCs w:val="16"/>
              </w:rPr>
            </w:pPr>
            <w:r w:rsidRPr="00504BE3">
              <w:rPr>
                <w:rFonts w:ascii="Arial" w:hAnsi="Arial" w:cs="Arial"/>
                <w:color w:val="auto"/>
                <w:sz w:val="16"/>
                <w:szCs w:val="16"/>
              </w:rPr>
              <w:t>2029</w:t>
            </w:r>
          </w:p>
        </w:tc>
        <w:tc>
          <w:tcPr>
            <w:tcW w:w="1997" w:type="dxa"/>
          </w:tcPr>
          <w:p w14:paraId="410E13AF" w14:textId="2B1AA2E1" w:rsidR="00AA3200" w:rsidRPr="00504BE3" w:rsidRDefault="00AA3200" w:rsidP="00504BE3">
            <w:pPr>
              <w:autoSpaceDE w:val="0"/>
              <w:autoSpaceDN w:val="0"/>
              <w:adjustRightInd w:val="0"/>
              <w:jc w:val="right"/>
              <w:rPr>
                <w:rFonts w:ascii="Arial" w:hAnsi="Arial" w:cs="Arial"/>
                <w:color w:val="auto"/>
                <w:sz w:val="16"/>
                <w:szCs w:val="16"/>
              </w:rPr>
            </w:pPr>
            <w:r w:rsidRPr="00504BE3">
              <w:rPr>
                <w:rFonts w:ascii="Arial" w:hAnsi="Arial" w:cs="Arial"/>
                <w:sz w:val="16"/>
                <w:szCs w:val="16"/>
              </w:rPr>
              <w:t>2,277,546</w:t>
            </w:r>
          </w:p>
        </w:tc>
        <w:tc>
          <w:tcPr>
            <w:tcW w:w="2610" w:type="dxa"/>
          </w:tcPr>
          <w:p w14:paraId="5415FA56" w14:textId="37E76882" w:rsidR="00AA3200" w:rsidRPr="00504BE3" w:rsidRDefault="00AA3200" w:rsidP="00504BE3">
            <w:pPr>
              <w:autoSpaceDE w:val="0"/>
              <w:autoSpaceDN w:val="0"/>
              <w:adjustRightInd w:val="0"/>
              <w:jc w:val="right"/>
              <w:rPr>
                <w:rFonts w:ascii="Arial" w:hAnsi="Arial" w:cs="Arial"/>
                <w:color w:val="auto"/>
                <w:sz w:val="16"/>
                <w:szCs w:val="16"/>
              </w:rPr>
            </w:pPr>
            <w:r w:rsidRPr="00504BE3">
              <w:rPr>
                <w:rFonts w:ascii="Arial" w:hAnsi="Arial" w:cs="Arial"/>
                <w:sz w:val="16"/>
                <w:szCs w:val="16"/>
              </w:rPr>
              <w:t>1,812,927</w:t>
            </w:r>
          </w:p>
        </w:tc>
      </w:tr>
      <w:tr w:rsidR="00AA3200" w:rsidRPr="00C276ED" w14:paraId="2F405E3C" w14:textId="77777777" w:rsidTr="00504BE3">
        <w:tc>
          <w:tcPr>
            <w:tcW w:w="1435" w:type="dxa"/>
          </w:tcPr>
          <w:p w14:paraId="0DC60237" w14:textId="77777777" w:rsidR="00AA3200" w:rsidRPr="00504BE3" w:rsidRDefault="00AA3200" w:rsidP="00504BE3">
            <w:pPr>
              <w:autoSpaceDE w:val="0"/>
              <w:autoSpaceDN w:val="0"/>
              <w:adjustRightInd w:val="0"/>
              <w:jc w:val="center"/>
              <w:rPr>
                <w:rFonts w:ascii="Arial" w:hAnsi="Arial" w:cs="Arial"/>
                <w:color w:val="auto"/>
                <w:sz w:val="16"/>
                <w:szCs w:val="16"/>
              </w:rPr>
            </w:pPr>
            <w:r w:rsidRPr="00504BE3">
              <w:rPr>
                <w:rFonts w:ascii="Arial" w:hAnsi="Arial" w:cs="Arial"/>
                <w:color w:val="auto"/>
                <w:sz w:val="16"/>
                <w:szCs w:val="16"/>
              </w:rPr>
              <w:t>2030</w:t>
            </w:r>
          </w:p>
        </w:tc>
        <w:tc>
          <w:tcPr>
            <w:tcW w:w="1997" w:type="dxa"/>
          </w:tcPr>
          <w:p w14:paraId="004F9F79" w14:textId="43A103BD" w:rsidR="00AA3200" w:rsidRPr="00504BE3" w:rsidRDefault="00AA3200" w:rsidP="00504BE3">
            <w:pPr>
              <w:autoSpaceDE w:val="0"/>
              <w:autoSpaceDN w:val="0"/>
              <w:adjustRightInd w:val="0"/>
              <w:jc w:val="right"/>
              <w:rPr>
                <w:rFonts w:ascii="Arial" w:hAnsi="Arial" w:cs="Arial"/>
                <w:color w:val="auto"/>
                <w:sz w:val="16"/>
                <w:szCs w:val="16"/>
              </w:rPr>
            </w:pPr>
            <w:r w:rsidRPr="00504BE3">
              <w:rPr>
                <w:rFonts w:ascii="Arial" w:hAnsi="Arial" w:cs="Arial"/>
                <w:sz w:val="16"/>
                <w:szCs w:val="16"/>
              </w:rPr>
              <w:t>2,277,546</w:t>
            </w:r>
          </w:p>
        </w:tc>
        <w:tc>
          <w:tcPr>
            <w:tcW w:w="2610" w:type="dxa"/>
          </w:tcPr>
          <w:p w14:paraId="09A58DDF" w14:textId="13195290" w:rsidR="00AA3200" w:rsidRPr="00504BE3" w:rsidRDefault="00AA3200" w:rsidP="00504BE3">
            <w:pPr>
              <w:autoSpaceDE w:val="0"/>
              <w:autoSpaceDN w:val="0"/>
              <w:adjustRightInd w:val="0"/>
              <w:jc w:val="right"/>
              <w:rPr>
                <w:rFonts w:ascii="Arial" w:hAnsi="Arial" w:cs="Arial"/>
                <w:color w:val="auto"/>
                <w:sz w:val="16"/>
                <w:szCs w:val="16"/>
              </w:rPr>
            </w:pPr>
            <w:r w:rsidRPr="00504BE3">
              <w:rPr>
                <w:rFonts w:ascii="Arial" w:hAnsi="Arial" w:cs="Arial"/>
                <w:sz w:val="16"/>
                <w:szCs w:val="16"/>
              </w:rPr>
              <w:t>1,774,209</w:t>
            </w:r>
          </w:p>
        </w:tc>
      </w:tr>
      <w:tr w:rsidR="00AA3200" w:rsidRPr="00C276ED" w14:paraId="0854B82B" w14:textId="77777777" w:rsidTr="00504BE3">
        <w:tc>
          <w:tcPr>
            <w:tcW w:w="1435" w:type="dxa"/>
          </w:tcPr>
          <w:p w14:paraId="536BEAD2" w14:textId="77777777" w:rsidR="00AA3200" w:rsidRPr="00504BE3" w:rsidRDefault="00AA3200" w:rsidP="00504BE3">
            <w:pPr>
              <w:autoSpaceDE w:val="0"/>
              <w:autoSpaceDN w:val="0"/>
              <w:adjustRightInd w:val="0"/>
              <w:jc w:val="center"/>
              <w:rPr>
                <w:rFonts w:ascii="Arial" w:hAnsi="Arial" w:cs="Arial"/>
                <w:color w:val="auto"/>
                <w:sz w:val="16"/>
                <w:szCs w:val="16"/>
              </w:rPr>
            </w:pPr>
            <w:r w:rsidRPr="00504BE3">
              <w:rPr>
                <w:rFonts w:ascii="Arial" w:hAnsi="Arial" w:cs="Arial"/>
                <w:color w:val="auto"/>
                <w:sz w:val="16"/>
                <w:szCs w:val="16"/>
              </w:rPr>
              <w:t>2031</w:t>
            </w:r>
          </w:p>
        </w:tc>
        <w:tc>
          <w:tcPr>
            <w:tcW w:w="1997" w:type="dxa"/>
          </w:tcPr>
          <w:p w14:paraId="6E1C4C5F" w14:textId="4D811D2D" w:rsidR="00AA3200" w:rsidRPr="00504BE3" w:rsidRDefault="00AA3200" w:rsidP="00504BE3">
            <w:pPr>
              <w:autoSpaceDE w:val="0"/>
              <w:autoSpaceDN w:val="0"/>
              <w:adjustRightInd w:val="0"/>
              <w:jc w:val="right"/>
              <w:rPr>
                <w:rFonts w:ascii="Arial" w:hAnsi="Arial" w:cs="Arial"/>
                <w:color w:val="auto"/>
                <w:sz w:val="16"/>
                <w:szCs w:val="16"/>
              </w:rPr>
            </w:pPr>
            <w:r w:rsidRPr="00504BE3">
              <w:rPr>
                <w:rFonts w:ascii="Arial" w:hAnsi="Arial" w:cs="Arial"/>
                <w:sz w:val="16"/>
                <w:szCs w:val="16"/>
              </w:rPr>
              <w:t>2,277,546</w:t>
            </w:r>
          </w:p>
        </w:tc>
        <w:tc>
          <w:tcPr>
            <w:tcW w:w="2610" w:type="dxa"/>
          </w:tcPr>
          <w:p w14:paraId="4EAAC502" w14:textId="6D493065" w:rsidR="00AA3200" w:rsidRPr="00504BE3" w:rsidRDefault="00AA3200" w:rsidP="00504BE3">
            <w:pPr>
              <w:autoSpaceDE w:val="0"/>
              <w:autoSpaceDN w:val="0"/>
              <w:adjustRightInd w:val="0"/>
              <w:jc w:val="right"/>
              <w:rPr>
                <w:rFonts w:ascii="Arial" w:hAnsi="Arial" w:cs="Arial"/>
                <w:color w:val="auto"/>
                <w:sz w:val="16"/>
                <w:szCs w:val="16"/>
              </w:rPr>
            </w:pPr>
            <w:r w:rsidRPr="00504BE3">
              <w:rPr>
                <w:rFonts w:ascii="Arial" w:hAnsi="Arial" w:cs="Arial"/>
                <w:sz w:val="16"/>
                <w:szCs w:val="16"/>
              </w:rPr>
              <w:t>1,735,490</w:t>
            </w:r>
          </w:p>
        </w:tc>
      </w:tr>
      <w:tr w:rsidR="00AA3200" w:rsidRPr="00C276ED" w14:paraId="0B003E08" w14:textId="77777777" w:rsidTr="00504BE3">
        <w:tc>
          <w:tcPr>
            <w:tcW w:w="1435" w:type="dxa"/>
          </w:tcPr>
          <w:p w14:paraId="352A0650" w14:textId="77777777" w:rsidR="00AA3200" w:rsidRPr="00504BE3" w:rsidRDefault="00AA3200" w:rsidP="00504BE3">
            <w:pPr>
              <w:autoSpaceDE w:val="0"/>
              <w:autoSpaceDN w:val="0"/>
              <w:adjustRightInd w:val="0"/>
              <w:jc w:val="center"/>
              <w:rPr>
                <w:rFonts w:ascii="Arial" w:hAnsi="Arial" w:cs="Arial"/>
                <w:color w:val="auto"/>
                <w:sz w:val="16"/>
                <w:szCs w:val="16"/>
              </w:rPr>
            </w:pPr>
            <w:r w:rsidRPr="00504BE3">
              <w:rPr>
                <w:rFonts w:ascii="Arial" w:hAnsi="Arial" w:cs="Arial"/>
                <w:color w:val="auto"/>
                <w:sz w:val="16"/>
                <w:szCs w:val="16"/>
              </w:rPr>
              <w:t>2032</w:t>
            </w:r>
          </w:p>
        </w:tc>
        <w:tc>
          <w:tcPr>
            <w:tcW w:w="1997" w:type="dxa"/>
          </w:tcPr>
          <w:p w14:paraId="284109D9" w14:textId="2BD285DC" w:rsidR="00AA3200" w:rsidRPr="00504BE3" w:rsidRDefault="00AA3200" w:rsidP="00504BE3">
            <w:pPr>
              <w:autoSpaceDE w:val="0"/>
              <w:autoSpaceDN w:val="0"/>
              <w:adjustRightInd w:val="0"/>
              <w:jc w:val="right"/>
              <w:rPr>
                <w:rFonts w:ascii="Arial" w:hAnsi="Arial" w:cs="Arial"/>
                <w:color w:val="auto"/>
                <w:sz w:val="16"/>
                <w:szCs w:val="16"/>
              </w:rPr>
            </w:pPr>
            <w:r w:rsidRPr="00504BE3">
              <w:rPr>
                <w:rFonts w:ascii="Arial" w:hAnsi="Arial" w:cs="Arial"/>
                <w:sz w:val="16"/>
                <w:szCs w:val="16"/>
              </w:rPr>
              <w:t>2,277,546</w:t>
            </w:r>
          </w:p>
        </w:tc>
        <w:tc>
          <w:tcPr>
            <w:tcW w:w="2610" w:type="dxa"/>
          </w:tcPr>
          <w:p w14:paraId="62239B0D" w14:textId="46660371" w:rsidR="00AA3200" w:rsidRPr="00504BE3" w:rsidRDefault="00AA3200" w:rsidP="00504BE3">
            <w:pPr>
              <w:autoSpaceDE w:val="0"/>
              <w:autoSpaceDN w:val="0"/>
              <w:adjustRightInd w:val="0"/>
              <w:jc w:val="right"/>
              <w:rPr>
                <w:rFonts w:ascii="Arial" w:hAnsi="Arial" w:cs="Arial"/>
                <w:color w:val="auto"/>
                <w:sz w:val="16"/>
                <w:szCs w:val="16"/>
              </w:rPr>
            </w:pPr>
            <w:r w:rsidRPr="00504BE3">
              <w:rPr>
                <w:rFonts w:ascii="Arial" w:hAnsi="Arial" w:cs="Arial"/>
                <w:sz w:val="16"/>
                <w:szCs w:val="16"/>
              </w:rPr>
              <w:t>1,696,772</w:t>
            </w:r>
          </w:p>
        </w:tc>
      </w:tr>
      <w:tr w:rsidR="00AA3200" w:rsidRPr="00C276ED" w14:paraId="4984BD00" w14:textId="77777777" w:rsidTr="00504BE3">
        <w:tc>
          <w:tcPr>
            <w:tcW w:w="1435" w:type="dxa"/>
          </w:tcPr>
          <w:p w14:paraId="2358797F" w14:textId="77777777" w:rsidR="00AA3200" w:rsidRPr="00504BE3" w:rsidRDefault="00AA3200" w:rsidP="00504BE3">
            <w:pPr>
              <w:autoSpaceDE w:val="0"/>
              <w:autoSpaceDN w:val="0"/>
              <w:adjustRightInd w:val="0"/>
              <w:jc w:val="center"/>
              <w:rPr>
                <w:rFonts w:ascii="Arial" w:hAnsi="Arial" w:cs="Arial"/>
                <w:color w:val="auto"/>
                <w:sz w:val="16"/>
                <w:szCs w:val="16"/>
              </w:rPr>
            </w:pPr>
            <w:r w:rsidRPr="00504BE3">
              <w:rPr>
                <w:rFonts w:ascii="Arial" w:hAnsi="Arial" w:cs="Arial"/>
                <w:color w:val="auto"/>
                <w:sz w:val="16"/>
                <w:szCs w:val="16"/>
              </w:rPr>
              <w:t>2033</w:t>
            </w:r>
          </w:p>
        </w:tc>
        <w:tc>
          <w:tcPr>
            <w:tcW w:w="1997" w:type="dxa"/>
          </w:tcPr>
          <w:p w14:paraId="1439C6A5" w14:textId="529EDA92" w:rsidR="00AA3200" w:rsidRPr="00504BE3" w:rsidRDefault="00AA3200" w:rsidP="00504BE3">
            <w:pPr>
              <w:autoSpaceDE w:val="0"/>
              <w:autoSpaceDN w:val="0"/>
              <w:adjustRightInd w:val="0"/>
              <w:jc w:val="right"/>
              <w:rPr>
                <w:rFonts w:ascii="Arial" w:hAnsi="Arial" w:cs="Arial"/>
                <w:color w:val="auto"/>
                <w:sz w:val="16"/>
                <w:szCs w:val="16"/>
              </w:rPr>
            </w:pPr>
            <w:r w:rsidRPr="00504BE3">
              <w:rPr>
                <w:rFonts w:ascii="Arial" w:hAnsi="Arial" w:cs="Arial"/>
                <w:sz w:val="16"/>
                <w:szCs w:val="16"/>
              </w:rPr>
              <w:t>2,277,546</w:t>
            </w:r>
          </w:p>
        </w:tc>
        <w:tc>
          <w:tcPr>
            <w:tcW w:w="2610" w:type="dxa"/>
          </w:tcPr>
          <w:p w14:paraId="078662B0" w14:textId="3333E8AF" w:rsidR="00AA3200" w:rsidRPr="00504BE3" w:rsidRDefault="00AA3200" w:rsidP="00504BE3">
            <w:pPr>
              <w:autoSpaceDE w:val="0"/>
              <w:autoSpaceDN w:val="0"/>
              <w:adjustRightInd w:val="0"/>
              <w:jc w:val="right"/>
              <w:rPr>
                <w:rFonts w:ascii="Arial" w:hAnsi="Arial" w:cs="Arial"/>
                <w:color w:val="auto"/>
                <w:sz w:val="16"/>
                <w:szCs w:val="16"/>
              </w:rPr>
            </w:pPr>
            <w:r w:rsidRPr="00504BE3">
              <w:rPr>
                <w:rFonts w:ascii="Arial" w:hAnsi="Arial" w:cs="Arial"/>
                <w:sz w:val="16"/>
                <w:szCs w:val="16"/>
              </w:rPr>
              <w:t>1,658,054</w:t>
            </w:r>
          </w:p>
        </w:tc>
      </w:tr>
      <w:tr w:rsidR="00AA3200" w:rsidRPr="00C276ED" w14:paraId="3C5A84FD" w14:textId="77777777" w:rsidTr="00504BE3">
        <w:trPr>
          <w:trHeight w:val="77"/>
        </w:trPr>
        <w:tc>
          <w:tcPr>
            <w:tcW w:w="1435" w:type="dxa"/>
          </w:tcPr>
          <w:p w14:paraId="04537249" w14:textId="77777777" w:rsidR="00AA3200" w:rsidRPr="00504BE3" w:rsidRDefault="00AA3200" w:rsidP="00504BE3">
            <w:pPr>
              <w:autoSpaceDE w:val="0"/>
              <w:autoSpaceDN w:val="0"/>
              <w:adjustRightInd w:val="0"/>
              <w:jc w:val="center"/>
              <w:rPr>
                <w:rFonts w:ascii="Arial" w:hAnsi="Arial" w:cs="Arial"/>
                <w:color w:val="auto"/>
                <w:sz w:val="16"/>
                <w:szCs w:val="16"/>
              </w:rPr>
            </w:pPr>
            <w:r w:rsidRPr="00504BE3">
              <w:rPr>
                <w:rFonts w:ascii="Arial" w:hAnsi="Arial" w:cs="Arial"/>
                <w:color w:val="auto"/>
                <w:sz w:val="16"/>
                <w:szCs w:val="16"/>
              </w:rPr>
              <w:t>2034</w:t>
            </w:r>
          </w:p>
        </w:tc>
        <w:tc>
          <w:tcPr>
            <w:tcW w:w="1997" w:type="dxa"/>
          </w:tcPr>
          <w:p w14:paraId="1054005D" w14:textId="69724CA6" w:rsidR="00AA3200" w:rsidRPr="00504BE3" w:rsidRDefault="00AA3200" w:rsidP="00504BE3">
            <w:pPr>
              <w:autoSpaceDE w:val="0"/>
              <w:autoSpaceDN w:val="0"/>
              <w:adjustRightInd w:val="0"/>
              <w:jc w:val="right"/>
              <w:rPr>
                <w:rFonts w:ascii="Arial" w:hAnsi="Arial" w:cs="Arial"/>
                <w:color w:val="auto"/>
                <w:sz w:val="16"/>
                <w:szCs w:val="16"/>
              </w:rPr>
            </w:pPr>
            <w:r w:rsidRPr="00504BE3">
              <w:rPr>
                <w:rFonts w:ascii="Arial" w:hAnsi="Arial" w:cs="Arial"/>
                <w:sz w:val="16"/>
                <w:szCs w:val="16"/>
              </w:rPr>
              <w:t>2,277,546</w:t>
            </w:r>
          </w:p>
        </w:tc>
        <w:tc>
          <w:tcPr>
            <w:tcW w:w="2610" w:type="dxa"/>
          </w:tcPr>
          <w:p w14:paraId="019E98DA" w14:textId="60F37CA8" w:rsidR="00AA3200" w:rsidRPr="00504BE3" w:rsidRDefault="00AA3200" w:rsidP="00504BE3">
            <w:pPr>
              <w:autoSpaceDE w:val="0"/>
              <w:autoSpaceDN w:val="0"/>
              <w:adjustRightInd w:val="0"/>
              <w:jc w:val="right"/>
              <w:rPr>
                <w:rFonts w:ascii="Arial" w:hAnsi="Arial" w:cs="Arial"/>
                <w:color w:val="auto"/>
                <w:sz w:val="16"/>
                <w:szCs w:val="16"/>
              </w:rPr>
            </w:pPr>
            <w:r w:rsidRPr="00504BE3">
              <w:rPr>
                <w:rFonts w:ascii="Arial" w:hAnsi="Arial" w:cs="Arial"/>
                <w:sz w:val="16"/>
                <w:szCs w:val="16"/>
              </w:rPr>
              <w:t>1,619,336</w:t>
            </w:r>
          </w:p>
        </w:tc>
      </w:tr>
      <w:tr w:rsidR="00AA3200" w:rsidRPr="00C276ED" w14:paraId="703D030C" w14:textId="77777777" w:rsidTr="00504BE3">
        <w:tc>
          <w:tcPr>
            <w:tcW w:w="1435" w:type="dxa"/>
          </w:tcPr>
          <w:p w14:paraId="77ACB4AD" w14:textId="77777777" w:rsidR="00AA3200" w:rsidRPr="00504BE3" w:rsidRDefault="00AA3200" w:rsidP="00504BE3">
            <w:pPr>
              <w:autoSpaceDE w:val="0"/>
              <w:autoSpaceDN w:val="0"/>
              <w:adjustRightInd w:val="0"/>
              <w:jc w:val="center"/>
              <w:rPr>
                <w:rFonts w:ascii="Arial" w:hAnsi="Arial" w:cs="Arial"/>
                <w:color w:val="auto"/>
                <w:sz w:val="16"/>
                <w:szCs w:val="16"/>
              </w:rPr>
            </w:pPr>
            <w:r w:rsidRPr="00504BE3">
              <w:rPr>
                <w:rFonts w:ascii="Arial" w:hAnsi="Arial" w:cs="Arial"/>
                <w:color w:val="auto"/>
                <w:sz w:val="16"/>
                <w:szCs w:val="16"/>
              </w:rPr>
              <w:t>2035</w:t>
            </w:r>
          </w:p>
        </w:tc>
        <w:tc>
          <w:tcPr>
            <w:tcW w:w="1997" w:type="dxa"/>
          </w:tcPr>
          <w:p w14:paraId="379C4330" w14:textId="780218A3" w:rsidR="00AA3200" w:rsidRPr="00504BE3" w:rsidRDefault="00AA3200" w:rsidP="00504BE3">
            <w:pPr>
              <w:autoSpaceDE w:val="0"/>
              <w:autoSpaceDN w:val="0"/>
              <w:adjustRightInd w:val="0"/>
              <w:jc w:val="right"/>
              <w:rPr>
                <w:rFonts w:ascii="Arial" w:hAnsi="Arial" w:cs="Arial"/>
                <w:color w:val="auto"/>
                <w:sz w:val="16"/>
                <w:szCs w:val="16"/>
              </w:rPr>
            </w:pPr>
            <w:r w:rsidRPr="00504BE3">
              <w:rPr>
                <w:rFonts w:ascii="Arial" w:hAnsi="Arial" w:cs="Arial"/>
                <w:sz w:val="16"/>
                <w:szCs w:val="16"/>
              </w:rPr>
              <w:t>2,277,546</w:t>
            </w:r>
          </w:p>
        </w:tc>
        <w:tc>
          <w:tcPr>
            <w:tcW w:w="2610" w:type="dxa"/>
          </w:tcPr>
          <w:p w14:paraId="00CA6979" w14:textId="03781CBB" w:rsidR="00AA3200" w:rsidRPr="00504BE3" w:rsidRDefault="00AA3200" w:rsidP="00504BE3">
            <w:pPr>
              <w:autoSpaceDE w:val="0"/>
              <w:autoSpaceDN w:val="0"/>
              <w:adjustRightInd w:val="0"/>
              <w:jc w:val="right"/>
              <w:rPr>
                <w:rFonts w:ascii="Arial" w:hAnsi="Arial" w:cs="Arial"/>
                <w:color w:val="auto"/>
                <w:sz w:val="16"/>
                <w:szCs w:val="16"/>
              </w:rPr>
            </w:pPr>
            <w:r w:rsidRPr="00504BE3">
              <w:rPr>
                <w:rFonts w:ascii="Arial" w:hAnsi="Arial" w:cs="Arial"/>
                <w:sz w:val="16"/>
                <w:szCs w:val="16"/>
              </w:rPr>
              <w:t>1,580,617</w:t>
            </w:r>
          </w:p>
        </w:tc>
      </w:tr>
    </w:tbl>
    <w:p w14:paraId="6FAAD71F" w14:textId="77777777" w:rsidR="008F299E" w:rsidRPr="00C276ED" w:rsidRDefault="008F299E" w:rsidP="008F299E">
      <w:pPr>
        <w:autoSpaceDE w:val="0"/>
        <w:autoSpaceDN w:val="0"/>
        <w:adjustRightInd w:val="0"/>
        <w:spacing w:after="0" w:line="240" w:lineRule="auto"/>
        <w:jc w:val="both"/>
        <w:rPr>
          <w:color w:val="auto"/>
        </w:rPr>
      </w:pPr>
    </w:p>
    <w:p w14:paraId="2980F9D3" w14:textId="77777777" w:rsidR="00504BE3" w:rsidRDefault="008132E9" w:rsidP="009D3E58">
      <w:pPr>
        <w:pStyle w:val="NoSpacing"/>
        <w:jc w:val="both"/>
        <w:rPr>
          <w:rFonts w:ascii="Arial" w:hAnsi="Arial" w:cs="Arial"/>
          <w:sz w:val="24"/>
          <w:szCs w:val="24"/>
        </w:rPr>
      </w:pPr>
      <w:r w:rsidRPr="00C276ED">
        <w:rPr>
          <w:rFonts w:ascii="Arial" w:hAnsi="Arial" w:cs="Arial"/>
          <w:sz w:val="24"/>
          <w:szCs w:val="24"/>
        </w:rPr>
        <w:t>By January 30, 2018, Ecology is required to issue a regulatory order per WAC 173-442-200(6) to Cascade which will contain the official emission reduction pathway in units of metric tons of CO</w:t>
      </w:r>
      <w:r w:rsidRPr="00C276ED">
        <w:rPr>
          <w:rFonts w:ascii="Arial" w:hAnsi="Arial" w:cs="Arial"/>
          <w:sz w:val="24"/>
          <w:szCs w:val="24"/>
          <w:vertAlign w:val="subscript"/>
        </w:rPr>
        <w:t>2</w:t>
      </w:r>
      <w:r w:rsidRPr="00C276ED">
        <w:rPr>
          <w:rFonts w:ascii="Arial" w:hAnsi="Arial" w:cs="Arial"/>
          <w:sz w:val="24"/>
          <w:szCs w:val="24"/>
        </w:rPr>
        <w:t>e for each calendar year in the compliance period and the total reduction pathway for each compliance period.</w:t>
      </w:r>
    </w:p>
    <w:p w14:paraId="786DBF48" w14:textId="27EAFB10" w:rsidR="008132E9" w:rsidRPr="009D3E58" w:rsidRDefault="008132E9" w:rsidP="009D3E58">
      <w:pPr>
        <w:pStyle w:val="NoSpacing"/>
        <w:jc w:val="both"/>
        <w:rPr>
          <w:rFonts w:ascii="Arial" w:hAnsi="Arial" w:cs="Arial"/>
          <w:sz w:val="24"/>
          <w:szCs w:val="24"/>
        </w:rPr>
      </w:pPr>
    </w:p>
    <w:p w14:paraId="67965953" w14:textId="0F0F9EEA" w:rsidR="00504BE3" w:rsidRDefault="008132E9" w:rsidP="009D3E58">
      <w:pPr>
        <w:pStyle w:val="NoSpacing"/>
        <w:jc w:val="both"/>
        <w:rPr>
          <w:rFonts w:ascii="Arial" w:hAnsi="Arial" w:cs="Arial"/>
          <w:sz w:val="24"/>
          <w:szCs w:val="24"/>
        </w:rPr>
      </w:pPr>
      <w:r w:rsidRPr="00C276ED">
        <w:rPr>
          <w:rFonts w:ascii="Arial" w:hAnsi="Arial" w:cs="Arial"/>
          <w:sz w:val="24"/>
          <w:szCs w:val="24"/>
        </w:rPr>
        <w:t xml:space="preserve">Table </w:t>
      </w:r>
      <w:r w:rsidR="009D3E58">
        <w:rPr>
          <w:rFonts w:ascii="Arial" w:hAnsi="Arial" w:cs="Arial"/>
          <w:sz w:val="24"/>
          <w:szCs w:val="24"/>
        </w:rPr>
        <w:t>5-</w:t>
      </w:r>
      <w:r w:rsidRPr="00C276ED">
        <w:rPr>
          <w:rFonts w:ascii="Arial" w:hAnsi="Arial" w:cs="Arial"/>
          <w:sz w:val="24"/>
          <w:szCs w:val="24"/>
        </w:rPr>
        <w:t>4 shows a preliminary comparison of Cascade’s greenhouse gas emission reduction pathway, projected gas delivery to customers that are not covered parties themselves under CAR, and the resulting projected annual compliance emissions obligation for Cascade. The projected gas delivery to customers assumes a 1.</w:t>
      </w:r>
      <w:r w:rsidR="00E52E7D">
        <w:rPr>
          <w:rFonts w:ascii="Arial" w:hAnsi="Arial" w:cs="Arial"/>
          <w:sz w:val="24"/>
          <w:szCs w:val="24"/>
        </w:rPr>
        <w:t>25</w:t>
      </w:r>
      <w:r w:rsidRPr="00C276ED">
        <w:rPr>
          <w:rFonts w:ascii="Arial" w:hAnsi="Arial" w:cs="Arial"/>
          <w:sz w:val="24"/>
          <w:szCs w:val="24"/>
        </w:rPr>
        <w:t xml:space="preserve">% annual forecasted growth in demand.  Considering this growth rate and that 2016 is yet a projection of emissions, Cascade projects emissions from natural gas deliveries in 2017 to exceed its baseline emission value, as shown in Table </w:t>
      </w:r>
      <w:r w:rsidR="00504BE3">
        <w:rPr>
          <w:rFonts w:ascii="Arial" w:hAnsi="Arial" w:cs="Arial"/>
          <w:sz w:val="24"/>
          <w:szCs w:val="24"/>
        </w:rPr>
        <w:t>5-</w:t>
      </w:r>
      <w:r w:rsidRPr="00C276ED">
        <w:rPr>
          <w:rFonts w:ascii="Arial" w:hAnsi="Arial" w:cs="Arial"/>
          <w:sz w:val="24"/>
          <w:szCs w:val="24"/>
        </w:rPr>
        <w:t>4.  As such, Cascade will be required to reduce its emissions consistent with CAR beginning in 2017.  Future increases in natural gas delivery coupled with Cascade’s declining emission reduction pathway increase Cascade’s compliance burdens under CAR.</w:t>
      </w:r>
    </w:p>
    <w:p w14:paraId="6550344C" w14:textId="77777777" w:rsidR="00504BE3" w:rsidRDefault="00504BE3">
      <w:pPr>
        <w:rPr>
          <w:rFonts w:ascii="Arial" w:hAnsi="Arial" w:cs="Arial"/>
          <w:color w:val="auto"/>
          <w:sz w:val="24"/>
          <w:szCs w:val="24"/>
        </w:rPr>
      </w:pPr>
      <w:r>
        <w:rPr>
          <w:rFonts w:ascii="Arial" w:hAnsi="Arial" w:cs="Arial"/>
          <w:sz w:val="24"/>
          <w:szCs w:val="24"/>
        </w:rPr>
        <w:br w:type="page"/>
      </w:r>
    </w:p>
    <w:p w14:paraId="7351E167" w14:textId="5140830B" w:rsidR="008F299E" w:rsidRPr="00F14079" w:rsidRDefault="008F299E" w:rsidP="008F299E">
      <w:pPr>
        <w:autoSpaceDE w:val="0"/>
        <w:autoSpaceDN w:val="0"/>
        <w:adjustRightInd w:val="0"/>
        <w:spacing w:after="0" w:line="240" w:lineRule="auto"/>
        <w:jc w:val="center"/>
        <w:rPr>
          <w:rFonts w:ascii="Arial" w:hAnsi="Arial" w:cs="Arial"/>
          <w:color w:val="auto"/>
          <w:sz w:val="16"/>
          <w:szCs w:val="16"/>
        </w:rPr>
      </w:pPr>
      <w:r w:rsidRPr="00F14079">
        <w:rPr>
          <w:rFonts w:ascii="Arial" w:hAnsi="Arial" w:cs="Arial"/>
          <w:b/>
          <w:color w:val="auto"/>
          <w:sz w:val="16"/>
          <w:szCs w:val="16"/>
        </w:rPr>
        <w:lastRenderedPageBreak/>
        <w:t xml:space="preserve">Table </w:t>
      </w:r>
      <w:r w:rsidR="009D3E58" w:rsidRPr="00F14079">
        <w:rPr>
          <w:rFonts w:ascii="Arial" w:hAnsi="Arial" w:cs="Arial"/>
          <w:b/>
          <w:color w:val="auto"/>
          <w:sz w:val="16"/>
          <w:szCs w:val="16"/>
        </w:rPr>
        <w:t>5-</w:t>
      </w:r>
      <w:r w:rsidRPr="00F14079">
        <w:rPr>
          <w:rFonts w:ascii="Arial" w:hAnsi="Arial" w:cs="Arial"/>
          <w:b/>
          <w:color w:val="auto"/>
          <w:sz w:val="16"/>
          <w:szCs w:val="16"/>
        </w:rPr>
        <w:t>4</w:t>
      </w:r>
      <w:r w:rsidR="009D3E58" w:rsidRPr="00F14079">
        <w:rPr>
          <w:rFonts w:ascii="Arial" w:hAnsi="Arial" w:cs="Arial"/>
          <w:b/>
          <w:color w:val="auto"/>
          <w:sz w:val="16"/>
          <w:szCs w:val="16"/>
        </w:rPr>
        <w:t xml:space="preserve">: </w:t>
      </w:r>
      <w:r w:rsidRPr="00F14079">
        <w:rPr>
          <w:rFonts w:ascii="Arial" w:hAnsi="Arial" w:cs="Arial"/>
          <w:b/>
          <w:color w:val="auto"/>
          <w:sz w:val="16"/>
          <w:szCs w:val="16"/>
        </w:rPr>
        <w:t>Preliminary Annual Compliance Obligation for Cascade</w:t>
      </w:r>
    </w:p>
    <w:p w14:paraId="27412BB9" w14:textId="77777777" w:rsidR="008F299E" w:rsidRPr="00C276ED" w:rsidRDefault="008F299E" w:rsidP="008F299E">
      <w:pPr>
        <w:autoSpaceDE w:val="0"/>
        <w:autoSpaceDN w:val="0"/>
        <w:adjustRightInd w:val="0"/>
        <w:spacing w:after="0" w:line="240" w:lineRule="auto"/>
        <w:jc w:val="both"/>
        <w:rPr>
          <w:color w:val="auto"/>
        </w:rPr>
      </w:pPr>
    </w:p>
    <w:tbl>
      <w:tblPr>
        <w:tblStyle w:val="TableGrid"/>
        <w:tblW w:w="0" w:type="auto"/>
        <w:tblInd w:w="175" w:type="dxa"/>
        <w:tblLook w:val="04A0" w:firstRow="1" w:lastRow="0" w:firstColumn="1" w:lastColumn="0" w:noHBand="0" w:noVBand="1"/>
      </w:tblPr>
      <w:tblGrid>
        <w:gridCol w:w="1165"/>
        <w:gridCol w:w="1890"/>
        <w:gridCol w:w="2430"/>
        <w:gridCol w:w="2340"/>
      </w:tblGrid>
      <w:tr w:rsidR="00C276ED" w:rsidRPr="00504BE3" w14:paraId="665ECB12" w14:textId="77777777" w:rsidTr="00C12503">
        <w:tc>
          <w:tcPr>
            <w:tcW w:w="1165" w:type="dxa"/>
            <w:shd w:val="clear" w:color="auto" w:fill="D6ECFF" w:themeFill="background2"/>
          </w:tcPr>
          <w:p w14:paraId="0A372310" w14:textId="77777777" w:rsidR="008F299E" w:rsidRPr="00504BE3" w:rsidRDefault="008F299E" w:rsidP="00504BE3">
            <w:pPr>
              <w:autoSpaceDE w:val="0"/>
              <w:autoSpaceDN w:val="0"/>
              <w:adjustRightInd w:val="0"/>
              <w:jc w:val="center"/>
              <w:rPr>
                <w:rFonts w:ascii="Arial" w:hAnsi="Arial" w:cs="Arial"/>
                <w:color w:val="auto"/>
                <w:sz w:val="16"/>
                <w:szCs w:val="16"/>
              </w:rPr>
            </w:pPr>
            <w:r w:rsidRPr="00504BE3">
              <w:rPr>
                <w:rFonts w:ascii="Arial" w:hAnsi="Arial" w:cs="Arial"/>
                <w:color w:val="auto"/>
                <w:sz w:val="16"/>
                <w:szCs w:val="16"/>
              </w:rPr>
              <w:t>Year</w:t>
            </w:r>
          </w:p>
        </w:tc>
        <w:tc>
          <w:tcPr>
            <w:tcW w:w="1890" w:type="dxa"/>
            <w:shd w:val="clear" w:color="auto" w:fill="D6ECFF" w:themeFill="background2"/>
          </w:tcPr>
          <w:p w14:paraId="0048E1E7" w14:textId="43ACE9F1" w:rsidR="008F299E" w:rsidRPr="00504BE3" w:rsidRDefault="008F299E" w:rsidP="008132E9">
            <w:pPr>
              <w:autoSpaceDE w:val="0"/>
              <w:autoSpaceDN w:val="0"/>
              <w:adjustRightInd w:val="0"/>
              <w:rPr>
                <w:rFonts w:ascii="Arial" w:hAnsi="Arial" w:cs="Arial"/>
                <w:color w:val="auto"/>
                <w:sz w:val="16"/>
                <w:szCs w:val="16"/>
              </w:rPr>
            </w:pPr>
            <w:r w:rsidRPr="00504BE3">
              <w:rPr>
                <w:rFonts w:ascii="Arial" w:hAnsi="Arial" w:cs="Arial"/>
                <w:color w:val="auto"/>
                <w:sz w:val="16"/>
                <w:szCs w:val="16"/>
              </w:rPr>
              <w:t>Projected Emission Reduction Pathway or Emissions Allowed Each Year (</w:t>
            </w:r>
            <w:r w:rsidR="008132E9" w:rsidRPr="00504BE3">
              <w:rPr>
                <w:rFonts w:ascii="Arial" w:hAnsi="Arial" w:cs="Arial"/>
                <w:color w:val="auto"/>
                <w:sz w:val="16"/>
                <w:szCs w:val="16"/>
              </w:rPr>
              <w:t>MT</w:t>
            </w:r>
            <w:r w:rsidRPr="00504BE3">
              <w:rPr>
                <w:rFonts w:ascii="Arial" w:hAnsi="Arial" w:cs="Arial"/>
                <w:color w:val="auto"/>
                <w:sz w:val="16"/>
                <w:szCs w:val="16"/>
              </w:rPr>
              <w:t xml:space="preserve"> of CO</w:t>
            </w:r>
            <w:r w:rsidRPr="00504BE3">
              <w:rPr>
                <w:rFonts w:ascii="Arial" w:hAnsi="Arial" w:cs="Arial"/>
                <w:color w:val="auto"/>
                <w:sz w:val="16"/>
                <w:szCs w:val="16"/>
                <w:vertAlign w:val="subscript"/>
              </w:rPr>
              <w:t>2</w:t>
            </w:r>
            <w:r w:rsidRPr="00504BE3">
              <w:rPr>
                <w:rFonts w:ascii="Arial" w:hAnsi="Arial" w:cs="Arial"/>
                <w:color w:val="auto"/>
                <w:sz w:val="16"/>
                <w:szCs w:val="16"/>
              </w:rPr>
              <w:t>)</w:t>
            </w:r>
          </w:p>
        </w:tc>
        <w:tc>
          <w:tcPr>
            <w:tcW w:w="2430" w:type="dxa"/>
            <w:shd w:val="clear" w:color="auto" w:fill="D6ECFF" w:themeFill="background2"/>
          </w:tcPr>
          <w:p w14:paraId="070EFA2B" w14:textId="209053A7" w:rsidR="008F299E" w:rsidRPr="00504BE3" w:rsidRDefault="008F299E" w:rsidP="00E52E7D">
            <w:pPr>
              <w:autoSpaceDE w:val="0"/>
              <w:autoSpaceDN w:val="0"/>
              <w:adjustRightInd w:val="0"/>
              <w:rPr>
                <w:rFonts w:ascii="Arial" w:hAnsi="Arial" w:cs="Arial"/>
                <w:color w:val="auto"/>
                <w:sz w:val="16"/>
                <w:szCs w:val="16"/>
                <w:vertAlign w:val="subscript"/>
              </w:rPr>
            </w:pPr>
            <w:r w:rsidRPr="00504BE3">
              <w:rPr>
                <w:rFonts w:ascii="Arial" w:hAnsi="Arial" w:cs="Arial"/>
                <w:color w:val="auto"/>
                <w:sz w:val="16"/>
                <w:szCs w:val="16"/>
              </w:rPr>
              <w:t>Projected Emissions, assuming 1.</w:t>
            </w:r>
            <w:r w:rsidR="00E52E7D" w:rsidRPr="00504BE3">
              <w:rPr>
                <w:rFonts w:ascii="Arial" w:hAnsi="Arial" w:cs="Arial"/>
                <w:color w:val="auto"/>
                <w:sz w:val="16"/>
                <w:szCs w:val="16"/>
              </w:rPr>
              <w:t>25</w:t>
            </w:r>
            <w:r w:rsidRPr="00504BE3">
              <w:rPr>
                <w:rFonts w:ascii="Arial" w:hAnsi="Arial" w:cs="Arial"/>
                <w:color w:val="auto"/>
                <w:sz w:val="16"/>
                <w:szCs w:val="16"/>
              </w:rPr>
              <w:t xml:space="preserve">% Annual Growth for Cascade Gas Delivered (MT </w:t>
            </w:r>
            <w:r w:rsidR="008132E9" w:rsidRPr="00504BE3">
              <w:rPr>
                <w:rFonts w:ascii="Arial" w:hAnsi="Arial" w:cs="Arial"/>
                <w:color w:val="auto"/>
                <w:sz w:val="16"/>
                <w:szCs w:val="16"/>
              </w:rPr>
              <w:t xml:space="preserve">of </w:t>
            </w:r>
            <w:r w:rsidRPr="00504BE3">
              <w:rPr>
                <w:rFonts w:ascii="Arial" w:hAnsi="Arial" w:cs="Arial"/>
                <w:color w:val="auto"/>
                <w:sz w:val="16"/>
                <w:szCs w:val="16"/>
              </w:rPr>
              <w:t>CO</w:t>
            </w:r>
            <w:r w:rsidRPr="00504BE3">
              <w:rPr>
                <w:rFonts w:ascii="Arial" w:hAnsi="Arial" w:cs="Arial"/>
                <w:color w:val="auto"/>
                <w:sz w:val="16"/>
                <w:szCs w:val="16"/>
                <w:vertAlign w:val="subscript"/>
              </w:rPr>
              <w:t>2</w:t>
            </w:r>
            <w:r w:rsidRPr="00504BE3">
              <w:rPr>
                <w:rFonts w:ascii="Arial" w:hAnsi="Arial" w:cs="Arial"/>
                <w:color w:val="auto"/>
                <w:sz w:val="16"/>
                <w:szCs w:val="16"/>
                <w:vertAlign w:val="subscript"/>
              </w:rPr>
              <w:softHyphen/>
              <w:t>)</w:t>
            </w:r>
          </w:p>
        </w:tc>
        <w:tc>
          <w:tcPr>
            <w:tcW w:w="2340" w:type="dxa"/>
            <w:shd w:val="clear" w:color="auto" w:fill="D6ECFF" w:themeFill="background2"/>
          </w:tcPr>
          <w:p w14:paraId="649FED48" w14:textId="30DA7D82" w:rsidR="008F299E" w:rsidRPr="00504BE3" w:rsidRDefault="008F299E" w:rsidP="008132E9">
            <w:pPr>
              <w:autoSpaceDE w:val="0"/>
              <w:autoSpaceDN w:val="0"/>
              <w:adjustRightInd w:val="0"/>
              <w:rPr>
                <w:rFonts w:ascii="Arial" w:hAnsi="Arial" w:cs="Arial"/>
                <w:color w:val="auto"/>
                <w:sz w:val="16"/>
                <w:szCs w:val="16"/>
              </w:rPr>
            </w:pPr>
            <w:r w:rsidRPr="00504BE3">
              <w:rPr>
                <w:rFonts w:ascii="Arial" w:hAnsi="Arial" w:cs="Arial"/>
                <w:color w:val="auto"/>
                <w:sz w:val="16"/>
                <w:szCs w:val="16"/>
              </w:rPr>
              <w:t xml:space="preserve">Compliance Obligation (MT </w:t>
            </w:r>
            <w:r w:rsidR="008132E9" w:rsidRPr="00504BE3">
              <w:rPr>
                <w:rFonts w:ascii="Arial" w:hAnsi="Arial" w:cs="Arial"/>
                <w:color w:val="auto"/>
                <w:sz w:val="16"/>
                <w:szCs w:val="16"/>
              </w:rPr>
              <w:t xml:space="preserve">of </w:t>
            </w:r>
            <w:r w:rsidRPr="00504BE3">
              <w:rPr>
                <w:rFonts w:ascii="Arial" w:hAnsi="Arial" w:cs="Arial"/>
                <w:color w:val="auto"/>
                <w:sz w:val="16"/>
                <w:szCs w:val="16"/>
              </w:rPr>
              <w:t>CO</w:t>
            </w:r>
            <w:r w:rsidRPr="00504BE3">
              <w:rPr>
                <w:rFonts w:ascii="Arial" w:hAnsi="Arial" w:cs="Arial"/>
                <w:color w:val="auto"/>
                <w:sz w:val="16"/>
                <w:szCs w:val="16"/>
                <w:vertAlign w:val="subscript"/>
              </w:rPr>
              <w:t>2</w:t>
            </w:r>
            <w:r w:rsidRPr="00504BE3">
              <w:rPr>
                <w:rFonts w:ascii="Arial" w:hAnsi="Arial" w:cs="Arial"/>
                <w:color w:val="auto"/>
                <w:sz w:val="16"/>
                <w:szCs w:val="16"/>
              </w:rPr>
              <w:t>)</w:t>
            </w:r>
          </w:p>
        </w:tc>
      </w:tr>
      <w:tr w:rsidR="008177C0" w:rsidRPr="00504BE3" w14:paraId="49BE3A5D" w14:textId="77777777" w:rsidTr="00C12503">
        <w:tc>
          <w:tcPr>
            <w:tcW w:w="1165" w:type="dxa"/>
          </w:tcPr>
          <w:p w14:paraId="5DA15FFB" w14:textId="77777777" w:rsidR="008177C0" w:rsidRPr="00C12503" w:rsidRDefault="008177C0" w:rsidP="00504BE3">
            <w:pPr>
              <w:autoSpaceDE w:val="0"/>
              <w:autoSpaceDN w:val="0"/>
              <w:adjustRightInd w:val="0"/>
              <w:jc w:val="center"/>
              <w:rPr>
                <w:rFonts w:ascii="Arial" w:hAnsi="Arial" w:cs="Arial"/>
                <w:color w:val="auto"/>
                <w:sz w:val="16"/>
                <w:szCs w:val="16"/>
              </w:rPr>
            </w:pPr>
            <w:r w:rsidRPr="00C12503">
              <w:rPr>
                <w:rFonts w:ascii="Arial" w:hAnsi="Arial" w:cs="Arial"/>
                <w:color w:val="auto"/>
                <w:sz w:val="16"/>
                <w:szCs w:val="16"/>
              </w:rPr>
              <w:t>2017</w:t>
            </w:r>
          </w:p>
        </w:tc>
        <w:tc>
          <w:tcPr>
            <w:tcW w:w="1890" w:type="dxa"/>
          </w:tcPr>
          <w:p w14:paraId="12EC1659" w14:textId="5BE5E2F1"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2,277,546</w:t>
            </w:r>
          </w:p>
        </w:tc>
        <w:tc>
          <w:tcPr>
            <w:tcW w:w="2430" w:type="dxa"/>
          </w:tcPr>
          <w:p w14:paraId="062218F8" w14:textId="1D401703"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2,294,671</w:t>
            </w:r>
          </w:p>
        </w:tc>
        <w:tc>
          <w:tcPr>
            <w:tcW w:w="2340" w:type="dxa"/>
          </w:tcPr>
          <w:p w14:paraId="6524A441" w14:textId="3EBF914D"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17,125</w:t>
            </w:r>
          </w:p>
        </w:tc>
      </w:tr>
      <w:tr w:rsidR="008177C0" w:rsidRPr="00504BE3" w14:paraId="0EA961C8" w14:textId="77777777" w:rsidTr="00C12503">
        <w:tc>
          <w:tcPr>
            <w:tcW w:w="1165" w:type="dxa"/>
          </w:tcPr>
          <w:p w14:paraId="21D1D914" w14:textId="77777777" w:rsidR="008177C0" w:rsidRPr="00C12503" w:rsidRDefault="008177C0" w:rsidP="00504BE3">
            <w:pPr>
              <w:autoSpaceDE w:val="0"/>
              <w:autoSpaceDN w:val="0"/>
              <w:adjustRightInd w:val="0"/>
              <w:jc w:val="center"/>
              <w:rPr>
                <w:rFonts w:ascii="Arial" w:hAnsi="Arial" w:cs="Arial"/>
                <w:color w:val="auto"/>
                <w:sz w:val="16"/>
                <w:szCs w:val="16"/>
              </w:rPr>
            </w:pPr>
            <w:r w:rsidRPr="00C12503">
              <w:rPr>
                <w:rFonts w:ascii="Arial" w:hAnsi="Arial" w:cs="Arial"/>
                <w:color w:val="auto"/>
                <w:sz w:val="16"/>
                <w:szCs w:val="16"/>
              </w:rPr>
              <w:t>2018</w:t>
            </w:r>
          </w:p>
        </w:tc>
        <w:tc>
          <w:tcPr>
            <w:tcW w:w="1890" w:type="dxa"/>
          </w:tcPr>
          <w:p w14:paraId="0A819F33" w14:textId="56360E30"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2,238,828</w:t>
            </w:r>
          </w:p>
        </w:tc>
        <w:tc>
          <w:tcPr>
            <w:tcW w:w="2430" w:type="dxa"/>
          </w:tcPr>
          <w:p w14:paraId="29C50D38" w14:textId="72CB31C2"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2,323,355</w:t>
            </w:r>
          </w:p>
        </w:tc>
        <w:tc>
          <w:tcPr>
            <w:tcW w:w="2340" w:type="dxa"/>
          </w:tcPr>
          <w:p w14:paraId="0798DED6" w14:textId="7840D603"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84,526</w:t>
            </w:r>
          </w:p>
        </w:tc>
      </w:tr>
      <w:tr w:rsidR="008177C0" w:rsidRPr="00504BE3" w14:paraId="50AC69A3" w14:textId="77777777" w:rsidTr="00C12503">
        <w:tc>
          <w:tcPr>
            <w:tcW w:w="1165" w:type="dxa"/>
          </w:tcPr>
          <w:p w14:paraId="1318E550" w14:textId="77777777" w:rsidR="008177C0" w:rsidRPr="00C12503" w:rsidRDefault="008177C0" w:rsidP="00504BE3">
            <w:pPr>
              <w:autoSpaceDE w:val="0"/>
              <w:autoSpaceDN w:val="0"/>
              <w:adjustRightInd w:val="0"/>
              <w:jc w:val="center"/>
              <w:rPr>
                <w:rFonts w:ascii="Arial" w:hAnsi="Arial" w:cs="Arial"/>
                <w:color w:val="auto"/>
                <w:sz w:val="16"/>
                <w:szCs w:val="16"/>
              </w:rPr>
            </w:pPr>
            <w:r w:rsidRPr="00C12503">
              <w:rPr>
                <w:rFonts w:ascii="Arial" w:hAnsi="Arial" w:cs="Arial"/>
                <w:color w:val="auto"/>
                <w:sz w:val="16"/>
                <w:szCs w:val="16"/>
              </w:rPr>
              <w:t>2019</w:t>
            </w:r>
          </w:p>
        </w:tc>
        <w:tc>
          <w:tcPr>
            <w:tcW w:w="1890" w:type="dxa"/>
          </w:tcPr>
          <w:p w14:paraId="3D21F59F" w14:textId="6A5F18B7"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2,200,110</w:t>
            </w:r>
          </w:p>
        </w:tc>
        <w:tc>
          <w:tcPr>
            <w:tcW w:w="2430" w:type="dxa"/>
          </w:tcPr>
          <w:p w14:paraId="5AD89A25" w14:textId="5D440669"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2,352,396</w:t>
            </w:r>
          </w:p>
        </w:tc>
        <w:tc>
          <w:tcPr>
            <w:tcW w:w="2340" w:type="dxa"/>
          </w:tcPr>
          <w:p w14:paraId="429E5EEC" w14:textId="15B6D37F"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152,287</w:t>
            </w:r>
          </w:p>
        </w:tc>
      </w:tr>
      <w:tr w:rsidR="008177C0" w:rsidRPr="00504BE3" w14:paraId="189E29FD" w14:textId="77777777" w:rsidTr="00C12503">
        <w:tc>
          <w:tcPr>
            <w:tcW w:w="1165" w:type="dxa"/>
          </w:tcPr>
          <w:p w14:paraId="015D6D42" w14:textId="77777777" w:rsidR="008177C0" w:rsidRPr="00C12503" w:rsidRDefault="008177C0" w:rsidP="00504BE3">
            <w:pPr>
              <w:autoSpaceDE w:val="0"/>
              <w:autoSpaceDN w:val="0"/>
              <w:adjustRightInd w:val="0"/>
              <w:jc w:val="center"/>
              <w:rPr>
                <w:rFonts w:ascii="Arial" w:hAnsi="Arial" w:cs="Arial"/>
                <w:color w:val="auto"/>
                <w:sz w:val="16"/>
                <w:szCs w:val="16"/>
              </w:rPr>
            </w:pPr>
            <w:r w:rsidRPr="00C12503">
              <w:rPr>
                <w:rFonts w:ascii="Arial" w:hAnsi="Arial" w:cs="Arial"/>
                <w:color w:val="auto"/>
                <w:sz w:val="16"/>
                <w:szCs w:val="16"/>
              </w:rPr>
              <w:t>2020</w:t>
            </w:r>
          </w:p>
        </w:tc>
        <w:tc>
          <w:tcPr>
            <w:tcW w:w="1890" w:type="dxa"/>
          </w:tcPr>
          <w:p w14:paraId="783524AF" w14:textId="21DC7173"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2,161,392</w:t>
            </w:r>
          </w:p>
        </w:tc>
        <w:tc>
          <w:tcPr>
            <w:tcW w:w="2430" w:type="dxa"/>
          </w:tcPr>
          <w:p w14:paraId="29CD581F" w14:textId="20F9191A"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2,381,801</w:t>
            </w:r>
          </w:p>
        </w:tc>
        <w:tc>
          <w:tcPr>
            <w:tcW w:w="2340" w:type="dxa"/>
          </w:tcPr>
          <w:p w14:paraId="45BA56BB" w14:textId="0F44C97F"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220,410</w:t>
            </w:r>
          </w:p>
        </w:tc>
      </w:tr>
      <w:tr w:rsidR="008177C0" w:rsidRPr="00504BE3" w14:paraId="614B870F" w14:textId="77777777" w:rsidTr="00C12503">
        <w:tc>
          <w:tcPr>
            <w:tcW w:w="1165" w:type="dxa"/>
          </w:tcPr>
          <w:p w14:paraId="06BD9186" w14:textId="77777777" w:rsidR="008177C0" w:rsidRPr="00C12503" w:rsidRDefault="008177C0" w:rsidP="00504BE3">
            <w:pPr>
              <w:autoSpaceDE w:val="0"/>
              <w:autoSpaceDN w:val="0"/>
              <w:adjustRightInd w:val="0"/>
              <w:jc w:val="center"/>
              <w:rPr>
                <w:rFonts w:ascii="Arial" w:hAnsi="Arial" w:cs="Arial"/>
                <w:color w:val="auto"/>
                <w:sz w:val="16"/>
                <w:szCs w:val="16"/>
              </w:rPr>
            </w:pPr>
            <w:r w:rsidRPr="00C12503">
              <w:rPr>
                <w:rFonts w:ascii="Arial" w:hAnsi="Arial" w:cs="Arial"/>
                <w:color w:val="auto"/>
                <w:sz w:val="16"/>
                <w:szCs w:val="16"/>
              </w:rPr>
              <w:t>2021</w:t>
            </w:r>
          </w:p>
        </w:tc>
        <w:tc>
          <w:tcPr>
            <w:tcW w:w="1890" w:type="dxa"/>
          </w:tcPr>
          <w:p w14:paraId="31848784" w14:textId="5CF2D8D0"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2,122,673</w:t>
            </w:r>
          </w:p>
        </w:tc>
        <w:tc>
          <w:tcPr>
            <w:tcW w:w="2430" w:type="dxa"/>
          </w:tcPr>
          <w:p w14:paraId="444F9185" w14:textId="6B748EEF"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2,411,574</w:t>
            </w:r>
          </w:p>
        </w:tc>
        <w:tc>
          <w:tcPr>
            <w:tcW w:w="2340" w:type="dxa"/>
          </w:tcPr>
          <w:p w14:paraId="3B8E687E" w14:textId="719C4BD3"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288,901</w:t>
            </w:r>
          </w:p>
        </w:tc>
      </w:tr>
      <w:tr w:rsidR="008177C0" w:rsidRPr="00504BE3" w14:paraId="39021F0D" w14:textId="77777777" w:rsidTr="00C12503">
        <w:tc>
          <w:tcPr>
            <w:tcW w:w="1165" w:type="dxa"/>
          </w:tcPr>
          <w:p w14:paraId="298929C2" w14:textId="77777777" w:rsidR="008177C0" w:rsidRPr="00C12503" w:rsidRDefault="008177C0" w:rsidP="00504BE3">
            <w:pPr>
              <w:autoSpaceDE w:val="0"/>
              <w:autoSpaceDN w:val="0"/>
              <w:adjustRightInd w:val="0"/>
              <w:jc w:val="center"/>
              <w:rPr>
                <w:rFonts w:ascii="Arial" w:hAnsi="Arial" w:cs="Arial"/>
                <w:color w:val="auto"/>
                <w:sz w:val="16"/>
                <w:szCs w:val="16"/>
              </w:rPr>
            </w:pPr>
            <w:r w:rsidRPr="00C12503">
              <w:rPr>
                <w:rFonts w:ascii="Arial" w:hAnsi="Arial" w:cs="Arial"/>
                <w:color w:val="auto"/>
                <w:sz w:val="16"/>
                <w:szCs w:val="16"/>
              </w:rPr>
              <w:t>2022</w:t>
            </w:r>
          </w:p>
        </w:tc>
        <w:tc>
          <w:tcPr>
            <w:tcW w:w="1890" w:type="dxa"/>
          </w:tcPr>
          <w:p w14:paraId="0E13D31E" w14:textId="1415D82A"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2,083,955</w:t>
            </w:r>
          </w:p>
        </w:tc>
        <w:tc>
          <w:tcPr>
            <w:tcW w:w="2430" w:type="dxa"/>
          </w:tcPr>
          <w:p w14:paraId="2996DEFF" w14:textId="25127623"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2,441,719</w:t>
            </w:r>
          </w:p>
        </w:tc>
        <w:tc>
          <w:tcPr>
            <w:tcW w:w="2340" w:type="dxa"/>
          </w:tcPr>
          <w:p w14:paraId="1BF59FDA" w14:textId="504ADD01"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357,764</w:t>
            </w:r>
          </w:p>
        </w:tc>
      </w:tr>
      <w:tr w:rsidR="008177C0" w:rsidRPr="00504BE3" w14:paraId="5DFC4B83" w14:textId="77777777" w:rsidTr="00C12503">
        <w:tc>
          <w:tcPr>
            <w:tcW w:w="1165" w:type="dxa"/>
          </w:tcPr>
          <w:p w14:paraId="216DF9AF" w14:textId="77777777" w:rsidR="008177C0" w:rsidRPr="00C12503" w:rsidRDefault="008177C0" w:rsidP="00504BE3">
            <w:pPr>
              <w:autoSpaceDE w:val="0"/>
              <w:autoSpaceDN w:val="0"/>
              <w:adjustRightInd w:val="0"/>
              <w:jc w:val="center"/>
              <w:rPr>
                <w:rFonts w:ascii="Arial" w:hAnsi="Arial" w:cs="Arial"/>
                <w:color w:val="auto"/>
                <w:sz w:val="16"/>
                <w:szCs w:val="16"/>
              </w:rPr>
            </w:pPr>
            <w:r w:rsidRPr="00C12503">
              <w:rPr>
                <w:rFonts w:ascii="Arial" w:hAnsi="Arial" w:cs="Arial"/>
                <w:color w:val="auto"/>
                <w:sz w:val="16"/>
                <w:szCs w:val="16"/>
              </w:rPr>
              <w:t>2023</w:t>
            </w:r>
          </w:p>
        </w:tc>
        <w:tc>
          <w:tcPr>
            <w:tcW w:w="1890" w:type="dxa"/>
          </w:tcPr>
          <w:p w14:paraId="13107EC0" w14:textId="630D435B"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2,045,237</w:t>
            </w:r>
          </w:p>
        </w:tc>
        <w:tc>
          <w:tcPr>
            <w:tcW w:w="2430" w:type="dxa"/>
          </w:tcPr>
          <w:p w14:paraId="7ADB4CDC" w14:textId="0EDDEBA7"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2,472,240</w:t>
            </w:r>
          </w:p>
        </w:tc>
        <w:tc>
          <w:tcPr>
            <w:tcW w:w="2340" w:type="dxa"/>
          </w:tcPr>
          <w:p w14:paraId="4A208E34" w14:textId="72A6273A"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427,003</w:t>
            </w:r>
          </w:p>
        </w:tc>
      </w:tr>
      <w:tr w:rsidR="008177C0" w:rsidRPr="00504BE3" w14:paraId="5A94332B" w14:textId="77777777" w:rsidTr="00C12503">
        <w:tc>
          <w:tcPr>
            <w:tcW w:w="1165" w:type="dxa"/>
          </w:tcPr>
          <w:p w14:paraId="32E9CCA3" w14:textId="77777777" w:rsidR="008177C0" w:rsidRPr="00C12503" w:rsidRDefault="008177C0" w:rsidP="00504BE3">
            <w:pPr>
              <w:autoSpaceDE w:val="0"/>
              <w:autoSpaceDN w:val="0"/>
              <w:adjustRightInd w:val="0"/>
              <w:jc w:val="center"/>
              <w:rPr>
                <w:rFonts w:ascii="Arial" w:hAnsi="Arial" w:cs="Arial"/>
                <w:color w:val="auto"/>
                <w:sz w:val="16"/>
                <w:szCs w:val="16"/>
              </w:rPr>
            </w:pPr>
            <w:r w:rsidRPr="00C12503">
              <w:rPr>
                <w:rFonts w:ascii="Arial" w:hAnsi="Arial" w:cs="Arial"/>
                <w:color w:val="auto"/>
                <w:sz w:val="16"/>
                <w:szCs w:val="16"/>
              </w:rPr>
              <w:t>2024</w:t>
            </w:r>
          </w:p>
        </w:tc>
        <w:tc>
          <w:tcPr>
            <w:tcW w:w="1890" w:type="dxa"/>
          </w:tcPr>
          <w:p w14:paraId="4E5C6035" w14:textId="6B3BD9CC"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2,006,518</w:t>
            </w:r>
          </w:p>
        </w:tc>
        <w:tc>
          <w:tcPr>
            <w:tcW w:w="2430" w:type="dxa"/>
          </w:tcPr>
          <w:p w14:paraId="48E3A6AC" w14:textId="721F5F84"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2,503,143</w:t>
            </w:r>
          </w:p>
        </w:tc>
        <w:tc>
          <w:tcPr>
            <w:tcW w:w="2340" w:type="dxa"/>
          </w:tcPr>
          <w:p w14:paraId="607DF105" w14:textId="38A04743"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496,625</w:t>
            </w:r>
          </w:p>
        </w:tc>
      </w:tr>
      <w:tr w:rsidR="008177C0" w:rsidRPr="00504BE3" w14:paraId="313F3C36" w14:textId="77777777" w:rsidTr="00C12503">
        <w:tc>
          <w:tcPr>
            <w:tcW w:w="1165" w:type="dxa"/>
          </w:tcPr>
          <w:p w14:paraId="027BD71C" w14:textId="77777777" w:rsidR="008177C0" w:rsidRPr="00C12503" w:rsidRDefault="008177C0" w:rsidP="00504BE3">
            <w:pPr>
              <w:autoSpaceDE w:val="0"/>
              <w:autoSpaceDN w:val="0"/>
              <w:adjustRightInd w:val="0"/>
              <w:jc w:val="center"/>
              <w:rPr>
                <w:rFonts w:ascii="Arial" w:hAnsi="Arial" w:cs="Arial"/>
                <w:color w:val="auto"/>
                <w:sz w:val="16"/>
                <w:szCs w:val="16"/>
              </w:rPr>
            </w:pPr>
            <w:r w:rsidRPr="00C12503">
              <w:rPr>
                <w:rFonts w:ascii="Arial" w:hAnsi="Arial" w:cs="Arial"/>
                <w:color w:val="auto"/>
                <w:sz w:val="16"/>
                <w:szCs w:val="16"/>
              </w:rPr>
              <w:t>2025</w:t>
            </w:r>
          </w:p>
        </w:tc>
        <w:tc>
          <w:tcPr>
            <w:tcW w:w="1890" w:type="dxa"/>
          </w:tcPr>
          <w:p w14:paraId="63F80285" w14:textId="77DA9600"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1,967,800</w:t>
            </w:r>
          </w:p>
        </w:tc>
        <w:tc>
          <w:tcPr>
            <w:tcW w:w="2430" w:type="dxa"/>
          </w:tcPr>
          <w:p w14:paraId="3C858EBF" w14:textId="17B974D7"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2,534,432</w:t>
            </w:r>
          </w:p>
        </w:tc>
        <w:tc>
          <w:tcPr>
            <w:tcW w:w="2340" w:type="dxa"/>
          </w:tcPr>
          <w:p w14:paraId="6AC20B7A" w14:textId="40C412E1"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566,632</w:t>
            </w:r>
          </w:p>
        </w:tc>
      </w:tr>
      <w:tr w:rsidR="008177C0" w:rsidRPr="00504BE3" w14:paraId="5C3A1D2F" w14:textId="77777777" w:rsidTr="00C12503">
        <w:tc>
          <w:tcPr>
            <w:tcW w:w="1165" w:type="dxa"/>
          </w:tcPr>
          <w:p w14:paraId="61F5A4E1" w14:textId="77777777" w:rsidR="008177C0" w:rsidRPr="00C12503" w:rsidRDefault="008177C0" w:rsidP="00504BE3">
            <w:pPr>
              <w:autoSpaceDE w:val="0"/>
              <w:autoSpaceDN w:val="0"/>
              <w:adjustRightInd w:val="0"/>
              <w:jc w:val="center"/>
              <w:rPr>
                <w:rFonts w:ascii="Arial" w:hAnsi="Arial" w:cs="Arial"/>
                <w:color w:val="auto"/>
                <w:sz w:val="16"/>
                <w:szCs w:val="16"/>
              </w:rPr>
            </w:pPr>
            <w:r w:rsidRPr="00C12503">
              <w:rPr>
                <w:rFonts w:ascii="Arial" w:hAnsi="Arial" w:cs="Arial"/>
                <w:color w:val="auto"/>
                <w:sz w:val="16"/>
                <w:szCs w:val="16"/>
              </w:rPr>
              <w:t>2026</w:t>
            </w:r>
          </w:p>
        </w:tc>
        <w:tc>
          <w:tcPr>
            <w:tcW w:w="1890" w:type="dxa"/>
          </w:tcPr>
          <w:p w14:paraId="27C32D99" w14:textId="3D15131C"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1,929,082</w:t>
            </w:r>
          </w:p>
        </w:tc>
        <w:tc>
          <w:tcPr>
            <w:tcW w:w="2430" w:type="dxa"/>
          </w:tcPr>
          <w:p w14:paraId="05B9029A" w14:textId="6C8AFD0D"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2,566,113</w:t>
            </w:r>
          </w:p>
        </w:tc>
        <w:tc>
          <w:tcPr>
            <w:tcW w:w="2340" w:type="dxa"/>
          </w:tcPr>
          <w:p w14:paraId="25A59461" w14:textId="2B1ABA6F"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637,031</w:t>
            </w:r>
          </w:p>
        </w:tc>
      </w:tr>
      <w:tr w:rsidR="008177C0" w:rsidRPr="00504BE3" w14:paraId="42C252DF" w14:textId="77777777" w:rsidTr="00C12503">
        <w:tc>
          <w:tcPr>
            <w:tcW w:w="1165" w:type="dxa"/>
          </w:tcPr>
          <w:p w14:paraId="3C7E8D02" w14:textId="77777777" w:rsidR="008177C0" w:rsidRPr="00C12503" w:rsidRDefault="008177C0" w:rsidP="00504BE3">
            <w:pPr>
              <w:autoSpaceDE w:val="0"/>
              <w:autoSpaceDN w:val="0"/>
              <w:adjustRightInd w:val="0"/>
              <w:jc w:val="center"/>
              <w:rPr>
                <w:rFonts w:ascii="Arial" w:hAnsi="Arial" w:cs="Arial"/>
                <w:color w:val="auto"/>
                <w:sz w:val="16"/>
                <w:szCs w:val="16"/>
              </w:rPr>
            </w:pPr>
            <w:r w:rsidRPr="00C12503">
              <w:rPr>
                <w:rFonts w:ascii="Arial" w:hAnsi="Arial" w:cs="Arial"/>
                <w:color w:val="auto"/>
                <w:sz w:val="16"/>
                <w:szCs w:val="16"/>
              </w:rPr>
              <w:t>2027</w:t>
            </w:r>
          </w:p>
        </w:tc>
        <w:tc>
          <w:tcPr>
            <w:tcW w:w="1890" w:type="dxa"/>
          </w:tcPr>
          <w:p w14:paraId="5DF46602" w14:textId="3B6EFE94"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1,890,364</w:t>
            </w:r>
          </w:p>
        </w:tc>
        <w:tc>
          <w:tcPr>
            <w:tcW w:w="2430" w:type="dxa"/>
          </w:tcPr>
          <w:p w14:paraId="03FA443B" w14:textId="2C294DD5"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2,598,189</w:t>
            </w:r>
          </w:p>
        </w:tc>
        <w:tc>
          <w:tcPr>
            <w:tcW w:w="2340" w:type="dxa"/>
          </w:tcPr>
          <w:p w14:paraId="33183552" w14:textId="479BA498"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707,826</w:t>
            </w:r>
          </w:p>
        </w:tc>
      </w:tr>
      <w:tr w:rsidR="008177C0" w:rsidRPr="00504BE3" w14:paraId="2CFB6961" w14:textId="77777777" w:rsidTr="00C12503">
        <w:tc>
          <w:tcPr>
            <w:tcW w:w="1165" w:type="dxa"/>
          </w:tcPr>
          <w:p w14:paraId="33F204D0" w14:textId="77777777" w:rsidR="008177C0" w:rsidRPr="00C12503" w:rsidRDefault="008177C0" w:rsidP="00504BE3">
            <w:pPr>
              <w:autoSpaceDE w:val="0"/>
              <w:autoSpaceDN w:val="0"/>
              <w:adjustRightInd w:val="0"/>
              <w:jc w:val="center"/>
              <w:rPr>
                <w:rFonts w:ascii="Arial" w:hAnsi="Arial" w:cs="Arial"/>
                <w:color w:val="auto"/>
                <w:sz w:val="16"/>
                <w:szCs w:val="16"/>
              </w:rPr>
            </w:pPr>
            <w:r w:rsidRPr="00C12503">
              <w:rPr>
                <w:rFonts w:ascii="Arial" w:hAnsi="Arial" w:cs="Arial"/>
                <w:color w:val="auto"/>
                <w:sz w:val="16"/>
                <w:szCs w:val="16"/>
              </w:rPr>
              <w:t>2028</w:t>
            </w:r>
          </w:p>
        </w:tc>
        <w:tc>
          <w:tcPr>
            <w:tcW w:w="1890" w:type="dxa"/>
          </w:tcPr>
          <w:p w14:paraId="66AF6432" w14:textId="3906283F"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1,851,645</w:t>
            </w:r>
          </w:p>
        </w:tc>
        <w:tc>
          <w:tcPr>
            <w:tcW w:w="2430" w:type="dxa"/>
          </w:tcPr>
          <w:p w14:paraId="71A3BAB0" w14:textId="3C42C83D"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2,630,667</w:t>
            </w:r>
          </w:p>
        </w:tc>
        <w:tc>
          <w:tcPr>
            <w:tcW w:w="2340" w:type="dxa"/>
          </w:tcPr>
          <w:p w14:paraId="313DDAB0" w14:textId="69088D58"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779,021</w:t>
            </w:r>
          </w:p>
        </w:tc>
      </w:tr>
      <w:tr w:rsidR="008177C0" w:rsidRPr="00504BE3" w14:paraId="60BE833A" w14:textId="77777777" w:rsidTr="00C12503">
        <w:tc>
          <w:tcPr>
            <w:tcW w:w="1165" w:type="dxa"/>
          </w:tcPr>
          <w:p w14:paraId="4406871A" w14:textId="77777777" w:rsidR="008177C0" w:rsidRPr="00C12503" w:rsidRDefault="008177C0" w:rsidP="00504BE3">
            <w:pPr>
              <w:autoSpaceDE w:val="0"/>
              <w:autoSpaceDN w:val="0"/>
              <w:adjustRightInd w:val="0"/>
              <w:jc w:val="center"/>
              <w:rPr>
                <w:rFonts w:ascii="Arial" w:hAnsi="Arial" w:cs="Arial"/>
                <w:color w:val="auto"/>
                <w:sz w:val="16"/>
                <w:szCs w:val="16"/>
              </w:rPr>
            </w:pPr>
            <w:r w:rsidRPr="00C12503">
              <w:rPr>
                <w:rFonts w:ascii="Arial" w:hAnsi="Arial" w:cs="Arial"/>
                <w:color w:val="auto"/>
                <w:sz w:val="16"/>
                <w:szCs w:val="16"/>
              </w:rPr>
              <w:t>2029</w:t>
            </w:r>
          </w:p>
        </w:tc>
        <w:tc>
          <w:tcPr>
            <w:tcW w:w="1890" w:type="dxa"/>
          </w:tcPr>
          <w:p w14:paraId="4979DA9E" w14:textId="08236A39"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1,812,927</w:t>
            </w:r>
          </w:p>
        </w:tc>
        <w:tc>
          <w:tcPr>
            <w:tcW w:w="2430" w:type="dxa"/>
          </w:tcPr>
          <w:p w14:paraId="62C4C7FF" w14:textId="51AECCD8"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2,663,550</w:t>
            </w:r>
          </w:p>
        </w:tc>
        <w:tc>
          <w:tcPr>
            <w:tcW w:w="2340" w:type="dxa"/>
          </w:tcPr>
          <w:p w14:paraId="3239715B" w14:textId="39F566E4"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850,623</w:t>
            </w:r>
          </w:p>
        </w:tc>
      </w:tr>
      <w:tr w:rsidR="008177C0" w:rsidRPr="00504BE3" w14:paraId="4FCD4FB9" w14:textId="77777777" w:rsidTr="00C12503">
        <w:tc>
          <w:tcPr>
            <w:tcW w:w="1165" w:type="dxa"/>
          </w:tcPr>
          <w:p w14:paraId="07BD39BE" w14:textId="77777777" w:rsidR="008177C0" w:rsidRPr="00C12503" w:rsidRDefault="008177C0" w:rsidP="00504BE3">
            <w:pPr>
              <w:autoSpaceDE w:val="0"/>
              <w:autoSpaceDN w:val="0"/>
              <w:adjustRightInd w:val="0"/>
              <w:jc w:val="center"/>
              <w:rPr>
                <w:rFonts w:ascii="Arial" w:hAnsi="Arial" w:cs="Arial"/>
                <w:color w:val="auto"/>
                <w:sz w:val="16"/>
                <w:szCs w:val="16"/>
              </w:rPr>
            </w:pPr>
            <w:r w:rsidRPr="00C12503">
              <w:rPr>
                <w:rFonts w:ascii="Arial" w:hAnsi="Arial" w:cs="Arial"/>
                <w:color w:val="auto"/>
                <w:sz w:val="16"/>
                <w:szCs w:val="16"/>
              </w:rPr>
              <w:t>2030</w:t>
            </w:r>
          </w:p>
        </w:tc>
        <w:tc>
          <w:tcPr>
            <w:tcW w:w="1890" w:type="dxa"/>
          </w:tcPr>
          <w:p w14:paraId="015CD032" w14:textId="16790C4D"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1,774,209</w:t>
            </w:r>
          </w:p>
        </w:tc>
        <w:tc>
          <w:tcPr>
            <w:tcW w:w="2430" w:type="dxa"/>
          </w:tcPr>
          <w:p w14:paraId="60ABBB0B" w14:textId="3CD9A6C9"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2,696,844</w:t>
            </w:r>
          </w:p>
        </w:tc>
        <w:tc>
          <w:tcPr>
            <w:tcW w:w="2340" w:type="dxa"/>
          </w:tcPr>
          <w:p w14:paraId="37338DA2" w14:textId="04E04B6F"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922,636</w:t>
            </w:r>
          </w:p>
        </w:tc>
      </w:tr>
      <w:tr w:rsidR="008177C0" w:rsidRPr="00504BE3" w14:paraId="5683374F" w14:textId="77777777" w:rsidTr="00C12503">
        <w:tc>
          <w:tcPr>
            <w:tcW w:w="1165" w:type="dxa"/>
          </w:tcPr>
          <w:p w14:paraId="12785E2D" w14:textId="77777777" w:rsidR="008177C0" w:rsidRPr="00C12503" w:rsidRDefault="008177C0" w:rsidP="00504BE3">
            <w:pPr>
              <w:autoSpaceDE w:val="0"/>
              <w:autoSpaceDN w:val="0"/>
              <w:adjustRightInd w:val="0"/>
              <w:jc w:val="center"/>
              <w:rPr>
                <w:rFonts w:ascii="Arial" w:hAnsi="Arial" w:cs="Arial"/>
                <w:color w:val="auto"/>
                <w:sz w:val="16"/>
                <w:szCs w:val="16"/>
              </w:rPr>
            </w:pPr>
            <w:r w:rsidRPr="00C12503">
              <w:rPr>
                <w:rFonts w:ascii="Arial" w:hAnsi="Arial" w:cs="Arial"/>
                <w:color w:val="auto"/>
                <w:sz w:val="16"/>
                <w:szCs w:val="16"/>
              </w:rPr>
              <w:t>2031</w:t>
            </w:r>
          </w:p>
        </w:tc>
        <w:tc>
          <w:tcPr>
            <w:tcW w:w="1890" w:type="dxa"/>
          </w:tcPr>
          <w:p w14:paraId="2EC1A264" w14:textId="2BBA8FB5"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1,735,490</w:t>
            </w:r>
          </w:p>
        </w:tc>
        <w:tc>
          <w:tcPr>
            <w:tcW w:w="2430" w:type="dxa"/>
          </w:tcPr>
          <w:p w14:paraId="557F9917" w14:textId="2F27D6F1"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2,730,555</w:t>
            </w:r>
          </w:p>
        </w:tc>
        <w:tc>
          <w:tcPr>
            <w:tcW w:w="2340" w:type="dxa"/>
          </w:tcPr>
          <w:p w14:paraId="1B20DB21" w14:textId="266D9A45"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995,064</w:t>
            </w:r>
          </w:p>
        </w:tc>
      </w:tr>
      <w:tr w:rsidR="008177C0" w:rsidRPr="00504BE3" w14:paraId="71E031C8" w14:textId="77777777" w:rsidTr="00C12503">
        <w:tc>
          <w:tcPr>
            <w:tcW w:w="1165" w:type="dxa"/>
          </w:tcPr>
          <w:p w14:paraId="02EDC5FE" w14:textId="77777777" w:rsidR="008177C0" w:rsidRPr="00C12503" w:rsidRDefault="008177C0" w:rsidP="00504BE3">
            <w:pPr>
              <w:autoSpaceDE w:val="0"/>
              <w:autoSpaceDN w:val="0"/>
              <w:adjustRightInd w:val="0"/>
              <w:jc w:val="center"/>
              <w:rPr>
                <w:rFonts w:ascii="Arial" w:hAnsi="Arial" w:cs="Arial"/>
                <w:color w:val="auto"/>
                <w:sz w:val="16"/>
                <w:szCs w:val="16"/>
              </w:rPr>
            </w:pPr>
            <w:r w:rsidRPr="00C12503">
              <w:rPr>
                <w:rFonts w:ascii="Arial" w:hAnsi="Arial" w:cs="Arial"/>
                <w:color w:val="auto"/>
                <w:sz w:val="16"/>
                <w:szCs w:val="16"/>
              </w:rPr>
              <w:t>2032</w:t>
            </w:r>
          </w:p>
        </w:tc>
        <w:tc>
          <w:tcPr>
            <w:tcW w:w="1890" w:type="dxa"/>
          </w:tcPr>
          <w:p w14:paraId="76D15126" w14:textId="55C3FDD1"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1,696,772</w:t>
            </w:r>
          </w:p>
        </w:tc>
        <w:tc>
          <w:tcPr>
            <w:tcW w:w="2430" w:type="dxa"/>
          </w:tcPr>
          <w:p w14:paraId="572321A1" w14:textId="5AED0FF8"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2,764,687</w:t>
            </w:r>
          </w:p>
        </w:tc>
        <w:tc>
          <w:tcPr>
            <w:tcW w:w="2340" w:type="dxa"/>
          </w:tcPr>
          <w:p w14:paraId="79CE13F2" w14:textId="538A7D27"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1,067,915</w:t>
            </w:r>
          </w:p>
        </w:tc>
      </w:tr>
      <w:tr w:rsidR="008177C0" w:rsidRPr="00504BE3" w14:paraId="04CB7AA8" w14:textId="77777777" w:rsidTr="00C12503">
        <w:tc>
          <w:tcPr>
            <w:tcW w:w="1165" w:type="dxa"/>
          </w:tcPr>
          <w:p w14:paraId="40E2C410" w14:textId="77777777" w:rsidR="008177C0" w:rsidRPr="00C12503" w:rsidRDefault="008177C0" w:rsidP="00504BE3">
            <w:pPr>
              <w:autoSpaceDE w:val="0"/>
              <w:autoSpaceDN w:val="0"/>
              <w:adjustRightInd w:val="0"/>
              <w:jc w:val="center"/>
              <w:rPr>
                <w:rFonts w:ascii="Arial" w:hAnsi="Arial" w:cs="Arial"/>
                <w:color w:val="auto"/>
                <w:sz w:val="16"/>
                <w:szCs w:val="16"/>
              </w:rPr>
            </w:pPr>
            <w:r w:rsidRPr="00C12503">
              <w:rPr>
                <w:rFonts w:ascii="Arial" w:hAnsi="Arial" w:cs="Arial"/>
                <w:color w:val="auto"/>
                <w:sz w:val="16"/>
                <w:szCs w:val="16"/>
              </w:rPr>
              <w:t>2033</w:t>
            </w:r>
          </w:p>
        </w:tc>
        <w:tc>
          <w:tcPr>
            <w:tcW w:w="1890" w:type="dxa"/>
          </w:tcPr>
          <w:p w14:paraId="56885DC5" w14:textId="02F015C4"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1,658,054</w:t>
            </w:r>
          </w:p>
        </w:tc>
        <w:tc>
          <w:tcPr>
            <w:tcW w:w="2430" w:type="dxa"/>
          </w:tcPr>
          <w:p w14:paraId="4882451A" w14:textId="4F7FB673"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2,799,245</w:t>
            </w:r>
          </w:p>
        </w:tc>
        <w:tc>
          <w:tcPr>
            <w:tcW w:w="2340" w:type="dxa"/>
          </w:tcPr>
          <w:p w14:paraId="48A1DDEC" w14:textId="71874719"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1,141,192</w:t>
            </w:r>
          </w:p>
        </w:tc>
      </w:tr>
      <w:tr w:rsidR="008177C0" w:rsidRPr="00504BE3" w14:paraId="1F894B7D" w14:textId="77777777" w:rsidTr="00C12503">
        <w:tc>
          <w:tcPr>
            <w:tcW w:w="1165" w:type="dxa"/>
          </w:tcPr>
          <w:p w14:paraId="0D2D434B" w14:textId="77777777" w:rsidR="008177C0" w:rsidRPr="00C12503" w:rsidRDefault="008177C0" w:rsidP="00504BE3">
            <w:pPr>
              <w:autoSpaceDE w:val="0"/>
              <w:autoSpaceDN w:val="0"/>
              <w:adjustRightInd w:val="0"/>
              <w:jc w:val="center"/>
              <w:rPr>
                <w:rFonts w:ascii="Arial" w:hAnsi="Arial" w:cs="Arial"/>
                <w:color w:val="auto"/>
                <w:sz w:val="16"/>
                <w:szCs w:val="16"/>
              </w:rPr>
            </w:pPr>
            <w:r w:rsidRPr="00C12503">
              <w:rPr>
                <w:rFonts w:ascii="Arial" w:hAnsi="Arial" w:cs="Arial"/>
                <w:color w:val="auto"/>
                <w:sz w:val="16"/>
                <w:szCs w:val="16"/>
              </w:rPr>
              <w:t>2034</w:t>
            </w:r>
          </w:p>
        </w:tc>
        <w:tc>
          <w:tcPr>
            <w:tcW w:w="1890" w:type="dxa"/>
          </w:tcPr>
          <w:p w14:paraId="1C7B59EF" w14:textId="6DBF7B72"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1,619,336</w:t>
            </w:r>
          </w:p>
        </w:tc>
        <w:tc>
          <w:tcPr>
            <w:tcW w:w="2430" w:type="dxa"/>
          </w:tcPr>
          <w:p w14:paraId="4335D674" w14:textId="65EFBDDF"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2,834,236</w:t>
            </w:r>
          </w:p>
        </w:tc>
        <w:tc>
          <w:tcPr>
            <w:tcW w:w="2340" w:type="dxa"/>
          </w:tcPr>
          <w:p w14:paraId="0370F590" w14:textId="3953FEC9"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1,214,900</w:t>
            </w:r>
          </w:p>
        </w:tc>
      </w:tr>
      <w:tr w:rsidR="008177C0" w:rsidRPr="00504BE3" w14:paraId="40DC8289" w14:textId="77777777" w:rsidTr="00C12503">
        <w:tc>
          <w:tcPr>
            <w:tcW w:w="1165" w:type="dxa"/>
          </w:tcPr>
          <w:p w14:paraId="7121BA65" w14:textId="77777777" w:rsidR="008177C0" w:rsidRPr="00C12503" w:rsidRDefault="008177C0" w:rsidP="00504BE3">
            <w:pPr>
              <w:autoSpaceDE w:val="0"/>
              <w:autoSpaceDN w:val="0"/>
              <w:adjustRightInd w:val="0"/>
              <w:jc w:val="center"/>
              <w:rPr>
                <w:rFonts w:ascii="Arial" w:hAnsi="Arial" w:cs="Arial"/>
                <w:color w:val="auto"/>
                <w:sz w:val="16"/>
                <w:szCs w:val="16"/>
              </w:rPr>
            </w:pPr>
            <w:r w:rsidRPr="00C12503">
              <w:rPr>
                <w:rFonts w:ascii="Arial" w:hAnsi="Arial" w:cs="Arial"/>
                <w:color w:val="auto"/>
                <w:sz w:val="16"/>
                <w:szCs w:val="16"/>
              </w:rPr>
              <w:t>2035</w:t>
            </w:r>
          </w:p>
        </w:tc>
        <w:tc>
          <w:tcPr>
            <w:tcW w:w="1890" w:type="dxa"/>
          </w:tcPr>
          <w:p w14:paraId="35F8B98A" w14:textId="666238A3"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1,580,617</w:t>
            </w:r>
          </w:p>
        </w:tc>
        <w:tc>
          <w:tcPr>
            <w:tcW w:w="2430" w:type="dxa"/>
          </w:tcPr>
          <w:p w14:paraId="21F2BEEC" w14:textId="6123BA53"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2,869,664</w:t>
            </w:r>
          </w:p>
        </w:tc>
        <w:tc>
          <w:tcPr>
            <w:tcW w:w="2340" w:type="dxa"/>
          </w:tcPr>
          <w:p w14:paraId="78932AC3" w14:textId="32AFFEAF" w:rsidR="008177C0" w:rsidRPr="00C12503" w:rsidRDefault="008177C0" w:rsidP="00504BE3">
            <w:pPr>
              <w:autoSpaceDE w:val="0"/>
              <w:autoSpaceDN w:val="0"/>
              <w:adjustRightInd w:val="0"/>
              <w:jc w:val="right"/>
              <w:rPr>
                <w:rFonts w:ascii="Arial" w:hAnsi="Arial" w:cs="Arial"/>
                <w:color w:val="auto"/>
                <w:sz w:val="16"/>
                <w:szCs w:val="16"/>
              </w:rPr>
            </w:pPr>
            <w:r w:rsidRPr="00C12503">
              <w:rPr>
                <w:rFonts w:ascii="Arial" w:hAnsi="Arial" w:cs="Arial"/>
                <w:sz w:val="16"/>
                <w:szCs w:val="16"/>
              </w:rPr>
              <w:t>1,289,047</w:t>
            </w:r>
          </w:p>
        </w:tc>
      </w:tr>
    </w:tbl>
    <w:p w14:paraId="668899CF" w14:textId="77777777" w:rsidR="008F299E" w:rsidRPr="00504BE3" w:rsidRDefault="008F299E" w:rsidP="008F299E">
      <w:pPr>
        <w:autoSpaceDE w:val="0"/>
        <w:autoSpaceDN w:val="0"/>
        <w:adjustRightInd w:val="0"/>
        <w:spacing w:after="0" w:line="240" w:lineRule="auto"/>
        <w:jc w:val="both"/>
        <w:rPr>
          <w:rFonts w:ascii="Arial" w:hAnsi="Arial" w:cs="Arial"/>
          <w:color w:val="auto"/>
          <w:sz w:val="16"/>
          <w:szCs w:val="16"/>
        </w:rPr>
      </w:pPr>
    </w:p>
    <w:p w14:paraId="00C2F8FD" w14:textId="56D78039" w:rsidR="008F299E" w:rsidRPr="00C276ED" w:rsidRDefault="009E302F" w:rsidP="00504BE3">
      <w:pPr>
        <w:autoSpaceDE w:val="0"/>
        <w:autoSpaceDN w:val="0"/>
        <w:adjustRightInd w:val="0"/>
        <w:spacing w:after="0" w:line="240" w:lineRule="auto"/>
        <w:ind w:left="1170"/>
        <w:jc w:val="both"/>
        <w:rPr>
          <w:rFonts w:ascii="Arial" w:hAnsi="Arial" w:cs="Arial"/>
          <w:b/>
          <w:color w:val="auto"/>
          <w:sz w:val="24"/>
          <w:szCs w:val="24"/>
        </w:rPr>
      </w:pPr>
      <w:r w:rsidRPr="00C276ED">
        <w:rPr>
          <w:rFonts w:ascii="Arial" w:hAnsi="Arial" w:cs="Arial"/>
          <w:color w:val="auto"/>
          <w:sz w:val="24"/>
          <w:szCs w:val="24"/>
        </w:rPr>
        <w:t>WAC requires compliance to be demonstrated at the end of each compliance period as explained in WAC 173-442-200.  Each compliance period is a three-year period with the first period from 2017 to 2019.  As required by WAC 173-442-250, Cascade must submit its first compliance demonstration report by December 31, 2020</w:t>
      </w:r>
      <w:r w:rsidR="00504BE3">
        <w:rPr>
          <w:rFonts w:ascii="Arial" w:hAnsi="Arial" w:cs="Arial"/>
          <w:color w:val="auto"/>
          <w:sz w:val="24"/>
          <w:szCs w:val="24"/>
        </w:rPr>
        <w:t>,</w:t>
      </w:r>
      <w:r w:rsidRPr="00C276ED">
        <w:rPr>
          <w:rFonts w:ascii="Arial" w:hAnsi="Arial" w:cs="Arial"/>
          <w:color w:val="auto"/>
          <w:sz w:val="24"/>
          <w:szCs w:val="24"/>
        </w:rPr>
        <w:t xml:space="preserve"> to Ecology, providing the required verification that sufficient qualifying ERUs have been purchased to cover emissions above Cascade’s emission reduction pathway.  </w:t>
      </w:r>
    </w:p>
    <w:p w14:paraId="52D6A0C8" w14:textId="353F7202" w:rsidR="008F299E" w:rsidRPr="00C276ED" w:rsidRDefault="008F299E" w:rsidP="00C12503">
      <w:pPr>
        <w:pStyle w:val="Heading2"/>
        <w:numPr>
          <w:ilvl w:val="1"/>
          <w:numId w:val="12"/>
        </w:numPr>
        <w:ind w:hanging="540"/>
        <w:rPr>
          <w:rFonts w:ascii="Arial" w:hAnsi="Arial" w:cs="Arial"/>
          <w:b/>
          <w:caps w:val="0"/>
          <w:color w:val="auto"/>
          <w:sz w:val="24"/>
          <w:szCs w:val="24"/>
        </w:rPr>
      </w:pPr>
      <w:r w:rsidRPr="00C276ED">
        <w:rPr>
          <w:rFonts w:ascii="Arial" w:hAnsi="Arial" w:cs="Arial"/>
          <w:b/>
          <w:caps w:val="0"/>
          <w:color w:val="auto"/>
          <w:sz w:val="24"/>
          <w:szCs w:val="24"/>
        </w:rPr>
        <w:t>Emission Offsets</w:t>
      </w:r>
      <w:r w:rsidR="009E302F" w:rsidRPr="00C276ED">
        <w:rPr>
          <w:rFonts w:ascii="Arial" w:hAnsi="Arial" w:cs="Arial"/>
          <w:b/>
          <w:caps w:val="0"/>
          <w:color w:val="auto"/>
          <w:sz w:val="24"/>
          <w:szCs w:val="24"/>
        </w:rPr>
        <w:br/>
      </w:r>
    </w:p>
    <w:p w14:paraId="52CDA9E2" w14:textId="77777777" w:rsidR="009E302F" w:rsidRPr="00C276ED" w:rsidRDefault="009E302F" w:rsidP="00504BE3">
      <w:pPr>
        <w:pStyle w:val="NoSpacing"/>
        <w:ind w:left="1170"/>
        <w:jc w:val="both"/>
        <w:rPr>
          <w:rFonts w:ascii="Arial" w:hAnsi="Arial" w:cs="Arial"/>
          <w:sz w:val="24"/>
          <w:szCs w:val="24"/>
        </w:rPr>
      </w:pPr>
      <w:r w:rsidRPr="00C276ED">
        <w:rPr>
          <w:rFonts w:ascii="Arial" w:hAnsi="Arial" w:cs="Arial"/>
          <w:sz w:val="24"/>
          <w:szCs w:val="24"/>
        </w:rPr>
        <w:t xml:space="preserve">Cascade continues to evaluate options for purchasing ERUs and allowances to cover emissions above the projected emission reduction pathway.  Per WAC 173-442-100, ERUs must originate from greenhouse gas emission reductions occurring within Washington; per WAC 173-442-170, a limited amount of allowances also may be used for compliance.  </w:t>
      </w:r>
    </w:p>
    <w:p w14:paraId="36FB1586" w14:textId="77777777" w:rsidR="009E302F" w:rsidRPr="00C276ED" w:rsidRDefault="009E302F" w:rsidP="00504BE3">
      <w:pPr>
        <w:pStyle w:val="NoSpacing"/>
        <w:ind w:left="1170"/>
        <w:jc w:val="both"/>
        <w:rPr>
          <w:rFonts w:ascii="Arial" w:hAnsi="Arial" w:cs="Arial"/>
          <w:sz w:val="24"/>
          <w:szCs w:val="24"/>
        </w:rPr>
      </w:pPr>
    </w:p>
    <w:p w14:paraId="2BD91BE9" w14:textId="56C3D187" w:rsidR="002A7366" w:rsidRPr="00C276ED" w:rsidRDefault="009E302F" w:rsidP="00504BE3">
      <w:pPr>
        <w:pStyle w:val="NoSpacing"/>
        <w:ind w:left="1170"/>
        <w:jc w:val="both"/>
        <w:rPr>
          <w:rFonts w:ascii="Arial" w:hAnsi="Arial" w:cs="Arial"/>
          <w:sz w:val="24"/>
          <w:szCs w:val="24"/>
        </w:rPr>
      </w:pPr>
      <w:r w:rsidRPr="00C276ED">
        <w:rPr>
          <w:rFonts w:ascii="Arial" w:hAnsi="Arial" w:cs="Arial"/>
          <w:sz w:val="24"/>
          <w:szCs w:val="24"/>
        </w:rPr>
        <w:t>The price of ERUs is unknown at this time. Eco</w:t>
      </w:r>
      <w:r w:rsidR="005A3E47">
        <w:rPr>
          <w:rFonts w:ascii="Arial" w:hAnsi="Arial" w:cs="Arial"/>
          <w:sz w:val="24"/>
          <w:szCs w:val="24"/>
        </w:rPr>
        <w:t>logy’s constraints on ERUs make it d</w:t>
      </w:r>
      <w:r w:rsidRPr="00C276ED">
        <w:rPr>
          <w:rFonts w:ascii="Arial" w:hAnsi="Arial" w:cs="Arial"/>
          <w:sz w:val="24"/>
          <w:szCs w:val="24"/>
        </w:rPr>
        <w:t xml:space="preserve">ifficult to project their cost.  </w:t>
      </w:r>
      <w:r w:rsidR="00476213" w:rsidRPr="00C276ED">
        <w:rPr>
          <w:rFonts w:ascii="Arial" w:hAnsi="Arial" w:cs="Arial"/>
          <w:sz w:val="24"/>
          <w:szCs w:val="24"/>
        </w:rPr>
        <w:t>Considering Cascade’s modeling applies a price of CO</w:t>
      </w:r>
      <w:r w:rsidR="00476213" w:rsidRPr="00C276ED">
        <w:rPr>
          <w:rFonts w:ascii="Arial" w:hAnsi="Arial" w:cs="Arial"/>
          <w:sz w:val="24"/>
          <w:szCs w:val="24"/>
          <w:vertAlign w:val="subscript"/>
        </w:rPr>
        <w:t>2</w:t>
      </w:r>
      <w:r w:rsidR="00476213" w:rsidRPr="00C276ED">
        <w:rPr>
          <w:rFonts w:ascii="Arial" w:hAnsi="Arial" w:cs="Arial"/>
          <w:sz w:val="24"/>
          <w:szCs w:val="24"/>
        </w:rPr>
        <w:t xml:space="preserve"> to all emissions from natural gas delivered to all customers</w:t>
      </w:r>
      <w:r w:rsidR="00E22462" w:rsidRPr="00C276ED">
        <w:rPr>
          <w:rFonts w:ascii="Arial" w:hAnsi="Arial" w:cs="Arial"/>
          <w:sz w:val="24"/>
          <w:szCs w:val="24"/>
        </w:rPr>
        <w:t xml:space="preserve"> and CAR only requires compliance with a portion of these emissions</w:t>
      </w:r>
      <w:r w:rsidR="00476213" w:rsidRPr="00C276ED">
        <w:rPr>
          <w:rFonts w:ascii="Arial" w:hAnsi="Arial" w:cs="Arial"/>
          <w:sz w:val="24"/>
          <w:szCs w:val="24"/>
        </w:rPr>
        <w:t xml:space="preserve">, </w:t>
      </w:r>
      <w:r w:rsidRPr="00C276ED">
        <w:rPr>
          <w:rFonts w:ascii="Arial" w:hAnsi="Arial" w:cs="Arial"/>
          <w:sz w:val="24"/>
          <w:szCs w:val="24"/>
        </w:rPr>
        <w:t xml:space="preserve">the total </w:t>
      </w:r>
      <w:r w:rsidR="00476213" w:rsidRPr="00C276ED">
        <w:rPr>
          <w:rFonts w:ascii="Arial" w:hAnsi="Arial" w:cs="Arial"/>
          <w:sz w:val="24"/>
          <w:szCs w:val="24"/>
        </w:rPr>
        <w:t xml:space="preserve">carbon </w:t>
      </w:r>
      <w:r w:rsidRPr="00C276ED">
        <w:rPr>
          <w:rFonts w:ascii="Arial" w:hAnsi="Arial" w:cs="Arial"/>
          <w:sz w:val="24"/>
          <w:szCs w:val="24"/>
        </w:rPr>
        <w:t xml:space="preserve">cost </w:t>
      </w:r>
      <w:r w:rsidR="00476213" w:rsidRPr="00C276ED">
        <w:rPr>
          <w:rFonts w:ascii="Arial" w:hAnsi="Arial" w:cs="Arial"/>
          <w:sz w:val="24"/>
          <w:szCs w:val="24"/>
        </w:rPr>
        <w:t>from</w:t>
      </w:r>
      <w:r w:rsidRPr="00C276ED">
        <w:rPr>
          <w:rFonts w:ascii="Arial" w:hAnsi="Arial" w:cs="Arial"/>
          <w:sz w:val="24"/>
          <w:szCs w:val="24"/>
        </w:rPr>
        <w:t xml:space="preserve"> Cascade’s modeling is expected to be conservative</w:t>
      </w:r>
      <w:r w:rsidR="00476213" w:rsidRPr="00C276ED">
        <w:rPr>
          <w:rFonts w:ascii="Arial" w:hAnsi="Arial" w:cs="Arial"/>
          <w:sz w:val="24"/>
          <w:szCs w:val="24"/>
        </w:rPr>
        <w:t xml:space="preserve">. </w:t>
      </w:r>
      <w:r w:rsidRPr="00C276ED">
        <w:rPr>
          <w:rFonts w:ascii="Arial" w:hAnsi="Arial" w:cs="Arial"/>
          <w:sz w:val="24"/>
          <w:szCs w:val="24"/>
        </w:rPr>
        <w:t xml:space="preserve"> Cascade will further evaluate </w:t>
      </w:r>
      <w:r w:rsidRPr="00C276ED">
        <w:rPr>
          <w:rFonts w:ascii="Arial" w:hAnsi="Arial" w:cs="Arial"/>
          <w:sz w:val="24"/>
          <w:szCs w:val="24"/>
        </w:rPr>
        <w:lastRenderedPageBreak/>
        <w:t xml:space="preserve">ERU costs and compliance costs in </w:t>
      </w:r>
      <w:r w:rsidR="005A3E47">
        <w:rPr>
          <w:rFonts w:ascii="Arial" w:hAnsi="Arial" w:cs="Arial"/>
          <w:sz w:val="24"/>
          <w:szCs w:val="24"/>
        </w:rPr>
        <w:t xml:space="preserve">the </w:t>
      </w:r>
      <w:r w:rsidRPr="00C276ED">
        <w:rPr>
          <w:rFonts w:ascii="Arial" w:hAnsi="Arial" w:cs="Arial"/>
          <w:sz w:val="24"/>
          <w:szCs w:val="24"/>
        </w:rPr>
        <w:t>future as Ecology establishes Cascade’s baseline emissions value and emission re</w:t>
      </w:r>
      <w:r w:rsidR="005A3E47">
        <w:rPr>
          <w:rFonts w:ascii="Arial" w:hAnsi="Arial" w:cs="Arial"/>
          <w:sz w:val="24"/>
          <w:szCs w:val="24"/>
        </w:rPr>
        <w:t>duction pathway, and considers the</w:t>
      </w:r>
      <w:r w:rsidRPr="00C276ED">
        <w:rPr>
          <w:rFonts w:ascii="Arial" w:hAnsi="Arial" w:cs="Arial"/>
          <w:sz w:val="24"/>
          <w:szCs w:val="24"/>
        </w:rPr>
        <w:t xml:space="preserve"> timing of a decision by the Washington Superior Court for Thurston County on the legality of CAR.</w:t>
      </w:r>
    </w:p>
    <w:p w14:paraId="6E418A5B" w14:textId="77777777" w:rsidR="00D85FB7" w:rsidRPr="00C276ED" w:rsidRDefault="00D85FB7" w:rsidP="00CC0840">
      <w:pPr>
        <w:pStyle w:val="NoSpacing"/>
        <w:jc w:val="both"/>
        <w:rPr>
          <w:rFonts w:ascii="Arial" w:hAnsi="Arial" w:cs="Arial"/>
          <w:sz w:val="24"/>
          <w:szCs w:val="24"/>
        </w:rPr>
      </w:pPr>
    </w:p>
    <w:p w14:paraId="6A7D6264" w14:textId="250459CF" w:rsidR="0037581C" w:rsidRDefault="005706CB" w:rsidP="00C12503">
      <w:pPr>
        <w:pStyle w:val="NoSpacing"/>
        <w:ind w:left="1170"/>
        <w:jc w:val="both"/>
        <w:rPr>
          <w:rFonts w:ascii="Arial" w:hAnsi="Arial" w:cs="Arial"/>
          <w:sz w:val="24"/>
          <w:szCs w:val="24"/>
        </w:rPr>
      </w:pPr>
      <w:r w:rsidRPr="00C276ED">
        <w:rPr>
          <w:rFonts w:ascii="Arial" w:hAnsi="Arial" w:cs="Arial"/>
          <w:sz w:val="24"/>
          <w:szCs w:val="24"/>
        </w:rPr>
        <w:t xml:space="preserve">Initiative 732 (I-732 or “Clean Energy Future”) appeared on the November </w:t>
      </w:r>
      <w:r w:rsidR="005A3E47">
        <w:rPr>
          <w:rFonts w:ascii="Arial" w:hAnsi="Arial" w:cs="Arial"/>
          <w:sz w:val="24"/>
          <w:szCs w:val="24"/>
        </w:rPr>
        <w:t xml:space="preserve">2016 </w:t>
      </w:r>
      <w:r w:rsidRPr="00C276ED">
        <w:rPr>
          <w:rFonts w:ascii="Arial" w:hAnsi="Arial" w:cs="Arial"/>
          <w:sz w:val="24"/>
          <w:szCs w:val="24"/>
        </w:rPr>
        <w:t>ballot and would h</w:t>
      </w:r>
      <w:r w:rsidR="00F14079">
        <w:rPr>
          <w:rFonts w:ascii="Arial" w:hAnsi="Arial" w:cs="Arial"/>
          <w:sz w:val="24"/>
          <w:szCs w:val="24"/>
        </w:rPr>
        <w:t>ave charged a carbon tax of $25/</w:t>
      </w:r>
      <w:r w:rsidRPr="00C276ED">
        <w:rPr>
          <w:rFonts w:ascii="Arial" w:hAnsi="Arial" w:cs="Arial"/>
          <w:sz w:val="24"/>
          <w:szCs w:val="24"/>
        </w:rPr>
        <w:t>ton of carbon, lowered the sales tax by 1%, grant</w:t>
      </w:r>
      <w:r w:rsidR="005A3E47">
        <w:rPr>
          <w:rFonts w:ascii="Arial" w:hAnsi="Arial" w:cs="Arial"/>
          <w:sz w:val="24"/>
          <w:szCs w:val="24"/>
        </w:rPr>
        <w:t>ed</w:t>
      </w:r>
      <w:r w:rsidRPr="00C276ED">
        <w:rPr>
          <w:rFonts w:ascii="Arial" w:hAnsi="Arial" w:cs="Arial"/>
          <w:sz w:val="24"/>
          <w:szCs w:val="24"/>
        </w:rPr>
        <w:t xml:space="preserve"> a tax rebate of up to $1,500 annually to 400,000 low income families, and eliminated the business and occupation (B&amp;O) tax on manufacturing.  On November 8</w:t>
      </w:r>
      <w:r w:rsidRPr="00C276ED">
        <w:rPr>
          <w:rFonts w:ascii="Arial" w:hAnsi="Arial" w:cs="Arial"/>
          <w:sz w:val="24"/>
          <w:szCs w:val="24"/>
          <w:vertAlign w:val="superscript"/>
        </w:rPr>
        <w:t>th</w:t>
      </w:r>
      <w:r w:rsidRPr="00C276ED">
        <w:rPr>
          <w:rFonts w:ascii="Arial" w:hAnsi="Arial" w:cs="Arial"/>
          <w:sz w:val="24"/>
          <w:szCs w:val="24"/>
        </w:rPr>
        <w:t xml:space="preserve">, Washington voters rejected this measure with the percentage vote being 59% against. </w:t>
      </w:r>
    </w:p>
    <w:p w14:paraId="6B2B844B" w14:textId="77777777" w:rsidR="00C276ED" w:rsidRPr="00C276ED" w:rsidRDefault="00C276ED" w:rsidP="00C12503">
      <w:pPr>
        <w:pStyle w:val="NoSpacing"/>
        <w:ind w:left="1170"/>
        <w:jc w:val="both"/>
        <w:rPr>
          <w:rFonts w:ascii="Arial" w:hAnsi="Arial" w:cs="Arial"/>
          <w:sz w:val="24"/>
          <w:szCs w:val="24"/>
        </w:rPr>
      </w:pPr>
    </w:p>
    <w:p w14:paraId="6365A663" w14:textId="03D18B6D" w:rsidR="00D85FB7" w:rsidRDefault="00D85FB7" w:rsidP="00C12503">
      <w:pPr>
        <w:pStyle w:val="NoSpacing"/>
        <w:ind w:left="1170"/>
        <w:jc w:val="both"/>
        <w:rPr>
          <w:rFonts w:ascii="Arial" w:hAnsi="Arial" w:cs="Arial"/>
          <w:sz w:val="24"/>
          <w:szCs w:val="24"/>
        </w:rPr>
      </w:pPr>
      <w:r w:rsidRPr="00C276ED">
        <w:rPr>
          <w:rFonts w:ascii="Arial" w:hAnsi="Arial" w:cs="Arial"/>
          <w:sz w:val="24"/>
          <w:szCs w:val="24"/>
        </w:rPr>
        <w:t>Potential other carbon initiatives are in-progress, such as one that may be introduced by environmental and labor advocates.</w:t>
      </w:r>
      <w:r w:rsidR="00514150" w:rsidRPr="00C276ED">
        <w:rPr>
          <w:rStyle w:val="FootnoteReference"/>
          <w:rFonts w:ascii="Arial" w:hAnsi="Arial" w:cs="Arial"/>
          <w:sz w:val="24"/>
          <w:szCs w:val="24"/>
        </w:rPr>
        <w:footnoteReference w:id="4"/>
      </w:r>
      <w:r w:rsidRPr="00C276ED">
        <w:rPr>
          <w:rFonts w:ascii="Arial" w:hAnsi="Arial" w:cs="Arial"/>
          <w:sz w:val="24"/>
          <w:szCs w:val="24"/>
        </w:rPr>
        <w:t xml:space="preserve">  Regardless, significant other state policies with CO</w:t>
      </w:r>
      <w:r w:rsidRPr="00C276ED">
        <w:rPr>
          <w:rFonts w:ascii="Arial" w:hAnsi="Arial" w:cs="Arial"/>
          <w:sz w:val="24"/>
          <w:szCs w:val="24"/>
          <w:vertAlign w:val="subscript"/>
        </w:rPr>
        <w:t>2</w:t>
      </w:r>
      <w:r w:rsidRPr="00C276ED">
        <w:rPr>
          <w:rFonts w:ascii="Arial" w:hAnsi="Arial" w:cs="Arial"/>
          <w:sz w:val="24"/>
          <w:szCs w:val="24"/>
        </w:rPr>
        <w:t xml:space="preserve"> impacts have been adopted including, but not limited to, the Energy Independence Act (“I-937”) and the </w:t>
      </w:r>
      <w:r w:rsidR="00514150" w:rsidRPr="00C276ED">
        <w:rPr>
          <w:rFonts w:ascii="Arial" w:hAnsi="Arial" w:cs="Arial"/>
          <w:sz w:val="24"/>
          <w:szCs w:val="24"/>
        </w:rPr>
        <w:t xml:space="preserve">Washington </w:t>
      </w:r>
      <w:r w:rsidRPr="00C276ED">
        <w:rPr>
          <w:rFonts w:ascii="Arial" w:hAnsi="Arial" w:cs="Arial"/>
          <w:sz w:val="24"/>
          <w:szCs w:val="24"/>
        </w:rPr>
        <w:t xml:space="preserve">State Electric Vehicle </w:t>
      </w:r>
      <w:r w:rsidR="00514150" w:rsidRPr="00C276ED">
        <w:rPr>
          <w:rFonts w:ascii="Arial" w:hAnsi="Arial" w:cs="Arial"/>
          <w:sz w:val="24"/>
          <w:szCs w:val="24"/>
        </w:rPr>
        <w:t xml:space="preserve">Action </w:t>
      </w:r>
      <w:r w:rsidRPr="00C276ED">
        <w:rPr>
          <w:rFonts w:ascii="Arial" w:hAnsi="Arial" w:cs="Arial"/>
          <w:sz w:val="24"/>
          <w:szCs w:val="24"/>
        </w:rPr>
        <w:t xml:space="preserve">Plan. </w:t>
      </w:r>
      <w:r w:rsidR="0037581C" w:rsidRPr="00C276ED">
        <w:rPr>
          <w:rFonts w:ascii="Arial" w:hAnsi="Arial" w:cs="Arial"/>
          <w:sz w:val="24"/>
          <w:szCs w:val="24"/>
        </w:rPr>
        <w:t xml:space="preserve"> </w:t>
      </w:r>
      <w:r w:rsidR="00FD5F11" w:rsidRPr="00C276ED">
        <w:rPr>
          <w:rFonts w:ascii="Arial" w:hAnsi="Arial" w:cs="Arial"/>
          <w:sz w:val="24"/>
          <w:szCs w:val="24"/>
        </w:rPr>
        <w:t xml:space="preserve">However, Cascade’s operations are not directly impacted by these two policies. </w:t>
      </w:r>
    </w:p>
    <w:p w14:paraId="0DED04A8" w14:textId="77777777" w:rsidR="00C12503" w:rsidRDefault="00C12503" w:rsidP="00C12503">
      <w:pPr>
        <w:pStyle w:val="NoSpacing"/>
        <w:ind w:left="1170"/>
        <w:jc w:val="both"/>
        <w:rPr>
          <w:rFonts w:ascii="Arial" w:hAnsi="Arial" w:cs="Arial"/>
          <w:sz w:val="24"/>
          <w:szCs w:val="24"/>
        </w:rPr>
      </w:pPr>
    </w:p>
    <w:p w14:paraId="4F4B487E" w14:textId="77777777" w:rsidR="00C12503" w:rsidRPr="00C276ED" w:rsidRDefault="00C12503" w:rsidP="00C3642D">
      <w:pPr>
        <w:pStyle w:val="NoSpacing"/>
        <w:ind w:left="1170"/>
        <w:jc w:val="both"/>
        <w:rPr>
          <w:rFonts w:ascii="Arial" w:hAnsi="Arial" w:cs="Arial"/>
          <w:sz w:val="24"/>
          <w:szCs w:val="24"/>
        </w:rPr>
      </w:pPr>
    </w:p>
    <w:p w14:paraId="4DAD225E" w14:textId="77777777" w:rsidR="00D85FB7" w:rsidRPr="00C276ED" w:rsidRDefault="00CC0840" w:rsidP="00C3642D">
      <w:pPr>
        <w:pStyle w:val="Heading2"/>
        <w:spacing w:before="0" w:line="240" w:lineRule="auto"/>
        <w:jc w:val="both"/>
        <w:rPr>
          <w:rFonts w:ascii="Arial" w:hAnsi="Arial" w:cs="Arial"/>
          <w:b/>
          <w:color w:val="auto"/>
          <w:sz w:val="24"/>
          <w:szCs w:val="24"/>
        </w:rPr>
      </w:pPr>
      <w:bookmarkStart w:id="9" w:name="_Toc459622869"/>
      <w:r w:rsidRPr="00C276ED">
        <w:rPr>
          <w:rFonts w:ascii="Arial" w:hAnsi="Arial" w:cs="Arial"/>
          <w:b/>
          <w:caps w:val="0"/>
          <w:color w:val="auto"/>
          <w:sz w:val="24"/>
          <w:szCs w:val="24"/>
        </w:rPr>
        <w:t>Oregon</w:t>
      </w:r>
      <w:bookmarkEnd w:id="9"/>
      <w:r w:rsidRPr="00C276ED">
        <w:rPr>
          <w:rFonts w:ascii="Arial" w:hAnsi="Arial" w:cs="Arial"/>
          <w:b/>
          <w:caps w:val="0"/>
          <w:color w:val="auto"/>
          <w:sz w:val="24"/>
          <w:szCs w:val="24"/>
        </w:rPr>
        <w:t xml:space="preserve"> </w:t>
      </w:r>
    </w:p>
    <w:p w14:paraId="060C5A67" w14:textId="77777777" w:rsidR="00D85FB7" w:rsidRPr="00C276ED" w:rsidRDefault="00D85FB7" w:rsidP="00CC0840">
      <w:pPr>
        <w:pStyle w:val="NoSpacing"/>
        <w:jc w:val="both"/>
        <w:rPr>
          <w:rFonts w:ascii="Arial" w:hAnsi="Arial" w:cs="Arial"/>
          <w:sz w:val="24"/>
          <w:szCs w:val="24"/>
        </w:rPr>
      </w:pPr>
    </w:p>
    <w:p w14:paraId="22F4C443" w14:textId="777B19B0" w:rsidR="00D85FB7" w:rsidRPr="00C276ED" w:rsidRDefault="00D85FB7" w:rsidP="00CC0840">
      <w:pPr>
        <w:pStyle w:val="NoSpacing"/>
        <w:jc w:val="both"/>
        <w:rPr>
          <w:rFonts w:ascii="Arial" w:hAnsi="Arial" w:cs="Arial"/>
          <w:sz w:val="24"/>
          <w:szCs w:val="24"/>
        </w:rPr>
      </w:pPr>
      <w:r w:rsidRPr="00C276ED">
        <w:rPr>
          <w:rFonts w:ascii="Arial" w:hAnsi="Arial" w:cs="Arial"/>
          <w:sz w:val="24"/>
          <w:szCs w:val="24"/>
        </w:rPr>
        <w:t>The Oregon Legislature has actively considered multiple new state laws as follows</w:t>
      </w:r>
      <w:r w:rsidR="00AF146F" w:rsidRPr="00C276ED">
        <w:rPr>
          <w:rFonts w:ascii="Arial" w:hAnsi="Arial" w:cs="Arial"/>
          <w:sz w:val="24"/>
          <w:szCs w:val="24"/>
        </w:rPr>
        <w:t>:</w:t>
      </w:r>
      <w:r w:rsidRPr="00C276ED">
        <w:rPr>
          <w:rFonts w:ascii="Arial" w:hAnsi="Arial" w:cs="Arial"/>
          <w:sz w:val="24"/>
          <w:szCs w:val="24"/>
        </w:rPr>
        <w:t xml:space="preserve">  </w:t>
      </w:r>
    </w:p>
    <w:p w14:paraId="231A0393" w14:textId="77777777" w:rsidR="00D85FB7" w:rsidRPr="00C276ED" w:rsidRDefault="00D85FB7" w:rsidP="00CC0840">
      <w:pPr>
        <w:pStyle w:val="NoSpacing"/>
        <w:jc w:val="both"/>
        <w:rPr>
          <w:rFonts w:ascii="Arial" w:hAnsi="Arial" w:cs="Arial"/>
          <w:sz w:val="24"/>
          <w:szCs w:val="24"/>
        </w:rPr>
      </w:pPr>
    </w:p>
    <w:p w14:paraId="3807F1F3" w14:textId="757415D9" w:rsidR="00D85FB7" w:rsidRPr="00C276ED" w:rsidRDefault="00D85FB7" w:rsidP="00CC0840">
      <w:pPr>
        <w:pStyle w:val="NoSpacing"/>
        <w:numPr>
          <w:ilvl w:val="0"/>
          <w:numId w:val="8"/>
        </w:numPr>
        <w:ind w:left="360"/>
        <w:jc w:val="both"/>
        <w:rPr>
          <w:rFonts w:ascii="Arial" w:hAnsi="Arial" w:cs="Arial"/>
          <w:sz w:val="24"/>
          <w:szCs w:val="24"/>
        </w:rPr>
      </w:pPr>
      <w:r w:rsidRPr="00C276ED">
        <w:rPr>
          <w:rFonts w:ascii="Arial" w:hAnsi="Arial" w:cs="Arial"/>
          <w:sz w:val="24"/>
          <w:szCs w:val="24"/>
        </w:rPr>
        <w:t>“Coal to Clean” law</w:t>
      </w:r>
      <w:r w:rsidR="00514150" w:rsidRPr="00C276ED">
        <w:rPr>
          <w:rFonts w:ascii="Arial" w:hAnsi="Arial" w:cs="Arial"/>
          <w:sz w:val="24"/>
          <w:szCs w:val="24"/>
        </w:rPr>
        <w:t xml:space="preserve"> adopted</w:t>
      </w:r>
      <w:r w:rsidRPr="00C276ED">
        <w:rPr>
          <w:rFonts w:ascii="Arial" w:hAnsi="Arial" w:cs="Arial"/>
          <w:sz w:val="24"/>
          <w:szCs w:val="24"/>
        </w:rPr>
        <w:t xml:space="preserve"> in 2016 (SB 1547)</w:t>
      </w:r>
      <w:r w:rsidR="00544B1F">
        <w:rPr>
          <w:rFonts w:ascii="Arial" w:hAnsi="Arial" w:cs="Arial"/>
          <w:sz w:val="24"/>
          <w:szCs w:val="24"/>
        </w:rPr>
        <w:t>.</w:t>
      </w:r>
    </w:p>
    <w:p w14:paraId="23D9BF10" w14:textId="28879BE3" w:rsidR="00D85FB7" w:rsidRPr="00C276ED" w:rsidRDefault="00D85FB7" w:rsidP="00FA09E5">
      <w:pPr>
        <w:pStyle w:val="NoSpacing"/>
        <w:numPr>
          <w:ilvl w:val="1"/>
          <w:numId w:val="8"/>
        </w:numPr>
        <w:ind w:left="720"/>
        <w:jc w:val="both"/>
        <w:rPr>
          <w:rFonts w:ascii="Arial" w:hAnsi="Arial" w:cs="Arial"/>
          <w:sz w:val="24"/>
          <w:szCs w:val="24"/>
        </w:rPr>
      </w:pPr>
      <w:r w:rsidRPr="00C276ED">
        <w:rPr>
          <w:rFonts w:ascii="Arial" w:hAnsi="Arial" w:cs="Arial"/>
          <w:sz w:val="24"/>
          <w:szCs w:val="24"/>
        </w:rPr>
        <w:t>Effectively eliminates coal power by 2030</w:t>
      </w:r>
      <w:r w:rsidR="00544B1F">
        <w:rPr>
          <w:rFonts w:ascii="Arial" w:hAnsi="Arial" w:cs="Arial"/>
          <w:sz w:val="24"/>
          <w:szCs w:val="24"/>
        </w:rPr>
        <w:t>.</w:t>
      </w:r>
    </w:p>
    <w:p w14:paraId="73837CBC" w14:textId="324AD86E" w:rsidR="00D85FB7" w:rsidRPr="00C276ED" w:rsidRDefault="00D85FB7" w:rsidP="00FA09E5">
      <w:pPr>
        <w:pStyle w:val="NoSpacing"/>
        <w:numPr>
          <w:ilvl w:val="1"/>
          <w:numId w:val="8"/>
        </w:numPr>
        <w:ind w:left="720"/>
        <w:jc w:val="both"/>
        <w:rPr>
          <w:rFonts w:ascii="Arial" w:hAnsi="Arial" w:cs="Arial"/>
          <w:sz w:val="24"/>
          <w:szCs w:val="24"/>
        </w:rPr>
      </w:pPr>
      <w:r w:rsidRPr="00C276ED">
        <w:rPr>
          <w:rFonts w:ascii="Arial" w:hAnsi="Arial" w:cs="Arial"/>
          <w:sz w:val="24"/>
          <w:szCs w:val="24"/>
        </w:rPr>
        <w:t>50% renewable electric generation by 2040</w:t>
      </w:r>
      <w:r w:rsidR="00AF146F" w:rsidRPr="00C276ED">
        <w:rPr>
          <w:rFonts w:ascii="Arial" w:hAnsi="Arial" w:cs="Arial"/>
          <w:sz w:val="24"/>
          <w:szCs w:val="24"/>
        </w:rPr>
        <w:t>.</w:t>
      </w:r>
    </w:p>
    <w:p w14:paraId="165533C8" w14:textId="77777777" w:rsidR="00D85FB7" w:rsidRPr="00C276ED" w:rsidRDefault="00D85FB7" w:rsidP="00CC0840">
      <w:pPr>
        <w:pStyle w:val="NoSpacing"/>
        <w:jc w:val="both"/>
        <w:rPr>
          <w:rFonts w:ascii="Arial" w:hAnsi="Arial" w:cs="Arial"/>
          <w:sz w:val="24"/>
          <w:szCs w:val="24"/>
        </w:rPr>
      </w:pPr>
    </w:p>
    <w:p w14:paraId="5DB04051" w14:textId="77777777" w:rsidR="00D85FB7" w:rsidRPr="00C276ED" w:rsidRDefault="00D85FB7" w:rsidP="00CC0840">
      <w:pPr>
        <w:pStyle w:val="NoSpacing"/>
        <w:numPr>
          <w:ilvl w:val="0"/>
          <w:numId w:val="8"/>
        </w:numPr>
        <w:ind w:left="360"/>
        <w:jc w:val="both"/>
        <w:rPr>
          <w:rFonts w:ascii="Arial" w:hAnsi="Arial" w:cs="Arial"/>
          <w:sz w:val="24"/>
          <w:szCs w:val="24"/>
        </w:rPr>
      </w:pPr>
      <w:r w:rsidRPr="00C276ED">
        <w:rPr>
          <w:rFonts w:ascii="Arial" w:hAnsi="Arial" w:cs="Arial"/>
          <w:sz w:val="24"/>
          <w:szCs w:val="24"/>
        </w:rPr>
        <w:t>Several other legislative proposals considered without adoption in 2016:</w:t>
      </w:r>
    </w:p>
    <w:p w14:paraId="4DA05A43" w14:textId="0177237E" w:rsidR="00D85FB7" w:rsidRPr="00C276ED" w:rsidRDefault="00D85FB7" w:rsidP="00FA09E5">
      <w:pPr>
        <w:pStyle w:val="NoSpacing"/>
        <w:numPr>
          <w:ilvl w:val="1"/>
          <w:numId w:val="8"/>
        </w:numPr>
        <w:ind w:left="720"/>
        <w:jc w:val="both"/>
        <w:rPr>
          <w:rFonts w:ascii="Arial" w:hAnsi="Arial" w:cs="Arial"/>
          <w:sz w:val="24"/>
          <w:szCs w:val="24"/>
        </w:rPr>
      </w:pPr>
      <w:r w:rsidRPr="00C276ED">
        <w:rPr>
          <w:rFonts w:ascii="Arial" w:hAnsi="Arial" w:cs="Arial"/>
          <w:sz w:val="24"/>
          <w:szCs w:val="24"/>
        </w:rPr>
        <w:t>Replace GHG emission goal with cap and trade program (SB 1574)</w:t>
      </w:r>
      <w:r w:rsidR="00544B1F">
        <w:rPr>
          <w:rFonts w:ascii="Arial" w:hAnsi="Arial" w:cs="Arial"/>
          <w:sz w:val="24"/>
          <w:szCs w:val="24"/>
        </w:rPr>
        <w:t>.</w:t>
      </w:r>
    </w:p>
    <w:p w14:paraId="1BB39954" w14:textId="52993D6A" w:rsidR="00D85FB7" w:rsidRPr="00C276ED" w:rsidRDefault="00D85FB7" w:rsidP="00FA09E5">
      <w:pPr>
        <w:pStyle w:val="NoSpacing"/>
        <w:numPr>
          <w:ilvl w:val="1"/>
          <w:numId w:val="8"/>
        </w:numPr>
        <w:ind w:left="720"/>
        <w:jc w:val="both"/>
        <w:rPr>
          <w:rFonts w:ascii="Arial" w:hAnsi="Arial" w:cs="Arial"/>
          <w:sz w:val="24"/>
          <w:szCs w:val="24"/>
        </w:rPr>
      </w:pPr>
      <w:r w:rsidRPr="00C276ED">
        <w:rPr>
          <w:rFonts w:ascii="Arial" w:hAnsi="Arial" w:cs="Arial"/>
          <w:sz w:val="24"/>
          <w:szCs w:val="24"/>
        </w:rPr>
        <w:t>Repeal GHG emission goal; requires Environmental Quality Commission to adopt goals and limits (HB 4068)</w:t>
      </w:r>
      <w:r w:rsidR="00544B1F">
        <w:rPr>
          <w:rFonts w:ascii="Arial" w:hAnsi="Arial" w:cs="Arial"/>
          <w:sz w:val="24"/>
          <w:szCs w:val="24"/>
        </w:rPr>
        <w:t>.</w:t>
      </w:r>
    </w:p>
    <w:p w14:paraId="540DEEF3" w14:textId="77777777" w:rsidR="00D85FB7" w:rsidRPr="00C276ED" w:rsidRDefault="00D85FB7" w:rsidP="00CC0840">
      <w:pPr>
        <w:pStyle w:val="NoSpacing"/>
        <w:jc w:val="both"/>
        <w:rPr>
          <w:rFonts w:ascii="Arial" w:hAnsi="Arial" w:cs="Arial"/>
          <w:sz w:val="24"/>
          <w:szCs w:val="24"/>
        </w:rPr>
      </w:pPr>
    </w:p>
    <w:p w14:paraId="3594CC66" w14:textId="4698F1AE" w:rsidR="00D85FB7" w:rsidRPr="00C276ED" w:rsidRDefault="008305F7" w:rsidP="00CC0840">
      <w:pPr>
        <w:pStyle w:val="NoSpacing"/>
        <w:jc w:val="both"/>
        <w:rPr>
          <w:rFonts w:ascii="Arial" w:hAnsi="Arial" w:cs="Arial"/>
          <w:sz w:val="24"/>
          <w:szCs w:val="24"/>
        </w:rPr>
      </w:pPr>
      <w:r w:rsidRPr="00C276ED">
        <w:rPr>
          <w:rFonts w:ascii="Arial" w:hAnsi="Arial" w:cs="Arial"/>
          <w:sz w:val="24"/>
          <w:szCs w:val="24"/>
        </w:rPr>
        <w:t xml:space="preserve">It is possible that other state or federal regulation and legislation may potentially be adopted in </w:t>
      </w:r>
      <w:r w:rsidR="00FA09E5">
        <w:rPr>
          <w:rFonts w:ascii="Arial" w:hAnsi="Arial" w:cs="Arial"/>
          <w:sz w:val="24"/>
          <w:szCs w:val="24"/>
        </w:rPr>
        <w:t xml:space="preserve">the </w:t>
      </w:r>
      <w:r w:rsidRPr="00C276ED">
        <w:rPr>
          <w:rFonts w:ascii="Arial" w:hAnsi="Arial" w:cs="Arial"/>
          <w:sz w:val="24"/>
          <w:szCs w:val="24"/>
        </w:rPr>
        <w:t xml:space="preserve">future that could require Cascade to address GHG emissions.  Cascade will continue to monitor GHG regulation and legislation for potential impacts to natural gas distribution companies.   </w:t>
      </w:r>
    </w:p>
    <w:p w14:paraId="2E0DF2E3" w14:textId="77777777" w:rsidR="00992012" w:rsidRPr="00C276ED" w:rsidRDefault="00992012" w:rsidP="00CC0840">
      <w:pPr>
        <w:pStyle w:val="NoSpacing"/>
        <w:jc w:val="both"/>
        <w:rPr>
          <w:rFonts w:ascii="Arial" w:hAnsi="Arial" w:cs="Arial"/>
          <w:sz w:val="24"/>
          <w:szCs w:val="24"/>
        </w:rPr>
      </w:pPr>
    </w:p>
    <w:p w14:paraId="7F9F1EEA" w14:textId="77777777" w:rsidR="002858EB" w:rsidRDefault="002858EB" w:rsidP="002858EB"/>
    <w:p w14:paraId="1671E8AD" w14:textId="77777777" w:rsidR="002858EB" w:rsidRDefault="002858EB" w:rsidP="002858EB"/>
    <w:p w14:paraId="3083DD32" w14:textId="77777777" w:rsidR="001B54FA" w:rsidRPr="00C276ED" w:rsidRDefault="001B54FA" w:rsidP="001B54FA">
      <w:pPr>
        <w:keepNext/>
        <w:keepLines/>
        <w:spacing w:before="240" w:after="0"/>
        <w:jc w:val="both"/>
        <w:outlineLvl w:val="1"/>
        <w:rPr>
          <w:rFonts w:ascii="Arial" w:eastAsiaTheme="majorEastAsia" w:hAnsi="Arial" w:cs="Arial"/>
          <w:b/>
          <w:caps/>
          <w:color w:val="auto"/>
          <w:sz w:val="24"/>
          <w:szCs w:val="24"/>
        </w:rPr>
      </w:pPr>
      <w:r w:rsidRPr="00C276ED">
        <w:rPr>
          <w:rFonts w:ascii="Arial" w:eastAsiaTheme="majorEastAsia" w:hAnsi="Arial" w:cs="Arial"/>
          <w:b/>
          <w:color w:val="auto"/>
          <w:sz w:val="24"/>
          <w:szCs w:val="24"/>
        </w:rPr>
        <w:lastRenderedPageBreak/>
        <w:t>The Regional Focus</w:t>
      </w:r>
    </w:p>
    <w:p w14:paraId="4DC9A366" w14:textId="77777777" w:rsidR="001B54FA" w:rsidRPr="00C276ED" w:rsidRDefault="001B54FA" w:rsidP="001B54FA">
      <w:pPr>
        <w:spacing w:before="0" w:after="0" w:line="240" w:lineRule="auto"/>
        <w:jc w:val="both"/>
        <w:rPr>
          <w:rFonts w:ascii="Arial" w:hAnsi="Arial" w:cs="Arial"/>
          <w:color w:val="auto"/>
          <w:sz w:val="24"/>
          <w:szCs w:val="24"/>
        </w:rPr>
      </w:pPr>
    </w:p>
    <w:p w14:paraId="4B8E70E5" w14:textId="1E334370" w:rsidR="001B54FA" w:rsidRPr="00C276ED" w:rsidRDefault="001B54FA" w:rsidP="001B54FA">
      <w:pPr>
        <w:spacing w:before="0" w:after="0" w:line="240" w:lineRule="auto"/>
        <w:jc w:val="both"/>
        <w:rPr>
          <w:rFonts w:ascii="Arial" w:hAnsi="Arial" w:cs="Arial"/>
          <w:color w:val="auto"/>
          <w:sz w:val="24"/>
          <w:szCs w:val="24"/>
        </w:rPr>
      </w:pPr>
      <w:r w:rsidRPr="00C276ED">
        <w:rPr>
          <w:rFonts w:ascii="Arial" w:hAnsi="Arial" w:cs="Arial"/>
          <w:color w:val="auto"/>
          <w:sz w:val="24"/>
          <w:szCs w:val="24"/>
        </w:rPr>
        <w:t>The Northwest Power Planning and Conservation Council’s mission is to ensure, with public participation, an affordable and reliable energy system while enhancing fish and wildlife in the Columbia River Basin.  The Northwest Power Planning and Conservation Council develops electric generation system plans for the Pacific Northwest and recently approved its 7</w:t>
      </w:r>
      <w:r w:rsidRPr="00C276ED">
        <w:rPr>
          <w:rFonts w:ascii="Arial" w:hAnsi="Arial" w:cs="Arial"/>
          <w:color w:val="auto"/>
          <w:sz w:val="24"/>
          <w:szCs w:val="24"/>
          <w:vertAlign w:val="superscript"/>
        </w:rPr>
        <w:t>th</w:t>
      </w:r>
      <w:r w:rsidRPr="00C276ED">
        <w:rPr>
          <w:rFonts w:ascii="Arial" w:hAnsi="Arial" w:cs="Arial"/>
          <w:color w:val="auto"/>
          <w:sz w:val="24"/>
          <w:szCs w:val="24"/>
        </w:rPr>
        <w:t xml:space="preserve"> Power Plan (May 2016).  Significant discussion, analyses, and scenarios regarding CO</w:t>
      </w:r>
      <w:r w:rsidRPr="00C276ED">
        <w:rPr>
          <w:rFonts w:ascii="Arial" w:hAnsi="Arial" w:cs="Arial"/>
          <w:color w:val="auto"/>
          <w:sz w:val="24"/>
          <w:szCs w:val="24"/>
          <w:vertAlign w:val="subscript"/>
        </w:rPr>
        <w:t>2</w:t>
      </w:r>
      <w:r w:rsidRPr="00C276ED">
        <w:rPr>
          <w:rFonts w:ascii="Arial" w:hAnsi="Arial" w:cs="Arial"/>
          <w:color w:val="auto"/>
          <w:sz w:val="24"/>
          <w:szCs w:val="24"/>
        </w:rPr>
        <w:t xml:space="preserve"> are contained in Chapters 3 and 15</w:t>
      </w:r>
      <w:r w:rsidR="00544B1F">
        <w:rPr>
          <w:rFonts w:ascii="Arial" w:hAnsi="Arial" w:cs="Arial"/>
          <w:color w:val="auto"/>
          <w:sz w:val="24"/>
          <w:szCs w:val="24"/>
        </w:rPr>
        <w:t xml:space="preserve"> of the 7</w:t>
      </w:r>
      <w:r w:rsidR="00544B1F" w:rsidRPr="00544B1F">
        <w:rPr>
          <w:rFonts w:ascii="Arial" w:hAnsi="Arial" w:cs="Arial"/>
          <w:color w:val="auto"/>
          <w:sz w:val="24"/>
          <w:szCs w:val="24"/>
          <w:vertAlign w:val="superscript"/>
        </w:rPr>
        <w:t>th</w:t>
      </w:r>
      <w:r w:rsidR="00544B1F">
        <w:rPr>
          <w:rFonts w:ascii="Arial" w:hAnsi="Arial" w:cs="Arial"/>
          <w:color w:val="auto"/>
          <w:sz w:val="24"/>
          <w:szCs w:val="24"/>
        </w:rPr>
        <w:t xml:space="preserve"> Plan</w:t>
      </w:r>
      <w:r w:rsidRPr="00C276ED">
        <w:rPr>
          <w:rFonts w:ascii="Arial" w:hAnsi="Arial" w:cs="Arial"/>
          <w:color w:val="auto"/>
          <w:sz w:val="24"/>
          <w:szCs w:val="24"/>
        </w:rPr>
        <w:t>.  These will be addressed in the following s</w:t>
      </w:r>
      <w:r w:rsidR="00544B1F">
        <w:rPr>
          <w:rFonts w:ascii="Arial" w:hAnsi="Arial" w:cs="Arial"/>
          <w:color w:val="auto"/>
          <w:sz w:val="24"/>
          <w:szCs w:val="24"/>
        </w:rPr>
        <w:t>ubs</w:t>
      </w:r>
      <w:r w:rsidRPr="00C276ED">
        <w:rPr>
          <w:rFonts w:ascii="Arial" w:hAnsi="Arial" w:cs="Arial"/>
          <w:color w:val="auto"/>
          <w:sz w:val="24"/>
          <w:szCs w:val="24"/>
        </w:rPr>
        <w:t>ection (“Types of CO</w:t>
      </w:r>
      <w:r w:rsidRPr="00C276ED">
        <w:rPr>
          <w:rFonts w:ascii="Arial" w:hAnsi="Arial" w:cs="Arial"/>
          <w:color w:val="auto"/>
          <w:sz w:val="24"/>
          <w:szCs w:val="24"/>
          <w:vertAlign w:val="subscript"/>
        </w:rPr>
        <w:t>2</w:t>
      </w:r>
      <w:r w:rsidRPr="00C276ED">
        <w:rPr>
          <w:rFonts w:ascii="Arial" w:hAnsi="Arial" w:cs="Arial"/>
          <w:color w:val="auto"/>
          <w:sz w:val="24"/>
          <w:szCs w:val="24"/>
        </w:rPr>
        <w:t xml:space="preserve"> Adder Analyses”).</w:t>
      </w:r>
    </w:p>
    <w:p w14:paraId="328DF029" w14:textId="77777777" w:rsidR="001B54FA" w:rsidRPr="00C276ED" w:rsidRDefault="001B54FA" w:rsidP="001B54FA">
      <w:pPr>
        <w:spacing w:before="0" w:after="0" w:line="240" w:lineRule="auto"/>
        <w:jc w:val="both"/>
        <w:rPr>
          <w:rFonts w:ascii="Arial" w:hAnsi="Arial" w:cs="Arial"/>
          <w:color w:val="auto"/>
          <w:sz w:val="24"/>
          <w:szCs w:val="24"/>
        </w:rPr>
      </w:pPr>
    </w:p>
    <w:p w14:paraId="0A432F1D" w14:textId="77777777" w:rsidR="001B54FA" w:rsidRPr="00C276ED" w:rsidRDefault="001B54FA" w:rsidP="00C3642D">
      <w:pPr>
        <w:spacing w:before="0" w:after="0" w:line="240" w:lineRule="auto"/>
        <w:jc w:val="both"/>
        <w:rPr>
          <w:color w:val="auto"/>
        </w:rPr>
      </w:pPr>
      <w:r w:rsidRPr="00C276ED">
        <w:rPr>
          <w:rFonts w:ascii="Arial" w:hAnsi="Arial" w:cs="Arial"/>
          <w:color w:val="auto"/>
          <w:sz w:val="24"/>
          <w:szCs w:val="24"/>
        </w:rPr>
        <w:t>Moreover, considerable prior regional collaboration has occurred regarding GHG, such as the proposed cap and trade program of the Western Climate Initiative.</w:t>
      </w:r>
      <w:r w:rsidRPr="00C276ED">
        <w:rPr>
          <w:rFonts w:ascii="Arial" w:hAnsi="Arial" w:cs="Arial"/>
          <w:color w:val="auto"/>
          <w:sz w:val="24"/>
          <w:szCs w:val="24"/>
          <w:vertAlign w:val="superscript"/>
        </w:rPr>
        <w:footnoteReference w:id="5"/>
      </w:r>
    </w:p>
    <w:p w14:paraId="56352855" w14:textId="77777777" w:rsidR="00C3642D" w:rsidRDefault="00C3642D" w:rsidP="00C3642D">
      <w:pPr>
        <w:pStyle w:val="Heading1"/>
        <w:spacing w:before="0" w:after="0" w:line="240" w:lineRule="auto"/>
        <w:jc w:val="both"/>
        <w:rPr>
          <w:rFonts w:ascii="Arial" w:hAnsi="Arial" w:cs="Arial"/>
          <w:b/>
          <w:color w:val="auto"/>
          <w:sz w:val="24"/>
          <w:szCs w:val="24"/>
        </w:rPr>
      </w:pPr>
      <w:bookmarkStart w:id="10" w:name="_Toc459622870"/>
    </w:p>
    <w:p w14:paraId="505918CC" w14:textId="77777777" w:rsidR="00C3642D" w:rsidRDefault="00C3642D" w:rsidP="00C3642D">
      <w:pPr>
        <w:pStyle w:val="Heading1"/>
        <w:spacing w:before="0" w:after="0" w:line="240" w:lineRule="auto"/>
        <w:jc w:val="both"/>
        <w:rPr>
          <w:rFonts w:ascii="Arial" w:hAnsi="Arial" w:cs="Arial"/>
          <w:b/>
          <w:color w:val="auto"/>
          <w:sz w:val="24"/>
          <w:szCs w:val="24"/>
        </w:rPr>
      </w:pPr>
    </w:p>
    <w:p w14:paraId="28724304" w14:textId="620837F1" w:rsidR="00D85FB7" w:rsidRPr="00C276ED" w:rsidRDefault="00D85FB7" w:rsidP="00C3642D">
      <w:pPr>
        <w:pStyle w:val="Heading1"/>
        <w:spacing w:before="0" w:after="0" w:line="240" w:lineRule="auto"/>
        <w:jc w:val="both"/>
        <w:rPr>
          <w:rFonts w:ascii="Arial" w:hAnsi="Arial" w:cs="Arial"/>
          <w:b/>
          <w:color w:val="auto"/>
          <w:sz w:val="24"/>
          <w:szCs w:val="24"/>
        </w:rPr>
      </w:pPr>
      <w:r w:rsidRPr="00C276ED">
        <w:rPr>
          <w:rFonts w:ascii="Arial" w:hAnsi="Arial" w:cs="Arial"/>
          <w:b/>
          <w:color w:val="auto"/>
          <w:sz w:val="24"/>
          <w:szCs w:val="24"/>
        </w:rPr>
        <w:t>Types of CO</w:t>
      </w:r>
      <w:r w:rsidRPr="00C276ED">
        <w:rPr>
          <w:rFonts w:ascii="Arial" w:hAnsi="Arial" w:cs="Arial"/>
          <w:b/>
          <w:color w:val="auto"/>
          <w:sz w:val="24"/>
          <w:szCs w:val="24"/>
          <w:vertAlign w:val="subscript"/>
        </w:rPr>
        <w:t>2</w:t>
      </w:r>
      <w:r w:rsidRPr="00C276ED">
        <w:rPr>
          <w:rFonts w:ascii="Arial" w:hAnsi="Arial" w:cs="Arial"/>
          <w:b/>
          <w:color w:val="auto"/>
          <w:sz w:val="24"/>
          <w:szCs w:val="24"/>
        </w:rPr>
        <w:t xml:space="preserve"> Adder Analyses</w:t>
      </w:r>
      <w:bookmarkEnd w:id="10"/>
      <w:r w:rsidRPr="00C276ED">
        <w:rPr>
          <w:rFonts w:ascii="Arial" w:hAnsi="Arial" w:cs="Arial"/>
          <w:b/>
          <w:color w:val="auto"/>
          <w:sz w:val="24"/>
          <w:szCs w:val="24"/>
        </w:rPr>
        <w:t xml:space="preserve"> </w:t>
      </w:r>
    </w:p>
    <w:p w14:paraId="4281C1C0" w14:textId="77777777" w:rsidR="00D85FB7" w:rsidRPr="00C276ED" w:rsidRDefault="00D85FB7" w:rsidP="00CC0840">
      <w:pPr>
        <w:pStyle w:val="NoSpacing"/>
        <w:jc w:val="both"/>
        <w:rPr>
          <w:rFonts w:ascii="Arial" w:hAnsi="Arial" w:cs="Arial"/>
          <w:sz w:val="24"/>
          <w:szCs w:val="24"/>
        </w:rPr>
      </w:pPr>
    </w:p>
    <w:p w14:paraId="06F2BFAA" w14:textId="77777777" w:rsidR="00D85FB7" w:rsidRPr="00C276ED" w:rsidRDefault="00D85FB7" w:rsidP="00CC0840">
      <w:pPr>
        <w:pStyle w:val="NoSpacing"/>
        <w:jc w:val="both"/>
        <w:rPr>
          <w:rFonts w:ascii="Arial" w:hAnsi="Arial" w:cs="Arial"/>
          <w:sz w:val="24"/>
          <w:szCs w:val="24"/>
        </w:rPr>
      </w:pPr>
      <w:r w:rsidRPr="00C276ED">
        <w:rPr>
          <w:rFonts w:ascii="Arial" w:hAnsi="Arial" w:cs="Arial"/>
          <w:sz w:val="24"/>
          <w:szCs w:val="24"/>
        </w:rPr>
        <w:t>The Council’s Seventh Power Plan summarizes applicable approaches.  While directed to the electric industry, these are provided as illustrations of the potential scope of methodologies and recently-performed analyses.  These are excerpted</w:t>
      </w:r>
      <w:r w:rsidR="00514150" w:rsidRPr="00C276ED">
        <w:rPr>
          <w:rFonts w:ascii="Arial" w:hAnsi="Arial" w:cs="Arial"/>
          <w:sz w:val="24"/>
          <w:szCs w:val="24"/>
        </w:rPr>
        <w:t xml:space="preserve">, </w:t>
      </w:r>
      <w:r w:rsidR="00514150" w:rsidRPr="00C276ED">
        <w:rPr>
          <w:rFonts w:ascii="Arial" w:hAnsi="Arial" w:cs="Arial"/>
          <w:i/>
          <w:sz w:val="24"/>
          <w:szCs w:val="24"/>
        </w:rPr>
        <w:t>verbatim</w:t>
      </w:r>
      <w:r w:rsidR="00514150" w:rsidRPr="00C276ED">
        <w:rPr>
          <w:rFonts w:ascii="Arial" w:hAnsi="Arial" w:cs="Arial"/>
          <w:sz w:val="24"/>
          <w:szCs w:val="24"/>
        </w:rPr>
        <w:t>,</w:t>
      </w:r>
      <w:r w:rsidRPr="00C276ED">
        <w:rPr>
          <w:rFonts w:ascii="Arial" w:hAnsi="Arial" w:cs="Arial"/>
          <w:sz w:val="24"/>
          <w:szCs w:val="24"/>
        </w:rPr>
        <w:t xml:space="preserve"> so as to illustrate the Plan’s characterization of each.</w:t>
      </w:r>
    </w:p>
    <w:p w14:paraId="29AF993A" w14:textId="77777777" w:rsidR="00D85FB7" w:rsidRPr="00C276ED" w:rsidRDefault="00D85FB7" w:rsidP="00CC0840">
      <w:pPr>
        <w:pStyle w:val="NoSpacing"/>
        <w:jc w:val="both"/>
        <w:rPr>
          <w:rFonts w:ascii="Arial" w:hAnsi="Arial" w:cs="Arial"/>
          <w:sz w:val="24"/>
          <w:szCs w:val="24"/>
        </w:rPr>
      </w:pPr>
    </w:p>
    <w:p w14:paraId="50960FF3" w14:textId="77777777" w:rsidR="00D85FB7" w:rsidRPr="00C276ED" w:rsidRDefault="006B0B67" w:rsidP="00544B1F">
      <w:pPr>
        <w:pStyle w:val="NoSpacing"/>
        <w:ind w:left="720"/>
        <w:jc w:val="both"/>
        <w:rPr>
          <w:rFonts w:ascii="Arial" w:hAnsi="Arial" w:cs="Arial"/>
          <w:sz w:val="24"/>
          <w:szCs w:val="24"/>
          <w:u w:val="single"/>
        </w:rPr>
      </w:pPr>
      <w:r w:rsidRPr="00C276ED">
        <w:rPr>
          <w:rFonts w:ascii="Arial" w:hAnsi="Arial" w:cs="Arial"/>
          <w:sz w:val="24"/>
          <w:szCs w:val="24"/>
          <w:u w:val="single"/>
        </w:rPr>
        <w:t>Social Cost of Carbon (SCC)</w:t>
      </w:r>
    </w:p>
    <w:p w14:paraId="27EEBADD" w14:textId="77777777" w:rsidR="00D85FB7" w:rsidRPr="00C276ED" w:rsidRDefault="00D85FB7" w:rsidP="00CC0840">
      <w:pPr>
        <w:pStyle w:val="NoSpacing"/>
        <w:ind w:left="720"/>
        <w:jc w:val="both"/>
        <w:rPr>
          <w:rFonts w:ascii="Arial" w:hAnsi="Arial" w:cs="Arial"/>
          <w:sz w:val="24"/>
          <w:szCs w:val="24"/>
        </w:rPr>
      </w:pPr>
      <w:r w:rsidRPr="00C276ED">
        <w:rPr>
          <w:rFonts w:ascii="Arial" w:hAnsi="Arial" w:cs="Arial"/>
          <w:sz w:val="24"/>
          <w:szCs w:val="24"/>
        </w:rPr>
        <w:t>“Two scenarios, the Social Cost of Carbon – Mid-Range (SCC-</w:t>
      </w:r>
      <w:proofErr w:type="spellStart"/>
      <w:r w:rsidRPr="00C276ED">
        <w:rPr>
          <w:rFonts w:ascii="Arial" w:hAnsi="Arial" w:cs="Arial"/>
          <w:sz w:val="24"/>
          <w:szCs w:val="24"/>
        </w:rPr>
        <w:t>MidRange</w:t>
      </w:r>
      <w:proofErr w:type="spellEnd"/>
      <w:r w:rsidRPr="00C276ED">
        <w:rPr>
          <w:rFonts w:ascii="Arial" w:hAnsi="Arial" w:cs="Arial"/>
          <w:sz w:val="24"/>
          <w:szCs w:val="24"/>
        </w:rPr>
        <w:t>) and Social Cost of Carbon – High (SCC-High), use the US Interagency Working Group on Social Cost of Carbon’s estimates of the damage cost of forecast global climate change. According to the Working Group, the SCC is an estimate of the economic damages associated with a small increase in carbon dioxide (CO2) emissions, conventionally one metric ton, in a given year. This dollar figure also represents the value of damages avoided for a small emission reduction (i.e. the benefit of a CO2 reduction). Therefore, in theory, the cost and economic risk of the resource strategy that achieves carbon dioxide emissions reductions equivalent to the social cost of carbon would offset the cost of damage.”</w:t>
      </w:r>
    </w:p>
    <w:p w14:paraId="0C83851C" w14:textId="77777777" w:rsidR="00D85FB7" w:rsidRPr="00C276ED" w:rsidRDefault="00D85FB7" w:rsidP="00CC0840">
      <w:pPr>
        <w:pStyle w:val="NoSpacing"/>
        <w:jc w:val="both"/>
        <w:rPr>
          <w:rFonts w:ascii="Arial" w:hAnsi="Arial" w:cs="Arial"/>
          <w:sz w:val="24"/>
          <w:szCs w:val="24"/>
        </w:rPr>
      </w:pPr>
    </w:p>
    <w:p w14:paraId="2C9627F7" w14:textId="77777777" w:rsidR="00D85FB7" w:rsidRPr="00C276ED" w:rsidRDefault="006B0B67" w:rsidP="00544B1F">
      <w:pPr>
        <w:pStyle w:val="NoSpacing"/>
        <w:ind w:left="720"/>
        <w:jc w:val="both"/>
        <w:rPr>
          <w:rFonts w:ascii="Arial" w:hAnsi="Arial" w:cs="Arial"/>
          <w:sz w:val="24"/>
          <w:szCs w:val="24"/>
          <w:u w:val="single"/>
        </w:rPr>
      </w:pPr>
      <w:r w:rsidRPr="00C276ED">
        <w:rPr>
          <w:rFonts w:ascii="Arial" w:hAnsi="Arial" w:cs="Arial"/>
          <w:sz w:val="24"/>
          <w:szCs w:val="24"/>
          <w:u w:val="single"/>
        </w:rPr>
        <w:t>Carbon Cost Risk</w:t>
      </w:r>
    </w:p>
    <w:p w14:paraId="1787E954" w14:textId="66FD4429" w:rsidR="00D85FB7" w:rsidRPr="00C276ED" w:rsidRDefault="00D85FB7" w:rsidP="00CC0840">
      <w:pPr>
        <w:pStyle w:val="NoSpacing"/>
        <w:ind w:left="720"/>
        <w:jc w:val="both"/>
        <w:rPr>
          <w:rFonts w:ascii="Arial" w:hAnsi="Arial" w:cs="Arial"/>
          <w:sz w:val="24"/>
          <w:szCs w:val="24"/>
        </w:rPr>
      </w:pPr>
      <w:r w:rsidRPr="00C276ED">
        <w:rPr>
          <w:rFonts w:ascii="Arial" w:hAnsi="Arial" w:cs="Arial"/>
          <w:sz w:val="24"/>
          <w:szCs w:val="24"/>
        </w:rPr>
        <w:t>“The carbon cost risk scenario is intended to explore what resources result in the lowest expected cost and economic risk given existing policy plus the economic risk that additional carbon dioxide reduction policies will be implemented. Each of the 800 futures imposes a carbon dioxide price from $0 to $110 per metric ton at a random year during the 20</w:t>
      </w:r>
      <w:r w:rsidR="007F20AF">
        <w:rPr>
          <w:rFonts w:ascii="Arial" w:hAnsi="Arial" w:cs="Arial"/>
          <w:sz w:val="24"/>
          <w:szCs w:val="24"/>
        </w:rPr>
        <w:t>-</w:t>
      </w:r>
      <w:r w:rsidRPr="00C276ED">
        <w:rPr>
          <w:rFonts w:ascii="Arial" w:hAnsi="Arial" w:cs="Arial"/>
          <w:sz w:val="24"/>
          <w:szCs w:val="24"/>
        </w:rPr>
        <w:t xml:space="preserve">year planning </w:t>
      </w:r>
      <w:r w:rsidRPr="00C276ED">
        <w:rPr>
          <w:rFonts w:ascii="Arial" w:hAnsi="Arial" w:cs="Arial"/>
          <w:sz w:val="24"/>
          <w:szCs w:val="24"/>
        </w:rPr>
        <w:lastRenderedPageBreak/>
        <w:t>period. Over time, the probability of a carbon dioxide price being imposed and the level of that price both increase. By 2035, the average price of carbon dioxide rises to $47 per metric ton across all futures. It should be noted, that the use of a carbon dioxide price does not presume that a “pricing policy” (e.g., carbon tax, cap and trade system) would be used to reduce carbon dioxide emissions. The prices imposed in this scenario could also be a proxy for the cost imposed on the power system through regulation to reduce carbon dioxide emissions (e.g., caps on emissions).”</w:t>
      </w:r>
    </w:p>
    <w:p w14:paraId="540EF0A4" w14:textId="77777777" w:rsidR="00D85FB7" w:rsidRPr="00C276ED" w:rsidRDefault="00D85FB7" w:rsidP="00CC0840">
      <w:pPr>
        <w:pStyle w:val="NoSpacing"/>
        <w:jc w:val="both"/>
        <w:rPr>
          <w:rFonts w:ascii="Arial" w:hAnsi="Arial" w:cs="Arial"/>
          <w:sz w:val="24"/>
          <w:szCs w:val="24"/>
        </w:rPr>
      </w:pPr>
    </w:p>
    <w:p w14:paraId="5C329519" w14:textId="77777777" w:rsidR="00D85FB7" w:rsidRPr="00C276ED" w:rsidRDefault="00D85FB7" w:rsidP="00544B1F">
      <w:pPr>
        <w:pStyle w:val="NoSpacing"/>
        <w:ind w:left="720"/>
        <w:jc w:val="both"/>
        <w:rPr>
          <w:rFonts w:ascii="Arial" w:hAnsi="Arial" w:cs="Arial"/>
          <w:sz w:val="24"/>
          <w:szCs w:val="24"/>
          <w:u w:val="single"/>
        </w:rPr>
      </w:pPr>
      <w:r w:rsidRPr="00C276ED">
        <w:rPr>
          <w:rFonts w:ascii="Arial" w:hAnsi="Arial" w:cs="Arial"/>
          <w:sz w:val="24"/>
          <w:szCs w:val="24"/>
          <w:u w:val="single"/>
        </w:rPr>
        <w:t xml:space="preserve">Regional Renewable Portfolio Standard at 35 </w:t>
      </w:r>
      <w:r w:rsidR="006B0B67" w:rsidRPr="00C276ED">
        <w:rPr>
          <w:rFonts w:ascii="Arial" w:hAnsi="Arial" w:cs="Arial"/>
          <w:sz w:val="24"/>
          <w:szCs w:val="24"/>
          <w:u w:val="single"/>
        </w:rPr>
        <w:t>Percent (Regional RPS at 35%)</w:t>
      </w:r>
    </w:p>
    <w:p w14:paraId="1B8ED1E7" w14:textId="2934972E" w:rsidR="00D85FB7" w:rsidRPr="00C276ED" w:rsidRDefault="00D85FB7" w:rsidP="00CC0840">
      <w:pPr>
        <w:pStyle w:val="NoSpacing"/>
        <w:ind w:left="720"/>
        <w:jc w:val="both"/>
        <w:rPr>
          <w:rFonts w:ascii="Arial" w:hAnsi="Arial" w:cs="Arial"/>
          <w:sz w:val="24"/>
          <w:szCs w:val="24"/>
        </w:rPr>
      </w:pPr>
      <w:r w:rsidRPr="00C276ED">
        <w:rPr>
          <w:rFonts w:ascii="Arial" w:hAnsi="Arial" w:cs="Arial"/>
          <w:sz w:val="24"/>
          <w:szCs w:val="24"/>
        </w:rPr>
        <w:t xml:space="preserve">“This scenario assumes that a region wide Renewable Portfolio Standard (RPS) is established at 35 percent of regional retail electricity sales across all four Northwest states. Presently, three states in the region have RPS. Montana and Washington require that 15 percent of the retail sales </w:t>
      </w:r>
      <w:r w:rsidR="0068350F" w:rsidRPr="00C276ED">
        <w:rPr>
          <w:rFonts w:ascii="Arial" w:hAnsi="Arial" w:cs="Arial"/>
          <w:sz w:val="24"/>
          <w:szCs w:val="24"/>
        </w:rPr>
        <w:t xml:space="preserve">of energy </w:t>
      </w:r>
      <w:r w:rsidRPr="00C276ED">
        <w:rPr>
          <w:rFonts w:ascii="Arial" w:hAnsi="Arial" w:cs="Arial"/>
          <w:sz w:val="24"/>
          <w:szCs w:val="24"/>
        </w:rPr>
        <w:t xml:space="preserve">be served by renewable resources. Montana’s RPS must be satisfied in 2015 and Washington’s by 2020. Oregon requires that 20 percent of retail sales be served by renewable resources by 2020. These state level RPS generally only apply to investor owned utilities and larger public utilities, while this scenario assumes that all of the region’s retail sales are covered. Since this scenario was designed to test the cost and effectiveness of this policy for reducing regional power system carbon dioxide emissions, it did not include future carbon dioxide regulatory cost risk uncertainty or estimated damage cost. The cost-effectiveness of a policy that only requires use of additional renewable generation can, therefore, be compared to other scenarios that tested alternative policy options to reduce carbon dioxide emissions, including those use a combination of strategies such as limiting the type of new resources that can be developed and imposing a carbon price.”  </w:t>
      </w:r>
    </w:p>
    <w:p w14:paraId="51173B05" w14:textId="77777777" w:rsidR="00D85FB7" w:rsidRPr="00C276ED" w:rsidRDefault="00D85FB7" w:rsidP="00CC0840">
      <w:pPr>
        <w:pStyle w:val="NoSpacing"/>
        <w:jc w:val="both"/>
        <w:rPr>
          <w:rFonts w:ascii="Arial" w:hAnsi="Arial" w:cs="Arial"/>
          <w:sz w:val="24"/>
          <w:szCs w:val="24"/>
        </w:rPr>
      </w:pPr>
    </w:p>
    <w:p w14:paraId="03402030" w14:textId="77777777" w:rsidR="00D85FB7" w:rsidRPr="00C276ED" w:rsidRDefault="00D85FB7" w:rsidP="00544B1F">
      <w:pPr>
        <w:pStyle w:val="NoSpacing"/>
        <w:ind w:left="720"/>
        <w:jc w:val="both"/>
        <w:rPr>
          <w:rFonts w:ascii="Arial" w:hAnsi="Arial" w:cs="Arial"/>
          <w:sz w:val="24"/>
          <w:szCs w:val="24"/>
          <w:u w:val="single"/>
        </w:rPr>
      </w:pPr>
      <w:r w:rsidRPr="00C276ED">
        <w:rPr>
          <w:rFonts w:ascii="Arial" w:hAnsi="Arial" w:cs="Arial"/>
          <w:sz w:val="24"/>
          <w:szCs w:val="24"/>
          <w:u w:val="single"/>
        </w:rPr>
        <w:t>Maximum Carbon Re</w:t>
      </w:r>
      <w:r w:rsidR="006B0B67" w:rsidRPr="00C276ED">
        <w:rPr>
          <w:rFonts w:ascii="Arial" w:hAnsi="Arial" w:cs="Arial"/>
          <w:sz w:val="24"/>
          <w:szCs w:val="24"/>
          <w:u w:val="single"/>
        </w:rPr>
        <w:t>duction – Existing Technology</w:t>
      </w:r>
    </w:p>
    <w:p w14:paraId="4E1F7E18" w14:textId="77777777" w:rsidR="00D85FB7" w:rsidRPr="00C276ED" w:rsidRDefault="00D85FB7" w:rsidP="00CC0840">
      <w:pPr>
        <w:pStyle w:val="NoSpacing"/>
        <w:ind w:left="720"/>
        <w:jc w:val="both"/>
        <w:rPr>
          <w:rFonts w:ascii="Arial" w:hAnsi="Arial" w:cs="Arial"/>
          <w:sz w:val="24"/>
          <w:szCs w:val="24"/>
        </w:rPr>
      </w:pPr>
      <w:r w:rsidRPr="00C276ED">
        <w:rPr>
          <w:rFonts w:ascii="Arial" w:hAnsi="Arial" w:cs="Arial"/>
          <w:sz w:val="24"/>
          <w:szCs w:val="24"/>
        </w:rPr>
        <w:t xml:space="preserve">“This scenario was designed to explore the maximum carbon dioxide emissions reductions that are feasible with current commercially available technologies. In this scenario all of the existing coal plants serving the region were assumed to be retired by 2026. In addition, the least efficient (i.e., those with heat rates exceeding 8,500 Btu/kWh) existing natural gas-fired generating facilities were assumed to be retired by 2031. No carbon dioxide cost risk or estimated damage cost was assumed, so this scenario can be compared to the cost-effectiveness of other policy options (e.g., Carbon Cost Risk, Regional RPS at 35%, Social Cost of Carbon, Retire Coal w/SCC </w:t>
      </w:r>
      <w:proofErr w:type="spellStart"/>
      <w:r w:rsidRPr="00C276ED">
        <w:rPr>
          <w:rFonts w:ascii="Arial" w:hAnsi="Arial" w:cs="Arial"/>
          <w:sz w:val="24"/>
          <w:szCs w:val="24"/>
        </w:rPr>
        <w:t>MidRange</w:t>
      </w:r>
      <w:proofErr w:type="spellEnd"/>
      <w:r w:rsidRPr="00C276ED">
        <w:rPr>
          <w:rFonts w:ascii="Arial" w:hAnsi="Arial" w:cs="Arial"/>
          <w:sz w:val="24"/>
          <w:szCs w:val="24"/>
        </w:rPr>
        <w:t xml:space="preserve">, etc. scenarios) for reducing carbon dioxide emissions.”  </w:t>
      </w:r>
    </w:p>
    <w:p w14:paraId="57C4A4FA" w14:textId="77777777" w:rsidR="00D85FB7" w:rsidRPr="00C276ED" w:rsidRDefault="00D85FB7" w:rsidP="00CC0840">
      <w:pPr>
        <w:pStyle w:val="NoSpacing"/>
        <w:jc w:val="both"/>
        <w:rPr>
          <w:rFonts w:ascii="Arial" w:hAnsi="Arial" w:cs="Arial"/>
          <w:sz w:val="24"/>
          <w:szCs w:val="24"/>
        </w:rPr>
      </w:pPr>
    </w:p>
    <w:p w14:paraId="7B431D8D" w14:textId="77777777" w:rsidR="00D85FB7" w:rsidRPr="00C276ED" w:rsidRDefault="00D85FB7" w:rsidP="00544B1F">
      <w:pPr>
        <w:pStyle w:val="NoSpacing"/>
        <w:ind w:left="720"/>
        <w:jc w:val="both"/>
        <w:rPr>
          <w:rFonts w:ascii="Arial" w:hAnsi="Arial" w:cs="Arial"/>
          <w:sz w:val="24"/>
          <w:szCs w:val="24"/>
          <w:u w:val="single"/>
        </w:rPr>
      </w:pPr>
      <w:r w:rsidRPr="00C276ED">
        <w:rPr>
          <w:rFonts w:ascii="Arial" w:hAnsi="Arial" w:cs="Arial"/>
          <w:sz w:val="24"/>
          <w:szCs w:val="24"/>
          <w:u w:val="single"/>
        </w:rPr>
        <w:t>Maximum Carbon Reduction – Emerging Te</w:t>
      </w:r>
      <w:r w:rsidR="006B0B67" w:rsidRPr="00C276ED">
        <w:rPr>
          <w:rFonts w:ascii="Arial" w:hAnsi="Arial" w:cs="Arial"/>
          <w:sz w:val="24"/>
          <w:szCs w:val="24"/>
          <w:u w:val="single"/>
        </w:rPr>
        <w:t>chnology</w:t>
      </w:r>
    </w:p>
    <w:p w14:paraId="58D19A04" w14:textId="6198847E" w:rsidR="00D85FB7" w:rsidRPr="00C276ED" w:rsidRDefault="00D85FB7" w:rsidP="00CC0840">
      <w:pPr>
        <w:pStyle w:val="NoSpacing"/>
        <w:ind w:left="720"/>
        <w:jc w:val="both"/>
        <w:rPr>
          <w:rFonts w:ascii="Arial" w:hAnsi="Arial" w:cs="Arial"/>
          <w:sz w:val="24"/>
          <w:szCs w:val="24"/>
        </w:rPr>
      </w:pPr>
      <w:r w:rsidRPr="00C276ED">
        <w:rPr>
          <w:rFonts w:ascii="Arial" w:hAnsi="Arial" w:cs="Arial"/>
          <w:sz w:val="24"/>
          <w:szCs w:val="24"/>
        </w:rPr>
        <w:lastRenderedPageBreak/>
        <w:t xml:space="preserve">“This scenario considers the role </w:t>
      </w:r>
      <w:r w:rsidR="0068350F" w:rsidRPr="00C276ED">
        <w:rPr>
          <w:rFonts w:ascii="Arial" w:hAnsi="Arial" w:cs="Arial"/>
          <w:sz w:val="24"/>
          <w:szCs w:val="24"/>
        </w:rPr>
        <w:t xml:space="preserve">that </w:t>
      </w:r>
      <w:r w:rsidRPr="00C276ED">
        <w:rPr>
          <w:rFonts w:ascii="Arial" w:hAnsi="Arial" w:cs="Arial"/>
          <w:sz w:val="24"/>
          <w:szCs w:val="24"/>
        </w:rPr>
        <w:t xml:space="preserve">new technologies might play in achieving carbon dioxide reduction. Due to the speculative nature of the performance and ultimate cost of technologies considered in this scenario the Council’s Regional Portfolio Model (RPM) was not used to identify this scenario’s least cost resource strategy. Rather, the RPM was used to define the role (e.g., capacity and energy requirements) that new and emerging technologies would need to play in order to achieve carbon dioxide reductions beyond those achievable with existing technology.”  </w:t>
      </w:r>
    </w:p>
    <w:p w14:paraId="7C0E6597" w14:textId="77777777" w:rsidR="00D85FB7" w:rsidRPr="00C276ED" w:rsidRDefault="00D85FB7" w:rsidP="00CC0840">
      <w:pPr>
        <w:pStyle w:val="NoSpacing"/>
        <w:jc w:val="both"/>
        <w:rPr>
          <w:rFonts w:ascii="Arial" w:hAnsi="Arial" w:cs="Arial"/>
          <w:sz w:val="24"/>
          <w:szCs w:val="24"/>
        </w:rPr>
      </w:pPr>
    </w:p>
    <w:p w14:paraId="4F5C3F66" w14:textId="77777777" w:rsidR="00D85FB7" w:rsidRPr="00C276ED" w:rsidRDefault="00D85FB7" w:rsidP="00544B1F">
      <w:pPr>
        <w:pStyle w:val="NoSpacing"/>
        <w:ind w:left="720"/>
        <w:jc w:val="both"/>
        <w:rPr>
          <w:rFonts w:ascii="Arial" w:hAnsi="Arial" w:cs="Arial"/>
          <w:sz w:val="24"/>
          <w:szCs w:val="24"/>
          <w:u w:val="single"/>
        </w:rPr>
      </w:pPr>
      <w:r w:rsidRPr="00C276ED">
        <w:rPr>
          <w:rFonts w:ascii="Arial" w:hAnsi="Arial" w:cs="Arial"/>
          <w:sz w:val="24"/>
          <w:szCs w:val="24"/>
          <w:u w:val="single"/>
        </w:rPr>
        <w:t>Retire Coal – This scenario is identical to the Maximum Carbon Red</w:t>
      </w:r>
      <w:r w:rsidR="006B0B67" w:rsidRPr="00C276ED">
        <w:rPr>
          <w:rFonts w:ascii="Arial" w:hAnsi="Arial" w:cs="Arial"/>
          <w:sz w:val="24"/>
          <w:szCs w:val="24"/>
          <w:u w:val="single"/>
        </w:rPr>
        <w:t>uction</w:t>
      </w:r>
      <w:r w:rsidRPr="00C276ED">
        <w:rPr>
          <w:rFonts w:ascii="Arial" w:hAnsi="Arial" w:cs="Arial"/>
          <w:sz w:val="24"/>
          <w:szCs w:val="24"/>
          <w:u w:val="single"/>
        </w:rPr>
        <w:t xml:space="preserve"> </w:t>
      </w:r>
    </w:p>
    <w:p w14:paraId="20F91B7A" w14:textId="77777777" w:rsidR="00D85FB7" w:rsidRPr="00C276ED" w:rsidRDefault="00D85FB7" w:rsidP="00CC0840">
      <w:pPr>
        <w:pStyle w:val="NoSpacing"/>
        <w:ind w:left="720"/>
        <w:jc w:val="both"/>
        <w:rPr>
          <w:rFonts w:ascii="Arial" w:hAnsi="Arial" w:cs="Arial"/>
          <w:sz w:val="24"/>
          <w:szCs w:val="24"/>
        </w:rPr>
      </w:pPr>
      <w:r w:rsidRPr="00C276ED">
        <w:rPr>
          <w:rFonts w:ascii="Arial" w:hAnsi="Arial" w:cs="Arial"/>
          <w:sz w:val="24"/>
          <w:szCs w:val="24"/>
        </w:rPr>
        <w:t xml:space="preserve">“Existing Technology scenario, except that it does not retire any existing natural gas generation. This scenario was designed to establish the lowest carbon dioxide emission level achievable by retiring all of the existing coal plants serving the region while assuming the continued operation of existing gas-fired generation. Since this resource strategy relies on existing gas generation rather than investing new resource development it could potentially have lower costs than the Maximum Carbon Reduction – Existing Technology scenario, but might produce similar carbon dioxide emissions. This scenario constructed based on public comment on the draft plan, and therefore was not considered during its development.”  </w:t>
      </w:r>
    </w:p>
    <w:p w14:paraId="0F9FCE9F" w14:textId="77777777" w:rsidR="00D85FB7" w:rsidRPr="00C276ED" w:rsidRDefault="00D85FB7" w:rsidP="00CC0840">
      <w:pPr>
        <w:pStyle w:val="NoSpacing"/>
        <w:jc w:val="both"/>
        <w:rPr>
          <w:rFonts w:ascii="Arial" w:hAnsi="Arial" w:cs="Arial"/>
          <w:sz w:val="24"/>
          <w:szCs w:val="24"/>
        </w:rPr>
      </w:pPr>
    </w:p>
    <w:p w14:paraId="00C65F31" w14:textId="77777777" w:rsidR="00D85FB7" w:rsidRPr="00C276ED" w:rsidRDefault="00D85FB7" w:rsidP="00544B1F">
      <w:pPr>
        <w:pStyle w:val="NoSpacing"/>
        <w:ind w:left="720"/>
        <w:jc w:val="both"/>
        <w:rPr>
          <w:rFonts w:ascii="Arial" w:hAnsi="Arial" w:cs="Arial"/>
          <w:sz w:val="24"/>
          <w:szCs w:val="24"/>
          <w:u w:val="single"/>
        </w:rPr>
      </w:pPr>
      <w:r w:rsidRPr="00C276ED">
        <w:rPr>
          <w:rFonts w:ascii="Arial" w:hAnsi="Arial" w:cs="Arial"/>
          <w:sz w:val="24"/>
          <w:szCs w:val="24"/>
          <w:u w:val="single"/>
        </w:rPr>
        <w:t>Retire Coal with Social Cost of Carbon Mid-Rang</w:t>
      </w:r>
      <w:r w:rsidR="006B0B67" w:rsidRPr="00C276ED">
        <w:rPr>
          <w:rFonts w:ascii="Arial" w:hAnsi="Arial" w:cs="Arial"/>
          <w:sz w:val="24"/>
          <w:szCs w:val="24"/>
          <w:u w:val="single"/>
        </w:rPr>
        <w:t xml:space="preserve">e (Retire Coal w/SCC </w:t>
      </w:r>
      <w:proofErr w:type="spellStart"/>
      <w:r w:rsidR="006B0B67" w:rsidRPr="00C276ED">
        <w:rPr>
          <w:rFonts w:ascii="Arial" w:hAnsi="Arial" w:cs="Arial"/>
          <w:sz w:val="24"/>
          <w:szCs w:val="24"/>
          <w:u w:val="single"/>
        </w:rPr>
        <w:t>MidRange</w:t>
      </w:r>
      <w:proofErr w:type="spellEnd"/>
      <w:r w:rsidR="006B0B67" w:rsidRPr="00C276ED">
        <w:rPr>
          <w:rFonts w:ascii="Arial" w:hAnsi="Arial" w:cs="Arial"/>
          <w:sz w:val="24"/>
          <w:szCs w:val="24"/>
          <w:u w:val="single"/>
        </w:rPr>
        <w:t>)</w:t>
      </w:r>
      <w:r w:rsidRPr="00C276ED">
        <w:rPr>
          <w:rFonts w:ascii="Arial" w:hAnsi="Arial" w:cs="Arial"/>
          <w:sz w:val="24"/>
          <w:szCs w:val="24"/>
          <w:u w:val="single"/>
        </w:rPr>
        <w:t xml:space="preserve"> </w:t>
      </w:r>
    </w:p>
    <w:p w14:paraId="553E7B78" w14:textId="77777777" w:rsidR="00D85FB7" w:rsidRPr="00C276ED" w:rsidRDefault="00D85FB7" w:rsidP="00CC0840">
      <w:pPr>
        <w:pStyle w:val="NoSpacing"/>
        <w:ind w:left="720"/>
        <w:jc w:val="both"/>
        <w:rPr>
          <w:rFonts w:ascii="Arial" w:hAnsi="Arial" w:cs="Arial"/>
          <w:sz w:val="24"/>
          <w:szCs w:val="24"/>
        </w:rPr>
      </w:pPr>
      <w:r w:rsidRPr="00C276ED">
        <w:rPr>
          <w:rFonts w:ascii="Arial" w:hAnsi="Arial" w:cs="Arial"/>
          <w:sz w:val="24"/>
          <w:szCs w:val="24"/>
        </w:rPr>
        <w:t>“This scenario is identical to Retire Coal scenario, except that it assumes that the US Interagency Working Group on Social Cost of Carbon’s Mid-Range estimate of the damage cost of forecast global climate change are reflected in fossil fuel costs. This scenario was designed to test the cost, economic risk and carbon emissions impacts that internalizing the damage cost of climate change would have on the resource dispatch and development. It was assumed that this scenario’s resource strategy would rely more on renewable resources. Therefore, this scenario assumes greater availability and lower solar PV system cost for both utility scale projects and distributed systems. This scenario was constructed based on public comment on the draft plan, and therefore was not considered during its development.”</w:t>
      </w:r>
    </w:p>
    <w:p w14:paraId="59138BED" w14:textId="77777777" w:rsidR="00D85FB7" w:rsidRPr="00C276ED" w:rsidRDefault="00D85FB7" w:rsidP="00CC0840">
      <w:pPr>
        <w:pStyle w:val="NoSpacing"/>
        <w:jc w:val="both"/>
        <w:rPr>
          <w:rFonts w:ascii="Arial" w:hAnsi="Arial" w:cs="Arial"/>
          <w:sz w:val="24"/>
          <w:szCs w:val="24"/>
        </w:rPr>
      </w:pPr>
    </w:p>
    <w:p w14:paraId="5DEBE687" w14:textId="77777777" w:rsidR="00D85FB7" w:rsidRPr="00C276ED" w:rsidRDefault="00D85FB7" w:rsidP="00544B1F">
      <w:pPr>
        <w:pStyle w:val="NoSpacing"/>
        <w:ind w:left="720"/>
        <w:jc w:val="both"/>
        <w:rPr>
          <w:rFonts w:ascii="Arial" w:hAnsi="Arial" w:cs="Arial"/>
          <w:sz w:val="24"/>
          <w:szCs w:val="24"/>
          <w:u w:val="single"/>
        </w:rPr>
      </w:pPr>
      <w:r w:rsidRPr="00C276ED">
        <w:rPr>
          <w:rFonts w:ascii="Arial" w:hAnsi="Arial" w:cs="Arial"/>
          <w:sz w:val="24"/>
          <w:szCs w:val="24"/>
          <w:u w:val="single"/>
        </w:rPr>
        <w:t>Retire Coal with Social Cost of Carbon Mid-Range and No New Gas Generation (Retire Coa</w:t>
      </w:r>
      <w:r w:rsidR="006B0B67" w:rsidRPr="00C276ED">
        <w:rPr>
          <w:rFonts w:ascii="Arial" w:hAnsi="Arial" w:cs="Arial"/>
          <w:sz w:val="24"/>
          <w:szCs w:val="24"/>
          <w:u w:val="single"/>
        </w:rPr>
        <w:t xml:space="preserve">l w/SCC </w:t>
      </w:r>
      <w:proofErr w:type="spellStart"/>
      <w:r w:rsidR="006B0B67" w:rsidRPr="00C276ED">
        <w:rPr>
          <w:rFonts w:ascii="Arial" w:hAnsi="Arial" w:cs="Arial"/>
          <w:sz w:val="24"/>
          <w:szCs w:val="24"/>
          <w:u w:val="single"/>
        </w:rPr>
        <w:t>MidRange</w:t>
      </w:r>
      <w:proofErr w:type="spellEnd"/>
      <w:r w:rsidR="006B0B67" w:rsidRPr="00C276ED">
        <w:rPr>
          <w:rFonts w:ascii="Arial" w:hAnsi="Arial" w:cs="Arial"/>
          <w:sz w:val="24"/>
          <w:szCs w:val="24"/>
          <w:u w:val="single"/>
        </w:rPr>
        <w:t xml:space="preserve"> &amp; No New Gas)</w:t>
      </w:r>
      <w:r w:rsidRPr="00C276ED">
        <w:rPr>
          <w:rFonts w:ascii="Arial" w:hAnsi="Arial" w:cs="Arial"/>
          <w:sz w:val="24"/>
          <w:szCs w:val="24"/>
          <w:u w:val="single"/>
        </w:rPr>
        <w:t xml:space="preserve"> </w:t>
      </w:r>
    </w:p>
    <w:p w14:paraId="3DF7A44E" w14:textId="77777777" w:rsidR="00D85FB7" w:rsidRPr="00C276ED" w:rsidRDefault="00D85FB7" w:rsidP="00CC0840">
      <w:pPr>
        <w:pStyle w:val="NoSpacing"/>
        <w:ind w:left="720"/>
        <w:jc w:val="both"/>
        <w:rPr>
          <w:rFonts w:ascii="Arial" w:hAnsi="Arial" w:cs="Arial"/>
          <w:sz w:val="24"/>
          <w:szCs w:val="24"/>
        </w:rPr>
      </w:pPr>
      <w:r w:rsidRPr="00C276ED">
        <w:rPr>
          <w:rFonts w:ascii="Arial" w:hAnsi="Arial" w:cs="Arial"/>
          <w:sz w:val="24"/>
          <w:szCs w:val="24"/>
        </w:rPr>
        <w:t xml:space="preserve">“This scenario is identical to Retire Coal w/SCC </w:t>
      </w:r>
      <w:proofErr w:type="spellStart"/>
      <w:r w:rsidRPr="00C276ED">
        <w:rPr>
          <w:rFonts w:ascii="Arial" w:hAnsi="Arial" w:cs="Arial"/>
          <w:sz w:val="24"/>
          <w:szCs w:val="24"/>
        </w:rPr>
        <w:t>MidRange</w:t>
      </w:r>
      <w:proofErr w:type="spellEnd"/>
      <w:r w:rsidRPr="00C276ED">
        <w:rPr>
          <w:rFonts w:ascii="Arial" w:hAnsi="Arial" w:cs="Arial"/>
          <w:sz w:val="24"/>
          <w:szCs w:val="24"/>
        </w:rPr>
        <w:t xml:space="preserve"> scenario, except that it assumes that no new natural gas-fired generation resources can be constructed to replace retiring coal plants or existing gas generation if such plants are uneconomic to operate. This scenario was designed to test the cost, economic risk and carbon emissions impacts of restricting new resource development to renewable resources when compared to the </w:t>
      </w:r>
      <w:r w:rsidRPr="00C276ED">
        <w:rPr>
          <w:rFonts w:ascii="Arial" w:hAnsi="Arial" w:cs="Arial"/>
          <w:sz w:val="24"/>
          <w:szCs w:val="24"/>
        </w:rPr>
        <w:lastRenderedPageBreak/>
        <w:t xml:space="preserve">Retire Coal w/SCC </w:t>
      </w:r>
      <w:proofErr w:type="spellStart"/>
      <w:r w:rsidRPr="00C276ED">
        <w:rPr>
          <w:rFonts w:ascii="Arial" w:hAnsi="Arial" w:cs="Arial"/>
          <w:sz w:val="24"/>
          <w:szCs w:val="24"/>
        </w:rPr>
        <w:t>MidRange</w:t>
      </w:r>
      <w:proofErr w:type="spellEnd"/>
      <w:r w:rsidRPr="00C276ED">
        <w:rPr>
          <w:rFonts w:ascii="Arial" w:hAnsi="Arial" w:cs="Arial"/>
          <w:sz w:val="24"/>
          <w:szCs w:val="24"/>
        </w:rPr>
        <w:t xml:space="preserve"> scenario. This scenario was constructed based on public comment on the draft plan, and therefore was not considered during its development.”  </w:t>
      </w:r>
    </w:p>
    <w:p w14:paraId="60672751" w14:textId="77777777" w:rsidR="00D85FB7" w:rsidRPr="00C276ED" w:rsidRDefault="00D85FB7" w:rsidP="00CC0840">
      <w:pPr>
        <w:pStyle w:val="NoSpacing"/>
        <w:jc w:val="both"/>
        <w:rPr>
          <w:rFonts w:ascii="Arial" w:hAnsi="Arial" w:cs="Arial"/>
          <w:sz w:val="24"/>
          <w:szCs w:val="24"/>
        </w:rPr>
      </w:pPr>
    </w:p>
    <w:p w14:paraId="705C263D" w14:textId="77777777" w:rsidR="00D85FB7" w:rsidRPr="00C276ED" w:rsidRDefault="00D85FB7" w:rsidP="00CC0840">
      <w:pPr>
        <w:pStyle w:val="NoSpacing"/>
        <w:jc w:val="both"/>
        <w:rPr>
          <w:rFonts w:ascii="Arial" w:hAnsi="Arial" w:cs="Arial"/>
          <w:sz w:val="24"/>
          <w:szCs w:val="24"/>
        </w:rPr>
      </w:pPr>
      <w:r w:rsidRPr="00C276ED">
        <w:rPr>
          <w:rFonts w:ascii="Arial" w:hAnsi="Arial" w:cs="Arial"/>
          <w:sz w:val="24"/>
          <w:szCs w:val="24"/>
        </w:rPr>
        <w:t xml:space="preserve">To account for resource uncertainty, in addition to the above approaches, four additional scenarios were analyzed.  “Four scenarios explored resource uncertainties and carbon dioxide regulatory compliance cost and economic risk. Two examined the effect that the loss of a major non-greenhouse gas-emitting resource might have on the region’s ability to reduce power system carbon dioxide emissions. The Unplanned Major Resource Loss scenario assumed that a significant (approximately 1000 average megawatt) non-greenhouse gas emitting generator was unexpectedly taken out of service. The Planned Major Resource Loss scenario assumed that similar magnitudes of the region’s existing non-greenhouse gas emitting resources were phased out over the next 20 years. Since both of these scenarios were designed to identify resource strategies that would maintain regional compliance with federal carbon dioxide emissions limits they assumed the cost of future carbon dioxide regulatory risk used in the Carbon Cost Risk scenario. </w:t>
      </w:r>
    </w:p>
    <w:p w14:paraId="1A33EDDF" w14:textId="77777777" w:rsidR="00D85FB7" w:rsidRPr="00C276ED" w:rsidRDefault="00D85FB7" w:rsidP="00CC0840">
      <w:pPr>
        <w:pStyle w:val="NoSpacing"/>
        <w:jc w:val="both"/>
        <w:rPr>
          <w:rFonts w:ascii="Arial" w:hAnsi="Arial" w:cs="Arial"/>
          <w:sz w:val="24"/>
          <w:szCs w:val="24"/>
        </w:rPr>
      </w:pPr>
    </w:p>
    <w:p w14:paraId="5539334A" w14:textId="6BD7181E" w:rsidR="00D85FB7" w:rsidRPr="00C276ED" w:rsidRDefault="00D85FB7" w:rsidP="00CC0840">
      <w:pPr>
        <w:pStyle w:val="NoSpacing"/>
        <w:jc w:val="both"/>
        <w:rPr>
          <w:rFonts w:ascii="Arial" w:hAnsi="Arial" w:cs="Arial"/>
          <w:sz w:val="24"/>
          <w:szCs w:val="24"/>
        </w:rPr>
      </w:pPr>
      <w:r w:rsidRPr="00C276ED">
        <w:rPr>
          <w:rFonts w:ascii="Arial" w:hAnsi="Arial" w:cs="Arial"/>
          <w:sz w:val="24"/>
          <w:szCs w:val="24"/>
        </w:rPr>
        <w:t>“The Planned Major Resource Loss scenario also provides insight into the resource implications that would occur in the event of the planned removal of any specific non-carbon resource in the region, including the removal of major hydroelectric projects such as the four federal dams on the lower Snake River</w:t>
      </w:r>
      <w:r w:rsidR="00775B6F">
        <w:rPr>
          <w:rFonts w:ascii="Arial" w:hAnsi="Arial" w:cs="Arial"/>
          <w:sz w:val="24"/>
          <w:szCs w:val="24"/>
        </w:rPr>
        <w:t>.</w:t>
      </w:r>
      <w:r w:rsidRPr="00C276ED">
        <w:rPr>
          <w:rFonts w:ascii="Arial" w:hAnsi="Arial" w:cs="Arial"/>
          <w:sz w:val="24"/>
          <w:szCs w:val="24"/>
        </w:rPr>
        <w:t xml:space="preserve"> The lower Snake River dams have a combined nameplate capacity of 3,033 megawatts. However, because of limited reservoir storage, their useful peaking capability (e.g. 10-hour sustained-period capacity) ranges from about 1,700 to 2,000 megawatts, which represents about 11 percent of the aggregate hydroelectric system’</w:t>
      </w:r>
      <w:r w:rsidR="00514150" w:rsidRPr="00C276ED">
        <w:rPr>
          <w:rFonts w:ascii="Arial" w:hAnsi="Arial" w:cs="Arial"/>
          <w:sz w:val="24"/>
          <w:szCs w:val="24"/>
        </w:rPr>
        <w:t xml:space="preserve">s sustained peaking capability. </w:t>
      </w:r>
      <w:r w:rsidRPr="00C276ED">
        <w:rPr>
          <w:rFonts w:ascii="Arial" w:hAnsi="Arial" w:cs="Arial"/>
          <w:sz w:val="24"/>
          <w:szCs w:val="24"/>
        </w:rPr>
        <w:t xml:space="preserve"> Annually, on average, these four projects produce about 1,000 average megawatts of energy or about 5 percent of the region’s annual average load.” </w:t>
      </w:r>
    </w:p>
    <w:p w14:paraId="0E718F54" w14:textId="77777777" w:rsidR="00D85FB7" w:rsidRPr="00C276ED" w:rsidRDefault="00D85FB7" w:rsidP="00CC0840">
      <w:pPr>
        <w:pStyle w:val="NoSpacing"/>
        <w:jc w:val="both"/>
        <w:rPr>
          <w:rFonts w:ascii="Arial" w:hAnsi="Arial" w:cs="Arial"/>
          <w:sz w:val="24"/>
          <w:szCs w:val="24"/>
        </w:rPr>
      </w:pPr>
    </w:p>
    <w:p w14:paraId="35943D24" w14:textId="77777777" w:rsidR="00D85FB7" w:rsidRPr="00C276ED" w:rsidRDefault="00D85FB7" w:rsidP="00CC0840">
      <w:pPr>
        <w:pStyle w:val="NoSpacing"/>
        <w:jc w:val="both"/>
        <w:rPr>
          <w:rFonts w:ascii="Arial" w:hAnsi="Arial" w:cs="Arial"/>
          <w:sz w:val="24"/>
          <w:szCs w:val="24"/>
        </w:rPr>
      </w:pPr>
      <w:r w:rsidRPr="00C276ED">
        <w:rPr>
          <w:rFonts w:ascii="Arial" w:hAnsi="Arial" w:cs="Arial"/>
          <w:sz w:val="24"/>
          <w:szCs w:val="24"/>
        </w:rPr>
        <w:t>Four sensitivity analyses were performed:</w:t>
      </w:r>
    </w:p>
    <w:p w14:paraId="12FA6DB1" w14:textId="77777777" w:rsidR="00D85FB7" w:rsidRPr="00C276ED" w:rsidRDefault="00D85FB7" w:rsidP="00CC0840">
      <w:pPr>
        <w:pStyle w:val="NoSpacing"/>
        <w:numPr>
          <w:ilvl w:val="0"/>
          <w:numId w:val="9"/>
        </w:numPr>
        <w:jc w:val="both"/>
        <w:rPr>
          <w:rFonts w:ascii="Arial" w:hAnsi="Arial" w:cs="Arial"/>
          <w:sz w:val="24"/>
          <w:szCs w:val="24"/>
        </w:rPr>
      </w:pPr>
      <w:r w:rsidRPr="00C276ED">
        <w:rPr>
          <w:rFonts w:ascii="Arial" w:hAnsi="Arial" w:cs="Arial"/>
          <w:sz w:val="24"/>
          <w:szCs w:val="24"/>
        </w:rPr>
        <w:t>No Demand Response</w:t>
      </w:r>
    </w:p>
    <w:p w14:paraId="2C4ECA16" w14:textId="77777777" w:rsidR="00D85FB7" w:rsidRPr="00C276ED" w:rsidRDefault="00D85FB7" w:rsidP="00CC0840">
      <w:pPr>
        <w:pStyle w:val="NoSpacing"/>
        <w:numPr>
          <w:ilvl w:val="0"/>
          <w:numId w:val="9"/>
        </w:numPr>
        <w:jc w:val="both"/>
        <w:rPr>
          <w:rFonts w:ascii="Arial" w:hAnsi="Arial" w:cs="Arial"/>
          <w:sz w:val="24"/>
          <w:szCs w:val="24"/>
        </w:rPr>
      </w:pPr>
      <w:r w:rsidRPr="00C276ED">
        <w:rPr>
          <w:rFonts w:ascii="Arial" w:hAnsi="Arial" w:cs="Arial"/>
          <w:sz w:val="24"/>
          <w:szCs w:val="24"/>
        </w:rPr>
        <w:t>Low Natural Gas and Wholesale Electricity Prices</w:t>
      </w:r>
    </w:p>
    <w:p w14:paraId="65AB7CF7" w14:textId="77777777" w:rsidR="00D85FB7" w:rsidRPr="00C276ED" w:rsidRDefault="00D85FB7" w:rsidP="00CC0840">
      <w:pPr>
        <w:pStyle w:val="NoSpacing"/>
        <w:numPr>
          <w:ilvl w:val="0"/>
          <w:numId w:val="9"/>
        </w:numPr>
        <w:jc w:val="both"/>
        <w:rPr>
          <w:rFonts w:ascii="Arial" w:hAnsi="Arial" w:cs="Arial"/>
          <w:sz w:val="24"/>
          <w:szCs w:val="24"/>
        </w:rPr>
      </w:pPr>
      <w:r w:rsidRPr="00C276ED">
        <w:rPr>
          <w:rFonts w:ascii="Arial" w:hAnsi="Arial" w:cs="Arial"/>
          <w:sz w:val="24"/>
          <w:szCs w:val="24"/>
        </w:rPr>
        <w:t>Increased Market Reliance</w:t>
      </w:r>
    </w:p>
    <w:p w14:paraId="7EE5FACD" w14:textId="77777777" w:rsidR="00D85FB7" w:rsidRPr="00C276ED" w:rsidRDefault="00D85FB7" w:rsidP="00CC0840">
      <w:pPr>
        <w:pStyle w:val="NoSpacing"/>
        <w:numPr>
          <w:ilvl w:val="0"/>
          <w:numId w:val="9"/>
        </w:numPr>
        <w:jc w:val="both"/>
        <w:rPr>
          <w:rFonts w:ascii="Arial" w:hAnsi="Arial" w:cs="Arial"/>
          <w:sz w:val="24"/>
          <w:szCs w:val="24"/>
        </w:rPr>
      </w:pPr>
      <w:r w:rsidRPr="00C276ED">
        <w:rPr>
          <w:rFonts w:ascii="Arial" w:hAnsi="Arial" w:cs="Arial"/>
          <w:sz w:val="24"/>
          <w:szCs w:val="24"/>
        </w:rPr>
        <w:t>Lower Conservation</w:t>
      </w:r>
    </w:p>
    <w:p w14:paraId="57D379F7" w14:textId="77777777" w:rsidR="00D85FB7" w:rsidRPr="00C276ED" w:rsidRDefault="00D85FB7" w:rsidP="00CC0840">
      <w:pPr>
        <w:pStyle w:val="Heading1"/>
        <w:jc w:val="both"/>
        <w:rPr>
          <w:rFonts w:ascii="Arial" w:hAnsi="Arial" w:cs="Arial"/>
          <w:b/>
          <w:color w:val="auto"/>
          <w:sz w:val="24"/>
          <w:szCs w:val="24"/>
        </w:rPr>
      </w:pPr>
      <w:bookmarkStart w:id="11" w:name="_Toc459622871"/>
      <w:r w:rsidRPr="00C276ED">
        <w:rPr>
          <w:rFonts w:ascii="Arial" w:hAnsi="Arial" w:cs="Arial"/>
          <w:b/>
          <w:color w:val="auto"/>
          <w:sz w:val="24"/>
          <w:szCs w:val="24"/>
        </w:rPr>
        <w:t>Fugitive Methane Emissions</w:t>
      </w:r>
      <w:bookmarkEnd w:id="11"/>
      <w:r w:rsidRPr="00C276ED">
        <w:rPr>
          <w:rFonts w:ascii="Arial" w:hAnsi="Arial" w:cs="Arial"/>
          <w:b/>
          <w:color w:val="auto"/>
          <w:sz w:val="24"/>
          <w:szCs w:val="24"/>
        </w:rPr>
        <w:t xml:space="preserve"> </w:t>
      </w:r>
    </w:p>
    <w:p w14:paraId="66FADD5B" w14:textId="77777777" w:rsidR="00D85FB7" w:rsidRPr="00C276ED" w:rsidRDefault="00D85FB7" w:rsidP="00CC0840">
      <w:pPr>
        <w:pStyle w:val="NoSpacing"/>
        <w:jc w:val="both"/>
        <w:rPr>
          <w:rFonts w:ascii="Arial" w:hAnsi="Arial" w:cs="Arial"/>
          <w:sz w:val="24"/>
          <w:szCs w:val="24"/>
        </w:rPr>
      </w:pPr>
    </w:p>
    <w:p w14:paraId="410AEA17" w14:textId="57A2BC7D" w:rsidR="00D85FB7" w:rsidRPr="00C276ED" w:rsidRDefault="00D85FB7" w:rsidP="00CC0840">
      <w:pPr>
        <w:pStyle w:val="NoSpacing"/>
        <w:jc w:val="both"/>
        <w:rPr>
          <w:rFonts w:ascii="Arial" w:hAnsi="Arial" w:cs="Arial"/>
          <w:sz w:val="24"/>
          <w:szCs w:val="24"/>
        </w:rPr>
      </w:pPr>
      <w:r w:rsidRPr="00C276ED">
        <w:rPr>
          <w:rFonts w:ascii="Arial" w:hAnsi="Arial" w:cs="Arial"/>
          <w:sz w:val="24"/>
          <w:szCs w:val="24"/>
        </w:rPr>
        <w:t>Electric generation fueled by natural gas has significantly less CO</w:t>
      </w:r>
      <w:r w:rsidRPr="00775B6F">
        <w:rPr>
          <w:rFonts w:ascii="Arial" w:hAnsi="Arial" w:cs="Arial"/>
          <w:sz w:val="24"/>
          <w:szCs w:val="24"/>
          <w:vertAlign w:val="subscript"/>
        </w:rPr>
        <w:t>2</w:t>
      </w:r>
      <w:r w:rsidRPr="00C276ED">
        <w:rPr>
          <w:rFonts w:ascii="Arial" w:hAnsi="Arial" w:cs="Arial"/>
          <w:sz w:val="24"/>
          <w:szCs w:val="24"/>
        </w:rPr>
        <w:t xml:space="preserve"> emissions than electric generation from coal.  </w:t>
      </w:r>
      <w:r w:rsidR="00FF4BA0" w:rsidRPr="00C276ED">
        <w:rPr>
          <w:rFonts w:ascii="Arial" w:hAnsi="Arial" w:cs="Arial"/>
          <w:sz w:val="24"/>
          <w:szCs w:val="24"/>
        </w:rPr>
        <w:t xml:space="preserve"> According to </w:t>
      </w:r>
      <w:r w:rsidR="005E740E" w:rsidRPr="00C276ED">
        <w:rPr>
          <w:rFonts w:ascii="Arial" w:hAnsi="Arial" w:cs="Arial"/>
          <w:sz w:val="24"/>
          <w:szCs w:val="24"/>
        </w:rPr>
        <w:t>a report commissioned by the Natural Gas Council</w:t>
      </w:r>
      <w:r w:rsidR="00FF4BA0" w:rsidRPr="00C276ED">
        <w:rPr>
          <w:rFonts w:ascii="Arial" w:hAnsi="Arial" w:cs="Arial"/>
          <w:sz w:val="24"/>
          <w:szCs w:val="24"/>
        </w:rPr>
        <w:t xml:space="preserve">, fugitive methane emissions comprise 10.6% of U.S. anthropogenic </w:t>
      </w:r>
      <w:r w:rsidR="00FF4BA0" w:rsidRPr="00C276ED">
        <w:rPr>
          <w:rFonts w:ascii="Arial" w:hAnsi="Arial" w:cs="Arial"/>
          <w:sz w:val="24"/>
          <w:szCs w:val="24"/>
        </w:rPr>
        <w:lastRenderedPageBreak/>
        <w:t>GHG emissions. However, methane emissions from the natural gas industry comprise 2.6% of total emissions</w:t>
      </w:r>
      <w:r w:rsidR="005E740E" w:rsidRPr="00C276ED">
        <w:rPr>
          <w:rFonts w:ascii="Arial" w:hAnsi="Arial" w:cs="Arial"/>
          <w:sz w:val="24"/>
          <w:szCs w:val="24"/>
        </w:rPr>
        <w:t>. Furthermore, emissions from natural gas system themselves represented only about 1.4% of the volume of methane in U.S. natural gas produced in 2014</w:t>
      </w:r>
      <w:r w:rsidR="000014FE">
        <w:rPr>
          <w:rFonts w:ascii="Arial" w:hAnsi="Arial" w:cs="Arial"/>
          <w:sz w:val="24"/>
          <w:szCs w:val="24"/>
        </w:rPr>
        <w:t>.</w:t>
      </w:r>
      <w:r w:rsidR="00FF4BA0" w:rsidRPr="00C276ED">
        <w:rPr>
          <w:rStyle w:val="FootnoteReference"/>
          <w:rFonts w:ascii="Arial" w:hAnsi="Arial" w:cs="Arial"/>
          <w:sz w:val="24"/>
          <w:szCs w:val="24"/>
        </w:rPr>
        <w:footnoteReference w:id="6"/>
      </w:r>
    </w:p>
    <w:p w14:paraId="5AC33BC3" w14:textId="77777777" w:rsidR="00D85FB7" w:rsidRPr="00C276ED" w:rsidRDefault="00D85FB7" w:rsidP="00CC0840">
      <w:pPr>
        <w:pStyle w:val="NoSpacing"/>
        <w:jc w:val="both"/>
        <w:rPr>
          <w:rFonts w:ascii="Arial" w:hAnsi="Arial" w:cs="Arial"/>
          <w:sz w:val="24"/>
          <w:szCs w:val="24"/>
        </w:rPr>
      </w:pPr>
    </w:p>
    <w:p w14:paraId="0ED885A7" w14:textId="327B5703" w:rsidR="00D85FB7" w:rsidRPr="00C276ED" w:rsidRDefault="00D85FB7" w:rsidP="00CC0840">
      <w:pPr>
        <w:pStyle w:val="NoSpacing"/>
        <w:jc w:val="both"/>
        <w:rPr>
          <w:rFonts w:ascii="Arial" w:hAnsi="Arial" w:cs="Arial"/>
          <w:sz w:val="24"/>
          <w:szCs w:val="24"/>
        </w:rPr>
      </w:pPr>
      <w:r w:rsidRPr="00C276ED">
        <w:rPr>
          <w:rFonts w:ascii="Arial" w:hAnsi="Arial" w:cs="Arial"/>
          <w:sz w:val="24"/>
          <w:szCs w:val="24"/>
        </w:rPr>
        <w:t xml:space="preserve">The Council’s </w:t>
      </w:r>
      <w:r w:rsidR="004C06DC" w:rsidRPr="00C276ED">
        <w:rPr>
          <w:rFonts w:ascii="Arial" w:hAnsi="Arial" w:cs="Arial"/>
          <w:sz w:val="24"/>
          <w:szCs w:val="24"/>
        </w:rPr>
        <w:t>Seventh</w:t>
      </w:r>
      <w:r w:rsidRPr="00C276ED">
        <w:rPr>
          <w:rFonts w:ascii="Arial" w:hAnsi="Arial" w:cs="Arial"/>
          <w:sz w:val="24"/>
          <w:szCs w:val="24"/>
        </w:rPr>
        <w:t xml:space="preserve"> Power Plan notes:  </w:t>
      </w:r>
    </w:p>
    <w:p w14:paraId="238C1B08" w14:textId="77777777" w:rsidR="00D85FB7" w:rsidRPr="00C276ED" w:rsidRDefault="00D85FB7" w:rsidP="00CC0840">
      <w:pPr>
        <w:pStyle w:val="NoSpacing"/>
        <w:jc w:val="both"/>
        <w:rPr>
          <w:rFonts w:ascii="Arial" w:hAnsi="Arial" w:cs="Arial"/>
          <w:sz w:val="24"/>
          <w:szCs w:val="24"/>
        </w:rPr>
      </w:pPr>
    </w:p>
    <w:p w14:paraId="50F5C0B2" w14:textId="77777777" w:rsidR="00D85FB7" w:rsidRPr="00C276ED" w:rsidRDefault="00D85FB7" w:rsidP="00CC0840">
      <w:pPr>
        <w:pStyle w:val="NoSpacing"/>
        <w:ind w:left="720"/>
        <w:jc w:val="both"/>
        <w:rPr>
          <w:rFonts w:ascii="Arial" w:hAnsi="Arial" w:cs="Arial"/>
          <w:sz w:val="24"/>
          <w:szCs w:val="24"/>
        </w:rPr>
      </w:pPr>
      <w:r w:rsidRPr="00C276ED">
        <w:rPr>
          <w:rFonts w:ascii="Arial" w:hAnsi="Arial" w:cs="Arial"/>
          <w:sz w:val="24"/>
          <w:szCs w:val="24"/>
        </w:rPr>
        <w:t>“…there is considerable uncertainty around such issues as whether its impacts compared to carbon dioxide are over or under-stated…and whether accounting for the methane emissions from coal production would also raise that fuel’s full life-cycle climate impacts…”</w:t>
      </w:r>
    </w:p>
    <w:p w14:paraId="7EEE4EBE" w14:textId="77777777" w:rsidR="00D85FB7" w:rsidRPr="00C276ED" w:rsidRDefault="00D85FB7" w:rsidP="00CC0840">
      <w:pPr>
        <w:pStyle w:val="NoSpacing"/>
        <w:ind w:left="720"/>
        <w:jc w:val="both"/>
        <w:rPr>
          <w:rFonts w:ascii="Arial" w:hAnsi="Arial" w:cs="Arial"/>
          <w:sz w:val="24"/>
          <w:szCs w:val="24"/>
        </w:rPr>
      </w:pPr>
    </w:p>
    <w:p w14:paraId="174FC650" w14:textId="77777777" w:rsidR="00D85FB7" w:rsidRPr="00C276ED" w:rsidRDefault="00D85FB7" w:rsidP="00CC0840">
      <w:pPr>
        <w:pStyle w:val="NoSpacing"/>
        <w:ind w:left="720"/>
        <w:jc w:val="both"/>
        <w:rPr>
          <w:rFonts w:ascii="Arial" w:hAnsi="Arial" w:cs="Arial"/>
          <w:sz w:val="24"/>
          <w:szCs w:val="24"/>
        </w:rPr>
      </w:pPr>
      <w:r w:rsidRPr="00C276ED">
        <w:rPr>
          <w:rFonts w:ascii="Arial" w:hAnsi="Arial" w:cs="Arial"/>
          <w:sz w:val="24"/>
          <w:szCs w:val="24"/>
        </w:rPr>
        <w:t>“…will likely draw on gas production new wells which have lower fugitive emissions…”</w:t>
      </w:r>
    </w:p>
    <w:p w14:paraId="6A77A521" w14:textId="77777777" w:rsidR="00D85FB7" w:rsidRPr="00C276ED" w:rsidRDefault="00D85FB7" w:rsidP="00CC0840">
      <w:pPr>
        <w:pStyle w:val="NoSpacing"/>
        <w:ind w:left="720"/>
        <w:jc w:val="both"/>
        <w:rPr>
          <w:rFonts w:ascii="Arial" w:hAnsi="Arial" w:cs="Arial"/>
          <w:sz w:val="24"/>
          <w:szCs w:val="24"/>
        </w:rPr>
      </w:pPr>
    </w:p>
    <w:p w14:paraId="0B06DA6D" w14:textId="77777777" w:rsidR="00D85FB7" w:rsidRPr="00C276ED" w:rsidRDefault="00D85FB7" w:rsidP="00CC0840">
      <w:pPr>
        <w:pStyle w:val="NoSpacing"/>
        <w:ind w:left="720"/>
        <w:jc w:val="both"/>
        <w:rPr>
          <w:rFonts w:ascii="Arial" w:hAnsi="Arial" w:cs="Arial"/>
          <w:sz w:val="24"/>
          <w:szCs w:val="24"/>
        </w:rPr>
      </w:pPr>
      <w:r w:rsidRPr="00C276ED">
        <w:rPr>
          <w:rFonts w:ascii="Arial" w:hAnsi="Arial" w:cs="Arial"/>
          <w:sz w:val="24"/>
          <w:szCs w:val="24"/>
        </w:rPr>
        <w:t>“…unless new pipeline capacity is needed, fugitive emissions from pipeline leaks remain relatively constant…”</w:t>
      </w:r>
    </w:p>
    <w:p w14:paraId="20F64F9B" w14:textId="77777777" w:rsidR="00D85FB7" w:rsidRPr="00C276ED" w:rsidRDefault="00D85FB7" w:rsidP="00CC0840">
      <w:pPr>
        <w:pStyle w:val="NoSpacing"/>
        <w:jc w:val="both"/>
        <w:rPr>
          <w:rFonts w:ascii="Arial" w:hAnsi="Arial" w:cs="Arial"/>
          <w:sz w:val="24"/>
          <w:szCs w:val="24"/>
        </w:rPr>
      </w:pPr>
    </w:p>
    <w:p w14:paraId="2458B624" w14:textId="489564BB" w:rsidR="001D5CEE" w:rsidRDefault="00D85FB7" w:rsidP="00420A93">
      <w:pPr>
        <w:pStyle w:val="NoSpacing"/>
        <w:jc w:val="both"/>
        <w:rPr>
          <w:rFonts w:ascii="Arial" w:hAnsi="Arial" w:cs="Arial"/>
          <w:sz w:val="24"/>
          <w:szCs w:val="24"/>
        </w:rPr>
      </w:pPr>
      <w:r w:rsidRPr="00C276ED">
        <w:rPr>
          <w:rFonts w:ascii="Arial" w:hAnsi="Arial" w:cs="Arial"/>
          <w:sz w:val="24"/>
          <w:szCs w:val="24"/>
        </w:rPr>
        <w:t>Thus, fugitive methane emissions need to be addressed but do not offset the benefit of lower overall CO</w:t>
      </w:r>
      <w:r w:rsidRPr="00775B6F">
        <w:rPr>
          <w:rFonts w:ascii="Arial" w:hAnsi="Arial" w:cs="Arial"/>
          <w:sz w:val="24"/>
          <w:szCs w:val="24"/>
          <w:vertAlign w:val="subscript"/>
        </w:rPr>
        <w:t>2</w:t>
      </w:r>
      <w:r w:rsidRPr="00C276ED">
        <w:rPr>
          <w:rFonts w:ascii="Arial" w:hAnsi="Arial" w:cs="Arial"/>
          <w:sz w:val="24"/>
          <w:szCs w:val="24"/>
        </w:rPr>
        <w:t xml:space="preserve"> emissions when compared to electr</w:t>
      </w:r>
      <w:r w:rsidR="00103767" w:rsidRPr="00C276ED">
        <w:rPr>
          <w:rFonts w:ascii="Arial" w:hAnsi="Arial" w:cs="Arial"/>
          <w:sz w:val="24"/>
          <w:szCs w:val="24"/>
        </w:rPr>
        <w:t>ic generation from natural gas.</w:t>
      </w:r>
      <w:bookmarkStart w:id="12" w:name="_Toc459622872"/>
    </w:p>
    <w:p w14:paraId="798E6D3D" w14:textId="77777777" w:rsidR="00420A93" w:rsidRDefault="00420A93" w:rsidP="00420A93">
      <w:pPr>
        <w:pStyle w:val="NoSpacing"/>
        <w:jc w:val="both"/>
        <w:rPr>
          <w:rFonts w:ascii="Arial" w:hAnsi="Arial" w:cs="Arial"/>
          <w:sz w:val="24"/>
          <w:szCs w:val="24"/>
        </w:rPr>
      </w:pPr>
    </w:p>
    <w:p w14:paraId="09771705" w14:textId="77777777" w:rsidR="00420A93" w:rsidRPr="00C276ED" w:rsidRDefault="00420A93" w:rsidP="00420A93">
      <w:pPr>
        <w:pStyle w:val="NoSpacing"/>
        <w:jc w:val="both"/>
        <w:rPr>
          <w:rFonts w:ascii="Arial" w:hAnsi="Arial" w:cs="Arial"/>
          <w:b/>
          <w:sz w:val="24"/>
          <w:szCs w:val="24"/>
        </w:rPr>
      </w:pPr>
    </w:p>
    <w:p w14:paraId="7A504BD5" w14:textId="77777777" w:rsidR="00D85FB7" w:rsidRPr="00C276ED" w:rsidRDefault="00D85FB7" w:rsidP="00420A93">
      <w:pPr>
        <w:pStyle w:val="Heading1"/>
        <w:spacing w:before="0" w:after="0" w:line="240" w:lineRule="auto"/>
        <w:jc w:val="both"/>
        <w:rPr>
          <w:rFonts w:ascii="Arial" w:hAnsi="Arial" w:cs="Arial"/>
          <w:b/>
          <w:color w:val="auto"/>
          <w:sz w:val="24"/>
          <w:szCs w:val="24"/>
        </w:rPr>
      </w:pPr>
      <w:r w:rsidRPr="00C276ED">
        <w:rPr>
          <w:rFonts w:ascii="Arial" w:hAnsi="Arial" w:cs="Arial"/>
          <w:b/>
          <w:color w:val="auto"/>
          <w:sz w:val="24"/>
          <w:szCs w:val="24"/>
        </w:rPr>
        <w:t>Washington and Oregon Commission-Jurisdictional Planning Treatment</w:t>
      </w:r>
      <w:bookmarkEnd w:id="12"/>
      <w:r w:rsidRPr="00C276ED">
        <w:rPr>
          <w:rFonts w:ascii="Arial" w:hAnsi="Arial" w:cs="Arial"/>
          <w:b/>
          <w:color w:val="auto"/>
          <w:sz w:val="24"/>
          <w:szCs w:val="24"/>
        </w:rPr>
        <w:t xml:space="preserve"> </w:t>
      </w:r>
    </w:p>
    <w:p w14:paraId="757A1287" w14:textId="77777777" w:rsidR="00D85FB7" w:rsidRPr="00C276ED" w:rsidRDefault="00D85FB7" w:rsidP="00CC0840">
      <w:pPr>
        <w:pStyle w:val="NoSpacing"/>
        <w:jc w:val="both"/>
        <w:rPr>
          <w:rFonts w:ascii="Arial" w:hAnsi="Arial" w:cs="Arial"/>
          <w:sz w:val="24"/>
          <w:szCs w:val="24"/>
        </w:rPr>
      </w:pPr>
    </w:p>
    <w:p w14:paraId="6725B176" w14:textId="77777777" w:rsidR="00D85FB7" w:rsidRPr="00C276ED" w:rsidRDefault="00D85FB7" w:rsidP="00CC0840">
      <w:pPr>
        <w:pStyle w:val="NoSpacing"/>
        <w:jc w:val="both"/>
        <w:rPr>
          <w:rFonts w:ascii="Arial" w:hAnsi="Arial" w:cs="Arial"/>
          <w:sz w:val="24"/>
          <w:szCs w:val="24"/>
        </w:rPr>
      </w:pPr>
      <w:r w:rsidRPr="00C276ED">
        <w:rPr>
          <w:rFonts w:ascii="Arial" w:hAnsi="Arial" w:cs="Arial"/>
          <w:sz w:val="24"/>
          <w:szCs w:val="24"/>
        </w:rPr>
        <w:t>All Washington and Oregon LDCs follow the protocols of the Council’s Carbon Cost Risk approach:</w:t>
      </w:r>
    </w:p>
    <w:p w14:paraId="2C15F5C7" w14:textId="77777777" w:rsidR="00D85FB7" w:rsidRDefault="00D85FB7" w:rsidP="00CC0840">
      <w:pPr>
        <w:pStyle w:val="NoSpacing"/>
        <w:jc w:val="both"/>
        <w:rPr>
          <w:rFonts w:ascii="Arial" w:hAnsi="Arial" w:cs="Arial"/>
          <w:sz w:val="24"/>
          <w:szCs w:val="24"/>
        </w:rPr>
      </w:pPr>
    </w:p>
    <w:p w14:paraId="32F01FFA" w14:textId="77777777" w:rsidR="009D3E58" w:rsidRPr="00C276ED" w:rsidRDefault="009D3E58" w:rsidP="00CC0840">
      <w:pPr>
        <w:pStyle w:val="NoSpacing"/>
        <w:jc w:val="both"/>
        <w:rPr>
          <w:rFonts w:ascii="Arial" w:hAnsi="Arial" w:cs="Arial"/>
          <w:sz w:val="24"/>
          <w:szCs w:val="24"/>
        </w:rPr>
      </w:pPr>
    </w:p>
    <w:p w14:paraId="61829B13" w14:textId="77777777" w:rsidR="00D85FB7" w:rsidRPr="00C276ED" w:rsidRDefault="006B0B67" w:rsidP="00CC0840">
      <w:pPr>
        <w:pStyle w:val="NoSpacing"/>
        <w:jc w:val="both"/>
        <w:rPr>
          <w:rFonts w:ascii="Arial" w:hAnsi="Arial" w:cs="Arial"/>
          <w:sz w:val="24"/>
          <w:szCs w:val="24"/>
          <w:u w:val="single"/>
        </w:rPr>
      </w:pPr>
      <w:r w:rsidRPr="00C276ED">
        <w:rPr>
          <w:rFonts w:ascii="Arial" w:hAnsi="Arial" w:cs="Arial"/>
          <w:sz w:val="24"/>
          <w:szCs w:val="24"/>
          <w:u w:val="single"/>
        </w:rPr>
        <w:t>Puget Sound Energy</w:t>
      </w:r>
    </w:p>
    <w:p w14:paraId="6A840230" w14:textId="77777777" w:rsidR="006B0B67" w:rsidRPr="00C276ED" w:rsidRDefault="006B0B67" w:rsidP="00CC0840">
      <w:pPr>
        <w:pStyle w:val="NoSpacing"/>
        <w:jc w:val="both"/>
        <w:rPr>
          <w:rFonts w:ascii="Arial" w:hAnsi="Arial" w:cs="Arial"/>
          <w:sz w:val="24"/>
          <w:szCs w:val="24"/>
        </w:rPr>
      </w:pPr>
    </w:p>
    <w:p w14:paraId="6554E6EB" w14:textId="44E4B5FD" w:rsidR="00D85FB7" w:rsidRPr="00C276ED" w:rsidRDefault="00D85FB7" w:rsidP="00CC0840">
      <w:pPr>
        <w:pStyle w:val="NoSpacing"/>
        <w:jc w:val="both"/>
        <w:rPr>
          <w:rFonts w:ascii="Arial" w:hAnsi="Arial" w:cs="Arial"/>
          <w:sz w:val="24"/>
          <w:szCs w:val="24"/>
        </w:rPr>
      </w:pPr>
      <w:r w:rsidRPr="00C276ED">
        <w:rPr>
          <w:rFonts w:ascii="Arial" w:hAnsi="Arial" w:cs="Arial"/>
          <w:sz w:val="24"/>
          <w:szCs w:val="24"/>
        </w:rPr>
        <w:t xml:space="preserve">In its 2015 IRP, </w:t>
      </w:r>
      <w:r w:rsidR="002C7CB3" w:rsidRPr="00C276ED">
        <w:rPr>
          <w:rFonts w:ascii="Arial" w:hAnsi="Arial" w:cs="Arial"/>
          <w:sz w:val="24"/>
          <w:szCs w:val="24"/>
        </w:rPr>
        <w:t xml:space="preserve">Puget Sound Energy </w:t>
      </w:r>
      <w:r w:rsidRPr="00C276ED">
        <w:rPr>
          <w:rFonts w:ascii="Arial" w:hAnsi="Arial" w:cs="Arial"/>
          <w:sz w:val="24"/>
          <w:szCs w:val="24"/>
        </w:rPr>
        <w:t>modeled three CO</w:t>
      </w:r>
      <w:r w:rsidRPr="007F20AF">
        <w:rPr>
          <w:rFonts w:ascii="Arial" w:hAnsi="Arial" w:cs="Arial"/>
          <w:sz w:val="24"/>
          <w:szCs w:val="24"/>
          <w:vertAlign w:val="subscript"/>
        </w:rPr>
        <w:t>2</w:t>
      </w:r>
      <w:r w:rsidRPr="00C276ED">
        <w:rPr>
          <w:rFonts w:ascii="Arial" w:hAnsi="Arial" w:cs="Arial"/>
          <w:sz w:val="24"/>
          <w:szCs w:val="24"/>
        </w:rPr>
        <w:t xml:space="preserve"> prices:  No Federal CO</w:t>
      </w:r>
      <w:r w:rsidRPr="007F20AF">
        <w:rPr>
          <w:rFonts w:ascii="Arial" w:hAnsi="Arial" w:cs="Arial"/>
          <w:sz w:val="24"/>
          <w:szCs w:val="24"/>
          <w:vertAlign w:val="subscript"/>
        </w:rPr>
        <w:t>2</w:t>
      </w:r>
      <w:r w:rsidRPr="00C276ED">
        <w:rPr>
          <w:rFonts w:ascii="Arial" w:hAnsi="Arial" w:cs="Arial"/>
          <w:sz w:val="24"/>
          <w:szCs w:val="24"/>
        </w:rPr>
        <w:t xml:space="preserve"> price ($0/ton); Mid CO</w:t>
      </w:r>
      <w:r w:rsidRPr="007F20AF">
        <w:rPr>
          <w:rFonts w:ascii="Arial" w:hAnsi="Arial" w:cs="Arial"/>
          <w:sz w:val="24"/>
          <w:szCs w:val="24"/>
          <w:vertAlign w:val="subscript"/>
        </w:rPr>
        <w:t>2</w:t>
      </w:r>
      <w:r w:rsidRPr="00C276ED">
        <w:rPr>
          <w:rFonts w:ascii="Arial" w:hAnsi="Arial" w:cs="Arial"/>
          <w:sz w:val="24"/>
          <w:szCs w:val="24"/>
        </w:rPr>
        <w:t xml:space="preserve"> price ($13/ton in 2016 to $54/ton in 2035); High CO</w:t>
      </w:r>
      <w:r w:rsidRPr="007F20AF">
        <w:rPr>
          <w:rFonts w:ascii="Arial" w:hAnsi="Arial" w:cs="Arial"/>
          <w:sz w:val="24"/>
          <w:szCs w:val="24"/>
          <w:vertAlign w:val="subscript"/>
        </w:rPr>
        <w:t>2</w:t>
      </w:r>
      <w:r w:rsidRPr="00C276ED">
        <w:rPr>
          <w:rFonts w:ascii="Arial" w:hAnsi="Arial" w:cs="Arial"/>
          <w:sz w:val="24"/>
          <w:szCs w:val="24"/>
        </w:rPr>
        <w:t xml:space="preserve"> price ($35/ton in 2020 to $120/ton in 2035</w:t>
      </w:r>
      <w:r w:rsidR="009D3E58">
        <w:rPr>
          <w:rFonts w:ascii="Arial" w:hAnsi="Arial" w:cs="Arial"/>
          <w:sz w:val="24"/>
          <w:szCs w:val="24"/>
        </w:rPr>
        <w:t>.</w:t>
      </w:r>
      <w:r w:rsidRPr="00C276ED">
        <w:rPr>
          <w:rFonts w:ascii="Arial" w:hAnsi="Arial" w:cs="Arial"/>
          <w:sz w:val="24"/>
          <w:szCs w:val="24"/>
        </w:rPr>
        <w:t>)</w:t>
      </w:r>
    </w:p>
    <w:p w14:paraId="052BAC67" w14:textId="77777777" w:rsidR="00CC0840" w:rsidRPr="00C276ED" w:rsidRDefault="00CC0840" w:rsidP="00CC0840">
      <w:pPr>
        <w:pStyle w:val="NoSpacing"/>
        <w:jc w:val="both"/>
        <w:rPr>
          <w:rFonts w:ascii="Arial" w:hAnsi="Arial" w:cs="Arial"/>
          <w:sz w:val="24"/>
          <w:szCs w:val="24"/>
        </w:rPr>
      </w:pPr>
    </w:p>
    <w:p w14:paraId="77819586" w14:textId="77777777" w:rsidR="00D85FB7" w:rsidRPr="00C276ED" w:rsidRDefault="00D85FB7" w:rsidP="00CC0840">
      <w:pPr>
        <w:pStyle w:val="NoSpacing"/>
        <w:jc w:val="both"/>
        <w:rPr>
          <w:rFonts w:ascii="Arial" w:hAnsi="Arial" w:cs="Arial"/>
          <w:sz w:val="24"/>
          <w:szCs w:val="24"/>
        </w:rPr>
      </w:pPr>
    </w:p>
    <w:p w14:paraId="41523907" w14:textId="26463413" w:rsidR="00D85FB7" w:rsidRPr="00C276ED" w:rsidRDefault="002C7CB3" w:rsidP="00CC0840">
      <w:pPr>
        <w:pStyle w:val="NoSpacing"/>
        <w:jc w:val="both"/>
        <w:rPr>
          <w:rFonts w:ascii="Arial" w:hAnsi="Arial" w:cs="Arial"/>
          <w:sz w:val="24"/>
          <w:szCs w:val="24"/>
          <w:u w:val="single"/>
        </w:rPr>
      </w:pPr>
      <w:r w:rsidRPr="00C276ED">
        <w:rPr>
          <w:rFonts w:ascii="Arial" w:hAnsi="Arial" w:cs="Arial"/>
          <w:sz w:val="24"/>
          <w:szCs w:val="24"/>
          <w:u w:val="single"/>
        </w:rPr>
        <w:t xml:space="preserve">NW </w:t>
      </w:r>
      <w:r w:rsidR="00D85FB7" w:rsidRPr="00C276ED">
        <w:rPr>
          <w:rFonts w:ascii="Arial" w:hAnsi="Arial" w:cs="Arial"/>
          <w:sz w:val="24"/>
          <w:szCs w:val="24"/>
          <w:u w:val="single"/>
        </w:rPr>
        <w:t>Natural</w:t>
      </w:r>
      <w:r w:rsidR="006B0B67" w:rsidRPr="00C276ED">
        <w:rPr>
          <w:rFonts w:ascii="Arial" w:hAnsi="Arial" w:cs="Arial"/>
          <w:sz w:val="24"/>
          <w:szCs w:val="24"/>
          <w:u w:val="single"/>
        </w:rPr>
        <w:t xml:space="preserve"> Gas</w:t>
      </w:r>
    </w:p>
    <w:p w14:paraId="0A62AB6C" w14:textId="77777777" w:rsidR="006B0B67" w:rsidRPr="00C276ED" w:rsidRDefault="006B0B67" w:rsidP="00CC0840">
      <w:pPr>
        <w:pStyle w:val="NoSpacing"/>
        <w:jc w:val="both"/>
        <w:rPr>
          <w:rFonts w:ascii="Arial" w:hAnsi="Arial" w:cs="Arial"/>
          <w:sz w:val="24"/>
          <w:szCs w:val="24"/>
        </w:rPr>
      </w:pPr>
    </w:p>
    <w:p w14:paraId="48674966" w14:textId="77777777" w:rsidR="00BB0170" w:rsidRDefault="00BB0170" w:rsidP="00BB0170">
      <w:pPr>
        <w:pStyle w:val="NoSpacing"/>
        <w:jc w:val="both"/>
        <w:rPr>
          <w:rFonts w:ascii="Arial" w:hAnsi="Arial" w:cs="Arial"/>
          <w:sz w:val="24"/>
          <w:szCs w:val="24"/>
        </w:rPr>
      </w:pPr>
      <w:r>
        <w:rPr>
          <w:rFonts w:ascii="Arial" w:hAnsi="Arial" w:cs="Arial"/>
          <w:sz w:val="24"/>
          <w:szCs w:val="24"/>
        </w:rPr>
        <w:t>In its 2016 IRP, Northwest Natural Gas includes a cost for carbon beginning in 2021 at $7/ton with $28/ton in 2035 for Oregon; for Washington; the carbon adder starts at $7/ton in 2017 with $32/ton in 2035.</w:t>
      </w:r>
    </w:p>
    <w:p w14:paraId="50F26B6C" w14:textId="77777777" w:rsidR="00D85FB7" w:rsidRDefault="00D85FB7" w:rsidP="00CC0840">
      <w:pPr>
        <w:pStyle w:val="NoSpacing"/>
        <w:jc w:val="both"/>
        <w:rPr>
          <w:rFonts w:ascii="Arial" w:hAnsi="Arial" w:cs="Arial"/>
          <w:sz w:val="24"/>
          <w:szCs w:val="24"/>
        </w:rPr>
      </w:pPr>
    </w:p>
    <w:p w14:paraId="410791A3" w14:textId="77777777" w:rsidR="009D3E58" w:rsidRPr="00C276ED" w:rsidRDefault="009D3E58" w:rsidP="00CC0840">
      <w:pPr>
        <w:pStyle w:val="NoSpacing"/>
        <w:jc w:val="both"/>
        <w:rPr>
          <w:rFonts w:ascii="Arial" w:hAnsi="Arial" w:cs="Arial"/>
          <w:sz w:val="24"/>
          <w:szCs w:val="24"/>
        </w:rPr>
      </w:pPr>
    </w:p>
    <w:p w14:paraId="7F0FDFE7" w14:textId="77777777" w:rsidR="00D85FB7" w:rsidRPr="00C276ED" w:rsidRDefault="00D85FB7" w:rsidP="00CC0840">
      <w:pPr>
        <w:pStyle w:val="NoSpacing"/>
        <w:jc w:val="both"/>
        <w:rPr>
          <w:rFonts w:ascii="Arial" w:hAnsi="Arial" w:cs="Arial"/>
          <w:sz w:val="24"/>
          <w:szCs w:val="24"/>
          <w:u w:val="single"/>
        </w:rPr>
      </w:pPr>
      <w:proofErr w:type="spellStart"/>
      <w:r w:rsidRPr="00C276ED">
        <w:rPr>
          <w:rFonts w:ascii="Arial" w:hAnsi="Arial" w:cs="Arial"/>
          <w:sz w:val="24"/>
          <w:szCs w:val="24"/>
          <w:u w:val="single"/>
        </w:rPr>
        <w:t>Avista</w:t>
      </w:r>
      <w:proofErr w:type="spellEnd"/>
    </w:p>
    <w:p w14:paraId="1F0DA0AC" w14:textId="77777777" w:rsidR="006B0B67" w:rsidRPr="00C276ED" w:rsidRDefault="006B0B67" w:rsidP="00CC0840">
      <w:pPr>
        <w:pStyle w:val="NoSpacing"/>
        <w:jc w:val="both"/>
        <w:rPr>
          <w:rFonts w:ascii="Arial" w:hAnsi="Arial" w:cs="Arial"/>
          <w:sz w:val="24"/>
          <w:szCs w:val="24"/>
        </w:rPr>
      </w:pPr>
    </w:p>
    <w:p w14:paraId="68D9B4C8" w14:textId="4DEDB06D" w:rsidR="00D85FB7" w:rsidRDefault="00D85FB7" w:rsidP="00C3642D">
      <w:pPr>
        <w:pStyle w:val="NoSpacing"/>
        <w:jc w:val="both"/>
        <w:rPr>
          <w:rFonts w:ascii="Arial" w:hAnsi="Arial" w:cs="Arial"/>
          <w:sz w:val="24"/>
          <w:szCs w:val="24"/>
        </w:rPr>
      </w:pPr>
      <w:r w:rsidRPr="00C276ED">
        <w:rPr>
          <w:rFonts w:ascii="Arial" w:hAnsi="Arial" w:cs="Arial"/>
          <w:sz w:val="24"/>
          <w:szCs w:val="24"/>
        </w:rPr>
        <w:t>In it</w:t>
      </w:r>
      <w:r w:rsidR="00205F18" w:rsidRPr="00C276ED">
        <w:rPr>
          <w:rFonts w:ascii="Arial" w:hAnsi="Arial" w:cs="Arial"/>
          <w:sz w:val="24"/>
          <w:szCs w:val="24"/>
        </w:rPr>
        <w:t>s</w:t>
      </w:r>
      <w:r w:rsidRPr="00C276ED">
        <w:rPr>
          <w:rFonts w:ascii="Arial" w:hAnsi="Arial" w:cs="Arial"/>
          <w:sz w:val="24"/>
          <w:szCs w:val="24"/>
        </w:rPr>
        <w:t xml:space="preserve"> 2016 </w:t>
      </w:r>
      <w:r w:rsidR="00205F18" w:rsidRPr="00C276ED">
        <w:rPr>
          <w:rFonts w:ascii="Arial" w:hAnsi="Arial" w:cs="Arial"/>
          <w:sz w:val="24"/>
          <w:szCs w:val="24"/>
        </w:rPr>
        <w:t>Natural Gas IRP:</w:t>
      </w:r>
      <w:r w:rsidR="002C7CB3" w:rsidRPr="00C276ED">
        <w:rPr>
          <w:rFonts w:ascii="Arial" w:hAnsi="Arial" w:cs="Arial"/>
          <w:sz w:val="24"/>
          <w:szCs w:val="24"/>
        </w:rPr>
        <w:t xml:space="preserve"> a carbon adder is</w:t>
      </w:r>
      <w:r w:rsidRPr="00C276ED">
        <w:rPr>
          <w:rFonts w:ascii="Arial" w:hAnsi="Arial" w:cs="Arial"/>
          <w:sz w:val="24"/>
          <w:szCs w:val="24"/>
        </w:rPr>
        <w:t xml:space="preserve"> </w:t>
      </w:r>
      <w:r w:rsidR="00205F18" w:rsidRPr="00C276ED">
        <w:rPr>
          <w:rFonts w:ascii="Arial" w:hAnsi="Arial" w:cs="Arial"/>
          <w:sz w:val="24"/>
          <w:szCs w:val="24"/>
        </w:rPr>
        <w:t>include</w:t>
      </w:r>
      <w:r w:rsidR="002C7CB3" w:rsidRPr="00C276ED">
        <w:rPr>
          <w:rFonts w:ascii="Arial" w:hAnsi="Arial" w:cs="Arial"/>
          <w:sz w:val="24"/>
          <w:szCs w:val="24"/>
        </w:rPr>
        <w:t xml:space="preserve">d </w:t>
      </w:r>
      <w:r w:rsidRPr="00C276ED">
        <w:rPr>
          <w:rFonts w:ascii="Arial" w:hAnsi="Arial" w:cs="Arial"/>
          <w:sz w:val="24"/>
          <w:szCs w:val="24"/>
        </w:rPr>
        <w:t xml:space="preserve">beginning in 2018 ($10/ton), escalating to </w:t>
      </w:r>
      <w:r w:rsidR="00205F18" w:rsidRPr="00C276ED">
        <w:rPr>
          <w:rFonts w:ascii="Arial" w:hAnsi="Arial" w:cs="Arial"/>
          <w:sz w:val="24"/>
          <w:szCs w:val="24"/>
        </w:rPr>
        <w:t xml:space="preserve">approximately </w:t>
      </w:r>
      <w:r w:rsidR="009D3E58">
        <w:rPr>
          <w:rFonts w:ascii="Arial" w:hAnsi="Arial" w:cs="Arial"/>
          <w:sz w:val="24"/>
          <w:szCs w:val="24"/>
        </w:rPr>
        <w:t xml:space="preserve">$20/ton (2035) based on </w:t>
      </w:r>
      <w:r w:rsidRPr="00C276ED">
        <w:rPr>
          <w:rFonts w:ascii="Arial" w:hAnsi="Arial" w:cs="Arial"/>
          <w:sz w:val="24"/>
          <w:szCs w:val="24"/>
        </w:rPr>
        <w:t>cap and trade</w:t>
      </w:r>
      <w:r w:rsidR="00205F18" w:rsidRPr="00C276ED">
        <w:rPr>
          <w:rFonts w:ascii="Arial" w:hAnsi="Arial" w:cs="Arial"/>
          <w:sz w:val="24"/>
          <w:szCs w:val="24"/>
        </w:rPr>
        <w:t xml:space="preserve"> carbon policy</w:t>
      </w:r>
      <w:r w:rsidR="009D3E58">
        <w:rPr>
          <w:rFonts w:ascii="Arial" w:hAnsi="Arial" w:cs="Arial"/>
          <w:sz w:val="24"/>
          <w:szCs w:val="24"/>
        </w:rPr>
        <w:t>.</w:t>
      </w:r>
    </w:p>
    <w:p w14:paraId="07AD3C17" w14:textId="77777777" w:rsidR="00C3642D" w:rsidRDefault="00C3642D" w:rsidP="00C3642D">
      <w:pPr>
        <w:pStyle w:val="NoSpacing"/>
        <w:jc w:val="both"/>
        <w:rPr>
          <w:rFonts w:ascii="Arial" w:hAnsi="Arial" w:cs="Arial"/>
          <w:sz w:val="24"/>
          <w:szCs w:val="24"/>
        </w:rPr>
      </w:pPr>
    </w:p>
    <w:p w14:paraId="1BE6FD86" w14:textId="77777777" w:rsidR="00C3642D" w:rsidRPr="00C276ED" w:rsidRDefault="00C3642D" w:rsidP="00C3642D">
      <w:pPr>
        <w:pStyle w:val="NoSpacing"/>
        <w:jc w:val="both"/>
        <w:rPr>
          <w:rFonts w:ascii="Arial" w:hAnsi="Arial" w:cs="Arial"/>
          <w:sz w:val="24"/>
          <w:szCs w:val="24"/>
        </w:rPr>
      </w:pPr>
    </w:p>
    <w:p w14:paraId="02F955BF" w14:textId="651ECBCD" w:rsidR="00D85FB7" w:rsidRPr="00C276ED" w:rsidRDefault="009F4536" w:rsidP="00C3642D">
      <w:pPr>
        <w:pStyle w:val="Heading1"/>
        <w:spacing w:before="0" w:after="0" w:line="240" w:lineRule="auto"/>
        <w:jc w:val="both"/>
        <w:rPr>
          <w:rFonts w:ascii="Arial" w:hAnsi="Arial" w:cs="Arial"/>
          <w:b/>
          <w:color w:val="auto"/>
          <w:sz w:val="24"/>
          <w:szCs w:val="24"/>
        </w:rPr>
      </w:pPr>
      <w:bookmarkStart w:id="13" w:name="_Toc459622873"/>
      <w:r w:rsidRPr="00C276ED">
        <w:rPr>
          <w:rFonts w:ascii="Arial" w:hAnsi="Arial" w:cs="Arial"/>
          <w:b/>
          <w:color w:val="auto"/>
          <w:sz w:val="24"/>
          <w:szCs w:val="24"/>
        </w:rPr>
        <w:t xml:space="preserve">Cascade’s </w:t>
      </w:r>
      <w:r w:rsidR="00D85FB7" w:rsidRPr="00C276ED">
        <w:rPr>
          <w:rFonts w:ascii="Arial" w:hAnsi="Arial" w:cs="Arial"/>
          <w:b/>
          <w:color w:val="auto"/>
          <w:sz w:val="24"/>
          <w:szCs w:val="24"/>
        </w:rPr>
        <w:t xml:space="preserve">Current Efforts </w:t>
      </w:r>
      <w:r w:rsidRPr="00C276ED">
        <w:rPr>
          <w:rFonts w:ascii="Arial" w:hAnsi="Arial" w:cs="Arial"/>
          <w:b/>
          <w:color w:val="auto"/>
          <w:sz w:val="24"/>
          <w:szCs w:val="24"/>
        </w:rPr>
        <w:t>for</w:t>
      </w:r>
      <w:r w:rsidR="00D85FB7" w:rsidRPr="00C276ED">
        <w:rPr>
          <w:rFonts w:ascii="Arial" w:hAnsi="Arial" w:cs="Arial"/>
          <w:b/>
          <w:color w:val="auto"/>
          <w:sz w:val="24"/>
          <w:szCs w:val="24"/>
        </w:rPr>
        <w:t xml:space="preserve"> Greenhouse Gas Reduction</w:t>
      </w:r>
      <w:bookmarkEnd w:id="13"/>
      <w:r w:rsidR="00D85FB7" w:rsidRPr="00C276ED">
        <w:rPr>
          <w:rFonts w:ascii="Arial" w:hAnsi="Arial" w:cs="Arial"/>
          <w:b/>
          <w:color w:val="auto"/>
          <w:sz w:val="24"/>
          <w:szCs w:val="24"/>
        </w:rPr>
        <w:t xml:space="preserve"> </w:t>
      </w:r>
    </w:p>
    <w:p w14:paraId="325B21E1" w14:textId="77777777" w:rsidR="00D85FB7" w:rsidRPr="00C276ED" w:rsidRDefault="00D85FB7" w:rsidP="00CC0840">
      <w:pPr>
        <w:pStyle w:val="NoSpacing"/>
        <w:jc w:val="both"/>
        <w:rPr>
          <w:rFonts w:ascii="Arial" w:hAnsi="Arial" w:cs="Arial"/>
          <w:sz w:val="24"/>
          <w:szCs w:val="24"/>
        </w:rPr>
      </w:pPr>
    </w:p>
    <w:p w14:paraId="6D2F95FF" w14:textId="491AC7D0" w:rsidR="00D85FB7" w:rsidRPr="00C276ED" w:rsidRDefault="00D85FB7" w:rsidP="00CC0840">
      <w:pPr>
        <w:pStyle w:val="NoSpacing"/>
        <w:jc w:val="both"/>
        <w:rPr>
          <w:rFonts w:ascii="Arial" w:hAnsi="Arial" w:cs="Arial"/>
          <w:sz w:val="24"/>
          <w:szCs w:val="24"/>
        </w:rPr>
      </w:pPr>
      <w:r w:rsidRPr="00C276ED">
        <w:rPr>
          <w:rFonts w:ascii="Arial" w:hAnsi="Arial" w:cs="Arial"/>
          <w:sz w:val="24"/>
          <w:szCs w:val="24"/>
        </w:rPr>
        <w:t>Cascade’s conservation programs help reduce CO</w:t>
      </w:r>
      <w:r w:rsidRPr="00C276ED">
        <w:rPr>
          <w:rFonts w:ascii="Arial" w:hAnsi="Arial" w:cs="Arial"/>
          <w:sz w:val="24"/>
          <w:szCs w:val="24"/>
          <w:vertAlign w:val="subscript"/>
        </w:rPr>
        <w:t>2</w:t>
      </w:r>
      <w:r w:rsidRPr="00C276ED">
        <w:rPr>
          <w:rFonts w:ascii="Arial" w:hAnsi="Arial" w:cs="Arial"/>
          <w:sz w:val="24"/>
          <w:szCs w:val="24"/>
        </w:rPr>
        <w:t xml:space="preserve"> emissions by </w:t>
      </w:r>
      <w:r w:rsidR="0002119A" w:rsidRPr="00C276ED">
        <w:rPr>
          <w:rFonts w:ascii="Arial" w:hAnsi="Arial" w:cs="Arial"/>
          <w:sz w:val="24"/>
          <w:szCs w:val="24"/>
        </w:rPr>
        <w:t xml:space="preserve">providing incentives to </w:t>
      </w:r>
      <w:r w:rsidRPr="00C276ED">
        <w:rPr>
          <w:rFonts w:ascii="Arial" w:hAnsi="Arial" w:cs="Arial"/>
          <w:sz w:val="24"/>
          <w:szCs w:val="24"/>
        </w:rPr>
        <w:t>customers</w:t>
      </w:r>
      <w:r w:rsidR="0002119A" w:rsidRPr="00C276ED">
        <w:rPr>
          <w:rFonts w:ascii="Arial" w:hAnsi="Arial" w:cs="Arial"/>
          <w:sz w:val="24"/>
          <w:szCs w:val="24"/>
        </w:rPr>
        <w:t xml:space="preserve"> for a comprehensive set of prescriptive and custom energy efficiency upgrades designed to</w:t>
      </w:r>
      <w:r w:rsidR="00347CE4" w:rsidRPr="00C276ED">
        <w:rPr>
          <w:rFonts w:ascii="Arial" w:hAnsi="Arial" w:cs="Arial"/>
          <w:sz w:val="24"/>
          <w:szCs w:val="24"/>
        </w:rPr>
        <w:t xml:space="preserve"> streamline their use of natural gas, thus reducing their overall carbon footprint</w:t>
      </w:r>
      <w:r w:rsidRPr="00C276ED">
        <w:rPr>
          <w:rFonts w:ascii="Arial" w:hAnsi="Arial" w:cs="Arial"/>
          <w:sz w:val="24"/>
          <w:szCs w:val="24"/>
        </w:rPr>
        <w:t xml:space="preserve">.  </w:t>
      </w:r>
      <w:r w:rsidR="0012756E" w:rsidRPr="00C276ED">
        <w:rPr>
          <w:rFonts w:ascii="Arial" w:hAnsi="Arial" w:cs="Arial"/>
          <w:sz w:val="24"/>
          <w:szCs w:val="24"/>
        </w:rPr>
        <w:t xml:space="preserve">Space, water heating, and weatherization incentives drive positive energy behavior in customers’ homes and businesses. This leads to lowered demand, </w:t>
      </w:r>
      <w:r w:rsidRPr="00C276ED">
        <w:rPr>
          <w:rFonts w:ascii="Arial" w:hAnsi="Arial" w:cs="Arial"/>
          <w:sz w:val="24"/>
          <w:szCs w:val="24"/>
        </w:rPr>
        <w:t>bill reduction</w:t>
      </w:r>
      <w:r w:rsidR="0012756E" w:rsidRPr="00C276ED">
        <w:rPr>
          <w:rFonts w:ascii="Arial" w:hAnsi="Arial" w:cs="Arial"/>
          <w:sz w:val="24"/>
          <w:szCs w:val="24"/>
        </w:rPr>
        <w:t xml:space="preserve">s, and overall </w:t>
      </w:r>
      <w:r w:rsidR="00003561" w:rsidRPr="00C276ED">
        <w:rPr>
          <w:rFonts w:ascii="Arial" w:hAnsi="Arial" w:cs="Arial"/>
          <w:sz w:val="24"/>
          <w:szCs w:val="24"/>
        </w:rPr>
        <w:t xml:space="preserve">carbon </w:t>
      </w:r>
      <w:r w:rsidRPr="00C276ED">
        <w:rPr>
          <w:rFonts w:ascii="Arial" w:hAnsi="Arial" w:cs="Arial"/>
          <w:sz w:val="24"/>
          <w:szCs w:val="24"/>
        </w:rPr>
        <w:t>emission reductions</w:t>
      </w:r>
      <w:r w:rsidR="0012756E" w:rsidRPr="00C276ED">
        <w:rPr>
          <w:rFonts w:ascii="Arial" w:hAnsi="Arial" w:cs="Arial"/>
          <w:sz w:val="24"/>
          <w:szCs w:val="24"/>
        </w:rPr>
        <w:t xml:space="preserve"> in the communities Cascade serves</w:t>
      </w:r>
      <w:r w:rsidR="007E439E" w:rsidRPr="00C276ED">
        <w:rPr>
          <w:rFonts w:ascii="Arial" w:hAnsi="Arial" w:cs="Arial"/>
          <w:sz w:val="24"/>
          <w:szCs w:val="24"/>
        </w:rPr>
        <w:t xml:space="preserve"> (see </w:t>
      </w:r>
      <w:r w:rsidR="007F20AF" w:rsidRPr="007F20AF">
        <w:rPr>
          <w:rFonts w:ascii="Arial" w:hAnsi="Arial" w:cs="Arial"/>
          <w:sz w:val="24"/>
          <w:szCs w:val="24"/>
        </w:rPr>
        <w:t>Section</w:t>
      </w:r>
      <w:r w:rsidR="007E439E" w:rsidRPr="007F20AF">
        <w:rPr>
          <w:rFonts w:ascii="Arial" w:hAnsi="Arial" w:cs="Arial"/>
          <w:sz w:val="24"/>
          <w:szCs w:val="24"/>
        </w:rPr>
        <w:t xml:space="preserve"> 7</w:t>
      </w:r>
      <w:r w:rsidR="007F20AF">
        <w:rPr>
          <w:rFonts w:ascii="Arial" w:hAnsi="Arial" w:cs="Arial"/>
          <w:sz w:val="24"/>
          <w:szCs w:val="24"/>
        </w:rPr>
        <w:t>,</w:t>
      </w:r>
      <w:r w:rsidR="007E439E" w:rsidRPr="007F20AF">
        <w:rPr>
          <w:rFonts w:ascii="Arial" w:hAnsi="Arial" w:cs="Arial"/>
          <w:sz w:val="24"/>
          <w:szCs w:val="24"/>
        </w:rPr>
        <w:t xml:space="preserve"> Demand Side Management</w:t>
      </w:r>
      <w:r w:rsidR="007F20AF">
        <w:rPr>
          <w:rFonts w:ascii="Arial" w:hAnsi="Arial" w:cs="Arial"/>
          <w:sz w:val="24"/>
          <w:szCs w:val="24"/>
        </w:rPr>
        <w:t>,</w:t>
      </w:r>
      <w:r w:rsidR="007E439E" w:rsidRPr="007F20AF">
        <w:rPr>
          <w:rFonts w:ascii="Arial" w:hAnsi="Arial" w:cs="Arial"/>
          <w:sz w:val="24"/>
          <w:szCs w:val="24"/>
        </w:rPr>
        <w:t xml:space="preserve"> for additional details)</w:t>
      </w:r>
      <w:r w:rsidR="007E439E" w:rsidRPr="00C276ED">
        <w:rPr>
          <w:rFonts w:ascii="Arial" w:hAnsi="Arial" w:cs="Arial"/>
          <w:sz w:val="24"/>
          <w:szCs w:val="24"/>
        </w:rPr>
        <w:t xml:space="preserve">. </w:t>
      </w:r>
    </w:p>
    <w:p w14:paraId="559A3FA3" w14:textId="77777777" w:rsidR="00D85FB7" w:rsidRPr="00C276ED" w:rsidRDefault="00D85FB7" w:rsidP="00CC0840">
      <w:pPr>
        <w:pStyle w:val="NoSpacing"/>
        <w:jc w:val="both"/>
        <w:rPr>
          <w:rFonts w:ascii="Arial" w:hAnsi="Arial" w:cs="Arial"/>
          <w:sz w:val="24"/>
          <w:szCs w:val="24"/>
        </w:rPr>
      </w:pPr>
    </w:p>
    <w:p w14:paraId="1C9512E3" w14:textId="3710204D" w:rsidR="004E46F6" w:rsidRPr="00C276ED" w:rsidRDefault="0066794F" w:rsidP="00CC0840">
      <w:pPr>
        <w:pStyle w:val="NoSpacing"/>
        <w:jc w:val="both"/>
        <w:rPr>
          <w:rFonts w:ascii="Arial" w:hAnsi="Arial" w:cs="Arial"/>
          <w:sz w:val="24"/>
          <w:szCs w:val="24"/>
        </w:rPr>
      </w:pPr>
      <w:r w:rsidRPr="00C276ED">
        <w:rPr>
          <w:rFonts w:ascii="Arial" w:hAnsi="Arial" w:cs="Arial"/>
          <w:sz w:val="24"/>
          <w:szCs w:val="24"/>
        </w:rPr>
        <w:t>In addition to the conservation of natural gas, t</w:t>
      </w:r>
      <w:r w:rsidR="00D85FB7" w:rsidRPr="00C276ED">
        <w:rPr>
          <w:rFonts w:ascii="Arial" w:hAnsi="Arial" w:cs="Arial"/>
          <w:sz w:val="24"/>
          <w:szCs w:val="24"/>
        </w:rPr>
        <w:t xml:space="preserve">he direct use of </w:t>
      </w:r>
      <w:r w:rsidRPr="00C276ED">
        <w:rPr>
          <w:rFonts w:ascii="Arial" w:hAnsi="Arial" w:cs="Arial"/>
          <w:sz w:val="24"/>
          <w:szCs w:val="24"/>
        </w:rPr>
        <w:t xml:space="preserve">this resource </w:t>
      </w:r>
      <w:r w:rsidR="00D85FB7" w:rsidRPr="00C276ED">
        <w:rPr>
          <w:rFonts w:ascii="Arial" w:hAnsi="Arial" w:cs="Arial"/>
          <w:sz w:val="24"/>
          <w:szCs w:val="24"/>
        </w:rPr>
        <w:t>can</w:t>
      </w:r>
      <w:r w:rsidR="00312B7B" w:rsidRPr="00C276ED">
        <w:rPr>
          <w:rFonts w:ascii="Arial" w:hAnsi="Arial" w:cs="Arial"/>
          <w:sz w:val="24"/>
          <w:szCs w:val="24"/>
        </w:rPr>
        <w:t xml:space="preserve"> also </w:t>
      </w:r>
      <w:r w:rsidR="00D85FB7" w:rsidRPr="00C276ED">
        <w:rPr>
          <w:rFonts w:ascii="Arial" w:hAnsi="Arial" w:cs="Arial"/>
          <w:sz w:val="24"/>
          <w:szCs w:val="24"/>
        </w:rPr>
        <w:t xml:space="preserve">be a significant source of carbon reduction.  When natural gas is transported to electric generation facilities which, in turn, transmit electricity </w:t>
      </w:r>
      <w:r w:rsidR="009F4536" w:rsidRPr="00C276ED">
        <w:rPr>
          <w:rFonts w:ascii="Arial" w:hAnsi="Arial" w:cs="Arial"/>
          <w:sz w:val="24"/>
          <w:szCs w:val="24"/>
        </w:rPr>
        <w:t>for</w:t>
      </w:r>
      <w:r w:rsidR="00D85FB7" w:rsidRPr="00C276ED">
        <w:rPr>
          <w:rFonts w:ascii="Arial" w:hAnsi="Arial" w:cs="Arial"/>
          <w:sz w:val="24"/>
          <w:szCs w:val="24"/>
        </w:rPr>
        <w:t xml:space="preserve"> customers</w:t>
      </w:r>
      <w:r w:rsidR="009F4536" w:rsidRPr="00C276ED">
        <w:rPr>
          <w:rFonts w:ascii="Arial" w:hAnsi="Arial" w:cs="Arial"/>
          <w:sz w:val="24"/>
          <w:szCs w:val="24"/>
        </w:rPr>
        <w:t>’</w:t>
      </w:r>
      <w:r w:rsidR="00D85FB7" w:rsidRPr="00C276ED">
        <w:rPr>
          <w:rFonts w:ascii="Arial" w:hAnsi="Arial" w:cs="Arial"/>
          <w:sz w:val="24"/>
          <w:szCs w:val="24"/>
        </w:rPr>
        <w:t xml:space="preserve"> end-uses (e.g., space heating, water heating, cooking, etc.), 50% to 75% of the Btu content of the power is lost when compared </w:t>
      </w:r>
      <w:r w:rsidR="00775B6F">
        <w:rPr>
          <w:rFonts w:ascii="Arial" w:hAnsi="Arial" w:cs="Arial"/>
          <w:sz w:val="24"/>
          <w:szCs w:val="24"/>
        </w:rPr>
        <w:t xml:space="preserve">to </w:t>
      </w:r>
      <w:r w:rsidR="00D85FB7" w:rsidRPr="00C276ED">
        <w:rPr>
          <w:rFonts w:ascii="Arial" w:hAnsi="Arial" w:cs="Arial"/>
          <w:sz w:val="24"/>
          <w:szCs w:val="24"/>
        </w:rPr>
        <w:t xml:space="preserve">the same end-uses </w:t>
      </w:r>
      <w:r w:rsidR="009F4536" w:rsidRPr="00C276ED">
        <w:rPr>
          <w:rFonts w:ascii="Arial" w:hAnsi="Arial" w:cs="Arial"/>
          <w:sz w:val="24"/>
          <w:szCs w:val="24"/>
        </w:rPr>
        <w:t xml:space="preserve">which </w:t>
      </w:r>
      <w:r w:rsidR="00D85FB7" w:rsidRPr="00C276ED">
        <w:rPr>
          <w:rFonts w:ascii="Arial" w:hAnsi="Arial" w:cs="Arial"/>
          <w:sz w:val="24"/>
          <w:szCs w:val="24"/>
        </w:rPr>
        <w:t xml:space="preserve">have been supplied by natural gas.  </w:t>
      </w:r>
      <w:r w:rsidR="004E46F6" w:rsidRPr="00C276ED">
        <w:rPr>
          <w:rFonts w:ascii="Arial" w:hAnsi="Arial" w:cs="Arial"/>
          <w:sz w:val="24"/>
          <w:szCs w:val="24"/>
        </w:rPr>
        <w:t xml:space="preserve">According to the American Gas Association’s whitepaper, </w:t>
      </w:r>
      <w:r w:rsidR="004E46F6" w:rsidRPr="00C276ED">
        <w:rPr>
          <w:rFonts w:ascii="Arial" w:hAnsi="Arial" w:cs="Arial"/>
          <w:i/>
          <w:sz w:val="24"/>
          <w:szCs w:val="24"/>
        </w:rPr>
        <w:t>Dispatching Direct Use: Achieving Greenhouse Gas Reductions with Natural Gas in Homes and Businesses</w:t>
      </w:r>
      <w:r w:rsidR="004E46F6" w:rsidRPr="00C276ED">
        <w:rPr>
          <w:rFonts w:ascii="Arial" w:hAnsi="Arial" w:cs="Arial"/>
          <w:sz w:val="24"/>
          <w:szCs w:val="24"/>
        </w:rPr>
        <w:t>, a typical gas water heater uses half the energy of an electric resistance hot water heater, emits half the CO</w:t>
      </w:r>
      <w:r w:rsidR="004E46F6" w:rsidRPr="00775B6F">
        <w:rPr>
          <w:rFonts w:ascii="Arial" w:hAnsi="Arial" w:cs="Arial"/>
          <w:sz w:val="24"/>
          <w:szCs w:val="24"/>
          <w:vertAlign w:val="subscript"/>
        </w:rPr>
        <w:t>2</w:t>
      </w:r>
      <w:r w:rsidR="004E46F6" w:rsidRPr="00C276ED">
        <w:rPr>
          <w:rFonts w:ascii="Arial" w:hAnsi="Arial" w:cs="Arial"/>
          <w:sz w:val="24"/>
          <w:szCs w:val="24"/>
        </w:rPr>
        <w:t>, and costs less than half as much to operate on an annual basis.</w:t>
      </w:r>
      <w:r w:rsidR="004E7C9D" w:rsidRPr="00C276ED">
        <w:rPr>
          <w:rFonts w:ascii="Arial" w:hAnsi="Arial" w:cs="Arial"/>
          <w:sz w:val="24"/>
          <w:szCs w:val="24"/>
        </w:rPr>
        <w:t xml:space="preserve"> This</w:t>
      </w:r>
      <w:r w:rsidR="00737412" w:rsidRPr="00C276ED">
        <w:rPr>
          <w:rFonts w:ascii="Arial" w:hAnsi="Arial" w:cs="Arial"/>
          <w:sz w:val="24"/>
          <w:szCs w:val="24"/>
        </w:rPr>
        <w:t xml:space="preserve"> opportunity for carbon savings</w:t>
      </w:r>
      <w:r w:rsidR="004E7C9D" w:rsidRPr="00C276ED">
        <w:rPr>
          <w:rFonts w:ascii="Arial" w:hAnsi="Arial" w:cs="Arial"/>
          <w:sz w:val="24"/>
          <w:szCs w:val="24"/>
        </w:rPr>
        <w:t xml:space="preserve"> applies to space heating equipment as well.</w:t>
      </w:r>
      <w:r w:rsidR="004E46F6" w:rsidRPr="00C276ED">
        <w:rPr>
          <w:rFonts w:ascii="Arial" w:hAnsi="Arial" w:cs="Arial"/>
          <w:sz w:val="24"/>
          <w:szCs w:val="24"/>
        </w:rPr>
        <w:t xml:space="preserve"> </w:t>
      </w:r>
    </w:p>
    <w:p w14:paraId="265FB6D9" w14:textId="77777777" w:rsidR="004E46F6" w:rsidRPr="00C276ED" w:rsidRDefault="004E46F6" w:rsidP="00CC0840">
      <w:pPr>
        <w:pStyle w:val="NoSpacing"/>
        <w:jc w:val="both"/>
        <w:rPr>
          <w:rFonts w:ascii="Arial" w:hAnsi="Arial" w:cs="Arial"/>
          <w:sz w:val="24"/>
          <w:szCs w:val="24"/>
        </w:rPr>
      </w:pPr>
    </w:p>
    <w:p w14:paraId="25B3A3ED" w14:textId="5542FDD0" w:rsidR="00992012" w:rsidRDefault="00791103" w:rsidP="00CC0840">
      <w:pPr>
        <w:pStyle w:val="NoSpacing"/>
        <w:jc w:val="both"/>
        <w:rPr>
          <w:rFonts w:ascii="Arial" w:hAnsi="Arial" w:cs="Arial"/>
          <w:sz w:val="24"/>
          <w:szCs w:val="24"/>
        </w:rPr>
      </w:pPr>
      <w:r w:rsidRPr="00C276ED">
        <w:rPr>
          <w:rFonts w:ascii="Arial" w:hAnsi="Arial" w:cs="Arial"/>
          <w:sz w:val="24"/>
          <w:szCs w:val="24"/>
        </w:rPr>
        <w:t xml:space="preserve">In fact, the </w:t>
      </w:r>
      <w:r w:rsidR="006626F2" w:rsidRPr="00C276ED">
        <w:rPr>
          <w:rFonts w:ascii="Arial" w:hAnsi="Arial" w:cs="Arial"/>
          <w:sz w:val="24"/>
          <w:szCs w:val="24"/>
        </w:rPr>
        <w:t>Environmental Protection Agency</w:t>
      </w:r>
      <w:r w:rsidRPr="00C276ED">
        <w:rPr>
          <w:rFonts w:ascii="Arial" w:hAnsi="Arial" w:cs="Arial"/>
          <w:sz w:val="24"/>
          <w:szCs w:val="24"/>
        </w:rPr>
        <w:t xml:space="preserve"> recognizes source efficiency as the method utilized when assessing the energy efficiency value of conservation equipment and measur</w:t>
      </w:r>
      <w:r w:rsidR="00383FF7" w:rsidRPr="00C276ED">
        <w:rPr>
          <w:rFonts w:ascii="Arial" w:hAnsi="Arial" w:cs="Arial"/>
          <w:sz w:val="24"/>
          <w:szCs w:val="24"/>
        </w:rPr>
        <w:t>e</w:t>
      </w:r>
      <w:r w:rsidRPr="00C276ED">
        <w:rPr>
          <w:rFonts w:ascii="Arial" w:hAnsi="Arial" w:cs="Arial"/>
          <w:sz w:val="24"/>
          <w:szCs w:val="24"/>
        </w:rPr>
        <w:t>s</w:t>
      </w:r>
      <w:r w:rsidR="00775B6F">
        <w:rPr>
          <w:rFonts w:ascii="Arial" w:hAnsi="Arial" w:cs="Arial"/>
          <w:sz w:val="24"/>
          <w:szCs w:val="24"/>
        </w:rPr>
        <w:t>.</w:t>
      </w:r>
      <w:r w:rsidR="00775B6F">
        <w:rPr>
          <w:rStyle w:val="FootnoteReference"/>
          <w:rFonts w:ascii="Arial" w:hAnsi="Arial" w:cs="Arial"/>
          <w:sz w:val="24"/>
          <w:szCs w:val="24"/>
        </w:rPr>
        <w:footnoteReference w:id="7"/>
      </w:r>
    </w:p>
    <w:p w14:paraId="4B85993F" w14:textId="77777777" w:rsidR="00775B6F" w:rsidRPr="00C276ED" w:rsidRDefault="00775B6F" w:rsidP="00CC0840">
      <w:pPr>
        <w:pStyle w:val="NoSpacing"/>
        <w:jc w:val="both"/>
        <w:rPr>
          <w:rFonts w:ascii="Arial" w:hAnsi="Arial" w:cs="Arial"/>
          <w:sz w:val="24"/>
          <w:szCs w:val="24"/>
        </w:rPr>
      </w:pPr>
    </w:p>
    <w:p w14:paraId="19882E8D" w14:textId="40C5E17C" w:rsidR="00D85FB7" w:rsidRPr="00C276ED" w:rsidRDefault="006626F2" w:rsidP="00CC0840">
      <w:pPr>
        <w:pStyle w:val="NoSpacing"/>
        <w:jc w:val="both"/>
        <w:rPr>
          <w:rFonts w:ascii="Arial" w:hAnsi="Arial" w:cs="Arial"/>
          <w:sz w:val="24"/>
          <w:szCs w:val="24"/>
        </w:rPr>
      </w:pPr>
      <w:r w:rsidRPr="00C276ED">
        <w:rPr>
          <w:rFonts w:ascii="Arial" w:hAnsi="Arial" w:cs="Arial"/>
          <w:sz w:val="24"/>
          <w:szCs w:val="24"/>
        </w:rPr>
        <w:t>It is for these reasons that</w:t>
      </w:r>
      <w:r w:rsidR="00D85FB7" w:rsidRPr="00C276ED">
        <w:rPr>
          <w:rFonts w:ascii="Arial" w:hAnsi="Arial" w:cs="Arial"/>
          <w:sz w:val="24"/>
          <w:szCs w:val="24"/>
        </w:rPr>
        <w:t xml:space="preserve"> Cascade has encouraged the direct use of natural gas</w:t>
      </w:r>
      <w:r w:rsidR="0093335B" w:rsidRPr="00C276ED">
        <w:rPr>
          <w:rFonts w:ascii="Arial" w:hAnsi="Arial" w:cs="Arial"/>
          <w:sz w:val="24"/>
          <w:szCs w:val="24"/>
        </w:rPr>
        <w:t xml:space="preserve"> when paired with strong energy conservation measures.</w:t>
      </w:r>
      <w:r w:rsidR="00D85FB7" w:rsidRPr="00C276ED">
        <w:rPr>
          <w:rFonts w:ascii="Arial" w:hAnsi="Arial" w:cs="Arial"/>
          <w:sz w:val="24"/>
          <w:szCs w:val="24"/>
        </w:rPr>
        <w:t xml:space="preserve"> </w:t>
      </w:r>
      <w:r w:rsidR="0093335B" w:rsidRPr="00C276ED">
        <w:rPr>
          <w:rFonts w:ascii="Arial" w:hAnsi="Arial" w:cs="Arial"/>
          <w:sz w:val="24"/>
          <w:szCs w:val="24"/>
        </w:rPr>
        <w:t>A</w:t>
      </w:r>
      <w:r w:rsidR="00D85FB7" w:rsidRPr="00C276ED">
        <w:rPr>
          <w:rFonts w:ascii="Arial" w:hAnsi="Arial" w:cs="Arial"/>
          <w:sz w:val="24"/>
          <w:szCs w:val="24"/>
        </w:rPr>
        <w:t xml:space="preserve">ccelerating this effort </w:t>
      </w:r>
      <w:r w:rsidR="0093335B" w:rsidRPr="00C276ED">
        <w:rPr>
          <w:rFonts w:ascii="Arial" w:hAnsi="Arial" w:cs="Arial"/>
          <w:sz w:val="24"/>
          <w:szCs w:val="24"/>
        </w:rPr>
        <w:t xml:space="preserve">would be of benefit from </w:t>
      </w:r>
      <w:r w:rsidR="004E2465" w:rsidRPr="00C276ED">
        <w:rPr>
          <w:rFonts w:ascii="Arial" w:hAnsi="Arial" w:cs="Arial"/>
          <w:sz w:val="24"/>
          <w:szCs w:val="24"/>
        </w:rPr>
        <w:t>both</w:t>
      </w:r>
      <w:r w:rsidR="0093335B" w:rsidRPr="00C276ED">
        <w:rPr>
          <w:rFonts w:ascii="Arial" w:hAnsi="Arial" w:cs="Arial"/>
          <w:sz w:val="24"/>
          <w:szCs w:val="24"/>
        </w:rPr>
        <w:t xml:space="preserve"> a demand response and a carbon reduction standpoint—a win for the community, </w:t>
      </w:r>
      <w:r w:rsidR="00E346A2" w:rsidRPr="00C276ED">
        <w:rPr>
          <w:rFonts w:ascii="Arial" w:hAnsi="Arial" w:cs="Arial"/>
          <w:sz w:val="24"/>
          <w:szCs w:val="24"/>
        </w:rPr>
        <w:t>Company</w:t>
      </w:r>
      <w:r w:rsidR="0093335B" w:rsidRPr="00C276ED">
        <w:rPr>
          <w:rFonts w:ascii="Arial" w:hAnsi="Arial" w:cs="Arial"/>
          <w:sz w:val="24"/>
          <w:szCs w:val="24"/>
        </w:rPr>
        <w:t xml:space="preserve">, and customers. </w:t>
      </w:r>
    </w:p>
    <w:p w14:paraId="186EA500" w14:textId="77777777" w:rsidR="00D85FB7" w:rsidRPr="00C276ED" w:rsidRDefault="00D85FB7" w:rsidP="00CC0840">
      <w:pPr>
        <w:pStyle w:val="NoSpacing"/>
        <w:jc w:val="both"/>
        <w:rPr>
          <w:rFonts w:ascii="Arial" w:hAnsi="Arial" w:cs="Arial"/>
          <w:sz w:val="24"/>
          <w:szCs w:val="24"/>
        </w:rPr>
      </w:pPr>
    </w:p>
    <w:p w14:paraId="67BCB94E" w14:textId="6CC3C1D0" w:rsidR="00D85FB7" w:rsidRPr="00C276ED" w:rsidRDefault="00197952" w:rsidP="00CC0840">
      <w:pPr>
        <w:pStyle w:val="NoSpacing"/>
        <w:jc w:val="both"/>
        <w:rPr>
          <w:rFonts w:ascii="Arial" w:hAnsi="Arial" w:cs="Arial"/>
          <w:sz w:val="24"/>
          <w:szCs w:val="24"/>
        </w:rPr>
      </w:pPr>
      <w:bookmarkStart w:id="14" w:name="_GoBack"/>
      <w:bookmarkEnd w:id="14"/>
      <w:r w:rsidRPr="00C276ED">
        <w:rPr>
          <w:rFonts w:ascii="Arial" w:hAnsi="Arial" w:cs="Arial"/>
          <w:sz w:val="24"/>
          <w:szCs w:val="24"/>
        </w:rPr>
        <w:lastRenderedPageBreak/>
        <w:t>In addition, t</w:t>
      </w:r>
      <w:r w:rsidR="00D85FB7" w:rsidRPr="00C276ED">
        <w:rPr>
          <w:rFonts w:ascii="Arial" w:hAnsi="Arial" w:cs="Arial"/>
          <w:sz w:val="24"/>
          <w:szCs w:val="24"/>
        </w:rPr>
        <w:t>he natural gas industry is</w:t>
      </w:r>
      <w:r w:rsidR="0049686D" w:rsidRPr="00C276ED">
        <w:rPr>
          <w:rFonts w:ascii="Arial" w:hAnsi="Arial" w:cs="Arial"/>
          <w:sz w:val="24"/>
          <w:szCs w:val="24"/>
        </w:rPr>
        <w:t xml:space="preserve"> </w:t>
      </w:r>
      <w:r w:rsidR="00D85FB7" w:rsidRPr="00C276ED">
        <w:rPr>
          <w:rFonts w:ascii="Arial" w:hAnsi="Arial" w:cs="Arial"/>
          <w:sz w:val="24"/>
          <w:szCs w:val="24"/>
        </w:rPr>
        <w:t>focused on methane recapturing and leak prevention efforts.  Cascade is monitoring th</w:t>
      </w:r>
      <w:r w:rsidR="00602D94" w:rsidRPr="00C276ED">
        <w:rPr>
          <w:rFonts w:ascii="Arial" w:hAnsi="Arial" w:cs="Arial"/>
          <w:sz w:val="24"/>
          <w:szCs w:val="24"/>
        </w:rPr>
        <w:t>ese</w:t>
      </w:r>
      <w:r w:rsidR="00D85FB7" w:rsidRPr="00C276ED">
        <w:rPr>
          <w:rFonts w:ascii="Arial" w:hAnsi="Arial" w:cs="Arial"/>
          <w:sz w:val="24"/>
          <w:szCs w:val="24"/>
        </w:rPr>
        <w:t xml:space="preserve"> effort</w:t>
      </w:r>
      <w:r w:rsidR="00602D94" w:rsidRPr="00C276ED">
        <w:rPr>
          <w:rFonts w:ascii="Arial" w:hAnsi="Arial" w:cs="Arial"/>
          <w:sz w:val="24"/>
          <w:szCs w:val="24"/>
        </w:rPr>
        <w:t>s</w:t>
      </w:r>
      <w:r w:rsidR="00D85FB7" w:rsidRPr="00C276ED">
        <w:rPr>
          <w:rFonts w:ascii="Arial" w:hAnsi="Arial" w:cs="Arial"/>
          <w:sz w:val="24"/>
          <w:szCs w:val="24"/>
        </w:rPr>
        <w:t>, both nationally and regionally</w:t>
      </w:r>
      <w:r w:rsidRPr="00C276ED">
        <w:rPr>
          <w:rFonts w:ascii="Arial" w:hAnsi="Arial" w:cs="Arial"/>
          <w:sz w:val="24"/>
          <w:szCs w:val="24"/>
        </w:rPr>
        <w:t xml:space="preserve"> and has made commitments in one of these areas in particular</w:t>
      </w:r>
      <w:r w:rsidR="00D85FB7" w:rsidRPr="00C276ED">
        <w:rPr>
          <w:rFonts w:ascii="Arial" w:hAnsi="Arial" w:cs="Arial"/>
          <w:sz w:val="24"/>
          <w:szCs w:val="24"/>
        </w:rPr>
        <w:t xml:space="preserve">. </w:t>
      </w:r>
    </w:p>
    <w:p w14:paraId="790AE0B6" w14:textId="77777777" w:rsidR="00197952" w:rsidRPr="00C276ED" w:rsidRDefault="00197952" w:rsidP="00CC0840">
      <w:pPr>
        <w:pStyle w:val="NoSpacing"/>
        <w:jc w:val="both"/>
        <w:rPr>
          <w:rFonts w:ascii="Arial" w:hAnsi="Arial" w:cs="Arial"/>
          <w:sz w:val="24"/>
          <w:szCs w:val="24"/>
        </w:rPr>
      </w:pPr>
    </w:p>
    <w:p w14:paraId="43E7EC02" w14:textId="4E799D6A" w:rsidR="00457A85" w:rsidRDefault="00457A85" w:rsidP="00C3642D">
      <w:pPr>
        <w:pStyle w:val="NoSpacing"/>
        <w:jc w:val="both"/>
        <w:rPr>
          <w:rFonts w:ascii="Arial" w:hAnsi="Arial" w:cs="Arial"/>
          <w:sz w:val="24"/>
          <w:szCs w:val="24"/>
        </w:rPr>
      </w:pPr>
      <w:r w:rsidRPr="00C276ED">
        <w:rPr>
          <w:rFonts w:ascii="Arial" w:hAnsi="Arial" w:cs="Arial"/>
          <w:sz w:val="24"/>
          <w:szCs w:val="24"/>
        </w:rPr>
        <w:t xml:space="preserve">Most recently, Cascade became a Founding Partner of the EPA’s Natural Gas Star Methane Challenge Program.  As a Founding Partner, Cascade has voluntarily chosen to participate in the program under the Best Management Practice (BMP) Commitment – Excavation Damages within the natural gas distribution sector.  The BMP Commitment entails a Partner commitment to company-wide implementation of BMPs to reduce methane emissions.  During the initial commitment timeframe, Cascade will conduct incident analyses on all excavation damages and report the relevant data to EPA.  Cascade is also exploring other voluntary actions which could reduce methane emissions resulting from excavation damage.  Cascade’s operational and infrastructure changes have resulted in lower methane emissions, and therefore lower GHG emissions, in the State of Washington. </w:t>
      </w:r>
    </w:p>
    <w:p w14:paraId="5DD90899" w14:textId="77777777" w:rsidR="00C3642D" w:rsidRDefault="00C3642D" w:rsidP="00C3642D">
      <w:pPr>
        <w:pStyle w:val="NoSpacing"/>
        <w:jc w:val="both"/>
        <w:rPr>
          <w:rFonts w:ascii="Arial" w:hAnsi="Arial" w:cs="Arial"/>
          <w:sz w:val="24"/>
          <w:szCs w:val="24"/>
        </w:rPr>
      </w:pPr>
    </w:p>
    <w:p w14:paraId="6A2BCE4A" w14:textId="77777777" w:rsidR="00C3642D" w:rsidRPr="00C276ED" w:rsidRDefault="00C3642D" w:rsidP="00C3642D">
      <w:pPr>
        <w:pStyle w:val="NoSpacing"/>
        <w:jc w:val="both"/>
        <w:rPr>
          <w:rFonts w:ascii="Arial" w:hAnsi="Arial" w:cs="Arial"/>
          <w:sz w:val="24"/>
          <w:szCs w:val="24"/>
        </w:rPr>
      </w:pPr>
    </w:p>
    <w:p w14:paraId="4E1DCA0A" w14:textId="77777777" w:rsidR="00D85FB7" w:rsidRPr="00C276ED" w:rsidRDefault="00D85FB7" w:rsidP="00C3642D">
      <w:pPr>
        <w:pStyle w:val="Heading1"/>
        <w:spacing w:before="0" w:after="0" w:line="240" w:lineRule="auto"/>
        <w:jc w:val="both"/>
        <w:rPr>
          <w:rFonts w:ascii="Arial" w:hAnsi="Arial" w:cs="Arial"/>
          <w:b/>
          <w:color w:val="auto"/>
          <w:sz w:val="24"/>
          <w:szCs w:val="24"/>
        </w:rPr>
      </w:pPr>
      <w:bookmarkStart w:id="15" w:name="_Toc459622874"/>
      <w:r w:rsidRPr="00C276ED">
        <w:rPr>
          <w:rFonts w:ascii="Arial" w:hAnsi="Arial" w:cs="Arial"/>
          <w:b/>
          <w:color w:val="auto"/>
          <w:sz w:val="24"/>
          <w:szCs w:val="24"/>
        </w:rPr>
        <w:t>Proposed Direction</w:t>
      </w:r>
      <w:bookmarkEnd w:id="15"/>
      <w:r w:rsidRPr="00C276ED">
        <w:rPr>
          <w:rFonts w:ascii="Arial" w:hAnsi="Arial" w:cs="Arial"/>
          <w:b/>
          <w:color w:val="auto"/>
          <w:sz w:val="24"/>
          <w:szCs w:val="24"/>
        </w:rPr>
        <w:t xml:space="preserve"> </w:t>
      </w:r>
    </w:p>
    <w:p w14:paraId="67DCC044" w14:textId="77777777" w:rsidR="00D85FB7" w:rsidRPr="00C276ED" w:rsidRDefault="00D85FB7" w:rsidP="00CC0840">
      <w:pPr>
        <w:pStyle w:val="NoSpacing"/>
        <w:jc w:val="both"/>
        <w:rPr>
          <w:rFonts w:ascii="Arial" w:hAnsi="Arial" w:cs="Arial"/>
          <w:sz w:val="24"/>
          <w:szCs w:val="24"/>
        </w:rPr>
      </w:pPr>
    </w:p>
    <w:p w14:paraId="1AC8DA5B" w14:textId="080EF62D" w:rsidR="00D85FB7" w:rsidRPr="00C276ED" w:rsidRDefault="004C06DC" w:rsidP="00CC0840">
      <w:pPr>
        <w:pStyle w:val="NoSpacing"/>
        <w:jc w:val="both"/>
        <w:rPr>
          <w:rFonts w:ascii="Arial" w:hAnsi="Arial" w:cs="Arial"/>
          <w:sz w:val="24"/>
          <w:szCs w:val="24"/>
        </w:rPr>
      </w:pPr>
      <w:r w:rsidRPr="00C276ED">
        <w:rPr>
          <w:rFonts w:ascii="Arial" w:hAnsi="Arial" w:cs="Arial"/>
          <w:sz w:val="24"/>
          <w:szCs w:val="24"/>
        </w:rPr>
        <w:t>As mentioned above, t</w:t>
      </w:r>
      <w:r w:rsidR="00D85FB7" w:rsidRPr="00C276ED">
        <w:rPr>
          <w:rFonts w:ascii="Arial" w:hAnsi="Arial" w:cs="Arial"/>
          <w:sz w:val="24"/>
          <w:szCs w:val="24"/>
        </w:rPr>
        <w:t xml:space="preserve">he </w:t>
      </w:r>
      <w:r w:rsidR="007717AE" w:rsidRPr="00C276ED">
        <w:rPr>
          <w:rFonts w:ascii="Arial" w:hAnsi="Arial" w:cs="Arial"/>
          <w:sz w:val="24"/>
          <w:szCs w:val="24"/>
        </w:rPr>
        <w:t>Council</w:t>
      </w:r>
      <w:r w:rsidRPr="00C276ED">
        <w:rPr>
          <w:rFonts w:ascii="Arial" w:hAnsi="Arial" w:cs="Arial"/>
          <w:sz w:val="24"/>
          <w:szCs w:val="24"/>
        </w:rPr>
        <w:t xml:space="preserve">’s </w:t>
      </w:r>
      <w:r w:rsidR="00D85FB7" w:rsidRPr="00C276ED">
        <w:rPr>
          <w:rFonts w:ascii="Arial" w:hAnsi="Arial" w:cs="Arial"/>
          <w:sz w:val="24"/>
          <w:szCs w:val="24"/>
        </w:rPr>
        <w:t xml:space="preserve">Seventh Power Plan provides a considered rendition of carbon cost treatment for planning purposes.  Cascade’s specific assumptions would benefit by following the Council’s Carbon Cost </w:t>
      </w:r>
      <w:r w:rsidR="00F14079">
        <w:rPr>
          <w:rFonts w:ascii="Arial" w:hAnsi="Arial" w:cs="Arial"/>
          <w:sz w:val="24"/>
          <w:szCs w:val="24"/>
        </w:rPr>
        <w:t>Risk approach yielding a $10/</w:t>
      </w:r>
      <w:r w:rsidR="00D85FB7" w:rsidRPr="00C276ED">
        <w:rPr>
          <w:rFonts w:ascii="Arial" w:hAnsi="Arial" w:cs="Arial"/>
          <w:sz w:val="24"/>
          <w:szCs w:val="24"/>
        </w:rPr>
        <w:t>ton carbon adder in 2018, r</w:t>
      </w:r>
      <w:r w:rsidR="00514150" w:rsidRPr="00C276ED">
        <w:rPr>
          <w:rFonts w:ascii="Arial" w:hAnsi="Arial" w:cs="Arial"/>
          <w:sz w:val="24"/>
          <w:szCs w:val="24"/>
        </w:rPr>
        <w:t>ising to $3</w:t>
      </w:r>
      <w:r w:rsidR="001D5CEE" w:rsidRPr="00C276ED">
        <w:rPr>
          <w:rFonts w:ascii="Arial" w:hAnsi="Arial" w:cs="Arial"/>
          <w:sz w:val="24"/>
          <w:szCs w:val="24"/>
        </w:rPr>
        <w:t>0</w:t>
      </w:r>
      <w:r w:rsidR="00F14079">
        <w:rPr>
          <w:rFonts w:ascii="Arial" w:hAnsi="Arial" w:cs="Arial"/>
          <w:sz w:val="24"/>
          <w:szCs w:val="24"/>
        </w:rPr>
        <w:t>/</w:t>
      </w:r>
      <w:r w:rsidR="00D85FB7" w:rsidRPr="00C276ED">
        <w:rPr>
          <w:rFonts w:ascii="Arial" w:hAnsi="Arial" w:cs="Arial"/>
          <w:sz w:val="24"/>
          <w:szCs w:val="24"/>
        </w:rPr>
        <w:t>ton in 2035.</w:t>
      </w:r>
    </w:p>
    <w:p w14:paraId="266D8CE2" w14:textId="77777777" w:rsidR="00D85FB7" w:rsidRPr="00C276ED" w:rsidRDefault="00D85FB7" w:rsidP="00CC0840">
      <w:pPr>
        <w:pStyle w:val="NoSpacing"/>
        <w:jc w:val="both"/>
        <w:rPr>
          <w:rFonts w:ascii="Arial" w:hAnsi="Arial" w:cs="Arial"/>
          <w:sz w:val="24"/>
          <w:szCs w:val="24"/>
        </w:rPr>
      </w:pPr>
    </w:p>
    <w:p w14:paraId="53C279F1" w14:textId="62ECA12F" w:rsidR="00D85FB7" w:rsidRPr="00C276ED" w:rsidRDefault="00D85FB7" w:rsidP="00CC0840">
      <w:pPr>
        <w:pStyle w:val="NoSpacing"/>
        <w:jc w:val="both"/>
        <w:rPr>
          <w:rFonts w:ascii="Arial" w:hAnsi="Arial" w:cs="Arial"/>
          <w:sz w:val="24"/>
          <w:szCs w:val="24"/>
        </w:rPr>
      </w:pPr>
      <w:r w:rsidRPr="00C276ED">
        <w:rPr>
          <w:rFonts w:ascii="Arial" w:hAnsi="Arial" w:cs="Arial"/>
          <w:sz w:val="24"/>
          <w:szCs w:val="24"/>
        </w:rPr>
        <w:t xml:space="preserve">High and low ranges modeled to determine cost sensitivities and scenario planning provide alternative forecasting methodologies. </w:t>
      </w:r>
      <w:r w:rsidR="007717AE" w:rsidRPr="00C276ED">
        <w:rPr>
          <w:rFonts w:ascii="Arial" w:hAnsi="Arial" w:cs="Arial"/>
          <w:sz w:val="24"/>
          <w:szCs w:val="24"/>
        </w:rPr>
        <w:t xml:space="preserve">As mentioned above in discussion on CAR impact, Cascade believes </w:t>
      </w:r>
      <w:r w:rsidR="00F56885" w:rsidRPr="00C276ED">
        <w:rPr>
          <w:rFonts w:ascii="Arial" w:hAnsi="Arial" w:cs="Arial"/>
          <w:sz w:val="24"/>
          <w:szCs w:val="24"/>
        </w:rPr>
        <w:t>significant uncertainty remains regarding the cost of compliance. As ERU costs are more clearly defined, and actual offset markets develop in the state, the Company will be able to more effectively model in impacts of this rule. In the meantime, s</w:t>
      </w:r>
      <w:r w:rsidRPr="00C276ED">
        <w:rPr>
          <w:rFonts w:ascii="Arial" w:hAnsi="Arial" w:cs="Arial"/>
          <w:sz w:val="24"/>
          <w:szCs w:val="24"/>
        </w:rPr>
        <w:t xml:space="preserve">ensitivities and impacts on prices </w:t>
      </w:r>
      <w:r w:rsidR="00F56885" w:rsidRPr="00C276ED">
        <w:rPr>
          <w:rFonts w:ascii="Arial" w:hAnsi="Arial" w:cs="Arial"/>
          <w:sz w:val="24"/>
          <w:szCs w:val="24"/>
        </w:rPr>
        <w:t>have</w:t>
      </w:r>
      <w:r w:rsidRPr="00C276ED">
        <w:rPr>
          <w:rFonts w:ascii="Arial" w:hAnsi="Arial" w:cs="Arial"/>
          <w:sz w:val="24"/>
          <w:szCs w:val="24"/>
        </w:rPr>
        <w:t xml:space="preserve"> analyzed</w:t>
      </w:r>
      <w:r w:rsidR="00F56885" w:rsidRPr="00C276ED">
        <w:rPr>
          <w:rFonts w:ascii="Arial" w:hAnsi="Arial" w:cs="Arial"/>
          <w:sz w:val="24"/>
          <w:szCs w:val="24"/>
        </w:rPr>
        <w:t>, with expanded analysis occurring as more information becomes available</w:t>
      </w:r>
      <w:r w:rsidR="00270023">
        <w:rPr>
          <w:rFonts w:ascii="Arial" w:hAnsi="Arial" w:cs="Arial"/>
          <w:sz w:val="24"/>
          <w:szCs w:val="24"/>
        </w:rPr>
        <w:t>.</w:t>
      </w:r>
    </w:p>
    <w:p w14:paraId="66CCE319" w14:textId="77777777" w:rsidR="00D85FB7" w:rsidRPr="00C276ED" w:rsidRDefault="00D85FB7" w:rsidP="00CC0840">
      <w:pPr>
        <w:pStyle w:val="NoSpacing"/>
        <w:jc w:val="both"/>
        <w:rPr>
          <w:rFonts w:ascii="Arial" w:hAnsi="Arial" w:cs="Arial"/>
          <w:sz w:val="24"/>
          <w:szCs w:val="24"/>
        </w:rPr>
      </w:pPr>
    </w:p>
    <w:p w14:paraId="5D311A09" w14:textId="13ACCF88" w:rsidR="002163EE" w:rsidRPr="00C276ED" w:rsidRDefault="002163EE" w:rsidP="00CC0840">
      <w:pPr>
        <w:pStyle w:val="NoSpacing"/>
        <w:jc w:val="both"/>
        <w:rPr>
          <w:rFonts w:ascii="Arial" w:hAnsi="Arial" w:cs="Arial"/>
          <w:sz w:val="24"/>
          <w:szCs w:val="24"/>
        </w:rPr>
      </w:pPr>
    </w:p>
    <w:sectPr w:rsidR="002163EE" w:rsidRPr="00C276ED" w:rsidSect="00900DBE">
      <w:headerReference w:type="default" r:id="rId10"/>
      <w:footerReference w:type="even" r:id="rId11"/>
      <w:footerReference w:type="default" r:id="rId12"/>
      <w:pgSz w:w="12240" w:h="15840"/>
      <w:pgMar w:top="1440" w:right="1440" w:bottom="720" w:left="216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FCE95" w14:textId="77777777" w:rsidR="000F2A26" w:rsidRDefault="000F2A26">
      <w:pPr>
        <w:spacing w:before="0" w:after="0" w:line="240" w:lineRule="auto"/>
      </w:pPr>
      <w:r>
        <w:separator/>
      </w:r>
    </w:p>
  </w:endnote>
  <w:endnote w:type="continuationSeparator" w:id="0">
    <w:p w14:paraId="6E3A82BA" w14:textId="77777777" w:rsidR="000F2A26" w:rsidRDefault="000F2A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altName w:val="Times New Roman"/>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3DD39" w14:textId="77777777" w:rsidR="008F299E" w:rsidRDefault="008F299E" w:rsidP="000715A9">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3D206" w14:textId="77777777" w:rsidR="008F299E" w:rsidRDefault="008F299E">
    <w:pPr>
      <w:pStyle w:val="Footer"/>
      <w:jc w:val="center"/>
      <w:rPr>
        <w:rFonts w:ascii="Arial" w:hAnsi="Arial" w:cs="Arial"/>
        <w:caps w:val="0"/>
        <w:color w:val="00B0F0"/>
      </w:rPr>
    </w:pPr>
  </w:p>
  <w:p w14:paraId="59C3FBDF" w14:textId="77777777" w:rsidR="00985A0D" w:rsidRDefault="00985A0D">
    <w:pPr>
      <w:pStyle w:val="Footer"/>
      <w:jc w:val="center"/>
      <w:rPr>
        <w:rFonts w:ascii="Arial" w:hAnsi="Arial" w:cs="Arial"/>
        <w:caps w:val="0"/>
        <w:color w:val="00B0F0"/>
      </w:rPr>
    </w:pPr>
  </w:p>
  <w:p w14:paraId="2CFC1FE3" w14:textId="62F958A6" w:rsidR="00900DBE" w:rsidRPr="00D31EEA" w:rsidRDefault="00D31EEA" w:rsidP="00900DBE">
    <w:pPr>
      <w:pStyle w:val="Footer"/>
      <w:jc w:val="center"/>
      <w:rPr>
        <w:rFonts w:ascii="Arial" w:hAnsi="Arial" w:cs="Arial"/>
        <w:i/>
        <w:caps w:val="0"/>
        <w:color w:val="auto"/>
        <w:szCs w:val="16"/>
      </w:rPr>
    </w:pPr>
    <w:r w:rsidRPr="00D31EEA">
      <w:rPr>
        <w:rFonts w:ascii="Arial" w:hAnsi="Arial" w:cs="Arial"/>
        <w:i/>
        <w:caps w:val="0"/>
        <w:color w:val="auto"/>
        <w:szCs w:val="16"/>
      </w:rPr>
      <w:t>Page</w:t>
    </w:r>
    <w:r w:rsidR="00900DBE" w:rsidRPr="00D31EEA">
      <w:rPr>
        <w:rFonts w:ascii="Arial" w:hAnsi="Arial" w:cs="Arial"/>
        <w:i/>
        <w:caps w:val="0"/>
        <w:color w:val="auto"/>
        <w:szCs w:val="16"/>
      </w:rPr>
      <w:t xml:space="preserve"> 5-</w:t>
    </w:r>
    <w:r w:rsidR="00900DBE" w:rsidRPr="00D31EEA">
      <w:rPr>
        <w:rFonts w:ascii="Arial" w:hAnsi="Arial" w:cs="Arial"/>
        <w:i/>
        <w:caps w:val="0"/>
        <w:color w:val="auto"/>
        <w:szCs w:val="16"/>
      </w:rPr>
      <w:fldChar w:fldCharType="begin"/>
    </w:r>
    <w:r w:rsidR="00900DBE" w:rsidRPr="00D31EEA">
      <w:rPr>
        <w:rFonts w:ascii="Arial" w:hAnsi="Arial" w:cs="Arial"/>
        <w:i/>
        <w:caps w:val="0"/>
        <w:color w:val="auto"/>
        <w:szCs w:val="16"/>
      </w:rPr>
      <w:instrText xml:space="preserve"> PAGE  \* Arabic  \* MERGEFORMAT </w:instrText>
    </w:r>
    <w:r w:rsidR="00900DBE" w:rsidRPr="00D31EEA">
      <w:rPr>
        <w:rFonts w:ascii="Arial" w:hAnsi="Arial" w:cs="Arial"/>
        <w:i/>
        <w:caps w:val="0"/>
        <w:color w:val="auto"/>
        <w:szCs w:val="16"/>
      </w:rPr>
      <w:fldChar w:fldCharType="separate"/>
    </w:r>
    <w:r w:rsidR="000014FE">
      <w:rPr>
        <w:rFonts w:ascii="Arial" w:hAnsi="Arial" w:cs="Arial"/>
        <w:i/>
        <w:caps w:val="0"/>
        <w:noProof/>
        <w:color w:val="auto"/>
        <w:szCs w:val="16"/>
      </w:rPr>
      <w:t>18</w:t>
    </w:r>
    <w:r w:rsidR="00900DBE" w:rsidRPr="00D31EEA">
      <w:rPr>
        <w:rFonts w:ascii="Arial" w:hAnsi="Arial" w:cs="Arial"/>
        <w:i/>
        <w:caps w:val="0"/>
        <w:color w:val="auto"/>
        <w:szCs w:val="16"/>
      </w:rPr>
      <w:fldChar w:fldCharType="end"/>
    </w:r>
  </w:p>
  <w:p w14:paraId="02403996" w14:textId="77777777" w:rsidR="008F299E" w:rsidRDefault="008F29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C7CC2" w14:textId="77777777" w:rsidR="000F2A26" w:rsidRDefault="000F2A26">
      <w:pPr>
        <w:spacing w:before="0" w:after="0" w:line="240" w:lineRule="auto"/>
      </w:pPr>
      <w:r>
        <w:separator/>
      </w:r>
    </w:p>
  </w:footnote>
  <w:footnote w:type="continuationSeparator" w:id="0">
    <w:p w14:paraId="3F261669" w14:textId="77777777" w:rsidR="000F2A26" w:rsidRDefault="000F2A26">
      <w:pPr>
        <w:spacing w:before="0" w:after="0" w:line="240" w:lineRule="auto"/>
      </w:pPr>
      <w:r>
        <w:continuationSeparator/>
      </w:r>
    </w:p>
  </w:footnote>
  <w:footnote w:id="1">
    <w:p w14:paraId="4F31E728" w14:textId="4986071D" w:rsidR="008F299E" w:rsidRPr="000014FE" w:rsidRDefault="008F299E" w:rsidP="0045672F">
      <w:pPr>
        <w:pStyle w:val="FootnoteText"/>
        <w:rPr>
          <w:rFonts w:ascii="Arial" w:hAnsi="Arial" w:cs="Arial"/>
          <w:color w:val="auto"/>
          <w:sz w:val="16"/>
          <w:szCs w:val="16"/>
        </w:rPr>
      </w:pPr>
      <w:r w:rsidRPr="000014FE">
        <w:rPr>
          <w:rStyle w:val="FootnoteReference"/>
          <w:rFonts w:ascii="Arial" w:hAnsi="Arial" w:cs="Arial"/>
          <w:color w:val="auto"/>
          <w:sz w:val="16"/>
          <w:szCs w:val="16"/>
        </w:rPr>
        <w:footnoteRef/>
      </w:r>
      <w:r w:rsidRPr="000014FE">
        <w:rPr>
          <w:rFonts w:ascii="Arial" w:hAnsi="Arial" w:cs="Arial"/>
          <w:color w:val="auto"/>
          <w:sz w:val="16"/>
          <w:szCs w:val="16"/>
        </w:rPr>
        <w:t xml:space="preserve"> Seventh Northwest Power and Conservation Council Plan (aka Seventh Power Plan), Northwest Power and Conservation Council, Document 2016-02, February 25, 2016; approved and released May, 2016</w:t>
      </w:r>
      <w:r w:rsidR="00E00E67" w:rsidRPr="000014FE">
        <w:rPr>
          <w:rFonts w:ascii="Arial" w:hAnsi="Arial" w:cs="Arial"/>
          <w:color w:val="auto"/>
          <w:sz w:val="16"/>
          <w:szCs w:val="16"/>
        </w:rPr>
        <w:t>.</w:t>
      </w:r>
    </w:p>
  </w:footnote>
  <w:footnote w:id="2">
    <w:p w14:paraId="0FC9ECF3" w14:textId="2263662A" w:rsidR="008F299E" w:rsidRPr="00E00E67" w:rsidRDefault="008F299E">
      <w:pPr>
        <w:pStyle w:val="FootnoteText"/>
        <w:rPr>
          <w:rFonts w:ascii="Arial" w:hAnsi="Arial" w:cs="Arial"/>
          <w:sz w:val="16"/>
          <w:szCs w:val="16"/>
        </w:rPr>
      </w:pPr>
      <w:r w:rsidRPr="000014FE">
        <w:rPr>
          <w:rStyle w:val="FootnoteReference"/>
          <w:rFonts w:ascii="Arial" w:hAnsi="Arial" w:cs="Arial"/>
          <w:color w:val="auto"/>
          <w:sz w:val="16"/>
          <w:szCs w:val="16"/>
        </w:rPr>
        <w:footnoteRef/>
      </w:r>
      <w:r w:rsidRPr="000014FE">
        <w:rPr>
          <w:rFonts w:ascii="Arial" w:hAnsi="Arial" w:cs="Arial"/>
          <w:color w:val="auto"/>
          <w:sz w:val="16"/>
          <w:szCs w:val="16"/>
        </w:rPr>
        <w:t xml:space="preserve"> Sev</w:t>
      </w:r>
      <w:r w:rsidR="00E00E67" w:rsidRPr="000014FE">
        <w:rPr>
          <w:rFonts w:ascii="Arial" w:hAnsi="Arial" w:cs="Arial"/>
          <w:color w:val="auto"/>
          <w:sz w:val="16"/>
          <w:szCs w:val="16"/>
        </w:rPr>
        <w:t>enth Power Plan, pages 3-7 to 3-</w:t>
      </w:r>
      <w:r w:rsidRPr="000014FE">
        <w:rPr>
          <w:rFonts w:ascii="Arial" w:hAnsi="Arial" w:cs="Arial"/>
          <w:color w:val="auto"/>
          <w:sz w:val="16"/>
          <w:szCs w:val="16"/>
        </w:rPr>
        <w:t>14</w:t>
      </w:r>
    </w:p>
  </w:footnote>
  <w:footnote w:id="3">
    <w:p w14:paraId="5093E0CC" w14:textId="413E8166" w:rsidR="008F299E" w:rsidRDefault="008F299E">
      <w:pPr>
        <w:pStyle w:val="FootnoteText"/>
      </w:pPr>
      <w:r w:rsidRPr="000014FE">
        <w:rPr>
          <w:rStyle w:val="FootnoteReference"/>
          <w:rFonts w:ascii="Arial" w:hAnsi="Arial" w:cs="Arial"/>
          <w:color w:val="auto"/>
          <w:sz w:val="16"/>
          <w:szCs w:val="16"/>
        </w:rPr>
        <w:footnoteRef/>
      </w:r>
      <w:r w:rsidRPr="000014FE">
        <w:rPr>
          <w:rFonts w:ascii="Arial" w:hAnsi="Arial" w:cs="Arial"/>
          <w:color w:val="auto"/>
          <w:sz w:val="16"/>
          <w:szCs w:val="16"/>
        </w:rPr>
        <w:t xml:space="preserve"> Seve</w:t>
      </w:r>
      <w:r w:rsidR="00E00E67" w:rsidRPr="000014FE">
        <w:rPr>
          <w:rFonts w:ascii="Arial" w:hAnsi="Arial" w:cs="Arial"/>
          <w:color w:val="auto"/>
          <w:sz w:val="16"/>
          <w:szCs w:val="16"/>
        </w:rPr>
        <w:t>nth Power Plan, pages 3-31 to 3-</w:t>
      </w:r>
      <w:r w:rsidRPr="000014FE">
        <w:rPr>
          <w:rFonts w:ascii="Arial" w:hAnsi="Arial" w:cs="Arial"/>
          <w:color w:val="auto"/>
          <w:sz w:val="16"/>
          <w:szCs w:val="16"/>
        </w:rPr>
        <w:t>32</w:t>
      </w:r>
    </w:p>
  </w:footnote>
  <w:footnote w:id="4">
    <w:p w14:paraId="7B87E421" w14:textId="54E694E2" w:rsidR="008F299E" w:rsidRPr="00544B1F" w:rsidRDefault="008F299E">
      <w:pPr>
        <w:pStyle w:val="FootnoteText"/>
        <w:rPr>
          <w:rFonts w:ascii="Arial" w:hAnsi="Arial" w:cs="Arial"/>
          <w:sz w:val="16"/>
          <w:szCs w:val="16"/>
        </w:rPr>
      </w:pPr>
      <w:r w:rsidRPr="000014FE">
        <w:rPr>
          <w:rStyle w:val="FootnoteReference"/>
          <w:rFonts w:ascii="Arial" w:hAnsi="Arial" w:cs="Arial"/>
          <w:color w:val="auto"/>
          <w:sz w:val="16"/>
          <w:szCs w:val="16"/>
        </w:rPr>
        <w:footnoteRef/>
      </w:r>
      <w:r w:rsidRPr="000014FE">
        <w:rPr>
          <w:rFonts w:ascii="Arial" w:hAnsi="Arial" w:cs="Arial"/>
          <w:color w:val="auto"/>
          <w:sz w:val="16"/>
          <w:szCs w:val="16"/>
        </w:rPr>
        <w:t xml:space="preserve"> Based on discussions with environmental advocates</w:t>
      </w:r>
      <w:r w:rsidR="00FA09E5" w:rsidRPr="00544B1F">
        <w:rPr>
          <w:rFonts w:ascii="Arial" w:hAnsi="Arial" w:cs="Arial"/>
          <w:color w:val="auto"/>
          <w:sz w:val="16"/>
          <w:szCs w:val="16"/>
        </w:rPr>
        <w:t>.</w:t>
      </w:r>
    </w:p>
  </w:footnote>
  <w:footnote w:id="5">
    <w:p w14:paraId="4E731352" w14:textId="77777777" w:rsidR="008F299E" w:rsidRPr="000014FE" w:rsidRDefault="008F299E" w:rsidP="001B54FA">
      <w:pPr>
        <w:pStyle w:val="FootnoteText"/>
        <w:rPr>
          <w:rFonts w:ascii="Arial" w:hAnsi="Arial" w:cs="Arial"/>
          <w:sz w:val="16"/>
          <w:szCs w:val="16"/>
        </w:rPr>
      </w:pPr>
      <w:r w:rsidRPr="000014FE">
        <w:rPr>
          <w:rStyle w:val="FootnoteReference"/>
          <w:rFonts w:ascii="Arial" w:hAnsi="Arial" w:cs="Arial"/>
          <w:color w:val="auto"/>
          <w:sz w:val="16"/>
          <w:szCs w:val="16"/>
        </w:rPr>
        <w:footnoteRef/>
      </w:r>
      <w:r w:rsidRPr="000014FE">
        <w:rPr>
          <w:rFonts w:ascii="Arial" w:hAnsi="Arial" w:cs="Arial"/>
          <w:color w:val="auto"/>
          <w:sz w:val="16"/>
          <w:szCs w:val="16"/>
        </w:rPr>
        <w:t xml:space="preserve">  Cap and trade is “</w:t>
      </w:r>
      <w:r w:rsidRPr="000014FE">
        <w:rPr>
          <w:rFonts w:ascii="Arial" w:hAnsi="Arial" w:cs="Arial"/>
          <w:color w:val="auto"/>
          <w:sz w:val="16"/>
          <w:szCs w:val="16"/>
          <w:lang w:val="en"/>
        </w:rPr>
        <w:t>a system for controlling carbon emissions and other forms of atmospheric pollution by which an upper limit is set on the amount a given business or other organization may produce but which allows further capacity to be bought from other organizations that have not used their full allowance.” Oxford Dictionary</w:t>
      </w:r>
    </w:p>
  </w:footnote>
  <w:footnote w:id="6">
    <w:p w14:paraId="4A80E9CE" w14:textId="10772B28" w:rsidR="00FF4BA0" w:rsidRPr="00775B6F" w:rsidRDefault="00FF4BA0">
      <w:pPr>
        <w:pStyle w:val="FootnoteText"/>
        <w:rPr>
          <w:rFonts w:ascii="Arial" w:hAnsi="Arial" w:cs="Arial"/>
          <w:sz w:val="16"/>
          <w:szCs w:val="16"/>
        </w:rPr>
      </w:pPr>
      <w:r w:rsidRPr="000014FE">
        <w:rPr>
          <w:rStyle w:val="FootnoteReference"/>
          <w:rFonts w:ascii="Arial" w:hAnsi="Arial" w:cs="Arial"/>
          <w:color w:val="auto"/>
          <w:sz w:val="16"/>
          <w:szCs w:val="16"/>
        </w:rPr>
        <w:footnoteRef/>
      </w:r>
      <w:r w:rsidRPr="000014FE">
        <w:rPr>
          <w:rFonts w:ascii="Arial" w:hAnsi="Arial" w:cs="Arial"/>
          <w:color w:val="auto"/>
          <w:sz w:val="16"/>
          <w:szCs w:val="16"/>
        </w:rPr>
        <w:t xml:space="preserve"> Finding the Facts on Methane Emissions: A Guide to the Literature, ICF International on Behalf of The Natural Gas Council, http://www.ngsa.org/download/analysis_studies/NGC-Final-Report-4-25.pdf</w:t>
      </w:r>
    </w:p>
  </w:footnote>
  <w:footnote w:id="7">
    <w:p w14:paraId="060FEC02" w14:textId="1925F9FA" w:rsidR="00775B6F" w:rsidRPr="000014FE" w:rsidRDefault="00775B6F">
      <w:pPr>
        <w:pStyle w:val="FootnoteText"/>
        <w:rPr>
          <w:rFonts w:ascii="Arial" w:hAnsi="Arial" w:cs="Arial"/>
          <w:sz w:val="16"/>
          <w:szCs w:val="16"/>
        </w:rPr>
      </w:pPr>
      <w:r w:rsidRPr="000014FE">
        <w:rPr>
          <w:rStyle w:val="FootnoteReference"/>
          <w:rFonts w:ascii="Arial" w:hAnsi="Arial" w:cs="Arial"/>
          <w:color w:val="auto"/>
          <w:sz w:val="16"/>
          <w:szCs w:val="16"/>
        </w:rPr>
        <w:footnoteRef/>
      </w:r>
      <w:r w:rsidRPr="000014FE">
        <w:rPr>
          <w:rFonts w:ascii="Arial" w:hAnsi="Arial" w:cs="Arial"/>
          <w:color w:val="auto"/>
          <w:sz w:val="16"/>
          <w:szCs w:val="16"/>
        </w:rPr>
        <w:t xml:space="preserve"> </w:t>
      </w:r>
      <w:r w:rsidRPr="000014FE">
        <w:rPr>
          <w:rStyle w:val="Hyperlink"/>
          <w:rFonts w:ascii="Arial" w:hAnsi="Arial" w:cs="Arial"/>
          <w:i/>
          <w:color w:val="auto"/>
          <w:sz w:val="16"/>
          <w:szCs w:val="16"/>
          <w:u w:val="none"/>
        </w:rPr>
        <w:t>See</w:t>
      </w:r>
      <w:r w:rsidRPr="000014FE">
        <w:rPr>
          <w:rFonts w:ascii="Arial" w:hAnsi="Arial" w:cs="Arial"/>
          <w:i/>
          <w:color w:val="auto"/>
          <w:sz w:val="16"/>
          <w:szCs w:val="16"/>
        </w:rPr>
        <w:t xml:space="preserve"> </w:t>
      </w:r>
      <w:hyperlink r:id="rId1" w:history="1">
        <w:r w:rsidRPr="000014FE">
          <w:rPr>
            <w:rStyle w:val="Hyperlink"/>
            <w:rFonts w:ascii="Arial" w:hAnsi="Arial" w:cs="Arial"/>
            <w:color w:val="auto"/>
            <w:sz w:val="16"/>
            <w:szCs w:val="16"/>
            <w:u w:val="none"/>
          </w:rPr>
          <w:t>https://www.energystar.gov/buildings/facility-owners-and-managers/existing-buildings/use-portfolio-manager/understand-metrics/difference</w:t>
        </w:r>
      </w:hyperlink>
      <w:r w:rsidRPr="000014FE">
        <w:rPr>
          <w:rFonts w:ascii="Arial" w:hAnsi="Arial" w:cs="Arial"/>
          <w:color w:val="auto"/>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425F0" w14:textId="77777777" w:rsidR="008F299E" w:rsidRPr="000715A9" w:rsidRDefault="008F299E" w:rsidP="000715A9">
    <w:pPr>
      <w:tabs>
        <w:tab w:val="center" w:pos="4680"/>
        <w:tab w:val="right" w:pos="9360"/>
      </w:tabs>
      <w:overflowPunct w:val="0"/>
      <w:autoSpaceDE w:val="0"/>
      <w:autoSpaceDN w:val="0"/>
      <w:adjustRightInd w:val="0"/>
      <w:spacing w:before="0" w:after="0" w:line="240" w:lineRule="auto"/>
      <w:textAlignment w:val="baseline"/>
      <w:rPr>
        <w:rFonts w:ascii="Arial" w:eastAsia="Times New Roman" w:hAnsi="Arial" w:cs="Arial"/>
        <w:i/>
        <w:color w:val="auto"/>
        <w:sz w:val="24"/>
        <w:szCs w:val="24"/>
        <w:lang w:eastAsia="en-US"/>
      </w:rPr>
    </w:pPr>
    <w:r w:rsidRPr="000715A9">
      <w:rPr>
        <w:rFonts w:ascii="Arial" w:eastAsia="Times New Roman" w:hAnsi="Arial" w:cs="Arial"/>
        <w:i/>
        <w:color w:val="auto"/>
        <w:sz w:val="24"/>
        <w:szCs w:val="24"/>
        <w:lang w:eastAsia="en-US"/>
      </w:rPr>
      <w:t>Cascade Natural Gas Corporation</w:t>
    </w:r>
  </w:p>
  <w:p w14:paraId="7A0BB575" w14:textId="61DE89C3" w:rsidR="00E728EC" w:rsidRDefault="00C12503" w:rsidP="000715A9">
    <w:pPr>
      <w:tabs>
        <w:tab w:val="center" w:pos="4680"/>
        <w:tab w:val="right" w:pos="9360"/>
      </w:tabs>
      <w:overflowPunct w:val="0"/>
      <w:autoSpaceDE w:val="0"/>
      <w:autoSpaceDN w:val="0"/>
      <w:adjustRightInd w:val="0"/>
      <w:spacing w:before="0" w:after="0" w:line="240" w:lineRule="auto"/>
      <w:textAlignment w:val="baseline"/>
      <w:rPr>
        <w:rFonts w:ascii="Arial" w:eastAsia="Times New Roman" w:hAnsi="Arial" w:cs="Arial"/>
        <w:i/>
        <w:color w:val="auto"/>
        <w:sz w:val="24"/>
        <w:szCs w:val="24"/>
        <w:lang w:eastAsia="en-US"/>
      </w:rPr>
    </w:pPr>
    <w:r>
      <w:rPr>
        <w:rFonts w:ascii="Arial" w:eastAsia="Times New Roman" w:hAnsi="Arial" w:cs="Arial"/>
        <w:i/>
        <w:color w:val="auto"/>
        <w:sz w:val="24"/>
        <w:szCs w:val="24"/>
        <w:lang w:eastAsia="en-US"/>
      </w:rPr>
      <w:t xml:space="preserve">2016 Integrated Resource Plan:  </w:t>
    </w:r>
    <w:r w:rsidR="008F299E" w:rsidRPr="000715A9">
      <w:rPr>
        <w:rFonts w:ascii="Arial" w:eastAsia="Times New Roman" w:hAnsi="Arial" w:cs="Arial"/>
        <w:i/>
        <w:color w:val="auto"/>
        <w:sz w:val="24"/>
        <w:szCs w:val="24"/>
        <w:lang w:eastAsia="en-US"/>
      </w:rPr>
      <w:t>UG-160453</w:t>
    </w:r>
    <w:r w:rsidR="008F299E">
      <w:rPr>
        <w:rFonts w:ascii="Arial" w:eastAsia="Times New Roman" w:hAnsi="Arial" w:cs="Arial"/>
        <w:i/>
        <w:color w:val="auto"/>
        <w:sz w:val="24"/>
        <w:szCs w:val="24"/>
        <w:lang w:eastAsia="en-US"/>
      </w:rPr>
      <w:t xml:space="preserve">    </w:t>
    </w:r>
  </w:p>
  <w:p w14:paraId="76BF0964" w14:textId="6873FCD7" w:rsidR="00C12503" w:rsidRDefault="00C12503" w:rsidP="000715A9">
    <w:pPr>
      <w:tabs>
        <w:tab w:val="center" w:pos="4680"/>
        <w:tab w:val="right" w:pos="9360"/>
      </w:tabs>
      <w:overflowPunct w:val="0"/>
      <w:autoSpaceDE w:val="0"/>
      <w:autoSpaceDN w:val="0"/>
      <w:adjustRightInd w:val="0"/>
      <w:spacing w:before="0" w:after="0" w:line="240" w:lineRule="auto"/>
      <w:textAlignment w:val="baseline"/>
      <w:rPr>
        <w:rFonts w:ascii="Arial" w:eastAsia="Times New Roman" w:hAnsi="Arial" w:cs="Arial"/>
        <w:i/>
        <w:color w:val="auto"/>
        <w:sz w:val="24"/>
        <w:szCs w:val="24"/>
        <w:lang w:eastAsia="en-US"/>
      </w:rPr>
    </w:pPr>
    <w:r>
      <w:rPr>
        <w:rFonts w:ascii="Arial" w:hAnsi="Arial" w:cs="Arial"/>
        <w:i/>
        <w:noProof/>
        <w:szCs w:val="24"/>
        <w:lang w:eastAsia="en-US"/>
      </w:rPr>
      <mc:AlternateContent>
        <mc:Choice Requires="wps">
          <w:drawing>
            <wp:anchor distT="0" distB="0" distL="114300" distR="114300" simplePos="0" relativeHeight="251659264" behindDoc="0" locked="0" layoutInCell="1" allowOverlap="1" wp14:anchorId="240208DA" wp14:editId="2F882B50">
              <wp:simplePos x="0" y="0"/>
              <wp:positionH relativeFrom="margin">
                <wp:align>right</wp:align>
              </wp:positionH>
              <wp:positionV relativeFrom="paragraph">
                <wp:posOffset>173355</wp:posOffset>
              </wp:positionV>
              <wp:extent cx="5467350" cy="9525"/>
              <wp:effectExtent l="0" t="0" r="19050" b="28575"/>
              <wp:wrapNone/>
              <wp:docPr id="11" name="Straight Connector 11"/>
              <wp:cNvGraphicFramePr/>
              <a:graphic xmlns:a="http://schemas.openxmlformats.org/drawingml/2006/main">
                <a:graphicData uri="http://schemas.microsoft.com/office/word/2010/wordprocessingShape">
                  <wps:wsp>
                    <wps:cNvCnPr/>
                    <wps:spPr>
                      <a:xfrm>
                        <a:off x="0" y="0"/>
                        <a:ext cx="54673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A1ADC0" id="Straight Connector 1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9.3pt,13.65pt" to="809.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" strokecolor="black [3040]">
              <w10:wrap anchorx="margin"/>
            </v:line>
          </w:pict>
        </mc:Fallback>
      </mc:AlternateContent>
    </w:r>
  </w:p>
  <w:p w14:paraId="1C501E5D" w14:textId="6272C81D" w:rsidR="008F299E" w:rsidRPr="000715A9" w:rsidRDefault="008F299E" w:rsidP="000715A9">
    <w:pPr>
      <w:tabs>
        <w:tab w:val="center" w:pos="4680"/>
        <w:tab w:val="right" w:pos="9360"/>
      </w:tabs>
      <w:overflowPunct w:val="0"/>
      <w:autoSpaceDE w:val="0"/>
      <w:autoSpaceDN w:val="0"/>
      <w:adjustRightInd w:val="0"/>
      <w:spacing w:before="0" w:after="0" w:line="240" w:lineRule="auto"/>
      <w:textAlignment w:val="baseline"/>
      <w:rPr>
        <w:rFonts w:ascii="Arial" w:eastAsia="Times New Roman" w:hAnsi="Arial" w:cs="Arial"/>
        <w:i/>
        <w:color w:val="auto"/>
        <w:sz w:val="24"/>
        <w:szCs w:val="24"/>
        <w:lang w:eastAsia="en-US"/>
      </w:rPr>
    </w:pPr>
    <w:r>
      <w:rPr>
        <w:rFonts w:ascii="Arial" w:eastAsia="Times New Roman" w:hAnsi="Arial" w:cs="Arial"/>
        <w:i/>
        <w:color w:val="auto"/>
        <w:sz w:val="24"/>
        <w:szCs w:val="24"/>
        <w:lang w:eastAsia="en-US"/>
      </w:rPr>
      <w:t xml:space="preserve">                                  </w:t>
    </w:r>
    <w:r w:rsidRPr="000715A9">
      <w:rPr>
        <w:rFonts w:ascii="Arial" w:eastAsia="Times New Roman" w:hAnsi="Arial" w:cs="Arial"/>
        <w:i/>
        <w:color w:val="auto"/>
        <w:sz w:val="24"/>
        <w:szCs w:val="24"/>
        <w:lang w:eastAsia="en-US"/>
      </w:rPr>
      <w:t xml:space="preserve"> </w:t>
    </w:r>
  </w:p>
  <w:p w14:paraId="48A995C6" w14:textId="77777777" w:rsidR="008F299E" w:rsidRPr="000715A9" w:rsidRDefault="008F299E" w:rsidP="000715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206D1A0"/>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2" w15:restartNumberingAfterBreak="0">
    <w:nsid w:val="26EB35C1"/>
    <w:multiLevelType w:val="hybridMultilevel"/>
    <w:tmpl w:val="D932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11110B"/>
    <w:multiLevelType w:val="hybridMultilevel"/>
    <w:tmpl w:val="2890A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7A7268C"/>
    <w:multiLevelType w:val="hybridMultilevel"/>
    <w:tmpl w:val="15DCE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72E3D64"/>
    <w:multiLevelType w:val="hybridMultilevel"/>
    <w:tmpl w:val="BFCC9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062486"/>
    <w:multiLevelType w:val="hybridMultilevel"/>
    <w:tmpl w:val="A3D6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1A5C0B"/>
    <w:multiLevelType w:val="hybridMultilevel"/>
    <w:tmpl w:val="3DFEA0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1221645"/>
    <w:multiLevelType w:val="hybridMultilevel"/>
    <w:tmpl w:val="F3AC9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0"/>
  </w:num>
  <w:num w:numId="4">
    <w:abstractNumId w:val="0"/>
  </w:num>
  <w:num w:numId="5">
    <w:abstractNumId w:val="1"/>
  </w:num>
  <w:num w:numId="6">
    <w:abstractNumId w:val="0"/>
  </w:num>
  <w:num w:numId="7">
    <w:abstractNumId w:val="5"/>
  </w:num>
  <w:num w:numId="8">
    <w:abstractNumId w:val="2"/>
  </w:num>
  <w:num w:numId="9">
    <w:abstractNumId w:val="4"/>
  </w:num>
  <w:num w:numId="10">
    <w:abstractNumId w:val="8"/>
  </w:num>
  <w:num w:numId="11">
    <w:abstractNumId w:val="6"/>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B7"/>
    <w:rsid w:val="000014FE"/>
    <w:rsid w:val="00003561"/>
    <w:rsid w:val="0002051A"/>
    <w:rsid w:val="0002119A"/>
    <w:rsid w:val="00022634"/>
    <w:rsid w:val="00033B16"/>
    <w:rsid w:val="00066CE6"/>
    <w:rsid w:val="000715A9"/>
    <w:rsid w:val="0008139E"/>
    <w:rsid w:val="000904B9"/>
    <w:rsid w:val="000B5487"/>
    <w:rsid w:val="000C533C"/>
    <w:rsid w:val="000E3B62"/>
    <w:rsid w:val="000F2A26"/>
    <w:rsid w:val="00103767"/>
    <w:rsid w:val="0012756E"/>
    <w:rsid w:val="00134F84"/>
    <w:rsid w:val="001669D6"/>
    <w:rsid w:val="001744E4"/>
    <w:rsid w:val="001827E9"/>
    <w:rsid w:val="00195251"/>
    <w:rsid w:val="00197952"/>
    <w:rsid w:val="001A5AB6"/>
    <w:rsid w:val="001A7A68"/>
    <w:rsid w:val="001B54FA"/>
    <w:rsid w:val="001D5CEE"/>
    <w:rsid w:val="00205F18"/>
    <w:rsid w:val="002163EE"/>
    <w:rsid w:val="0024398D"/>
    <w:rsid w:val="00253482"/>
    <w:rsid w:val="00270023"/>
    <w:rsid w:val="002858EB"/>
    <w:rsid w:val="002936AD"/>
    <w:rsid w:val="002A7366"/>
    <w:rsid w:val="002B0D76"/>
    <w:rsid w:val="002C0C9A"/>
    <w:rsid w:val="002C4AA6"/>
    <w:rsid w:val="002C7CB3"/>
    <w:rsid w:val="002D0F1F"/>
    <w:rsid w:val="002E2672"/>
    <w:rsid w:val="002E67CE"/>
    <w:rsid w:val="00306EAF"/>
    <w:rsid w:val="003106E8"/>
    <w:rsid w:val="00312B7B"/>
    <w:rsid w:val="0031421C"/>
    <w:rsid w:val="003217D6"/>
    <w:rsid w:val="00337195"/>
    <w:rsid w:val="00347CE4"/>
    <w:rsid w:val="00352385"/>
    <w:rsid w:val="00354FF9"/>
    <w:rsid w:val="0037581C"/>
    <w:rsid w:val="003766C5"/>
    <w:rsid w:val="003806E6"/>
    <w:rsid w:val="003834E5"/>
    <w:rsid w:val="00383FF7"/>
    <w:rsid w:val="003A2D2D"/>
    <w:rsid w:val="003B1372"/>
    <w:rsid w:val="0040784F"/>
    <w:rsid w:val="00410BB4"/>
    <w:rsid w:val="0041234E"/>
    <w:rsid w:val="00420A93"/>
    <w:rsid w:val="0043327B"/>
    <w:rsid w:val="00440B5F"/>
    <w:rsid w:val="0045672F"/>
    <w:rsid w:val="004567F0"/>
    <w:rsid w:val="00457A85"/>
    <w:rsid w:val="004702F6"/>
    <w:rsid w:val="004733D9"/>
    <w:rsid w:val="0047523F"/>
    <w:rsid w:val="00476213"/>
    <w:rsid w:val="00485DE3"/>
    <w:rsid w:val="0049686D"/>
    <w:rsid w:val="004B362D"/>
    <w:rsid w:val="004C06DC"/>
    <w:rsid w:val="004C67BC"/>
    <w:rsid w:val="004E2465"/>
    <w:rsid w:val="004E46F6"/>
    <w:rsid w:val="004E7C9D"/>
    <w:rsid w:val="004F728C"/>
    <w:rsid w:val="00504BE3"/>
    <w:rsid w:val="00504C92"/>
    <w:rsid w:val="00511BE5"/>
    <w:rsid w:val="00514150"/>
    <w:rsid w:val="00534627"/>
    <w:rsid w:val="005436E6"/>
    <w:rsid w:val="00543997"/>
    <w:rsid w:val="00544B1F"/>
    <w:rsid w:val="00546A8D"/>
    <w:rsid w:val="005706CB"/>
    <w:rsid w:val="005858E0"/>
    <w:rsid w:val="00585E4B"/>
    <w:rsid w:val="00586C65"/>
    <w:rsid w:val="00592AF3"/>
    <w:rsid w:val="0059497A"/>
    <w:rsid w:val="00597EB4"/>
    <w:rsid w:val="005A3E47"/>
    <w:rsid w:val="005A5ED6"/>
    <w:rsid w:val="005B5A4C"/>
    <w:rsid w:val="005C17C3"/>
    <w:rsid w:val="005D3722"/>
    <w:rsid w:val="005E7361"/>
    <w:rsid w:val="005E740E"/>
    <w:rsid w:val="005F3E0D"/>
    <w:rsid w:val="00602D94"/>
    <w:rsid w:val="00613C62"/>
    <w:rsid w:val="00624227"/>
    <w:rsid w:val="00627F37"/>
    <w:rsid w:val="006443A9"/>
    <w:rsid w:val="006471FC"/>
    <w:rsid w:val="006617B4"/>
    <w:rsid w:val="006626F2"/>
    <w:rsid w:val="0066794F"/>
    <w:rsid w:val="006704D8"/>
    <w:rsid w:val="0068350F"/>
    <w:rsid w:val="00686C18"/>
    <w:rsid w:val="006A7A4B"/>
    <w:rsid w:val="006B0B67"/>
    <w:rsid w:val="006B2534"/>
    <w:rsid w:val="006F7C5E"/>
    <w:rsid w:val="00737412"/>
    <w:rsid w:val="00741CF0"/>
    <w:rsid w:val="00744C3D"/>
    <w:rsid w:val="00750F50"/>
    <w:rsid w:val="00763F77"/>
    <w:rsid w:val="00764D53"/>
    <w:rsid w:val="007717AE"/>
    <w:rsid w:val="00775B6F"/>
    <w:rsid w:val="00782CEB"/>
    <w:rsid w:val="00785D9C"/>
    <w:rsid w:val="00786F75"/>
    <w:rsid w:val="00791103"/>
    <w:rsid w:val="007A043C"/>
    <w:rsid w:val="007A3085"/>
    <w:rsid w:val="007A48B8"/>
    <w:rsid w:val="007B2B9C"/>
    <w:rsid w:val="007D150D"/>
    <w:rsid w:val="007D52A5"/>
    <w:rsid w:val="007E439E"/>
    <w:rsid w:val="007F20AF"/>
    <w:rsid w:val="007F2F69"/>
    <w:rsid w:val="007F5D8E"/>
    <w:rsid w:val="008132E9"/>
    <w:rsid w:val="0081438D"/>
    <w:rsid w:val="008177C0"/>
    <w:rsid w:val="00823408"/>
    <w:rsid w:val="008305F7"/>
    <w:rsid w:val="0084588F"/>
    <w:rsid w:val="00853588"/>
    <w:rsid w:val="00880FE4"/>
    <w:rsid w:val="0089058C"/>
    <w:rsid w:val="00892487"/>
    <w:rsid w:val="00897F9D"/>
    <w:rsid w:val="008F299E"/>
    <w:rsid w:val="008F2F3E"/>
    <w:rsid w:val="00900DBE"/>
    <w:rsid w:val="00903513"/>
    <w:rsid w:val="009035E1"/>
    <w:rsid w:val="00930C8D"/>
    <w:rsid w:val="0093335B"/>
    <w:rsid w:val="009658A7"/>
    <w:rsid w:val="009732DA"/>
    <w:rsid w:val="00985A0D"/>
    <w:rsid w:val="00992012"/>
    <w:rsid w:val="009A6771"/>
    <w:rsid w:val="009C4F67"/>
    <w:rsid w:val="009C6C45"/>
    <w:rsid w:val="009D3E58"/>
    <w:rsid w:val="009E302F"/>
    <w:rsid w:val="009E5A73"/>
    <w:rsid w:val="009F4536"/>
    <w:rsid w:val="00A0346A"/>
    <w:rsid w:val="00A04419"/>
    <w:rsid w:val="00A45BF3"/>
    <w:rsid w:val="00A45EE3"/>
    <w:rsid w:val="00A46D84"/>
    <w:rsid w:val="00A51EB4"/>
    <w:rsid w:val="00A6180C"/>
    <w:rsid w:val="00AA033C"/>
    <w:rsid w:val="00AA3200"/>
    <w:rsid w:val="00AC14C8"/>
    <w:rsid w:val="00AD2443"/>
    <w:rsid w:val="00AF146F"/>
    <w:rsid w:val="00B116FE"/>
    <w:rsid w:val="00B34655"/>
    <w:rsid w:val="00B4002F"/>
    <w:rsid w:val="00B4404B"/>
    <w:rsid w:val="00B44D77"/>
    <w:rsid w:val="00B55B35"/>
    <w:rsid w:val="00B72ADB"/>
    <w:rsid w:val="00B7498A"/>
    <w:rsid w:val="00B82391"/>
    <w:rsid w:val="00BA6D60"/>
    <w:rsid w:val="00BB0170"/>
    <w:rsid w:val="00BC62C5"/>
    <w:rsid w:val="00BC7712"/>
    <w:rsid w:val="00BD595E"/>
    <w:rsid w:val="00BE1040"/>
    <w:rsid w:val="00BE453C"/>
    <w:rsid w:val="00BE5C7B"/>
    <w:rsid w:val="00BF1801"/>
    <w:rsid w:val="00BF53A5"/>
    <w:rsid w:val="00C12503"/>
    <w:rsid w:val="00C21EC4"/>
    <w:rsid w:val="00C24F98"/>
    <w:rsid w:val="00C276ED"/>
    <w:rsid w:val="00C3556A"/>
    <w:rsid w:val="00C3642D"/>
    <w:rsid w:val="00C473A4"/>
    <w:rsid w:val="00C834BC"/>
    <w:rsid w:val="00C8631A"/>
    <w:rsid w:val="00CA4B22"/>
    <w:rsid w:val="00CC0840"/>
    <w:rsid w:val="00CD1136"/>
    <w:rsid w:val="00CD77B5"/>
    <w:rsid w:val="00CE46FF"/>
    <w:rsid w:val="00D101BF"/>
    <w:rsid w:val="00D149CF"/>
    <w:rsid w:val="00D31EEA"/>
    <w:rsid w:val="00D3631B"/>
    <w:rsid w:val="00D52964"/>
    <w:rsid w:val="00D575DA"/>
    <w:rsid w:val="00D736BA"/>
    <w:rsid w:val="00D82DB4"/>
    <w:rsid w:val="00D85FB7"/>
    <w:rsid w:val="00D93A1A"/>
    <w:rsid w:val="00D96673"/>
    <w:rsid w:val="00DC6F21"/>
    <w:rsid w:val="00E00E67"/>
    <w:rsid w:val="00E01F8C"/>
    <w:rsid w:val="00E12D21"/>
    <w:rsid w:val="00E22462"/>
    <w:rsid w:val="00E346A2"/>
    <w:rsid w:val="00E52E7D"/>
    <w:rsid w:val="00E549DE"/>
    <w:rsid w:val="00E728EC"/>
    <w:rsid w:val="00E83F0D"/>
    <w:rsid w:val="00E94892"/>
    <w:rsid w:val="00ED2540"/>
    <w:rsid w:val="00ED6CAD"/>
    <w:rsid w:val="00EF5418"/>
    <w:rsid w:val="00F14079"/>
    <w:rsid w:val="00F22F18"/>
    <w:rsid w:val="00F4059A"/>
    <w:rsid w:val="00F42C10"/>
    <w:rsid w:val="00F46C38"/>
    <w:rsid w:val="00F53FB0"/>
    <w:rsid w:val="00F56885"/>
    <w:rsid w:val="00F625EF"/>
    <w:rsid w:val="00F70239"/>
    <w:rsid w:val="00F75572"/>
    <w:rsid w:val="00FA09E5"/>
    <w:rsid w:val="00FA3877"/>
    <w:rsid w:val="00FA47FD"/>
    <w:rsid w:val="00FC0E38"/>
    <w:rsid w:val="00FC1A0F"/>
    <w:rsid w:val="00FD5F11"/>
    <w:rsid w:val="00FE460F"/>
    <w:rsid w:val="00FF112C"/>
    <w:rsid w:val="00FF17D1"/>
    <w:rsid w:val="00FF19E0"/>
    <w:rsid w:val="00FF4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6A07E65"/>
  <w15:docId w15:val="{DDFF8974-68D6-4DF0-B6E9-E45ADEBD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600" w:after="60"/>
      <w:outlineLvl w:val="0"/>
    </w:pPr>
    <w:rPr>
      <w:rFonts w:asciiTheme="majorHAnsi" w:eastAsiaTheme="majorEastAsia" w:hAnsiTheme="majorHAnsi" w:cstheme="majorBidi"/>
      <w:color w:val="00A0B8" w:themeColor="accent1"/>
      <w:sz w:val="30"/>
    </w:rPr>
  </w:style>
  <w:style w:type="paragraph" w:styleId="Heading2">
    <w:name w:val="heading 2"/>
    <w:basedOn w:val="Normal"/>
    <w:next w:val="Normal"/>
    <w:link w:val="Heading2Char"/>
    <w:uiPriority w:val="1"/>
    <w:unhideWhenUsed/>
    <w:qFormat/>
    <w:pPr>
      <w:keepNext/>
      <w:keepLines/>
      <w:spacing w:before="240" w:after="0"/>
      <w:outlineLvl w:val="1"/>
    </w:pPr>
    <w:rPr>
      <w:rFonts w:asciiTheme="majorHAnsi" w:eastAsiaTheme="majorEastAsia" w:hAnsiTheme="majorHAnsi" w:cstheme="majorBidi"/>
      <w:caps/>
      <w:color w:val="00A0B8" w:themeColor="accent1"/>
      <w:sz w:val="22"/>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color w:val="00A0B8" w:themeColor="accent1"/>
      <w:sz w:val="22"/>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i/>
      <w:iCs/>
      <w:color w:val="00A0B8"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00505C" w:themeColor="accent1" w:themeShade="8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004F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tactInfo">
    <w:name w:val="Contact Info"/>
    <w:basedOn w:val="Normal"/>
    <w:uiPriority w:val="99"/>
    <w:qFormat/>
    <w:pPr>
      <w:spacing w:before="0" w:after="0"/>
      <w:jc w:val="center"/>
    </w:pPr>
  </w:style>
  <w:style w:type="character" w:customStyle="1" w:styleId="Heading1Char">
    <w:name w:val="Heading 1 Char"/>
    <w:basedOn w:val="DefaultParagraphFont"/>
    <w:link w:val="Heading1"/>
    <w:uiPriority w:val="1"/>
    <w:rPr>
      <w:rFonts w:asciiTheme="majorHAnsi" w:eastAsiaTheme="majorEastAsia" w:hAnsiTheme="majorHAnsi" w:cstheme="majorBidi"/>
      <w:color w:val="00A0B8" w:themeColor="accent1"/>
      <w:sz w:val="30"/>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00A0B8" w:themeColor="accent1"/>
      <w:sz w:val="22"/>
    </w:rPr>
  </w:style>
  <w:style w:type="character" w:customStyle="1" w:styleId="Heading3Char">
    <w:name w:val="Heading 3 Char"/>
    <w:basedOn w:val="DefaultParagraphFont"/>
    <w:link w:val="Heading3"/>
    <w:uiPriority w:val="1"/>
    <w:rPr>
      <w:rFonts w:asciiTheme="majorHAnsi" w:eastAsiaTheme="majorEastAsia" w:hAnsiTheme="majorHAnsi" w:cstheme="majorBidi"/>
      <w:color w:val="00A0B8" w:themeColor="accent1"/>
      <w:sz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00A0B8"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505C"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4F5B" w:themeColor="accent1" w:themeShade="7F"/>
    </w:rPr>
  </w:style>
  <w:style w:type="paragraph" w:styleId="Caption">
    <w:name w:val="caption"/>
    <w:basedOn w:val="Normal"/>
    <w:next w:val="Normal"/>
    <w:uiPriority w:val="10"/>
    <w:unhideWhenUsed/>
    <w:qFormat/>
    <w:pPr>
      <w:spacing w:before="200" w:after="120" w:line="240" w:lineRule="auto"/>
    </w:pPr>
    <w:rPr>
      <w:i/>
      <w:iCs/>
    </w:rPr>
  </w:style>
  <w:style w:type="paragraph" w:styleId="ListBullet">
    <w:name w:val="List Bullet"/>
    <w:basedOn w:val="Normal"/>
    <w:uiPriority w:val="1"/>
    <w:unhideWhenUsed/>
    <w:qFormat/>
    <w:pPr>
      <w:numPr>
        <w:numId w:val="5"/>
      </w:numPr>
    </w:pPr>
  </w:style>
  <w:style w:type="paragraph" w:styleId="ListNumber">
    <w:name w:val="List Number"/>
    <w:basedOn w:val="Normal"/>
    <w:uiPriority w:val="1"/>
    <w:unhideWhenUsed/>
    <w:qFormat/>
    <w:pPr>
      <w:numPr>
        <w:numId w:val="6"/>
      </w:numPr>
      <w:contextualSpacing/>
    </w:pPr>
  </w:style>
  <w:style w:type="paragraph" w:styleId="Title">
    <w:name w:val="Title"/>
    <w:basedOn w:val="Normal"/>
    <w:next w:val="Normal"/>
    <w:link w:val="TitleChar"/>
    <w:uiPriority w:val="10"/>
    <w:unhideWhenUsed/>
    <w:qFormat/>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10"/>
    <w:rPr>
      <w:rFonts w:asciiTheme="majorHAnsi" w:eastAsiaTheme="majorEastAsia" w:hAnsiTheme="majorHAnsi" w:cstheme="majorBidi"/>
      <w:color w:val="007789" w:themeColor="accent1" w:themeShade="BF"/>
      <w:kern w:val="28"/>
      <w:sz w:val="60"/>
    </w:rPr>
  </w:style>
  <w:style w:type="paragraph" w:styleId="Subtitle">
    <w:name w:val="Subtitle"/>
    <w:basedOn w:val="Normal"/>
    <w:next w:val="Normal"/>
    <w:link w:val="SubtitleChar"/>
    <w:uiPriority w:val="11"/>
    <w:unhideWhenUsed/>
    <w:qFormat/>
    <w:pPr>
      <w:numPr>
        <w:ilvl w:val="1"/>
      </w:numPr>
      <w:spacing w:before="0" w:after="480"/>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11"/>
    <w:rPr>
      <w:rFonts w:asciiTheme="majorHAnsi" w:eastAsiaTheme="majorEastAsia" w:hAnsiTheme="majorHAnsi" w:cstheme="majorBidi"/>
      <w:caps/>
      <w:sz w:val="26"/>
    </w:rPr>
  </w:style>
  <w:style w:type="character" w:styleId="Emphasis">
    <w:name w:val="Emphasis"/>
    <w:basedOn w:val="DefaultParagraphFont"/>
    <w:uiPriority w:val="10"/>
    <w:unhideWhenUsed/>
    <w:qFormat/>
    <w:rPr>
      <w:i w:val="0"/>
      <w:iCs w:val="0"/>
      <w:color w:val="007789" w:themeColor="accent1" w:themeShade="BF"/>
    </w:rPr>
  </w:style>
  <w:style w:type="paragraph" w:styleId="NoSpacing">
    <w:name w:val="No Spacing"/>
    <w:link w:val="NoSpacingChar"/>
    <w:uiPriority w:val="1"/>
    <w:unhideWhenUsed/>
    <w:qFormat/>
    <w:pPr>
      <w:spacing w:before="0" w:after="0" w:line="240" w:lineRule="auto"/>
    </w:pPr>
    <w:rPr>
      <w:color w:val="auto"/>
    </w:rPr>
  </w:style>
  <w:style w:type="character" w:customStyle="1" w:styleId="NoSpacingChar">
    <w:name w:val="No Spacing Char"/>
    <w:basedOn w:val="DefaultParagraphFont"/>
    <w:link w:val="NoSpacing"/>
    <w:uiPriority w:val="1"/>
    <w:rPr>
      <w:rFonts w:asciiTheme="minorHAnsi" w:eastAsiaTheme="minorEastAsia" w:hAnsiTheme="minorHAnsi" w:cstheme="minorBidi"/>
      <w:color w:val="auto"/>
    </w:rPr>
  </w:style>
  <w:style w:type="paragraph" w:styleId="Quote">
    <w:name w:val="Quote"/>
    <w:basedOn w:val="Normal"/>
    <w:next w:val="Normal"/>
    <w:link w:val="QuoteChar"/>
    <w:uiPriority w:val="10"/>
    <w:unhideWhenUsed/>
    <w:qFormat/>
    <w:pPr>
      <w:spacing w:after="480"/>
      <w:jc w:val="center"/>
    </w:pPr>
    <w:rPr>
      <w:i/>
      <w:iCs/>
      <w:color w:val="00A0B8" w:themeColor="accent1"/>
      <w:sz w:val="26"/>
      <w14:textFill>
        <w14:solidFill>
          <w14:schemeClr w14:val="accent1">
            <w14:alpha w14:val="30000"/>
          </w14:schemeClr>
        </w14:solidFill>
      </w14:textFill>
    </w:rPr>
  </w:style>
  <w:style w:type="character" w:customStyle="1" w:styleId="QuoteChar">
    <w:name w:val="Quote Char"/>
    <w:basedOn w:val="DefaultParagraphFont"/>
    <w:link w:val="Quote"/>
    <w:uiPriority w:val="10"/>
    <w:rPr>
      <w:i/>
      <w:iCs/>
      <w:color w:val="00A0B8" w:themeColor="accent1"/>
      <w:sz w:val="26"/>
      <w14:textFill>
        <w14:solidFill>
          <w14:schemeClr w14:val="accent1">
            <w14:alpha w14:val="30000"/>
          </w14:schemeClr>
        </w14:solidFill>
      </w14:textFill>
    </w:rPr>
  </w:style>
  <w:style w:type="paragraph" w:styleId="TOCHeading">
    <w:name w:val="TOC Heading"/>
    <w:basedOn w:val="Heading1"/>
    <w:next w:val="Normal"/>
    <w:uiPriority w:val="39"/>
    <w:unhideWhenUsed/>
    <w:qFormat/>
    <w:pPr>
      <w:spacing w:before="0"/>
      <w:outlineLvl w:val="9"/>
    </w:pPr>
  </w:style>
  <w:style w:type="paragraph" w:styleId="Footer">
    <w:name w:val="footer"/>
    <w:basedOn w:val="Normal"/>
    <w:link w:val="FooterChar"/>
    <w:uiPriority w:val="99"/>
    <w:unhideWhenUsed/>
    <w:pPr>
      <w:spacing w:before="0" w:after="0" w:line="240" w:lineRule="auto"/>
      <w:jc w:val="right"/>
    </w:pPr>
    <w:rPr>
      <w:caps/>
      <w:sz w:val="16"/>
    </w:rPr>
  </w:style>
  <w:style w:type="character" w:customStyle="1" w:styleId="FooterChar">
    <w:name w:val="Footer Char"/>
    <w:basedOn w:val="DefaultParagraphFont"/>
    <w:link w:val="Footer"/>
    <w:uiPriority w:val="99"/>
    <w:rPr>
      <w:caps/>
      <w:sz w:val="16"/>
    </w:rPr>
  </w:style>
  <w:style w:type="paragraph" w:styleId="TOC3">
    <w:name w:val="toc 3"/>
    <w:basedOn w:val="Normal"/>
    <w:next w:val="Normal"/>
    <w:autoRedefine/>
    <w:uiPriority w:val="39"/>
    <w:unhideWhenUsed/>
    <w:pPr>
      <w:spacing w:after="100"/>
      <w:ind w:left="400"/>
    </w:pPr>
    <w:rPr>
      <w:i/>
      <w:iCs/>
    </w:rPr>
  </w:style>
  <w:style w:type="character" w:styleId="Hyperlink">
    <w:name w:val="Hyperlink"/>
    <w:basedOn w:val="DefaultParagraphFont"/>
    <w:uiPriority w:val="99"/>
    <w:unhideWhenUsed/>
    <w:rPr>
      <w:color w:val="EB8803" w:themeColor="hyperlink"/>
      <w:u w:val="single"/>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0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paragraph" w:styleId="Bibliography">
    <w:name w:val="Bibliography"/>
    <w:basedOn w:val="Normal"/>
    <w:next w:val="Normal"/>
    <w:uiPriority w:val="39"/>
    <w:unhideWhenUsed/>
  </w:style>
  <w:style w:type="paragraph" w:styleId="Header">
    <w:name w:val="header"/>
    <w:basedOn w:val="Normal"/>
    <w:link w:val="HeaderChar"/>
    <w:uiPriority w:val="99"/>
    <w:unhideWhenUsed/>
    <w:pPr>
      <w:spacing w:before="0" w:after="0" w:line="240" w:lineRule="auto"/>
    </w:pPr>
  </w:style>
  <w:style w:type="character" w:customStyle="1" w:styleId="HeaderChar">
    <w:name w:val="Header Char"/>
    <w:basedOn w:val="DefaultParagraphFont"/>
    <w:link w:val="Header"/>
    <w:uiPriority w:val="99"/>
  </w:style>
  <w:style w:type="paragraph" w:styleId="NormalIndent">
    <w:name w:val="Normal Indent"/>
    <w:basedOn w:val="Normal"/>
    <w:uiPriority w:val="99"/>
    <w:unhideWhenUsed/>
    <w:pPr>
      <w:ind w:left="720"/>
    </w:pPr>
  </w:style>
  <w:style w:type="character" w:styleId="PlaceholderText">
    <w:name w:val="Placeholder Text"/>
    <w:basedOn w:val="DefaultParagraphFont"/>
    <w:uiPriority w:val="99"/>
    <w:semiHidden/>
    <w:rPr>
      <w:color w:val="808080"/>
    </w:rPr>
  </w:style>
  <w:style w:type="table" w:customStyle="1" w:styleId="ReportTable">
    <w:name w:val="Report Table"/>
    <w:basedOn w:val="TableNormal"/>
    <w:uiPriority w:val="99"/>
    <w:pPr>
      <w:spacing w:before="60" w:after="60" w:line="240" w:lineRule="auto"/>
      <w:jc w:val="center"/>
    </w:pPr>
    <w:tblPr>
      <w:tblBorders>
        <w:top w:val="single" w:sz="4" w:space="0" w:color="00A0B8" w:themeColor="accent1"/>
        <w:left w:val="single" w:sz="4" w:space="0" w:color="00A0B8" w:themeColor="accent1"/>
        <w:bottom w:val="single" w:sz="4" w:space="0" w:color="00A0B8" w:themeColor="accent1"/>
        <w:right w:val="single" w:sz="4" w:space="0" w:color="00A0B8" w:themeColor="accent1"/>
        <w:insideH w:val="single" w:sz="4" w:space="0" w:color="00A0B8" w:themeColor="accent1"/>
        <w:insideV w:val="single" w:sz="4" w:space="0" w:color="00A0B8" w:themeColor="accent1"/>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B2534"/>
    <w:pPr>
      <w:spacing w:before="0" w:after="0" w:line="240" w:lineRule="auto"/>
    </w:pPr>
  </w:style>
  <w:style w:type="character" w:customStyle="1" w:styleId="FootnoteTextChar">
    <w:name w:val="Footnote Text Char"/>
    <w:basedOn w:val="DefaultParagraphFont"/>
    <w:link w:val="FootnoteText"/>
    <w:uiPriority w:val="99"/>
    <w:semiHidden/>
    <w:rsid w:val="006B2534"/>
  </w:style>
  <w:style w:type="character" w:styleId="FootnoteReference">
    <w:name w:val="footnote reference"/>
    <w:basedOn w:val="DefaultParagraphFont"/>
    <w:uiPriority w:val="99"/>
    <w:semiHidden/>
    <w:unhideWhenUsed/>
    <w:rsid w:val="006B2534"/>
    <w:rPr>
      <w:vertAlign w:val="superscript"/>
    </w:rPr>
  </w:style>
  <w:style w:type="paragraph" w:styleId="CommentText">
    <w:name w:val="annotation text"/>
    <w:basedOn w:val="Normal"/>
    <w:link w:val="CommentTextChar"/>
    <w:uiPriority w:val="99"/>
    <w:semiHidden/>
    <w:unhideWhenUsed/>
    <w:rsid w:val="002A7366"/>
    <w:pPr>
      <w:spacing w:line="240" w:lineRule="auto"/>
    </w:pPr>
  </w:style>
  <w:style w:type="character" w:customStyle="1" w:styleId="CommentTextChar">
    <w:name w:val="Comment Text Char"/>
    <w:basedOn w:val="DefaultParagraphFont"/>
    <w:link w:val="CommentText"/>
    <w:uiPriority w:val="99"/>
    <w:semiHidden/>
    <w:rsid w:val="002A7366"/>
  </w:style>
  <w:style w:type="paragraph" w:styleId="CommentSubject">
    <w:name w:val="annotation subject"/>
    <w:basedOn w:val="CommentText"/>
    <w:next w:val="CommentText"/>
    <w:link w:val="CommentSubjectChar"/>
    <w:uiPriority w:val="99"/>
    <w:semiHidden/>
    <w:unhideWhenUsed/>
    <w:rsid w:val="002A7366"/>
    <w:pPr>
      <w:spacing w:before="0"/>
    </w:pPr>
    <w:rPr>
      <w:rFonts w:eastAsiaTheme="minorEastAsia"/>
      <w:b/>
      <w:bCs/>
      <w:color w:val="auto"/>
      <w:lang w:eastAsia="zh-CN"/>
    </w:rPr>
  </w:style>
  <w:style w:type="character" w:customStyle="1" w:styleId="CommentSubjectChar">
    <w:name w:val="Comment Subject Char"/>
    <w:basedOn w:val="CommentTextChar"/>
    <w:link w:val="CommentSubject"/>
    <w:uiPriority w:val="99"/>
    <w:semiHidden/>
    <w:rsid w:val="002A7366"/>
    <w:rPr>
      <w:rFonts w:eastAsiaTheme="minorEastAsia"/>
      <w:b/>
      <w:bCs/>
      <w:color w:val="auto"/>
      <w:lang w:eastAsia="zh-CN"/>
    </w:rPr>
  </w:style>
  <w:style w:type="character" w:styleId="CommentReference">
    <w:name w:val="annotation reference"/>
    <w:basedOn w:val="DefaultParagraphFont"/>
    <w:uiPriority w:val="99"/>
    <w:semiHidden/>
    <w:unhideWhenUsed/>
    <w:rsid w:val="00F46C38"/>
    <w:rPr>
      <w:sz w:val="16"/>
      <w:szCs w:val="16"/>
    </w:rPr>
  </w:style>
  <w:style w:type="paragraph" w:styleId="Revision">
    <w:name w:val="Revision"/>
    <w:hidden/>
    <w:uiPriority w:val="99"/>
    <w:semiHidden/>
    <w:rsid w:val="00F46C38"/>
    <w:pPr>
      <w:spacing w:before="0" w:after="0" w:line="240" w:lineRule="auto"/>
    </w:pPr>
  </w:style>
  <w:style w:type="paragraph" w:styleId="BodyText">
    <w:name w:val="Body Text"/>
    <w:basedOn w:val="Normal"/>
    <w:link w:val="BodyTextChar"/>
    <w:uiPriority w:val="99"/>
    <w:semiHidden/>
    <w:unhideWhenUsed/>
    <w:rsid w:val="008F299E"/>
    <w:pPr>
      <w:spacing w:before="0" w:after="120" w:line="276" w:lineRule="auto"/>
    </w:pPr>
    <w:rPr>
      <w:rFonts w:ascii="Times New Roman" w:hAnsi="Times New Roman"/>
      <w:color w:val="auto"/>
      <w:sz w:val="24"/>
      <w:szCs w:val="22"/>
      <w:lang w:eastAsia="en-US"/>
    </w:rPr>
  </w:style>
  <w:style w:type="character" w:customStyle="1" w:styleId="BodyTextChar">
    <w:name w:val="Body Text Char"/>
    <w:basedOn w:val="DefaultParagraphFont"/>
    <w:link w:val="BodyText"/>
    <w:uiPriority w:val="99"/>
    <w:semiHidden/>
    <w:rsid w:val="008F299E"/>
    <w:rPr>
      <w:rFonts w:ascii="Times New Roman" w:hAnsi="Times New Roman"/>
      <w:color w:val="auto"/>
      <w:sz w:val="24"/>
      <w:szCs w:val="22"/>
      <w:lang w:eastAsia="en-US"/>
    </w:rPr>
  </w:style>
  <w:style w:type="character" w:styleId="FollowedHyperlink">
    <w:name w:val="FollowedHyperlink"/>
    <w:basedOn w:val="DefaultParagraphFont"/>
    <w:uiPriority w:val="99"/>
    <w:semiHidden/>
    <w:unhideWhenUsed/>
    <w:rsid w:val="00FF4BA0"/>
    <w:rPr>
      <w:color w:val="5F7791" w:themeColor="followedHyperlink"/>
      <w:u w:val="single"/>
    </w:rPr>
  </w:style>
  <w:style w:type="paragraph" w:styleId="ListParagraph">
    <w:name w:val="List Paragraph"/>
    <w:basedOn w:val="Normal"/>
    <w:uiPriority w:val="34"/>
    <w:qFormat/>
    <w:rsid w:val="00C8631A"/>
    <w:pPr>
      <w:spacing w:before="0" w:after="0" w:line="240" w:lineRule="auto"/>
      <w:ind w:left="720"/>
      <w:contextualSpacing/>
    </w:pPr>
    <w:rPr>
      <w:rFonts w:ascii="Times New Roman" w:eastAsia="Times New Roman"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584785">
      <w:bodyDiv w:val="1"/>
      <w:marLeft w:val="0"/>
      <w:marRight w:val="0"/>
      <w:marTop w:val="0"/>
      <w:marBottom w:val="0"/>
      <w:divBdr>
        <w:top w:val="none" w:sz="0" w:space="0" w:color="auto"/>
        <w:left w:val="none" w:sz="0" w:space="0" w:color="auto"/>
        <w:bottom w:val="none" w:sz="0" w:space="0" w:color="auto"/>
        <w:right w:val="none" w:sz="0" w:space="0" w:color="auto"/>
      </w:divBdr>
    </w:div>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nergystar.gov/buildings/facility-owners-and-managers/existing-buildings/use-portfolio-manager/understand-metrics/differ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ce\AppData\Roaming\Microsoft\Templates\Student%20report%20with%20cover%20photo.dotx" TargetMode="External"/></Relationships>
</file>

<file path=word/theme/theme1.xml><?xml version="1.0" encoding="utf-8"?>
<a:theme xmlns:a="http://schemas.openxmlformats.org/drawingml/2006/main" name="Student Report">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60FB7A06EC0A4287672D91D8331009" ma:contentTypeVersion="104" ma:contentTypeDescription="" ma:contentTypeScope="" ma:versionID="4fc58195969815c35114c24e48bb6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Plan</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2016-04-29T07:00:00+00:00</OpenedDate>
    <Date1 xmlns="dc463f71-b30c-4ab2-9473-d307f9d35888">2016-12-14T08:00:00+00:00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160453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0FBFC1-20B5-4E60-B0B7-6104A842145F}"/>
</file>

<file path=customXml/itemProps3.xml><?xml version="1.0" encoding="utf-8"?>
<ds:datastoreItem xmlns:ds="http://schemas.openxmlformats.org/officeDocument/2006/customXml" ds:itemID="{6554A89A-17FE-465D-A154-ED26752F52EC}">
  <ds:schemaRefs>
    <ds:schemaRef ds:uri="http://schemas.openxmlformats.org/officeDocument/2006/bibliography"/>
  </ds:schemaRefs>
</ds:datastoreItem>
</file>

<file path=customXml/itemProps4.xml><?xml version="1.0" encoding="utf-8"?>
<ds:datastoreItem xmlns:ds="http://schemas.openxmlformats.org/officeDocument/2006/customXml" ds:itemID="{97D1512A-116A-40A4-AA2D-822EFDC1EFF2}"/>
</file>

<file path=customXml/itemProps5.xml><?xml version="1.0" encoding="utf-8"?>
<ds:datastoreItem xmlns:ds="http://schemas.openxmlformats.org/officeDocument/2006/customXml" ds:itemID="{270D9D39-DB34-4BB6-8B63-3FD3EDFF7043}"/>
</file>

<file path=customXml/itemProps6.xml><?xml version="1.0" encoding="utf-8"?>
<ds:datastoreItem xmlns:ds="http://schemas.openxmlformats.org/officeDocument/2006/customXml" ds:itemID="{0641E71A-9599-4E9C-ACDF-6AEDA32826FE}"/>
</file>

<file path=docProps/app.xml><?xml version="1.0" encoding="utf-8"?>
<Properties xmlns="http://schemas.openxmlformats.org/officeDocument/2006/extended-properties" xmlns:vt="http://schemas.openxmlformats.org/officeDocument/2006/docPropsVTypes">
  <Template>Student report with cover photo.dotx</Template>
  <TotalTime>6</TotalTime>
  <Pages>18</Pages>
  <Words>5550</Words>
  <Characters>31640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IRP Carbon Assumptions</vt:lpstr>
    </vt:vector>
  </TitlesOfParts>
  <Company>MDU Resoures Group</Company>
  <LinksUpToDate>false</LinksUpToDate>
  <CharactersWithSpaces>37116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IRP Carbon Assumptions</dc:title>
  <dc:subject>submitted to cascade natural gas corporation</dc:subject>
  <dc:creator>Bruce Folsom</dc:creator>
  <cp:lastModifiedBy>McGreal, Devin</cp:lastModifiedBy>
  <cp:revision>3</cp:revision>
  <cp:lastPrinted>2016-08-22T16:55:00Z</cp:lastPrinted>
  <dcterms:created xsi:type="dcterms:W3CDTF">2016-12-12T16:37:00Z</dcterms:created>
  <dcterms:modified xsi:type="dcterms:W3CDTF">2016-12-12T22:02:00Z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TC028350589991</vt:lpwstr>
  </property>
  <property fmtid="{D5CDD505-2E9C-101B-9397-08002B2CF9AE}" pid="3" name="ContentTypeId">
    <vt:lpwstr>0x0101006E56B4D1795A2E4DB2F0B01679ED314A009E60FB7A06EC0A4287672D91D8331009</vt:lpwstr>
  </property>
  <property fmtid="{D5CDD505-2E9C-101B-9397-08002B2CF9AE}" pid="4" name="_docset_NoMedatataSyncRequired">
    <vt:lpwstr>False</vt:lpwstr>
  </property>
</Properties>
</file>