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5B" w:rsidRPr="00C627FF" w:rsidRDefault="00C627FF" w:rsidP="00683C14">
      <w:pPr>
        <w:rPr>
          <w:b/>
          <w:sz w:val="20"/>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bookmarkStart w:id="0" w:name="_GoBack"/>
      <w:bookmarkEnd w:id="0"/>
      <w:r>
        <w:rPr>
          <w:sz w:val="25"/>
          <w:szCs w:val="25"/>
        </w:rPr>
        <w:tab/>
      </w:r>
      <w:r w:rsidRPr="00C627FF">
        <w:rPr>
          <w:b/>
          <w:sz w:val="20"/>
        </w:rPr>
        <w:t>[Service Date January 10, 2011]</w:t>
      </w:r>
    </w:p>
    <w:p w:rsidR="00B2055B" w:rsidRDefault="00B2055B" w:rsidP="00683C14">
      <w:pPr>
        <w:rPr>
          <w:sz w:val="25"/>
          <w:szCs w:val="25"/>
        </w:rPr>
      </w:pPr>
    </w:p>
    <w:p w:rsidR="007927C2" w:rsidRPr="00683C14" w:rsidRDefault="007927C2" w:rsidP="00683C14">
      <w:pPr>
        <w:rPr>
          <w:sz w:val="25"/>
          <w:szCs w:val="25"/>
        </w:rPr>
      </w:pPr>
    </w:p>
    <w:p w:rsidR="00B2055B" w:rsidRPr="00683C14" w:rsidRDefault="00B2055B" w:rsidP="00683C14">
      <w:pPr>
        <w:rPr>
          <w:sz w:val="25"/>
          <w:szCs w:val="25"/>
        </w:rPr>
      </w:pPr>
    </w:p>
    <w:p w:rsidR="00B2055B" w:rsidRPr="00683C14" w:rsidRDefault="00B2055B" w:rsidP="00683C14">
      <w:pPr>
        <w:rPr>
          <w:sz w:val="25"/>
          <w:szCs w:val="25"/>
        </w:rPr>
      </w:pPr>
    </w:p>
    <w:p w:rsidR="00A364F2" w:rsidRPr="00683C14" w:rsidRDefault="00A364F2" w:rsidP="00683C14">
      <w:pPr>
        <w:rPr>
          <w:sz w:val="25"/>
          <w:szCs w:val="25"/>
        </w:rPr>
      </w:pPr>
    </w:p>
    <w:p w:rsidR="00054B4C" w:rsidRPr="00683C14" w:rsidRDefault="00B95291" w:rsidP="00683C14">
      <w:pPr>
        <w:jc w:val="center"/>
        <w:rPr>
          <w:sz w:val="25"/>
          <w:szCs w:val="25"/>
        </w:rPr>
      </w:pPr>
      <w:r w:rsidRPr="00683C14">
        <w:rPr>
          <w:sz w:val="25"/>
          <w:szCs w:val="25"/>
        </w:rPr>
        <w:t xml:space="preserve">January </w:t>
      </w:r>
      <w:r w:rsidR="002C769F" w:rsidRPr="00683C14">
        <w:rPr>
          <w:sz w:val="25"/>
          <w:szCs w:val="25"/>
        </w:rPr>
        <w:t>10</w:t>
      </w:r>
      <w:r w:rsidRPr="00683C14">
        <w:rPr>
          <w:sz w:val="25"/>
          <w:szCs w:val="25"/>
        </w:rPr>
        <w:t>, 2011</w:t>
      </w:r>
    </w:p>
    <w:p w:rsidR="00054B4C" w:rsidRDefault="00054B4C" w:rsidP="00683C14">
      <w:pPr>
        <w:rPr>
          <w:sz w:val="25"/>
          <w:szCs w:val="25"/>
        </w:rPr>
      </w:pPr>
    </w:p>
    <w:p w:rsidR="00550E14" w:rsidRDefault="00550E14" w:rsidP="00683C14">
      <w:pPr>
        <w:rPr>
          <w:sz w:val="25"/>
          <w:szCs w:val="25"/>
        </w:rPr>
      </w:pPr>
    </w:p>
    <w:p w:rsidR="00550E14" w:rsidRPr="00683C14" w:rsidRDefault="00550E14" w:rsidP="00683C14">
      <w:pPr>
        <w:rPr>
          <w:sz w:val="25"/>
          <w:szCs w:val="25"/>
        </w:rPr>
      </w:pPr>
    </w:p>
    <w:p w:rsidR="00A364F2" w:rsidRPr="00683C14" w:rsidRDefault="00A364F2" w:rsidP="00683C14">
      <w:pPr>
        <w:rPr>
          <w:sz w:val="25"/>
          <w:szCs w:val="25"/>
        </w:rPr>
      </w:pPr>
    </w:p>
    <w:p w:rsidR="001622BC" w:rsidRPr="00683C14" w:rsidRDefault="00A364F2" w:rsidP="00683C14">
      <w:pPr>
        <w:jc w:val="center"/>
        <w:rPr>
          <w:b/>
          <w:sz w:val="25"/>
          <w:szCs w:val="25"/>
        </w:rPr>
      </w:pPr>
      <w:r w:rsidRPr="00683C14">
        <w:rPr>
          <w:b/>
          <w:sz w:val="25"/>
          <w:szCs w:val="25"/>
        </w:rPr>
        <w:t>TECHNICAL ASSISTANCE REGARDING FUEL SURCHARGE FILINGS</w:t>
      </w:r>
    </w:p>
    <w:p w:rsidR="00A364F2" w:rsidRPr="00683C14" w:rsidRDefault="00A364F2" w:rsidP="00683C14">
      <w:pPr>
        <w:jc w:val="center"/>
        <w:rPr>
          <w:b/>
          <w:sz w:val="25"/>
          <w:szCs w:val="25"/>
        </w:rPr>
      </w:pPr>
      <w:r w:rsidRPr="00683C14">
        <w:rPr>
          <w:b/>
          <w:sz w:val="25"/>
          <w:szCs w:val="25"/>
        </w:rPr>
        <w:t>AND FUEL FILINGS</w:t>
      </w:r>
    </w:p>
    <w:p w:rsidR="00A364F2" w:rsidRDefault="00A364F2" w:rsidP="00683C14">
      <w:pPr>
        <w:rPr>
          <w:sz w:val="25"/>
          <w:szCs w:val="25"/>
        </w:rPr>
      </w:pPr>
    </w:p>
    <w:p w:rsidR="00550E14" w:rsidRPr="00683C14" w:rsidRDefault="00550E14" w:rsidP="00683C14">
      <w:pPr>
        <w:rPr>
          <w:sz w:val="25"/>
          <w:szCs w:val="25"/>
        </w:rPr>
      </w:pPr>
    </w:p>
    <w:p w:rsidR="00A364F2" w:rsidRPr="00683C14" w:rsidRDefault="00A364F2" w:rsidP="00683C14">
      <w:pPr>
        <w:rPr>
          <w:sz w:val="25"/>
          <w:szCs w:val="25"/>
        </w:rPr>
      </w:pPr>
    </w:p>
    <w:p w:rsidR="00A364F2" w:rsidRPr="00683C14" w:rsidRDefault="00A364F2" w:rsidP="00683C14">
      <w:pPr>
        <w:rPr>
          <w:sz w:val="25"/>
          <w:szCs w:val="25"/>
        </w:rPr>
      </w:pPr>
    </w:p>
    <w:p w:rsidR="00A364F2" w:rsidRPr="00683C14" w:rsidRDefault="00A364F2" w:rsidP="00683C14">
      <w:pPr>
        <w:rPr>
          <w:sz w:val="25"/>
          <w:szCs w:val="25"/>
        </w:rPr>
      </w:pPr>
      <w:r w:rsidRPr="00683C14">
        <w:rPr>
          <w:sz w:val="25"/>
          <w:szCs w:val="25"/>
        </w:rPr>
        <w:t>RE:</w:t>
      </w:r>
      <w:r w:rsidRPr="00683C14">
        <w:rPr>
          <w:sz w:val="25"/>
          <w:szCs w:val="25"/>
        </w:rPr>
        <w:tab/>
        <w:t>Fuel Surcharge Inquiry</w:t>
      </w:r>
    </w:p>
    <w:p w:rsidR="00A364F2" w:rsidRPr="00683C14" w:rsidRDefault="00A364F2" w:rsidP="00683C14">
      <w:pPr>
        <w:rPr>
          <w:sz w:val="25"/>
          <w:szCs w:val="25"/>
        </w:rPr>
      </w:pPr>
      <w:r w:rsidRPr="00683C14">
        <w:rPr>
          <w:sz w:val="25"/>
          <w:szCs w:val="25"/>
        </w:rPr>
        <w:tab/>
        <w:t>Docket T-101661</w:t>
      </w:r>
    </w:p>
    <w:p w:rsidR="00A364F2" w:rsidRPr="00683C14" w:rsidRDefault="00A364F2" w:rsidP="00683C14">
      <w:pPr>
        <w:rPr>
          <w:sz w:val="25"/>
          <w:szCs w:val="25"/>
        </w:rPr>
      </w:pPr>
    </w:p>
    <w:p w:rsidR="00054B4C" w:rsidRPr="00683C14" w:rsidRDefault="00EC56E2" w:rsidP="007927C2">
      <w:pPr>
        <w:ind w:left="720" w:hanging="720"/>
        <w:rPr>
          <w:sz w:val="25"/>
          <w:szCs w:val="25"/>
        </w:rPr>
      </w:pPr>
      <w:r w:rsidRPr="00683C14">
        <w:rPr>
          <w:sz w:val="25"/>
          <w:szCs w:val="25"/>
        </w:rPr>
        <w:t>TO</w:t>
      </w:r>
      <w:r w:rsidR="00AB57C2" w:rsidRPr="00683C14">
        <w:rPr>
          <w:sz w:val="25"/>
          <w:szCs w:val="25"/>
        </w:rPr>
        <w:t>:</w:t>
      </w:r>
      <w:r w:rsidR="00AB57C2" w:rsidRPr="00683C14">
        <w:rPr>
          <w:sz w:val="25"/>
          <w:szCs w:val="25"/>
        </w:rPr>
        <w:tab/>
      </w:r>
      <w:r w:rsidRPr="00683C14">
        <w:rPr>
          <w:sz w:val="25"/>
          <w:szCs w:val="25"/>
        </w:rPr>
        <w:t xml:space="preserve">REGULATED </w:t>
      </w:r>
      <w:r w:rsidR="00AB57C2" w:rsidRPr="00683C14">
        <w:rPr>
          <w:sz w:val="25"/>
          <w:szCs w:val="25"/>
        </w:rPr>
        <w:t xml:space="preserve">SOLID WASTE, </w:t>
      </w:r>
      <w:r w:rsidRPr="00683C14">
        <w:rPr>
          <w:sz w:val="25"/>
          <w:szCs w:val="25"/>
        </w:rPr>
        <w:t xml:space="preserve">AUTO TRANSPORTATION </w:t>
      </w:r>
      <w:r w:rsidR="00AB57C2" w:rsidRPr="00683C14">
        <w:rPr>
          <w:sz w:val="25"/>
          <w:szCs w:val="25"/>
        </w:rPr>
        <w:t>AND COMMERCIAL FERRY COMPANIES</w:t>
      </w:r>
    </w:p>
    <w:p w:rsidR="001622BC" w:rsidRPr="00683C14" w:rsidRDefault="001622BC" w:rsidP="00683C14">
      <w:pPr>
        <w:rPr>
          <w:sz w:val="25"/>
          <w:szCs w:val="25"/>
        </w:rPr>
      </w:pPr>
    </w:p>
    <w:p w:rsidR="00F82B9B" w:rsidRPr="00683C14" w:rsidRDefault="00FF41A6" w:rsidP="00683C14">
      <w:pPr>
        <w:rPr>
          <w:sz w:val="25"/>
          <w:szCs w:val="25"/>
        </w:rPr>
      </w:pPr>
      <w:r w:rsidRPr="00683C14">
        <w:rPr>
          <w:sz w:val="25"/>
          <w:szCs w:val="25"/>
        </w:rPr>
        <w:t>Effective January 31, 2011, t</w:t>
      </w:r>
      <w:r w:rsidR="00502BCA" w:rsidRPr="00683C14">
        <w:rPr>
          <w:sz w:val="25"/>
          <w:szCs w:val="25"/>
        </w:rPr>
        <w:t xml:space="preserve">he </w:t>
      </w:r>
      <w:r w:rsidR="00772A27" w:rsidRPr="00683C14">
        <w:rPr>
          <w:sz w:val="25"/>
          <w:szCs w:val="25"/>
        </w:rPr>
        <w:t xml:space="preserve">Washington Utilities and Transportation </w:t>
      </w:r>
      <w:r w:rsidR="00502BCA" w:rsidRPr="00683C14">
        <w:rPr>
          <w:sz w:val="25"/>
          <w:szCs w:val="25"/>
        </w:rPr>
        <w:t>Commission</w:t>
      </w:r>
      <w:r w:rsidR="00772A27" w:rsidRPr="00683C14">
        <w:rPr>
          <w:sz w:val="25"/>
          <w:szCs w:val="25"/>
        </w:rPr>
        <w:t xml:space="preserve"> (commission)</w:t>
      </w:r>
      <w:r w:rsidR="00502BCA" w:rsidRPr="00683C14">
        <w:rPr>
          <w:sz w:val="25"/>
          <w:szCs w:val="25"/>
        </w:rPr>
        <w:t xml:space="preserve"> rescinded </w:t>
      </w:r>
      <w:r w:rsidRPr="00683C14">
        <w:rPr>
          <w:sz w:val="25"/>
          <w:szCs w:val="25"/>
        </w:rPr>
        <w:t xml:space="preserve">Order 02 in Docket A-042090 which </w:t>
      </w:r>
      <w:r w:rsidR="00C5727E" w:rsidRPr="00683C14">
        <w:rPr>
          <w:sz w:val="25"/>
          <w:szCs w:val="25"/>
        </w:rPr>
        <w:t xml:space="preserve">authorized the secretary to </w:t>
      </w:r>
      <w:r w:rsidRPr="00683C14">
        <w:rPr>
          <w:sz w:val="25"/>
          <w:szCs w:val="25"/>
        </w:rPr>
        <w:t>permit</w:t>
      </w:r>
      <w:r w:rsidR="00C5727E" w:rsidRPr="00683C14">
        <w:rPr>
          <w:sz w:val="25"/>
          <w:szCs w:val="25"/>
        </w:rPr>
        <w:t xml:space="preserve"> temporary fuel surcharges for auto transportation, commercial ferry and household goods companies </w:t>
      </w:r>
      <w:r w:rsidRPr="00683C14">
        <w:rPr>
          <w:sz w:val="25"/>
          <w:szCs w:val="25"/>
        </w:rPr>
        <w:t xml:space="preserve">to go into effect </w:t>
      </w:r>
      <w:r w:rsidR="00C5727E" w:rsidRPr="00683C14">
        <w:rPr>
          <w:sz w:val="25"/>
          <w:szCs w:val="25"/>
        </w:rPr>
        <w:t>on less than statutory notice and without notice to customers</w:t>
      </w:r>
      <w:r w:rsidRPr="00683C14">
        <w:rPr>
          <w:sz w:val="25"/>
          <w:szCs w:val="25"/>
        </w:rPr>
        <w:t>,</w:t>
      </w:r>
      <w:r w:rsidR="00C5727E" w:rsidRPr="00683C14">
        <w:rPr>
          <w:sz w:val="25"/>
          <w:szCs w:val="25"/>
        </w:rPr>
        <w:t xml:space="preserve"> provided the companies filed </w:t>
      </w:r>
      <w:r w:rsidRPr="00683C14">
        <w:rPr>
          <w:sz w:val="25"/>
          <w:szCs w:val="25"/>
        </w:rPr>
        <w:t>specified</w:t>
      </w:r>
      <w:r w:rsidR="00C5727E" w:rsidRPr="00683C14">
        <w:rPr>
          <w:sz w:val="25"/>
          <w:szCs w:val="25"/>
        </w:rPr>
        <w:t xml:space="preserve"> documents to support the calculation of the proposed fuel surcharge. Th</w:t>
      </w:r>
      <w:r w:rsidRPr="00683C14">
        <w:rPr>
          <w:sz w:val="25"/>
          <w:szCs w:val="25"/>
        </w:rPr>
        <w:t>e commission</w:t>
      </w:r>
      <w:r w:rsidR="002C769F" w:rsidRPr="00683C14">
        <w:rPr>
          <w:sz w:val="25"/>
          <w:szCs w:val="25"/>
        </w:rPr>
        <w:t>’s</w:t>
      </w:r>
      <w:r w:rsidRPr="00683C14">
        <w:rPr>
          <w:sz w:val="25"/>
          <w:szCs w:val="25"/>
        </w:rPr>
        <w:t xml:space="preserve"> rescission of Order 02</w:t>
      </w:r>
      <w:r w:rsidR="00C5727E" w:rsidRPr="00683C14">
        <w:rPr>
          <w:sz w:val="25"/>
          <w:szCs w:val="25"/>
        </w:rPr>
        <w:t xml:space="preserve"> also </w:t>
      </w:r>
      <w:r w:rsidRPr="00683C14">
        <w:rPr>
          <w:sz w:val="25"/>
          <w:szCs w:val="25"/>
        </w:rPr>
        <w:t>ends</w:t>
      </w:r>
      <w:r w:rsidR="00C5727E" w:rsidRPr="00683C14">
        <w:rPr>
          <w:sz w:val="25"/>
          <w:szCs w:val="25"/>
        </w:rPr>
        <w:t xml:space="preserve"> a similar process informally adopted for solid waste companies</w:t>
      </w:r>
      <w:r w:rsidR="00502BCA" w:rsidRPr="00683C14">
        <w:rPr>
          <w:sz w:val="25"/>
          <w:szCs w:val="25"/>
        </w:rPr>
        <w:t>.</w:t>
      </w:r>
    </w:p>
    <w:p w:rsidR="00A364F2" w:rsidRPr="00683C14" w:rsidRDefault="00A364F2" w:rsidP="00683C14">
      <w:pPr>
        <w:rPr>
          <w:sz w:val="25"/>
          <w:szCs w:val="25"/>
        </w:rPr>
      </w:pPr>
    </w:p>
    <w:p w:rsidR="00A364F2" w:rsidRPr="00683C14" w:rsidRDefault="008A36D8" w:rsidP="00683C14">
      <w:pPr>
        <w:rPr>
          <w:sz w:val="25"/>
          <w:szCs w:val="25"/>
        </w:rPr>
      </w:pPr>
      <w:r w:rsidRPr="00683C14">
        <w:rPr>
          <w:sz w:val="25"/>
          <w:szCs w:val="25"/>
        </w:rPr>
        <w:t xml:space="preserve">This </w:t>
      </w:r>
      <w:r w:rsidR="00B2055B" w:rsidRPr="00683C14">
        <w:rPr>
          <w:sz w:val="25"/>
          <w:szCs w:val="25"/>
        </w:rPr>
        <w:t xml:space="preserve">letter provides technical assistance to companies regarding </w:t>
      </w:r>
      <w:r w:rsidRPr="00683C14">
        <w:rPr>
          <w:sz w:val="25"/>
          <w:szCs w:val="25"/>
        </w:rPr>
        <w:t xml:space="preserve">fuel surcharge filing requirements through January 25, 2011, and the tariff filing requirements after </w:t>
      </w:r>
      <w:r w:rsidR="00867978" w:rsidRPr="00683C14">
        <w:rPr>
          <w:sz w:val="25"/>
          <w:szCs w:val="25"/>
        </w:rPr>
        <w:t xml:space="preserve">January 25, 2011, </w:t>
      </w:r>
      <w:r w:rsidRPr="00683C14">
        <w:rPr>
          <w:sz w:val="25"/>
          <w:szCs w:val="25"/>
        </w:rPr>
        <w:t>if the commission does not take action to amend the current decision that will become effective January 31, 2011.</w:t>
      </w:r>
      <w:r w:rsidR="00A364F2" w:rsidRPr="00683C14">
        <w:rPr>
          <w:rStyle w:val="FootnoteReference"/>
          <w:sz w:val="25"/>
          <w:szCs w:val="25"/>
        </w:rPr>
        <w:t xml:space="preserve"> </w:t>
      </w:r>
      <w:r w:rsidR="00E275BE" w:rsidRPr="00683C14">
        <w:rPr>
          <w:rStyle w:val="FootnoteReference"/>
          <w:sz w:val="25"/>
          <w:szCs w:val="25"/>
        </w:rPr>
        <w:footnoteReference w:id="1"/>
      </w:r>
    </w:p>
    <w:p w:rsidR="00205BAE" w:rsidRPr="00683C14" w:rsidRDefault="00205BAE" w:rsidP="00683C14">
      <w:pPr>
        <w:rPr>
          <w:rFonts w:eastAsiaTheme="minorHAnsi" w:cstheme="minorBidi"/>
          <w:b/>
          <w:sz w:val="25"/>
          <w:szCs w:val="25"/>
          <w:u w:val="single"/>
        </w:rPr>
      </w:pPr>
      <w:r w:rsidRPr="00683C14">
        <w:rPr>
          <w:b/>
          <w:sz w:val="25"/>
          <w:szCs w:val="25"/>
          <w:u w:val="single"/>
        </w:rPr>
        <w:br w:type="page"/>
      </w:r>
    </w:p>
    <w:p w:rsidR="00FB24FF" w:rsidRPr="00683C14" w:rsidRDefault="00DE2D5B" w:rsidP="00280AEC">
      <w:pPr>
        <w:pStyle w:val="NoSpacing"/>
        <w:spacing w:before="240" w:after="120"/>
        <w:jc w:val="center"/>
        <w:rPr>
          <w:b/>
          <w:u w:val="single"/>
        </w:rPr>
      </w:pPr>
      <w:r w:rsidRPr="00683C14">
        <w:rPr>
          <w:b/>
          <w:u w:val="single"/>
        </w:rPr>
        <w:lastRenderedPageBreak/>
        <w:t>FUEL SURCHARGE FILINGS THROUGH JANUARY 25, 2011</w:t>
      </w:r>
    </w:p>
    <w:p w:rsidR="009D41B9" w:rsidRPr="00683C14" w:rsidRDefault="009D41B9" w:rsidP="000C23D2">
      <w:pPr>
        <w:pStyle w:val="NoSpacing"/>
        <w:spacing w:before="120" w:after="120"/>
      </w:pPr>
      <w:r w:rsidRPr="00683C14">
        <w:t>The diagram below shows timelines to guide companies in making their final fuel surcharge filings using Order 02.</w:t>
      </w:r>
      <w:r w:rsidR="00C00A9E" w:rsidRPr="00683C14">
        <w:t xml:space="preserve">  </w:t>
      </w:r>
    </w:p>
    <w:p w:rsidR="009D41B9" w:rsidRPr="00683C14" w:rsidRDefault="009D41B9" w:rsidP="009D41B9">
      <w:pPr>
        <w:pStyle w:val="NoSpacing"/>
        <w:spacing w:before="120" w:after="120"/>
        <w:jc w:val="center"/>
      </w:pPr>
      <w:r w:rsidRPr="00683C14">
        <w:rPr>
          <w:noProof/>
        </w:rPr>
        <w:drawing>
          <wp:inline distT="0" distB="0" distL="0" distR="0" wp14:anchorId="5C9269F3" wp14:editId="77F78643">
            <wp:extent cx="5724525" cy="3733800"/>
            <wp:effectExtent l="19050" t="19050" r="28575" b="1905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5724525" cy="3733800"/>
                    </a:xfrm>
                    <a:prstGeom prst="rect">
                      <a:avLst/>
                    </a:prstGeom>
                    <a:noFill/>
                    <a:ln w="19050">
                      <a:solidFill>
                        <a:schemeClr val="tx1">
                          <a:lumMod val="95000"/>
                          <a:lumOff val="5000"/>
                        </a:schemeClr>
                      </a:solidFill>
                    </a:ln>
                  </pic:spPr>
                </pic:pic>
              </a:graphicData>
            </a:graphic>
          </wp:inline>
        </w:drawing>
      </w:r>
    </w:p>
    <w:p w:rsidR="00683C14" w:rsidRDefault="00683C14" w:rsidP="00683C14">
      <w:pPr>
        <w:pStyle w:val="NoSpacing"/>
        <w:spacing w:before="120" w:after="120"/>
        <w:jc w:val="center"/>
        <w:rPr>
          <w:b/>
          <w:sz w:val="24"/>
          <w:szCs w:val="24"/>
          <w:u w:val="single"/>
        </w:rPr>
      </w:pPr>
      <w:r w:rsidRPr="00DE2D5B">
        <w:rPr>
          <w:b/>
          <w:sz w:val="24"/>
          <w:szCs w:val="24"/>
          <w:u w:val="single"/>
        </w:rPr>
        <w:t>FUEL FIL</w:t>
      </w:r>
      <w:r>
        <w:rPr>
          <w:b/>
          <w:sz w:val="24"/>
          <w:szCs w:val="24"/>
          <w:u w:val="single"/>
        </w:rPr>
        <w:t>I</w:t>
      </w:r>
      <w:r w:rsidRPr="00DE2D5B">
        <w:rPr>
          <w:b/>
          <w:sz w:val="24"/>
          <w:szCs w:val="24"/>
          <w:u w:val="single"/>
        </w:rPr>
        <w:t>NGS AFTER JANUARY 25, 2011</w:t>
      </w:r>
    </w:p>
    <w:p w:rsidR="00683C14" w:rsidRDefault="00683C14" w:rsidP="00683C14">
      <w:pPr>
        <w:pStyle w:val="NoSpacing"/>
        <w:spacing w:before="120" w:after="120"/>
        <w:rPr>
          <w:sz w:val="24"/>
          <w:szCs w:val="24"/>
        </w:rPr>
      </w:pPr>
      <w:r w:rsidRPr="00A15908">
        <w:rPr>
          <w:sz w:val="24"/>
          <w:szCs w:val="24"/>
        </w:rPr>
        <w:t xml:space="preserve">In the absence of the </w:t>
      </w:r>
      <w:r>
        <w:rPr>
          <w:sz w:val="24"/>
          <w:szCs w:val="24"/>
        </w:rPr>
        <w:t>Order 02</w:t>
      </w:r>
      <w:r w:rsidRPr="00A15908">
        <w:rPr>
          <w:sz w:val="24"/>
          <w:szCs w:val="24"/>
        </w:rPr>
        <w:t xml:space="preserve"> process</w:t>
      </w:r>
      <w:r>
        <w:rPr>
          <w:sz w:val="24"/>
          <w:szCs w:val="24"/>
        </w:rPr>
        <w:t>,</w:t>
      </w:r>
      <w:r w:rsidRPr="00A15908">
        <w:rPr>
          <w:sz w:val="24"/>
          <w:szCs w:val="24"/>
        </w:rPr>
        <w:t xml:space="preserve"> companies wishing to </w:t>
      </w:r>
      <w:r>
        <w:rPr>
          <w:sz w:val="24"/>
          <w:szCs w:val="24"/>
        </w:rPr>
        <w:t xml:space="preserve">recover any </w:t>
      </w:r>
      <w:r w:rsidRPr="00A15908">
        <w:rPr>
          <w:sz w:val="24"/>
          <w:szCs w:val="24"/>
        </w:rPr>
        <w:t>increase</w:t>
      </w:r>
      <w:r>
        <w:rPr>
          <w:sz w:val="24"/>
          <w:szCs w:val="24"/>
        </w:rPr>
        <w:t xml:space="preserve"> in fuel costs since their last rate case may do so only by filing for a rate increase in which the company</w:t>
      </w:r>
      <w:r w:rsidRPr="00A15908">
        <w:rPr>
          <w:sz w:val="24"/>
          <w:szCs w:val="24"/>
        </w:rPr>
        <w:t xml:space="preserve"> must show that the proposed rates are just, fair, reasonable, and sufficient as required by RCW 81.28.010.</w:t>
      </w:r>
    </w:p>
    <w:p w:rsidR="00683C14" w:rsidRDefault="00683C14" w:rsidP="00683C14">
      <w:pPr>
        <w:pStyle w:val="NoSpacing"/>
        <w:spacing w:before="120" w:after="120"/>
        <w:rPr>
          <w:sz w:val="24"/>
          <w:szCs w:val="24"/>
        </w:rPr>
      </w:pPr>
      <w:r>
        <w:rPr>
          <w:sz w:val="24"/>
          <w:szCs w:val="24"/>
        </w:rPr>
        <w:t>Companies may do this by filing a general rate case or filing a single item (fuel) rate case and requesting the appropriate exemptions from rules. Please see Attachment A for the filing requirements for each industry.</w:t>
      </w:r>
    </w:p>
    <w:p w:rsidR="00683C14" w:rsidRPr="00A15908" w:rsidRDefault="00683C14" w:rsidP="00683C14">
      <w:pPr>
        <w:rPr>
          <w:color w:val="000000"/>
        </w:rPr>
      </w:pPr>
      <w:r>
        <w:rPr>
          <w:color w:val="000000"/>
        </w:rPr>
        <w:t>Sh</w:t>
      </w:r>
      <w:r w:rsidRPr="00A15908">
        <w:rPr>
          <w:color w:val="000000"/>
        </w:rPr>
        <w:t>ould you have any questions regarding th</w:t>
      </w:r>
      <w:r>
        <w:rPr>
          <w:color w:val="000000"/>
        </w:rPr>
        <w:t xml:space="preserve">ese filing requirements, please </w:t>
      </w:r>
      <w:r w:rsidRPr="00A15908">
        <w:rPr>
          <w:color w:val="000000"/>
        </w:rPr>
        <w:t>contact Dave Gomez at 360-664-1240 or dgomez@utc.wa.gov.</w:t>
      </w:r>
    </w:p>
    <w:p w:rsidR="00683C14" w:rsidRPr="00683C14" w:rsidRDefault="00683C14" w:rsidP="00683C14">
      <w:pPr>
        <w:pStyle w:val="NoSpacing"/>
      </w:pPr>
    </w:p>
    <w:p w:rsidR="00683C14" w:rsidRPr="00683C14" w:rsidRDefault="00683C14" w:rsidP="00683C14">
      <w:pPr>
        <w:pStyle w:val="NoSpacing"/>
      </w:pPr>
      <w:r w:rsidRPr="00683C14">
        <w:t>Sincerely,</w:t>
      </w:r>
    </w:p>
    <w:p w:rsidR="00683C14" w:rsidRDefault="00683C14" w:rsidP="00683C14">
      <w:pPr>
        <w:pStyle w:val="NoSpacing"/>
      </w:pPr>
    </w:p>
    <w:p w:rsidR="00683C14" w:rsidRPr="00683C14" w:rsidRDefault="00683C14" w:rsidP="00683C14">
      <w:pPr>
        <w:pStyle w:val="NoSpacing"/>
      </w:pPr>
    </w:p>
    <w:p w:rsidR="00683C14" w:rsidRPr="00683C14" w:rsidRDefault="00683C14" w:rsidP="00683C14">
      <w:pPr>
        <w:pStyle w:val="NoSpacing"/>
      </w:pPr>
      <w:r w:rsidRPr="00683C14">
        <w:t>EUGENE K. ECKHARDT</w:t>
      </w:r>
    </w:p>
    <w:p w:rsidR="00A364F2" w:rsidRPr="00683C14" w:rsidRDefault="00683C14" w:rsidP="00683C14">
      <w:pPr>
        <w:pStyle w:val="NoSpacing"/>
      </w:pPr>
      <w:r w:rsidRPr="00683C14">
        <w:t>Assistant Director of Solid Waste, Water and Transportation</w:t>
      </w:r>
    </w:p>
    <w:p w:rsidR="00000000" w:rsidRDefault="00C627FF" w:rsidP="00683C14">
      <w:pPr>
        <w:pStyle w:val="NoSpacing"/>
        <w:rPr>
          <w:b/>
          <w:u w:val="single"/>
        </w:rPr>
      </w:pPr>
    </w:p>
    <w:p w:rsidR="00683C14" w:rsidRPr="00683C14" w:rsidRDefault="00683C14" w:rsidP="00683C14">
      <w:pPr>
        <w:pStyle w:val="NoSpacing"/>
        <w:sectPr w:rsidR="00683C14" w:rsidRPr="00683C14" w:rsidSect="00550E14">
          <w:headerReference w:type="default" r:id="rId11"/>
          <w:pgSz w:w="12240" w:h="15840"/>
          <w:pgMar w:top="1440" w:right="1440" w:bottom="1267" w:left="1800" w:header="1440" w:footer="0" w:gutter="0"/>
          <w:cols w:space="720"/>
          <w:titlePg/>
          <w:docGrid w:linePitch="326"/>
        </w:sectPr>
      </w:pPr>
    </w:p>
    <w:p w:rsidR="00867978" w:rsidRPr="00683C14" w:rsidRDefault="00867978" w:rsidP="005C76D4">
      <w:pPr>
        <w:pStyle w:val="NoSpacing"/>
        <w:spacing w:before="120" w:after="120"/>
        <w:jc w:val="center"/>
        <w:rPr>
          <w:b/>
        </w:rPr>
      </w:pPr>
      <w:r w:rsidRPr="00683C14">
        <w:rPr>
          <w:b/>
        </w:rPr>
        <w:t>Filing Requirements By Industry</w:t>
      </w:r>
      <w:r w:rsidR="009274DA" w:rsidRPr="00683C14">
        <w:rPr>
          <w:rStyle w:val="FootnoteReference"/>
          <w:b/>
        </w:rPr>
        <w:footnoteReference w:id="2"/>
      </w:r>
    </w:p>
    <w:p w:rsidR="00867978" w:rsidRPr="00683C14" w:rsidRDefault="00867978" w:rsidP="00867978">
      <w:pPr>
        <w:pStyle w:val="NoSpacing"/>
        <w:spacing w:before="120" w:after="120"/>
      </w:pPr>
      <w:r w:rsidRPr="00683C14">
        <w:rPr>
          <w:b/>
          <w:u w:val="single"/>
        </w:rPr>
        <w:t>Solid Waste Companies</w:t>
      </w:r>
      <w:r w:rsidRPr="00683C14">
        <w:t xml:space="preserve"> </w:t>
      </w:r>
    </w:p>
    <w:p w:rsidR="00867978" w:rsidRPr="00683C14" w:rsidRDefault="00867978" w:rsidP="00867978">
      <w:pPr>
        <w:pStyle w:val="NoSpacing"/>
        <w:numPr>
          <w:ilvl w:val="0"/>
          <w:numId w:val="4"/>
        </w:numPr>
        <w:spacing w:before="120"/>
      </w:pPr>
      <w:r w:rsidRPr="00683C14">
        <w:rPr>
          <w:i/>
        </w:rPr>
        <w:t>General rate increase filing</w:t>
      </w:r>
    </w:p>
    <w:p w:rsidR="00867978" w:rsidRPr="00683C14" w:rsidRDefault="00867978" w:rsidP="00867978">
      <w:pPr>
        <w:pStyle w:val="NoSpacing"/>
        <w:numPr>
          <w:ilvl w:val="1"/>
          <w:numId w:val="4"/>
        </w:numPr>
        <w:spacing w:before="120" w:after="120"/>
      </w:pPr>
      <w:r w:rsidRPr="00683C14">
        <w:t xml:space="preserve">Must provide the commission with: </w:t>
      </w:r>
    </w:p>
    <w:p w:rsidR="00867978" w:rsidRPr="00683C14" w:rsidRDefault="00867978" w:rsidP="00867978">
      <w:pPr>
        <w:pStyle w:val="NoSpacing"/>
        <w:numPr>
          <w:ilvl w:val="2"/>
          <w:numId w:val="4"/>
        </w:numPr>
        <w:ind w:left="1980"/>
      </w:pPr>
      <w:r w:rsidRPr="00683C14">
        <w:t>The minimum information required by WAC 480-07-520; and</w:t>
      </w:r>
    </w:p>
    <w:p w:rsidR="00867978" w:rsidRPr="00683C14" w:rsidRDefault="00867978" w:rsidP="00867978">
      <w:pPr>
        <w:pStyle w:val="NoSpacing"/>
        <w:numPr>
          <w:ilvl w:val="2"/>
          <w:numId w:val="4"/>
        </w:numPr>
        <w:ind w:left="1980"/>
      </w:pPr>
      <w:r w:rsidRPr="00683C14">
        <w:t xml:space="preserve">Forty-five day notice to the commission as required by WAC 480-70-266 unless the company requests less than statutory notice handling (WAC 480-70-276).  </w:t>
      </w:r>
    </w:p>
    <w:p w:rsidR="00867978" w:rsidRPr="00683C14" w:rsidRDefault="00867978" w:rsidP="00867978">
      <w:pPr>
        <w:pStyle w:val="NoSpacing"/>
        <w:numPr>
          <w:ilvl w:val="1"/>
          <w:numId w:val="4"/>
        </w:numPr>
      </w:pPr>
      <w:r w:rsidRPr="00683C14">
        <w:t>Must provide customers with 30 day’s notice as required by WAC 480-70-271(1)</w:t>
      </w:r>
    </w:p>
    <w:p w:rsidR="00867978" w:rsidRPr="00683C14" w:rsidRDefault="00867978" w:rsidP="00867978">
      <w:pPr>
        <w:pStyle w:val="NoSpacing"/>
        <w:numPr>
          <w:ilvl w:val="0"/>
          <w:numId w:val="4"/>
        </w:numPr>
        <w:spacing w:before="120"/>
      </w:pPr>
      <w:r w:rsidRPr="00683C14">
        <w:rPr>
          <w:i/>
        </w:rPr>
        <w:t>Single item adjustment to rates</w:t>
      </w:r>
      <w:r w:rsidRPr="00683C14">
        <w:t xml:space="preserve"> – Solid waste companies may file a petition seeking exemption from the rules governing general rate increases and notice requirements in order to make an adjustment to rates based only on the changes to fuel costs. </w:t>
      </w:r>
    </w:p>
    <w:p w:rsidR="00867978" w:rsidRPr="00683C14" w:rsidRDefault="00867978" w:rsidP="00867978">
      <w:pPr>
        <w:pStyle w:val="NoSpacing"/>
        <w:spacing w:before="120"/>
        <w:rPr>
          <w:b/>
          <w:u w:val="single"/>
        </w:rPr>
      </w:pPr>
      <w:r w:rsidRPr="00683C14">
        <w:rPr>
          <w:b/>
          <w:u w:val="single"/>
        </w:rPr>
        <w:t>Auto Transportation Companies</w:t>
      </w:r>
    </w:p>
    <w:p w:rsidR="00867978" w:rsidRPr="00683C14" w:rsidRDefault="00867978" w:rsidP="00867978">
      <w:pPr>
        <w:pStyle w:val="NoSpacing"/>
        <w:numPr>
          <w:ilvl w:val="0"/>
          <w:numId w:val="5"/>
        </w:numPr>
        <w:spacing w:before="120"/>
        <w:rPr>
          <w:b/>
          <w:u w:val="single"/>
        </w:rPr>
      </w:pPr>
      <w:r w:rsidRPr="00683C14">
        <w:rPr>
          <w:i/>
        </w:rPr>
        <w:t>General rate increase filing</w:t>
      </w:r>
    </w:p>
    <w:p w:rsidR="00867978" w:rsidRPr="00683C14" w:rsidRDefault="00867978" w:rsidP="00867978">
      <w:pPr>
        <w:pStyle w:val="NoSpacing"/>
        <w:numPr>
          <w:ilvl w:val="1"/>
          <w:numId w:val="4"/>
        </w:numPr>
        <w:spacing w:before="120" w:after="120"/>
      </w:pPr>
      <w:r w:rsidRPr="00683C14">
        <w:t xml:space="preserve">Must provide the commission with: </w:t>
      </w:r>
    </w:p>
    <w:p w:rsidR="00867978" w:rsidRPr="00683C14" w:rsidRDefault="00867978" w:rsidP="00867978">
      <w:pPr>
        <w:pStyle w:val="NoSpacing"/>
        <w:numPr>
          <w:ilvl w:val="2"/>
          <w:numId w:val="4"/>
        </w:numPr>
        <w:ind w:left="1980"/>
      </w:pPr>
      <w:r w:rsidRPr="00683C14">
        <w:t>The minimum information required by WAC 480-30-426; and</w:t>
      </w:r>
    </w:p>
    <w:p w:rsidR="00867978" w:rsidRPr="00683C14" w:rsidRDefault="00867978" w:rsidP="00867978">
      <w:pPr>
        <w:pStyle w:val="NoSpacing"/>
        <w:numPr>
          <w:ilvl w:val="2"/>
          <w:numId w:val="4"/>
        </w:numPr>
        <w:ind w:left="1980"/>
      </w:pPr>
      <w:r w:rsidRPr="00683C14">
        <w:t>Thirty day notice to the commission as required by WAC 480-30-316 unless the company requests less than statutory notice handling (WAC 480-30-326).</w:t>
      </w:r>
    </w:p>
    <w:p w:rsidR="00867978" w:rsidRPr="00683C14" w:rsidRDefault="00867978" w:rsidP="00867978">
      <w:pPr>
        <w:pStyle w:val="NoSpacing"/>
        <w:numPr>
          <w:ilvl w:val="1"/>
          <w:numId w:val="4"/>
        </w:numPr>
      </w:pPr>
      <w:r w:rsidRPr="00683C14">
        <w:t xml:space="preserve">Must provide customers with 30 day’s notice as required by </w:t>
      </w:r>
    </w:p>
    <w:p w:rsidR="00867978" w:rsidRPr="00683C14" w:rsidRDefault="00867978" w:rsidP="00867978">
      <w:pPr>
        <w:pStyle w:val="NoSpacing"/>
        <w:ind w:left="1440"/>
      </w:pPr>
      <w:r w:rsidRPr="00683C14">
        <w:t>WAC 480-30-316 (1).</w:t>
      </w:r>
    </w:p>
    <w:p w:rsidR="00867978" w:rsidRPr="00683C14" w:rsidRDefault="00867978" w:rsidP="00867978">
      <w:pPr>
        <w:pStyle w:val="NoSpacing"/>
        <w:numPr>
          <w:ilvl w:val="0"/>
          <w:numId w:val="4"/>
        </w:numPr>
        <w:spacing w:before="120" w:after="120"/>
      </w:pPr>
      <w:r w:rsidRPr="00683C14">
        <w:rPr>
          <w:i/>
        </w:rPr>
        <w:t>Single item adjustment to rates</w:t>
      </w:r>
      <w:r w:rsidRPr="00683C14">
        <w:t xml:space="preserve"> – Auto transportation companies may file a petition seeking exemption from the rules governing general rate increases and notice requirements in order to make an adjustment to rates based only on the changes to fuel costs.</w:t>
      </w:r>
    </w:p>
    <w:p w:rsidR="00205BAE" w:rsidRPr="00683C14" w:rsidRDefault="00205BAE">
      <w:pPr>
        <w:spacing w:after="200" w:line="276" w:lineRule="auto"/>
        <w:rPr>
          <w:rFonts w:eastAsiaTheme="minorHAnsi" w:cstheme="minorBidi"/>
          <w:b/>
          <w:sz w:val="25"/>
          <w:szCs w:val="25"/>
          <w:u w:val="single"/>
        </w:rPr>
      </w:pPr>
      <w:r w:rsidRPr="00683C14">
        <w:rPr>
          <w:b/>
          <w:sz w:val="25"/>
          <w:szCs w:val="25"/>
          <w:u w:val="single"/>
        </w:rPr>
        <w:br w:type="page"/>
      </w:r>
    </w:p>
    <w:p w:rsidR="00867978" w:rsidRPr="00683C14" w:rsidRDefault="00867978" w:rsidP="00867978">
      <w:pPr>
        <w:pStyle w:val="NoSpacing"/>
        <w:spacing w:before="120"/>
        <w:rPr>
          <w:b/>
          <w:u w:val="single"/>
        </w:rPr>
      </w:pPr>
      <w:r w:rsidRPr="00683C14">
        <w:rPr>
          <w:b/>
          <w:u w:val="single"/>
        </w:rPr>
        <w:t>Commercial Ferry Companies</w:t>
      </w:r>
    </w:p>
    <w:p w:rsidR="00867978" w:rsidRPr="00683C14" w:rsidRDefault="00867978" w:rsidP="00867978">
      <w:pPr>
        <w:pStyle w:val="NoSpacing"/>
        <w:numPr>
          <w:ilvl w:val="0"/>
          <w:numId w:val="5"/>
        </w:numPr>
        <w:spacing w:before="120"/>
        <w:rPr>
          <w:b/>
          <w:u w:val="single"/>
        </w:rPr>
      </w:pPr>
      <w:r w:rsidRPr="00683C14">
        <w:rPr>
          <w:i/>
        </w:rPr>
        <w:t>General rate increase filing</w:t>
      </w:r>
      <w:r w:rsidRPr="00683C14">
        <w:t xml:space="preserve"> – Must provide:</w:t>
      </w:r>
    </w:p>
    <w:p w:rsidR="00867978" w:rsidRPr="00683C14" w:rsidRDefault="00867978" w:rsidP="00867978">
      <w:pPr>
        <w:pStyle w:val="NoSpacing"/>
        <w:numPr>
          <w:ilvl w:val="1"/>
          <w:numId w:val="4"/>
        </w:numPr>
        <w:spacing w:before="120" w:after="120"/>
      </w:pPr>
      <w:r w:rsidRPr="00683C14">
        <w:t>The commission with 30 day’s notice as required by WAC 480-149-120 (1) unless the company requests less than statutory notice handling (WAC 480-149-120 (3)).</w:t>
      </w:r>
    </w:p>
    <w:p w:rsidR="00867978" w:rsidRPr="00683C14" w:rsidRDefault="00867978" w:rsidP="00867978">
      <w:pPr>
        <w:pStyle w:val="NoSpacing"/>
        <w:numPr>
          <w:ilvl w:val="1"/>
          <w:numId w:val="4"/>
        </w:numPr>
      </w:pPr>
      <w:r w:rsidRPr="00683C14">
        <w:t>Customers with 30 day’s notice as required by WAC 480-149-120 (1).</w:t>
      </w:r>
    </w:p>
    <w:p w:rsidR="00867978" w:rsidRPr="00683C14" w:rsidRDefault="00867978" w:rsidP="00867978">
      <w:pPr>
        <w:pStyle w:val="NoSpacing"/>
        <w:numPr>
          <w:ilvl w:val="0"/>
          <w:numId w:val="4"/>
        </w:numPr>
        <w:spacing w:before="120" w:after="120"/>
      </w:pPr>
      <w:r w:rsidRPr="00683C14">
        <w:rPr>
          <w:i/>
        </w:rPr>
        <w:t>Single item adjustment to rates</w:t>
      </w:r>
      <w:r w:rsidRPr="00683C14">
        <w:t xml:space="preserve"> – Commercial ferry companies may file a petition seeking exemption from the rule governing notice requirements in order to make an adjustment to rates based only on the changes to its fuel costs.</w:t>
      </w:r>
    </w:p>
    <w:p w:rsidR="00F26F22" w:rsidRPr="00683C14" w:rsidRDefault="00F26F22" w:rsidP="000C23D2">
      <w:pPr>
        <w:pStyle w:val="NoSpacing"/>
        <w:spacing w:before="120" w:after="120"/>
      </w:pPr>
    </w:p>
    <w:sectPr w:rsidR="00F26F22" w:rsidRPr="00683C14" w:rsidSect="005C76D4">
      <w:headerReference w:type="default" r:id="rId12"/>
      <w:pgSz w:w="12240" w:h="15840"/>
      <w:pgMar w:top="1440" w:right="1440" w:bottom="1260" w:left="1800" w:header="14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FF" w:rsidRDefault="00F767FF" w:rsidP="00054B4C">
      <w:r>
        <w:separator/>
      </w:r>
    </w:p>
  </w:endnote>
  <w:endnote w:type="continuationSeparator" w:id="0">
    <w:p w:rsidR="00F767FF" w:rsidRDefault="00F767FF" w:rsidP="000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FF" w:rsidRDefault="00F767FF" w:rsidP="00054B4C">
      <w:r>
        <w:separator/>
      </w:r>
    </w:p>
  </w:footnote>
  <w:footnote w:type="continuationSeparator" w:id="0">
    <w:p w:rsidR="00F767FF" w:rsidRDefault="00F767FF" w:rsidP="00054B4C">
      <w:r>
        <w:continuationSeparator/>
      </w:r>
    </w:p>
  </w:footnote>
  <w:footnote w:id="1">
    <w:p w:rsidR="00683C14" w:rsidRPr="00DE5B48" w:rsidRDefault="00E275BE" w:rsidP="00683C14">
      <w:pPr>
        <w:rPr>
          <w:szCs w:val="24"/>
        </w:rPr>
      </w:pPr>
      <w:r>
        <w:rPr>
          <w:rStyle w:val="FootnoteReference"/>
        </w:rPr>
        <w:footnoteRef/>
      </w:r>
      <w:r>
        <w:t xml:space="preserve"> </w:t>
      </w:r>
      <w:r w:rsidR="00683C14" w:rsidRPr="00DE5B48">
        <w:rPr>
          <w:sz w:val="22"/>
          <w:szCs w:val="22"/>
        </w:rPr>
        <w:t xml:space="preserve">The commission has received requests from the Washington Refuse &amp; Recycling Association and </w:t>
      </w:r>
      <w:proofErr w:type="spellStart"/>
      <w:r w:rsidR="00683C14" w:rsidRPr="00DE5B48">
        <w:rPr>
          <w:sz w:val="22"/>
          <w:szCs w:val="22"/>
        </w:rPr>
        <w:t>Seatac</w:t>
      </w:r>
      <w:proofErr w:type="spellEnd"/>
      <w:r w:rsidR="00683C14" w:rsidRPr="00DE5B48">
        <w:rPr>
          <w:sz w:val="22"/>
          <w:szCs w:val="22"/>
        </w:rPr>
        <w:t xml:space="preserve"> Shuttle, LLC to extend the current fuel surcharge methodologies beyond January 31, 2011. The commission will consider those requests on January 20, 2011. See the open meeting notice section later in this document the end of this notice.</w:t>
      </w:r>
    </w:p>
    <w:p w:rsidR="00E275BE" w:rsidRDefault="00E275BE">
      <w:pPr>
        <w:pStyle w:val="FootnoteText"/>
      </w:pPr>
    </w:p>
  </w:footnote>
  <w:footnote w:id="2">
    <w:p w:rsidR="00996349" w:rsidRPr="00683C14" w:rsidRDefault="00996349" w:rsidP="00683C14">
      <w:pPr>
        <w:pStyle w:val="FootnoteText"/>
        <w:spacing w:line="240" w:lineRule="auto"/>
        <w:rPr>
          <w:szCs w:val="22"/>
        </w:rPr>
      </w:pPr>
      <w:r w:rsidRPr="00683C14">
        <w:rPr>
          <w:rStyle w:val="FootnoteReference"/>
          <w:szCs w:val="22"/>
        </w:rPr>
        <w:footnoteRef/>
      </w:r>
      <w:r w:rsidRPr="00683C14">
        <w:rPr>
          <w:szCs w:val="22"/>
        </w:rPr>
        <w:t xml:space="preserve"> Companies regulated by the commission may petition for exemptions to commission rule as specified in WAC 480-07-110. The standard for consideration is the public interest standard. 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 The commission will enter an order granting or denying the petition, or setting it for hearing.</w:t>
      </w:r>
    </w:p>
    <w:p w:rsidR="00996349" w:rsidRDefault="0099634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49" w:rsidRPr="00205BAE" w:rsidRDefault="00996349" w:rsidP="000A1CB4">
    <w:pPr>
      <w:pStyle w:val="Header"/>
      <w:rPr>
        <w:b/>
        <w:sz w:val="20"/>
      </w:rPr>
    </w:pPr>
    <w:r w:rsidRPr="00FD05BE">
      <w:rPr>
        <w:b/>
        <w:sz w:val="20"/>
      </w:rPr>
      <w:t>DOCKET T-101661</w:t>
    </w:r>
    <w:r>
      <w:rPr>
        <w:b/>
        <w:sz w:val="20"/>
      </w:rPr>
      <w:tab/>
    </w:r>
    <w:r>
      <w:rPr>
        <w:b/>
        <w:sz w:val="20"/>
      </w:rPr>
      <w:tab/>
      <w:t xml:space="preserve">PAGE </w:t>
    </w:r>
    <w:r w:rsidR="00FC1933" w:rsidRPr="000A1CB4">
      <w:rPr>
        <w:b/>
        <w:sz w:val="20"/>
      </w:rPr>
      <w:fldChar w:fldCharType="begin"/>
    </w:r>
    <w:r w:rsidRPr="000A1CB4">
      <w:rPr>
        <w:b/>
        <w:sz w:val="20"/>
      </w:rPr>
      <w:instrText xml:space="preserve"> PAGE   \* MERGEFORMAT </w:instrText>
    </w:r>
    <w:r w:rsidR="00FC1933" w:rsidRPr="000A1CB4">
      <w:rPr>
        <w:b/>
        <w:sz w:val="20"/>
      </w:rPr>
      <w:fldChar w:fldCharType="separate"/>
    </w:r>
    <w:r w:rsidR="00C627FF">
      <w:rPr>
        <w:b/>
        <w:noProof/>
        <w:sz w:val="20"/>
      </w:rPr>
      <w:t>2</w:t>
    </w:r>
    <w:r w:rsidR="00FC1933" w:rsidRPr="000A1CB4">
      <w:rPr>
        <w:b/>
        <w:sz w:val="20"/>
      </w:rPr>
      <w:fldChar w:fldCharType="end"/>
    </w:r>
  </w:p>
  <w:p w:rsidR="00996349" w:rsidRDefault="00996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49" w:rsidRPr="00867978" w:rsidRDefault="00996349" w:rsidP="000A1CB4">
    <w:pPr>
      <w:pStyle w:val="Header"/>
      <w:jc w:val="center"/>
      <w:rPr>
        <w:b/>
        <w:sz w:val="28"/>
        <w:szCs w:val="28"/>
      </w:rPr>
    </w:pPr>
    <w:r w:rsidRPr="00867978">
      <w:rPr>
        <w:b/>
        <w:sz w:val="28"/>
        <w:szCs w:val="28"/>
      </w:rPr>
      <w:t>ATTACHMENT A</w:t>
    </w:r>
  </w:p>
  <w:p w:rsidR="00996349" w:rsidRPr="00205BAE" w:rsidRDefault="00996349" w:rsidP="000A1CB4">
    <w:pPr>
      <w:pStyle w:val="Header"/>
      <w:rPr>
        <w:b/>
        <w:sz w:val="20"/>
      </w:rPr>
    </w:pPr>
    <w:r w:rsidRPr="00FD05BE">
      <w:rPr>
        <w:b/>
        <w:sz w:val="20"/>
      </w:rPr>
      <w:t>DOCKET T-101661</w:t>
    </w:r>
    <w:r>
      <w:rPr>
        <w:b/>
        <w:sz w:val="20"/>
      </w:rPr>
      <w:tab/>
    </w:r>
    <w:r>
      <w:rPr>
        <w:b/>
        <w:sz w:val="20"/>
      </w:rPr>
      <w:tab/>
      <w:t xml:space="preserve">PAGE </w:t>
    </w:r>
    <w:r w:rsidR="00FC1933" w:rsidRPr="000A1CB4">
      <w:rPr>
        <w:b/>
        <w:sz w:val="20"/>
      </w:rPr>
      <w:fldChar w:fldCharType="begin"/>
    </w:r>
    <w:r w:rsidRPr="000A1CB4">
      <w:rPr>
        <w:b/>
        <w:sz w:val="20"/>
      </w:rPr>
      <w:instrText xml:space="preserve"> PAGE   \* MERGEFORMAT </w:instrText>
    </w:r>
    <w:r w:rsidR="00FC1933" w:rsidRPr="000A1CB4">
      <w:rPr>
        <w:b/>
        <w:sz w:val="20"/>
      </w:rPr>
      <w:fldChar w:fldCharType="separate"/>
    </w:r>
    <w:r w:rsidR="00C627FF">
      <w:rPr>
        <w:b/>
        <w:noProof/>
        <w:sz w:val="20"/>
      </w:rPr>
      <w:t>4</w:t>
    </w:r>
    <w:r w:rsidR="00FC1933" w:rsidRPr="000A1CB4">
      <w:rPr>
        <w:b/>
        <w:sz w:val="20"/>
      </w:rPr>
      <w:fldChar w:fldCharType="end"/>
    </w:r>
  </w:p>
  <w:p w:rsidR="00996349" w:rsidRDefault="00996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8CB"/>
    <w:multiLevelType w:val="hybridMultilevel"/>
    <w:tmpl w:val="34D43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F1F00"/>
    <w:multiLevelType w:val="hybridMultilevel"/>
    <w:tmpl w:val="833C2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766EF"/>
    <w:multiLevelType w:val="hybridMultilevel"/>
    <w:tmpl w:val="364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83102"/>
    <w:multiLevelType w:val="hybridMultilevel"/>
    <w:tmpl w:val="873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6F74FA"/>
    <w:multiLevelType w:val="hybridMultilevel"/>
    <w:tmpl w:val="BFDAB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4C"/>
    <w:rsid w:val="0001172D"/>
    <w:rsid w:val="000259FC"/>
    <w:rsid w:val="000363B8"/>
    <w:rsid w:val="00047ACA"/>
    <w:rsid w:val="00054B4C"/>
    <w:rsid w:val="000675BB"/>
    <w:rsid w:val="00076072"/>
    <w:rsid w:val="00076D36"/>
    <w:rsid w:val="000771E1"/>
    <w:rsid w:val="0008035C"/>
    <w:rsid w:val="000879DA"/>
    <w:rsid w:val="000A1A62"/>
    <w:rsid w:val="000A1CB4"/>
    <w:rsid w:val="000A7BB9"/>
    <w:rsid w:val="000B17DA"/>
    <w:rsid w:val="000B42EC"/>
    <w:rsid w:val="000C23D2"/>
    <w:rsid w:val="000C6F04"/>
    <w:rsid w:val="000D42A6"/>
    <w:rsid w:val="000E6358"/>
    <w:rsid w:val="000F76F1"/>
    <w:rsid w:val="000F7C10"/>
    <w:rsid w:val="0010178E"/>
    <w:rsid w:val="00106653"/>
    <w:rsid w:val="00122B1F"/>
    <w:rsid w:val="00130DC7"/>
    <w:rsid w:val="0014723C"/>
    <w:rsid w:val="001622BC"/>
    <w:rsid w:val="00165E99"/>
    <w:rsid w:val="0016656A"/>
    <w:rsid w:val="00173FE3"/>
    <w:rsid w:val="001750AC"/>
    <w:rsid w:val="00192193"/>
    <w:rsid w:val="001A1190"/>
    <w:rsid w:val="001B1E79"/>
    <w:rsid w:val="001B22B6"/>
    <w:rsid w:val="001C5AB1"/>
    <w:rsid w:val="001E6612"/>
    <w:rsid w:val="00205BAE"/>
    <w:rsid w:val="002077B9"/>
    <w:rsid w:val="0022354B"/>
    <w:rsid w:val="00227DB7"/>
    <w:rsid w:val="00260C9C"/>
    <w:rsid w:val="00260E6E"/>
    <w:rsid w:val="0026661F"/>
    <w:rsid w:val="00272800"/>
    <w:rsid w:val="00280AEC"/>
    <w:rsid w:val="00283B9B"/>
    <w:rsid w:val="00285741"/>
    <w:rsid w:val="00296952"/>
    <w:rsid w:val="002A4675"/>
    <w:rsid w:val="002B2F81"/>
    <w:rsid w:val="002B72F1"/>
    <w:rsid w:val="002C039A"/>
    <w:rsid w:val="002C769F"/>
    <w:rsid w:val="002E5AB8"/>
    <w:rsid w:val="002E674B"/>
    <w:rsid w:val="002F13FC"/>
    <w:rsid w:val="002F60C4"/>
    <w:rsid w:val="00307D21"/>
    <w:rsid w:val="003244E1"/>
    <w:rsid w:val="00324588"/>
    <w:rsid w:val="00324D25"/>
    <w:rsid w:val="003276B9"/>
    <w:rsid w:val="00335FC3"/>
    <w:rsid w:val="00343845"/>
    <w:rsid w:val="00344C45"/>
    <w:rsid w:val="00367A54"/>
    <w:rsid w:val="00370BD2"/>
    <w:rsid w:val="00374711"/>
    <w:rsid w:val="0038499B"/>
    <w:rsid w:val="00385929"/>
    <w:rsid w:val="003A5584"/>
    <w:rsid w:val="003D4223"/>
    <w:rsid w:val="003F58FD"/>
    <w:rsid w:val="00417571"/>
    <w:rsid w:val="004331E6"/>
    <w:rsid w:val="00443D88"/>
    <w:rsid w:val="0044573A"/>
    <w:rsid w:val="00464597"/>
    <w:rsid w:val="00470C98"/>
    <w:rsid w:val="00470ECE"/>
    <w:rsid w:val="00474599"/>
    <w:rsid w:val="0047553A"/>
    <w:rsid w:val="00491EA1"/>
    <w:rsid w:val="00496D33"/>
    <w:rsid w:val="004A0E41"/>
    <w:rsid w:val="004A130D"/>
    <w:rsid w:val="004C45EF"/>
    <w:rsid w:val="00502BCA"/>
    <w:rsid w:val="00550E14"/>
    <w:rsid w:val="00551184"/>
    <w:rsid w:val="0057457A"/>
    <w:rsid w:val="00583F99"/>
    <w:rsid w:val="005A0264"/>
    <w:rsid w:val="005A5233"/>
    <w:rsid w:val="005C76D4"/>
    <w:rsid w:val="005D12DB"/>
    <w:rsid w:val="005D7780"/>
    <w:rsid w:val="005E3E39"/>
    <w:rsid w:val="006105F8"/>
    <w:rsid w:val="00622265"/>
    <w:rsid w:val="00637D31"/>
    <w:rsid w:val="00640B13"/>
    <w:rsid w:val="00654760"/>
    <w:rsid w:val="00664958"/>
    <w:rsid w:val="00664CAD"/>
    <w:rsid w:val="00683C14"/>
    <w:rsid w:val="00684639"/>
    <w:rsid w:val="006849DE"/>
    <w:rsid w:val="00684DF1"/>
    <w:rsid w:val="0068643D"/>
    <w:rsid w:val="0069288E"/>
    <w:rsid w:val="00694EFC"/>
    <w:rsid w:val="006B5C1C"/>
    <w:rsid w:val="006D11C1"/>
    <w:rsid w:val="006D6003"/>
    <w:rsid w:val="006F7629"/>
    <w:rsid w:val="00702719"/>
    <w:rsid w:val="00702F0F"/>
    <w:rsid w:val="007057D1"/>
    <w:rsid w:val="00716E7D"/>
    <w:rsid w:val="00721D96"/>
    <w:rsid w:val="007241D6"/>
    <w:rsid w:val="00732925"/>
    <w:rsid w:val="00735C91"/>
    <w:rsid w:val="007532C2"/>
    <w:rsid w:val="00766CFE"/>
    <w:rsid w:val="007717DC"/>
    <w:rsid w:val="00772A27"/>
    <w:rsid w:val="00786FD9"/>
    <w:rsid w:val="007927C2"/>
    <w:rsid w:val="007A0840"/>
    <w:rsid w:val="007B1606"/>
    <w:rsid w:val="007B1E25"/>
    <w:rsid w:val="007B37BD"/>
    <w:rsid w:val="007B3812"/>
    <w:rsid w:val="007B7CA9"/>
    <w:rsid w:val="007C719F"/>
    <w:rsid w:val="007D12EF"/>
    <w:rsid w:val="007D1BA3"/>
    <w:rsid w:val="007E23B4"/>
    <w:rsid w:val="007F08A0"/>
    <w:rsid w:val="007F1BFD"/>
    <w:rsid w:val="00805FAF"/>
    <w:rsid w:val="00811E7F"/>
    <w:rsid w:val="00867978"/>
    <w:rsid w:val="00875561"/>
    <w:rsid w:val="0088156B"/>
    <w:rsid w:val="00884829"/>
    <w:rsid w:val="008A34AF"/>
    <w:rsid w:val="008A36D8"/>
    <w:rsid w:val="008B6360"/>
    <w:rsid w:val="008C1AA9"/>
    <w:rsid w:val="008C6154"/>
    <w:rsid w:val="008E7B6F"/>
    <w:rsid w:val="008F499F"/>
    <w:rsid w:val="008F4B8E"/>
    <w:rsid w:val="008F5E3E"/>
    <w:rsid w:val="00903B39"/>
    <w:rsid w:val="00903FF4"/>
    <w:rsid w:val="009114D6"/>
    <w:rsid w:val="009274DA"/>
    <w:rsid w:val="009275B2"/>
    <w:rsid w:val="0094241A"/>
    <w:rsid w:val="009623D3"/>
    <w:rsid w:val="0096290B"/>
    <w:rsid w:val="0096290E"/>
    <w:rsid w:val="00981388"/>
    <w:rsid w:val="00984ED9"/>
    <w:rsid w:val="009916B7"/>
    <w:rsid w:val="00995B1A"/>
    <w:rsid w:val="00996349"/>
    <w:rsid w:val="009D22E0"/>
    <w:rsid w:val="009D41B9"/>
    <w:rsid w:val="009E7811"/>
    <w:rsid w:val="009F1D6E"/>
    <w:rsid w:val="009F6CBA"/>
    <w:rsid w:val="00A019A3"/>
    <w:rsid w:val="00A063C4"/>
    <w:rsid w:val="00A15908"/>
    <w:rsid w:val="00A35565"/>
    <w:rsid w:val="00A364F2"/>
    <w:rsid w:val="00A44155"/>
    <w:rsid w:val="00A55BEA"/>
    <w:rsid w:val="00A5714A"/>
    <w:rsid w:val="00A64FDF"/>
    <w:rsid w:val="00A67F3E"/>
    <w:rsid w:val="00A80E21"/>
    <w:rsid w:val="00A84C2A"/>
    <w:rsid w:val="00AA5126"/>
    <w:rsid w:val="00AB57C2"/>
    <w:rsid w:val="00AE0493"/>
    <w:rsid w:val="00AE56C4"/>
    <w:rsid w:val="00AF07A5"/>
    <w:rsid w:val="00AF1B6D"/>
    <w:rsid w:val="00AF3086"/>
    <w:rsid w:val="00B01951"/>
    <w:rsid w:val="00B023A5"/>
    <w:rsid w:val="00B142D2"/>
    <w:rsid w:val="00B2055B"/>
    <w:rsid w:val="00B21388"/>
    <w:rsid w:val="00B34D69"/>
    <w:rsid w:val="00B62BAC"/>
    <w:rsid w:val="00B63FBD"/>
    <w:rsid w:val="00B804C7"/>
    <w:rsid w:val="00B94AFC"/>
    <w:rsid w:val="00B95291"/>
    <w:rsid w:val="00BB051C"/>
    <w:rsid w:val="00BB6188"/>
    <w:rsid w:val="00BC0762"/>
    <w:rsid w:val="00BC4FFA"/>
    <w:rsid w:val="00BD52DB"/>
    <w:rsid w:val="00BD60D5"/>
    <w:rsid w:val="00BE3395"/>
    <w:rsid w:val="00BE607C"/>
    <w:rsid w:val="00BF7B14"/>
    <w:rsid w:val="00C002C5"/>
    <w:rsid w:val="00C00A9E"/>
    <w:rsid w:val="00C33484"/>
    <w:rsid w:val="00C46B6C"/>
    <w:rsid w:val="00C5727E"/>
    <w:rsid w:val="00C627FF"/>
    <w:rsid w:val="00C75523"/>
    <w:rsid w:val="00CA1AD9"/>
    <w:rsid w:val="00CE1D67"/>
    <w:rsid w:val="00CE2FD8"/>
    <w:rsid w:val="00CE7C2F"/>
    <w:rsid w:val="00CF199B"/>
    <w:rsid w:val="00CF6A03"/>
    <w:rsid w:val="00D24C81"/>
    <w:rsid w:val="00D260B1"/>
    <w:rsid w:val="00D62F8F"/>
    <w:rsid w:val="00D6595C"/>
    <w:rsid w:val="00D65F29"/>
    <w:rsid w:val="00D87F1F"/>
    <w:rsid w:val="00D94049"/>
    <w:rsid w:val="00DA1F3E"/>
    <w:rsid w:val="00DB5CF3"/>
    <w:rsid w:val="00DD2A47"/>
    <w:rsid w:val="00DE2D5B"/>
    <w:rsid w:val="00DF0509"/>
    <w:rsid w:val="00E26573"/>
    <w:rsid w:val="00E26CF4"/>
    <w:rsid w:val="00E275BE"/>
    <w:rsid w:val="00E33108"/>
    <w:rsid w:val="00E67E22"/>
    <w:rsid w:val="00E73219"/>
    <w:rsid w:val="00EA22F7"/>
    <w:rsid w:val="00EA58E0"/>
    <w:rsid w:val="00EA6D49"/>
    <w:rsid w:val="00EB490A"/>
    <w:rsid w:val="00EB5060"/>
    <w:rsid w:val="00EB6507"/>
    <w:rsid w:val="00EC4EE3"/>
    <w:rsid w:val="00EC56E2"/>
    <w:rsid w:val="00ED186E"/>
    <w:rsid w:val="00ED1B3F"/>
    <w:rsid w:val="00F23451"/>
    <w:rsid w:val="00F26F22"/>
    <w:rsid w:val="00F45E5F"/>
    <w:rsid w:val="00F61E20"/>
    <w:rsid w:val="00F67D66"/>
    <w:rsid w:val="00F767FF"/>
    <w:rsid w:val="00F82B9B"/>
    <w:rsid w:val="00F91756"/>
    <w:rsid w:val="00FB24FF"/>
    <w:rsid w:val="00FC1933"/>
    <w:rsid w:val="00FD05BE"/>
    <w:rsid w:val="00FF13E4"/>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C"/>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sz w:val="22"/>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54B4C"/>
    <w:rPr>
      <w:color w:val="0000FF" w:themeColor="hyperlink"/>
      <w:u w:val="single"/>
    </w:rPr>
  </w:style>
  <w:style w:type="character" w:styleId="FootnoteReference">
    <w:name w:val="footnote reference"/>
    <w:basedOn w:val="DefaultParagraphFont"/>
    <w:uiPriority w:val="99"/>
    <w:semiHidden/>
    <w:unhideWhenUsed/>
    <w:rsid w:val="00054B4C"/>
    <w:rPr>
      <w:vertAlign w:val="superscript"/>
    </w:rPr>
  </w:style>
  <w:style w:type="table" w:styleId="TableGrid">
    <w:name w:val="Table Grid"/>
    <w:basedOn w:val="TableNormal"/>
    <w:uiPriority w:val="59"/>
    <w:rsid w:val="00054B4C"/>
    <w:pPr>
      <w:spacing w:after="0" w:line="240" w:lineRule="auto"/>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4B4C"/>
    <w:pPr>
      <w:ind w:left="720"/>
      <w:contextualSpacing/>
    </w:pPr>
  </w:style>
  <w:style w:type="paragraph" w:styleId="Header">
    <w:name w:val="header"/>
    <w:basedOn w:val="Normal"/>
    <w:link w:val="HeaderChar"/>
    <w:uiPriority w:val="99"/>
    <w:unhideWhenUsed/>
    <w:rsid w:val="00047ACA"/>
    <w:pPr>
      <w:tabs>
        <w:tab w:val="center" w:pos="4680"/>
        <w:tab w:val="right" w:pos="9360"/>
      </w:tabs>
    </w:pPr>
  </w:style>
  <w:style w:type="character" w:customStyle="1" w:styleId="HeaderChar">
    <w:name w:val="Header Char"/>
    <w:basedOn w:val="DefaultParagraphFont"/>
    <w:link w:val="Header"/>
    <w:uiPriority w:val="99"/>
    <w:rsid w:val="00047ACA"/>
    <w:rPr>
      <w:rFonts w:eastAsia="Times New Roman" w:cs="Times New Roman"/>
      <w:sz w:val="24"/>
      <w:szCs w:val="20"/>
    </w:rPr>
  </w:style>
  <w:style w:type="paragraph" w:styleId="Footer">
    <w:name w:val="footer"/>
    <w:basedOn w:val="Normal"/>
    <w:link w:val="FooterChar"/>
    <w:uiPriority w:val="99"/>
    <w:semiHidden/>
    <w:unhideWhenUsed/>
    <w:rsid w:val="00047ACA"/>
    <w:pPr>
      <w:tabs>
        <w:tab w:val="center" w:pos="4680"/>
        <w:tab w:val="right" w:pos="9360"/>
      </w:tabs>
    </w:pPr>
  </w:style>
  <w:style w:type="character" w:customStyle="1" w:styleId="FooterChar">
    <w:name w:val="Footer Char"/>
    <w:basedOn w:val="DefaultParagraphFont"/>
    <w:link w:val="Footer"/>
    <w:uiPriority w:val="99"/>
    <w:semiHidden/>
    <w:rsid w:val="00047ACA"/>
    <w:rPr>
      <w:rFonts w:eastAsia="Times New Roman" w:cs="Times New Roman"/>
      <w:sz w:val="24"/>
      <w:szCs w:val="20"/>
    </w:rPr>
  </w:style>
  <w:style w:type="paragraph" w:styleId="BalloonText">
    <w:name w:val="Balloon Text"/>
    <w:basedOn w:val="Normal"/>
    <w:link w:val="BalloonTextChar"/>
    <w:uiPriority w:val="99"/>
    <w:semiHidden/>
    <w:unhideWhenUsed/>
    <w:rsid w:val="006105F8"/>
    <w:rPr>
      <w:rFonts w:ascii="Tahoma" w:hAnsi="Tahoma" w:cs="Tahoma"/>
      <w:sz w:val="16"/>
      <w:szCs w:val="16"/>
    </w:rPr>
  </w:style>
  <w:style w:type="character" w:customStyle="1" w:styleId="BalloonTextChar">
    <w:name w:val="Balloon Text Char"/>
    <w:basedOn w:val="DefaultParagraphFont"/>
    <w:link w:val="BalloonText"/>
    <w:uiPriority w:val="99"/>
    <w:semiHidden/>
    <w:rsid w:val="006105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5F8"/>
    <w:rPr>
      <w:sz w:val="16"/>
      <w:szCs w:val="16"/>
    </w:rPr>
  </w:style>
  <w:style w:type="paragraph" w:styleId="CommentText">
    <w:name w:val="annotation text"/>
    <w:basedOn w:val="Normal"/>
    <w:link w:val="CommentTextChar"/>
    <w:uiPriority w:val="99"/>
    <w:semiHidden/>
    <w:unhideWhenUsed/>
    <w:rsid w:val="006105F8"/>
    <w:rPr>
      <w:sz w:val="20"/>
    </w:rPr>
  </w:style>
  <w:style w:type="character" w:customStyle="1" w:styleId="CommentTextChar">
    <w:name w:val="Comment Text Char"/>
    <w:basedOn w:val="DefaultParagraphFont"/>
    <w:link w:val="CommentText"/>
    <w:uiPriority w:val="99"/>
    <w:semiHidden/>
    <w:rsid w:val="006105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F8"/>
    <w:rPr>
      <w:b/>
      <w:bCs/>
    </w:rPr>
  </w:style>
  <w:style w:type="character" w:customStyle="1" w:styleId="CommentSubjectChar">
    <w:name w:val="Comment Subject Char"/>
    <w:basedOn w:val="CommentTextChar"/>
    <w:link w:val="CommentSubject"/>
    <w:uiPriority w:val="99"/>
    <w:semiHidden/>
    <w:rsid w:val="006105F8"/>
    <w:rPr>
      <w:rFonts w:eastAsia="Times New Roman" w:cs="Times New Roman"/>
      <w:b/>
      <w:bCs/>
      <w:sz w:val="20"/>
      <w:szCs w:val="20"/>
    </w:rPr>
  </w:style>
  <w:style w:type="paragraph" w:customStyle="1" w:styleId="Findings">
    <w:name w:val="Findings"/>
    <w:basedOn w:val="Normal"/>
    <w:rsid w:val="00AB57C2"/>
    <w:pPr>
      <w:numPr>
        <w:numId w:val="3"/>
      </w:numPr>
    </w:pPr>
    <w:rPr>
      <w:szCs w:val="24"/>
    </w:rPr>
  </w:style>
  <w:style w:type="paragraph" w:styleId="Revision">
    <w:name w:val="Revision"/>
    <w:hidden/>
    <w:uiPriority w:val="99"/>
    <w:semiHidden/>
    <w:rsid w:val="00D65F29"/>
    <w:pPr>
      <w:spacing w:after="0" w:line="240" w:lineRule="auto"/>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C"/>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line="360" w:lineRule="auto"/>
    </w:pPr>
    <w:rPr>
      <w:sz w:val="22"/>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54B4C"/>
    <w:rPr>
      <w:color w:val="0000FF" w:themeColor="hyperlink"/>
      <w:u w:val="single"/>
    </w:rPr>
  </w:style>
  <w:style w:type="character" w:styleId="FootnoteReference">
    <w:name w:val="footnote reference"/>
    <w:basedOn w:val="DefaultParagraphFont"/>
    <w:uiPriority w:val="99"/>
    <w:semiHidden/>
    <w:unhideWhenUsed/>
    <w:rsid w:val="00054B4C"/>
    <w:rPr>
      <w:vertAlign w:val="superscript"/>
    </w:rPr>
  </w:style>
  <w:style w:type="table" w:styleId="TableGrid">
    <w:name w:val="Table Grid"/>
    <w:basedOn w:val="TableNormal"/>
    <w:uiPriority w:val="59"/>
    <w:rsid w:val="00054B4C"/>
    <w:pPr>
      <w:spacing w:after="0" w:line="240" w:lineRule="auto"/>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4B4C"/>
    <w:pPr>
      <w:ind w:left="720"/>
      <w:contextualSpacing/>
    </w:pPr>
  </w:style>
  <w:style w:type="paragraph" w:styleId="Header">
    <w:name w:val="header"/>
    <w:basedOn w:val="Normal"/>
    <w:link w:val="HeaderChar"/>
    <w:uiPriority w:val="99"/>
    <w:unhideWhenUsed/>
    <w:rsid w:val="00047ACA"/>
    <w:pPr>
      <w:tabs>
        <w:tab w:val="center" w:pos="4680"/>
        <w:tab w:val="right" w:pos="9360"/>
      </w:tabs>
    </w:pPr>
  </w:style>
  <w:style w:type="character" w:customStyle="1" w:styleId="HeaderChar">
    <w:name w:val="Header Char"/>
    <w:basedOn w:val="DefaultParagraphFont"/>
    <w:link w:val="Header"/>
    <w:uiPriority w:val="99"/>
    <w:rsid w:val="00047ACA"/>
    <w:rPr>
      <w:rFonts w:eastAsia="Times New Roman" w:cs="Times New Roman"/>
      <w:sz w:val="24"/>
      <w:szCs w:val="20"/>
    </w:rPr>
  </w:style>
  <w:style w:type="paragraph" w:styleId="Footer">
    <w:name w:val="footer"/>
    <w:basedOn w:val="Normal"/>
    <w:link w:val="FooterChar"/>
    <w:uiPriority w:val="99"/>
    <w:semiHidden/>
    <w:unhideWhenUsed/>
    <w:rsid w:val="00047ACA"/>
    <w:pPr>
      <w:tabs>
        <w:tab w:val="center" w:pos="4680"/>
        <w:tab w:val="right" w:pos="9360"/>
      </w:tabs>
    </w:pPr>
  </w:style>
  <w:style w:type="character" w:customStyle="1" w:styleId="FooterChar">
    <w:name w:val="Footer Char"/>
    <w:basedOn w:val="DefaultParagraphFont"/>
    <w:link w:val="Footer"/>
    <w:uiPriority w:val="99"/>
    <w:semiHidden/>
    <w:rsid w:val="00047ACA"/>
    <w:rPr>
      <w:rFonts w:eastAsia="Times New Roman" w:cs="Times New Roman"/>
      <w:sz w:val="24"/>
      <w:szCs w:val="20"/>
    </w:rPr>
  </w:style>
  <w:style w:type="paragraph" w:styleId="BalloonText">
    <w:name w:val="Balloon Text"/>
    <w:basedOn w:val="Normal"/>
    <w:link w:val="BalloonTextChar"/>
    <w:uiPriority w:val="99"/>
    <w:semiHidden/>
    <w:unhideWhenUsed/>
    <w:rsid w:val="006105F8"/>
    <w:rPr>
      <w:rFonts w:ascii="Tahoma" w:hAnsi="Tahoma" w:cs="Tahoma"/>
      <w:sz w:val="16"/>
      <w:szCs w:val="16"/>
    </w:rPr>
  </w:style>
  <w:style w:type="character" w:customStyle="1" w:styleId="BalloonTextChar">
    <w:name w:val="Balloon Text Char"/>
    <w:basedOn w:val="DefaultParagraphFont"/>
    <w:link w:val="BalloonText"/>
    <w:uiPriority w:val="99"/>
    <w:semiHidden/>
    <w:rsid w:val="006105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5F8"/>
    <w:rPr>
      <w:sz w:val="16"/>
      <w:szCs w:val="16"/>
    </w:rPr>
  </w:style>
  <w:style w:type="paragraph" w:styleId="CommentText">
    <w:name w:val="annotation text"/>
    <w:basedOn w:val="Normal"/>
    <w:link w:val="CommentTextChar"/>
    <w:uiPriority w:val="99"/>
    <w:semiHidden/>
    <w:unhideWhenUsed/>
    <w:rsid w:val="006105F8"/>
    <w:rPr>
      <w:sz w:val="20"/>
    </w:rPr>
  </w:style>
  <w:style w:type="character" w:customStyle="1" w:styleId="CommentTextChar">
    <w:name w:val="Comment Text Char"/>
    <w:basedOn w:val="DefaultParagraphFont"/>
    <w:link w:val="CommentText"/>
    <w:uiPriority w:val="99"/>
    <w:semiHidden/>
    <w:rsid w:val="006105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F8"/>
    <w:rPr>
      <w:b/>
      <w:bCs/>
    </w:rPr>
  </w:style>
  <w:style w:type="character" w:customStyle="1" w:styleId="CommentSubjectChar">
    <w:name w:val="Comment Subject Char"/>
    <w:basedOn w:val="CommentTextChar"/>
    <w:link w:val="CommentSubject"/>
    <w:uiPriority w:val="99"/>
    <w:semiHidden/>
    <w:rsid w:val="006105F8"/>
    <w:rPr>
      <w:rFonts w:eastAsia="Times New Roman" w:cs="Times New Roman"/>
      <w:b/>
      <w:bCs/>
      <w:sz w:val="20"/>
      <w:szCs w:val="20"/>
    </w:rPr>
  </w:style>
  <w:style w:type="paragraph" w:customStyle="1" w:styleId="Findings">
    <w:name w:val="Findings"/>
    <w:basedOn w:val="Normal"/>
    <w:rsid w:val="00AB57C2"/>
    <w:pPr>
      <w:numPr>
        <w:numId w:val="3"/>
      </w:numPr>
    </w:pPr>
    <w:rPr>
      <w:szCs w:val="24"/>
    </w:rPr>
  </w:style>
  <w:style w:type="paragraph" w:styleId="Revision">
    <w:name w:val="Revision"/>
    <w:hidden/>
    <w:uiPriority w:val="99"/>
    <w:semiHidden/>
    <w:rsid w:val="00D65F29"/>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75682">
      <w:bodyDiv w:val="1"/>
      <w:marLeft w:val="0"/>
      <w:marRight w:val="0"/>
      <w:marTop w:val="0"/>
      <w:marBottom w:val="0"/>
      <w:divBdr>
        <w:top w:val="none" w:sz="0" w:space="0" w:color="auto"/>
        <w:left w:val="none" w:sz="0" w:space="0" w:color="auto"/>
        <w:bottom w:val="none" w:sz="0" w:space="0" w:color="auto"/>
        <w:right w:val="none" w:sz="0" w:space="0" w:color="auto"/>
      </w:divBdr>
      <w:divsChild>
        <w:div w:id="65708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2011-01-10T08:00:00+00:00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96D3AA-6411-4159-834A-C1FA2B17A6BC}"/>
</file>

<file path=customXml/itemProps2.xml><?xml version="1.0" encoding="utf-8"?>
<ds:datastoreItem xmlns:ds="http://schemas.openxmlformats.org/officeDocument/2006/customXml" ds:itemID="{EA665D49-12BC-4CAE-A866-C3CE05489AE8}"/>
</file>

<file path=customXml/itemProps3.xml><?xml version="1.0" encoding="utf-8"?>
<ds:datastoreItem xmlns:ds="http://schemas.openxmlformats.org/officeDocument/2006/customXml" ds:itemID="{846DDAD0-3F74-43DC-A23A-089D2B58710D}"/>
</file>

<file path=customXml/itemProps4.xml><?xml version="1.0" encoding="utf-8"?>
<ds:datastoreItem xmlns:ds="http://schemas.openxmlformats.org/officeDocument/2006/customXml" ds:itemID="{675246A3-FCF8-49B9-B69D-C00DE91EA2A8}"/>
</file>

<file path=customXml/itemProps5.xml><?xml version="1.0" encoding="utf-8"?>
<ds:datastoreItem xmlns:ds="http://schemas.openxmlformats.org/officeDocument/2006/customXml" ds:itemID="{9D30B56C-183B-473E-A5D5-C959F574A67F}"/>
</file>

<file path=customXml/itemProps6.xml><?xml version="1.0" encoding="utf-8"?>
<ds:datastoreItem xmlns:ds="http://schemas.openxmlformats.org/officeDocument/2006/customXml" ds:itemID="{393DE29F-9623-4BB7-AF78-A90704724052}"/>
</file>

<file path=docProps/app.xml><?xml version="1.0" encoding="utf-8"?>
<Properties xmlns="http://schemas.openxmlformats.org/officeDocument/2006/extended-properties" xmlns:vt="http://schemas.openxmlformats.org/officeDocument/2006/docPropsVTypes">
  <Template>BC588763.dotm</Template>
  <TotalTime>13</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7</cp:revision>
  <cp:lastPrinted>2011-01-10T22:51:00Z</cp:lastPrinted>
  <dcterms:created xsi:type="dcterms:W3CDTF">2011-01-10T22:43:00Z</dcterms:created>
  <dcterms:modified xsi:type="dcterms:W3CDTF">2011-01-10T22:58:00Z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