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03D96" w14:textId="27719D97" w:rsidR="00744085" w:rsidRPr="00744085" w:rsidRDefault="00F41430" w:rsidP="00744085">
      <w:pPr>
        <w:rPr>
          <w:bCs/>
          <w:sz w:val="23"/>
          <w:szCs w:val="23"/>
        </w:rPr>
      </w:pPr>
      <w:r>
        <w:rPr>
          <w:b/>
          <w:bCs/>
          <w:sz w:val="23"/>
          <w:szCs w:val="23"/>
        </w:rPr>
        <w:t xml:space="preserve">Bench Request No. </w:t>
      </w:r>
      <w:r w:rsidR="00744085" w:rsidRPr="00744085">
        <w:rPr>
          <w:b/>
          <w:bCs/>
          <w:sz w:val="23"/>
          <w:szCs w:val="23"/>
        </w:rPr>
        <w:t xml:space="preserve">8: </w:t>
      </w:r>
      <w:r w:rsidR="00744085">
        <w:rPr>
          <w:b/>
          <w:bCs/>
          <w:sz w:val="23"/>
          <w:szCs w:val="23"/>
        </w:rPr>
        <w:t xml:space="preserve"> </w:t>
      </w:r>
      <w:r w:rsidR="00744085" w:rsidRPr="00744085">
        <w:rPr>
          <w:bCs/>
          <w:sz w:val="23"/>
          <w:szCs w:val="23"/>
        </w:rPr>
        <w:t xml:space="preserve">Staff: </w:t>
      </w:r>
      <w:r w:rsidR="00744085">
        <w:rPr>
          <w:bCs/>
          <w:sz w:val="23"/>
          <w:szCs w:val="23"/>
        </w:rPr>
        <w:t xml:space="preserve"> </w:t>
      </w:r>
      <w:r w:rsidR="00744085" w:rsidRPr="00744085">
        <w:rPr>
          <w:bCs/>
          <w:sz w:val="23"/>
          <w:szCs w:val="23"/>
        </w:rPr>
        <w:t>With regard to Christopher H. Hancock’s exhibits, CSH-2 at page 10, column 4.01 and CSH-3 at page 9, column 4.01:</w:t>
      </w:r>
    </w:p>
    <w:p w14:paraId="1A95F35C" w14:textId="77777777" w:rsidR="00744085" w:rsidRPr="00744085" w:rsidRDefault="00744085" w:rsidP="00744085">
      <w:pPr>
        <w:ind w:left="1440" w:hanging="720"/>
        <w:rPr>
          <w:bCs/>
          <w:sz w:val="23"/>
          <w:szCs w:val="23"/>
        </w:rPr>
      </w:pPr>
      <w:r w:rsidRPr="00744085">
        <w:rPr>
          <w:bCs/>
          <w:sz w:val="23"/>
          <w:szCs w:val="23"/>
        </w:rPr>
        <w:t>1.</w:t>
      </w:r>
      <w:r w:rsidRPr="00744085">
        <w:rPr>
          <w:bCs/>
          <w:sz w:val="23"/>
          <w:szCs w:val="23"/>
        </w:rPr>
        <w:tab/>
        <w:t>Please provide a breakdown of the referenced adjustments to show in individual columns the net operating income, rate base, and revenue requirement impacts of each planned capital project recommended by Staff.  Please provide the responses based on end-of-period (</w:t>
      </w:r>
      <w:proofErr w:type="spellStart"/>
      <w:r w:rsidRPr="00744085">
        <w:rPr>
          <w:bCs/>
          <w:sz w:val="23"/>
          <w:szCs w:val="23"/>
        </w:rPr>
        <w:t>EOP</w:t>
      </w:r>
      <w:proofErr w:type="spellEnd"/>
      <w:r w:rsidRPr="00744085">
        <w:rPr>
          <w:bCs/>
          <w:sz w:val="23"/>
          <w:szCs w:val="23"/>
        </w:rPr>
        <w:t>) and average-of-monthly averages (AMA) balances.</w:t>
      </w:r>
    </w:p>
    <w:p w14:paraId="43D4D1AB" w14:textId="77777777" w:rsidR="00744085" w:rsidRPr="00744085" w:rsidRDefault="00744085" w:rsidP="00744085">
      <w:pPr>
        <w:ind w:left="1440" w:hanging="720"/>
        <w:rPr>
          <w:bCs/>
          <w:sz w:val="23"/>
          <w:szCs w:val="23"/>
        </w:rPr>
      </w:pPr>
      <w:r w:rsidRPr="00744085">
        <w:rPr>
          <w:bCs/>
          <w:sz w:val="23"/>
          <w:szCs w:val="23"/>
        </w:rPr>
        <w:t>2.</w:t>
      </w:r>
      <w:r w:rsidRPr="00744085">
        <w:rPr>
          <w:bCs/>
          <w:sz w:val="23"/>
          <w:szCs w:val="23"/>
        </w:rPr>
        <w:tab/>
        <w:t>Please provide the comparable unadjusted values of the planned capital projects as proposed by the Company.</w:t>
      </w:r>
    </w:p>
    <w:p w14:paraId="04A6FA88" w14:textId="7E4A343E" w:rsidR="002B32C9" w:rsidRPr="00744085" w:rsidRDefault="00744085" w:rsidP="00744085">
      <w:r w:rsidRPr="00744085">
        <w:rPr>
          <w:bCs/>
          <w:sz w:val="23"/>
          <w:szCs w:val="23"/>
        </w:rPr>
        <w:t>Please provide the responses in printed and electronic spreadsheet f</w:t>
      </w:r>
      <w:bookmarkStart w:id="0" w:name="_GoBack"/>
      <w:bookmarkEnd w:id="0"/>
      <w:r w:rsidRPr="00744085">
        <w:rPr>
          <w:bCs/>
          <w:sz w:val="23"/>
          <w:szCs w:val="23"/>
        </w:rPr>
        <w:t>ormat with all formulas and links intact.</w:t>
      </w:r>
    </w:p>
    <w:p w14:paraId="04A6FA89" w14:textId="3B5A8D2B" w:rsidR="002B32C9" w:rsidRDefault="00744085" w:rsidP="00DE73E1">
      <w:r>
        <w:rPr>
          <w:b/>
        </w:rPr>
        <w:t>Response:</w:t>
      </w:r>
      <w:r>
        <w:t xml:space="preserve">  </w:t>
      </w:r>
    </w:p>
    <w:p w14:paraId="6B8B5289" w14:textId="5D0F561C" w:rsidR="00744085" w:rsidRDefault="00B727D5" w:rsidP="008730E2">
      <w:pPr>
        <w:pStyle w:val="ListParagraph"/>
        <w:numPr>
          <w:ilvl w:val="0"/>
          <w:numId w:val="3"/>
        </w:numPr>
      </w:pPr>
      <w:r>
        <w:t xml:space="preserve">AMA and </w:t>
      </w:r>
      <w:proofErr w:type="spellStart"/>
      <w:r w:rsidR="008730E2" w:rsidRPr="008730E2">
        <w:t>EOP</w:t>
      </w:r>
      <w:proofErr w:type="spellEnd"/>
      <w:r w:rsidR="008730E2" w:rsidRPr="008730E2">
        <w:t xml:space="preserve"> are two methodologies for determining the rate base balance during the test year; as these are out-of-period additions to rate base, AMA and </w:t>
      </w:r>
      <w:proofErr w:type="spellStart"/>
      <w:r w:rsidR="008730E2" w:rsidRPr="008730E2">
        <w:t>EOP</w:t>
      </w:r>
      <w:proofErr w:type="spellEnd"/>
      <w:r w:rsidR="008730E2" w:rsidRPr="008730E2">
        <w:t xml:space="preserve"> methodologies are not applicable. However, the net operating income, rate base, and revenue requirement impacts of the 14 major projects Staff included into rate base during calendar year 2015 are displayed below, for electric (CSH-2) and natural gas (CSH-3) service, respectively. Additionally, electronic copies are provided:</w:t>
      </w:r>
    </w:p>
    <w:p w14:paraId="2C09C24F" w14:textId="3932F32D" w:rsidR="008730E2" w:rsidRDefault="008730E2" w:rsidP="008730E2">
      <w:r>
        <w:rPr>
          <w:noProof/>
        </w:rPr>
        <w:drawing>
          <wp:inline distT="0" distB="0" distL="0" distR="0" wp14:anchorId="63573818" wp14:editId="2E8180B2">
            <wp:extent cx="5944235" cy="22618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35" cy="2261870"/>
                    </a:xfrm>
                    <a:prstGeom prst="rect">
                      <a:avLst/>
                    </a:prstGeom>
                    <a:noFill/>
                  </pic:spPr>
                </pic:pic>
              </a:graphicData>
            </a:graphic>
          </wp:inline>
        </w:drawing>
      </w:r>
    </w:p>
    <w:p w14:paraId="10E2C657" w14:textId="77777777" w:rsidR="008730E2" w:rsidRDefault="008730E2" w:rsidP="008730E2"/>
    <w:p w14:paraId="2A6CA5AB" w14:textId="02A100CB" w:rsidR="008730E2" w:rsidRDefault="008730E2" w:rsidP="008730E2">
      <w:r>
        <w:rPr>
          <w:noProof/>
        </w:rPr>
        <w:lastRenderedPageBreak/>
        <w:drawing>
          <wp:inline distT="0" distB="0" distL="0" distR="0" wp14:anchorId="5D7100EB" wp14:editId="163176A3">
            <wp:extent cx="5944235" cy="23228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4235" cy="2322830"/>
                    </a:xfrm>
                    <a:prstGeom prst="rect">
                      <a:avLst/>
                    </a:prstGeom>
                    <a:noFill/>
                  </pic:spPr>
                </pic:pic>
              </a:graphicData>
            </a:graphic>
          </wp:inline>
        </w:drawing>
      </w:r>
    </w:p>
    <w:p w14:paraId="66DFB8DE" w14:textId="77777777" w:rsidR="008730E2" w:rsidRDefault="008730E2" w:rsidP="008730E2"/>
    <w:p w14:paraId="5DBAA9C2" w14:textId="5FBE8BE5" w:rsidR="008730E2" w:rsidRDefault="008730E2" w:rsidP="008730E2">
      <w:pPr>
        <w:pStyle w:val="ListParagraph"/>
        <w:numPr>
          <w:ilvl w:val="0"/>
          <w:numId w:val="3"/>
        </w:numPr>
      </w:pPr>
      <w:r w:rsidRPr="008730E2">
        <w:t>The same 14 projects are listed below, using the 2015 planned capital addition figures the Company provided in its initial filing. Additionally for each capital project, the difference between the revenue requirement impacts (in thousands of dollars) in Staff’s case and in the Company’s case is reflected in the rightmost column:</w:t>
      </w:r>
    </w:p>
    <w:p w14:paraId="7D0FAE81" w14:textId="33148B3C" w:rsidR="00744085" w:rsidRDefault="008730E2">
      <w:r>
        <w:rPr>
          <w:noProof/>
        </w:rPr>
        <w:drawing>
          <wp:inline distT="0" distB="0" distL="0" distR="0" wp14:anchorId="0539EA1C" wp14:editId="1AB7B30E">
            <wp:extent cx="5944235" cy="20364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4235" cy="2036445"/>
                    </a:xfrm>
                    <a:prstGeom prst="rect">
                      <a:avLst/>
                    </a:prstGeom>
                    <a:noFill/>
                  </pic:spPr>
                </pic:pic>
              </a:graphicData>
            </a:graphic>
          </wp:inline>
        </w:drawing>
      </w:r>
    </w:p>
    <w:p w14:paraId="3420D651" w14:textId="77777777" w:rsidR="008730E2" w:rsidRDefault="008730E2"/>
    <w:p w14:paraId="32C7B918" w14:textId="62D85A6C" w:rsidR="008730E2" w:rsidRDefault="008730E2">
      <w:pPr>
        <w:sectPr w:rsidR="008730E2">
          <w:headerReference w:type="default" r:id="rId14"/>
          <w:pgSz w:w="12240" w:h="15840"/>
          <w:pgMar w:top="1440" w:right="1440" w:bottom="1440" w:left="1440" w:header="720" w:footer="720" w:gutter="0"/>
          <w:cols w:space="720"/>
          <w:docGrid w:linePitch="360"/>
        </w:sectPr>
      </w:pPr>
      <w:r>
        <w:rPr>
          <w:noProof/>
        </w:rPr>
        <w:lastRenderedPageBreak/>
        <w:drawing>
          <wp:inline distT="0" distB="0" distL="0" distR="0" wp14:anchorId="1E7D4A03" wp14:editId="2FBF8EDC">
            <wp:extent cx="5944235" cy="20974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235" cy="2097405"/>
                    </a:xfrm>
                    <a:prstGeom prst="rect">
                      <a:avLst/>
                    </a:prstGeom>
                    <a:noFill/>
                  </pic:spPr>
                </pic:pic>
              </a:graphicData>
            </a:graphic>
          </wp:inline>
        </w:drawing>
      </w:r>
    </w:p>
    <w:p w14:paraId="581015E4" w14:textId="548786FB" w:rsidR="00744085" w:rsidRPr="002B6C94" w:rsidRDefault="00744085" w:rsidP="00744085">
      <w:pPr>
        <w:pStyle w:val="ListParagraph"/>
        <w:spacing w:line="264" w:lineRule="auto"/>
        <w:ind w:left="0"/>
        <w:rPr>
          <w:color w:val="000000"/>
        </w:rPr>
      </w:pPr>
      <w:r w:rsidRPr="002B6C94">
        <w:rPr>
          <w:b/>
          <w:color w:val="000000"/>
        </w:rPr>
        <w:lastRenderedPageBreak/>
        <w:t>Bench Request No. 9:</w:t>
      </w:r>
      <w:r w:rsidRPr="002B6C94">
        <w:rPr>
          <w:color w:val="000000"/>
        </w:rPr>
        <w:t xml:space="preserve"> </w:t>
      </w:r>
      <w:r>
        <w:rPr>
          <w:color w:val="000000"/>
        </w:rPr>
        <w:t xml:space="preserve"> </w:t>
      </w:r>
      <w:r w:rsidRPr="002B6C94">
        <w:rPr>
          <w:color w:val="000000"/>
        </w:rPr>
        <w:t xml:space="preserve">Staff: </w:t>
      </w:r>
      <w:r>
        <w:rPr>
          <w:color w:val="000000"/>
        </w:rPr>
        <w:t xml:space="preserve"> </w:t>
      </w:r>
      <w:r w:rsidRPr="002B6C94">
        <w:t xml:space="preserve">Please provide work papers in electronic format (Excel) with formulas intact, supporting all contested adjustments in </w:t>
      </w:r>
      <w:r w:rsidRPr="002B6C94">
        <w:rPr>
          <w:color w:val="000000"/>
        </w:rPr>
        <w:t>Christopher H. Hancock’s exhibits, Exh. Nos. CSH-2 and CSH-3.</w:t>
      </w:r>
    </w:p>
    <w:p w14:paraId="678AA08B" w14:textId="399F8F61" w:rsidR="00744085" w:rsidRDefault="00744085">
      <w:pPr>
        <w:rPr>
          <w:b/>
        </w:rPr>
      </w:pPr>
      <w:r w:rsidRPr="00744085">
        <w:rPr>
          <w:b/>
        </w:rPr>
        <w:t>Response:</w:t>
      </w:r>
      <w:r w:rsidRPr="00744085">
        <w:t xml:space="preserve">  </w:t>
      </w:r>
    </w:p>
    <w:p w14:paraId="394C59F9" w14:textId="5FD9776B" w:rsidR="00744085" w:rsidRPr="00744085" w:rsidRDefault="00B4345C">
      <w:r>
        <w:t>These work</w:t>
      </w:r>
      <w:r w:rsidR="00B90609">
        <w:t xml:space="preserve"> </w:t>
      </w:r>
      <w:r>
        <w:t>papers are provided in electronic format on</w:t>
      </w:r>
      <w:r w:rsidR="00E60400">
        <w:t>ly</w:t>
      </w:r>
      <w:r>
        <w:t>.</w:t>
      </w:r>
    </w:p>
    <w:p w14:paraId="41248836" w14:textId="77777777" w:rsidR="00744085" w:rsidRPr="00744085" w:rsidRDefault="00744085"/>
    <w:p w14:paraId="318A68E5" w14:textId="77777777" w:rsidR="00744085" w:rsidRPr="00744085" w:rsidRDefault="00744085"/>
    <w:p w14:paraId="25E6D489" w14:textId="77777777" w:rsidR="00744085" w:rsidRPr="00744085" w:rsidRDefault="00744085"/>
    <w:sectPr w:rsidR="00744085" w:rsidRPr="0074408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66D21" w14:textId="77777777" w:rsidR="003E48C5" w:rsidRDefault="003E48C5" w:rsidP="00527D74">
      <w:pPr>
        <w:spacing w:after="0" w:line="240" w:lineRule="auto"/>
      </w:pPr>
      <w:r>
        <w:separator/>
      </w:r>
    </w:p>
  </w:endnote>
  <w:endnote w:type="continuationSeparator" w:id="0">
    <w:p w14:paraId="1FE4B1BB" w14:textId="77777777" w:rsidR="003E48C5" w:rsidRDefault="003E48C5" w:rsidP="00527D74">
      <w:pPr>
        <w:spacing w:after="0" w:line="240" w:lineRule="auto"/>
      </w:pPr>
      <w:r>
        <w:continuationSeparator/>
      </w:r>
    </w:p>
  </w:endnote>
  <w:endnote w:type="continuationNotice" w:id="1">
    <w:p w14:paraId="76124ADF" w14:textId="77777777" w:rsidR="005513CE" w:rsidRDefault="005513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9878" w14:textId="77777777" w:rsidR="003E48C5" w:rsidRDefault="003E48C5" w:rsidP="00527D74">
      <w:pPr>
        <w:spacing w:after="0" w:line="240" w:lineRule="auto"/>
      </w:pPr>
      <w:r>
        <w:separator/>
      </w:r>
    </w:p>
  </w:footnote>
  <w:footnote w:type="continuationSeparator" w:id="0">
    <w:p w14:paraId="3FB213FF" w14:textId="77777777" w:rsidR="003E48C5" w:rsidRDefault="003E48C5" w:rsidP="00527D74">
      <w:pPr>
        <w:spacing w:after="0" w:line="240" w:lineRule="auto"/>
      </w:pPr>
      <w:r>
        <w:continuationSeparator/>
      </w:r>
    </w:p>
  </w:footnote>
  <w:footnote w:type="continuationNotice" w:id="1">
    <w:p w14:paraId="38AD3773" w14:textId="77777777" w:rsidR="005513CE" w:rsidRDefault="005513C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6FA8F" w14:textId="77777777" w:rsidR="003E48C5" w:rsidRDefault="003E48C5" w:rsidP="001C0B34">
    <w:pPr>
      <w:tabs>
        <w:tab w:val="center" w:pos="4680"/>
      </w:tabs>
      <w:spacing w:after="0"/>
      <w:jc w:val="center"/>
    </w:pPr>
    <w:smartTag w:uri="urn:schemas-microsoft-com:office:smarttags" w:element="State">
      <w:smartTag w:uri="urn:schemas-microsoft-com:office:smarttags" w:element="place">
        <w:r>
          <w:t>WASHINGTON</w:t>
        </w:r>
      </w:smartTag>
    </w:smartTag>
    <w:r>
      <w:t xml:space="preserve"> UTILITIES AND TRANSPORTATION COMMISSION STAFF</w:t>
    </w:r>
  </w:p>
  <w:p w14:paraId="04A6FA90" w14:textId="77777777" w:rsidR="003E48C5" w:rsidRDefault="003E48C5" w:rsidP="001C0B34">
    <w:pPr>
      <w:tabs>
        <w:tab w:val="center" w:pos="4680"/>
      </w:tabs>
      <w:spacing w:after="0"/>
      <w:jc w:val="center"/>
    </w:pPr>
    <w:r>
      <w:t>RESPONSE TO DATA REQUEST</w:t>
    </w:r>
  </w:p>
  <w:p w14:paraId="04A6FA91" w14:textId="77777777" w:rsidR="003E48C5" w:rsidRDefault="003E48C5" w:rsidP="001C0B34">
    <w:pPr>
      <w:spacing w:after="0"/>
    </w:pPr>
  </w:p>
  <w:tbl>
    <w:tblPr>
      <w:tblW w:w="9720" w:type="dxa"/>
      <w:tblLayout w:type="fixed"/>
      <w:tblCellMar>
        <w:left w:w="0" w:type="dxa"/>
        <w:right w:w="0" w:type="dxa"/>
      </w:tblCellMar>
      <w:tblLook w:val="04A0" w:firstRow="1" w:lastRow="0" w:firstColumn="1" w:lastColumn="0" w:noHBand="0" w:noVBand="1"/>
    </w:tblPr>
    <w:tblGrid>
      <w:gridCol w:w="4680"/>
      <w:gridCol w:w="720"/>
      <w:gridCol w:w="4320"/>
    </w:tblGrid>
    <w:tr w:rsidR="003E48C5" w14:paraId="04A6FA9B" w14:textId="77777777" w:rsidTr="008811A0">
      <w:tc>
        <w:tcPr>
          <w:tcW w:w="4680" w:type="dxa"/>
        </w:tcPr>
        <w:p w14:paraId="04A6FA92" w14:textId="28E1C4DE" w:rsidR="003E48C5" w:rsidRDefault="003E48C5" w:rsidP="001C0B34">
          <w:pPr>
            <w:tabs>
              <w:tab w:val="left" w:pos="-1440"/>
            </w:tabs>
            <w:spacing w:after="0"/>
            <w:ind w:left="2160" w:hanging="2160"/>
          </w:pPr>
          <w:r>
            <w:t>DATE PREPARED:</w:t>
          </w:r>
          <w:r>
            <w:tab/>
            <w:t>October 20, 2015</w:t>
          </w:r>
        </w:p>
        <w:p w14:paraId="04A6FA93" w14:textId="77777777" w:rsidR="003E48C5" w:rsidRDefault="003E48C5" w:rsidP="008811A0">
          <w:pPr>
            <w:tabs>
              <w:tab w:val="left" w:pos="-1440"/>
            </w:tabs>
            <w:spacing w:after="0"/>
            <w:ind w:left="2160" w:hanging="2160"/>
          </w:pPr>
          <w:r>
            <w:t>DOCKET:</w:t>
          </w:r>
          <w:r>
            <w:tab/>
            <w:t>UE-150204/UG-150205</w:t>
          </w:r>
        </w:p>
        <w:p w14:paraId="04A6FA94" w14:textId="21F25A32" w:rsidR="003E48C5" w:rsidRDefault="00E866CC" w:rsidP="008811A0">
          <w:pPr>
            <w:spacing w:after="0"/>
            <w:ind w:left="2160" w:hanging="2160"/>
          </w:pPr>
          <w:r>
            <w:t>REQUESTER:</w:t>
          </w:r>
          <w:r>
            <w:tab/>
            <w:t>Bench</w:t>
          </w:r>
        </w:p>
        <w:p w14:paraId="04A6FA95" w14:textId="77777777" w:rsidR="003E48C5" w:rsidRDefault="003E48C5" w:rsidP="001C0B34">
          <w:pPr>
            <w:spacing w:after="0"/>
          </w:pPr>
        </w:p>
      </w:tc>
      <w:tc>
        <w:tcPr>
          <w:tcW w:w="720" w:type="dxa"/>
        </w:tcPr>
        <w:p w14:paraId="04A6FA96" w14:textId="77777777" w:rsidR="003E48C5" w:rsidRDefault="003E48C5" w:rsidP="001C0B34">
          <w:pPr>
            <w:spacing w:after="0"/>
          </w:pPr>
        </w:p>
      </w:tc>
      <w:tc>
        <w:tcPr>
          <w:tcW w:w="4320" w:type="dxa"/>
        </w:tcPr>
        <w:p w14:paraId="04A6FA97" w14:textId="00370D75" w:rsidR="003E48C5" w:rsidRDefault="003E48C5" w:rsidP="00744085">
          <w:pPr>
            <w:tabs>
              <w:tab w:val="left" w:pos="-1440"/>
            </w:tabs>
            <w:spacing w:after="0"/>
            <w:ind w:left="1710" w:hanging="1710"/>
          </w:pPr>
          <w:r>
            <w:t>WITNESS:</w:t>
          </w:r>
          <w:r>
            <w:tab/>
            <w:t>Christopher Hancock</w:t>
          </w:r>
        </w:p>
        <w:p w14:paraId="04A6FA98" w14:textId="6F610F11" w:rsidR="003E48C5" w:rsidRDefault="003E48C5" w:rsidP="00744085">
          <w:pPr>
            <w:spacing w:after="0"/>
            <w:ind w:left="1710" w:hanging="1710"/>
          </w:pPr>
          <w:r>
            <w:t xml:space="preserve">RESPONDER:  </w:t>
          </w:r>
          <w:r>
            <w:tab/>
            <w:t>Christopher Hancock</w:t>
          </w:r>
        </w:p>
        <w:p w14:paraId="04A6FA99" w14:textId="3D86301C" w:rsidR="003E48C5" w:rsidRDefault="003E48C5" w:rsidP="00744085">
          <w:pPr>
            <w:spacing w:after="0"/>
            <w:ind w:left="1710" w:hanging="1710"/>
          </w:pPr>
          <w:r>
            <w:t xml:space="preserve">TELEPHONE:  </w:t>
          </w:r>
          <w:r>
            <w:tab/>
            <w:t>(360) 664-1312</w:t>
          </w:r>
        </w:p>
        <w:p w14:paraId="04A6FA9A" w14:textId="77777777" w:rsidR="003E48C5" w:rsidRDefault="003E48C5" w:rsidP="001C0B34">
          <w:pPr>
            <w:spacing w:after="0"/>
          </w:pPr>
        </w:p>
      </w:tc>
    </w:tr>
  </w:tbl>
  <w:p w14:paraId="04A6FA9C" w14:textId="77777777" w:rsidR="003E48C5" w:rsidRDefault="003E48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DD1A8" w14:textId="77777777" w:rsidR="003E48C5" w:rsidRDefault="003E48C5" w:rsidP="001C0B34">
    <w:pPr>
      <w:tabs>
        <w:tab w:val="center" w:pos="4680"/>
      </w:tabs>
      <w:spacing w:after="0"/>
      <w:jc w:val="center"/>
    </w:pPr>
    <w:r>
      <w:t>WASHINGTON UTILITIES AND TRANSPORTATION COMMISSION STAFF</w:t>
    </w:r>
  </w:p>
  <w:p w14:paraId="3A30FCF0" w14:textId="77777777" w:rsidR="003E48C5" w:rsidRDefault="003E48C5" w:rsidP="001C0B34">
    <w:pPr>
      <w:tabs>
        <w:tab w:val="center" w:pos="4680"/>
      </w:tabs>
      <w:spacing w:after="0"/>
      <w:jc w:val="center"/>
    </w:pPr>
    <w:r>
      <w:t>RESPONSE TO DATA REQUEST</w:t>
    </w:r>
  </w:p>
  <w:p w14:paraId="0464540A" w14:textId="77777777" w:rsidR="003E48C5" w:rsidRDefault="003E48C5" w:rsidP="001C0B34">
    <w:pPr>
      <w:spacing w:after="0"/>
    </w:pPr>
  </w:p>
  <w:tbl>
    <w:tblPr>
      <w:tblW w:w="9720" w:type="dxa"/>
      <w:tblLayout w:type="fixed"/>
      <w:tblCellMar>
        <w:left w:w="0" w:type="dxa"/>
        <w:right w:w="0" w:type="dxa"/>
      </w:tblCellMar>
      <w:tblLook w:val="04A0" w:firstRow="1" w:lastRow="0" w:firstColumn="1" w:lastColumn="0" w:noHBand="0" w:noVBand="1"/>
    </w:tblPr>
    <w:tblGrid>
      <w:gridCol w:w="4680"/>
      <w:gridCol w:w="720"/>
      <w:gridCol w:w="4320"/>
    </w:tblGrid>
    <w:tr w:rsidR="003E48C5" w14:paraId="4B315EF8" w14:textId="77777777" w:rsidTr="008811A0">
      <w:tc>
        <w:tcPr>
          <w:tcW w:w="4680" w:type="dxa"/>
        </w:tcPr>
        <w:p w14:paraId="17F8B6BD" w14:textId="77777777" w:rsidR="003E48C5" w:rsidRDefault="003E48C5" w:rsidP="001C0B34">
          <w:pPr>
            <w:tabs>
              <w:tab w:val="left" w:pos="-1440"/>
            </w:tabs>
            <w:spacing w:after="0"/>
            <w:ind w:left="2160" w:hanging="2160"/>
          </w:pPr>
          <w:r>
            <w:t>DATE PREPARED:</w:t>
          </w:r>
          <w:r>
            <w:tab/>
            <w:t>October 20, 2015</w:t>
          </w:r>
        </w:p>
        <w:p w14:paraId="3B871F7E" w14:textId="77777777" w:rsidR="003E48C5" w:rsidRDefault="003E48C5" w:rsidP="008811A0">
          <w:pPr>
            <w:tabs>
              <w:tab w:val="left" w:pos="-1440"/>
            </w:tabs>
            <w:spacing w:after="0"/>
            <w:ind w:left="2160" w:hanging="2160"/>
          </w:pPr>
          <w:r>
            <w:t>DOCKET:</w:t>
          </w:r>
          <w:r>
            <w:tab/>
            <w:t>UE-150204/UG-150205</w:t>
          </w:r>
        </w:p>
        <w:p w14:paraId="49CFEC68" w14:textId="412BA289" w:rsidR="003E48C5" w:rsidRDefault="00E866CC" w:rsidP="008811A0">
          <w:pPr>
            <w:spacing w:after="0"/>
            <w:ind w:left="2160" w:hanging="2160"/>
          </w:pPr>
          <w:r>
            <w:t>REQUESTER:</w:t>
          </w:r>
          <w:r>
            <w:tab/>
            <w:t>Bench</w:t>
          </w:r>
        </w:p>
        <w:p w14:paraId="48AD1E22" w14:textId="77777777" w:rsidR="003E48C5" w:rsidRDefault="003E48C5" w:rsidP="001C0B34">
          <w:pPr>
            <w:spacing w:after="0"/>
          </w:pPr>
        </w:p>
      </w:tc>
      <w:tc>
        <w:tcPr>
          <w:tcW w:w="720" w:type="dxa"/>
        </w:tcPr>
        <w:p w14:paraId="3469DBB7" w14:textId="77777777" w:rsidR="003E48C5" w:rsidRDefault="003E48C5" w:rsidP="001C0B34">
          <w:pPr>
            <w:spacing w:after="0"/>
          </w:pPr>
        </w:p>
      </w:tc>
      <w:tc>
        <w:tcPr>
          <w:tcW w:w="4320" w:type="dxa"/>
        </w:tcPr>
        <w:p w14:paraId="5C1EBB65" w14:textId="77777777" w:rsidR="003E48C5" w:rsidRDefault="003E48C5" w:rsidP="00744085">
          <w:pPr>
            <w:tabs>
              <w:tab w:val="left" w:pos="-1440"/>
            </w:tabs>
            <w:spacing w:after="0"/>
            <w:ind w:left="1710" w:hanging="1710"/>
          </w:pPr>
          <w:r>
            <w:t>WITNESS:</w:t>
          </w:r>
          <w:r>
            <w:tab/>
            <w:t>Christopher Hancock</w:t>
          </w:r>
        </w:p>
        <w:p w14:paraId="2207E936" w14:textId="77777777" w:rsidR="003E48C5" w:rsidRDefault="003E48C5" w:rsidP="00744085">
          <w:pPr>
            <w:spacing w:after="0"/>
            <w:ind w:left="1710" w:hanging="1710"/>
          </w:pPr>
          <w:r>
            <w:t xml:space="preserve">RESPONDER:  </w:t>
          </w:r>
          <w:r>
            <w:tab/>
            <w:t>Christopher Hancock</w:t>
          </w:r>
        </w:p>
        <w:p w14:paraId="248A7617" w14:textId="77777777" w:rsidR="003E48C5" w:rsidRDefault="003E48C5" w:rsidP="00744085">
          <w:pPr>
            <w:spacing w:after="0"/>
            <w:ind w:left="1710" w:hanging="1710"/>
          </w:pPr>
          <w:r>
            <w:t xml:space="preserve">TELEPHONE:  </w:t>
          </w:r>
          <w:r>
            <w:tab/>
            <w:t>(360) 664-1312</w:t>
          </w:r>
        </w:p>
        <w:p w14:paraId="6EE1100B" w14:textId="77777777" w:rsidR="003E48C5" w:rsidRDefault="003E48C5" w:rsidP="001C0B34">
          <w:pPr>
            <w:spacing w:after="0"/>
          </w:pPr>
        </w:p>
      </w:tc>
    </w:tr>
  </w:tbl>
  <w:p w14:paraId="40153C5E" w14:textId="77777777" w:rsidR="003E48C5" w:rsidRDefault="003E48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A572B"/>
    <w:multiLevelType w:val="hybridMultilevel"/>
    <w:tmpl w:val="C79E9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350FE"/>
    <w:multiLevelType w:val="hybridMultilevel"/>
    <w:tmpl w:val="6BB45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A13997"/>
    <w:multiLevelType w:val="hybridMultilevel"/>
    <w:tmpl w:val="A8DA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F1"/>
    <w:rsid w:val="0004218E"/>
    <w:rsid w:val="000A642F"/>
    <w:rsid w:val="000C5217"/>
    <w:rsid w:val="00102FDB"/>
    <w:rsid w:val="00120367"/>
    <w:rsid w:val="00142DC3"/>
    <w:rsid w:val="00152EBD"/>
    <w:rsid w:val="001B1D9F"/>
    <w:rsid w:val="001C03A0"/>
    <w:rsid w:val="001C0B34"/>
    <w:rsid w:val="001C15A7"/>
    <w:rsid w:val="001D28B7"/>
    <w:rsid w:val="001D54F1"/>
    <w:rsid w:val="00244EB1"/>
    <w:rsid w:val="002B32C9"/>
    <w:rsid w:val="002C4AF7"/>
    <w:rsid w:val="00340BF4"/>
    <w:rsid w:val="00391555"/>
    <w:rsid w:val="00392B76"/>
    <w:rsid w:val="003E48C5"/>
    <w:rsid w:val="003F400B"/>
    <w:rsid w:val="00430A79"/>
    <w:rsid w:val="0043166B"/>
    <w:rsid w:val="00444A76"/>
    <w:rsid w:val="00447D61"/>
    <w:rsid w:val="004516A2"/>
    <w:rsid w:val="00466D8C"/>
    <w:rsid w:val="004A1A6B"/>
    <w:rsid w:val="004A267F"/>
    <w:rsid w:val="00507163"/>
    <w:rsid w:val="00522A04"/>
    <w:rsid w:val="00527D74"/>
    <w:rsid w:val="00532809"/>
    <w:rsid w:val="005513CE"/>
    <w:rsid w:val="005615C6"/>
    <w:rsid w:val="0058248F"/>
    <w:rsid w:val="005B5ACC"/>
    <w:rsid w:val="005C5E2E"/>
    <w:rsid w:val="00611DF0"/>
    <w:rsid w:val="00662975"/>
    <w:rsid w:val="00690D99"/>
    <w:rsid w:val="006B6AAB"/>
    <w:rsid w:val="006C76CF"/>
    <w:rsid w:val="006D41E1"/>
    <w:rsid w:val="00744085"/>
    <w:rsid w:val="00750F17"/>
    <w:rsid w:val="00771EA6"/>
    <w:rsid w:val="007927B1"/>
    <w:rsid w:val="007C73A2"/>
    <w:rsid w:val="0084619A"/>
    <w:rsid w:val="008730E2"/>
    <w:rsid w:val="00876C51"/>
    <w:rsid w:val="008811A0"/>
    <w:rsid w:val="008C27C1"/>
    <w:rsid w:val="008C701E"/>
    <w:rsid w:val="0091115D"/>
    <w:rsid w:val="009714E7"/>
    <w:rsid w:val="00986F49"/>
    <w:rsid w:val="009B1B74"/>
    <w:rsid w:val="009B6BDA"/>
    <w:rsid w:val="009E07CA"/>
    <w:rsid w:val="00A03194"/>
    <w:rsid w:val="00A118FC"/>
    <w:rsid w:val="00A50B8B"/>
    <w:rsid w:val="00A75F82"/>
    <w:rsid w:val="00A800D8"/>
    <w:rsid w:val="00AE1528"/>
    <w:rsid w:val="00AE2C9F"/>
    <w:rsid w:val="00B0631E"/>
    <w:rsid w:val="00B07BEC"/>
    <w:rsid w:val="00B14257"/>
    <w:rsid w:val="00B4345C"/>
    <w:rsid w:val="00B57420"/>
    <w:rsid w:val="00B727D5"/>
    <w:rsid w:val="00B90609"/>
    <w:rsid w:val="00C00E3A"/>
    <w:rsid w:val="00C5516E"/>
    <w:rsid w:val="00C604EC"/>
    <w:rsid w:val="00CB5F91"/>
    <w:rsid w:val="00D2198C"/>
    <w:rsid w:val="00D248F0"/>
    <w:rsid w:val="00D644C4"/>
    <w:rsid w:val="00D92F6C"/>
    <w:rsid w:val="00DC73D2"/>
    <w:rsid w:val="00DE01EF"/>
    <w:rsid w:val="00DE73E1"/>
    <w:rsid w:val="00E139B0"/>
    <w:rsid w:val="00E16625"/>
    <w:rsid w:val="00E435FE"/>
    <w:rsid w:val="00E60400"/>
    <w:rsid w:val="00E866CC"/>
    <w:rsid w:val="00EA7460"/>
    <w:rsid w:val="00EC15E1"/>
    <w:rsid w:val="00ED0A99"/>
    <w:rsid w:val="00F00A2E"/>
    <w:rsid w:val="00F41430"/>
    <w:rsid w:val="00F928F9"/>
    <w:rsid w:val="00FA28FA"/>
    <w:rsid w:val="00FF6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32769"/>
    <o:shapelayout v:ext="edit">
      <o:idmap v:ext="edit" data="1"/>
    </o:shapelayout>
  </w:shapeDefaults>
  <w:decimalSymbol w:val="."/>
  <w:listSeparator w:val=","/>
  <w14:docId w14:val="04A6FA79"/>
  <w15:chartTrackingRefBased/>
  <w15:docId w15:val="{6098C9C6-EE58-4953-8DDF-C102EDDD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8F0"/>
    <w:pPr>
      <w:ind w:left="720"/>
      <w:contextualSpacing/>
    </w:pPr>
  </w:style>
  <w:style w:type="paragraph" w:styleId="FootnoteText">
    <w:name w:val="footnote text"/>
    <w:basedOn w:val="Normal"/>
    <w:link w:val="FootnoteTextChar"/>
    <w:uiPriority w:val="99"/>
    <w:semiHidden/>
    <w:unhideWhenUsed/>
    <w:rsid w:val="00527D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D74"/>
    <w:rPr>
      <w:sz w:val="20"/>
      <w:szCs w:val="20"/>
    </w:rPr>
  </w:style>
  <w:style w:type="character" w:styleId="FootnoteReference">
    <w:name w:val="footnote reference"/>
    <w:basedOn w:val="DefaultParagraphFont"/>
    <w:uiPriority w:val="99"/>
    <w:semiHidden/>
    <w:unhideWhenUsed/>
    <w:rsid w:val="00527D74"/>
    <w:rPr>
      <w:vertAlign w:val="superscript"/>
    </w:rPr>
  </w:style>
  <w:style w:type="paragraph" w:styleId="Header">
    <w:name w:val="header"/>
    <w:basedOn w:val="Normal"/>
    <w:link w:val="HeaderChar"/>
    <w:uiPriority w:val="99"/>
    <w:unhideWhenUsed/>
    <w:rsid w:val="001C0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B34"/>
  </w:style>
  <w:style w:type="paragraph" w:styleId="Footer">
    <w:name w:val="footer"/>
    <w:basedOn w:val="Normal"/>
    <w:link w:val="FooterChar"/>
    <w:uiPriority w:val="99"/>
    <w:unhideWhenUsed/>
    <w:rsid w:val="001C0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B34"/>
  </w:style>
  <w:style w:type="character" w:styleId="CommentReference">
    <w:name w:val="annotation reference"/>
    <w:basedOn w:val="DefaultParagraphFont"/>
    <w:uiPriority w:val="99"/>
    <w:semiHidden/>
    <w:unhideWhenUsed/>
    <w:rsid w:val="00507163"/>
    <w:rPr>
      <w:sz w:val="16"/>
      <w:szCs w:val="16"/>
    </w:rPr>
  </w:style>
  <w:style w:type="paragraph" w:styleId="CommentText">
    <w:name w:val="annotation text"/>
    <w:basedOn w:val="Normal"/>
    <w:link w:val="CommentTextChar"/>
    <w:uiPriority w:val="99"/>
    <w:semiHidden/>
    <w:unhideWhenUsed/>
    <w:rsid w:val="00507163"/>
    <w:pPr>
      <w:spacing w:line="240" w:lineRule="auto"/>
    </w:pPr>
    <w:rPr>
      <w:sz w:val="20"/>
      <w:szCs w:val="20"/>
    </w:rPr>
  </w:style>
  <w:style w:type="character" w:customStyle="1" w:styleId="CommentTextChar">
    <w:name w:val="Comment Text Char"/>
    <w:basedOn w:val="DefaultParagraphFont"/>
    <w:link w:val="CommentText"/>
    <w:uiPriority w:val="99"/>
    <w:semiHidden/>
    <w:rsid w:val="00507163"/>
    <w:rPr>
      <w:sz w:val="20"/>
      <w:szCs w:val="20"/>
    </w:rPr>
  </w:style>
  <w:style w:type="paragraph" w:styleId="CommentSubject">
    <w:name w:val="annotation subject"/>
    <w:basedOn w:val="CommentText"/>
    <w:next w:val="CommentText"/>
    <w:link w:val="CommentSubjectChar"/>
    <w:uiPriority w:val="99"/>
    <w:semiHidden/>
    <w:unhideWhenUsed/>
    <w:rsid w:val="00507163"/>
    <w:rPr>
      <w:b/>
      <w:bCs/>
    </w:rPr>
  </w:style>
  <w:style w:type="character" w:customStyle="1" w:styleId="CommentSubjectChar">
    <w:name w:val="Comment Subject Char"/>
    <w:basedOn w:val="CommentTextChar"/>
    <w:link w:val="CommentSubject"/>
    <w:uiPriority w:val="99"/>
    <w:semiHidden/>
    <w:rsid w:val="00507163"/>
    <w:rPr>
      <w:b/>
      <w:bCs/>
      <w:sz w:val="20"/>
      <w:szCs w:val="20"/>
    </w:rPr>
  </w:style>
  <w:style w:type="paragraph" w:styleId="BalloonText">
    <w:name w:val="Balloon Text"/>
    <w:basedOn w:val="Normal"/>
    <w:link w:val="BalloonTextChar"/>
    <w:uiPriority w:val="99"/>
    <w:semiHidden/>
    <w:unhideWhenUsed/>
    <w:rsid w:val="005071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163"/>
    <w:rPr>
      <w:rFonts w:ascii="Segoe UI" w:hAnsi="Segoe UI" w:cs="Segoe UI"/>
      <w:sz w:val="18"/>
      <w:szCs w:val="18"/>
    </w:rPr>
  </w:style>
  <w:style w:type="paragraph" w:customStyle="1" w:styleId="Default">
    <w:name w:val="Default"/>
    <w:rsid w:val="00F41430"/>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4017">
      <w:bodyDiv w:val="1"/>
      <w:marLeft w:val="0"/>
      <w:marRight w:val="0"/>
      <w:marTop w:val="0"/>
      <w:marBottom w:val="0"/>
      <w:divBdr>
        <w:top w:val="none" w:sz="0" w:space="0" w:color="auto"/>
        <w:left w:val="none" w:sz="0" w:space="0" w:color="auto"/>
        <w:bottom w:val="none" w:sz="0" w:space="0" w:color="auto"/>
        <w:right w:val="none" w:sz="0" w:space="0" w:color="auto"/>
      </w:divBdr>
    </w:div>
    <w:div w:id="469593827">
      <w:bodyDiv w:val="1"/>
      <w:marLeft w:val="0"/>
      <w:marRight w:val="0"/>
      <w:marTop w:val="0"/>
      <w:marBottom w:val="0"/>
      <w:divBdr>
        <w:top w:val="none" w:sz="0" w:space="0" w:color="auto"/>
        <w:left w:val="none" w:sz="0" w:space="0" w:color="auto"/>
        <w:bottom w:val="none" w:sz="0" w:space="0" w:color="auto"/>
        <w:right w:val="none" w:sz="0" w:space="0" w:color="auto"/>
      </w:divBdr>
    </w:div>
    <w:div w:id="475269881">
      <w:bodyDiv w:val="1"/>
      <w:marLeft w:val="0"/>
      <w:marRight w:val="0"/>
      <w:marTop w:val="0"/>
      <w:marBottom w:val="0"/>
      <w:divBdr>
        <w:top w:val="none" w:sz="0" w:space="0" w:color="auto"/>
        <w:left w:val="none" w:sz="0" w:space="0" w:color="auto"/>
        <w:bottom w:val="none" w:sz="0" w:space="0" w:color="auto"/>
        <w:right w:val="none" w:sz="0" w:space="0" w:color="auto"/>
      </w:divBdr>
    </w:div>
    <w:div w:id="182003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2015-10-20T22:48:35+00:00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9DC68-61C2-4DA2-99CB-F54A554A6A17}"/>
</file>

<file path=customXml/itemProps2.xml><?xml version="1.0" encoding="utf-8"?>
<ds:datastoreItem xmlns:ds="http://schemas.openxmlformats.org/officeDocument/2006/customXml" ds:itemID="{552C3E59-875D-44FA-A60F-202CD7E9D183}"/>
</file>

<file path=customXml/itemProps3.xml><?xml version="1.0" encoding="utf-8"?>
<ds:datastoreItem xmlns:ds="http://schemas.openxmlformats.org/officeDocument/2006/customXml" ds:itemID="{290B81BB-EB53-479A-ACE5-592FEC032EB6}"/>
</file>

<file path=customXml/itemProps4.xml><?xml version="1.0" encoding="utf-8"?>
<ds:datastoreItem xmlns:ds="http://schemas.openxmlformats.org/officeDocument/2006/customXml" ds:itemID="{2B707D8B-6C15-4E7A-8460-BD3D905A03F4}"/>
</file>

<file path=customXml/itemProps5.xml><?xml version="1.0" encoding="utf-8"?>
<ds:datastoreItem xmlns:ds="http://schemas.openxmlformats.org/officeDocument/2006/customXml" ds:itemID="{37277E5B-C921-4A43-8B88-E97C520A35CA}"/>
</file>

<file path=docProps/app.xml><?xml version="1.0" encoding="utf-8"?>
<Properties xmlns="http://schemas.openxmlformats.org/officeDocument/2006/extended-properties" xmlns:vt="http://schemas.openxmlformats.org/officeDocument/2006/docPropsVTypes">
  <Template>Normal.dotm</Template>
  <TotalTime>71</TotalTime>
  <Pages>4</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Jason (UTC)</dc:creator>
  <cp:keywords/>
  <dc:description/>
  <cp:lastModifiedBy>DeMarco, Betsy (UTC)</cp:lastModifiedBy>
  <cp:revision>17</cp:revision>
  <dcterms:created xsi:type="dcterms:W3CDTF">2015-10-13T21:50:00Z</dcterms:created>
  <dcterms:modified xsi:type="dcterms:W3CDTF">2015-10-20T18:11:00Z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